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ascii="宋体" w:hAnsi="宋体"/>
          <w:spacing w:val="42"/>
          <w:szCs w:val="6"/>
        </w:rPr>
      </w:pPr>
    </w:p>
    <w:p>
      <w:pPr>
        <w:ind w:firstLine="660"/>
        <w:jc w:val="center"/>
        <w:rPr>
          <w:rFonts w:ascii="宋体" w:hAnsi="宋体"/>
          <w:spacing w:val="42"/>
          <w:szCs w:val="6"/>
        </w:rPr>
      </w:pPr>
    </w:p>
    <w:p>
      <w:pPr>
        <w:pStyle w:val="2"/>
        <w:ind w:firstLine="660"/>
        <w:rPr>
          <w:rFonts w:ascii="宋体" w:hAnsi="宋体"/>
          <w:spacing w:val="42"/>
          <w:szCs w:val="6"/>
        </w:rPr>
      </w:pPr>
    </w:p>
    <w:p>
      <w:pPr>
        <w:pStyle w:val="2"/>
        <w:ind w:firstLine="660"/>
        <w:rPr>
          <w:rFonts w:ascii="宋体" w:hAnsi="宋体"/>
          <w:spacing w:val="42"/>
          <w:szCs w:val="6"/>
        </w:rPr>
      </w:pPr>
    </w:p>
    <w:p>
      <w:pPr>
        <w:pStyle w:val="2"/>
        <w:ind w:firstLine="660"/>
        <w:rPr>
          <w:rFonts w:ascii="宋体" w:hAnsi="宋体"/>
          <w:spacing w:val="42"/>
          <w:szCs w:val="6"/>
        </w:rPr>
      </w:pPr>
    </w:p>
    <w:p>
      <w:pPr>
        <w:pStyle w:val="2"/>
        <w:ind w:firstLine="660"/>
        <w:rPr>
          <w:rFonts w:ascii="宋体" w:hAnsi="宋体"/>
          <w:spacing w:val="42"/>
          <w:szCs w:val="6"/>
        </w:rPr>
      </w:pPr>
    </w:p>
    <w:p>
      <w:pPr>
        <w:pStyle w:val="2"/>
        <w:ind w:firstLine="660"/>
        <w:rPr>
          <w:rFonts w:ascii="宋体" w:hAnsi="宋体"/>
          <w:spacing w:val="42"/>
          <w:szCs w:val="6"/>
        </w:rPr>
      </w:pPr>
    </w:p>
    <w:p>
      <w:pPr>
        <w:pStyle w:val="2"/>
        <w:ind w:firstLine="0" w:firstLineChars="0"/>
        <w:rPr>
          <w:rFonts w:ascii="宋体" w:hAnsi="宋体"/>
          <w:spacing w:val="42"/>
          <w:szCs w:val="6"/>
        </w:rPr>
      </w:pPr>
    </w:p>
    <w:p>
      <w:pPr>
        <w:pStyle w:val="2"/>
        <w:ind w:firstLine="660"/>
        <w:rPr>
          <w:rFonts w:ascii="宋体" w:hAnsi="宋体"/>
          <w:spacing w:val="42"/>
          <w:szCs w:val="6"/>
        </w:rPr>
      </w:pPr>
    </w:p>
    <w:p>
      <w:pPr>
        <w:ind w:firstLine="0" w:firstLineChars="0"/>
        <w:jc w:val="center"/>
        <w:rPr>
          <w:rFonts w:ascii="宋体" w:hAnsi="宋体"/>
          <w:spacing w:val="42"/>
          <w:sz w:val="130"/>
          <w:szCs w:val="130"/>
        </w:rPr>
      </w:pPr>
      <w:r>
        <w:rPr>
          <w:rFonts w:hint="eastAsia" w:ascii="宋体" w:hAnsi="宋体"/>
          <w:spacing w:val="42"/>
          <w:sz w:val="130"/>
          <w:szCs w:val="130"/>
        </w:rPr>
        <w:t>招 标 文 件</w:t>
      </w:r>
    </w:p>
    <w:p>
      <w:pPr>
        <w:ind w:firstLine="492"/>
        <w:jc w:val="center"/>
        <w:rPr>
          <w:rFonts w:ascii="宋体" w:hAnsi="宋体"/>
          <w:szCs w:val="18"/>
        </w:rPr>
      </w:pPr>
    </w:p>
    <w:p>
      <w:pPr>
        <w:ind w:firstLine="492"/>
        <w:jc w:val="center"/>
        <w:rPr>
          <w:rFonts w:ascii="宋体" w:hAnsi="宋体"/>
        </w:rPr>
      </w:pPr>
    </w:p>
    <w:p>
      <w:pPr>
        <w:ind w:firstLine="0" w:firstLineChars="0"/>
        <w:jc w:val="both"/>
        <w:rPr>
          <w:rFonts w:ascii="宋体" w:hAnsi="宋体"/>
        </w:rPr>
      </w:pPr>
    </w:p>
    <w:p>
      <w:pPr>
        <w:pStyle w:val="2"/>
        <w:ind w:firstLine="492"/>
        <w:rPr>
          <w:rFonts w:ascii="宋体" w:hAnsi="宋体"/>
        </w:rPr>
      </w:pPr>
    </w:p>
    <w:p>
      <w:pPr>
        <w:pStyle w:val="2"/>
        <w:ind w:firstLine="492"/>
        <w:rPr>
          <w:rFonts w:ascii="宋体" w:hAnsi="宋体"/>
        </w:rPr>
      </w:pPr>
    </w:p>
    <w:p>
      <w:pPr>
        <w:pStyle w:val="2"/>
        <w:ind w:firstLine="492"/>
        <w:rPr>
          <w:rFonts w:ascii="宋体" w:hAnsi="宋体"/>
        </w:rPr>
      </w:pPr>
    </w:p>
    <w:p>
      <w:pPr>
        <w:pStyle w:val="2"/>
        <w:ind w:firstLine="492"/>
        <w:rPr>
          <w:rFonts w:ascii="宋体" w:hAnsi="宋体"/>
        </w:rPr>
      </w:pPr>
    </w:p>
    <w:p>
      <w:pPr>
        <w:ind w:left="1630" w:hanging="1625" w:hangingChars="500"/>
        <w:rPr>
          <w:rFonts w:ascii="宋体" w:hAnsi="宋体"/>
          <w:sz w:val="32"/>
          <w:szCs w:val="32"/>
        </w:rPr>
      </w:pPr>
      <w:r>
        <w:rPr>
          <w:rFonts w:hint="eastAsia" w:ascii="宋体" w:hAnsi="宋体"/>
          <w:sz w:val="32"/>
          <w:szCs w:val="32"/>
        </w:rPr>
        <w:t>项目名称：成都市龙泉驿区水务局2021-2023年污泥处置服务采购项目</w:t>
      </w:r>
    </w:p>
    <w:p>
      <w:pPr>
        <w:ind w:firstLine="0" w:firstLineChars="0"/>
        <w:rPr>
          <w:rFonts w:hint="eastAsia" w:ascii="宋体" w:hAnsi="宋体" w:eastAsia="宋体"/>
          <w:sz w:val="32"/>
          <w:szCs w:val="32"/>
          <w:lang w:eastAsia="zh-CN"/>
        </w:rPr>
      </w:pPr>
      <w:r>
        <w:rPr>
          <w:rFonts w:hint="eastAsia" w:ascii="宋体" w:hAnsi="宋体"/>
          <w:sz w:val="32"/>
          <w:szCs w:val="32"/>
        </w:rPr>
        <w:t>项目编号：</w:t>
      </w:r>
      <w:r>
        <w:rPr>
          <w:rFonts w:hint="eastAsia" w:ascii="宋体" w:hAnsi="宋体"/>
          <w:sz w:val="32"/>
          <w:szCs w:val="32"/>
          <w:highlight w:val="none"/>
          <w:lang w:eastAsia="zh-CN"/>
        </w:rPr>
        <w:t>510112202100118</w:t>
      </w:r>
    </w:p>
    <w:p>
      <w:pPr>
        <w:ind w:firstLine="0" w:firstLineChars="0"/>
        <w:jc w:val="both"/>
        <w:rPr>
          <w:rFonts w:ascii="宋体" w:hAnsi="宋体"/>
          <w:kern w:val="24"/>
          <w:sz w:val="32"/>
          <w:szCs w:val="32"/>
        </w:rPr>
      </w:pPr>
    </w:p>
    <w:p>
      <w:pPr>
        <w:ind w:firstLine="0" w:firstLineChars="0"/>
        <w:jc w:val="center"/>
        <w:rPr>
          <w:rFonts w:ascii="宋体" w:hAnsi="宋体"/>
          <w:kern w:val="24"/>
          <w:sz w:val="32"/>
          <w:szCs w:val="32"/>
        </w:rPr>
      </w:pPr>
    </w:p>
    <w:p>
      <w:pPr>
        <w:ind w:firstLine="0" w:firstLineChars="0"/>
        <w:jc w:val="center"/>
        <w:rPr>
          <w:rFonts w:ascii="宋体" w:hAnsi="宋体"/>
          <w:sz w:val="32"/>
          <w:szCs w:val="32"/>
        </w:rPr>
      </w:pPr>
      <w:r>
        <w:rPr>
          <w:rFonts w:hint="eastAsia" w:ascii="宋体" w:hAnsi="宋体"/>
          <w:sz w:val="32"/>
          <w:szCs w:val="32"/>
        </w:rPr>
        <w:t>中国·成都</w:t>
      </w:r>
    </w:p>
    <w:p>
      <w:pPr>
        <w:ind w:firstLine="0" w:firstLineChars="0"/>
        <w:jc w:val="center"/>
        <w:rPr>
          <w:rFonts w:ascii="宋体" w:hAnsi="宋体"/>
          <w:sz w:val="32"/>
          <w:szCs w:val="32"/>
        </w:rPr>
      </w:pPr>
      <w:r>
        <w:rPr>
          <w:rFonts w:hint="eastAsia" w:ascii="宋体" w:hAnsi="宋体"/>
          <w:sz w:val="32"/>
          <w:szCs w:val="32"/>
        </w:rPr>
        <w:t xml:space="preserve">   四川世科工程咨询有限公司、成都市龙泉驿区水务局  </w:t>
      </w:r>
    </w:p>
    <w:p>
      <w:pPr>
        <w:ind w:firstLine="0" w:firstLineChars="0"/>
        <w:jc w:val="center"/>
        <w:rPr>
          <w:rFonts w:ascii="宋体" w:hAnsi="宋体"/>
          <w:sz w:val="32"/>
          <w:szCs w:val="32"/>
        </w:rPr>
      </w:pPr>
      <w:r>
        <w:rPr>
          <w:rFonts w:hint="eastAsia" w:ascii="宋体" w:hAnsi="宋体"/>
          <w:sz w:val="32"/>
          <w:szCs w:val="32"/>
        </w:rPr>
        <w:t xml:space="preserve">共同编制  </w:t>
      </w:r>
    </w:p>
    <w:p>
      <w:pPr>
        <w:ind w:firstLine="0" w:firstLineChars="0"/>
        <w:jc w:val="center"/>
        <w:rPr>
          <w:rFonts w:ascii="宋体" w:hAnsi="宋体"/>
          <w:sz w:val="32"/>
          <w:szCs w:val="32"/>
        </w:rPr>
      </w:pPr>
      <w:r>
        <w:rPr>
          <w:rFonts w:hint="eastAsia" w:ascii="宋体" w:hAnsi="宋体"/>
          <w:sz w:val="32"/>
          <w:szCs w:val="32"/>
        </w:rPr>
        <w:t xml:space="preserve"> 二〇二一年六月</w:t>
      </w:r>
    </w:p>
    <w:p>
      <w:pPr>
        <w:pStyle w:val="2"/>
        <w:ind w:firstLine="492"/>
      </w:pPr>
    </w:p>
    <w:p>
      <w:pPr>
        <w:pStyle w:val="2"/>
        <w:ind w:firstLine="492"/>
      </w:pPr>
    </w:p>
    <w:p>
      <w:pPr>
        <w:pStyle w:val="2"/>
        <w:ind w:firstLine="492"/>
      </w:pPr>
    </w:p>
    <w:p>
      <w:pPr>
        <w:ind w:firstLine="735"/>
        <w:jc w:val="center"/>
        <w:rPr>
          <w:rFonts w:ascii="宋体" w:hAnsi="宋体"/>
          <w:b/>
          <w:sz w:val="36"/>
        </w:rPr>
      </w:pPr>
      <w:bookmarkStart w:id="0" w:name="_Toc101328520"/>
      <w:bookmarkStart w:id="1" w:name="_Toc101247312"/>
      <w:bookmarkStart w:id="2" w:name="_Toc148505181"/>
      <w:bookmarkStart w:id="3" w:name="_Toc101234248"/>
    </w:p>
    <w:p>
      <w:pPr>
        <w:pStyle w:val="4"/>
        <w:numPr>
          <w:ilvl w:val="1"/>
          <w:numId w:val="0"/>
        </w:numPr>
        <w:tabs>
          <w:tab w:val="left" w:pos="567"/>
        </w:tabs>
        <w:jc w:val="center"/>
        <w:rPr>
          <w:rFonts w:cs="宋体"/>
          <w:bCs w:val="0"/>
          <w:sz w:val="36"/>
          <w:szCs w:val="36"/>
        </w:rPr>
      </w:pPr>
      <w:bookmarkStart w:id="4" w:name="_Toc16412"/>
      <w:bookmarkStart w:id="5" w:name="_Toc30593"/>
      <w:bookmarkStart w:id="6" w:name="_Toc11173"/>
      <w:r>
        <w:rPr>
          <w:rFonts w:hint="eastAsia" w:cs="宋体"/>
          <w:bCs w:val="0"/>
          <w:sz w:val="36"/>
          <w:szCs w:val="36"/>
        </w:rPr>
        <w:t>“政采贷”业务介绍</w:t>
      </w:r>
      <w:bookmarkEnd w:id="4"/>
      <w:bookmarkEnd w:id="5"/>
      <w:bookmarkEnd w:id="6"/>
    </w:p>
    <w:p>
      <w:pPr>
        <w:pStyle w:val="4"/>
        <w:numPr>
          <w:ilvl w:val="1"/>
          <w:numId w:val="0"/>
        </w:numPr>
        <w:tabs>
          <w:tab w:val="left" w:pos="567"/>
        </w:tabs>
        <w:ind w:firstLine="490" w:firstLineChars="200"/>
        <w:rPr>
          <w:rFonts w:cs="宋体"/>
          <w:b w:val="0"/>
          <w:bCs w:val="0"/>
          <w:sz w:val="24"/>
          <w:szCs w:val="24"/>
        </w:rPr>
      </w:pPr>
      <w:bookmarkStart w:id="7" w:name="_Toc7531"/>
      <w:bookmarkStart w:id="8" w:name="_Toc29579"/>
      <w:bookmarkStart w:id="9" w:name="_Toc25114"/>
      <w:r>
        <w:rPr>
          <w:rFonts w:hint="eastAsia" w:cs="宋体"/>
          <w:b w:val="0"/>
          <w:bCs w:val="0"/>
          <w:sz w:val="24"/>
          <w:szCs w:val="24"/>
        </w:rPr>
        <w:t>为助力解决政府采购中标、成交供应商资金不足、融资难、融资贵的困难，促进供应商依法诚信参加政府采购活动、营造良好的营商环境，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bookmarkEnd w:id="7"/>
      <w:bookmarkEnd w:id="8"/>
      <w:bookmarkEnd w:id="9"/>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vAlign w:val="center"/>
          </w:tcPr>
          <w:p>
            <w:pPr>
              <w:ind w:firstLine="492"/>
              <w:jc w:val="center"/>
              <w:rPr>
                <w:rFonts w:ascii="宋体" w:hAnsi="宋体" w:cs="宋体"/>
                <w:bCs/>
                <w:szCs w:val="24"/>
                <w:lang w:val="zh-CN"/>
              </w:rPr>
            </w:pPr>
            <w:r>
              <w:rPr>
                <w:rFonts w:hint="eastAsia" w:ascii="宋体" w:hAnsi="宋体" w:cs="宋体"/>
                <w:bCs/>
                <w:szCs w:val="24"/>
                <w:lang w:val="zh-CN"/>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中国建设银行四川省分行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中国工商银行四川省分行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中国农业银行四川省分行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中国银行四川省分行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交通银行四川省分行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中国邮储银行四川省分行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华夏银行成都分行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民生银行成都分行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四川天府银行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兴业银行成都分行</w:t>
            </w:r>
          </w:p>
        </w:tc>
        <w:tc>
          <w:tcPr>
            <w:tcW w:w="5318" w:type="dxa"/>
            <w:vAlign w:val="center"/>
          </w:tcPr>
          <w:p>
            <w:pPr>
              <w:ind w:firstLine="0" w:firstLineChars="0"/>
              <w:jc w:val="center"/>
              <w:rPr>
                <w:rFonts w:ascii="宋体" w:hAnsi="宋体" w:cs="宋体"/>
                <w:bCs/>
                <w:szCs w:val="24"/>
                <w:lang w:val="zh-CN"/>
              </w:rPr>
            </w:pPr>
            <w:r>
              <w:rPr>
                <w:rFonts w:hint="eastAsia" w:ascii="宋体" w:hAnsi="宋体" w:cs="宋体"/>
                <w:bCs/>
                <w:szCs w:val="24"/>
                <w:lang w:val="zh-CN"/>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成都银行</w:t>
            </w:r>
          </w:p>
        </w:tc>
        <w:tc>
          <w:tcPr>
            <w:tcW w:w="5318" w:type="dxa"/>
            <w:vAlign w:val="center"/>
          </w:tcPr>
          <w:p>
            <w:pPr>
              <w:ind w:firstLine="0" w:firstLineChars="0"/>
              <w:jc w:val="center"/>
              <w:rPr>
                <w:rFonts w:ascii="宋体" w:hAnsi="宋体" w:cs="宋体"/>
                <w:bCs/>
                <w:szCs w:val="24"/>
                <w:lang w:val="zh-CN"/>
              </w:rPr>
            </w:pPr>
            <w:r>
              <w:rPr>
                <w:rFonts w:hint="eastAsia" w:ascii="宋体" w:hAnsi="宋体" w:cs="宋体"/>
                <w:bCs/>
                <w:szCs w:val="24"/>
                <w:lang w:val="zh-CN"/>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成都农村商业银行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ind w:firstLine="492"/>
              <w:jc w:val="both"/>
              <w:rPr>
                <w:rFonts w:ascii="宋体" w:hAnsi="宋体" w:cs="宋体"/>
                <w:bCs/>
                <w:szCs w:val="24"/>
                <w:lang w:val="zh-CN"/>
              </w:rPr>
            </w:pPr>
            <w:r>
              <w:rPr>
                <w:rFonts w:hint="eastAsia" w:ascii="宋体" w:hAnsi="宋体" w:cs="宋体"/>
                <w:bCs/>
                <w:szCs w:val="24"/>
                <w:lang w:val="zh-CN"/>
              </w:rPr>
              <w:t>上海银行成都分行</w:t>
            </w:r>
          </w:p>
        </w:tc>
        <w:tc>
          <w:tcPr>
            <w:tcW w:w="5318" w:type="dxa"/>
            <w:vAlign w:val="center"/>
          </w:tcPr>
          <w:p>
            <w:pPr>
              <w:ind w:firstLine="492"/>
              <w:jc w:val="center"/>
              <w:rPr>
                <w:rFonts w:ascii="宋体" w:hAnsi="宋体" w:cs="宋体"/>
                <w:bCs/>
                <w:szCs w:val="24"/>
                <w:lang w:val="zh-CN"/>
              </w:rPr>
            </w:pPr>
            <w:r>
              <w:rPr>
                <w:rFonts w:hint="eastAsia" w:ascii="宋体" w:hAnsi="宋体" w:cs="宋体"/>
                <w:bCs/>
                <w:szCs w:val="24"/>
                <w:lang w:val="zh-CN"/>
              </w:rPr>
              <w:t>宜宾市商业银行股份有限公司</w:t>
            </w:r>
          </w:p>
        </w:tc>
      </w:tr>
    </w:tbl>
    <w:p>
      <w:pPr>
        <w:ind w:firstLine="0" w:firstLineChars="0"/>
        <w:rPr>
          <w:rFonts w:ascii="宋体" w:hAnsi="宋体" w:cs="宋体"/>
          <w:bCs/>
          <w:szCs w:val="24"/>
          <w:lang w:val="zh-CN"/>
        </w:rPr>
      </w:pPr>
    </w:p>
    <w:p>
      <w:pPr>
        <w:pStyle w:val="2"/>
        <w:ind w:firstLine="492"/>
        <w:rPr>
          <w:rFonts w:ascii="宋体" w:hAnsi="宋体" w:cs="宋体"/>
          <w:bCs/>
          <w:szCs w:val="24"/>
          <w:lang w:val="zh-CN"/>
        </w:rPr>
      </w:pPr>
    </w:p>
    <w:p>
      <w:pPr>
        <w:ind w:firstLine="492"/>
        <w:rPr>
          <w:rFonts w:ascii="宋体" w:hAnsi="宋体" w:cs="宋体"/>
          <w:bCs/>
          <w:szCs w:val="24"/>
          <w:lang w:val="zh-CN"/>
        </w:rPr>
      </w:pPr>
    </w:p>
    <w:p>
      <w:pPr>
        <w:pStyle w:val="2"/>
        <w:ind w:firstLine="492"/>
        <w:rPr>
          <w:rFonts w:ascii="宋体" w:hAnsi="宋体" w:cs="宋体"/>
          <w:bCs/>
          <w:szCs w:val="24"/>
          <w:lang w:val="zh-CN"/>
        </w:rPr>
      </w:pPr>
    </w:p>
    <w:p>
      <w:pPr>
        <w:ind w:firstLine="492"/>
        <w:rPr>
          <w:rFonts w:ascii="宋体" w:hAnsi="宋体" w:cs="宋体"/>
          <w:bCs/>
          <w:szCs w:val="24"/>
          <w:lang w:val="zh-CN"/>
        </w:rPr>
      </w:pPr>
    </w:p>
    <w:p>
      <w:pPr>
        <w:pStyle w:val="2"/>
        <w:ind w:firstLine="492"/>
        <w:rPr>
          <w:rFonts w:ascii="宋体" w:hAnsi="宋体" w:cs="宋体"/>
          <w:bCs/>
          <w:szCs w:val="24"/>
          <w:lang w:val="zh-CN"/>
        </w:rPr>
      </w:pPr>
    </w:p>
    <w:p>
      <w:pPr>
        <w:ind w:firstLine="492"/>
        <w:rPr>
          <w:rFonts w:ascii="宋体" w:hAnsi="宋体" w:cs="宋体"/>
          <w:bCs/>
          <w:szCs w:val="24"/>
          <w:lang w:val="zh-CN"/>
        </w:rPr>
      </w:pPr>
    </w:p>
    <w:p>
      <w:pPr>
        <w:pStyle w:val="4"/>
        <w:numPr>
          <w:ilvl w:val="1"/>
          <w:numId w:val="0"/>
        </w:numPr>
        <w:tabs>
          <w:tab w:val="left" w:pos="567"/>
        </w:tabs>
        <w:ind w:firstLine="2925" w:firstLineChars="900"/>
        <w:jc w:val="both"/>
        <w:rPr>
          <w:rFonts w:cs="宋体"/>
          <w:bCs w:val="0"/>
          <w:sz w:val="32"/>
          <w:szCs w:val="32"/>
        </w:rPr>
      </w:pPr>
      <w:bookmarkStart w:id="10" w:name="_Toc5765"/>
      <w:bookmarkStart w:id="11" w:name="_Toc27379"/>
      <w:bookmarkStart w:id="12" w:name="_Toc27467"/>
      <w:r>
        <w:rPr>
          <w:rFonts w:hint="eastAsia" w:cs="宋体"/>
          <w:bCs w:val="0"/>
          <w:sz w:val="32"/>
          <w:szCs w:val="32"/>
        </w:rPr>
        <w:t>“蓉采贷”业务介绍</w:t>
      </w:r>
      <w:bookmarkEnd w:id="10"/>
      <w:bookmarkEnd w:id="11"/>
      <w:bookmarkEnd w:id="12"/>
    </w:p>
    <w:p>
      <w:pPr>
        <w:snapToGrid w:val="0"/>
        <w:ind w:firstLine="492"/>
        <w:rPr>
          <w:rFonts w:ascii="宋体" w:hAnsi="宋体" w:cs="宋体"/>
          <w:bCs/>
          <w:szCs w:val="24"/>
        </w:rPr>
      </w:pPr>
      <w:r>
        <w:rPr>
          <w:rFonts w:hint="eastAsia" w:ascii="宋体" w:hAnsi="宋体" w:cs="宋体"/>
          <w:bCs/>
          <w:szCs w:val="24"/>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tcPr>
          <w:p>
            <w:pPr>
              <w:snapToGrid w:val="0"/>
              <w:ind w:firstLine="492"/>
              <w:jc w:val="center"/>
              <w:rPr>
                <w:rFonts w:ascii="宋体" w:hAnsi="宋体" w:cs="宋体"/>
                <w:bCs/>
                <w:szCs w:val="24"/>
              </w:rPr>
            </w:pPr>
            <w:r>
              <w:rPr>
                <w:rFonts w:hint="eastAsia" w:ascii="宋体" w:hAnsi="宋体" w:cs="宋体"/>
                <w:bCs/>
                <w:szCs w:val="24"/>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snapToGrid w:val="0"/>
              <w:ind w:firstLine="0" w:firstLineChars="0"/>
              <w:jc w:val="center"/>
              <w:rPr>
                <w:rFonts w:ascii="宋体" w:hAnsi="宋体" w:cs="宋体"/>
                <w:bCs/>
                <w:szCs w:val="24"/>
              </w:rPr>
            </w:pPr>
            <w:r>
              <w:rPr>
                <w:rFonts w:hint="eastAsia" w:ascii="宋体" w:hAnsi="宋体" w:cs="宋体"/>
                <w:bCs/>
                <w:szCs w:val="24"/>
              </w:rPr>
              <w:t>银行名称</w:t>
            </w:r>
          </w:p>
        </w:tc>
        <w:tc>
          <w:tcPr>
            <w:tcW w:w="2808" w:type="dxa"/>
            <w:vAlign w:val="center"/>
          </w:tcPr>
          <w:p>
            <w:pPr>
              <w:snapToGrid w:val="0"/>
              <w:ind w:firstLine="0" w:firstLineChars="0"/>
              <w:jc w:val="center"/>
              <w:rPr>
                <w:rFonts w:ascii="宋体" w:hAnsi="宋体" w:cs="宋体"/>
                <w:bCs/>
                <w:szCs w:val="24"/>
              </w:rPr>
            </w:pPr>
            <w:r>
              <w:rPr>
                <w:rFonts w:hint="eastAsia" w:ascii="宋体" w:hAnsi="宋体" w:cs="宋体"/>
                <w:bCs/>
                <w:szCs w:val="24"/>
              </w:rPr>
              <w:t>联系部门</w:t>
            </w:r>
          </w:p>
        </w:tc>
        <w:tc>
          <w:tcPr>
            <w:tcW w:w="2226" w:type="dxa"/>
            <w:vAlign w:val="center"/>
          </w:tcPr>
          <w:p>
            <w:pPr>
              <w:snapToGrid w:val="0"/>
              <w:ind w:firstLine="0" w:firstLineChars="0"/>
              <w:jc w:val="center"/>
              <w:rPr>
                <w:rFonts w:ascii="宋体" w:hAnsi="宋体" w:cs="宋体"/>
                <w:bCs/>
                <w:szCs w:val="24"/>
              </w:rPr>
            </w:pPr>
            <w:r>
              <w:rPr>
                <w:rFonts w:hint="eastAsia" w:ascii="宋体" w:hAnsi="宋体" w:cs="宋体"/>
                <w:bCs/>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vAlign w:val="center"/>
          </w:tcPr>
          <w:p>
            <w:pPr>
              <w:snapToGrid w:val="0"/>
              <w:ind w:firstLine="0" w:firstLineChars="0"/>
              <w:jc w:val="both"/>
              <w:rPr>
                <w:rFonts w:ascii="宋体" w:hAnsi="宋体" w:cs="宋体"/>
                <w:bCs/>
                <w:szCs w:val="24"/>
              </w:rPr>
            </w:pPr>
            <w:r>
              <w:rPr>
                <w:rFonts w:hint="eastAsia" w:ascii="宋体" w:hAnsi="宋体" w:cs="宋体"/>
                <w:bCs/>
                <w:szCs w:val="24"/>
              </w:rPr>
              <w:t>成都银行</w:t>
            </w:r>
          </w:p>
        </w:tc>
        <w:tc>
          <w:tcPr>
            <w:tcW w:w="2808" w:type="dxa"/>
            <w:vAlign w:val="center"/>
          </w:tcPr>
          <w:p>
            <w:pPr>
              <w:snapToGrid w:val="0"/>
              <w:ind w:firstLine="0" w:firstLineChars="0"/>
              <w:jc w:val="center"/>
              <w:rPr>
                <w:rFonts w:ascii="宋体" w:hAnsi="宋体" w:cs="宋体"/>
                <w:bCs/>
                <w:szCs w:val="24"/>
              </w:rPr>
            </w:pPr>
            <w:r>
              <w:rPr>
                <w:rFonts w:hint="eastAsia" w:ascii="宋体" w:hAnsi="宋体" w:cs="宋体"/>
                <w:bCs/>
                <w:szCs w:val="24"/>
              </w:rPr>
              <w:t>中小企业部</w:t>
            </w:r>
          </w:p>
        </w:tc>
        <w:tc>
          <w:tcPr>
            <w:tcW w:w="2226" w:type="dxa"/>
            <w:vAlign w:val="center"/>
          </w:tcPr>
          <w:p>
            <w:pPr>
              <w:snapToGrid w:val="0"/>
              <w:ind w:firstLine="0" w:firstLineChars="0"/>
              <w:jc w:val="both"/>
              <w:rPr>
                <w:rFonts w:ascii="宋体" w:hAnsi="宋体" w:cs="宋体"/>
                <w:bCs/>
                <w:szCs w:val="24"/>
              </w:rPr>
            </w:pPr>
            <w:r>
              <w:rPr>
                <w:rFonts w:hint="eastAsia" w:ascii="宋体" w:hAnsi="宋体" w:cs="宋体"/>
                <w:bCs/>
                <w:szCs w:val="24"/>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中国建设银行成都第六支行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小企业部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交通银行四川省分行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普惠金融事业部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中国农业银行成都天府新区分行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公司业务部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四川天府银行成都分行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普惠金融事业部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浦发银行成都分行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普惠金融部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上海银行成都分行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公司业务部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成都农村商业银行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公司金融部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中国民生银行成都分行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公司业务部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中国工商银行成都分行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中国邮政储蓄银行成都分行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小企业金融部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中国银行四川省分行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普惠金融事业部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招商银行成都分行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小企业金融部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广发银行成都分行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东大街支部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重庆银行成都分行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小微企业银行部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napToGrid w:val="0"/>
              <w:ind w:firstLine="0" w:firstLineChars="0"/>
              <w:jc w:val="both"/>
              <w:rPr>
                <w:rFonts w:ascii="宋体" w:hAnsi="宋体" w:cs="宋体"/>
                <w:bCs/>
                <w:szCs w:val="24"/>
              </w:rPr>
            </w:pPr>
            <w:r>
              <w:rPr>
                <w:rFonts w:hint="eastAsia" w:ascii="宋体" w:hAnsi="宋体" w:cs="宋体"/>
                <w:bCs/>
                <w:szCs w:val="24"/>
              </w:rPr>
              <w:t>渤海银行成都分行</w:t>
            </w:r>
          </w:p>
        </w:tc>
        <w:tc>
          <w:tcPr>
            <w:tcW w:w="2808" w:type="dxa"/>
          </w:tcPr>
          <w:p>
            <w:pPr>
              <w:snapToGrid w:val="0"/>
              <w:ind w:firstLine="0" w:firstLineChars="0"/>
              <w:jc w:val="center"/>
              <w:rPr>
                <w:rFonts w:ascii="宋体" w:hAnsi="宋体" w:cs="宋体"/>
                <w:bCs/>
                <w:szCs w:val="24"/>
              </w:rPr>
            </w:pPr>
            <w:r>
              <w:rPr>
                <w:rFonts w:hint="eastAsia" w:ascii="宋体" w:hAnsi="宋体" w:cs="宋体"/>
                <w:bCs/>
                <w:szCs w:val="24"/>
              </w:rPr>
              <w:t>普惠金融事业部</w:t>
            </w:r>
          </w:p>
        </w:tc>
        <w:tc>
          <w:tcPr>
            <w:tcW w:w="2226" w:type="dxa"/>
          </w:tcPr>
          <w:p>
            <w:pPr>
              <w:snapToGrid w:val="0"/>
              <w:ind w:firstLine="0" w:firstLineChars="0"/>
              <w:jc w:val="both"/>
              <w:rPr>
                <w:rFonts w:ascii="宋体" w:hAnsi="宋体" w:cs="宋体"/>
                <w:bCs/>
                <w:szCs w:val="24"/>
              </w:rPr>
            </w:pPr>
            <w:r>
              <w:rPr>
                <w:rFonts w:hint="eastAsia" w:ascii="宋体" w:hAnsi="宋体" w:cs="宋体"/>
                <w:bCs/>
                <w:szCs w:val="24"/>
              </w:rPr>
              <w:t>028-86772083</w:t>
            </w:r>
          </w:p>
        </w:tc>
      </w:tr>
    </w:tbl>
    <w:p>
      <w:pPr>
        <w:pStyle w:val="2"/>
        <w:ind w:firstLine="492"/>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0" w:num="1"/>
          <w:docGrid w:type="linesAndChars" w:linePitch="312" w:charSpace="1228"/>
        </w:sectPr>
      </w:pPr>
    </w:p>
    <w:p>
      <w:pPr>
        <w:ind w:firstLine="735"/>
        <w:jc w:val="center"/>
        <w:rPr>
          <w:rFonts w:ascii="宋体" w:hAnsi="宋体"/>
          <w:b/>
          <w:sz w:val="36"/>
        </w:rPr>
      </w:pPr>
      <w:r>
        <w:rPr>
          <w:rFonts w:hint="eastAsia" w:ascii="宋体" w:hAnsi="宋体"/>
          <w:b/>
          <w:sz w:val="36"/>
        </w:rPr>
        <w:tab/>
      </w:r>
      <w:r>
        <w:rPr>
          <w:rFonts w:hint="eastAsia" w:ascii="宋体" w:hAnsi="宋体"/>
          <w:b/>
          <w:sz w:val="32"/>
          <w:szCs w:val="32"/>
        </w:rPr>
        <w:t>目 录</w:t>
      </w:r>
    </w:p>
    <w:p>
      <w:pPr>
        <w:pStyle w:val="36"/>
        <w:tabs>
          <w:tab w:val="right" w:leader="dot" w:pos="9072"/>
          <w:tab w:val="clear" w:pos="620"/>
          <w:tab w:val="clear" w:pos="8364"/>
        </w:tabs>
        <w:ind w:firstLine="432"/>
      </w:pPr>
      <w:r>
        <w:rPr>
          <w:rFonts w:hint="eastAsia" w:ascii="宋体" w:hAnsi="宋体" w:eastAsia="宋体"/>
        </w:rPr>
        <w:fldChar w:fldCharType="begin"/>
      </w:r>
      <w:r>
        <w:rPr>
          <w:rFonts w:hint="eastAsia" w:ascii="宋体" w:hAnsi="宋体" w:eastAsia="宋体"/>
        </w:rPr>
        <w:instrText xml:space="preserve">TOC \o "1-2" \h \u </w:instrText>
      </w:r>
      <w:r>
        <w:rPr>
          <w:rFonts w:hint="eastAsia" w:ascii="宋体" w:hAnsi="宋体" w:eastAsia="宋体"/>
        </w:rPr>
        <w:fldChar w:fldCharType="separate"/>
      </w:r>
    </w:p>
    <w:p>
      <w:pPr>
        <w:pStyle w:val="30"/>
        <w:tabs>
          <w:tab w:val="right" w:leader="dot" w:pos="9072"/>
          <w:tab w:val="clear" w:pos="709"/>
          <w:tab w:val="clear" w:pos="8364"/>
        </w:tabs>
        <w:ind w:firstLine="432"/>
      </w:pPr>
      <w:r>
        <w:fldChar w:fldCharType="begin"/>
      </w:r>
      <w:r>
        <w:instrText xml:space="preserve"> HYPERLINK \l "_Toc2078" </w:instrText>
      </w:r>
      <w:r>
        <w:fldChar w:fldCharType="separate"/>
      </w:r>
      <w:r>
        <w:rPr>
          <w:rFonts w:ascii="Times New Roman" w:hAnsi="Times New Roman" w:eastAsia="宋体"/>
          <w:szCs w:val="32"/>
        </w:rPr>
        <w:t xml:space="preserve">第1章 </w:t>
      </w:r>
      <w:r>
        <w:rPr>
          <w:rFonts w:hint="eastAsia"/>
        </w:rPr>
        <w:t>投标邀请</w:t>
      </w:r>
      <w:r>
        <w:tab/>
      </w:r>
      <w:r>
        <w:fldChar w:fldCharType="begin"/>
      </w:r>
      <w:r>
        <w:instrText xml:space="preserve"> PAGEREF _Toc2078 \h </w:instrText>
      </w:r>
      <w:r>
        <w:fldChar w:fldCharType="separate"/>
      </w:r>
      <w:r>
        <w:t>5</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"_Toc15593" </w:instrText>
      </w:r>
      <w:r>
        <w:fldChar w:fldCharType="separate"/>
      </w:r>
      <w:r>
        <w:rPr>
          <w:rFonts w:ascii="Times New Roman" w:hAnsi="Times New Roman" w:eastAsia="宋体"/>
          <w:szCs w:val="32"/>
        </w:rPr>
        <w:t xml:space="preserve">第2章 </w:t>
      </w:r>
      <w:r>
        <w:rPr>
          <w:rFonts w:hint="eastAsia"/>
        </w:rPr>
        <w:t>投标人须知</w:t>
      </w:r>
      <w:r>
        <w:tab/>
      </w:r>
      <w:r>
        <w:fldChar w:fldCharType="begin"/>
      </w:r>
      <w:r>
        <w:instrText xml:space="preserve"> PAGEREF _Toc15593 \h </w:instrText>
      </w:r>
      <w:r>
        <w:fldChar w:fldCharType="separate"/>
      </w:r>
      <w:r>
        <w:t>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"_Toc8015" </w:instrText>
      </w:r>
      <w:r>
        <w:fldChar w:fldCharType="separate"/>
      </w:r>
      <w:r>
        <w:rPr>
          <w:rFonts w:ascii="Times New Roman" w:hAnsi="Times New Roman" w:eastAsia="宋体"/>
          <w:szCs w:val="28"/>
        </w:rPr>
        <w:t xml:space="preserve">2.1 </w:t>
      </w:r>
      <w:r>
        <w:rPr>
          <w:rFonts w:hint="eastAsia"/>
        </w:rPr>
        <w:t>投标人须知附表</w:t>
      </w:r>
      <w:r>
        <w:tab/>
      </w:r>
      <w:r>
        <w:fldChar w:fldCharType="begin"/>
      </w:r>
      <w:r>
        <w:instrText xml:space="preserve"> PAGEREF _Toc8015 \h </w:instrText>
      </w:r>
      <w:r>
        <w:fldChar w:fldCharType="separate"/>
      </w:r>
      <w:r>
        <w:t>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"_Toc17594" </w:instrText>
      </w:r>
      <w:r>
        <w:fldChar w:fldCharType="separate"/>
      </w:r>
      <w:r>
        <w:rPr>
          <w:rFonts w:ascii="Times New Roman" w:hAnsi="Times New Roman" w:eastAsia="宋体"/>
          <w:szCs w:val="28"/>
        </w:rPr>
        <w:t xml:space="preserve">2.2 </w:t>
      </w:r>
      <w:r>
        <w:rPr>
          <w:rFonts w:hint="eastAsia"/>
        </w:rPr>
        <w:t>总则</w:t>
      </w:r>
      <w:r>
        <w:tab/>
      </w:r>
      <w:r>
        <w:fldChar w:fldCharType="begin"/>
      </w:r>
      <w:r>
        <w:instrText xml:space="preserve"> PAGEREF _Toc17594 \h </w:instrText>
      </w:r>
      <w:r>
        <w:fldChar w:fldCharType="separate"/>
      </w:r>
      <w:r>
        <w:t>11</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"_Toc16856" </w:instrText>
      </w:r>
      <w:r>
        <w:fldChar w:fldCharType="separate"/>
      </w:r>
      <w:r>
        <w:rPr>
          <w:rFonts w:ascii="Times New Roman" w:hAnsi="Times New Roman" w:eastAsia="宋体"/>
          <w:szCs w:val="28"/>
        </w:rPr>
        <w:t xml:space="preserve">2.3 </w:t>
      </w:r>
      <w:r>
        <w:rPr>
          <w:rFonts w:hint="eastAsia"/>
        </w:rPr>
        <w:t>招标文件</w:t>
      </w:r>
      <w:r>
        <w:tab/>
      </w:r>
      <w:r>
        <w:fldChar w:fldCharType="begin"/>
      </w:r>
      <w:r>
        <w:instrText xml:space="preserve"> PAGEREF _Toc16856 \h </w:instrText>
      </w:r>
      <w:r>
        <w:fldChar w:fldCharType="separate"/>
      </w:r>
      <w:r>
        <w:t>13</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"_Toc18639" </w:instrText>
      </w:r>
      <w:r>
        <w:fldChar w:fldCharType="separate"/>
      </w:r>
      <w:r>
        <w:rPr>
          <w:rFonts w:ascii="Times New Roman" w:hAnsi="Times New Roman" w:eastAsia="宋体"/>
          <w:szCs w:val="28"/>
        </w:rPr>
        <w:t xml:space="preserve">2.4 </w:t>
      </w:r>
      <w:r>
        <w:rPr>
          <w:rFonts w:hint="eastAsia"/>
        </w:rPr>
        <w:t>投标文件</w:t>
      </w:r>
      <w:r>
        <w:tab/>
      </w:r>
      <w:r>
        <w:fldChar w:fldCharType="begin"/>
      </w:r>
      <w:r>
        <w:instrText xml:space="preserve"> PAGEREF _Toc18639 \h </w:instrText>
      </w:r>
      <w:r>
        <w:fldChar w:fldCharType="separate"/>
      </w:r>
      <w:r>
        <w:t>14</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"_Toc9632" </w:instrText>
      </w:r>
      <w:r>
        <w:fldChar w:fldCharType="separate"/>
      </w:r>
      <w:r>
        <w:rPr>
          <w:rFonts w:ascii="Times New Roman" w:hAnsi="Times New Roman" w:eastAsia="宋体"/>
          <w:szCs w:val="28"/>
        </w:rPr>
        <w:t xml:space="preserve">2.5 </w:t>
      </w:r>
      <w:r>
        <w:rPr>
          <w:rFonts w:hint="eastAsia"/>
        </w:rPr>
        <w:t>开标、评标和中标</w:t>
      </w:r>
      <w:r>
        <w:tab/>
      </w:r>
      <w:r>
        <w:fldChar w:fldCharType="begin"/>
      </w:r>
      <w:r>
        <w:instrText xml:space="preserve"> PAGEREF _Toc9632 \h </w:instrText>
      </w:r>
      <w:r>
        <w:fldChar w:fldCharType="separate"/>
      </w:r>
      <w:r>
        <w:t>20</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"_Toc13309" </w:instrText>
      </w:r>
      <w:r>
        <w:fldChar w:fldCharType="separate"/>
      </w:r>
      <w:r>
        <w:rPr>
          <w:rFonts w:ascii="Times New Roman" w:hAnsi="Times New Roman" w:eastAsia="宋体"/>
          <w:szCs w:val="28"/>
        </w:rPr>
        <w:t xml:space="preserve">2.6 </w:t>
      </w:r>
      <w:r>
        <w:rPr>
          <w:rFonts w:hint="eastAsia"/>
        </w:rPr>
        <w:t>签订及履行合同和验收</w:t>
      </w:r>
      <w:r>
        <w:tab/>
      </w:r>
      <w:r>
        <w:fldChar w:fldCharType="begin"/>
      </w:r>
      <w:r>
        <w:instrText xml:space="preserve"> PAGEREF _Toc13309 \h </w:instrText>
      </w:r>
      <w:r>
        <w:fldChar w:fldCharType="separate"/>
      </w:r>
      <w:r>
        <w:t>21</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"_Toc27816" </w:instrText>
      </w:r>
      <w:r>
        <w:fldChar w:fldCharType="separate"/>
      </w:r>
      <w:r>
        <w:rPr>
          <w:rFonts w:ascii="Times New Roman" w:hAnsi="Times New Roman" w:eastAsia="宋体"/>
          <w:szCs w:val="28"/>
        </w:rPr>
        <w:t xml:space="preserve">2.7 </w:t>
      </w:r>
      <w:r>
        <w:rPr>
          <w:rFonts w:hint="eastAsia"/>
        </w:rPr>
        <w:t>投标纪律要求</w:t>
      </w:r>
      <w:r>
        <w:tab/>
      </w:r>
      <w:r>
        <w:fldChar w:fldCharType="begin"/>
      </w:r>
      <w:r>
        <w:instrText xml:space="preserve"> PAGEREF _Toc27816 \h </w:instrText>
      </w:r>
      <w:r>
        <w:fldChar w:fldCharType="separate"/>
      </w:r>
      <w:r>
        <w:t>23</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"_Toc24780" </w:instrText>
      </w:r>
      <w:r>
        <w:fldChar w:fldCharType="separate"/>
      </w:r>
      <w:r>
        <w:rPr>
          <w:rFonts w:ascii="Times New Roman" w:hAnsi="Times New Roman" w:eastAsia="宋体"/>
          <w:szCs w:val="28"/>
        </w:rPr>
        <w:t xml:space="preserve">2.8 </w:t>
      </w:r>
      <w:r>
        <w:rPr>
          <w:rFonts w:hint="eastAsia"/>
        </w:rPr>
        <w:t>资金支付</w:t>
      </w:r>
      <w:r>
        <w:tab/>
      </w:r>
      <w:r>
        <w:fldChar w:fldCharType="begin"/>
      </w:r>
      <w:r>
        <w:instrText xml:space="preserve"> PAGEREF _Toc24780 \h </w:instrText>
      </w:r>
      <w:r>
        <w:fldChar w:fldCharType="separate"/>
      </w:r>
      <w:r>
        <w:t>24</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"_Toc3489" </w:instrText>
      </w:r>
      <w:r>
        <w:fldChar w:fldCharType="separate"/>
      </w:r>
      <w:r>
        <w:rPr>
          <w:rFonts w:ascii="Times New Roman" w:hAnsi="Times New Roman" w:eastAsia="宋体"/>
          <w:szCs w:val="28"/>
        </w:rPr>
        <w:t xml:space="preserve">2.9 </w:t>
      </w:r>
      <w:r>
        <w:rPr>
          <w:rFonts w:hint="eastAsia"/>
        </w:rPr>
        <w:t>询问、质疑和投诉</w:t>
      </w:r>
      <w:r>
        <w:tab/>
      </w:r>
      <w:r>
        <w:fldChar w:fldCharType="begin"/>
      </w:r>
      <w:r>
        <w:instrText xml:space="preserve"> PAGEREF _Toc3489 \h </w:instrText>
      </w:r>
      <w:r>
        <w:fldChar w:fldCharType="separate"/>
      </w:r>
      <w:r>
        <w:t>24</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"_Toc82" </w:instrText>
      </w:r>
      <w:r>
        <w:fldChar w:fldCharType="separate"/>
      </w:r>
      <w:r>
        <w:rPr>
          <w:rFonts w:ascii="Times New Roman" w:hAnsi="Times New Roman" w:eastAsia="宋体"/>
          <w:szCs w:val="28"/>
        </w:rPr>
        <w:t xml:space="preserve">2.10 </w:t>
      </w:r>
      <w:r>
        <w:rPr>
          <w:rFonts w:hint="eastAsia"/>
        </w:rPr>
        <w:t>其他</w:t>
      </w:r>
      <w:r>
        <w:tab/>
      </w:r>
      <w:r>
        <w:fldChar w:fldCharType="begin"/>
      </w:r>
      <w:r>
        <w:instrText xml:space="preserve"> PAGEREF _Toc82 \h </w:instrText>
      </w:r>
      <w:r>
        <w:fldChar w:fldCharType="separate"/>
      </w:r>
      <w:r>
        <w:t>25</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"_Toc15843" </w:instrText>
      </w:r>
      <w:r>
        <w:fldChar w:fldCharType="separate"/>
      </w:r>
      <w:r>
        <w:rPr>
          <w:rFonts w:ascii="Times New Roman" w:hAnsi="Times New Roman" w:eastAsia="宋体"/>
          <w:szCs w:val="32"/>
        </w:rPr>
        <w:t xml:space="preserve">第3章 </w:t>
      </w:r>
      <w:r>
        <w:rPr>
          <w:rFonts w:hint="eastAsia"/>
        </w:rPr>
        <w:t>投标文件格式</w:t>
      </w:r>
      <w:r>
        <w:tab/>
      </w:r>
      <w:r>
        <w:fldChar w:fldCharType="begin"/>
      </w:r>
      <w:r>
        <w:instrText xml:space="preserve"> PAGEREF _Toc15843 \h </w:instrText>
      </w:r>
      <w:r>
        <w:fldChar w:fldCharType="separate"/>
      </w:r>
      <w:r>
        <w:t>26</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"_Toc178" </w:instrText>
      </w:r>
      <w:r>
        <w:fldChar w:fldCharType="separate"/>
      </w:r>
      <w:r>
        <w:rPr>
          <w:rFonts w:ascii="Times New Roman" w:hAnsi="Times New Roman" w:eastAsia="宋体"/>
          <w:szCs w:val="28"/>
        </w:rPr>
        <w:t xml:space="preserve">3.1 </w:t>
      </w:r>
      <w:r>
        <w:rPr>
          <w:rFonts w:hint="eastAsia"/>
        </w:rPr>
        <w:t>资格性响应文件</w:t>
      </w:r>
      <w:r>
        <w:tab/>
      </w:r>
      <w:r>
        <w:fldChar w:fldCharType="begin"/>
      </w:r>
      <w:r>
        <w:instrText xml:space="preserve"> PAGEREF _Toc178 \h </w:instrText>
      </w:r>
      <w:r>
        <w:fldChar w:fldCharType="separate"/>
      </w:r>
      <w:r>
        <w:t>27</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"_Toc20588" </w:instrText>
      </w:r>
      <w:r>
        <w:fldChar w:fldCharType="separate"/>
      </w:r>
      <w:r>
        <w:rPr>
          <w:rFonts w:ascii="Times New Roman" w:hAnsi="Times New Roman" w:eastAsia="宋体"/>
          <w:szCs w:val="28"/>
        </w:rPr>
        <w:t xml:space="preserve">3.2 </w:t>
      </w:r>
      <w:r>
        <w:rPr>
          <w:rFonts w:hint="eastAsia"/>
        </w:rPr>
        <w:t>技术、服务性响应文件</w:t>
      </w:r>
      <w:r>
        <w:tab/>
      </w:r>
      <w:r>
        <w:fldChar w:fldCharType="begin"/>
      </w:r>
      <w:r>
        <w:instrText xml:space="preserve"> PAGEREF _Toc20588 \h </w:instrText>
      </w:r>
      <w:r>
        <w:fldChar w:fldCharType="separate"/>
      </w:r>
      <w:r>
        <w:t>37</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"_Toc22934" </w:instrText>
      </w:r>
      <w:r>
        <w:fldChar w:fldCharType="separate"/>
      </w:r>
      <w:r>
        <w:rPr>
          <w:rFonts w:ascii="Times New Roman" w:hAnsi="Times New Roman" w:eastAsia="宋体"/>
          <w:szCs w:val="32"/>
        </w:rPr>
        <w:t xml:space="preserve">第4章 </w:t>
      </w:r>
      <w:r>
        <w:rPr>
          <w:rFonts w:hint="eastAsia"/>
        </w:rPr>
        <w:t>招标项目技术、商务及其他要求</w:t>
      </w:r>
      <w:r>
        <w:tab/>
      </w:r>
      <w:r>
        <w:fldChar w:fldCharType="begin"/>
      </w:r>
      <w:r>
        <w:instrText xml:space="preserve"> PAGEREF _Toc22934 \h </w:instrText>
      </w:r>
      <w:r>
        <w:fldChar w:fldCharType="separate"/>
      </w:r>
      <w:r>
        <w:t>51</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"_Toc2346" </w:instrText>
      </w:r>
      <w:r>
        <w:fldChar w:fldCharType="separate"/>
      </w:r>
      <w:r>
        <w:rPr>
          <w:rFonts w:ascii="Times New Roman" w:hAnsi="Times New Roman" w:eastAsia="宋体"/>
          <w:szCs w:val="28"/>
        </w:rPr>
        <w:t xml:space="preserve">4.1 </w:t>
      </w:r>
      <w:r>
        <w:rPr>
          <w:rFonts w:hint="eastAsia"/>
          <w:szCs w:val="24"/>
        </w:rPr>
        <w:t>项目概况</w:t>
      </w:r>
      <w:r>
        <w:tab/>
      </w:r>
      <w:r>
        <w:fldChar w:fldCharType="begin"/>
      </w:r>
      <w:r>
        <w:instrText xml:space="preserve"> PAGEREF _Toc2346 \h </w:instrText>
      </w:r>
      <w:r>
        <w:fldChar w:fldCharType="separate"/>
      </w:r>
      <w:r>
        <w:t>51</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"_Toc9623" </w:instrText>
      </w:r>
      <w:r>
        <w:fldChar w:fldCharType="separate"/>
      </w:r>
      <w:r>
        <w:rPr>
          <w:rFonts w:ascii="Times New Roman" w:hAnsi="Times New Roman" w:eastAsia="宋体"/>
          <w:szCs w:val="28"/>
        </w:rPr>
        <w:t xml:space="preserve">4.2 </w:t>
      </w:r>
      <w:r>
        <w:rPr>
          <w:rFonts w:hint="eastAsia"/>
          <w:szCs w:val="24"/>
        </w:rPr>
        <w:t>各包服务内容及服务标准</w:t>
      </w:r>
      <w:r>
        <w:tab/>
      </w:r>
      <w:r>
        <w:fldChar w:fldCharType="begin"/>
      </w:r>
      <w:r>
        <w:instrText xml:space="preserve"> PAGEREF _Toc9623 \h </w:instrText>
      </w:r>
      <w:r>
        <w:fldChar w:fldCharType="separate"/>
      </w:r>
      <w:r>
        <w:t>52</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"_Toc27075" </w:instrText>
      </w:r>
      <w:r>
        <w:fldChar w:fldCharType="separate"/>
      </w:r>
      <w:r>
        <w:rPr>
          <w:rFonts w:ascii="Times New Roman" w:hAnsi="Times New Roman" w:eastAsia="宋体"/>
          <w:szCs w:val="28"/>
        </w:rPr>
        <w:t xml:space="preserve">4.3 </w:t>
      </w:r>
      <w:r>
        <w:rPr>
          <w:rFonts w:hint="eastAsia"/>
          <w:szCs w:val="24"/>
        </w:rPr>
        <w:t>各包服务要求</w:t>
      </w:r>
      <w:r>
        <w:tab/>
      </w:r>
      <w:r>
        <w:fldChar w:fldCharType="begin"/>
      </w:r>
      <w:r>
        <w:instrText xml:space="preserve"> PAGEREF _Toc27075 \h </w:instrText>
      </w:r>
      <w:r>
        <w:fldChar w:fldCharType="separate"/>
      </w:r>
      <w:r>
        <w:t>52</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"_Toc16409" </w:instrText>
      </w:r>
      <w:r>
        <w:fldChar w:fldCharType="separate"/>
      </w:r>
      <w:r>
        <w:rPr>
          <w:rFonts w:ascii="Times New Roman" w:hAnsi="Times New Roman" w:eastAsia="宋体"/>
          <w:szCs w:val="28"/>
        </w:rPr>
        <w:t xml:space="preserve">4.4 </w:t>
      </w:r>
      <w:r>
        <w:rPr>
          <w:rFonts w:hint="eastAsia"/>
          <w:szCs w:val="24"/>
        </w:rPr>
        <w:t>各包商务要求</w:t>
      </w:r>
      <w:r>
        <w:tab/>
      </w:r>
      <w:r>
        <w:fldChar w:fldCharType="begin"/>
      </w:r>
      <w:r>
        <w:instrText xml:space="preserve"> PAGEREF _Toc16409 \h </w:instrText>
      </w:r>
      <w:r>
        <w:fldChar w:fldCharType="separate"/>
      </w:r>
      <w:r>
        <w:t>54</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"_Toc18168" </w:instrText>
      </w:r>
      <w:r>
        <w:fldChar w:fldCharType="separate"/>
      </w:r>
      <w:r>
        <w:rPr>
          <w:rFonts w:ascii="Times New Roman" w:hAnsi="Times New Roman" w:eastAsia="宋体"/>
          <w:szCs w:val="32"/>
        </w:rPr>
        <w:t xml:space="preserve">第5章 </w:t>
      </w:r>
      <w:r>
        <w:rPr>
          <w:rFonts w:hint="eastAsia"/>
        </w:rPr>
        <w:t>资格性审查</w:t>
      </w:r>
      <w:r>
        <w:tab/>
      </w:r>
      <w:r>
        <w:fldChar w:fldCharType="begin"/>
      </w:r>
      <w:r>
        <w:instrText xml:space="preserve"> PAGEREF _Toc18168 \h </w:instrText>
      </w:r>
      <w:r>
        <w:fldChar w:fldCharType="separate"/>
      </w:r>
      <w:r>
        <w:t>55</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"_Toc32099" </w:instrText>
      </w:r>
      <w:r>
        <w:fldChar w:fldCharType="separate"/>
      </w:r>
      <w:r>
        <w:rPr>
          <w:rFonts w:ascii="Times New Roman" w:hAnsi="Times New Roman" w:eastAsia="宋体"/>
          <w:szCs w:val="32"/>
        </w:rPr>
        <w:t xml:space="preserve">第6章 </w:t>
      </w:r>
      <w:r>
        <w:rPr>
          <w:rFonts w:hint="eastAsia"/>
          <w:szCs w:val="24"/>
        </w:rPr>
        <w:t>评标办法</w:t>
      </w:r>
      <w:r>
        <w:tab/>
      </w:r>
      <w:r>
        <w:fldChar w:fldCharType="begin"/>
      </w:r>
      <w:r>
        <w:instrText xml:space="preserve"> PAGEREF _Toc32099 \h </w:instrText>
      </w:r>
      <w:r>
        <w:fldChar w:fldCharType="separate"/>
      </w:r>
      <w:r>
        <w:t>58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"_Toc32505" </w:instrText>
      </w:r>
      <w:r>
        <w:fldChar w:fldCharType="separate"/>
      </w:r>
      <w:r>
        <w:rPr>
          <w:rFonts w:ascii="Times New Roman" w:hAnsi="Times New Roman" w:eastAsia="宋体"/>
          <w:szCs w:val="28"/>
        </w:rPr>
        <w:t xml:space="preserve">6.1 </w:t>
      </w:r>
      <w:r>
        <w:rPr>
          <w:rFonts w:hint="eastAsia"/>
        </w:rPr>
        <w:t>总则</w:t>
      </w:r>
      <w:r>
        <w:tab/>
      </w:r>
      <w:r>
        <w:fldChar w:fldCharType="begin"/>
      </w:r>
      <w:r>
        <w:instrText xml:space="preserve"> PAGEREF _Toc32505 \h </w:instrText>
      </w:r>
      <w:r>
        <w:fldChar w:fldCharType="separate"/>
      </w:r>
      <w:r>
        <w:t>58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"_Toc14823" </w:instrText>
      </w:r>
      <w:r>
        <w:fldChar w:fldCharType="separate"/>
      </w:r>
      <w:r>
        <w:rPr>
          <w:rFonts w:ascii="Times New Roman" w:hAnsi="Times New Roman" w:eastAsia="宋体"/>
          <w:szCs w:val="28"/>
        </w:rPr>
        <w:t xml:space="preserve">6.2 </w:t>
      </w:r>
      <w:r>
        <w:rPr>
          <w:rFonts w:hint="eastAsia"/>
        </w:rPr>
        <w:t>评标方法</w:t>
      </w:r>
      <w:r>
        <w:tab/>
      </w:r>
      <w:r>
        <w:fldChar w:fldCharType="begin"/>
      </w:r>
      <w:r>
        <w:instrText xml:space="preserve"> PAGEREF _Toc14823 \h </w:instrText>
      </w:r>
      <w:r>
        <w:fldChar w:fldCharType="separate"/>
      </w:r>
      <w:r>
        <w:t>58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"_Toc32641" </w:instrText>
      </w:r>
      <w:r>
        <w:fldChar w:fldCharType="separate"/>
      </w:r>
      <w:r>
        <w:rPr>
          <w:rFonts w:ascii="Times New Roman" w:hAnsi="Times New Roman" w:eastAsia="宋体"/>
          <w:szCs w:val="28"/>
        </w:rPr>
        <w:t xml:space="preserve">6.3 </w:t>
      </w:r>
      <w:r>
        <w:rPr>
          <w:rFonts w:hint="eastAsia"/>
        </w:rPr>
        <w:t>评标程序</w:t>
      </w:r>
      <w:r>
        <w:tab/>
      </w:r>
      <w:r>
        <w:fldChar w:fldCharType="begin"/>
      </w:r>
      <w:r>
        <w:instrText xml:space="preserve"> PAGEREF _Toc32641 \h </w:instrText>
      </w:r>
      <w:r>
        <w:fldChar w:fldCharType="separate"/>
      </w:r>
      <w:r>
        <w:t>58</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"_Toc27446" </w:instrText>
      </w:r>
      <w:r>
        <w:fldChar w:fldCharType="separate"/>
      </w:r>
      <w:r>
        <w:rPr>
          <w:rFonts w:ascii="Times New Roman" w:hAnsi="Times New Roman" w:eastAsia="宋体"/>
          <w:szCs w:val="28"/>
        </w:rPr>
        <w:t xml:space="preserve">6.4 </w:t>
      </w:r>
      <w:r>
        <w:rPr>
          <w:rFonts w:hint="eastAsia"/>
        </w:rPr>
        <w:t>评标争议处理规则</w:t>
      </w:r>
      <w:r>
        <w:tab/>
      </w:r>
      <w:r>
        <w:fldChar w:fldCharType="begin"/>
      </w:r>
      <w:r>
        <w:instrText xml:space="preserve"> PAGEREF _Toc27446 \h </w:instrText>
      </w:r>
      <w:r>
        <w:fldChar w:fldCharType="separate"/>
      </w:r>
      <w:r>
        <w:t>62</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"_Toc21371" </w:instrText>
      </w:r>
      <w:r>
        <w:fldChar w:fldCharType="separate"/>
      </w:r>
      <w:r>
        <w:rPr>
          <w:rFonts w:ascii="Times New Roman" w:hAnsi="Times New Roman" w:eastAsia="宋体"/>
          <w:szCs w:val="28"/>
        </w:rPr>
        <w:t xml:space="preserve">6.5 </w:t>
      </w:r>
      <w:r>
        <w:rPr>
          <w:rFonts w:hint="eastAsia"/>
        </w:rPr>
        <w:t>招标采购单位现场复核评标结果</w:t>
      </w:r>
      <w:r>
        <w:tab/>
      </w:r>
      <w:r>
        <w:fldChar w:fldCharType="begin"/>
      </w:r>
      <w:r>
        <w:instrText xml:space="preserve"> PAGEREF _Toc21371 \h </w:instrText>
      </w:r>
      <w:r>
        <w:fldChar w:fldCharType="separate"/>
      </w:r>
      <w:r>
        <w:t>62</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"_Toc13740" </w:instrText>
      </w:r>
      <w:r>
        <w:fldChar w:fldCharType="separate"/>
      </w:r>
      <w:r>
        <w:rPr>
          <w:rFonts w:ascii="Times New Roman" w:hAnsi="Times New Roman" w:eastAsia="宋体"/>
          <w:szCs w:val="28"/>
        </w:rPr>
        <w:t xml:space="preserve">6.6 </w:t>
      </w:r>
      <w:r>
        <w:rPr>
          <w:rFonts w:hint="eastAsia"/>
        </w:rPr>
        <w:t>评标细则及标准</w:t>
      </w:r>
      <w:r>
        <w:tab/>
      </w:r>
      <w:r>
        <w:fldChar w:fldCharType="begin"/>
      </w:r>
      <w:r>
        <w:instrText xml:space="preserve"> PAGEREF _Toc13740 \h </w:instrText>
      </w:r>
      <w:r>
        <w:fldChar w:fldCharType="separate"/>
      </w:r>
      <w:r>
        <w:t>63</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"_Toc9866" </w:instrText>
      </w:r>
      <w:r>
        <w:fldChar w:fldCharType="separate"/>
      </w:r>
      <w:r>
        <w:rPr>
          <w:rFonts w:ascii="Times New Roman" w:hAnsi="Times New Roman" w:eastAsia="宋体"/>
          <w:szCs w:val="28"/>
        </w:rPr>
        <w:t xml:space="preserve">6.7 </w:t>
      </w:r>
      <w:r>
        <w:rPr>
          <w:rFonts w:hint="eastAsia"/>
        </w:rPr>
        <w:t>废标</w:t>
      </w:r>
      <w:r>
        <w:tab/>
      </w:r>
      <w:r>
        <w:fldChar w:fldCharType="begin"/>
      </w:r>
      <w:r>
        <w:instrText xml:space="preserve"> PAGEREF _Toc9866 \h </w:instrText>
      </w:r>
      <w:r>
        <w:fldChar w:fldCharType="separate"/>
      </w:r>
      <w:r>
        <w:t>66</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"_Toc5196" </w:instrText>
      </w:r>
      <w:r>
        <w:fldChar w:fldCharType="separate"/>
      </w:r>
      <w:r>
        <w:rPr>
          <w:rFonts w:ascii="Times New Roman" w:hAnsi="Times New Roman" w:eastAsia="宋体"/>
          <w:szCs w:val="28"/>
        </w:rPr>
        <w:t xml:space="preserve">6.8 </w:t>
      </w:r>
      <w:r>
        <w:rPr>
          <w:rFonts w:hint="eastAsia"/>
        </w:rPr>
        <w:t>定标</w:t>
      </w:r>
      <w:r>
        <w:tab/>
      </w:r>
      <w:r>
        <w:fldChar w:fldCharType="begin"/>
      </w:r>
      <w:r>
        <w:instrText xml:space="preserve"> PAGEREF _Toc5196 \h </w:instrText>
      </w:r>
      <w:r>
        <w:fldChar w:fldCharType="separate"/>
      </w:r>
      <w:r>
        <w:t>66</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"_Toc13800" </w:instrText>
      </w:r>
      <w:r>
        <w:fldChar w:fldCharType="separate"/>
      </w:r>
      <w:r>
        <w:rPr>
          <w:rFonts w:ascii="Times New Roman" w:hAnsi="Times New Roman" w:eastAsia="宋体"/>
          <w:szCs w:val="28"/>
        </w:rPr>
        <w:t xml:space="preserve">6.9 </w:t>
      </w:r>
      <w:r>
        <w:rPr>
          <w:rFonts w:hint="eastAsia"/>
        </w:rPr>
        <w:t>评标专家在政府采购活动中承担以下义务</w:t>
      </w:r>
      <w:r>
        <w:tab/>
      </w:r>
      <w:r>
        <w:fldChar w:fldCharType="begin"/>
      </w:r>
      <w:r>
        <w:instrText xml:space="preserve"> PAGEREF _Toc13800 \h </w:instrText>
      </w:r>
      <w:r>
        <w:fldChar w:fldCharType="separate"/>
      </w:r>
      <w:r>
        <w:t>67</w:t>
      </w:r>
      <w:r>
        <w:fldChar w:fldCharType="end"/>
      </w:r>
      <w:r>
        <w:fldChar w:fldCharType="end"/>
      </w:r>
    </w:p>
    <w:p>
      <w:pPr>
        <w:pStyle w:val="36"/>
        <w:tabs>
          <w:tab w:val="right" w:leader="dot" w:pos="9072"/>
          <w:tab w:val="clear" w:pos="620"/>
          <w:tab w:val="clear" w:pos="8364"/>
        </w:tabs>
        <w:ind w:firstLine="432"/>
      </w:pPr>
      <w:r>
        <w:fldChar w:fldCharType="begin"/>
      </w:r>
      <w:r>
        <w:instrText xml:space="preserve"> HYPERLINK \l "_Toc19616" </w:instrText>
      </w:r>
      <w:r>
        <w:fldChar w:fldCharType="separate"/>
      </w:r>
      <w:r>
        <w:rPr>
          <w:rFonts w:ascii="Times New Roman" w:hAnsi="Times New Roman" w:eastAsia="宋体"/>
          <w:szCs w:val="28"/>
        </w:rPr>
        <w:t xml:space="preserve">6.10 </w:t>
      </w:r>
      <w:r>
        <w:rPr>
          <w:rFonts w:hint="eastAsia"/>
        </w:rPr>
        <w:t>评审专家在政府采购活动中应当遵守以下工作纪律</w:t>
      </w:r>
      <w:r>
        <w:tab/>
      </w:r>
      <w:r>
        <w:fldChar w:fldCharType="begin"/>
      </w:r>
      <w:r>
        <w:instrText xml:space="preserve"> PAGEREF _Toc19616 \h </w:instrText>
      </w:r>
      <w:r>
        <w:fldChar w:fldCharType="separate"/>
      </w:r>
      <w:r>
        <w:t>67</w:t>
      </w:r>
      <w:r>
        <w:fldChar w:fldCharType="end"/>
      </w:r>
      <w:r>
        <w:fldChar w:fldCharType="end"/>
      </w:r>
    </w:p>
    <w:p>
      <w:pPr>
        <w:pStyle w:val="30"/>
        <w:tabs>
          <w:tab w:val="right" w:leader="dot" w:pos="9072"/>
          <w:tab w:val="clear" w:pos="709"/>
          <w:tab w:val="clear" w:pos="8364"/>
        </w:tabs>
        <w:ind w:firstLine="432"/>
      </w:pPr>
      <w:r>
        <w:fldChar w:fldCharType="begin"/>
      </w:r>
      <w:r>
        <w:instrText xml:space="preserve"> HYPERLINK \l "_Toc8514" </w:instrText>
      </w:r>
      <w:r>
        <w:fldChar w:fldCharType="separate"/>
      </w:r>
      <w:r>
        <w:rPr>
          <w:rFonts w:ascii="Times New Roman" w:hAnsi="Times New Roman" w:eastAsia="宋体"/>
          <w:szCs w:val="32"/>
        </w:rPr>
        <w:t xml:space="preserve">第7章 </w:t>
      </w:r>
      <w:r>
        <w:rPr>
          <w:rFonts w:hint="eastAsia"/>
        </w:rPr>
        <w:t>政府采购合同</w:t>
      </w:r>
      <w:r>
        <w:tab/>
      </w:r>
      <w:r>
        <w:fldChar w:fldCharType="begin"/>
      </w:r>
      <w:r>
        <w:instrText xml:space="preserve"> PAGEREF _Toc8514 \h </w:instrText>
      </w:r>
      <w:r>
        <w:fldChar w:fldCharType="separate"/>
      </w:r>
      <w:r>
        <w:t>68</w:t>
      </w:r>
      <w:r>
        <w:fldChar w:fldCharType="end"/>
      </w:r>
      <w:r>
        <w:fldChar w:fldCharType="end"/>
      </w:r>
    </w:p>
    <w:p>
      <w:pPr>
        <w:pStyle w:val="36"/>
        <w:spacing w:line="240" w:lineRule="auto"/>
        <w:ind w:left="0" w:firstLine="0" w:firstLineChars="0"/>
        <w:rPr>
          <w:rFonts w:ascii="宋体" w:hAnsi="宋体" w:eastAsia="宋体"/>
          <w:bCs/>
          <w:caps/>
          <w:smallCaps w:val="0"/>
        </w:rPr>
      </w:pPr>
      <w:r>
        <w:rPr>
          <w:rFonts w:hint="eastAsia" w:ascii="宋体" w:hAnsi="宋体" w:eastAsia="宋体"/>
          <w:bCs/>
          <w:caps/>
          <w:smallCaps w:val="0"/>
        </w:rPr>
        <w:fldChar w:fldCharType="end"/>
      </w:r>
    </w:p>
    <w:p>
      <w:pPr>
        <w:ind w:firstLine="492"/>
        <w:rPr>
          <w:rFonts w:ascii="宋体" w:hAnsi="宋体"/>
          <w:bCs/>
          <w:caps/>
        </w:rPr>
      </w:pPr>
    </w:p>
    <w:p>
      <w:pPr>
        <w:pStyle w:val="2"/>
        <w:ind w:firstLine="492"/>
        <w:rPr>
          <w:rFonts w:ascii="宋体" w:hAnsi="宋体"/>
          <w:bCs/>
          <w:caps/>
        </w:rPr>
      </w:pPr>
    </w:p>
    <w:p>
      <w:pPr>
        <w:ind w:firstLine="492"/>
        <w:rPr>
          <w:rFonts w:ascii="宋体" w:hAnsi="宋体"/>
          <w:bCs/>
          <w:caps/>
        </w:rPr>
      </w:pPr>
    </w:p>
    <w:p>
      <w:pPr>
        <w:pStyle w:val="2"/>
        <w:ind w:firstLine="492"/>
      </w:pPr>
    </w:p>
    <w:p>
      <w:pPr>
        <w:pStyle w:val="2"/>
        <w:ind w:firstLine="492"/>
      </w:pPr>
    </w:p>
    <w:p>
      <w:pPr>
        <w:pStyle w:val="3"/>
      </w:pPr>
      <w:bookmarkStart w:id="13" w:name="_Toc181610856"/>
      <w:bookmarkStart w:id="14" w:name="_Toc181591102"/>
      <w:bookmarkStart w:id="15" w:name="_Toc2078"/>
      <w:bookmarkStart w:id="16" w:name="_Toc3763"/>
      <w:bookmarkStart w:id="17" w:name="_Toc204575871"/>
      <w:bookmarkStart w:id="18" w:name="_Toc28231"/>
      <w:bookmarkStart w:id="19" w:name="_Toc25445"/>
      <w:r>
        <w:rPr>
          <w:rFonts w:hint="eastAsia"/>
        </w:rPr>
        <w:t>投标邀请</w:t>
      </w:r>
      <w:bookmarkEnd w:id="13"/>
      <w:bookmarkEnd w:id="14"/>
      <w:bookmarkEnd w:id="15"/>
      <w:bookmarkEnd w:id="16"/>
      <w:bookmarkEnd w:id="17"/>
      <w:bookmarkEnd w:id="18"/>
      <w:bookmarkEnd w:id="19"/>
    </w:p>
    <w:p>
      <w:pPr>
        <w:ind w:firstLine="494"/>
        <w:rPr>
          <w:rFonts w:ascii="宋体" w:hAnsi="宋体"/>
          <w:szCs w:val="24"/>
        </w:rPr>
      </w:pPr>
      <w:r>
        <w:rPr>
          <w:rFonts w:hint="eastAsia" w:ascii="宋体" w:hAnsi="宋体"/>
          <w:b/>
          <w:bCs/>
          <w:szCs w:val="24"/>
        </w:rPr>
        <w:t>四川世科工程咨询有限公司</w:t>
      </w:r>
      <w:r>
        <w:rPr>
          <w:rFonts w:hint="eastAsia" w:ascii="宋体" w:hAnsi="宋体"/>
          <w:szCs w:val="24"/>
        </w:rPr>
        <w:t>受</w:t>
      </w:r>
      <w:r>
        <w:rPr>
          <w:rFonts w:hint="eastAsia" w:ascii="宋体" w:hAnsi="宋体"/>
          <w:b/>
          <w:szCs w:val="24"/>
        </w:rPr>
        <w:t>成都市龙泉驿区水务局</w:t>
      </w:r>
      <w:r>
        <w:rPr>
          <w:rFonts w:hint="eastAsia" w:ascii="宋体" w:hAnsi="宋体"/>
          <w:szCs w:val="24"/>
        </w:rPr>
        <w:t>委托，拟对</w:t>
      </w:r>
      <w:r>
        <w:rPr>
          <w:rFonts w:hint="eastAsia" w:ascii="宋体" w:hAnsi="宋体"/>
          <w:b/>
          <w:szCs w:val="24"/>
        </w:rPr>
        <w:t>成都市龙泉驿区水务局2021-2023年污泥处置服务采购项目</w:t>
      </w:r>
      <w:r>
        <w:rPr>
          <w:rFonts w:hint="eastAsia" w:ascii="宋体" w:hAnsi="宋体"/>
          <w:szCs w:val="24"/>
        </w:rPr>
        <w:t>进行国内公开招标，兹邀请符合本次招标要求的供应商参加投标。</w:t>
      </w:r>
    </w:p>
    <w:p>
      <w:pPr>
        <w:numPr>
          <w:ilvl w:val="0"/>
          <w:numId w:val="3"/>
        </w:numPr>
        <w:ind w:left="-14" w:firstLine="494" w:firstLineChars="0"/>
        <w:rPr>
          <w:rFonts w:ascii="宋体" w:hAnsi="宋体"/>
          <w:b/>
          <w:szCs w:val="24"/>
        </w:rPr>
      </w:pPr>
      <w:r>
        <w:rPr>
          <w:rFonts w:hint="eastAsia" w:ascii="宋体" w:hAnsi="宋体"/>
          <w:b/>
          <w:szCs w:val="24"/>
        </w:rPr>
        <w:t>项目编号：</w:t>
      </w:r>
      <w:r>
        <w:rPr>
          <w:rFonts w:hint="eastAsia" w:ascii="宋体" w:hAnsi="宋体"/>
          <w:b/>
          <w:szCs w:val="24"/>
          <w:lang w:eastAsia="zh-CN"/>
        </w:rPr>
        <w:t>510112202100118</w:t>
      </w:r>
    </w:p>
    <w:p>
      <w:pPr>
        <w:numPr>
          <w:ilvl w:val="0"/>
          <w:numId w:val="3"/>
        </w:numPr>
        <w:ind w:left="-14" w:firstLine="494" w:firstLineChars="0"/>
        <w:rPr>
          <w:rFonts w:ascii="宋体" w:hAnsi="宋体"/>
          <w:b/>
          <w:szCs w:val="24"/>
        </w:rPr>
      </w:pPr>
      <w:r>
        <w:rPr>
          <w:rFonts w:hint="eastAsia" w:ascii="宋体" w:hAnsi="宋体"/>
          <w:b/>
          <w:szCs w:val="24"/>
        </w:rPr>
        <w:t>招标项目：成都市龙泉驿区水务局2021-2023年污泥处置服务采购项目</w:t>
      </w:r>
    </w:p>
    <w:p>
      <w:pPr>
        <w:numPr>
          <w:ilvl w:val="0"/>
          <w:numId w:val="3"/>
        </w:numPr>
        <w:ind w:left="-14" w:firstLine="494" w:firstLineChars="0"/>
        <w:rPr>
          <w:rFonts w:ascii="宋体" w:hAnsi="宋体"/>
          <w:b/>
          <w:szCs w:val="24"/>
        </w:rPr>
      </w:pPr>
      <w:r>
        <w:rPr>
          <w:rFonts w:hint="eastAsia" w:ascii="宋体" w:hAnsi="宋体"/>
          <w:b/>
          <w:szCs w:val="24"/>
        </w:rPr>
        <w:t>资金来源及预算金额：</w:t>
      </w:r>
      <w:r>
        <w:rPr>
          <w:rFonts w:hint="eastAsia" w:ascii="宋体" w:hAnsi="宋体"/>
          <w:szCs w:val="24"/>
        </w:rPr>
        <w:t>财政性资金，预算品目：水污染治理服务，预算金额：3000</w:t>
      </w:r>
      <w:r>
        <w:rPr>
          <w:rFonts w:hint="eastAsia" w:ascii="宋体" w:hAnsi="宋体" w:cs="宋体"/>
          <w:szCs w:val="24"/>
        </w:rPr>
        <w:t>万</w:t>
      </w:r>
      <w:r>
        <w:rPr>
          <w:rFonts w:hint="eastAsia" w:ascii="宋体" w:hAnsi="宋体"/>
          <w:szCs w:val="24"/>
        </w:rPr>
        <w:t>元</w:t>
      </w:r>
      <w:r>
        <w:rPr>
          <w:rFonts w:hint="eastAsia" w:ascii="宋体" w:hAnsi="宋体"/>
          <w:szCs w:val="24"/>
          <w:lang w:val="en-US" w:eastAsia="zh-CN"/>
        </w:rPr>
        <w:t>/年</w:t>
      </w:r>
      <w:r>
        <w:rPr>
          <w:rFonts w:hint="eastAsia" w:ascii="宋体" w:hAnsi="宋体"/>
          <w:szCs w:val="24"/>
          <w:highlight w:val="none"/>
        </w:rPr>
        <w:t>（</w:t>
      </w:r>
      <w:r>
        <w:rPr>
          <w:rFonts w:hint="eastAsia" w:ascii="宋体" w:hAnsi="宋体" w:cs="宋体"/>
          <w:bCs/>
          <w:szCs w:val="24"/>
          <w:highlight w:val="none"/>
        </w:rPr>
        <w:t>其中包件1预算金额：1500万元</w:t>
      </w:r>
      <w:r>
        <w:rPr>
          <w:rFonts w:hint="eastAsia" w:ascii="宋体" w:hAnsi="宋体"/>
          <w:szCs w:val="24"/>
          <w:highlight w:val="none"/>
          <w:lang w:val="en-US" w:eastAsia="zh-CN"/>
        </w:rPr>
        <w:t>/年</w:t>
      </w:r>
      <w:r>
        <w:rPr>
          <w:rFonts w:hint="eastAsia" w:ascii="宋体" w:hAnsi="宋体" w:cs="宋体"/>
          <w:bCs/>
          <w:szCs w:val="24"/>
          <w:highlight w:val="none"/>
        </w:rPr>
        <w:t>；包件2预算金额：1500万元</w:t>
      </w:r>
      <w:r>
        <w:rPr>
          <w:rFonts w:hint="eastAsia" w:ascii="宋体" w:hAnsi="宋体"/>
          <w:szCs w:val="24"/>
          <w:highlight w:val="none"/>
          <w:lang w:val="en-US" w:eastAsia="zh-CN"/>
        </w:rPr>
        <w:t>/年</w:t>
      </w:r>
      <w:r>
        <w:rPr>
          <w:rFonts w:hint="eastAsia" w:ascii="宋体" w:hAnsi="宋体"/>
          <w:szCs w:val="24"/>
          <w:highlight w:val="none"/>
        </w:rPr>
        <w:t>）。</w:t>
      </w:r>
    </w:p>
    <w:p>
      <w:pPr>
        <w:numPr>
          <w:ilvl w:val="0"/>
          <w:numId w:val="3"/>
        </w:numPr>
        <w:ind w:left="-14" w:firstLine="494" w:firstLineChars="0"/>
        <w:rPr>
          <w:rFonts w:ascii="宋体" w:hAnsi="宋体"/>
          <w:b/>
          <w:szCs w:val="24"/>
        </w:rPr>
      </w:pPr>
      <w:r>
        <w:rPr>
          <w:rFonts w:hint="eastAsia" w:ascii="宋体" w:hAnsi="宋体"/>
          <w:b/>
          <w:szCs w:val="24"/>
        </w:rPr>
        <w:t>招标项目简介</w:t>
      </w:r>
    </w:p>
    <w:p>
      <w:pPr>
        <w:spacing w:line="360" w:lineRule="auto"/>
        <w:ind w:firstLine="492"/>
        <w:rPr>
          <w:rFonts w:ascii="宋体" w:hAnsi="宋体" w:cs="宋体"/>
          <w:sz w:val="24"/>
        </w:rPr>
      </w:pPr>
      <w:r>
        <w:rPr>
          <w:rFonts w:hint="eastAsia" w:ascii="宋体" w:hAnsi="宋体" w:cs="宋体"/>
          <w:sz w:val="24"/>
        </w:rPr>
        <w:t>龙泉驿区平安（或东安水质净化厂）、西河、芦溪河、陡沟河、临时污水处理设施、乡镇及微型污水处理站、分散性生活污染源处理设施等污水处理厂（站）产生的污泥，年处置量约</w:t>
      </w:r>
      <w:r>
        <w:rPr>
          <w:rFonts w:hint="eastAsia" w:ascii="宋体" w:hAnsi="宋体" w:cs="宋体"/>
          <w:sz w:val="24"/>
          <w:lang w:val="en-US" w:eastAsia="zh-CN"/>
        </w:rPr>
        <w:t>93750</w:t>
      </w:r>
      <w:r>
        <w:rPr>
          <w:rFonts w:hint="eastAsia" w:ascii="宋体" w:hAnsi="宋体" w:cs="宋体"/>
          <w:sz w:val="24"/>
        </w:rPr>
        <w:t>吨。</w:t>
      </w:r>
    </w:p>
    <w:p>
      <w:pPr>
        <w:spacing w:line="360" w:lineRule="auto"/>
        <w:ind w:firstLine="492"/>
        <w:rPr>
          <w:rFonts w:ascii="宋体" w:hAnsi="宋体" w:cs="宋体"/>
          <w:sz w:val="24"/>
        </w:rPr>
      </w:pPr>
      <w:r>
        <w:rPr>
          <w:rFonts w:hint="eastAsia" w:ascii="宋体" w:hAnsi="宋体" w:cs="宋体"/>
          <w:sz w:val="24"/>
        </w:rPr>
        <w:t>成都市龙泉驿区水务局拟通过公开招标方式确定“成都市龙泉驿区水务局2021-2023年污泥处置服务采购项目”供应商。本项目共分两个包，拟通过公开招标，各包确定一名中标人提供相关污泥处置服务。</w:t>
      </w:r>
    </w:p>
    <w:p>
      <w:pPr>
        <w:spacing w:line="360" w:lineRule="auto"/>
        <w:ind w:firstLine="492"/>
        <w:rPr>
          <w:rFonts w:ascii="宋体" w:hAnsi="宋体" w:cs="宋体"/>
          <w:sz w:val="24"/>
        </w:rPr>
      </w:pPr>
      <w:r>
        <w:rPr>
          <w:rFonts w:hint="eastAsia" w:ascii="宋体" w:hAnsi="宋体" w:cs="宋体"/>
          <w:sz w:val="24"/>
        </w:rPr>
        <w:t>包件一：负责芦溪河污水处理厂、芦溪河临时污水处理设施、西河污水处理厂、西河临时污水处理设施、乡镇及微型污水处理站等污水处理厂（站）的污泥处置，处置量约</w:t>
      </w:r>
      <w:r>
        <w:rPr>
          <w:rFonts w:hint="eastAsia" w:ascii="宋体" w:hAnsi="宋体" w:cs="宋体"/>
          <w:sz w:val="24"/>
          <w:lang w:val="en-US" w:eastAsia="zh-CN"/>
        </w:rPr>
        <w:t>46875</w:t>
      </w:r>
      <w:r>
        <w:rPr>
          <w:rFonts w:hint="eastAsia" w:ascii="宋体" w:hAnsi="宋体" w:cs="宋体"/>
          <w:sz w:val="24"/>
        </w:rPr>
        <w:t>吨/年；</w:t>
      </w:r>
    </w:p>
    <w:p>
      <w:pPr>
        <w:spacing w:line="360" w:lineRule="auto"/>
        <w:ind w:firstLine="492"/>
        <w:rPr>
          <w:rFonts w:ascii="宋体" w:hAnsi="宋体" w:cs="宋体"/>
          <w:sz w:val="24"/>
        </w:rPr>
      </w:pPr>
      <w:r>
        <w:rPr>
          <w:rFonts w:hint="eastAsia" w:ascii="宋体" w:hAnsi="宋体" w:cs="宋体"/>
          <w:sz w:val="24"/>
        </w:rPr>
        <w:t>包件二：负责平安污水处理厂（或东安水质净化厂）、陡沟河污水处理厂、陡沟河污水处理厂二厂、分散性生活污染源处理设施等污水处理厂站的污泥处置，处置量约</w:t>
      </w:r>
      <w:r>
        <w:rPr>
          <w:rFonts w:hint="eastAsia" w:ascii="宋体" w:hAnsi="宋体" w:cs="宋体"/>
          <w:sz w:val="24"/>
          <w:lang w:val="en-US" w:eastAsia="zh-CN"/>
        </w:rPr>
        <w:t>46875</w:t>
      </w:r>
      <w:r>
        <w:rPr>
          <w:rFonts w:hint="eastAsia" w:ascii="宋体" w:hAnsi="宋体" w:cs="宋体"/>
          <w:sz w:val="24"/>
        </w:rPr>
        <w:t>吨/年。</w:t>
      </w:r>
    </w:p>
    <w:p>
      <w:pPr>
        <w:ind w:firstLine="492"/>
      </w:pPr>
      <w:r>
        <w:rPr>
          <w:rFonts w:hint="eastAsia" w:ascii="宋体" w:hAnsi="宋体"/>
          <w:szCs w:val="24"/>
        </w:rPr>
        <w:t>详细的技术、商务及其他要求见第4章。</w:t>
      </w:r>
    </w:p>
    <w:p>
      <w:pPr>
        <w:numPr>
          <w:ilvl w:val="0"/>
          <w:numId w:val="3"/>
        </w:numPr>
        <w:ind w:left="-14" w:firstLine="494" w:firstLineChars="0"/>
        <w:rPr>
          <w:rFonts w:ascii="宋体" w:hAnsi="宋体"/>
          <w:b/>
          <w:szCs w:val="24"/>
        </w:rPr>
      </w:pPr>
      <w:r>
        <w:rPr>
          <w:rFonts w:hint="eastAsia" w:ascii="宋体" w:hAnsi="宋体"/>
          <w:b/>
          <w:szCs w:val="24"/>
        </w:rPr>
        <w:t>面对中小企业采购情况</w:t>
      </w:r>
    </w:p>
    <w:p>
      <w:pPr>
        <w:tabs>
          <w:tab w:val="left" w:pos="0"/>
        </w:tabs>
        <w:ind w:left="720" w:firstLine="0" w:firstLineChars="0"/>
      </w:pPr>
      <w:r>
        <w:rPr>
          <w:rFonts w:hint="eastAsia" w:ascii="宋体" w:hAnsi="宋体" w:cs="宋体"/>
          <w:szCs w:val="24"/>
        </w:rPr>
        <w:t>本项目非专门面向中小企业采购。</w:t>
      </w:r>
    </w:p>
    <w:p>
      <w:pPr>
        <w:numPr>
          <w:ilvl w:val="0"/>
          <w:numId w:val="3"/>
        </w:numPr>
        <w:ind w:left="-14" w:firstLine="494" w:firstLineChars="0"/>
        <w:rPr>
          <w:rFonts w:ascii="宋体" w:hAnsi="宋体"/>
          <w:b/>
          <w:szCs w:val="24"/>
        </w:rPr>
      </w:pPr>
      <w:r>
        <w:rPr>
          <w:rFonts w:hint="eastAsia" w:ascii="宋体" w:hAnsi="宋体"/>
          <w:b/>
          <w:szCs w:val="24"/>
        </w:rPr>
        <w:t>各包供应商参加本次政府采购活动应具备的条件</w:t>
      </w:r>
    </w:p>
    <w:p>
      <w:pPr>
        <w:pStyle w:val="181"/>
        <w:numPr>
          <w:ilvl w:val="1"/>
          <w:numId w:val="4"/>
        </w:numPr>
        <w:tabs>
          <w:tab w:val="left" w:pos="1260"/>
          <w:tab w:val="clear" w:pos="1130"/>
        </w:tabs>
        <w:ind w:left="0" w:firstLine="630" w:firstLineChars="0"/>
        <w:rPr>
          <w:rFonts w:ascii="宋体" w:hAnsi="宋体" w:cs="宋体"/>
        </w:rPr>
      </w:pPr>
      <w:r>
        <w:rPr>
          <w:rFonts w:hint="eastAsia" w:ascii="宋体" w:hAnsi="宋体" w:cs="宋体"/>
        </w:rPr>
        <w:t>具备《中华人民共和国政府采购法》第二十二条规定的条件：</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具有独立承担民事责任的能力；</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具有良好的商业信誉和健全的财务会计制度；</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具有履行合同所必须的设备和专业技术能力；</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具有依法缴纳税收和社会保障资金的良好记录；</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参加本次政府采购活动前三年内，在经营活动中没有重大违法记录；</w:t>
      </w:r>
    </w:p>
    <w:p>
      <w:pPr>
        <w:pStyle w:val="181"/>
        <w:numPr>
          <w:ilvl w:val="0"/>
          <w:numId w:val="5"/>
        </w:numPr>
        <w:tabs>
          <w:tab w:val="left" w:pos="1260"/>
        </w:tabs>
        <w:ind w:left="5" w:leftChars="0" w:firstLine="735" w:firstLineChars="0"/>
        <w:rPr>
          <w:rFonts w:ascii="宋体" w:hAnsi="宋体" w:cs="宋体"/>
        </w:rPr>
      </w:pPr>
      <w:r>
        <w:rPr>
          <w:rFonts w:hint="eastAsia" w:ascii="宋体" w:hAnsi="宋体" w:cs="宋体"/>
        </w:rPr>
        <w:t>法律、行政法规规定的其他条件。</w:t>
      </w:r>
    </w:p>
    <w:p>
      <w:pPr>
        <w:pStyle w:val="181"/>
        <w:numPr>
          <w:ilvl w:val="1"/>
          <w:numId w:val="4"/>
        </w:numPr>
        <w:tabs>
          <w:tab w:val="left" w:pos="1260"/>
          <w:tab w:val="clear" w:pos="1130"/>
        </w:tabs>
        <w:ind w:left="0" w:firstLine="630" w:firstLineChars="0"/>
        <w:rPr>
          <w:rFonts w:ascii="宋体" w:hAnsi="宋体" w:cs="宋体"/>
        </w:rPr>
      </w:pPr>
      <w:r>
        <w:rPr>
          <w:rFonts w:hint="eastAsia" w:ascii="宋体" w:hAnsi="宋体" w:cs="宋体"/>
        </w:rPr>
        <w:t>根据本项目的特殊要求，供应商还须具备的其它特定条件：</w:t>
      </w:r>
    </w:p>
    <w:p>
      <w:pPr>
        <w:numPr>
          <w:ilvl w:val="0"/>
          <w:numId w:val="6"/>
        </w:numPr>
        <w:shd w:val="clear" w:color="auto" w:fill="FFFFFF"/>
        <w:tabs>
          <w:tab w:val="left" w:pos="0"/>
          <w:tab w:val="clear" w:pos="420"/>
        </w:tabs>
        <w:ind w:left="5" w:firstLine="715" w:firstLineChars="0"/>
        <w:rPr>
          <w:rFonts w:ascii="宋体" w:hAnsi="宋体" w:cs="宋体"/>
          <w:szCs w:val="24"/>
        </w:rPr>
      </w:pPr>
      <w:r>
        <w:rPr>
          <w:rFonts w:hint="eastAsia" w:ascii="宋体" w:hAnsi="宋体" w:cs="宋体"/>
          <w:szCs w:val="24"/>
        </w:rPr>
        <w:t>未被列入经营异常名录；</w:t>
      </w:r>
    </w:p>
    <w:p>
      <w:pPr>
        <w:numPr>
          <w:ilvl w:val="0"/>
          <w:numId w:val="6"/>
        </w:numPr>
        <w:shd w:val="clear" w:color="auto" w:fill="FFFFFF"/>
        <w:tabs>
          <w:tab w:val="left" w:pos="0"/>
          <w:tab w:val="clear" w:pos="420"/>
        </w:tabs>
        <w:ind w:left="5" w:firstLine="715" w:firstLineChars="0"/>
        <w:rPr>
          <w:rFonts w:ascii="宋体" w:hAnsi="宋体" w:cs="宋体"/>
          <w:szCs w:val="24"/>
        </w:rPr>
      </w:pPr>
      <w:r>
        <w:rPr>
          <w:rFonts w:hint="eastAsia" w:ascii="宋体" w:hAnsi="宋体" w:cs="宋体"/>
          <w:szCs w:val="24"/>
        </w:rPr>
        <w:t xml:space="preserve">未被列入失信被执行人、重大税收违法案件当事人名单、政府采购严重违法失信行为记录名单； </w:t>
      </w:r>
    </w:p>
    <w:p>
      <w:pPr>
        <w:numPr>
          <w:ilvl w:val="0"/>
          <w:numId w:val="6"/>
        </w:numPr>
        <w:shd w:val="clear" w:color="auto" w:fill="FFFFFF"/>
        <w:tabs>
          <w:tab w:val="left" w:pos="0"/>
          <w:tab w:val="clear" w:pos="420"/>
        </w:tabs>
        <w:ind w:left="5" w:firstLine="715" w:firstLineChars="0"/>
        <w:rPr>
          <w:rFonts w:ascii="宋体" w:hAnsi="宋体" w:cs="宋体"/>
          <w:szCs w:val="24"/>
        </w:rPr>
      </w:pPr>
      <w:r>
        <w:rPr>
          <w:rFonts w:hint="eastAsia" w:ascii="宋体" w:hAnsi="宋体" w:cs="宋体"/>
          <w:szCs w:val="24"/>
        </w:rPr>
        <w:t xml:space="preserve">在行贿犯罪信息查询期限内，供应商及其现任法定代表人、主要负责人没有行贿犯罪记录； </w:t>
      </w:r>
    </w:p>
    <w:p>
      <w:pPr>
        <w:numPr>
          <w:ilvl w:val="0"/>
          <w:numId w:val="6"/>
        </w:numPr>
        <w:shd w:val="clear" w:color="auto" w:fill="FFFFFF"/>
        <w:tabs>
          <w:tab w:val="left" w:pos="0"/>
          <w:tab w:val="clear" w:pos="420"/>
        </w:tabs>
        <w:ind w:left="5" w:firstLine="715" w:firstLineChars="0"/>
        <w:rPr>
          <w:rFonts w:ascii="宋体" w:hAnsi="宋体" w:cs="宋体"/>
          <w:szCs w:val="24"/>
        </w:rPr>
      </w:pPr>
      <w:r>
        <w:rPr>
          <w:rFonts w:hint="eastAsia" w:ascii="宋体" w:hAnsi="宋体" w:cs="宋体"/>
          <w:szCs w:val="24"/>
        </w:rPr>
        <w:t xml:space="preserve">不属于其他国家相关法律法规规定的禁止参加投标的供应商； </w:t>
      </w:r>
    </w:p>
    <w:p>
      <w:pPr>
        <w:pStyle w:val="181"/>
        <w:numPr>
          <w:ilvl w:val="0"/>
          <w:numId w:val="6"/>
        </w:numPr>
        <w:tabs>
          <w:tab w:val="left" w:pos="0"/>
          <w:tab w:val="left" w:pos="1260"/>
          <w:tab w:val="clear" w:pos="420"/>
        </w:tabs>
        <w:ind w:left="5" w:firstLine="715" w:firstLineChars="0"/>
        <w:rPr>
          <w:rFonts w:ascii="宋体" w:hAnsi="宋体" w:cs="宋体"/>
        </w:rPr>
      </w:pPr>
      <w:r>
        <w:rPr>
          <w:rFonts w:hint="eastAsia" w:ascii="宋体" w:hAnsi="宋体" w:cs="宋体"/>
        </w:rPr>
        <w:t>本项目不接受联合体投标。</w:t>
      </w:r>
    </w:p>
    <w:p>
      <w:pPr>
        <w:numPr>
          <w:ilvl w:val="0"/>
          <w:numId w:val="3"/>
        </w:numPr>
        <w:ind w:left="-14" w:firstLine="494" w:firstLineChars="0"/>
        <w:rPr>
          <w:rFonts w:ascii="宋体" w:hAnsi="宋体"/>
          <w:i/>
          <w:szCs w:val="24"/>
        </w:rPr>
      </w:pPr>
      <w:r>
        <w:rPr>
          <w:rFonts w:hint="eastAsia" w:ascii="宋体" w:hAnsi="宋体"/>
          <w:b/>
          <w:szCs w:val="24"/>
        </w:rPr>
        <w:t>招标文件获取时间及地点</w:t>
      </w:r>
    </w:p>
    <w:p>
      <w:pPr>
        <w:spacing w:line="480" w:lineRule="exact"/>
        <w:ind w:firstLine="494"/>
        <w:rPr>
          <w:rFonts w:ascii="宋体" w:hAnsi="宋体"/>
          <w:szCs w:val="24"/>
        </w:rPr>
      </w:pPr>
      <w:bookmarkStart w:id="20" w:name="_Toc180051012"/>
      <w:bookmarkStart w:id="21" w:name="_Toc184013605"/>
      <w:bookmarkStart w:id="22" w:name="_Toc184023104"/>
      <w:bookmarkStart w:id="23" w:name="_Toc174185149"/>
      <w:bookmarkStart w:id="24" w:name="_Toc186274101"/>
      <w:r>
        <w:rPr>
          <w:rFonts w:hint="eastAsia" w:ascii="宋体" w:hAnsi="宋体"/>
          <w:b/>
          <w:szCs w:val="24"/>
        </w:rPr>
        <w:t>招标文件获取时间：</w:t>
      </w:r>
      <w:r>
        <w:rPr>
          <w:rFonts w:hint="eastAsia" w:ascii="宋体" w:hAnsi="宋体"/>
          <w:szCs w:val="24"/>
        </w:rPr>
        <w:t>2021年</w:t>
      </w:r>
      <w:r>
        <w:rPr>
          <w:rFonts w:hint="eastAsia" w:ascii="宋体" w:hAnsi="宋体"/>
          <w:szCs w:val="24"/>
          <w:lang w:val="en-US" w:eastAsia="zh-CN"/>
        </w:rPr>
        <w:t>6</w:t>
      </w:r>
      <w:r>
        <w:rPr>
          <w:rFonts w:hint="eastAsia" w:ascii="宋体" w:hAnsi="宋体"/>
          <w:szCs w:val="24"/>
        </w:rPr>
        <w:t>月</w:t>
      </w:r>
      <w:r>
        <w:rPr>
          <w:rFonts w:hint="eastAsia" w:ascii="宋体" w:hAnsi="宋体"/>
          <w:szCs w:val="24"/>
          <w:lang w:val="en-US" w:eastAsia="zh-CN"/>
        </w:rPr>
        <w:t>24</w:t>
      </w:r>
      <w:r>
        <w:rPr>
          <w:rFonts w:hint="eastAsia" w:ascii="宋体" w:hAnsi="宋体"/>
          <w:szCs w:val="24"/>
        </w:rPr>
        <w:t>日至2021年</w:t>
      </w:r>
      <w:r>
        <w:rPr>
          <w:rFonts w:hint="eastAsia" w:ascii="宋体" w:hAnsi="宋体"/>
          <w:szCs w:val="24"/>
          <w:lang w:val="en-US" w:eastAsia="zh-CN"/>
        </w:rPr>
        <w:t>6</w:t>
      </w:r>
      <w:r>
        <w:rPr>
          <w:rFonts w:hint="eastAsia" w:ascii="宋体" w:hAnsi="宋体"/>
          <w:szCs w:val="24"/>
        </w:rPr>
        <w:t>月</w:t>
      </w:r>
      <w:r>
        <w:rPr>
          <w:rFonts w:hint="eastAsia" w:ascii="宋体" w:hAnsi="宋体"/>
          <w:szCs w:val="24"/>
          <w:lang w:val="en-US" w:eastAsia="zh-CN"/>
        </w:rPr>
        <w:t>30</w:t>
      </w:r>
      <w:r>
        <w:rPr>
          <w:rFonts w:hint="eastAsia" w:ascii="宋体" w:hAnsi="宋体"/>
          <w:szCs w:val="24"/>
        </w:rPr>
        <w:t>日（北京时间，法定公休日、法定节假日除外，每日09：00时至17：00时）。</w:t>
      </w:r>
    </w:p>
    <w:p>
      <w:pPr>
        <w:spacing w:line="480" w:lineRule="exact"/>
        <w:ind w:firstLine="494"/>
        <w:rPr>
          <w:rFonts w:ascii="宋体" w:hAnsi="宋体"/>
          <w:szCs w:val="24"/>
        </w:rPr>
      </w:pPr>
      <w:r>
        <w:rPr>
          <w:rFonts w:hint="eastAsia" w:ascii="宋体" w:hAnsi="宋体"/>
          <w:b/>
          <w:szCs w:val="24"/>
        </w:rPr>
        <w:t>招标文件免费获取</w:t>
      </w:r>
      <w:r>
        <w:rPr>
          <w:rFonts w:hint="eastAsia" w:ascii="宋体" w:hAnsi="宋体"/>
          <w:szCs w:val="24"/>
        </w:rPr>
        <w:t>（ 投标资格不能转让）。</w:t>
      </w:r>
    </w:p>
    <w:p>
      <w:pPr>
        <w:spacing w:line="480" w:lineRule="exact"/>
        <w:ind w:firstLine="494"/>
        <w:rPr>
          <w:rFonts w:ascii="宋体" w:hAnsi="宋体"/>
          <w:b/>
          <w:bCs/>
          <w:szCs w:val="24"/>
        </w:rPr>
      </w:pPr>
      <w:r>
        <w:rPr>
          <w:rFonts w:hint="eastAsia" w:ascii="宋体" w:hAnsi="宋体"/>
          <w:b/>
          <w:bCs/>
          <w:szCs w:val="24"/>
        </w:rPr>
        <w:t>招标文件获取方式（两种获取方式2选1）：</w:t>
      </w:r>
    </w:p>
    <w:p>
      <w:pPr>
        <w:numPr>
          <w:ilvl w:val="0"/>
          <w:numId w:val="7"/>
        </w:numPr>
        <w:spacing w:line="480" w:lineRule="exact"/>
        <w:ind w:firstLine="494"/>
        <w:rPr>
          <w:rFonts w:ascii="宋体" w:hAnsi="宋体"/>
          <w:b/>
          <w:bCs/>
          <w:szCs w:val="24"/>
        </w:rPr>
      </w:pPr>
      <w:r>
        <w:rPr>
          <w:rFonts w:hint="eastAsia" w:ascii="宋体" w:hAnsi="宋体"/>
          <w:b/>
          <w:bCs/>
          <w:szCs w:val="24"/>
        </w:rPr>
        <w:t>网上获取。在本项目采购文件获取时间期内，在本公司官方网站www.scskgc.com在线获取,具体获取流程详请见网站的"供应商服务系统”，关于"供应商服务系统”的使用问题可以在www.scskgc.com下载操作手册。注册及网上报名咨询电话:028-61032618。</w:t>
      </w:r>
    </w:p>
    <w:p>
      <w:pPr>
        <w:ind w:firstLine="494"/>
        <w:rPr>
          <w:rFonts w:ascii="宋体" w:hAnsi="宋体"/>
          <w:b/>
          <w:bCs/>
          <w:szCs w:val="24"/>
        </w:rPr>
      </w:pPr>
      <w:r>
        <w:rPr>
          <w:rFonts w:hint="eastAsia" w:ascii="宋体" w:hAnsi="宋体"/>
          <w:b/>
          <w:bCs/>
          <w:szCs w:val="24"/>
        </w:rPr>
        <w:t>2、现场报名。在本项目招标文件获取时间期内，在成都市高新区天府三街288号大有智慧广场迈普大厦10楼1010室现场获取。获取招标文件时必须携带</w:t>
      </w:r>
      <w:r>
        <w:rPr>
          <w:rFonts w:hint="eastAsia" w:ascii="宋体" w:hAnsi="宋体"/>
          <w:szCs w:val="24"/>
        </w:rPr>
        <w:t>：</w:t>
      </w:r>
      <w:r>
        <w:rPr>
          <w:rFonts w:hint="eastAsia" w:ascii="宋体" w:hAnsi="宋体"/>
          <w:b/>
          <w:bCs/>
          <w:szCs w:val="24"/>
        </w:rPr>
        <w:t>1. 供应商为法人或者其他组织的提供加盖单位公章的介绍信原件和加盖单位公章的被介绍人身份证复印件（需注明项目名称及项目编号）；2.供应商为自然人的，只需提供本人身份证复印件。</w:t>
      </w:r>
    </w:p>
    <w:p>
      <w:pPr>
        <w:numPr>
          <w:ilvl w:val="0"/>
          <w:numId w:val="3"/>
        </w:numPr>
        <w:ind w:left="-14" w:firstLine="494" w:firstLineChars="0"/>
        <w:rPr>
          <w:rFonts w:ascii="宋体" w:hAnsi="宋体"/>
          <w:b/>
          <w:szCs w:val="24"/>
        </w:rPr>
      </w:pPr>
      <w:r>
        <w:rPr>
          <w:rFonts w:hint="eastAsia" w:ascii="宋体" w:hAnsi="宋体"/>
          <w:b/>
          <w:szCs w:val="24"/>
        </w:rPr>
        <w:t>投标截止时间及开标时间</w:t>
      </w:r>
      <w:bookmarkEnd w:id="20"/>
      <w:bookmarkEnd w:id="21"/>
      <w:bookmarkEnd w:id="22"/>
      <w:bookmarkEnd w:id="23"/>
      <w:bookmarkEnd w:id="24"/>
      <w:r>
        <w:rPr>
          <w:rFonts w:hint="eastAsia" w:ascii="宋体" w:hAnsi="宋体"/>
          <w:b/>
          <w:szCs w:val="24"/>
        </w:rPr>
        <w:t>(北京时间)</w:t>
      </w:r>
    </w:p>
    <w:p>
      <w:pPr>
        <w:numPr>
          <w:ilvl w:val="0"/>
          <w:numId w:val="8"/>
        </w:numPr>
        <w:snapToGrid w:val="0"/>
        <w:ind w:left="0" w:firstLine="492"/>
        <w:rPr>
          <w:rFonts w:ascii="宋体" w:hAnsi="宋体"/>
          <w:szCs w:val="24"/>
        </w:rPr>
      </w:pPr>
      <w:r>
        <w:rPr>
          <w:rFonts w:hint="eastAsia" w:ascii="宋体" w:hAnsi="宋体"/>
          <w:szCs w:val="24"/>
        </w:rPr>
        <w:t>投标截止时间及开标时间：</w:t>
      </w:r>
      <w:r>
        <w:rPr>
          <w:rFonts w:hint="eastAsia" w:ascii="宋体" w:hAnsi="宋体"/>
          <w:b/>
          <w:szCs w:val="24"/>
        </w:rPr>
        <w:t>2021年</w:t>
      </w:r>
      <w:r>
        <w:rPr>
          <w:rFonts w:hint="eastAsia" w:ascii="宋体" w:hAnsi="宋体"/>
          <w:b/>
          <w:szCs w:val="24"/>
          <w:lang w:val="en-US" w:eastAsia="zh-CN"/>
        </w:rPr>
        <w:t>7</w:t>
      </w:r>
      <w:r>
        <w:rPr>
          <w:rFonts w:hint="eastAsia" w:ascii="宋体" w:hAnsi="宋体"/>
          <w:b/>
          <w:szCs w:val="24"/>
        </w:rPr>
        <w:t>月</w:t>
      </w:r>
      <w:r>
        <w:rPr>
          <w:rFonts w:hint="eastAsia" w:ascii="宋体" w:hAnsi="宋体"/>
          <w:b/>
          <w:szCs w:val="24"/>
          <w:lang w:val="en-US" w:eastAsia="zh-CN"/>
        </w:rPr>
        <w:t>14</w:t>
      </w:r>
      <w:bookmarkStart w:id="458" w:name="_GoBack"/>
      <w:bookmarkEnd w:id="458"/>
      <w:r>
        <w:rPr>
          <w:rFonts w:hint="eastAsia" w:ascii="宋体" w:hAnsi="宋体"/>
          <w:b/>
          <w:szCs w:val="24"/>
        </w:rPr>
        <w:t>日上午10:30。</w:t>
      </w:r>
    </w:p>
    <w:p>
      <w:pPr>
        <w:numPr>
          <w:ilvl w:val="0"/>
          <w:numId w:val="8"/>
        </w:numPr>
        <w:snapToGrid w:val="0"/>
        <w:ind w:left="0" w:firstLine="492"/>
        <w:rPr>
          <w:rFonts w:ascii="宋体" w:hAnsi="宋体"/>
          <w:szCs w:val="24"/>
        </w:rPr>
      </w:pPr>
      <w:r>
        <w:rPr>
          <w:rFonts w:hint="eastAsia" w:ascii="宋体" w:hAnsi="宋体"/>
          <w:szCs w:val="24"/>
        </w:rPr>
        <w:t>投标文件应在开标当日投标截止时间前送达开标地点。逾期送达的投标文件不予接收。本次招标不接受以电子邮件、传真及邮寄方式递交的投标文件。</w:t>
      </w:r>
    </w:p>
    <w:p>
      <w:pPr>
        <w:numPr>
          <w:ilvl w:val="0"/>
          <w:numId w:val="3"/>
        </w:numPr>
        <w:ind w:left="-14" w:firstLine="494" w:firstLineChars="0"/>
        <w:rPr>
          <w:rFonts w:ascii="宋体" w:hAnsi="宋体"/>
          <w:b/>
          <w:szCs w:val="24"/>
        </w:rPr>
      </w:pPr>
      <w:r>
        <w:rPr>
          <w:rFonts w:hint="eastAsia" w:ascii="宋体" w:hAnsi="宋体"/>
          <w:b/>
          <w:szCs w:val="24"/>
        </w:rPr>
        <w:t>投标文件递交地点及开标地点</w:t>
      </w:r>
    </w:p>
    <w:p>
      <w:pPr>
        <w:snapToGrid w:val="0"/>
        <w:ind w:firstLine="492"/>
        <w:rPr>
          <w:rFonts w:ascii="宋体" w:hAnsi="宋体"/>
          <w:szCs w:val="24"/>
        </w:rPr>
      </w:pPr>
      <w:r>
        <w:rPr>
          <w:rFonts w:hint="eastAsia" w:ascii="宋体" w:hAnsi="宋体"/>
          <w:szCs w:val="24"/>
        </w:rPr>
        <w:t>成都市高新区天府三街288号大有智慧广场迈普大厦10楼1010室本项目开标室。</w:t>
      </w:r>
    </w:p>
    <w:p>
      <w:pPr>
        <w:numPr>
          <w:ilvl w:val="0"/>
          <w:numId w:val="3"/>
        </w:numPr>
        <w:ind w:left="-14" w:firstLine="494" w:firstLineChars="0"/>
        <w:rPr>
          <w:rFonts w:ascii="宋体" w:hAnsi="宋体"/>
          <w:b/>
          <w:szCs w:val="24"/>
        </w:rPr>
      </w:pPr>
      <w:r>
        <w:rPr>
          <w:rFonts w:hint="eastAsia" w:ascii="宋体" w:hAnsi="宋体"/>
          <w:b/>
          <w:szCs w:val="24"/>
        </w:rPr>
        <w:t>本投标邀请在“四川政府采购网”上以公告形式发布</w:t>
      </w:r>
    </w:p>
    <w:p>
      <w:pPr>
        <w:numPr>
          <w:ilvl w:val="0"/>
          <w:numId w:val="3"/>
        </w:numPr>
        <w:ind w:left="-14" w:firstLine="494" w:firstLineChars="0"/>
        <w:rPr>
          <w:rFonts w:ascii="宋体" w:hAnsi="宋体"/>
          <w:b/>
          <w:szCs w:val="24"/>
        </w:rPr>
      </w:pPr>
      <w:r>
        <w:rPr>
          <w:rFonts w:hint="eastAsia" w:ascii="宋体" w:hAnsi="宋体"/>
          <w:b/>
          <w:szCs w:val="24"/>
        </w:rPr>
        <w:t>联系方式</w:t>
      </w:r>
    </w:p>
    <w:p>
      <w:pPr>
        <w:pStyle w:val="181"/>
        <w:ind w:firstLine="492"/>
        <w:rPr>
          <w:rFonts w:ascii="宋体" w:hAnsi="宋体"/>
          <w:bCs/>
        </w:rPr>
      </w:pPr>
      <w:r>
        <w:rPr>
          <w:rFonts w:hint="eastAsia" w:ascii="宋体" w:hAnsi="宋体"/>
          <w:bCs/>
          <w:kern w:val="0"/>
        </w:rPr>
        <w:t>采购人：</w:t>
      </w:r>
      <w:r>
        <w:rPr>
          <w:rFonts w:hint="eastAsia" w:ascii="宋体" w:hAnsi="宋体"/>
          <w:bCs/>
        </w:rPr>
        <w:t>成都市龙泉驿区水务局</w:t>
      </w:r>
    </w:p>
    <w:p>
      <w:pPr>
        <w:pStyle w:val="181"/>
        <w:ind w:firstLine="494" w:firstLineChars="202"/>
        <w:rPr>
          <w:rFonts w:ascii="宋体" w:hAnsi="宋体"/>
          <w:kern w:val="0"/>
        </w:rPr>
      </w:pPr>
      <w:r>
        <w:rPr>
          <w:rFonts w:hint="eastAsia" w:ascii="宋体" w:hAnsi="宋体"/>
          <w:kern w:val="0"/>
        </w:rPr>
        <w:t>地  址：</w:t>
      </w:r>
      <w:bookmarkStart w:id="25" w:name="单位地址"/>
      <w:r>
        <w:rPr>
          <w:rFonts w:hint="eastAsia" w:ascii="宋体" w:hAnsi="宋体"/>
          <w:kern w:val="0"/>
        </w:rPr>
        <w:t>成都市</w:t>
      </w:r>
      <w:bookmarkEnd w:id="25"/>
      <w:r>
        <w:rPr>
          <w:rFonts w:hint="eastAsia" w:ascii="宋体" w:hAnsi="宋体"/>
          <w:kern w:val="0"/>
        </w:rPr>
        <w:t>龙泉驿区北泉路27号</w:t>
      </w:r>
    </w:p>
    <w:p>
      <w:pPr>
        <w:pStyle w:val="181"/>
        <w:ind w:firstLine="494" w:firstLineChars="202"/>
        <w:rPr>
          <w:rFonts w:ascii="宋体" w:hAnsi="宋体"/>
          <w:kern w:val="0"/>
        </w:rPr>
      </w:pPr>
      <w:r>
        <w:rPr>
          <w:rFonts w:hint="eastAsia" w:ascii="宋体" w:hAnsi="宋体"/>
          <w:kern w:val="0"/>
        </w:rPr>
        <w:t>联系人：张老师</w:t>
      </w:r>
    </w:p>
    <w:p>
      <w:pPr>
        <w:pStyle w:val="181"/>
        <w:ind w:firstLine="494" w:firstLineChars="202"/>
        <w:rPr>
          <w:rFonts w:ascii="宋体" w:hAnsi="宋体"/>
        </w:rPr>
      </w:pPr>
      <w:r>
        <w:rPr>
          <w:rFonts w:hint="eastAsia" w:ascii="宋体" w:hAnsi="宋体"/>
          <w:kern w:val="0"/>
        </w:rPr>
        <w:t>联系电话：</w:t>
      </w:r>
      <w:r>
        <w:rPr>
          <w:rFonts w:ascii="宋体" w:hAnsi="宋体"/>
          <w:kern w:val="0"/>
        </w:rPr>
        <w:t>028-86377657</w:t>
      </w:r>
    </w:p>
    <w:p>
      <w:pPr>
        <w:pStyle w:val="181"/>
        <w:ind w:firstLine="492"/>
        <w:rPr>
          <w:rFonts w:ascii="宋体" w:hAnsi="宋体"/>
          <w:kern w:val="0"/>
        </w:rPr>
      </w:pPr>
      <w:r>
        <w:rPr>
          <w:rFonts w:hint="eastAsia" w:ascii="宋体" w:hAnsi="宋体"/>
          <w:kern w:val="0"/>
        </w:rPr>
        <w:t xml:space="preserve">采购代理机构：四川世科工程咨询有限公司 </w:t>
      </w:r>
    </w:p>
    <w:p>
      <w:pPr>
        <w:pStyle w:val="181"/>
        <w:ind w:firstLine="492"/>
        <w:rPr>
          <w:rFonts w:ascii="宋体" w:hAnsi="宋体"/>
          <w:kern w:val="0"/>
        </w:rPr>
      </w:pPr>
      <w:r>
        <w:rPr>
          <w:rFonts w:hint="eastAsia" w:ascii="宋体" w:hAnsi="宋体"/>
          <w:kern w:val="0"/>
        </w:rPr>
        <w:t>地    址：成都市高新区天府三街288号大有智慧广场迈普大厦10楼1010室</w:t>
      </w:r>
    </w:p>
    <w:p>
      <w:pPr>
        <w:pStyle w:val="181"/>
        <w:ind w:firstLine="492"/>
        <w:rPr>
          <w:rFonts w:ascii="宋体" w:hAnsi="宋体"/>
          <w:kern w:val="0"/>
        </w:rPr>
      </w:pPr>
      <w:r>
        <w:rPr>
          <w:rFonts w:hint="eastAsia" w:ascii="宋体" w:hAnsi="宋体"/>
          <w:kern w:val="0"/>
        </w:rPr>
        <w:t>联 系 人：高老师</w:t>
      </w:r>
    </w:p>
    <w:p>
      <w:pPr>
        <w:pStyle w:val="181"/>
        <w:ind w:firstLine="492"/>
        <w:rPr>
          <w:rFonts w:ascii="宋体" w:hAnsi="宋体"/>
          <w:kern w:val="0"/>
        </w:rPr>
      </w:pPr>
      <w:r>
        <w:rPr>
          <w:rFonts w:hint="eastAsia" w:ascii="宋体" w:hAnsi="宋体"/>
          <w:kern w:val="0"/>
        </w:rPr>
        <w:t xml:space="preserve">联系电话：028-61032618转8005 </w:t>
      </w:r>
    </w:p>
    <w:p>
      <w:pPr>
        <w:pStyle w:val="181"/>
        <w:ind w:firstLine="492"/>
        <w:rPr>
          <w:rFonts w:ascii="宋体" w:hAnsi="宋体"/>
          <w:kern w:val="0"/>
        </w:rPr>
      </w:pPr>
      <w:r>
        <w:rPr>
          <w:rFonts w:hint="eastAsia" w:ascii="宋体" w:hAnsi="宋体"/>
          <w:kern w:val="0"/>
        </w:rPr>
        <w:t>传    真：028-61032618</w:t>
      </w: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181"/>
        <w:spacing w:line="460" w:lineRule="exact"/>
        <w:ind w:firstLine="575" w:firstLineChars="202"/>
        <w:rPr>
          <w:rFonts w:ascii="宋体" w:hAnsi="宋体"/>
          <w:kern w:val="0"/>
          <w:sz w:val="28"/>
          <w:szCs w:val="22"/>
        </w:rPr>
      </w:pPr>
    </w:p>
    <w:p>
      <w:pPr>
        <w:pStyle w:val="3"/>
      </w:pPr>
      <w:bookmarkStart w:id="26" w:name="_Toc19869"/>
      <w:bookmarkStart w:id="27" w:name="_Toc23511"/>
      <w:bookmarkStart w:id="28" w:name="_Toc32385"/>
      <w:bookmarkStart w:id="29" w:name="_Toc15593"/>
      <w:r>
        <w:rPr>
          <w:rFonts w:hint="eastAsia"/>
        </w:rPr>
        <w:t>投标人须知</w:t>
      </w:r>
      <w:bookmarkEnd w:id="26"/>
      <w:bookmarkEnd w:id="27"/>
      <w:bookmarkEnd w:id="28"/>
      <w:bookmarkEnd w:id="29"/>
    </w:p>
    <w:p>
      <w:pPr>
        <w:pStyle w:val="4"/>
      </w:pPr>
      <w:bookmarkStart w:id="30" w:name="_Toc213397010"/>
      <w:bookmarkStart w:id="31" w:name="_Toc217446032"/>
      <w:bookmarkStart w:id="32" w:name="_Toc26018"/>
      <w:bookmarkStart w:id="33" w:name="_Toc8015"/>
      <w:bookmarkStart w:id="34" w:name="_Toc213396946"/>
      <w:bookmarkStart w:id="35" w:name="_Toc213396760"/>
      <w:bookmarkStart w:id="36" w:name="_Toc189727030"/>
      <w:bookmarkStart w:id="37" w:name="_Toc993"/>
      <w:bookmarkStart w:id="38" w:name="_Toc10412"/>
      <w:bookmarkStart w:id="39" w:name="_Toc316462344"/>
      <w:bookmarkStart w:id="40" w:name="_Toc213496268"/>
      <w:r>
        <w:rPr>
          <w:rFonts w:hint="eastAsia"/>
        </w:rPr>
        <w:t>投标人须知附表</w:t>
      </w:r>
      <w:bookmarkEnd w:id="30"/>
      <w:bookmarkEnd w:id="31"/>
      <w:bookmarkEnd w:id="32"/>
      <w:bookmarkEnd w:id="33"/>
      <w:bookmarkEnd w:id="34"/>
      <w:bookmarkEnd w:id="35"/>
      <w:bookmarkEnd w:id="36"/>
      <w:bookmarkEnd w:id="37"/>
      <w:bookmarkEnd w:id="38"/>
      <w:bookmarkEnd w:id="39"/>
      <w:bookmarkEnd w:id="40"/>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84"/>
        <w:gridCol w:w="68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exact"/>
          <w:jc w:val="center"/>
        </w:trPr>
        <w:tc>
          <w:tcPr>
            <w:tcW w:w="884" w:type="dxa"/>
            <w:shd w:val="clear" w:color="auto" w:fill="auto"/>
            <w:vAlign w:val="center"/>
          </w:tcPr>
          <w:p>
            <w:pPr>
              <w:snapToGrid w:val="0"/>
              <w:ind w:firstLine="0" w:firstLineChars="0"/>
              <w:jc w:val="center"/>
              <w:rPr>
                <w:rFonts w:ascii="宋体" w:hAnsi="宋体" w:cs="宋体"/>
                <w:b/>
                <w:szCs w:val="24"/>
              </w:rPr>
            </w:pPr>
            <w:r>
              <w:rPr>
                <w:rFonts w:hint="eastAsia" w:ascii="宋体" w:hAnsi="宋体" w:cs="宋体"/>
                <w:b/>
                <w:szCs w:val="24"/>
                <w:lang w:val="zh-CN"/>
              </w:rPr>
              <w:t>序号</w:t>
            </w:r>
          </w:p>
        </w:tc>
        <w:tc>
          <w:tcPr>
            <w:tcW w:w="1784" w:type="dxa"/>
            <w:shd w:val="clear" w:color="auto" w:fill="auto"/>
            <w:vAlign w:val="center"/>
          </w:tcPr>
          <w:p>
            <w:pPr>
              <w:pStyle w:val="152"/>
              <w:spacing w:line="360" w:lineRule="auto"/>
              <w:jc w:val="center"/>
              <w:rPr>
                <w:b/>
                <w:lang w:val="zh-CN"/>
              </w:rPr>
            </w:pPr>
            <w:r>
              <w:rPr>
                <w:rFonts w:hint="eastAsia"/>
                <w:b/>
                <w:lang w:val="zh-CN"/>
              </w:rPr>
              <w:t>应知事项</w:t>
            </w:r>
          </w:p>
        </w:tc>
        <w:tc>
          <w:tcPr>
            <w:tcW w:w="6838" w:type="dxa"/>
            <w:shd w:val="clear" w:color="auto" w:fill="auto"/>
            <w:vAlign w:val="center"/>
          </w:tcPr>
          <w:p>
            <w:pPr>
              <w:pStyle w:val="152"/>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5" w:hRule="exac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ind w:firstLine="0" w:firstLineChars="0"/>
              <w:rPr>
                <w:rFonts w:ascii="宋体" w:hAnsi="宋体" w:cs="宋体"/>
                <w:sz w:val="21"/>
                <w:szCs w:val="21"/>
                <w:lang w:val="zh-CN"/>
              </w:rPr>
            </w:pPr>
            <w:r>
              <w:rPr>
                <w:rFonts w:hint="eastAsia" w:ascii="宋体" w:hAnsi="宋体" w:cs="宋体"/>
                <w:sz w:val="21"/>
                <w:szCs w:val="21"/>
              </w:rPr>
              <w:t>采购预算（实质性要求）</w:t>
            </w:r>
          </w:p>
        </w:tc>
        <w:tc>
          <w:tcPr>
            <w:tcW w:w="6838" w:type="dxa"/>
            <w:shd w:val="clear" w:color="auto" w:fill="auto"/>
            <w:vAlign w:val="center"/>
          </w:tcPr>
          <w:p>
            <w:pPr>
              <w:ind w:firstLine="0" w:firstLineChars="0"/>
              <w:rPr>
                <w:rFonts w:ascii="宋体" w:hAnsi="宋体" w:cs="宋体"/>
                <w:b/>
                <w:sz w:val="21"/>
                <w:szCs w:val="21"/>
                <w:lang w:val="zh-CN"/>
              </w:rPr>
            </w:pPr>
            <w:r>
              <w:rPr>
                <w:rFonts w:hint="eastAsia" w:ascii="宋体" w:hAnsi="宋体" w:cs="宋体"/>
                <w:kern w:val="0"/>
                <w:sz w:val="21"/>
                <w:szCs w:val="21"/>
              </w:rPr>
              <w:t>本项目采购预算为：</w:t>
            </w:r>
            <w:r>
              <w:rPr>
                <w:rFonts w:hint="eastAsia" w:ascii="宋体" w:hAnsi="宋体"/>
                <w:szCs w:val="24"/>
              </w:rPr>
              <w:t>3000</w:t>
            </w:r>
            <w:r>
              <w:rPr>
                <w:rFonts w:hint="eastAsia" w:ascii="宋体" w:hAnsi="宋体" w:cs="宋体"/>
                <w:szCs w:val="24"/>
              </w:rPr>
              <w:t>万</w:t>
            </w:r>
            <w:r>
              <w:rPr>
                <w:rFonts w:hint="eastAsia" w:ascii="宋体" w:hAnsi="宋体"/>
                <w:szCs w:val="24"/>
              </w:rPr>
              <w:t>元（</w:t>
            </w:r>
            <w:r>
              <w:rPr>
                <w:rFonts w:hint="eastAsia" w:ascii="宋体" w:hAnsi="宋体" w:cs="宋体"/>
                <w:bCs/>
                <w:szCs w:val="24"/>
              </w:rPr>
              <w:t>其中包件1预算金额：1500万元；包件2预算金额：1500万元</w:t>
            </w:r>
            <w:r>
              <w:rPr>
                <w:rFonts w:hint="eastAsia" w:ascii="宋体" w:hAnsi="宋体"/>
                <w:szCs w:val="24"/>
              </w:rPr>
              <w:t>）</w:t>
            </w:r>
            <w:r>
              <w:rPr>
                <w:rFonts w:hint="eastAsia" w:ascii="宋体" w:hAnsi="宋体" w:cs="宋体"/>
                <w:kern w:val="0"/>
                <w:sz w:val="21"/>
                <w:szCs w:val="21"/>
              </w:rPr>
              <w:t>，各包报价超过该包件采购预算的，该包件投标为无效投标。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30" w:hRule="exac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ind w:firstLine="0" w:firstLineChars="0"/>
              <w:jc w:val="both"/>
              <w:rPr>
                <w:rFonts w:ascii="宋体" w:hAnsi="宋体" w:cs="宋体"/>
                <w:szCs w:val="24"/>
                <w:lang w:val="zh-CN"/>
              </w:rPr>
            </w:pPr>
            <w:r>
              <w:rPr>
                <w:rFonts w:hint="eastAsia" w:ascii="宋体" w:hAnsi="宋体" w:cs="宋体"/>
                <w:szCs w:val="24"/>
              </w:rPr>
              <w:t>低于成本价不正当竞争预防措施（实质性要求）</w:t>
            </w:r>
          </w:p>
        </w:tc>
        <w:tc>
          <w:tcPr>
            <w:tcW w:w="6838" w:type="dxa"/>
            <w:shd w:val="clear" w:color="auto" w:fill="auto"/>
            <w:vAlign w:val="center"/>
          </w:tcPr>
          <w:p>
            <w:pPr>
              <w:pStyle w:val="39"/>
              <w:spacing w:beforeAutospacing="0" w:afterAutospacing="0"/>
              <w:ind w:firstLine="0" w:firstLineChars="0"/>
              <w:jc w:val="both"/>
              <w:rPr>
                <w:rFonts w:cs="宋体"/>
                <w:color w:val="auto"/>
              </w:rPr>
            </w:pP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2"/>
              <w:spacing w:line="360" w:lineRule="auto"/>
              <w:jc w:val="both"/>
              <w:rPr>
                <w:lang w:val="zh-CN"/>
              </w:rPr>
            </w:pPr>
            <w:r>
              <w:rPr>
                <w:rFonts w:hint="eastAsia"/>
              </w:rPr>
              <w:t>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w:t>
            </w:r>
            <w:r>
              <w:rPr>
                <w:rFonts w:hint="eastAsia"/>
                <w:lang w:val="zh-CN"/>
              </w:rPr>
              <w:t>需提供完整的财务状况报告（含三表一附注）】</w:t>
            </w:r>
          </w:p>
          <w:p>
            <w:pPr>
              <w:pStyle w:val="152"/>
              <w:spacing w:line="360" w:lineRule="auto"/>
              <w:jc w:val="both"/>
              <w:rPr>
                <w:lang w:val="zh-CN"/>
              </w:rPr>
            </w:pPr>
            <w:r>
              <w:rPr>
                <w:rFonts w:hint="eastAsia"/>
                <w:lang w:val="zh-CN"/>
              </w:rPr>
              <w:t>供应商书面说明应当签字确认或者加盖单位公章，否则无效。书面说明的签字确认，供应商为法人的，由其法定代表人或者代理人签字确认；供应商为其他组织的，由其主要负责人或者代理人签字确认；供应商为自然人的，由其本人或者代理人签字确认。</w:t>
            </w:r>
          </w:p>
          <w:p>
            <w:pPr>
              <w:ind w:left="0" w:leftChars="0" w:firstLine="0" w:firstLineChars="0"/>
              <w:rPr>
                <w:rFonts w:ascii="宋体" w:hAnsi="宋体" w:cs="宋体"/>
                <w:b/>
                <w:szCs w:val="24"/>
                <w:lang w:val="zh-CN"/>
              </w:rPr>
            </w:pPr>
            <w:r>
              <w:rPr>
                <w:rFonts w:hint="eastAsia" w:ascii="宋体" w:hAnsi="宋体" w:cs="宋体"/>
                <w:szCs w:val="24"/>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95" w:hRule="exac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pStyle w:val="152"/>
              <w:spacing w:line="360" w:lineRule="auto"/>
              <w:jc w:val="both"/>
            </w:pPr>
            <w:r>
              <w:rPr>
                <w:rFonts w:hint="eastAsia"/>
                <w:kern w:val="2"/>
                <w:lang w:val="zh-CN"/>
              </w:rPr>
              <w:t>小微企业价格扣除</w:t>
            </w:r>
          </w:p>
        </w:tc>
        <w:tc>
          <w:tcPr>
            <w:tcW w:w="6838" w:type="dxa"/>
            <w:shd w:val="clear" w:color="auto" w:fill="auto"/>
            <w:vAlign w:val="center"/>
          </w:tcPr>
          <w:p>
            <w:pPr>
              <w:pStyle w:val="152"/>
              <w:spacing w:line="360" w:lineRule="auto"/>
              <w:jc w:val="both"/>
              <w:rPr>
                <w:kern w:val="2"/>
                <w:lang w:val="zh-CN"/>
              </w:rPr>
            </w:pPr>
            <w:r>
              <w:rPr>
                <w:rFonts w:hint="eastAsia"/>
                <w:kern w:val="2"/>
                <w:lang w:val="zh-CN"/>
              </w:rPr>
              <w:t>一、小微企业价格扣除</w:t>
            </w:r>
          </w:p>
          <w:p>
            <w:pPr>
              <w:pStyle w:val="152"/>
              <w:spacing w:line="360" w:lineRule="auto"/>
              <w:jc w:val="both"/>
              <w:rPr>
                <w:kern w:val="2"/>
                <w:lang w:val="zh-CN"/>
              </w:rPr>
            </w:pPr>
            <w:r>
              <w:rPr>
                <w:rFonts w:hint="eastAsia"/>
                <w:kern w:val="2"/>
                <w:lang w:val="zh-CN"/>
              </w:rPr>
              <w:t>1、根据《政府采购促进中小企业发展暂行办法》（财库</w:t>
            </w:r>
            <w:r>
              <w:rPr>
                <w:rFonts w:hint="eastAsia" w:cs="宋体"/>
                <w:b w:val="0"/>
                <w:bCs w:val="0"/>
                <w:sz w:val="24"/>
                <w:szCs w:val="24"/>
              </w:rPr>
              <w:t>﹝20</w:t>
            </w:r>
            <w:r>
              <w:rPr>
                <w:rFonts w:hint="eastAsia" w:cs="宋体"/>
                <w:b w:val="0"/>
                <w:bCs w:val="0"/>
                <w:sz w:val="24"/>
                <w:szCs w:val="24"/>
                <w:lang w:val="en-US" w:eastAsia="zh-CN"/>
              </w:rPr>
              <w:t>20</w:t>
            </w:r>
            <w:r>
              <w:rPr>
                <w:rFonts w:hint="eastAsia" w:cs="宋体"/>
                <w:b w:val="0"/>
                <w:bCs w:val="0"/>
                <w:sz w:val="24"/>
                <w:szCs w:val="24"/>
              </w:rPr>
              <w:t>﹞</w:t>
            </w:r>
            <w:r>
              <w:rPr>
                <w:rFonts w:hint="eastAsia"/>
                <w:kern w:val="2"/>
              </w:rPr>
              <w:t>046</w:t>
            </w:r>
            <w:r>
              <w:rPr>
                <w:rFonts w:hint="eastAsia"/>
                <w:kern w:val="2"/>
                <w:lang w:val="zh-CN"/>
              </w:rPr>
              <w:t>号）的规定，对小型和微型企业给予</w:t>
            </w:r>
            <w:r>
              <w:rPr>
                <w:rFonts w:hint="eastAsia"/>
                <w:kern w:val="2"/>
              </w:rPr>
              <w:t>10</w:t>
            </w:r>
            <w:r>
              <w:rPr>
                <w:rFonts w:hint="eastAsia"/>
                <w:kern w:val="2"/>
                <w:lang w:val="zh-CN"/>
              </w:rPr>
              <w:t>%的价格扣除，用扣除后的价格参与评标。</w:t>
            </w:r>
          </w:p>
          <w:p>
            <w:pPr>
              <w:pStyle w:val="152"/>
              <w:spacing w:line="360" w:lineRule="auto"/>
              <w:jc w:val="both"/>
            </w:pPr>
            <w:r>
              <w:rPr>
                <w:rFonts w:hint="eastAsia"/>
                <w:kern w:val="2"/>
                <w:lang w:val="zh-CN"/>
              </w:rPr>
              <w:t>2、参加政府采购活动的中小企业应当提供《中小企业声明函》原件。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90" w:hRule="exac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pStyle w:val="152"/>
              <w:spacing w:line="360" w:lineRule="auto"/>
              <w:jc w:val="both"/>
            </w:pPr>
            <w:r>
              <w:rPr>
                <w:rFonts w:hint="eastAsia"/>
                <w:lang w:val="zh-CN"/>
              </w:rPr>
              <w:t>监狱企业</w:t>
            </w:r>
          </w:p>
        </w:tc>
        <w:tc>
          <w:tcPr>
            <w:tcW w:w="6838" w:type="dxa"/>
            <w:shd w:val="clear" w:color="auto" w:fill="auto"/>
            <w:vAlign w:val="center"/>
          </w:tcPr>
          <w:p>
            <w:pPr>
              <w:widowControl/>
              <w:ind w:firstLine="0" w:firstLineChars="0"/>
              <w:rPr>
                <w:rFonts w:ascii="宋体" w:hAnsi="宋体" w:cs="宋体"/>
                <w:kern w:val="0"/>
                <w:szCs w:val="24"/>
                <w:lang w:val="zh-CN"/>
              </w:rPr>
            </w:pPr>
            <w:r>
              <w:rPr>
                <w:rFonts w:hint="eastAsia" w:ascii="宋体" w:hAnsi="宋体" w:cs="宋体"/>
                <w:kern w:val="0"/>
                <w:szCs w:val="24"/>
                <w:lang w:val="zh-CN"/>
              </w:rPr>
              <w:t>１、根据《关于政府采购支持监狱企业发展有关问题的通知》（财库[2014]68号）的规定，对监狱企业给予</w:t>
            </w:r>
            <w:r>
              <w:rPr>
                <w:rFonts w:hint="eastAsia" w:ascii="宋体" w:hAnsi="宋体" w:cs="宋体"/>
                <w:kern w:val="0"/>
                <w:szCs w:val="24"/>
              </w:rPr>
              <w:t>10</w:t>
            </w:r>
            <w:r>
              <w:rPr>
                <w:rFonts w:hint="eastAsia" w:ascii="宋体" w:hAnsi="宋体" w:cs="宋体"/>
                <w:kern w:val="0"/>
                <w:szCs w:val="24"/>
                <w:lang w:val="zh-CN"/>
              </w:rPr>
              <w:t>%的价格扣除，用扣除后的价格参与评标。</w:t>
            </w:r>
          </w:p>
          <w:p>
            <w:pPr>
              <w:widowControl/>
              <w:ind w:firstLine="0" w:firstLineChars="0"/>
              <w:rPr>
                <w:rFonts w:ascii="宋体" w:hAnsi="宋体" w:cs="宋体"/>
                <w:szCs w:val="24"/>
              </w:rPr>
            </w:pPr>
            <w:r>
              <w:rPr>
                <w:rFonts w:hint="eastAsia" w:ascii="宋体" w:hAnsi="宋体" w:cs="宋体"/>
                <w:kern w:val="0"/>
                <w:szCs w:val="24"/>
                <w:lang w:val="zh-CN"/>
              </w:rPr>
              <w:t>２、监狱企业应提供由省级以上监狱管理局、戒毒管理局（含新疆生产建设兵团）出具的生产厂商属于监狱企业的证明文件复印件。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0" w:hRule="exac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pStyle w:val="152"/>
              <w:spacing w:line="360" w:lineRule="auto"/>
              <w:jc w:val="both"/>
            </w:pPr>
            <w:r>
              <w:rPr>
                <w:rFonts w:hint="eastAsia"/>
                <w:lang w:val="zh-CN"/>
              </w:rPr>
              <w:t>残疾人福利性单位</w:t>
            </w:r>
          </w:p>
        </w:tc>
        <w:tc>
          <w:tcPr>
            <w:tcW w:w="6838" w:type="dxa"/>
            <w:shd w:val="clear" w:color="auto" w:fill="auto"/>
            <w:vAlign w:val="center"/>
          </w:tcPr>
          <w:p>
            <w:pPr>
              <w:widowControl/>
              <w:ind w:firstLine="0" w:firstLineChars="0"/>
              <w:rPr>
                <w:rFonts w:ascii="宋体" w:hAnsi="宋体" w:cs="宋体"/>
                <w:kern w:val="0"/>
                <w:szCs w:val="24"/>
                <w:lang w:val="zh-CN"/>
              </w:rPr>
            </w:pPr>
            <w:r>
              <w:rPr>
                <w:rFonts w:hint="eastAsia" w:ascii="宋体" w:hAnsi="宋体" w:cs="宋体"/>
                <w:kern w:val="0"/>
                <w:szCs w:val="24"/>
                <w:lang w:val="zh-CN"/>
              </w:rPr>
              <w:t>1、根据《三部门联合发布关于促进残疾人就业政府采购政策的通知》（财库</w:t>
            </w:r>
            <w:r>
              <w:rPr>
                <w:rFonts w:hint="eastAsia" w:cs="宋体"/>
                <w:b w:val="0"/>
                <w:bCs w:val="0"/>
                <w:sz w:val="24"/>
                <w:szCs w:val="24"/>
              </w:rPr>
              <w:t>﹝201</w:t>
            </w:r>
            <w:r>
              <w:rPr>
                <w:rFonts w:hint="eastAsia" w:cs="宋体"/>
                <w:b w:val="0"/>
                <w:bCs w:val="0"/>
                <w:sz w:val="24"/>
                <w:szCs w:val="24"/>
                <w:lang w:val="en-US" w:eastAsia="zh-CN"/>
              </w:rPr>
              <w:t>7</w:t>
            </w:r>
            <w:r>
              <w:rPr>
                <w:rFonts w:hint="eastAsia" w:cs="宋体"/>
                <w:b w:val="0"/>
                <w:bCs w:val="0"/>
                <w:sz w:val="24"/>
                <w:szCs w:val="24"/>
              </w:rPr>
              <w:t>﹞</w:t>
            </w:r>
            <w:r>
              <w:rPr>
                <w:rFonts w:hint="eastAsia" w:ascii="宋体" w:hAnsi="宋体" w:cs="宋体"/>
                <w:kern w:val="0"/>
                <w:szCs w:val="24"/>
                <w:lang w:val="zh-CN"/>
              </w:rPr>
              <w:t>141号）的规定，残疾人福利性单位视同小型和微型企业，对残疾人福利性单位给予</w:t>
            </w:r>
            <w:r>
              <w:rPr>
                <w:rFonts w:hint="eastAsia" w:ascii="宋体" w:hAnsi="宋体" w:cs="宋体"/>
                <w:kern w:val="0"/>
                <w:szCs w:val="24"/>
              </w:rPr>
              <w:t>10</w:t>
            </w:r>
            <w:r>
              <w:rPr>
                <w:rFonts w:hint="eastAsia" w:ascii="宋体" w:hAnsi="宋体" w:cs="宋体"/>
                <w:kern w:val="0"/>
                <w:szCs w:val="24"/>
                <w:lang w:val="zh-CN"/>
              </w:rPr>
              <w:t>%的价格扣除，用扣除后的价格参与评标。</w:t>
            </w:r>
          </w:p>
          <w:p>
            <w:pPr>
              <w:widowControl/>
              <w:ind w:firstLine="0" w:firstLineChars="0"/>
              <w:rPr>
                <w:rFonts w:ascii="宋体" w:hAnsi="宋体" w:cs="宋体"/>
                <w:szCs w:val="24"/>
              </w:rPr>
            </w:pPr>
            <w:r>
              <w:rPr>
                <w:rFonts w:hint="eastAsia" w:ascii="宋体" w:hAnsi="宋体" w:cs="宋体"/>
                <w:kern w:val="0"/>
                <w:szCs w:val="24"/>
                <w:lang w:val="zh-CN"/>
              </w:rPr>
              <w:t>2、投标人应提供《残疾人福利性单位声明函》原件。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shd w:val="clear" w:color="auto" w:fill="auto"/>
            <w:vAlign w:val="center"/>
          </w:tcPr>
          <w:p>
            <w:pPr>
              <w:pStyle w:val="152"/>
              <w:spacing w:line="380" w:lineRule="exact"/>
              <w:jc w:val="both"/>
              <w:rPr>
                <w:kern w:val="2"/>
              </w:rPr>
            </w:pPr>
            <w:r>
              <w:rPr>
                <w:rFonts w:hint="eastAsia"/>
                <w:kern w:val="2"/>
                <w:lang w:val="zh-CN"/>
              </w:rPr>
              <w:t>失信企业</w:t>
            </w:r>
            <w:r>
              <w:rPr>
                <w:rFonts w:hint="eastAsia"/>
                <w:kern w:val="2"/>
              </w:rPr>
              <w:t>惩戒措施</w:t>
            </w:r>
          </w:p>
          <w:p>
            <w:pPr>
              <w:pStyle w:val="152"/>
              <w:spacing w:line="360" w:lineRule="auto"/>
              <w:jc w:val="both"/>
              <w:rPr>
                <w:lang w:val="zh-CN"/>
              </w:rPr>
            </w:pPr>
          </w:p>
        </w:tc>
        <w:tc>
          <w:tcPr>
            <w:tcW w:w="6838" w:type="dxa"/>
            <w:shd w:val="clear" w:color="auto" w:fill="auto"/>
            <w:vAlign w:val="center"/>
          </w:tcPr>
          <w:p>
            <w:pPr>
              <w:ind w:firstLine="492"/>
              <w:rPr>
                <w:rFonts w:ascii="宋体" w:hAnsi="宋体" w:cs="宋体"/>
                <w:kern w:val="0"/>
                <w:szCs w:val="24"/>
                <w:lang w:val="zh-CN"/>
              </w:rPr>
            </w:pPr>
            <w:r>
              <w:rPr>
                <w:rFonts w:hint="eastAsia"/>
              </w:rPr>
              <w:t>严格按照《四川省公共资源交易领域严重失信联合惩戒实施办法》（川发改信用规</w:t>
            </w:r>
            <w:r>
              <w:rPr>
                <w:rFonts w:hint="eastAsia" w:cs="宋体"/>
                <w:b w:val="0"/>
                <w:bCs w:val="0"/>
                <w:sz w:val="24"/>
                <w:szCs w:val="24"/>
              </w:rPr>
              <w:t>﹝201</w:t>
            </w:r>
            <w:r>
              <w:rPr>
                <w:rFonts w:hint="eastAsia" w:cs="宋体"/>
                <w:b w:val="0"/>
                <w:bCs w:val="0"/>
                <w:sz w:val="24"/>
                <w:szCs w:val="24"/>
                <w:lang w:val="en-US" w:eastAsia="zh-CN"/>
              </w:rPr>
              <w:t>9</w:t>
            </w:r>
            <w:r>
              <w:rPr>
                <w:rFonts w:hint="eastAsia" w:cs="宋体"/>
                <w:b w:val="0"/>
                <w:bCs w:val="0"/>
                <w:sz w:val="24"/>
                <w:szCs w:val="24"/>
              </w:rPr>
              <w:t>﹞</w:t>
            </w:r>
            <w:r>
              <w:rPr>
                <w:rFonts w:hint="eastAsia"/>
              </w:rPr>
              <w:t>405号）、《关于对政府采购领域严重违法失信主体开展联合惩戒的合作备案录》（发改财经</w:t>
            </w:r>
            <w:r>
              <w:rPr>
                <w:rFonts w:hint="eastAsia" w:cs="宋体"/>
                <w:b w:val="0"/>
                <w:bCs w:val="0"/>
                <w:sz w:val="24"/>
                <w:szCs w:val="24"/>
              </w:rPr>
              <w:t>﹝2018﹞</w:t>
            </w:r>
            <w:r>
              <w:rPr>
                <w:rFonts w:hint="eastAsia"/>
              </w:rPr>
              <w:t>1614号）等相关文件的规定执行。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rPr>
                <w:rFonts w:ascii="宋体" w:hAnsi="宋体" w:cs="宋体"/>
                <w:szCs w:val="24"/>
                <w:lang w:val="zh-CN"/>
              </w:rPr>
            </w:pPr>
            <w:r>
              <w:rPr>
                <w:rFonts w:hint="eastAsia" w:ascii="宋体" w:hAnsi="宋体" w:cs="宋体"/>
                <w:kern w:val="0"/>
                <w:szCs w:val="24"/>
              </w:rPr>
              <w:t>评标情况公告</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widowControl/>
              <w:ind w:firstLine="0" w:firstLineChars="0"/>
              <w:rPr>
                <w:rFonts w:ascii="宋体" w:hAnsi="宋体" w:cs="宋体"/>
                <w:szCs w:val="24"/>
                <w:lang w:val="zh-CN"/>
              </w:rPr>
            </w:pPr>
            <w:r>
              <w:rPr>
                <w:rFonts w:hint="eastAsia" w:ascii="宋体" w:hAnsi="宋体" w:cs="宋体"/>
                <w:kern w:val="0"/>
                <w:szCs w:val="24"/>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szCs w:val="24"/>
                <w:lang w:val="zh-CN"/>
              </w:rPr>
            </w:pPr>
            <w:r>
              <w:rPr>
                <w:rFonts w:hint="eastAsia" w:ascii="宋体" w:hAnsi="宋体" w:cs="宋体"/>
                <w:szCs w:val="24"/>
                <w:lang w:val="zh-CN"/>
              </w:rPr>
              <w:t>投标保证金</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ind w:firstLine="0" w:firstLineChars="0"/>
              <w:outlineLvl w:val="5"/>
              <w:rPr>
                <w:rFonts w:ascii="宋体" w:hAnsi="宋体" w:cs="宋体"/>
                <w:szCs w:val="24"/>
                <w:lang w:val="zh-CN"/>
              </w:rPr>
            </w:pPr>
            <w:r>
              <w:rPr>
                <w:rFonts w:hint="eastAsia" w:ascii="宋体" w:hAnsi="宋体" w:cs="宋体"/>
                <w:szCs w:val="24"/>
                <w:lang w:val="zh-CN"/>
              </w:rPr>
              <w:t>本项目无投标保证金。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szCs w:val="24"/>
              </w:rPr>
            </w:pPr>
            <w:r>
              <w:rPr>
                <w:rFonts w:hint="eastAsia" w:ascii="宋体" w:hAnsi="宋体" w:cs="宋体"/>
                <w:szCs w:val="24"/>
                <w:lang w:val="zh-CN"/>
              </w:rPr>
              <w:t>履约保证金</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adjustRightInd w:val="0"/>
              <w:ind w:firstLine="0" w:firstLineChars="0"/>
              <w:rPr>
                <w:rFonts w:hint="eastAsia"/>
                <w:lang w:val="en-US" w:eastAsia="zh-CN"/>
              </w:rPr>
            </w:pPr>
            <w:r>
              <w:rPr>
                <w:rFonts w:hint="eastAsia"/>
                <w:lang w:val="en-US" w:eastAsia="zh-CN"/>
              </w:rPr>
              <w:t>各包件履约保证金金额为：年暂定合同金额的3%。</w:t>
            </w:r>
          </w:p>
          <w:p>
            <w:pPr>
              <w:adjustRightInd w:val="0"/>
              <w:snapToGrid w:val="0"/>
              <w:ind w:firstLine="0" w:firstLineChars="0"/>
              <w:rPr>
                <w:rFonts w:ascii="宋体" w:hAnsi="宋体"/>
                <w:color w:val="auto"/>
                <w:szCs w:val="24"/>
                <w:lang w:val="zh-CN"/>
              </w:rPr>
            </w:pPr>
            <w:r>
              <w:rPr>
                <w:rFonts w:hint="eastAsia" w:ascii="宋体" w:hAnsi="宋体"/>
                <w:color w:val="auto"/>
                <w:szCs w:val="24"/>
                <w:lang w:val="zh-CN"/>
              </w:rPr>
              <w:t>交款方式：</w:t>
            </w:r>
            <w:r>
              <w:rPr>
                <w:rFonts w:hint="eastAsia" w:ascii="宋体" w:hAnsi="宋体"/>
                <w:color w:val="auto"/>
                <w:szCs w:val="24"/>
              </w:rPr>
              <w:t>银行电汇、</w:t>
            </w:r>
            <w:r>
              <w:rPr>
                <w:rFonts w:hint="eastAsia" w:ascii="宋体" w:hAnsi="宋体"/>
                <w:color w:val="auto"/>
                <w:szCs w:val="24"/>
                <w:lang w:val="zh-CN"/>
              </w:rPr>
              <w:t>转账、保函等非现金方式。</w:t>
            </w:r>
          </w:p>
          <w:p>
            <w:pPr>
              <w:tabs>
                <w:tab w:val="left" w:pos="7665"/>
              </w:tabs>
              <w:ind w:firstLine="0" w:firstLineChars="0"/>
              <w:rPr>
                <w:rFonts w:ascii="宋体" w:hAnsi="宋体" w:cs="宋体"/>
                <w:color w:val="auto"/>
                <w:szCs w:val="24"/>
              </w:rPr>
            </w:pPr>
            <w:r>
              <w:rPr>
                <w:rFonts w:hint="eastAsia" w:ascii="宋体" w:hAnsi="宋体" w:cs="宋体"/>
                <w:color w:val="auto"/>
                <w:szCs w:val="24"/>
              </w:rPr>
              <w:t>收款单位：xxx.</w:t>
            </w:r>
          </w:p>
          <w:p>
            <w:pPr>
              <w:tabs>
                <w:tab w:val="left" w:pos="7665"/>
              </w:tabs>
              <w:ind w:firstLine="0" w:firstLineChars="0"/>
              <w:rPr>
                <w:rFonts w:ascii="宋体" w:hAnsi="宋体" w:cs="宋体"/>
                <w:color w:val="auto"/>
                <w:szCs w:val="24"/>
              </w:rPr>
            </w:pPr>
            <w:r>
              <w:rPr>
                <w:rFonts w:hint="eastAsia" w:ascii="宋体" w:hAnsi="宋体" w:cs="宋体"/>
                <w:color w:val="auto"/>
                <w:szCs w:val="24"/>
              </w:rPr>
              <w:t>开</w:t>
            </w:r>
            <w:r>
              <w:rPr>
                <w:rFonts w:ascii="宋体" w:hAnsi="宋体" w:cs="宋体"/>
                <w:color w:val="auto"/>
                <w:szCs w:val="24"/>
              </w:rPr>
              <w:t xml:space="preserve"> </w:t>
            </w:r>
            <w:r>
              <w:rPr>
                <w:rFonts w:hint="eastAsia" w:ascii="宋体" w:hAnsi="宋体" w:cs="宋体"/>
                <w:color w:val="auto"/>
                <w:szCs w:val="24"/>
              </w:rPr>
              <w:t>户</w:t>
            </w:r>
            <w:r>
              <w:rPr>
                <w:rFonts w:ascii="宋体" w:hAnsi="宋体" w:cs="宋体"/>
                <w:color w:val="auto"/>
                <w:szCs w:val="24"/>
              </w:rPr>
              <w:t xml:space="preserve"> </w:t>
            </w:r>
            <w:r>
              <w:rPr>
                <w:rFonts w:hint="eastAsia" w:ascii="宋体" w:hAnsi="宋体" w:cs="宋体"/>
                <w:color w:val="auto"/>
                <w:szCs w:val="24"/>
              </w:rPr>
              <w:t>行：</w:t>
            </w:r>
            <w:r>
              <w:rPr>
                <w:rFonts w:ascii="宋体" w:hAnsi="宋体" w:cs="宋体"/>
                <w:color w:val="auto"/>
                <w:szCs w:val="24"/>
              </w:rPr>
              <w:t>XXX</w:t>
            </w:r>
            <w:r>
              <w:rPr>
                <w:rFonts w:hint="eastAsia" w:ascii="宋体" w:hAnsi="宋体" w:cs="宋体"/>
                <w:color w:val="auto"/>
                <w:szCs w:val="24"/>
              </w:rPr>
              <w:t>。</w:t>
            </w:r>
          </w:p>
          <w:p>
            <w:pPr>
              <w:tabs>
                <w:tab w:val="left" w:pos="7665"/>
              </w:tabs>
              <w:ind w:firstLine="0" w:firstLineChars="0"/>
              <w:rPr>
                <w:rFonts w:ascii="宋体" w:hAnsi="宋体" w:cs="宋体"/>
                <w:color w:val="auto"/>
                <w:szCs w:val="24"/>
              </w:rPr>
            </w:pPr>
            <w:r>
              <w:rPr>
                <w:rFonts w:hint="eastAsia" w:ascii="宋体" w:hAnsi="宋体" w:cs="宋体"/>
                <w:color w:val="auto"/>
                <w:szCs w:val="24"/>
              </w:rPr>
              <w:t>银行账号：</w:t>
            </w:r>
            <w:r>
              <w:rPr>
                <w:rFonts w:ascii="宋体" w:hAnsi="宋体" w:cs="宋体"/>
                <w:color w:val="auto"/>
                <w:szCs w:val="24"/>
              </w:rPr>
              <w:t>XXX</w:t>
            </w:r>
            <w:r>
              <w:rPr>
                <w:rFonts w:hint="eastAsia" w:ascii="宋体" w:hAnsi="宋体" w:cs="宋体"/>
                <w:color w:val="auto"/>
                <w:szCs w:val="24"/>
              </w:rPr>
              <w:t>。</w:t>
            </w:r>
          </w:p>
          <w:p>
            <w:pPr>
              <w:adjustRightInd w:val="0"/>
              <w:snapToGrid w:val="0"/>
              <w:ind w:firstLine="0" w:firstLineChars="0"/>
              <w:rPr>
                <w:rFonts w:ascii="宋体" w:hAnsi="宋体"/>
                <w:color w:val="auto"/>
                <w:szCs w:val="24"/>
                <w:lang w:val="zh-CN"/>
              </w:rPr>
            </w:pPr>
            <w:r>
              <w:rPr>
                <w:rFonts w:hint="eastAsia" w:ascii="宋体" w:hAnsi="宋体"/>
                <w:color w:val="auto"/>
                <w:szCs w:val="24"/>
                <w:lang w:val="zh-CN"/>
              </w:rPr>
              <w:t>交款时间：</w:t>
            </w:r>
            <w:r>
              <w:rPr>
                <w:rFonts w:hint="eastAsia" w:ascii="宋体" w:hAnsi="宋体"/>
                <w:color w:val="auto"/>
                <w:szCs w:val="24"/>
              </w:rPr>
              <w:t>合同签订前</w:t>
            </w:r>
            <w:r>
              <w:rPr>
                <w:rFonts w:hint="eastAsia" w:ascii="宋体" w:hAnsi="宋体"/>
                <w:color w:val="auto"/>
                <w:szCs w:val="24"/>
                <w:lang w:val="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宋体" w:hAnsi="宋体" w:eastAsia="宋体" w:cs="宋体"/>
                <w:color w:val="auto"/>
                <w:szCs w:val="24"/>
              </w:rPr>
              <w:t>履约保证金的退还：合同期满后，甲方接到乙方通知和支付凭证资料文件，以及由甲方确认本合同质量与服务等约定事项已经履行完毕的正式书面文件后的30日内，向乙方</w:t>
            </w:r>
            <w:r>
              <w:rPr>
                <w:rFonts w:hint="eastAsia" w:ascii="宋体" w:hAnsi="宋体" w:eastAsia="宋体" w:cs="宋体"/>
                <w:color w:val="auto"/>
                <w:szCs w:val="24"/>
                <w:lang w:val="en-US" w:eastAsia="zh-CN"/>
              </w:rPr>
              <w:t>无息</w:t>
            </w:r>
            <w:r>
              <w:rPr>
                <w:rFonts w:hint="eastAsia" w:ascii="宋体" w:hAnsi="宋体" w:eastAsia="宋体" w:cs="宋体"/>
                <w:color w:val="auto"/>
                <w:szCs w:val="24"/>
              </w:rPr>
              <w:t>退还履约保证金。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52"/>
              <w:spacing w:line="360" w:lineRule="auto"/>
            </w:pPr>
            <w:r>
              <w:rPr>
                <w:rFonts w:hint="eastAsia"/>
              </w:rPr>
              <w:t>国家规定的强制、优先采购范围</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152"/>
              <w:spacing w:line="360" w:lineRule="auto"/>
            </w:pPr>
            <w:r>
              <w:rPr>
                <w:rFonts w:hint="eastAsia"/>
              </w:rPr>
              <w:t>本项目采购需求中涉及国家规定的强制采购范围内产品，均应按照国家相关要求进行审核。不管招标文件是否要求，投标人须提供相关证明材料；若未提供，投标人自行承担由此带来的后果。优先采购范围内的产品按招标文件约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8" w:space="0"/>
              <w:left w:val="single" w:color="auto" w:sz="8" w:space="0"/>
              <w:bottom w:val="single" w:color="auto" w:sz="4" w:space="0"/>
              <w:right w:val="single" w:color="auto" w:sz="8" w:space="0"/>
            </w:tcBorders>
            <w:shd w:val="clear" w:color="auto" w:fill="auto"/>
            <w:vAlign w:val="center"/>
          </w:tcPr>
          <w:p>
            <w:pPr>
              <w:pStyle w:val="152"/>
              <w:spacing w:line="360" w:lineRule="auto"/>
              <w:jc w:val="center"/>
            </w:pPr>
            <w:r>
              <w:rPr>
                <w:rFonts w:hint="eastAsia"/>
                <w:kern w:val="2"/>
              </w:rPr>
              <w:t>采购文件咨询</w:t>
            </w:r>
          </w:p>
        </w:tc>
        <w:tc>
          <w:tcPr>
            <w:tcW w:w="6838" w:type="dxa"/>
            <w:tcBorders>
              <w:top w:val="single" w:color="auto" w:sz="8" w:space="0"/>
              <w:left w:val="single" w:color="auto" w:sz="8" w:space="0"/>
              <w:bottom w:val="single" w:color="auto" w:sz="4" w:space="0"/>
              <w:right w:val="single" w:color="auto" w:sz="18" w:space="0"/>
            </w:tcBorders>
            <w:shd w:val="clear" w:color="auto" w:fill="auto"/>
          </w:tcPr>
          <w:p>
            <w:pPr>
              <w:ind w:firstLine="0" w:firstLineChars="0"/>
              <w:rPr>
                <w:rFonts w:ascii="宋体" w:hAnsi="宋体" w:cs="宋体"/>
                <w:szCs w:val="24"/>
              </w:rPr>
            </w:pPr>
            <w:r>
              <w:rPr>
                <w:rFonts w:hint="eastAsia" w:ascii="宋体" w:hAnsi="宋体" w:cs="宋体"/>
                <w:szCs w:val="24"/>
              </w:rPr>
              <w:t>联系人：高老师</w:t>
            </w:r>
            <w:r>
              <w:rPr>
                <w:rFonts w:hint="eastAsia" w:ascii="宋体" w:hAnsi="宋体" w:cs="宋体"/>
                <w:szCs w:val="24"/>
                <w:lang w:val="zh-CN"/>
              </w:rPr>
              <w:t>。</w:t>
            </w:r>
            <w:r>
              <w:rPr>
                <w:rFonts w:hint="eastAsia" w:ascii="宋体" w:hAnsi="宋体" w:cs="宋体"/>
                <w:szCs w:val="24"/>
              </w:rPr>
              <w:t xml:space="preserve">       联系电话：</w:t>
            </w:r>
            <w:r>
              <w:rPr>
                <w:rFonts w:hint="eastAsia" w:ascii="宋体" w:hAnsi="宋体" w:cs="宋体"/>
                <w:szCs w:val="24"/>
                <w:lang w:val="en-US" w:eastAsia="zh-CN"/>
              </w:rPr>
              <w:t>028-</w:t>
            </w:r>
            <w:r>
              <w:rPr>
                <w:rFonts w:hint="eastAsia" w:ascii="宋体" w:hAnsi="宋体" w:cs="宋体"/>
                <w:szCs w:val="24"/>
              </w:rPr>
              <w:t>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b/>
                <w:szCs w:val="24"/>
              </w:rPr>
            </w:pPr>
            <w:r>
              <w:rPr>
                <w:rFonts w:hint="eastAsia" w:ascii="宋体" w:hAnsi="宋体" w:cs="宋体"/>
                <w:szCs w:val="24"/>
              </w:rPr>
              <w:t>开标、评标工作咨询</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kern w:val="0"/>
                <w:szCs w:val="24"/>
              </w:rPr>
            </w:pPr>
            <w:r>
              <w:rPr>
                <w:rFonts w:hint="eastAsia" w:ascii="宋体" w:hAnsi="宋体" w:cs="宋体"/>
                <w:szCs w:val="24"/>
              </w:rPr>
              <w:t>联系人：高老师</w:t>
            </w:r>
            <w:r>
              <w:rPr>
                <w:rFonts w:hint="eastAsia" w:ascii="宋体" w:hAnsi="宋体" w:cs="宋体"/>
                <w:szCs w:val="24"/>
                <w:lang w:val="zh-CN"/>
              </w:rPr>
              <w:t>。</w:t>
            </w:r>
            <w:r>
              <w:rPr>
                <w:rFonts w:hint="eastAsia" w:ascii="宋体" w:hAnsi="宋体" w:cs="宋体"/>
                <w:szCs w:val="24"/>
              </w:rPr>
              <w:t xml:space="preserve">       联系电话：</w:t>
            </w:r>
            <w:r>
              <w:rPr>
                <w:rFonts w:hint="eastAsia" w:ascii="宋体" w:hAnsi="宋体" w:cs="宋体"/>
                <w:szCs w:val="24"/>
                <w:lang w:val="en-US" w:eastAsia="zh-CN"/>
              </w:rPr>
              <w:t>028-</w:t>
            </w:r>
            <w:r>
              <w:rPr>
                <w:rFonts w:hint="eastAsia" w:ascii="宋体" w:hAnsi="宋体" w:cs="宋体"/>
                <w:szCs w:val="24"/>
              </w:rPr>
              <w:t>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rPr>
                <w:rFonts w:ascii="宋体" w:hAnsi="宋体" w:cs="宋体"/>
                <w:szCs w:val="24"/>
              </w:rPr>
            </w:pPr>
            <w:r>
              <w:rPr>
                <w:rFonts w:hint="eastAsia" w:ascii="宋体" w:hAnsi="宋体" w:cs="宋体"/>
                <w:szCs w:val="24"/>
              </w:rPr>
              <w:t>中标通知书领取</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tabs>
                <w:tab w:val="left" w:pos="7665"/>
              </w:tabs>
              <w:ind w:firstLine="0" w:firstLineChars="0"/>
              <w:rPr>
                <w:rFonts w:ascii="宋体" w:hAnsi="宋体" w:cs="宋体"/>
                <w:szCs w:val="24"/>
              </w:rPr>
            </w:pPr>
            <w:r>
              <w:rPr>
                <w:rFonts w:hint="eastAsia" w:ascii="宋体" w:hAnsi="宋体" w:cs="宋体"/>
                <w:szCs w:val="24"/>
              </w:rPr>
              <w:t>中标公告在四川政府采购网上公告后，中标供应商凭有效身份证明证件到四川世科工程咨询有限公司领取中标通知书。</w:t>
            </w:r>
          </w:p>
          <w:p>
            <w:pPr>
              <w:ind w:firstLine="0" w:firstLineChars="0"/>
              <w:rPr>
                <w:rFonts w:ascii="宋体" w:hAnsi="宋体" w:cs="宋体"/>
                <w:szCs w:val="24"/>
                <w:lang w:val="zh-CN"/>
              </w:rPr>
            </w:pPr>
            <w:r>
              <w:rPr>
                <w:rFonts w:hint="eastAsia" w:ascii="宋体" w:hAnsi="宋体" w:cs="宋体"/>
                <w:szCs w:val="24"/>
                <w:lang w:val="zh-CN"/>
              </w:rPr>
              <w:t>联系人：</w:t>
            </w:r>
            <w:r>
              <w:rPr>
                <w:rFonts w:hint="eastAsia" w:ascii="宋体" w:hAnsi="宋体" w:cs="宋体"/>
                <w:szCs w:val="24"/>
              </w:rPr>
              <w:t>李老师</w:t>
            </w:r>
            <w:r>
              <w:rPr>
                <w:rFonts w:hint="eastAsia" w:ascii="宋体" w:hAnsi="宋体" w:cs="宋体"/>
                <w:szCs w:val="24"/>
                <w:lang w:val="zh-CN"/>
              </w:rPr>
              <w:t>。</w:t>
            </w:r>
            <w:r>
              <w:rPr>
                <w:rFonts w:hint="eastAsia" w:ascii="宋体" w:hAnsi="宋体" w:cs="宋体"/>
                <w:szCs w:val="24"/>
              </w:rPr>
              <w:t xml:space="preserve">   </w:t>
            </w:r>
            <w:r>
              <w:rPr>
                <w:rFonts w:hint="eastAsia" w:ascii="宋体" w:hAnsi="宋体" w:cs="宋体"/>
                <w:szCs w:val="24"/>
                <w:lang w:val="zh-CN"/>
              </w:rPr>
              <w:t>联系电话：</w:t>
            </w:r>
            <w:r>
              <w:rPr>
                <w:rFonts w:hint="eastAsia" w:ascii="宋体" w:hAnsi="宋体" w:cs="宋体"/>
                <w:szCs w:val="24"/>
                <w:lang w:val="en-US" w:eastAsia="zh-CN"/>
              </w:rPr>
              <w:t>028-</w:t>
            </w:r>
            <w:r>
              <w:rPr>
                <w:rFonts w:hint="eastAsia" w:ascii="宋体" w:hAnsi="宋体" w:cs="宋体"/>
                <w:szCs w:val="24"/>
              </w:rPr>
              <w:t>61032618</w:t>
            </w:r>
          </w:p>
          <w:p>
            <w:pPr>
              <w:ind w:firstLine="0" w:firstLineChars="0"/>
              <w:rPr>
                <w:rFonts w:ascii="宋体" w:hAnsi="宋体" w:cs="宋体"/>
                <w:szCs w:val="24"/>
              </w:rPr>
            </w:pPr>
            <w:r>
              <w:rPr>
                <w:rFonts w:hint="eastAsia" w:ascii="宋体" w:hAnsi="宋体" w:cs="宋体"/>
                <w:szCs w:val="24"/>
                <w:lang w:val="zh-CN"/>
              </w:rPr>
              <w:t>地址：</w:t>
            </w:r>
            <w:r>
              <w:rPr>
                <w:rFonts w:hint="eastAsia" w:ascii="宋体" w:hAnsi="宋体" w:cs="宋体"/>
                <w:szCs w:val="24"/>
              </w:rPr>
              <w:t>成都市高新区天府三街288号大有智慧广场迈普大厦10楼1010室</w:t>
            </w:r>
            <w:r>
              <w:rPr>
                <w:rFonts w:hint="eastAsia" w:ascii="宋体" w:hAnsi="宋体" w:cs="宋体"/>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tcPr>
          <w:p>
            <w:pPr>
              <w:pStyle w:val="152"/>
              <w:spacing w:line="360" w:lineRule="auto"/>
              <w:jc w:val="center"/>
              <w:rPr>
                <w:kern w:val="2"/>
              </w:rPr>
            </w:pPr>
          </w:p>
          <w:p>
            <w:pPr>
              <w:pStyle w:val="152"/>
              <w:spacing w:line="360" w:lineRule="auto"/>
              <w:jc w:val="center"/>
            </w:pPr>
            <w:r>
              <w:rPr>
                <w:rFonts w:hint="eastAsia"/>
                <w:kern w:val="2"/>
              </w:rPr>
              <w:t>供应商询问、质疑</w:t>
            </w:r>
          </w:p>
        </w:tc>
        <w:tc>
          <w:tcPr>
            <w:tcW w:w="6838" w:type="dxa"/>
            <w:tcBorders>
              <w:top w:val="single" w:color="auto" w:sz="4" w:space="0"/>
              <w:left w:val="single" w:color="auto" w:sz="8" w:space="0"/>
              <w:bottom w:val="single" w:color="auto" w:sz="4" w:space="0"/>
              <w:right w:val="single" w:color="auto" w:sz="18" w:space="0"/>
            </w:tcBorders>
            <w:shd w:val="clear" w:color="auto" w:fill="auto"/>
          </w:tcPr>
          <w:p>
            <w:pPr>
              <w:numPr>
                <w:ilvl w:val="0"/>
                <w:numId w:val="10"/>
              </w:numPr>
              <w:ind w:firstLine="0" w:firstLineChars="0"/>
              <w:rPr>
                <w:rFonts w:ascii="宋体" w:hAnsi="宋体" w:cs="宋体"/>
                <w:szCs w:val="24"/>
                <w:lang w:val="zh-CN"/>
              </w:rPr>
            </w:pPr>
            <w:r>
              <w:rPr>
                <w:rFonts w:hint="eastAsia" w:ascii="宋体" w:hAnsi="宋体" w:cs="宋体"/>
                <w:szCs w:val="24"/>
              </w:rPr>
              <w:t>询问：根据委托代理协议约定，供应商询问由四川世科工程咨询有限公司</w:t>
            </w:r>
            <w:r>
              <w:rPr>
                <w:rFonts w:hint="eastAsia" w:ascii="宋体" w:hAnsi="宋体" w:cs="宋体"/>
                <w:szCs w:val="24"/>
                <w:lang w:val="zh-CN"/>
              </w:rPr>
              <w:t>负责答复。</w:t>
            </w:r>
          </w:p>
          <w:p>
            <w:pPr>
              <w:numPr>
                <w:ilvl w:val="0"/>
                <w:numId w:val="10"/>
              </w:numPr>
              <w:ind w:firstLine="0" w:firstLineChars="0"/>
              <w:rPr>
                <w:rFonts w:ascii="宋体" w:hAnsi="宋体" w:cs="宋体"/>
                <w:szCs w:val="24"/>
                <w:lang w:val="zh-CN"/>
              </w:rPr>
            </w:pPr>
            <w:r>
              <w:rPr>
                <w:rFonts w:hint="eastAsia" w:ascii="宋体" w:hAnsi="宋体" w:cs="宋体"/>
                <w:szCs w:val="24"/>
              </w:rPr>
              <w:t>质疑：根据委托代理协议约定，对于采购文件的质疑由四川世科工程咨询有限公司</w:t>
            </w:r>
            <w:r>
              <w:rPr>
                <w:rFonts w:hint="eastAsia" w:ascii="宋体" w:hAnsi="宋体" w:cs="宋体"/>
                <w:szCs w:val="24"/>
                <w:lang w:val="zh-CN"/>
              </w:rPr>
              <w:t>负责答复；对于采购过程</w:t>
            </w:r>
            <w:r>
              <w:rPr>
                <w:rFonts w:hint="eastAsia" w:ascii="宋体" w:hAnsi="宋体" w:cs="宋体"/>
                <w:szCs w:val="24"/>
              </w:rPr>
              <w:t>的质疑由四川世科工程咨询有限公司</w:t>
            </w:r>
            <w:r>
              <w:rPr>
                <w:rFonts w:hint="eastAsia" w:ascii="宋体" w:hAnsi="宋体" w:cs="宋体"/>
                <w:szCs w:val="24"/>
                <w:lang w:val="zh-CN"/>
              </w:rPr>
              <w:t>负责答复；对于采购结果</w:t>
            </w:r>
            <w:r>
              <w:rPr>
                <w:rFonts w:hint="eastAsia" w:ascii="宋体" w:hAnsi="宋体" w:cs="宋体"/>
                <w:szCs w:val="24"/>
              </w:rPr>
              <w:t>的质疑由四川世科工程咨询有限公司</w:t>
            </w:r>
            <w:r>
              <w:rPr>
                <w:rFonts w:hint="eastAsia" w:ascii="宋体" w:hAnsi="宋体" w:cs="宋体"/>
                <w:szCs w:val="24"/>
                <w:lang w:val="zh-CN"/>
              </w:rPr>
              <w:t>负责答复</w:t>
            </w:r>
            <w:r>
              <w:rPr>
                <w:rFonts w:hint="eastAsia" w:ascii="宋体" w:hAnsi="宋体" w:cs="宋体"/>
                <w:szCs w:val="24"/>
              </w:rPr>
              <w:t>。</w:t>
            </w:r>
          </w:p>
          <w:p>
            <w:pPr>
              <w:ind w:firstLine="0" w:firstLineChars="0"/>
              <w:rPr>
                <w:rFonts w:ascii="宋体" w:hAnsi="宋体" w:cs="宋体"/>
                <w:szCs w:val="24"/>
                <w:lang w:val="zh-CN"/>
              </w:rPr>
            </w:pPr>
            <w:r>
              <w:rPr>
                <w:rFonts w:hint="eastAsia" w:ascii="宋体" w:hAnsi="宋体" w:cs="宋体"/>
                <w:szCs w:val="24"/>
                <w:lang w:val="zh-CN"/>
              </w:rPr>
              <w:t>联系人：</w:t>
            </w:r>
            <w:r>
              <w:rPr>
                <w:rFonts w:hint="eastAsia" w:ascii="宋体" w:hAnsi="宋体" w:cs="宋体"/>
                <w:szCs w:val="24"/>
              </w:rPr>
              <w:t>李老师</w:t>
            </w:r>
            <w:r>
              <w:rPr>
                <w:rFonts w:hint="eastAsia" w:ascii="宋体" w:hAnsi="宋体" w:cs="宋体"/>
                <w:szCs w:val="24"/>
                <w:lang w:val="zh-CN"/>
              </w:rPr>
              <w:t>。</w:t>
            </w:r>
            <w:r>
              <w:rPr>
                <w:rFonts w:hint="eastAsia" w:ascii="宋体" w:hAnsi="宋体" w:cs="宋体"/>
                <w:szCs w:val="24"/>
              </w:rPr>
              <w:t xml:space="preserve">   </w:t>
            </w:r>
            <w:r>
              <w:rPr>
                <w:rFonts w:hint="eastAsia" w:ascii="宋体" w:hAnsi="宋体" w:cs="宋体"/>
                <w:szCs w:val="24"/>
                <w:lang w:val="zh-CN"/>
              </w:rPr>
              <w:t>联系电话：</w:t>
            </w:r>
            <w:r>
              <w:rPr>
                <w:rFonts w:hint="eastAsia" w:ascii="宋体" w:hAnsi="宋体" w:cs="宋体"/>
                <w:szCs w:val="24"/>
                <w:lang w:val="en-US" w:eastAsia="zh-CN"/>
              </w:rPr>
              <w:t>028-</w:t>
            </w:r>
            <w:r>
              <w:rPr>
                <w:rFonts w:hint="eastAsia" w:ascii="宋体" w:hAnsi="宋体" w:cs="宋体"/>
                <w:szCs w:val="24"/>
              </w:rPr>
              <w:t>61032618</w:t>
            </w:r>
          </w:p>
          <w:p>
            <w:pPr>
              <w:ind w:firstLine="0" w:firstLineChars="0"/>
              <w:rPr>
                <w:rFonts w:ascii="宋体" w:hAnsi="宋体" w:cs="宋体"/>
                <w:szCs w:val="24"/>
                <w:lang w:val="zh-CN"/>
              </w:rPr>
            </w:pPr>
            <w:r>
              <w:rPr>
                <w:rFonts w:hint="eastAsia" w:ascii="宋体" w:hAnsi="宋体" w:cs="宋体"/>
                <w:szCs w:val="24"/>
                <w:lang w:val="zh-CN"/>
              </w:rPr>
              <w:t>地址：</w:t>
            </w:r>
            <w:r>
              <w:rPr>
                <w:rFonts w:hint="eastAsia" w:ascii="宋体" w:hAnsi="宋体" w:cs="宋体"/>
                <w:szCs w:val="24"/>
              </w:rPr>
              <w:t>成都市高新区天府三街288号大有智慧广场迈普大厦10楼1010室</w:t>
            </w:r>
            <w:r>
              <w:rPr>
                <w:rFonts w:hint="eastAsia" w:ascii="宋体" w:hAnsi="宋体" w:cs="宋体"/>
                <w:szCs w:val="24"/>
                <w:lang w:val="zh-CN"/>
              </w:rPr>
              <w:t>。</w:t>
            </w:r>
          </w:p>
          <w:p>
            <w:pPr>
              <w:ind w:firstLine="0" w:firstLineChars="0"/>
              <w:rPr>
                <w:rFonts w:ascii="宋体" w:hAnsi="宋体" w:cs="宋体"/>
                <w:szCs w:val="24"/>
                <w:lang w:val="zh-CN"/>
              </w:rPr>
            </w:pPr>
            <w:r>
              <w:rPr>
                <w:rFonts w:hint="eastAsia" w:ascii="宋体" w:hAnsi="宋体" w:cs="宋体"/>
                <w:szCs w:val="24"/>
              </w:rPr>
              <w:t>邮编：610020</w:t>
            </w:r>
            <w:r>
              <w:rPr>
                <w:rFonts w:hint="eastAsia" w:ascii="宋体" w:hAnsi="宋体" w:cs="宋体"/>
                <w:szCs w:val="24"/>
                <w:lang w:val="zh-CN"/>
              </w:rPr>
              <w:t>。</w:t>
            </w:r>
          </w:p>
          <w:p>
            <w:pPr>
              <w:ind w:firstLine="0" w:firstLineChars="0"/>
              <w:rPr>
                <w:rFonts w:ascii="宋体" w:hAnsi="宋体" w:cs="宋体"/>
                <w:szCs w:val="24"/>
              </w:rPr>
            </w:pPr>
            <w:r>
              <w:rPr>
                <w:rFonts w:hint="eastAsia" w:ascii="宋体" w:hAnsi="宋体" w:cs="宋体"/>
                <w:szCs w:val="24"/>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spacing w:line="360" w:lineRule="auto"/>
              <w:jc w:val="center"/>
            </w:pPr>
            <w:r>
              <w:rPr>
                <w:rFonts w:hint="eastAsia"/>
                <w:kern w:val="2"/>
              </w:rPr>
              <w:t>供应商投诉</w:t>
            </w:r>
          </w:p>
        </w:tc>
        <w:tc>
          <w:tcPr>
            <w:tcW w:w="6838" w:type="dxa"/>
            <w:tcBorders>
              <w:top w:val="single" w:color="auto" w:sz="4" w:space="0"/>
              <w:left w:val="single" w:color="auto" w:sz="8" w:space="0"/>
              <w:bottom w:val="single" w:color="auto" w:sz="4" w:space="0"/>
              <w:right w:val="single" w:color="auto" w:sz="18" w:space="0"/>
            </w:tcBorders>
            <w:shd w:val="clear" w:color="auto" w:fill="auto"/>
          </w:tcPr>
          <w:p>
            <w:pPr>
              <w:ind w:firstLine="0" w:firstLineChars="0"/>
              <w:rPr>
                <w:rFonts w:ascii="宋体" w:hAnsi="宋体" w:cs="宋体"/>
                <w:szCs w:val="24"/>
              </w:rPr>
            </w:pPr>
            <w:r>
              <w:rPr>
                <w:rFonts w:hint="eastAsia" w:ascii="宋体" w:hAnsi="宋体" w:cs="宋体"/>
                <w:szCs w:val="24"/>
              </w:rPr>
              <w:t>投诉受理单位：本采购项目同级财政部门</w:t>
            </w:r>
            <w:r>
              <w:rPr>
                <w:rFonts w:hint="eastAsia" w:ascii="宋体" w:hAnsi="宋体" w:cs="宋体"/>
                <w:szCs w:val="24"/>
                <w:lang w:val="zh-CN"/>
              </w:rPr>
              <w:t>。</w:t>
            </w:r>
            <w:r>
              <w:rPr>
                <w:rFonts w:hint="eastAsia" w:ascii="宋体" w:hAnsi="宋体" w:cs="宋体"/>
                <w:szCs w:val="24"/>
                <w:lang w:val="en-US" w:eastAsia="zh-CN"/>
              </w:rPr>
              <w:t>电话：028-84636986。</w:t>
            </w:r>
            <w:r>
              <w:rPr>
                <w:rFonts w:hint="eastAsia" w:ascii="宋体" w:hAnsi="宋体" w:cs="宋体"/>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wordWrap w:val="0"/>
              <w:topLinePunct/>
              <w:spacing w:line="360" w:lineRule="auto"/>
              <w:jc w:val="center"/>
            </w:pPr>
            <w:r>
              <w:rPr>
                <w:rFonts w:hint="eastAsia"/>
                <w:bCs/>
                <w:lang w:val="zh-CN"/>
              </w:rPr>
              <w:t>开标时递交的资料</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wordWrap w:val="0"/>
              <w:topLinePunct/>
              <w:autoSpaceDE w:val="0"/>
              <w:autoSpaceDN w:val="0"/>
              <w:adjustRightInd w:val="0"/>
              <w:ind w:firstLine="0" w:firstLineChars="0"/>
              <w:rPr>
                <w:rFonts w:ascii="宋体" w:hAnsi="宋体" w:cs="宋体"/>
                <w:bCs/>
                <w:szCs w:val="24"/>
                <w:lang w:val="zh-CN"/>
              </w:rPr>
            </w:pPr>
            <w:r>
              <w:rPr>
                <w:rFonts w:hint="eastAsia" w:ascii="宋体" w:hAnsi="宋体" w:cs="宋体"/>
                <w:bCs/>
                <w:szCs w:val="24"/>
                <w:lang w:val="zh-CN"/>
              </w:rPr>
              <w:t>(1)开标一览表</w:t>
            </w:r>
            <w:r>
              <w:rPr>
                <w:rFonts w:hint="eastAsia" w:ascii="宋体" w:hAnsi="宋体" w:cs="宋体"/>
                <w:bCs/>
                <w:szCs w:val="24"/>
              </w:rPr>
              <w:t>1</w:t>
            </w:r>
            <w:r>
              <w:rPr>
                <w:rFonts w:hint="eastAsia" w:ascii="宋体" w:hAnsi="宋体" w:cs="宋体"/>
                <w:bCs/>
                <w:szCs w:val="24"/>
                <w:lang w:val="zh-CN"/>
              </w:rPr>
              <w:t>份（单独密封）；</w:t>
            </w:r>
          </w:p>
          <w:p>
            <w:pPr>
              <w:wordWrap w:val="0"/>
              <w:topLinePunct/>
              <w:autoSpaceDE w:val="0"/>
              <w:autoSpaceDN w:val="0"/>
              <w:adjustRightInd w:val="0"/>
              <w:ind w:firstLine="0" w:firstLineChars="0"/>
              <w:rPr>
                <w:rFonts w:ascii="宋体" w:hAnsi="宋体" w:cs="宋体"/>
                <w:bCs/>
                <w:szCs w:val="24"/>
                <w:lang w:val="zh-CN"/>
              </w:rPr>
            </w:pPr>
            <w:r>
              <w:rPr>
                <w:rFonts w:hint="eastAsia" w:ascii="宋体" w:hAnsi="宋体" w:cs="宋体"/>
                <w:bCs/>
                <w:szCs w:val="24"/>
                <w:lang w:val="zh-CN"/>
              </w:rPr>
              <w:t>(2)资格性响应文件一正两副；技术、服务性响应文件一正两副(副本可采用正本的复印件)；</w:t>
            </w:r>
          </w:p>
          <w:p>
            <w:pPr>
              <w:pStyle w:val="2"/>
              <w:spacing w:line="360" w:lineRule="auto"/>
              <w:ind w:firstLine="0" w:firstLineChars="0"/>
              <w:rPr>
                <w:rFonts w:ascii="宋体" w:hAnsi="宋体" w:cs="宋体"/>
                <w:bCs/>
                <w:szCs w:val="24"/>
              </w:rPr>
            </w:pPr>
            <w:r>
              <w:rPr>
                <w:rFonts w:hint="eastAsia" w:ascii="宋体" w:hAnsi="宋体" w:cs="宋体"/>
                <w:bCs/>
                <w:szCs w:val="24"/>
              </w:rPr>
              <w:t>(3)电子文档1份；</w:t>
            </w:r>
          </w:p>
          <w:p>
            <w:pPr>
              <w:pStyle w:val="2"/>
              <w:spacing w:line="360" w:lineRule="auto"/>
              <w:ind w:firstLine="0" w:firstLineChars="0"/>
              <w:rPr>
                <w:rFonts w:ascii="宋体" w:hAnsi="宋体" w:cs="宋体"/>
                <w:szCs w:val="24"/>
              </w:rPr>
            </w:pPr>
            <w:r>
              <w:rPr>
                <w:rFonts w:hint="eastAsia" w:ascii="宋体" w:hAnsi="宋体" w:cs="宋体"/>
                <w:szCs w:val="24"/>
                <w:shd w:val="clear" w:color="auto" w:fill="FFFFFF"/>
              </w:rPr>
              <w:t>逾期送达或者未按照招标文件要求密封的投标文件和开标一览表将被拒收。</w:t>
            </w:r>
            <w:r>
              <w:rPr>
                <w:rFonts w:hint="eastAsia" w:ascii="宋体" w:hAnsi="宋体" w:cs="宋体"/>
                <w:bCs/>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szCs w:val="24"/>
                <w:highlight w:val="none"/>
              </w:rPr>
            </w:pPr>
            <w:r>
              <w:rPr>
                <w:rFonts w:hint="eastAsia" w:ascii="宋体" w:hAnsi="宋体" w:cs="宋体"/>
                <w:szCs w:val="24"/>
                <w:highlight w:val="none"/>
                <w:lang w:val="zh-CN"/>
              </w:rPr>
              <w:t>招标代理服务费</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szCs w:val="24"/>
                <w:highlight w:val="none"/>
                <w:lang w:val="zh-CN"/>
              </w:rPr>
            </w:pPr>
            <w:r>
              <w:rPr>
                <w:rFonts w:hint="eastAsia" w:ascii="宋体" w:hAnsi="宋体" w:cs="宋体"/>
                <w:szCs w:val="24"/>
                <w:highlight w:val="none"/>
              </w:rPr>
              <w:t>参照</w:t>
            </w:r>
            <w:r>
              <w:rPr>
                <w:rFonts w:hint="eastAsia" w:ascii="宋体" w:hAnsi="宋体" w:cs="宋体"/>
                <w:szCs w:val="24"/>
                <w:highlight w:val="none"/>
                <w:lang w:val="zh-CN"/>
              </w:rPr>
              <w:t>《招标代理服务收费管理暂行办法》（计价格[2002]1980号）标准下浮20</w:t>
            </w:r>
            <w:r>
              <w:rPr>
                <w:rFonts w:ascii="宋体" w:hAnsi="宋体" w:cs="宋体"/>
                <w:szCs w:val="24"/>
                <w:highlight w:val="none"/>
                <w:lang w:val="zh-CN"/>
              </w:rPr>
              <w:t>%</w:t>
            </w:r>
            <w:r>
              <w:rPr>
                <w:rFonts w:hint="eastAsia" w:ascii="宋体" w:hAnsi="宋体" w:cs="宋体"/>
                <w:szCs w:val="24"/>
                <w:highlight w:val="none"/>
              </w:rPr>
              <w:t>收取</w:t>
            </w:r>
            <w:r>
              <w:rPr>
                <w:rFonts w:hint="eastAsia" w:ascii="宋体" w:hAnsi="宋体" w:cs="宋体"/>
                <w:szCs w:val="24"/>
                <w:highlight w:val="none"/>
                <w:lang w:val="zh-CN"/>
              </w:rPr>
              <w:t>，由各包中标人领取中标通知书前支付。可采取现金支付或银行转账。银行转账相关信息如下：</w:t>
            </w:r>
          </w:p>
          <w:p>
            <w:pPr>
              <w:ind w:firstLine="0" w:firstLineChars="0"/>
              <w:outlineLvl w:val="5"/>
              <w:rPr>
                <w:rFonts w:ascii="宋体" w:hAnsi="宋体" w:cs="宋体"/>
                <w:szCs w:val="24"/>
                <w:highlight w:val="none"/>
                <w:lang w:val="zh-CN"/>
              </w:rPr>
            </w:pPr>
            <w:r>
              <w:rPr>
                <w:rFonts w:hint="eastAsia" w:ascii="宋体" w:hAnsi="宋体" w:cs="宋体"/>
                <w:szCs w:val="24"/>
                <w:highlight w:val="none"/>
                <w:lang w:val="zh-CN"/>
              </w:rPr>
              <w:t>开户单位：四川世科工程咨询有限公司</w:t>
            </w:r>
          </w:p>
          <w:p>
            <w:pPr>
              <w:ind w:firstLine="0" w:firstLineChars="0"/>
              <w:outlineLvl w:val="5"/>
              <w:rPr>
                <w:rFonts w:ascii="宋体" w:hAnsi="宋体" w:cs="宋体"/>
                <w:szCs w:val="24"/>
                <w:highlight w:val="none"/>
                <w:lang w:val="zh-CN"/>
              </w:rPr>
            </w:pPr>
            <w:r>
              <w:rPr>
                <w:rFonts w:hint="eastAsia" w:ascii="宋体" w:hAnsi="宋体" w:cs="宋体"/>
                <w:szCs w:val="24"/>
                <w:highlight w:val="none"/>
                <w:lang w:val="zh-CN"/>
              </w:rPr>
              <w:t>开户银行：中国建设银行股份有限公司双流分行</w:t>
            </w:r>
          </w:p>
          <w:p>
            <w:pPr>
              <w:ind w:firstLine="0" w:firstLineChars="0"/>
              <w:outlineLvl w:val="5"/>
              <w:rPr>
                <w:rFonts w:ascii="宋体" w:hAnsi="宋体" w:cs="宋体"/>
                <w:szCs w:val="24"/>
                <w:highlight w:val="none"/>
                <w:lang w:val="zh-CN"/>
              </w:rPr>
            </w:pPr>
            <w:r>
              <w:rPr>
                <w:rFonts w:hint="eastAsia" w:ascii="宋体" w:hAnsi="宋体" w:cs="宋体"/>
                <w:szCs w:val="24"/>
                <w:highlight w:val="none"/>
                <w:lang w:val="zh-CN"/>
              </w:rPr>
              <w:t>银行帐号：5100 1527 9080 5152 8329</w:t>
            </w:r>
          </w:p>
          <w:p>
            <w:pPr>
              <w:ind w:firstLine="0" w:firstLineChars="0"/>
              <w:outlineLvl w:val="5"/>
              <w:rPr>
                <w:rFonts w:ascii="宋体" w:hAnsi="宋体" w:cs="宋体"/>
                <w:szCs w:val="24"/>
                <w:highlight w:val="none"/>
              </w:rPr>
            </w:pPr>
            <w:r>
              <w:rPr>
                <w:rFonts w:hint="eastAsia" w:ascii="宋体" w:hAnsi="宋体" w:cs="宋体"/>
                <w:szCs w:val="24"/>
                <w:highlight w:val="none"/>
                <w:lang w:val="zh-CN"/>
              </w:rPr>
              <w:t>转账事由： 5101122020000053项目成交服务费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9"/>
              </w:numPr>
              <w:snapToGrid w:val="0"/>
              <w:ind w:left="0" w:firstLine="0" w:firstLineChars="0"/>
              <w:jc w:val="center"/>
              <w:rPr>
                <w:rFonts w:ascii="宋体" w:hAnsi="宋体" w:cs="宋体"/>
                <w:szCs w:val="24"/>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szCs w:val="24"/>
                <w:lang w:val="zh-CN"/>
              </w:rPr>
            </w:pPr>
            <w:r>
              <w:rPr>
                <w:rFonts w:hint="eastAsia" w:ascii="宋体" w:hAnsi="宋体" w:cs="宋体"/>
                <w:szCs w:val="24"/>
                <w:lang w:val="zh-CN"/>
              </w:rPr>
              <w:t>信用融资</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szCs w:val="24"/>
                <w:lang w:val="zh-CN"/>
              </w:rPr>
            </w:pPr>
            <w:r>
              <w:rPr>
                <w:rFonts w:hint="eastAsia" w:ascii="宋体" w:hAnsi="宋体" w:cs="宋体"/>
                <w:szCs w:val="24"/>
                <w:lang w:val="zh-CN"/>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pPr>
      <w:bookmarkStart w:id="41" w:name="_Toc19680"/>
      <w:bookmarkStart w:id="42" w:name="_Toc18174"/>
      <w:bookmarkStart w:id="43" w:name="_Toc23165"/>
      <w:bookmarkStart w:id="44" w:name="_Toc17594"/>
      <w:r>
        <w:rPr>
          <w:rFonts w:hint="eastAsia"/>
        </w:rPr>
        <w:t>总则</w:t>
      </w:r>
      <w:bookmarkEnd w:id="41"/>
      <w:bookmarkEnd w:id="42"/>
      <w:bookmarkEnd w:id="43"/>
      <w:bookmarkEnd w:id="44"/>
    </w:p>
    <w:p>
      <w:pPr>
        <w:pStyle w:val="5"/>
        <w:ind w:left="322" w:firstLine="494" w:firstLineChars="0"/>
        <w:rPr>
          <w:color w:val="auto"/>
        </w:rPr>
      </w:pPr>
      <w:bookmarkStart w:id="45" w:name="_Toc26659"/>
      <w:r>
        <w:rPr>
          <w:rFonts w:hint="eastAsia"/>
          <w:color w:val="auto"/>
        </w:rPr>
        <w:t>适用范围</w:t>
      </w:r>
      <w:bookmarkEnd w:id="45"/>
    </w:p>
    <w:p>
      <w:pPr>
        <w:tabs>
          <w:tab w:val="left" w:pos="1134"/>
        </w:tabs>
        <w:ind w:firstLine="492"/>
        <w:rPr>
          <w:rFonts w:ascii="宋体" w:hAnsi="宋体" w:cs="宋体"/>
          <w:szCs w:val="24"/>
        </w:rPr>
      </w:pPr>
      <w:r>
        <w:rPr>
          <w:rFonts w:hint="eastAsia" w:ascii="宋体" w:hAnsi="宋体" w:cs="宋体"/>
          <w:szCs w:val="24"/>
        </w:rPr>
        <w:t xml:space="preserve">  本招标文件仅适用于本次公开招标所叙述的货物以及服务采购项目。</w:t>
      </w:r>
    </w:p>
    <w:p>
      <w:pPr>
        <w:pStyle w:val="5"/>
        <w:ind w:left="322" w:firstLine="494" w:firstLineChars="0"/>
        <w:rPr>
          <w:color w:val="auto"/>
        </w:rPr>
      </w:pPr>
      <w:bookmarkStart w:id="46" w:name="_Toc31167"/>
      <w:r>
        <w:rPr>
          <w:rFonts w:hint="eastAsia"/>
          <w:color w:val="auto"/>
        </w:rPr>
        <w:t>有关定义</w:t>
      </w:r>
      <w:bookmarkEnd w:id="46"/>
    </w:p>
    <w:p>
      <w:pPr>
        <w:numPr>
          <w:ilvl w:val="0"/>
          <w:numId w:val="11"/>
        </w:numPr>
        <w:tabs>
          <w:tab w:val="left" w:pos="1134"/>
        </w:tabs>
        <w:ind w:firstLine="492"/>
        <w:rPr>
          <w:rFonts w:ascii="宋体" w:hAnsi="宋体" w:cs="宋体"/>
          <w:szCs w:val="24"/>
        </w:rPr>
      </w:pPr>
      <w:r>
        <w:rPr>
          <w:rFonts w:hint="eastAsia" w:ascii="宋体" w:hAnsi="宋体" w:cs="宋体"/>
          <w:szCs w:val="24"/>
        </w:rPr>
        <w:t>“采购人”和“甲方”系指依法进行政府采购的国家机关、事业单位、团体组织。本次招标的采购人是</w:t>
      </w:r>
      <w:r>
        <w:rPr>
          <w:rFonts w:hint="eastAsia" w:ascii="宋体" w:hAnsi="宋体" w:cs="宋体"/>
          <w:b/>
          <w:szCs w:val="24"/>
        </w:rPr>
        <w:t>成都市龙泉驿区水务局</w:t>
      </w:r>
      <w:r>
        <w:rPr>
          <w:rFonts w:hint="eastAsia" w:ascii="宋体" w:hAnsi="宋体" w:cs="宋体"/>
          <w:szCs w:val="24"/>
        </w:rPr>
        <w:t>。</w:t>
      </w:r>
    </w:p>
    <w:p>
      <w:pPr>
        <w:numPr>
          <w:ilvl w:val="0"/>
          <w:numId w:val="11"/>
        </w:numPr>
        <w:tabs>
          <w:tab w:val="left" w:pos="1134"/>
        </w:tabs>
        <w:ind w:firstLine="492"/>
        <w:rPr>
          <w:rFonts w:ascii="宋体" w:hAnsi="宋体" w:cs="宋体"/>
          <w:szCs w:val="24"/>
        </w:rPr>
      </w:pPr>
      <w:r>
        <w:rPr>
          <w:rFonts w:hint="eastAsia" w:ascii="宋体" w:hAnsi="宋体" w:cs="宋体"/>
          <w:szCs w:val="24"/>
        </w:rPr>
        <w:t>“采购代理机构” 系指根据采购人的委托依法办理招标事宜的采购机构。本次招标的采购代理机构是</w:t>
      </w:r>
      <w:r>
        <w:rPr>
          <w:rFonts w:hint="eastAsia" w:ascii="宋体" w:hAnsi="宋体" w:cs="宋体"/>
          <w:b/>
          <w:bCs/>
          <w:szCs w:val="24"/>
        </w:rPr>
        <w:t>四川世科工程咨询有限公司</w:t>
      </w:r>
      <w:r>
        <w:rPr>
          <w:rFonts w:hint="eastAsia" w:ascii="宋体" w:hAnsi="宋体" w:cs="宋体"/>
          <w:szCs w:val="24"/>
        </w:rPr>
        <w:t>。</w:t>
      </w:r>
    </w:p>
    <w:p>
      <w:pPr>
        <w:numPr>
          <w:ilvl w:val="0"/>
          <w:numId w:val="11"/>
        </w:numPr>
        <w:tabs>
          <w:tab w:val="left" w:pos="1134"/>
        </w:tabs>
        <w:ind w:firstLine="492"/>
        <w:rPr>
          <w:rFonts w:ascii="宋体" w:hAnsi="宋体" w:cs="宋体"/>
          <w:szCs w:val="24"/>
        </w:rPr>
      </w:pPr>
      <w:r>
        <w:rPr>
          <w:rFonts w:hint="eastAsia" w:ascii="宋体" w:hAnsi="宋体" w:cs="宋体"/>
          <w:szCs w:val="24"/>
        </w:rPr>
        <w:t>“招标采购单位”系指“采购人”和“采购代理机构”的统称。</w:t>
      </w:r>
    </w:p>
    <w:p>
      <w:pPr>
        <w:numPr>
          <w:ilvl w:val="0"/>
          <w:numId w:val="11"/>
        </w:numPr>
        <w:tabs>
          <w:tab w:val="left" w:pos="1134"/>
        </w:tabs>
        <w:ind w:firstLine="492"/>
        <w:rPr>
          <w:rFonts w:ascii="宋体" w:hAnsi="宋体" w:cs="宋体"/>
          <w:szCs w:val="24"/>
        </w:rPr>
      </w:pPr>
      <w:r>
        <w:rPr>
          <w:rFonts w:hint="eastAsia" w:ascii="宋体" w:hAnsi="宋体" w:cs="宋体"/>
          <w:szCs w:val="24"/>
        </w:rPr>
        <w:t>“投标人”系指获取了招标文件拟参加投标和向采购人提供货物及服务的供应商，“乙方”系指中标的供应商。</w:t>
      </w:r>
    </w:p>
    <w:p>
      <w:pPr>
        <w:pStyle w:val="5"/>
        <w:ind w:left="322" w:firstLine="494" w:firstLineChars="0"/>
        <w:rPr>
          <w:color w:val="auto"/>
        </w:rPr>
      </w:pPr>
      <w:bookmarkStart w:id="47" w:name="_Toc183582207"/>
      <w:bookmarkStart w:id="48" w:name="_Toc183682344"/>
      <w:bookmarkStart w:id="49" w:name="_Toc217390843"/>
      <w:bookmarkStart w:id="50" w:name="_Toc22451"/>
      <w:bookmarkStart w:id="51" w:name="_Toc217446036"/>
      <w:r>
        <w:rPr>
          <w:rFonts w:hint="eastAsia"/>
          <w:color w:val="auto"/>
        </w:rPr>
        <w:t>合格的投标人</w:t>
      </w:r>
      <w:bookmarkEnd w:id="47"/>
      <w:bookmarkEnd w:id="48"/>
      <w:bookmarkEnd w:id="49"/>
      <w:bookmarkEnd w:id="50"/>
      <w:bookmarkEnd w:id="51"/>
      <w:r>
        <w:rPr>
          <w:rFonts w:hint="eastAsia"/>
          <w:color w:val="auto"/>
        </w:rPr>
        <w:t>（实质性要求）</w:t>
      </w:r>
    </w:p>
    <w:p>
      <w:pPr>
        <w:tabs>
          <w:tab w:val="left" w:pos="7665"/>
        </w:tabs>
        <w:ind w:firstLine="492"/>
        <w:rPr>
          <w:rFonts w:ascii="宋体" w:hAnsi="宋体" w:cs="宋体"/>
          <w:szCs w:val="24"/>
        </w:rPr>
      </w:pPr>
      <w:r>
        <w:rPr>
          <w:rFonts w:hint="eastAsia" w:ascii="宋体" w:hAnsi="宋体" w:cs="宋体"/>
          <w:szCs w:val="24"/>
        </w:rPr>
        <w:t>合格的投标人应具备以下条件：</w:t>
      </w:r>
    </w:p>
    <w:p>
      <w:pPr>
        <w:numPr>
          <w:ilvl w:val="0"/>
          <w:numId w:val="12"/>
        </w:numPr>
        <w:tabs>
          <w:tab w:val="left" w:pos="1134"/>
        </w:tabs>
        <w:ind w:firstLine="492"/>
        <w:rPr>
          <w:rFonts w:ascii="宋体" w:hAnsi="宋体" w:cs="宋体"/>
          <w:szCs w:val="24"/>
        </w:rPr>
      </w:pPr>
      <w:r>
        <w:rPr>
          <w:rFonts w:hint="eastAsia" w:ascii="宋体" w:hAnsi="宋体" w:cs="宋体"/>
          <w:szCs w:val="24"/>
        </w:rPr>
        <w:t>本招标文件规定的供应商资格条件；</w:t>
      </w:r>
    </w:p>
    <w:p>
      <w:pPr>
        <w:numPr>
          <w:ilvl w:val="0"/>
          <w:numId w:val="12"/>
        </w:numPr>
        <w:tabs>
          <w:tab w:val="left" w:pos="1134"/>
        </w:tabs>
        <w:ind w:firstLine="492"/>
        <w:rPr>
          <w:rFonts w:ascii="宋体" w:hAnsi="宋体" w:cs="宋体"/>
          <w:szCs w:val="24"/>
        </w:rPr>
      </w:pPr>
      <w:r>
        <w:rPr>
          <w:rFonts w:hint="eastAsia" w:ascii="宋体" w:hAnsi="宋体" w:cs="宋体"/>
          <w:szCs w:val="24"/>
        </w:rPr>
        <w:t>向采购代理机构获取了招标文件并登记备案；</w:t>
      </w:r>
    </w:p>
    <w:p>
      <w:pPr>
        <w:numPr>
          <w:ilvl w:val="0"/>
          <w:numId w:val="12"/>
        </w:numPr>
        <w:tabs>
          <w:tab w:val="left" w:pos="1134"/>
        </w:tabs>
        <w:ind w:firstLine="492"/>
        <w:rPr>
          <w:rFonts w:ascii="宋体" w:hAnsi="宋体" w:cs="宋体"/>
          <w:szCs w:val="24"/>
        </w:rPr>
      </w:pPr>
      <w:r>
        <w:rPr>
          <w:rFonts w:hint="eastAsia" w:ascii="宋体" w:hAnsi="宋体" w:cs="宋体"/>
          <w:szCs w:val="24"/>
        </w:rPr>
        <w:t>遵守国家有关的法律、法规、规章和其他政策制度；</w:t>
      </w:r>
    </w:p>
    <w:p>
      <w:pPr>
        <w:numPr>
          <w:ilvl w:val="0"/>
          <w:numId w:val="12"/>
        </w:numPr>
        <w:tabs>
          <w:tab w:val="left" w:pos="1134"/>
        </w:tabs>
        <w:ind w:firstLine="492"/>
        <w:rPr>
          <w:rFonts w:ascii="宋体" w:hAnsi="宋体" w:cs="宋体"/>
          <w:szCs w:val="24"/>
        </w:rPr>
      </w:pPr>
      <w:r>
        <w:rPr>
          <w:rFonts w:hint="eastAsia" w:ascii="宋体" w:hAnsi="宋体" w:cs="宋体"/>
          <w:szCs w:val="24"/>
        </w:rPr>
        <w:t>招标文件和法律、行政法规规定的其他条件。</w:t>
      </w:r>
    </w:p>
    <w:p>
      <w:pPr>
        <w:pStyle w:val="5"/>
        <w:ind w:left="322" w:firstLine="494" w:firstLineChars="0"/>
        <w:rPr>
          <w:color w:val="auto"/>
        </w:rPr>
      </w:pPr>
      <w:bookmarkStart w:id="52" w:name="_Toc32306"/>
      <w:r>
        <w:rPr>
          <w:rFonts w:hint="eastAsia"/>
          <w:color w:val="auto"/>
        </w:rPr>
        <w:t>拒绝参加本次采购活动的供应商</w:t>
      </w:r>
      <w:bookmarkEnd w:id="52"/>
    </w:p>
    <w:p>
      <w:pPr>
        <w:ind w:firstLine="492"/>
        <w:rPr>
          <w:rFonts w:ascii="宋体" w:hAnsi="宋体" w:cs="宋体"/>
          <w:szCs w:val="24"/>
        </w:rPr>
      </w:pPr>
      <w:r>
        <w:rPr>
          <w:rFonts w:hint="eastAsia" w:ascii="宋体" w:hAnsi="宋体" w:cs="宋体"/>
          <w:szCs w:val="24"/>
        </w:rPr>
        <w:t>根据《关于在政府采购活动中查询及使用信用记录有关问题的通知》（财库〔2016〕125号）的要求，</w:t>
      </w:r>
      <w:r>
        <w:rPr>
          <w:rFonts w:hint="eastAsia" w:ascii="宋体" w:hAnsi="宋体" w:cs="宋体"/>
          <w:b/>
          <w:bCs/>
          <w:szCs w:val="24"/>
        </w:rPr>
        <w:t>本代理机构将通过“信用中国”网站、“中国政府采购网”等网站查询供应商在报名之日前的信用记录，</w:t>
      </w:r>
      <w:r>
        <w:rPr>
          <w:rFonts w:hint="eastAsia" w:ascii="宋体" w:hAnsi="宋体" w:cs="宋体"/>
          <w:szCs w:val="24"/>
        </w:rPr>
        <w:t xml:space="preserve">将以纸质截图或将截图保存至电子介质的形式留存。拒绝列入失信被执行人、重大税收违法案件当事人名单、政府采购严重违法失信行为记录名单中的供应商报名参加本项目的采购活动。若因供应商为事业单位、团体组织、自然人等原因，在“信用中国”网站等渠道未查询到信息的，视为未被列入失信记录。  </w:t>
      </w:r>
    </w:p>
    <w:p>
      <w:pPr>
        <w:pStyle w:val="5"/>
        <w:ind w:left="322" w:firstLine="494" w:firstLineChars="0"/>
        <w:rPr>
          <w:color w:val="auto"/>
        </w:rPr>
      </w:pPr>
      <w:bookmarkStart w:id="53" w:name="_Toc8079"/>
      <w:r>
        <w:rPr>
          <w:rFonts w:hint="eastAsia"/>
          <w:color w:val="auto"/>
        </w:rPr>
        <w:t>投标费用</w:t>
      </w:r>
      <w:bookmarkEnd w:id="53"/>
      <w:r>
        <w:rPr>
          <w:rFonts w:hint="eastAsia"/>
          <w:color w:val="auto"/>
        </w:rPr>
        <w:t>（实质性要求）</w:t>
      </w:r>
    </w:p>
    <w:p>
      <w:pPr>
        <w:ind w:firstLine="492"/>
      </w:pPr>
      <w:r>
        <w:rPr>
          <w:rFonts w:hint="eastAsia"/>
        </w:rPr>
        <w:t>投标人应自行承担参加投标的全部费用。不论投标的结果如何，招标采购单位均无义务和责任承担这些费用。</w:t>
      </w:r>
    </w:p>
    <w:p>
      <w:pPr>
        <w:pStyle w:val="5"/>
        <w:ind w:left="322" w:firstLine="494" w:firstLineChars="0"/>
        <w:rPr>
          <w:color w:val="auto"/>
        </w:rPr>
      </w:pPr>
      <w:bookmarkStart w:id="54" w:name="_Toc15131"/>
      <w:r>
        <w:rPr>
          <w:rFonts w:hint="eastAsia"/>
          <w:color w:val="auto"/>
        </w:rPr>
        <w:t>充分、公平竞争保障措施</w:t>
      </w:r>
      <w:bookmarkEnd w:id="54"/>
      <w:r>
        <w:rPr>
          <w:rFonts w:hint="eastAsia"/>
          <w:color w:val="auto"/>
        </w:rPr>
        <w:t>（实质性要求）</w:t>
      </w:r>
    </w:p>
    <w:p>
      <w:pPr>
        <w:pStyle w:val="190"/>
        <w:spacing w:line="360" w:lineRule="auto"/>
        <w:ind w:firstLine="490" w:firstLineChars="200"/>
        <w:jc w:val="left"/>
        <w:rPr>
          <w:rFonts w:hAnsi="宋体" w:cs="宋体"/>
          <w:sz w:val="24"/>
          <w:szCs w:val="24"/>
        </w:rPr>
      </w:pPr>
      <w:r>
        <w:rPr>
          <w:rFonts w:hint="eastAsia" w:hAnsi="宋体" w:cs="宋体"/>
          <w:b/>
          <w:sz w:val="24"/>
          <w:szCs w:val="24"/>
        </w:rPr>
        <w:t>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190"/>
        <w:spacing w:line="360" w:lineRule="auto"/>
        <w:ind w:firstLine="490" w:firstLineChars="200"/>
        <w:jc w:val="left"/>
        <w:rPr>
          <w:rFonts w:hAnsi="宋体" w:cs="宋体"/>
          <w:sz w:val="24"/>
          <w:szCs w:val="24"/>
        </w:rPr>
      </w:pPr>
      <w:r>
        <w:rPr>
          <w:rFonts w:hint="eastAsia" w:hAnsi="宋体" w:cs="宋体"/>
          <w:b/>
          <w:sz w:val="24"/>
          <w:szCs w:val="24"/>
        </w:rPr>
        <w:t>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90"/>
        <w:spacing w:line="360" w:lineRule="auto"/>
        <w:ind w:firstLine="490" w:firstLineChars="200"/>
        <w:jc w:val="left"/>
        <w:rPr>
          <w:rFonts w:hAnsi="宋体" w:cs="宋体"/>
          <w:sz w:val="24"/>
          <w:szCs w:val="24"/>
        </w:rPr>
      </w:pPr>
      <w:r>
        <w:rPr>
          <w:rFonts w:hint="eastAsia" w:hAnsi="宋体" w:cs="宋体"/>
          <w:b/>
          <w:sz w:val="24"/>
          <w:szCs w:val="24"/>
        </w:rPr>
        <w:t>利害关系代理人处理。</w:t>
      </w:r>
      <w:r>
        <w:rPr>
          <w:rFonts w:hint="eastAsia" w:hAnsi="宋体" w:cs="宋体"/>
          <w:sz w:val="24"/>
          <w:szCs w:val="24"/>
        </w:rPr>
        <w:t>2家以上的供应商不得在同一合同项下的采购项目中，同时委托同一个自然人、同一家庭的人员、同一单位的人员作为其代理人，否则，其投标文件作为无效处理。</w:t>
      </w:r>
    </w:p>
    <w:p>
      <w:pPr>
        <w:pStyle w:val="4"/>
      </w:pPr>
      <w:bookmarkStart w:id="55" w:name="_Toc28416"/>
      <w:bookmarkStart w:id="56" w:name="_Toc30873"/>
      <w:bookmarkStart w:id="57" w:name="_Toc217446039"/>
      <w:bookmarkStart w:id="58" w:name="_Toc183682347"/>
      <w:bookmarkStart w:id="59" w:name="_Toc16856"/>
      <w:bookmarkStart w:id="60" w:name="_Toc20257"/>
      <w:bookmarkStart w:id="61" w:name="_Toc183582210"/>
      <w:r>
        <w:rPr>
          <w:rFonts w:hint="eastAsia"/>
        </w:rPr>
        <w:t>招标文件</w:t>
      </w:r>
      <w:bookmarkEnd w:id="55"/>
      <w:bookmarkEnd w:id="56"/>
      <w:bookmarkEnd w:id="57"/>
      <w:bookmarkEnd w:id="58"/>
      <w:bookmarkEnd w:id="59"/>
      <w:bookmarkEnd w:id="60"/>
      <w:bookmarkEnd w:id="61"/>
    </w:p>
    <w:p>
      <w:pPr>
        <w:pStyle w:val="5"/>
        <w:ind w:left="322" w:firstLine="494" w:firstLineChars="0"/>
        <w:rPr>
          <w:color w:val="auto"/>
        </w:rPr>
      </w:pPr>
      <w:bookmarkStart w:id="62" w:name="_Toc28521"/>
      <w:r>
        <w:rPr>
          <w:rFonts w:hint="eastAsia"/>
          <w:color w:val="auto"/>
        </w:rPr>
        <w:t>招标文件的构成</w:t>
      </w:r>
      <w:bookmarkEnd w:id="62"/>
    </w:p>
    <w:p>
      <w:pPr>
        <w:numPr>
          <w:ilvl w:val="0"/>
          <w:numId w:val="13"/>
        </w:numPr>
        <w:tabs>
          <w:tab w:val="left" w:pos="1134"/>
        </w:tabs>
        <w:ind w:firstLine="492"/>
        <w:rPr>
          <w:rFonts w:ascii="宋体" w:hAnsi="宋体" w:cs="宋体"/>
          <w:szCs w:val="24"/>
        </w:rPr>
      </w:pPr>
      <w:r>
        <w:rPr>
          <w:rFonts w:hint="eastAsia" w:ascii="宋体" w:hAnsi="宋体" w:cs="宋体"/>
          <w:szCs w:val="24"/>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ind w:left="0" w:firstLine="492"/>
        <w:rPr>
          <w:rFonts w:ascii="宋体" w:hAnsi="宋体" w:cs="宋体"/>
          <w:szCs w:val="24"/>
        </w:rPr>
      </w:pPr>
      <w:r>
        <w:rPr>
          <w:rFonts w:hint="eastAsia" w:ascii="宋体" w:hAnsi="宋体" w:cs="宋体"/>
          <w:szCs w:val="24"/>
        </w:rPr>
        <w:t>投标邀请；</w:t>
      </w:r>
    </w:p>
    <w:p>
      <w:pPr>
        <w:numPr>
          <w:ilvl w:val="1"/>
          <w:numId w:val="14"/>
        </w:numPr>
        <w:tabs>
          <w:tab w:val="left" w:pos="1134"/>
        </w:tabs>
        <w:ind w:left="0" w:firstLine="492"/>
        <w:rPr>
          <w:rFonts w:ascii="宋体" w:hAnsi="宋体" w:cs="宋体"/>
          <w:szCs w:val="24"/>
        </w:rPr>
      </w:pPr>
      <w:r>
        <w:rPr>
          <w:rFonts w:hint="eastAsia" w:ascii="宋体" w:hAnsi="宋体" w:cs="宋体"/>
          <w:szCs w:val="24"/>
        </w:rPr>
        <w:t>投标人须知；</w:t>
      </w:r>
    </w:p>
    <w:p>
      <w:pPr>
        <w:numPr>
          <w:ilvl w:val="1"/>
          <w:numId w:val="14"/>
        </w:numPr>
        <w:tabs>
          <w:tab w:val="left" w:pos="1134"/>
        </w:tabs>
        <w:ind w:left="0" w:firstLine="492"/>
        <w:rPr>
          <w:rFonts w:ascii="宋体" w:hAnsi="宋体" w:cs="宋体"/>
          <w:szCs w:val="24"/>
        </w:rPr>
      </w:pPr>
      <w:r>
        <w:rPr>
          <w:rFonts w:hint="eastAsia" w:ascii="宋体" w:hAnsi="宋体" w:cs="宋体"/>
          <w:szCs w:val="24"/>
        </w:rPr>
        <w:t>投标文件格式；</w:t>
      </w:r>
    </w:p>
    <w:p>
      <w:pPr>
        <w:numPr>
          <w:ilvl w:val="1"/>
          <w:numId w:val="14"/>
        </w:numPr>
        <w:tabs>
          <w:tab w:val="left" w:pos="1134"/>
        </w:tabs>
        <w:ind w:left="0" w:firstLine="492"/>
        <w:rPr>
          <w:rFonts w:ascii="宋体" w:hAnsi="宋体" w:cs="宋体"/>
          <w:szCs w:val="24"/>
        </w:rPr>
      </w:pPr>
      <w:r>
        <w:rPr>
          <w:rFonts w:hint="eastAsia" w:ascii="宋体" w:hAnsi="宋体" w:cs="宋体"/>
          <w:szCs w:val="24"/>
        </w:rPr>
        <w:t>招标项目技术、商务及其他要求；</w:t>
      </w:r>
    </w:p>
    <w:p>
      <w:pPr>
        <w:numPr>
          <w:ilvl w:val="1"/>
          <w:numId w:val="14"/>
        </w:numPr>
        <w:tabs>
          <w:tab w:val="left" w:pos="1134"/>
        </w:tabs>
        <w:ind w:left="0" w:firstLine="492"/>
        <w:rPr>
          <w:rFonts w:ascii="宋体" w:hAnsi="宋体" w:cs="宋体"/>
          <w:szCs w:val="24"/>
        </w:rPr>
      </w:pPr>
      <w:r>
        <w:rPr>
          <w:rFonts w:hint="eastAsia" w:ascii="宋体" w:hAnsi="宋体" w:cs="宋体"/>
          <w:szCs w:val="24"/>
        </w:rPr>
        <w:t>资格性审查；</w:t>
      </w:r>
    </w:p>
    <w:p>
      <w:pPr>
        <w:numPr>
          <w:ilvl w:val="1"/>
          <w:numId w:val="14"/>
        </w:numPr>
        <w:tabs>
          <w:tab w:val="left" w:pos="1134"/>
        </w:tabs>
        <w:ind w:left="0" w:firstLine="492"/>
        <w:rPr>
          <w:rFonts w:ascii="宋体" w:hAnsi="宋体" w:cs="宋体"/>
          <w:szCs w:val="24"/>
        </w:rPr>
      </w:pPr>
      <w:r>
        <w:rPr>
          <w:rFonts w:hint="eastAsia" w:ascii="宋体" w:hAnsi="宋体" w:cs="宋体"/>
          <w:szCs w:val="24"/>
        </w:rPr>
        <w:t>评标办法；</w:t>
      </w:r>
    </w:p>
    <w:p>
      <w:pPr>
        <w:numPr>
          <w:ilvl w:val="1"/>
          <w:numId w:val="14"/>
        </w:numPr>
        <w:tabs>
          <w:tab w:val="left" w:pos="1134"/>
        </w:tabs>
        <w:ind w:left="0" w:firstLine="492"/>
        <w:rPr>
          <w:rFonts w:ascii="宋体" w:hAnsi="宋体" w:cs="宋体"/>
          <w:szCs w:val="24"/>
        </w:rPr>
      </w:pPr>
      <w:r>
        <w:rPr>
          <w:rFonts w:hint="eastAsia" w:ascii="宋体" w:hAnsi="宋体" w:cs="宋体"/>
          <w:szCs w:val="24"/>
        </w:rPr>
        <w:t>政府采购合同。</w:t>
      </w:r>
    </w:p>
    <w:p>
      <w:pPr>
        <w:numPr>
          <w:ilvl w:val="0"/>
          <w:numId w:val="13"/>
        </w:numPr>
        <w:tabs>
          <w:tab w:val="left" w:pos="1134"/>
        </w:tabs>
        <w:ind w:firstLine="492"/>
        <w:rPr>
          <w:rFonts w:ascii="宋体" w:hAnsi="宋体" w:cs="宋体"/>
          <w:szCs w:val="24"/>
        </w:rPr>
      </w:pPr>
      <w:r>
        <w:rPr>
          <w:rFonts w:hint="eastAsia" w:ascii="宋体" w:hAnsi="宋体" w:cs="宋体"/>
          <w:szCs w:val="24"/>
        </w:rPr>
        <w:t>投标人应认真阅读和充分理解招标文件中所有的事项、格式条款和规范要求。投标人没有对招标文件全面做出实质性响应所产生的风险由投标人承担。</w:t>
      </w:r>
    </w:p>
    <w:p>
      <w:pPr>
        <w:pStyle w:val="5"/>
        <w:ind w:left="322" w:firstLine="494" w:firstLineChars="0"/>
        <w:rPr>
          <w:color w:val="auto"/>
        </w:rPr>
      </w:pPr>
      <w:bookmarkStart w:id="63" w:name="_Toc183582211"/>
      <w:bookmarkStart w:id="64" w:name="_Toc183682348"/>
      <w:bookmarkStart w:id="65" w:name="_Toc217446040"/>
      <w:bookmarkStart w:id="66" w:name="_Toc19159"/>
      <w:r>
        <w:rPr>
          <w:rFonts w:hint="eastAsia"/>
          <w:color w:val="auto"/>
        </w:rPr>
        <w:t>招标文件的澄清</w:t>
      </w:r>
      <w:bookmarkEnd w:id="63"/>
      <w:bookmarkEnd w:id="64"/>
      <w:r>
        <w:rPr>
          <w:rFonts w:hint="eastAsia"/>
          <w:color w:val="auto"/>
        </w:rPr>
        <w:t>和修改</w:t>
      </w:r>
      <w:bookmarkEnd w:id="65"/>
      <w:bookmarkEnd w:id="66"/>
    </w:p>
    <w:p>
      <w:pPr>
        <w:numPr>
          <w:ilvl w:val="0"/>
          <w:numId w:val="15"/>
        </w:numPr>
        <w:tabs>
          <w:tab w:val="left" w:pos="1134"/>
        </w:tabs>
        <w:ind w:firstLine="492"/>
        <w:rPr>
          <w:rFonts w:ascii="宋体" w:hAnsi="宋体" w:cs="宋体"/>
          <w:szCs w:val="24"/>
        </w:rPr>
      </w:pPr>
      <w:r>
        <w:rPr>
          <w:rFonts w:hint="eastAsia" w:ascii="宋体" w:hAnsi="宋体" w:cs="宋体"/>
          <w:szCs w:val="24"/>
        </w:rPr>
        <w:t>在投标截止时间前，招标采购单位无论出于何种原因，可以对招标文件进行澄清或者修改。</w:t>
      </w:r>
    </w:p>
    <w:p>
      <w:pPr>
        <w:numPr>
          <w:ilvl w:val="0"/>
          <w:numId w:val="15"/>
        </w:numPr>
        <w:tabs>
          <w:tab w:val="left" w:pos="1134"/>
        </w:tabs>
        <w:ind w:firstLine="492"/>
        <w:rPr>
          <w:rFonts w:ascii="宋体" w:hAnsi="宋体" w:cs="宋体"/>
          <w:szCs w:val="24"/>
        </w:rPr>
      </w:pPr>
      <w:r>
        <w:rPr>
          <w:rFonts w:hint="eastAsia" w:ascii="宋体" w:hAnsi="宋体" w:cs="宋体"/>
          <w:szCs w:val="24"/>
        </w:rPr>
        <w:t>澄清或者修改的内容，招标采购单位应通知所有获取了招标文件的潜在投标人，同时在“四川政府采购网”上发布更正公告。该澄清或者修改的内容为招标文件的组成部分。</w:t>
      </w:r>
    </w:p>
    <w:p>
      <w:pPr>
        <w:numPr>
          <w:ilvl w:val="0"/>
          <w:numId w:val="15"/>
        </w:numPr>
        <w:tabs>
          <w:tab w:val="left" w:pos="1134"/>
        </w:tabs>
        <w:ind w:firstLine="492"/>
        <w:rPr>
          <w:rFonts w:ascii="宋体" w:hAnsi="宋体" w:cs="宋体"/>
          <w:szCs w:val="24"/>
        </w:rPr>
      </w:pPr>
      <w:r>
        <w:rPr>
          <w:rFonts w:hint="eastAsia" w:ascii="宋体" w:hAnsi="宋体" w:cs="宋体"/>
          <w:szCs w:val="24"/>
        </w:rPr>
        <w:t>澄清或者修改的内容可能影响投标文件、资格预审申请文件编制的，招标采购单位发布公告并通知供应商的时间，应当在投标截止时间至少15日前、提交资格预审申请文件截止时间至少3日前；不足上述时间的，应当顺延提交投标文件、资格预审申请文件的截止时间。</w:t>
      </w:r>
    </w:p>
    <w:p>
      <w:pPr>
        <w:numPr>
          <w:ilvl w:val="0"/>
          <w:numId w:val="15"/>
        </w:numPr>
        <w:tabs>
          <w:tab w:val="left" w:pos="1134"/>
        </w:tabs>
        <w:ind w:firstLine="492"/>
        <w:rPr>
          <w:rFonts w:ascii="宋体" w:hAnsi="宋体" w:cs="宋体"/>
          <w:szCs w:val="24"/>
        </w:rPr>
      </w:pPr>
      <w:r>
        <w:rPr>
          <w:rFonts w:hint="eastAsia" w:ascii="宋体" w:hAnsi="宋体" w:cs="宋体"/>
          <w:szCs w:val="24"/>
        </w:rPr>
        <w:t>投标人认为需要对招标文件进行澄清或者修改的，可以以书面形式向招标采购单位构提出申请，但招标采购单位可以决定是否采纳投标人的申请事项。在规定的时间内未提出澄清或质疑的，将视为完全认同本招标文件的要求。</w:t>
      </w:r>
    </w:p>
    <w:p>
      <w:pPr>
        <w:numPr>
          <w:ilvl w:val="0"/>
          <w:numId w:val="15"/>
        </w:numPr>
        <w:tabs>
          <w:tab w:val="left" w:pos="1134"/>
        </w:tabs>
        <w:ind w:firstLine="492"/>
        <w:rPr>
          <w:rFonts w:ascii="宋体" w:hAnsi="宋体" w:cs="宋体"/>
          <w:szCs w:val="24"/>
        </w:rPr>
      </w:pPr>
      <w:r>
        <w:rPr>
          <w:rFonts w:hint="eastAsia" w:ascii="宋体" w:hAnsi="宋体" w:cs="宋体"/>
          <w:szCs w:val="24"/>
        </w:rPr>
        <w:t>招标文件中编制的内容前后有矛盾或不一致，有时间先后顺序的，以时间在后的修改、澄清或补正文件为准；没有时间先后顺序的，按有利于投标人的原则进行处理。</w:t>
      </w:r>
    </w:p>
    <w:p>
      <w:pPr>
        <w:numPr>
          <w:ilvl w:val="0"/>
          <w:numId w:val="15"/>
        </w:numPr>
        <w:tabs>
          <w:tab w:val="left" w:pos="1134"/>
        </w:tabs>
        <w:ind w:firstLine="492"/>
        <w:rPr>
          <w:rFonts w:ascii="宋体" w:hAnsi="宋体" w:cs="宋体"/>
          <w:szCs w:val="24"/>
        </w:rPr>
      </w:pPr>
      <w:r>
        <w:rPr>
          <w:rFonts w:hint="eastAsia" w:ascii="宋体" w:hAnsi="宋体" w:cs="宋体"/>
          <w:szCs w:val="24"/>
        </w:rPr>
        <w:t>在投标截止时间前，招标采购单位可以视采购具体情况，延长投标截止时间和开标时间，并在招标文件要求提交投标文件的截止时间三日前，将变更时间通知所有获取了招标文件的潜在供应商，同时在“四川政府采购网”上发布变更公告。</w:t>
      </w:r>
    </w:p>
    <w:p>
      <w:pPr>
        <w:pStyle w:val="5"/>
        <w:ind w:left="322" w:firstLine="494" w:firstLineChars="0"/>
        <w:rPr>
          <w:rFonts w:cs="宋体"/>
          <w:color w:val="auto"/>
          <w:szCs w:val="24"/>
        </w:rPr>
      </w:pPr>
      <w:bookmarkStart w:id="67" w:name="_Toc20416"/>
      <w:r>
        <w:rPr>
          <w:rFonts w:hint="eastAsia" w:cs="宋体"/>
          <w:color w:val="auto"/>
          <w:szCs w:val="24"/>
        </w:rPr>
        <w:t>答疑会和现场考察</w:t>
      </w:r>
      <w:bookmarkEnd w:id="67"/>
    </w:p>
    <w:p>
      <w:pPr>
        <w:numPr>
          <w:ilvl w:val="0"/>
          <w:numId w:val="16"/>
        </w:numPr>
        <w:tabs>
          <w:tab w:val="left" w:pos="1134"/>
        </w:tabs>
        <w:ind w:firstLine="492"/>
        <w:rPr>
          <w:rFonts w:ascii="宋体" w:hAnsi="宋体" w:cs="宋体"/>
          <w:szCs w:val="24"/>
        </w:rPr>
      </w:pPr>
      <w:r>
        <w:rPr>
          <w:rFonts w:hint="eastAsia" w:ascii="宋体" w:hAnsi="宋体" w:cs="宋体"/>
          <w:szCs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numPr>
          <w:ilvl w:val="0"/>
          <w:numId w:val="16"/>
        </w:numPr>
        <w:tabs>
          <w:tab w:val="left" w:pos="1134"/>
        </w:tabs>
        <w:ind w:firstLine="492"/>
        <w:rPr>
          <w:rFonts w:ascii="宋体" w:hAnsi="宋体" w:cs="宋体"/>
          <w:szCs w:val="24"/>
        </w:rPr>
      </w:pPr>
      <w:r>
        <w:rPr>
          <w:rFonts w:hint="eastAsia" w:ascii="宋体" w:hAnsi="宋体" w:cs="宋体"/>
          <w:szCs w:val="24"/>
        </w:rPr>
        <w:t>供应商考察现场所发生的一切费用由供应商自己承担。</w:t>
      </w:r>
    </w:p>
    <w:p>
      <w:pPr>
        <w:pStyle w:val="4"/>
      </w:pPr>
      <w:bookmarkStart w:id="68" w:name="_Toc13275"/>
      <w:bookmarkStart w:id="69" w:name="_Toc217446042"/>
      <w:bookmarkStart w:id="70" w:name="_Toc17181"/>
      <w:bookmarkStart w:id="71" w:name="_Toc183682351"/>
      <w:bookmarkStart w:id="72" w:name="_Toc183582214"/>
      <w:bookmarkStart w:id="73" w:name="_Toc18639"/>
      <w:bookmarkStart w:id="74" w:name="_Toc30901"/>
      <w:bookmarkStart w:id="75" w:name="_Toc89075876"/>
      <w:bookmarkStart w:id="76" w:name="_Toc77400780"/>
      <w:r>
        <w:rPr>
          <w:rFonts w:hint="eastAsia"/>
        </w:rPr>
        <w:t>投标文件</w:t>
      </w:r>
      <w:bookmarkEnd w:id="68"/>
      <w:bookmarkEnd w:id="69"/>
      <w:bookmarkEnd w:id="70"/>
      <w:bookmarkEnd w:id="71"/>
      <w:bookmarkEnd w:id="72"/>
      <w:bookmarkEnd w:id="73"/>
      <w:bookmarkEnd w:id="74"/>
      <w:bookmarkEnd w:id="75"/>
      <w:bookmarkEnd w:id="76"/>
    </w:p>
    <w:p>
      <w:pPr>
        <w:pStyle w:val="5"/>
        <w:ind w:left="322" w:firstLine="494" w:firstLineChars="0"/>
        <w:rPr>
          <w:rFonts w:cs="宋体"/>
          <w:color w:val="auto"/>
          <w:szCs w:val="24"/>
        </w:rPr>
      </w:pPr>
      <w:bookmarkStart w:id="77" w:name="_Toc217446043"/>
      <w:bookmarkStart w:id="78" w:name="_Toc183682352"/>
      <w:bookmarkStart w:id="79" w:name="_Toc183582215"/>
      <w:bookmarkStart w:id="80" w:name="_Toc17848"/>
      <w:r>
        <w:rPr>
          <w:rFonts w:hint="eastAsia" w:cs="宋体"/>
          <w:color w:val="auto"/>
          <w:szCs w:val="24"/>
        </w:rPr>
        <w:t>投标文件的语言</w:t>
      </w:r>
      <w:bookmarkEnd w:id="77"/>
      <w:bookmarkEnd w:id="78"/>
      <w:bookmarkEnd w:id="79"/>
      <w:bookmarkEnd w:id="80"/>
      <w:r>
        <w:rPr>
          <w:rFonts w:hint="eastAsia"/>
          <w:color w:val="auto"/>
        </w:rPr>
        <w:t>（实质性要求）</w:t>
      </w:r>
    </w:p>
    <w:p>
      <w:pPr>
        <w:numPr>
          <w:ilvl w:val="0"/>
          <w:numId w:val="17"/>
        </w:numPr>
        <w:tabs>
          <w:tab w:val="left" w:pos="1134"/>
        </w:tabs>
        <w:ind w:firstLine="492"/>
        <w:rPr>
          <w:rFonts w:ascii="宋体" w:hAnsi="宋体" w:cs="宋体"/>
          <w:szCs w:val="24"/>
        </w:rPr>
      </w:pPr>
      <w:r>
        <w:rPr>
          <w:rFonts w:hint="eastAsia" w:ascii="宋体" w:hAnsi="宋体" w:cs="宋体"/>
          <w:szCs w:val="24"/>
        </w:rPr>
        <w:t>投标人提交的投标文件以及投标人与招标采购单位就有关投标的所有来往书面文件均须使用中文，投标文件中所附或引用的外文资料，必须逐一对应翻译成中文并加盖投标人公章后附在相关外文资料后面，否则，所提供的外文资料将可能被视为无效材料。（说明：供应商的法定代表人为外籍人士的，则法定代表人的签字和护照除外）</w:t>
      </w:r>
    </w:p>
    <w:p>
      <w:pPr>
        <w:numPr>
          <w:ilvl w:val="0"/>
          <w:numId w:val="17"/>
        </w:numPr>
        <w:tabs>
          <w:tab w:val="left" w:pos="1134"/>
        </w:tabs>
        <w:ind w:firstLine="492"/>
        <w:rPr>
          <w:rFonts w:ascii="宋体" w:hAnsi="宋体" w:cs="宋体"/>
          <w:szCs w:val="24"/>
        </w:rPr>
      </w:pPr>
      <w:r>
        <w:rPr>
          <w:rFonts w:hint="eastAsia" w:ascii="宋体" w:hAnsi="宋体" w:cs="宋体"/>
          <w:szCs w:val="24"/>
        </w:rPr>
        <w:t xml:space="preserve">对不同文字文本投标文件的解释发生异议的，以中文文本为准。 </w:t>
      </w:r>
    </w:p>
    <w:p>
      <w:pPr>
        <w:pStyle w:val="5"/>
        <w:ind w:left="322" w:firstLine="494" w:firstLineChars="0"/>
        <w:rPr>
          <w:rFonts w:cs="宋体"/>
          <w:color w:val="auto"/>
          <w:szCs w:val="24"/>
        </w:rPr>
      </w:pPr>
      <w:bookmarkStart w:id="81" w:name="_Toc183582216"/>
      <w:bookmarkStart w:id="82" w:name="_Toc183682353"/>
      <w:bookmarkStart w:id="83" w:name="_Toc20869"/>
      <w:bookmarkStart w:id="84" w:name="_Toc217446044"/>
      <w:r>
        <w:rPr>
          <w:rFonts w:hint="eastAsia" w:cs="宋体"/>
          <w:color w:val="auto"/>
          <w:szCs w:val="24"/>
        </w:rPr>
        <w:t>计量单位</w:t>
      </w:r>
      <w:bookmarkEnd w:id="81"/>
      <w:bookmarkEnd w:id="82"/>
      <w:bookmarkEnd w:id="83"/>
      <w:bookmarkEnd w:id="84"/>
      <w:r>
        <w:rPr>
          <w:rFonts w:hint="eastAsia"/>
          <w:color w:val="auto"/>
        </w:rPr>
        <w:t>（实质性要求）</w:t>
      </w:r>
    </w:p>
    <w:p>
      <w:pPr>
        <w:ind w:firstLine="492"/>
        <w:rPr>
          <w:rFonts w:ascii="宋体" w:hAnsi="宋体" w:cs="宋体"/>
          <w:szCs w:val="24"/>
        </w:rPr>
      </w:pPr>
      <w:r>
        <w:rPr>
          <w:rFonts w:hint="eastAsia" w:ascii="宋体" w:hAnsi="宋体" w:cs="宋体"/>
          <w:szCs w:val="24"/>
        </w:rPr>
        <w:t>除技术参数及要求中另有规定外，本采购项目的投标均采用国家法定的计量单位。</w:t>
      </w:r>
    </w:p>
    <w:p>
      <w:pPr>
        <w:pStyle w:val="5"/>
        <w:ind w:left="322" w:firstLine="494" w:firstLineChars="0"/>
        <w:rPr>
          <w:rFonts w:cs="宋体"/>
          <w:color w:val="auto"/>
          <w:szCs w:val="24"/>
        </w:rPr>
      </w:pPr>
      <w:bookmarkStart w:id="85" w:name="_Toc217446045"/>
      <w:bookmarkStart w:id="86" w:name="_Toc13856"/>
      <w:r>
        <w:rPr>
          <w:rFonts w:hint="eastAsia" w:cs="宋体"/>
          <w:color w:val="auto"/>
          <w:szCs w:val="24"/>
        </w:rPr>
        <w:t>投标货币</w:t>
      </w:r>
      <w:bookmarkEnd w:id="85"/>
      <w:bookmarkEnd w:id="86"/>
      <w:r>
        <w:rPr>
          <w:rFonts w:hint="eastAsia"/>
          <w:color w:val="auto"/>
        </w:rPr>
        <w:t>（实质性要求）</w:t>
      </w:r>
    </w:p>
    <w:p>
      <w:pPr>
        <w:tabs>
          <w:tab w:val="left" w:pos="7665"/>
        </w:tabs>
        <w:ind w:firstLine="492"/>
        <w:rPr>
          <w:rFonts w:ascii="宋体" w:hAnsi="宋体" w:cs="宋体"/>
          <w:szCs w:val="24"/>
        </w:rPr>
      </w:pPr>
      <w:r>
        <w:rPr>
          <w:rFonts w:hint="eastAsia" w:ascii="宋体" w:hAnsi="宋体" w:cs="宋体"/>
          <w:szCs w:val="24"/>
        </w:rPr>
        <w:t>本次招标项目的投标均以人民币报价。</w:t>
      </w:r>
    </w:p>
    <w:p>
      <w:pPr>
        <w:pStyle w:val="5"/>
        <w:ind w:left="322" w:firstLine="494" w:firstLineChars="0"/>
        <w:rPr>
          <w:rFonts w:cs="宋体"/>
          <w:color w:val="auto"/>
          <w:szCs w:val="24"/>
        </w:rPr>
      </w:pPr>
      <w:bookmarkStart w:id="87" w:name="_Toc217446046"/>
      <w:bookmarkStart w:id="88" w:name="_Toc19391"/>
      <w:r>
        <w:rPr>
          <w:rFonts w:hint="eastAsia" w:cs="宋体"/>
          <w:color w:val="auto"/>
          <w:szCs w:val="24"/>
        </w:rPr>
        <w:t>联合体投标</w:t>
      </w:r>
      <w:bookmarkEnd w:id="87"/>
      <w:bookmarkEnd w:id="88"/>
      <w:r>
        <w:rPr>
          <w:rFonts w:hint="eastAsia"/>
          <w:color w:val="auto"/>
        </w:rPr>
        <w:t>（实质性要求）</w:t>
      </w:r>
    </w:p>
    <w:p>
      <w:pPr>
        <w:tabs>
          <w:tab w:val="left" w:pos="1134"/>
        </w:tabs>
        <w:ind w:firstLine="492"/>
        <w:rPr>
          <w:rFonts w:ascii="宋体" w:hAnsi="宋体" w:cs="宋体"/>
          <w:szCs w:val="24"/>
        </w:rPr>
      </w:pPr>
      <w:r>
        <w:rPr>
          <w:rFonts w:hint="eastAsia" w:ascii="宋体" w:hAnsi="宋体" w:cs="宋体"/>
          <w:szCs w:val="24"/>
        </w:rPr>
        <w:t>本次政府采购活动</w:t>
      </w:r>
      <w:r>
        <w:rPr>
          <w:rFonts w:hint="eastAsia" w:ascii="宋体" w:hAnsi="宋体" w:cs="宋体"/>
          <w:b/>
          <w:szCs w:val="24"/>
        </w:rPr>
        <w:t>不接受</w:t>
      </w:r>
      <w:r>
        <w:rPr>
          <w:rFonts w:hint="eastAsia" w:ascii="宋体" w:hAnsi="宋体" w:cs="宋体"/>
          <w:szCs w:val="24"/>
        </w:rPr>
        <w:t>联合体投标。</w:t>
      </w:r>
    </w:p>
    <w:p>
      <w:pPr>
        <w:pStyle w:val="5"/>
        <w:ind w:left="322" w:firstLine="494" w:firstLineChars="0"/>
        <w:rPr>
          <w:rFonts w:cs="宋体"/>
          <w:color w:val="auto"/>
          <w:szCs w:val="24"/>
        </w:rPr>
      </w:pPr>
      <w:bookmarkStart w:id="89" w:name="_Toc28227"/>
      <w:bookmarkStart w:id="90" w:name="_Toc217446047"/>
      <w:r>
        <w:rPr>
          <w:rFonts w:hint="eastAsia" w:cs="宋体"/>
          <w:color w:val="auto"/>
          <w:szCs w:val="24"/>
        </w:rPr>
        <w:t>知识产权</w:t>
      </w:r>
      <w:bookmarkEnd w:id="89"/>
      <w:bookmarkEnd w:id="90"/>
      <w:r>
        <w:rPr>
          <w:rFonts w:hint="eastAsia"/>
          <w:color w:val="auto"/>
        </w:rPr>
        <w:t>（实质性要求）</w:t>
      </w:r>
    </w:p>
    <w:p>
      <w:pPr>
        <w:numPr>
          <w:ilvl w:val="0"/>
          <w:numId w:val="18"/>
        </w:numPr>
        <w:tabs>
          <w:tab w:val="left" w:pos="1134"/>
        </w:tabs>
        <w:ind w:firstLine="492"/>
        <w:rPr>
          <w:rFonts w:ascii="宋体" w:hAnsi="宋体" w:cs="宋体"/>
          <w:szCs w:val="24"/>
        </w:rPr>
      </w:pPr>
      <w:r>
        <w:rPr>
          <w:rFonts w:hint="eastAsia" w:ascii="宋体" w:hAnsi="宋体" w:cs="宋体"/>
          <w:szCs w:val="24"/>
        </w:rPr>
        <w:t>投标人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ind w:firstLine="492"/>
        <w:rPr>
          <w:rFonts w:ascii="宋体" w:hAnsi="宋体" w:cs="宋体"/>
          <w:szCs w:val="24"/>
        </w:rPr>
      </w:pPr>
      <w:r>
        <w:rPr>
          <w:rFonts w:hint="eastAsia" w:ascii="宋体" w:hAnsi="宋体" w:cs="宋体"/>
          <w:szCs w:val="24"/>
        </w:rPr>
        <w:t>采购人享有本项目实施过程中产生的知识成果及知识产权。</w:t>
      </w:r>
    </w:p>
    <w:p>
      <w:pPr>
        <w:numPr>
          <w:ilvl w:val="0"/>
          <w:numId w:val="18"/>
        </w:numPr>
        <w:tabs>
          <w:tab w:val="left" w:pos="1134"/>
        </w:tabs>
        <w:ind w:firstLine="492"/>
        <w:rPr>
          <w:rFonts w:ascii="宋体" w:hAnsi="宋体" w:cs="宋体"/>
          <w:szCs w:val="24"/>
        </w:rPr>
      </w:pPr>
      <w:r>
        <w:rPr>
          <w:rFonts w:hint="eastAsia" w:ascii="宋体" w:hAnsi="宋体" w:cs="宋体"/>
          <w:szCs w:val="24"/>
        </w:rPr>
        <w:t>投标人如欲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ind w:firstLine="492"/>
        <w:rPr>
          <w:rFonts w:ascii="宋体" w:hAnsi="宋体" w:cs="宋体"/>
          <w:szCs w:val="24"/>
        </w:rPr>
      </w:pPr>
      <w:r>
        <w:rPr>
          <w:rFonts w:hint="eastAsia" w:ascii="宋体" w:hAnsi="宋体" w:cs="宋体"/>
          <w:szCs w:val="24"/>
        </w:rPr>
        <w:t xml:space="preserve">如采用投标人所不拥有的知识产权的产品，则在投标报价中必须包括合法获取该知识产权的相关费用。 </w:t>
      </w:r>
    </w:p>
    <w:p>
      <w:pPr>
        <w:pStyle w:val="5"/>
        <w:ind w:left="322" w:firstLine="494" w:firstLineChars="0"/>
        <w:rPr>
          <w:rFonts w:cs="宋体"/>
          <w:color w:val="auto"/>
          <w:szCs w:val="24"/>
        </w:rPr>
      </w:pPr>
      <w:bookmarkStart w:id="91" w:name="_Toc217446048"/>
      <w:bookmarkStart w:id="92" w:name="_Toc4996"/>
      <w:bookmarkStart w:id="93" w:name="_Toc183582217"/>
      <w:bookmarkStart w:id="94" w:name="_Toc183682354"/>
      <w:r>
        <w:rPr>
          <w:rFonts w:hint="eastAsia" w:cs="宋体"/>
          <w:color w:val="auto"/>
          <w:szCs w:val="24"/>
        </w:rPr>
        <w:t>投标文件的组成</w:t>
      </w:r>
      <w:bookmarkEnd w:id="91"/>
      <w:bookmarkEnd w:id="92"/>
      <w:bookmarkEnd w:id="93"/>
      <w:bookmarkEnd w:id="94"/>
    </w:p>
    <w:p>
      <w:pPr>
        <w:ind w:firstLine="492"/>
        <w:rPr>
          <w:rFonts w:ascii="宋体" w:hAnsi="宋体" w:cs="宋体"/>
          <w:szCs w:val="24"/>
        </w:rPr>
      </w:pPr>
      <w:r>
        <w:rPr>
          <w:rFonts w:hint="eastAsia" w:ascii="宋体" w:hAnsi="宋体" w:cs="宋体"/>
          <w:szCs w:val="24"/>
        </w:rPr>
        <w:t>投标人应按照招标文件的规定和要求编制投标文件。投标文件分为资格性响应文件和技术、服务性响应文件。投标人拟在中标后将中标项目的非主体、非关键性工作交由他人完成的，应当在投标文件中载明。投标人编写的投标文件应包括下列部分：</w:t>
      </w:r>
    </w:p>
    <w:p>
      <w:pPr>
        <w:pStyle w:val="2"/>
        <w:spacing w:line="360" w:lineRule="auto"/>
        <w:ind w:firstLine="494"/>
        <w:rPr>
          <w:rFonts w:ascii="宋体" w:hAnsi="宋体" w:cs="宋体"/>
          <w:b/>
          <w:bCs/>
          <w:szCs w:val="24"/>
        </w:rPr>
      </w:pPr>
      <w:r>
        <w:rPr>
          <w:rFonts w:hint="eastAsia" w:ascii="宋体" w:hAnsi="宋体" w:cs="宋体"/>
          <w:b/>
          <w:bCs/>
          <w:szCs w:val="24"/>
        </w:rPr>
        <w:t>一、资格性响应文件：</w:t>
      </w:r>
    </w:p>
    <w:p>
      <w:pPr>
        <w:numPr>
          <w:ilvl w:val="0"/>
          <w:numId w:val="19"/>
        </w:numPr>
        <w:ind w:firstLine="492"/>
        <w:rPr>
          <w:rFonts w:ascii="宋体" w:hAnsi="宋体" w:cs="宋体"/>
          <w:szCs w:val="24"/>
        </w:rPr>
      </w:pPr>
      <w:bookmarkStart w:id="95" w:name="_Toc316292019"/>
      <w:bookmarkEnd w:id="95"/>
      <w:bookmarkStart w:id="96" w:name="_Toc316291395"/>
      <w:bookmarkEnd w:id="96"/>
      <w:bookmarkStart w:id="97" w:name="_Toc316291396"/>
      <w:bookmarkEnd w:id="97"/>
      <w:bookmarkStart w:id="98" w:name="_Toc316292020"/>
      <w:bookmarkEnd w:id="98"/>
      <w:bookmarkStart w:id="99" w:name="_Toc183582218"/>
      <w:bookmarkStart w:id="100" w:name="_Toc217446049"/>
      <w:bookmarkStart w:id="101" w:name="_Toc183682355"/>
      <w:r>
        <w:rPr>
          <w:rFonts w:hint="eastAsia" w:ascii="宋体" w:hAnsi="宋体" w:cs="宋体"/>
          <w:szCs w:val="24"/>
        </w:rPr>
        <w:t>投标函；</w:t>
      </w:r>
    </w:p>
    <w:p>
      <w:pPr>
        <w:numPr>
          <w:ilvl w:val="0"/>
          <w:numId w:val="19"/>
        </w:numPr>
        <w:ind w:firstLine="492"/>
        <w:rPr>
          <w:rFonts w:ascii="宋体" w:hAnsi="宋体" w:cs="宋体"/>
          <w:szCs w:val="24"/>
        </w:rPr>
      </w:pPr>
      <w:r>
        <w:rPr>
          <w:rFonts w:hint="eastAsia" w:ascii="宋体" w:hAnsi="宋体" w:cs="宋体"/>
          <w:szCs w:val="24"/>
        </w:rPr>
        <w:t>具有独立承担民事责任能力的证明材料；</w:t>
      </w:r>
    </w:p>
    <w:p>
      <w:pPr>
        <w:numPr>
          <w:ilvl w:val="0"/>
          <w:numId w:val="19"/>
        </w:numPr>
        <w:ind w:firstLine="492"/>
        <w:rPr>
          <w:rFonts w:ascii="宋体" w:hAnsi="宋体" w:cs="宋体"/>
          <w:szCs w:val="24"/>
        </w:rPr>
      </w:pPr>
      <w:r>
        <w:rPr>
          <w:rFonts w:hint="eastAsia" w:ascii="宋体" w:hAnsi="宋体" w:cs="宋体"/>
          <w:szCs w:val="24"/>
        </w:rPr>
        <w:t>健全的财务会计制度的证明材料；</w:t>
      </w:r>
    </w:p>
    <w:p>
      <w:pPr>
        <w:numPr>
          <w:ilvl w:val="0"/>
          <w:numId w:val="19"/>
        </w:numPr>
        <w:ind w:firstLine="492"/>
        <w:rPr>
          <w:rFonts w:ascii="宋体" w:hAnsi="宋体" w:cs="宋体"/>
          <w:szCs w:val="24"/>
        </w:rPr>
      </w:pPr>
      <w:r>
        <w:rPr>
          <w:rFonts w:hint="eastAsia" w:ascii="宋体" w:hAnsi="宋体" w:cs="宋体"/>
          <w:szCs w:val="24"/>
        </w:rPr>
        <w:t>投标人缴纳税收的证明材料；</w:t>
      </w:r>
    </w:p>
    <w:p>
      <w:pPr>
        <w:numPr>
          <w:ilvl w:val="0"/>
          <w:numId w:val="19"/>
        </w:numPr>
        <w:ind w:firstLine="492"/>
        <w:rPr>
          <w:rFonts w:ascii="宋体" w:hAnsi="宋体" w:cs="宋体"/>
          <w:szCs w:val="24"/>
        </w:rPr>
      </w:pPr>
      <w:r>
        <w:rPr>
          <w:rFonts w:hint="eastAsia" w:ascii="宋体" w:hAnsi="宋体" w:cs="宋体"/>
          <w:szCs w:val="24"/>
        </w:rPr>
        <w:t>投标人缴纳社会保障资金的证明材料 ；</w:t>
      </w:r>
    </w:p>
    <w:p>
      <w:pPr>
        <w:numPr>
          <w:ilvl w:val="0"/>
          <w:numId w:val="19"/>
        </w:numPr>
        <w:ind w:firstLine="492"/>
        <w:rPr>
          <w:rFonts w:ascii="宋体" w:hAnsi="宋体" w:cs="宋体"/>
          <w:szCs w:val="24"/>
        </w:rPr>
      </w:pPr>
      <w:r>
        <w:rPr>
          <w:rFonts w:hint="eastAsia" w:ascii="宋体" w:hAnsi="宋体" w:cs="宋体"/>
          <w:szCs w:val="24"/>
        </w:rPr>
        <w:t>承诺函；</w:t>
      </w:r>
    </w:p>
    <w:p>
      <w:pPr>
        <w:numPr>
          <w:ilvl w:val="0"/>
          <w:numId w:val="19"/>
        </w:numPr>
        <w:ind w:firstLine="492"/>
        <w:rPr>
          <w:rFonts w:ascii="宋体" w:hAnsi="宋体" w:cs="宋体"/>
          <w:szCs w:val="24"/>
        </w:rPr>
      </w:pPr>
      <w:r>
        <w:rPr>
          <w:rFonts w:hint="eastAsia" w:ascii="宋体" w:hAnsi="宋体" w:cs="宋体"/>
          <w:szCs w:val="24"/>
        </w:rPr>
        <w:t>法定代表人身份证明书；</w:t>
      </w:r>
    </w:p>
    <w:p>
      <w:pPr>
        <w:numPr>
          <w:ilvl w:val="0"/>
          <w:numId w:val="19"/>
        </w:numPr>
        <w:ind w:firstLine="492"/>
        <w:rPr>
          <w:rFonts w:ascii="宋体" w:hAnsi="宋体" w:cs="宋体"/>
          <w:szCs w:val="24"/>
        </w:rPr>
      </w:pPr>
      <w:r>
        <w:rPr>
          <w:rFonts w:hint="eastAsia" w:ascii="宋体" w:hAnsi="宋体" w:cs="宋体"/>
          <w:szCs w:val="24"/>
        </w:rPr>
        <w:t>法定代表人授权书原件；（投标文件均由供应商法定代表人签字的可不提供）</w:t>
      </w:r>
    </w:p>
    <w:p>
      <w:pPr>
        <w:numPr>
          <w:ilvl w:val="0"/>
          <w:numId w:val="19"/>
        </w:numPr>
        <w:spacing w:line="520" w:lineRule="exact"/>
        <w:ind w:firstLine="492"/>
      </w:pPr>
      <w:r>
        <w:rPr>
          <w:rFonts w:hint="eastAsia" w:ascii="宋体" w:hAnsi="宋体"/>
          <w:szCs w:val="24"/>
        </w:rPr>
        <w:t>采购人对法律、行政法规规定的其他条件无要求，投标人具有有效的营业执照或法人证书即可，可不提供其他证明材料。</w:t>
      </w:r>
    </w:p>
    <w:p>
      <w:pPr>
        <w:pStyle w:val="2"/>
        <w:spacing w:line="360" w:lineRule="auto"/>
        <w:ind w:firstLine="494"/>
        <w:rPr>
          <w:rFonts w:ascii="宋体" w:hAnsi="宋体" w:cs="宋体"/>
          <w:b/>
          <w:bCs/>
          <w:szCs w:val="24"/>
        </w:rPr>
      </w:pPr>
      <w:r>
        <w:rPr>
          <w:rFonts w:hint="eastAsia" w:ascii="宋体" w:hAnsi="宋体" w:cs="宋体"/>
          <w:b/>
          <w:bCs/>
          <w:szCs w:val="24"/>
        </w:rPr>
        <w:t>二、技术、服务性响应文件：</w:t>
      </w:r>
    </w:p>
    <w:p>
      <w:pPr>
        <w:numPr>
          <w:ilvl w:val="0"/>
          <w:numId w:val="20"/>
        </w:numPr>
        <w:ind w:firstLine="492"/>
        <w:rPr>
          <w:rFonts w:ascii="宋体" w:hAnsi="宋体" w:cs="宋体"/>
          <w:szCs w:val="24"/>
        </w:rPr>
      </w:pPr>
      <w:r>
        <w:rPr>
          <w:rFonts w:hint="eastAsia" w:ascii="宋体" w:hAnsi="宋体" w:cs="宋体"/>
          <w:szCs w:val="24"/>
        </w:rPr>
        <w:t>开标一览表；</w:t>
      </w:r>
    </w:p>
    <w:p>
      <w:pPr>
        <w:numPr>
          <w:ilvl w:val="0"/>
          <w:numId w:val="20"/>
        </w:numPr>
        <w:ind w:firstLine="492"/>
        <w:rPr>
          <w:rFonts w:ascii="宋体" w:hAnsi="宋体" w:cs="宋体"/>
          <w:szCs w:val="24"/>
        </w:rPr>
      </w:pPr>
      <w:r>
        <w:rPr>
          <w:rFonts w:hint="eastAsia" w:ascii="宋体" w:hAnsi="宋体" w:cs="宋体"/>
          <w:szCs w:val="24"/>
        </w:rPr>
        <w:t>分项报价明细表；</w:t>
      </w:r>
    </w:p>
    <w:p>
      <w:pPr>
        <w:numPr>
          <w:ilvl w:val="0"/>
          <w:numId w:val="20"/>
        </w:numPr>
        <w:ind w:firstLine="492"/>
        <w:rPr>
          <w:rFonts w:ascii="宋体" w:hAnsi="宋体" w:cs="宋体"/>
          <w:szCs w:val="24"/>
        </w:rPr>
      </w:pPr>
      <w:r>
        <w:rPr>
          <w:rFonts w:hint="eastAsia" w:ascii="宋体" w:hAnsi="宋体" w:cs="宋体"/>
          <w:szCs w:val="24"/>
        </w:rPr>
        <w:t>投标人基本情况表；</w:t>
      </w:r>
    </w:p>
    <w:p>
      <w:pPr>
        <w:numPr>
          <w:ilvl w:val="0"/>
          <w:numId w:val="20"/>
        </w:numPr>
        <w:ind w:firstLine="492"/>
        <w:rPr>
          <w:rFonts w:ascii="宋体" w:hAnsi="宋体" w:cs="宋体"/>
          <w:szCs w:val="24"/>
        </w:rPr>
      </w:pPr>
      <w:r>
        <w:rPr>
          <w:rFonts w:hint="eastAsia" w:ascii="宋体" w:hAnsi="宋体" w:cs="宋体"/>
          <w:szCs w:val="24"/>
        </w:rPr>
        <w:t>商务条款偏离表；</w:t>
      </w:r>
    </w:p>
    <w:p>
      <w:pPr>
        <w:numPr>
          <w:ilvl w:val="0"/>
          <w:numId w:val="20"/>
        </w:numPr>
        <w:ind w:firstLine="492"/>
        <w:rPr>
          <w:rFonts w:ascii="宋体" w:hAnsi="宋体" w:cs="宋体"/>
          <w:szCs w:val="24"/>
        </w:rPr>
      </w:pPr>
      <w:r>
        <w:rPr>
          <w:rFonts w:hint="eastAsia" w:ascii="宋体" w:hAnsi="宋体" w:cs="宋体"/>
          <w:szCs w:val="24"/>
        </w:rPr>
        <w:t>技术条款偏离表；</w:t>
      </w:r>
    </w:p>
    <w:p>
      <w:pPr>
        <w:numPr>
          <w:ilvl w:val="0"/>
          <w:numId w:val="20"/>
        </w:numPr>
        <w:ind w:firstLine="492"/>
        <w:rPr>
          <w:rFonts w:ascii="宋体" w:hAnsi="宋体" w:cs="宋体"/>
          <w:szCs w:val="24"/>
        </w:rPr>
      </w:pPr>
      <w:r>
        <w:rPr>
          <w:rFonts w:hint="eastAsia" w:ascii="宋体" w:hAnsi="宋体" w:cs="宋体"/>
          <w:szCs w:val="24"/>
          <w:lang w:val="en-US" w:eastAsia="zh-CN"/>
        </w:rPr>
        <w:t>拟采用的污泥处置方式；</w:t>
      </w:r>
    </w:p>
    <w:p>
      <w:pPr>
        <w:numPr>
          <w:ilvl w:val="0"/>
          <w:numId w:val="20"/>
        </w:numPr>
        <w:ind w:firstLine="492"/>
        <w:rPr>
          <w:rFonts w:ascii="宋体" w:hAnsi="宋体" w:cs="宋体"/>
          <w:szCs w:val="24"/>
        </w:rPr>
      </w:pPr>
      <w:r>
        <w:rPr>
          <w:rFonts w:hint="eastAsia" w:ascii="宋体" w:hAnsi="宋体" w:cs="宋体"/>
          <w:szCs w:val="24"/>
        </w:rPr>
        <w:t>业绩一览表；</w:t>
      </w:r>
    </w:p>
    <w:p>
      <w:pPr>
        <w:numPr>
          <w:ilvl w:val="0"/>
          <w:numId w:val="20"/>
        </w:numPr>
        <w:ind w:firstLine="492"/>
        <w:rPr>
          <w:rFonts w:ascii="宋体" w:hAnsi="宋体" w:cs="宋体"/>
          <w:szCs w:val="24"/>
        </w:rPr>
      </w:pPr>
      <w:r>
        <w:rPr>
          <w:rFonts w:hint="eastAsia" w:ascii="宋体" w:hAnsi="宋体" w:cs="宋体"/>
          <w:szCs w:val="24"/>
        </w:rPr>
        <w:t>服务方案；</w:t>
      </w:r>
    </w:p>
    <w:p>
      <w:pPr>
        <w:numPr>
          <w:ilvl w:val="0"/>
          <w:numId w:val="20"/>
        </w:numPr>
        <w:ind w:firstLine="492"/>
        <w:rPr>
          <w:rFonts w:ascii="宋体" w:hAnsi="宋体" w:cs="宋体"/>
          <w:szCs w:val="24"/>
        </w:rPr>
      </w:pPr>
      <w:r>
        <w:rPr>
          <w:rFonts w:hint="eastAsia" w:ascii="宋体" w:hAnsi="宋体" w:cs="宋体"/>
          <w:szCs w:val="24"/>
        </w:rPr>
        <w:t>避免二次污染方案；</w:t>
      </w:r>
    </w:p>
    <w:p>
      <w:pPr>
        <w:numPr>
          <w:ilvl w:val="0"/>
          <w:numId w:val="20"/>
        </w:numPr>
        <w:ind w:firstLine="492"/>
        <w:rPr>
          <w:rFonts w:ascii="宋体" w:hAnsi="宋体" w:cs="宋体"/>
          <w:szCs w:val="24"/>
        </w:rPr>
      </w:pPr>
      <w:r>
        <w:rPr>
          <w:rFonts w:hint="eastAsia" w:ascii="宋体" w:hAnsi="宋体" w:cs="宋体"/>
          <w:szCs w:val="24"/>
        </w:rPr>
        <w:t>中小企业申明函（如未提供中小企业声明函的，则其投标报价不能享受招标文件规定的价格扣除，但不影响投标人投标文件的有效性）；</w:t>
      </w:r>
    </w:p>
    <w:p>
      <w:pPr>
        <w:numPr>
          <w:ilvl w:val="0"/>
          <w:numId w:val="20"/>
        </w:numPr>
        <w:ind w:firstLine="492"/>
        <w:rPr>
          <w:rFonts w:ascii="宋体" w:hAnsi="宋体" w:cs="宋体"/>
          <w:szCs w:val="24"/>
        </w:rPr>
      </w:pPr>
      <w:r>
        <w:rPr>
          <w:rFonts w:hint="eastAsia" w:ascii="宋体" w:hAnsi="宋体" w:cs="宋体"/>
          <w:szCs w:val="24"/>
        </w:rPr>
        <w:t>残疾人福利性单位声明函（如未提供残疾人福利性单位声明函的，则其不能享受招标文件规定的价格扣除，但不影响投标人投标文件的有效性）；</w:t>
      </w:r>
    </w:p>
    <w:p>
      <w:pPr>
        <w:numPr>
          <w:ilvl w:val="0"/>
          <w:numId w:val="20"/>
        </w:numPr>
        <w:ind w:firstLine="492"/>
        <w:rPr>
          <w:rFonts w:ascii="宋体" w:hAnsi="宋体" w:cs="宋体"/>
          <w:szCs w:val="24"/>
        </w:rPr>
      </w:pPr>
      <w:r>
        <w:rPr>
          <w:rFonts w:hint="eastAsia" w:ascii="宋体" w:hAnsi="宋体" w:cs="宋体"/>
          <w:szCs w:val="24"/>
        </w:rPr>
        <w:t>其他投标人认为需要提供的文件和资料（如有）。</w:t>
      </w:r>
    </w:p>
    <w:p>
      <w:pPr>
        <w:pStyle w:val="2"/>
        <w:numPr>
          <w:ilvl w:val="0"/>
          <w:numId w:val="17"/>
        </w:numPr>
        <w:spacing w:line="360" w:lineRule="auto"/>
        <w:ind w:firstLine="494"/>
        <w:rPr>
          <w:rFonts w:ascii="宋体" w:hAnsi="宋体" w:cs="宋体"/>
          <w:b/>
          <w:bCs/>
          <w:szCs w:val="24"/>
        </w:rPr>
      </w:pPr>
      <w:r>
        <w:rPr>
          <w:rFonts w:hint="eastAsia" w:ascii="宋体" w:hAnsi="宋体" w:cs="宋体"/>
          <w:b/>
          <w:bCs/>
          <w:szCs w:val="24"/>
        </w:rPr>
        <w:t>开标一览表单独密封一份。</w:t>
      </w:r>
    </w:p>
    <w:p>
      <w:pPr>
        <w:pStyle w:val="2"/>
        <w:numPr>
          <w:ilvl w:val="0"/>
          <w:numId w:val="17"/>
        </w:numPr>
        <w:spacing w:line="360" w:lineRule="auto"/>
        <w:ind w:firstLine="494"/>
        <w:rPr>
          <w:rFonts w:ascii="宋体" w:hAnsi="宋体" w:cs="宋体"/>
          <w:b/>
          <w:bCs/>
          <w:szCs w:val="24"/>
        </w:rPr>
      </w:pPr>
      <w:r>
        <w:rPr>
          <w:rFonts w:hint="eastAsia" w:ascii="宋体" w:hAnsi="宋体" w:cs="宋体"/>
          <w:b/>
          <w:bCs/>
          <w:szCs w:val="24"/>
        </w:rPr>
        <w:t>电子文档一份。</w:t>
      </w:r>
    </w:p>
    <w:p>
      <w:pPr>
        <w:ind w:firstLine="494"/>
        <w:rPr>
          <w:rFonts w:ascii="宋体" w:hAnsi="宋体" w:cs="宋体"/>
          <w:b/>
          <w:bCs/>
          <w:szCs w:val="24"/>
        </w:rPr>
      </w:pPr>
      <w:r>
        <w:rPr>
          <w:rFonts w:hint="eastAsia" w:ascii="宋体" w:hAnsi="宋体"/>
          <w:b/>
        </w:rPr>
        <w:t>供应商须提供与投标文件相一致的电子文档一份。（供应商递交投标文件后电子文档概不退还，电子文档与投标文件不一致的，以投标文件为准，但不影响有效性）。</w:t>
      </w:r>
    </w:p>
    <w:p>
      <w:pPr>
        <w:pStyle w:val="5"/>
        <w:ind w:left="322" w:firstLine="494" w:firstLineChars="0"/>
        <w:rPr>
          <w:rFonts w:cs="宋体"/>
          <w:color w:val="auto"/>
          <w:szCs w:val="24"/>
        </w:rPr>
      </w:pPr>
      <w:bookmarkStart w:id="102" w:name="_Toc6280"/>
      <w:r>
        <w:rPr>
          <w:rFonts w:hint="eastAsia" w:cs="宋体"/>
          <w:color w:val="auto"/>
          <w:szCs w:val="24"/>
        </w:rPr>
        <w:t>投标文件格式</w:t>
      </w:r>
      <w:bookmarkEnd w:id="99"/>
      <w:bookmarkEnd w:id="100"/>
      <w:bookmarkEnd w:id="101"/>
      <w:bookmarkEnd w:id="102"/>
      <w:r>
        <w:rPr>
          <w:rFonts w:hint="eastAsia" w:cs="宋体"/>
          <w:color w:val="auto"/>
          <w:szCs w:val="24"/>
        </w:rPr>
        <w:tab/>
      </w:r>
    </w:p>
    <w:p>
      <w:pPr>
        <w:numPr>
          <w:ilvl w:val="0"/>
          <w:numId w:val="21"/>
        </w:numPr>
        <w:tabs>
          <w:tab w:val="left" w:pos="1134"/>
        </w:tabs>
        <w:ind w:firstLine="492"/>
        <w:rPr>
          <w:rFonts w:ascii="宋体" w:hAnsi="宋体" w:cs="宋体"/>
          <w:szCs w:val="24"/>
        </w:rPr>
      </w:pPr>
      <w:r>
        <w:rPr>
          <w:rFonts w:hint="eastAsia" w:ascii="宋体" w:hAnsi="宋体" w:cs="宋体"/>
          <w:szCs w:val="24"/>
        </w:rPr>
        <w:t>投标人应按照招标文件第3章中提供的“投标文件格式”填写相关内容。</w:t>
      </w:r>
    </w:p>
    <w:p>
      <w:pPr>
        <w:numPr>
          <w:ilvl w:val="0"/>
          <w:numId w:val="21"/>
        </w:numPr>
        <w:tabs>
          <w:tab w:val="left" w:pos="1134"/>
        </w:tabs>
        <w:ind w:firstLine="492"/>
        <w:rPr>
          <w:rFonts w:ascii="宋体" w:hAnsi="宋体" w:cs="宋体"/>
          <w:szCs w:val="24"/>
        </w:rPr>
      </w:pPr>
      <w:r>
        <w:rPr>
          <w:rFonts w:hint="eastAsia" w:ascii="宋体" w:hAnsi="宋体" w:cs="宋体"/>
          <w:szCs w:val="24"/>
        </w:rPr>
        <w:t>对于没有格式要求的投标文件由投标人自行编写。</w:t>
      </w:r>
    </w:p>
    <w:p>
      <w:pPr>
        <w:pStyle w:val="5"/>
        <w:ind w:left="322" w:firstLine="494" w:firstLineChars="0"/>
        <w:rPr>
          <w:rFonts w:cs="宋体"/>
          <w:color w:val="auto"/>
          <w:szCs w:val="24"/>
        </w:rPr>
      </w:pPr>
      <w:bookmarkStart w:id="103" w:name="_Toc6545"/>
      <w:r>
        <w:rPr>
          <w:rFonts w:hint="eastAsia" w:cs="宋体"/>
          <w:color w:val="auto"/>
          <w:szCs w:val="24"/>
        </w:rPr>
        <w:t>投标报价</w:t>
      </w:r>
      <w:bookmarkEnd w:id="103"/>
    </w:p>
    <w:p>
      <w:pPr>
        <w:numPr>
          <w:ilvl w:val="0"/>
          <w:numId w:val="22"/>
        </w:numPr>
        <w:tabs>
          <w:tab w:val="left" w:pos="1134"/>
        </w:tabs>
        <w:ind w:firstLine="492"/>
        <w:rPr>
          <w:rFonts w:ascii="宋体" w:hAnsi="宋体" w:cs="宋体"/>
          <w:szCs w:val="24"/>
        </w:rPr>
      </w:pPr>
      <w:r>
        <w:rPr>
          <w:rFonts w:hint="eastAsia" w:ascii="宋体" w:hAnsi="宋体" w:cs="宋体"/>
          <w:szCs w:val="24"/>
        </w:rPr>
        <w:t>投标人的报价是投标人响应招标项目要求的全部工作内容的价格体现，包括投标人完成本项目所需的一切费用。</w:t>
      </w:r>
    </w:p>
    <w:p>
      <w:pPr>
        <w:numPr>
          <w:ilvl w:val="0"/>
          <w:numId w:val="22"/>
        </w:numPr>
        <w:tabs>
          <w:tab w:val="left" w:pos="1134"/>
        </w:tabs>
        <w:ind w:firstLine="492"/>
        <w:rPr>
          <w:rFonts w:ascii="宋体" w:hAnsi="宋体" w:cs="宋体"/>
          <w:szCs w:val="24"/>
        </w:rPr>
      </w:pPr>
      <w:r>
        <w:rPr>
          <w:rFonts w:hint="eastAsia" w:ascii="宋体" w:hAnsi="宋体" w:cs="宋体"/>
          <w:szCs w:val="24"/>
        </w:rPr>
        <w:t>投标人每种货物及服务内容只允许有一个报价，并且在合同履行过程中是固定不变的，任何有选择或可调整的报价将不予接受，并按无效投标处理。</w:t>
      </w:r>
    </w:p>
    <w:p>
      <w:pPr>
        <w:numPr>
          <w:ilvl w:val="0"/>
          <w:numId w:val="22"/>
        </w:numPr>
        <w:tabs>
          <w:tab w:val="left" w:pos="1134"/>
        </w:tabs>
        <w:ind w:firstLine="492"/>
        <w:rPr>
          <w:rFonts w:ascii="宋体" w:hAnsi="宋体" w:cs="宋体"/>
          <w:szCs w:val="24"/>
        </w:rPr>
      </w:pPr>
      <w:r>
        <w:rPr>
          <w:rFonts w:hint="eastAsia" w:ascii="宋体" w:hAnsi="宋体" w:cs="宋体"/>
          <w:szCs w:val="24"/>
        </w:rPr>
        <w:t>投标文件报价出现前后不一致的，除招标文件另有规定外，按照下列规定修正：</w:t>
      </w:r>
    </w:p>
    <w:p>
      <w:pPr>
        <w:numPr>
          <w:ilvl w:val="0"/>
          <w:numId w:val="23"/>
        </w:numPr>
        <w:tabs>
          <w:tab w:val="left" w:pos="1134"/>
        </w:tabs>
        <w:ind w:firstLineChars="0"/>
        <w:rPr>
          <w:rFonts w:ascii="宋体" w:hAnsi="宋体"/>
          <w:szCs w:val="24"/>
        </w:rPr>
      </w:pPr>
      <w:r>
        <w:rPr>
          <w:rFonts w:hint="eastAsia" w:ascii="宋体" w:hAnsi="宋体"/>
          <w:szCs w:val="24"/>
        </w:rPr>
        <w:t>投标文件中开标一览表（报价表）内容与投标文件中相应内容不一致的，以开标一览表（报价表）为准；</w:t>
      </w:r>
    </w:p>
    <w:p>
      <w:pPr>
        <w:numPr>
          <w:ilvl w:val="0"/>
          <w:numId w:val="23"/>
        </w:numPr>
        <w:tabs>
          <w:tab w:val="left" w:pos="1134"/>
        </w:tabs>
        <w:ind w:firstLineChars="0"/>
        <w:rPr>
          <w:rFonts w:ascii="宋体" w:hAnsi="宋体" w:cs="宋体"/>
          <w:szCs w:val="24"/>
        </w:rPr>
      </w:pPr>
      <w:r>
        <w:rPr>
          <w:rFonts w:hint="eastAsia" w:ascii="宋体" w:hAnsi="宋体" w:cs="宋体"/>
          <w:szCs w:val="24"/>
        </w:rPr>
        <w:t>大写金额和小写金额不一致的，以大写金额为准；</w:t>
      </w:r>
    </w:p>
    <w:p>
      <w:pPr>
        <w:numPr>
          <w:ilvl w:val="0"/>
          <w:numId w:val="23"/>
        </w:numPr>
        <w:tabs>
          <w:tab w:val="left" w:pos="1134"/>
        </w:tabs>
        <w:ind w:firstLineChars="0"/>
        <w:rPr>
          <w:rFonts w:ascii="宋体" w:hAnsi="宋体"/>
          <w:szCs w:val="24"/>
        </w:rPr>
      </w:pPr>
      <w:r>
        <w:rPr>
          <w:rFonts w:hint="eastAsia" w:ascii="宋体" w:hAnsi="宋体"/>
          <w:szCs w:val="24"/>
        </w:rPr>
        <w:t>单价金额小数点或者百分比有明显错位的，以开标一览表的总价为准，并修改单价；</w:t>
      </w:r>
    </w:p>
    <w:p>
      <w:pPr>
        <w:numPr>
          <w:ilvl w:val="0"/>
          <w:numId w:val="23"/>
        </w:numPr>
        <w:tabs>
          <w:tab w:val="left" w:pos="1134"/>
        </w:tabs>
        <w:ind w:firstLineChars="0"/>
        <w:rPr>
          <w:rFonts w:ascii="宋体" w:hAnsi="宋体" w:cs="宋体"/>
          <w:szCs w:val="24"/>
        </w:rPr>
      </w:pPr>
      <w:r>
        <w:rPr>
          <w:rFonts w:hint="eastAsia" w:ascii="宋体" w:hAnsi="宋体" w:cs="宋体"/>
          <w:szCs w:val="24"/>
        </w:rPr>
        <w:t>总价金额与按单价汇总金额不一致的，以单价汇总金额计算结果为准；</w:t>
      </w:r>
    </w:p>
    <w:p>
      <w:pPr>
        <w:pStyle w:val="102"/>
        <w:tabs>
          <w:tab w:val="left" w:pos="1050"/>
        </w:tabs>
        <w:ind w:firstLine="492"/>
        <w:rPr>
          <w:rFonts w:ascii="宋体" w:hAnsi="宋体"/>
          <w:szCs w:val="24"/>
        </w:rPr>
      </w:pPr>
      <w:r>
        <w:rPr>
          <w:rFonts w:hint="eastAsia" w:ascii="宋体" w:hAnsi="宋体"/>
          <w:szCs w:val="24"/>
        </w:rPr>
        <w:t>同时出现两种以上不一致的，按照前款规定的顺序修正。修正后的报价经投标人确认后产生约束力，投标人不确认的，其投标无效。</w:t>
      </w:r>
    </w:p>
    <w:p>
      <w:pPr>
        <w:tabs>
          <w:tab w:val="left" w:pos="1134"/>
        </w:tabs>
        <w:ind w:firstLine="492"/>
      </w:pPr>
      <w:r>
        <w:rPr>
          <w:rFonts w:hint="eastAsia" w:ascii="宋体" w:hAnsi="宋体"/>
          <w:szCs w:val="24"/>
        </w:rPr>
        <w:t>出现本条第（</w:t>
      </w:r>
      <w:r>
        <w:rPr>
          <w:rFonts w:hint="eastAsia" w:ascii="宋体" w:hAnsi="宋体"/>
          <w:szCs w:val="24"/>
          <w:lang w:val="en-US" w:eastAsia="zh-CN"/>
        </w:rPr>
        <w:t>四</w:t>
      </w:r>
      <w:r>
        <w:rPr>
          <w:rFonts w:hint="eastAsia" w:ascii="宋体" w:hAnsi="宋体"/>
          <w:szCs w:val="24"/>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
        <w:tabs>
          <w:tab w:val="left" w:pos="851"/>
        </w:tabs>
        <w:ind w:left="322" w:firstLine="494" w:firstLineChars="0"/>
        <w:rPr>
          <w:rFonts w:cs="宋体"/>
          <w:color w:val="auto"/>
          <w:szCs w:val="24"/>
        </w:rPr>
      </w:pPr>
      <w:bookmarkStart w:id="104" w:name="_Toc316291400"/>
      <w:bookmarkEnd w:id="104"/>
      <w:bookmarkStart w:id="105" w:name="_Toc316292024"/>
      <w:bookmarkEnd w:id="105"/>
      <w:bookmarkStart w:id="106" w:name="_Toc183582224"/>
      <w:bookmarkStart w:id="107" w:name="_Toc183682361"/>
      <w:bookmarkStart w:id="108" w:name="_Toc217446051"/>
      <w:bookmarkStart w:id="109" w:name="_Toc11141"/>
      <w:r>
        <w:rPr>
          <w:rFonts w:hint="eastAsia" w:cs="宋体"/>
          <w:color w:val="auto"/>
          <w:szCs w:val="24"/>
        </w:rPr>
        <w:t>投标有效期</w:t>
      </w:r>
      <w:bookmarkEnd w:id="106"/>
      <w:bookmarkEnd w:id="107"/>
      <w:bookmarkEnd w:id="108"/>
      <w:bookmarkEnd w:id="109"/>
      <w:r>
        <w:rPr>
          <w:rFonts w:hint="eastAsia" w:cs="宋体"/>
          <w:color w:val="auto"/>
          <w:szCs w:val="24"/>
        </w:rPr>
        <w:t>（实质性要求）</w:t>
      </w:r>
    </w:p>
    <w:p>
      <w:pPr>
        <w:numPr>
          <w:ilvl w:val="0"/>
          <w:numId w:val="24"/>
        </w:numPr>
        <w:tabs>
          <w:tab w:val="left" w:pos="1134"/>
        </w:tabs>
        <w:ind w:firstLine="492"/>
        <w:rPr>
          <w:rFonts w:ascii="宋体" w:hAnsi="宋体" w:cs="宋体"/>
          <w:szCs w:val="24"/>
        </w:rPr>
      </w:pPr>
      <w:r>
        <w:rPr>
          <w:rFonts w:hint="eastAsia" w:ascii="宋体" w:hAnsi="宋体" w:cs="宋体"/>
          <w:szCs w:val="24"/>
        </w:rPr>
        <w:t>投标有效期为投标截止之日起</w:t>
      </w:r>
      <w:r>
        <w:rPr>
          <w:rFonts w:hint="eastAsia" w:ascii="宋体" w:hAnsi="宋体" w:cs="宋体"/>
          <w:szCs w:val="24"/>
          <w:u w:val="single"/>
        </w:rPr>
        <w:t>90</w:t>
      </w:r>
      <w:r>
        <w:rPr>
          <w:rFonts w:hint="eastAsia" w:ascii="宋体" w:hAnsi="宋体" w:cs="宋体"/>
          <w:szCs w:val="24"/>
        </w:rPr>
        <w:t>天。投标有效期短于此规定期限的或不作响应的，则其投标文件将按无效投标文件处理。</w:t>
      </w:r>
    </w:p>
    <w:p>
      <w:pPr>
        <w:numPr>
          <w:ilvl w:val="0"/>
          <w:numId w:val="24"/>
        </w:numPr>
        <w:tabs>
          <w:tab w:val="left" w:pos="1134"/>
        </w:tabs>
        <w:ind w:firstLine="492"/>
        <w:rPr>
          <w:rFonts w:ascii="宋体" w:hAnsi="宋体" w:cs="宋体"/>
          <w:szCs w:val="24"/>
        </w:rPr>
      </w:pPr>
      <w:r>
        <w:rPr>
          <w:rFonts w:hint="eastAsia" w:ascii="宋体" w:hAnsi="宋体" w:cs="宋体"/>
          <w:szCs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numPr>
          <w:ilvl w:val="0"/>
          <w:numId w:val="24"/>
        </w:numPr>
        <w:tabs>
          <w:tab w:val="left" w:pos="1134"/>
        </w:tabs>
        <w:ind w:firstLine="492"/>
        <w:rPr>
          <w:rFonts w:ascii="宋体" w:hAnsi="宋体" w:cs="宋体"/>
          <w:szCs w:val="24"/>
        </w:rPr>
      </w:pPr>
      <w:r>
        <w:rPr>
          <w:rFonts w:hint="eastAsia" w:ascii="宋体" w:hAnsi="宋体" w:cs="宋体"/>
          <w:szCs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tabs>
          <w:tab w:val="left" w:pos="851"/>
        </w:tabs>
        <w:ind w:left="322" w:firstLine="494" w:firstLineChars="0"/>
        <w:rPr>
          <w:rFonts w:cs="宋体"/>
          <w:color w:val="auto"/>
          <w:szCs w:val="24"/>
        </w:rPr>
      </w:pPr>
      <w:bookmarkStart w:id="110" w:name="_Toc183682362"/>
      <w:bookmarkStart w:id="111" w:name="_Toc217446052"/>
      <w:bookmarkStart w:id="112" w:name="_Toc5624"/>
      <w:bookmarkStart w:id="113" w:name="_Toc183582225"/>
      <w:r>
        <w:rPr>
          <w:rFonts w:hint="eastAsia" w:cs="宋体"/>
          <w:color w:val="auto"/>
          <w:szCs w:val="24"/>
        </w:rPr>
        <w:t>投标文件的印制和签署</w:t>
      </w:r>
      <w:bookmarkEnd w:id="110"/>
      <w:bookmarkEnd w:id="111"/>
      <w:bookmarkEnd w:id="112"/>
      <w:bookmarkEnd w:id="113"/>
    </w:p>
    <w:p>
      <w:pPr>
        <w:numPr>
          <w:ilvl w:val="0"/>
          <w:numId w:val="25"/>
        </w:numPr>
        <w:tabs>
          <w:tab w:val="left" w:pos="1134"/>
        </w:tabs>
        <w:ind w:firstLine="492"/>
        <w:rPr>
          <w:rFonts w:ascii="宋体" w:hAnsi="宋体" w:cs="宋体"/>
          <w:szCs w:val="24"/>
        </w:rPr>
      </w:pPr>
      <w:r>
        <w:rPr>
          <w:rFonts w:hint="eastAsia" w:ascii="宋体" w:hAnsi="宋体" w:cs="宋体"/>
          <w:szCs w:val="24"/>
        </w:rPr>
        <w:t>投标人应准备投标文件正本1份、副本2份（即资格性响应文件正本1份、副本2份，技术、服务性响应文件正本1份、副本2份）、“开标一览表”1份、电子文档1份。若正本和副本有不一致的内容，以正本书面投标文件为准。</w:t>
      </w:r>
    </w:p>
    <w:p>
      <w:pPr>
        <w:numPr>
          <w:ilvl w:val="0"/>
          <w:numId w:val="25"/>
        </w:numPr>
        <w:tabs>
          <w:tab w:val="left" w:pos="1134"/>
        </w:tabs>
        <w:ind w:firstLine="492"/>
        <w:rPr>
          <w:rFonts w:ascii="宋体" w:hAnsi="宋体" w:cs="宋体"/>
          <w:szCs w:val="24"/>
        </w:rPr>
      </w:pPr>
      <w:r>
        <w:rPr>
          <w:rFonts w:hint="eastAsia" w:ascii="宋体" w:hAnsi="宋体" w:cs="宋体"/>
          <w:szCs w:val="24"/>
        </w:rPr>
        <w:t xml:space="preserve"> 投标文件的正本和副本均需打印或用不褪色、不变质的墨水书写，投标文件应由投标人法定代表人或经法定代表人正式授权的代理人在招标文件要求的地方签字或加盖单位公章。投标文件副本可采用正本的复印件，用于开标唱标单独提交的“开标一览表”应为原件。</w:t>
      </w:r>
    </w:p>
    <w:p>
      <w:pPr>
        <w:numPr>
          <w:ilvl w:val="0"/>
          <w:numId w:val="25"/>
        </w:numPr>
        <w:tabs>
          <w:tab w:val="left" w:pos="1134"/>
        </w:tabs>
        <w:ind w:firstLine="492"/>
        <w:rPr>
          <w:rFonts w:ascii="宋体" w:hAnsi="宋体" w:cs="宋体"/>
          <w:szCs w:val="24"/>
        </w:rPr>
      </w:pPr>
      <w:r>
        <w:rPr>
          <w:rFonts w:hint="eastAsia" w:ascii="宋体" w:hAnsi="宋体" w:cs="宋体"/>
          <w:szCs w:val="24"/>
        </w:rPr>
        <w:t>投标文件的打印和书写应清楚工整，任何行间插字、涂改或增删，必须由投标人的法定代表人或其授权代表签字或盖个人印鉴。</w:t>
      </w:r>
    </w:p>
    <w:p>
      <w:pPr>
        <w:numPr>
          <w:ilvl w:val="0"/>
          <w:numId w:val="25"/>
        </w:numPr>
        <w:tabs>
          <w:tab w:val="left" w:pos="1134"/>
        </w:tabs>
        <w:ind w:firstLine="492"/>
        <w:rPr>
          <w:rFonts w:ascii="宋体" w:hAnsi="宋体" w:cs="宋体"/>
          <w:szCs w:val="24"/>
        </w:rPr>
      </w:pPr>
      <w:r>
        <w:rPr>
          <w:rFonts w:hint="eastAsia" w:ascii="宋体" w:hAnsi="宋体" w:cs="宋体"/>
          <w:szCs w:val="24"/>
        </w:rPr>
        <w:t>投标文件正本和副本应当采取胶装方式装订成册（不能使用订书钉或活页夹装订，不能是散页；对投标文件的修改或撤回的书面通知除外）。（实质性要求）</w:t>
      </w:r>
    </w:p>
    <w:p>
      <w:pPr>
        <w:numPr>
          <w:ilvl w:val="0"/>
          <w:numId w:val="25"/>
        </w:numPr>
        <w:tabs>
          <w:tab w:val="left" w:pos="1134"/>
        </w:tabs>
        <w:ind w:firstLine="492"/>
        <w:rPr>
          <w:rFonts w:ascii="宋体" w:hAnsi="宋体" w:cs="宋体"/>
          <w:szCs w:val="24"/>
        </w:rPr>
      </w:pPr>
      <w:r>
        <w:rPr>
          <w:rFonts w:hint="eastAsia" w:ascii="宋体" w:hAnsi="宋体" w:cs="宋体"/>
          <w:szCs w:val="24"/>
        </w:rPr>
        <w:t>投标文件应根据招标文件的要求制作，签署、盖章和内容应完整。（说明：1、招标文件中要求提供复印件证明材料的，系指提供原件的影印件。2、招标文件中要求提供复印件加盖单位公章的证明材料的，复印件所在页按要求加盖了公章或复印件为多页但至少有一页按要求加盖了公章的，视为满足复印件加盖公章的要求。）</w:t>
      </w:r>
    </w:p>
    <w:p>
      <w:pPr>
        <w:numPr>
          <w:ilvl w:val="0"/>
          <w:numId w:val="25"/>
        </w:numPr>
        <w:tabs>
          <w:tab w:val="left" w:pos="1134"/>
        </w:tabs>
        <w:ind w:firstLine="492"/>
        <w:rPr>
          <w:rFonts w:ascii="宋体" w:hAnsi="宋体" w:cs="宋体"/>
          <w:szCs w:val="24"/>
        </w:rPr>
      </w:pPr>
      <w:r>
        <w:rPr>
          <w:rFonts w:hint="eastAsia" w:ascii="宋体" w:hAnsi="宋体" w:cs="宋体"/>
          <w:szCs w:val="24"/>
        </w:rPr>
        <w:t>投标文件统一用A4幅面纸印制（表、图及证件可以除外），并逐页编码。</w:t>
      </w:r>
    </w:p>
    <w:p>
      <w:pPr>
        <w:pStyle w:val="5"/>
        <w:tabs>
          <w:tab w:val="left" w:pos="851"/>
        </w:tabs>
        <w:ind w:left="322" w:firstLine="494" w:firstLineChars="0"/>
        <w:rPr>
          <w:rFonts w:cs="宋体"/>
          <w:color w:val="auto"/>
          <w:szCs w:val="24"/>
        </w:rPr>
      </w:pPr>
      <w:bookmarkStart w:id="114" w:name="_Toc316475579"/>
      <w:bookmarkEnd w:id="114"/>
      <w:bookmarkStart w:id="115" w:name="_Toc316475578"/>
      <w:bookmarkEnd w:id="115"/>
      <w:bookmarkStart w:id="116" w:name="_Toc316475577"/>
      <w:bookmarkEnd w:id="116"/>
      <w:bookmarkStart w:id="117" w:name="_Toc316475583"/>
      <w:bookmarkEnd w:id="117"/>
      <w:bookmarkStart w:id="118" w:name="_Toc316475580"/>
      <w:bookmarkEnd w:id="118"/>
      <w:bookmarkStart w:id="119" w:name="_Toc316475581"/>
      <w:bookmarkEnd w:id="119"/>
      <w:bookmarkStart w:id="120" w:name="_Toc316475582"/>
      <w:bookmarkEnd w:id="120"/>
      <w:bookmarkStart w:id="121" w:name="_Toc89075877"/>
      <w:bookmarkStart w:id="122" w:name="_Toc13094"/>
      <w:bookmarkStart w:id="123" w:name="_Toc183682363"/>
      <w:bookmarkStart w:id="124" w:name="_Toc217446053"/>
      <w:bookmarkStart w:id="125" w:name="_Toc183582226"/>
      <w:bookmarkStart w:id="126" w:name="_Toc77400781"/>
      <w:r>
        <w:rPr>
          <w:rFonts w:hint="eastAsia" w:cs="宋体"/>
          <w:color w:val="auto"/>
          <w:szCs w:val="24"/>
        </w:rPr>
        <w:t>投标文件的密封和标注</w:t>
      </w:r>
      <w:bookmarkEnd w:id="121"/>
      <w:bookmarkEnd w:id="122"/>
      <w:bookmarkEnd w:id="123"/>
      <w:bookmarkEnd w:id="124"/>
      <w:bookmarkEnd w:id="125"/>
      <w:bookmarkEnd w:id="126"/>
    </w:p>
    <w:p>
      <w:pPr>
        <w:numPr>
          <w:ilvl w:val="0"/>
          <w:numId w:val="26"/>
        </w:numPr>
        <w:tabs>
          <w:tab w:val="left" w:pos="1134"/>
        </w:tabs>
        <w:ind w:firstLine="492"/>
        <w:rPr>
          <w:rFonts w:ascii="宋体" w:hAnsi="宋体" w:cs="宋体"/>
          <w:szCs w:val="24"/>
        </w:rPr>
      </w:pPr>
      <w:r>
        <w:rPr>
          <w:rFonts w:hint="eastAsia" w:ascii="宋体" w:hAnsi="宋体" w:cs="宋体"/>
          <w:szCs w:val="24"/>
        </w:rPr>
        <w:t>投标文件标注要求：</w:t>
      </w:r>
    </w:p>
    <w:p>
      <w:pPr>
        <w:numPr>
          <w:ilvl w:val="0"/>
          <w:numId w:val="27"/>
        </w:numPr>
        <w:tabs>
          <w:tab w:val="left" w:pos="1134"/>
        </w:tabs>
        <w:ind w:firstLine="492"/>
        <w:rPr>
          <w:rFonts w:ascii="宋体" w:hAnsi="宋体" w:cs="宋体"/>
          <w:szCs w:val="24"/>
        </w:rPr>
      </w:pPr>
      <w:r>
        <w:rPr>
          <w:rFonts w:hint="eastAsia" w:ascii="宋体" w:hAnsi="宋体" w:cs="宋体"/>
          <w:szCs w:val="24"/>
        </w:rPr>
        <w:t>投标文件封面标注要求：投标人应在投标文件正本和所有副本的封面上注明投标人名称、项目编号、项目名称、日期及包件号并在封面上清晰地标注正本或副本字样。开标一览表封面注明供应商名称、项目编号、项目名称、日期及包件号（如有分包）及开标一览表字样。</w:t>
      </w:r>
      <w:r>
        <w:rPr>
          <w:rFonts w:hint="eastAsia"/>
        </w:rPr>
        <w:t>电子文档封面注明</w:t>
      </w:r>
      <w:r>
        <w:rPr>
          <w:rFonts w:hint="eastAsia" w:ascii="宋体" w:hAnsi="宋体" w:cs="宋体"/>
          <w:szCs w:val="24"/>
        </w:rPr>
        <w:t>供应商名称、项目编号、项目名称、日期及包件号及电子文档字样。</w:t>
      </w:r>
    </w:p>
    <w:p>
      <w:pPr>
        <w:pStyle w:val="2"/>
        <w:numPr>
          <w:ilvl w:val="0"/>
          <w:numId w:val="27"/>
        </w:numPr>
        <w:spacing w:line="360" w:lineRule="auto"/>
        <w:ind w:firstLine="492"/>
      </w:pPr>
      <w:r>
        <w:rPr>
          <w:rFonts w:hint="eastAsia" w:ascii="宋体" w:hAnsi="宋体" w:cs="宋体"/>
          <w:szCs w:val="24"/>
        </w:rPr>
        <w:t>投标文件密封袋标注要求：投标文件的密封袋上应当注明投标人名称、项目编号、项目名称、日期及包件号。</w:t>
      </w:r>
    </w:p>
    <w:p>
      <w:pPr>
        <w:pStyle w:val="2"/>
        <w:numPr>
          <w:ilvl w:val="0"/>
          <w:numId w:val="27"/>
        </w:numPr>
        <w:spacing w:line="360" w:lineRule="auto"/>
        <w:ind w:firstLine="492"/>
      </w:pPr>
      <w:r>
        <w:rPr>
          <w:rFonts w:hint="eastAsia" w:ascii="宋体" w:hAnsi="宋体" w:cs="宋体"/>
          <w:szCs w:val="24"/>
        </w:rPr>
        <w:t>标注格式详见招标文件第三章。</w:t>
      </w:r>
    </w:p>
    <w:p>
      <w:pPr>
        <w:numPr>
          <w:ilvl w:val="0"/>
          <w:numId w:val="26"/>
        </w:numPr>
        <w:tabs>
          <w:tab w:val="left" w:pos="1134"/>
        </w:tabs>
        <w:ind w:firstLine="492"/>
        <w:rPr>
          <w:rFonts w:ascii="宋体" w:hAnsi="宋体" w:cs="宋体"/>
          <w:szCs w:val="24"/>
        </w:rPr>
      </w:pPr>
      <w:r>
        <w:rPr>
          <w:rFonts w:hint="eastAsia" w:ascii="宋体" w:hAnsi="宋体" w:cs="宋体"/>
          <w:szCs w:val="24"/>
        </w:rPr>
        <w:t>投标文件密封要求：</w:t>
      </w:r>
    </w:p>
    <w:p>
      <w:pPr>
        <w:tabs>
          <w:tab w:val="left" w:pos="1134"/>
        </w:tabs>
        <w:ind w:firstLine="492"/>
        <w:rPr>
          <w:rFonts w:ascii="宋体" w:hAnsi="宋体" w:cs="宋体"/>
          <w:szCs w:val="24"/>
        </w:rPr>
      </w:pPr>
      <w:r>
        <w:rPr>
          <w:rFonts w:hint="eastAsia" w:ascii="宋体" w:hAnsi="宋体" w:cs="宋体"/>
          <w:szCs w:val="24"/>
        </w:rPr>
        <w:t>资格性响应文件和技术、服务性响应文件及“开标一览表”均需单独密封。其中，资格性响应文件的正本和副本可密封在一起也可单独密封；技术、服务性响应文件的正本和副本可密封在一起也可单独密封。</w:t>
      </w:r>
    </w:p>
    <w:p>
      <w:pPr>
        <w:pStyle w:val="5"/>
        <w:ind w:left="322" w:firstLine="494" w:firstLineChars="0"/>
        <w:rPr>
          <w:rFonts w:cs="宋体"/>
          <w:color w:val="auto"/>
          <w:szCs w:val="24"/>
        </w:rPr>
      </w:pPr>
      <w:bookmarkStart w:id="127" w:name="_Toc183582227"/>
      <w:bookmarkStart w:id="128" w:name="_Toc183682364"/>
      <w:bookmarkStart w:id="129" w:name="_Toc12728"/>
      <w:bookmarkStart w:id="130" w:name="_Toc217446054"/>
      <w:r>
        <w:rPr>
          <w:rFonts w:hint="eastAsia" w:cs="宋体"/>
          <w:color w:val="auto"/>
          <w:szCs w:val="24"/>
        </w:rPr>
        <w:t>投标文件的</w:t>
      </w:r>
      <w:bookmarkEnd w:id="127"/>
      <w:bookmarkEnd w:id="128"/>
      <w:r>
        <w:rPr>
          <w:rFonts w:hint="eastAsia" w:cs="宋体"/>
          <w:color w:val="auto"/>
          <w:szCs w:val="24"/>
        </w:rPr>
        <w:t>递交</w:t>
      </w:r>
      <w:bookmarkEnd w:id="129"/>
      <w:bookmarkEnd w:id="130"/>
    </w:p>
    <w:p>
      <w:pPr>
        <w:numPr>
          <w:ilvl w:val="0"/>
          <w:numId w:val="28"/>
        </w:numPr>
        <w:tabs>
          <w:tab w:val="left" w:pos="1134"/>
        </w:tabs>
        <w:ind w:firstLine="492"/>
        <w:rPr>
          <w:rFonts w:ascii="宋体" w:hAnsi="宋体" w:cs="宋体"/>
          <w:bCs/>
          <w:szCs w:val="24"/>
        </w:rPr>
      </w:pPr>
      <w:r>
        <w:rPr>
          <w:rFonts w:hint="eastAsia" w:ascii="宋体" w:hAnsi="宋体" w:cs="宋体"/>
          <w:bCs/>
          <w:szCs w:val="24"/>
        </w:rPr>
        <w:t>投标人应在投标截止时间之前将投标文件按照招标文件的规定密封后送达开标地点，投标截止时间后送达的投标文件将被拒绝接收。</w:t>
      </w:r>
    </w:p>
    <w:p>
      <w:pPr>
        <w:numPr>
          <w:ilvl w:val="0"/>
          <w:numId w:val="28"/>
        </w:numPr>
        <w:tabs>
          <w:tab w:val="left" w:pos="1134"/>
        </w:tabs>
        <w:ind w:firstLine="492"/>
        <w:rPr>
          <w:rFonts w:ascii="宋体" w:hAnsi="宋体" w:cs="宋体"/>
          <w:bCs/>
          <w:szCs w:val="24"/>
        </w:rPr>
      </w:pPr>
      <w:r>
        <w:rPr>
          <w:rFonts w:hint="eastAsia" w:ascii="宋体" w:hAnsi="宋体" w:cs="宋体"/>
          <w:bCs/>
          <w:szCs w:val="24"/>
        </w:rPr>
        <w:t>递交投标文件时，报名供应商名称和招标文件的文号、包件号应当与投标供应商名称和招标文件的文号、包件号一致。但是，投标文件实质内容报名供应商名称和招标文件的文号、包件号一致，只是封面文字错误的，可以在评标过程中当面予以澄清，以有效的澄清材料作为认定投标文件是否有效的依据。</w:t>
      </w:r>
    </w:p>
    <w:p>
      <w:pPr>
        <w:numPr>
          <w:ilvl w:val="0"/>
          <w:numId w:val="28"/>
        </w:numPr>
        <w:tabs>
          <w:tab w:val="left" w:pos="0"/>
        </w:tabs>
        <w:ind w:firstLine="492"/>
        <w:rPr>
          <w:rFonts w:ascii="宋体" w:hAnsi="宋体" w:cs="宋体"/>
          <w:bCs/>
          <w:szCs w:val="24"/>
        </w:rPr>
      </w:pPr>
      <w:r>
        <w:rPr>
          <w:rFonts w:hint="eastAsia" w:ascii="宋体" w:hAnsi="宋体" w:cs="宋体"/>
          <w:bCs/>
          <w:szCs w:val="24"/>
        </w:rPr>
        <w:t>因招标文件的修改推迟投标截止日期的，按采购代理机构书面通知修改的时间递交。</w:t>
      </w:r>
    </w:p>
    <w:p>
      <w:pPr>
        <w:numPr>
          <w:ilvl w:val="0"/>
          <w:numId w:val="28"/>
        </w:numPr>
        <w:tabs>
          <w:tab w:val="left" w:pos="0"/>
        </w:tabs>
        <w:ind w:firstLine="492"/>
        <w:rPr>
          <w:rFonts w:ascii="宋体" w:hAnsi="宋体" w:cs="宋体"/>
          <w:bCs/>
          <w:szCs w:val="24"/>
        </w:rPr>
      </w:pPr>
      <w:r>
        <w:rPr>
          <w:rFonts w:hint="eastAsia" w:ascii="宋体" w:hAnsi="宋体" w:cs="宋体"/>
          <w:bCs/>
          <w:szCs w:val="24"/>
        </w:rPr>
        <w:t>本次招标不接收以电子邮件、传真及邮寄方式递交的投标文件。</w:t>
      </w:r>
    </w:p>
    <w:p>
      <w:pPr>
        <w:pStyle w:val="5"/>
        <w:ind w:left="322" w:firstLine="494" w:firstLineChars="0"/>
        <w:rPr>
          <w:rFonts w:cs="宋体"/>
          <w:color w:val="auto"/>
          <w:szCs w:val="24"/>
        </w:rPr>
      </w:pPr>
      <w:bookmarkStart w:id="131" w:name="_Toc316475587"/>
      <w:bookmarkEnd w:id="131"/>
      <w:bookmarkStart w:id="132" w:name="_Toc316475586"/>
      <w:bookmarkEnd w:id="132"/>
      <w:bookmarkStart w:id="133" w:name="_Toc183582228"/>
      <w:bookmarkStart w:id="134" w:name="_Toc183682365"/>
      <w:bookmarkStart w:id="135" w:name="_Toc12450"/>
      <w:bookmarkStart w:id="136" w:name="_Toc217446055"/>
      <w:r>
        <w:rPr>
          <w:rFonts w:hint="eastAsia" w:cs="宋体"/>
          <w:color w:val="auto"/>
          <w:szCs w:val="24"/>
        </w:rPr>
        <w:t>投标文件的修改和撤</w:t>
      </w:r>
      <w:bookmarkEnd w:id="133"/>
      <w:bookmarkEnd w:id="134"/>
      <w:r>
        <w:rPr>
          <w:rFonts w:hint="eastAsia" w:cs="宋体"/>
          <w:color w:val="auto"/>
          <w:szCs w:val="24"/>
        </w:rPr>
        <w:t>回</w:t>
      </w:r>
      <w:bookmarkEnd w:id="135"/>
      <w:bookmarkEnd w:id="136"/>
    </w:p>
    <w:p>
      <w:pPr>
        <w:numPr>
          <w:ilvl w:val="0"/>
          <w:numId w:val="29"/>
        </w:numPr>
        <w:tabs>
          <w:tab w:val="left" w:pos="1134"/>
        </w:tabs>
        <w:ind w:firstLine="492"/>
        <w:rPr>
          <w:rFonts w:ascii="宋体" w:hAnsi="宋体" w:cs="宋体"/>
          <w:bCs/>
          <w:szCs w:val="24"/>
        </w:rPr>
      </w:pPr>
      <w:r>
        <w:rPr>
          <w:rFonts w:hint="eastAsia" w:ascii="宋体" w:hAnsi="宋体" w:cs="宋体"/>
          <w:bCs/>
          <w:szCs w:val="24"/>
        </w:rPr>
        <w:t>投标人在提交投标文件后可对其投标文件进行修改或撤回，但该修改或撤回的书面通知须在投标截止时间之前送达开标地点。修改的内容为投标文件的组成部分。</w:t>
      </w:r>
    </w:p>
    <w:p>
      <w:pPr>
        <w:numPr>
          <w:ilvl w:val="0"/>
          <w:numId w:val="29"/>
        </w:numPr>
        <w:tabs>
          <w:tab w:val="left" w:pos="1134"/>
        </w:tabs>
        <w:ind w:firstLine="492"/>
        <w:rPr>
          <w:rFonts w:ascii="宋体" w:hAnsi="宋体" w:cs="宋体"/>
          <w:bCs/>
          <w:szCs w:val="24"/>
        </w:rPr>
      </w:pPr>
      <w:r>
        <w:rPr>
          <w:rFonts w:hint="eastAsia" w:ascii="宋体" w:hAnsi="宋体" w:cs="宋体"/>
          <w:bCs/>
          <w:szCs w:val="24"/>
        </w:rPr>
        <w:t>投标人修改或撤回的书面通知，应由其法定代表人或授权代理人签署并盖投标人公章。修改书应按投标人须知中“投标文件的包装和密封、标注”的规定进行编制、密封、标注，并在每个包装的最外层标明“修改投标文件”字样。</w:t>
      </w:r>
    </w:p>
    <w:p>
      <w:pPr>
        <w:ind w:firstLine="492"/>
      </w:pPr>
      <w:r>
        <w:rPr>
          <w:rFonts w:hint="eastAsia" w:ascii="宋体" w:hAnsi="宋体" w:cs="宋体"/>
          <w:bCs/>
          <w:szCs w:val="24"/>
        </w:rPr>
        <w:t>在投标截止时间之后，投标人不得对其递交的投标文件做任何修改，撤回投标的，将按照有关规定进行相应处理。</w:t>
      </w:r>
    </w:p>
    <w:p>
      <w:pPr>
        <w:pStyle w:val="4"/>
      </w:pPr>
      <w:bookmarkStart w:id="137" w:name="_Toc89075878"/>
      <w:bookmarkStart w:id="138" w:name="_Toc30326"/>
      <w:bookmarkStart w:id="139" w:name="_Toc183682368"/>
      <w:bookmarkStart w:id="140" w:name="_Toc9632"/>
      <w:bookmarkStart w:id="141" w:name="_Toc217446056"/>
      <w:bookmarkStart w:id="142" w:name="_Toc77400782"/>
      <w:bookmarkStart w:id="143" w:name="_Toc183582231"/>
      <w:bookmarkStart w:id="144" w:name="_Toc21163"/>
      <w:bookmarkStart w:id="145" w:name="_Toc3379"/>
      <w:r>
        <w:rPr>
          <w:rFonts w:hint="eastAsia"/>
        </w:rPr>
        <w:t>开标、评标和中标</w:t>
      </w:r>
      <w:bookmarkEnd w:id="137"/>
      <w:bookmarkEnd w:id="138"/>
      <w:bookmarkEnd w:id="139"/>
      <w:bookmarkEnd w:id="140"/>
      <w:bookmarkEnd w:id="141"/>
      <w:bookmarkEnd w:id="142"/>
      <w:bookmarkEnd w:id="143"/>
      <w:bookmarkEnd w:id="144"/>
      <w:bookmarkEnd w:id="145"/>
    </w:p>
    <w:p>
      <w:pPr>
        <w:pStyle w:val="5"/>
        <w:ind w:left="322" w:firstLine="494" w:firstLineChars="0"/>
        <w:rPr>
          <w:rFonts w:cs="宋体"/>
          <w:color w:val="auto"/>
          <w:szCs w:val="24"/>
        </w:rPr>
      </w:pPr>
      <w:bookmarkStart w:id="146" w:name="_Toc217446057"/>
      <w:bookmarkStart w:id="147" w:name="_Toc183582232"/>
      <w:bookmarkStart w:id="148" w:name="_Toc20486"/>
      <w:bookmarkStart w:id="149" w:name="_Toc183682369"/>
      <w:r>
        <w:rPr>
          <w:rFonts w:hint="eastAsia" w:cs="宋体"/>
          <w:color w:val="auto"/>
          <w:szCs w:val="24"/>
        </w:rPr>
        <w:t>开标</w:t>
      </w:r>
      <w:bookmarkEnd w:id="146"/>
      <w:bookmarkEnd w:id="147"/>
      <w:bookmarkEnd w:id="148"/>
      <w:bookmarkEnd w:id="149"/>
    </w:p>
    <w:p>
      <w:pPr>
        <w:numPr>
          <w:ilvl w:val="0"/>
          <w:numId w:val="30"/>
        </w:numPr>
        <w:tabs>
          <w:tab w:val="left" w:pos="1134"/>
        </w:tabs>
        <w:ind w:firstLine="492"/>
        <w:rPr>
          <w:rFonts w:ascii="宋体" w:hAnsi="宋体" w:cs="宋体"/>
          <w:szCs w:val="24"/>
        </w:rPr>
      </w:pPr>
      <w:r>
        <w:rPr>
          <w:rFonts w:hint="eastAsia" w:ascii="宋体" w:hAnsi="宋体" w:cs="宋体"/>
          <w:szCs w:val="24"/>
        </w:rPr>
        <w:t>开标在招标文件规定的时间和地点公开进行。开标由采购代理机构主持，评标专家不参加开标活动。</w:t>
      </w:r>
    </w:p>
    <w:p>
      <w:pPr>
        <w:numPr>
          <w:ilvl w:val="0"/>
          <w:numId w:val="30"/>
        </w:numPr>
        <w:tabs>
          <w:tab w:val="left" w:pos="1134"/>
        </w:tabs>
        <w:ind w:firstLine="492"/>
        <w:rPr>
          <w:rFonts w:ascii="宋体" w:hAnsi="宋体" w:cs="宋体"/>
          <w:szCs w:val="24"/>
        </w:rPr>
      </w:pPr>
      <w:r>
        <w:rPr>
          <w:rFonts w:hint="eastAsia" w:ascii="宋体" w:hAnsi="宋体" w:cs="宋体"/>
          <w:szCs w:val="24"/>
        </w:rPr>
        <w:t>开标时，可能根据具体情况邀请有关监督管理部门对开标活动进行现场监督。</w:t>
      </w:r>
    </w:p>
    <w:p>
      <w:pPr>
        <w:numPr>
          <w:ilvl w:val="0"/>
          <w:numId w:val="30"/>
        </w:numPr>
        <w:tabs>
          <w:tab w:val="left" w:pos="1134"/>
        </w:tabs>
        <w:ind w:firstLine="492"/>
        <w:rPr>
          <w:rFonts w:ascii="宋体" w:hAnsi="宋体" w:cs="宋体"/>
          <w:szCs w:val="24"/>
        </w:rPr>
      </w:pPr>
      <w:r>
        <w:rPr>
          <w:rFonts w:hint="eastAsia" w:ascii="宋体" w:hAnsi="宋体" w:cs="宋体"/>
          <w:szCs w:val="24"/>
        </w:rPr>
        <w:t>开标时，由投标人或其推选的代表先检查其自己递交的投标文件的密封情况，经确认无误后，由招标工作人员将投标人单独递交的“开标一览表”当众拆封，并由唱标人员按照招标文件规定的内容进行宣读。</w:t>
      </w:r>
    </w:p>
    <w:p>
      <w:pPr>
        <w:ind w:firstLine="492"/>
        <w:rPr>
          <w:rFonts w:ascii="宋体"/>
        </w:rPr>
      </w:pPr>
      <w:r>
        <w:rPr>
          <w:rFonts w:hint="eastAsia" w:ascii="宋体"/>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pPr>
        <w:numPr>
          <w:ilvl w:val="0"/>
          <w:numId w:val="30"/>
        </w:numPr>
        <w:tabs>
          <w:tab w:val="left" w:pos="1134"/>
        </w:tabs>
        <w:ind w:firstLine="492"/>
        <w:rPr>
          <w:rFonts w:ascii="宋体" w:hAnsi="宋体" w:cs="宋体"/>
          <w:szCs w:val="24"/>
        </w:rPr>
      </w:pPr>
      <w:r>
        <w:rPr>
          <w:rFonts w:hint="eastAsia" w:ascii="宋体" w:hAnsi="宋体" w:cs="宋体"/>
          <w:szCs w:val="24"/>
        </w:rPr>
        <w:t>开标时，“开标一览表”中的大写金额与小写金额不一致的，以大写金额为准；总价金额与按单价计算的汇总金额不一致的，以单价计算的汇总金额为准；单价金额有明显小数点错误的，以总价为准，并修改单价。</w:t>
      </w:r>
    </w:p>
    <w:p>
      <w:pPr>
        <w:numPr>
          <w:ilvl w:val="0"/>
          <w:numId w:val="30"/>
        </w:numPr>
        <w:tabs>
          <w:tab w:val="left" w:pos="1134"/>
        </w:tabs>
        <w:ind w:firstLine="492"/>
        <w:rPr>
          <w:rFonts w:ascii="宋体" w:hAnsi="宋体" w:cs="宋体"/>
          <w:szCs w:val="24"/>
        </w:rPr>
      </w:pPr>
      <w:r>
        <w:rPr>
          <w:rFonts w:hint="eastAsia" w:ascii="宋体" w:hAnsi="宋体" w:cs="宋体"/>
          <w:szCs w:val="24"/>
        </w:rPr>
        <w:t>投标文件中相关内容与“开标一览表”不一致的，以“开标一览表”为准。对不同文字文本投标文件的解释发生异议的，以中文文本为准。</w:t>
      </w:r>
    </w:p>
    <w:p>
      <w:pPr>
        <w:numPr>
          <w:ilvl w:val="0"/>
          <w:numId w:val="30"/>
        </w:numPr>
        <w:tabs>
          <w:tab w:val="left" w:pos="1134"/>
        </w:tabs>
        <w:ind w:firstLine="492"/>
        <w:rPr>
          <w:rFonts w:ascii="宋体" w:hAnsi="宋体" w:cs="宋体"/>
          <w:szCs w:val="24"/>
        </w:rPr>
      </w:pPr>
      <w:r>
        <w:rPr>
          <w:rFonts w:hint="eastAsia" w:ascii="宋体" w:hAnsi="宋体" w:cs="宋体"/>
          <w:szCs w:val="24"/>
        </w:rPr>
        <w:t>所有投标唱标完毕，如投标人代表对宣读的“开标一览表”上的内容有异议的，应在获得开标会主持人同意后当场提出。如确实属于宣读错误，经现场监督人员核实后，当场予以更正。</w:t>
      </w:r>
    </w:p>
    <w:p>
      <w:pPr>
        <w:pStyle w:val="5"/>
        <w:ind w:left="322" w:firstLine="494" w:firstLineChars="0"/>
        <w:rPr>
          <w:rFonts w:cs="宋体"/>
          <w:color w:val="auto"/>
          <w:szCs w:val="24"/>
        </w:rPr>
      </w:pPr>
      <w:bookmarkStart w:id="150" w:name="_Toc4270"/>
      <w:r>
        <w:rPr>
          <w:rFonts w:hint="eastAsia" w:cs="宋体"/>
          <w:color w:val="auto"/>
          <w:szCs w:val="24"/>
        </w:rPr>
        <w:t>开评标过程存档</w:t>
      </w:r>
      <w:bookmarkEnd w:id="150"/>
    </w:p>
    <w:p>
      <w:pPr>
        <w:tabs>
          <w:tab w:val="left" w:pos="1134"/>
        </w:tabs>
        <w:ind w:firstLine="492"/>
        <w:rPr>
          <w:rFonts w:ascii="宋体" w:hAnsi="宋体" w:cs="宋体"/>
          <w:szCs w:val="24"/>
        </w:rPr>
      </w:pPr>
      <w:r>
        <w:rPr>
          <w:rFonts w:hint="eastAsia" w:ascii="宋体" w:hAnsi="宋体" w:cs="宋体"/>
          <w:szCs w:val="24"/>
        </w:rPr>
        <w:t>开标和评标过程进行全过程电子监控，并将电子监控资料存储介质留存归档。</w:t>
      </w:r>
    </w:p>
    <w:p>
      <w:pPr>
        <w:pStyle w:val="5"/>
        <w:ind w:left="322" w:firstLine="494" w:firstLineChars="0"/>
        <w:rPr>
          <w:rFonts w:cs="宋体"/>
          <w:color w:val="auto"/>
          <w:szCs w:val="24"/>
        </w:rPr>
      </w:pPr>
      <w:bookmarkStart w:id="151" w:name="_Toc15169"/>
      <w:r>
        <w:rPr>
          <w:rFonts w:hint="eastAsia" w:cs="宋体"/>
          <w:color w:val="auto"/>
          <w:szCs w:val="24"/>
        </w:rPr>
        <w:t>评标情况公告</w:t>
      </w:r>
      <w:bookmarkEnd w:id="151"/>
    </w:p>
    <w:p>
      <w:pPr>
        <w:ind w:firstLine="492"/>
        <w:rPr>
          <w:rFonts w:ascii="宋体" w:hAnsi="宋体" w:cs="宋体"/>
          <w:szCs w:val="24"/>
        </w:rPr>
      </w:pPr>
      <w:bookmarkStart w:id="152" w:name="_Toc183682375"/>
      <w:bookmarkStart w:id="153" w:name="_Toc183582238"/>
      <w:bookmarkStart w:id="154" w:name="_Toc217446063"/>
      <w:r>
        <w:rPr>
          <w:rFonts w:hint="eastAsia" w:ascii="宋体" w:hAnsi="宋体" w:cs="宋体"/>
          <w:szCs w:val="24"/>
        </w:rPr>
        <w:t>所有供应商投标文件资格性、符合性检查情况、采用综合评分法时的总得分和分项汇总得分情况、评标结果等将在四川政府采购网上采购结果公告栏中予以公告。</w:t>
      </w:r>
    </w:p>
    <w:p>
      <w:pPr>
        <w:pStyle w:val="5"/>
        <w:ind w:left="322" w:firstLine="494" w:firstLineChars="0"/>
        <w:rPr>
          <w:rFonts w:cs="宋体"/>
          <w:color w:val="auto"/>
          <w:szCs w:val="24"/>
        </w:rPr>
      </w:pPr>
      <w:bookmarkStart w:id="155" w:name="_Toc7698"/>
      <w:r>
        <w:rPr>
          <w:rFonts w:hint="eastAsia" w:cs="宋体"/>
          <w:color w:val="auto"/>
          <w:szCs w:val="24"/>
        </w:rPr>
        <w:t>中标通知</w:t>
      </w:r>
      <w:bookmarkEnd w:id="152"/>
      <w:bookmarkEnd w:id="153"/>
      <w:r>
        <w:rPr>
          <w:rFonts w:hint="eastAsia" w:cs="宋体"/>
          <w:color w:val="auto"/>
          <w:szCs w:val="24"/>
        </w:rPr>
        <w:t>书</w:t>
      </w:r>
      <w:bookmarkEnd w:id="154"/>
      <w:bookmarkEnd w:id="155"/>
    </w:p>
    <w:p>
      <w:pPr>
        <w:numPr>
          <w:ilvl w:val="0"/>
          <w:numId w:val="31"/>
        </w:numPr>
        <w:tabs>
          <w:tab w:val="left" w:pos="1134"/>
        </w:tabs>
        <w:ind w:firstLine="492"/>
        <w:rPr>
          <w:rFonts w:ascii="宋体" w:hAnsi="宋体" w:cs="宋体"/>
          <w:szCs w:val="24"/>
        </w:rPr>
      </w:pPr>
      <w:r>
        <w:rPr>
          <w:rFonts w:hint="eastAsia" w:ascii="宋体" w:hAnsi="宋体" w:cs="宋体"/>
          <w:szCs w:val="24"/>
        </w:rPr>
        <w:t xml:space="preserve"> 中标通知书为签订政府采购合同的依据之一，是合同的有效组成部分。</w:t>
      </w:r>
    </w:p>
    <w:p>
      <w:pPr>
        <w:numPr>
          <w:ilvl w:val="0"/>
          <w:numId w:val="31"/>
        </w:numPr>
        <w:tabs>
          <w:tab w:val="left" w:pos="1134"/>
        </w:tabs>
        <w:ind w:firstLine="492"/>
        <w:rPr>
          <w:rFonts w:ascii="宋体" w:hAnsi="宋体" w:cs="宋体"/>
          <w:szCs w:val="24"/>
        </w:rPr>
      </w:pPr>
      <w:r>
        <w:rPr>
          <w:rFonts w:hint="eastAsia" w:ascii="宋体" w:hAnsi="宋体" w:cs="宋体"/>
          <w:szCs w:val="24"/>
        </w:rPr>
        <w:t>投标人中标后，拒绝领取中标通知书的，招标采购单位将于中标供应商确定之日起两个工作日内采取邮寄、快递方式按照投标人投标文件中的地址发出中标通知书。</w:t>
      </w:r>
    </w:p>
    <w:p>
      <w:pPr>
        <w:numPr>
          <w:ilvl w:val="0"/>
          <w:numId w:val="31"/>
        </w:numPr>
        <w:tabs>
          <w:tab w:val="left" w:pos="1134"/>
        </w:tabs>
        <w:ind w:firstLine="492"/>
        <w:rPr>
          <w:rFonts w:ascii="宋体" w:hAnsi="宋体" w:cs="宋体"/>
          <w:szCs w:val="24"/>
        </w:rPr>
      </w:pPr>
      <w:r>
        <w:rPr>
          <w:rFonts w:hint="eastAsia" w:ascii="宋体" w:hAnsi="宋体" w:cs="宋体"/>
          <w:szCs w:val="24"/>
        </w:rPr>
        <w:t>中标通知书对采购人和中标人均具有法律效力。中标通知书发出后，采购人改变中标结果，或者中标人无正当理由放弃中标的，应当承担相应的法律责任。</w:t>
      </w:r>
    </w:p>
    <w:p>
      <w:pPr>
        <w:numPr>
          <w:ilvl w:val="0"/>
          <w:numId w:val="31"/>
        </w:numPr>
        <w:tabs>
          <w:tab w:val="left" w:pos="1134"/>
        </w:tabs>
        <w:ind w:firstLine="492"/>
        <w:rPr>
          <w:rFonts w:ascii="宋体" w:hAnsi="宋体" w:cs="宋体"/>
          <w:szCs w:val="24"/>
        </w:rPr>
      </w:pPr>
      <w:r>
        <w:rPr>
          <w:rFonts w:hint="eastAsia" w:ascii="宋体" w:hAnsi="宋体" w:cs="宋体"/>
          <w:szCs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numPr>
          <w:ilvl w:val="0"/>
          <w:numId w:val="31"/>
        </w:numPr>
        <w:tabs>
          <w:tab w:val="left" w:pos="1134"/>
        </w:tabs>
        <w:ind w:firstLine="492"/>
        <w:rPr>
          <w:rFonts w:ascii="宋体" w:hAnsi="宋体" w:cs="宋体"/>
          <w:szCs w:val="24"/>
        </w:rPr>
      </w:pPr>
      <w:r>
        <w:rPr>
          <w:rFonts w:hint="eastAsia" w:ascii="宋体" w:hAnsi="宋体" w:cs="宋体"/>
          <w:szCs w:val="24"/>
        </w:rPr>
        <w:t>中标公告发出后，中标供应商可凭有效身份证明证件到</w:t>
      </w:r>
      <w:r>
        <w:rPr>
          <w:rFonts w:hint="eastAsia" w:ascii="宋体" w:hAnsi="宋体" w:cs="宋体"/>
          <w:szCs w:val="24"/>
          <w:lang w:val="zh-CN"/>
        </w:rPr>
        <w:t>四川世科工程咨询有限公司</w:t>
      </w:r>
      <w:r>
        <w:rPr>
          <w:rFonts w:hint="eastAsia" w:ascii="宋体" w:hAnsi="宋体" w:cs="宋体"/>
          <w:szCs w:val="24"/>
        </w:rPr>
        <w:t>领取中标通知书。联系人：李老师，联系电话：028-61032618。</w:t>
      </w:r>
    </w:p>
    <w:p>
      <w:pPr>
        <w:pStyle w:val="4"/>
      </w:pPr>
      <w:bookmarkStart w:id="156" w:name="_Toc10918"/>
      <w:bookmarkStart w:id="157" w:name="_Toc13309"/>
      <w:bookmarkStart w:id="158" w:name="_Toc5487"/>
      <w:bookmarkStart w:id="159" w:name="_Toc28651"/>
      <w:bookmarkStart w:id="160" w:name="_Toc217446064"/>
      <w:bookmarkStart w:id="161" w:name="_Toc183682377"/>
      <w:bookmarkStart w:id="162" w:name="_Toc183582240"/>
      <w:r>
        <w:rPr>
          <w:rFonts w:hint="eastAsia"/>
        </w:rPr>
        <w:t>签订及履行合同和验收</w:t>
      </w:r>
      <w:bookmarkEnd w:id="156"/>
      <w:bookmarkEnd w:id="157"/>
      <w:bookmarkEnd w:id="158"/>
      <w:bookmarkEnd w:id="159"/>
      <w:bookmarkEnd w:id="160"/>
    </w:p>
    <w:p>
      <w:pPr>
        <w:pStyle w:val="5"/>
        <w:ind w:left="322" w:firstLine="494" w:firstLineChars="0"/>
        <w:rPr>
          <w:rFonts w:cs="宋体"/>
          <w:color w:val="auto"/>
          <w:szCs w:val="24"/>
        </w:rPr>
      </w:pPr>
      <w:bookmarkStart w:id="163" w:name="_Toc14747"/>
      <w:bookmarkStart w:id="164" w:name="_Toc217446065"/>
      <w:r>
        <w:rPr>
          <w:rFonts w:hint="eastAsia" w:cs="宋体"/>
          <w:color w:val="auto"/>
          <w:szCs w:val="24"/>
        </w:rPr>
        <w:t>签订合同</w:t>
      </w:r>
      <w:bookmarkEnd w:id="163"/>
      <w:bookmarkEnd w:id="164"/>
    </w:p>
    <w:p>
      <w:pPr>
        <w:numPr>
          <w:ilvl w:val="0"/>
          <w:numId w:val="32"/>
        </w:numPr>
        <w:tabs>
          <w:tab w:val="left" w:pos="1134"/>
        </w:tabs>
        <w:ind w:firstLine="492"/>
        <w:rPr>
          <w:rFonts w:ascii="宋体" w:hAnsi="宋体" w:cs="宋体"/>
          <w:szCs w:val="24"/>
        </w:rPr>
      </w:pPr>
      <w:r>
        <w:rPr>
          <w:rFonts w:hint="eastAsia" w:ascii="宋体" w:hAnsi="宋体" w:cs="宋体"/>
          <w:szCs w:val="24"/>
        </w:rPr>
        <w:t>中标人应在中标通知书发出之日起三十日内与采购人签订采购合同。由于中标人的原因逾期未与采购人签订采购合同的，将视为放弃中标，取消其中标资格并将按相关规定进行处理。</w:t>
      </w:r>
    </w:p>
    <w:p>
      <w:pPr>
        <w:numPr>
          <w:ilvl w:val="0"/>
          <w:numId w:val="32"/>
        </w:numPr>
        <w:tabs>
          <w:tab w:val="left" w:pos="1134"/>
        </w:tabs>
        <w:ind w:firstLine="492"/>
        <w:rPr>
          <w:rFonts w:ascii="宋体" w:hAnsi="宋体" w:cs="宋体"/>
          <w:szCs w:val="24"/>
        </w:rPr>
      </w:pPr>
      <w:r>
        <w:rPr>
          <w:rFonts w:hint="eastAsia" w:ascii="宋体" w:hAnsi="宋体" w:cs="宋体"/>
          <w:szCs w:val="24"/>
        </w:rPr>
        <w:t>采购人不得向中标人提出任何不合理的要求，作为签订合同的条件，不得与中标人私下订立背离合同实质性内容的任何协议，所签订的合同不得对招标文件和中标人投标文件确定的事项进行修改。</w:t>
      </w:r>
    </w:p>
    <w:p>
      <w:pPr>
        <w:numPr>
          <w:ilvl w:val="0"/>
          <w:numId w:val="32"/>
        </w:numPr>
        <w:tabs>
          <w:tab w:val="left" w:pos="1134"/>
        </w:tabs>
        <w:ind w:firstLine="492"/>
        <w:rPr>
          <w:rFonts w:ascii="宋体" w:hAnsi="宋体" w:cs="宋体"/>
          <w:szCs w:val="24"/>
        </w:rPr>
      </w:pPr>
      <w:r>
        <w:rPr>
          <w:rFonts w:hint="eastAsia" w:ascii="宋体" w:hAnsi="宋体" w:cs="宋体"/>
          <w:szCs w:val="24"/>
        </w:rPr>
        <w:t>中标人因不可抗力原因不能履行采购合同或放弃中标的，采购人可以与排在中标人之后第一位的中标候选人签订采购合同，以此类推。</w:t>
      </w:r>
    </w:p>
    <w:p>
      <w:pPr>
        <w:numPr>
          <w:ilvl w:val="0"/>
          <w:numId w:val="32"/>
        </w:numPr>
        <w:tabs>
          <w:tab w:val="left" w:pos="1134"/>
        </w:tabs>
        <w:ind w:firstLine="492"/>
        <w:rPr>
          <w:rFonts w:ascii="宋体" w:hAnsi="宋体" w:cs="宋体"/>
          <w:szCs w:val="24"/>
        </w:rPr>
      </w:pPr>
      <w:r>
        <w:rPr>
          <w:rFonts w:hint="eastAsia" w:ascii="宋体" w:hAnsi="宋体" w:cs="宋体"/>
          <w:szCs w:val="24"/>
        </w:rPr>
        <w:t>中标人在合同签订之后三个工作日内，将签订的合同（一份）送采购代理机构。联系人：李老师，联系电话：028-61032618。</w:t>
      </w:r>
    </w:p>
    <w:p>
      <w:pPr>
        <w:numPr>
          <w:ilvl w:val="0"/>
          <w:numId w:val="32"/>
        </w:numPr>
        <w:tabs>
          <w:tab w:val="left" w:pos="1134"/>
        </w:tabs>
        <w:ind w:firstLine="492"/>
        <w:rPr>
          <w:rFonts w:ascii="宋体" w:hAnsi="宋体" w:cs="宋体"/>
          <w:szCs w:val="24"/>
        </w:rPr>
      </w:pPr>
      <w:r>
        <w:rPr>
          <w:rFonts w:hint="eastAsia" w:ascii="宋体" w:hAnsi="宋体" w:cs="宋体"/>
          <w:kern w:val="0"/>
          <w:szCs w:val="24"/>
        </w:rPr>
        <w:t>询问或者质疑事项可能影响中标、成交结果的，采购人应当暂停签订合同，已经签订合同的，应当中止履行合同。</w:t>
      </w:r>
    </w:p>
    <w:p>
      <w:pPr>
        <w:pStyle w:val="5"/>
        <w:ind w:left="322" w:firstLine="494" w:firstLineChars="0"/>
        <w:rPr>
          <w:rFonts w:cs="宋体"/>
          <w:color w:val="auto"/>
          <w:szCs w:val="24"/>
        </w:rPr>
      </w:pPr>
      <w:bookmarkStart w:id="165" w:name="_Toc315871033"/>
      <w:bookmarkEnd w:id="165"/>
      <w:bookmarkStart w:id="166" w:name="_Toc12604"/>
      <w:bookmarkStart w:id="167" w:name="_Toc217446066"/>
      <w:r>
        <w:rPr>
          <w:rFonts w:hint="eastAsia" w:cs="宋体"/>
          <w:color w:val="auto"/>
          <w:szCs w:val="24"/>
        </w:rPr>
        <w:t>合同分包</w:t>
      </w:r>
      <w:bookmarkEnd w:id="166"/>
      <w:bookmarkEnd w:id="167"/>
      <w:r>
        <w:rPr>
          <w:rFonts w:hint="eastAsia" w:cs="宋体"/>
          <w:color w:val="auto"/>
          <w:szCs w:val="24"/>
        </w:rPr>
        <w:t>（实质性要求）</w:t>
      </w:r>
    </w:p>
    <w:p>
      <w:pPr>
        <w:numPr>
          <w:ilvl w:val="0"/>
          <w:numId w:val="33"/>
        </w:numPr>
        <w:tabs>
          <w:tab w:val="left" w:pos="1134"/>
        </w:tabs>
        <w:ind w:firstLine="492"/>
        <w:rPr>
          <w:rFonts w:ascii="宋体" w:hAnsi="宋体" w:cs="宋体"/>
          <w:kern w:val="0"/>
          <w:szCs w:val="24"/>
        </w:rPr>
      </w:pPr>
      <w:bookmarkStart w:id="168" w:name="_Toc217446067"/>
      <w:r>
        <w:rPr>
          <w:rFonts w:hint="eastAsia" w:ascii="宋体" w:hAnsi="宋体" w:cs="宋体"/>
          <w:kern w:val="0"/>
          <w:szCs w:val="24"/>
        </w:rPr>
        <w:t>经采购人同意，中标人可以依法采取分包方式履行合同。这种要求应当在合同签订之前征得采购人同意，并且分包供应商履行的分包项目的服务要求及技术要求等，必须与中标的一致。</w:t>
      </w:r>
    </w:p>
    <w:p>
      <w:pPr>
        <w:numPr>
          <w:ilvl w:val="0"/>
          <w:numId w:val="33"/>
        </w:numPr>
        <w:tabs>
          <w:tab w:val="left" w:pos="1134"/>
        </w:tabs>
        <w:ind w:firstLine="492"/>
        <w:rPr>
          <w:rFonts w:ascii="宋体" w:hAnsi="宋体" w:cs="宋体"/>
          <w:kern w:val="0"/>
          <w:szCs w:val="24"/>
        </w:rPr>
      </w:pPr>
      <w:r>
        <w:rPr>
          <w:rFonts w:hint="eastAsia" w:ascii="宋体" w:hAnsi="宋体" w:cs="宋体"/>
          <w:kern w:val="0"/>
          <w:szCs w:val="24"/>
        </w:rPr>
        <w:t>分包履行合同的部分应当为采购项目的非主体、非关键性工作，不属于中标人的主要合同义务。</w:t>
      </w:r>
    </w:p>
    <w:p>
      <w:pPr>
        <w:numPr>
          <w:ilvl w:val="0"/>
          <w:numId w:val="33"/>
        </w:numPr>
        <w:tabs>
          <w:tab w:val="left" w:pos="1134"/>
        </w:tabs>
        <w:ind w:firstLine="492"/>
        <w:rPr>
          <w:rFonts w:ascii="宋体" w:hAnsi="宋体" w:cs="宋体"/>
          <w:kern w:val="0"/>
          <w:szCs w:val="24"/>
        </w:rPr>
      </w:pPr>
      <w:r>
        <w:rPr>
          <w:rFonts w:hint="eastAsia" w:ascii="宋体" w:hAnsi="宋体" w:cs="宋体"/>
          <w:kern w:val="0"/>
          <w:szCs w:val="24"/>
        </w:rPr>
        <w:t>采购合同实行分包履行的，中标人就采购项目和分包项目向采购人负责，分包供应商就分包项目承担责任。</w:t>
      </w:r>
    </w:p>
    <w:p>
      <w:pPr>
        <w:numPr>
          <w:ilvl w:val="0"/>
          <w:numId w:val="33"/>
        </w:numPr>
        <w:tabs>
          <w:tab w:val="left" w:pos="1134"/>
        </w:tabs>
        <w:ind w:firstLine="492"/>
        <w:rPr>
          <w:rFonts w:ascii="宋体" w:hAnsi="宋体" w:cs="宋体"/>
          <w:kern w:val="0"/>
          <w:szCs w:val="24"/>
        </w:rPr>
      </w:pPr>
      <w:r>
        <w:rPr>
          <w:rFonts w:hint="eastAsia" w:ascii="宋体" w:hAnsi="宋体" w:cs="宋体"/>
          <w:kern w:val="0"/>
          <w:szCs w:val="24"/>
        </w:rPr>
        <w:t>中小企业依据《政府采购促进中小企业发展暂行办法》（财库</w:t>
      </w:r>
      <w:r>
        <w:rPr>
          <w:rFonts w:hint="eastAsia" w:cs="宋体"/>
          <w:b w:val="0"/>
          <w:bCs w:val="0"/>
          <w:sz w:val="24"/>
          <w:szCs w:val="24"/>
        </w:rPr>
        <w:t>﹝20</w:t>
      </w:r>
      <w:r>
        <w:rPr>
          <w:rFonts w:hint="eastAsia" w:cs="宋体"/>
          <w:b w:val="0"/>
          <w:bCs w:val="0"/>
          <w:sz w:val="24"/>
          <w:szCs w:val="24"/>
          <w:lang w:val="en-US" w:eastAsia="zh-CN"/>
        </w:rPr>
        <w:t>20</w:t>
      </w:r>
      <w:r>
        <w:rPr>
          <w:rFonts w:hint="eastAsia" w:cs="宋体"/>
          <w:b w:val="0"/>
          <w:bCs w:val="0"/>
          <w:sz w:val="24"/>
          <w:szCs w:val="24"/>
        </w:rPr>
        <w:t>﹞</w:t>
      </w:r>
      <w:r>
        <w:rPr>
          <w:rFonts w:hint="eastAsia" w:ascii="宋体" w:hAnsi="宋体" w:cs="宋体"/>
          <w:kern w:val="0"/>
          <w:szCs w:val="24"/>
        </w:rPr>
        <w:t>46号）规定的政策获取政府采购合同后，小型、微型企业不得分包或转包给大型、中型企业，中型企业不得分包或转包给大型企业。</w:t>
      </w:r>
    </w:p>
    <w:p>
      <w:pPr>
        <w:pStyle w:val="5"/>
        <w:ind w:left="322" w:firstLine="494" w:firstLineChars="0"/>
        <w:rPr>
          <w:rFonts w:cs="宋体"/>
          <w:color w:val="auto"/>
          <w:szCs w:val="24"/>
        </w:rPr>
      </w:pPr>
      <w:bookmarkStart w:id="169" w:name="_Toc21789"/>
      <w:r>
        <w:rPr>
          <w:rFonts w:hint="eastAsia" w:cs="宋体"/>
          <w:color w:val="auto"/>
          <w:szCs w:val="24"/>
        </w:rPr>
        <w:t>合同转包</w:t>
      </w:r>
      <w:bookmarkEnd w:id="169"/>
      <w:r>
        <w:rPr>
          <w:rFonts w:hint="eastAsia" w:cs="宋体"/>
          <w:color w:val="auto"/>
          <w:szCs w:val="24"/>
        </w:rPr>
        <w:t>（实质性要求）</w:t>
      </w:r>
    </w:p>
    <w:p>
      <w:pPr>
        <w:numPr>
          <w:ilvl w:val="0"/>
          <w:numId w:val="34"/>
        </w:numPr>
        <w:tabs>
          <w:tab w:val="left" w:pos="1134"/>
        </w:tabs>
        <w:ind w:left="0" w:firstLine="492"/>
        <w:rPr>
          <w:rFonts w:ascii="宋体" w:hAnsi="宋体" w:cs="宋体"/>
          <w:kern w:val="0"/>
          <w:szCs w:val="24"/>
        </w:rPr>
      </w:pPr>
      <w:r>
        <w:rPr>
          <w:rFonts w:hint="eastAsia" w:ascii="宋体" w:hAnsi="宋体" w:cs="宋体"/>
          <w:kern w:val="0"/>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numPr>
          <w:ilvl w:val="0"/>
          <w:numId w:val="34"/>
        </w:numPr>
        <w:tabs>
          <w:tab w:val="left" w:pos="1134"/>
        </w:tabs>
        <w:ind w:left="0" w:firstLine="492"/>
        <w:rPr>
          <w:rFonts w:ascii="宋体" w:hAnsi="宋体" w:cs="宋体"/>
          <w:szCs w:val="24"/>
        </w:rPr>
      </w:pPr>
      <w:r>
        <w:rPr>
          <w:rFonts w:hint="eastAsia" w:ascii="宋体" w:hAnsi="宋体" w:cs="宋体"/>
          <w:kern w:val="0"/>
          <w:szCs w:val="24"/>
        </w:rPr>
        <w:t>中标人转包的，视同拒绝履行政府采购合同义务，将依法追究法律责任</w:t>
      </w:r>
      <w:r>
        <w:rPr>
          <w:rFonts w:hint="eastAsia" w:ascii="宋体" w:hAnsi="宋体" w:cs="宋体"/>
          <w:szCs w:val="24"/>
        </w:rPr>
        <w:t>。</w:t>
      </w:r>
    </w:p>
    <w:p>
      <w:pPr>
        <w:pStyle w:val="5"/>
        <w:ind w:left="322" w:firstLine="494" w:firstLineChars="0"/>
        <w:rPr>
          <w:rFonts w:cs="宋体"/>
          <w:color w:val="auto"/>
          <w:szCs w:val="24"/>
        </w:rPr>
      </w:pPr>
      <w:bookmarkStart w:id="170" w:name="_Toc25501"/>
      <w:r>
        <w:rPr>
          <w:rFonts w:hint="eastAsia" w:cs="宋体"/>
          <w:color w:val="auto"/>
          <w:szCs w:val="24"/>
        </w:rPr>
        <w:t>采购人增加合同标的的权</w:t>
      </w:r>
      <w:bookmarkEnd w:id="168"/>
      <w:r>
        <w:rPr>
          <w:rFonts w:hint="eastAsia" w:cs="宋体"/>
          <w:color w:val="auto"/>
          <w:szCs w:val="24"/>
        </w:rPr>
        <w:t>利</w:t>
      </w:r>
      <w:bookmarkEnd w:id="170"/>
    </w:p>
    <w:p>
      <w:pPr>
        <w:ind w:firstLine="492"/>
        <w:rPr>
          <w:rFonts w:ascii="宋体" w:hAnsi="宋体" w:cs="宋体"/>
          <w:szCs w:val="24"/>
        </w:rPr>
      </w:pPr>
      <w:r>
        <w:rPr>
          <w:rFonts w:hint="eastAsia" w:ascii="宋体" w:hAnsi="宋体" w:cs="宋体"/>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ind w:left="322" w:firstLine="494" w:firstLineChars="0"/>
        <w:rPr>
          <w:rFonts w:cs="宋体"/>
          <w:color w:val="auto"/>
          <w:szCs w:val="24"/>
        </w:rPr>
      </w:pPr>
      <w:bookmarkStart w:id="171" w:name="_Toc7487"/>
      <w:bookmarkStart w:id="172" w:name="_Toc217446069"/>
      <w:r>
        <w:rPr>
          <w:rFonts w:hint="eastAsia" w:cs="宋体"/>
          <w:color w:val="auto"/>
          <w:szCs w:val="24"/>
        </w:rPr>
        <w:t>合同公告</w:t>
      </w:r>
      <w:bookmarkEnd w:id="171"/>
    </w:p>
    <w:p>
      <w:pPr>
        <w:tabs>
          <w:tab w:val="left" w:pos="1134"/>
        </w:tabs>
        <w:ind w:firstLine="492"/>
        <w:rPr>
          <w:rFonts w:ascii="宋体" w:hAnsi="宋体" w:cs="宋体"/>
          <w:szCs w:val="24"/>
        </w:rPr>
      </w:pPr>
      <w:r>
        <w:rPr>
          <w:rFonts w:hint="eastAsia" w:ascii="宋体" w:hAnsi="宋体" w:cs="宋体"/>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ind w:left="322" w:firstLine="494" w:firstLineChars="0"/>
        <w:rPr>
          <w:rFonts w:cs="宋体"/>
          <w:color w:val="auto"/>
          <w:szCs w:val="24"/>
        </w:rPr>
      </w:pPr>
      <w:bookmarkStart w:id="173" w:name="_Toc13660"/>
      <w:r>
        <w:rPr>
          <w:rFonts w:hint="eastAsia" w:cs="宋体"/>
          <w:color w:val="auto"/>
          <w:szCs w:val="24"/>
        </w:rPr>
        <w:t>合同备案</w:t>
      </w:r>
      <w:bookmarkEnd w:id="173"/>
    </w:p>
    <w:p>
      <w:pPr>
        <w:tabs>
          <w:tab w:val="left" w:pos="1134"/>
        </w:tabs>
        <w:ind w:firstLine="492"/>
        <w:rPr>
          <w:rFonts w:ascii="宋体" w:hAnsi="宋体" w:cs="宋体"/>
          <w:szCs w:val="24"/>
        </w:rPr>
      </w:pPr>
      <w:r>
        <w:rPr>
          <w:rFonts w:hint="eastAsia" w:ascii="宋体" w:hAnsi="宋体" w:cs="宋体"/>
          <w:szCs w:val="24"/>
        </w:rPr>
        <w:t>采购人应当将政府采购合同副本自签订（双方当事人均已签字盖章）之日起七个工作日内通过四川政府采购网报同级财政部门备案。</w:t>
      </w:r>
    </w:p>
    <w:p>
      <w:pPr>
        <w:pStyle w:val="5"/>
        <w:ind w:left="322" w:firstLine="494" w:firstLineChars="0"/>
        <w:rPr>
          <w:rFonts w:cs="宋体"/>
          <w:color w:val="auto"/>
          <w:szCs w:val="24"/>
        </w:rPr>
      </w:pPr>
      <w:bookmarkStart w:id="174" w:name="_Toc2121"/>
      <w:r>
        <w:rPr>
          <w:rFonts w:hint="eastAsia" w:cs="宋体"/>
          <w:color w:val="auto"/>
          <w:szCs w:val="24"/>
        </w:rPr>
        <w:t>履行合同</w:t>
      </w:r>
      <w:bookmarkEnd w:id="172"/>
      <w:bookmarkEnd w:id="174"/>
    </w:p>
    <w:p>
      <w:pPr>
        <w:numPr>
          <w:ilvl w:val="0"/>
          <w:numId w:val="35"/>
        </w:numPr>
        <w:tabs>
          <w:tab w:val="left" w:pos="1134"/>
        </w:tabs>
        <w:ind w:firstLine="492"/>
        <w:rPr>
          <w:rFonts w:ascii="宋体" w:hAnsi="宋体" w:cs="宋体"/>
          <w:szCs w:val="24"/>
        </w:rPr>
      </w:pPr>
      <w:r>
        <w:rPr>
          <w:rFonts w:hint="eastAsia" w:ascii="宋体" w:hAnsi="宋体" w:cs="宋体"/>
          <w:szCs w:val="24"/>
        </w:rPr>
        <w:t>合同一经签订，双方应严格履行合同规定的义务。</w:t>
      </w:r>
    </w:p>
    <w:p>
      <w:pPr>
        <w:numPr>
          <w:ilvl w:val="0"/>
          <w:numId w:val="35"/>
        </w:numPr>
        <w:tabs>
          <w:tab w:val="left" w:pos="1134"/>
        </w:tabs>
        <w:ind w:firstLine="492"/>
        <w:rPr>
          <w:rFonts w:ascii="宋体" w:hAnsi="宋体" w:cs="宋体"/>
          <w:szCs w:val="24"/>
        </w:rPr>
      </w:pPr>
      <w:r>
        <w:rPr>
          <w:rFonts w:hint="eastAsia" w:ascii="宋体" w:hAnsi="宋体" w:cs="宋体"/>
          <w:szCs w:val="24"/>
        </w:rPr>
        <w:t>在合同履行过程中，如发生合同纠纷，合同双方应按照《</w:t>
      </w:r>
      <w:r>
        <w:rPr>
          <w:rFonts w:hint="eastAsia" w:ascii="宋体" w:hAnsi="宋体" w:cs="宋体"/>
          <w:szCs w:val="24"/>
          <w:lang w:eastAsia="zh-CN"/>
        </w:rPr>
        <w:t>中华人民共和国民法典</w:t>
      </w:r>
      <w:r>
        <w:rPr>
          <w:rFonts w:hint="eastAsia" w:ascii="宋体" w:hAnsi="宋体" w:cs="宋体"/>
          <w:szCs w:val="24"/>
        </w:rPr>
        <w:t>》及合同条款的有关规定进行处理。</w:t>
      </w:r>
    </w:p>
    <w:bookmarkEnd w:id="161"/>
    <w:bookmarkEnd w:id="162"/>
    <w:p>
      <w:pPr>
        <w:pStyle w:val="4"/>
      </w:pPr>
      <w:bookmarkStart w:id="175" w:name="_Toc29524"/>
      <w:bookmarkStart w:id="176" w:name="_Toc9342"/>
      <w:bookmarkStart w:id="177" w:name="_Toc27816"/>
      <w:bookmarkStart w:id="178" w:name="_Toc217446074"/>
      <w:bookmarkStart w:id="179" w:name="_Toc5489"/>
      <w:bookmarkStart w:id="180" w:name="_Toc183582243"/>
      <w:bookmarkStart w:id="181" w:name="_Toc183682380"/>
      <w:r>
        <w:rPr>
          <w:rFonts w:hint="eastAsia"/>
        </w:rPr>
        <w:t>投标纪律要求</w:t>
      </w:r>
      <w:bookmarkEnd w:id="175"/>
      <w:bookmarkEnd w:id="176"/>
      <w:bookmarkEnd w:id="177"/>
      <w:bookmarkEnd w:id="178"/>
      <w:bookmarkEnd w:id="179"/>
    </w:p>
    <w:p>
      <w:pPr>
        <w:pStyle w:val="5"/>
        <w:ind w:left="322" w:firstLine="494" w:firstLineChars="0"/>
        <w:rPr>
          <w:rFonts w:cs="宋体"/>
          <w:color w:val="auto"/>
          <w:szCs w:val="24"/>
        </w:rPr>
      </w:pPr>
      <w:bookmarkStart w:id="182" w:name="_Toc5227"/>
      <w:bookmarkStart w:id="183" w:name="_Toc217446075"/>
      <w:r>
        <w:rPr>
          <w:rFonts w:hint="eastAsia" w:cs="宋体"/>
          <w:color w:val="auto"/>
          <w:szCs w:val="24"/>
        </w:rPr>
        <w:t>投标人不得具有的情形</w:t>
      </w:r>
      <w:bookmarkEnd w:id="182"/>
      <w:bookmarkEnd w:id="183"/>
    </w:p>
    <w:p>
      <w:pPr>
        <w:pStyle w:val="14"/>
        <w:spacing w:after="0" w:line="360" w:lineRule="auto"/>
        <w:ind w:firstLine="492"/>
        <w:rPr>
          <w:rFonts w:ascii="宋体" w:hAnsi="宋体" w:cs="宋体"/>
          <w:szCs w:val="24"/>
        </w:rPr>
      </w:pPr>
      <w:r>
        <w:rPr>
          <w:rFonts w:hint="eastAsia" w:ascii="宋体" w:hAnsi="宋体" w:cs="宋体"/>
          <w:szCs w:val="24"/>
        </w:rPr>
        <w:t>投标人参加投标不得有下列情形：</w:t>
      </w:r>
    </w:p>
    <w:p>
      <w:pPr>
        <w:numPr>
          <w:ilvl w:val="0"/>
          <w:numId w:val="36"/>
        </w:numPr>
        <w:tabs>
          <w:tab w:val="left" w:pos="1134"/>
        </w:tabs>
        <w:ind w:firstLine="492"/>
        <w:rPr>
          <w:rFonts w:ascii="宋体" w:hAnsi="宋体" w:cs="宋体"/>
          <w:szCs w:val="24"/>
        </w:rPr>
      </w:pPr>
      <w:r>
        <w:rPr>
          <w:rFonts w:hint="eastAsia" w:ascii="宋体" w:hAnsi="宋体" w:cs="宋体"/>
          <w:szCs w:val="24"/>
        </w:rPr>
        <w:t>提供虚假材料谋取中标；</w:t>
      </w:r>
    </w:p>
    <w:p>
      <w:pPr>
        <w:numPr>
          <w:ilvl w:val="0"/>
          <w:numId w:val="36"/>
        </w:numPr>
        <w:tabs>
          <w:tab w:val="left" w:pos="1134"/>
        </w:tabs>
        <w:ind w:firstLine="492"/>
        <w:rPr>
          <w:rFonts w:ascii="宋体" w:hAnsi="宋体" w:cs="宋体"/>
          <w:szCs w:val="24"/>
        </w:rPr>
      </w:pPr>
      <w:r>
        <w:rPr>
          <w:rFonts w:hint="eastAsia" w:ascii="宋体" w:hAnsi="宋体" w:cs="宋体"/>
          <w:szCs w:val="24"/>
        </w:rPr>
        <w:t>采取不正当手段诋毁、排挤其他投标人；</w:t>
      </w:r>
    </w:p>
    <w:p>
      <w:pPr>
        <w:numPr>
          <w:ilvl w:val="0"/>
          <w:numId w:val="36"/>
        </w:numPr>
        <w:tabs>
          <w:tab w:val="left" w:pos="1134"/>
        </w:tabs>
        <w:ind w:firstLine="492"/>
        <w:rPr>
          <w:rFonts w:ascii="宋体" w:hAnsi="宋体" w:cs="宋体"/>
          <w:szCs w:val="24"/>
        </w:rPr>
      </w:pPr>
      <w:r>
        <w:rPr>
          <w:rFonts w:hint="eastAsia" w:ascii="宋体" w:hAnsi="宋体" w:cs="宋体"/>
          <w:szCs w:val="24"/>
        </w:rPr>
        <w:t>与招标采购单位、其他投标人恶意串通；</w:t>
      </w:r>
    </w:p>
    <w:p>
      <w:pPr>
        <w:numPr>
          <w:ilvl w:val="0"/>
          <w:numId w:val="36"/>
        </w:numPr>
        <w:tabs>
          <w:tab w:val="left" w:pos="1134"/>
        </w:tabs>
        <w:ind w:firstLine="492"/>
        <w:rPr>
          <w:rFonts w:ascii="宋体" w:hAnsi="宋体" w:cs="宋体"/>
          <w:szCs w:val="24"/>
        </w:rPr>
      </w:pPr>
      <w:r>
        <w:rPr>
          <w:rFonts w:hint="eastAsia" w:ascii="宋体" w:hAnsi="宋体" w:cs="宋体"/>
          <w:szCs w:val="24"/>
        </w:rPr>
        <w:t>向招标采购单位、评标委员会成员行贿或者提供其他不正当利益；</w:t>
      </w:r>
    </w:p>
    <w:p>
      <w:pPr>
        <w:numPr>
          <w:ilvl w:val="0"/>
          <w:numId w:val="36"/>
        </w:numPr>
        <w:tabs>
          <w:tab w:val="left" w:pos="1134"/>
        </w:tabs>
        <w:ind w:firstLine="492"/>
        <w:rPr>
          <w:rFonts w:ascii="宋体" w:hAnsi="宋体" w:cs="宋体"/>
          <w:szCs w:val="24"/>
        </w:rPr>
      </w:pPr>
      <w:r>
        <w:rPr>
          <w:rFonts w:hint="eastAsia" w:ascii="宋体" w:hAnsi="宋体" w:cs="宋体"/>
          <w:szCs w:val="24"/>
        </w:rPr>
        <w:t>在招标过程中与招标采购单位进行协商谈判；</w:t>
      </w:r>
    </w:p>
    <w:p>
      <w:pPr>
        <w:numPr>
          <w:ilvl w:val="0"/>
          <w:numId w:val="36"/>
        </w:numPr>
        <w:tabs>
          <w:tab w:val="left" w:pos="1134"/>
        </w:tabs>
        <w:ind w:firstLine="492"/>
        <w:rPr>
          <w:rFonts w:ascii="宋体" w:hAnsi="宋体" w:cs="宋体"/>
          <w:szCs w:val="24"/>
        </w:rPr>
      </w:pPr>
      <w:r>
        <w:rPr>
          <w:rFonts w:hint="eastAsia" w:ascii="宋体" w:hAnsi="宋体" w:cs="宋体"/>
          <w:szCs w:val="24"/>
        </w:rPr>
        <w:t>中标或者成交后无正当理由拒不与采购人签订政府采购合同；</w:t>
      </w:r>
    </w:p>
    <w:p>
      <w:pPr>
        <w:numPr>
          <w:ilvl w:val="0"/>
          <w:numId w:val="36"/>
        </w:numPr>
        <w:tabs>
          <w:tab w:val="left" w:pos="1134"/>
        </w:tabs>
        <w:ind w:firstLine="492"/>
        <w:rPr>
          <w:rFonts w:ascii="宋体" w:hAnsi="宋体" w:cs="宋体"/>
          <w:szCs w:val="24"/>
        </w:rPr>
      </w:pPr>
      <w:r>
        <w:rPr>
          <w:rFonts w:hint="eastAsia" w:ascii="宋体" w:hAnsi="宋体" w:cs="宋体"/>
          <w:szCs w:val="24"/>
        </w:rPr>
        <w:t>未按照招标文件确定的事项签订政府采购合同；</w:t>
      </w:r>
    </w:p>
    <w:p>
      <w:pPr>
        <w:numPr>
          <w:ilvl w:val="0"/>
          <w:numId w:val="36"/>
        </w:numPr>
        <w:tabs>
          <w:tab w:val="left" w:pos="1134"/>
        </w:tabs>
        <w:ind w:firstLine="492"/>
        <w:rPr>
          <w:rFonts w:ascii="宋体" w:hAnsi="宋体" w:cs="宋体"/>
          <w:szCs w:val="24"/>
        </w:rPr>
      </w:pPr>
      <w:r>
        <w:rPr>
          <w:rFonts w:hint="eastAsia" w:ascii="宋体" w:hAnsi="宋体" w:cs="宋体"/>
          <w:szCs w:val="24"/>
        </w:rPr>
        <w:t>将政府采购合同转包或者违规分包；</w:t>
      </w:r>
    </w:p>
    <w:p>
      <w:pPr>
        <w:numPr>
          <w:ilvl w:val="0"/>
          <w:numId w:val="36"/>
        </w:numPr>
        <w:tabs>
          <w:tab w:val="left" w:pos="1134"/>
        </w:tabs>
        <w:ind w:firstLine="492"/>
        <w:rPr>
          <w:rFonts w:ascii="宋体" w:hAnsi="宋体" w:cs="宋体"/>
          <w:szCs w:val="24"/>
        </w:rPr>
      </w:pPr>
      <w:r>
        <w:rPr>
          <w:rFonts w:hint="eastAsia" w:ascii="宋体" w:hAnsi="宋体" w:cs="宋体"/>
          <w:szCs w:val="24"/>
        </w:rPr>
        <w:t>提供假冒伪劣产品；</w:t>
      </w:r>
    </w:p>
    <w:p>
      <w:pPr>
        <w:numPr>
          <w:ilvl w:val="0"/>
          <w:numId w:val="36"/>
        </w:numPr>
        <w:tabs>
          <w:tab w:val="left" w:pos="1134"/>
        </w:tabs>
        <w:ind w:firstLine="492"/>
        <w:rPr>
          <w:rFonts w:ascii="宋体" w:hAnsi="宋体" w:cs="宋体"/>
          <w:szCs w:val="24"/>
        </w:rPr>
      </w:pPr>
      <w:r>
        <w:rPr>
          <w:rFonts w:hint="eastAsia" w:ascii="宋体" w:hAnsi="宋体" w:cs="宋体"/>
          <w:szCs w:val="24"/>
        </w:rPr>
        <w:t>擅自变更、中止或者终止政府采购合同；</w:t>
      </w:r>
    </w:p>
    <w:p>
      <w:pPr>
        <w:numPr>
          <w:ilvl w:val="0"/>
          <w:numId w:val="36"/>
        </w:numPr>
        <w:tabs>
          <w:tab w:val="left" w:pos="1134"/>
        </w:tabs>
        <w:ind w:firstLine="492"/>
        <w:rPr>
          <w:rFonts w:ascii="宋体" w:hAnsi="宋体" w:cs="宋体"/>
          <w:szCs w:val="24"/>
        </w:rPr>
      </w:pPr>
      <w:r>
        <w:rPr>
          <w:rFonts w:hint="eastAsia" w:ascii="宋体" w:hAnsi="宋体" w:cs="宋体"/>
          <w:szCs w:val="24"/>
        </w:rPr>
        <w:t>拒绝有关部门的监督检查或者向监督检查部门提供虚假情况；</w:t>
      </w:r>
    </w:p>
    <w:p>
      <w:pPr>
        <w:numPr>
          <w:ilvl w:val="0"/>
          <w:numId w:val="36"/>
        </w:numPr>
        <w:tabs>
          <w:tab w:val="left" w:pos="1134"/>
        </w:tabs>
        <w:ind w:firstLine="492"/>
        <w:rPr>
          <w:rFonts w:ascii="宋体" w:hAnsi="宋体" w:cs="宋体"/>
          <w:szCs w:val="24"/>
        </w:rPr>
      </w:pPr>
      <w:r>
        <w:rPr>
          <w:rFonts w:hint="eastAsia" w:ascii="宋体" w:hAnsi="宋体" w:cs="宋体"/>
          <w:szCs w:val="24"/>
        </w:rPr>
        <w:t>法律法规规定的其他情形。</w:t>
      </w:r>
    </w:p>
    <w:p>
      <w:pPr>
        <w:pStyle w:val="14"/>
        <w:spacing w:after="0" w:line="360" w:lineRule="auto"/>
        <w:ind w:firstLine="492"/>
        <w:rPr>
          <w:rFonts w:ascii="宋体" w:hAnsi="宋体" w:cs="宋体"/>
          <w:szCs w:val="24"/>
        </w:rPr>
      </w:pPr>
      <w:r>
        <w:rPr>
          <w:rFonts w:hint="eastAsia" w:ascii="宋体" w:hAnsi="宋体" w:cs="宋体"/>
          <w:szCs w:val="24"/>
        </w:rPr>
        <w:t>投标人有上述情形的，按照规定追究法律责任，具备（</w:t>
      </w:r>
      <w:r>
        <w:rPr>
          <w:rFonts w:hint="eastAsia" w:ascii="宋体" w:hAnsi="宋体" w:cs="宋体"/>
          <w:szCs w:val="24"/>
          <w:lang w:val="en-US" w:eastAsia="zh-CN"/>
        </w:rPr>
        <w:t>一</w:t>
      </w:r>
      <w:r>
        <w:rPr>
          <w:rFonts w:hint="eastAsia" w:ascii="宋体" w:hAnsi="宋体" w:cs="宋体"/>
          <w:szCs w:val="24"/>
        </w:rPr>
        <w:t>）-（</w:t>
      </w:r>
      <w:r>
        <w:rPr>
          <w:rFonts w:hint="eastAsia" w:ascii="宋体" w:hAnsi="宋体" w:cs="宋体"/>
          <w:szCs w:val="24"/>
          <w:lang w:val="en-US" w:eastAsia="zh-CN"/>
        </w:rPr>
        <w:t>十</w:t>
      </w:r>
      <w:r>
        <w:rPr>
          <w:rFonts w:hint="eastAsia" w:ascii="宋体" w:hAnsi="宋体" w:cs="宋体"/>
          <w:szCs w:val="24"/>
        </w:rPr>
        <w:t>）条情形之一的，同时将取消中标资格或者认定中标无效。</w:t>
      </w:r>
    </w:p>
    <w:p>
      <w:pPr>
        <w:pStyle w:val="5"/>
        <w:ind w:left="322" w:firstLine="494" w:firstLineChars="0"/>
        <w:rPr>
          <w:rFonts w:cs="宋体"/>
          <w:color w:val="auto"/>
          <w:szCs w:val="24"/>
        </w:rPr>
      </w:pPr>
      <w:bookmarkStart w:id="184" w:name="_Toc314574786"/>
      <w:bookmarkStart w:id="185" w:name="_Toc31344"/>
      <w:r>
        <w:rPr>
          <w:rFonts w:hint="eastAsia" w:cs="宋体"/>
          <w:color w:val="auto"/>
          <w:szCs w:val="24"/>
        </w:rPr>
        <w:t>保密</w:t>
      </w:r>
      <w:bookmarkEnd w:id="184"/>
      <w:bookmarkEnd w:id="185"/>
    </w:p>
    <w:p>
      <w:pPr>
        <w:pStyle w:val="14"/>
        <w:numPr>
          <w:ilvl w:val="0"/>
          <w:numId w:val="37"/>
        </w:numPr>
        <w:tabs>
          <w:tab w:val="left" w:pos="1134"/>
        </w:tabs>
        <w:spacing w:after="0" w:line="360" w:lineRule="auto"/>
        <w:ind w:firstLine="492"/>
        <w:rPr>
          <w:rFonts w:ascii="宋体" w:hAnsi="宋体" w:cs="宋体"/>
          <w:szCs w:val="24"/>
        </w:rPr>
      </w:pPr>
      <w:r>
        <w:rPr>
          <w:rFonts w:hint="eastAsia" w:ascii="宋体" w:hAnsi="宋体" w:cs="宋体"/>
          <w:szCs w:val="24"/>
        </w:rPr>
        <w:t>不得透露有关潜在投标人的任何情况。</w:t>
      </w:r>
    </w:p>
    <w:p>
      <w:pPr>
        <w:pStyle w:val="14"/>
        <w:numPr>
          <w:ilvl w:val="0"/>
          <w:numId w:val="37"/>
        </w:numPr>
        <w:tabs>
          <w:tab w:val="left" w:pos="1134"/>
        </w:tabs>
        <w:spacing w:after="0" w:line="360" w:lineRule="auto"/>
        <w:ind w:firstLine="492"/>
        <w:rPr>
          <w:rFonts w:ascii="宋体" w:hAnsi="宋体" w:cs="宋体"/>
          <w:szCs w:val="24"/>
        </w:rPr>
      </w:pPr>
      <w:r>
        <w:rPr>
          <w:rFonts w:hint="eastAsia" w:ascii="宋体" w:hAnsi="宋体" w:cs="宋体"/>
          <w:szCs w:val="24"/>
        </w:rPr>
        <w:t>有关投标文件的审查、澄清、评估和比较以及合同授予意向等情况都不得对外透露。</w:t>
      </w:r>
    </w:p>
    <w:p>
      <w:pPr>
        <w:pStyle w:val="5"/>
        <w:ind w:left="322" w:firstLine="494" w:firstLineChars="0"/>
        <w:rPr>
          <w:rFonts w:cs="宋体"/>
          <w:color w:val="auto"/>
          <w:szCs w:val="24"/>
        </w:rPr>
      </w:pPr>
      <w:bookmarkStart w:id="186" w:name="_Toc11830"/>
      <w:r>
        <w:rPr>
          <w:rFonts w:hint="eastAsia" w:cs="宋体"/>
          <w:color w:val="auto"/>
          <w:szCs w:val="24"/>
        </w:rPr>
        <w:t>回避</w:t>
      </w:r>
      <w:bookmarkEnd w:id="186"/>
    </w:p>
    <w:p>
      <w:pPr>
        <w:pStyle w:val="39"/>
        <w:shd w:val="clear" w:color="auto" w:fill="FFFFFF"/>
        <w:spacing w:before="0" w:beforeAutospacing="0" w:after="0" w:afterAutospacing="0"/>
        <w:ind w:firstLine="492"/>
        <w:rPr>
          <w:rFonts w:cs="宋体"/>
          <w:color w:val="auto"/>
        </w:rPr>
      </w:pPr>
      <w:r>
        <w:rPr>
          <w:rFonts w:hint="eastAsia" w:cs="宋体"/>
          <w:color w:val="auto"/>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numPr>
          <w:ilvl w:val="0"/>
          <w:numId w:val="38"/>
        </w:numPr>
        <w:shd w:val="clear" w:color="auto" w:fill="FFFFFF"/>
        <w:spacing w:before="0" w:beforeAutospacing="0" w:after="0" w:afterAutospacing="0"/>
        <w:ind w:firstLine="492"/>
        <w:rPr>
          <w:rFonts w:cs="宋体"/>
          <w:color w:val="auto"/>
        </w:rPr>
      </w:pPr>
      <w:r>
        <w:rPr>
          <w:rFonts w:hint="eastAsia" w:cs="宋体"/>
          <w:color w:val="auto"/>
        </w:rPr>
        <w:t>参加采购活动前3年内与供应商存在劳动关系；</w:t>
      </w:r>
    </w:p>
    <w:p>
      <w:pPr>
        <w:pStyle w:val="39"/>
        <w:numPr>
          <w:ilvl w:val="0"/>
          <w:numId w:val="38"/>
        </w:numPr>
        <w:shd w:val="clear" w:color="auto" w:fill="FFFFFF"/>
        <w:spacing w:before="0" w:beforeAutospacing="0" w:after="0" w:afterAutospacing="0"/>
        <w:ind w:firstLine="492"/>
        <w:rPr>
          <w:rFonts w:cs="宋体"/>
          <w:color w:val="auto"/>
        </w:rPr>
      </w:pPr>
      <w:r>
        <w:rPr>
          <w:rFonts w:hint="eastAsia" w:cs="宋体"/>
          <w:color w:val="auto"/>
        </w:rPr>
        <w:t>参加采购活动前3年内担任供应商的董事、监事；</w:t>
      </w:r>
    </w:p>
    <w:p>
      <w:pPr>
        <w:pStyle w:val="39"/>
        <w:numPr>
          <w:ilvl w:val="0"/>
          <w:numId w:val="38"/>
        </w:numPr>
        <w:shd w:val="clear" w:color="auto" w:fill="FFFFFF"/>
        <w:spacing w:before="0" w:beforeAutospacing="0" w:after="0" w:afterAutospacing="0"/>
        <w:ind w:firstLine="492"/>
        <w:rPr>
          <w:rFonts w:cs="宋体"/>
          <w:color w:val="auto"/>
        </w:rPr>
      </w:pPr>
      <w:r>
        <w:rPr>
          <w:rFonts w:hint="eastAsia" w:cs="宋体"/>
          <w:color w:val="auto"/>
        </w:rPr>
        <w:t>参加采购活动前3年内是供应商的控股股东或者实际控制人；</w:t>
      </w:r>
    </w:p>
    <w:p>
      <w:pPr>
        <w:pStyle w:val="39"/>
        <w:numPr>
          <w:ilvl w:val="0"/>
          <w:numId w:val="38"/>
        </w:numPr>
        <w:shd w:val="clear" w:color="auto" w:fill="FFFFFF"/>
        <w:spacing w:before="0" w:beforeAutospacing="0" w:after="0" w:afterAutospacing="0"/>
        <w:ind w:firstLine="492"/>
        <w:rPr>
          <w:rFonts w:cs="宋体"/>
          <w:color w:val="auto"/>
        </w:rPr>
      </w:pPr>
      <w:r>
        <w:rPr>
          <w:rFonts w:hint="eastAsia" w:cs="宋体"/>
          <w:color w:val="auto"/>
        </w:rPr>
        <w:t>与供应商的法定代表人或者负责人有夫妻、直系血亲、三代以内旁系血亲或者近姻亲关系；</w:t>
      </w:r>
    </w:p>
    <w:p>
      <w:pPr>
        <w:pStyle w:val="39"/>
        <w:numPr>
          <w:ilvl w:val="0"/>
          <w:numId w:val="38"/>
        </w:numPr>
        <w:shd w:val="clear" w:color="auto" w:fill="FFFFFF"/>
        <w:tabs>
          <w:tab w:val="left" w:pos="709"/>
        </w:tabs>
        <w:spacing w:before="0" w:beforeAutospacing="0" w:after="0" w:afterAutospacing="0"/>
        <w:ind w:firstLine="492"/>
        <w:rPr>
          <w:rFonts w:cs="宋体"/>
          <w:color w:val="auto"/>
        </w:rPr>
      </w:pPr>
      <w:r>
        <w:rPr>
          <w:rFonts w:hint="eastAsia" w:cs="宋体"/>
          <w:color w:val="auto"/>
        </w:rPr>
        <w:t>与供应商有其他可能影响政府采购活动公平、公正进行的关系。</w:t>
      </w:r>
    </w:p>
    <w:p>
      <w:pPr>
        <w:pStyle w:val="39"/>
        <w:numPr>
          <w:ilvl w:val="0"/>
          <w:numId w:val="38"/>
        </w:numPr>
        <w:shd w:val="clear" w:color="auto" w:fill="FFFFFF"/>
        <w:spacing w:before="0" w:beforeAutospacing="0" w:after="0" w:afterAutospacing="0"/>
        <w:ind w:firstLine="492"/>
        <w:rPr>
          <w:rFonts w:cs="宋体"/>
          <w:color w:val="auto"/>
        </w:rPr>
      </w:pPr>
      <w:r>
        <w:rPr>
          <w:rFonts w:hint="eastAsia"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pPr>
      <w:bookmarkStart w:id="187" w:name="_Toc217446076"/>
      <w:bookmarkStart w:id="188" w:name="_Toc20902"/>
      <w:bookmarkStart w:id="189" w:name="_Toc24780"/>
      <w:bookmarkStart w:id="190" w:name="_Toc24794"/>
      <w:bookmarkStart w:id="191" w:name="_Toc30038"/>
      <w:r>
        <w:rPr>
          <w:rFonts w:hint="eastAsia"/>
        </w:rPr>
        <w:t>资金支付</w:t>
      </w:r>
      <w:bookmarkEnd w:id="187"/>
      <w:bookmarkEnd w:id="188"/>
      <w:bookmarkEnd w:id="189"/>
      <w:bookmarkEnd w:id="190"/>
      <w:bookmarkEnd w:id="191"/>
    </w:p>
    <w:p>
      <w:pPr>
        <w:pStyle w:val="35"/>
        <w:ind w:left="0" w:leftChars="0" w:firstLine="492"/>
        <w:rPr>
          <w:rFonts w:cs="宋体"/>
          <w:sz w:val="24"/>
          <w:szCs w:val="24"/>
        </w:rPr>
      </w:pPr>
      <w:bookmarkStart w:id="192" w:name="_Toc316292046"/>
      <w:r>
        <w:rPr>
          <w:rFonts w:hint="eastAsia" w:cs="宋体"/>
          <w:sz w:val="24"/>
          <w:szCs w:val="24"/>
        </w:rPr>
        <w:t>付款方式见第四章商务部分。</w:t>
      </w:r>
    </w:p>
    <w:bookmarkEnd w:id="192"/>
    <w:p>
      <w:pPr>
        <w:pStyle w:val="4"/>
      </w:pPr>
      <w:bookmarkStart w:id="193" w:name="_Toc853"/>
      <w:bookmarkStart w:id="194" w:name="_Toc21829"/>
      <w:bookmarkStart w:id="195" w:name="_Toc3489"/>
      <w:bookmarkStart w:id="196" w:name="_Toc8314"/>
      <w:bookmarkStart w:id="197" w:name="_Toc217446078"/>
      <w:r>
        <w:rPr>
          <w:rFonts w:hint="eastAsia"/>
        </w:rPr>
        <w:t>询问、质疑和投诉</w:t>
      </w:r>
      <w:bookmarkEnd w:id="193"/>
      <w:bookmarkEnd w:id="194"/>
      <w:bookmarkEnd w:id="195"/>
      <w:bookmarkEnd w:id="196"/>
      <w:bookmarkEnd w:id="197"/>
      <w:bookmarkStart w:id="198" w:name="_Toc217446079"/>
    </w:p>
    <w:bookmarkEnd w:id="198"/>
    <w:p>
      <w:pPr>
        <w:pStyle w:val="26"/>
        <w:numPr>
          <w:ilvl w:val="0"/>
          <w:numId w:val="39"/>
        </w:numPr>
        <w:tabs>
          <w:tab w:val="left" w:pos="1134"/>
        </w:tabs>
        <w:spacing w:after="0" w:line="360" w:lineRule="auto"/>
        <w:ind w:leftChars="0" w:firstLine="492"/>
        <w:rPr>
          <w:rFonts w:ascii="宋体" w:hAnsi="宋体" w:cs="宋体"/>
          <w:szCs w:val="24"/>
        </w:rPr>
      </w:pPr>
      <w:r>
        <w:rPr>
          <w:rFonts w:hint="eastAsia" w:ascii="宋体" w:hAnsi="宋体" w:cs="宋体"/>
          <w:szCs w:val="24"/>
        </w:rPr>
        <w:t>询问、质疑、投诉的接收和处理严格按照</w:t>
      </w:r>
      <w:bookmarkEnd w:id="180"/>
      <w:bookmarkEnd w:id="181"/>
      <w:r>
        <w:rPr>
          <w:rFonts w:hint="eastAsia" w:ascii="宋体" w:hAnsi="宋体" w:cs="宋体"/>
          <w:szCs w:val="24"/>
        </w:rPr>
        <w:t>《中华人共和国政府采购法》(主席令</w:t>
      </w:r>
      <w:r>
        <w:rPr>
          <w:rFonts w:hint="eastAsia" w:cs="宋体"/>
          <w:b w:val="0"/>
          <w:bCs w:val="0"/>
          <w:sz w:val="24"/>
          <w:szCs w:val="24"/>
        </w:rPr>
        <w:t>﹝20</w:t>
      </w:r>
      <w:r>
        <w:rPr>
          <w:rFonts w:hint="eastAsia" w:cs="宋体"/>
          <w:b w:val="0"/>
          <w:bCs w:val="0"/>
          <w:sz w:val="24"/>
          <w:szCs w:val="24"/>
          <w:lang w:val="en-US" w:eastAsia="zh-CN"/>
        </w:rPr>
        <w:t>02</w:t>
      </w:r>
      <w:r>
        <w:rPr>
          <w:rFonts w:hint="eastAsia" w:cs="宋体"/>
          <w:b w:val="0"/>
          <w:bCs w:val="0"/>
          <w:sz w:val="24"/>
          <w:szCs w:val="24"/>
        </w:rPr>
        <w:t>﹞</w:t>
      </w:r>
      <w:r>
        <w:rPr>
          <w:rFonts w:hint="eastAsia" w:ascii="宋体" w:hAnsi="宋体" w:cs="宋体"/>
          <w:szCs w:val="24"/>
        </w:rPr>
        <w:t>第68号)、《中华人共和国政府采购法实施条例》(国务院令第658号)、《政府采购质疑和投诉办法》(财政部令第94号)</w:t>
      </w:r>
      <w:r>
        <w:rPr>
          <w:rFonts w:hint="eastAsia" w:ascii="宋体" w:hAnsi="宋体" w:cs="宋体"/>
          <w:bCs/>
          <w:kern w:val="36"/>
          <w:szCs w:val="24"/>
        </w:rPr>
        <w:t>等</w:t>
      </w:r>
      <w:r>
        <w:rPr>
          <w:rFonts w:hint="eastAsia" w:ascii="宋体" w:hAnsi="宋体" w:cs="宋体"/>
          <w:szCs w:val="24"/>
        </w:rPr>
        <w:t>规定办理。</w:t>
      </w:r>
    </w:p>
    <w:p>
      <w:pPr>
        <w:pStyle w:val="26"/>
        <w:numPr>
          <w:ilvl w:val="0"/>
          <w:numId w:val="39"/>
        </w:numPr>
        <w:tabs>
          <w:tab w:val="left" w:pos="1134"/>
        </w:tabs>
        <w:spacing w:after="0" w:line="360" w:lineRule="auto"/>
        <w:ind w:leftChars="0" w:firstLine="492"/>
        <w:rPr>
          <w:rFonts w:ascii="宋体" w:hAnsi="宋体" w:cs="宋体"/>
          <w:szCs w:val="24"/>
        </w:rPr>
      </w:pPr>
      <w:r>
        <w:rPr>
          <w:rFonts w:hint="eastAsia" w:ascii="宋体" w:hAnsi="宋体" w:cs="宋体"/>
          <w:szCs w:val="24"/>
        </w:rPr>
        <w:t>供应商提出的询问，应当明确询问事项，如以书面形式提出的，应由供应商签字并加盖单位公章。</w:t>
      </w:r>
    </w:p>
    <w:p>
      <w:pPr>
        <w:pStyle w:val="26"/>
        <w:numPr>
          <w:ilvl w:val="0"/>
          <w:numId w:val="39"/>
        </w:numPr>
        <w:tabs>
          <w:tab w:val="left" w:pos="1134"/>
        </w:tabs>
        <w:spacing w:after="0" w:line="360" w:lineRule="auto"/>
        <w:ind w:leftChars="0" w:firstLine="492"/>
        <w:rPr>
          <w:rFonts w:ascii="宋体" w:hAnsi="宋体" w:cs="宋体"/>
          <w:szCs w:val="24"/>
        </w:rPr>
      </w:pPr>
      <w:r>
        <w:rPr>
          <w:rFonts w:hint="eastAsia" w:ascii="宋体" w:hAnsi="宋体" w:cs="宋体"/>
          <w:szCs w:val="24"/>
        </w:rPr>
        <w:t>供应商对采购人、采购代理机构的质疑答复不满意，或者采购人、采购代理机构未在规定期限内作出答复的，供应商可以在答复期满后15个工作日内向同级财政部门提起投诉。</w:t>
      </w:r>
    </w:p>
    <w:p>
      <w:pPr>
        <w:pStyle w:val="26"/>
        <w:numPr>
          <w:ilvl w:val="0"/>
          <w:numId w:val="39"/>
        </w:numPr>
        <w:tabs>
          <w:tab w:val="left" w:pos="1134"/>
        </w:tabs>
        <w:spacing w:after="0" w:line="360" w:lineRule="auto"/>
        <w:ind w:leftChars="0" w:firstLine="492"/>
        <w:rPr>
          <w:rFonts w:ascii="宋体" w:hAnsi="宋体" w:cs="宋体"/>
          <w:szCs w:val="24"/>
        </w:rPr>
      </w:pPr>
      <w:r>
        <w:rPr>
          <w:rFonts w:hint="eastAsia" w:ascii="宋体" w:hAnsi="宋体" w:cs="宋体"/>
          <w:szCs w:val="24"/>
        </w:rPr>
        <w:t>供应商应当在法定质疑期内一次性提出针对同一采购程序环节的质疑。</w:t>
      </w:r>
    </w:p>
    <w:p>
      <w:pPr>
        <w:pStyle w:val="4"/>
      </w:pPr>
      <w:bookmarkStart w:id="199" w:name="_Toc17918"/>
      <w:bookmarkStart w:id="200" w:name="_Toc19526"/>
      <w:bookmarkStart w:id="201" w:name="_Toc82"/>
      <w:bookmarkStart w:id="202" w:name="_Toc16036"/>
      <w:r>
        <w:rPr>
          <w:rFonts w:hint="eastAsia"/>
        </w:rPr>
        <w:t>其他</w:t>
      </w:r>
      <w:bookmarkEnd w:id="199"/>
      <w:bookmarkEnd w:id="200"/>
      <w:bookmarkEnd w:id="201"/>
      <w:bookmarkEnd w:id="202"/>
    </w:p>
    <w:p>
      <w:pPr>
        <w:ind w:firstLine="492"/>
        <w:rPr>
          <w:rFonts w:ascii="宋体" w:hAnsi="宋体" w:cs="宋体"/>
          <w:szCs w:val="24"/>
        </w:rPr>
      </w:pPr>
      <w:r>
        <w:rPr>
          <w:rFonts w:hint="eastAsia" w:ascii="宋体" w:hAnsi="宋体" w:cs="宋体"/>
          <w:szCs w:val="24"/>
        </w:rPr>
        <w:t>招标文件中所引相关法律制度规定，在政府采购中有变化的，按照变化后的相关法律制度规定执行。本章和第六章中“6.1总则、6.2评标方法、6.3评标程序”规定的内容条款，在本项目投标截止时间届满后，因相关法律制度规定的变化导致不符合相关法律制度规定的，直接按照变化后的相关法律制度规定执行，本招标文件不再做调整。</w:t>
      </w:r>
    </w:p>
    <w:p>
      <w:pPr>
        <w:ind w:firstLine="492"/>
        <w:rPr>
          <w:rFonts w:ascii="宋体" w:hAnsi="宋体" w:cs="宋体"/>
          <w:szCs w:val="24"/>
        </w:rPr>
      </w:pPr>
      <w:r>
        <w:rPr>
          <w:rFonts w:hint="eastAsia" w:ascii="宋体" w:hAnsi="宋体" w:cs="宋体"/>
          <w:szCs w:val="24"/>
        </w:rPr>
        <w:br w:type="page"/>
      </w: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3"/>
      </w:pPr>
      <w:bookmarkStart w:id="203" w:name="_Toc315871049"/>
      <w:bookmarkEnd w:id="203"/>
      <w:bookmarkStart w:id="204" w:name="_Toc315871045"/>
      <w:bookmarkEnd w:id="204"/>
      <w:bookmarkStart w:id="205" w:name="_Toc315871046"/>
      <w:bookmarkEnd w:id="205"/>
      <w:bookmarkStart w:id="206" w:name="_Toc316292049"/>
      <w:bookmarkEnd w:id="206"/>
      <w:bookmarkStart w:id="207" w:name="_Toc315871048"/>
      <w:bookmarkEnd w:id="207"/>
      <w:bookmarkStart w:id="208" w:name="_Toc315871047"/>
      <w:bookmarkEnd w:id="208"/>
      <w:bookmarkStart w:id="209" w:name="_Toc316292052"/>
      <w:bookmarkEnd w:id="209"/>
      <w:bookmarkStart w:id="210" w:name="_Toc316292048"/>
      <w:bookmarkEnd w:id="210"/>
      <w:bookmarkStart w:id="211" w:name="_Toc316292051"/>
      <w:bookmarkEnd w:id="211"/>
      <w:bookmarkStart w:id="212" w:name="_Toc316292050"/>
      <w:bookmarkEnd w:id="212"/>
      <w:bookmarkStart w:id="213" w:name="_Toc315871050"/>
      <w:bookmarkEnd w:id="213"/>
      <w:bookmarkStart w:id="214" w:name="_Toc28404"/>
      <w:bookmarkStart w:id="215" w:name="_Toc15843"/>
      <w:bookmarkStart w:id="216" w:name="_Toc15124"/>
      <w:bookmarkStart w:id="217" w:name="_Toc28280"/>
      <w:r>
        <w:rPr>
          <w:rFonts w:hint="eastAsia"/>
        </w:rPr>
        <w:t>投标文件格式</w:t>
      </w:r>
      <w:bookmarkEnd w:id="214"/>
      <w:bookmarkEnd w:id="215"/>
      <w:bookmarkEnd w:id="216"/>
      <w:bookmarkEnd w:id="217"/>
    </w:p>
    <w:p>
      <w:pPr>
        <w:ind w:firstLine="492"/>
      </w:pPr>
    </w:p>
    <w:p>
      <w:pPr>
        <w:pStyle w:val="2"/>
        <w:ind w:firstLine="492"/>
      </w:pPr>
    </w:p>
    <w:p>
      <w:pPr>
        <w:pStyle w:val="2"/>
        <w:ind w:firstLine="492"/>
      </w:pPr>
    </w:p>
    <w:p>
      <w:pPr>
        <w:pStyle w:val="2"/>
        <w:ind w:firstLine="492"/>
      </w:pPr>
    </w:p>
    <w:p>
      <w:pPr>
        <w:pStyle w:val="2"/>
        <w:ind w:firstLine="492"/>
      </w:pPr>
    </w:p>
    <w:p>
      <w:pPr>
        <w:spacing w:line="500" w:lineRule="exact"/>
        <w:ind w:firstLine="572"/>
        <w:rPr>
          <w:rFonts w:ascii="宋体" w:hAnsi="宋体"/>
          <w:sz w:val="28"/>
          <w:szCs w:val="28"/>
        </w:rPr>
      </w:pPr>
    </w:p>
    <w:p>
      <w:pPr>
        <w:ind w:firstLine="492"/>
      </w:pPr>
      <w:r>
        <w:rPr>
          <w:rFonts w:hint="eastAsia"/>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ind w:firstLine="492"/>
      </w:pPr>
      <w:r>
        <w:rPr>
          <w:rFonts w:hint="eastAsia"/>
        </w:rPr>
        <w:t>二、本章所制投标文件格式有关表格中的备注栏，由投标人根据自身投标情况作解释性说明，不作为必填项。</w:t>
      </w:r>
    </w:p>
    <w:p>
      <w:pPr>
        <w:ind w:firstLine="492"/>
      </w:pPr>
      <w:r>
        <w:rPr>
          <w:rFonts w:hint="eastAsia"/>
        </w:rPr>
        <w:t>三、本章所制投标文件格式中需要填写的相关内容事项，可能会与本采购项目无关，在不改变投标文件原义、不影响本项目采购需求的情况下，投标人可以不予填写，但应当注明。</w:t>
      </w: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4"/>
      </w:pPr>
      <w:bookmarkStart w:id="218" w:name="_Toc12929"/>
      <w:bookmarkStart w:id="219" w:name="_Toc3025"/>
      <w:bookmarkStart w:id="220" w:name="_Toc2690"/>
      <w:bookmarkStart w:id="221" w:name="_Toc178"/>
      <w:bookmarkStart w:id="222" w:name="_Toc217446082"/>
      <w:r>
        <w:rPr>
          <w:rFonts w:hint="eastAsia"/>
        </w:rPr>
        <w:t>资格性响应文件</w:t>
      </w:r>
      <w:bookmarkEnd w:id="218"/>
      <w:bookmarkEnd w:id="219"/>
      <w:bookmarkEnd w:id="220"/>
      <w:bookmarkEnd w:id="221"/>
    </w:p>
    <w:p>
      <w:pPr>
        <w:pStyle w:val="5"/>
        <w:ind w:left="322" w:firstLine="494" w:firstLineChars="0"/>
        <w:rPr>
          <w:color w:val="auto"/>
        </w:rPr>
      </w:pPr>
      <w:bookmarkStart w:id="223" w:name="_Toc30921"/>
      <w:bookmarkStart w:id="224" w:name="_Toc320698761"/>
      <w:r>
        <w:rPr>
          <w:rFonts w:hint="eastAsia"/>
          <w:color w:val="auto"/>
        </w:rPr>
        <w:t>资格性响应件密封包装最外层格式</w:t>
      </w:r>
      <w:bookmarkEnd w:id="223"/>
      <w:bookmarkEnd w:id="224"/>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ind w:firstLine="494"/>
              <w:rPr>
                <w:rFonts w:ascii="宋体" w:hAnsi="宋体"/>
                <w:b/>
                <w:szCs w:val="24"/>
                <w:u w:val="single"/>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ind w:firstLine="494"/>
              <w:rPr>
                <w:rFonts w:hint="eastAsia" w:ascii="宋体" w:hAnsi="宋体" w:eastAsia="宋体"/>
                <w:b/>
                <w:bCs/>
                <w:szCs w:val="24"/>
                <w:u w:val="single"/>
                <w:lang w:eastAsia="zh-CN"/>
              </w:rPr>
            </w:pPr>
            <w:r>
              <w:rPr>
                <w:rFonts w:hint="eastAsia" w:ascii="宋体" w:hAnsi="宋体"/>
                <w:b/>
                <w:szCs w:val="24"/>
              </w:rPr>
              <w:t>项目编号：</w:t>
            </w:r>
            <w:r>
              <w:rPr>
                <w:rFonts w:hint="eastAsia" w:ascii="宋体" w:hAnsi="宋体"/>
                <w:b/>
                <w:bCs/>
                <w:szCs w:val="24"/>
                <w:u w:val="single"/>
                <w:lang w:eastAsia="zh-CN"/>
              </w:rPr>
              <w:t>510112202100118</w:t>
            </w:r>
          </w:p>
          <w:p>
            <w:pPr>
              <w:ind w:firstLine="494"/>
              <w:rPr>
                <w:rFonts w:ascii="宋体" w:hAnsi="宋体"/>
                <w:b/>
                <w:sz w:val="28"/>
                <w:szCs w:val="28"/>
                <w:u w:val="single"/>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p>
            <w:pPr>
              <w:ind w:firstLine="652"/>
              <w:jc w:val="center"/>
              <w:rPr>
                <w:rFonts w:ascii="宋体" w:hAnsi="宋体"/>
                <w:sz w:val="32"/>
                <w:szCs w:val="32"/>
              </w:rPr>
            </w:pPr>
            <w:r>
              <w:rPr>
                <w:rFonts w:hint="eastAsia" w:ascii="宋体" w:hAnsi="宋体"/>
                <w:sz w:val="32"/>
                <w:szCs w:val="32"/>
              </w:rPr>
              <w:t>资格性响应文件</w:t>
            </w:r>
          </w:p>
          <w:p>
            <w:pPr>
              <w:ind w:firstLine="572"/>
              <w:jc w:val="center"/>
              <w:rPr>
                <w:rFonts w:ascii="宋体" w:hAnsi="宋体"/>
                <w:sz w:val="28"/>
                <w:szCs w:val="28"/>
              </w:rPr>
            </w:pPr>
          </w:p>
          <w:p>
            <w:pPr>
              <w:ind w:firstLine="1960" w:firstLineChars="800"/>
              <w:jc w:val="both"/>
              <w:rPr>
                <w:rFonts w:ascii="宋体" w:hAnsi="宋体"/>
                <w:szCs w:val="24"/>
              </w:rPr>
            </w:pPr>
            <w:r>
              <w:rPr>
                <w:rFonts w:hint="eastAsia" w:ascii="宋体" w:hAnsi="宋体"/>
                <w:szCs w:val="24"/>
              </w:rPr>
              <w:t>供应商名称：</w:t>
            </w:r>
            <w:r>
              <w:rPr>
                <w:rFonts w:hint="eastAsia" w:ascii="宋体" w:hAnsi="宋体"/>
                <w:bCs/>
                <w:szCs w:val="24"/>
                <w:u w:val="single"/>
              </w:rPr>
              <w:t xml:space="preserve">                       </w:t>
            </w:r>
            <w:r>
              <w:rPr>
                <w:rFonts w:hint="eastAsia" w:ascii="宋体" w:hAnsi="宋体"/>
                <w:szCs w:val="24"/>
              </w:rPr>
              <w:t>（加盖单位公章）</w:t>
            </w:r>
          </w:p>
          <w:p>
            <w:pPr>
              <w:pStyle w:val="26"/>
              <w:spacing w:after="0" w:line="360" w:lineRule="auto"/>
              <w:ind w:left="0" w:leftChars="0" w:firstLine="1960" w:firstLineChars="800"/>
              <w:rPr>
                <w:rFonts w:ascii="宋体" w:hAnsi="宋体"/>
                <w:b/>
                <w:sz w:val="28"/>
                <w:szCs w:val="28"/>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tc>
      </w:tr>
    </w:tbl>
    <w:p>
      <w:pPr>
        <w:pStyle w:val="5"/>
        <w:ind w:left="322" w:firstLine="494" w:firstLineChars="0"/>
        <w:rPr>
          <w:color w:val="auto"/>
        </w:rPr>
      </w:pPr>
      <w:bookmarkStart w:id="225" w:name="_Toc22475"/>
      <w:r>
        <w:rPr>
          <w:rFonts w:hint="eastAsia"/>
          <w:color w:val="auto"/>
        </w:rPr>
        <w:t>资格性响应文件封面格式</w:t>
      </w:r>
      <w:bookmarkEnd w:id="225"/>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szCs w:val="24"/>
                <w:u w:val="single"/>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ind w:firstLine="494"/>
              <w:rPr>
                <w:rFonts w:hint="eastAsia" w:ascii="宋体" w:hAnsi="宋体" w:eastAsia="宋体"/>
                <w:b/>
                <w:bCs/>
                <w:szCs w:val="24"/>
                <w:u w:val="single"/>
                <w:lang w:eastAsia="zh-CN"/>
              </w:rPr>
            </w:pPr>
            <w:r>
              <w:rPr>
                <w:rFonts w:hint="eastAsia" w:ascii="宋体" w:hAnsi="宋体"/>
                <w:b/>
                <w:szCs w:val="21"/>
              </w:rPr>
              <w:t>项目编号</w:t>
            </w:r>
            <w:r>
              <w:rPr>
                <w:rFonts w:hint="eastAsia" w:ascii="宋体" w:hAnsi="宋体"/>
                <w:b/>
                <w:szCs w:val="24"/>
              </w:rPr>
              <w:t>：</w:t>
            </w:r>
            <w:r>
              <w:rPr>
                <w:rFonts w:hint="eastAsia" w:ascii="宋体" w:hAnsi="宋体"/>
                <w:b/>
                <w:bCs/>
                <w:szCs w:val="24"/>
                <w:u w:val="single"/>
                <w:lang w:eastAsia="zh-CN"/>
              </w:rPr>
              <w:t>510112202100118</w:t>
            </w:r>
          </w:p>
          <w:p>
            <w:pPr>
              <w:ind w:firstLine="494"/>
              <w:rPr>
                <w:rFonts w:ascii="宋体" w:hAnsi="宋体"/>
                <w:b/>
                <w:szCs w:val="24"/>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r>
              <w:rPr>
                <w:rFonts w:hint="eastAsia" w:ascii="宋体" w:hAnsi="宋体"/>
                <w:szCs w:val="24"/>
                <w:u w:val="single"/>
              </w:rPr>
              <w:t xml:space="preserve">          </w:t>
            </w:r>
          </w:p>
          <w:p>
            <w:pPr>
              <w:ind w:firstLine="652"/>
              <w:jc w:val="center"/>
              <w:rPr>
                <w:rFonts w:ascii="宋体" w:hAnsi="宋体"/>
                <w:sz w:val="32"/>
                <w:szCs w:val="32"/>
              </w:rPr>
            </w:pPr>
            <w:r>
              <w:rPr>
                <w:rFonts w:hint="eastAsia" w:ascii="宋体" w:hAnsi="宋体"/>
                <w:sz w:val="32"/>
                <w:szCs w:val="32"/>
              </w:rPr>
              <w:t>资格性响应文件</w:t>
            </w:r>
          </w:p>
          <w:p>
            <w:pPr>
              <w:ind w:firstLine="652"/>
              <w:jc w:val="center"/>
              <w:rPr>
                <w:rFonts w:ascii="宋体" w:hAnsi="宋体"/>
                <w:sz w:val="32"/>
                <w:szCs w:val="32"/>
              </w:rPr>
            </w:pPr>
            <w:r>
              <w:rPr>
                <w:rFonts w:hint="eastAsia" w:ascii="宋体" w:hAnsi="宋体"/>
                <w:sz w:val="32"/>
                <w:szCs w:val="32"/>
              </w:rPr>
              <w:t>（正本或副本）</w:t>
            </w:r>
          </w:p>
          <w:p>
            <w:pPr>
              <w:pStyle w:val="2"/>
              <w:ind w:firstLine="492"/>
            </w:pPr>
          </w:p>
          <w:p>
            <w:pPr>
              <w:ind w:firstLine="1960" w:firstLineChars="800"/>
              <w:jc w:val="both"/>
              <w:rPr>
                <w:rFonts w:ascii="宋体" w:hAnsi="宋体"/>
                <w:szCs w:val="24"/>
              </w:rPr>
            </w:pPr>
            <w:r>
              <w:rPr>
                <w:rFonts w:hint="eastAsia" w:ascii="宋体" w:hAnsi="宋体"/>
                <w:szCs w:val="24"/>
              </w:rPr>
              <w:t>供应商名称：</w:t>
            </w:r>
            <w:r>
              <w:rPr>
                <w:rFonts w:hint="eastAsia" w:ascii="宋体" w:hAnsi="宋体"/>
                <w:bCs/>
                <w:szCs w:val="24"/>
                <w:u w:val="single"/>
              </w:rPr>
              <w:t xml:space="preserve">                       </w:t>
            </w:r>
            <w:r>
              <w:rPr>
                <w:rFonts w:hint="eastAsia" w:ascii="宋体" w:hAnsi="宋体"/>
                <w:szCs w:val="24"/>
              </w:rPr>
              <w:t>（加盖单位公章）</w:t>
            </w:r>
          </w:p>
          <w:p>
            <w:pPr>
              <w:pStyle w:val="26"/>
              <w:spacing w:after="0" w:line="360" w:lineRule="auto"/>
              <w:ind w:left="0" w:leftChars="0" w:firstLine="1960" w:firstLineChars="800"/>
              <w:rPr>
                <w:rFonts w:ascii="宋体" w:hAnsi="宋体"/>
                <w:sz w:val="28"/>
                <w:szCs w:val="28"/>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tc>
      </w:tr>
    </w:tbl>
    <w:p>
      <w:pPr>
        <w:ind w:firstLine="492"/>
      </w:pPr>
    </w:p>
    <w:p>
      <w:pPr>
        <w:spacing w:line="380" w:lineRule="exact"/>
        <w:ind w:firstLine="494"/>
        <w:rPr>
          <w:rFonts w:ascii="宋体" w:hAnsi="宋体"/>
          <w:b/>
          <w:szCs w:val="24"/>
        </w:rPr>
      </w:pPr>
      <w:r>
        <w:rPr>
          <w:rFonts w:hint="eastAsia" w:ascii="宋体" w:hAnsi="宋体"/>
          <w:b/>
          <w:szCs w:val="24"/>
        </w:rPr>
        <w:t>温馨提示：</w:t>
      </w:r>
    </w:p>
    <w:p>
      <w:pPr>
        <w:numPr>
          <w:ilvl w:val="0"/>
          <w:numId w:val="40"/>
        </w:numPr>
        <w:spacing w:line="380" w:lineRule="exact"/>
        <w:ind w:firstLine="494"/>
        <w:rPr>
          <w:rFonts w:ascii="宋体" w:hAnsi="宋体"/>
          <w:b/>
          <w:szCs w:val="24"/>
        </w:rPr>
      </w:pPr>
      <w:r>
        <w:rPr>
          <w:rFonts w:hint="eastAsia" w:ascii="宋体" w:hAnsi="宋体"/>
          <w:b/>
          <w:szCs w:val="24"/>
        </w:rPr>
        <w:t>资格性响应文件正本一份、副本二份；</w:t>
      </w:r>
    </w:p>
    <w:p>
      <w:pPr>
        <w:numPr>
          <w:ilvl w:val="0"/>
          <w:numId w:val="40"/>
        </w:numPr>
        <w:ind w:firstLine="494"/>
        <w:rPr>
          <w:rFonts w:ascii="宋体" w:hAnsi="宋体"/>
          <w:b/>
          <w:szCs w:val="24"/>
        </w:rPr>
      </w:pPr>
      <w:r>
        <w:rPr>
          <w:rFonts w:hint="eastAsia" w:ascii="宋体" w:hAnsi="宋体"/>
          <w:b/>
          <w:szCs w:val="24"/>
        </w:rPr>
        <w:t>资格性响应文件应单独密封包装，并于截止时间前送达指定地点。</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5"/>
        <w:ind w:left="322" w:firstLine="494" w:firstLineChars="0"/>
        <w:rPr>
          <w:color w:val="auto"/>
        </w:rPr>
      </w:pPr>
      <w:bookmarkStart w:id="226" w:name="_Toc14132"/>
      <w:r>
        <w:rPr>
          <w:rFonts w:hint="eastAsia"/>
          <w:color w:val="auto"/>
        </w:rPr>
        <w:t>投标函</w:t>
      </w:r>
      <w:bookmarkEnd w:id="226"/>
    </w:p>
    <w:p>
      <w:pPr>
        <w:pStyle w:val="26"/>
        <w:spacing w:after="0" w:line="500" w:lineRule="exact"/>
        <w:ind w:left="0" w:leftChars="0" w:firstLine="0" w:firstLineChars="0"/>
        <w:jc w:val="both"/>
        <w:rPr>
          <w:rFonts w:ascii="宋体" w:hAnsi="宋体"/>
          <w:bCs/>
          <w:szCs w:val="24"/>
        </w:rPr>
      </w:pPr>
      <w:r>
        <w:rPr>
          <w:rFonts w:hint="eastAsia" w:ascii="宋体" w:hAnsi="宋体"/>
          <w:bCs/>
          <w:szCs w:val="24"/>
        </w:rPr>
        <w:t>四川世科工程咨询有限公司：</w:t>
      </w:r>
    </w:p>
    <w:p>
      <w:pPr>
        <w:pStyle w:val="26"/>
        <w:spacing w:after="0" w:line="360" w:lineRule="auto"/>
        <w:ind w:left="0" w:leftChars="0" w:firstLine="492"/>
        <w:rPr>
          <w:rFonts w:ascii="宋体" w:hAnsi="宋体"/>
          <w:bCs/>
          <w:szCs w:val="24"/>
        </w:rPr>
      </w:pPr>
      <w:r>
        <w:rPr>
          <w:rFonts w:hint="eastAsia" w:ascii="宋体" w:hAnsi="宋体"/>
          <w:bCs/>
          <w:szCs w:val="24"/>
        </w:rPr>
        <w:t>我方全面研究了“</w:t>
      </w:r>
      <w:r>
        <w:rPr>
          <w:rFonts w:hint="eastAsia" w:ascii="宋体" w:hAnsi="宋体"/>
          <w:b/>
          <w:szCs w:val="24"/>
          <w:u w:val="single"/>
        </w:rPr>
        <w:t>成都市龙泉驿区水务局2021-2023年污泥处置服务采购项目</w:t>
      </w:r>
      <w:r>
        <w:rPr>
          <w:rFonts w:hint="eastAsia" w:ascii="宋体" w:hAnsi="宋体"/>
          <w:b/>
          <w:bCs/>
          <w:szCs w:val="24"/>
          <w:u w:val="single"/>
        </w:rPr>
        <w:t>”（项目编号：</w:t>
      </w:r>
      <w:r>
        <w:rPr>
          <w:rFonts w:hint="eastAsia" w:ascii="宋体" w:hAnsi="宋体"/>
          <w:b/>
          <w:bCs/>
          <w:szCs w:val="24"/>
          <w:u w:val="single"/>
          <w:lang w:eastAsia="zh-CN"/>
        </w:rPr>
        <w:t>510112202100118</w:t>
      </w:r>
      <w:r>
        <w:rPr>
          <w:rFonts w:hint="eastAsia" w:ascii="宋体" w:hAnsi="宋体"/>
          <w:b/>
          <w:bCs/>
          <w:szCs w:val="24"/>
        </w:rPr>
        <w:t>）</w:t>
      </w:r>
      <w:r>
        <w:rPr>
          <w:rFonts w:hint="eastAsia" w:ascii="宋体" w:hAnsi="宋体"/>
          <w:bCs/>
          <w:szCs w:val="24"/>
        </w:rPr>
        <w:t>招标文件，决定参加贵单位组织的本项目</w:t>
      </w:r>
      <w:r>
        <w:rPr>
          <w:rFonts w:hint="eastAsia" w:ascii="宋体" w:hAnsi="宋体"/>
          <w:b/>
          <w:szCs w:val="24"/>
        </w:rPr>
        <w:t>包件</w:t>
      </w:r>
      <w:r>
        <w:rPr>
          <w:rFonts w:hint="eastAsia" w:ascii="宋体" w:hAnsi="宋体"/>
          <w:b/>
          <w:szCs w:val="24"/>
          <w:u w:val="single"/>
        </w:rPr>
        <w:t xml:space="preserve"> </w:t>
      </w:r>
      <w:r>
        <w:rPr>
          <w:rFonts w:hint="eastAsia" w:ascii="宋体" w:hAnsi="宋体"/>
          <w:b/>
          <w:sz w:val="28"/>
          <w:szCs w:val="28"/>
          <w:u w:val="single"/>
        </w:rPr>
        <w:t xml:space="preserve">  </w:t>
      </w:r>
      <w:r>
        <w:rPr>
          <w:rFonts w:hint="eastAsia" w:ascii="宋体" w:hAnsi="宋体"/>
          <w:bCs/>
          <w:szCs w:val="24"/>
        </w:rPr>
        <w:t>的投标。我方授权</w:t>
      </w:r>
      <w:r>
        <w:rPr>
          <w:rFonts w:hint="eastAsia" w:ascii="宋体" w:hAnsi="宋体"/>
          <w:bCs/>
          <w:szCs w:val="24"/>
          <w:u w:val="single"/>
        </w:rPr>
        <w:t xml:space="preserve">       （姓名、职务）</w:t>
      </w:r>
      <w:r>
        <w:rPr>
          <w:rFonts w:hint="eastAsia" w:ascii="宋体" w:hAnsi="宋体"/>
          <w:bCs/>
          <w:szCs w:val="24"/>
        </w:rPr>
        <w:t xml:space="preserve">代表我方 </w:t>
      </w:r>
      <w:r>
        <w:rPr>
          <w:rFonts w:hint="eastAsia" w:ascii="宋体" w:hAnsi="宋体"/>
          <w:bCs/>
          <w:szCs w:val="24"/>
          <w:u w:val="single"/>
        </w:rPr>
        <w:t xml:space="preserve">     （投标人名称）</w:t>
      </w:r>
      <w:r>
        <w:rPr>
          <w:rFonts w:hint="eastAsia" w:ascii="宋体" w:hAnsi="宋体"/>
          <w:bCs/>
          <w:szCs w:val="24"/>
        </w:rPr>
        <w:t>全权处理本项目投标的有关事宜。</w:t>
      </w:r>
    </w:p>
    <w:p>
      <w:pPr>
        <w:numPr>
          <w:ilvl w:val="1"/>
          <w:numId w:val="41"/>
        </w:numPr>
        <w:tabs>
          <w:tab w:val="left" w:pos="1134"/>
        </w:tabs>
        <w:ind w:left="0" w:firstLine="492"/>
        <w:rPr>
          <w:rFonts w:ascii="宋体" w:hAnsi="宋体"/>
          <w:szCs w:val="24"/>
        </w:rPr>
      </w:pPr>
      <w:r>
        <w:rPr>
          <w:rFonts w:hint="eastAsia" w:ascii="宋体" w:hAnsi="宋体"/>
          <w:szCs w:val="24"/>
        </w:rPr>
        <w:t>我方自愿按照招标文件规定的各项要求向采购人提供所需货物及服务，</w:t>
      </w:r>
      <w:r>
        <w:rPr>
          <w:rFonts w:hint="eastAsia" w:ascii="宋体" w:hAnsi="宋体"/>
          <w:b/>
          <w:szCs w:val="24"/>
        </w:rPr>
        <w:t>投标报价以《开标一览表》为准</w:t>
      </w:r>
      <w:r>
        <w:rPr>
          <w:rFonts w:hint="eastAsia" w:ascii="宋体" w:hAnsi="宋体"/>
          <w:szCs w:val="24"/>
        </w:rPr>
        <w:t>。</w:t>
      </w:r>
    </w:p>
    <w:p>
      <w:pPr>
        <w:numPr>
          <w:ilvl w:val="1"/>
          <w:numId w:val="41"/>
        </w:numPr>
        <w:tabs>
          <w:tab w:val="left" w:pos="1134"/>
        </w:tabs>
        <w:ind w:left="0" w:firstLine="492"/>
        <w:rPr>
          <w:rFonts w:ascii="宋体" w:hAnsi="宋体"/>
          <w:szCs w:val="24"/>
        </w:rPr>
      </w:pPr>
      <w:r>
        <w:rPr>
          <w:rFonts w:hint="eastAsia" w:ascii="宋体" w:hAnsi="宋体"/>
          <w:szCs w:val="24"/>
        </w:rPr>
        <w:t>如果我方中标，我方将严格履行合同规定的责任和义务，否则将承担由此产生的一切责任。</w:t>
      </w:r>
    </w:p>
    <w:p>
      <w:pPr>
        <w:numPr>
          <w:ilvl w:val="1"/>
          <w:numId w:val="41"/>
        </w:numPr>
        <w:tabs>
          <w:tab w:val="left" w:pos="1134"/>
        </w:tabs>
        <w:ind w:left="0" w:firstLine="492"/>
        <w:rPr>
          <w:rFonts w:ascii="宋体" w:hAnsi="宋体"/>
          <w:szCs w:val="24"/>
        </w:rPr>
      </w:pPr>
      <w:r>
        <w:rPr>
          <w:rFonts w:hint="eastAsia" w:ascii="宋体" w:hAnsi="宋体"/>
          <w:szCs w:val="24"/>
        </w:rPr>
        <w:t>我方已知晓全部招标文件的内容，包括修改文件（如有）以及全部相关资料和有关附件，并对上述文件均无异议。</w:t>
      </w:r>
    </w:p>
    <w:p>
      <w:pPr>
        <w:numPr>
          <w:ilvl w:val="1"/>
          <w:numId w:val="41"/>
        </w:numPr>
        <w:tabs>
          <w:tab w:val="left" w:pos="1134"/>
        </w:tabs>
        <w:ind w:left="0" w:firstLine="492"/>
        <w:rPr>
          <w:rFonts w:ascii="宋体" w:hAnsi="宋体"/>
          <w:szCs w:val="24"/>
        </w:rPr>
      </w:pPr>
      <w:r>
        <w:rPr>
          <w:rFonts w:hint="eastAsia" w:ascii="宋体" w:hAnsi="宋体"/>
          <w:szCs w:val="24"/>
        </w:rPr>
        <w:t>我方同意本招标文件依据</w:t>
      </w:r>
      <w:r>
        <w:rPr>
          <w:rFonts w:hint="eastAsia"/>
        </w:rPr>
        <w:t>《四川省公共资源交易领域严重失信联合惩戒实施办法》（川发改信用规</w:t>
      </w:r>
      <w:r>
        <w:rPr>
          <w:rFonts w:hint="eastAsia" w:cs="宋体"/>
          <w:b w:val="0"/>
          <w:bCs w:val="0"/>
          <w:sz w:val="24"/>
          <w:szCs w:val="24"/>
        </w:rPr>
        <w:t>﹝201</w:t>
      </w:r>
      <w:r>
        <w:rPr>
          <w:rFonts w:hint="eastAsia" w:cs="宋体"/>
          <w:b w:val="0"/>
          <w:bCs w:val="0"/>
          <w:sz w:val="24"/>
          <w:szCs w:val="24"/>
          <w:lang w:val="en-US" w:eastAsia="zh-CN"/>
        </w:rPr>
        <w:t>9</w:t>
      </w:r>
      <w:r>
        <w:rPr>
          <w:rFonts w:hint="eastAsia" w:cs="宋体"/>
          <w:b w:val="0"/>
          <w:bCs w:val="0"/>
          <w:sz w:val="24"/>
          <w:szCs w:val="24"/>
        </w:rPr>
        <w:t>﹞</w:t>
      </w:r>
      <w:r>
        <w:rPr>
          <w:rFonts w:hint="eastAsia"/>
        </w:rPr>
        <w:t>405号）、《关于对政府采购领域严重违法失信主体开展联合惩戒的合作备案录》（发改财经</w:t>
      </w:r>
      <w:r>
        <w:rPr>
          <w:rFonts w:hint="eastAsia" w:cs="宋体"/>
          <w:b w:val="0"/>
          <w:bCs w:val="0"/>
          <w:sz w:val="24"/>
          <w:szCs w:val="24"/>
        </w:rPr>
        <w:t>﹝2018﹞</w:t>
      </w:r>
      <w:r>
        <w:rPr>
          <w:rFonts w:hint="eastAsia"/>
        </w:rPr>
        <w:t>1614号）等相关文件</w:t>
      </w:r>
      <w:r>
        <w:rPr>
          <w:rFonts w:hint="eastAsia" w:ascii="宋体" w:hAnsi="宋体"/>
          <w:szCs w:val="24"/>
        </w:rPr>
        <w:t>对我方可能存在的失信行为进行的惩戒。</w:t>
      </w:r>
    </w:p>
    <w:p>
      <w:pPr>
        <w:numPr>
          <w:ilvl w:val="1"/>
          <w:numId w:val="41"/>
        </w:numPr>
        <w:tabs>
          <w:tab w:val="left" w:pos="1134"/>
        </w:tabs>
        <w:ind w:left="0" w:firstLine="492"/>
        <w:rPr>
          <w:rFonts w:ascii="宋体" w:hAnsi="宋体"/>
          <w:szCs w:val="24"/>
        </w:rPr>
      </w:pPr>
      <w:r>
        <w:rPr>
          <w:rFonts w:hint="eastAsia" w:ascii="宋体" w:hAnsi="宋体"/>
          <w:szCs w:val="24"/>
        </w:rPr>
        <w:t>投标有效期为从投标截止之日起90天。</w:t>
      </w:r>
    </w:p>
    <w:p>
      <w:pPr>
        <w:numPr>
          <w:ilvl w:val="1"/>
          <w:numId w:val="41"/>
        </w:numPr>
        <w:tabs>
          <w:tab w:val="left" w:pos="1134"/>
        </w:tabs>
        <w:ind w:left="0" w:firstLine="492"/>
        <w:rPr>
          <w:rFonts w:ascii="宋体" w:hAnsi="宋体"/>
          <w:szCs w:val="24"/>
        </w:rPr>
      </w:pPr>
      <w:r>
        <w:rPr>
          <w:rFonts w:hint="eastAsia" w:ascii="宋体" w:hAnsi="宋体"/>
          <w:szCs w:val="24"/>
        </w:rPr>
        <w:t>我方承诺一旦我公司成为本项目中标供应商，将按照招标文件的规定向四川世科工程咨询有限公司缴纳代理服务费。</w:t>
      </w:r>
    </w:p>
    <w:p>
      <w:pPr>
        <w:numPr>
          <w:ilvl w:val="1"/>
          <w:numId w:val="41"/>
        </w:numPr>
        <w:tabs>
          <w:tab w:val="left" w:pos="1134"/>
        </w:tabs>
        <w:ind w:left="0" w:firstLine="492"/>
        <w:rPr>
          <w:rFonts w:ascii="宋体" w:hAnsi="宋体"/>
          <w:szCs w:val="24"/>
        </w:rPr>
      </w:pPr>
      <w:r>
        <w:rPr>
          <w:rFonts w:hint="eastAsia" w:ascii="宋体" w:hAnsi="宋体"/>
          <w:szCs w:val="24"/>
        </w:rPr>
        <w:t>我方愿意提供贵方可能另外要求的，与投标有关的文件资料，并保证我方已提供和将要提供的文件资料是真实、准确的，并对此承担一切法律后果。</w:t>
      </w:r>
    </w:p>
    <w:p>
      <w:pPr>
        <w:numPr>
          <w:ilvl w:val="1"/>
          <w:numId w:val="41"/>
        </w:numPr>
        <w:tabs>
          <w:tab w:val="left" w:pos="1134"/>
        </w:tabs>
        <w:ind w:left="0" w:firstLine="492"/>
        <w:rPr>
          <w:rFonts w:ascii="宋体" w:hAnsi="宋体"/>
          <w:szCs w:val="24"/>
        </w:rPr>
      </w:pPr>
      <w:r>
        <w:rPr>
          <w:rFonts w:hint="eastAsia" w:ascii="宋体" w:hAnsi="宋体"/>
          <w:szCs w:val="24"/>
        </w:rPr>
        <w:t>我单位联系方式：</w:t>
      </w:r>
    </w:p>
    <w:p>
      <w:pPr>
        <w:pStyle w:val="26"/>
        <w:spacing w:after="0" w:line="360" w:lineRule="auto"/>
        <w:ind w:left="0" w:leftChars="0" w:firstLine="492"/>
        <w:rPr>
          <w:rFonts w:ascii="宋体" w:hAnsi="宋体"/>
          <w:szCs w:val="24"/>
          <w:u w:val="single"/>
        </w:rPr>
      </w:pPr>
      <w:r>
        <w:rPr>
          <w:rFonts w:hint="eastAsia" w:ascii="宋体" w:hAnsi="宋体"/>
          <w:szCs w:val="24"/>
        </w:rPr>
        <w:t>地址：</w:t>
      </w:r>
      <w:r>
        <w:rPr>
          <w:rFonts w:hint="eastAsia" w:ascii="宋体" w:hAnsi="宋体"/>
          <w:szCs w:val="24"/>
          <w:u w:val="single"/>
        </w:rPr>
        <w:t xml:space="preserve">                </w:t>
      </w:r>
      <w:r>
        <w:rPr>
          <w:rFonts w:hint="eastAsia" w:ascii="宋体" w:hAnsi="宋体"/>
          <w:szCs w:val="24"/>
        </w:rPr>
        <w:t>传真：</w:t>
      </w:r>
      <w:r>
        <w:rPr>
          <w:rFonts w:hint="eastAsia" w:ascii="宋体" w:hAnsi="宋体"/>
          <w:szCs w:val="24"/>
          <w:u w:val="single"/>
        </w:rPr>
        <w:t xml:space="preserve">          </w:t>
      </w:r>
      <w:r>
        <w:rPr>
          <w:rFonts w:hint="eastAsia" w:ascii="宋体" w:hAnsi="宋体"/>
          <w:szCs w:val="24"/>
        </w:rPr>
        <w:t>邮政编码：</w:t>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 xml:space="preserve">  </w:t>
      </w:r>
      <w:r>
        <w:rPr>
          <w:rFonts w:hint="eastAsia" w:ascii="宋体" w:hAnsi="宋体"/>
          <w:szCs w:val="24"/>
          <w:u w:val="single"/>
        </w:rPr>
        <w:tab/>
      </w:r>
      <w:r>
        <w:rPr>
          <w:rFonts w:hint="eastAsia" w:ascii="宋体" w:hAnsi="宋体"/>
          <w:szCs w:val="24"/>
          <w:u w:val="single"/>
        </w:rPr>
        <w:tab/>
      </w: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pStyle w:val="26"/>
        <w:spacing w:after="0" w:line="500" w:lineRule="exact"/>
        <w:ind w:left="492" w:firstLine="492"/>
        <w:jc w:val="both"/>
        <w:rPr>
          <w:rFonts w:ascii="宋体" w:hAnsi="宋体"/>
          <w:bCs/>
          <w:szCs w:val="24"/>
        </w:rPr>
      </w:pPr>
      <w:r>
        <w:rPr>
          <w:rFonts w:hint="eastAsia" w:ascii="宋体" w:hAnsi="宋体"/>
          <w:bCs/>
          <w:szCs w:val="24"/>
        </w:rPr>
        <w:br w:type="page"/>
      </w:r>
    </w:p>
    <w:p>
      <w:pPr>
        <w:pStyle w:val="5"/>
        <w:ind w:left="322" w:firstLine="494" w:firstLineChars="0"/>
        <w:rPr>
          <w:color w:val="auto"/>
          <w:sz w:val="28"/>
        </w:rPr>
      </w:pPr>
      <w:bookmarkStart w:id="227" w:name="_Toc30172"/>
      <w:r>
        <w:rPr>
          <w:rFonts w:hint="eastAsia"/>
          <w:color w:val="auto"/>
        </w:rPr>
        <w:t>具有独立承担民事责任的能力证明材料</w:t>
      </w:r>
      <w:bookmarkEnd w:id="227"/>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ind w:firstLine="572"/>
        <w:rPr>
          <w:rFonts w:ascii="宋体" w:hAnsi="宋体"/>
          <w:sz w:val="28"/>
          <w:szCs w:val="28"/>
        </w:rPr>
      </w:pPr>
    </w:p>
    <w:p>
      <w:pPr>
        <w:pStyle w:val="2"/>
        <w:ind w:firstLine="572"/>
        <w:rPr>
          <w:rFonts w:ascii="宋体" w:hAnsi="宋体"/>
          <w:sz w:val="28"/>
          <w:szCs w:val="28"/>
        </w:rPr>
      </w:pPr>
    </w:p>
    <w:p>
      <w:pPr>
        <w:ind w:firstLine="572"/>
        <w:rPr>
          <w:rFonts w:ascii="宋体" w:hAnsi="宋体"/>
          <w:sz w:val="28"/>
          <w:szCs w:val="28"/>
        </w:rPr>
      </w:pPr>
    </w:p>
    <w:p>
      <w:pPr>
        <w:pStyle w:val="2"/>
        <w:ind w:firstLine="492"/>
      </w:pPr>
    </w:p>
    <w:p>
      <w:pPr>
        <w:pStyle w:val="5"/>
        <w:ind w:left="322" w:firstLine="494" w:firstLineChars="0"/>
        <w:rPr>
          <w:color w:val="auto"/>
        </w:rPr>
      </w:pPr>
      <w:bookmarkStart w:id="228" w:name="_Toc27818"/>
      <w:bookmarkStart w:id="229" w:name="_Toc26535"/>
      <w:r>
        <w:rPr>
          <w:rFonts w:hint="eastAsia" w:cs="宋体"/>
          <w:color w:val="auto"/>
          <w:szCs w:val="24"/>
        </w:rPr>
        <w:t>健全的财务会计制度的证明材料</w:t>
      </w:r>
    </w:p>
    <w:p>
      <w:pPr>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pPr>
    </w:p>
    <w:p>
      <w:pPr>
        <w:pStyle w:val="2"/>
        <w:ind w:firstLine="492"/>
        <w:rPr>
          <w:rFonts w:ascii="宋体" w:hAnsi="宋体" w:cs="宋体"/>
          <w:szCs w:val="24"/>
        </w:rPr>
      </w:pPr>
    </w:p>
    <w:p>
      <w:pPr>
        <w:pStyle w:val="5"/>
        <w:ind w:left="322" w:firstLine="494" w:firstLineChars="0"/>
        <w:rPr>
          <w:color w:val="auto"/>
        </w:rPr>
      </w:pPr>
      <w:r>
        <w:rPr>
          <w:rFonts w:hint="eastAsia"/>
          <w:color w:val="auto"/>
        </w:rPr>
        <w:t>投标人缴纳税收的证明材料</w:t>
      </w:r>
      <w:bookmarkEnd w:id="228"/>
    </w:p>
    <w:p>
      <w:pPr>
        <w:ind w:firstLine="492"/>
      </w:pPr>
    </w:p>
    <w:p>
      <w:pPr>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ind w:firstLine="492"/>
      </w:pPr>
    </w:p>
    <w:p>
      <w:pPr>
        <w:pStyle w:val="2"/>
        <w:ind w:firstLine="572"/>
        <w:rPr>
          <w:rFonts w:ascii="宋体" w:hAnsi="宋体" w:cs="宋体"/>
          <w:sz w:val="28"/>
          <w:szCs w:val="28"/>
          <w:shd w:val="clear" w:color="auto" w:fill="FFFFFF"/>
        </w:rPr>
      </w:pPr>
    </w:p>
    <w:p>
      <w:pPr>
        <w:ind w:firstLine="572"/>
        <w:rPr>
          <w:rFonts w:ascii="宋体" w:hAnsi="宋体" w:cs="宋体"/>
          <w:sz w:val="28"/>
          <w:szCs w:val="28"/>
          <w:shd w:val="clear" w:color="auto" w:fill="FFFFFF"/>
        </w:rPr>
      </w:pPr>
    </w:p>
    <w:p>
      <w:pPr>
        <w:pStyle w:val="2"/>
        <w:ind w:firstLine="492"/>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2"/>
        <w:ind w:firstLine="572"/>
        <w:rPr>
          <w:rFonts w:ascii="宋体" w:hAnsi="宋体" w:cs="宋体"/>
          <w:sz w:val="28"/>
          <w:szCs w:val="28"/>
          <w:shd w:val="clear" w:color="auto" w:fill="FFFFFF"/>
        </w:rPr>
      </w:pPr>
    </w:p>
    <w:p>
      <w:pPr>
        <w:pStyle w:val="5"/>
        <w:ind w:left="322" w:firstLine="494" w:firstLineChars="0"/>
        <w:rPr>
          <w:color w:val="auto"/>
        </w:rPr>
      </w:pPr>
      <w:r>
        <w:rPr>
          <w:rFonts w:hint="eastAsia"/>
          <w:color w:val="auto"/>
        </w:rPr>
        <w:t xml:space="preserve"> </w:t>
      </w:r>
      <w:bookmarkStart w:id="230" w:name="_Toc21408"/>
      <w:r>
        <w:rPr>
          <w:rFonts w:hint="eastAsia"/>
          <w:color w:val="auto"/>
        </w:rPr>
        <w:t>投标人缴纳社会保障资金的证明材料</w:t>
      </w:r>
      <w:bookmarkEnd w:id="230"/>
    </w:p>
    <w:p>
      <w:pPr>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pStyle w:val="2"/>
        <w:ind w:firstLine="572"/>
        <w:rPr>
          <w:rFonts w:ascii="宋体" w:hAnsi="宋体"/>
          <w:sz w:val="28"/>
          <w:szCs w:val="28"/>
        </w:rPr>
      </w:pPr>
    </w:p>
    <w:p>
      <w:pPr>
        <w:ind w:firstLine="492"/>
      </w:pPr>
    </w:p>
    <w:p>
      <w:pPr>
        <w:ind w:firstLine="492"/>
      </w:pPr>
      <w:r>
        <w:rPr>
          <w:rFonts w:hint="eastAsia"/>
        </w:rPr>
        <w:br w:type="page"/>
      </w:r>
    </w:p>
    <w:p>
      <w:pPr>
        <w:pStyle w:val="5"/>
        <w:ind w:left="322" w:firstLine="494" w:firstLineChars="0"/>
        <w:rPr>
          <w:color w:val="auto"/>
        </w:rPr>
      </w:pPr>
      <w:bookmarkStart w:id="231" w:name="_Toc20876"/>
      <w:r>
        <w:rPr>
          <w:rFonts w:hint="eastAsia"/>
          <w:color w:val="auto"/>
        </w:rPr>
        <w:t>承诺</w:t>
      </w:r>
      <w:bookmarkEnd w:id="231"/>
      <w:r>
        <w:rPr>
          <w:rFonts w:hint="eastAsia"/>
          <w:color w:val="auto"/>
        </w:rPr>
        <w:t>函</w:t>
      </w:r>
    </w:p>
    <w:p>
      <w:pPr>
        <w:ind w:firstLine="0" w:firstLineChars="0"/>
        <w:rPr>
          <w:rFonts w:ascii="宋体" w:hAnsi="宋体"/>
          <w:szCs w:val="24"/>
        </w:rPr>
      </w:pPr>
      <w:r>
        <w:rPr>
          <w:rFonts w:hint="eastAsia" w:ascii="宋体" w:hAnsi="宋体"/>
          <w:b/>
          <w:bCs/>
          <w:szCs w:val="24"/>
        </w:rPr>
        <w:t>四川世科工程咨询有限公司：</w:t>
      </w:r>
    </w:p>
    <w:p>
      <w:pPr>
        <w:ind w:firstLine="492"/>
        <w:rPr>
          <w:rFonts w:ascii="宋体" w:hAnsi="宋体"/>
          <w:szCs w:val="24"/>
        </w:rPr>
      </w:pPr>
      <w:r>
        <w:rPr>
          <w:rFonts w:hint="eastAsia" w:ascii="宋体" w:hAnsi="宋体"/>
          <w:szCs w:val="24"/>
        </w:rPr>
        <w:t>我公司作为本次采购项目的投标人，根据招标文件的要求，在此郑重承诺：</w:t>
      </w:r>
    </w:p>
    <w:p>
      <w:pPr>
        <w:numPr>
          <w:ilvl w:val="0"/>
          <w:numId w:val="42"/>
        </w:numPr>
        <w:ind w:firstLine="492"/>
        <w:rPr>
          <w:rFonts w:ascii="宋体" w:hAnsi="宋体"/>
          <w:szCs w:val="24"/>
        </w:rPr>
      </w:pPr>
      <w:r>
        <w:rPr>
          <w:rFonts w:hint="eastAsia" w:ascii="宋体" w:hAnsi="宋体"/>
          <w:szCs w:val="24"/>
        </w:rPr>
        <w:t>我公司具有良好的商业信誉。</w:t>
      </w:r>
    </w:p>
    <w:p>
      <w:pPr>
        <w:pStyle w:val="2"/>
        <w:numPr>
          <w:ilvl w:val="0"/>
          <w:numId w:val="42"/>
        </w:numPr>
        <w:spacing w:line="360" w:lineRule="auto"/>
        <w:ind w:firstLine="492"/>
      </w:pPr>
      <w:r>
        <w:rPr>
          <w:rFonts w:hint="eastAsia"/>
        </w:rPr>
        <w:t>我公司具有履行合同所必须的设备和专业技术能力。</w:t>
      </w:r>
    </w:p>
    <w:p>
      <w:pPr>
        <w:pStyle w:val="2"/>
        <w:numPr>
          <w:ilvl w:val="0"/>
          <w:numId w:val="42"/>
        </w:numPr>
        <w:spacing w:line="360" w:lineRule="auto"/>
        <w:ind w:firstLine="492"/>
        <w:rPr>
          <w:rFonts w:ascii="宋体" w:hAnsi="宋体"/>
          <w:szCs w:val="24"/>
        </w:rPr>
      </w:pPr>
      <w:r>
        <w:rPr>
          <w:rFonts w:hint="eastAsia" w:ascii="宋体" w:hAnsi="宋体"/>
          <w:szCs w:val="24"/>
        </w:rPr>
        <w:t>我公司参加政府采购活动前三年内（成立不足三年的，从成立之日起算），在经营活动中无重大违法记录。（</w:t>
      </w:r>
      <w:r>
        <w:rPr>
          <w:rFonts w:hint="eastAsia" w:ascii="宋体" w:hAnsi="宋体" w:cs="宋体"/>
          <w:szCs w:val="24"/>
        </w:rPr>
        <w:t>重大违法记录是指投标人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组织的违法行为处以罚款或者没收财产2万元以上；对在经营活动中的违法行为 处以罚款或者没收财产5万元以上。国务院有关部门规定的较大数额标准低于前款规定的，从其规定。)</w:t>
      </w:r>
    </w:p>
    <w:p>
      <w:pPr>
        <w:numPr>
          <w:ilvl w:val="0"/>
          <w:numId w:val="42"/>
        </w:numPr>
        <w:ind w:firstLine="492"/>
        <w:rPr>
          <w:rFonts w:ascii="宋体" w:hAnsi="宋体"/>
          <w:szCs w:val="24"/>
        </w:rPr>
      </w:pPr>
      <w:r>
        <w:rPr>
          <w:rFonts w:hint="eastAsia" w:ascii="宋体" w:hAnsi="宋体"/>
          <w:szCs w:val="24"/>
        </w:rPr>
        <w:t>我公司及我公司法定代表人或主要负责人</w:t>
      </w:r>
      <w:r>
        <w:rPr>
          <w:rFonts w:hint="eastAsia" w:ascii="宋体" w:hAnsi="宋体" w:cs="宋体"/>
          <w:szCs w:val="24"/>
        </w:rPr>
        <w:t>不具有行贿犯罪记录</w:t>
      </w:r>
      <w:r>
        <w:rPr>
          <w:rFonts w:hint="eastAsia" w:ascii="宋体" w:hAnsi="宋体"/>
          <w:szCs w:val="24"/>
        </w:rPr>
        <w:t>。</w:t>
      </w:r>
    </w:p>
    <w:p>
      <w:pPr>
        <w:numPr>
          <w:ilvl w:val="0"/>
          <w:numId w:val="42"/>
        </w:numPr>
        <w:ind w:firstLine="492"/>
      </w:pPr>
      <w: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numPr>
          <w:ilvl w:val="0"/>
          <w:numId w:val="42"/>
        </w:numPr>
        <w:ind w:firstLine="492"/>
        <w:rPr>
          <w:rFonts w:ascii="宋体" w:hAnsi="宋体"/>
          <w:szCs w:val="24"/>
        </w:rPr>
      </w:pPr>
      <w:r>
        <w:rPr>
          <w:rFonts w:hint="eastAsia" w:ascii="宋体" w:hAnsi="宋体"/>
          <w:szCs w:val="24"/>
        </w:rPr>
        <w:t>参加本次采购活动，我公司不存在和其他供应商在同一合同项下的采购项目中，同时委托同一个自然人、同一家庭的人员、同一单位的人员作为代理人的行为。</w:t>
      </w:r>
    </w:p>
    <w:p>
      <w:pPr>
        <w:numPr>
          <w:ilvl w:val="0"/>
          <w:numId w:val="42"/>
        </w:numPr>
        <w:ind w:firstLine="492"/>
        <w:rPr>
          <w:rFonts w:ascii="宋体" w:hAnsi="宋体"/>
          <w:szCs w:val="24"/>
        </w:rPr>
      </w:pPr>
      <w:r>
        <w:rPr>
          <w:rFonts w:hint="eastAsia" w:ascii="宋体" w:hAnsi="宋体"/>
          <w:szCs w:val="24"/>
        </w:rPr>
        <w:t>参加本次采购活动，我公司不存在与单位负责人为同一人或者存在直接控股、管理关系的其他供应商参与同一合同项下的政府采购活动的行为。</w:t>
      </w:r>
    </w:p>
    <w:p>
      <w:pPr>
        <w:numPr>
          <w:ilvl w:val="0"/>
          <w:numId w:val="42"/>
        </w:numPr>
        <w:ind w:firstLine="492"/>
        <w:rPr>
          <w:rFonts w:ascii="宋体" w:hAnsi="宋体"/>
          <w:szCs w:val="24"/>
        </w:rPr>
      </w:pPr>
      <w:r>
        <w:rPr>
          <w:rFonts w:hint="eastAsia" w:ascii="宋体" w:hAnsi="宋体"/>
          <w:szCs w:val="24"/>
        </w:rPr>
        <w:t>我公司没有为本项目提供过整体设计、规范编制或者项目管理、监理、检测等服务。</w:t>
      </w:r>
    </w:p>
    <w:p>
      <w:pPr>
        <w:numPr>
          <w:ilvl w:val="0"/>
          <w:numId w:val="42"/>
        </w:numPr>
        <w:ind w:firstLine="492"/>
        <w:rPr>
          <w:rFonts w:ascii="宋体" w:hAnsi="宋体"/>
        </w:rPr>
      </w:pPr>
      <w:r>
        <w:rPr>
          <w:rFonts w:hint="eastAsia" w:ascii="宋体" w:hAnsi="宋体"/>
        </w:rPr>
        <w:t>我公司如果有</w:t>
      </w:r>
      <w:r>
        <w:rPr>
          <w:rFonts w:hint="eastAsia"/>
        </w:rPr>
        <w:t>《四川省公共资源交易领域严重失信联合惩戒实施办法》（川发改信用规</w:t>
      </w:r>
      <w:r>
        <w:rPr>
          <w:rFonts w:hint="eastAsia" w:cs="宋体"/>
          <w:b w:val="0"/>
          <w:bCs w:val="0"/>
          <w:sz w:val="24"/>
          <w:szCs w:val="24"/>
        </w:rPr>
        <w:t>﹝201</w:t>
      </w:r>
      <w:r>
        <w:rPr>
          <w:rFonts w:hint="eastAsia" w:cs="宋体"/>
          <w:b w:val="0"/>
          <w:bCs w:val="0"/>
          <w:sz w:val="24"/>
          <w:szCs w:val="24"/>
          <w:lang w:val="en-US" w:eastAsia="zh-CN"/>
        </w:rPr>
        <w:t>9</w:t>
      </w:r>
      <w:r>
        <w:rPr>
          <w:rFonts w:hint="eastAsia" w:cs="宋体"/>
          <w:b w:val="0"/>
          <w:bCs w:val="0"/>
          <w:sz w:val="24"/>
          <w:szCs w:val="24"/>
        </w:rPr>
        <w:t>﹞</w:t>
      </w:r>
      <w:r>
        <w:rPr>
          <w:rFonts w:hint="eastAsia"/>
        </w:rPr>
        <w:t>405号）、《关于对政府采购领域严重违法失信主体开展联合惩戒的合作备案录》（发改财经</w:t>
      </w:r>
      <w:r>
        <w:rPr>
          <w:rFonts w:hint="eastAsia" w:cs="宋体"/>
          <w:b w:val="0"/>
          <w:bCs w:val="0"/>
          <w:sz w:val="24"/>
          <w:szCs w:val="24"/>
        </w:rPr>
        <w:t>﹝2018﹞</w:t>
      </w:r>
      <w:r>
        <w:rPr>
          <w:rFonts w:hint="eastAsia"/>
        </w:rPr>
        <w:t>1614号）</w:t>
      </w:r>
      <w:r>
        <w:rPr>
          <w:rFonts w:hint="eastAsia" w:ascii="宋体" w:hAnsi="宋体"/>
        </w:rPr>
        <w:t>规定的失信行为，将在</w:t>
      </w:r>
      <w:r>
        <w:rPr>
          <w:rFonts w:hint="eastAsia" w:ascii="宋体" w:hAnsi="宋体"/>
          <w:lang w:val="en-US" w:eastAsia="zh-CN"/>
        </w:rPr>
        <w:t>投标</w:t>
      </w:r>
      <w:r>
        <w:rPr>
          <w:rFonts w:hint="eastAsia" w:ascii="宋体" w:hAnsi="宋体"/>
        </w:rPr>
        <w:t>文件中全面如实反映。</w:t>
      </w:r>
    </w:p>
    <w:p>
      <w:pPr>
        <w:numPr>
          <w:ilvl w:val="0"/>
          <w:numId w:val="42"/>
        </w:numPr>
        <w:ind w:firstLine="492"/>
        <w:rPr>
          <w:rFonts w:ascii="宋体" w:hAnsi="宋体"/>
          <w:szCs w:val="24"/>
        </w:rPr>
      </w:pPr>
      <w:r>
        <w:rPr>
          <w:rFonts w:hint="eastAsia" w:ascii="宋体" w:hAnsi="宋体"/>
          <w:szCs w:val="24"/>
        </w:rPr>
        <w:t>我公司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numPr>
          <w:ilvl w:val="0"/>
          <w:numId w:val="42"/>
        </w:numPr>
        <w:ind w:firstLine="492"/>
        <w:rPr>
          <w:rFonts w:ascii="宋体" w:hAnsi="宋体"/>
          <w:szCs w:val="24"/>
        </w:rPr>
      </w:pPr>
      <w:r>
        <w:rPr>
          <w:rFonts w:hint="eastAsia" w:ascii="宋体" w:hAnsi="宋体"/>
          <w:szCs w:val="24"/>
        </w:rPr>
        <w:t>采购人享有本项目实施过程中产生的知识成果及知识产权。</w:t>
      </w:r>
    </w:p>
    <w:p>
      <w:pPr>
        <w:numPr>
          <w:ilvl w:val="0"/>
          <w:numId w:val="42"/>
        </w:numPr>
        <w:ind w:firstLine="492"/>
        <w:rPr>
          <w:rFonts w:ascii="宋体" w:hAnsi="宋体"/>
          <w:szCs w:val="24"/>
        </w:rPr>
      </w:pPr>
      <w:r>
        <w:rPr>
          <w:rFonts w:hint="eastAsia" w:ascii="宋体" w:hAnsi="宋体"/>
          <w:szCs w:val="24"/>
        </w:rPr>
        <w:t>我公司如欲在项目实施过程中采用自有知识成果，将在投标文件中声明，并提供相关知识产权证明文件。使用该知识成果后，我公司将提供开发接口和开发手册等技术文档，并提供无限期技术支持，采购人享有永久使用权（含采购人委托第三方在该项目后续开发的使用权）。</w:t>
      </w:r>
    </w:p>
    <w:p>
      <w:pPr>
        <w:numPr>
          <w:ilvl w:val="0"/>
          <w:numId w:val="42"/>
        </w:numPr>
        <w:ind w:firstLine="492"/>
      </w:pPr>
      <w:r>
        <w:rPr>
          <w:rFonts w:hint="eastAsia" w:ascii="宋体" w:hAnsi="宋体"/>
          <w:szCs w:val="24"/>
        </w:rPr>
        <w:t xml:space="preserve">如采用我公司所不拥有的知识产权的产品，则在投标报价中已包括合法获取该知识产权的相关费用。 </w:t>
      </w:r>
    </w:p>
    <w:p>
      <w:pPr>
        <w:pStyle w:val="2"/>
        <w:numPr>
          <w:ilvl w:val="0"/>
          <w:numId w:val="42"/>
        </w:numPr>
        <w:spacing w:line="360" w:lineRule="auto"/>
        <w:ind w:firstLine="492"/>
        <w:rPr>
          <w:rFonts w:ascii="宋体" w:hAnsi="宋体"/>
          <w:szCs w:val="24"/>
        </w:rPr>
      </w:pPr>
      <w:r>
        <w:rPr>
          <w:rFonts w:hint="eastAsia" w:ascii="宋体" w:hAnsi="宋体"/>
          <w:szCs w:val="24"/>
        </w:rPr>
        <w:t>我公司符合法律、行政法规规定的其他条件。</w:t>
      </w:r>
    </w:p>
    <w:p>
      <w:pPr>
        <w:ind w:firstLine="492"/>
        <w:rPr>
          <w:rFonts w:ascii="宋体" w:hAnsi="宋体"/>
          <w:szCs w:val="24"/>
        </w:rPr>
      </w:pPr>
      <w:r>
        <w:rPr>
          <w:rFonts w:hint="eastAsia" w:ascii="宋体" w:hAnsi="宋体"/>
          <w:szCs w:val="24"/>
        </w:rPr>
        <w:t>如违反以上承诺，本公司愿承担一切法律责任。</w:t>
      </w:r>
    </w:p>
    <w:p>
      <w:pPr>
        <w:pStyle w:val="2"/>
        <w:spacing w:line="360" w:lineRule="auto"/>
        <w:ind w:firstLine="492"/>
        <w:rPr>
          <w:szCs w:val="24"/>
        </w:rPr>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pStyle w:val="26"/>
        <w:spacing w:after="0" w:line="360" w:lineRule="auto"/>
        <w:ind w:left="0" w:leftChars="0" w:firstLine="492"/>
        <w:rPr>
          <w:rFonts w:ascii="宋体" w:hAnsi="宋体"/>
          <w:bCs/>
          <w:sz w:val="28"/>
          <w:szCs w:val="28"/>
          <w:u w:val="single"/>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p>
      <w:pPr>
        <w:ind w:firstLine="492"/>
      </w:pPr>
    </w:p>
    <w:p>
      <w:pPr>
        <w:pStyle w:val="2"/>
        <w:spacing w:line="480" w:lineRule="exact"/>
        <w:ind w:firstLine="572"/>
        <w:jc w:val="both"/>
        <w:rPr>
          <w:rFonts w:ascii="宋体" w:hAnsi="宋体"/>
          <w:bCs/>
          <w:sz w:val="28"/>
        </w:rPr>
      </w:pPr>
    </w:p>
    <w:p>
      <w:pPr>
        <w:pStyle w:val="2"/>
        <w:spacing w:line="480" w:lineRule="exact"/>
        <w:ind w:firstLine="572"/>
        <w:jc w:val="both"/>
        <w:rPr>
          <w:rFonts w:ascii="宋体" w:hAnsi="宋体"/>
          <w:bCs/>
          <w:sz w:val="28"/>
        </w:rPr>
      </w:pPr>
    </w:p>
    <w:bookmarkEnd w:id="229"/>
    <w:p>
      <w:pPr>
        <w:pStyle w:val="5"/>
        <w:ind w:left="322" w:firstLine="494" w:firstLineChars="0"/>
        <w:rPr>
          <w:color w:val="auto"/>
        </w:rPr>
      </w:pPr>
      <w:bookmarkStart w:id="232" w:name="_Toc16526"/>
      <w:r>
        <w:rPr>
          <w:rFonts w:hint="eastAsia"/>
          <w:color w:val="auto"/>
        </w:rPr>
        <w:t>法定代表人身份证明书</w:t>
      </w:r>
      <w:bookmarkEnd w:id="232"/>
    </w:p>
    <w:p>
      <w:pPr>
        <w:tabs>
          <w:tab w:val="left" w:pos="6300"/>
        </w:tabs>
        <w:ind w:firstLine="572"/>
        <w:rPr>
          <w:rFonts w:ascii="宋体" w:hAnsi="宋体"/>
          <w:sz w:val="28"/>
          <w:u w:val="single"/>
          <w:lang w:val="zh-CN"/>
        </w:rPr>
      </w:pPr>
    </w:p>
    <w:p>
      <w:pPr>
        <w:tabs>
          <w:tab w:val="left" w:pos="6300"/>
        </w:tabs>
        <w:ind w:firstLine="492"/>
        <w:rPr>
          <w:rFonts w:ascii="宋体" w:hAnsi="宋体"/>
          <w:szCs w:val="24"/>
          <w:lang w:val="zh-CN"/>
        </w:rPr>
      </w:pPr>
      <w:r>
        <w:rPr>
          <w:rFonts w:hint="eastAsia" w:ascii="宋体" w:hAnsi="宋体"/>
          <w:szCs w:val="24"/>
          <w:u w:val="single"/>
          <w:lang w:val="zh-CN"/>
        </w:rPr>
        <w:t xml:space="preserve">   （法定代表人姓名）         </w:t>
      </w:r>
      <w:r>
        <w:rPr>
          <w:rFonts w:hint="eastAsia" w:ascii="宋体" w:hAnsi="宋体"/>
          <w:szCs w:val="24"/>
          <w:lang w:val="zh-CN"/>
        </w:rPr>
        <w:t>在</w:t>
      </w:r>
      <w:r>
        <w:rPr>
          <w:rFonts w:hint="eastAsia" w:ascii="宋体" w:hAnsi="宋体"/>
          <w:szCs w:val="24"/>
          <w:u w:val="single"/>
          <w:lang w:val="zh-CN"/>
        </w:rPr>
        <w:t xml:space="preserve">          （投标人名称）  </w:t>
      </w:r>
      <w:r>
        <w:rPr>
          <w:rFonts w:hint="eastAsia" w:ascii="宋体" w:hAnsi="宋体"/>
          <w:szCs w:val="24"/>
          <w:lang w:val="zh-CN"/>
        </w:rPr>
        <w:t>处 任</w:t>
      </w:r>
      <w:r>
        <w:rPr>
          <w:rFonts w:hint="eastAsia" w:ascii="宋体" w:hAnsi="宋体"/>
          <w:szCs w:val="24"/>
          <w:u w:val="single"/>
          <w:lang w:val="zh-CN"/>
        </w:rPr>
        <w:t xml:space="preserve">         （职务名称）        </w:t>
      </w:r>
      <w:r>
        <w:rPr>
          <w:rFonts w:hint="eastAsia" w:ascii="宋体" w:hAnsi="宋体"/>
          <w:szCs w:val="24"/>
          <w:lang w:val="zh-CN"/>
        </w:rPr>
        <w:t>职务，是</w:t>
      </w:r>
      <w:r>
        <w:rPr>
          <w:rFonts w:hint="eastAsia" w:ascii="宋体" w:hAnsi="宋体"/>
          <w:szCs w:val="24"/>
          <w:u w:val="single"/>
          <w:lang w:val="zh-CN"/>
        </w:rPr>
        <w:t xml:space="preserve">      （投标人名称）    </w:t>
      </w:r>
      <w:r>
        <w:rPr>
          <w:rFonts w:hint="eastAsia" w:ascii="宋体" w:hAnsi="宋体"/>
          <w:szCs w:val="24"/>
          <w:lang w:val="zh-CN"/>
        </w:rPr>
        <w:t>的法定代表人。</w:t>
      </w: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r>
        <w:rPr>
          <w:rFonts w:hint="eastAsia" w:ascii="宋体" w:hAnsi="宋体"/>
          <w:szCs w:val="24"/>
          <w:lang w:val="zh-CN"/>
        </w:rPr>
        <w:t>特此证明。</w:t>
      </w: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p>
    <w:p>
      <w:pPr>
        <w:tabs>
          <w:tab w:val="left" w:pos="6300"/>
        </w:tabs>
        <w:ind w:firstLine="492"/>
        <w:rPr>
          <w:rFonts w:ascii="宋体" w:hAnsi="宋体"/>
          <w:szCs w:val="24"/>
          <w:lang w:val="zh-CN"/>
        </w:rPr>
      </w:pPr>
    </w:p>
    <w:p>
      <w:pPr>
        <w:ind w:firstLine="492"/>
        <w:rPr>
          <w:rFonts w:ascii="宋体" w:hAnsi="宋体"/>
          <w:szCs w:val="24"/>
          <w:lang w:val="zh-CN"/>
        </w:rPr>
      </w:pPr>
      <w:r>
        <w:rPr>
          <w:rFonts w:hint="eastAsia" w:ascii="宋体" w:hAnsi="宋体"/>
          <w:szCs w:val="24"/>
          <w:lang w:val="zh-CN"/>
        </w:rPr>
        <w:t>投标人名称：</w:t>
      </w:r>
      <w:r>
        <w:rPr>
          <w:rFonts w:hint="eastAsia" w:ascii="宋体" w:hAnsi="宋体"/>
          <w:bCs/>
          <w:szCs w:val="24"/>
          <w:u w:val="single"/>
        </w:rPr>
        <w:t xml:space="preserve">                       </w:t>
      </w:r>
      <w:r>
        <w:rPr>
          <w:rFonts w:hint="eastAsia" w:ascii="宋体" w:hAnsi="宋体"/>
          <w:szCs w:val="24"/>
          <w:lang w:val="zh-CN"/>
        </w:rPr>
        <w:t>（加盖单位公章）</w:t>
      </w:r>
    </w:p>
    <w:p>
      <w:pPr>
        <w:pStyle w:val="26"/>
        <w:spacing w:after="0" w:line="360" w:lineRule="auto"/>
        <w:ind w:left="0" w:leftChars="0"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ind w:firstLine="492"/>
      </w:pPr>
    </w:p>
    <w:p>
      <w:pPr>
        <w:pStyle w:val="14"/>
        <w:spacing w:after="0" w:line="360" w:lineRule="auto"/>
        <w:ind w:firstLine="494"/>
        <w:rPr>
          <w:rFonts w:ascii="宋体" w:hAnsi="宋体" w:cs="宋体"/>
          <w:b/>
          <w:szCs w:val="24"/>
        </w:rPr>
      </w:pPr>
      <w:r>
        <w:rPr>
          <w:rFonts w:hint="eastAsia" w:ascii="宋体" w:hAnsi="宋体"/>
          <w:b/>
          <w:szCs w:val="24"/>
        </w:rPr>
        <w:t>注：后附法定代表人身份证复印件（身份证两面均应复印）或护照复印件（供应商的法定代表人为外籍人士的，则提供护照复印件），复印件加盖单位公章。</w:t>
      </w:r>
      <w:r>
        <w:rPr>
          <w:rFonts w:hint="eastAsia" w:ascii="宋体" w:hAnsi="宋体" w:cs="宋体"/>
          <w:b/>
          <w:szCs w:val="24"/>
        </w:rPr>
        <w:t>供应商为自然人无须提供身份证明书，仅提供身份证复印件或护照复印件。</w:t>
      </w: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14"/>
        <w:spacing w:after="0" w:line="360" w:lineRule="auto"/>
        <w:ind w:firstLine="494"/>
        <w:rPr>
          <w:rFonts w:ascii="宋体" w:hAnsi="宋体"/>
          <w:b/>
          <w:szCs w:val="24"/>
        </w:rPr>
      </w:pPr>
    </w:p>
    <w:p>
      <w:pPr>
        <w:pStyle w:val="5"/>
        <w:ind w:left="322" w:firstLine="494" w:firstLineChars="0"/>
        <w:rPr>
          <w:color w:val="auto"/>
        </w:rPr>
      </w:pPr>
      <w:bookmarkStart w:id="233" w:name="_Toc30122"/>
      <w:r>
        <w:rPr>
          <w:rFonts w:hint="eastAsia"/>
          <w:color w:val="auto"/>
        </w:rPr>
        <w:t>法定代表人授权委托书</w:t>
      </w:r>
      <w:bookmarkEnd w:id="233"/>
    </w:p>
    <w:p>
      <w:pPr>
        <w:ind w:firstLine="492"/>
      </w:pPr>
    </w:p>
    <w:p>
      <w:pPr>
        <w:ind w:firstLine="0" w:firstLineChars="0"/>
        <w:rPr>
          <w:rFonts w:ascii="宋体" w:hAnsi="宋体"/>
          <w:szCs w:val="24"/>
        </w:rPr>
      </w:pPr>
      <w:r>
        <w:rPr>
          <w:rFonts w:hint="eastAsia" w:ascii="宋体" w:hAnsi="宋体"/>
          <w:szCs w:val="24"/>
        </w:rPr>
        <w:t>四川世科工程咨询有限公司：</w:t>
      </w:r>
    </w:p>
    <w:p>
      <w:pPr>
        <w:ind w:firstLine="492"/>
        <w:rPr>
          <w:rFonts w:ascii="宋体" w:hAnsi="宋体"/>
          <w:szCs w:val="24"/>
        </w:rPr>
      </w:pPr>
      <w:r>
        <w:rPr>
          <w:rFonts w:hint="eastAsia" w:ascii="宋体" w:hAnsi="宋体"/>
          <w:szCs w:val="24"/>
          <w:u w:val="single"/>
        </w:rPr>
        <w:t xml:space="preserve">        （投标人名称）</w:t>
      </w:r>
      <w:r>
        <w:rPr>
          <w:rFonts w:hint="eastAsia" w:ascii="宋体" w:hAnsi="宋体"/>
          <w:szCs w:val="24"/>
        </w:rPr>
        <w:t>法定代表人____________ 授权委托___________</w:t>
      </w:r>
      <w:r>
        <w:rPr>
          <w:rFonts w:hint="eastAsia" w:ascii="宋体" w:hAnsi="宋体"/>
          <w:szCs w:val="24"/>
          <w:u w:val="single"/>
        </w:rPr>
        <w:t xml:space="preserve"> </w:t>
      </w:r>
      <w:r>
        <w:rPr>
          <w:rFonts w:hint="eastAsia" w:ascii="宋体" w:hAnsi="宋体"/>
          <w:szCs w:val="24"/>
        </w:rPr>
        <w:t>为我的代理人，参加贵单位组织的</w:t>
      </w:r>
      <w:r>
        <w:rPr>
          <w:rFonts w:hint="eastAsia" w:ascii="宋体" w:hAnsi="宋体"/>
          <w:b/>
          <w:szCs w:val="24"/>
          <w:u w:val="single"/>
        </w:rPr>
        <w:t>成都市龙泉驿区水务局2021-2023年污泥处置服务采购项目</w:t>
      </w:r>
      <w:r>
        <w:rPr>
          <w:rFonts w:hint="eastAsia" w:ascii="宋体" w:hAnsi="宋体"/>
          <w:b/>
          <w:szCs w:val="24"/>
        </w:rPr>
        <w:t>（项目编号：</w:t>
      </w:r>
      <w:r>
        <w:rPr>
          <w:rFonts w:hint="eastAsia" w:ascii="宋体" w:hAnsi="宋体" w:cs="宋体"/>
          <w:b/>
          <w:kern w:val="0"/>
          <w:szCs w:val="24"/>
          <w:u w:val="single"/>
          <w:lang w:eastAsia="zh-CN"/>
        </w:rPr>
        <w:t>510112202100118</w:t>
      </w:r>
      <w:r>
        <w:rPr>
          <w:rFonts w:hint="eastAsia" w:ascii="宋体" w:hAnsi="宋体"/>
          <w:b/>
          <w:szCs w:val="24"/>
        </w:rPr>
        <w:t>）包件</w:t>
      </w:r>
      <w:r>
        <w:rPr>
          <w:rFonts w:hint="eastAsia" w:ascii="宋体" w:hAnsi="宋体"/>
          <w:b/>
          <w:szCs w:val="24"/>
          <w:u w:val="single"/>
        </w:rPr>
        <w:t xml:space="preserve"> </w:t>
      </w:r>
      <w:r>
        <w:rPr>
          <w:rFonts w:hint="eastAsia" w:ascii="宋体" w:hAnsi="宋体"/>
          <w:b/>
          <w:sz w:val="28"/>
          <w:szCs w:val="28"/>
          <w:u w:val="single"/>
        </w:rPr>
        <w:t xml:space="preserve">  </w:t>
      </w:r>
      <w:r>
        <w:rPr>
          <w:rFonts w:hint="eastAsia" w:ascii="宋体" w:hAnsi="宋体"/>
          <w:szCs w:val="24"/>
        </w:rPr>
        <w:t>的投标。代理人在本次招标中所签署的一切文件和处理的一切有关事宜，我公司均予承认，所产生的法律后果均由我单位承担。</w:t>
      </w:r>
    </w:p>
    <w:p>
      <w:pPr>
        <w:ind w:firstLine="492"/>
        <w:rPr>
          <w:rFonts w:ascii="宋体" w:hAnsi="宋体"/>
          <w:szCs w:val="24"/>
        </w:rPr>
      </w:pPr>
      <w:r>
        <w:rPr>
          <w:rFonts w:hint="eastAsia" w:ascii="宋体" w:hAnsi="宋体"/>
          <w:szCs w:val="24"/>
        </w:rPr>
        <w:t>代理人无转委托权，本授权书自</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日签字生效，特此声明。</w:t>
      </w:r>
    </w:p>
    <w:p>
      <w:pPr>
        <w:pStyle w:val="23"/>
        <w:ind w:firstLine="492"/>
        <w:rPr>
          <w:rFonts w:hAnsi="宋体"/>
          <w:sz w:val="24"/>
          <w:szCs w:val="24"/>
        </w:rPr>
      </w:pPr>
    </w:p>
    <w:p>
      <w:pPr>
        <w:ind w:firstLine="492"/>
        <w:rPr>
          <w:rFonts w:ascii="宋体" w:hAnsi="宋体"/>
          <w:szCs w:val="24"/>
        </w:rPr>
      </w:pPr>
      <w:r>
        <w:rPr>
          <w:rFonts w:hint="eastAsia" w:ascii="宋体" w:hAnsi="宋体"/>
          <w:szCs w:val="24"/>
        </w:rPr>
        <w:t>法定代表人：</w:t>
      </w:r>
      <w:r>
        <w:rPr>
          <w:rFonts w:hint="eastAsia" w:ascii="宋体" w:hAnsi="宋体"/>
          <w:bCs/>
          <w:szCs w:val="24"/>
          <w:u w:val="single"/>
        </w:rPr>
        <w:t xml:space="preserve">               </w:t>
      </w:r>
      <w:r>
        <w:rPr>
          <w:rFonts w:hint="eastAsia" w:ascii="宋体" w:hAnsi="宋体"/>
          <w:szCs w:val="24"/>
        </w:rPr>
        <w:t>（签字或盖法定代表人印章）</w:t>
      </w:r>
    </w:p>
    <w:p>
      <w:pPr>
        <w:ind w:firstLine="492"/>
        <w:rPr>
          <w:rFonts w:ascii="宋体" w:hAnsi="宋体"/>
          <w:szCs w:val="24"/>
        </w:rPr>
      </w:pPr>
    </w:p>
    <w:p>
      <w:pPr>
        <w:pStyle w:val="23"/>
        <w:ind w:firstLine="492"/>
        <w:rPr>
          <w:rFonts w:hAnsi="宋体"/>
          <w:sz w:val="24"/>
          <w:szCs w:val="24"/>
        </w:rPr>
      </w:pPr>
      <w:r>
        <w:rPr>
          <w:rFonts w:hint="eastAsia" w:hAnsi="宋体"/>
          <w:sz w:val="24"/>
          <w:szCs w:val="24"/>
        </w:rPr>
        <w:t>代理人：</w:t>
      </w:r>
      <w:r>
        <w:rPr>
          <w:rFonts w:hint="eastAsia" w:hAnsi="宋体"/>
          <w:bCs/>
          <w:sz w:val="24"/>
          <w:szCs w:val="24"/>
          <w:u w:val="single"/>
        </w:rPr>
        <w:t xml:space="preserve">               </w:t>
      </w:r>
      <w:r>
        <w:rPr>
          <w:rFonts w:hint="eastAsia" w:hAnsi="宋体"/>
          <w:sz w:val="24"/>
          <w:szCs w:val="24"/>
        </w:rPr>
        <w:t>（签字）</w:t>
      </w:r>
    </w:p>
    <w:p>
      <w:pPr>
        <w:ind w:firstLine="492"/>
        <w:rPr>
          <w:rFonts w:ascii="宋体" w:hAnsi="宋体"/>
          <w:szCs w:val="24"/>
        </w:rPr>
      </w:pPr>
    </w:p>
    <w:p>
      <w:pPr>
        <w:ind w:firstLine="492"/>
        <w:rPr>
          <w:rFonts w:ascii="宋体" w:hAnsi="宋体"/>
          <w:szCs w:val="24"/>
        </w:rPr>
      </w:pPr>
      <w:r>
        <w:rPr>
          <w:rFonts w:hint="eastAsia" w:ascii="宋体" w:hAnsi="宋体"/>
          <w:szCs w:val="24"/>
        </w:rPr>
        <w:t>投标人名称：</w:t>
      </w:r>
      <w:r>
        <w:rPr>
          <w:rFonts w:hint="eastAsia" w:ascii="宋体" w:hAnsi="宋体"/>
          <w:bCs/>
          <w:szCs w:val="24"/>
          <w:u w:val="single"/>
        </w:rPr>
        <w:t xml:space="preserve">                       </w:t>
      </w:r>
      <w:r>
        <w:rPr>
          <w:rFonts w:hint="eastAsia" w:ascii="宋体" w:hAnsi="宋体"/>
          <w:szCs w:val="24"/>
        </w:rPr>
        <w:t>（加盖单位公章）</w:t>
      </w:r>
    </w:p>
    <w:p>
      <w:pPr>
        <w:ind w:firstLine="492"/>
        <w:rPr>
          <w:rFonts w:ascii="宋体" w:hAnsi="宋体"/>
          <w:szCs w:val="24"/>
        </w:rPr>
      </w:pPr>
    </w:p>
    <w:p>
      <w:pPr>
        <w:pStyle w:val="26"/>
        <w:spacing w:after="0" w:line="360" w:lineRule="auto"/>
        <w:ind w:left="0" w:leftChars="0" w:firstLine="494"/>
        <w:rPr>
          <w:rFonts w:ascii="宋体" w:hAnsi="宋体"/>
          <w:b/>
          <w:szCs w:val="24"/>
        </w:rPr>
      </w:pPr>
      <w:r>
        <w:rPr>
          <w:rFonts w:hint="eastAsia" w:ascii="宋体" w:hAnsi="宋体"/>
          <w:b/>
          <w:szCs w:val="24"/>
          <w:lang w:val="zh-CN"/>
        </w:rPr>
        <w:t>注：</w:t>
      </w:r>
      <w:r>
        <w:rPr>
          <w:rFonts w:hint="eastAsia" w:ascii="宋体" w:hAnsi="宋体"/>
          <w:b/>
          <w:szCs w:val="24"/>
        </w:rPr>
        <w:t>1、后</w:t>
      </w:r>
      <w:r>
        <w:rPr>
          <w:rFonts w:ascii="宋体" w:hAnsi="宋体"/>
          <w:b/>
          <w:szCs w:val="24"/>
          <w:lang w:val="zh-CN"/>
        </w:rPr>
        <w:t>附代理人身份证复印件（身份证</w:t>
      </w:r>
      <w:r>
        <w:rPr>
          <w:rFonts w:hint="eastAsia" w:ascii="宋体" w:hAnsi="宋体"/>
          <w:b/>
          <w:szCs w:val="24"/>
          <w:lang w:val="zh-CN"/>
        </w:rPr>
        <w:t>两面均应复印</w:t>
      </w:r>
      <w:r>
        <w:rPr>
          <w:rFonts w:ascii="宋体" w:hAnsi="宋体"/>
          <w:b/>
          <w:szCs w:val="24"/>
          <w:lang w:val="zh-CN"/>
        </w:rPr>
        <w:t>）</w:t>
      </w:r>
      <w:r>
        <w:rPr>
          <w:rFonts w:hint="eastAsia" w:ascii="宋体" w:hAnsi="宋体"/>
          <w:b/>
          <w:szCs w:val="24"/>
          <w:lang w:val="zh-CN"/>
        </w:rPr>
        <w:t>并</w:t>
      </w:r>
      <w:r>
        <w:rPr>
          <w:rFonts w:hint="eastAsia" w:ascii="宋体" w:hAnsi="宋体"/>
          <w:b/>
          <w:szCs w:val="24"/>
        </w:rPr>
        <w:t>加盖单位公章</w:t>
      </w:r>
      <w:r>
        <w:rPr>
          <w:rFonts w:ascii="宋体" w:hAnsi="宋体"/>
          <w:b/>
          <w:szCs w:val="24"/>
        </w:rPr>
        <w:t>。</w:t>
      </w:r>
    </w:p>
    <w:p>
      <w:pPr>
        <w:pStyle w:val="26"/>
        <w:spacing w:after="0" w:line="360" w:lineRule="auto"/>
        <w:ind w:left="0" w:leftChars="0" w:firstLine="494"/>
        <w:rPr>
          <w:rFonts w:ascii="宋体" w:hAnsi="宋体"/>
          <w:b/>
          <w:szCs w:val="24"/>
        </w:rPr>
      </w:pPr>
      <w:r>
        <w:rPr>
          <w:rFonts w:hint="eastAsia" w:ascii="宋体" w:hAnsi="宋体"/>
          <w:b/>
          <w:szCs w:val="24"/>
          <w:lang w:val="zh-CN"/>
        </w:rPr>
        <w:t>2、</w:t>
      </w:r>
      <w:r>
        <w:rPr>
          <w:rFonts w:hint="eastAsia" w:ascii="宋体" w:hAnsi="宋体"/>
          <w:b/>
          <w:szCs w:val="24"/>
        </w:rPr>
        <w:t>供应商的投标文件均由供应商法定代表人签字的，可不提供该附件的内容。</w:t>
      </w:r>
    </w:p>
    <w:p>
      <w:pPr>
        <w:pStyle w:val="26"/>
        <w:spacing w:after="0" w:line="360" w:lineRule="auto"/>
        <w:ind w:left="0" w:leftChars="0" w:firstLine="494"/>
        <w:rPr>
          <w:rFonts w:ascii="宋体" w:hAnsi="宋体"/>
          <w:b/>
          <w:szCs w:val="24"/>
        </w:rPr>
      </w:pPr>
      <w:r>
        <w:rPr>
          <w:rFonts w:hint="eastAsia" w:ascii="宋体" w:hAnsi="宋体"/>
          <w:b/>
          <w:szCs w:val="24"/>
        </w:rPr>
        <w:br w:type="page"/>
      </w:r>
    </w:p>
    <w:p>
      <w:pPr>
        <w:pStyle w:val="4"/>
      </w:pPr>
      <w:bookmarkStart w:id="234" w:name="_Toc16091"/>
      <w:bookmarkStart w:id="235" w:name="_Toc20588"/>
      <w:bookmarkStart w:id="236" w:name="_Toc2536"/>
      <w:bookmarkStart w:id="237" w:name="_Toc734"/>
      <w:r>
        <w:rPr>
          <w:rFonts w:hint="eastAsia"/>
        </w:rPr>
        <w:t>技术、服务性响应文件</w:t>
      </w:r>
      <w:bookmarkEnd w:id="234"/>
      <w:bookmarkEnd w:id="235"/>
      <w:bookmarkEnd w:id="236"/>
      <w:bookmarkEnd w:id="237"/>
    </w:p>
    <w:p>
      <w:pPr>
        <w:pStyle w:val="5"/>
        <w:ind w:left="322" w:firstLine="494" w:firstLineChars="0"/>
        <w:rPr>
          <w:color w:val="auto"/>
        </w:rPr>
      </w:pPr>
      <w:bookmarkStart w:id="238" w:name="_Toc14598"/>
      <w:r>
        <w:rPr>
          <w:rFonts w:hint="eastAsia"/>
          <w:color w:val="auto"/>
        </w:rPr>
        <w:t>技术、服务性响应件密封包装最外层格式</w:t>
      </w:r>
      <w:bookmarkEnd w:id="238"/>
    </w:p>
    <w:tbl>
      <w:tblPr>
        <w:tblStyle w:val="43"/>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309" w:type="dxa"/>
          </w:tcPr>
          <w:p>
            <w:pPr>
              <w:ind w:firstLine="494"/>
              <w:rPr>
                <w:rFonts w:ascii="宋体" w:hAnsi="宋体"/>
                <w:b/>
                <w:szCs w:val="24"/>
                <w:u w:val="single"/>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ind w:firstLine="494"/>
              <w:rPr>
                <w:rFonts w:hint="eastAsia" w:ascii="宋体" w:hAnsi="宋体" w:eastAsia="宋体"/>
                <w:b/>
                <w:bCs/>
                <w:szCs w:val="24"/>
                <w:u w:val="single"/>
                <w:lang w:eastAsia="zh-CN"/>
              </w:rPr>
            </w:pPr>
            <w:r>
              <w:rPr>
                <w:rFonts w:hint="eastAsia" w:ascii="宋体" w:hAnsi="宋体"/>
                <w:b/>
                <w:szCs w:val="21"/>
              </w:rPr>
              <w:t>项目编号</w:t>
            </w:r>
            <w:r>
              <w:rPr>
                <w:rFonts w:hint="eastAsia" w:ascii="宋体" w:hAnsi="宋体"/>
                <w:b/>
                <w:szCs w:val="24"/>
              </w:rPr>
              <w:t>：</w:t>
            </w:r>
            <w:r>
              <w:rPr>
                <w:rFonts w:hint="eastAsia" w:ascii="宋体" w:hAnsi="宋体"/>
                <w:b/>
                <w:bCs/>
                <w:szCs w:val="24"/>
                <w:u w:val="single"/>
                <w:lang w:eastAsia="zh-CN"/>
              </w:rPr>
              <w:t>510112202100118</w:t>
            </w:r>
          </w:p>
          <w:p>
            <w:pPr>
              <w:ind w:firstLine="494"/>
              <w:rPr>
                <w:rFonts w:ascii="宋体" w:hAnsi="宋体"/>
                <w:b/>
                <w:sz w:val="28"/>
                <w:szCs w:val="28"/>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p>
            <w:pPr>
              <w:ind w:firstLine="652"/>
              <w:jc w:val="center"/>
              <w:rPr>
                <w:rFonts w:ascii="宋体" w:hAnsi="宋体"/>
                <w:sz w:val="32"/>
                <w:szCs w:val="32"/>
              </w:rPr>
            </w:pPr>
            <w:r>
              <w:rPr>
                <w:rFonts w:hint="eastAsia" w:ascii="宋体" w:hAnsi="宋体"/>
                <w:sz w:val="32"/>
                <w:szCs w:val="32"/>
              </w:rPr>
              <w:t>技术、服务性响应文件</w:t>
            </w:r>
          </w:p>
          <w:p>
            <w:pPr>
              <w:ind w:firstLine="572"/>
              <w:jc w:val="center"/>
              <w:rPr>
                <w:rFonts w:ascii="宋体" w:hAnsi="宋体"/>
                <w:sz w:val="28"/>
                <w:szCs w:val="28"/>
              </w:rPr>
            </w:pPr>
          </w:p>
          <w:p>
            <w:pPr>
              <w:ind w:firstLine="492"/>
              <w:rPr>
                <w:rFonts w:ascii="宋体" w:hAnsi="宋体"/>
                <w:szCs w:val="24"/>
              </w:rPr>
            </w:pPr>
            <w:r>
              <w:rPr>
                <w:rFonts w:hint="eastAsia" w:ascii="宋体" w:hAnsi="宋体"/>
                <w:szCs w:val="24"/>
              </w:rPr>
              <w:t>供应商名称：</w:t>
            </w:r>
            <w:r>
              <w:rPr>
                <w:rFonts w:hint="eastAsia" w:ascii="宋体" w:hAnsi="宋体"/>
                <w:bCs/>
                <w:szCs w:val="24"/>
                <w:u w:val="single"/>
              </w:rPr>
              <w:t xml:space="preserve">                       </w:t>
            </w:r>
            <w:r>
              <w:rPr>
                <w:rFonts w:hint="eastAsia" w:ascii="宋体" w:hAnsi="宋体"/>
                <w:szCs w:val="24"/>
              </w:rPr>
              <w:t>（加盖单位公章）</w:t>
            </w:r>
          </w:p>
          <w:p>
            <w:pPr>
              <w:ind w:firstLine="492"/>
              <w:rPr>
                <w:rFonts w:ascii="宋体" w:hAnsi="宋体"/>
                <w:b/>
                <w:sz w:val="28"/>
                <w:szCs w:val="28"/>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tc>
      </w:tr>
    </w:tbl>
    <w:p>
      <w:pPr>
        <w:pStyle w:val="5"/>
        <w:tabs>
          <w:tab w:val="left" w:pos="709"/>
        </w:tabs>
        <w:ind w:left="1457" w:firstLine="494" w:firstLineChars="0"/>
        <w:rPr>
          <w:color w:val="auto"/>
        </w:rPr>
      </w:pPr>
      <w:bookmarkStart w:id="239" w:name="_Toc30033"/>
      <w:r>
        <w:rPr>
          <w:rFonts w:hint="eastAsia"/>
          <w:color w:val="auto"/>
        </w:rPr>
        <w:t>技术、服务性响应文件封面格式</w:t>
      </w:r>
      <w:bookmarkEnd w:id="239"/>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szCs w:val="24"/>
                <w:u w:val="single"/>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ind w:firstLine="494"/>
              <w:rPr>
                <w:rFonts w:ascii="宋体" w:hAnsi="宋体"/>
                <w:b/>
                <w:sz w:val="28"/>
                <w:szCs w:val="28"/>
              </w:rPr>
            </w:pPr>
            <w:r>
              <w:rPr>
                <w:rFonts w:hint="eastAsia" w:ascii="宋体" w:hAnsi="宋体"/>
                <w:b/>
                <w:szCs w:val="21"/>
              </w:rPr>
              <w:t>项目编号</w:t>
            </w:r>
            <w:r>
              <w:rPr>
                <w:rFonts w:hint="eastAsia" w:ascii="宋体" w:hAnsi="宋体"/>
                <w:b/>
                <w:szCs w:val="24"/>
              </w:rPr>
              <w:t>：</w:t>
            </w:r>
            <w:r>
              <w:rPr>
                <w:rFonts w:hint="eastAsia" w:ascii="宋体" w:hAnsi="宋体"/>
                <w:b/>
                <w:bCs/>
                <w:szCs w:val="24"/>
                <w:u w:val="single"/>
                <w:lang w:eastAsia="zh-CN"/>
              </w:rPr>
              <w:t>510112202100118</w:t>
            </w:r>
            <w:r>
              <w:rPr>
                <w:rFonts w:hint="eastAsia" w:ascii="宋体" w:hAnsi="宋体"/>
                <w:spacing w:val="6"/>
                <w:sz w:val="28"/>
                <w:szCs w:val="28"/>
                <w:u w:val="single"/>
              </w:rPr>
              <w:t xml:space="preserve">   </w:t>
            </w:r>
          </w:p>
          <w:p>
            <w:pPr>
              <w:ind w:firstLine="494"/>
              <w:rPr>
                <w:rFonts w:ascii="宋体" w:hAnsi="宋体"/>
                <w:sz w:val="28"/>
                <w:szCs w:val="28"/>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p>
            <w:pPr>
              <w:ind w:firstLine="652"/>
              <w:jc w:val="center"/>
              <w:rPr>
                <w:rFonts w:ascii="宋体" w:hAnsi="宋体"/>
                <w:sz w:val="32"/>
                <w:szCs w:val="32"/>
              </w:rPr>
            </w:pPr>
            <w:r>
              <w:rPr>
                <w:rFonts w:hint="eastAsia" w:ascii="宋体" w:hAnsi="宋体"/>
                <w:sz w:val="32"/>
                <w:szCs w:val="32"/>
              </w:rPr>
              <w:t>技术、服务性响应文件</w:t>
            </w:r>
          </w:p>
          <w:p>
            <w:pPr>
              <w:ind w:firstLine="652"/>
              <w:jc w:val="center"/>
              <w:rPr>
                <w:rFonts w:ascii="宋体" w:hAnsi="宋体"/>
                <w:sz w:val="32"/>
                <w:szCs w:val="32"/>
              </w:rPr>
            </w:pPr>
            <w:r>
              <w:rPr>
                <w:rFonts w:hint="eastAsia" w:ascii="宋体" w:hAnsi="宋体"/>
                <w:sz w:val="32"/>
                <w:szCs w:val="32"/>
              </w:rPr>
              <w:t>（正本或副本）</w:t>
            </w:r>
          </w:p>
          <w:p>
            <w:pPr>
              <w:pStyle w:val="2"/>
              <w:ind w:firstLine="492"/>
              <w:rPr>
                <w:rFonts w:ascii="宋体" w:hAnsi="宋体"/>
                <w:szCs w:val="24"/>
              </w:rPr>
            </w:pPr>
          </w:p>
          <w:p>
            <w:pPr>
              <w:pStyle w:val="2"/>
              <w:ind w:firstLine="492"/>
              <w:rPr>
                <w:rFonts w:ascii="宋体" w:hAnsi="宋体"/>
                <w:szCs w:val="24"/>
              </w:rPr>
            </w:pPr>
          </w:p>
          <w:p>
            <w:pPr>
              <w:ind w:firstLine="492"/>
              <w:rPr>
                <w:rFonts w:ascii="宋体" w:hAnsi="宋体"/>
                <w:szCs w:val="24"/>
              </w:rPr>
            </w:pPr>
            <w:r>
              <w:rPr>
                <w:rFonts w:hint="eastAsia" w:ascii="宋体" w:hAnsi="宋体"/>
                <w:szCs w:val="24"/>
              </w:rPr>
              <w:t>供应商名称：</w:t>
            </w:r>
            <w:r>
              <w:rPr>
                <w:rFonts w:hint="eastAsia" w:ascii="宋体" w:hAnsi="宋体"/>
                <w:bCs/>
                <w:szCs w:val="24"/>
                <w:u w:val="single"/>
              </w:rPr>
              <w:t xml:space="preserve">                       </w:t>
            </w:r>
            <w:r>
              <w:rPr>
                <w:rFonts w:hint="eastAsia" w:ascii="宋体" w:hAnsi="宋体"/>
                <w:spacing w:val="6"/>
                <w:szCs w:val="24"/>
              </w:rPr>
              <w:t xml:space="preserve"> </w:t>
            </w:r>
            <w:r>
              <w:rPr>
                <w:rFonts w:hint="eastAsia" w:ascii="宋体" w:hAnsi="宋体"/>
                <w:szCs w:val="24"/>
              </w:rPr>
              <w:t>（加盖单位公章）</w:t>
            </w:r>
          </w:p>
          <w:p>
            <w:pPr>
              <w:ind w:firstLine="492"/>
              <w:jc w:val="both"/>
              <w:rPr>
                <w:rFonts w:ascii="宋体" w:hAnsi="宋体"/>
                <w:sz w:val="28"/>
                <w:szCs w:val="28"/>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tc>
      </w:tr>
    </w:tbl>
    <w:p>
      <w:pPr>
        <w:ind w:firstLine="494"/>
        <w:rPr>
          <w:rFonts w:ascii="宋体" w:hAnsi="宋体"/>
          <w:b/>
          <w:szCs w:val="24"/>
        </w:rPr>
      </w:pPr>
      <w:r>
        <w:rPr>
          <w:rFonts w:hint="eastAsia" w:ascii="宋体" w:hAnsi="宋体"/>
          <w:b/>
          <w:szCs w:val="24"/>
        </w:rPr>
        <w:t>温馨提示：</w:t>
      </w:r>
    </w:p>
    <w:p>
      <w:pPr>
        <w:ind w:firstLine="494"/>
        <w:rPr>
          <w:rFonts w:ascii="宋体" w:hAnsi="宋体"/>
          <w:b/>
          <w:szCs w:val="24"/>
        </w:rPr>
      </w:pPr>
      <w:r>
        <w:rPr>
          <w:rFonts w:hint="eastAsia" w:ascii="宋体" w:hAnsi="宋体"/>
          <w:b/>
          <w:szCs w:val="24"/>
        </w:rPr>
        <w:t>1.技术、服务性响应文件正本一份、副本二份；</w:t>
      </w:r>
    </w:p>
    <w:p>
      <w:pPr>
        <w:ind w:firstLine="494"/>
        <w:rPr>
          <w:rFonts w:ascii="宋体" w:hAnsi="宋体"/>
          <w:b/>
          <w:szCs w:val="24"/>
        </w:rPr>
      </w:pPr>
      <w:r>
        <w:rPr>
          <w:rFonts w:hint="eastAsia" w:ascii="宋体" w:hAnsi="宋体"/>
          <w:b/>
          <w:szCs w:val="24"/>
        </w:rPr>
        <w:t>2.技术、服务性响应文件应单独密封包装，并于截止时间前送</w:t>
      </w:r>
      <w:r>
        <w:rPr>
          <w:rFonts w:hint="eastAsia" w:ascii="宋体" w:hAnsi="宋体"/>
          <w:b/>
          <w:szCs w:val="24"/>
          <w:lang w:val="en-US" w:eastAsia="zh-CN"/>
        </w:rPr>
        <w:t>达</w:t>
      </w:r>
      <w:r>
        <w:rPr>
          <w:rFonts w:hint="eastAsia" w:ascii="宋体" w:hAnsi="宋体"/>
          <w:b/>
          <w:szCs w:val="24"/>
        </w:rPr>
        <w:t>指定地点。</w:t>
      </w:r>
    </w:p>
    <w:p>
      <w:pPr>
        <w:pStyle w:val="2"/>
        <w:ind w:firstLine="494"/>
        <w:rPr>
          <w:rFonts w:ascii="宋体" w:hAnsi="宋体"/>
          <w:b/>
          <w:szCs w:val="24"/>
        </w:rPr>
      </w:pPr>
    </w:p>
    <w:p>
      <w:pPr>
        <w:pStyle w:val="2"/>
        <w:ind w:firstLine="494"/>
        <w:rPr>
          <w:rFonts w:ascii="宋体" w:hAnsi="宋体"/>
          <w:b/>
          <w:szCs w:val="24"/>
        </w:rPr>
      </w:pPr>
    </w:p>
    <w:p>
      <w:pPr>
        <w:pStyle w:val="2"/>
        <w:ind w:firstLine="494"/>
        <w:rPr>
          <w:rFonts w:ascii="宋体" w:hAnsi="宋体"/>
          <w:b/>
          <w:szCs w:val="24"/>
        </w:rPr>
      </w:pPr>
    </w:p>
    <w:p>
      <w:pPr>
        <w:pStyle w:val="2"/>
        <w:ind w:firstLine="494"/>
        <w:rPr>
          <w:rFonts w:ascii="宋体" w:hAnsi="宋体"/>
          <w:b/>
          <w:szCs w:val="24"/>
        </w:rPr>
      </w:pPr>
    </w:p>
    <w:p>
      <w:pPr>
        <w:pStyle w:val="2"/>
        <w:ind w:firstLine="494"/>
        <w:rPr>
          <w:rFonts w:ascii="宋体" w:hAnsi="宋体"/>
          <w:b/>
          <w:szCs w:val="24"/>
        </w:rPr>
      </w:pPr>
    </w:p>
    <w:p>
      <w:pPr>
        <w:pStyle w:val="2"/>
        <w:ind w:firstLine="494"/>
        <w:rPr>
          <w:rFonts w:ascii="宋体" w:hAnsi="宋体"/>
          <w:b/>
          <w:szCs w:val="24"/>
        </w:rPr>
      </w:pPr>
    </w:p>
    <w:bookmarkEnd w:id="222"/>
    <w:p>
      <w:pPr>
        <w:pStyle w:val="5"/>
        <w:pageBreakBefore w:val="0"/>
        <w:widowControl w:val="0"/>
        <w:kinsoku/>
        <w:wordWrap/>
        <w:overflowPunct/>
        <w:topLinePunct w:val="0"/>
        <w:autoSpaceDE/>
        <w:autoSpaceDN/>
        <w:bidi w:val="0"/>
        <w:adjustRightInd/>
        <w:spacing w:line="360" w:lineRule="auto"/>
        <w:ind w:left="322" w:firstLine="494" w:firstLineChars="0"/>
        <w:textAlignment w:val="auto"/>
        <w:rPr>
          <w:color w:val="auto"/>
          <w:highlight w:val="none"/>
        </w:rPr>
      </w:pPr>
      <w:bookmarkStart w:id="240" w:name="_Toc8633"/>
      <w:r>
        <w:rPr>
          <w:rFonts w:hint="eastAsia"/>
          <w:color w:val="auto"/>
          <w:highlight w:val="none"/>
        </w:rPr>
        <w:t>开标一览表</w:t>
      </w:r>
      <w:bookmarkEnd w:id="240"/>
    </w:p>
    <w:p>
      <w:pPr>
        <w:pageBreakBefore w:val="0"/>
        <w:widowControl w:val="0"/>
        <w:kinsoku/>
        <w:wordWrap/>
        <w:overflowPunct/>
        <w:topLinePunct w:val="0"/>
        <w:autoSpaceDE/>
        <w:autoSpaceDN/>
        <w:bidi w:val="0"/>
        <w:adjustRightInd/>
        <w:spacing w:line="360" w:lineRule="auto"/>
        <w:ind w:firstLine="494"/>
        <w:textAlignment w:val="auto"/>
        <w:rPr>
          <w:b/>
          <w:bCs/>
          <w:highlight w:val="none"/>
        </w:rPr>
      </w:pPr>
    </w:p>
    <w:p>
      <w:pPr>
        <w:pageBreakBefore w:val="0"/>
        <w:widowControl w:val="0"/>
        <w:kinsoku/>
        <w:wordWrap/>
        <w:overflowPunct/>
        <w:topLinePunct w:val="0"/>
        <w:autoSpaceDE/>
        <w:autoSpaceDN/>
        <w:bidi w:val="0"/>
        <w:adjustRightInd/>
        <w:spacing w:line="360" w:lineRule="auto"/>
        <w:ind w:firstLine="494"/>
        <w:textAlignment w:val="auto"/>
        <w:rPr>
          <w:b/>
          <w:bCs/>
          <w:highlight w:val="none"/>
          <w:u w:val="single"/>
        </w:rPr>
      </w:pPr>
      <w:bookmarkStart w:id="241" w:name="_Toc5012"/>
      <w:bookmarkStart w:id="242" w:name="_Toc239846734"/>
      <w:bookmarkStart w:id="243" w:name="_Toc239849853"/>
      <w:bookmarkStart w:id="244" w:name="_Toc314574804"/>
      <w:bookmarkStart w:id="245" w:name="_Toc237145395"/>
      <w:bookmarkStart w:id="246" w:name="_Toc240367172"/>
      <w:bookmarkStart w:id="247" w:name="_Toc265494342"/>
      <w:bookmarkStart w:id="248" w:name="_Toc229802674"/>
      <w:bookmarkStart w:id="249" w:name="_Toc240865266"/>
      <w:bookmarkStart w:id="250" w:name="_Toc231030275"/>
      <w:r>
        <w:rPr>
          <w:rFonts w:hint="eastAsia"/>
          <w:b/>
          <w:bCs/>
          <w:highlight w:val="none"/>
        </w:rPr>
        <w:t>项目名称</w:t>
      </w:r>
      <w:r>
        <w:rPr>
          <w:rFonts w:hint="eastAsia"/>
          <w:highlight w:val="none"/>
        </w:rPr>
        <w:t>：</w:t>
      </w:r>
      <w:bookmarkEnd w:id="241"/>
      <w:r>
        <w:rPr>
          <w:rFonts w:hint="eastAsia" w:ascii="宋体" w:hAnsi="宋体"/>
          <w:b/>
          <w:szCs w:val="24"/>
          <w:highlight w:val="none"/>
          <w:u w:val="single"/>
        </w:rPr>
        <w:t>成都市龙泉驿区水务局2021-2023年污泥处置服务采购项目</w:t>
      </w:r>
    </w:p>
    <w:p>
      <w:pPr>
        <w:pageBreakBefore w:val="0"/>
        <w:widowControl w:val="0"/>
        <w:kinsoku/>
        <w:wordWrap/>
        <w:overflowPunct/>
        <w:topLinePunct w:val="0"/>
        <w:autoSpaceDE/>
        <w:autoSpaceDN/>
        <w:bidi w:val="0"/>
        <w:adjustRightInd/>
        <w:snapToGrid w:val="0"/>
        <w:spacing w:line="360" w:lineRule="auto"/>
        <w:ind w:firstLine="494"/>
        <w:textAlignment w:val="auto"/>
        <w:rPr>
          <w:rFonts w:hint="eastAsia" w:ascii="宋体" w:hAnsi="宋体" w:eastAsia="宋体"/>
          <w:b/>
          <w:szCs w:val="24"/>
          <w:highlight w:val="none"/>
          <w:u w:val="single"/>
          <w:lang w:eastAsia="zh-CN"/>
        </w:rPr>
      </w:pPr>
      <w:r>
        <w:rPr>
          <w:rFonts w:hint="eastAsia" w:ascii="宋体" w:hAnsi="宋体"/>
          <w:b/>
          <w:szCs w:val="24"/>
          <w:highlight w:val="none"/>
        </w:rPr>
        <w:t>项目编号：</w:t>
      </w:r>
      <w:r>
        <w:rPr>
          <w:rFonts w:hint="eastAsia" w:ascii="宋体" w:hAnsi="宋体"/>
          <w:b/>
          <w:szCs w:val="24"/>
          <w:highlight w:val="none"/>
          <w:u w:val="single"/>
          <w:lang w:eastAsia="zh-CN"/>
        </w:rPr>
        <w:t>510112202100118</w:t>
      </w:r>
    </w:p>
    <w:p>
      <w:pPr>
        <w:pStyle w:val="2"/>
        <w:pageBreakBefore w:val="0"/>
        <w:widowControl w:val="0"/>
        <w:kinsoku/>
        <w:wordWrap/>
        <w:overflowPunct/>
        <w:topLinePunct w:val="0"/>
        <w:autoSpaceDE/>
        <w:autoSpaceDN/>
        <w:bidi w:val="0"/>
        <w:adjustRightInd/>
        <w:spacing w:line="360" w:lineRule="auto"/>
        <w:ind w:firstLine="494"/>
        <w:textAlignment w:val="auto"/>
        <w:rPr>
          <w:rFonts w:hint="eastAsia" w:ascii="宋体" w:hAnsi="宋体"/>
          <w:b/>
          <w:szCs w:val="24"/>
          <w:highlight w:val="none"/>
          <w:u w:val="single"/>
        </w:rPr>
      </w:pPr>
      <w:r>
        <w:rPr>
          <w:rFonts w:hint="eastAsia" w:ascii="宋体" w:hAnsi="宋体"/>
          <w:b/>
          <w:szCs w:val="24"/>
          <w:highlight w:val="none"/>
        </w:rPr>
        <w:t>包 件 号：</w:t>
      </w:r>
      <w:r>
        <w:rPr>
          <w:rFonts w:hint="eastAsia" w:ascii="宋体" w:hAnsi="宋体"/>
          <w:b/>
          <w:szCs w:val="24"/>
          <w:highlight w:val="none"/>
          <w:u w:val="single"/>
        </w:rPr>
        <w:t xml:space="preserve"> </w:t>
      </w:r>
    </w:p>
    <w:tbl>
      <w:tblPr>
        <w:tblStyle w:val="43"/>
        <w:tblpPr w:leftFromText="180" w:rightFromText="180" w:vertAnchor="text" w:horzAnchor="page" w:tblpX="1423" w:tblpY="31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01"/>
        <w:gridCol w:w="1713"/>
        <w:gridCol w:w="166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Align w:val="center"/>
          </w:tcPr>
          <w:p>
            <w:pPr>
              <w:spacing w:line="400" w:lineRule="exact"/>
              <w:ind w:firstLine="0" w:firstLineChars="0"/>
              <w:jc w:val="center"/>
              <w:rPr>
                <w:rFonts w:ascii="宋体" w:hAnsi="宋体"/>
                <w:b/>
                <w:szCs w:val="24"/>
              </w:rPr>
            </w:pPr>
            <w:r>
              <w:rPr>
                <w:rFonts w:hint="eastAsia" w:ascii="宋体" w:hAnsi="宋体"/>
                <w:b/>
                <w:szCs w:val="24"/>
              </w:rPr>
              <w:t>序号</w:t>
            </w:r>
          </w:p>
        </w:tc>
        <w:tc>
          <w:tcPr>
            <w:tcW w:w="2801" w:type="dxa"/>
            <w:vAlign w:val="center"/>
          </w:tcPr>
          <w:p>
            <w:pPr>
              <w:spacing w:line="400" w:lineRule="exact"/>
              <w:ind w:firstLine="0" w:firstLineChars="0"/>
              <w:jc w:val="center"/>
              <w:rPr>
                <w:rFonts w:ascii="宋体" w:hAnsi="宋体"/>
                <w:b/>
                <w:szCs w:val="24"/>
              </w:rPr>
            </w:pPr>
            <w:r>
              <w:rPr>
                <w:rFonts w:hint="eastAsia" w:ascii="宋体" w:hAnsi="宋体"/>
                <w:b/>
                <w:szCs w:val="24"/>
              </w:rPr>
              <w:t>服务内容</w:t>
            </w:r>
          </w:p>
        </w:tc>
        <w:tc>
          <w:tcPr>
            <w:tcW w:w="1713" w:type="dxa"/>
            <w:vAlign w:val="center"/>
          </w:tcPr>
          <w:p>
            <w:pPr>
              <w:spacing w:line="400" w:lineRule="exact"/>
              <w:ind w:firstLine="0" w:firstLineChars="0"/>
              <w:jc w:val="center"/>
              <w:rPr>
                <w:rFonts w:ascii="宋体" w:hAnsi="宋体"/>
                <w:b/>
                <w:szCs w:val="24"/>
              </w:rPr>
            </w:pPr>
            <w:r>
              <w:rPr>
                <w:rFonts w:hint="eastAsia" w:ascii="宋体" w:hAnsi="宋体"/>
                <w:b/>
                <w:szCs w:val="24"/>
              </w:rPr>
              <w:t>暂定服务数量</w:t>
            </w:r>
          </w:p>
        </w:tc>
        <w:tc>
          <w:tcPr>
            <w:tcW w:w="1665" w:type="dxa"/>
            <w:vAlign w:val="center"/>
          </w:tcPr>
          <w:p>
            <w:pPr>
              <w:spacing w:line="400" w:lineRule="exact"/>
              <w:ind w:firstLine="0" w:firstLineChars="0"/>
              <w:jc w:val="center"/>
              <w:rPr>
                <w:rFonts w:ascii="宋体" w:hAnsi="宋体"/>
                <w:b/>
                <w:szCs w:val="24"/>
              </w:rPr>
            </w:pPr>
            <w:r>
              <w:rPr>
                <w:rFonts w:hint="eastAsia" w:ascii="宋体" w:hAnsi="宋体"/>
                <w:b/>
                <w:szCs w:val="24"/>
              </w:rPr>
              <w:t>投标单价</w:t>
            </w:r>
          </w:p>
        </w:tc>
        <w:tc>
          <w:tcPr>
            <w:tcW w:w="2009" w:type="dxa"/>
            <w:vAlign w:val="center"/>
          </w:tcPr>
          <w:p>
            <w:pPr>
              <w:spacing w:line="400" w:lineRule="exact"/>
              <w:ind w:firstLine="0" w:firstLineChars="0"/>
              <w:jc w:val="center"/>
              <w:rPr>
                <w:rFonts w:ascii="宋体" w:hAnsi="宋体"/>
                <w:b/>
                <w:szCs w:val="24"/>
              </w:rPr>
            </w:pPr>
            <w:r>
              <w:rPr>
                <w:rFonts w:hint="eastAsia" w:ascii="宋体" w:hAnsi="宋体"/>
                <w:b/>
                <w:szCs w:val="24"/>
              </w:rPr>
              <w:t>投标报价</w:t>
            </w:r>
            <w:r>
              <w:rPr>
                <w:rFonts w:hint="eastAsia" w:ascii="宋体" w:hAnsi="宋体"/>
                <w:szCs w:val="21"/>
              </w:rPr>
              <w:t>（暂定服务数量×投标单价）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51" w:type="dxa"/>
            <w:vAlign w:val="center"/>
          </w:tcPr>
          <w:p>
            <w:pPr>
              <w:ind w:firstLine="0" w:firstLineChars="0"/>
              <w:jc w:val="center"/>
              <w:rPr>
                <w:rFonts w:ascii="宋体" w:hAnsi="宋体"/>
                <w:b/>
                <w:szCs w:val="24"/>
              </w:rPr>
            </w:pPr>
            <w:r>
              <w:rPr>
                <w:rFonts w:hint="eastAsia" w:ascii="宋体" w:hAnsi="宋体"/>
                <w:b/>
                <w:szCs w:val="24"/>
              </w:rPr>
              <w:t>1</w:t>
            </w:r>
          </w:p>
        </w:tc>
        <w:tc>
          <w:tcPr>
            <w:tcW w:w="2801" w:type="dxa"/>
            <w:vAlign w:val="center"/>
          </w:tcPr>
          <w:p>
            <w:pPr>
              <w:ind w:firstLine="0" w:firstLineChars="0"/>
              <w:rPr>
                <w:rFonts w:ascii="宋体" w:hAnsi="宋体"/>
                <w:b/>
                <w:szCs w:val="24"/>
              </w:rPr>
            </w:pPr>
            <w:r>
              <w:rPr>
                <w:rFonts w:hint="eastAsia" w:ascii="宋体" w:hAnsi="宋体"/>
                <w:szCs w:val="24"/>
              </w:rPr>
              <w:t>成都市龙泉驿区水务局2021-2023年污泥处置服务</w:t>
            </w:r>
          </w:p>
        </w:tc>
        <w:tc>
          <w:tcPr>
            <w:tcW w:w="1713" w:type="dxa"/>
            <w:vAlign w:val="center"/>
          </w:tcPr>
          <w:p>
            <w:pPr>
              <w:ind w:firstLine="0" w:firstLineChars="0"/>
              <w:jc w:val="center"/>
              <w:rPr>
                <w:rFonts w:hint="default" w:ascii="宋体" w:hAnsi="宋体" w:eastAsia="宋体"/>
                <w:szCs w:val="24"/>
                <w:lang w:val="en-US" w:eastAsia="zh-CN"/>
              </w:rPr>
            </w:pPr>
            <w:r>
              <w:rPr>
                <w:rFonts w:hint="eastAsia" w:ascii="宋体" w:hAnsi="宋体" w:cs="宋体"/>
                <w:sz w:val="24"/>
                <w:lang w:val="en-US" w:eastAsia="zh-CN"/>
              </w:rPr>
              <w:t>46875</w:t>
            </w:r>
            <w:r>
              <w:rPr>
                <w:rFonts w:hint="eastAsia" w:ascii="宋体" w:hAnsi="宋体"/>
                <w:szCs w:val="24"/>
              </w:rPr>
              <w:t>吨</w:t>
            </w:r>
            <w:r>
              <w:rPr>
                <w:rFonts w:hint="eastAsia" w:ascii="宋体" w:hAnsi="宋体"/>
                <w:szCs w:val="24"/>
                <w:lang w:val="en-US" w:eastAsia="zh-CN"/>
              </w:rPr>
              <w:t>/年</w:t>
            </w:r>
          </w:p>
        </w:tc>
        <w:tc>
          <w:tcPr>
            <w:tcW w:w="1665" w:type="dxa"/>
            <w:vAlign w:val="center"/>
          </w:tcPr>
          <w:p>
            <w:pPr>
              <w:ind w:firstLine="0" w:firstLineChars="0"/>
              <w:jc w:val="center"/>
              <w:rPr>
                <w:rFonts w:ascii="宋体" w:hAnsi="宋体"/>
                <w:szCs w:val="24"/>
              </w:rPr>
            </w:pPr>
            <w:r>
              <w:rPr>
                <w:rFonts w:hint="eastAsia" w:ascii="宋体" w:hAnsi="宋体"/>
                <w:szCs w:val="24"/>
                <w:u w:val="single"/>
              </w:rPr>
              <w:t xml:space="preserve">      </w:t>
            </w:r>
            <w:r>
              <w:rPr>
                <w:rFonts w:hint="eastAsia" w:ascii="宋体" w:hAnsi="宋体"/>
                <w:szCs w:val="24"/>
              </w:rPr>
              <w:t>元/吨</w:t>
            </w:r>
          </w:p>
        </w:tc>
        <w:tc>
          <w:tcPr>
            <w:tcW w:w="2009" w:type="dxa"/>
            <w:vAlign w:val="center"/>
          </w:tcPr>
          <w:p>
            <w:pPr>
              <w:ind w:firstLine="0" w:firstLineChars="0"/>
              <w:jc w:val="center"/>
              <w:rPr>
                <w:rFonts w:hint="default" w:ascii="宋体" w:hAnsi="宋体" w:eastAsia="宋体"/>
                <w:szCs w:val="24"/>
                <w:lang w:val="en-US" w:eastAsia="zh-CN"/>
              </w:rPr>
            </w:pPr>
            <w:r>
              <w:rPr>
                <w:rFonts w:hint="eastAsia" w:ascii="宋体" w:hAnsi="宋体"/>
                <w:szCs w:val="24"/>
                <w:u w:val="single"/>
              </w:rPr>
              <w:t xml:space="preserve">       </w:t>
            </w:r>
            <w:r>
              <w:rPr>
                <w:rFonts w:hint="eastAsia" w:ascii="宋体" w:hAnsi="宋体"/>
                <w:szCs w:val="24"/>
              </w:rPr>
              <w:t>万元</w:t>
            </w:r>
            <w:r>
              <w:rPr>
                <w:rFonts w:hint="eastAsia" w:ascii="宋体" w:hAnsi="宋体"/>
                <w:szCs w:val="24"/>
                <w:lang w:val="en-US" w:eastAsia="zh-CN"/>
              </w:rPr>
              <w:t>/年</w:t>
            </w:r>
          </w:p>
        </w:tc>
      </w:tr>
    </w:tbl>
    <w:p>
      <w:pPr>
        <w:spacing w:line="560" w:lineRule="exact"/>
        <w:ind w:firstLine="574"/>
        <w:rPr>
          <w:rFonts w:ascii="宋体" w:hAnsi="宋体"/>
          <w:b/>
          <w:sz w:val="28"/>
          <w:szCs w:val="28"/>
        </w:rPr>
      </w:pPr>
    </w:p>
    <w:p>
      <w:pPr>
        <w:ind w:firstLine="494"/>
        <w:rPr>
          <w:rFonts w:ascii="宋体" w:hAnsi="宋体"/>
          <w:b/>
          <w:szCs w:val="24"/>
        </w:rPr>
      </w:pPr>
    </w:p>
    <w:p>
      <w:pPr>
        <w:ind w:firstLine="494"/>
        <w:rPr>
          <w:rFonts w:ascii="宋体" w:hAnsi="宋体"/>
          <w:b/>
          <w:szCs w:val="24"/>
        </w:rPr>
      </w:pPr>
    </w:p>
    <w:p>
      <w:pPr>
        <w:ind w:firstLine="494"/>
        <w:rPr>
          <w:rFonts w:ascii="宋体" w:hAnsi="宋体"/>
          <w:b/>
          <w:szCs w:val="24"/>
          <w:u w:val="single"/>
        </w:rPr>
      </w:pPr>
      <w:r>
        <w:rPr>
          <w:rFonts w:hint="eastAsia" w:ascii="宋体" w:hAnsi="宋体"/>
          <w:b/>
          <w:szCs w:val="24"/>
        </w:rPr>
        <w:t>投标报价（人民币大写）：</w:t>
      </w:r>
      <w:r>
        <w:rPr>
          <w:rFonts w:hint="eastAsia" w:ascii="宋体" w:hAnsi="宋体"/>
          <w:b/>
          <w:szCs w:val="24"/>
          <w:u w:val="single"/>
        </w:rPr>
        <w:t xml:space="preserve"> </w:t>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ab/>
      </w:r>
      <w:r>
        <w:rPr>
          <w:rFonts w:hint="eastAsia" w:ascii="宋体" w:hAnsi="宋体"/>
          <w:b/>
          <w:szCs w:val="24"/>
          <w:u w:val="single"/>
        </w:rPr>
        <w:t xml:space="preserve">                     </w:t>
      </w:r>
    </w:p>
    <w:p>
      <w:pPr>
        <w:pStyle w:val="26"/>
        <w:spacing w:after="0" w:line="360" w:lineRule="auto"/>
        <w:ind w:left="0" w:leftChars="0" w:firstLine="492"/>
        <w:rPr>
          <w:rFonts w:ascii="宋体" w:hAnsi="宋体"/>
          <w:bCs/>
          <w:szCs w:val="24"/>
        </w:rPr>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pStyle w:val="26"/>
        <w:spacing w:after="0" w:line="360" w:lineRule="auto"/>
        <w:ind w:left="0" w:leftChars="0"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6"/>
        <w:spacing w:after="0" w:line="360" w:lineRule="auto"/>
        <w:ind w:left="0" w:leftChars="0" w:firstLine="492"/>
        <w:rPr>
          <w:rFonts w:ascii="宋体" w:hAnsi="宋体"/>
          <w:szCs w:val="24"/>
        </w:rPr>
      </w:pP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4"/>
        </w:rPr>
      </w:pPr>
      <w:r>
        <w:rPr>
          <w:rFonts w:ascii="宋体" w:hAnsi="宋体"/>
          <w:bCs/>
          <w:szCs w:val="24"/>
        </w:rPr>
        <w:t xml:space="preserve"> </w:t>
      </w:r>
      <w:r>
        <w:rPr>
          <w:rFonts w:hint="eastAsia" w:ascii="宋体" w:hAnsi="宋体"/>
          <w:bCs/>
          <w:szCs w:val="24"/>
        </w:rPr>
        <w:t>说明：1、投标</w:t>
      </w:r>
      <w:r>
        <w:rPr>
          <w:rFonts w:hint="eastAsia" w:ascii="宋体" w:hAnsi="宋体"/>
          <w:bCs/>
          <w:szCs w:val="24"/>
          <w:lang w:val="en-US" w:eastAsia="zh-CN"/>
        </w:rPr>
        <w:t>单价为综合单价，</w:t>
      </w:r>
      <w:r>
        <w:rPr>
          <w:rFonts w:hint="eastAsia" w:ascii="宋体" w:hAnsi="宋体"/>
          <w:bCs/>
          <w:szCs w:val="24"/>
        </w:rPr>
        <w:t>应为包括招标文件规定的本包件全部投标内容的报价。</w:t>
      </w:r>
    </w:p>
    <w:p>
      <w:pPr>
        <w:pStyle w:val="26"/>
        <w:keepNext w:val="0"/>
        <w:keepLines w:val="0"/>
        <w:pageBreakBefore w:val="0"/>
        <w:widowControl w:val="0"/>
        <w:kinsoku/>
        <w:wordWrap/>
        <w:overflowPunct/>
        <w:topLinePunct w:val="0"/>
        <w:autoSpaceDE/>
        <w:autoSpaceDN/>
        <w:bidi w:val="0"/>
        <w:adjustRightInd/>
        <w:snapToGrid/>
        <w:spacing w:line="360" w:lineRule="auto"/>
        <w:ind w:left="735" w:leftChars="300" w:firstLine="0" w:firstLineChars="0"/>
        <w:textAlignment w:val="auto"/>
        <w:rPr>
          <w:rFonts w:ascii="宋体" w:hAnsi="宋体"/>
          <w:bCs/>
          <w:szCs w:val="24"/>
        </w:rPr>
      </w:pPr>
      <w:r>
        <w:rPr>
          <w:rFonts w:hint="eastAsia" w:ascii="宋体" w:hAnsi="宋体"/>
          <w:bCs/>
          <w:szCs w:val="24"/>
        </w:rPr>
        <w:t>2、投标单价不超过320元/吨（包括污水处理厂到处置场所运输费）。</w:t>
      </w:r>
    </w:p>
    <w:p>
      <w:pPr>
        <w:pStyle w:val="26"/>
        <w:keepNext w:val="0"/>
        <w:keepLines w:val="0"/>
        <w:pageBreakBefore w:val="0"/>
        <w:widowControl w:val="0"/>
        <w:kinsoku/>
        <w:wordWrap/>
        <w:overflowPunct/>
        <w:topLinePunct w:val="0"/>
        <w:autoSpaceDE/>
        <w:autoSpaceDN/>
        <w:bidi w:val="0"/>
        <w:adjustRightInd/>
        <w:snapToGrid/>
        <w:spacing w:line="360" w:lineRule="auto"/>
        <w:ind w:left="14" w:leftChars="6" w:firstLine="714" w:firstLineChars="292"/>
        <w:textAlignment w:val="auto"/>
        <w:rPr>
          <w:rFonts w:ascii="宋体" w:hAnsi="宋体"/>
          <w:bCs/>
          <w:szCs w:val="24"/>
        </w:rPr>
      </w:pPr>
      <w:r>
        <w:rPr>
          <w:rFonts w:hint="eastAsia" w:ascii="宋体" w:hAnsi="宋体"/>
          <w:bCs/>
          <w:szCs w:val="24"/>
        </w:rPr>
        <w:t>3、</w:t>
      </w:r>
      <w:r>
        <w:rPr>
          <w:rFonts w:hint="eastAsia" w:ascii="宋体" w:hAnsi="宋体"/>
          <w:bCs/>
          <w:szCs w:val="24"/>
          <w:lang w:val="en-US" w:eastAsia="zh-CN"/>
        </w:rPr>
        <w:t>投标报价仅用作报价分计算，非最终实际支付总金额，采购人支付金额</w:t>
      </w:r>
      <w:r>
        <w:rPr>
          <w:rFonts w:hint="eastAsia" w:ascii="宋体" w:hAnsi="宋体"/>
          <w:bCs/>
          <w:szCs w:val="24"/>
        </w:rPr>
        <w:t>按照供应商实际处置污泥数量</w:t>
      </w:r>
      <w:r>
        <w:rPr>
          <w:rFonts w:hint="eastAsia" w:ascii="宋体" w:hAnsi="宋体"/>
          <w:bCs/>
          <w:szCs w:val="24"/>
          <w:lang w:val="en-US" w:eastAsia="zh-CN"/>
        </w:rPr>
        <w:t>×中标单价</w:t>
      </w:r>
      <w:r>
        <w:rPr>
          <w:rFonts w:hint="eastAsia" w:ascii="宋体" w:hAnsi="宋体"/>
          <w:bCs/>
          <w:szCs w:val="24"/>
        </w:rPr>
        <w:t>进行结算</w:t>
      </w:r>
      <w:r>
        <w:rPr>
          <w:rFonts w:hint="eastAsia" w:ascii="宋体" w:hAnsi="宋体"/>
          <w:bCs/>
          <w:szCs w:val="24"/>
          <w:lang w:eastAsia="zh-CN"/>
        </w:rPr>
        <w:t>，</w:t>
      </w:r>
      <w:r>
        <w:rPr>
          <w:rFonts w:hint="eastAsia" w:ascii="宋体" w:hAnsi="宋体"/>
          <w:bCs/>
          <w:szCs w:val="24"/>
          <w:lang w:val="en-US" w:eastAsia="zh-CN"/>
        </w:rPr>
        <w:t>各包件结算金额不超过该包件预算金额</w:t>
      </w:r>
      <w:r>
        <w:rPr>
          <w:rFonts w:hint="eastAsia" w:ascii="宋体" w:hAnsi="宋体"/>
          <w:bCs/>
          <w:szCs w:val="24"/>
        </w:rPr>
        <w:t>。</w:t>
      </w:r>
      <w:r>
        <w:rPr>
          <w:rFonts w:ascii="宋体" w:hAnsi="宋体"/>
          <w:bCs/>
          <w:szCs w:val="24"/>
        </w:rPr>
        <w:t xml:space="preserve"> </w:t>
      </w:r>
    </w:p>
    <w:p>
      <w:pPr>
        <w:pStyle w:val="2"/>
        <w:ind w:firstLine="492"/>
      </w:pPr>
      <w:r>
        <w:br w:type="page"/>
      </w:r>
    </w:p>
    <w:bookmarkEnd w:id="242"/>
    <w:bookmarkEnd w:id="243"/>
    <w:bookmarkEnd w:id="244"/>
    <w:bookmarkEnd w:id="245"/>
    <w:bookmarkEnd w:id="246"/>
    <w:bookmarkEnd w:id="247"/>
    <w:bookmarkEnd w:id="248"/>
    <w:bookmarkEnd w:id="249"/>
    <w:bookmarkEnd w:id="250"/>
    <w:p>
      <w:pPr>
        <w:pStyle w:val="5"/>
        <w:ind w:left="322" w:firstLine="494" w:firstLineChars="0"/>
        <w:rPr>
          <w:color w:val="auto"/>
        </w:rPr>
      </w:pPr>
      <w:bookmarkStart w:id="251" w:name="_Toc302997926"/>
      <w:bookmarkStart w:id="252" w:name="_Toc15436"/>
      <w:bookmarkStart w:id="253" w:name="_Toc220299393"/>
      <w:bookmarkStart w:id="254" w:name="_Toc263753605"/>
      <w:bookmarkStart w:id="255" w:name="_Toc263768870"/>
      <w:bookmarkStart w:id="256" w:name="_Toc217446083"/>
      <w:r>
        <w:rPr>
          <w:rFonts w:hint="eastAsia"/>
          <w:color w:val="auto"/>
          <w:lang w:val="en-US" w:eastAsia="zh-CN"/>
        </w:rPr>
        <w:t>分项报价明细表</w:t>
      </w:r>
    </w:p>
    <w:p>
      <w:pPr>
        <w:pageBreakBefore w:val="0"/>
        <w:widowControl w:val="0"/>
        <w:kinsoku/>
        <w:wordWrap/>
        <w:overflowPunct/>
        <w:topLinePunct w:val="0"/>
        <w:autoSpaceDE/>
        <w:autoSpaceDN/>
        <w:bidi w:val="0"/>
        <w:adjustRightInd/>
        <w:spacing w:line="360" w:lineRule="auto"/>
        <w:ind w:firstLine="494"/>
        <w:textAlignment w:val="auto"/>
        <w:rPr>
          <w:b/>
          <w:bCs/>
          <w:highlight w:val="none"/>
          <w:u w:val="single"/>
        </w:rPr>
      </w:pPr>
      <w:r>
        <w:rPr>
          <w:rFonts w:hint="eastAsia"/>
          <w:b/>
          <w:bCs/>
          <w:highlight w:val="none"/>
        </w:rPr>
        <w:t>项目名称</w:t>
      </w:r>
      <w:r>
        <w:rPr>
          <w:rFonts w:hint="eastAsia"/>
          <w:highlight w:val="none"/>
        </w:rPr>
        <w:t>：</w:t>
      </w:r>
      <w:r>
        <w:rPr>
          <w:rFonts w:hint="eastAsia" w:ascii="宋体" w:hAnsi="宋体"/>
          <w:b/>
          <w:szCs w:val="24"/>
          <w:highlight w:val="none"/>
          <w:u w:val="single"/>
        </w:rPr>
        <w:t>成都市龙泉驿区水务局2021-2023年污泥处置服务采购项目</w:t>
      </w:r>
    </w:p>
    <w:p>
      <w:pPr>
        <w:pageBreakBefore w:val="0"/>
        <w:widowControl w:val="0"/>
        <w:kinsoku/>
        <w:wordWrap/>
        <w:overflowPunct/>
        <w:topLinePunct w:val="0"/>
        <w:autoSpaceDE/>
        <w:autoSpaceDN/>
        <w:bidi w:val="0"/>
        <w:adjustRightInd/>
        <w:snapToGrid w:val="0"/>
        <w:spacing w:line="360" w:lineRule="auto"/>
        <w:ind w:firstLine="494"/>
        <w:textAlignment w:val="auto"/>
        <w:rPr>
          <w:rFonts w:hint="eastAsia" w:ascii="宋体" w:hAnsi="宋体" w:eastAsia="宋体"/>
          <w:b/>
          <w:szCs w:val="24"/>
          <w:highlight w:val="none"/>
          <w:u w:val="single"/>
          <w:lang w:eastAsia="zh-CN"/>
        </w:rPr>
      </w:pPr>
      <w:r>
        <w:rPr>
          <w:rFonts w:hint="eastAsia" w:ascii="宋体" w:hAnsi="宋体"/>
          <w:b/>
          <w:szCs w:val="24"/>
          <w:highlight w:val="none"/>
        </w:rPr>
        <w:t>项目编号：</w:t>
      </w:r>
      <w:r>
        <w:rPr>
          <w:rFonts w:hint="eastAsia" w:ascii="宋体" w:hAnsi="宋体"/>
          <w:b/>
          <w:szCs w:val="24"/>
          <w:highlight w:val="none"/>
          <w:u w:val="single"/>
          <w:lang w:eastAsia="zh-CN"/>
        </w:rPr>
        <w:t>510112202100118</w:t>
      </w:r>
    </w:p>
    <w:p>
      <w:pPr>
        <w:pStyle w:val="2"/>
        <w:pageBreakBefore w:val="0"/>
        <w:widowControl w:val="0"/>
        <w:kinsoku/>
        <w:wordWrap/>
        <w:overflowPunct/>
        <w:topLinePunct w:val="0"/>
        <w:autoSpaceDE/>
        <w:autoSpaceDN/>
        <w:bidi w:val="0"/>
        <w:adjustRightInd/>
        <w:spacing w:line="360" w:lineRule="auto"/>
        <w:ind w:firstLine="494"/>
        <w:textAlignment w:val="auto"/>
        <w:rPr>
          <w:rFonts w:hint="eastAsia" w:ascii="宋体" w:hAnsi="宋体"/>
          <w:b/>
          <w:szCs w:val="24"/>
          <w:highlight w:val="none"/>
          <w:u w:val="single"/>
        </w:rPr>
      </w:pPr>
      <w:r>
        <w:rPr>
          <w:rFonts w:hint="eastAsia" w:ascii="宋体" w:hAnsi="宋体"/>
          <w:b/>
          <w:szCs w:val="24"/>
          <w:highlight w:val="none"/>
        </w:rPr>
        <w:t>包 件 号：</w:t>
      </w:r>
      <w:r>
        <w:rPr>
          <w:rFonts w:hint="eastAsia" w:ascii="宋体" w:hAnsi="宋体"/>
          <w:b/>
          <w:szCs w:val="24"/>
          <w:highlight w:val="none"/>
          <w:u w:val="single"/>
        </w:rPr>
        <w:t xml:space="preserve"> </w:t>
      </w:r>
    </w:p>
    <w:p>
      <w:pPr>
        <w:rPr>
          <w:rFonts w:hint="eastAsia"/>
          <w:color w:val="auto"/>
          <w:lang w:val="en-US" w:eastAsia="zh-CN"/>
        </w:rPr>
      </w:pPr>
    </w:p>
    <w:p>
      <w:pPr>
        <w:pStyle w:val="2"/>
        <w:rPr>
          <w:rFonts w:hint="eastAsia"/>
          <w:color w:val="auto"/>
          <w:lang w:val="en-US" w:eastAsia="zh-CN"/>
        </w:rPr>
      </w:pPr>
    </w:p>
    <w:p>
      <w:pPr>
        <w:rPr>
          <w:rFonts w:hint="eastAsia"/>
          <w:lang w:val="en-US" w:eastAsia="zh-CN"/>
        </w:rPr>
      </w:pPr>
    </w:p>
    <w:p>
      <w:pPr>
        <w:pStyle w:val="2"/>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pStyle w:val="26"/>
        <w:spacing w:after="0" w:line="360" w:lineRule="auto"/>
        <w:ind w:left="0" w:leftChars="0"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6"/>
        <w:spacing w:after="0" w:line="360" w:lineRule="auto"/>
        <w:ind w:left="0" w:leftChars="0" w:firstLine="492"/>
        <w:rPr>
          <w:rFonts w:ascii="宋体" w:hAnsi="宋体"/>
          <w:szCs w:val="24"/>
        </w:rPr>
      </w:pPr>
    </w:p>
    <w:p>
      <w:pPr>
        <w:pStyle w:val="2"/>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注：格式自拟。投标人应详细列明投标单价的价格组成，各分项报价合计应当与开标一览表中投标单价一致。</w:t>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5"/>
        <w:ind w:left="322" w:firstLine="494" w:firstLineChars="0"/>
        <w:rPr>
          <w:color w:val="auto"/>
        </w:rPr>
      </w:pPr>
      <w:r>
        <w:rPr>
          <w:rFonts w:hint="eastAsia"/>
          <w:color w:val="auto"/>
        </w:rPr>
        <w:t>投标人基本情况表</w:t>
      </w:r>
      <w:bookmarkEnd w:id="251"/>
      <w:bookmarkEnd w:id="252"/>
    </w:p>
    <w:tbl>
      <w:tblPr>
        <w:tblStyle w:val="43"/>
        <w:tblW w:w="8625" w:type="dxa"/>
        <w:tblInd w:w="-10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1020"/>
        <w:gridCol w:w="1067"/>
        <w:gridCol w:w="1248"/>
        <w:gridCol w:w="8"/>
        <w:gridCol w:w="1318"/>
        <w:gridCol w:w="379"/>
        <w:gridCol w:w="79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投标人名称</w:t>
            </w:r>
          </w:p>
        </w:tc>
        <w:tc>
          <w:tcPr>
            <w:tcW w:w="6900" w:type="dxa"/>
            <w:gridSpan w:val="8"/>
            <w:vAlign w:val="center"/>
          </w:tcPr>
          <w:p>
            <w:pPr>
              <w:autoSpaceDE w:val="0"/>
              <w:autoSpaceDN w:val="0"/>
              <w:adjustRightInd w:val="0"/>
              <w:ind w:firstLine="0" w:firstLineChars="0"/>
              <w:jc w:val="center"/>
              <w:rPr>
                <w:rFonts w:ascii="宋体" w:hAnsi="宋体"/>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注册地址</w:t>
            </w:r>
          </w:p>
        </w:tc>
        <w:tc>
          <w:tcPr>
            <w:tcW w:w="3343" w:type="dxa"/>
            <w:gridSpan w:val="4"/>
            <w:vAlign w:val="center"/>
          </w:tcPr>
          <w:p>
            <w:pPr>
              <w:autoSpaceDE w:val="0"/>
              <w:autoSpaceDN w:val="0"/>
              <w:adjustRightInd w:val="0"/>
              <w:ind w:firstLine="0" w:firstLineChars="0"/>
              <w:jc w:val="center"/>
              <w:rPr>
                <w:rFonts w:ascii="宋体" w:hAnsi="宋体"/>
                <w:kern w:val="0"/>
                <w:szCs w:val="24"/>
              </w:rPr>
            </w:pPr>
          </w:p>
        </w:tc>
        <w:tc>
          <w:tcPr>
            <w:tcW w:w="1318"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邮政编码</w:t>
            </w:r>
          </w:p>
        </w:tc>
        <w:tc>
          <w:tcPr>
            <w:tcW w:w="2239" w:type="dxa"/>
            <w:gridSpan w:val="3"/>
            <w:vAlign w:val="center"/>
          </w:tcPr>
          <w:p>
            <w:pPr>
              <w:autoSpaceDE w:val="0"/>
              <w:autoSpaceDN w:val="0"/>
              <w:adjustRightInd w:val="0"/>
              <w:ind w:firstLine="0" w:firstLineChars="0"/>
              <w:jc w:val="center"/>
              <w:rPr>
                <w:rFonts w:ascii="宋体" w:hAnsi="宋体"/>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Merge w:val="restart"/>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联系方式</w:t>
            </w:r>
          </w:p>
        </w:tc>
        <w:tc>
          <w:tcPr>
            <w:tcW w:w="1020"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联系人</w:t>
            </w:r>
          </w:p>
        </w:tc>
        <w:tc>
          <w:tcPr>
            <w:tcW w:w="2315" w:type="dxa"/>
            <w:gridSpan w:val="2"/>
            <w:vAlign w:val="center"/>
          </w:tcPr>
          <w:p>
            <w:pPr>
              <w:autoSpaceDE w:val="0"/>
              <w:autoSpaceDN w:val="0"/>
              <w:adjustRightInd w:val="0"/>
              <w:ind w:firstLine="0" w:firstLineChars="0"/>
              <w:jc w:val="center"/>
              <w:rPr>
                <w:rFonts w:ascii="宋体" w:hAnsi="宋体"/>
                <w:kern w:val="0"/>
                <w:szCs w:val="24"/>
              </w:rPr>
            </w:pPr>
          </w:p>
        </w:tc>
        <w:tc>
          <w:tcPr>
            <w:tcW w:w="1326" w:type="dxa"/>
            <w:gridSpan w:val="2"/>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电话</w:t>
            </w:r>
          </w:p>
        </w:tc>
        <w:tc>
          <w:tcPr>
            <w:tcW w:w="2239" w:type="dxa"/>
            <w:gridSpan w:val="3"/>
            <w:vAlign w:val="center"/>
          </w:tcPr>
          <w:p>
            <w:pPr>
              <w:autoSpaceDE w:val="0"/>
              <w:autoSpaceDN w:val="0"/>
              <w:adjustRightInd w:val="0"/>
              <w:ind w:firstLine="0" w:firstLineChars="0"/>
              <w:jc w:val="center"/>
              <w:rPr>
                <w:rFonts w:ascii="宋体" w:hAnsi="宋体"/>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25" w:type="dxa"/>
            <w:vMerge w:val="continue"/>
            <w:vAlign w:val="center"/>
          </w:tcPr>
          <w:p>
            <w:pPr>
              <w:autoSpaceDE w:val="0"/>
              <w:autoSpaceDN w:val="0"/>
              <w:adjustRightInd w:val="0"/>
              <w:ind w:firstLine="0" w:firstLineChars="0"/>
              <w:jc w:val="center"/>
              <w:rPr>
                <w:rFonts w:ascii="宋体" w:hAnsi="宋体"/>
                <w:kern w:val="0"/>
                <w:szCs w:val="24"/>
              </w:rPr>
            </w:pPr>
          </w:p>
        </w:tc>
        <w:tc>
          <w:tcPr>
            <w:tcW w:w="1020"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传真</w:t>
            </w:r>
          </w:p>
        </w:tc>
        <w:tc>
          <w:tcPr>
            <w:tcW w:w="2315" w:type="dxa"/>
            <w:gridSpan w:val="2"/>
            <w:vAlign w:val="center"/>
          </w:tcPr>
          <w:p>
            <w:pPr>
              <w:autoSpaceDE w:val="0"/>
              <w:autoSpaceDN w:val="0"/>
              <w:adjustRightInd w:val="0"/>
              <w:ind w:firstLine="0" w:firstLineChars="0"/>
              <w:jc w:val="center"/>
              <w:rPr>
                <w:rFonts w:ascii="宋体" w:hAnsi="宋体"/>
                <w:kern w:val="0"/>
                <w:szCs w:val="24"/>
              </w:rPr>
            </w:pPr>
          </w:p>
        </w:tc>
        <w:tc>
          <w:tcPr>
            <w:tcW w:w="1326" w:type="dxa"/>
            <w:gridSpan w:val="2"/>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网址</w:t>
            </w:r>
          </w:p>
        </w:tc>
        <w:tc>
          <w:tcPr>
            <w:tcW w:w="2239" w:type="dxa"/>
            <w:gridSpan w:val="3"/>
            <w:vAlign w:val="center"/>
          </w:tcPr>
          <w:p>
            <w:pPr>
              <w:autoSpaceDE w:val="0"/>
              <w:autoSpaceDN w:val="0"/>
              <w:adjustRightInd w:val="0"/>
              <w:ind w:firstLine="0" w:firstLineChars="0"/>
              <w:jc w:val="center"/>
              <w:rPr>
                <w:rFonts w:ascii="宋体" w:hAnsi="宋体"/>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单位性质</w:t>
            </w:r>
          </w:p>
        </w:tc>
        <w:tc>
          <w:tcPr>
            <w:tcW w:w="6900" w:type="dxa"/>
            <w:gridSpan w:val="8"/>
            <w:vAlign w:val="center"/>
          </w:tcPr>
          <w:p>
            <w:pPr>
              <w:autoSpaceDE w:val="0"/>
              <w:autoSpaceDN w:val="0"/>
              <w:adjustRightInd w:val="0"/>
              <w:ind w:firstLine="0" w:firstLineChars="0"/>
              <w:jc w:val="center"/>
              <w:rPr>
                <w:rFonts w:ascii="宋体" w:hAnsi="宋体"/>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法定代表人</w:t>
            </w:r>
          </w:p>
        </w:tc>
        <w:tc>
          <w:tcPr>
            <w:tcW w:w="1020"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姓名</w:t>
            </w:r>
          </w:p>
        </w:tc>
        <w:tc>
          <w:tcPr>
            <w:tcW w:w="1067" w:type="dxa"/>
            <w:vAlign w:val="center"/>
          </w:tcPr>
          <w:p>
            <w:pPr>
              <w:autoSpaceDE w:val="0"/>
              <w:autoSpaceDN w:val="0"/>
              <w:adjustRightInd w:val="0"/>
              <w:ind w:firstLine="0" w:firstLineChars="0"/>
              <w:jc w:val="center"/>
              <w:rPr>
                <w:rFonts w:ascii="宋体" w:hAnsi="宋体"/>
                <w:kern w:val="0"/>
                <w:szCs w:val="24"/>
              </w:rPr>
            </w:pPr>
          </w:p>
        </w:tc>
        <w:tc>
          <w:tcPr>
            <w:tcW w:w="1248"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技术职称</w:t>
            </w:r>
          </w:p>
        </w:tc>
        <w:tc>
          <w:tcPr>
            <w:tcW w:w="1326" w:type="dxa"/>
            <w:gridSpan w:val="2"/>
            <w:vAlign w:val="center"/>
          </w:tcPr>
          <w:p>
            <w:pPr>
              <w:autoSpaceDE w:val="0"/>
              <w:autoSpaceDN w:val="0"/>
              <w:adjustRightInd w:val="0"/>
              <w:ind w:firstLine="0" w:firstLineChars="0"/>
              <w:jc w:val="center"/>
              <w:rPr>
                <w:rFonts w:ascii="宋体" w:hAnsi="宋体"/>
                <w:kern w:val="0"/>
                <w:szCs w:val="24"/>
              </w:rPr>
            </w:pPr>
          </w:p>
        </w:tc>
        <w:tc>
          <w:tcPr>
            <w:tcW w:w="1172" w:type="dxa"/>
            <w:gridSpan w:val="2"/>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电话</w:t>
            </w:r>
          </w:p>
        </w:tc>
        <w:tc>
          <w:tcPr>
            <w:tcW w:w="1067" w:type="dxa"/>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725" w:type="dxa"/>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技术负责人</w:t>
            </w:r>
          </w:p>
        </w:tc>
        <w:tc>
          <w:tcPr>
            <w:tcW w:w="1020" w:type="dxa"/>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姓名</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p>
        </w:tc>
        <w:tc>
          <w:tcPr>
            <w:tcW w:w="1248" w:type="dxa"/>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技术职称</w:t>
            </w:r>
          </w:p>
        </w:tc>
        <w:tc>
          <w:tcPr>
            <w:tcW w:w="1326" w:type="dxa"/>
            <w:gridSpan w:val="2"/>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p>
        </w:tc>
        <w:tc>
          <w:tcPr>
            <w:tcW w:w="1172" w:type="dxa"/>
            <w:gridSpan w:val="2"/>
            <w:tcBorders>
              <w:bottom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电话</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725" w:type="dxa"/>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财务负责人</w:t>
            </w:r>
          </w:p>
        </w:tc>
        <w:tc>
          <w:tcPr>
            <w:tcW w:w="1020" w:type="dxa"/>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姓名</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p>
        </w:tc>
        <w:tc>
          <w:tcPr>
            <w:tcW w:w="1248" w:type="dxa"/>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技术职称</w:t>
            </w:r>
          </w:p>
        </w:tc>
        <w:tc>
          <w:tcPr>
            <w:tcW w:w="1326" w:type="dxa"/>
            <w:gridSpan w:val="2"/>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p>
        </w:tc>
        <w:tc>
          <w:tcPr>
            <w:tcW w:w="1172" w:type="dxa"/>
            <w:gridSpan w:val="2"/>
            <w:tcBorders>
              <w:top w:val="single" w:color="auto" w:sz="4" w:space="0"/>
            </w:tcBorders>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电话</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成立时间</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4813" w:type="dxa"/>
            <w:gridSpan w:val="6"/>
            <w:vAlign w:val="center"/>
          </w:tcPr>
          <w:p>
            <w:pPr>
              <w:autoSpaceDE w:val="0"/>
              <w:autoSpaceDN w:val="0"/>
              <w:adjustRightInd w:val="0"/>
              <w:ind w:firstLine="0" w:firstLineChars="0"/>
              <w:rPr>
                <w:rFonts w:ascii="宋体" w:hAnsi="宋体"/>
                <w:kern w:val="0"/>
                <w:szCs w:val="24"/>
              </w:rPr>
            </w:pPr>
            <w:r>
              <w:rPr>
                <w:rFonts w:hint="eastAsia" w:ascii="宋体" w:hAnsi="宋体"/>
                <w:kern w:val="0"/>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企业资质等级</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1248" w:type="dxa"/>
            <w:vMerge w:val="restart"/>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其中</w:t>
            </w:r>
          </w:p>
        </w:tc>
        <w:tc>
          <w:tcPr>
            <w:tcW w:w="1705" w:type="dxa"/>
            <w:gridSpan w:val="3"/>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项目经理</w:t>
            </w:r>
          </w:p>
        </w:tc>
        <w:tc>
          <w:tcPr>
            <w:tcW w:w="1860" w:type="dxa"/>
            <w:gridSpan w:val="2"/>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营业执照号</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1248" w:type="dxa"/>
            <w:vMerge w:val="continue"/>
            <w:vAlign w:val="center"/>
          </w:tcPr>
          <w:p>
            <w:pPr>
              <w:autoSpaceDE w:val="0"/>
              <w:autoSpaceDN w:val="0"/>
              <w:adjustRightInd w:val="0"/>
              <w:ind w:firstLine="0" w:firstLineChars="0"/>
              <w:jc w:val="center"/>
              <w:rPr>
                <w:rFonts w:ascii="宋体" w:hAnsi="宋体"/>
                <w:kern w:val="0"/>
                <w:szCs w:val="24"/>
              </w:rPr>
            </w:pPr>
          </w:p>
        </w:tc>
        <w:tc>
          <w:tcPr>
            <w:tcW w:w="1705" w:type="dxa"/>
            <w:gridSpan w:val="3"/>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高级职称人员</w:t>
            </w:r>
          </w:p>
        </w:tc>
        <w:tc>
          <w:tcPr>
            <w:tcW w:w="1860" w:type="dxa"/>
            <w:gridSpan w:val="2"/>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注册资金</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1248" w:type="dxa"/>
            <w:vMerge w:val="continue"/>
            <w:vAlign w:val="center"/>
          </w:tcPr>
          <w:p>
            <w:pPr>
              <w:autoSpaceDE w:val="0"/>
              <w:autoSpaceDN w:val="0"/>
              <w:adjustRightInd w:val="0"/>
              <w:ind w:firstLine="0" w:firstLineChars="0"/>
              <w:jc w:val="center"/>
              <w:rPr>
                <w:rFonts w:ascii="宋体" w:hAnsi="宋体"/>
                <w:kern w:val="0"/>
                <w:szCs w:val="24"/>
              </w:rPr>
            </w:pPr>
          </w:p>
        </w:tc>
        <w:tc>
          <w:tcPr>
            <w:tcW w:w="1705" w:type="dxa"/>
            <w:gridSpan w:val="3"/>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中级职称人员</w:t>
            </w:r>
          </w:p>
        </w:tc>
        <w:tc>
          <w:tcPr>
            <w:tcW w:w="1860" w:type="dxa"/>
            <w:gridSpan w:val="2"/>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开户银行</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1248" w:type="dxa"/>
            <w:vMerge w:val="continue"/>
            <w:vAlign w:val="center"/>
          </w:tcPr>
          <w:p>
            <w:pPr>
              <w:autoSpaceDE w:val="0"/>
              <w:autoSpaceDN w:val="0"/>
              <w:adjustRightInd w:val="0"/>
              <w:ind w:firstLine="0" w:firstLineChars="0"/>
              <w:jc w:val="center"/>
              <w:rPr>
                <w:rFonts w:ascii="宋体" w:hAnsi="宋体"/>
                <w:kern w:val="0"/>
                <w:szCs w:val="24"/>
              </w:rPr>
            </w:pPr>
          </w:p>
        </w:tc>
        <w:tc>
          <w:tcPr>
            <w:tcW w:w="1705" w:type="dxa"/>
            <w:gridSpan w:val="3"/>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初级职称人员</w:t>
            </w:r>
          </w:p>
        </w:tc>
        <w:tc>
          <w:tcPr>
            <w:tcW w:w="1860" w:type="dxa"/>
            <w:gridSpan w:val="2"/>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账号</w:t>
            </w:r>
          </w:p>
        </w:tc>
        <w:tc>
          <w:tcPr>
            <w:tcW w:w="2087" w:type="dxa"/>
            <w:gridSpan w:val="2"/>
            <w:vAlign w:val="center"/>
          </w:tcPr>
          <w:p>
            <w:pPr>
              <w:autoSpaceDE w:val="0"/>
              <w:autoSpaceDN w:val="0"/>
              <w:adjustRightInd w:val="0"/>
              <w:ind w:firstLine="0" w:firstLineChars="0"/>
              <w:jc w:val="center"/>
              <w:rPr>
                <w:rFonts w:ascii="宋体" w:hAnsi="宋体"/>
                <w:kern w:val="0"/>
                <w:szCs w:val="24"/>
              </w:rPr>
            </w:pPr>
          </w:p>
        </w:tc>
        <w:tc>
          <w:tcPr>
            <w:tcW w:w="1248" w:type="dxa"/>
            <w:vMerge w:val="continue"/>
            <w:vAlign w:val="center"/>
          </w:tcPr>
          <w:p>
            <w:pPr>
              <w:autoSpaceDE w:val="0"/>
              <w:autoSpaceDN w:val="0"/>
              <w:adjustRightInd w:val="0"/>
              <w:ind w:firstLine="0" w:firstLineChars="0"/>
              <w:jc w:val="center"/>
              <w:rPr>
                <w:rFonts w:ascii="宋体" w:hAnsi="宋体"/>
                <w:kern w:val="0"/>
                <w:szCs w:val="24"/>
              </w:rPr>
            </w:pPr>
          </w:p>
        </w:tc>
        <w:tc>
          <w:tcPr>
            <w:tcW w:w="1705" w:type="dxa"/>
            <w:gridSpan w:val="3"/>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技工</w:t>
            </w:r>
          </w:p>
        </w:tc>
        <w:tc>
          <w:tcPr>
            <w:tcW w:w="1860" w:type="dxa"/>
            <w:gridSpan w:val="2"/>
            <w:vAlign w:val="center"/>
          </w:tcPr>
          <w:p>
            <w:pPr>
              <w:autoSpaceDE w:val="0"/>
              <w:autoSpaceDN w:val="0"/>
              <w:adjustRightInd w:val="0"/>
              <w:ind w:firstLine="0" w:firstLineChars="0"/>
              <w:jc w:val="center"/>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62" w:hRule="atLeast"/>
        </w:trPr>
        <w:tc>
          <w:tcPr>
            <w:tcW w:w="1725" w:type="dxa"/>
            <w:vAlign w:val="center"/>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经营范围</w:t>
            </w:r>
          </w:p>
        </w:tc>
        <w:tc>
          <w:tcPr>
            <w:tcW w:w="6900" w:type="dxa"/>
            <w:gridSpan w:val="8"/>
            <w:vAlign w:val="center"/>
          </w:tcPr>
          <w:p>
            <w:pPr>
              <w:autoSpaceDE w:val="0"/>
              <w:autoSpaceDN w:val="0"/>
              <w:adjustRightInd w:val="0"/>
              <w:ind w:firstLine="0" w:firstLineChars="0"/>
              <w:rPr>
                <w:rFonts w:ascii="宋体" w:hAnsi="宋体"/>
                <w:bCs/>
                <w:kern w:val="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5" w:type="dxa"/>
          </w:tcPr>
          <w:p>
            <w:pPr>
              <w:autoSpaceDE w:val="0"/>
              <w:autoSpaceDN w:val="0"/>
              <w:adjustRightInd w:val="0"/>
              <w:ind w:firstLine="0" w:firstLineChars="0"/>
              <w:jc w:val="center"/>
              <w:rPr>
                <w:rFonts w:ascii="宋体" w:hAnsi="宋体"/>
                <w:kern w:val="0"/>
                <w:szCs w:val="24"/>
              </w:rPr>
            </w:pPr>
            <w:r>
              <w:rPr>
                <w:rFonts w:hint="eastAsia" w:ascii="宋体" w:hAnsi="宋体"/>
                <w:kern w:val="0"/>
                <w:szCs w:val="24"/>
              </w:rPr>
              <w:t>备注</w:t>
            </w:r>
          </w:p>
        </w:tc>
        <w:tc>
          <w:tcPr>
            <w:tcW w:w="6900" w:type="dxa"/>
            <w:gridSpan w:val="8"/>
          </w:tcPr>
          <w:p>
            <w:pPr>
              <w:autoSpaceDE w:val="0"/>
              <w:autoSpaceDN w:val="0"/>
              <w:adjustRightInd w:val="0"/>
              <w:ind w:firstLine="0" w:firstLineChars="0"/>
              <w:rPr>
                <w:rFonts w:ascii="宋体" w:hAnsi="宋体"/>
                <w:kern w:val="0"/>
                <w:szCs w:val="24"/>
              </w:rPr>
            </w:pPr>
          </w:p>
        </w:tc>
      </w:tr>
    </w:tbl>
    <w:p>
      <w:pPr>
        <w:pStyle w:val="2"/>
        <w:ind w:firstLine="492"/>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spacing w:line="360" w:lineRule="auto"/>
        <w:ind w:firstLine="492"/>
        <w:rPr>
          <w:szCs w:val="28"/>
        </w:rPr>
      </w:pPr>
      <w:r>
        <w:rPr>
          <w:rFonts w:hint="eastAsia"/>
          <w:szCs w:val="24"/>
        </w:rPr>
        <w:t>注：对于投标人不涉及的项，可不填写。</w:t>
      </w:r>
    </w:p>
    <w:p>
      <w:pPr>
        <w:pStyle w:val="2"/>
        <w:ind w:firstLine="492"/>
      </w:pPr>
    </w:p>
    <w:bookmarkEnd w:id="253"/>
    <w:bookmarkEnd w:id="254"/>
    <w:bookmarkEnd w:id="255"/>
    <w:p>
      <w:pPr>
        <w:pStyle w:val="5"/>
        <w:ind w:left="322" w:firstLine="494" w:firstLineChars="0"/>
        <w:rPr>
          <w:color w:val="auto"/>
        </w:rPr>
      </w:pPr>
      <w:bookmarkStart w:id="257" w:name="_Toc17866"/>
      <w:bookmarkStart w:id="258" w:name="_Toc263753619"/>
      <w:bookmarkStart w:id="259" w:name="_Toc302997928"/>
      <w:bookmarkStart w:id="260" w:name="_Toc263768877"/>
      <w:r>
        <w:rPr>
          <w:rFonts w:hint="eastAsia"/>
          <w:color w:val="auto"/>
        </w:rPr>
        <w:t>商务条款偏离表</w:t>
      </w:r>
      <w:bookmarkEnd w:id="257"/>
    </w:p>
    <w:p>
      <w:pPr>
        <w:ind w:firstLine="494"/>
        <w:rPr>
          <w:rFonts w:ascii="宋体" w:hAnsi="宋体"/>
          <w:b/>
          <w:szCs w:val="24"/>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pStyle w:val="14"/>
        <w:tabs>
          <w:tab w:val="left" w:pos="7560"/>
        </w:tabs>
        <w:spacing w:after="0" w:line="360" w:lineRule="auto"/>
        <w:ind w:firstLine="494"/>
        <w:rPr>
          <w:rFonts w:hint="eastAsia" w:ascii="宋体" w:hAnsi="宋体" w:eastAsia="宋体"/>
          <w:b/>
          <w:szCs w:val="24"/>
          <w:u w:val="single"/>
          <w:lang w:eastAsia="zh-CN"/>
        </w:rPr>
      </w:pPr>
      <w:r>
        <w:rPr>
          <w:rFonts w:hint="eastAsia" w:ascii="宋体" w:hAnsi="宋体"/>
          <w:b/>
          <w:szCs w:val="24"/>
        </w:rPr>
        <w:t>项目编号：</w:t>
      </w:r>
      <w:r>
        <w:rPr>
          <w:rFonts w:hint="eastAsia" w:ascii="宋体" w:hAnsi="宋体"/>
          <w:b/>
          <w:szCs w:val="24"/>
          <w:u w:val="single"/>
          <w:lang w:eastAsia="zh-CN"/>
        </w:rPr>
        <w:t>510112202100118</w:t>
      </w:r>
    </w:p>
    <w:p>
      <w:pPr>
        <w:pStyle w:val="14"/>
        <w:tabs>
          <w:tab w:val="left" w:pos="7560"/>
        </w:tabs>
        <w:spacing w:after="0" w:line="360" w:lineRule="auto"/>
        <w:ind w:firstLine="494"/>
        <w:rPr>
          <w:rFonts w:ascii="宋体" w:hAnsi="宋体"/>
          <w:b/>
          <w:szCs w:val="24"/>
          <w:u w:val="single"/>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2589"/>
        <w:gridCol w:w="2514"/>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993"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b/>
                <w:szCs w:val="24"/>
              </w:rPr>
              <w:t xml:space="preserve"> </w:t>
            </w:r>
            <w:r>
              <w:rPr>
                <w:rFonts w:hint="eastAsia" w:ascii="宋体" w:hAnsi="宋体"/>
                <w:szCs w:val="24"/>
              </w:rPr>
              <w:t>序号</w:t>
            </w:r>
          </w:p>
        </w:tc>
        <w:tc>
          <w:tcPr>
            <w:tcW w:w="1275"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招标文件的商务条款</w:t>
            </w:r>
          </w:p>
        </w:tc>
        <w:tc>
          <w:tcPr>
            <w:tcW w:w="2514"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投标文件的商务条款</w:t>
            </w:r>
          </w:p>
        </w:tc>
        <w:tc>
          <w:tcPr>
            <w:tcW w:w="1276"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szCs w:val="24"/>
              </w:rPr>
            </w:pPr>
            <w:r>
              <w:rPr>
                <w:rFonts w:hint="eastAsia" w:ascii="宋体" w:hAnsi="宋体"/>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bl>
    <w:p>
      <w:pPr>
        <w:pStyle w:val="2"/>
        <w:ind w:firstLine="492"/>
      </w:pPr>
    </w:p>
    <w:p>
      <w:pPr>
        <w:pStyle w:val="2"/>
        <w:widowControl/>
        <w:spacing w:line="360" w:lineRule="auto"/>
        <w:ind w:firstLine="492"/>
        <w:rPr>
          <w:rFonts w:ascii="宋体" w:hAnsi="宋体"/>
          <w:szCs w:val="24"/>
        </w:rPr>
      </w:pPr>
      <w:r>
        <w:rPr>
          <w:rFonts w:hint="eastAsia" w:ascii="宋体" w:hAnsi="宋体"/>
          <w:szCs w:val="18"/>
        </w:rPr>
        <w:t xml:space="preserve"> </w:t>
      </w:r>
      <w:r>
        <w:rPr>
          <w:rFonts w:hint="eastAsia" w:ascii="宋体" w:hAnsi="宋体"/>
          <w:szCs w:val="24"/>
        </w:rPr>
        <w:t>说明：1、本表只填写投标文件中与招标文件有偏离（包括正偏离和负偏离）的内容，投标文件中商务条款响应与招标文件要求完全一致的，可以不用在此表中列出。</w:t>
      </w:r>
    </w:p>
    <w:p>
      <w:pPr>
        <w:pStyle w:val="2"/>
        <w:widowControl/>
        <w:spacing w:line="360" w:lineRule="auto"/>
        <w:ind w:firstLine="492"/>
        <w:rPr>
          <w:rFonts w:ascii="宋体" w:hAnsi="宋体"/>
          <w:szCs w:val="24"/>
        </w:rPr>
      </w:pPr>
      <w:r>
        <w:rPr>
          <w:rFonts w:hint="eastAsia" w:ascii="宋体" w:hAnsi="宋体"/>
          <w:szCs w:val="24"/>
        </w:rPr>
        <w:t>2、投标人不得虚假填写，否则一切责任由投标人承担。</w:t>
      </w:r>
    </w:p>
    <w:p>
      <w:pPr>
        <w:ind w:firstLine="492"/>
        <w:rPr>
          <w:rFonts w:ascii="宋体" w:hAnsi="宋体"/>
          <w:szCs w:val="24"/>
        </w:rPr>
      </w:pPr>
      <w:r>
        <w:rPr>
          <w:rFonts w:hint="eastAsia" w:ascii="宋体" w:hAnsi="宋体"/>
          <w:szCs w:val="24"/>
        </w:rPr>
        <w:t>3、招标文件中加“★”条款为符合性审查项，其偏离不列入本表中。</w:t>
      </w:r>
    </w:p>
    <w:p>
      <w:pPr>
        <w:pStyle w:val="2"/>
        <w:spacing w:line="360" w:lineRule="auto"/>
        <w:ind w:firstLine="492"/>
        <w:rPr>
          <w:szCs w:val="24"/>
        </w:rPr>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5"/>
        <w:ind w:left="322" w:firstLine="494" w:firstLineChars="0"/>
        <w:rPr>
          <w:color w:val="auto"/>
        </w:rPr>
      </w:pPr>
      <w:bookmarkStart w:id="261" w:name="_Toc4083"/>
      <w:r>
        <w:rPr>
          <w:rFonts w:hint="eastAsia"/>
          <w:color w:val="auto"/>
        </w:rPr>
        <w:t>技术条款偏离表</w:t>
      </w:r>
      <w:bookmarkEnd w:id="261"/>
    </w:p>
    <w:p>
      <w:pPr>
        <w:snapToGrid w:val="0"/>
        <w:spacing w:line="500" w:lineRule="exact"/>
        <w:ind w:right="-727" w:rightChars="-297" w:firstLine="494"/>
        <w:rPr>
          <w:rFonts w:ascii="宋体" w:hAnsi="宋体"/>
          <w:b/>
          <w:szCs w:val="24"/>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pStyle w:val="14"/>
        <w:tabs>
          <w:tab w:val="left" w:pos="7560"/>
        </w:tabs>
        <w:spacing w:after="0" w:line="500" w:lineRule="exact"/>
        <w:ind w:firstLine="494"/>
        <w:rPr>
          <w:rFonts w:hint="eastAsia" w:ascii="宋体" w:hAnsi="宋体" w:eastAsia="宋体"/>
          <w:b/>
          <w:szCs w:val="24"/>
          <w:u w:val="single"/>
          <w:lang w:eastAsia="zh-CN"/>
        </w:rPr>
      </w:pPr>
      <w:r>
        <w:rPr>
          <w:rFonts w:hint="eastAsia" w:ascii="宋体" w:hAnsi="宋体"/>
          <w:b/>
          <w:szCs w:val="24"/>
        </w:rPr>
        <w:t>项目编号：</w:t>
      </w:r>
      <w:r>
        <w:rPr>
          <w:rFonts w:hint="eastAsia" w:ascii="宋体" w:hAnsi="宋体"/>
          <w:b/>
          <w:szCs w:val="24"/>
          <w:u w:val="single"/>
          <w:lang w:eastAsia="zh-CN"/>
        </w:rPr>
        <w:t>510112202100118</w:t>
      </w:r>
    </w:p>
    <w:p>
      <w:pPr>
        <w:pStyle w:val="14"/>
        <w:tabs>
          <w:tab w:val="left" w:pos="7560"/>
        </w:tabs>
        <w:spacing w:after="0" w:line="500" w:lineRule="exact"/>
        <w:ind w:firstLine="494"/>
        <w:rPr>
          <w:rFonts w:ascii="宋体" w:hAnsi="宋体"/>
          <w:b/>
          <w:szCs w:val="24"/>
          <w:u w:val="single"/>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p>
      <w:pPr>
        <w:pStyle w:val="2"/>
        <w:ind w:firstLine="492"/>
      </w:pP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589"/>
        <w:gridCol w:w="2552"/>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51"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序号</w:t>
            </w:r>
          </w:p>
        </w:tc>
        <w:tc>
          <w:tcPr>
            <w:tcW w:w="1276"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招标文件的</w:t>
            </w:r>
            <w:r>
              <w:rPr>
                <w:rFonts w:hint="eastAsia"/>
              </w:rPr>
              <w:t>技术</w:t>
            </w:r>
            <w:r>
              <w:rPr>
                <w:rFonts w:hint="eastAsia" w:ascii="宋体" w:hAnsi="宋体"/>
                <w:szCs w:val="24"/>
              </w:rPr>
              <w:t>条款</w:t>
            </w:r>
          </w:p>
        </w:tc>
        <w:tc>
          <w:tcPr>
            <w:tcW w:w="2552"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szCs w:val="24"/>
              </w:rPr>
            </w:pPr>
            <w:r>
              <w:rPr>
                <w:rFonts w:hint="eastAsia" w:ascii="宋体" w:hAnsi="宋体"/>
                <w:szCs w:val="24"/>
              </w:rPr>
              <w:t>投标文件的</w:t>
            </w:r>
            <w:r>
              <w:rPr>
                <w:rFonts w:hint="eastAsia"/>
              </w:rPr>
              <w:t>技术</w:t>
            </w:r>
            <w:r>
              <w:rPr>
                <w:rFonts w:hint="eastAsia" w:ascii="宋体" w:hAnsi="宋体"/>
                <w:szCs w:val="24"/>
              </w:rPr>
              <w:t>条款</w:t>
            </w:r>
          </w:p>
        </w:tc>
        <w:tc>
          <w:tcPr>
            <w:tcW w:w="1379"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szCs w:val="24"/>
              </w:rPr>
            </w:pPr>
            <w:r>
              <w:rPr>
                <w:rFonts w:hint="eastAsia" w:ascii="宋体" w:hAnsi="宋体"/>
                <w:szCs w:val="24"/>
              </w:rPr>
              <w:t>是否偏离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8" w:space="0"/>
              <w:right w:val="single" w:color="auto" w:sz="4" w:space="0"/>
            </w:tcBorders>
          </w:tcPr>
          <w:p>
            <w:pPr>
              <w:ind w:firstLine="0" w:firstLineChars="0"/>
              <w:rPr>
                <w:rFonts w:ascii="宋体" w:hAnsi="宋体"/>
                <w:szCs w:val="24"/>
              </w:rPr>
            </w:pPr>
          </w:p>
        </w:tc>
        <w:tc>
          <w:tcPr>
            <w:tcW w:w="1276"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szCs w:val="24"/>
              </w:rPr>
            </w:pPr>
          </w:p>
        </w:tc>
        <w:tc>
          <w:tcPr>
            <w:tcW w:w="2589"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szCs w:val="24"/>
              </w:rPr>
            </w:pPr>
          </w:p>
        </w:tc>
        <w:tc>
          <w:tcPr>
            <w:tcW w:w="2552"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szCs w:val="24"/>
              </w:rPr>
            </w:pPr>
          </w:p>
        </w:tc>
        <w:tc>
          <w:tcPr>
            <w:tcW w:w="1379" w:type="dxa"/>
            <w:tcBorders>
              <w:top w:val="single" w:color="auto" w:sz="4" w:space="0"/>
              <w:left w:val="single" w:color="auto" w:sz="4" w:space="0"/>
              <w:bottom w:val="single" w:color="auto" w:sz="8" w:space="0"/>
              <w:right w:val="single" w:color="auto" w:sz="8" w:space="0"/>
            </w:tcBorders>
          </w:tcPr>
          <w:p>
            <w:pPr>
              <w:ind w:firstLine="0" w:firstLineChars="0"/>
              <w:rPr>
                <w:rFonts w:ascii="宋体" w:hAnsi="宋体"/>
                <w:szCs w:val="24"/>
              </w:rPr>
            </w:pPr>
          </w:p>
        </w:tc>
      </w:tr>
    </w:tbl>
    <w:p>
      <w:pPr>
        <w:pStyle w:val="2"/>
        <w:widowControl/>
        <w:spacing w:line="40" w:lineRule="atLeast"/>
        <w:ind w:firstLine="492"/>
        <w:rPr>
          <w:rFonts w:ascii="宋体" w:hAnsi="宋体"/>
          <w:szCs w:val="18"/>
        </w:rPr>
      </w:pPr>
      <w:r>
        <w:rPr>
          <w:rFonts w:hint="eastAsia" w:ascii="宋体" w:hAnsi="宋体"/>
          <w:szCs w:val="18"/>
        </w:rPr>
        <w:t xml:space="preserve"> 说明：1、本表只填写投标文件中与招标文件有偏离（包括正偏离和负偏离）的内容，投标文件中</w:t>
      </w:r>
      <w:r>
        <w:rPr>
          <w:rFonts w:hint="eastAsia"/>
        </w:rPr>
        <w:t>技术</w:t>
      </w:r>
      <w:r>
        <w:rPr>
          <w:rFonts w:hint="eastAsia" w:ascii="宋体" w:hAnsi="宋体"/>
          <w:szCs w:val="18"/>
        </w:rPr>
        <w:t>条款响应与招标文件要求完全一致的，可以不用在此表中列出。</w:t>
      </w:r>
    </w:p>
    <w:p>
      <w:pPr>
        <w:pStyle w:val="2"/>
        <w:widowControl/>
        <w:spacing w:line="40" w:lineRule="atLeast"/>
        <w:ind w:firstLine="980" w:firstLineChars="400"/>
        <w:rPr>
          <w:rFonts w:ascii="宋体" w:hAnsi="宋体"/>
          <w:szCs w:val="18"/>
        </w:rPr>
      </w:pPr>
      <w:r>
        <w:rPr>
          <w:rFonts w:hint="eastAsia" w:ascii="宋体" w:hAnsi="宋体"/>
          <w:szCs w:val="18"/>
        </w:rPr>
        <w:t>2、投标人不得虚假填写，否则一切责任由投标人承担。</w:t>
      </w:r>
    </w:p>
    <w:p>
      <w:pPr>
        <w:spacing w:line="400" w:lineRule="exact"/>
        <w:ind w:firstLine="980" w:firstLineChars="400"/>
        <w:rPr>
          <w:rFonts w:ascii="宋体" w:hAnsi="宋体"/>
          <w:szCs w:val="18"/>
        </w:rPr>
      </w:pPr>
      <w:r>
        <w:rPr>
          <w:rFonts w:hint="eastAsia" w:ascii="宋体" w:hAnsi="宋体"/>
          <w:szCs w:val="18"/>
        </w:rPr>
        <w:t>3、招标文件中加“★”条款为符合性审查项，其偏离不列入本表中。</w:t>
      </w:r>
    </w:p>
    <w:p>
      <w:pPr>
        <w:pStyle w:val="2"/>
        <w:ind w:firstLine="492"/>
      </w:pPr>
    </w:p>
    <w:p>
      <w:pPr>
        <w:pStyle w:val="2"/>
        <w:ind w:firstLine="492"/>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ind w:firstLine="492"/>
      </w:pPr>
    </w:p>
    <w:p>
      <w:pPr>
        <w:pStyle w:val="2"/>
        <w:ind w:firstLine="492"/>
      </w:pPr>
    </w:p>
    <w:p>
      <w:pPr>
        <w:pStyle w:val="5"/>
        <w:ind w:left="322" w:firstLine="494" w:firstLineChars="0"/>
        <w:rPr>
          <w:color w:val="auto"/>
        </w:rPr>
      </w:pPr>
      <w:bookmarkStart w:id="262" w:name="_Toc24188"/>
      <w:r>
        <w:rPr>
          <w:rFonts w:hint="eastAsia"/>
          <w:color w:val="auto"/>
          <w:lang w:val="en-US" w:eastAsia="zh-CN"/>
        </w:rPr>
        <w:t>拟采用的污泥处置方式</w:t>
      </w:r>
    </w:p>
    <w:p>
      <w:pPr>
        <w:snapToGrid w:val="0"/>
        <w:ind w:firstLine="494"/>
        <w:rPr>
          <w:rFonts w:ascii="宋体" w:hAnsi="宋体"/>
          <w:b/>
          <w:szCs w:val="24"/>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pStyle w:val="14"/>
        <w:tabs>
          <w:tab w:val="left" w:pos="7560"/>
        </w:tabs>
        <w:spacing w:after="0" w:line="360" w:lineRule="auto"/>
        <w:ind w:firstLine="494"/>
        <w:rPr>
          <w:rFonts w:hint="eastAsia" w:eastAsia="宋体"/>
          <w:szCs w:val="24"/>
          <w:lang w:eastAsia="zh-CN"/>
        </w:rPr>
      </w:pPr>
      <w:r>
        <w:rPr>
          <w:rFonts w:hint="eastAsia" w:ascii="宋体" w:hAnsi="宋体"/>
          <w:b/>
          <w:szCs w:val="24"/>
        </w:rPr>
        <w:t>项目编号：</w:t>
      </w:r>
      <w:r>
        <w:rPr>
          <w:rFonts w:hint="eastAsia" w:ascii="宋体" w:hAnsi="宋体"/>
          <w:b/>
          <w:szCs w:val="24"/>
          <w:u w:val="single"/>
          <w:lang w:eastAsia="zh-CN"/>
        </w:rPr>
        <w:t>510112202100118</w:t>
      </w:r>
    </w:p>
    <w:p>
      <w:pPr>
        <w:ind w:firstLine="494"/>
        <w:rPr>
          <w:szCs w:val="24"/>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firstLine="245" w:firstLineChars="100"/>
        <w:textAlignment w:val="auto"/>
        <w:rPr>
          <w:rFonts w:ascii="宋体" w:hAnsi="宋体"/>
          <w:szCs w:val="24"/>
          <w:highlight w:val="none"/>
        </w:rPr>
      </w:pPr>
      <w:r>
        <w:rPr>
          <w:rFonts w:hint="eastAsia" w:ascii="宋体" w:hAnsi="宋体"/>
          <w:b/>
          <w:bCs/>
          <w:szCs w:val="24"/>
          <w:highlight w:val="none"/>
        </w:rPr>
        <w:t>四川世科工程咨询有限公司：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735" w:firstLineChars="300"/>
        <w:textAlignment w:val="auto"/>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735" w:firstLineChars="300"/>
        <w:textAlignment w:val="auto"/>
        <w:rPr>
          <w:rFonts w:hint="eastAsia"/>
          <w:color w:val="auto"/>
          <w:highlight w:val="none"/>
          <w:lang w:val="en-US" w:eastAsia="zh-CN"/>
        </w:rPr>
      </w:pPr>
      <w:r>
        <w:rPr>
          <w:rFonts w:hint="eastAsia"/>
          <w:color w:val="auto"/>
          <w:highlight w:val="none"/>
          <w:lang w:val="en-US" w:eastAsia="zh-CN"/>
        </w:rPr>
        <w:t>我单位作为本项目投标人，针对本项目情况，拟采用的污泥处置方式为</w:t>
      </w:r>
      <w:r>
        <w:rPr>
          <w:rFonts w:hint="eastAsia"/>
          <w:color w:val="auto"/>
          <w:highlight w:val="none"/>
          <w:u w:val="single"/>
          <w:lang w:val="en-US" w:eastAsia="zh-CN"/>
        </w:rPr>
        <w:t xml:space="preserve">            </w:t>
      </w:r>
      <w:r>
        <w:rPr>
          <w:rFonts w:hint="eastAsia"/>
          <w:color w:val="auto"/>
          <w:highlight w:val="none"/>
          <w:lang w:val="en-US" w:eastAsia="zh-CN"/>
        </w:rPr>
        <w:t xml:space="preserve"> ，达到</w:t>
      </w:r>
      <w:r>
        <w:rPr>
          <w:rFonts w:hint="eastAsia"/>
          <w:color w:val="auto"/>
          <w:highlight w:val="none"/>
          <w:u w:val="single"/>
          <w:lang w:val="en-US" w:eastAsia="zh-CN"/>
        </w:rPr>
        <w:t xml:space="preserve">                </w:t>
      </w:r>
      <w:r>
        <w:rPr>
          <w:rFonts w:hint="eastAsia"/>
          <w:color w:val="auto"/>
          <w:highlight w:val="none"/>
          <w:lang w:val="en-US" w:eastAsia="zh-CN"/>
        </w:rPr>
        <w:t>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735" w:firstLineChars="300"/>
        <w:textAlignment w:val="auto"/>
        <w:rPr>
          <w:rFonts w:hint="eastAsia" w:ascii="宋体" w:hAnsi="宋体"/>
          <w:bCs/>
          <w:szCs w:val="24"/>
          <w:u w:val="none"/>
          <w:lang w:val="en-US" w:eastAsia="zh-CN"/>
        </w:rPr>
      </w:pPr>
    </w:p>
    <w:p>
      <w:pPr>
        <w:pStyle w:val="2"/>
        <w:rPr>
          <w:rFonts w:hint="eastAsia" w:ascii="宋体" w:hAnsi="宋体"/>
          <w:bCs/>
          <w:szCs w:val="24"/>
          <w:u w:val="single"/>
        </w:rPr>
      </w:pPr>
    </w:p>
    <w:p>
      <w:pPr>
        <w:pStyle w:val="2"/>
        <w:rPr>
          <w:rFonts w:hint="eastAsia"/>
          <w:color w:val="auto"/>
          <w:lang w:val="en-US" w:eastAsia="zh-CN"/>
        </w:rPr>
      </w:pPr>
      <w:r>
        <w:rPr>
          <w:rFonts w:hint="eastAsia" w:ascii="宋体" w:hAnsi="宋体"/>
          <w:bCs/>
          <w:szCs w:val="24"/>
          <w:u w:val="single"/>
        </w:rPr>
        <w:t xml:space="preserve">         </w:t>
      </w: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lang w:val="en-US" w:eastAsia="zh-CN"/>
        </w:rPr>
      </w:pPr>
    </w:p>
    <w:p>
      <w:pPr>
        <w:pStyle w:val="2"/>
        <w:rPr>
          <w:rFonts w:hint="eastAsia"/>
          <w:color w:val="auto"/>
          <w:lang w:val="en-US" w:eastAsia="zh-CN"/>
        </w:rPr>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rPr>
          <w:rFonts w:hint="eastAsia"/>
          <w:color w:val="auto"/>
          <w:lang w:val="en-US" w:eastAsia="zh-CN"/>
        </w:rPr>
      </w:pPr>
    </w:p>
    <w:p>
      <w:pPr>
        <w:pStyle w:val="2"/>
      </w:pPr>
    </w:p>
    <w:p/>
    <w:p>
      <w:pPr>
        <w:pStyle w:val="2"/>
      </w:pPr>
    </w:p>
    <w:p/>
    <w:p>
      <w:pPr>
        <w:pStyle w:val="2"/>
      </w:pPr>
    </w:p>
    <w:p/>
    <w:p>
      <w:pPr>
        <w:pStyle w:val="5"/>
        <w:ind w:left="322" w:firstLine="494" w:firstLineChars="0"/>
        <w:rPr>
          <w:color w:val="auto"/>
        </w:rPr>
      </w:pPr>
      <w:r>
        <w:rPr>
          <w:rFonts w:hint="eastAsia"/>
          <w:color w:val="auto"/>
        </w:rPr>
        <w:t>业绩一览表</w:t>
      </w:r>
      <w:bookmarkEnd w:id="262"/>
    </w:p>
    <w:p>
      <w:pPr>
        <w:snapToGrid w:val="0"/>
        <w:ind w:firstLine="494"/>
        <w:rPr>
          <w:rFonts w:ascii="宋体" w:hAnsi="宋体"/>
          <w:b/>
          <w:szCs w:val="24"/>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pStyle w:val="14"/>
        <w:tabs>
          <w:tab w:val="left" w:pos="7560"/>
        </w:tabs>
        <w:spacing w:after="0" w:line="360" w:lineRule="auto"/>
        <w:ind w:firstLine="494"/>
        <w:rPr>
          <w:rFonts w:hint="eastAsia" w:eastAsia="宋体"/>
          <w:szCs w:val="24"/>
          <w:lang w:eastAsia="zh-CN"/>
        </w:rPr>
      </w:pPr>
      <w:r>
        <w:rPr>
          <w:rFonts w:hint="eastAsia" w:ascii="宋体" w:hAnsi="宋体"/>
          <w:b/>
          <w:szCs w:val="24"/>
        </w:rPr>
        <w:t>项目编号：</w:t>
      </w:r>
      <w:r>
        <w:rPr>
          <w:rFonts w:hint="eastAsia" w:ascii="宋体" w:hAnsi="宋体"/>
          <w:b/>
          <w:szCs w:val="24"/>
          <w:u w:val="single"/>
          <w:lang w:eastAsia="zh-CN"/>
        </w:rPr>
        <w:t>510112202100118</w:t>
      </w:r>
    </w:p>
    <w:p>
      <w:pPr>
        <w:ind w:firstLine="494"/>
        <w:rPr>
          <w:szCs w:val="24"/>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p>
    <w:tbl>
      <w:tblPr>
        <w:tblStyle w:val="43"/>
        <w:tblW w:w="8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7"/>
        <w:gridCol w:w="1802"/>
        <w:gridCol w:w="2075"/>
        <w:gridCol w:w="1352"/>
        <w:gridCol w:w="1352"/>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top w:val="single" w:color="auto" w:sz="4" w:space="0"/>
            </w:tcBorders>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年份</w:t>
            </w:r>
          </w:p>
        </w:tc>
        <w:tc>
          <w:tcPr>
            <w:tcW w:w="1802" w:type="dxa"/>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用户名称</w:t>
            </w:r>
          </w:p>
        </w:tc>
        <w:tc>
          <w:tcPr>
            <w:tcW w:w="2075" w:type="dxa"/>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项目名称</w:t>
            </w:r>
          </w:p>
        </w:tc>
        <w:tc>
          <w:tcPr>
            <w:tcW w:w="1352" w:type="dxa"/>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完成时间</w:t>
            </w:r>
          </w:p>
        </w:tc>
        <w:tc>
          <w:tcPr>
            <w:tcW w:w="1352" w:type="dxa"/>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合同金额</w:t>
            </w:r>
          </w:p>
        </w:tc>
        <w:tc>
          <w:tcPr>
            <w:tcW w:w="1284" w:type="dxa"/>
            <w:tcBorders>
              <w:left w:val="single" w:color="auto" w:sz="4" w:space="0"/>
            </w:tcBorders>
            <w:vAlign w:val="center"/>
          </w:tcPr>
          <w:p>
            <w:pPr>
              <w:spacing w:line="240" w:lineRule="auto"/>
              <w:ind w:firstLine="0" w:firstLineChars="0"/>
              <w:outlineLvl w:val="5"/>
              <w:rPr>
                <w:rFonts w:ascii="宋体" w:hAnsi="宋体" w:cs="宋体"/>
                <w:b/>
                <w:szCs w:val="24"/>
              </w:rPr>
            </w:pPr>
            <w:r>
              <w:rPr>
                <w:rFonts w:hint="eastAsia" w:ascii="宋体" w:hAnsi="宋体" w:cs="宋体"/>
                <w:b/>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tcBorders>
              <w:right w:val="single" w:color="auto" w:sz="4" w:space="0"/>
            </w:tcBorders>
            <w:vAlign w:val="center"/>
          </w:tcPr>
          <w:p>
            <w:pPr>
              <w:spacing w:line="240" w:lineRule="auto"/>
              <w:ind w:firstLine="0" w:firstLineChars="0"/>
              <w:outlineLvl w:val="5"/>
              <w:rPr>
                <w:rFonts w:ascii="宋体" w:hAnsi="宋体" w:cs="宋体"/>
                <w:szCs w:val="24"/>
              </w:rPr>
            </w:pPr>
          </w:p>
        </w:tc>
        <w:tc>
          <w:tcPr>
            <w:tcW w:w="2075" w:type="dxa"/>
            <w:tcBorders>
              <w:left w:val="single" w:color="auto" w:sz="4" w:space="0"/>
            </w:tcBorders>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right w:val="single" w:color="auto" w:sz="4" w:space="0"/>
            </w:tcBorders>
            <w:vAlign w:val="center"/>
          </w:tcPr>
          <w:p>
            <w:pPr>
              <w:spacing w:line="240" w:lineRule="auto"/>
              <w:ind w:firstLine="0" w:firstLineChars="0"/>
              <w:outlineLvl w:val="5"/>
              <w:rPr>
                <w:rFonts w:ascii="宋体" w:hAnsi="宋体" w:cs="宋体"/>
                <w:szCs w:val="24"/>
              </w:rPr>
            </w:pPr>
          </w:p>
        </w:tc>
        <w:tc>
          <w:tcPr>
            <w:tcW w:w="180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szCs w:val="24"/>
              </w:rPr>
            </w:pPr>
          </w:p>
        </w:tc>
        <w:tc>
          <w:tcPr>
            <w:tcW w:w="2075"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szCs w:val="24"/>
              </w:rPr>
            </w:pPr>
          </w:p>
        </w:tc>
        <w:tc>
          <w:tcPr>
            <w:tcW w:w="1802" w:type="dxa"/>
            <w:vAlign w:val="center"/>
          </w:tcPr>
          <w:p>
            <w:pPr>
              <w:spacing w:line="240" w:lineRule="auto"/>
              <w:ind w:firstLine="0" w:firstLineChars="0"/>
              <w:outlineLvl w:val="5"/>
              <w:rPr>
                <w:rFonts w:ascii="宋体" w:hAnsi="宋体" w:cs="宋体"/>
                <w:szCs w:val="24"/>
              </w:rPr>
            </w:pPr>
          </w:p>
        </w:tc>
        <w:tc>
          <w:tcPr>
            <w:tcW w:w="2075"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352" w:type="dxa"/>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617" w:type="dxa"/>
            <w:tcBorders>
              <w:bottom w:val="single" w:color="auto" w:sz="4" w:space="0"/>
            </w:tcBorders>
            <w:vAlign w:val="center"/>
          </w:tcPr>
          <w:p>
            <w:pPr>
              <w:spacing w:line="240" w:lineRule="auto"/>
              <w:ind w:firstLine="0" w:firstLineChars="0"/>
              <w:outlineLvl w:val="5"/>
              <w:rPr>
                <w:rFonts w:ascii="宋体" w:hAnsi="宋体" w:cs="宋体"/>
                <w:szCs w:val="24"/>
              </w:rPr>
            </w:pPr>
          </w:p>
        </w:tc>
        <w:tc>
          <w:tcPr>
            <w:tcW w:w="1802" w:type="dxa"/>
            <w:tcBorders>
              <w:bottom w:val="single" w:color="auto" w:sz="4" w:space="0"/>
            </w:tcBorders>
            <w:vAlign w:val="center"/>
          </w:tcPr>
          <w:p>
            <w:pPr>
              <w:spacing w:line="240" w:lineRule="auto"/>
              <w:ind w:firstLine="0" w:firstLineChars="0"/>
              <w:outlineLvl w:val="5"/>
              <w:rPr>
                <w:rFonts w:ascii="宋体" w:hAnsi="宋体" w:cs="宋体"/>
                <w:szCs w:val="24"/>
              </w:rPr>
            </w:pPr>
          </w:p>
        </w:tc>
        <w:tc>
          <w:tcPr>
            <w:tcW w:w="2075" w:type="dxa"/>
            <w:tcBorders>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szCs w:val="24"/>
              </w:rPr>
            </w:pPr>
          </w:p>
        </w:tc>
        <w:tc>
          <w:tcPr>
            <w:tcW w:w="1284" w:type="dxa"/>
            <w:tcBorders>
              <w:left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szCs w:val="24"/>
              </w:rPr>
            </w:pPr>
          </w:p>
        </w:tc>
      </w:tr>
    </w:tbl>
    <w:p>
      <w:pPr>
        <w:pStyle w:val="2"/>
        <w:spacing w:line="360" w:lineRule="auto"/>
        <w:ind w:firstLine="492"/>
        <w:rPr>
          <w:szCs w:val="24"/>
        </w:rPr>
      </w:pPr>
      <w:bookmarkStart w:id="263" w:name="_Toc858"/>
      <w:bookmarkStart w:id="264" w:name="_Toc4615"/>
      <w:bookmarkStart w:id="265" w:name="_Toc3145"/>
      <w:bookmarkStart w:id="266" w:name="_Toc12974"/>
      <w:bookmarkStart w:id="267" w:name="_Toc30185"/>
      <w:r>
        <w:rPr>
          <w:rFonts w:hint="eastAsia" w:ascii="宋体" w:hAnsi="宋体" w:cs="宋体"/>
          <w:szCs w:val="24"/>
        </w:rPr>
        <w:t>说明：以上业绩仅限投标人自己实施的。</w:t>
      </w:r>
      <w:bookmarkEnd w:id="263"/>
      <w:bookmarkEnd w:id="264"/>
      <w:bookmarkEnd w:id="265"/>
      <w:bookmarkEnd w:id="266"/>
      <w:bookmarkEnd w:id="267"/>
      <w:r>
        <w:rPr>
          <w:rFonts w:hint="eastAsia"/>
          <w:szCs w:val="24"/>
        </w:rPr>
        <w:t>对于投标人不涉及的项，可不填写，如无业绩，可不提供本页内容。</w:t>
      </w:r>
    </w:p>
    <w:p>
      <w:pPr>
        <w:ind w:firstLine="492"/>
      </w:pPr>
    </w:p>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ind w:firstLine="492"/>
        <w:rPr>
          <w:rFonts w:ascii="宋体" w:hAnsi="宋体"/>
          <w:szCs w:val="24"/>
        </w:rPr>
      </w:pPr>
    </w:p>
    <w:p>
      <w:pPr>
        <w:ind w:firstLine="492"/>
        <w:rPr>
          <w:rFonts w:ascii="宋体" w:hAnsi="宋体"/>
          <w:szCs w:val="24"/>
        </w:rPr>
      </w:pPr>
    </w:p>
    <w:p>
      <w:pPr>
        <w:pStyle w:val="2"/>
        <w:ind w:firstLine="492"/>
      </w:pPr>
    </w:p>
    <w:bookmarkEnd w:id="258"/>
    <w:bookmarkEnd w:id="259"/>
    <w:bookmarkEnd w:id="260"/>
    <w:p>
      <w:pPr>
        <w:pStyle w:val="5"/>
        <w:ind w:left="322" w:firstLine="494" w:firstLineChars="0"/>
        <w:rPr>
          <w:color w:val="auto"/>
        </w:rPr>
      </w:pPr>
      <w:r>
        <w:rPr>
          <w:rFonts w:hint="eastAsia"/>
          <w:color w:val="auto"/>
        </w:rPr>
        <w:t>服务方案</w:t>
      </w:r>
    </w:p>
    <w:p>
      <w:pPr>
        <w:snapToGrid w:val="0"/>
        <w:ind w:firstLine="494"/>
        <w:rPr>
          <w:rFonts w:ascii="宋体" w:hAnsi="宋体"/>
          <w:b/>
          <w:szCs w:val="24"/>
        </w:rPr>
      </w:pPr>
      <w:r>
        <w:rPr>
          <w:rFonts w:hint="eastAsia" w:ascii="宋体" w:hAnsi="宋体"/>
          <w:b/>
          <w:szCs w:val="24"/>
        </w:rPr>
        <w:t>项目名称：</w:t>
      </w:r>
      <w:r>
        <w:rPr>
          <w:rFonts w:hint="eastAsia" w:ascii="宋体" w:hAnsi="宋体"/>
          <w:b/>
          <w:szCs w:val="24"/>
          <w:u w:val="single"/>
        </w:rPr>
        <w:t>成都市龙泉驿区水务局2021-2023年污泥处置服务采购项目</w:t>
      </w:r>
    </w:p>
    <w:p>
      <w:pPr>
        <w:pStyle w:val="14"/>
        <w:tabs>
          <w:tab w:val="left" w:pos="7560"/>
        </w:tabs>
        <w:spacing w:after="0" w:line="360" w:lineRule="auto"/>
        <w:ind w:firstLine="494"/>
        <w:rPr>
          <w:rFonts w:hint="eastAsia" w:ascii="宋体" w:hAnsi="宋体" w:eastAsia="宋体"/>
          <w:b/>
          <w:szCs w:val="24"/>
          <w:u w:val="single"/>
          <w:lang w:eastAsia="zh-CN"/>
        </w:rPr>
      </w:pPr>
      <w:r>
        <w:rPr>
          <w:rFonts w:hint="eastAsia" w:ascii="宋体" w:hAnsi="宋体"/>
          <w:b/>
          <w:szCs w:val="24"/>
        </w:rPr>
        <w:t>项目编号：</w:t>
      </w:r>
      <w:r>
        <w:rPr>
          <w:rFonts w:hint="eastAsia" w:ascii="宋体" w:hAnsi="宋体"/>
          <w:b/>
          <w:szCs w:val="24"/>
          <w:u w:val="single"/>
          <w:lang w:eastAsia="zh-CN"/>
        </w:rPr>
        <w:t>510112202100118</w:t>
      </w:r>
    </w:p>
    <w:p>
      <w:pPr>
        <w:pStyle w:val="2"/>
        <w:spacing w:line="360" w:lineRule="auto"/>
        <w:ind w:firstLine="494"/>
        <w:rPr>
          <w:szCs w:val="24"/>
        </w:rPr>
      </w:pPr>
      <w:r>
        <w:rPr>
          <w:rFonts w:hint="eastAsia" w:ascii="宋体" w:hAnsi="宋体"/>
          <w:b/>
          <w:szCs w:val="24"/>
        </w:rPr>
        <w:t>包 件 号：</w:t>
      </w:r>
      <w:r>
        <w:rPr>
          <w:rFonts w:hint="eastAsia" w:ascii="宋体" w:hAnsi="宋体"/>
          <w:b/>
          <w:szCs w:val="24"/>
          <w:u w:val="single"/>
        </w:rPr>
        <w:t xml:space="preserve"> </w:t>
      </w:r>
      <w:r>
        <w:rPr>
          <w:rFonts w:hint="eastAsia" w:ascii="宋体" w:hAnsi="宋体"/>
          <w:b/>
          <w:sz w:val="28"/>
          <w:szCs w:val="28"/>
          <w:u w:val="single"/>
        </w:rPr>
        <w:t xml:space="preserve">  </w:t>
      </w:r>
      <w:r>
        <w:rPr>
          <w:rFonts w:hint="eastAsia" w:ascii="宋体" w:hAnsi="宋体"/>
          <w:b/>
          <w:szCs w:val="24"/>
          <w:u w:val="single"/>
        </w:rPr>
        <w:t xml:space="preserve">       </w:t>
      </w:r>
    </w:p>
    <w:p>
      <w:pPr>
        <w:pStyle w:val="14"/>
        <w:tabs>
          <w:tab w:val="left" w:pos="7560"/>
        </w:tabs>
        <w:spacing w:after="0" w:line="360" w:lineRule="auto"/>
        <w:ind w:firstLine="494"/>
        <w:rPr>
          <w:rFonts w:ascii="宋体" w:hAnsi="宋体"/>
          <w:b/>
          <w:szCs w:val="24"/>
        </w:rPr>
      </w:pPr>
    </w:p>
    <w:bookmarkEnd w:id="256"/>
    <w:p>
      <w:pPr>
        <w:ind w:firstLine="492"/>
        <w:rPr>
          <w:rFonts w:ascii="宋体" w:hAnsi="宋体"/>
          <w:bCs/>
          <w:szCs w:val="24"/>
        </w:rPr>
      </w:pPr>
      <w:bookmarkStart w:id="268" w:name="_Toc316475719"/>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pStyle w:val="2"/>
        <w:spacing w:line="360" w:lineRule="auto"/>
        <w:ind w:firstLine="492"/>
        <w:rPr>
          <w:rFonts w:ascii="宋体" w:hAnsi="宋体"/>
          <w:bCs/>
          <w:szCs w:val="24"/>
        </w:rPr>
      </w:pPr>
    </w:p>
    <w:p>
      <w:pPr>
        <w:ind w:firstLine="492"/>
        <w:rPr>
          <w:rFonts w:ascii="宋体" w:hAnsi="宋体"/>
          <w:bCs/>
          <w:szCs w:val="24"/>
        </w:rPr>
      </w:pPr>
    </w:p>
    <w:p>
      <w:pPr>
        <w:pStyle w:val="2"/>
        <w:spacing w:line="360" w:lineRule="auto"/>
        <w:ind w:firstLine="492"/>
        <w:rPr>
          <w:szCs w:val="24"/>
        </w:rPr>
      </w:pPr>
    </w:p>
    <w:bookmarkEnd w:id="268"/>
    <w:p>
      <w:pPr>
        <w:pStyle w:val="26"/>
        <w:spacing w:after="0" w:line="360" w:lineRule="auto"/>
        <w:ind w:left="0" w:leftChars="0" w:firstLine="492"/>
        <w:rPr>
          <w:rFonts w:ascii="宋体" w:hAnsi="宋体"/>
          <w:bCs/>
          <w:szCs w:val="24"/>
        </w:rPr>
      </w:pPr>
      <w:r>
        <w:rPr>
          <w:rFonts w:hint="eastAsia" w:ascii="宋体" w:hAnsi="宋体"/>
          <w:bCs/>
          <w:szCs w:val="24"/>
        </w:rPr>
        <w:t>投标人名称：</w:t>
      </w:r>
      <w:r>
        <w:rPr>
          <w:rFonts w:hint="eastAsia" w:ascii="宋体" w:hAnsi="宋体"/>
          <w:bCs/>
          <w:szCs w:val="24"/>
          <w:u w:val="single"/>
        </w:rPr>
        <w:t xml:space="preserve">                       </w:t>
      </w:r>
      <w:r>
        <w:rPr>
          <w:rFonts w:hint="eastAsia" w:ascii="宋体" w:hAnsi="宋体"/>
          <w:bCs/>
          <w:szCs w:val="24"/>
        </w:rPr>
        <w:t>（加盖单位公章）</w:t>
      </w:r>
    </w:p>
    <w:p>
      <w:pPr>
        <w:pStyle w:val="26"/>
        <w:spacing w:after="0" w:line="360" w:lineRule="auto"/>
        <w:ind w:left="0" w:leftChars="0" w:firstLine="492"/>
        <w:rPr>
          <w:rFonts w:ascii="宋体" w:hAnsi="宋体"/>
          <w:bCs/>
          <w:szCs w:val="24"/>
        </w:rPr>
      </w:pPr>
      <w:r>
        <w:rPr>
          <w:rFonts w:hint="eastAsia" w:ascii="宋体" w:hAnsi="宋体"/>
          <w:bCs/>
          <w:szCs w:val="24"/>
        </w:rPr>
        <w:t>法定代表人或代理人：</w:t>
      </w:r>
      <w:r>
        <w:rPr>
          <w:rFonts w:hint="eastAsia" w:ascii="宋体" w:hAnsi="宋体"/>
          <w:bCs/>
          <w:szCs w:val="24"/>
          <w:u w:val="single"/>
        </w:rPr>
        <w:t xml:space="preserve">               </w:t>
      </w:r>
      <w:r>
        <w:rPr>
          <w:rFonts w:hint="eastAsia" w:ascii="宋体" w:hAnsi="宋体"/>
          <w:bCs/>
          <w:szCs w:val="24"/>
        </w:rPr>
        <w:t>（签字）</w:t>
      </w:r>
    </w:p>
    <w:p>
      <w:pPr>
        <w:adjustRightInd w:val="0"/>
        <w:ind w:firstLine="492"/>
        <w:rPr>
          <w:rFonts w:ascii="宋体" w:hAnsi="宋体"/>
          <w:szCs w:val="24"/>
        </w:rPr>
      </w:pPr>
      <w:r>
        <w:rPr>
          <w:rFonts w:ascii="宋体" w:hAnsi="宋体"/>
          <w:szCs w:val="24"/>
        </w:rPr>
        <w:t>日期：</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2"/>
        <w:ind w:firstLine="492"/>
        <w:rPr>
          <w:rFonts w:ascii="宋体" w:hAnsi="宋体"/>
          <w:szCs w:val="24"/>
        </w:rPr>
      </w:pPr>
    </w:p>
    <w:p>
      <w:pPr>
        <w:pStyle w:val="5"/>
        <w:ind w:left="322" w:firstLine="494" w:firstLineChars="0"/>
        <w:rPr>
          <w:rFonts w:cs="宋体"/>
          <w:szCs w:val="24"/>
        </w:rPr>
      </w:pPr>
      <w:r>
        <w:rPr>
          <w:rFonts w:hint="eastAsia" w:cs="宋体"/>
          <w:szCs w:val="24"/>
        </w:rPr>
        <w:t>避免二次污染方案</w:t>
      </w: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rPr>
          <w:rFonts w:ascii="宋体" w:hAnsi="宋体" w:cs="宋体"/>
          <w:szCs w:val="24"/>
        </w:rPr>
      </w:pPr>
    </w:p>
    <w:p>
      <w:pPr>
        <w:ind w:firstLine="492"/>
        <w:rPr>
          <w:rFonts w:ascii="宋体" w:hAnsi="宋体" w:cs="宋体"/>
          <w:szCs w:val="24"/>
        </w:rPr>
      </w:pPr>
    </w:p>
    <w:p>
      <w:pPr>
        <w:pStyle w:val="2"/>
        <w:ind w:firstLine="492"/>
      </w:pPr>
    </w:p>
    <w:p>
      <w:pPr>
        <w:pStyle w:val="5"/>
        <w:ind w:left="322" w:firstLine="494" w:firstLineChars="0"/>
        <w:rPr>
          <w:color w:val="auto"/>
        </w:rPr>
      </w:pPr>
      <w:r>
        <w:rPr>
          <w:rFonts w:hint="eastAsia"/>
          <w:color w:val="auto"/>
        </w:rPr>
        <w:t>中小企业声明函</w:t>
      </w:r>
    </w:p>
    <w:p>
      <w:pPr>
        <w:widowControl/>
        <w:ind w:firstLine="492"/>
        <w:rPr>
          <w:rFonts w:ascii="宋体" w:hAnsi="宋体" w:cs="宋体"/>
          <w:szCs w:val="24"/>
        </w:rPr>
      </w:pPr>
      <w:r>
        <w:rPr>
          <w:rFonts w:hint="eastAsia" w:ascii="宋体" w:hAnsi="宋体" w:cs="宋体"/>
          <w:kern w:val="0"/>
          <w:szCs w:val="24"/>
          <w:lang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widowControl/>
        <w:ind w:firstLine="492"/>
        <w:rPr>
          <w:rFonts w:ascii="宋体" w:hAnsi="宋体" w:cs="宋体"/>
          <w:szCs w:val="24"/>
        </w:rPr>
      </w:pPr>
      <w:r>
        <w:rPr>
          <w:rFonts w:hint="eastAsia" w:ascii="宋体" w:hAnsi="宋体" w:cs="宋体"/>
          <w:kern w:val="0"/>
          <w:szCs w:val="24"/>
          <w:lang w:bidi="ar"/>
        </w:rPr>
        <w:t xml:space="preserve">1. </w:t>
      </w:r>
      <w:r>
        <w:rPr>
          <w:rFonts w:hint="eastAsia" w:ascii="宋体" w:hAnsi="宋体" w:cs="宋体"/>
          <w:kern w:val="0"/>
          <w:szCs w:val="24"/>
          <w:u w:val="single"/>
          <w:lang w:bidi="ar"/>
        </w:rPr>
        <w:t xml:space="preserve">         （标的名称）</w:t>
      </w:r>
      <w:r>
        <w:rPr>
          <w:rFonts w:hint="eastAsia" w:ascii="宋体" w:hAnsi="宋体" w:cs="宋体"/>
          <w:kern w:val="0"/>
          <w:szCs w:val="24"/>
          <w:lang w:bidi="ar"/>
        </w:rPr>
        <w:t xml:space="preserve"> ，属于</w:t>
      </w:r>
      <w:r>
        <w:rPr>
          <w:rFonts w:hint="eastAsia" w:ascii="宋体" w:hAnsi="宋体" w:cs="宋体"/>
          <w:kern w:val="0"/>
          <w:szCs w:val="24"/>
          <w:u w:val="single"/>
          <w:lang w:bidi="ar"/>
        </w:rPr>
        <w:t xml:space="preserve">         （采购文件中明确的所属行业）</w:t>
      </w:r>
      <w:r>
        <w:rPr>
          <w:rFonts w:hint="eastAsia" w:ascii="宋体" w:hAnsi="宋体" w:cs="宋体"/>
          <w:kern w:val="0"/>
          <w:szCs w:val="24"/>
          <w:lang w:bidi="ar"/>
        </w:rPr>
        <w:t>；承建（承接）企业为</w:t>
      </w:r>
      <w:r>
        <w:rPr>
          <w:rFonts w:hint="eastAsia" w:ascii="宋体" w:hAnsi="宋体" w:cs="宋体"/>
          <w:kern w:val="0"/>
          <w:szCs w:val="24"/>
          <w:u w:val="single"/>
          <w:lang w:bidi="ar"/>
        </w:rPr>
        <w:t xml:space="preserve">         （企业名称</w:t>
      </w:r>
      <w:r>
        <w:rPr>
          <w:rFonts w:hint="eastAsia" w:ascii="宋体" w:hAnsi="宋体" w:cs="宋体"/>
          <w:kern w:val="0"/>
          <w:szCs w:val="24"/>
          <w:lang w:bidi="ar"/>
        </w:rPr>
        <w:t>），从业人员</w:t>
      </w:r>
      <w:r>
        <w:rPr>
          <w:rFonts w:hint="eastAsia" w:ascii="宋体" w:hAnsi="宋体" w:cs="宋体"/>
          <w:kern w:val="0"/>
          <w:szCs w:val="24"/>
          <w:u w:val="single"/>
          <w:lang w:bidi="ar"/>
        </w:rPr>
        <w:t xml:space="preserve">         </w:t>
      </w:r>
      <w:r>
        <w:rPr>
          <w:rFonts w:hint="eastAsia" w:ascii="宋体" w:hAnsi="宋体" w:cs="宋体"/>
          <w:kern w:val="0"/>
          <w:szCs w:val="24"/>
          <w:lang w:bidi="ar"/>
        </w:rPr>
        <w:t>人，营业收入为</w:t>
      </w:r>
      <w:r>
        <w:rPr>
          <w:rFonts w:hint="eastAsia" w:ascii="宋体" w:hAnsi="宋体" w:cs="宋体"/>
          <w:kern w:val="0"/>
          <w:szCs w:val="24"/>
          <w:u w:val="single"/>
          <w:lang w:bidi="ar"/>
        </w:rPr>
        <w:t xml:space="preserve">         </w:t>
      </w:r>
      <w:r>
        <w:rPr>
          <w:rFonts w:hint="eastAsia" w:ascii="宋体" w:hAnsi="宋体" w:cs="宋体"/>
          <w:kern w:val="0"/>
          <w:szCs w:val="24"/>
          <w:lang w:bidi="ar"/>
        </w:rPr>
        <w:t>万元，资产总额为</w:t>
      </w:r>
      <w:r>
        <w:rPr>
          <w:rFonts w:hint="eastAsia" w:ascii="宋体" w:hAnsi="宋体" w:cs="宋体"/>
          <w:kern w:val="0"/>
          <w:szCs w:val="24"/>
          <w:u w:val="single"/>
          <w:lang w:bidi="ar"/>
        </w:rPr>
        <w:t xml:space="preserve">         </w:t>
      </w:r>
      <w:r>
        <w:rPr>
          <w:rFonts w:hint="eastAsia" w:ascii="宋体" w:hAnsi="宋体" w:cs="宋体"/>
          <w:kern w:val="0"/>
          <w:szCs w:val="24"/>
          <w:lang w:bidi="ar"/>
        </w:rPr>
        <w:t>万元，属于</w:t>
      </w:r>
      <w:r>
        <w:rPr>
          <w:rFonts w:hint="eastAsia" w:ascii="宋体" w:hAnsi="宋体" w:cs="宋体"/>
          <w:kern w:val="0"/>
          <w:szCs w:val="24"/>
          <w:u w:val="single"/>
          <w:lang w:bidi="ar"/>
        </w:rPr>
        <w:t xml:space="preserve">         （中型企业、小型企业、微型企业）</w:t>
      </w:r>
      <w:r>
        <w:rPr>
          <w:rFonts w:hint="eastAsia" w:ascii="宋体" w:hAnsi="宋体" w:cs="宋体"/>
          <w:kern w:val="0"/>
          <w:szCs w:val="24"/>
          <w:lang w:bidi="ar"/>
        </w:rPr>
        <w:t xml:space="preserve">； </w:t>
      </w:r>
    </w:p>
    <w:p>
      <w:pPr>
        <w:widowControl/>
        <w:ind w:firstLine="492"/>
        <w:rPr>
          <w:rFonts w:ascii="宋体" w:hAnsi="宋体" w:cs="宋体"/>
          <w:szCs w:val="24"/>
        </w:rPr>
      </w:pPr>
      <w:r>
        <w:rPr>
          <w:rFonts w:hint="eastAsia" w:ascii="宋体" w:hAnsi="宋体" w:cs="宋体"/>
          <w:kern w:val="0"/>
          <w:szCs w:val="24"/>
          <w:lang w:bidi="ar"/>
        </w:rPr>
        <w:t xml:space="preserve">2. </w:t>
      </w:r>
      <w:r>
        <w:rPr>
          <w:rFonts w:hint="eastAsia" w:ascii="宋体" w:hAnsi="宋体" w:cs="宋体"/>
          <w:kern w:val="0"/>
          <w:szCs w:val="24"/>
          <w:u w:val="single"/>
          <w:lang w:bidi="ar"/>
        </w:rPr>
        <w:t xml:space="preserve">         （标的名称）</w:t>
      </w:r>
      <w:r>
        <w:rPr>
          <w:rFonts w:hint="eastAsia" w:ascii="宋体" w:hAnsi="宋体" w:cs="宋体"/>
          <w:kern w:val="0"/>
          <w:szCs w:val="24"/>
          <w:lang w:bidi="ar"/>
        </w:rPr>
        <w:t xml:space="preserve"> ，属于</w:t>
      </w:r>
      <w:r>
        <w:rPr>
          <w:rFonts w:hint="eastAsia" w:ascii="宋体" w:hAnsi="宋体" w:cs="宋体"/>
          <w:kern w:val="0"/>
          <w:szCs w:val="24"/>
          <w:u w:val="single"/>
          <w:lang w:bidi="ar"/>
        </w:rPr>
        <w:t xml:space="preserve">         </w:t>
      </w:r>
      <w:r>
        <w:rPr>
          <w:rFonts w:hint="eastAsia" w:ascii="宋体" w:hAnsi="宋体" w:cs="宋体"/>
          <w:kern w:val="0"/>
          <w:szCs w:val="24"/>
          <w:lang w:bidi="ar"/>
        </w:rPr>
        <w:t>（采购文件中明确的所属行业）；承建（承接）企业为</w:t>
      </w:r>
      <w:r>
        <w:rPr>
          <w:rFonts w:hint="eastAsia" w:ascii="宋体" w:hAnsi="宋体" w:cs="宋体"/>
          <w:kern w:val="0"/>
          <w:szCs w:val="24"/>
          <w:u w:val="single"/>
          <w:lang w:bidi="ar"/>
        </w:rPr>
        <w:t xml:space="preserve">         （企业名称）</w:t>
      </w:r>
      <w:r>
        <w:rPr>
          <w:rFonts w:hint="eastAsia" w:ascii="宋体" w:hAnsi="宋体" w:cs="宋体"/>
          <w:kern w:val="0"/>
          <w:szCs w:val="24"/>
          <w:lang w:bidi="ar"/>
        </w:rPr>
        <w:t>，从业人员</w:t>
      </w:r>
      <w:r>
        <w:rPr>
          <w:rFonts w:hint="eastAsia" w:ascii="宋体" w:hAnsi="宋体" w:cs="宋体"/>
          <w:kern w:val="0"/>
          <w:szCs w:val="24"/>
          <w:u w:val="single"/>
          <w:lang w:bidi="ar"/>
        </w:rPr>
        <w:t xml:space="preserve">         </w:t>
      </w:r>
      <w:r>
        <w:rPr>
          <w:rFonts w:hint="eastAsia" w:ascii="宋体" w:hAnsi="宋体" w:cs="宋体"/>
          <w:kern w:val="0"/>
          <w:szCs w:val="24"/>
          <w:lang w:bidi="ar"/>
        </w:rPr>
        <w:t>人，营业收入为</w:t>
      </w:r>
      <w:r>
        <w:rPr>
          <w:rFonts w:hint="eastAsia" w:ascii="宋体" w:hAnsi="宋体" w:cs="宋体"/>
          <w:kern w:val="0"/>
          <w:szCs w:val="24"/>
          <w:u w:val="single"/>
          <w:lang w:bidi="ar"/>
        </w:rPr>
        <w:t xml:space="preserve">         </w:t>
      </w:r>
      <w:r>
        <w:rPr>
          <w:rFonts w:hint="eastAsia" w:ascii="宋体" w:hAnsi="宋体" w:cs="宋体"/>
          <w:kern w:val="0"/>
          <w:szCs w:val="24"/>
          <w:lang w:bidi="ar"/>
        </w:rPr>
        <w:t>万元，资产总额为</w:t>
      </w:r>
      <w:r>
        <w:rPr>
          <w:rFonts w:hint="eastAsia" w:ascii="宋体" w:hAnsi="宋体" w:cs="宋体"/>
          <w:kern w:val="0"/>
          <w:szCs w:val="24"/>
          <w:u w:val="single"/>
          <w:lang w:bidi="ar"/>
        </w:rPr>
        <w:t xml:space="preserve">         </w:t>
      </w:r>
      <w:r>
        <w:rPr>
          <w:rFonts w:hint="eastAsia" w:ascii="宋体" w:hAnsi="宋体" w:cs="宋体"/>
          <w:kern w:val="0"/>
          <w:szCs w:val="24"/>
          <w:lang w:bidi="ar"/>
        </w:rPr>
        <w:t>万元，属于</w:t>
      </w:r>
      <w:r>
        <w:rPr>
          <w:rFonts w:hint="eastAsia" w:ascii="宋体" w:hAnsi="宋体" w:cs="宋体"/>
          <w:kern w:val="0"/>
          <w:szCs w:val="24"/>
          <w:u w:val="single"/>
          <w:lang w:bidi="ar"/>
        </w:rPr>
        <w:t xml:space="preserve">         （中型企业、小型企业、微型企业</w:t>
      </w:r>
      <w:r>
        <w:rPr>
          <w:rFonts w:hint="eastAsia" w:ascii="宋体" w:hAnsi="宋体" w:cs="宋体"/>
          <w:kern w:val="0"/>
          <w:szCs w:val="24"/>
          <w:lang w:bidi="ar"/>
        </w:rPr>
        <w:t xml:space="preserve">）； </w:t>
      </w:r>
    </w:p>
    <w:p>
      <w:pPr>
        <w:widowControl/>
        <w:ind w:firstLine="492"/>
        <w:rPr>
          <w:rFonts w:ascii="宋体" w:hAnsi="宋体" w:cs="宋体"/>
          <w:szCs w:val="24"/>
        </w:rPr>
      </w:pPr>
      <w:r>
        <w:rPr>
          <w:rFonts w:hint="eastAsia" w:ascii="宋体" w:hAnsi="宋体" w:cs="宋体"/>
          <w:kern w:val="0"/>
          <w:szCs w:val="24"/>
          <w:lang w:bidi="ar"/>
        </w:rPr>
        <w:t>……</w:t>
      </w:r>
    </w:p>
    <w:p>
      <w:pPr>
        <w:widowControl/>
        <w:ind w:firstLine="492"/>
        <w:rPr>
          <w:rFonts w:ascii="宋体" w:hAnsi="宋体" w:cs="宋体"/>
          <w:szCs w:val="24"/>
        </w:rPr>
      </w:pPr>
      <w:r>
        <w:rPr>
          <w:rFonts w:hint="eastAsia" w:ascii="宋体" w:hAnsi="宋体" w:cs="宋体"/>
          <w:kern w:val="0"/>
          <w:szCs w:val="24"/>
          <w:lang w:bidi="ar"/>
        </w:rPr>
        <w:t>以上企业，不属于大企业的分支机构，不存在控股股东为大企业的情形，也不存在与大企业的负责人为同一人的情形。</w:t>
      </w:r>
    </w:p>
    <w:p>
      <w:pPr>
        <w:widowControl/>
        <w:ind w:firstLine="492"/>
        <w:rPr>
          <w:rFonts w:ascii="宋体" w:hAnsi="宋体" w:cs="宋体"/>
          <w:szCs w:val="24"/>
        </w:rPr>
      </w:pPr>
      <w:r>
        <w:rPr>
          <w:rFonts w:hint="eastAsia" w:ascii="宋体" w:hAnsi="宋体" w:cs="宋体"/>
          <w:kern w:val="0"/>
          <w:szCs w:val="24"/>
          <w:lang w:bidi="ar"/>
        </w:rPr>
        <w:t xml:space="preserve">本企业对上述声明内容的真实性负责。如有虚假，将依法承担相应责任。 </w:t>
      </w:r>
    </w:p>
    <w:p>
      <w:pPr>
        <w:widowControl/>
        <w:ind w:firstLine="492"/>
        <w:jc w:val="center"/>
        <w:rPr>
          <w:rFonts w:ascii="宋体" w:hAnsi="宋体" w:cs="宋体"/>
          <w:kern w:val="0"/>
          <w:szCs w:val="24"/>
          <w:lang w:bidi="ar"/>
        </w:rPr>
      </w:pPr>
    </w:p>
    <w:p>
      <w:pPr>
        <w:widowControl/>
        <w:ind w:firstLine="492"/>
        <w:jc w:val="center"/>
        <w:rPr>
          <w:rFonts w:ascii="宋体" w:hAnsi="宋体" w:cs="宋体"/>
          <w:szCs w:val="24"/>
        </w:rPr>
      </w:pPr>
      <w:r>
        <w:rPr>
          <w:rFonts w:hint="eastAsia" w:ascii="宋体" w:hAnsi="宋体" w:cs="宋体"/>
          <w:kern w:val="0"/>
          <w:szCs w:val="24"/>
          <w:lang w:bidi="ar"/>
        </w:rPr>
        <w:t xml:space="preserve">企业名称（盖章）： </w:t>
      </w:r>
    </w:p>
    <w:p>
      <w:pPr>
        <w:widowControl/>
        <w:ind w:firstLine="3675" w:firstLineChars="1500"/>
        <w:jc w:val="both"/>
        <w:rPr>
          <w:rFonts w:ascii="宋体" w:hAnsi="宋体" w:cs="宋体"/>
          <w:szCs w:val="24"/>
        </w:rPr>
      </w:pPr>
      <w:r>
        <w:rPr>
          <w:rFonts w:hint="eastAsia" w:ascii="宋体" w:hAnsi="宋体" w:cs="宋体"/>
          <w:kern w:val="0"/>
          <w:szCs w:val="24"/>
          <w:lang w:bidi="ar"/>
        </w:rPr>
        <w:t xml:space="preserve">日 期： </w:t>
      </w:r>
    </w:p>
    <w:p>
      <w:pPr>
        <w:widowControl/>
        <w:ind w:firstLine="494"/>
        <w:rPr>
          <w:rFonts w:ascii="宋体" w:hAnsi="宋体" w:cs="宋体"/>
          <w:b/>
          <w:bCs/>
          <w:szCs w:val="24"/>
        </w:rPr>
      </w:pPr>
      <w:r>
        <w:rPr>
          <w:rFonts w:hint="eastAsia" w:ascii="宋体" w:hAnsi="宋体" w:cs="宋体"/>
          <w:b/>
          <w:bCs/>
          <w:kern w:val="0"/>
          <w:szCs w:val="24"/>
          <w:lang w:bidi="ar"/>
        </w:rPr>
        <w:t>从业人员、营业收入、资产总额填报上一年度数据，无上一年度数据的新成立企业可不填报。</w:t>
      </w:r>
    </w:p>
    <w:p>
      <w:pPr>
        <w:ind w:firstLine="494"/>
        <w:rPr>
          <w:rFonts w:hint="eastAsia" w:ascii="宋体" w:hAnsi="宋体" w:cs="宋体"/>
          <w:b/>
          <w:szCs w:val="24"/>
        </w:rPr>
      </w:pPr>
      <w:r>
        <w:rPr>
          <w:rFonts w:hint="eastAsia" w:ascii="宋体" w:hAnsi="宋体" w:cs="宋体"/>
          <w:b/>
          <w:szCs w:val="24"/>
        </w:rPr>
        <w:t>非中小企业不提供此声明函，如未提供中小企业声明函的，则其不能享受招标文件规定的价格扣除，但不影响投标人投标文件的有效性。供应商为监狱企业的，提供由省级以上监狱管理局、戒毒管理局（含新疆生产建设兵团）出具的供应商属于监狱企业的证明文件复印件。监狱企业视同小型、微型企业，享受招标文件规定的价格扣除，不重复享受政策。如提供虚假中小企业声明函的，则采购人有权取消参加投标、中标资格，有权终止合同，并报政府采购监管部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ascii="宋体" w:hAnsi="宋体" w:eastAsia="宋体" w:cs="宋体"/>
          <w:b/>
          <w:bCs/>
          <w:color w:val="000000"/>
          <w:kern w:val="0"/>
          <w:sz w:val="24"/>
          <w:szCs w:val="24"/>
          <w:highlight w:val="none"/>
          <w:lang w:val="en-US" w:eastAsia="zh-CN" w:bidi="ar"/>
        </w:rPr>
      </w:pPr>
    </w:p>
    <w:p>
      <w:pPr>
        <w:pStyle w:val="2"/>
        <w:rPr>
          <w:rFonts w:hint="eastAsia"/>
          <w:lang w:val="en-US" w:eastAsia="zh-CN"/>
        </w:rPr>
      </w:pPr>
    </w:p>
    <w:p>
      <w:pPr>
        <w:pStyle w:val="2"/>
        <w:rPr>
          <w:rFonts w:hint="eastAsia" w:ascii="宋体" w:hAnsi="宋体" w:eastAsia="宋体" w:cs="宋体"/>
          <w:b/>
          <w:bCs/>
          <w:color w:val="000000"/>
          <w:kern w:val="0"/>
          <w:sz w:val="24"/>
          <w:szCs w:val="24"/>
          <w:highlight w:val="none"/>
          <w:lang w:val="en-US" w:eastAsia="zh-CN" w:bidi="ar"/>
        </w:rPr>
      </w:pPr>
    </w:p>
    <w:p>
      <w:pPr>
        <w:rPr>
          <w:rFonts w:hint="eastAsia"/>
          <w:lang w:val="en-US" w:eastAsia="zh-CN"/>
        </w:rPr>
      </w:pPr>
    </w:p>
    <w:p>
      <w:pPr>
        <w:pStyle w:val="5"/>
        <w:ind w:left="322" w:firstLine="494" w:firstLineChars="0"/>
        <w:rPr>
          <w:color w:val="auto"/>
        </w:rPr>
      </w:pPr>
      <w:r>
        <w:rPr>
          <w:rFonts w:hint="eastAsia"/>
          <w:color w:val="auto"/>
        </w:rPr>
        <w:t>残疾人福利性单位声明函</w:t>
      </w:r>
    </w:p>
    <w:p>
      <w:pPr>
        <w:ind w:firstLine="494"/>
        <w:jc w:val="center"/>
        <w:rPr>
          <w:rFonts w:ascii="宋体" w:hAnsi="宋体" w:cs="宋体"/>
          <w:b/>
        </w:rPr>
      </w:pPr>
      <w:r>
        <w:rPr>
          <w:rFonts w:hint="eastAsia" w:ascii="宋体" w:hAnsi="宋体" w:cs="宋体"/>
          <w:b/>
        </w:rPr>
        <w:t>残疾人福利性单位声明函</w:t>
      </w:r>
    </w:p>
    <w:p>
      <w:pPr>
        <w:pStyle w:val="2"/>
        <w:ind w:firstLine="492"/>
      </w:pPr>
    </w:p>
    <w:p>
      <w:pPr>
        <w:ind w:firstLine="516"/>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中国残疾人联合会关于促进残疾人就业政府采购政策的通知》（财库〔2017〕141号）的规定，本单位参加</w:t>
      </w:r>
      <w:r>
        <w:rPr>
          <w:rFonts w:hint="eastAsia" w:ascii="宋体" w:hAnsi="宋体" w:cs="宋体"/>
          <w:spacing w:val="6"/>
          <w:u w:val="single"/>
        </w:rPr>
        <w:t xml:space="preserve">         </w:t>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rPr>
        <w:t>项目采购活动提供</w:t>
      </w:r>
      <w:r>
        <w:rPr>
          <w:rFonts w:hint="eastAsia" w:ascii="宋体" w:hAnsi="宋体" w:cs="宋体"/>
          <w:spacing w:val="6"/>
          <w:u w:val="single"/>
        </w:rPr>
        <w:t xml:space="preserve">                  </w:t>
      </w:r>
      <w:r>
        <w:rPr>
          <w:rFonts w:hint="eastAsia" w:ascii="宋体" w:hAnsi="宋体" w:cs="宋体"/>
          <w:spacing w:val="6"/>
        </w:rPr>
        <w:t>（请填写：本单位或XX单位）制造的货物，该单位为符合条件的残疾人福利性单位，不包括使用非残疾人福利性单位注册商标的货物。</w:t>
      </w:r>
    </w:p>
    <w:p>
      <w:pPr>
        <w:ind w:firstLine="516"/>
        <w:rPr>
          <w:rFonts w:ascii="宋体" w:hAnsi="宋体" w:cs="宋体"/>
          <w:spacing w:val="6"/>
        </w:rPr>
      </w:pPr>
      <w:r>
        <w:rPr>
          <w:rFonts w:hint="eastAsia" w:ascii="宋体" w:hAnsi="宋体" w:cs="宋体"/>
          <w:spacing w:val="6"/>
        </w:rPr>
        <w:t>本单位对上述声明的真实性负责。如有虚假，将依法承担相应责任。</w:t>
      </w:r>
    </w:p>
    <w:p>
      <w:pPr>
        <w:ind w:firstLine="516"/>
        <w:rPr>
          <w:rFonts w:ascii="宋体" w:hAnsi="宋体" w:cs="宋体"/>
          <w:spacing w:val="6"/>
        </w:rPr>
      </w:pPr>
    </w:p>
    <w:p>
      <w:pPr>
        <w:ind w:firstLine="516"/>
        <w:rPr>
          <w:rFonts w:ascii="宋体" w:hAnsi="宋体" w:cs="宋体"/>
          <w:spacing w:val="6"/>
        </w:rPr>
      </w:pPr>
    </w:p>
    <w:p>
      <w:pPr>
        <w:ind w:firstLine="516"/>
        <w:rPr>
          <w:rFonts w:ascii="宋体" w:hAnsi="宋体" w:cs="宋体"/>
          <w:spacing w:val="6"/>
        </w:rPr>
      </w:pPr>
    </w:p>
    <w:p>
      <w:pPr>
        <w:ind w:firstLine="516"/>
        <w:rPr>
          <w:rFonts w:ascii="宋体" w:hAnsi="宋体" w:cs="宋体"/>
          <w:spacing w:val="6"/>
        </w:rPr>
      </w:pPr>
    </w:p>
    <w:p>
      <w:pPr>
        <w:ind w:firstLine="516"/>
        <w:rPr>
          <w:rFonts w:ascii="宋体" w:hAnsi="宋体" w:cs="宋体"/>
          <w:spacing w:val="6"/>
        </w:rPr>
      </w:pPr>
    </w:p>
    <w:p>
      <w:pPr>
        <w:ind w:firstLine="516"/>
        <w:rPr>
          <w:rFonts w:ascii="宋体" w:hAnsi="宋体" w:cs="宋体"/>
          <w:spacing w:val="6"/>
        </w:rPr>
      </w:pPr>
    </w:p>
    <w:p>
      <w:pPr>
        <w:tabs>
          <w:tab w:val="left" w:pos="3969"/>
        </w:tabs>
        <w:ind w:right="-58" w:firstLine="516"/>
        <w:rPr>
          <w:rFonts w:ascii="宋体" w:hAnsi="宋体" w:cs="宋体"/>
          <w:spacing w:val="6"/>
        </w:rPr>
      </w:pPr>
      <w:r>
        <w:rPr>
          <w:rFonts w:hint="eastAsia" w:ascii="宋体" w:hAnsi="宋体" w:cs="宋体"/>
          <w:spacing w:val="6"/>
        </w:rPr>
        <w:t>供应商名称：</w:t>
      </w:r>
      <w:r>
        <w:rPr>
          <w:rFonts w:hint="eastAsia" w:ascii="宋体" w:hAnsi="宋体" w:cs="宋体"/>
          <w:spacing w:val="6"/>
          <w:u w:val="single"/>
        </w:rPr>
        <w:t xml:space="preserve">            </w:t>
      </w:r>
      <w:r>
        <w:rPr>
          <w:rFonts w:hint="eastAsia" w:ascii="宋体" w:hAnsi="宋体" w:cs="宋体"/>
          <w:spacing w:val="6"/>
        </w:rPr>
        <w:t>（加盖单位公章）</w:t>
      </w:r>
    </w:p>
    <w:p>
      <w:pPr>
        <w:ind w:right="560" w:firstLine="492"/>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abs>
          <w:tab w:val="left" w:pos="3969"/>
        </w:tabs>
        <w:ind w:right="-58" w:firstLine="516"/>
        <w:rPr>
          <w:rFonts w:ascii="宋体" w:hAnsi="宋体" w:cs="宋体"/>
          <w:spacing w:val="6"/>
        </w:rPr>
      </w:pPr>
    </w:p>
    <w:p>
      <w:pPr>
        <w:spacing w:line="520" w:lineRule="exact"/>
        <w:ind w:firstLine="561" w:firstLineChars="0"/>
        <w:jc w:val="both"/>
        <w:rPr>
          <w:rFonts w:ascii="宋体" w:hAnsi="宋体"/>
          <w:b/>
          <w:spacing w:val="6"/>
          <w:szCs w:val="24"/>
        </w:rPr>
      </w:pPr>
      <w:r>
        <w:rPr>
          <w:rFonts w:hint="eastAsia" w:ascii="宋体" w:hAnsi="宋体"/>
          <w:b/>
          <w:spacing w:val="6"/>
          <w:szCs w:val="24"/>
        </w:rPr>
        <w:t>说明：非残疾人福利性单位不提供此声明函，如未提供此声明函，则其不能享受招标文件规定的价格扣除，但不影响投标人投标文件的有效性。残疾人福利性单位属于小型、微型企业的，不重复享受政策。中标供应商为残疾人福利性单位的，采购人或者其委托的采购代理机构应当随中标结果同时公告其《残疾人福利性单位声明函》，接受社会监督。供应商提供的《残疾人福利性单位声明函》与事实不符的，依照《</w:t>
      </w:r>
      <w:r>
        <w:rPr>
          <w:rFonts w:hint="eastAsia" w:ascii="宋体" w:hAnsi="宋体"/>
          <w:b/>
          <w:spacing w:val="6"/>
          <w:szCs w:val="24"/>
          <w:lang w:eastAsia="zh-CN"/>
        </w:rPr>
        <w:t>中华人民共和国政府采购法</w:t>
      </w:r>
      <w:r>
        <w:rPr>
          <w:rFonts w:hint="eastAsia" w:ascii="宋体" w:hAnsi="宋体"/>
          <w:b/>
          <w:spacing w:val="6"/>
          <w:szCs w:val="24"/>
        </w:rPr>
        <w:t>》第七十七条第一款的规定追究法律责任。</w:t>
      </w:r>
    </w:p>
    <w:p>
      <w:pPr>
        <w:pStyle w:val="2"/>
        <w:ind w:firstLine="518"/>
        <w:rPr>
          <w:rFonts w:ascii="宋体" w:hAnsi="宋体"/>
          <w:b/>
          <w:spacing w:val="6"/>
          <w:szCs w:val="24"/>
        </w:rPr>
      </w:pPr>
    </w:p>
    <w:p>
      <w:pPr>
        <w:ind w:firstLine="518"/>
        <w:rPr>
          <w:rFonts w:ascii="宋体" w:hAnsi="宋体"/>
          <w:b/>
          <w:spacing w:val="6"/>
          <w:szCs w:val="24"/>
        </w:rPr>
      </w:pPr>
    </w:p>
    <w:p>
      <w:pPr>
        <w:pStyle w:val="2"/>
        <w:ind w:firstLine="492"/>
      </w:pPr>
    </w:p>
    <w:p>
      <w:pPr>
        <w:pStyle w:val="5"/>
        <w:ind w:left="322" w:firstLine="494" w:firstLineChars="0"/>
        <w:rPr>
          <w:rFonts w:cs="宋体"/>
          <w:color w:val="auto"/>
          <w:szCs w:val="24"/>
        </w:rPr>
      </w:pPr>
      <w:r>
        <w:rPr>
          <w:rFonts w:hint="eastAsia"/>
          <w:color w:val="auto"/>
        </w:rPr>
        <w:t>投标人认为需要提供的文件和资料</w:t>
      </w:r>
    </w:p>
    <w:p>
      <w:pPr>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2"/>
      </w:pPr>
    </w:p>
    <w:p>
      <w:pPr>
        <w:pStyle w:val="2"/>
        <w:ind w:firstLine="494"/>
        <w:rPr>
          <w:b/>
          <w:bCs/>
        </w:rPr>
      </w:pPr>
    </w:p>
    <w:p>
      <w:pPr>
        <w:pStyle w:val="2"/>
        <w:ind w:firstLine="494"/>
        <w:rPr>
          <w:b/>
          <w:bCs/>
        </w:rPr>
      </w:pPr>
      <w:r>
        <w:rPr>
          <w:rFonts w:hint="eastAsia"/>
          <w:b/>
          <w:bCs/>
        </w:rPr>
        <w:t>注：</w:t>
      </w:r>
      <w:r>
        <w:rPr>
          <w:rFonts w:hint="eastAsia"/>
          <w:b/>
          <w:bCs/>
          <w:sz w:val="21"/>
        </w:rPr>
        <w:t>如投标人</w:t>
      </w:r>
      <w:r>
        <w:rPr>
          <w:rFonts w:hint="eastAsia"/>
          <w:b/>
          <w:bCs/>
        </w:rPr>
        <w:t>没有认为需要提供的文件和资料可不提供。</w:t>
      </w:r>
    </w:p>
    <w:p>
      <w:pPr>
        <w:pStyle w:val="3"/>
        <w:sectPr>
          <w:footerReference r:id="rId11" w:type="default"/>
          <w:pgSz w:w="11906" w:h="16838"/>
          <w:pgMar w:top="1417" w:right="1417" w:bottom="1417" w:left="1417" w:header="1134" w:footer="992" w:gutter="0"/>
          <w:cols w:space="0" w:num="1"/>
          <w:docGrid w:type="linesAndChars" w:linePitch="312" w:charSpace="1228"/>
        </w:sectPr>
      </w:pPr>
      <w:bookmarkStart w:id="269" w:name="_Toc32203"/>
      <w:bookmarkStart w:id="270" w:name="_Toc20595"/>
      <w:bookmarkStart w:id="271" w:name="_Toc217446093"/>
      <w:bookmarkStart w:id="272" w:name="_Toc10096"/>
      <w:bookmarkStart w:id="273" w:name="_Toc316292231"/>
      <w:bookmarkStart w:id="274" w:name="_Toc321382057"/>
    </w:p>
    <w:p>
      <w:pPr>
        <w:pStyle w:val="3"/>
      </w:pPr>
      <w:bookmarkStart w:id="275" w:name="_Toc22934"/>
      <w:r>
        <w:rPr>
          <w:rFonts w:hint="eastAsia"/>
        </w:rPr>
        <w:t>招标项目技术、商务及其他要求</w:t>
      </w:r>
      <w:bookmarkEnd w:id="269"/>
      <w:bookmarkEnd w:id="270"/>
      <w:bookmarkEnd w:id="271"/>
      <w:bookmarkEnd w:id="272"/>
      <w:bookmarkEnd w:id="275"/>
    </w:p>
    <w:p>
      <w:pPr>
        <w:pStyle w:val="4"/>
        <w:rPr>
          <w:sz w:val="24"/>
          <w:szCs w:val="24"/>
        </w:rPr>
      </w:pPr>
      <w:bookmarkStart w:id="276" w:name="_Toc2346"/>
      <w:bookmarkStart w:id="277" w:name="_Toc30942"/>
      <w:r>
        <w:rPr>
          <w:rFonts w:hint="eastAsia"/>
          <w:sz w:val="24"/>
          <w:szCs w:val="24"/>
        </w:rPr>
        <w:t>项目概况</w:t>
      </w:r>
      <w:bookmarkEnd w:id="276"/>
      <w:bookmarkEnd w:id="277"/>
    </w:p>
    <w:p>
      <w:pPr>
        <w:spacing w:line="360" w:lineRule="auto"/>
        <w:ind w:firstLine="492"/>
        <w:rPr>
          <w:rFonts w:ascii="宋体" w:hAnsi="宋体" w:cs="宋体"/>
          <w:sz w:val="24"/>
        </w:rPr>
      </w:pPr>
      <w:r>
        <w:rPr>
          <w:rFonts w:hint="eastAsia" w:ascii="宋体" w:hAnsi="宋体" w:cs="宋体"/>
          <w:sz w:val="24"/>
        </w:rPr>
        <w:t>龙泉驿区平安（或东安水质净化厂）、西河、芦溪河、陡沟河、临时污水处理设施、乡镇及微型污水处理站、分散性生活污染源处理设施等污水处理厂（站）产生的污泥，年处置量约</w:t>
      </w:r>
      <w:r>
        <w:rPr>
          <w:rFonts w:hint="eastAsia" w:ascii="宋体" w:hAnsi="宋体" w:cs="宋体"/>
          <w:sz w:val="24"/>
          <w:lang w:val="en-US" w:eastAsia="zh-CN"/>
        </w:rPr>
        <w:t>93750</w:t>
      </w:r>
      <w:r>
        <w:rPr>
          <w:rFonts w:hint="eastAsia" w:ascii="宋体" w:hAnsi="宋体" w:cs="宋体"/>
          <w:sz w:val="24"/>
        </w:rPr>
        <w:t>吨。</w:t>
      </w:r>
    </w:p>
    <w:p>
      <w:pPr>
        <w:spacing w:line="360" w:lineRule="auto"/>
        <w:ind w:firstLine="492"/>
        <w:rPr>
          <w:rFonts w:ascii="宋体" w:hAnsi="宋体" w:cs="宋体"/>
          <w:sz w:val="24"/>
        </w:rPr>
      </w:pPr>
      <w:r>
        <w:rPr>
          <w:rFonts w:hint="eastAsia" w:ascii="宋体" w:hAnsi="宋体" w:cs="宋体"/>
          <w:sz w:val="24"/>
        </w:rPr>
        <w:t>成都市龙泉驿区水务局拟通过公开招标方式确定“成都市龙泉驿区水务局2021-2023年污泥处置服务采购项目”供应商。本项目共分两个包，拟通过公开招标，各包确定一名中标人提供相关污泥处置服务。</w:t>
      </w:r>
    </w:p>
    <w:p>
      <w:pPr>
        <w:spacing w:line="360" w:lineRule="auto"/>
        <w:ind w:firstLine="492"/>
        <w:rPr>
          <w:rFonts w:ascii="宋体" w:hAnsi="宋体" w:cs="宋体"/>
          <w:sz w:val="24"/>
        </w:rPr>
      </w:pPr>
      <w:r>
        <w:rPr>
          <w:rFonts w:hint="eastAsia" w:ascii="宋体" w:hAnsi="宋体" w:cs="宋体"/>
          <w:sz w:val="24"/>
        </w:rPr>
        <w:t>包件一：负责芦溪河污水处理厂、芦溪河临时污水处理设施、西河污水处理厂、西河临时污水处理设施、乡镇及微型污水处理站等污水处理厂（站）的污泥处置，处置量约</w:t>
      </w:r>
      <w:r>
        <w:rPr>
          <w:rFonts w:hint="eastAsia" w:ascii="宋体" w:hAnsi="宋体" w:cs="宋体"/>
          <w:sz w:val="24"/>
          <w:lang w:val="en-US" w:eastAsia="zh-CN"/>
        </w:rPr>
        <w:t>46875</w:t>
      </w:r>
      <w:r>
        <w:rPr>
          <w:rFonts w:hint="eastAsia" w:ascii="宋体" w:hAnsi="宋体" w:cs="宋体"/>
          <w:sz w:val="24"/>
        </w:rPr>
        <w:t>吨/年；</w:t>
      </w:r>
    </w:p>
    <w:p>
      <w:pPr>
        <w:spacing w:line="360" w:lineRule="auto"/>
        <w:ind w:firstLine="492"/>
        <w:rPr>
          <w:rFonts w:ascii="宋体" w:hAnsi="宋体" w:cs="宋体"/>
          <w:sz w:val="24"/>
        </w:rPr>
      </w:pPr>
      <w:r>
        <w:rPr>
          <w:rFonts w:hint="eastAsia" w:ascii="宋体" w:hAnsi="宋体" w:cs="宋体"/>
          <w:sz w:val="24"/>
        </w:rPr>
        <w:t>包件二：负责平安污水处理厂（或东安水质净化厂）、陡沟河污水处理厂、陡沟河污水处理厂二厂、分散性生活污染源处理设施等污水处理厂站的污泥处置，处置量约</w:t>
      </w:r>
      <w:r>
        <w:rPr>
          <w:rFonts w:hint="eastAsia" w:ascii="宋体" w:hAnsi="宋体" w:cs="宋体"/>
          <w:sz w:val="24"/>
          <w:lang w:val="en-US" w:eastAsia="zh-CN"/>
        </w:rPr>
        <w:t>46875</w:t>
      </w:r>
      <w:r>
        <w:rPr>
          <w:rFonts w:hint="eastAsia" w:ascii="宋体" w:hAnsi="宋体" w:cs="宋体"/>
          <w:sz w:val="24"/>
        </w:rPr>
        <w:t>吨/年。</w:t>
      </w:r>
    </w:p>
    <w:p>
      <w:pPr>
        <w:ind w:firstLine="494"/>
        <w:rPr>
          <w:rFonts w:ascii="宋体" w:hAnsi="宋体" w:cs="宋体"/>
          <w:b/>
          <w:bCs/>
        </w:rPr>
      </w:pPr>
      <w:r>
        <w:rPr>
          <w:rFonts w:hint="eastAsia" w:ascii="宋体" w:hAnsi="宋体" w:cs="宋体"/>
          <w:b/>
          <w:bCs/>
        </w:rPr>
        <w:t>特别约定：</w:t>
      </w:r>
    </w:p>
    <w:p>
      <w:pPr>
        <w:spacing w:line="360" w:lineRule="auto"/>
        <w:ind w:firstLine="494"/>
        <w:rPr>
          <w:rFonts w:ascii="宋体" w:hAnsi="宋体" w:cs="宋体"/>
          <w:sz w:val="24"/>
        </w:rPr>
      </w:pPr>
      <w:r>
        <w:rPr>
          <w:rFonts w:hint="eastAsia" w:ascii="宋体" w:hAnsi="宋体" w:cs="宋体"/>
          <w:sz w:val="24"/>
        </w:rPr>
        <w:t>合同履行期间，除自然灾害、不可抗力、甲方原因等情况外，若供应商连续三天不能按服务标准完全处置其服务范围内的污泥，采购人有权终止合同，并没收供应商履约保证金,供应商还应承担由此带来的损失。</w:t>
      </w:r>
      <w:r>
        <w:rPr>
          <w:rFonts w:hint="eastAsia" w:ascii="宋体" w:hAnsi="宋体" w:cs="宋体"/>
          <w:b/>
          <w:sz w:val="24"/>
        </w:rPr>
        <w:t>（投标时</w:t>
      </w:r>
      <w:r>
        <w:rPr>
          <w:rFonts w:hint="eastAsia" w:ascii="宋体" w:hAnsi="宋体" w:cs="宋体"/>
          <w:b/>
          <w:bCs/>
          <w:sz w:val="24"/>
        </w:rPr>
        <w:t>提供承诺</w:t>
      </w:r>
      <w:r>
        <w:rPr>
          <w:rFonts w:hint="eastAsia" w:ascii="宋体" w:hAnsi="宋体" w:cs="宋体"/>
          <w:b/>
          <w:sz w:val="24"/>
        </w:rPr>
        <w:t>函）</w:t>
      </w:r>
    </w:p>
    <w:p>
      <w:pPr>
        <w:pStyle w:val="4"/>
        <w:rPr>
          <w:sz w:val="24"/>
          <w:szCs w:val="24"/>
        </w:rPr>
      </w:pPr>
      <w:bookmarkStart w:id="278" w:name="_Toc9623"/>
      <w:r>
        <w:rPr>
          <w:rFonts w:hint="eastAsia"/>
          <w:sz w:val="24"/>
          <w:szCs w:val="24"/>
        </w:rPr>
        <w:t>各包服务内容及服务标准</w:t>
      </w:r>
      <w:bookmarkEnd w:id="278"/>
    </w:p>
    <w:p>
      <w:pPr>
        <w:pStyle w:val="5"/>
        <w:ind w:firstLine="497" w:firstLineChars="203"/>
        <w:rPr>
          <w:color w:val="auto"/>
        </w:rPr>
      </w:pPr>
      <w:r>
        <w:rPr>
          <w:rFonts w:hint="eastAsia"/>
          <w:color w:val="auto"/>
        </w:rPr>
        <w:t>服务内容</w:t>
      </w:r>
    </w:p>
    <w:p>
      <w:pPr>
        <w:pStyle w:val="5"/>
        <w:numPr>
          <w:ilvl w:val="2"/>
          <w:numId w:val="0"/>
        </w:numPr>
        <w:ind w:firstLine="490" w:firstLineChars="200"/>
        <w:rPr>
          <w:b w:val="0"/>
          <w:bCs w:val="0"/>
          <w:color w:val="auto"/>
        </w:rPr>
      </w:pPr>
      <w:r>
        <w:rPr>
          <w:rFonts w:hint="eastAsia"/>
          <w:b w:val="0"/>
          <w:bCs w:val="0"/>
          <w:color w:val="auto"/>
        </w:rPr>
        <w:t>污泥收集、运输、处置和检测。</w:t>
      </w:r>
    </w:p>
    <w:p>
      <w:pPr>
        <w:pStyle w:val="5"/>
        <w:ind w:firstLine="497" w:firstLineChars="203"/>
      </w:pPr>
      <w:r>
        <w:rPr>
          <w:rFonts w:hint="eastAsia"/>
        </w:rPr>
        <w:t>服务标准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s="宋体"/>
          <w:color w:val="auto"/>
          <w:sz w:val="24"/>
        </w:rPr>
      </w:pPr>
      <w:bookmarkStart w:id="279" w:name="_Toc27075"/>
      <w:bookmarkStart w:id="280" w:name="_Toc3757"/>
      <w:bookmarkStart w:id="281" w:name="_Toc16804"/>
      <w:bookmarkStart w:id="282" w:name="_Toc31097"/>
      <w:r>
        <w:rPr>
          <w:rFonts w:hint="eastAsia" w:ascii="宋体" w:hAnsi="宋体" w:cs="宋体"/>
          <w:color w:val="auto"/>
          <w:kern w:val="0"/>
          <w:sz w:val="24"/>
        </w:rPr>
        <w:t>污泥处置方式需满足以下相关标准之一：《农用污泥污染物控制标准》（GB4284-2018）、《污水处理厂污泥处置-园林绿化用泥质》（GB/T23486-2009），《城镇污水处理厂污泥处置-混合填埋泥质》（GB/T23485-2009）,《城镇污水处理厂污泥处置-土地改良泥质》（GB/T24600-2009），《城镇污水处理厂污泥处置-制砖用泥质》（GB/T25031-2010），《城镇污水处理厂污泥处置-水泥熟料生产用泥质》（CJ/T314-2009）。</w:t>
      </w:r>
      <w:r>
        <w:rPr>
          <w:rFonts w:hint="eastAsia" w:ascii="宋体" w:hAnsi="宋体" w:cs="宋体"/>
          <w:kern w:val="0"/>
          <w:highlight w:val="none"/>
        </w:rPr>
        <w:t>以上标准如有新要求则按照最新要求执行。</w:t>
      </w:r>
    </w:p>
    <w:p>
      <w:pPr>
        <w:pStyle w:val="4"/>
        <w:rPr>
          <w:sz w:val="24"/>
          <w:szCs w:val="24"/>
        </w:rPr>
      </w:pPr>
      <w:r>
        <w:rPr>
          <w:rFonts w:hint="eastAsia"/>
          <w:sz w:val="24"/>
          <w:szCs w:val="24"/>
        </w:rPr>
        <w:t>各包服务要求</w:t>
      </w:r>
      <w:bookmarkEnd w:id="279"/>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在生产过程中确保废水、废气、废渣不对周围环境产生二次污染，并做好污泥控制的措施和预案，同时投标人的最终产品应符合国家相关法律法规要求，确保龙泉驿区污水处理厂污泥达到稳定化、无害化和资源化的要求。</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★投标人须承诺进行处置的污泥以及临时堆放的污泥均符合国家相关法律法规的要求，否则一切责任和后果由投标人承担。</w:t>
      </w:r>
      <w:r>
        <w:rPr>
          <w:rFonts w:hint="eastAsia" w:ascii="宋体" w:hAnsi="宋体" w:cs="宋体"/>
          <w:sz w:val="24"/>
          <w:szCs w:val="24"/>
        </w:rPr>
        <w:t>（投标时提供承诺函）</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★投标人必须具有污泥处理处置的场地及相关设施，日处理污泥150吨以上的处置能力，处置设施符合环境规范，污泥暂存池具有防雨、防渗措施。</w:t>
      </w:r>
      <w:r>
        <w:rPr>
          <w:rFonts w:hint="eastAsia" w:ascii="宋体" w:hAnsi="宋体" w:cs="宋体"/>
          <w:sz w:val="24"/>
          <w:szCs w:val="24"/>
        </w:rPr>
        <w:t>（投标时提供承诺函）</w:t>
      </w:r>
    </w:p>
    <w:p>
      <w:pPr>
        <w:pStyle w:val="5"/>
        <w:ind w:firstLine="500" w:firstLineChars="0"/>
        <w:rPr>
          <w:rFonts w:ascii="宋体" w:hAnsi="宋体" w:cs="宋体"/>
          <w:sz w:val="24"/>
          <w:szCs w:val="24"/>
        </w:rPr>
      </w:pPr>
      <w:r>
        <w:rPr>
          <w:rFonts w:hint="eastAsia" w:ascii="宋体" w:hAnsi="宋体" w:cs="宋体"/>
          <w:sz w:val="24"/>
          <w:szCs w:val="24"/>
        </w:rPr>
        <w:t>污泥装车地点</w:t>
      </w:r>
    </w:p>
    <w:p>
      <w:pPr>
        <w:spacing w:line="360" w:lineRule="auto"/>
        <w:ind w:firstLine="492"/>
        <w:rPr>
          <w:rFonts w:ascii="宋体" w:hAnsi="宋体" w:cs="宋体"/>
          <w:color w:val="000000"/>
          <w:kern w:val="0"/>
          <w:sz w:val="24"/>
        </w:rPr>
      </w:pPr>
      <w:r>
        <w:rPr>
          <w:rFonts w:hint="eastAsia" w:ascii="宋体" w:hAnsi="宋体" w:cs="宋体"/>
          <w:color w:val="000000"/>
          <w:kern w:val="0"/>
          <w:sz w:val="24"/>
        </w:rPr>
        <w:t>龙泉驿区大面街道、东安街道、柏合街道、西河街道等。</w:t>
      </w:r>
    </w:p>
    <w:p>
      <w:pPr>
        <w:pStyle w:val="5"/>
        <w:ind w:firstLine="500" w:firstLineChars="0"/>
        <w:rPr>
          <w:rFonts w:ascii="宋体" w:hAnsi="宋体" w:cs="宋体"/>
          <w:sz w:val="24"/>
          <w:szCs w:val="24"/>
        </w:rPr>
      </w:pPr>
      <w:r>
        <w:rPr>
          <w:rFonts w:hint="eastAsia" w:ascii="宋体" w:hAnsi="宋体" w:cs="宋体"/>
          <w:sz w:val="24"/>
          <w:szCs w:val="24"/>
        </w:rPr>
        <w:t>污泥运输要求</w:t>
      </w:r>
    </w:p>
    <w:p>
      <w:pPr>
        <w:widowControl/>
        <w:numPr>
          <w:ilvl w:val="0"/>
          <w:numId w:val="43"/>
        </w:numPr>
        <w:spacing w:line="360" w:lineRule="auto"/>
        <w:ind w:left="0" w:leftChars="0" w:firstLine="420" w:firstLineChars="0"/>
        <w:rPr>
          <w:rFonts w:ascii="宋体" w:hAnsi="宋体" w:cs="宋体"/>
          <w:kern w:val="0"/>
          <w:sz w:val="24"/>
        </w:rPr>
      </w:pPr>
      <w:r>
        <w:rPr>
          <w:rFonts w:hint="eastAsia" w:ascii="宋体" w:hAnsi="宋体" w:cs="宋体"/>
          <w:kern w:val="0"/>
          <w:sz w:val="24"/>
        </w:rPr>
        <w:t>运输单位应当具有相关的道路货物运营资质，禁止个人和没有获得相关运营资质的单位从事污泥运输；</w:t>
      </w:r>
    </w:p>
    <w:p>
      <w:pPr>
        <w:widowControl/>
        <w:numPr>
          <w:ilvl w:val="0"/>
          <w:numId w:val="43"/>
        </w:numPr>
        <w:spacing w:line="360" w:lineRule="auto"/>
        <w:ind w:left="0" w:leftChars="0" w:firstLine="420" w:firstLineChars="0"/>
        <w:rPr>
          <w:rFonts w:ascii="宋体" w:hAnsi="宋体" w:cs="宋体"/>
          <w:kern w:val="0"/>
          <w:sz w:val="24"/>
        </w:rPr>
      </w:pPr>
      <w:r>
        <w:rPr>
          <w:rFonts w:hint="eastAsia" w:ascii="宋体" w:hAnsi="宋体" w:cs="宋体"/>
          <w:kern w:val="0"/>
          <w:sz w:val="24"/>
        </w:rPr>
        <w:t>运输车辆应采用密封、防水、防渗漏和防遗撒等措施，车容车貌整洁，车况良好，并固定车辆报甲方备案，如有调整以书面形式报甲方同意；</w:t>
      </w:r>
    </w:p>
    <w:p>
      <w:pPr>
        <w:widowControl/>
        <w:numPr>
          <w:ilvl w:val="0"/>
          <w:numId w:val="43"/>
        </w:numPr>
        <w:spacing w:line="360" w:lineRule="auto"/>
        <w:ind w:left="0" w:leftChars="0" w:firstLine="420" w:firstLineChars="0"/>
        <w:rPr>
          <w:rFonts w:ascii="宋体" w:hAnsi="宋体" w:cs="宋体"/>
          <w:kern w:val="0"/>
          <w:sz w:val="24"/>
        </w:rPr>
      </w:pPr>
      <w:r>
        <w:rPr>
          <w:rFonts w:hint="eastAsia" w:ascii="宋体" w:hAnsi="宋体" w:cs="宋体"/>
          <w:color w:val="000000"/>
          <w:kern w:val="0"/>
          <w:sz w:val="24"/>
        </w:rPr>
        <w:t>装污泥时，驾驶员应服从污水处理厂厂方装车人员的安排，不得擅自开启甲方的装车设备，过磅称重后，双方在《城镇污水处理厂污泥转移登记单》上签字，乙方将污泥运至处置场所后需再次过磅称重交甲方备案；</w:t>
      </w:r>
    </w:p>
    <w:p>
      <w:pPr>
        <w:widowControl/>
        <w:numPr>
          <w:ilvl w:val="0"/>
          <w:numId w:val="43"/>
        </w:numPr>
        <w:spacing w:line="360" w:lineRule="auto"/>
        <w:ind w:left="0" w:leftChars="0" w:firstLine="420" w:firstLineChars="0"/>
        <w:rPr>
          <w:rFonts w:ascii="宋体" w:hAnsi="宋体" w:cs="宋体"/>
          <w:kern w:val="0"/>
          <w:sz w:val="24"/>
        </w:rPr>
      </w:pPr>
      <w:r>
        <w:rPr>
          <w:rFonts w:hint="eastAsia" w:ascii="宋体" w:hAnsi="宋体" w:cs="宋体"/>
          <w:kern w:val="0"/>
          <w:sz w:val="24"/>
        </w:rPr>
        <w:t>污泥运输过程中不得泄漏；</w:t>
      </w:r>
    </w:p>
    <w:p>
      <w:pPr>
        <w:widowControl/>
        <w:numPr>
          <w:ilvl w:val="0"/>
          <w:numId w:val="43"/>
        </w:numPr>
        <w:spacing w:line="360" w:lineRule="auto"/>
        <w:ind w:left="0" w:leftChars="0" w:firstLine="420" w:firstLineChars="0"/>
        <w:rPr>
          <w:rFonts w:ascii="宋体" w:hAnsi="宋体" w:cs="宋体"/>
          <w:kern w:val="0"/>
          <w:sz w:val="24"/>
          <w:highlight w:val="none"/>
        </w:rPr>
      </w:pPr>
      <w:r>
        <w:rPr>
          <w:rFonts w:hint="eastAsia" w:ascii="宋体" w:hAnsi="宋体" w:cs="宋体"/>
          <w:kern w:val="0"/>
          <w:sz w:val="24"/>
        </w:rPr>
        <w:t>污泥清运车应在指</w:t>
      </w:r>
      <w:r>
        <w:rPr>
          <w:rFonts w:hint="eastAsia" w:ascii="宋体" w:hAnsi="宋体" w:cs="宋体"/>
          <w:kern w:val="0"/>
          <w:sz w:val="24"/>
          <w:highlight w:val="none"/>
        </w:rPr>
        <w:t>定线路行驶，不得随意倾倒。甲方一旦抽查发现乙方在运输过程中有倾倒污泥的行为，将处以5万元/</w:t>
      </w:r>
      <w:r>
        <w:rPr>
          <w:rFonts w:hint="eastAsia" w:ascii="宋体" w:hAnsi="宋体" w:cs="宋体"/>
          <w:kern w:val="0"/>
          <w:sz w:val="24"/>
          <w:highlight w:val="none"/>
          <w:lang w:val="en-US" w:eastAsia="zh-CN"/>
        </w:rPr>
        <w:t>车/</w:t>
      </w:r>
      <w:r>
        <w:rPr>
          <w:rFonts w:hint="eastAsia" w:ascii="宋体" w:hAnsi="宋体" w:cs="宋体"/>
          <w:kern w:val="0"/>
          <w:sz w:val="24"/>
          <w:highlight w:val="none"/>
        </w:rPr>
        <w:t>次的罚款</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并承担污泥清理处置等相关费用</w:t>
      </w:r>
      <w:r>
        <w:rPr>
          <w:rFonts w:hint="eastAsia" w:ascii="宋体" w:hAnsi="宋体" w:cs="宋体"/>
          <w:kern w:val="0"/>
          <w:sz w:val="24"/>
          <w:highlight w:val="none"/>
        </w:rPr>
        <w:t>；</w:t>
      </w:r>
    </w:p>
    <w:p>
      <w:pPr>
        <w:widowControl/>
        <w:numPr>
          <w:ilvl w:val="0"/>
          <w:numId w:val="43"/>
        </w:numPr>
        <w:spacing w:line="360" w:lineRule="auto"/>
        <w:ind w:left="0" w:leftChars="0" w:firstLine="420" w:firstLineChars="0"/>
        <w:rPr>
          <w:rFonts w:ascii="宋体" w:hAnsi="宋体" w:cs="宋体"/>
          <w:kern w:val="0"/>
          <w:sz w:val="24"/>
          <w:highlight w:val="none"/>
        </w:rPr>
      </w:pPr>
      <w:r>
        <w:rPr>
          <w:rFonts w:hint="eastAsia" w:ascii="宋体" w:hAnsi="宋体" w:cs="宋体"/>
          <w:kern w:val="0"/>
          <w:sz w:val="24"/>
          <w:highlight w:val="none"/>
        </w:rPr>
        <w:t>乙方负责与污水厂负责人对接协调及时运输污泥，若运输滞后2天</w:t>
      </w:r>
      <w:r>
        <w:rPr>
          <w:rFonts w:hint="eastAsia" w:ascii="宋体" w:hAnsi="宋体" w:cs="宋体"/>
          <w:kern w:val="0"/>
          <w:sz w:val="24"/>
          <w:highlight w:val="none"/>
          <w:lang w:val="en-US" w:eastAsia="zh-CN"/>
        </w:rPr>
        <w:t>及</w:t>
      </w:r>
      <w:r>
        <w:rPr>
          <w:rFonts w:hint="eastAsia" w:ascii="宋体" w:hAnsi="宋体" w:cs="宋体"/>
          <w:kern w:val="0"/>
          <w:sz w:val="24"/>
          <w:highlight w:val="none"/>
        </w:rPr>
        <w:t>以上将处以5万元/次的罚款（如遇特殊情况，应及时向甲方报告，双方另行协商）；</w:t>
      </w:r>
    </w:p>
    <w:p>
      <w:pPr>
        <w:widowControl/>
        <w:numPr>
          <w:ilvl w:val="0"/>
          <w:numId w:val="43"/>
        </w:numPr>
        <w:spacing w:line="360" w:lineRule="auto"/>
        <w:ind w:left="0" w:leftChars="0" w:firstLine="420" w:firstLineChars="0"/>
        <w:rPr>
          <w:rFonts w:ascii="宋体" w:hAnsi="宋体" w:cs="宋体"/>
          <w:kern w:val="0"/>
          <w:sz w:val="24"/>
          <w:highlight w:val="none"/>
        </w:rPr>
      </w:pPr>
      <w:r>
        <w:rPr>
          <w:rFonts w:hint="eastAsia" w:ascii="宋体" w:hAnsi="宋体" w:cs="宋体"/>
          <w:kern w:val="0"/>
          <w:sz w:val="24"/>
          <w:highlight w:val="none"/>
        </w:rPr>
        <w:t>运输车辆需按甲方要求安装</w:t>
      </w:r>
      <w:r>
        <w:rPr>
          <w:rFonts w:hint="eastAsia" w:ascii="宋体" w:hAnsi="宋体" w:cs="宋体"/>
          <w:kern w:val="0"/>
          <w:sz w:val="24"/>
          <w:highlight w:val="none"/>
          <w:lang w:val="en-US" w:eastAsia="zh-CN"/>
        </w:rPr>
        <w:t>卫星定位</w:t>
      </w:r>
      <w:r>
        <w:rPr>
          <w:rFonts w:hint="eastAsia" w:ascii="宋体" w:hAnsi="宋体" w:cs="宋体"/>
          <w:kern w:val="0"/>
          <w:sz w:val="24"/>
          <w:highlight w:val="none"/>
        </w:rPr>
        <w:t>系统，终端数据传送到甲方。</w:t>
      </w:r>
    </w:p>
    <w:p>
      <w:pPr>
        <w:pStyle w:val="5"/>
        <w:ind w:firstLine="500" w:firstLineChars="0"/>
        <w:rPr>
          <w:rFonts w:ascii="宋体" w:hAnsi="宋体" w:cs="宋体"/>
          <w:sz w:val="24"/>
          <w:szCs w:val="24"/>
          <w:highlight w:val="none"/>
        </w:rPr>
      </w:pPr>
      <w:r>
        <w:rPr>
          <w:rFonts w:hint="eastAsia" w:ascii="宋体" w:hAnsi="宋体" w:cs="宋体"/>
          <w:sz w:val="24"/>
          <w:szCs w:val="24"/>
          <w:highlight w:val="none"/>
        </w:rPr>
        <w:t>检测要求</w:t>
      </w:r>
    </w:p>
    <w:p>
      <w:pPr>
        <w:spacing w:line="360" w:lineRule="auto"/>
        <w:ind w:firstLine="492"/>
        <w:rPr>
          <w:rFonts w:ascii="宋体" w:hAnsi="宋体" w:cs="宋体"/>
          <w:sz w:val="24"/>
        </w:rPr>
      </w:pPr>
      <w:r>
        <w:rPr>
          <w:rFonts w:hint="eastAsia" w:ascii="宋体" w:hAnsi="宋体" w:cs="宋体"/>
          <w:sz w:val="24"/>
        </w:rPr>
        <w:t>供应商应委托具备相应资质的检测单位对处置后的泥质进行检测，采购人将不定期对检测情况进行抽查或委托监测机构对处置后的泥质进行监测。对不能提交检测报告或检（监）测不合格的，采购人将不支付污泥处置费，并有权终止合同和追究相应赔偿。</w:t>
      </w:r>
    </w:p>
    <w:p>
      <w:pPr>
        <w:pStyle w:val="5"/>
        <w:ind w:firstLine="500" w:firstLineChars="0"/>
        <w:rPr>
          <w:rFonts w:ascii="宋体" w:hAnsi="宋体" w:cs="宋体"/>
          <w:sz w:val="24"/>
          <w:szCs w:val="24"/>
        </w:rPr>
      </w:pPr>
      <w:r>
        <w:rPr>
          <w:rFonts w:hint="eastAsia" w:ascii="宋体" w:hAnsi="宋体" w:cs="宋体"/>
          <w:sz w:val="24"/>
          <w:szCs w:val="24"/>
        </w:rPr>
        <w:t>污泥计量</w:t>
      </w:r>
    </w:p>
    <w:p>
      <w:pPr>
        <w:numPr>
          <w:ilvl w:val="0"/>
          <w:numId w:val="44"/>
        </w:numPr>
        <w:spacing w:line="360" w:lineRule="auto"/>
        <w:ind w:left="0" w:leftChars="0" w:firstLine="420" w:firstLineChars="0"/>
        <w:rPr>
          <w:rFonts w:ascii="宋体" w:hAnsi="宋体" w:cs="宋体"/>
          <w:sz w:val="24"/>
        </w:rPr>
      </w:pPr>
      <w:r>
        <w:rPr>
          <w:rFonts w:hint="eastAsia" w:ascii="宋体" w:hAnsi="宋体" w:cs="宋体"/>
          <w:sz w:val="24"/>
        </w:rPr>
        <w:t>中标人在污水处理厂将污泥装车，经污水处理厂装车人员检查无渗漏，并进行过磅称重后，采购人、中标人、污水处理厂三方在《城镇污水处理厂污泥转移登记单》上签字。中标人将污泥运至处置场所后需再次过磅称重。</w:t>
      </w:r>
    </w:p>
    <w:p>
      <w:pPr>
        <w:numPr>
          <w:ilvl w:val="0"/>
          <w:numId w:val="44"/>
        </w:numPr>
        <w:spacing w:line="360" w:lineRule="auto"/>
        <w:ind w:left="0" w:leftChars="0" w:firstLine="420" w:firstLineChars="0"/>
        <w:rPr>
          <w:rFonts w:ascii="宋体" w:hAnsi="宋体" w:cs="宋体"/>
          <w:sz w:val="24"/>
        </w:rPr>
      </w:pPr>
      <w:r>
        <w:rPr>
          <w:rFonts w:hint="eastAsia" w:ascii="宋体" w:hAnsi="宋体" w:cs="宋体"/>
          <w:sz w:val="24"/>
        </w:rPr>
        <w:t>污泥处置量原则上以污水处理厂称重数据为准。污水处理厂的称重数据与中标人处置场称重数据不符时：a、若中标人数据高于污水处理厂数据，以污水处理厂数据为准；b、若中标人数据低于污水处理厂数据，相差2%以内时，以污水处理厂数据为准；相差超过2%时，以中标人称重数据结算处置费，同时超出2%部分按此部分污泥处置费的3倍处以罚款，由采购人在当月污泥处置费中扣缴。</w:t>
      </w:r>
    </w:p>
    <w:p>
      <w:pPr>
        <w:numPr>
          <w:ilvl w:val="0"/>
          <w:numId w:val="44"/>
        </w:numPr>
        <w:spacing w:line="360" w:lineRule="auto"/>
        <w:ind w:left="0" w:leftChars="0" w:firstLine="420" w:firstLineChars="0"/>
        <w:rPr>
          <w:rFonts w:ascii="宋体" w:hAnsi="宋体" w:cs="宋体"/>
          <w:sz w:val="24"/>
        </w:rPr>
      </w:pPr>
      <w:r>
        <w:rPr>
          <w:rFonts w:hint="eastAsia" w:ascii="宋体" w:hAnsi="宋体" w:cs="宋体"/>
          <w:sz w:val="24"/>
        </w:rPr>
        <w:t>供应商应每月提供给采购人各污水处理厂污泥运输称重单各一份。每月底采购人、中标人和各污水处理厂对本月污泥处置量进行核对，经采购人、中标人和各污水处理厂共同确认的污泥处置量作为污泥处置计量和结算依据。</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在生产过程中确保废水、废气、废渣不对周围环境产生二次污染，并做好污泥控制的措施和预案，同时投标人的最终产品应符合国家相关法律法规要求，确保我市污水处理厂污泥达到稳定化、无害化和资源化的要求。</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供应商应保证处置中、处置后及临时堆放的污泥符合国家法律法规及相关行政主管部门的要求，否则一切责任和后果由供应商承担。</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供应商应严格按照国家有关法律、法规和相关规定进行安全作业，供应商作业期间发生的各类安全事故，由供应商自行承担相应责任。</w:t>
      </w:r>
    </w:p>
    <w:p>
      <w:pPr>
        <w:pStyle w:val="5"/>
        <w:ind w:firstLine="500" w:firstLineChars="0"/>
        <w:rPr>
          <w:rFonts w:ascii="宋体" w:hAnsi="宋体" w:cs="宋体"/>
          <w:b w:val="0"/>
          <w:bCs w:val="0"/>
          <w:sz w:val="24"/>
          <w:szCs w:val="24"/>
        </w:rPr>
      </w:pPr>
      <w:r>
        <w:rPr>
          <w:rFonts w:hint="eastAsia" w:ascii="宋体" w:hAnsi="宋体" w:cs="宋体"/>
          <w:b w:val="0"/>
          <w:bCs w:val="0"/>
          <w:sz w:val="24"/>
          <w:szCs w:val="24"/>
        </w:rPr>
        <w:t>供应商应及时向采购人通告服务范围内的重大事项，及时配合处理投诉，自觉接受行业管理部门及政府有关部门的指导，接受采购人的监督。</w:t>
      </w:r>
    </w:p>
    <w:p>
      <w:pPr>
        <w:pStyle w:val="4"/>
        <w:rPr>
          <w:sz w:val="24"/>
          <w:szCs w:val="24"/>
        </w:rPr>
      </w:pPr>
      <w:bookmarkStart w:id="283" w:name="_Toc16409"/>
      <w:r>
        <w:rPr>
          <w:rFonts w:hint="eastAsia"/>
          <w:sz w:val="24"/>
          <w:szCs w:val="24"/>
        </w:rPr>
        <w:t>各包商务要求</w:t>
      </w:r>
      <w:bookmarkEnd w:id="280"/>
      <w:bookmarkEnd w:id="281"/>
      <w:bookmarkEnd w:id="282"/>
      <w:bookmarkEnd w:id="283"/>
    </w:p>
    <w:p>
      <w:pPr>
        <w:pStyle w:val="5"/>
        <w:ind w:firstLine="500" w:firstLineChars="0"/>
        <w:rPr>
          <w:color w:val="auto"/>
        </w:rPr>
      </w:pPr>
      <w:r>
        <w:rPr>
          <w:rFonts w:hint="eastAsia"/>
          <w:color w:val="auto"/>
        </w:rPr>
        <w:t>服务期限</w:t>
      </w:r>
    </w:p>
    <w:p>
      <w:pPr>
        <w:spacing w:line="360" w:lineRule="auto"/>
        <w:ind w:firstLine="428" w:firstLineChars="175"/>
        <w:rPr>
          <w:rFonts w:ascii="宋体" w:hAnsi="宋体" w:cs="宋体"/>
          <w:sz w:val="24"/>
        </w:rPr>
      </w:pPr>
      <w:r>
        <w:rPr>
          <w:rFonts w:hint="eastAsia" w:ascii="宋体" w:hAnsi="宋体" w:cs="宋体"/>
          <w:kern w:val="0"/>
          <w:sz w:val="24"/>
          <w:lang w:val="en-US" w:eastAsia="zh-CN"/>
        </w:rPr>
        <w:t>自合同签订之日起</w:t>
      </w:r>
      <w:r>
        <w:rPr>
          <w:rFonts w:hint="eastAsia" w:ascii="宋体" w:hAnsi="宋体" w:cs="宋体"/>
          <w:kern w:val="0"/>
          <w:sz w:val="24"/>
        </w:rPr>
        <w:t>2年。合同一年一签。</w:t>
      </w:r>
    </w:p>
    <w:p>
      <w:pPr>
        <w:pStyle w:val="5"/>
        <w:ind w:firstLine="500" w:firstLineChars="0"/>
        <w:rPr>
          <w:rFonts w:cs="宋体"/>
          <w:color w:val="auto"/>
          <w:szCs w:val="24"/>
        </w:rPr>
      </w:pPr>
      <w:r>
        <w:rPr>
          <w:rFonts w:hint="eastAsia" w:cs="宋体"/>
          <w:color w:val="auto"/>
          <w:szCs w:val="24"/>
        </w:rPr>
        <w:t>验收要求</w:t>
      </w:r>
    </w:p>
    <w:p>
      <w:pPr>
        <w:ind w:firstLine="492"/>
        <w:rPr>
          <w:rFonts w:ascii="宋体" w:hAnsi="宋体" w:cs="宋体"/>
          <w:szCs w:val="28"/>
        </w:rPr>
      </w:pPr>
      <w:r>
        <w:rPr>
          <w:rFonts w:hint="eastAsia" w:ascii="宋体" w:hAnsi="宋体" w:cs="宋体"/>
          <w:szCs w:val="28"/>
        </w:rPr>
        <w:t>按照《财政部关于进一步加强政府采购需求和履约验收管理的指导意见》（财库[2016]205号）执行。</w:t>
      </w:r>
    </w:p>
    <w:p>
      <w:pPr>
        <w:pStyle w:val="5"/>
        <w:ind w:firstLine="500" w:firstLineChars="0"/>
        <w:rPr>
          <w:rFonts w:cs="宋体"/>
          <w:color w:val="auto"/>
          <w:szCs w:val="24"/>
          <w:highlight w:val="none"/>
        </w:rPr>
      </w:pPr>
      <w:r>
        <w:rPr>
          <w:rFonts w:hint="eastAsia" w:cs="宋体"/>
          <w:color w:val="auto"/>
          <w:szCs w:val="24"/>
          <w:highlight w:val="none"/>
        </w:rPr>
        <w:t>付款方式</w:t>
      </w:r>
    </w:p>
    <w:p>
      <w:pPr>
        <w:spacing w:line="360" w:lineRule="auto"/>
        <w:ind w:firstLine="428" w:firstLineChars="175"/>
        <w:rPr>
          <w:rFonts w:ascii="宋体" w:hAnsi="宋体" w:cs="宋体"/>
          <w:sz w:val="24"/>
        </w:rPr>
      </w:pPr>
      <w:r>
        <w:rPr>
          <w:rFonts w:hint="eastAsia" w:ascii="宋体" w:hAnsi="宋体" w:cs="宋体"/>
          <w:sz w:val="24"/>
        </w:rPr>
        <w:t>采购人每季度末核实污泥处置量，根据核实确认的处置数量，计算污泥处置费，于下季度初以银行转账方式支付投标人。</w:t>
      </w:r>
    </w:p>
    <w:p>
      <w:pPr>
        <w:pStyle w:val="5"/>
        <w:ind w:firstLine="500" w:firstLineChars="0"/>
        <w:rPr>
          <w:lang w:val="zh-TW" w:eastAsia="zh-TW"/>
        </w:rPr>
      </w:pPr>
      <w:r>
        <w:rPr>
          <w:rFonts w:hint="eastAsia"/>
        </w:rPr>
        <w:t>最高限价</w:t>
      </w:r>
    </w:p>
    <w:p>
      <w:pPr>
        <w:pStyle w:val="152"/>
        <w:spacing w:line="360" w:lineRule="auto"/>
        <w:ind w:firstLine="490" w:firstLineChars="200"/>
        <w:rPr>
          <w:b/>
          <w:lang w:val="zh-CN"/>
        </w:rPr>
      </w:pPr>
      <w:r>
        <w:rPr>
          <w:rFonts w:hint="eastAsia"/>
          <w:b/>
        </w:rPr>
        <w:t>★</w:t>
      </w:r>
      <w:r>
        <w:rPr>
          <w:rFonts w:hint="eastAsia"/>
          <w:b/>
          <w:lang w:val="zh-CN"/>
        </w:rPr>
        <w:t>本项目包件一</w:t>
      </w:r>
      <w:r>
        <w:rPr>
          <w:rFonts w:hint="eastAsia"/>
          <w:b/>
        </w:rPr>
        <w:t>投标单价最高限价为320元/吨（包括污水处理厂到处置场所运输费），</w:t>
      </w:r>
      <w:r>
        <w:rPr>
          <w:b/>
        </w:rPr>
        <w:t>投标总价最高限价为</w:t>
      </w:r>
      <w:r>
        <w:rPr>
          <w:rFonts w:hint="eastAsia"/>
          <w:b/>
        </w:rPr>
        <w:t>1</w:t>
      </w:r>
      <w:r>
        <w:rPr>
          <w:rFonts w:hint="eastAsia"/>
          <w:b/>
          <w:lang w:val="en-US" w:eastAsia="zh-CN"/>
        </w:rPr>
        <w:t>50</w:t>
      </w:r>
      <w:r>
        <w:rPr>
          <w:b/>
        </w:rPr>
        <w:t>00000</w:t>
      </w:r>
      <w:r>
        <w:rPr>
          <w:rFonts w:hint="eastAsia"/>
          <w:b/>
        </w:rPr>
        <w:t>元/年。</w:t>
      </w:r>
      <w:r>
        <w:rPr>
          <w:rFonts w:hint="eastAsia"/>
          <w:b/>
          <w:lang w:val="zh-CN"/>
        </w:rPr>
        <w:t>投标人投标单价及</w:t>
      </w:r>
      <w:r>
        <w:rPr>
          <w:b/>
          <w:lang w:val="zh-CN"/>
        </w:rPr>
        <w:t>投标总价</w:t>
      </w:r>
      <w:r>
        <w:rPr>
          <w:rFonts w:hint="eastAsia"/>
          <w:b/>
          <w:lang w:val="zh-CN"/>
        </w:rPr>
        <w:t>超过本包件最高限价的则其本包件投标文件将按无效投标文件处理。</w:t>
      </w:r>
    </w:p>
    <w:p>
      <w:pPr>
        <w:pStyle w:val="152"/>
        <w:spacing w:line="360" w:lineRule="auto"/>
        <w:ind w:firstLine="490" w:firstLineChars="200"/>
        <w:rPr>
          <w:b/>
          <w:lang w:val="zh-CN"/>
        </w:rPr>
      </w:pPr>
      <w:r>
        <w:rPr>
          <w:rFonts w:hint="eastAsia"/>
          <w:b/>
        </w:rPr>
        <w:t>★</w:t>
      </w:r>
      <w:r>
        <w:rPr>
          <w:rFonts w:hint="eastAsia"/>
          <w:b/>
          <w:lang w:val="zh-CN"/>
        </w:rPr>
        <w:t>本项目包件二</w:t>
      </w:r>
      <w:r>
        <w:rPr>
          <w:rFonts w:hint="eastAsia"/>
          <w:b/>
        </w:rPr>
        <w:t>投标单价最高限价为320元/吨（包括污水处理厂到处置场所运输费），</w:t>
      </w:r>
      <w:r>
        <w:rPr>
          <w:b/>
        </w:rPr>
        <w:t>投标总价最高限价为</w:t>
      </w:r>
      <w:r>
        <w:rPr>
          <w:rFonts w:hint="eastAsia"/>
          <w:b/>
        </w:rPr>
        <w:t>1</w:t>
      </w:r>
      <w:r>
        <w:rPr>
          <w:rFonts w:hint="eastAsia"/>
          <w:b/>
          <w:lang w:val="en-US" w:eastAsia="zh-CN"/>
        </w:rPr>
        <w:t>50</w:t>
      </w:r>
      <w:r>
        <w:rPr>
          <w:b/>
        </w:rPr>
        <w:t>00000</w:t>
      </w:r>
      <w:r>
        <w:rPr>
          <w:rFonts w:hint="eastAsia"/>
          <w:b/>
        </w:rPr>
        <w:t>元/年。</w:t>
      </w:r>
      <w:r>
        <w:rPr>
          <w:rFonts w:hint="eastAsia"/>
          <w:b/>
          <w:lang w:val="zh-CN"/>
        </w:rPr>
        <w:t>投标人投标单价及</w:t>
      </w:r>
      <w:r>
        <w:rPr>
          <w:b/>
          <w:lang w:val="zh-CN"/>
        </w:rPr>
        <w:t>投标总价</w:t>
      </w:r>
      <w:r>
        <w:rPr>
          <w:rFonts w:hint="eastAsia"/>
          <w:b/>
          <w:lang w:val="zh-CN"/>
        </w:rPr>
        <w:t>超过本包件最高限价的则其本包件投标文件将按无效投标文件处理。</w:t>
      </w:r>
    </w:p>
    <w:p>
      <w:pPr>
        <w:pStyle w:val="2"/>
        <w:ind w:firstLine="494"/>
        <w:rPr>
          <w:rFonts w:ascii="宋体" w:hAnsi="宋体" w:cs="宋体"/>
          <w:b/>
          <w:kern w:val="0"/>
          <w:szCs w:val="24"/>
        </w:rPr>
      </w:pPr>
    </w:p>
    <w:p>
      <w:pPr>
        <w:pStyle w:val="2"/>
        <w:ind w:firstLine="494"/>
        <w:rPr>
          <w:rFonts w:ascii="宋体" w:hAnsi="宋体" w:cs="宋体"/>
          <w:b/>
          <w:kern w:val="0"/>
          <w:szCs w:val="24"/>
        </w:rPr>
      </w:pPr>
      <w:r>
        <w:rPr>
          <w:rFonts w:hint="eastAsia" w:ascii="宋体" w:hAnsi="宋体" w:cs="宋体"/>
          <w:b/>
          <w:kern w:val="0"/>
          <w:szCs w:val="24"/>
        </w:rPr>
        <w:t>注：本章加★条款为符合性审查内容，未响应或不满足的做无效投标处理。</w:t>
      </w:r>
    </w:p>
    <w:p>
      <w:pPr>
        <w:ind w:firstLine="492"/>
      </w:pPr>
      <w:r>
        <w:rPr>
          <w:rFonts w:hint="eastAsia"/>
        </w:rPr>
        <w:br w:type="page"/>
      </w:r>
    </w:p>
    <w:bookmarkEnd w:id="273"/>
    <w:bookmarkEnd w:id="274"/>
    <w:p>
      <w:pPr>
        <w:pStyle w:val="3"/>
        <w:spacing w:before="0" w:after="0" w:line="240" w:lineRule="auto"/>
      </w:pPr>
      <w:bookmarkStart w:id="284" w:name="_Toc20840"/>
      <w:bookmarkStart w:id="285" w:name="_Toc13515"/>
      <w:bookmarkStart w:id="286" w:name="_Toc28598"/>
      <w:bookmarkStart w:id="287" w:name="_Toc18168"/>
      <w:bookmarkStart w:id="288" w:name="_Toc8605"/>
      <w:bookmarkStart w:id="289" w:name="_Toc217446097"/>
      <w:bookmarkStart w:id="290" w:name="_Toc208849007"/>
      <w:bookmarkStart w:id="291" w:name="_Toc6274"/>
      <w:bookmarkStart w:id="292" w:name="_Toc315871642"/>
      <w:bookmarkStart w:id="293" w:name="_Toc183682415"/>
      <w:bookmarkStart w:id="294" w:name="_Toc183582280"/>
      <w:bookmarkStart w:id="295" w:name="_Toc316292248"/>
      <w:r>
        <w:rPr>
          <w:rFonts w:hint="eastAsia"/>
        </w:rPr>
        <w:t>资格性审查</w:t>
      </w:r>
      <w:bookmarkEnd w:id="284"/>
      <w:bookmarkEnd w:id="285"/>
      <w:bookmarkEnd w:id="286"/>
      <w:bookmarkEnd w:id="287"/>
    </w:p>
    <w:p>
      <w:pPr>
        <w:tabs>
          <w:tab w:val="left" w:pos="851"/>
        </w:tabs>
        <w:ind w:firstLine="492"/>
        <w:rPr>
          <w:rFonts w:ascii="宋体" w:hAnsi="宋体"/>
          <w:szCs w:val="24"/>
        </w:rPr>
      </w:pPr>
      <w:r>
        <w:rPr>
          <w:rFonts w:hint="eastAsia" w:ascii="宋体" w:hAnsi="宋体"/>
          <w:szCs w:val="24"/>
        </w:rPr>
        <w:t>资格性审查由采购人或采购代理机构依据法律法规和招标文件的规定，对投标文件中的资格证明等进行审查，以确定投标人是否具备投标资格，并填写资格审查表。</w:t>
      </w:r>
    </w:p>
    <w:p>
      <w:pPr>
        <w:tabs>
          <w:tab w:val="left" w:pos="851"/>
        </w:tabs>
        <w:ind w:firstLine="492"/>
        <w:rPr>
          <w:rFonts w:ascii="宋体" w:hAnsi="宋体"/>
          <w:szCs w:val="24"/>
        </w:rPr>
      </w:pPr>
      <w:r>
        <w:rPr>
          <w:rFonts w:hint="eastAsia" w:ascii="宋体" w:hAnsi="宋体"/>
          <w:szCs w:val="24"/>
        </w:rPr>
        <w:t>各包资格性审查标准见下表：</w:t>
      </w:r>
    </w:p>
    <w:tbl>
      <w:tblPr>
        <w:tblStyle w:val="43"/>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1567"/>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08"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kern w:val="0"/>
                <w:szCs w:val="24"/>
              </w:rPr>
            </w:pPr>
            <w:r>
              <w:rPr>
                <w:rFonts w:hint="eastAsia" w:ascii="宋体" w:hAnsi="宋体" w:cs="宋体"/>
                <w:b/>
                <w:bCs/>
                <w:kern w:val="0"/>
                <w:szCs w:val="24"/>
              </w:rPr>
              <w:t>资格性审查项</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kern w:val="0"/>
                <w:szCs w:val="24"/>
              </w:rPr>
            </w:pPr>
            <w:r>
              <w:rPr>
                <w:rFonts w:hint="eastAsia" w:ascii="宋体" w:hAnsi="宋体" w:cs="宋体"/>
                <w:b/>
                <w:bCs/>
                <w:kern w:val="0"/>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20"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szCs w:val="24"/>
              </w:rPr>
              <w:t>（一）资格要求</w:t>
            </w:r>
            <w:r>
              <w:rPr>
                <w:rFonts w:hint="eastAsia" w:ascii="宋体" w:hAnsi="宋体" w:cs="宋体"/>
                <w:kern w:val="0"/>
                <w:szCs w:val="24"/>
              </w:rPr>
              <w:t>　</w:t>
            </w: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szCs w:val="24"/>
              </w:rPr>
              <w:t>1、具有独立承担民事责任的能力</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cs="宋体"/>
                <w:bCs/>
                <w:kern w:val="0"/>
                <w:szCs w:val="24"/>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2、具有良好的商业信誉</w:t>
            </w:r>
          </w:p>
        </w:tc>
        <w:tc>
          <w:tcPr>
            <w:tcW w:w="5889" w:type="dxa"/>
            <w:vMerge w:val="restart"/>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按第三章的格式及要求提供承诺函原件。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szCs w:val="24"/>
              </w:rPr>
              <w:t>3、具有履行合同所必须的设备和专业技术能力</w:t>
            </w:r>
          </w:p>
        </w:tc>
        <w:tc>
          <w:tcPr>
            <w:tcW w:w="588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4、参加政府采购活动前三年内，在经营活动中没有重大违法记录</w:t>
            </w:r>
          </w:p>
        </w:tc>
        <w:tc>
          <w:tcPr>
            <w:tcW w:w="588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5、在行贿犯罪信息查询期限内，投标人及其现任法定代表人、主要负责人无行贿犯罪记录</w:t>
            </w:r>
          </w:p>
        </w:tc>
        <w:tc>
          <w:tcPr>
            <w:tcW w:w="5889"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6、法律、行政法规规定的其他条件</w:t>
            </w:r>
          </w:p>
        </w:tc>
        <w:tc>
          <w:tcPr>
            <w:tcW w:w="588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7、</w:t>
            </w:r>
            <w:r>
              <w:rPr>
                <w:rFonts w:hint="eastAsia" w:ascii="宋体" w:hAnsi="宋体" w:cs="宋体"/>
                <w:szCs w:val="24"/>
              </w:rPr>
              <w:t>健全的财务会计制度的证明材料</w:t>
            </w:r>
          </w:p>
        </w:tc>
        <w:tc>
          <w:tcPr>
            <w:tcW w:w="5889" w:type="dxa"/>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szCs w:val="24"/>
              </w:rPr>
              <w:t>①可提供2019年度或2020年度经审计的财务报告复印件（包含审计报告和审计报告中所涉及的财务报表和报表附注），②也可提供2019年度或2020年度供应商内部财务报表复印件（至少包含资产负债表），③也可提供截至响应文件递交截止日一年内银行出具的资信证明（复印件），④供应商注册时间截至响应文件递交截止日不足一年的，也可提供公司章程（复印件），</w:t>
            </w:r>
            <w:r>
              <w:rPr>
                <w:rFonts w:hint="eastAsia" w:ascii="宋体" w:hAnsi="宋体" w:cs="宋体"/>
                <w:szCs w:val="24"/>
              </w:rPr>
              <w:fldChar w:fldCharType="begin"/>
            </w:r>
            <w:r>
              <w:rPr>
                <w:rFonts w:hint="eastAsia" w:ascii="宋体" w:hAnsi="宋体" w:cs="宋体"/>
                <w:szCs w:val="24"/>
              </w:rPr>
              <w:instrText xml:space="preserve"> = 5 \* GB3 \* MERGEFORMAT </w:instrText>
            </w:r>
            <w:r>
              <w:rPr>
                <w:rFonts w:hint="eastAsia" w:ascii="宋体" w:hAnsi="宋体" w:cs="宋体"/>
                <w:szCs w:val="24"/>
              </w:rPr>
              <w:fldChar w:fldCharType="separate"/>
            </w:r>
            <w:r>
              <w:rPr>
                <w:rFonts w:hint="eastAsia" w:ascii="宋体" w:hAnsi="宋体" w:cs="宋体"/>
                <w:szCs w:val="24"/>
              </w:rPr>
              <w:t>⑤</w:t>
            </w:r>
            <w:r>
              <w:rPr>
                <w:rFonts w:hint="eastAsia" w:ascii="宋体" w:hAnsi="宋体" w:cs="宋体"/>
                <w:szCs w:val="24"/>
              </w:rPr>
              <w:fldChar w:fldCharType="end"/>
            </w:r>
            <w:r>
              <w:rPr>
                <w:rFonts w:hint="eastAsia" w:ascii="宋体" w:hAnsi="宋体" w:cs="宋体"/>
                <w:szCs w:val="24"/>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132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szCs w:val="24"/>
              </w:rPr>
              <w:t>8、有依法缴纳税收和社会保障资金的良好记录</w:t>
            </w:r>
          </w:p>
        </w:tc>
        <w:tc>
          <w:tcPr>
            <w:tcW w:w="156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r>
              <w:rPr>
                <w:rFonts w:hint="eastAsia" w:ascii="宋体" w:hAnsi="宋体" w:cs="宋体"/>
                <w:bCs/>
                <w:kern w:val="0"/>
                <w:szCs w:val="24"/>
              </w:rPr>
              <w:t>（1）缴纳社会保障资金的证明材料</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szCs w:val="24"/>
              </w:rPr>
              <w:t>供应商缴纳2020年</w:t>
            </w:r>
            <w:r>
              <w:rPr>
                <w:rFonts w:hint="eastAsia" w:ascii="宋体" w:hAnsi="宋体" w:cs="宋体"/>
                <w:szCs w:val="24"/>
                <w:shd w:val="clear" w:color="auto" w:fill="FFFFFF"/>
              </w:rPr>
              <w:t>以来</w:t>
            </w:r>
            <w:r>
              <w:rPr>
                <w:rFonts w:hint="eastAsia" w:ascii="宋体" w:hAnsi="宋体" w:cs="宋体"/>
                <w:szCs w:val="24"/>
              </w:rPr>
              <w:t>任意时段的缴纳社保的银行电子回单</w:t>
            </w:r>
            <w:r>
              <w:rPr>
                <w:rFonts w:hint="eastAsia" w:ascii="宋体" w:hAnsi="宋体" w:cs="宋体"/>
                <w:b/>
                <w:bCs/>
                <w:szCs w:val="24"/>
              </w:rPr>
              <w:t>或</w:t>
            </w:r>
            <w:r>
              <w:rPr>
                <w:rFonts w:hint="eastAsia" w:ascii="宋体" w:hAnsi="宋体" w:cs="宋体"/>
                <w:szCs w:val="24"/>
              </w:rPr>
              <w:t>社保部门出具的社保缴纳证明材料复印件</w:t>
            </w:r>
            <w:r>
              <w:rPr>
                <w:rFonts w:hint="eastAsia" w:ascii="宋体" w:hAnsi="宋体" w:cs="宋体"/>
                <w:b/>
                <w:bCs/>
                <w:szCs w:val="24"/>
              </w:rPr>
              <w:t>或</w:t>
            </w:r>
            <w:r>
              <w:rPr>
                <w:rFonts w:hint="eastAsia" w:ascii="宋体" w:hAnsi="宋体" w:cs="宋体"/>
                <w:szCs w:val="24"/>
                <w:shd w:val="clear" w:color="auto" w:fill="FFFFFF"/>
              </w:rPr>
              <w:t>承诺函原件</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bCs/>
                <w:kern w:val="0"/>
                <w:szCs w:val="24"/>
              </w:rPr>
            </w:pPr>
          </w:p>
        </w:tc>
        <w:tc>
          <w:tcPr>
            <w:tcW w:w="132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bCs/>
                <w:kern w:val="0"/>
                <w:szCs w:val="24"/>
              </w:rPr>
              <w:t>（2）缴纳税收的证明材料</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szCs w:val="24"/>
              </w:rPr>
              <w:t>供应商缴纳2020年</w:t>
            </w:r>
            <w:r>
              <w:rPr>
                <w:rFonts w:hint="eastAsia" w:ascii="宋体" w:hAnsi="宋体" w:cs="宋体"/>
                <w:szCs w:val="24"/>
                <w:shd w:val="clear" w:color="auto" w:fill="FFFFFF"/>
              </w:rPr>
              <w:t>以来</w:t>
            </w:r>
            <w:r>
              <w:rPr>
                <w:rFonts w:hint="eastAsia" w:ascii="宋体" w:hAnsi="宋体" w:cs="宋体"/>
                <w:szCs w:val="24"/>
              </w:rPr>
              <w:t>任意时段的缴纳税收的银行电子回单</w:t>
            </w:r>
            <w:r>
              <w:rPr>
                <w:rFonts w:hint="eastAsia" w:ascii="宋体" w:hAnsi="宋体" w:cs="宋体"/>
                <w:b/>
                <w:bCs/>
                <w:szCs w:val="24"/>
              </w:rPr>
              <w:t>或</w:t>
            </w:r>
            <w:r>
              <w:rPr>
                <w:rFonts w:hint="eastAsia" w:ascii="宋体" w:hAnsi="宋体" w:cs="宋体"/>
                <w:szCs w:val="24"/>
              </w:rPr>
              <w:t>税务部门出具的纳税证明</w:t>
            </w:r>
            <w:r>
              <w:rPr>
                <w:rFonts w:hint="eastAsia" w:ascii="宋体" w:hAnsi="宋体" w:cs="宋体"/>
                <w:b/>
                <w:bCs/>
                <w:szCs w:val="24"/>
              </w:rPr>
              <w:t>或</w:t>
            </w:r>
            <w:r>
              <w:rPr>
                <w:rFonts w:hint="eastAsia" w:ascii="宋体" w:hAnsi="宋体" w:cs="宋体"/>
                <w:szCs w:val="24"/>
              </w:rPr>
              <w:t>完税证明的复印件</w:t>
            </w:r>
            <w:r>
              <w:rPr>
                <w:rFonts w:hint="eastAsia" w:ascii="宋体" w:hAnsi="宋体" w:cs="宋体"/>
                <w:b/>
                <w:bCs/>
                <w:szCs w:val="24"/>
              </w:rPr>
              <w:t>或</w:t>
            </w:r>
            <w:r>
              <w:rPr>
                <w:rFonts w:hint="eastAsia" w:ascii="宋体" w:hAnsi="宋体" w:cs="宋体"/>
                <w:szCs w:val="24"/>
                <w:shd w:val="clear" w:color="auto" w:fill="FFFFFF"/>
              </w:rPr>
              <w:t>承诺函原件</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9、法定代表人身份证明书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92"/>
              <w:textAlignment w:val="auto"/>
              <w:rPr>
                <w:rFonts w:ascii="宋体" w:hAnsi="宋体"/>
                <w:szCs w:val="24"/>
              </w:rPr>
            </w:pPr>
            <w:r>
              <w:rPr>
                <w:rFonts w:hint="eastAsia" w:ascii="宋体" w:hAnsi="宋体" w:cs="宋体"/>
                <w:szCs w:val="24"/>
              </w:rPr>
              <w:t>法定代表人身份证明书原件（自然人参加</w:t>
            </w:r>
            <w:r>
              <w:rPr>
                <w:rFonts w:hint="eastAsia" w:ascii="宋体" w:hAnsi="宋体" w:cs="宋体"/>
                <w:szCs w:val="24"/>
                <w:lang w:val="en-US" w:eastAsia="zh-CN"/>
              </w:rPr>
              <w:t>投标</w:t>
            </w:r>
            <w:r>
              <w:rPr>
                <w:rFonts w:hint="eastAsia" w:ascii="宋体" w:hAnsi="宋体" w:cs="宋体"/>
                <w:szCs w:val="24"/>
              </w:rPr>
              <w:t>的不须提供身份证明书）及身份证复印件或护照复印件【注：（1）法定代表人身份证明书符合</w:t>
            </w:r>
            <w:r>
              <w:rPr>
                <w:rFonts w:hint="eastAsia" w:ascii="宋体" w:hAnsi="宋体" w:cs="宋体"/>
                <w:szCs w:val="24"/>
                <w:lang w:val="en-US" w:eastAsia="zh-CN"/>
              </w:rPr>
              <w:t>招标</w:t>
            </w:r>
            <w:r>
              <w:rPr>
                <w:rFonts w:hint="eastAsia" w:ascii="宋体" w:hAnsi="宋体" w:cs="宋体"/>
                <w:szCs w:val="24"/>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p>
        </w:tc>
        <w:tc>
          <w:tcPr>
            <w:tcW w:w="2888"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10、法定代表人授权委托书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szCs w:val="24"/>
              </w:rPr>
              <w:t>法定代表人授权书原件及身份证复印件【注：（1）代理人身份证复印件（身份证两面均应复印，在有效期内）；（2）如响应文件均由供应商法定代表人签字的或供应商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11、联合体投标</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r>
              <w:rPr>
                <w:rFonts w:hint="eastAsia" w:ascii="宋体" w:hAnsi="宋体" w:cs="宋体"/>
                <w:kern w:val="0"/>
                <w:szCs w:val="24"/>
              </w:rPr>
              <w:t>（二）资质要求</w:t>
            </w: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Cs w:val="24"/>
                <w:lang w:val="en-US" w:eastAsia="zh-CN"/>
              </w:rPr>
            </w:pPr>
            <w:r>
              <w:rPr>
                <w:rFonts w:hint="eastAsia" w:ascii="宋体" w:hAnsi="宋体" w:cs="宋体"/>
                <w:kern w:val="0"/>
                <w:szCs w:val="24"/>
                <w:lang w:val="en-US" w:eastAsia="zh-CN"/>
              </w:rPr>
              <w:t>无</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cs="宋体"/>
                <w:kern w:val="0"/>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r>
              <w:rPr>
                <w:rFonts w:hint="eastAsia" w:ascii="宋体" w:hAnsi="宋体" w:cs="宋体"/>
                <w:kern w:val="0"/>
                <w:szCs w:val="24"/>
              </w:rPr>
              <w:t>（三）其他要求</w:t>
            </w: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资格性响应文件签署、盖章</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资格性响应文件按照招标文件规定要求签署、盖章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20"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宋体"/>
                <w:kern w:val="0"/>
                <w:szCs w:val="24"/>
              </w:rPr>
            </w:pPr>
          </w:p>
        </w:tc>
        <w:tc>
          <w:tcPr>
            <w:tcW w:w="2888"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投标文件有效期</w:t>
            </w:r>
          </w:p>
        </w:tc>
        <w:tc>
          <w:tcPr>
            <w:tcW w:w="5889"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szCs w:val="24"/>
              </w:rPr>
            </w:pPr>
            <w:r>
              <w:rPr>
                <w:rFonts w:hint="eastAsia" w:ascii="宋体" w:hAnsi="宋体"/>
                <w:szCs w:val="24"/>
              </w:rPr>
              <w:t>符合招标文件要求</w:t>
            </w:r>
          </w:p>
        </w:tc>
      </w:tr>
    </w:tbl>
    <w:p>
      <w:pPr>
        <w:tabs>
          <w:tab w:val="left" w:pos="851"/>
        </w:tabs>
        <w:ind w:firstLine="492"/>
        <w:rPr>
          <w:rFonts w:hint="eastAsia" w:ascii="宋体" w:hAnsi="宋体"/>
          <w:szCs w:val="24"/>
        </w:rPr>
      </w:pPr>
      <w:r>
        <w:rPr>
          <w:rFonts w:hint="eastAsia" w:ascii="宋体" w:hAnsi="宋体"/>
          <w:szCs w:val="24"/>
        </w:rPr>
        <w:t>注：以上每一项结论均为“通过”的，则投标人的投标文件通过资格性审查；如有其中任意一项结论为“不通过”的，则投标人的投标文件按无效投标文件处理。如果资格审查小组认为投标人有任意一项不通过的，应在资格性审查表中载明不通过的具体原因。</w:t>
      </w: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rPr>
          <w:rFonts w:hint="eastAsia" w:ascii="宋体" w:hAnsi="宋体"/>
          <w:szCs w:val="24"/>
        </w:rPr>
      </w:pPr>
    </w:p>
    <w:p>
      <w:pPr>
        <w:rPr>
          <w:rFonts w:hint="eastAsia" w:ascii="宋体" w:hAnsi="宋体"/>
          <w:szCs w:val="24"/>
        </w:rPr>
      </w:pPr>
    </w:p>
    <w:p>
      <w:pPr>
        <w:pStyle w:val="2"/>
      </w:pPr>
    </w:p>
    <w:p>
      <w:pPr>
        <w:pStyle w:val="3"/>
        <w:spacing w:before="0" w:after="0" w:line="240" w:lineRule="auto"/>
        <w:rPr>
          <w:szCs w:val="24"/>
        </w:rPr>
      </w:pPr>
      <w:bookmarkStart w:id="296" w:name="_Toc32099"/>
      <w:bookmarkStart w:id="297" w:name="_Toc17725"/>
      <w:r>
        <w:rPr>
          <w:rFonts w:hint="eastAsia"/>
          <w:szCs w:val="24"/>
        </w:rPr>
        <w:t>评标办法</w:t>
      </w:r>
      <w:bookmarkEnd w:id="296"/>
      <w:bookmarkEnd w:id="297"/>
    </w:p>
    <w:p>
      <w:pPr>
        <w:pStyle w:val="4"/>
      </w:pPr>
      <w:bookmarkStart w:id="298" w:name="_Toc32505"/>
      <w:bookmarkStart w:id="299" w:name="_Toc25269"/>
      <w:r>
        <w:rPr>
          <w:rFonts w:hint="eastAsia"/>
        </w:rPr>
        <w:t>总则</w:t>
      </w:r>
      <w:bookmarkEnd w:id="288"/>
      <w:bookmarkEnd w:id="289"/>
      <w:bookmarkEnd w:id="290"/>
      <w:bookmarkEnd w:id="291"/>
      <w:bookmarkEnd w:id="292"/>
      <w:bookmarkEnd w:id="293"/>
      <w:bookmarkEnd w:id="294"/>
      <w:bookmarkEnd w:id="295"/>
      <w:bookmarkEnd w:id="298"/>
      <w:bookmarkEnd w:id="299"/>
    </w:p>
    <w:p>
      <w:pPr>
        <w:numPr>
          <w:ilvl w:val="0"/>
          <w:numId w:val="45"/>
        </w:numPr>
        <w:tabs>
          <w:tab w:val="left" w:pos="1134"/>
        </w:tabs>
        <w:ind w:firstLine="492"/>
        <w:rPr>
          <w:rFonts w:ascii="宋体" w:hAnsi="宋体"/>
          <w:szCs w:val="24"/>
        </w:rPr>
      </w:pPr>
      <w:r>
        <w:rPr>
          <w:rFonts w:hint="eastAsia" w:ascii="宋体" w:hAnsi="宋体"/>
          <w:szCs w:val="24"/>
        </w:rPr>
        <w:t>根据《中华人民共和国政府采购法》、《中华人民共和国政府采购法实施条例》和《政府采购货物和服务招标投标管理办法》等法律法规的相关规定，结合采购项目特点制定本评标办法。</w:t>
      </w:r>
    </w:p>
    <w:p>
      <w:pPr>
        <w:numPr>
          <w:ilvl w:val="0"/>
          <w:numId w:val="45"/>
        </w:numPr>
        <w:tabs>
          <w:tab w:val="left" w:pos="1134"/>
        </w:tabs>
        <w:ind w:firstLine="492"/>
        <w:rPr>
          <w:rFonts w:ascii="宋体" w:hAnsi="宋体"/>
          <w:szCs w:val="24"/>
        </w:rPr>
      </w:pPr>
      <w:r>
        <w:rPr>
          <w:rFonts w:hint="eastAsia" w:ascii="宋体" w:hAnsi="宋体"/>
          <w:szCs w:val="24"/>
        </w:rPr>
        <w:t>评标工作由采购代理机构负责组织，具体评标事务由招标采购单位依法组建的评标委员会负责。评标委员会由采购人代表和有关技术、经济等方面的专家组成。</w:t>
      </w:r>
    </w:p>
    <w:p>
      <w:pPr>
        <w:numPr>
          <w:ilvl w:val="0"/>
          <w:numId w:val="45"/>
        </w:numPr>
        <w:tabs>
          <w:tab w:val="left" w:pos="1134"/>
        </w:tabs>
        <w:ind w:firstLine="492"/>
        <w:rPr>
          <w:rFonts w:ascii="宋体" w:hAnsi="宋体"/>
          <w:szCs w:val="24"/>
        </w:rPr>
      </w:pPr>
      <w:r>
        <w:rPr>
          <w:rFonts w:hint="eastAsia" w:ascii="宋体" w:hAnsi="宋体"/>
          <w:szCs w:val="24"/>
        </w:rPr>
        <w:t>评标工作应遵循公平、公正、科学及择优的原则，并以相同的评标程序和标准对待所有的投标人。</w:t>
      </w:r>
    </w:p>
    <w:p>
      <w:pPr>
        <w:numPr>
          <w:ilvl w:val="0"/>
          <w:numId w:val="45"/>
        </w:numPr>
        <w:tabs>
          <w:tab w:val="left" w:pos="1134"/>
        </w:tabs>
        <w:ind w:firstLine="492"/>
        <w:rPr>
          <w:rFonts w:ascii="宋体" w:hAnsi="宋体"/>
          <w:szCs w:val="24"/>
        </w:rPr>
      </w:pPr>
      <w:r>
        <w:rPr>
          <w:rFonts w:hint="eastAsia" w:ascii="宋体" w:hAnsi="宋体"/>
          <w:szCs w:val="24"/>
        </w:rPr>
        <w:t>评标委员会按照招标文件规定的评标程序、评标方法和标准进行独立评审，并独立履行下列职责：</w:t>
      </w:r>
    </w:p>
    <w:p>
      <w:pPr>
        <w:numPr>
          <w:ilvl w:val="0"/>
          <w:numId w:val="46"/>
        </w:numPr>
        <w:ind w:firstLine="492"/>
        <w:rPr>
          <w:rFonts w:ascii="宋体" w:hAnsi="宋体"/>
          <w:szCs w:val="24"/>
        </w:rPr>
      </w:pPr>
      <w:r>
        <w:rPr>
          <w:rFonts w:hint="eastAsia" w:ascii="宋体" w:hAnsi="宋体"/>
          <w:szCs w:val="24"/>
        </w:rPr>
        <w:t>熟悉和理解招标文件；</w:t>
      </w:r>
    </w:p>
    <w:p>
      <w:pPr>
        <w:numPr>
          <w:ilvl w:val="0"/>
          <w:numId w:val="46"/>
        </w:numPr>
        <w:ind w:firstLine="492"/>
        <w:rPr>
          <w:rFonts w:ascii="宋体" w:hAnsi="宋体"/>
          <w:szCs w:val="24"/>
        </w:rPr>
      </w:pPr>
      <w:r>
        <w:rPr>
          <w:rFonts w:hint="eastAsia" w:ascii="宋体" w:hAnsi="宋体"/>
          <w:szCs w:val="24"/>
        </w:rPr>
        <w:t>审查投标文件是否符合招标文件要求，并作出评价；</w:t>
      </w:r>
    </w:p>
    <w:p>
      <w:pPr>
        <w:pStyle w:val="2"/>
        <w:numPr>
          <w:ilvl w:val="0"/>
          <w:numId w:val="46"/>
        </w:numPr>
        <w:spacing w:line="360" w:lineRule="auto"/>
        <w:ind w:firstLine="492"/>
      </w:pPr>
      <w:r>
        <w:rPr>
          <w:rFonts w:hint="eastAsia" w:ascii="宋体" w:hAnsi="宋体"/>
          <w:szCs w:val="24"/>
        </w:rPr>
        <w:t>根据需要要求采购代理机构对招标文件做出解释（评标委员会发现招标文件前后不一致或表达不明确或需要说明的事项，应提请招标采购单位书面解释说明）；根据需要要求供应商对投标文件有关事项做出澄清、说明或者更正；</w:t>
      </w:r>
    </w:p>
    <w:p>
      <w:pPr>
        <w:numPr>
          <w:ilvl w:val="0"/>
          <w:numId w:val="46"/>
        </w:numPr>
        <w:ind w:firstLine="492"/>
        <w:rPr>
          <w:rFonts w:ascii="宋体" w:hAnsi="宋体"/>
          <w:szCs w:val="24"/>
        </w:rPr>
      </w:pPr>
      <w:r>
        <w:rPr>
          <w:rFonts w:hint="eastAsia" w:ascii="宋体" w:hAnsi="宋体"/>
          <w:szCs w:val="24"/>
        </w:rPr>
        <w:t>推荐中标候选供应商名单，或者受采购人委托确定中标人；</w:t>
      </w:r>
    </w:p>
    <w:p>
      <w:pPr>
        <w:numPr>
          <w:ilvl w:val="0"/>
          <w:numId w:val="46"/>
        </w:numPr>
        <w:ind w:firstLine="492"/>
        <w:rPr>
          <w:rFonts w:ascii="宋体" w:hAnsi="宋体"/>
          <w:szCs w:val="24"/>
        </w:rPr>
      </w:pPr>
      <w:r>
        <w:rPr>
          <w:rFonts w:hint="eastAsia" w:ascii="宋体" w:hAnsi="宋体"/>
          <w:szCs w:val="24"/>
        </w:rPr>
        <w:t>起草评标报告并进行签署；</w:t>
      </w:r>
    </w:p>
    <w:p>
      <w:pPr>
        <w:numPr>
          <w:ilvl w:val="0"/>
          <w:numId w:val="46"/>
        </w:numPr>
        <w:ind w:firstLine="492"/>
        <w:rPr>
          <w:rFonts w:ascii="宋体" w:hAnsi="宋体"/>
          <w:szCs w:val="24"/>
        </w:rPr>
      </w:pPr>
      <w:r>
        <w:rPr>
          <w:rFonts w:hint="eastAsia" w:ascii="宋体" w:hAnsi="宋体"/>
          <w:szCs w:val="24"/>
        </w:rPr>
        <w:t>向采购组织单位、财政部门或者其他监督部门报告非法干预评标工作的行为</w:t>
      </w:r>
      <w:r>
        <w:rPr>
          <w:rFonts w:hint="eastAsia" w:ascii="宋体"/>
          <w:szCs w:val="24"/>
        </w:rPr>
        <w:t>；</w:t>
      </w:r>
      <w:bookmarkStart w:id="300" w:name="_Toc217446098"/>
    </w:p>
    <w:p>
      <w:pPr>
        <w:numPr>
          <w:ilvl w:val="0"/>
          <w:numId w:val="46"/>
        </w:numPr>
        <w:ind w:firstLine="492"/>
        <w:rPr>
          <w:rFonts w:ascii="宋体" w:hAnsi="宋体"/>
          <w:szCs w:val="24"/>
        </w:rPr>
      </w:pPr>
      <w:r>
        <w:rPr>
          <w:rFonts w:hint="eastAsia" w:ascii="宋体" w:hAnsi="宋体"/>
          <w:szCs w:val="24"/>
        </w:rPr>
        <w:t>法律、法规和规章规定的其他职责。</w:t>
      </w:r>
    </w:p>
    <w:p>
      <w:pPr>
        <w:pStyle w:val="4"/>
      </w:pPr>
      <w:bookmarkStart w:id="301" w:name="_Toc316292249"/>
      <w:bookmarkStart w:id="302" w:name="_Toc9947"/>
      <w:bookmarkStart w:id="303" w:name="_Toc14823"/>
      <w:bookmarkStart w:id="304" w:name="_Toc4435"/>
      <w:bookmarkStart w:id="305" w:name="_Toc315871643"/>
      <w:bookmarkStart w:id="306" w:name="_Toc22615"/>
      <w:r>
        <w:rPr>
          <w:rFonts w:hint="eastAsia"/>
        </w:rPr>
        <w:t>评标方法</w:t>
      </w:r>
      <w:bookmarkEnd w:id="301"/>
      <w:bookmarkEnd w:id="302"/>
      <w:bookmarkEnd w:id="303"/>
      <w:bookmarkEnd w:id="304"/>
      <w:bookmarkEnd w:id="305"/>
      <w:bookmarkEnd w:id="306"/>
    </w:p>
    <w:p>
      <w:pPr>
        <w:ind w:firstLine="492"/>
        <w:rPr>
          <w:rFonts w:ascii="宋体" w:hAnsi="宋体"/>
          <w:szCs w:val="24"/>
        </w:rPr>
      </w:pPr>
      <w:r>
        <w:rPr>
          <w:rFonts w:hint="eastAsia" w:ascii="宋体" w:hAnsi="宋体"/>
          <w:szCs w:val="24"/>
        </w:rPr>
        <w:t>综合评分法。</w:t>
      </w:r>
    </w:p>
    <w:p>
      <w:pPr>
        <w:pStyle w:val="4"/>
      </w:pPr>
      <w:bookmarkStart w:id="307" w:name="_Toc26118"/>
      <w:bookmarkStart w:id="308" w:name="_Toc21696"/>
      <w:bookmarkStart w:id="309" w:name="_Toc316292250"/>
      <w:bookmarkStart w:id="310" w:name="_Toc315871644"/>
      <w:bookmarkStart w:id="311" w:name="_Toc27068"/>
      <w:bookmarkStart w:id="312" w:name="_Toc32641"/>
      <w:r>
        <w:rPr>
          <w:rFonts w:hint="eastAsia"/>
        </w:rPr>
        <w:t>评标程序</w:t>
      </w:r>
      <w:bookmarkEnd w:id="300"/>
      <w:bookmarkEnd w:id="307"/>
      <w:bookmarkEnd w:id="308"/>
      <w:bookmarkEnd w:id="309"/>
      <w:bookmarkEnd w:id="310"/>
      <w:bookmarkEnd w:id="311"/>
      <w:bookmarkEnd w:id="312"/>
    </w:p>
    <w:p>
      <w:pPr>
        <w:pStyle w:val="5"/>
        <w:ind w:left="322" w:firstLine="494" w:firstLineChars="0"/>
        <w:rPr>
          <w:color w:val="auto"/>
        </w:rPr>
      </w:pPr>
      <w:bookmarkStart w:id="313" w:name="_Toc316475650"/>
      <w:bookmarkEnd w:id="313"/>
      <w:bookmarkStart w:id="314" w:name="_Toc315871645"/>
      <w:bookmarkStart w:id="315" w:name="_Toc316292251"/>
      <w:bookmarkStart w:id="316" w:name="_Toc24913"/>
      <w:bookmarkStart w:id="317" w:name="_Toc217446099"/>
      <w:r>
        <w:rPr>
          <w:rFonts w:hint="eastAsia"/>
          <w:color w:val="auto"/>
        </w:rPr>
        <w:t>熟悉和理解招标文件和停止评标</w:t>
      </w:r>
      <w:bookmarkEnd w:id="314"/>
      <w:bookmarkEnd w:id="315"/>
      <w:bookmarkEnd w:id="316"/>
    </w:p>
    <w:p>
      <w:pPr>
        <w:numPr>
          <w:ilvl w:val="0"/>
          <w:numId w:val="47"/>
        </w:numPr>
        <w:tabs>
          <w:tab w:val="left" w:pos="851"/>
        </w:tabs>
        <w:ind w:firstLine="492"/>
        <w:rPr>
          <w:rFonts w:ascii="宋体" w:hAnsi="宋体"/>
          <w:szCs w:val="24"/>
        </w:rPr>
      </w:pPr>
      <w:r>
        <w:rPr>
          <w:rFonts w:hint="eastAsia" w:ascii="宋体" w:hAnsi="宋体"/>
          <w:szCs w:val="24"/>
        </w:rPr>
        <w:t>评标委员会正式评标前，应当对招标文件进行熟悉和理解，内容主要包括采购项目技术、服务和商务要求、评标方法和标准以及可能涉及签订政府合同的内容等。</w:t>
      </w:r>
    </w:p>
    <w:p>
      <w:pPr>
        <w:numPr>
          <w:ilvl w:val="0"/>
          <w:numId w:val="47"/>
        </w:numPr>
        <w:tabs>
          <w:tab w:val="left" w:pos="851"/>
        </w:tabs>
        <w:ind w:firstLine="492"/>
        <w:rPr>
          <w:rFonts w:ascii="宋体" w:hAnsi="宋体"/>
          <w:szCs w:val="24"/>
        </w:rPr>
      </w:pPr>
      <w:r>
        <w:rPr>
          <w:rFonts w:hint="eastAsia" w:ascii="宋体" w:hAnsi="宋体"/>
          <w:szCs w:val="24"/>
        </w:rPr>
        <w:t>评标委员会熟悉和理解招标文件以及评标过程中，发现本招标文件有下列情形之一的，评标委员会应当停止评标：</w:t>
      </w:r>
    </w:p>
    <w:p>
      <w:pPr>
        <w:numPr>
          <w:ilvl w:val="0"/>
          <w:numId w:val="48"/>
        </w:numPr>
        <w:tabs>
          <w:tab w:val="left" w:pos="851"/>
        </w:tabs>
        <w:ind w:firstLine="492"/>
        <w:rPr>
          <w:rFonts w:ascii="宋体" w:hAnsi="宋体"/>
          <w:szCs w:val="24"/>
        </w:rPr>
      </w:pPr>
      <w:r>
        <w:rPr>
          <w:rFonts w:hint="eastAsia" w:ascii="宋体" w:hAnsi="宋体"/>
          <w:szCs w:val="24"/>
        </w:rPr>
        <w:t>招标文件的规定存在歧义、重大缺陷的；</w:t>
      </w:r>
    </w:p>
    <w:p>
      <w:pPr>
        <w:numPr>
          <w:ilvl w:val="0"/>
          <w:numId w:val="48"/>
        </w:numPr>
        <w:tabs>
          <w:tab w:val="left" w:pos="851"/>
        </w:tabs>
        <w:ind w:firstLine="492"/>
        <w:rPr>
          <w:rFonts w:ascii="宋体" w:hAnsi="宋体"/>
          <w:szCs w:val="24"/>
        </w:rPr>
      </w:pPr>
      <w:r>
        <w:rPr>
          <w:rFonts w:hint="eastAsia" w:ascii="宋体" w:hAnsi="宋体"/>
          <w:szCs w:val="24"/>
        </w:rPr>
        <w:t>招标文件明显以不合理条件对供应商实行差别待遇或者歧视待遇的；</w:t>
      </w:r>
    </w:p>
    <w:p>
      <w:pPr>
        <w:pStyle w:val="2"/>
        <w:numPr>
          <w:ilvl w:val="0"/>
          <w:numId w:val="48"/>
        </w:numPr>
        <w:spacing w:line="360" w:lineRule="auto"/>
        <w:ind w:firstLine="492"/>
      </w:pPr>
      <w:r>
        <w:rPr>
          <w:rFonts w:hint="eastAsia" w:ascii="宋体" w:hAnsi="宋体"/>
          <w:szCs w:val="24"/>
        </w:rPr>
        <w:t>采购项目属于国家规定的优先、强制采购范围，但是招标文件未依法体现优先、强制采购相关规定的；</w:t>
      </w:r>
    </w:p>
    <w:p>
      <w:pPr>
        <w:numPr>
          <w:ilvl w:val="0"/>
          <w:numId w:val="48"/>
        </w:numPr>
        <w:tabs>
          <w:tab w:val="left" w:pos="851"/>
        </w:tabs>
        <w:ind w:firstLine="492"/>
        <w:rPr>
          <w:rFonts w:ascii="宋体" w:hAnsi="宋体"/>
          <w:szCs w:val="24"/>
        </w:rPr>
      </w:pPr>
      <w:r>
        <w:rPr>
          <w:rFonts w:hint="eastAsia" w:ascii="宋体" w:hAnsi="宋体"/>
          <w:szCs w:val="24"/>
        </w:rPr>
        <w:t>采购项目属于政府采购促进中小企业发展的范围，但是招标文件未依法体现促进中小企业发展相关规定的；</w:t>
      </w:r>
    </w:p>
    <w:p>
      <w:pPr>
        <w:numPr>
          <w:ilvl w:val="0"/>
          <w:numId w:val="48"/>
        </w:numPr>
        <w:tabs>
          <w:tab w:val="left" w:pos="851"/>
        </w:tabs>
        <w:ind w:firstLine="492"/>
        <w:rPr>
          <w:rFonts w:ascii="宋体" w:hAnsi="宋体"/>
          <w:szCs w:val="24"/>
        </w:rPr>
      </w:pPr>
      <w:r>
        <w:rPr>
          <w:rFonts w:hint="eastAsia" w:ascii="宋体" w:hAnsi="宋体"/>
          <w:szCs w:val="24"/>
        </w:rPr>
        <w:t>招标文件规定的评标方法是综合评分法、最低评标价法之外的评标方法，或者虽然名称为综合评分法、最低评标价法，但实际上不符合国家规定；</w:t>
      </w:r>
    </w:p>
    <w:p>
      <w:pPr>
        <w:numPr>
          <w:ilvl w:val="0"/>
          <w:numId w:val="48"/>
        </w:numPr>
        <w:tabs>
          <w:tab w:val="left" w:pos="851"/>
        </w:tabs>
        <w:ind w:firstLine="492"/>
        <w:rPr>
          <w:rFonts w:ascii="宋体" w:hAnsi="宋体"/>
          <w:szCs w:val="24"/>
        </w:rPr>
      </w:pPr>
      <w:r>
        <w:rPr>
          <w:rFonts w:hint="eastAsia" w:ascii="宋体" w:hAnsi="宋体"/>
          <w:szCs w:val="24"/>
        </w:rPr>
        <w:t>招标文件将投标人的资格条件列为评分因素的；</w:t>
      </w:r>
    </w:p>
    <w:p>
      <w:pPr>
        <w:numPr>
          <w:ilvl w:val="0"/>
          <w:numId w:val="48"/>
        </w:numPr>
        <w:tabs>
          <w:tab w:val="left" w:pos="851"/>
        </w:tabs>
        <w:ind w:firstLine="492"/>
        <w:rPr>
          <w:rFonts w:ascii="宋体" w:hAnsi="宋体"/>
          <w:szCs w:val="24"/>
        </w:rPr>
      </w:pPr>
      <w:r>
        <w:rPr>
          <w:rFonts w:hint="eastAsia" w:ascii="宋体" w:hAnsi="宋体"/>
          <w:szCs w:val="24"/>
        </w:rPr>
        <w:t>招标文件有违反国家其他有关强制性规定的情形。</w:t>
      </w:r>
    </w:p>
    <w:p>
      <w:pPr>
        <w:tabs>
          <w:tab w:val="left" w:pos="851"/>
        </w:tabs>
        <w:ind w:firstLine="735" w:firstLineChars="300"/>
        <w:rPr>
          <w:rFonts w:ascii="宋体" w:hAnsi="宋体"/>
          <w:szCs w:val="24"/>
        </w:rPr>
      </w:pPr>
      <w:r>
        <w:rPr>
          <w:rFonts w:hint="eastAsia" w:ascii="宋体" w:hAnsi="宋体"/>
          <w:szCs w:val="24"/>
        </w:rPr>
        <w:t>出现上述规定的应当停止评标情形的，评标委员会成员应当向采购组织单位书面说明情况，说明停止评审的情形和具体理由。除本条规定和评标委员会无法依法组建的情形外，评标委员会成员不得以任何方式和理由停止评标。</w:t>
      </w:r>
    </w:p>
    <w:p>
      <w:pPr>
        <w:pStyle w:val="5"/>
        <w:ind w:left="322" w:firstLine="494" w:firstLineChars="0"/>
        <w:rPr>
          <w:color w:val="auto"/>
          <w:szCs w:val="24"/>
        </w:rPr>
      </w:pPr>
      <w:bookmarkStart w:id="318" w:name="_Toc7871"/>
      <w:r>
        <w:rPr>
          <w:rFonts w:hint="eastAsia"/>
          <w:color w:val="auto"/>
          <w:szCs w:val="24"/>
        </w:rPr>
        <w:t>符合性检查</w:t>
      </w:r>
      <w:bookmarkEnd w:id="318"/>
    </w:p>
    <w:p>
      <w:pPr>
        <w:ind w:firstLine="492"/>
        <w:rPr>
          <w:rFonts w:ascii="宋体" w:hAnsi="宋体"/>
          <w:szCs w:val="24"/>
        </w:rPr>
      </w:pPr>
      <w:r>
        <w:rPr>
          <w:rFonts w:hint="eastAsia" w:ascii="宋体" w:hAnsi="宋体"/>
          <w:szCs w:val="24"/>
        </w:rPr>
        <w:t>投标人投标文件需同时符合下列情况，有任意一项不符合要求，在符合性检查时按照无效投标处理：</w:t>
      </w:r>
    </w:p>
    <w:tbl>
      <w:tblPr>
        <w:tblStyle w:val="44"/>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70"/>
        <w:gridCol w:w="384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szCs w:val="24"/>
              </w:rPr>
            </w:pPr>
            <w:r>
              <w:rPr>
                <w:rFonts w:hint="eastAsia" w:ascii="宋体" w:hAnsi="宋体"/>
                <w:szCs w:val="24"/>
              </w:rPr>
              <w:t>序号</w:t>
            </w:r>
          </w:p>
        </w:tc>
        <w:tc>
          <w:tcPr>
            <w:tcW w:w="2370" w:type="dxa"/>
          </w:tcPr>
          <w:p>
            <w:pPr>
              <w:spacing w:line="240" w:lineRule="auto"/>
              <w:ind w:firstLine="0" w:firstLineChars="0"/>
              <w:jc w:val="both"/>
              <w:rPr>
                <w:rFonts w:ascii="宋体" w:hAnsi="宋体"/>
                <w:szCs w:val="24"/>
              </w:rPr>
            </w:pPr>
            <w:r>
              <w:rPr>
                <w:rFonts w:hint="eastAsia" w:ascii="宋体" w:hAnsi="宋体"/>
                <w:szCs w:val="24"/>
              </w:rPr>
              <w:t>符合性审查项</w:t>
            </w:r>
          </w:p>
        </w:tc>
        <w:tc>
          <w:tcPr>
            <w:tcW w:w="3840" w:type="dxa"/>
          </w:tcPr>
          <w:p>
            <w:pPr>
              <w:spacing w:line="240" w:lineRule="auto"/>
              <w:ind w:firstLine="0" w:firstLineChars="0"/>
              <w:jc w:val="both"/>
              <w:rPr>
                <w:rFonts w:ascii="宋体" w:hAnsi="宋体"/>
                <w:szCs w:val="24"/>
              </w:rPr>
            </w:pPr>
            <w:r>
              <w:rPr>
                <w:rFonts w:hint="eastAsia" w:ascii="宋体" w:hAnsi="宋体"/>
                <w:szCs w:val="24"/>
              </w:rPr>
              <w:t>通过条件</w:t>
            </w:r>
          </w:p>
        </w:tc>
        <w:tc>
          <w:tcPr>
            <w:tcW w:w="2278" w:type="dxa"/>
          </w:tcPr>
          <w:p>
            <w:pPr>
              <w:spacing w:line="240" w:lineRule="auto"/>
              <w:ind w:firstLine="0" w:firstLineChars="0"/>
              <w:jc w:val="both"/>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74" w:type="dxa"/>
          </w:tcPr>
          <w:p>
            <w:pPr>
              <w:spacing w:line="240" w:lineRule="auto"/>
              <w:ind w:firstLine="0" w:firstLineChars="0"/>
              <w:jc w:val="both"/>
              <w:rPr>
                <w:rFonts w:ascii="宋体" w:hAnsi="宋体"/>
                <w:szCs w:val="24"/>
              </w:rPr>
            </w:pPr>
            <w:r>
              <w:rPr>
                <w:rFonts w:hint="eastAsia" w:ascii="宋体" w:hAnsi="宋体"/>
                <w:szCs w:val="24"/>
              </w:rPr>
              <w:t>1</w:t>
            </w:r>
          </w:p>
        </w:tc>
        <w:tc>
          <w:tcPr>
            <w:tcW w:w="2370" w:type="dxa"/>
          </w:tcPr>
          <w:p>
            <w:pPr>
              <w:spacing w:line="240" w:lineRule="auto"/>
              <w:ind w:firstLine="0" w:firstLineChars="0"/>
              <w:jc w:val="both"/>
              <w:rPr>
                <w:rFonts w:ascii="宋体" w:hAnsi="宋体"/>
                <w:szCs w:val="24"/>
              </w:rPr>
            </w:pPr>
            <w:r>
              <w:rPr>
                <w:rFonts w:hint="eastAsia" w:ascii="宋体" w:hAnsi="宋体"/>
                <w:szCs w:val="24"/>
              </w:rPr>
              <w:t>投标文件正本、副本、开标一览表数量</w:t>
            </w:r>
          </w:p>
        </w:tc>
        <w:tc>
          <w:tcPr>
            <w:tcW w:w="3840" w:type="dxa"/>
          </w:tcPr>
          <w:p>
            <w:pPr>
              <w:spacing w:line="240" w:lineRule="auto"/>
              <w:ind w:firstLine="0" w:firstLineChars="0"/>
              <w:jc w:val="both"/>
              <w:rPr>
                <w:rFonts w:ascii="宋体" w:hAnsi="宋体"/>
                <w:szCs w:val="24"/>
              </w:rPr>
            </w:pPr>
            <w:r>
              <w:rPr>
                <w:rFonts w:hint="eastAsia" w:ascii="宋体" w:hAnsi="宋体"/>
                <w:szCs w:val="24"/>
              </w:rPr>
              <w:t>符合招标文件规定</w:t>
            </w:r>
          </w:p>
        </w:tc>
        <w:tc>
          <w:tcPr>
            <w:tcW w:w="2278" w:type="dxa"/>
          </w:tcPr>
          <w:p>
            <w:pPr>
              <w:spacing w:line="240" w:lineRule="auto"/>
              <w:ind w:firstLine="0" w:firstLineChars="0"/>
              <w:jc w:val="both"/>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szCs w:val="24"/>
              </w:rPr>
            </w:pPr>
            <w:r>
              <w:rPr>
                <w:rFonts w:hint="eastAsia" w:ascii="宋体" w:hAnsi="宋体"/>
                <w:szCs w:val="24"/>
              </w:rPr>
              <w:t>2</w:t>
            </w:r>
          </w:p>
        </w:tc>
        <w:tc>
          <w:tcPr>
            <w:tcW w:w="2370" w:type="dxa"/>
          </w:tcPr>
          <w:p>
            <w:pPr>
              <w:spacing w:line="240" w:lineRule="auto"/>
              <w:ind w:firstLine="0" w:firstLineChars="0"/>
              <w:jc w:val="both"/>
              <w:rPr>
                <w:rFonts w:ascii="宋体" w:hAnsi="宋体"/>
                <w:szCs w:val="24"/>
              </w:rPr>
            </w:pPr>
            <w:r>
              <w:rPr>
                <w:rFonts w:hint="eastAsia" w:ascii="宋体" w:hAnsi="宋体"/>
                <w:szCs w:val="24"/>
              </w:rPr>
              <w:t>技术、服务性响应文件签署、盖章</w:t>
            </w:r>
          </w:p>
        </w:tc>
        <w:tc>
          <w:tcPr>
            <w:tcW w:w="3840" w:type="dxa"/>
          </w:tcPr>
          <w:p>
            <w:pPr>
              <w:spacing w:line="240" w:lineRule="auto"/>
              <w:ind w:firstLine="0" w:firstLineChars="0"/>
              <w:jc w:val="both"/>
              <w:rPr>
                <w:rFonts w:ascii="宋体" w:hAnsi="宋体"/>
                <w:szCs w:val="24"/>
              </w:rPr>
            </w:pPr>
            <w:r>
              <w:rPr>
                <w:rFonts w:hint="eastAsia" w:ascii="宋体" w:hAnsi="宋体"/>
                <w:szCs w:val="24"/>
              </w:rPr>
              <w:t>符合招标文件规定</w:t>
            </w:r>
          </w:p>
        </w:tc>
        <w:tc>
          <w:tcPr>
            <w:tcW w:w="2278" w:type="dxa"/>
          </w:tcPr>
          <w:p>
            <w:pPr>
              <w:spacing w:line="240" w:lineRule="auto"/>
              <w:ind w:firstLine="0" w:firstLineChars="0"/>
              <w:jc w:val="both"/>
              <w:rPr>
                <w:rFonts w:ascii="宋体" w:hAnsi="宋体"/>
                <w:szCs w:val="24"/>
              </w:rPr>
            </w:pPr>
            <w:r>
              <w:rPr>
                <w:rFonts w:hint="eastAsia" w:ascii="宋体" w:hAnsi="宋体"/>
                <w:szCs w:val="24"/>
              </w:rPr>
              <w:t>评分标准中要求提供的证明材料除外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szCs w:val="24"/>
              </w:rPr>
            </w:pPr>
            <w:r>
              <w:rPr>
                <w:rFonts w:hint="eastAsia" w:ascii="宋体" w:hAnsi="宋体"/>
                <w:szCs w:val="24"/>
              </w:rPr>
              <w:t>3</w:t>
            </w:r>
          </w:p>
        </w:tc>
        <w:tc>
          <w:tcPr>
            <w:tcW w:w="2370" w:type="dxa"/>
          </w:tcPr>
          <w:p>
            <w:pPr>
              <w:spacing w:line="240" w:lineRule="auto"/>
              <w:ind w:firstLine="0" w:firstLineChars="0"/>
              <w:jc w:val="both"/>
              <w:rPr>
                <w:rFonts w:ascii="宋体" w:hAnsi="宋体"/>
                <w:szCs w:val="24"/>
              </w:rPr>
            </w:pPr>
            <w:r>
              <w:rPr>
                <w:rFonts w:hint="eastAsia" w:ascii="宋体" w:hAnsi="宋体"/>
                <w:szCs w:val="24"/>
              </w:rPr>
              <w:t>第四章打★的要求</w:t>
            </w:r>
          </w:p>
        </w:tc>
        <w:tc>
          <w:tcPr>
            <w:tcW w:w="3840" w:type="dxa"/>
          </w:tcPr>
          <w:p>
            <w:pPr>
              <w:spacing w:line="240" w:lineRule="auto"/>
              <w:ind w:firstLine="0" w:firstLineChars="0"/>
              <w:jc w:val="both"/>
              <w:rPr>
                <w:rFonts w:ascii="宋体" w:hAnsi="宋体"/>
                <w:szCs w:val="24"/>
              </w:rPr>
            </w:pPr>
            <w:r>
              <w:rPr>
                <w:rFonts w:hint="eastAsia" w:ascii="宋体" w:hAnsi="宋体"/>
                <w:szCs w:val="24"/>
              </w:rPr>
              <w:t>应答内容完全符合第四章打★的要求</w:t>
            </w:r>
          </w:p>
        </w:tc>
        <w:tc>
          <w:tcPr>
            <w:tcW w:w="2278" w:type="dxa"/>
          </w:tcPr>
          <w:p>
            <w:pPr>
              <w:spacing w:line="240" w:lineRule="auto"/>
              <w:ind w:firstLine="0" w:firstLineChars="0"/>
              <w:jc w:val="both"/>
              <w:rPr>
                <w:rFonts w:ascii="宋体" w:hAnsi="宋体"/>
                <w:szCs w:val="24"/>
              </w:rPr>
            </w:pPr>
          </w:p>
        </w:tc>
      </w:tr>
    </w:tbl>
    <w:p>
      <w:pPr>
        <w:ind w:firstLine="492"/>
        <w:rPr>
          <w:rFonts w:ascii="宋体" w:hAnsi="宋体"/>
          <w:szCs w:val="24"/>
        </w:rPr>
      </w:pPr>
    </w:p>
    <w:p>
      <w:pPr>
        <w:tabs>
          <w:tab w:val="left" w:pos="851"/>
        </w:tabs>
        <w:ind w:firstLine="494"/>
        <w:rPr>
          <w:rFonts w:ascii="宋体" w:hAnsi="宋体"/>
          <w:szCs w:val="24"/>
        </w:rPr>
      </w:pPr>
      <w:r>
        <w:rPr>
          <w:rFonts w:hint="eastAsia" w:ascii="宋体" w:hAnsi="宋体"/>
          <w:b/>
          <w:bCs/>
          <w:szCs w:val="24"/>
        </w:rPr>
        <w:t>注：</w:t>
      </w:r>
      <w:r>
        <w:rPr>
          <w:rFonts w:hint="eastAsia" w:ascii="宋体" w:hAnsi="宋体"/>
          <w:szCs w:val="24"/>
        </w:rPr>
        <w:t>投标文件（包括单独递交的开标一览表）有下列情形的，本项目不作为实质性要求进行规定，即不作为符合性审查事项，不得作为无效投标处理：</w:t>
      </w:r>
    </w:p>
    <w:p>
      <w:pPr>
        <w:numPr>
          <w:ilvl w:val="0"/>
          <w:numId w:val="49"/>
        </w:numPr>
        <w:tabs>
          <w:tab w:val="left" w:pos="851"/>
        </w:tabs>
        <w:ind w:firstLine="492"/>
        <w:rPr>
          <w:rFonts w:ascii="宋体" w:hAnsi="宋体"/>
          <w:szCs w:val="24"/>
        </w:rPr>
      </w:pPr>
      <w:r>
        <w:rPr>
          <w:rFonts w:hint="eastAsia" w:ascii="宋体" w:hAnsi="宋体"/>
          <w:szCs w:val="24"/>
        </w:rPr>
        <w:t>存在个别地方（不超过2个）没有法定代表人签字，但有法定代表人的私人印章或者有效授权代理人签字的；</w:t>
      </w:r>
    </w:p>
    <w:p>
      <w:pPr>
        <w:numPr>
          <w:ilvl w:val="0"/>
          <w:numId w:val="49"/>
        </w:numPr>
        <w:tabs>
          <w:tab w:val="left" w:pos="851"/>
        </w:tabs>
        <w:ind w:firstLine="492"/>
        <w:rPr>
          <w:rFonts w:ascii="宋体" w:hAnsi="宋体"/>
          <w:szCs w:val="24"/>
        </w:rPr>
      </w:pPr>
      <w:r>
        <w:rPr>
          <w:rFonts w:hint="eastAsia" w:ascii="宋体" w:hAnsi="宋体"/>
          <w:szCs w:val="24"/>
        </w:rPr>
        <w:t>除招标文件明确要求加盖单位(法人)公章的以外，其他地方以相关专用章加盖的；</w:t>
      </w:r>
    </w:p>
    <w:p>
      <w:pPr>
        <w:numPr>
          <w:ilvl w:val="0"/>
          <w:numId w:val="49"/>
        </w:numPr>
        <w:tabs>
          <w:tab w:val="left" w:pos="851"/>
        </w:tabs>
        <w:ind w:firstLine="492"/>
        <w:rPr>
          <w:rFonts w:ascii="宋体" w:hAnsi="宋体"/>
          <w:szCs w:val="24"/>
        </w:rPr>
      </w:pPr>
      <w:r>
        <w:rPr>
          <w:rFonts w:hint="eastAsia" w:ascii="宋体" w:hAnsi="宋体"/>
          <w:szCs w:val="24"/>
        </w:rPr>
        <w:t>以骑缝章的形式代替投标文件内容逐页盖章的；</w:t>
      </w:r>
    </w:p>
    <w:p>
      <w:pPr>
        <w:numPr>
          <w:ilvl w:val="0"/>
          <w:numId w:val="49"/>
        </w:numPr>
        <w:tabs>
          <w:tab w:val="left" w:pos="851"/>
        </w:tabs>
        <w:ind w:firstLine="492"/>
        <w:rPr>
          <w:rFonts w:ascii="宋体" w:hAnsi="宋体"/>
          <w:szCs w:val="24"/>
        </w:rPr>
      </w:pPr>
      <w:r>
        <w:rPr>
          <w:rFonts w:hint="eastAsia" w:ascii="宋体" w:hAnsi="宋体"/>
          <w:szCs w:val="24"/>
        </w:rPr>
        <w:t>其他不影响采购项目实质性要求的情形。</w:t>
      </w:r>
    </w:p>
    <w:p>
      <w:pPr>
        <w:pStyle w:val="5"/>
        <w:ind w:left="322" w:firstLine="494" w:firstLineChars="0"/>
        <w:rPr>
          <w:color w:val="auto"/>
          <w:szCs w:val="24"/>
        </w:rPr>
      </w:pPr>
      <w:bookmarkStart w:id="319" w:name="_Toc2932"/>
      <w:r>
        <w:rPr>
          <w:rFonts w:hint="eastAsia"/>
          <w:color w:val="auto"/>
          <w:szCs w:val="24"/>
        </w:rPr>
        <w:t>解释、澄清有关问题</w:t>
      </w:r>
      <w:bookmarkEnd w:id="319"/>
    </w:p>
    <w:p>
      <w:pPr>
        <w:numPr>
          <w:ilvl w:val="0"/>
          <w:numId w:val="50"/>
        </w:numPr>
        <w:tabs>
          <w:tab w:val="left" w:pos="1134"/>
        </w:tabs>
        <w:ind w:firstLine="492"/>
        <w:rPr>
          <w:rFonts w:ascii="宋体" w:hAnsi="宋体"/>
          <w:szCs w:val="24"/>
        </w:rPr>
      </w:pPr>
      <w:r>
        <w:rPr>
          <w:rFonts w:hint="eastAsia" w:ascii="宋体" w:hAnsi="宋体"/>
          <w:szCs w:val="24"/>
        </w:rPr>
        <w:t>评标过程中，供应商投标文件实质性符合招标文件要求的前提下，评标委员会对投标文件中含义不明确、同类问题表述不一致或者有明显文字和计算错误的内容，评标委员会可以书面形式（须由评标委员会全体成员签字）要求投标人作出必要的澄清、说明或者纠正，并给予投标人必要的反馈时间。</w:t>
      </w:r>
    </w:p>
    <w:p>
      <w:pPr>
        <w:numPr>
          <w:ilvl w:val="0"/>
          <w:numId w:val="50"/>
        </w:numPr>
        <w:tabs>
          <w:tab w:val="left" w:pos="1134"/>
        </w:tabs>
        <w:ind w:firstLine="492"/>
        <w:rPr>
          <w:rFonts w:ascii="宋体" w:hAnsi="宋体"/>
          <w:szCs w:val="24"/>
        </w:rPr>
      </w:pPr>
      <w:r>
        <w:rPr>
          <w:rFonts w:hint="eastAsia" w:ascii="宋体" w:hAnsi="宋体"/>
          <w:szCs w:val="24"/>
        </w:rPr>
        <w:t>供应商应当书面澄清、说明或者更正，并加盖单位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更正材料，是投标文件的组成部分。</w:t>
      </w:r>
    </w:p>
    <w:p>
      <w:pPr>
        <w:numPr>
          <w:ilvl w:val="0"/>
          <w:numId w:val="50"/>
        </w:numPr>
        <w:tabs>
          <w:tab w:val="left" w:pos="1134"/>
        </w:tabs>
        <w:ind w:firstLine="492"/>
        <w:rPr>
          <w:rFonts w:ascii="宋体" w:hAnsi="宋体"/>
          <w:szCs w:val="24"/>
        </w:rPr>
      </w:pPr>
      <w:r>
        <w:rPr>
          <w:rFonts w:hint="eastAsia" w:ascii="宋体" w:hAnsi="宋体"/>
          <w:szCs w:val="24"/>
        </w:rPr>
        <w:t>评标委员会要求供应商澄清、说明或更正，不得超出招标文件的范围，不得以此让供应商实质改变投标文件的内容，不得影响供应商公平竞争，本项目下列内容不得澄清：</w:t>
      </w:r>
    </w:p>
    <w:p>
      <w:pPr>
        <w:spacing w:line="400" w:lineRule="exact"/>
        <w:ind w:firstLine="492"/>
        <w:rPr>
          <w:rFonts w:ascii="宋体"/>
        </w:rPr>
      </w:pPr>
      <w:r>
        <w:rPr>
          <w:rFonts w:hint="eastAsia" w:ascii="宋体"/>
        </w:rPr>
        <w:t>（一）按财政部规定应当在评标时不予承认的投标文件内容事项；</w:t>
      </w:r>
    </w:p>
    <w:p>
      <w:pPr>
        <w:spacing w:line="400" w:lineRule="exact"/>
        <w:ind w:firstLine="492"/>
        <w:rPr>
          <w:rFonts w:ascii="宋体"/>
        </w:rPr>
      </w:pPr>
      <w:r>
        <w:rPr>
          <w:rFonts w:hint="eastAsia" w:ascii="宋体"/>
        </w:rPr>
        <w:t>（二）投标文件中已经明确的内容事项；</w:t>
      </w:r>
    </w:p>
    <w:p>
      <w:pPr>
        <w:spacing w:line="400" w:lineRule="exact"/>
        <w:ind w:firstLine="492"/>
        <w:rPr>
          <w:rFonts w:ascii="宋体" w:hAnsi="宋体"/>
          <w:szCs w:val="24"/>
        </w:rPr>
      </w:pPr>
      <w:r>
        <w:rPr>
          <w:rFonts w:hint="eastAsia" w:ascii="宋体"/>
        </w:rPr>
        <w:t>（三）投标文件未提供的材料。</w:t>
      </w:r>
    </w:p>
    <w:p>
      <w:pPr>
        <w:numPr>
          <w:ilvl w:val="0"/>
          <w:numId w:val="50"/>
        </w:numPr>
        <w:tabs>
          <w:tab w:val="left" w:pos="1134"/>
        </w:tabs>
        <w:ind w:firstLine="492"/>
        <w:rPr>
          <w:rFonts w:ascii="宋体" w:hAnsi="宋体"/>
          <w:szCs w:val="24"/>
        </w:rPr>
      </w:pPr>
      <w:r>
        <w:rPr>
          <w:rFonts w:hint="eastAsia" w:ascii="宋体" w:hAnsi="宋体"/>
          <w:szCs w:val="24"/>
        </w:rPr>
        <w:t>投标文件出现下列情况的，不需要供应商澄清，按以下原则处理：</w:t>
      </w:r>
    </w:p>
    <w:p>
      <w:pPr>
        <w:numPr>
          <w:ilvl w:val="0"/>
          <w:numId w:val="51"/>
        </w:numPr>
        <w:tabs>
          <w:tab w:val="left" w:pos="1134"/>
        </w:tabs>
        <w:ind w:firstLineChars="0"/>
        <w:rPr>
          <w:rFonts w:ascii="宋体" w:hAnsi="宋体"/>
          <w:szCs w:val="24"/>
        </w:rPr>
      </w:pPr>
      <w:r>
        <w:rPr>
          <w:rFonts w:hint="eastAsia" w:ascii="宋体" w:hAnsi="宋体"/>
          <w:szCs w:val="24"/>
        </w:rPr>
        <w:t>投标文件中开标一览表（报价表）内容与投标文件中相应内容不一致的，以开标一览表（报价表）为准；</w:t>
      </w:r>
    </w:p>
    <w:p>
      <w:pPr>
        <w:numPr>
          <w:ilvl w:val="0"/>
          <w:numId w:val="51"/>
        </w:numPr>
        <w:tabs>
          <w:tab w:val="left" w:pos="1134"/>
        </w:tabs>
        <w:ind w:firstLineChars="0"/>
        <w:rPr>
          <w:rFonts w:ascii="宋体" w:hAnsi="宋体" w:cs="宋体"/>
          <w:szCs w:val="24"/>
        </w:rPr>
      </w:pPr>
      <w:r>
        <w:rPr>
          <w:rFonts w:hint="eastAsia" w:ascii="宋体" w:hAnsi="宋体" w:cs="宋体"/>
          <w:szCs w:val="24"/>
        </w:rPr>
        <w:t>大写金额和小写金额不一致的，以大写金额为准；</w:t>
      </w:r>
    </w:p>
    <w:p>
      <w:pPr>
        <w:numPr>
          <w:ilvl w:val="0"/>
          <w:numId w:val="51"/>
        </w:numPr>
        <w:tabs>
          <w:tab w:val="left" w:pos="1134"/>
        </w:tabs>
        <w:ind w:firstLineChars="0"/>
        <w:rPr>
          <w:rFonts w:ascii="宋体" w:hAnsi="宋体"/>
          <w:szCs w:val="24"/>
        </w:rPr>
      </w:pPr>
      <w:r>
        <w:rPr>
          <w:rFonts w:hint="eastAsia" w:ascii="宋体" w:hAnsi="宋体"/>
          <w:szCs w:val="24"/>
        </w:rPr>
        <w:t>单价金额小数点或者百分比有明显错位的，以开标一览表的总价为准，并修改单价；</w:t>
      </w:r>
    </w:p>
    <w:p>
      <w:pPr>
        <w:numPr>
          <w:ilvl w:val="0"/>
          <w:numId w:val="51"/>
        </w:numPr>
        <w:tabs>
          <w:tab w:val="left" w:pos="1134"/>
        </w:tabs>
        <w:ind w:firstLineChars="0"/>
        <w:rPr>
          <w:rFonts w:ascii="宋体" w:hAnsi="宋体" w:cs="宋体"/>
          <w:szCs w:val="24"/>
        </w:rPr>
      </w:pPr>
      <w:r>
        <w:rPr>
          <w:rFonts w:hint="eastAsia" w:ascii="宋体" w:hAnsi="宋体" w:cs="宋体"/>
          <w:szCs w:val="24"/>
        </w:rPr>
        <w:t>总价金额与按单价汇总金额不一致的，以单价汇总金额计算结果为准；</w:t>
      </w:r>
    </w:p>
    <w:p>
      <w:pPr>
        <w:pStyle w:val="102"/>
        <w:tabs>
          <w:tab w:val="left" w:pos="1050"/>
        </w:tabs>
        <w:ind w:firstLine="492"/>
        <w:rPr>
          <w:rFonts w:ascii="宋体" w:hAnsi="宋体"/>
          <w:szCs w:val="24"/>
        </w:rPr>
      </w:pPr>
      <w:r>
        <w:rPr>
          <w:rFonts w:hint="eastAsia" w:ascii="宋体" w:hAnsi="宋体"/>
          <w:szCs w:val="24"/>
        </w:rPr>
        <w:t>同时出现两种以上不一致的，按照前款规定的顺序修正。修正后的报价经投标人确认后产生约束力，投标人不确认的，其投标无效。</w:t>
      </w:r>
    </w:p>
    <w:p>
      <w:pPr>
        <w:ind w:firstLine="492"/>
        <w:rPr>
          <w:rFonts w:ascii="宋体" w:hAnsi="宋体"/>
          <w:szCs w:val="24"/>
        </w:rPr>
      </w:pPr>
      <w:r>
        <w:rPr>
          <w:rFonts w:hint="eastAsia" w:ascii="宋体" w:hAnsi="宋体"/>
          <w:szCs w:val="24"/>
        </w:rPr>
        <w:t>出现本条第（四）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ind w:firstLine="494"/>
        <w:rPr>
          <w:szCs w:val="24"/>
        </w:rPr>
      </w:pPr>
      <w:r>
        <w:rPr>
          <w:rFonts w:hint="eastAsia" w:ascii="宋体"/>
          <w:b/>
          <w:szCs w:val="24"/>
        </w:rPr>
        <w:t>注：评标委员会当积极履行澄清、说明或者更正的职责，不得滥用权力。供应商的投标文件可以要求澄清、说明或者更正的，不得未经澄清、说明或者更正而直接作无效投标处理。</w:t>
      </w:r>
    </w:p>
    <w:p>
      <w:pPr>
        <w:pStyle w:val="5"/>
        <w:ind w:left="322" w:firstLine="494" w:firstLineChars="0"/>
        <w:rPr>
          <w:color w:val="auto"/>
          <w:szCs w:val="24"/>
        </w:rPr>
      </w:pPr>
      <w:bookmarkStart w:id="320" w:name="_Toc32133"/>
      <w:bookmarkStart w:id="321" w:name="_Toc315871647"/>
      <w:bookmarkStart w:id="322" w:name="_Toc316292253"/>
      <w:r>
        <w:rPr>
          <w:rFonts w:hint="eastAsia"/>
          <w:color w:val="auto"/>
          <w:szCs w:val="24"/>
        </w:rPr>
        <w:t>比较与评价</w:t>
      </w:r>
      <w:bookmarkEnd w:id="320"/>
      <w:bookmarkEnd w:id="321"/>
      <w:bookmarkEnd w:id="322"/>
    </w:p>
    <w:p>
      <w:pPr>
        <w:tabs>
          <w:tab w:val="left" w:pos="851"/>
        </w:tabs>
        <w:ind w:firstLine="492"/>
        <w:rPr>
          <w:rFonts w:ascii="宋体" w:hAnsi="宋体"/>
          <w:szCs w:val="24"/>
        </w:rPr>
      </w:pPr>
      <w:r>
        <w:rPr>
          <w:rFonts w:hint="eastAsia" w:ascii="宋体" w:hAnsi="宋体"/>
          <w:szCs w:val="24"/>
        </w:rPr>
        <w:t>按招标文件中规定的评标细则及标准，对资格性检查和符合性检查合格的投标文件进行商务和技术评估，综合比较与评价。</w:t>
      </w:r>
    </w:p>
    <w:p>
      <w:pPr>
        <w:pStyle w:val="5"/>
        <w:ind w:left="322" w:firstLine="494" w:firstLineChars="0"/>
        <w:rPr>
          <w:color w:val="auto"/>
          <w:szCs w:val="24"/>
        </w:rPr>
      </w:pPr>
      <w:bookmarkStart w:id="323" w:name="_Toc18740"/>
      <w:bookmarkStart w:id="324" w:name="_Toc316292254"/>
      <w:bookmarkStart w:id="325" w:name="_Toc315871648"/>
      <w:r>
        <w:rPr>
          <w:rFonts w:hint="eastAsia"/>
          <w:color w:val="auto"/>
          <w:szCs w:val="24"/>
        </w:rPr>
        <w:t>复核</w:t>
      </w:r>
      <w:bookmarkEnd w:id="323"/>
    </w:p>
    <w:p>
      <w:pPr>
        <w:tabs>
          <w:tab w:val="left" w:pos="851"/>
        </w:tabs>
        <w:ind w:firstLine="492"/>
        <w:rPr>
          <w:rFonts w:ascii="宋体" w:hAnsi="宋体"/>
          <w:szCs w:val="24"/>
        </w:rPr>
      </w:pPr>
      <w:r>
        <w:rPr>
          <w:rFonts w:hint="eastAsia" w:ascii="宋体" w:hAnsi="宋体"/>
          <w:szCs w:val="24"/>
        </w:rPr>
        <w:t>评分汇总结束后，评标委员会应当进行复核，特别要对拟推荐为中标候选供应商的、报价最低的、投标文件被认定为无效的进行重点复核。</w:t>
      </w:r>
    </w:p>
    <w:p>
      <w:pPr>
        <w:pStyle w:val="5"/>
        <w:ind w:left="322" w:firstLine="494" w:firstLineChars="0"/>
        <w:rPr>
          <w:color w:val="auto"/>
          <w:szCs w:val="24"/>
        </w:rPr>
      </w:pPr>
      <w:bookmarkStart w:id="326" w:name="_Toc24884"/>
      <w:r>
        <w:rPr>
          <w:rFonts w:hint="eastAsia"/>
          <w:color w:val="auto"/>
          <w:szCs w:val="24"/>
        </w:rPr>
        <w:t>推荐中标候选</w:t>
      </w:r>
      <w:bookmarkEnd w:id="324"/>
      <w:bookmarkEnd w:id="325"/>
      <w:r>
        <w:rPr>
          <w:rFonts w:hint="eastAsia"/>
          <w:color w:val="auto"/>
          <w:szCs w:val="24"/>
        </w:rPr>
        <w:t>人名单</w:t>
      </w:r>
      <w:bookmarkEnd w:id="326"/>
    </w:p>
    <w:p>
      <w:pPr>
        <w:ind w:firstLine="492"/>
        <w:rPr>
          <w:rFonts w:ascii="宋体"/>
          <w:szCs w:val="24"/>
        </w:rPr>
      </w:pPr>
      <w:r>
        <w:rPr>
          <w:rFonts w:hint="eastAsia" w:ascii="宋体" w:hAnsi="宋体"/>
          <w:szCs w:val="24"/>
        </w:rPr>
        <w:t>按投标人综合得分从高到低进行排序，各包推荐1-3名中标候选人。综合得分相同的，按投标报价由低到高顺序排列；得分且投标报价相同的，按技术指标优劣顺序排列；得分、报价相同且技术指标也相当的，由采购人自主采取公平、择优的方式选择中标供应商。</w:t>
      </w:r>
    </w:p>
    <w:p>
      <w:pPr>
        <w:pStyle w:val="5"/>
        <w:ind w:left="322" w:firstLine="494" w:firstLineChars="0"/>
        <w:rPr>
          <w:color w:val="auto"/>
          <w:szCs w:val="24"/>
        </w:rPr>
      </w:pPr>
      <w:bookmarkStart w:id="327" w:name="_Toc315871652"/>
      <w:bookmarkEnd w:id="327"/>
      <w:bookmarkStart w:id="328" w:name="_Toc315871649"/>
      <w:bookmarkEnd w:id="328"/>
      <w:bookmarkStart w:id="329" w:name="_Toc315871650"/>
      <w:bookmarkEnd w:id="329"/>
      <w:bookmarkStart w:id="330" w:name="_Toc315871651"/>
      <w:bookmarkEnd w:id="330"/>
      <w:bookmarkStart w:id="331" w:name="_Toc17912"/>
      <w:bookmarkStart w:id="332" w:name="_Toc316292255"/>
      <w:bookmarkStart w:id="333" w:name="_Toc315871653"/>
      <w:r>
        <w:rPr>
          <w:rFonts w:hint="eastAsia"/>
          <w:color w:val="auto"/>
          <w:szCs w:val="24"/>
        </w:rPr>
        <w:t>编写评标报告</w:t>
      </w:r>
      <w:bookmarkEnd w:id="331"/>
      <w:bookmarkEnd w:id="332"/>
      <w:bookmarkEnd w:id="333"/>
    </w:p>
    <w:p>
      <w:pPr>
        <w:ind w:firstLine="492"/>
        <w:rPr>
          <w:rFonts w:ascii="宋体" w:hAnsi="宋体"/>
          <w:szCs w:val="24"/>
        </w:rPr>
      </w:pPr>
      <w:r>
        <w:rPr>
          <w:rFonts w:hint="eastAsia" w:ascii="宋体" w:hAnsi="宋体"/>
          <w:szCs w:val="24"/>
        </w:rPr>
        <w:t>评标报告是评标委员会根据全体评标成员签字的原始评标记录和评标结果编写的报告，其主要内容包括：</w:t>
      </w:r>
    </w:p>
    <w:p>
      <w:pPr>
        <w:numPr>
          <w:ilvl w:val="0"/>
          <w:numId w:val="52"/>
        </w:numPr>
        <w:tabs>
          <w:tab w:val="left" w:pos="1155"/>
        </w:tabs>
        <w:ind w:firstLine="492"/>
        <w:rPr>
          <w:rFonts w:ascii="宋体" w:hAnsi="宋体"/>
          <w:szCs w:val="24"/>
        </w:rPr>
      </w:pPr>
      <w:r>
        <w:rPr>
          <w:rFonts w:hint="eastAsia" w:ascii="宋体" w:hAnsi="宋体"/>
          <w:szCs w:val="24"/>
        </w:rPr>
        <w:t>招标公告刊登的媒体名称、开标日期和地点；</w:t>
      </w:r>
    </w:p>
    <w:p>
      <w:pPr>
        <w:numPr>
          <w:ilvl w:val="0"/>
          <w:numId w:val="52"/>
        </w:numPr>
        <w:tabs>
          <w:tab w:val="left" w:pos="1155"/>
        </w:tabs>
        <w:ind w:firstLine="492"/>
        <w:rPr>
          <w:rFonts w:ascii="宋体" w:hAnsi="宋体"/>
          <w:szCs w:val="24"/>
        </w:rPr>
      </w:pPr>
      <w:r>
        <w:rPr>
          <w:rFonts w:hint="eastAsia" w:ascii="宋体" w:hAnsi="宋体"/>
          <w:szCs w:val="24"/>
        </w:rPr>
        <w:t>投标人名单和评标委员会成员名单；</w:t>
      </w:r>
    </w:p>
    <w:p>
      <w:pPr>
        <w:numPr>
          <w:ilvl w:val="0"/>
          <w:numId w:val="52"/>
        </w:numPr>
        <w:ind w:firstLine="492"/>
      </w:pPr>
      <w:r>
        <w:rPr>
          <w:rFonts w:hint="eastAsia"/>
        </w:rPr>
        <w:t>评标方法和标准；</w:t>
      </w:r>
    </w:p>
    <w:p>
      <w:pPr>
        <w:numPr>
          <w:ilvl w:val="0"/>
          <w:numId w:val="52"/>
        </w:numPr>
        <w:tabs>
          <w:tab w:val="left" w:pos="1155"/>
        </w:tabs>
        <w:ind w:firstLine="492"/>
        <w:rPr>
          <w:rFonts w:ascii="宋体" w:hAnsi="宋体"/>
          <w:szCs w:val="24"/>
        </w:rPr>
      </w:pPr>
      <w:r>
        <w:rPr>
          <w:rFonts w:hint="eastAsia" w:ascii="宋体" w:hAnsi="宋体"/>
          <w:szCs w:val="24"/>
        </w:rPr>
        <w:t>开标记录和评标情况及说明，包括投标无效投标人名单及原因；</w:t>
      </w:r>
    </w:p>
    <w:p>
      <w:pPr>
        <w:numPr>
          <w:ilvl w:val="0"/>
          <w:numId w:val="52"/>
        </w:numPr>
        <w:tabs>
          <w:tab w:val="left" w:pos="1155"/>
        </w:tabs>
        <w:ind w:firstLine="492"/>
      </w:pPr>
      <w:r>
        <w:rPr>
          <w:rFonts w:hint="eastAsia" w:ascii="宋体" w:hAnsi="宋体"/>
          <w:szCs w:val="24"/>
        </w:rPr>
        <w:t>评标结果，确定的中标候选人名单或者经采购人委托直接确定的中标人；</w:t>
      </w:r>
    </w:p>
    <w:p>
      <w:pPr>
        <w:numPr>
          <w:ilvl w:val="0"/>
          <w:numId w:val="52"/>
        </w:numPr>
        <w:tabs>
          <w:tab w:val="left" w:pos="1155"/>
        </w:tabs>
        <w:ind w:firstLine="492"/>
        <w:rPr>
          <w:rFonts w:ascii="宋体" w:hAnsi="宋体"/>
          <w:szCs w:val="24"/>
        </w:rPr>
      </w:pPr>
      <w:r>
        <w:rPr>
          <w:rFonts w:hint="eastAsia" w:ascii="宋体" w:hAnsi="宋体"/>
          <w:szCs w:val="24"/>
        </w:rPr>
        <w:t>其他需要说明的情况，包括评标过程中投标人根据评标委员会要求进行的澄清、说明或者补正，评标委员会成员的更换等。</w:t>
      </w:r>
    </w:p>
    <w:p>
      <w:pPr>
        <w:tabs>
          <w:tab w:val="left" w:pos="1155"/>
        </w:tabs>
        <w:ind w:firstLine="492"/>
        <w:rPr>
          <w:rFonts w:ascii="宋体" w:hAnsi="宋体"/>
          <w:szCs w:val="24"/>
        </w:rPr>
      </w:pPr>
      <w:r>
        <w:rPr>
          <w:rFonts w:hint="eastAsia" w:ascii="宋体" w:hAnsi="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pPr>
      <w:bookmarkStart w:id="334" w:name="_Toc12616"/>
      <w:bookmarkStart w:id="335" w:name="_Toc30609"/>
      <w:bookmarkStart w:id="336" w:name="_Toc27446"/>
      <w:bookmarkStart w:id="337" w:name="_Toc3921"/>
      <w:bookmarkStart w:id="338" w:name="_Toc316292256"/>
      <w:bookmarkStart w:id="339" w:name="_Toc315871654"/>
      <w:bookmarkStart w:id="340" w:name="_Toc217446103"/>
      <w:r>
        <w:rPr>
          <w:rFonts w:hint="eastAsia"/>
        </w:rPr>
        <w:t>评标争议处理规则</w:t>
      </w:r>
      <w:bookmarkEnd w:id="334"/>
      <w:bookmarkEnd w:id="335"/>
      <w:bookmarkEnd w:id="336"/>
      <w:bookmarkEnd w:id="337"/>
    </w:p>
    <w:p>
      <w:pPr>
        <w:tabs>
          <w:tab w:val="left" w:pos="1155"/>
        </w:tabs>
        <w:ind w:firstLine="492"/>
        <w:rPr>
          <w:rFonts w:ascii="宋体" w:hAnsi="宋体"/>
          <w:szCs w:val="24"/>
        </w:rPr>
      </w:pPr>
      <w:r>
        <w:rPr>
          <w:rFonts w:hint="eastAsia" w:ascii="宋体" w:hAnsi="宋体"/>
          <w:szCs w:val="24"/>
        </w:rPr>
        <w:t>评标委员会在评审过程中，对于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4"/>
      </w:pPr>
      <w:bookmarkStart w:id="341" w:name="_Toc21371"/>
      <w:bookmarkStart w:id="342" w:name="_Toc25043"/>
      <w:bookmarkStart w:id="343" w:name="_Toc10580"/>
      <w:bookmarkStart w:id="344" w:name="_Toc20618"/>
      <w:r>
        <w:rPr>
          <w:rFonts w:hint="eastAsia"/>
        </w:rPr>
        <w:t>招标采购单位现场复核评标结果</w:t>
      </w:r>
      <w:bookmarkEnd w:id="341"/>
      <w:bookmarkEnd w:id="342"/>
      <w:bookmarkEnd w:id="343"/>
      <w:bookmarkEnd w:id="344"/>
    </w:p>
    <w:p>
      <w:pPr>
        <w:pStyle w:val="152"/>
        <w:numPr>
          <w:ilvl w:val="0"/>
          <w:numId w:val="53"/>
        </w:numPr>
        <w:spacing w:line="360" w:lineRule="auto"/>
        <w:ind w:firstLine="490" w:firstLineChars="200"/>
        <w:rPr>
          <w:rFonts w:cs="Times New Roman"/>
          <w:kern w:val="2"/>
        </w:rPr>
      </w:pPr>
      <w:r>
        <w:rPr>
          <w:rFonts w:hint="eastAsia" w:cs="Times New Roman"/>
          <w:kern w:val="2"/>
        </w:rPr>
        <w:t>评标结果汇总完成后，评标委员会拟出具评标报告前，采购组织单位应当组织2名以上的本单位工作人员，在采购现场监督人员的监督之下，依据有关的法律制度和采购文件对评标结果进行复核，出具复核报告。存在下列情形之一的，采购组织单位应当根据情况书面建议评标委员会现场修改评标结果或者重新评标：</w:t>
      </w:r>
    </w:p>
    <w:p>
      <w:pPr>
        <w:pStyle w:val="152"/>
        <w:spacing w:line="360" w:lineRule="auto"/>
        <w:ind w:firstLine="490" w:firstLineChars="200"/>
        <w:rPr>
          <w:rFonts w:cs="Times New Roman"/>
          <w:kern w:val="2"/>
        </w:rPr>
      </w:pPr>
      <w:r>
        <w:rPr>
          <w:rFonts w:hint="eastAsia" w:cs="Times New Roman"/>
          <w:kern w:val="2"/>
        </w:rPr>
        <w:t>（一）分值汇总计算错误的；</w:t>
      </w:r>
    </w:p>
    <w:p>
      <w:pPr>
        <w:pStyle w:val="152"/>
        <w:spacing w:line="360" w:lineRule="auto"/>
        <w:ind w:firstLine="490" w:firstLineChars="200"/>
        <w:rPr>
          <w:rFonts w:cs="Times New Roman"/>
          <w:kern w:val="2"/>
        </w:rPr>
      </w:pPr>
      <w:r>
        <w:rPr>
          <w:rFonts w:hint="eastAsia" w:cs="Times New Roman"/>
          <w:kern w:val="2"/>
        </w:rPr>
        <w:t>（二）分项评分超出评分标准范围的；</w:t>
      </w:r>
    </w:p>
    <w:p>
      <w:pPr>
        <w:pStyle w:val="152"/>
        <w:spacing w:line="360" w:lineRule="auto"/>
        <w:ind w:firstLine="490" w:firstLineChars="200"/>
        <w:rPr>
          <w:rFonts w:cs="Times New Roman"/>
          <w:kern w:val="2"/>
        </w:rPr>
      </w:pPr>
      <w:r>
        <w:rPr>
          <w:rFonts w:hint="eastAsia" w:cs="Times New Roman"/>
          <w:kern w:val="2"/>
        </w:rPr>
        <w:t>（三）客观评分不一致的。</w:t>
      </w:r>
    </w:p>
    <w:p>
      <w:pPr>
        <w:pStyle w:val="152"/>
        <w:spacing w:line="360" w:lineRule="auto"/>
        <w:ind w:firstLine="490" w:firstLineChars="200"/>
        <w:rPr>
          <w:rFonts w:cs="Times New Roman"/>
          <w:kern w:val="2"/>
        </w:rPr>
      </w:pPr>
      <w:r>
        <w:rPr>
          <w:rFonts w:hint="eastAsia" w:cs="Times New Roman"/>
          <w:kern w:val="2"/>
        </w:rPr>
        <w:t>存在本条上述规定情形的，由评标委员会自主决定是否采纳采购组织单位的书面建议，并承担独立评审责任。评标委员会采纳采购组织单位书面建议的，应当按照规定现场修改评标结果或者重新评标，并在评标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标结果不合法的，应当书面报告采购项目同级财政部门依法处理。</w:t>
      </w:r>
    </w:p>
    <w:p>
      <w:pPr>
        <w:pStyle w:val="152"/>
        <w:numPr>
          <w:ilvl w:val="0"/>
          <w:numId w:val="53"/>
        </w:numPr>
        <w:spacing w:line="360" w:lineRule="auto"/>
        <w:ind w:firstLine="490" w:firstLineChars="200"/>
        <w:rPr>
          <w:rFonts w:cs="Times New Roman"/>
          <w:kern w:val="2"/>
        </w:rPr>
      </w:pPr>
      <w:r>
        <w:rPr>
          <w:rFonts w:hint="eastAsia" w:cs="Times New Roman"/>
          <w:kern w:val="2"/>
        </w:rPr>
        <w:t>有下列情形之一的，不得修改评标结果或者重新评标：</w:t>
      </w:r>
    </w:p>
    <w:p>
      <w:pPr>
        <w:pStyle w:val="152"/>
        <w:spacing w:line="360" w:lineRule="auto"/>
        <w:ind w:firstLine="490" w:firstLineChars="200"/>
        <w:rPr>
          <w:rFonts w:cs="Times New Roman"/>
          <w:kern w:val="2"/>
        </w:rPr>
      </w:pPr>
      <w:r>
        <w:rPr>
          <w:rFonts w:hint="eastAsia" w:cs="Times New Roman"/>
          <w:kern w:val="2"/>
        </w:rPr>
        <w:t>（一）评标委员会已经出具评标报告并且离开评标现场的；</w:t>
      </w:r>
    </w:p>
    <w:p>
      <w:pPr>
        <w:pStyle w:val="152"/>
        <w:spacing w:line="360" w:lineRule="auto"/>
        <w:ind w:firstLine="490" w:firstLineChars="200"/>
        <w:rPr>
          <w:rFonts w:cs="Times New Roman"/>
          <w:kern w:val="2"/>
        </w:rPr>
      </w:pPr>
      <w:r>
        <w:rPr>
          <w:rFonts w:hint="eastAsia" w:cs="Times New Roman"/>
          <w:kern w:val="2"/>
        </w:rPr>
        <w:t>（二）采购组织单位现场复核时，复核工作人员数量不足的；</w:t>
      </w:r>
    </w:p>
    <w:p>
      <w:pPr>
        <w:pStyle w:val="152"/>
        <w:spacing w:line="360" w:lineRule="auto"/>
        <w:ind w:firstLine="490" w:firstLineChars="200"/>
        <w:rPr>
          <w:rFonts w:cs="Times New Roman"/>
          <w:kern w:val="2"/>
        </w:rPr>
      </w:pPr>
      <w:r>
        <w:rPr>
          <w:rFonts w:hint="eastAsia" w:cs="Times New Roman"/>
          <w:kern w:val="2"/>
        </w:rPr>
        <w:t>（三）采购组织单位现场复核时，没有采购监督人员现场监督的；</w:t>
      </w:r>
    </w:p>
    <w:p>
      <w:pPr>
        <w:pStyle w:val="152"/>
        <w:spacing w:line="360" w:lineRule="auto"/>
        <w:ind w:firstLine="490" w:firstLineChars="200"/>
        <w:rPr>
          <w:rFonts w:cs="Times New Roman"/>
          <w:kern w:val="2"/>
        </w:rPr>
      </w:pPr>
      <w:r>
        <w:rPr>
          <w:rFonts w:hint="eastAsia" w:cs="Times New Roman"/>
          <w:kern w:val="2"/>
        </w:rPr>
        <w:t>（四）采购组织单位现场复核内容超出规定范围的；</w:t>
      </w:r>
    </w:p>
    <w:p>
      <w:pPr>
        <w:pStyle w:val="152"/>
        <w:spacing w:line="360" w:lineRule="auto"/>
        <w:ind w:firstLine="490" w:firstLineChars="200"/>
      </w:pPr>
      <w:r>
        <w:rPr>
          <w:rFonts w:hint="eastAsia" w:cs="Times New Roman"/>
          <w:kern w:val="2"/>
        </w:rPr>
        <w:t>（五）采购组织单位未提供书面建议的。</w:t>
      </w:r>
    </w:p>
    <w:p>
      <w:pPr>
        <w:pStyle w:val="4"/>
      </w:pPr>
      <w:bookmarkStart w:id="345" w:name="_Toc20341"/>
      <w:bookmarkStart w:id="346" w:name="_Toc29054"/>
      <w:bookmarkStart w:id="347" w:name="_Toc5128"/>
      <w:bookmarkStart w:id="348" w:name="_Toc13740"/>
      <w:r>
        <w:rPr>
          <w:rFonts w:hint="eastAsia"/>
        </w:rPr>
        <w:t>评标细则及标准</w:t>
      </w:r>
      <w:bookmarkEnd w:id="338"/>
      <w:bookmarkEnd w:id="339"/>
      <w:bookmarkEnd w:id="340"/>
      <w:bookmarkEnd w:id="345"/>
      <w:bookmarkEnd w:id="346"/>
      <w:bookmarkEnd w:id="347"/>
      <w:bookmarkEnd w:id="348"/>
    </w:p>
    <w:p>
      <w:pPr>
        <w:numPr>
          <w:ilvl w:val="0"/>
          <w:numId w:val="54"/>
        </w:numPr>
        <w:tabs>
          <w:tab w:val="left" w:pos="1155"/>
        </w:tabs>
        <w:ind w:left="0" w:firstLine="492"/>
        <w:rPr>
          <w:rFonts w:ascii="宋体" w:hAnsi="宋体"/>
          <w:szCs w:val="24"/>
        </w:rPr>
      </w:pPr>
      <w:r>
        <w:rPr>
          <w:rFonts w:hint="eastAsia" w:ascii="宋体" w:hAnsi="宋体"/>
          <w:szCs w:val="24"/>
        </w:rPr>
        <w:t>评标委员会只对通过初审的投标文件，根据招标文件的要求采用相同的评标程序、评分办法及标准进行评价和比较。</w:t>
      </w:r>
    </w:p>
    <w:p>
      <w:pPr>
        <w:numPr>
          <w:ilvl w:val="0"/>
          <w:numId w:val="54"/>
        </w:numPr>
        <w:tabs>
          <w:tab w:val="left" w:pos="1155"/>
        </w:tabs>
        <w:ind w:left="0" w:firstLine="492"/>
        <w:rPr>
          <w:rFonts w:ascii="宋体" w:hAnsi="宋体"/>
          <w:szCs w:val="24"/>
        </w:rPr>
      </w:pPr>
      <w:r>
        <w:rPr>
          <w:rFonts w:hint="eastAsia" w:ascii="宋体" w:hAnsi="宋体"/>
          <w:szCs w:val="24"/>
        </w:rPr>
        <w:t>本次综合评分的因素是：价格、技术、商务等。</w:t>
      </w:r>
    </w:p>
    <w:p>
      <w:pPr>
        <w:numPr>
          <w:ilvl w:val="0"/>
          <w:numId w:val="54"/>
        </w:numPr>
        <w:tabs>
          <w:tab w:val="left" w:pos="1155"/>
        </w:tabs>
        <w:ind w:left="0" w:firstLine="492"/>
        <w:rPr>
          <w:rFonts w:ascii="宋体" w:hAnsi="宋体"/>
          <w:szCs w:val="24"/>
        </w:rPr>
      </w:pPr>
      <w:r>
        <w:rPr>
          <w:rFonts w:hint="eastAsia" w:ascii="宋体" w:hAnsi="宋体"/>
          <w:szCs w:val="24"/>
        </w:rPr>
        <w:t>除价格因素外，评标委员会成员应依据招标文件规定的评分标准和方法独立对其他因素进行比较打分。</w:t>
      </w:r>
    </w:p>
    <w:p>
      <w:pPr>
        <w:pStyle w:val="5"/>
        <w:ind w:left="322" w:firstLine="494" w:firstLineChars="0"/>
        <w:rPr>
          <w:color w:val="auto"/>
          <w:szCs w:val="24"/>
        </w:rPr>
      </w:pPr>
      <w:bookmarkStart w:id="349" w:name="_Toc217102344"/>
      <w:bookmarkStart w:id="350" w:name="_Toc218498587"/>
      <w:bookmarkStart w:id="351" w:name="_Toc310176995"/>
      <w:bookmarkStart w:id="352" w:name="_Toc22338"/>
      <w:r>
        <w:rPr>
          <w:rFonts w:hint="eastAsia"/>
          <w:color w:val="auto"/>
          <w:szCs w:val="24"/>
        </w:rPr>
        <w:t>评分办法</w:t>
      </w:r>
      <w:bookmarkEnd w:id="349"/>
      <w:bookmarkEnd w:id="350"/>
      <w:bookmarkEnd w:id="351"/>
      <w:bookmarkEnd w:id="352"/>
    </w:p>
    <w:p>
      <w:pPr>
        <w:ind w:firstLine="492"/>
        <w:rPr>
          <w:rFonts w:ascii="宋体" w:hAnsi="宋体"/>
          <w:szCs w:val="24"/>
        </w:rPr>
      </w:pPr>
      <w:r>
        <w:rPr>
          <w:rFonts w:hint="eastAsia" w:ascii="宋体" w:hAnsi="宋体"/>
          <w:szCs w:val="24"/>
        </w:rPr>
        <w:t xml:space="preserve">本次评标采用综合评分法，由评标委员会各成员独立对通过初审（资格检查和符合性检查）的投标人的投标文件进行评审和打分，    </w:t>
      </w:r>
    </w:p>
    <w:p>
      <w:pPr>
        <w:ind w:firstLine="492"/>
        <w:rPr>
          <w:rFonts w:ascii="宋体" w:hAnsi="宋体"/>
          <w:szCs w:val="24"/>
        </w:rPr>
      </w:pPr>
      <w:r>
        <w:rPr>
          <w:rFonts w:hint="eastAsia" w:ascii="宋体" w:hAnsi="宋体"/>
          <w:szCs w:val="24"/>
        </w:rPr>
        <w:t>评标得分＝（A</w:t>
      </w:r>
      <w:r>
        <w:rPr>
          <w:rFonts w:hint="eastAsia" w:ascii="宋体" w:hAnsi="宋体"/>
          <w:szCs w:val="24"/>
          <w:vertAlign w:val="subscript"/>
        </w:rPr>
        <w:t>1</w:t>
      </w:r>
      <w:r>
        <w:rPr>
          <w:rFonts w:hint="eastAsia" w:ascii="宋体" w:hAnsi="宋体"/>
          <w:szCs w:val="24"/>
        </w:rPr>
        <w:t>＋A</w:t>
      </w:r>
      <w:r>
        <w:rPr>
          <w:rFonts w:hint="eastAsia" w:ascii="宋体" w:hAnsi="宋体"/>
          <w:szCs w:val="24"/>
          <w:vertAlign w:val="subscript"/>
        </w:rPr>
        <w:t>2</w:t>
      </w:r>
      <w:r>
        <w:rPr>
          <w:rFonts w:hint="eastAsia" w:ascii="宋体" w:hAnsi="宋体"/>
          <w:szCs w:val="24"/>
        </w:rPr>
        <w:t>＋……＋A</w:t>
      </w:r>
      <w:r>
        <w:rPr>
          <w:rFonts w:hint="eastAsia" w:ascii="宋体" w:hAnsi="宋体"/>
          <w:szCs w:val="24"/>
          <w:vertAlign w:val="subscript"/>
        </w:rPr>
        <w:t>n</w:t>
      </w:r>
      <w:r>
        <w:rPr>
          <w:rFonts w:hint="eastAsia" w:ascii="宋体" w:hAnsi="宋体"/>
          <w:szCs w:val="24"/>
        </w:rPr>
        <w:t>）/n</w:t>
      </w:r>
      <w:r>
        <w:rPr>
          <w:rFonts w:hint="eastAsia" w:ascii="宋体" w:hAnsi="宋体"/>
          <w:szCs w:val="24"/>
          <w:vertAlign w:val="subscript"/>
        </w:rPr>
        <w:t>1</w:t>
      </w:r>
      <w:r>
        <w:rPr>
          <w:rFonts w:hint="eastAsia" w:ascii="宋体" w:hAnsi="宋体"/>
          <w:szCs w:val="24"/>
        </w:rPr>
        <w:t>+（B</w:t>
      </w:r>
      <w:r>
        <w:rPr>
          <w:rFonts w:hint="eastAsia" w:ascii="宋体" w:hAnsi="宋体"/>
          <w:szCs w:val="24"/>
          <w:vertAlign w:val="subscript"/>
        </w:rPr>
        <w:t>1</w:t>
      </w:r>
      <w:r>
        <w:rPr>
          <w:rFonts w:hint="eastAsia" w:ascii="宋体" w:hAnsi="宋体"/>
          <w:szCs w:val="24"/>
        </w:rPr>
        <w:t>＋B</w:t>
      </w:r>
      <w:r>
        <w:rPr>
          <w:rFonts w:hint="eastAsia" w:ascii="宋体" w:hAnsi="宋体"/>
          <w:szCs w:val="24"/>
          <w:vertAlign w:val="subscript"/>
        </w:rPr>
        <w:t>2</w:t>
      </w:r>
      <w:r>
        <w:rPr>
          <w:rFonts w:hint="eastAsia" w:ascii="宋体" w:hAnsi="宋体"/>
          <w:szCs w:val="24"/>
        </w:rPr>
        <w:t>＋……＋B</w:t>
      </w:r>
      <w:r>
        <w:rPr>
          <w:rFonts w:hint="eastAsia" w:ascii="宋体" w:hAnsi="宋体"/>
          <w:szCs w:val="24"/>
          <w:vertAlign w:val="subscript"/>
        </w:rPr>
        <w:t>n</w:t>
      </w:r>
      <w:r>
        <w:rPr>
          <w:rFonts w:hint="eastAsia" w:ascii="宋体" w:hAnsi="宋体"/>
          <w:szCs w:val="24"/>
        </w:rPr>
        <w:t>）/ n</w:t>
      </w:r>
      <w:r>
        <w:rPr>
          <w:rFonts w:hint="eastAsia" w:ascii="宋体" w:hAnsi="宋体"/>
          <w:szCs w:val="24"/>
          <w:vertAlign w:val="subscript"/>
        </w:rPr>
        <w:t>2</w:t>
      </w:r>
      <w:r>
        <w:rPr>
          <w:rFonts w:hint="eastAsia" w:ascii="宋体" w:hAnsi="宋体"/>
          <w:szCs w:val="24"/>
        </w:rPr>
        <w:t>+（C</w:t>
      </w:r>
      <w:r>
        <w:rPr>
          <w:rFonts w:hint="eastAsia" w:ascii="宋体" w:hAnsi="宋体"/>
          <w:szCs w:val="24"/>
          <w:vertAlign w:val="subscript"/>
        </w:rPr>
        <w:t>1</w:t>
      </w:r>
      <w:r>
        <w:rPr>
          <w:rFonts w:hint="eastAsia" w:ascii="宋体" w:hAnsi="宋体"/>
          <w:szCs w:val="24"/>
        </w:rPr>
        <w:t>＋C</w:t>
      </w:r>
      <w:r>
        <w:rPr>
          <w:rFonts w:hint="eastAsia" w:ascii="宋体" w:hAnsi="宋体"/>
          <w:szCs w:val="24"/>
          <w:vertAlign w:val="subscript"/>
        </w:rPr>
        <w:t>2</w:t>
      </w:r>
      <w:r>
        <w:rPr>
          <w:rFonts w:hint="eastAsia" w:ascii="宋体" w:hAnsi="宋体"/>
          <w:szCs w:val="24"/>
        </w:rPr>
        <w:t>＋……＋C</w:t>
      </w:r>
      <w:r>
        <w:rPr>
          <w:rFonts w:hint="eastAsia" w:ascii="宋体" w:hAnsi="宋体"/>
          <w:szCs w:val="24"/>
          <w:vertAlign w:val="subscript"/>
        </w:rPr>
        <w:t>n</w:t>
      </w:r>
      <w:r>
        <w:rPr>
          <w:rFonts w:hint="eastAsia" w:ascii="宋体" w:hAnsi="宋体"/>
          <w:szCs w:val="24"/>
        </w:rPr>
        <w:t>）/ n</w:t>
      </w:r>
      <w:r>
        <w:rPr>
          <w:rFonts w:hint="eastAsia" w:ascii="宋体" w:hAnsi="宋体"/>
          <w:szCs w:val="24"/>
          <w:vertAlign w:val="subscript"/>
        </w:rPr>
        <w:t>3</w:t>
      </w:r>
    </w:p>
    <w:p>
      <w:pPr>
        <w:widowControl/>
        <w:ind w:firstLine="492"/>
        <w:rPr>
          <w:rFonts w:ascii="宋体" w:hAnsi="宋体"/>
          <w:szCs w:val="24"/>
        </w:rPr>
      </w:pPr>
      <w:r>
        <w:rPr>
          <w:rFonts w:hint="eastAsia" w:ascii="宋体" w:hAnsi="宋体"/>
          <w:szCs w:val="24"/>
        </w:rPr>
        <w:t>A</w:t>
      </w:r>
      <w:r>
        <w:rPr>
          <w:rFonts w:hint="eastAsia" w:ascii="宋体" w:hAnsi="宋体"/>
          <w:szCs w:val="24"/>
          <w:vertAlign w:val="subscript"/>
        </w:rPr>
        <w:t>1</w:t>
      </w:r>
      <w:r>
        <w:rPr>
          <w:rFonts w:hint="eastAsia" w:ascii="宋体" w:hAnsi="宋体"/>
          <w:szCs w:val="24"/>
        </w:rPr>
        <w:t>、A</w:t>
      </w:r>
      <w:r>
        <w:rPr>
          <w:rFonts w:hint="eastAsia" w:ascii="宋体" w:hAnsi="宋体"/>
          <w:szCs w:val="24"/>
          <w:vertAlign w:val="subscript"/>
        </w:rPr>
        <w:t>2</w:t>
      </w:r>
      <w:r>
        <w:rPr>
          <w:rFonts w:hint="eastAsia" w:ascii="宋体" w:hAnsi="宋体"/>
          <w:szCs w:val="24"/>
        </w:rPr>
        <w:t>……A</w:t>
      </w:r>
      <w:r>
        <w:rPr>
          <w:rFonts w:hint="eastAsia" w:ascii="宋体" w:hAnsi="宋体"/>
          <w:szCs w:val="24"/>
          <w:vertAlign w:val="subscript"/>
        </w:rPr>
        <w:t>n</w:t>
      </w:r>
      <w:r>
        <w:rPr>
          <w:rFonts w:hint="eastAsia" w:ascii="宋体" w:hAnsi="宋体"/>
          <w:szCs w:val="24"/>
        </w:rPr>
        <w:t>分别为每个</w:t>
      </w:r>
      <w:r>
        <w:rPr>
          <w:rFonts w:hint="eastAsia" w:ascii="宋体" w:hAnsi="宋体" w:cs="宋体"/>
          <w:kern w:val="0"/>
          <w:szCs w:val="24"/>
        </w:rPr>
        <w:t>经济类</w:t>
      </w:r>
      <w:r>
        <w:rPr>
          <w:rFonts w:hint="eastAsia" w:ascii="宋体" w:hAnsi="宋体"/>
          <w:szCs w:val="24"/>
        </w:rPr>
        <w:t>评委的打分，n</w:t>
      </w:r>
      <w:r>
        <w:rPr>
          <w:rFonts w:hint="eastAsia" w:ascii="宋体" w:hAnsi="宋体"/>
          <w:szCs w:val="24"/>
          <w:vertAlign w:val="subscript"/>
        </w:rPr>
        <w:t>1</w:t>
      </w:r>
      <w:r>
        <w:rPr>
          <w:rFonts w:hint="eastAsia" w:ascii="宋体" w:hAnsi="宋体"/>
          <w:szCs w:val="24"/>
        </w:rPr>
        <w:t>为</w:t>
      </w:r>
      <w:r>
        <w:rPr>
          <w:rFonts w:hint="eastAsia" w:ascii="宋体" w:hAnsi="宋体" w:cs="宋体"/>
          <w:kern w:val="0"/>
          <w:szCs w:val="24"/>
        </w:rPr>
        <w:t>经济类</w:t>
      </w:r>
      <w:r>
        <w:rPr>
          <w:rFonts w:hint="eastAsia" w:ascii="宋体" w:hAnsi="宋体"/>
          <w:szCs w:val="24"/>
        </w:rPr>
        <w:t>评委人数；B</w:t>
      </w:r>
      <w:r>
        <w:rPr>
          <w:rFonts w:hint="eastAsia" w:ascii="宋体" w:hAnsi="宋体"/>
          <w:szCs w:val="24"/>
          <w:vertAlign w:val="subscript"/>
        </w:rPr>
        <w:t>1</w:t>
      </w:r>
      <w:r>
        <w:rPr>
          <w:rFonts w:hint="eastAsia" w:ascii="宋体" w:hAnsi="宋体"/>
          <w:szCs w:val="24"/>
        </w:rPr>
        <w:t>、B</w:t>
      </w:r>
      <w:r>
        <w:rPr>
          <w:rFonts w:hint="eastAsia" w:ascii="宋体" w:hAnsi="宋体"/>
          <w:szCs w:val="24"/>
          <w:vertAlign w:val="subscript"/>
        </w:rPr>
        <w:t>2</w:t>
      </w:r>
      <w:r>
        <w:rPr>
          <w:rFonts w:hint="eastAsia" w:ascii="宋体" w:hAnsi="宋体"/>
          <w:szCs w:val="24"/>
        </w:rPr>
        <w:t>＋……B</w:t>
      </w:r>
      <w:r>
        <w:rPr>
          <w:rFonts w:hint="eastAsia" w:ascii="宋体" w:hAnsi="宋体"/>
          <w:szCs w:val="24"/>
          <w:vertAlign w:val="subscript"/>
        </w:rPr>
        <w:t>n</w:t>
      </w:r>
      <w:r>
        <w:rPr>
          <w:rFonts w:hint="eastAsia" w:ascii="宋体" w:hAnsi="宋体"/>
          <w:szCs w:val="24"/>
        </w:rPr>
        <w:t xml:space="preserve"> 分别为每个技术类评委（含采购人代表）的打分，n</w:t>
      </w:r>
      <w:r>
        <w:rPr>
          <w:rFonts w:hint="eastAsia" w:ascii="宋体" w:hAnsi="宋体"/>
          <w:szCs w:val="24"/>
          <w:vertAlign w:val="subscript"/>
        </w:rPr>
        <w:t>2</w:t>
      </w:r>
      <w:r>
        <w:rPr>
          <w:rFonts w:hint="eastAsia" w:ascii="宋体" w:hAnsi="宋体"/>
          <w:szCs w:val="24"/>
        </w:rPr>
        <w:t>为</w:t>
      </w:r>
      <w:r>
        <w:rPr>
          <w:rFonts w:hint="eastAsia" w:ascii="宋体" w:hAnsi="宋体" w:cs="宋体"/>
          <w:kern w:val="0"/>
          <w:szCs w:val="24"/>
        </w:rPr>
        <w:t>技术类</w:t>
      </w:r>
      <w:r>
        <w:rPr>
          <w:rFonts w:hint="eastAsia" w:ascii="宋体" w:hAnsi="宋体"/>
          <w:szCs w:val="24"/>
        </w:rPr>
        <w:t>评委（含采购人代表）人数；C</w:t>
      </w:r>
      <w:r>
        <w:rPr>
          <w:rFonts w:hint="eastAsia" w:ascii="宋体" w:hAnsi="宋体"/>
          <w:szCs w:val="24"/>
          <w:vertAlign w:val="subscript"/>
        </w:rPr>
        <w:t>1</w:t>
      </w:r>
      <w:r>
        <w:rPr>
          <w:rFonts w:hint="eastAsia" w:ascii="宋体" w:hAnsi="宋体"/>
          <w:szCs w:val="24"/>
        </w:rPr>
        <w:t>、C</w:t>
      </w:r>
      <w:r>
        <w:rPr>
          <w:rFonts w:hint="eastAsia" w:ascii="宋体" w:hAnsi="宋体"/>
          <w:szCs w:val="24"/>
          <w:vertAlign w:val="subscript"/>
        </w:rPr>
        <w:t>2</w:t>
      </w:r>
      <w:r>
        <w:rPr>
          <w:rFonts w:hint="eastAsia" w:ascii="宋体" w:hAnsi="宋体"/>
          <w:szCs w:val="24"/>
        </w:rPr>
        <w:t>……C</w:t>
      </w:r>
      <w:r>
        <w:rPr>
          <w:rFonts w:hint="eastAsia" w:ascii="宋体" w:hAnsi="宋体"/>
          <w:szCs w:val="24"/>
          <w:vertAlign w:val="subscript"/>
        </w:rPr>
        <w:t>n</w:t>
      </w:r>
      <w:r>
        <w:rPr>
          <w:rFonts w:hint="eastAsia" w:ascii="宋体" w:hAnsi="宋体"/>
          <w:szCs w:val="24"/>
        </w:rPr>
        <w:t xml:space="preserve"> 分别为评审委员会每个成员的打分，n</w:t>
      </w:r>
      <w:r>
        <w:rPr>
          <w:rFonts w:hint="eastAsia" w:ascii="宋体" w:hAnsi="宋体"/>
          <w:szCs w:val="24"/>
          <w:vertAlign w:val="subscript"/>
        </w:rPr>
        <w:t>3</w:t>
      </w:r>
      <w:r>
        <w:rPr>
          <w:rFonts w:hint="eastAsia" w:ascii="宋体" w:hAnsi="宋体"/>
          <w:szCs w:val="24"/>
        </w:rPr>
        <w:t>为评委人数。</w:t>
      </w:r>
    </w:p>
    <w:p>
      <w:pPr>
        <w:widowControl/>
        <w:ind w:firstLine="492"/>
        <w:rPr>
          <w:rFonts w:ascii="宋体" w:hAnsi="宋体"/>
          <w:szCs w:val="24"/>
        </w:rPr>
      </w:pPr>
      <w:r>
        <w:rPr>
          <w:rFonts w:hint="eastAsia" w:ascii="宋体" w:hAnsi="宋体"/>
          <w:szCs w:val="24"/>
        </w:rPr>
        <w:t>对记入诚信档案的且在有效期内的失信供应商，在本次政府采购活动中实行直接从总分中扣分的惩戒方法，且供应商失信行为惩戒实行无限制累加制。存在一次失信行为的，扣5分，每增加一次失信行为，加扣5分，直至扣完为止。</w:t>
      </w:r>
    </w:p>
    <w:p>
      <w:pPr>
        <w:pStyle w:val="5"/>
        <w:numPr>
          <w:ilvl w:val="2"/>
          <w:numId w:val="0"/>
        </w:numPr>
        <w:ind w:left="490" w:leftChars="200"/>
        <w:rPr>
          <w:color w:val="auto"/>
        </w:rPr>
      </w:pPr>
      <w:r>
        <w:rPr>
          <w:rFonts w:hint="eastAsia"/>
          <w:color w:val="auto"/>
        </w:rPr>
        <w:t>各包评分标准</w:t>
      </w:r>
    </w:p>
    <w:tbl>
      <w:tblPr>
        <w:tblStyle w:val="43"/>
        <w:tblpPr w:leftFromText="180" w:rightFromText="180" w:vertAnchor="text" w:horzAnchor="page" w:tblpX="1072" w:tblpY="907"/>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641"/>
        <w:gridCol w:w="592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5" w:type="dxa"/>
            <w:vAlign w:val="center"/>
          </w:tcPr>
          <w:p>
            <w:pPr>
              <w:widowControl/>
              <w:ind w:firstLine="0" w:firstLineChars="0"/>
              <w:jc w:val="center"/>
              <w:rPr>
                <w:rFonts w:ascii="宋体" w:hAnsi="宋体" w:cs="宋体"/>
                <w:b/>
                <w:bCs/>
                <w:szCs w:val="24"/>
              </w:rPr>
            </w:pPr>
            <w:r>
              <w:rPr>
                <w:rFonts w:hint="eastAsia" w:ascii="宋体" w:hAnsi="宋体" w:cs="宋体"/>
                <w:b/>
                <w:bCs/>
                <w:szCs w:val="24"/>
              </w:rPr>
              <w:t>专家类型</w:t>
            </w:r>
          </w:p>
        </w:tc>
        <w:tc>
          <w:tcPr>
            <w:tcW w:w="1641" w:type="dxa"/>
            <w:vAlign w:val="center"/>
          </w:tcPr>
          <w:p>
            <w:pPr>
              <w:widowControl/>
              <w:ind w:firstLine="0" w:firstLineChars="0"/>
              <w:jc w:val="center"/>
              <w:rPr>
                <w:rFonts w:ascii="宋体" w:hAnsi="宋体" w:cs="宋体"/>
                <w:b/>
                <w:bCs/>
                <w:szCs w:val="24"/>
              </w:rPr>
            </w:pPr>
            <w:r>
              <w:rPr>
                <w:rFonts w:hint="eastAsia" w:ascii="宋体" w:hAnsi="宋体" w:cs="宋体"/>
                <w:b/>
                <w:bCs/>
                <w:szCs w:val="24"/>
              </w:rPr>
              <w:t>评审项目</w:t>
            </w:r>
          </w:p>
        </w:tc>
        <w:tc>
          <w:tcPr>
            <w:tcW w:w="5923" w:type="dxa"/>
            <w:vAlign w:val="center"/>
          </w:tcPr>
          <w:p>
            <w:pPr>
              <w:widowControl/>
              <w:ind w:firstLine="0" w:firstLineChars="0"/>
              <w:jc w:val="center"/>
              <w:rPr>
                <w:rFonts w:ascii="宋体" w:hAnsi="宋体" w:cs="宋体"/>
                <w:b/>
                <w:bCs/>
                <w:szCs w:val="24"/>
              </w:rPr>
            </w:pPr>
            <w:r>
              <w:rPr>
                <w:rFonts w:hint="eastAsia" w:ascii="宋体" w:hAnsi="宋体" w:cs="宋体"/>
                <w:b/>
                <w:bCs/>
                <w:szCs w:val="24"/>
              </w:rPr>
              <w:t>评分标准</w:t>
            </w:r>
          </w:p>
        </w:tc>
        <w:tc>
          <w:tcPr>
            <w:tcW w:w="850" w:type="dxa"/>
            <w:vAlign w:val="center"/>
          </w:tcPr>
          <w:p>
            <w:pPr>
              <w:widowControl/>
              <w:ind w:firstLine="0" w:firstLineChars="0"/>
              <w:jc w:val="center"/>
              <w:rPr>
                <w:rFonts w:ascii="宋体" w:hAnsi="宋体" w:cs="宋体"/>
                <w:b/>
                <w:bCs/>
                <w:szCs w:val="24"/>
              </w:rPr>
            </w:pPr>
            <w:r>
              <w:rPr>
                <w:rFonts w:hint="eastAsia" w:ascii="宋体" w:hAnsi="宋体" w:cs="宋体"/>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5" w:type="dxa"/>
            <w:vMerge w:val="restart"/>
            <w:vAlign w:val="center"/>
          </w:tcPr>
          <w:p>
            <w:pPr>
              <w:widowControl/>
              <w:ind w:firstLine="0" w:firstLineChars="0"/>
              <w:rPr>
                <w:rFonts w:ascii="宋体" w:hAnsi="宋体" w:cs="宋体"/>
                <w:szCs w:val="24"/>
              </w:rPr>
            </w:pPr>
            <w:r>
              <w:rPr>
                <w:rFonts w:hint="eastAsia" w:ascii="宋体" w:hAnsi="宋体" w:cs="宋体"/>
                <w:szCs w:val="24"/>
              </w:rPr>
              <w:t>共同评审</w:t>
            </w:r>
          </w:p>
        </w:tc>
        <w:tc>
          <w:tcPr>
            <w:tcW w:w="1641" w:type="dxa"/>
            <w:vAlign w:val="center"/>
          </w:tcPr>
          <w:p>
            <w:pPr>
              <w:widowControl/>
              <w:ind w:firstLine="0" w:firstLineChars="0"/>
              <w:rPr>
                <w:rFonts w:ascii="宋体" w:hAnsi="宋体" w:cs="宋体"/>
                <w:szCs w:val="24"/>
              </w:rPr>
            </w:pPr>
            <w:r>
              <w:rPr>
                <w:rFonts w:hint="eastAsia" w:ascii="宋体" w:hAnsi="宋体" w:cs="宋体"/>
                <w:szCs w:val="24"/>
              </w:rPr>
              <w:t>报价评审</w:t>
            </w:r>
          </w:p>
        </w:tc>
        <w:tc>
          <w:tcPr>
            <w:tcW w:w="5923" w:type="dxa"/>
            <w:vAlign w:val="center"/>
          </w:tcPr>
          <w:p>
            <w:pPr>
              <w:widowControl/>
              <w:ind w:firstLine="0" w:firstLineChars="0"/>
              <w:rPr>
                <w:rFonts w:ascii="宋体" w:hAnsi="宋体" w:cs="宋体"/>
                <w:szCs w:val="24"/>
              </w:rPr>
            </w:pPr>
            <w:r>
              <w:rPr>
                <w:rFonts w:hint="eastAsia" w:ascii="宋体" w:hAnsi="宋体" w:cs="宋体"/>
                <w:szCs w:val="24"/>
              </w:rPr>
              <w:t>1.投标人如为监狱企业或小型或微型企业或残疾人福利性单位的，则给予其最后报价10%的价格扣除，用扣除后的价格参与评审；</w:t>
            </w:r>
          </w:p>
          <w:p>
            <w:pPr>
              <w:widowControl/>
              <w:ind w:firstLine="0" w:firstLineChars="0"/>
              <w:rPr>
                <w:rFonts w:ascii="宋体" w:hAnsi="宋体" w:cs="宋体"/>
                <w:szCs w:val="24"/>
              </w:rPr>
            </w:pPr>
            <w:r>
              <w:rPr>
                <w:rFonts w:hint="eastAsia" w:ascii="宋体" w:hAnsi="宋体" w:cs="宋体"/>
                <w:szCs w:val="24"/>
              </w:rPr>
              <w:t>2.经评审的最低有效投标报价作为评审基准价；</w:t>
            </w:r>
          </w:p>
          <w:p>
            <w:pPr>
              <w:widowControl/>
              <w:ind w:firstLine="0" w:firstLineChars="0"/>
              <w:rPr>
                <w:rFonts w:ascii="宋体" w:hAnsi="宋体" w:cs="宋体"/>
                <w:szCs w:val="24"/>
              </w:rPr>
            </w:pPr>
            <w:r>
              <w:rPr>
                <w:rFonts w:hint="eastAsia" w:ascii="宋体" w:hAnsi="宋体" w:cs="宋体"/>
                <w:szCs w:val="24"/>
              </w:rPr>
              <w:t>3.报价得分=(评审基准价／投标报价)×10。</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Merge w:val="continue"/>
            <w:vAlign w:val="center"/>
          </w:tcPr>
          <w:p>
            <w:pPr>
              <w:widowControl/>
              <w:ind w:firstLine="0" w:firstLineChars="0"/>
              <w:jc w:val="center"/>
              <w:rPr>
                <w:rFonts w:ascii="宋体" w:hAnsi="宋体" w:cs="宋体"/>
                <w:bCs/>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履约能力</w:t>
            </w:r>
          </w:p>
        </w:tc>
        <w:tc>
          <w:tcPr>
            <w:tcW w:w="5923" w:type="dxa"/>
            <w:vAlign w:val="center"/>
          </w:tcPr>
          <w:p>
            <w:pPr>
              <w:widowControl/>
              <w:ind w:firstLine="0" w:firstLineChars="0"/>
              <w:rPr>
                <w:rFonts w:ascii="宋体" w:hAnsi="宋体" w:cs="宋体"/>
                <w:szCs w:val="24"/>
              </w:rPr>
            </w:pPr>
            <w:r>
              <w:rPr>
                <w:rFonts w:hint="eastAsia" w:ascii="宋体" w:hAnsi="宋体" w:cs="宋体"/>
                <w:szCs w:val="24"/>
              </w:rPr>
              <w:t>投标人2018年1月1日（含1日）以来具有污泥处置（处理）类业绩的，一个得4分，最多得12分。（说明：提供合同复印件，加盖投标单位公章。）</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475" w:type="dxa"/>
            <w:vMerge w:val="restart"/>
            <w:vAlign w:val="center"/>
          </w:tcPr>
          <w:p>
            <w:pPr>
              <w:widowControl/>
              <w:ind w:firstLine="0" w:firstLineChars="0"/>
              <w:jc w:val="center"/>
              <w:rPr>
                <w:rFonts w:ascii="宋体" w:hAnsi="宋体" w:cs="宋体"/>
                <w:szCs w:val="24"/>
              </w:rPr>
            </w:pPr>
          </w:p>
          <w:p>
            <w:pPr>
              <w:pStyle w:val="2"/>
              <w:spacing w:line="360" w:lineRule="auto"/>
              <w:ind w:firstLine="0" w:firstLineChars="0"/>
              <w:rPr>
                <w:rFonts w:ascii="宋体" w:hAnsi="宋体" w:cs="宋体"/>
                <w:szCs w:val="24"/>
              </w:rPr>
            </w:pPr>
            <w:r>
              <w:rPr>
                <w:rFonts w:hint="eastAsia" w:ascii="宋体" w:hAnsi="宋体" w:cs="宋体"/>
                <w:szCs w:val="24"/>
              </w:rPr>
              <w:t>技术类评委</w:t>
            </w:r>
          </w:p>
        </w:tc>
        <w:tc>
          <w:tcPr>
            <w:tcW w:w="1641" w:type="dxa"/>
            <w:vAlign w:val="center"/>
          </w:tcPr>
          <w:p>
            <w:pPr>
              <w:widowControl/>
              <w:ind w:firstLine="0" w:firstLineChars="0"/>
              <w:rPr>
                <w:rFonts w:ascii="宋体" w:hAnsi="宋体" w:cs="宋体"/>
                <w:szCs w:val="24"/>
              </w:rPr>
            </w:pPr>
            <w:r>
              <w:rPr>
                <w:rFonts w:hint="eastAsia" w:ascii="宋体" w:hAnsi="宋体" w:cs="宋体"/>
                <w:szCs w:val="24"/>
              </w:rPr>
              <w:t>服务方案</w:t>
            </w:r>
          </w:p>
        </w:tc>
        <w:tc>
          <w:tcPr>
            <w:tcW w:w="5923" w:type="dxa"/>
            <w:vAlign w:val="center"/>
          </w:tcPr>
          <w:p>
            <w:pPr>
              <w:ind w:firstLine="0" w:firstLineChars="0"/>
              <w:rPr>
                <w:rFonts w:ascii="宋体" w:hAnsi="宋体" w:cs="宋体"/>
                <w:szCs w:val="24"/>
              </w:rPr>
            </w:pPr>
            <w:r>
              <w:rPr>
                <w:rFonts w:hint="eastAsia" w:ascii="宋体" w:hAnsi="宋体" w:cs="宋体"/>
                <w:szCs w:val="24"/>
              </w:rPr>
              <w:t>根据本项目的特点，投标人应编制针对本项目的服务方案。服务方案应包括但不限于①污泥收集；②污泥运输；③污泥处置；④泥质检测；⑤安全作业方案⑥应急处置措施，方案齐全得18分，缺一项内容扣3分，扣完为止。在提供方案的基础上，污泥收集方案及措施科学、合理，结合项目实际情况的，加2分。污泥运输方案及措施科学、合理，结合项目实际情况的，加2分。污泥处置方案及技术措施科学、合理，结合项目实际情况的，加2分。泥质检测方案科学、合理，结合项目实际情况的，加2分。安全作业方案科学、合理，结合项目实际情况的，加2分。应急处置措施科学、合理，结合项目实际情况的，加2分。本项最多得30分。</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75" w:type="dxa"/>
            <w:vMerge w:val="continue"/>
            <w:vAlign w:val="center"/>
          </w:tcPr>
          <w:p>
            <w:pPr>
              <w:pStyle w:val="2"/>
              <w:spacing w:line="360" w:lineRule="auto"/>
              <w:ind w:firstLine="0" w:firstLineChars="0"/>
              <w:rPr>
                <w:rFonts w:ascii="宋体" w:hAnsi="宋体" w:cs="宋体"/>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避免二次污染方案</w:t>
            </w:r>
          </w:p>
        </w:tc>
        <w:tc>
          <w:tcPr>
            <w:tcW w:w="5923" w:type="dxa"/>
            <w:vAlign w:val="center"/>
          </w:tcPr>
          <w:p>
            <w:pPr>
              <w:adjustRightInd w:val="0"/>
              <w:snapToGrid w:val="0"/>
              <w:ind w:firstLine="0" w:firstLineChars="0"/>
              <w:rPr>
                <w:rFonts w:ascii="宋体" w:hAnsi="宋体" w:cs="宋体"/>
                <w:szCs w:val="24"/>
              </w:rPr>
            </w:pPr>
            <w:r>
              <w:rPr>
                <w:rFonts w:hint="eastAsia" w:ascii="宋体" w:hAnsi="宋体" w:cs="宋体"/>
                <w:szCs w:val="24"/>
              </w:rPr>
              <w:t>投标人针对本项目提供了避免二次污染方案，确保废水、废气、废渣不对周围环境产生二次污染的，得3分，在此基础上，方案全面科学，操作性强的，加3分。</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75" w:type="dxa"/>
            <w:vMerge w:val="restart"/>
            <w:vAlign w:val="center"/>
          </w:tcPr>
          <w:p>
            <w:pPr>
              <w:widowControl/>
              <w:ind w:firstLine="0" w:firstLineChars="0"/>
              <w:rPr>
                <w:rFonts w:ascii="宋体" w:hAnsi="宋体" w:cs="宋体"/>
                <w:bCs/>
                <w:szCs w:val="24"/>
              </w:rPr>
            </w:pPr>
            <w:r>
              <w:rPr>
                <w:rFonts w:hint="eastAsia" w:ascii="宋体" w:hAnsi="宋体" w:cs="宋体"/>
                <w:bCs/>
                <w:szCs w:val="24"/>
              </w:rPr>
              <w:t>共同评审</w:t>
            </w:r>
          </w:p>
        </w:tc>
        <w:tc>
          <w:tcPr>
            <w:tcW w:w="1641" w:type="dxa"/>
            <w:vAlign w:val="center"/>
          </w:tcPr>
          <w:p>
            <w:pPr>
              <w:widowControl/>
              <w:ind w:firstLine="0" w:firstLineChars="0"/>
              <w:rPr>
                <w:rFonts w:ascii="宋体" w:hAnsi="宋体" w:cs="宋体"/>
                <w:szCs w:val="24"/>
              </w:rPr>
            </w:pPr>
            <w:r>
              <w:rPr>
                <w:rFonts w:hint="eastAsia" w:ascii="宋体" w:hAnsi="宋体" w:cs="宋体"/>
                <w:szCs w:val="24"/>
              </w:rPr>
              <w:t>综合实力</w:t>
            </w:r>
          </w:p>
        </w:tc>
        <w:tc>
          <w:tcPr>
            <w:tcW w:w="5923" w:type="dxa"/>
            <w:vAlign w:val="center"/>
          </w:tcPr>
          <w:p>
            <w:pPr>
              <w:ind w:firstLine="0" w:firstLineChars="0"/>
              <w:rPr>
                <w:rFonts w:ascii="宋体" w:hAnsi="宋体" w:cs="宋体"/>
                <w:szCs w:val="24"/>
              </w:rPr>
            </w:pPr>
            <w:r>
              <w:rPr>
                <w:rFonts w:hint="eastAsia" w:ascii="宋体" w:hAnsi="宋体" w:cs="宋体"/>
                <w:szCs w:val="24"/>
              </w:rPr>
              <w:t>1、投标人具有有效的安全生产标准化三级或以上企业证书的得3分。（说明：提供证书复印件）</w:t>
            </w:r>
          </w:p>
          <w:p>
            <w:pPr>
              <w:ind w:firstLine="0" w:firstLineChars="0"/>
              <w:rPr>
                <w:rFonts w:ascii="宋体" w:hAnsi="宋体" w:cs="宋体"/>
                <w:szCs w:val="24"/>
              </w:rPr>
            </w:pPr>
            <w:r>
              <w:rPr>
                <w:rFonts w:hint="eastAsia" w:ascii="宋体" w:hAnsi="宋体" w:cs="宋体"/>
                <w:szCs w:val="24"/>
              </w:rPr>
              <w:t>2、投标人具有有效的质量管理体系认证证书的得3分。（说明：提供证书复印件）</w:t>
            </w:r>
          </w:p>
          <w:p>
            <w:pPr>
              <w:pStyle w:val="2"/>
              <w:spacing w:line="360" w:lineRule="auto"/>
              <w:ind w:firstLine="0" w:firstLineChars="0"/>
              <w:rPr>
                <w:rFonts w:ascii="宋体" w:hAnsi="宋体" w:cs="宋体"/>
                <w:szCs w:val="24"/>
              </w:rPr>
            </w:pPr>
            <w:r>
              <w:rPr>
                <w:rFonts w:hint="eastAsia" w:ascii="宋体" w:hAnsi="宋体" w:cs="宋体"/>
                <w:szCs w:val="24"/>
              </w:rPr>
              <w:t>3、投标人信用等级为AAA级的得2分，AA级得1分，A级得0.5分。（说明：提供证书复印件或网页截图）</w:t>
            </w:r>
          </w:p>
          <w:p>
            <w:pPr>
              <w:ind w:firstLine="0" w:firstLineChars="0"/>
              <w:rPr>
                <w:rFonts w:ascii="宋体" w:hAnsi="宋体" w:cs="宋体"/>
                <w:szCs w:val="24"/>
              </w:rPr>
            </w:pPr>
            <w:r>
              <w:rPr>
                <w:rFonts w:hint="eastAsia" w:ascii="宋体" w:hAnsi="宋体" w:cs="宋体"/>
                <w:szCs w:val="24"/>
              </w:rPr>
              <w:t>4、投标人具有有效的环境污染防治工程（工程类别：固体废弃物）乙级及以上资质，且该资质载明业务范围含污泥处置的得2分。（说明：提供证书复印件）</w:t>
            </w:r>
          </w:p>
          <w:p>
            <w:pPr>
              <w:ind w:firstLine="0" w:firstLineChars="0"/>
              <w:rPr>
                <w:rFonts w:ascii="宋体" w:hAnsi="宋体" w:cs="宋体"/>
                <w:szCs w:val="24"/>
              </w:rPr>
            </w:pPr>
            <w:r>
              <w:rPr>
                <w:rFonts w:hint="eastAsia" w:ascii="宋体" w:hAnsi="宋体" w:cs="宋体"/>
                <w:szCs w:val="24"/>
              </w:rPr>
              <w:t>5、</w:t>
            </w:r>
            <w:r>
              <w:rPr>
                <w:rFonts w:ascii="宋体" w:hAnsi="宋体" w:cs="宋体"/>
                <w:szCs w:val="24"/>
              </w:rPr>
              <w:t>投标人的处置场所或处置设施具有县级或以上环保行政部门对环境影响的批复文件得5分。（说明：提供批复文件复印件）</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4" w:hRule="atLeast"/>
        </w:trPr>
        <w:tc>
          <w:tcPr>
            <w:tcW w:w="1475" w:type="dxa"/>
            <w:vMerge w:val="continue"/>
            <w:vAlign w:val="center"/>
          </w:tcPr>
          <w:p>
            <w:pPr>
              <w:widowControl/>
              <w:ind w:firstLine="0" w:firstLineChars="0"/>
              <w:rPr>
                <w:rFonts w:ascii="宋体" w:hAnsi="宋体" w:cs="宋体"/>
                <w:bCs/>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人员配置</w:t>
            </w:r>
          </w:p>
        </w:tc>
        <w:tc>
          <w:tcPr>
            <w:tcW w:w="5923" w:type="dxa"/>
            <w:vAlign w:val="center"/>
          </w:tcPr>
          <w:p>
            <w:pPr>
              <w:widowControl/>
              <w:numPr>
                <w:ilvl w:val="0"/>
                <w:numId w:val="55"/>
              </w:numPr>
              <w:ind w:firstLine="0" w:firstLineChars="0"/>
              <w:rPr>
                <w:rFonts w:ascii="宋体" w:hAnsi="宋体" w:cs="宋体"/>
                <w:szCs w:val="24"/>
              </w:rPr>
            </w:pPr>
            <w:r>
              <w:rPr>
                <w:rFonts w:hint="eastAsia" w:ascii="宋体" w:hAnsi="宋体" w:cs="宋体"/>
                <w:szCs w:val="24"/>
              </w:rPr>
              <w:t>项目管理机构中配备1名或以上</w:t>
            </w:r>
            <w:r>
              <w:rPr>
                <w:rFonts w:hint="eastAsia" w:ascii="宋体" w:hAnsi="宋体" w:cs="宋体"/>
                <w:szCs w:val="24"/>
              </w:rPr>
              <w:t>与本单位污泥</w:t>
            </w:r>
            <w:r>
              <w:rPr>
                <w:rFonts w:hint="eastAsia" w:ascii="宋体" w:hAnsi="宋体" w:cs="宋体"/>
                <w:szCs w:val="24"/>
              </w:rPr>
              <w:t>处置方式相关的高级及以上职称人员得3分，最多得3分。（说明：</w:t>
            </w:r>
            <w:r>
              <w:rPr>
                <w:rFonts w:ascii="Calibri" w:hAnsi="Calibri" w:cs="Calibri"/>
                <w:szCs w:val="24"/>
              </w:rPr>
              <w:t>①</w:t>
            </w:r>
            <w:r>
              <w:rPr>
                <w:rFonts w:hint="eastAsia" w:ascii="宋体" w:hAnsi="宋体" w:cs="宋体"/>
                <w:kern w:val="0"/>
                <w:szCs w:val="24"/>
              </w:rPr>
              <w:t>提供人员在职证明材料；</w:t>
            </w:r>
            <w:r>
              <w:rPr>
                <w:rFonts w:ascii="Calibri" w:hAnsi="Calibri" w:cs="Calibri"/>
                <w:kern w:val="0"/>
                <w:szCs w:val="24"/>
              </w:rPr>
              <w:t>②</w:t>
            </w:r>
            <w:r>
              <w:rPr>
                <w:rFonts w:hint="eastAsia" w:ascii="宋体" w:hAnsi="宋体" w:cs="宋体"/>
                <w:kern w:val="0"/>
                <w:szCs w:val="24"/>
              </w:rPr>
              <w:t>提供证书复印件，加盖投标人公章；</w:t>
            </w:r>
            <w:r>
              <w:rPr>
                <w:rFonts w:ascii="Calibri" w:hAnsi="Calibri" w:cs="Calibri"/>
                <w:kern w:val="0"/>
                <w:szCs w:val="24"/>
              </w:rPr>
              <w:t>③</w:t>
            </w:r>
            <w:r>
              <w:rPr>
                <w:rFonts w:hint="eastAsia" w:ascii="Calibri" w:hAnsi="Calibri" w:cs="Calibri"/>
                <w:kern w:val="0"/>
                <w:szCs w:val="24"/>
              </w:rPr>
              <w:t>如</w:t>
            </w:r>
            <w:r>
              <w:rPr>
                <w:rFonts w:hint="eastAsia" w:ascii="宋体" w:hAnsi="宋体" w:cs="宋体"/>
                <w:szCs w:val="24"/>
              </w:rPr>
              <w:t>投标人同时参与两个包件投标，则两个包件配置</w:t>
            </w:r>
            <w:r>
              <w:rPr>
                <w:rFonts w:ascii="宋体" w:hAnsi="宋体" w:cs="宋体"/>
                <w:szCs w:val="24"/>
              </w:rPr>
              <w:t>的</w:t>
            </w:r>
            <w:r>
              <w:rPr>
                <w:rFonts w:hint="eastAsia" w:ascii="宋体" w:hAnsi="宋体" w:cs="宋体"/>
                <w:szCs w:val="24"/>
              </w:rPr>
              <w:t>人员不得重复，否则，重复的人员在两个包件中均得0分。）</w:t>
            </w:r>
          </w:p>
          <w:p>
            <w:pPr>
              <w:widowControl/>
              <w:numPr>
                <w:ilvl w:val="0"/>
                <w:numId w:val="55"/>
              </w:numPr>
              <w:ind w:firstLine="0" w:firstLineChars="0"/>
              <w:rPr>
                <w:rFonts w:ascii="宋体" w:hAnsi="宋体" w:cs="宋体"/>
                <w:szCs w:val="24"/>
              </w:rPr>
            </w:pPr>
            <w:r>
              <w:rPr>
                <w:rFonts w:hint="eastAsia" w:ascii="宋体" w:hAnsi="宋体" w:cs="宋体"/>
                <w:szCs w:val="24"/>
              </w:rPr>
              <w:t>项目管理机构中配备1名或以上具有检验资格或环保类资格（职称）的人员得2分，否则不得分。（说明：</w:t>
            </w:r>
            <w:r>
              <w:rPr>
                <w:rFonts w:ascii="Calibri" w:hAnsi="Calibri" w:cs="Calibri"/>
                <w:szCs w:val="24"/>
              </w:rPr>
              <w:t>①</w:t>
            </w:r>
            <w:r>
              <w:rPr>
                <w:rFonts w:hint="eastAsia" w:ascii="宋体" w:hAnsi="宋体" w:cs="宋体"/>
                <w:kern w:val="0"/>
                <w:szCs w:val="24"/>
              </w:rPr>
              <w:t>提供人员在职证明材料；</w:t>
            </w:r>
            <w:r>
              <w:rPr>
                <w:rFonts w:ascii="Calibri" w:hAnsi="Calibri" w:cs="Calibri"/>
                <w:kern w:val="0"/>
                <w:szCs w:val="24"/>
              </w:rPr>
              <w:t>②</w:t>
            </w:r>
            <w:r>
              <w:rPr>
                <w:rFonts w:hint="eastAsia" w:ascii="宋体" w:hAnsi="宋体" w:cs="宋体"/>
                <w:kern w:val="0"/>
                <w:szCs w:val="24"/>
              </w:rPr>
              <w:t>提供证书复印件，加盖投标人公章；</w:t>
            </w:r>
            <w:r>
              <w:rPr>
                <w:rFonts w:ascii="Calibri" w:hAnsi="Calibri" w:cs="Calibri"/>
                <w:kern w:val="0"/>
                <w:szCs w:val="24"/>
              </w:rPr>
              <w:t>③</w:t>
            </w:r>
            <w:r>
              <w:rPr>
                <w:rFonts w:hint="eastAsia" w:ascii="Calibri" w:hAnsi="Calibri" w:cs="Calibri"/>
                <w:kern w:val="0"/>
                <w:szCs w:val="24"/>
              </w:rPr>
              <w:t>如</w:t>
            </w:r>
            <w:r>
              <w:rPr>
                <w:rFonts w:hint="eastAsia" w:ascii="宋体" w:hAnsi="宋体" w:cs="宋体"/>
                <w:szCs w:val="24"/>
              </w:rPr>
              <w:t>投标人同时参与两个包件投标，则两个包件配置</w:t>
            </w:r>
            <w:r>
              <w:rPr>
                <w:rFonts w:ascii="宋体" w:hAnsi="宋体" w:cs="宋体"/>
                <w:szCs w:val="24"/>
              </w:rPr>
              <w:t>的</w:t>
            </w:r>
            <w:r>
              <w:rPr>
                <w:rFonts w:hint="eastAsia" w:ascii="宋体" w:hAnsi="宋体" w:cs="宋体"/>
                <w:szCs w:val="24"/>
              </w:rPr>
              <w:t>人员不得重复，否则，重复的人员在两个包件中均得0分。）</w:t>
            </w:r>
          </w:p>
          <w:p>
            <w:pPr>
              <w:widowControl/>
              <w:numPr>
                <w:ilvl w:val="0"/>
                <w:numId w:val="55"/>
              </w:numPr>
              <w:ind w:firstLine="0" w:firstLineChars="0"/>
              <w:rPr>
                <w:rFonts w:ascii="宋体" w:hAnsi="宋体" w:cs="宋体"/>
                <w:szCs w:val="24"/>
              </w:rPr>
            </w:pPr>
            <w:r>
              <w:rPr>
                <w:rFonts w:hint="eastAsia" w:ascii="宋体" w:hAnsi="宋体" w:cs="宋体"/>
                <w:szCs w:val="24"/>
              </w:rPr>
              <w:t>配置</w:t>
            </w:r>
            <w:r>
              <w:rPr>
                <w:rFonts w:ascii="宋体" w:hAnsi="宋体" w:cs="宋体"/>
                <w:szCs w:val="24"/>
              </w:rPr>
              <w:t>的</w:t>
            </w:r>
            <w:r>
              <w:rPr>
                <w:rFonts w:hint="eastAsia" w:ascii="宋体" w:hAnsi="宋体" w:cs="宋体"/>
                <w:szCs w:val="24"/>
              </w:rPr>
              <w:t>其他服务人员在</w:t>
            </w:r>
            <w:r>
              <w:rPr>
                <w:rFonts w:ascii="宋体" w:hAnsi="宋体" w:cs="宋体"/>
                <w:szCs w:val="24"/>
              </w:rPr>
              <w:t>6</w:t>
            </w:r>
            <w:r>
              <w:rPr>
                <w:rFonts w:hint="eastAsia" w:ascii="宋体" w:hAnsi="宋体" w:cs="宋体"/>
                <w:szCs w:val="24"/>
              </w:rPr>
              <w:t>人或以上的，得2分，</w:t>
            </w:r>
            <w:r>
              <w:rPr>
                <w:rFonts w:ascii="宋体" w:hAnsi="宋体" w:cs="宋体"/>
                <w:szCs w:val="24"/>
              </w:rPr>
              <w:t>6</w:t>
            </w:r>
            <w:r>
              <w:rPr>
                <w:rFonts w:hint="eastAsia" w:ascii="宋体" w:hAnsi="宋体" w:cs="宋体"/>
                <w:szCs w:val="24"/>
              </w:rPr>
              <w:t>人（不</w:t>
            </w:r>
            <w:r>
              <w:rPr>
                <w:rFonts w:ascii="宋体" w:hAnsi="宋体" w:cs="宋体"/>
                <w:szCs w:val="24"/>
              </w:rPr>
              <w:t>含</w:t>
            </w:r>
            <w:r>
              <w:rPr>
                <w:rFonts w:hint="eastAsia" w:ascii="宋体" w:hAnsi="宋体" w:cs="宋体"/>
                <w:szCs w:val="24"/>
              </w:rPr>
              <w:t>）以下不得分。（说明：</w:t>
            </w:r>
            <w:r>
              <w:rPr>
                <w:rFonts w:ascii="宋体" w:hAnsi="宋体" w:cs="宋体"/>
                <w:szCs w:val="24"/>
              </w:rPr>
              <w:t>①</w:t>
            </w:r>
            <w:r>
              <w:rPr>
                <w:rFonts w:hint="eastAsia" w:ascii="宋体" w:hAnsi="宋体" w:cs="宋体"/>
                <w:szCs w:val="24"/>
              </w:rPr>
              <w:t>提供人员在职证明材料；</w:t>
            </w:r>
            <w:r>
              <w:rPr>
                <w:rFonts w:ascii="宋体" w:hAnsi="宋体" w:cs="宋体"/>
                <w:szCs w:val="24"/>
              </w:rPr>
              <w:t>②</w:t>
            </w:r>
            <w:r>
              <w:rPr>
                <w:rFonts w:hint="eastAsia" w:ascii="宋体" w:hAnsi="宋体" w:cs="宋体"/>
                <w:szCs w:val="24"/>
              </w:rPr>
              <w:t>提供人员身份证复印件，加盖投标人公章；</w:t>
            </w:r>
            <w:r>
              <w:rPr>
                <w:rFonts w:ascii="宋体" w:hAnsi="宋体" w:cs="宋体"/>
                <w:szCs w:val="24"/>
              </w:rPr>
              <w:t>③</w:t>
            </w:r>
            <w:r>
              <w:rPr>
                <w:rFonts w:hint="eastAsia" w:ascii="宋体" w:hAnsi="宋体" w:cs="宋体"/>
                <w:szCs w:val="24"/>
              </w:rPr>
              <w:t>如投标人同时参与两个包件投标，则两个包件配置</w:t>
            </w:r>
            <w:r>
              <w:rPr>
                <w:rFonts w:ascii="宋体" w:hAnsi="宋体" w:cs="宋体"/>
                <w:szCs w:val="24"/>
              </w:rPr>
              <w:t>的</w:t>
            </w:r>
            <w:r>
              <w:rPr>
                <w:rFonts w:hint="eastAsia" w:ascii="宋体" w:hAnsi="宋体" w:cs="宋体"/>
                <w:szCs w:val="24"/>
              </w:rPr>
              <w:t>人员不得重复，否则，重复的人员在两个包件中均得0分。）</w:t>
            </w:r>
          </w:p>
          <w:p>
            <w:pPr>
              <w:pStyle w:val="2"/>
              <w:ind w:firstLine="0" w:firstLineChars="0"/>
              <w:rPr>
                <w:rFonts w:hint="eastAsia"/>
                <w:b/>
              </w:rPr>
            </w:pPr>
            <w:r>
              <w:rPr>
                <w:rFonts w:hint="eastAsia"/>
                <w:b/>
              </w:rPr>
              <w:t>注</w:t>
            </w:r>
            <w:r>
              <w:rPr>
                <w:b/>
              </w:rPr>
              <w:t>：上述</w:t>
            </w:r>
            <w:r>
              <w:rPr>
                <w:rFonts w:hint="eastAsia"/>
                <w:b/>
              </w:rPr>
              <w:t>1、2、3项</w:t>
            </w:r>
            <w:r>
              <w:rPr>
                <w:b/>
              </w:rPr>
              <w:t>人员不重复计分。</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75" w:type="dxa"/>
            <w:vMerge w:val="continue"/>
            <w:vAlign w:val="center"/>
          </w:tcPr>
          <w:p>
            <w:pPr>
              <w:widowControl/>
              <w:ind w:firstLine="0" w:firstLineChars="0"/>
              <w:rPr>
                <w:rFonts w:ascii="宋体" w:hAnsi="宋体" w:cs="宋体"/>
                <w:bCs/>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设备配置</w:t>
            </w:r>
          </w:p>
        </w:tc>
        <w:tc>
          <w:tcPr>
            <w:tcW w:w="5923" w:type="dxa"/>
            <w:vAlign w:val="center"/>
          </w:tcPr>
          <w:p>
            <w:pPr>
              <w:widowControl/>
              <w:ind w:firstLine="0" w:firstLineChars="0"/>
              <w:rPr>
                <w:rFonts w:ascii="宋体" w:hAnsi="宋体" w:cs="宋体"/>
                <w:szCs w:val="24"/>
              </w:rPr>
            </w:pPr>
            <w:r>
              <w:rPr>
                <w:rFonts w:hint="eastAsia" w:ascii="宋体" w:hAnsi="宋体" w:cs="宋体"/>
                <w:szCs w:val="24"/>
              </w:rPr>
              <w:t>投标人针对本项目配置有中型（或以上）密闭式运输车（载货汽车）的，每有1辆得3分，最多得12分。（说明：</w:t>
            </w:r>
            <w:r>
              <w:rPr>
                <w:rFonts w:ascii="宋体" w:hAnsi="宋体" w:cs="宋体"/>
                <w:szCs w:val="24"/>
              </w:rPr>
              <w:t>①</w:t>
            </w:r>
            <w:r>
              <w:rPr>
                <w:rFonts w:hint="eastAsia" w:ascii="宋体" w:hAnsi="宋体" w:cs="宋体"/>
                <w:kern w:val="0"/>
                <w:szCs w:val="24"/>
              </w:rPr>
              <w:t>提供购车发票（或租赁协议）和行驶证复印件</w:t>
            </w:r>
            <w:r>
              <w:rPr>
                <w:rFonts w:hint="eastAsia" w:ascii="宋体" w:hAnsi="宋体" w:cs="宋体"/>
                <w:szCs w:val="24"/>
              </w:rPr>
              <w:t>；</w:t>
            </w:r>
            <w:r>
              <w:rPr>
                <w:rFonts w:ascii="宋体" w:hAnsi="宋体" w:cs="宋体"/>
                <w:szCs w:val="24"/>
              </w:rPr>
              <w:t>②</w:t>
            </w:r>
            <w:r>
              <w:rPr>
                <w:rFonts w:hint="eastAsia" w:ascii="宋体" w:hAnsi="宋体" w:cs="宋体"/>
                <w:szCs w:val="24"/>
              </w:rPr>
              <w:t>如投标人同时参与两个包件投标，则两个包件配置</w:t>
            </w:r>
            <w:r>
              <w:rPr>
                <w:rFonts w:ascii="宋体" w:hAnsi="宋体" w:cs="宋体"/>
                <w:szCs w:val="24"/>
              </w:rPr>
              <w:t>的</w:t>
            </w:r>
            <w:r>
              <w:rPr>
                <w:rFonts w:hint="eastAsia" w:ascii="宋体" w:hAnsi="宋体" w:cs="宋体"/>
                <w:szCs w:val="24"/>
              </w:rPr>
              <w:t>车辆不得重复，否则，重复的车辆在两个包件中均得0分。）</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5" w:type="dxa"/>
            <w:vMerge w:val="continue"/>
            <w:vAlign w:val="center"/>
          </w:tcPr>
          <w:p>
            <w:pPr>
              <w:widowControl/>
              <w:ind w:firstLine="0" w:firstLineChars="0"/>
              <w:rPr>
                <w:rFonts w:ascii="宋体" w:hAnsi="宋体" w:cs="宋体"/>
                <w:bCs/>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处置场地情况</w:t>
            </w:r>
          </w:p>
        </w:tc>
        <w:tc>
          <w:tcPr>
            <w:tcW w:w="5923" w:type="dxa"/>
            <w:vAlign w:val="center"/>
          </w:tcPr>
          <w:p>
            <w:pPr>
              <w:ind w:firstLine="0" w:firstLineChars="0"/>
              <w:rPr>
                <w:rFonts w:ascii="宋体" w:hAnsi="宋体" w:cs="宋体"/>
                <w:szCs w:val="24"/>
              </w:rPr>
            </w:pPr>
            <w:r>
              <w:rPr>
                <w:rFonts w:hint="eastAsia" w:ascii="宋体" w:hAnsi="宋体" w:cs="宋体"/>
                <w:szCs w:val="24"/>
              </w:rPr>
              <w:t>投标人具有固定处置场地（自有或租用）的，得</w:t>
            </w:r>
            <w:r>
              <w:rPr>
                <w:rFonts w:ascii="宋体" w:hAnsi="宋体" w:cs="宋体"/>
                <w:szCs w:val="24"/>
              </w:rPr>
              <w:t>6</w:t>
            </w:r>
            <w:r>
              <w:rPr>
                <w:rFonts w:hint="eastAsia" w:ascii="宋体" w:hAnsi="宋体" w:cs="宋体"/>
                <w:szCs w:val="24"/>
              </w:rPr>
              <w:t>分；投标人没有固定处置场地但承诺中标后为本项目提供固定处置场地的，得3分。</w:t>
            </w:r>
          </w:p>
          <w:p>
            <w:pPr>
              <w:pStyle w:val="53"/>
              <w:spacing w:line="360" w:lineRule="auto"/>
              <w:rPr>
                <w:rFonts w:ascii="宋体" w:hAnsi="宋体" w:cs="宋体"/>
                <w:sz w:val="24"/>
                <w:szCs w:val="24"/>
              </w:rPr>
            </w:pPr>
            <w:r>
              <w:rPr>
                <w:rFonts w:hint="eastAsia" w:ascii="宋体" w:hAnsi="宋体" w:cs="宋体"/>
                <w:sz w:val="24"/>
                <w:szCs w:val="24"/>
              </w:rPr>
              <w:t>（说明：以国有土地使用证或土地租用（出让）协议为准，租用土地年限需在投标截止日期后1年或以上。投标人无场地的提供承诺函原件。）</w:t>
            </w:r>
          </w:p>
          <w:p>
            <w:pPr>
              <w:pStyle w:val="53"/>
              <w:spacing w:line="360" w:lineRule="auto"/>
              <w:rPr>
                <w:rFonts w:ascii="宋体" w:hAnsi="宋体" w:cs="宋体"/>
                <w:sz w:val="24"/>
                <w:szCs w:val="24"/>
              </w:rPr>
            </w:pPr>
            <w:r>
              <w:rPr>
                <w:rFonts w:hint="eastAsia" w:ascii="宋体" w:hAnsi="宋体" w:cs="宋体"/>
                <w:sz w:val="24"/>
                <w:szCs w:val="24"/>
              </w:rPr>
              <w:t>注：提供承诺函的中标人须在合同签订前向采购人提供固定处理场地国有土地使用证或土地租用（出让）协议，租用土地年限需在投标截止日期后1年或以上。否则，采购人有权不与其签订合同，并追究其相关责任。</w:t>
            </w:r>
          </w:p>
        </w:tc>
        <w:tc>
          <w:tcPr>
            <w:tcW w:w="850" w:type="dxa"/>
            <w:vAlign w:val="center"/>
          </w:tcPr>
          <w:p>
            <w:pPr>
              <w:widowControl/>
              <w:ind w:firstLine="0" w:firstLineChars="0"/>
              <w:rPr>
                <w:rFonts w:ascii="宋体" w:hAnsi="宋体" w:cs="宋体"/>
                <w:szCs w:val="24"/>
              </w:rPr>
            </w:pPr>
            <w:r>
              <w:rPr>
                <w:rFonts w:ascii="宋体" w:hAnsi="宋体" w:cs="宋体"/>
                <w:szCs w:val="24"/>
              </w:rPr>
              <w:t>6</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475" w:type="dxa"/>
            <w:vMerge w:val="continue"/>
            <w:vAlign w:val="center"/>
          </w:tcPr>
          <w:p>
            <w:pPr>
              <w:widowControl/>
              <w:ind w:firstLine="0" w:firstLineChars="0"/>
              <w:rPr>
                <w:rFonts w:ascii="宋体" w:hAnsi="宋体" w:cs="宋体"/>
                <w:bCs/>
                <w:szCs w:val="24"/>
              </w:rPr>
            </w:pPr>
          </w:p>
        </w:tc>
        <w:tc>
          <w:tcPr>
            <w:tcW w:w="1641" w:type="dxa"/>
            <w:vAlign w:val="center"/>
          </w:tcPr>
          <w:p>
            <w:pPr>
              <w:widowControl/>
              <w:ind w:firstLine="0" w:firstLineChars="0"/>
              <w:rPr>
                <w:rFonts w:ascii="宋体" w:hAnsi="宋体" w:cs="宋体"/>
                <w:szCs w:val="24"/>
              </w:rPr>
            </w:pPr>
            <w:r>
              <w:rPr>
                <w:rFonts w:hint="eastAsia" w:ascii="宋体" w:hAnsi="宋体" w:cs="宋体"/>
                <w:szCs w:val="24"/>
              </w:rPr>
              <w:t>投标文件的规范性</w:t>
            </w:r>
          </w:p>
        </w:tc>
        <w:tc>
          <w:tcPr>
            <w:tcW w:w="5923" w:type="dxa"/>
            <w:vAlign w:val="center"/>
          </w:tcPr>
          <w:p>
            <w:pPr>
              <w:widowControl/>
              <w:ind w:firstLine="0" w:firstLineChars="0"/>
              <w:rPr>
                <w:rFonts w:ascii="宋体" w:hAnsi="宋体" w:cs="宋体"/>
                <w:szCs w:val="24"/>
                <w:lang w:val="zh-TW" w:eastAsia="zh-TW"/>
              </w:rPr>
            </w:pPr>
            <w:r>
              <w:rPr>
                <w:rFonts w:hint="eastAsia" w:ascii="宋体" w:hAnsi="宋体" w:cs="宋体"/>
                <w:szCs w:val="24"/>
              </w:rPr>
              <w:t>投标文件制作规范，没有细微偏差情形的得1分；有一项细微偏差扣0.5分，直至该项分值扣完为止。</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475" w:type="dxa"/>
            <w:vMerge w:val="continue"/>
            <w:vAlign w:val="center"/>
          </w:tcPr>
          <w:p>
            <w:pPr>
              <w:widowControl/>
              <w:ind w:firstLine="0" w:firstLineChars="0"/>
              <w:jc w:val="center"/>
              <w:rPr>
                <w:rFonts w:ascii="宋体" w:hAnsi="宋体" w:cs="宋体"/>
                <w:bCs/>
                <w:szCs w:val="24"/>
              </w:rPr>
            </w:pPr>
          </w:p>
        </w:tc>
        <w:tc>
          <w:tcPr>
            <w:tcW w:w="1641" w:type="dxa"/>
            <w:vAlign w:val="center"/>
          </w:tcPr>
          <w:p>
            <w:pPr>
              <w:autoSpaceDE w:val="0"/>
              <w:autoSpaceDN w:val="0"/>
              <w:adjustRightInd w:val="0"/>
              <w:ind w:firstLine="0" w:firstLineChars="0"/>
              <w:rPr>
                <w:rFonts w:ascii="宋体" w:hAnsi="宋体" w:cs="宋体"/>
                <w:szCs w:val="24"/>
              </w:rPr>
            </w:pPr>
            <w:r>
              <w:rPr>
                <w:rFonts w:hint="eastAsia" w:ascii="宋体" w:hAnsi="宋体" w:cs="宋体"/>
                <w:szCs w:val="24"/>
              </w:rPr>
              <w:t>不发达地区和少数民族地区</w:t>
            </w:r>
          </w:p>
        </w:tc>
        <w:tc>
          <w:tcPr>
            <w:tcW w:w="5923" w:type="dxa"/>
          </w:tcPr>
          <w:p>
            <w:pPr>
              <w:ind w:firstLine="0" w:firstLineChars="0"/>
              <w:rPr>
                <w:rFonts w:ascii="宋体" w:hAnsi="宋体" w:cs="宋体"/>
                <w:szCs w:val="24"/>
              </w:rPr>
            </w:pPr>
            <w:r>
              <w:rPr>
                <w:rFonts w:hint="eastAsia" w:ascii="宋体" w:hAnsi="宋体" w:cs="宋体"/>
                <w:szCs w:val="24"/>
              </w:rPr>
              <w:t>投标人如为不发达地区或少数民族地区的，得1分。（说明：以投标人营业执照注册地为准。）</w:t>
            </w:r>
          </w:p>
        </w:tc>
        <w:tc>
          <w:tcPr>
            <w:tcW w:w="850" w:type="dxa"/>
            <w:vAlign w:val="center"/>
          </w:tcPr>
          <w:p>
            <w:pPr>
              <w:widowControl/>
              <w:ind w:firstLine="0" w:firstLineChars="0"/>
              <w:rPr>
                <w:rFonts w:ascii="宋体" w:hAnsi="宋体" w:cs="宋体"/>
                <w:szCs w:val="24"/>
              </w:rPr>
            </w:pPr>
            <w:r>
              <w:rPr>
                <w:rFonts w:hint="eastAsia" w:ascii="宋体" w:hAnsi="宋体" w:cs="宋体"/>
                <w:szCs w:val="24"/>
              </w:rPr>
              <w:t>1分</w:t>
            </w:r>
          </w:p>
        </w:tc>
      </w:tr>
    </w:tbl>
    <w:p>
      <w:pPr>
        <w:ind w:firstLine="494"/>
        <w:rPr>
          <w:rFonts w:ascii="宋体" w:hAnsi="宋体"/>
          <w:b/>
          <w:szCs w:val="24"/>
        </w:rPr>
      </w:pPr>
      <w:r>
        <w:rPr>
          <w:rFonts w:hint="eastAsia" w:ascii="宋体" w:hAnsi="宋体"/>
          <w:b/>
          <w:szCs w:val="24"/>
        </w:rPr>
        <w:t>说明：1、评分的取值按四舍五入法，保留小数点后两位；</w:t>
      </w:r>
    </w:p>
    <w:p>
      <w:pPr>
        <w:ind w:firstLine="494"/>
        <w:rPr>
          <w:rFonts w:ascii="宋体" w:hAnsi="宋体"/>
          <w:b/>
          <w:szCs w:val="24"/>
        </w:rPr>
      </w:pPr>
      <w:r>
        <w:rPr>
          <w:rFonts w:hint="eastAsia" w:ascii="宋体" w:hAnsi="宋体"/>
          <w:b/>
          <w:szCs w:val="24"/>
        </w:rPr>
        <w:t xml:space="preserve">  2、评分标准中要求提供复印件的证明材料须清晰可辨。</w:t>
      </w:r>
    </w:p>
    <w:p>
      <w:pPr>
        <w:pStyle w:val="4"/>
      </w:pPr>
      <w:bookmarkStart w:id="353" w:name="_Toc320624265"/>
      <w:bookmarkEnd w:id="353"/>
      <w:bookmarkStart w:id="354" w:name="_Toc320624260"/>
      <w:bookmarkEnd w:id="354"/>
      <w:bookmarkStart w:id="355" w:name="_Toc320624240"/>
      <w:bookmarkEnd w:id="355"/>
      <w:bookmarkStart w:id="356" w:name="_Toc320624255"/>
      <w:bookmarkEnd w:id="356"/>
      <w:bookmarkStart w:id="357" w:name="_Toc315871657"/>
      <w:bookmarkEnd w:id="357"/>
      <w:bookmarkStart w:id="358" w:name="_Toc315871725"/>
      <w:bookmarkEnd w:id="358"/>
      <w:bookmarkStart w:id="359" w:name="_Toc315871658"/>
      <w:bookmarkEnd w:id="359"/>
      <w:bookmarkStart w:id="360" w:name="_Toc320624290"/>
      <w:bookmarkEnd w:id="360"/>
      <w:bookmarkStart w:id="361" w:name="_Toc318206701"/>
      <w:bookmarkEnd w:id="361"/>
      <w:bookmarkStart w:id="362" w:name="_Toc315871656"/>
      <w:bookmarkEnd w:id="362"/>
      <w:bookmarkStart w:id="363" w:name="_Toc320624275"/>
      <w:bookmarkEnd w:id="363"/>
      <w:bookmarkStart w:id="364" w:name="_Toc320624295"/>
      <w:bookmarkEnd w:id="364"/>
      <w:bookmarkStart w:id="365" w:name="_Toc320624285"/>
      <w:bookmarkEnd w:id="365"/>
      <w:bookmarkStart w:id="366" w:name="_Toc320624280"/>
      <w:bookmarkEnd w:id="366"/>
      <w:bookmarkStart w:id="367" w:name="_Toc20130"/>
      <w:bookmarkStart w:id="368" w:name="_Toc316292258"/>
      <w:bookmarkStart w:id="369" w:name="_Toc9866"/>
      <w:bookmarkStart w:id="370" w:name="_Toc31256"/>
      <w:bookmarkStart w:id="371" w:name="_Toc315871726"/>
      <w:bookmarkStart w:id="372" w:name="_Toc19639"/>
      <w:bookmarkStart w:id="373" w:name="_Toc217446060"/>
      <w:r>
        <w:rPr>
          <w:rFonts w:hint="eastAsia"/>
        </w:rPr>
        <w:t>废标</w:t>
      </w:r>
      <w:bookmarkEnd w:id="367"/>
      <w:bookmarkEnd w:id="368"/>
      <w:bookmarkEnd w:id="369"/>
      <w:bookmarkEnd w:id="370"/>
      <w:bookmarkEnd w:id="371"/>
      <w:bookmarkEnd w:id="372"/>
    </w:p>
    <w:p>
      <w:pPr>
        <w:pStyle w:val="5"/>
        <w:ind w:left="322" w:firstLine="494" w:firstLineChars="0"/>
        <w:rPr>
          <w:color w:val="auto"/>
        </w:rPr>
      </w:pPr>
      <w:bookmarkStart w:id="374" w:name="_Toc22999"/>
      <w:r>
        <w:rPr>
          <w:rFonts w:hint="eastAsia"/>
          <w:color w:val="auto"/>
        </w:rPr>
        <w:t>本次政府采购活动中，各包出现下列情形之一的，该包件予以废标：</w:t>
      </w:r>
      <w:bookmarkEnd w:id="374"/>
    </w:p>
    <w:p>
      <w:pPr>
        <w:numPr>
          <w:ilvl w:val="0"/>
          <w:numId w:val="56"/>
        </w:numPr>
        <w:tabs>
          <w:tab w:val="left" w:pos="1155"/>
        </w:tabs>
        <w:ind w:left="0" w:firstLine="492"/>
        <w:rPr>
          <w:rFonts w:ascii="宋体" w:hAnsi="宋体"/>
          <w:szCs w:val="24"/>
        </w:rPr>
      </w:pPr>
      <w:r>
        <w:rPr>
          <w:rFonts w:hint="eastAsia" w:ascii="宋体" w:hAnsi="宋体"/>
          <w:szCs w:val="24"/>
        </w:rPr>
        <w:t>符合专业条件的供应商或者对招标文件作实质响应的供应商不足三家的；</w:t>
      </w:r>
    </w:p>
    <w:p>
      <w:pPr>
        <w:numPr>
          <w:ilvl w:val="0"/>
          <w:numId w:val="56"/>
        </w:numPr>
        <w:tabs>
          <w:tab w:val="left" w:pos="1155"/>
        </w:tabs>
        <w:ind w:left="0" w:firstLine="492"/>
        <w:rPr>
          <w:rFonts w:ascii="宋体" w:hAnsi="宋体"/>
          <w:szCs w:val="24"/>
        </w:rPr>
      </w:pPr>
      <w:r>
        <w:rPr>
          <w:rFonts w:hint="eastAsia" w:ascii="宋体" w:hAnsi="宋体"/>
          <w:szCs w:val="24"/>
        </w:rPr>
        <w:t>出现影响采购公正的违法、违规行为的；</w:t>
      </w:r>
    </w:p>
    <w:p>
      <w:pPr>
        <w:numPr>
          <w:ilvl w:val="0"/>
          <w:numId w:val="56"/>
        </w:numPr>
        <w:tabs>
          <w:tab w:val="left" w:pos="1155"/>
        </w:tabs>
        <w:ind w:left="0" w:firstLine="492"/>
      </w:pPr>
      <w:r>
        <w:rPr>
          <w:rFonts w:hint="eastAsia" w:ascii="宋体" w:hAnsi="宋体"/>
          <w:szCs w:val="24"/>
        </w:rPr>
        <w:t>投标人的报价均超过了采购预算，采购人不能支付；</w:t>
      </w:r>
    </w:p>
    <w:p>
      <w:pPr>
        <w:numPr>
          <w:ilvl w:val="0"/>
          <w:numId w:val="56"/>
        </w:numPr>
        <w:tabs>
          <w:tab w:val="left" w:pos="1155"/>
        </w:tabs>
        <w:ind w:left="0" w:firstLine="492"/>
        <w:rPr>
          <w:rFonts w:ascii="宋体" w:hAnsi="宋体"/>
          <w:szCs w:val="24"/>
        </w:rPr>
      </w:pPr>
      <w:r>
        <w:rPr>
          <w:rFonts w:hint="eastAsia" w:ascii="宋体" w:hAnsi="宋体"/>
          <w:szCs w:val="24"/>
        </w:rPr>
        <w:t>因重大变故，采购任务取消的。</w:t>
      </w:r>
    </w:p>
    <w:p>
      <w:pPr>
        <w:tabs>
          <w:tab w:val="left" w:pos="1155"/>
        </w:tabs>
        <w:ind w:firstLine="492"/>
        <w:rPr>
          <w:rFonts w:ascii="宋体" w:hAnsi="宋体"/>
          <w:szCs w:val="24"/>
        </w:rPr>
      </w:pPr>
      <w:r>
        <w:rPr>
          <w:rFonts w:hint="eastAsia" w:ascii="宋体" w:hAnsi="宋体"/>
          <w:szCs w:val="24"/>
        </w:rPr>
        <w:t>废标后，采购代理机构应在《四川政府采购网》上公告，并公告废标的情形。</w:t>
      </w:r>
    </w:p>
    <w:p>
      <w:pPr>
        <w:pStyle w:val="5"/>
        <w:ind w:left="322" w:firstLine="492" w:firstLineChars="0"/>
        <w:rPr>
          <w:b w:val="0"/>
          <w:bCs w:val="0"/>
          <w:color w:val="auto"/>
          <w:szCs w:val="24"/>
        </w:rPr>
      </w:pPr>
      <w:bookmarkStart w:id="375" w:name="_Toc7624"/>
      <w:r>
        <w:rPr>
          <w:rFonts w:hint="eastAsia"/>
          <w:b w:val="0"/>
          <w:bCs w:val="0"/>
          <w:color w:val="auto"/>
          <w:szCs w:val="24"/>
        </w:rPr>
        <w:t>对于评标过程中废标的采购项目，评标委员会应当对招标文件是否存在倾向性和歧视性、是否存在不合理条款进行论证，并出具书面论证意见。</w:t>
      </w:r>
      <w:bookmarkEnd w:id="375"/>
    </w:p>
    <w:p>
      <w:pPr>
        <w:pStyle w:val="4"/>
      </w:pPr>
      <w:bookmarkStart w:id="376" w:name="_Toc30388"/>
      <w:bookmarkStart w:id="377" w:name="_Toc4584"/>
      <w:bookmarkStart w:id="378" w:name="_Toc316292259"/>
      <w:bookmarkStart w:id="379" w:name="_Toc5196"/>
      <w:bookmarkStart w:id="380" w:name="_Toc5494"/>
      <w:bookmarkStart w:id="381" w:name="_Toc315871727"/>
      <w:r>
        <w:rPr>
          <w:rFonts w:hint="eastAsia"/>
        </w:rPr>
        <w:t>定标</w:t>
      </w:r>
      <w:bookmarkEnd w:id="373"/>
      <w:bookmarkEnd w:id="376"/>
      <w:bookmarkEnd w:id="377"/>
      <w:bookmarkEnd w:id="378"/>
      <w:bookmarkEnd w:id="379"/>
      <w:bookmarkEnd w:id="380"/>
      <w:bookmarkEnd w:id="381"/>
      <w:bookmarkStart w:id="382" w:name="_Toc217446061"/>
    </w:p>
    <w:p>
      <w:pPr>
        <w:pStyle w:val="5"/>
        <w:ind w:left="322" w:firstLine="494" w:firstLineChars="0"/>
        <w:rPr>
          <w:color w:val="auto"/>
          <w:szCs w:val="24"/>
        </w:rPr>
      </w:pPr>
      <w:bookmarkStart w:id="383" w:name="_Toc18262"/>
      <w:bookmarkStart w:id="384" w:name="_Toc316292260"/>
      <w:bookmarkStart w:id="385" w:name="_Toc315871728"/>
      <w:r>
        <w:rPr>
          <w:rFonts w:hint="eastAsia"/>
          <w:color w:val="auto"/>
          <w:szCs w:val="24"/>
        </w:rPr>
        <w:t>定标原则</w:t>
      </w:r>
      <w:bookmarkEnd w:id="382"/>
      <w:bookmarkEnd w:id="383"/>
      <w:bookmarkEnd w:id="384"/>
      <w:bookmarkEnd w:id="385"/>
    </w:p>
    <w:p>
      <w:pPr>
        <w:ind w:firstLine="492"/>
        <w:rPr>
          <w:rFonts w:ascii="宋体" w:hAnsi="宋体"/>
          <w:szCs w:val="24"/>
        </w:rPr>
      </w:pPr>
      <w:r>
        <w:rPr>
          <w:rFonts w:hint="eastAsia" w:ascii="宋体" w:hAnsi="宋体"/>
          <w:szCs w:val="24"/>
        </w:rPr>
        <w:t>本项目根据评标委员会推荐的中标候选人名单，各包按顺序确定中标人。</w:t>
      </w:r>
    </w:p>
    <w:p>
      <w:pPr>
        <w:pStyle w:val="5"/>
        <w:ind w:left="322" w:firstLine="494" w:firstLineChars="0"/>
        <w:rPr>
          <w:color w:val="auto"/>
          <w:szCs w:val="24"/>
        </w:rPr>
      </w:pPr>
      <w:bookmarkStart w:id="386" w:name="_Toc316292261"/>
      <w:bookmarkStart w:id="387" w:name="_Toc31914"/>
      <w:bookmarkStart w:id="388" w:name="_Toc217446062"/>
      <w:bookmarkStart w:id="389" w:name="_Toc315871729"/>
      <w:r>
        <w:rPr>
          <w:rFonts w:hint="eastAsia"/>
          <w:color w:val="auto"/>
          <w:szCs w:val="24"/>
        </w:rPr>
        <w:t>定标程序</w:t>
      </w:r>
      <w:bookmarkEnd w:id="386"/>
      <w:bookmarkEnd w:id="387"/>
      <w:bookmarkEnd w:id="388"/>
      <w:bookmarkEnd w:id="389"/>
    </w:p>
    <w:bookmarkEnd w:id="317"/>
    <w:p>
      <w:pPr>
        <w:ind w:firstLine="492"/>
        <w:rPr>
          <w:rFonts w:ascii="宋体" w:hAnsi="宋体"/>
          <w:kern w:val="0"/>
          <w:szCs w:val="24"/>
        </w:rPr>
      </w:pPr>
      <w:bookmarkStart w:id="390" w:name="_Toc316292262"/>
      <w:bookmarkStart w:id="391" w:name="_Toc315871730"/>
      <w:r>
        <w:rPr>
          <w:rFonts w:hint="eastAsia" w:ascii="宋体" w:hAnsi="宋体"/>
          <w:kern w:val="0"/>
          <w:szCs w:val="24"/>
        </w:rPr>
        <w:t>一、评审委员会根据评审情况写出书面报告，推荐中标候选供应商。</w:t>
      </w:r>
    </w:p>
    <w:p>
      <w:pPr>
        <w:ind w:firstLine="492"/>
        <w:rPr>
          <w:rFonts w:ascii="宋体" w:hAnsi="宋体"/>
          <w:kern w:val="0"/>
          <w:szCs w:val="24"/>
        </w:rPr>
      </w:pPr>
      <w:r>
        <w:rPr>
          <w:rFonts w:hint="eastAsia" w:ascii="宋体" w:hAnsi="宋体"/>
          <w:kern w:val="0"/>
          <w:szCs w:val="24"/>
        </w:rPr>
        <w:t>二、采购代理机构在评标结束后2个工作日内将评标报告送采购人。</w:t>
      </w:r>
    </w:p>
    <w:p>
      <w:pPr>
        <w:ind w:firstLine="492"/>
        <w:rPr>
          <w:rFonts w:ascii="宋体" w:hAnsi="宋体"/>
          <w:kern w:val="0"/>
          <w:szCs w:val="24"/>
        </w:rPr>
      </w:pPr>
      <w:r>
        <w:rPr>
          <w:rFonts w:hint="eastAsia" w:ascii="宋体" w:hAnsi="宋体"/>
          <w:kern w:val="0"/>
          <w:szCs w:val="24"/>
        </w:rPr>
        <w:t>三、采购人在收到评审报告后5个工作日内，按照评审报告中推荐的中标候选人顺序确定中标人。如果中标候选人及其现任法定代表人、主要负责人存在行贿犯罪记录，采购人不确定其为中标人。</w:t>
      </w:r>
    </w:p>
    <w:p>
      <w:pPr>
        <w:pStyle w:val="2"/>
        <w:spacing w:line="360" w:lineRule="auto"/>
        <w:ind w:firstLine="494"/>
        <w:rPr>
          <w:rFonts w:ascii="宋体" w:hAnsi="宋体" w:cs="宋体"/>
          <w:b/>
          <w:szCs w:val="24"/>
        </w:rPr>
      </w:pPr>
      <w:r>
        <w:rPr>
          <w:rFonts w:hint="eastAsia" w:ascii="宋体" w:hAnsi="宋体" w:cs="宋体"/>
          <w:b/>
          <w:szCs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ind w:firstLine="492"/>
        <w:rPr>
          <w:rFonts w:ascii="宋体" w:hAnsi="宋体"/>
          <w:kern w:val="0"/>
          <w:szCs w:val="24"/>
        </w:rPr>
      </w:pPr>
      <w:r>
        <w:rPr>
          <w:rFonts w:hint="eastAsia" w:ascii="宋体" w:hAnsi="宋体"/>
          <w:kern w:val="0"/>
          <w:szCs w:val="24"/>
        </w:rPr>
        <w:t>四、根据采购人确定的中标供应商，采购代理机构自采购人确定中标之日起2个工作日内在《四川政府采购网》上发布中标公告，同时向中标供应商发出中标通知书。</w:t>
      </w:r>
    </w:p>
    <w:p>
      <w:pPr>
        <w:ind w:firstLine="492"/>
        <w:rPr>
          <w:rFonts w:ascii="宋体" w:hAnsi="宋体"/>
          <w:kern w:val="0"/>
          <w:szCs w:val="24"/>
        </w:rPr>
      </w:pPr>
      <w:r>
        <w:rPr>
          <w:rFonts w:hint="eastAsia" w:ascii="宋体" w:hAnsi="宋体"/>
          <w:kern w:val="0"/>
          <w:szCs w:val="24"/>
        </w:rPr>
        <w:t>五、招标采购单位不退回投标文件和其他投标资料。</w:t>
      </w:r>
    </w:p>
    <w:p>
      <w:pPr>
        <w:pStyle w:val="4"/>
        <w:pageBreakBefore w:val="0"/>
        <w:widowControl w:val="0"/>
        <w:kinsoku/>
        <w:wordWrap/>
        <w:overflowPunct/>
        <w:topLinePunct w:val="0"/>
        <w:autoSpaceDE/>
        <w:autoSpaceDN/>
        <w:bidi w:val="0"/>
        <w:adjustRightInd/>
        <w:snapToGrid/>
        <w:spacing w:line="440" w:lineRule="exact"/>
        <w:textAlignment w:val="auto"/>
      </w:pPr>
      <w:bookmarkStart w:id="392" w:name="_Toc13800"/>
      <w:bookmarkStart w:id="393" w:name="_Toc27727"/>
      <w:bookmarkStart w:id="394" w:name="_Toc355"/>
      <w:bookmarkStart w:id="395" w:name="_Toc31430"/>
      <w:r>
        <w:rPr>
          <w:rFonts w:hint="eastAsia"/>
        </w:rPr>
        <w:t>评标专家在政府采购活动中承担以下义务</w:t>
      </w:r>
      <w:bookmarkEnd w:id="390"/>
      <w:bookmarkEnd w:id="391"/>
      <w:bookmarkEnd w:id="392"/>
      <w:bookmarkEnd w:id="393"/>
      <w:bookmarkEnd w:id="394"/>
      <w:bookmarkEnd w:id="395"/>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bookmarkStart w:id="396" w:name="_Toc26972"/>
      <w:bookmarkStart w:id="397" w:name="_Toc315871731"/>
      <w:bookmarkStart w:id="398" w:name="_Toc4999"/>
      <w:bookmarkStart w:id="399" w:name="_Toc316292263"/>
      <w:r>
        <w:rPr>
          <w:rFonts w:hint="eastAsia" w:ascii="宋体"/>
        </w:rPr>
        <w:t xml:space="preserve">遵守评审工作纪律； </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按照客观、公正、审慎的原则，根据采购文件规定的评审程序、评审方法和评审标准进行独立评审；</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不得泄露评审文件、评审情况和在评审过程中获悉的商业秘密；</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及时向监督部门报告评审过程中采购组织单位向评审专家做倾向性、误导性的解释或者说明，供应商行贿、提供虚假材料或者串通、受到的非法干预情况等违法违规行为；</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发现采购文件内容违反国家有关强制性规定或者存在歧义、重大缺陷导致评审工作无法进行时，停止评审并向采购组织单位书面说明情况；</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配合答复处理供应商的询问、质疑和投诉等事项；</w:t>
      </w:r>
    </w:p>
    <w:p>
      <w:pPr>
        <w:pageBreakBefore w:val="0"/>
        <w:widowControl w:val="0"/>
        <w:numPr>
          <w:ilvl w:val="0"/>
          <w:numId w:val="57"/>
        </w:numPr>
        <w:kinsoku/>
        <w:wordWrap/>
        <w:overflowPunct/>
        <w:topLinePunct w:val="0"/>
        <w:autoSpaceDE/>
        <w:autoSpaceDN/>
        <w:bidi w:val="0"/>
        <w:adjustRightInd/>
        <w:snapToGrid/>
        <w:spacing w:line="440" w:lineRule="exact"/>
        <w:ind w:firstLineChars="0"/>
        <w:textAlignment w:val="auto"/>
        <w:rPr>
          <w:rFonts w:ascii="宋体"/>
        </w:rPr>
      </w:pPr>
      <w:r>
        <w:rPr>
          <w:rFonts w:hint="eastAsia" w:ascii="宋体"/>
        </w:rPr>
        <w:t>法律、法规和规章规定的其他义务。</w:t>
      </w:r>
    </w:p>
    <w:p>
      <w:pPr>
        <w:pStyle w:val="4"/>
        <w:pageBreakBefore w:val="0"/>
        <w:widowControl w:val="0"/>
        <w:kinsoku/>
        <w:wordWrap/>
        <w:overflowPunct/>
        <w:topLinePunct w:val="0"/>
        <w:autoSpaceDE/>
        <w:autoSpaceDN/>
        <w:bidi w:val="0"/>
        <w:adjustRightInd/>
        <w:snapToGrid/>
        <w:spacing w:line="440" w:lineRule="exact"/>
        <w:textAlignment w:val="auto"/>
      </w:pPr>
      <w:bookmarkStart w:id="400" w:name="_Toc15759"/>
      <w:bookmarkStart w:id="401" w:name="_Toc19616"/>
      <w:r>
        <w:rPr>
          <w:rFonts w:hint="eastAsia"/>
        </w:rPr>
        <w:t>评审专家在政府采购活动中应当遵守以下工作纪律</w:t>
      </w:r>
      <w:bookmarkEnd w:id="396"/>
      <w:bookmarkEnd w:id="397"/>
      <w:bookmarkEnd w:id="398"/>
      <w:bookmarkEnd w:id="399"/>
      <w:bookmarkEnd w:id="400"/>
      <w:bookmarkEnd w:id="401"/>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遵行《</w:t>
      </w:r>
      <w:r>
        <w:rPr>
          <w:rFonts w:hint="eastAsia" w:ascii="宋体" w:hAnsi="宋体"/>
          <w:szCs w:val="24"/>
          <w:lang w:eastAsia="zh-CN"/>
        </w:rPr>
        <w:t>中华人民共和国政府采购法</w:t>
      </w:r>
      <w:r>
        <w:rPr>
          <w:rFonts w:hint="eastAsia" w:ascii="宋体" w:hAnsi="宋体"/>
          <w:szCs w:val="24"/>
        </w:rPr>
        <w:t>》第十二条和《</w:t>
      </w:r>
      <w:r>
        <w:rPr>
          <w:rFonts w:hint="eastAsia" w:ascii="宋体" w:hAnsi="宋体"/>
          <w:szCs w:val="24"/>
          <w:lang w:eastAsia="zh-CN"/>
        </w:rPr>
        <w:t>中华人民共和国</w:t>
      </w:r>
      <w:r>
        <w:rPr>
          <w:rFonts w:hint="eastAsia" w:ascii="宋体" w:hAnsi="宋体"/>
          <w:szCs w:val="24"/>
        </w:rPr>
        <w:t>政府采购法实施条例》第九条及财政部关于回避的规定。</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评标前，应当将通讯工具或者相关电子设备交由招标采购单位统一保管。</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评标过程中，不得与外界联系，因发生不可预见情况，确实需要与外界联系的，应当在监督人员监督之下办理。</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在评标过程中和评标结束后，不得记录、复制或带走任何评标资料，除因规定的义务外，不得向外界透露评标内容。</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服从评标现场招标采购单位的现场秩序管理，接受评标现场监督人员的合法监督。</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Cs w:val="24"/>
        </w:rPr>
      </w:pPr>
      <w:r>
        <w:rPr>
          <w:rFonts w:hint="eastAsia" w:ascii="宋体" w:hAnsi="宋体"/>
          <w:szCs w:val="24"/>
        </w:rPr>
        <w:t>遵守有关廉洁自律规定，不得私下接触供应商，不得收受供应商及有关业务单位和个人的财物或好处，不得接受采购组织单位的请托。</w:t>
      </w:r>
    </w:p>
    <w:p>
      <w:pPr>
        <w:pageBreakBefore w:val="0"/>
        <w:widowControl w:val="0"/>
        <w:numPr>
          <w:ilvl w:val="0"/>
          <w:numId w:val="58"/>
        </w:numPr>
        <w:tabs>
          <w:tab w:val="left" w:pos="1155"/>
        </w:tabs>
        <w:kinsoku/>
        <w:wordWrap/>
        <w:overflowPunct/>
        <w:topLinePunct w:val="0"/>
        <w:autoSpaceDE/>
        <w:autoSpaceDN/>
        <w:bidi w:val="0"/>
        <w:adjustRightInd/>
        <w:snapToGrid/>
        <w:spacing w:line="440" w:lineRule="exact"/>
        <w:ind w:firstLine="492"/>
        <w:textAlignment w:val="auto"/>
        <w:rPr>
          <w:rFonts w:ascii="宋体" w:hAnsi="宋体"/>
          <w:sz w:val="28"/>
          <w:szCs w:val="28"/>
        </w:rPr>
      </w:pPr>
      <w:r>
        <w:rPr>
          <w:rFonts w:hint="eastAsia" w:ascii="宋体" w:hAnsi="宋体"/>
          <w:szCs w:val="24"/>
        </w:rPr>
        <w:t>遵守有关部门（机构）制定的其他评审工作纪律。</w:t>
      </w:r>
    </w:p>
    <w:p>
      <w:pPr>
        <w:pStyle w:val="3"/>
      </w:pPr>
      <w:bookmarkStart w:id="402" w:name="_Toc22856"/>
      <w:bookmarkStart w:id="403" w:name="_Toc26312"/>
      <w:r>
        <w:rPr>
          <w:rFonts w:hint="eastAsia"/>
        </w:rPr>
        <w:br w:type="page"/>
      </w:r>
      <w:bookmarkStart w:id="404" w:name="_Toc8514"/>
      <w:bookmarkStart w:id="405" w:name="_Toc20947"/>
      <w:r>
        <w:rPr>
          <w:rFonts w:hint="eastAsia"/>
        </w:rPr>
        <w:t>政府采购合同</w:t>
      </w:r>
      <w:bookmarkEnd w:id="404"/>
      <w:bookmarkEnd w:id="405"/>
    </w:p>
    <w:p>
      <w:pPr>
        <w:ind w:firstLine="492"/>
      </w:pPr>
      <w:r>
        <w:rPr>
          <w:rFonts w:hint="eastAsia"/>
        </w:rPr>
        <w:t>（仅供参考，特别提醒：采购合同的签订不得偏离招标文件要约及投标文件承诺的实质性内容）</w:t>
      </w:r>
    </w:p>
    <w:p>
      <w:pPr>
        <w:spacing w:line="440" w:lineRule="exact"/>
        <w:ind w:firstLine="492"/>
        <w:rPr>
          <w:rFonts w:ascii="宋体" w:hAnsi="宋体"/>
        </w:rPr>
      </w:pPr>
      <w:r>
        <w:rPr>
          <w:rFonts w:hint="eastAsia" w:ascii="宋体" w:hAnsi="宋体"/>
        </w:rPr>
        <w:t>政府采购</w:t>
      </w:r>
      <w:r>
        <w:rPr>
          <w:rFonts w:ascii="宋体" w:hAnsi="宋体"/>
        </w:rPr>
        <w:t>合同编号：</w:t>
      </w:r>
      <w:r>
        <w:rPr>
          <w:rFonts w:hint="eastAsia" w:ascii="宋体" w:hAnsi="宋体"/>
          <w:szCs w:val="21"/>
        </w:rPr>
        <w:t>XXXX。</w:t>
      </w:r>
    </w:p>
    <w:p>
      <w:pPr>
        <w:spacing w:line="440" w:lineRule="exact"/>
        <w:ind w:firstLine="492"/>
        <w:rPr>
          <w:rFonts w:ascii="宋体" w:hAnsi="宋体"/>
        </w:rPr>
      </w:pPr>
      <w:r>
        <w:rPr>
          <w:rFonts w:ascii="宋体" w:hAnsi="宋体"/>
        </w:rPr>
        <w:t>签订地点：</w:t>
      </w:r>
      <w:r>
        <w:rPr>
          <w:rFonts w:hint="eastAsia" w:ascii="宋体" w:hAnsi="宋体"/>
          <w:szCs w:val="21"/>
        </w:rPr>
        <w:t>XXXX。</w:t>
      </w:r>
    </w:p>
    <w:p>
      <w:pPr>
        <w:spacing w:line="440" w:lineRule="exact"/>
        <w:ind w:firstLine="492"/>
        <w:rPr>
          <w:rFonts w:ascii="宋体" w:hAnsi="宋体"/>
        </w:rPr>
      </w:pPr>
      <w:r>
        <w:rPr>
          <w:rFonts w:ascii="宋体" w:hAnsi="宋体"/>
        </w:rPr>
        <w:t>签订时间：</w:t>
      </w:r>
      <w:r>
        <w:rPr>
          <w:rFonts w:hint="eastAsia" w:ascii="宋体" w:hAnsi="宋体"/>
          <w:szCs w:val="21"/>
        </w:rPr>
        <w:t>XXXX</w:t>
      </w:r>
      <w:r>
        <w:rPr>
          <w:rFonts w:ascii="宋体" w:hAnsi="宋体"/>
        </w:rPr>
        <w:t>年</w:t>
      </w:r>
      <w:r>
        <w:rPr>
          <w:rFonts w:hint="eastAsia" w:ascii="宋体" w:hAnsi="宋体"/>
          <w:szCs w:val="21"/>
        </w:rPr>
        <w:t>XX</w:t>
      </w:r>
      <w:r>
        <w:rPr>
          <w:rFonts w:ascii="宋体" w:hAnsi="宋体"/>
        </w:rPr>
        <w:t>月</w:t>
      </w:r>
      <w:r>
        <w:rPr>
          <w:rFonts w:hint="eastAsia" w:ascii="宋体" w:hAnsi="宋体"/>
          <w:szCs w:val="21"/>
        </w:rPr>
        <w:t>XX</w:t>
      </w:r>
      <w:r>
        <w:rPr>
          <w:rFonts w:ascii="宋体" w:hAnsi="宋体"/>
        </w:rPr>
        <w:t>日</w:t>
      </w:r>
      <w:r>
        <w:rPr>
          <w:rFonts w:hint="eastAsia" w:ascii="宋体" w:hAnsi="宋体"/>
        </w:rPr>
        <w:t>。</w:t>
      </w:r>
    </w:p>
    <w:p>
      <w:pPr>
        <w:spacing w:line="440" w:lineRule="exact"/>
        <w:ind w:firstLine="492"/>
        <w:rPr>
          <w:rFonts w:ascii="宋体" w:hAnsi="宋体"/>
        </w:rPr>
      </w:pPr>
      <w:r>
        <w:rPr>
          <w:rFonts w:hint="eastAsia" w:ascii="宋体" w:hAnsi="宋体"/>
        </w:rPr>
        <w:t>采购人（</w:t>
      </w:r>
      <w:r>
        <w:rPr>
          <w:rFonts w:ascii="宋体" w:hAnsi="宋体"/>
        </w:rPr>
        <w:t>甲方</w:t>
      </w:r>
      <w:r>
        <w:rPr>
          <w:rFonts w:hint="eastAsia" w:ascii="宋体" w:hAnsi="宋体"/>
        </w:rPr>
        <w:t>）</w:t>
      </w:r>
      <w:r>
        <w:rPr>
          <w:rFonts w:ascii="宋体" w:hAnsi="宋体"/>
        </w:rPr>
        <w:t>：</w:t>
      </w:r>
      <w:r>
        <w:rPr>
          <w:rFonts w:ascii="宋体" w:hAnsi="宋体"/>
          <w:u w:val="single"/>
        </w:rPr>
        <w:t xml:space="preserve">                              </w:t>
      </w:r>
    </w:p>
    <w:p>
      <w:pPr>
        <w:spacing w:line="440" w:lineRule="exact"/>
        <w:ind w:firstLine="492"/>
        <w:rPr>
          <w:rFonts w:ascii="宋体" w:hAnsi="宋体"/>
          <w:u w:val="single"/>
        </w:rPr>
      </w:pPr>
      <w:r>
        <w:rPr>
          <w:rFonts w:hint="eastAsia" w:ascii="宋体" w:hAnsi="宋体"/>
        </w:rPr>
        <w:t>供应商（乙</w:t>
      </w:r>
      <w:r>
        <w:rPr>
          <w:rFonts w:ascii="宋体" w:hAnsi="宋体"/>
        </w:rPr>
        <w:t>方</w:t>
      </w:r>
      <w:r>
        <w:rPr>
          <w:rFonts w:hint="eastAsia" w:ascii="宋体" w:hAnsi="宋体"/>
        </w:rPr>
        <w:t>）</w:t>
      </w:r>
      <w:r>
        <w:rPr>
          <w:rFonts w:ascii="宋体" w:hAnsi="宋体"/>
        </w:rPr>
        <w:t>：</w:t>
      </w:r>
      <w:r>
        <w:rPr>
          <w:rFonts w:ascii="宋体" w:hAnsi="宋体"/>
          <w:u w:val="single"/>
        </w:rPr>
        <w:t xml:space="preserve">                              </w:t>
      </w:r>
    </w:p>
    <w:p>
      <w:pPr>
        <w:spacing w:line="440" w:lineRule="exact"/>
        <w:ind w:firstLine="492"/>
        <w:rPr>
          <w:rFonts w:ascii="宋体" w:hAnsi="宋体"/>
        </w:rPr>
      </w:pPr>
    </w:p>
    <w:p>
      <w:pPr>
        <w:spacing w:line="440" w:lineRule="exact"/>
        <w:ind w:firstLine="492"/>
        <w:rPr>
          <w:rFonts w:ascii="宋体" w:hAnsi="宋体"/>
        </w:rPr>
      </w:pPr>
      <w:r>
        <w:rPr>
          <w:rFonts w:ascii="宋体" w:hAnsi="宋体"/>
        </w:rPr>
        <w:t>依据《中华人民共和国</w:t>
      </w:r>
      <w:r>
        <w:rPr>
          <w:rFonts w:hint="eastAsia" w:ascii="宋体" w:hAnsi="宋体"/>
        </w:rPr>
        <w:t>民法典</w:t>
      </w:r>
      <w:r>
        <w:rPr>
          <w:rFonts w:ascii="宋体" w:hAnsi="宋体"/>
        </w:rPr>
        <w:t>》、《中华人民共和国政府采购法》</w:t>
      </w:r>
      <w:r>
        <w:rPr>
          <w:rFonts w:hint="eastAsia" w:ascii="宋体" w:hAnsi="宋体"/>
        </w:rPr>
        <w:t>与项目行业有关的法律法规，以及xx采购项目  （项目编号：</w:t>
      </w:r>
      <w:r>
        <w:rPr>
          <w:rFonts w:hint="eastAsia" w:ascii="宋体" w:hAnsi="宋体"/>
          <w:szCs w:val="21"/>
        </w:rPr>
        <w:t>XXXX</w:t>
      </w:r>
      <w:r>
        <w:rPr>
          <w:rFonts w:hint="eastAsia" w:ascii="宋体" w:hAnsi="宋体"/>
        </w:rPr>
        <w:t>）</w:t>
      </w:r>
      <w:r>
        <w:rPr>
          <w:rFonts w:ascii="宋体" w:hAnsi="宋体"/>
        </w:rPr>
        <w:t>的</w:t>
      </w:r>
      <w:r>
        <w:rPr>
          <w:rFonts w:hint="eastAsia" w:ascii="宋体" w:hAnsi="宋体"/>
        </w:rPr>
        <w:t>《招标文件》</w:t>
      </w:r>
      <w:r>
        <w:rPr>
          <w:rFonts w:ascii="宋体" w:hAnsi="宋体"/>
        </w:rPr>
        <w:t>，</w:t>
      </w:r>
      <w:r>
        <w:rPr>
          <w:rFonts w:hint="eastAsia" w:ascii="宋体" w:hAnsi="宋体"/>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rPr>
        <w:t xml:space="preserve"> </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项目基本情况</w:t>
      </w:r>
    </w:p>
    <w:p>
      <w:pPr>
        <w:pStyle w:val="52"/>
        <w:ind w:firstLine="494"/>
      </w:pP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合同期限</w:t>
      </w:r>
    </w:p>
    <w:p>
      <w:pPr>
        <w:spacing w:line="440" w:lineRule="exact"/>
        <w:ind w:firstLine="492"/>
        <w:rPr>
          <w:rFonts w:ascii="宋体" w:hAnsi="宋体"/>
        </w:rPr>
      </w:pPr>
    </w:p>
    <w:p>
      <w:pPr>
        <w:numPr>
          <w:ilvl w:val="0"/>
          <w:numId w:val="59"/>
        </w:numPr>
        <w:tabs>
          <w:tab w:val="left" w:pos="0"/>
          <w:tab w:val="clear" w:pos="1521"/>
        </w:tabs>
        <w:spacing w:line="440" w:lineRule="exact"/>
        <w:ind w:left="0" w:firstLine="0" w:firstLineChars="0"/>
        <w:rPr>
          <w:rFonts w:ascii="宋体" w:hAnsi="宋体"/>
          <w:b/>
        </w:rPr>
      </w:pPr>
      <w:bookmarkStart w:id="406" w:name="_Toc241833903"/>
      <w:bookmarkStart w:id="407" w:name="_Toc211911348"/>
      <w:bookmarkStart w:id="408" w:name="_Toc212019594"/>
      <w:bookmarkStart w:id="409" w:name="_Toc247334841"/>
      <w:bookmarkStart w:id="410" w:name="_Toc237145406"/>
      <w:bookmarkStart w:id="411" w:name="_Toc286993786"/>
      <w:bookmarkStart w:id="412" w:name="_Toc239568418"/>
      <w:bookmarkStart w:id="413" w:name="_Toc211854449"/>
      <w:bookmarkStart w:id="414" w:name="_Toc251768862"/>
      <w:bookmarkStart w:id="415" w:name="_Toc283019214"/>
      <w:bookmarkStart w:id="416" w:name="_Toc225244852"/>
      <w:bookmarkStart w:id="417" w:name="_Toc282696226"/>
      <w:bookmarkStart w:id="418" w:name="_Toc225670751"/>
      <w:bookmarkStart w:id="419" w:name="_Toc232492928"/>
      <w:bookmarkStart w:id="420" w:name="_Toc238984975"/>
      <w:bookmarkStart w:id="421" w:name="_Toc185395249"/>
      <w:bookmarkStart w:id="422" w:name="_Toc239233914"/>
      <w:bookmarkStart w:id="423" w:name="_Toc225654644"/>
      <w:r>
        <w:rPr>
          <w:rFonts w:hint="eastAsia" w:ascii="宋体" w:hAnsi="宋体"/>
          <w:b/>
        </w:rPr>
        <w:t>服务内容与质量标准</w:t>
      </w:r>
    </w:p>
    <w:p>
      <w:pPr>
        <w:spacing w:line="440" w:lineRule="exact"/>
        <w:ind w:left="567" w:firstLine="492"/>
        <w:rPr>
          <w:rFonts w:ascii="宋体" w:hAnsi="宋体"/>
        </w:rPr>
      </w:pPr>
      <w:r>
        <w:rPr>
          <w:rFonts w:hint="eastAsia" w:ascii="宋体" w:hAnsi="宋体"/>
        </w:rPr>
        <w:t>1、</w:t>
      </w:r>
      <w:r>
        <w:rPr>
          <w:rFonts w:hint="eastAsia" w:ascii="宋体" w:hAnsi="宋体"/>
          <w:szCs w:val="21"/>
        </w:rPr>
        <w:t>XXXX；</w:t>
      </w:r>
    </w:p>
    <w:p>
      <w:pPr>
        <w:spacing w:line="440" w:lineRule="exact"/>
        <w:ind w:left="567" w:firstLine="492"/>
        <w:rPr>
          <w:rFonts w:ascii="宋体" w:hAnsi="宋体"/>
        </w:rPr>
      </w:pPr>
      <w:r>
        <w:rPr>
          <w:rFonts w:hint="eastAsia" w:ascii="宋体" w:hAnsi="宋体"/>
        </w:rPr>
        <w:t>2、</w:t>
      </w:r>
      <w:r>
        <w:rPr>
          <w:rFonts w:hint="eastAsia" w:ascii="宋体" w:hAnsi="宋体"/>
          <w:szCs w:val="21"/>
        </w:rPr>
        <w:t>XXXX；</w:t>
      </w:r>
    </w:p>
    <w:p>
      <w:pPr>
        <w:spacing w:line="440" w:lineRule="exact"/>
        <w:ind w:left="567" w:firstLine="492"/>
        <w:rPr>
          <w:rFonts w:ascii="宋体" w:hAnsi="宋体"/>
        </w:rPr>
      </w:pPr>
      <w:r>
        <w:rPr>
          <w:rFonts w:hint="eastAsia" w:ascii="宋体" w:hAnsi="宋体"/>
        </w:rPr>
        <w:t>3、</w:t>
      </w:r>
      <w:r>
        <w:rPr>
          <w:rFonts w:hint="eastAsia" w:ascii="宋体" w:hAnsi="宋体"/>
          <w:szCs w:val="21"/>
        </w:rPr>
        <w:t>XXXX．</w:t>
      </w:r>
    </w:p>
    <w:p>
      <w:pPr>
        <w:spacing w:line="440" w:lineRule="exact"/>
        <w:ind w:firstLine="492"/>
        <w:rPr>
          <w:rFonts w:ascii="宋体" w:hAnsi="宋体"/>
        </w:rPr>
      </w:pPr>
      <w:r>
        <w:rPr>
          <w:rFonts w:ascii="宋体" w:hAnsi="宋体"/>
        </w:rPr>
        <w:t>…</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服务费用及支付方式</w:t>
      </w:r>
    </w:p>
    <w:p>
      <w:pPr>
        <w:numPr>
          <w:ilvl w:val="0"/>
          <w:numId w:val="60"/>
        </w:numPr>
        <w:spacing w:line="440" w:lineRule="exact"/>
        <w:ind w:left="0" w:firstLine="494"/>
        <w:rPr>
          <w:rFonts w:ascii="宋体" w:hAnsi="宋体"/>
          <w:b/>
        </w:rPr>
      </w:pPr>
      <w:r>
        <w:rPr>
          <w:rFonts w:hint="eastAsia" w:ascii="宋体" w:hAnsi="宋体"/>
          <w:b/>
        </w:rPr>
        <w:t>本项目服务费用由以下组成：</w:t>
      </w:r>
    </w:p>
    <w:p>
      <w:pPr>
        <w:spacing w:line="440" w:lineRule="exact"/>
        <w:ind w:firstLine="492"/>
        <w:rPr>
          <w:rFonts w:ascii="宋体" w:hAnsi="宋体"/>
        </w:rPr>
      </w:pPr>
      <w:r>
        <w:rPr>
          <w:rFonts w:hint="eastAsia" w:ascii="宋体" w:hAnsi="宋体"/>
        </w:rPr>
        <w:t>1、</w:t>
      </w:r>
      <w:r>
        <w:rPr>
          <w:rFonts w:hint="eastAsia" w:ascii="宋体" w:hAnsi="宋体"/>
          <w:szCs w:val="21"/>
        </w:rPr>
        <w:t>XX</w:t>
      </w:r>
      <w:r>
        <w:rPr>
          <w:rFonts w:hint="eastAsia" w:ascii="宋体" w:hAnsi="宋体"/>
        </w:rPr>
        <w:t>万元；</w:t>
      </w:r>
    </w:p>
    <w:p>
      <w:pPr>
        <w:spacing w:line="440" w:lineRule="exact"/>
        <w:ind w:firstLine="492"/>
        <w:rPr>
          <w:rFonts w:ascii="宋体" w:hAnsi="宋体"/>
        </w:rPr>
      </w:pPr>
      <w:r>
        <w:rPr>
          <w:rFonts w:hint="eastAsia" w:ascii="宋体" w:hAnsi="宋体"/>
        </w:rPr>
        <w:t>2、</w:t>
      </w:r>
      <w:r>
        <w:rPr>
          <w:rFonts w:hint="eastAsia" w:ascii="宋体" w:hAnsi="宋体"/>
          <w:szCs w:val="21"/>
        </w:rPr>
        <w:t>XX</w:t>
      </w:r>
      <w:r>
        <w:rPr>
          <w:rFonts w:hint="eastAsia" w:ascii="宋体" w:hAnsi="宋体"/>
        </w:rPr>
        <w:t>万元；</w:t>
      </w:r>
    </w:p>
    <w:p>
      <w:pPr>
        <w:spacing w:line="440" w:lineRule="exact"/>
        <w:ind w:firstLine="492"/>
        <w:rPr>
          <w:rFonts w:ascii="宋体" w:hAnsi="宋体"/>
        </w:rPr>
      </w:pPr>
      <w:r>
        <w:rPr>
          <w:rFonts w:hint="eastAsia" w:ascii="宋体" w:hAnsi="宋体"/>
        </w:rPr>
        <w:t>3、</w:t>
      </w:r>
      <w:r>
        <w:rPr>
          <w:rFonts w:hint="eastAsia" w:ascii="宋体" w:hAnsi="宋体"/>
          <w:szCs w:val="21"/>
        </w:rPr>
        <w:t>XX</w:t>
      </w:r>
      <w:r>
        <w:rPr>
          <w:rFonts w:hint="eastAsia" w:ascii="宋体" w:hAnsi="宋体"/>
        </w:rPr>
        <w:t>万元。</w:t>
      </w:r>
    </w:p>
    <w:p>
      <w:pPr>
        <w:spacing w:line="440" w:lineRule="exact"/>
        <w:ind w:firstLine="492"/>
        <w:rPr>
          <w:rFonts w:ascii="宋体" w:hAnsi="宋体"/>
        </w:rPr>
      </w:pPr>
      <w:r>
        <w:rPr>
          <w:rFonts w:ascii="宋体" w:hAnsi="宋体"/>
        </w:rPr>
        <w:t>……</w:t>
      </w:r>
    </w:p>
    <w:p>
      <w:pPr>
        <w:numPr>
          <w:ilvl w:val="0"/>
          <w:numId w:val="60"/>
        </w:numPr>
        <w:tabs>
          <w:tab w:val="left" w:pos="780"/>
        </w:tabs>
        <w:spacing w:line="440" w:lineRule="exact"/>
        <w:ind w:left="0" w:firstLine="494"/>
        <w:rPr>
          <w:rFonts w:ascii="宋体" w:hAnsi="宋体" w:cs="宋体"/>
          <w:szCs w:val="24"/>
        </w:rPr>
      </w:pPr>
      <w:r>
        <w:rPr>
          <w:rFonts w:hint="eastAsia" w:ascii="宋体" w:hAnsi="宋体"/>
          <w:b/>
        </w:rPr>
        <w:t xml:space="preserve">服务费支付方式： </w:t>
      </w:r>
      <w:r>
        <w:rPr>
          <w:rFonts w:hint="eastAsia" w:ascii="宋体" w:hAnsi="宋体" w:cs="宋体"/>
          <w:szCs w:val="24"/>
        </w:rPr>
        <w:t>。</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知识产权</w:t>
      </w:r>
    </w:p>
    <w:p>
      <w:pPr>
        <w:tabs>
          <w:tab w:val="left" w:pos="1440"/>
        </w:tabs>
        <w:spacing w:line="440" w:lineRule="exact"/>
        <w:ind w:firstLine="492"/>
        <w:rPr>
          <w:rFonts w:ascii="宋体" w:hAnsi="宋体"/>
        </w:rPr>
      </w:pPr>
      <w:r>
        <w:rPr>
          <w:rFonts w:hint="eastAsia" w:ascii="宋体" w:hAnsi="宋体"/>
        </w:rPr>
        <w:t>乙方应保证所提供的服务或其任何一部分均不会侵犯任何第三方的专利权、商标权或著作权。</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无产权瑕疵条款</w:t>
      </w:r>
    </w:p>
    <w:p>
      <w:pPr>
        <w:tabs>
          <w:tab w:val="left" w:pos="1440"/>
        </w:tabs>
        <w:spacing w:line="440" w:lineRule="exact"/>
        <w:ind w:firstLine="492"/>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numPr>
          <w:ilvl w:val="0"/>
          <w:numId w:val="59"/>
        </w:numPr>
        <w:tabs>
          <w:tab w:val="left" w:pos="0"/>
          <w:tab w:val="clear" w:pos="1521"/>
        </w:tabs>
        <w:spacing w:line="440" w:lineRule="exact"/>
        <w:ind w:left="0" w:firstLine="0" w:firstLineChars="0"/>
        <w:rPr>
          <w:rFonts w:ascii="宋体" w:hAnsi="宋体"/>
          <w:b/>
        </w:rPr>
      </w:pPr>
      <w:r>
        <w:rPr>
          <w:rFonts w:ascii="宋体" w:hAnsi="宋体"/>
          <w:b/>
        </w:rPr>
        <w:t>甲方的权利和义务</w:t>
      </w:r>
    </w:p>
    <w:p>
      <w:pPr>
        <w:adjustRightInd w:val="0"/>
        <w:spacing w:line="440" w:lineRule="exact"/>
        <w:ind w:firstLine="492"/>
        <w:textAlignment w:val="baseline"/>
        <w:rPr>
          <w:rFonts w:ascii="宋体" w:hAnsi="宋体"/>
          <w:bCs/>
        </w:rPr>
      </w:pPr>
      <w:r>
        <w:rPr>
          <w:rFonts w:hint="eastAsia" w:ascii="宋体" w:hAnsi="宋体"/>
          <w:bCs/>
        </w:rPr>
        <w:t>1、</w:t>
      </w:r>
      <w:r>
        <w:rPr>
          <w:rFonts w:ascii="宋体" w:hAnsi="宋体"/>
          <w:bCs/>
        </w:rPr>
        <w:t>甲方有权对合同规定范围内</w:t>
      </w:r>
      <w:r>
        <w:rPr>
          <w:rFonts w:hint="eastAsia" w:ascii="宋体" w:hAnsi="宋体"/>
          <w:bCs/>
        </w:rPr>
        <w:t>乙方的服务行为</w:t>
      </w:r>
      <w:r>
        <w:rPr>
          <w:rFonts w:ascii="宋体" w:hAnsi="宋体"/>
          <w:bCs/>
        </w:rPr>
        <w:t>进行监督和检查，拥有监管权。有权定期核对乙方提供服务所配备的人员数量。对甲方认为不合理的部分有权</w:t>
      </w:r>
      <w:r>
        <w:rPr>
          <w:rFonts w:hint="eastAsia" w:ascii="宋体" w:hAnsi="宋体"/>
          <w:bCs/>
        </w:rPr>
        <w:t>下达整改通知书，并</w:t>
      </w:r>
      <w:r>
        <w:rPr>
          <w:rFonts w:ascii="宋体" w:hAnsi="宋体"/>
          <w:bCs/>
        </w:rPr>
        <w:t>要求乙方</w:t>
      </w:r>
      <w:r>
        <w:rPr>
          <w:rFonts w:hint="eastAsia" w:ascii="宋体" w:hAnsi="宋体"/>
          <w:bCs/>
        </w:rPr>
        <w:t>限期整改</w:t>
      </w:r>
      <w:r>
        <w:rPr>
          <w:rFonts w:ascii="宋体" w:hAnsi="宋体"/>
          <w:bCs/>
        </w:rPr>
        <w:t>。</w:t>
      </w:r>
    </w:p>
    <w:p>
      <w:pPr>
        <w:adjustRightInd w:val="0"/>
        <w:spacing w:line="440" w:lineRule="exact"/>
        <w:ind w:firstLine="492"/>
        <w:textAlignment w:val="baseline"/>
        <w:rPr>
          <w:rFonts w:ascii="宋体" w:hAnsi="宋体"/>
          <w:bCs/>
        </w:rPr>
      </w:pPr>
      <w:r>
        <w:rPr>
          <w:rFonts w:hint="eastAsia" w:ascii="宋体" w:hAnsi="宋体"/>
          <w:bCs/>
        </w:rPr>
        <w:t>2、甲方有权依据双方签订的考评办法对乙方提供的服务进行定期考评。当考评结果未达到标准时，有权依据考评办法约定的数额扣除履约保证金。</w:t>
      </w:r>
    </w:p>
    <w:p>
      <w:pPr>
        <w:adjustRightInd w:val="0"/>
        <w:spacing w:line="440" w:lineRule="exact"/>
        <w:ind w:firstLine="492"/>
        <w:textAlignment w:val="baseline"/>
        <w:rPr>
          <w:rFonts w:ascii="宋体" w:hAnsi="宋体"/>
          <w:bCs/>
        </w:rPr>
      </w:pPr>
      <w:r>
        <w:rPr>
          <w:rFonts w:hint="eastAsia" w:ascii="宋体" w:hAnsi="宋体"/>
          <w:bCs/>
        </w:rPr>
        <w:t>3、</w:t>
      </w:r>
      <w:r>
        <w:rPr>
          <w:rFonts w:ascii="宋体" w:hAnsi="宋体"/>
          <w:bCs/>
        </w:rPr>
        <w:t>负责检查监督乙方管理工作的实施及制度的执行情况。</w:t>
      </w:r>
    </w:p>
    <w:p>
      <w:pPr>
        <w:adjustRightInd w:val="0"/>
        <w:spacing w:line="440" w:lineRule="exact"/>
        <w:ind w:firstLine="492"/>
        <w:textAlignment w:val="baseline"/>
        <w:rPr>
          <w:rFonts w:ascii="宋体" w:hAnsi="宋体"/>
          <w:bCs/>
        </w:rPr>
      </w:pPr>
      <w:r>
        <w:rPr>
          <w:rFonts w:hint="eastAsia" w:ascii="宋体" w:hAnsi="宋体"/>
          <w:bCs/>
        </w:rPr>
        <w:t>4、</w:t>
      </w:r>
      <w:r>
        <w:rPr>
          <w:rFonts w:ascii="宋体" w:hAnsi="宋体"/>
          <w:bCs/>
        </w:rPr>
        <w:t>根据本合同规定，按时向乙方支付应付</w:t>
      </w:r>
      <w:r>
        <w:rPr>
          <w:rFonts w:hint="eastAsia" w:ascii="宋体" w:hAnsi="宋体"/>
          <w:bCs/>
        </w:rPr>
        <w:t>服务费用</w:t>
      </w:r>
      <w:r>
        <w:rPr>
          <w:rFonts w:ascii="宋体" w:hAnsi="宋体"/>
          <w:bCs/>
        </w:rPr>
        <w:t>。</w:t>
      </w:r>
    </w:p>
    <w:p>
      <w:pPr>
        <w:adjustRightInd w:val="0"/>
        <w:spacing w:line="440" w:lineRule="exact"/>
        <w:ind w:firstLine="492"/>
        <w:textAlignment w:val="baseline"/>
        <w:rPr>
          <w:rFonts w:ascii="宋体" w:hAnsi="宋体"/>
          <w:bCs/>
        </w:rPr>
      </w:pPr>
      <w:r>
        <w:rPr>
          <w:rFonts w:hint="eastAsia" w:ascii="宋体" w:hAnsi="宋体"/>
          <w:bCs/>
        </w:rPr>
        <w:t>5、</w:t>
      </w:r>
      <w:r>
        <w:rPr>
          <w:rFonts w:ascii="宋体" w:hAnsi="宋体"/>
          <w:bCs/>
        </w:rPr>
        <w:t>国家法律、法规所规定由甲方承担的其它责任。</w:t>
      </w:r>
    </w:p>
    <w:p>
      <w:pPr>
        <w:numPr>
          <w:ilvl w:val="0"/>
          <w:numId w:val="59"/>
        </w:numPr>
        <w:tabs>
          <w:tab w:val="left" w:pos="0"/>
          <w:tab w:val="clear" w:pos="1521"/>
        </w:tabs>
        <w:spacing w:line="440" w:lineRule="exact"/>
        <w:ind w:left="0" w:firstLine="0" w:firstLineChars="0"/>
        <w:rPr>
          <w:rFonts w:ascii="宋体" w:hAnsi="宋体"/>
          <w:b/>
        </w:rPr>
      </w:pPr>
      <w:r>
        <w:rPr>
          <w:rFonts w:ascii="宋体" w:hAnsi="宋体"/>
          <w:b/>
        </w:rPr>
        <w:t>乙方的权利和义务</w:t>
      </w:r>
    </w:p>
    <w:p>
      <w:pPr>
        <w:adjustRightInd w:val="0"/>
        <w:spacing w:line="440" w:lineRule="exact"/>
        <w:ind w:firstLine="492"/>
        <w:textAlignment w:val="baseline"/>
        <w:rPr>
          <w:rFonts w:ascii="宋体" w:hAnsi="宋体"/>
          <w:bCs/>
        </w:rPr>
      </w:pPr>
      <w:r>
        <w:rPr>
          <w:rFonts w:hint="eastAsia" w:ascii="宋体" w:hAnsi="宋体"/>
          <w:bCs/>
        </w:rPr>
        <w:t>1、</w:t>
      </w:r>
      <w:r>
        <w:rPr>
          <w:rFonts w:ascii="宋体" w:hAnsi="宋体"/>
          <w:bCs/>
        </w:rPr>
        <w:t>对本合同规定的委托</w:t>
      </w:r>
      <w:r>
        <w:rPr>
          <w:rFonts w:hint="eastAsia" w:ascii="宋体" w:hAnsi="宋体"/>
          <w:bCs/>
        </w:rPr>
        <w:t>服务</w:t>
      </w:r>
      <w:r>
        <w:rPr>
          <w:rFonts w:ascii="宋体" w:hAnsi="宋体"/>
          <w:bCs/>
        </w:rPr>
        <w:t>范围内的</w:t>
      </w:r>
      <w:r>
        <w:rPr>
          <w:rFonts w:hint="eastAsia" w:ascii="宋体" w:hAnsi="宋体"/>
          <w:bCs/>
        </w:rPr>
        <w:t>项目</w:t>
      </w:r>
      <w:r>
        <w:rPr>
          <w:rFonts w:ascii="宋体" w:hAnsi="宋体"/>
          <w:bCs/>
        </w:rPr>
        <w:t>享有管理权及服务义务。</w:t>
      </w:r>
    </w:p>
    <w:p>
      <w:pPr>
        <w:adjustRightInd w:val="0"/>
        <w:spacing w:line="440" w:lineRule="exact"/>
        <w:ind w:firstLine="492"/>
        <w:textAlignment w:val="baseline"/>
        <w:rPr>
          <w:rFonts w:ascii="宋体" w:hAnsi="宋体"/>
          <w:bCs/>
        </w:rPr>
      </w:pPr>
      <w:r>
        <w:rPr>
          <w:rFonts w:hint="eastAsia" w:ascii="宋体" w:hAnsi="宋体"/>
          <w:bCs/>
        </w:rPr>
        <w:t>2、</w:t>
      </w:r>
      <w:r>
        <w:rPr>
          <w:rFonts w:ascii="宋体" w:hAnsi="宋体"/>
          <w:bCs/>
        </w:rPr>
        <w:t>根据本合同的规定向甲方收取相关</w:t>
      </w:r>
      <w:r>
        <w:rPr>
          <w:rFonts w:hint="eastAsia" w:ascii="宋体" w:hAnsi="宋体"/>
          <w:bCs/>
        </w:rPr>
        <w:t>服务</w:t>
      </w:r>
      <w:r>
        <w:rPr>
          <w:rFonts w:ascii="宋体" w:hAnsi="宋体"/>
          <w:bCs/>
        </w:rPr>
        <w:t>费用，并有权</w:t>
      </w:r>
      <w:r>
        <w:rPr>
          <w:rFonts w:hint="eastAsia" w:ascii="宋体" w:hAnsi="宋体"/>
          <w:bCs/>
        </w:rPr>
        <w:t>在本项目管理范围内</w:t>
      </w:r>
      <w:r>
        <w:rPr>
          <w:rFonts w:ascii="宋体" w:hAnsi="宋体"/>
          <w:bCs/>
        </w:rPr>
        <w:t>管理及合理使用。</w:t>
      </w:r>
    </w:p>
    <w:p>
      <w:pPr>
        <w:adjustRightInd w:val="0"/>
        <w:spacing w:line="440" w:lineRule="exact"/>
        <w:ind w:firstLine="492"/>
        <w:textAlignment w:val="baseline"/>
        <w:rPr>
          <w:rFonts w:ascii="宋体" w:hAnsi="宋体"/>
        </w:rPr>
      </w:pPr>
      <w:r>
        <w:rPr>
          <w:rFonts w:hint="eastAsia" w:ascii="宋体" w:hAnsi="宋体"/>
        </w:rPr>
        <w:t>3、及时向甲方通告本项目服务范围内有关服务的重大事项，及时配合处理投诉。</w:t>
      </w:r>
    </w:p>
    <w:p>
      <w:pPr>
        <w:adjustRightInd w:val="0"/>
        <w:spacing w:line="440" w:lineRule="exact"/>
        <w:ind w:firstLine="492"/>
        <w:textAlignment w:val="baseline"/>
        <w:rPr>
          <w:rFonts w:ascii="宋体" w:hAnsi="宋体"/>
          <w:bCs/>
        </w:rPr>
      </w:pPr>
      <w:r>
        <w:rPr>
          <w:rFonts w:hint="eastAsia" w:ascii="宋体" w:hAnsi="宋体"/>
        </w:rPr>
        <w:t>4、</w:t>
      </w:r>
      <w:r>
        <w:rPr>
          <w:rFonts w:ascii="宋体" w:hAnsi="宋体"/>
          <w:bCs/>
        </w:rPr>
        <w:t>接受</w:t>
      </w:r>
      <w:r>
        <w:rPr>
          <w:rFonts w:hint="eastAsia" w:ascii="宋体" w:hAnsi="宋体"/>
          <w:bCs/>
        </w:rPr>
        <w:t>项目行</w:t>
      </w:r>
      <w:r>
        <w:rPr>
          <w:rFonts w:ascii="宋体" w:hAnsi="宋体"/>
          <w:bCs/>
        </w:rPr>
        <w:t>业管理部门及政府有关部门的指导，接受甲方的监督。</w:t>
      </w:r>
    </w:p>
    <w:p>
      <w:pPr>
        <w:adjustRightInd w:val="0"/>
        <w:spacing w:line="440" w:lineRule="exact"/>
        <w:ind w:firstLine="492"/>
        <w:textAlignment w:val="baseline"/>
        <w:rPr>
          <w:rFonts w:ascii="宋体" w:hAnsi="宋体"/>
          <w:bCs/>
        </w:rPr>
      </w:pPr>
      <w:r>
        <w:rPr>
          <w:rFonts w:hint="eastAsia" w:ascii="宋体" w:hAnsi="宋体"/>
          <w:bCs/>
        </w:rPr>
        <w:t>5、</w:t>
      </w:r>
      <w:r>
        <w:rPr>
          <w:rFonts w:ascii="宋体" w:hAnsi="宋体"/>
          <w:bCs/>
        </w:rPr>
        <w:t>国家法律、法规所规定由乙方承担的其它责任。</w:t>
      </w:r>
    </w:p>
    <w:p>
      <w:pPr>
        <w:numPr>
          <w:ilvl w:val="0"/>
          <w:numId w:val="59"/>
        </w:numPr>
        <w:tabs>
          <w:tab w:val="left" w:pos="0"/>
          <w:tab w:val="clear" w:pos="1521"/>
        </w:tabs>
        <w:spacing w:line="440" w:lineRule="exact"/>
        <w:ind w:left="0" w:firstLine="0" w:firstLineChars="0"/>
        <w:rPr>
          <w:rFonts w:ascii="宋体" w:hAnsi="宋体"/>
          <w:b/>
        </w:rPr>
      </w:pPr>
      <w:r>
        <w:rPr>
          <w:rFonts w:ascii="宋体" w:hAnsi="宋体"/>
          <w:b/>
        </w:rPr>
        <w:t>违约责任</w:t>
      </w:r>
    </w:p>
    <w:p>
      <w:pPr>
        <w:adjustRightInd w:val="0"/>
        <w:spacing w:line="440" w:lineRule="exact"/>
        <w:ind w:firstLine="492"/>
        <w:textAlignment w:val="baseline"/>
        <w:rPr>
          <w:rFonts w:ascii="宋体" w:hAnsi="宋体"/>
          <w:bCs/>
        </w:rPr>
      </w:pPr>
      <w:r>
        <w:rPr>
          <w:rFonts w:hint="eastAsia" w:ascii="宋体" w:hAnsi="宋体"/>
          <w:bCs/>
        </w:rPr>
        <w:t>1、</w:t>
      </w:r>
      <w:r>
        <w:rPr>
          <w:rFonts w:ascii="宋体" w:hAnsi="宋体"/>
          <w:bCs/>
        </w:rPr>
        <w:t>甲乙双方必须遵守本合同并执行合同中的各项规定，保证</w:t>
      </w:r>
      <w:r>
        <w:rPr>
          <w:rFonts w:hint="eastAsia" w:ascii="宋体" w:hAnsi="宋体"/>
          <w:bCs/>
        </w:rPr>
        <w:t>本</w:t>
      </w:r>
      <w:r>
        <w:rPr>
          <w:rFonts w:ascii="宋体" w:hAnsi="宋体"/>
          <w:bCs/>
        </w:rPr>
        <w:t>合同的正常</w:t>
      </w:r>
      <w:r>
        <w:rPr>
          <w:rFonts w:hint="eastAsia" w:ascii="宋体" w:hAnsi="宋体"/>
          <w:bCs/>
        </w:rPr>
        <w:t>履行</w:t>
      </w:r>
      <w:r>
        <w:rPr>
          <w:rFonts w:ascii="宋体" w:hAnsi="宋体"/>
          <w:bCs/>
        </w:rPr>
        <w:t>。</w:t>
      </w:r>
    </w:p>
    <w:p>
      <w:pPr>
        <w:adjustRightInd w:val="0"/>
        <w:spacing w:line="440" w:lineRule="exact"/>
        <w:ind w:firstLine="492"/>
        <w:textAlignment w:val="baseline"/>
        <w:rPr>
          <w:rFonts w:ascii="宋体" w:hAnsi="宋体"/>
          <w:bCs/>
        </w:rPr>
      </w:pPr>
      <w:r>
        <w:rPr>
          <w:rFonts w:hint="eastAsia" w:ascii="宋体" w:hAnsi="宋体"/>
          <w:bCs/>
        </w:rPr>
        <w:t>2、</w:t>
      </w:r>
      <w:r>
        <w:rPr>
          <w:rFonts w:ascii="宋体" w:hAnsi="宋体"/>
          <w:bCs/>
        </w:rPr>
        <w:t>如因乙方</w:t>
      </w:r>
      <w:r>
        <w:rPr>
          <w:rFonts w:hint="eastAsia" w:ascii="宋体" w:hAnsi="宋体"/>
          <w:bCs/>
        </w:rPr>
        <w:t>工作人员在履行职务过程中的</w:t>
      </w:r>
      <w:r>
        <w:rPr>
          <w:rFonts w:ascii="宋体" w:hAnsi="宋体"/>
          <w:bCs/>
        </w:rPr>
        <w:t>的疏忽、失职、过错等</w:t>
      </w:r>
      <w:r>
        <w:rPr>
          <w:rFonts w:hint="eastAsia" w:ascii="宋体" w:hAnsi="宋体"/>
          <w:bCs/>
        </w:rPr>
        <w:t>故意或者过失</w:t>
      </w:r>
      <w:r>
        <w:rPr>
          <w:rFonts w:ascii="宋体" w:hAnsi="宋体"/>
          <w:bCs/>
        </w:rPr>
        <w:t>原因给甲方造成损失或侵害，</w:t>
      </w:r>
      <w:r>
        <w:rPr>
          <w:rFonts w:hint="eastAsia" w:ascii="宋体" w:hAnsi="宋体"/>
          <w:bCs/>
        </w:rPr>
        <w:t>包括但不限于甲方本身的财产损失、由此而导致的甲方对任何第三方的法律责任等，乙方对此均应承担全部的赔偿责任</w:t>
      </w:r>
      <w:r>
        <w:rPr>
          <w:rFonts w:ascii="宋体" w:hAnsi="宋体"/>
          <w:bCs/>
        </w:rPr>
        <w:t>。</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不可抗力事件处理</w:t>
      </w:r>
    </w:p>
    <w:p>
      <w:pPr>
        <w:tabs>
          <w:tab w:val="left" w:pos="0"/>
        </w:tabs>
        <w:spacing w:line="440" w:lineRule="exact"/>
        <w:ind w:firstLine="492"/>
        <w:rPr>
          <w:rFonts w:ascii="宋体" w:hAnsi="宋体"/>
        </w:rPr>
      </w:pPr>
      <w:r>
        <w:rPr>
          <w:rFonts w:hint="eastAsia" w:ascii="宋体" w:hAnsi="宋体"/>
        </w:rPr>
        <w:t>1、在合同有效期内，任何一方因不可抗力事件导致不能履行合同，则合同履行期可延长，其延长期与不可抗力影响期相同。</w:t>
      </w:r>
    </w:p>
    <w:p>
      <w:pPr>
        <w:tabs>
          <w:tab w:val="left" w:pos="0"/>
        </w:tabs>
        <w:spacing w:line="440" w:lineRule="exact"/>
        <w:ind w:firstLine="492"/>
        <w:rPr>
          <w:rFonts w:ascii="宋体" w:hAnsi="宋体"/>
        </w:rPr>
      </w:pPr>
      <w:r>
        <w:rPr>
          <w:rFonts w:hint="eastAsia" w:ascii="宋体" w:hAnsi="宋体"/>
        </w:rPr>
        <w:t>2、不可抗力事件发生后，应立即通知对方，并寄送有关权威机构出具的证明。</w:t>
      </w:r>
    </w:p>
    <w:p>
      <w:pPr>
        <w:tabs>
          <w:tab w:val="left" w:pos="0"/>
        </w:tabs>
        <w:spacing w:line="440" w:lineRule="exact"/>
        <w:ind w:firstLine="492"/>
        <w:rPr>
          <w:rFonts w:ascii="宋体" w:hAnsi="宋体"/>
        </w:rPr>
      </w:pPr>
      <w:r>
        <w:rPr>
          <w:rFonts w:hint="eastAsia" w:ascii="宋体" w:hAnsi="宋体"/>
        </w:rPr>
        <w:t>3、不可抗力事件延续</w:t>
      </w:r>
      <w:r>
        <w:rPr>
          <w:rFonts w:hint="eastAsia" w:ascii="宋体" w:hAnsi="宋体"/>
          <w:szCs w:val="21"/>
        </w:rPr>
        <w:t>XX</w:t>
      </w:r>
      <w:r>
        <w:rPr>
          <w:rFonts w:hint="eastAsia" w:ascii="宋体" w:hAnsi="宋体"/>
        </w:rPr>
        <w:t>天以上，双方应通过友好协商，确定是否继续履行合同。</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numPr>
          <w:ilvl w:val="0"/>
          <w:numId w:val="59"/>
        </w:numPr>
        <w:tabs>
          <w:tab w:val="left" w:pos="0"/>
          <w:tab w:val="clear" w:pos="1521"/>
        </w:tabs>
        <w:spacing w:line="440" w:lineRule="exact"/>
        <w:ind w:left="0" w:firstLine="0" w:firstLineChars="0"/>
        <w:rPr>
          <w:rFonts w:ascii="宋体" w:hAnsi="宋体"/>
          <w:b/>
        </w:rPr>
      </w:pPr>
      <w:bookmarkStart w:id="424" w:name="_Toc211911353"/>
      <w:bookmarkStart w:id="425" w:name="_Toc232492933"/>
      <w:bookmarkStart w:id="426" w:name="_Toc247334846"/>
      <w:bookmarkStart w:id="427" w:name="_Toc239233919"/>
      <w:bookmarkStart w:id="428" w:name="_Toc237145411"/>
      <w:bookmarkStart w:id="429" w:name="_Toc225670756"/>
      <w:bookmarkStart w:id="430" w:name="_Toc286993792"/>
      <w:bookmarkStart w:id="431" w:name="_Toc239568423"/>
      <w:bookmarkStart w:id="432" w:name="_Toc225244857"/>
      <w:bookmarkStart w:id="433" w:name="_Toc212019599"/>
      <w:bookmarkStart w:id="434" w:name="_Toc185395254"/>
      <w:bookmarkStart w:id="435" w:name="_Toc225654649"/>
      <w:bookmarkStart w:id="436" w:name="_Toc211854454"/>
      <w:bookmarkStart w:id="437" w:name="_Toc251768867"/>
      <w:bookmarkStart w:id="438" w:name="_Toc241833908"/>
      <w:bookmarkStart w:id="439" w:name="_Toc238984980"/>
      <w:r>
        <w:rPr>
          <w:rFonts w:hint="eastAsia" w:ascii="宋体" w:hAnsi="宋体"/>
          <w:b/>
        </w:rPr>
        <w:t>解</w:t>
      </w:r>
      <w:r>
        <w:rPr>
          <w:rFonts w:ascii="宋体" w:hAnsi="宋体"/>
          <w:b/>
        </w:rPr>
        <w:t>决合同纠纷的方式</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tabs>
          <w:tab w:val="left" w:pos="0"/>
        </w:tabs>
        <w:spacing w:line="440" w:lineRule="exact"/>
        <w:ind w:firstLine="492"/>
        <w:rPr>
          <w:rFonts w:ascii="宋体" w:hAnsi="宋体"/>
        </w:rPr>
      </w:pPr>
      <w:r>
        <w:rPr>
          <w:rFonts w:hint="eastAsia" w:ascii="宋体" w:hAnsi="宋体"/>
        </w:rPr>
        <w:t>1、</w:t>
      </w:r>
      <w:r>
        <w:rPr>
          <w:rFonts w:ascii="宋体" w:hAnsi="宋体"/>
        </w:rPr>
        <w:t>在执行本合同中发生的或与本合同有关的争端，双方应通过友好协商解决，经协商在</w:t>
      </w:r>
      <w:r>
        <w:rPr>
          <w:rFonts w:hint="eastAsia" w:ascii="宋体" w:hAnsi="宋体"/>
          <w:szCs w:val="21"/>
          <w:u w:val="single"/>
        </w:rPr>
        <w:t xml:space="preserve">      </w:t>
      </w:r>
      <w:r>
        <w:rPr>
          <w:rFonts w:ascii="宋体" w:hAnsi="宋体"/>
        </w:rPr>
        <w:t>天内不能达成协议时，应提交成都仲裁委员会仲裁。</w:t>
      </w:r>
    </w:p>
    <w:p>
      <w:pPr>
        <w:tabs>
          <w:tab w:val="left" w:pos="0"/>
        </w:tabs>
        <w:spacing w:line="440" w:lineRule="exact"/>
        <w:ind w:firstLine="492"/>
        <w:rPr>
          <w:rFonts w:ascii="宋体" w:hAnsi="宋体"/>
        </w:rPr>
      </w:pPr>
      <w:r>
        <w:rPr>
          <w:rFonts w:hint="eastAsia" w:ascii="宋体" w:hAnsi="宋体"/>
        </w:rPr>
        <w:t>2、</w:t>
      </w:r>
      <w:r>
        <w:rPr>
          <w:rFonts w:ascii="宋体" w:hAnsi="宋体"/>
        </w:rPr>
        <w:t>仲裁裁决应为最终决定，并对双方具有约束力。</w:t>
      </w:r>
    </w:p>
    <w:p>
      <w:pPr>
        <w:tabs>
          <w:tab w:val="left" w:pos="0"/>
        </w:tabs>
        <w:spacing w:line="440" w:lineRule="exact"/>
        <w:ind w:firstLine="492"/>
        <w:rPr>
          <w:rFonts w:ascii="宋体" w:hAnsi="宋体"/>
        </w:rPr>
      </w:pPr>
      <w:r>
        <w:rPr>
          <w:rFonts w:hint="eastAsia" w:ascii="宋体" w:hAnsi="宋体"/>
        </w:rPr>
        <w:t>3、</w:t>
      </w:r>
      <w:r>
        <w:rPr>
          <w:rFonts w:ascii="宋体" w:hAnsi="宋体"/>
        </w:rPr>
        <w:t xml:space="preserve">除另有裁决外，仲裁费应由败诉方负担。 </w:t>
      </w:r>
    </w:p>
    <w:p>
      <w:pPr>
        <w:tabs>
          <w:tab w:val="left" w:pos="0"/>
        </w:tabs>
        <w:spacing w:line="440" w:lineRule="exact"/>
        <w:ind w:firstLine="492"/>
        <w:rPr>
          <w:rFonts w:ascii="宋体" w:hAnsi="宋体"/>
        </w:rPr>
      </w:pPr>
      <w:r>
        <w:rPr>
          <w:rFonts w:hint="eastAsia" w:ascii="宋体" w:hAnsi="宋体"/>
        </w:rPr>
        <w:t>4、</w:t>
      </w:r>
      <w:r>
        <w:rPr>
          <w:rFonts w:ascii="宋体" w:hAnsi="宋体"/>
        </w:rPr>
        <w:t xml:space="preserve">在仲裁期间，除正在进行仲裁部分外，合同其他部分继续执行。  </w:t>
      </w:r>
    </w:p>
    <w:p>
      <w:pPr>
        <w:numPr>
          <w:ilvl w:val="0"/>
          <w:numId w:val="59"/>
        </w:numPr>
        <w:tabs>
          <w:tab w:val="left" w:pos="0"/>
          <w:tab w:val="clear" w:pos="1521"/>
        </w:tabs>
        <w:spacing w:line="440" w:lineRule="exact"/>
        <w:ind w:left="0" w:firstLine="0" w:firstLineChars="0"/>
        <w:rPr>
          <w:rFonts w:ascii="宋体" w:hAnsi="宋体"/>
          <w:b/>
        </w:rPr>
      </w:pPr>
      <w:bookmarkStart w:id="440" w:name="_Toc211854455"/>
      <w:bookmarkStart w:id="441" w:name="_Toc238984981"/>
      <w:bookmarkStart w:id="442" w:name="_Toc232492934"/>
      <w:bookmarkStart w:id="443" w:name="_Toc239233920"/>
      <w:bookmarkStart w:id="444" w:name="_Toc237145412"/>
      <w:bookmarkStart w:id="445" w:name="_Toc225654650"/>
      <w:bookmarkStart w:id="446" w:name="_Toc251768868"/>
      <w:bookmarkStart w:id="447" w:name="_Toc286993793"/>
      <w:bookmarkStart w:id="448" w:name="_Toc247334847"/>
      <w:bookmarkStart w:id="449" w:name="_Toc225244858"/>
      <w:bookmarkStart w:id="450" w:name="_Toc241833909"/>
      <w:bookmarkStart w:id="451" w:name="_Toc212019600"/>
      <w:bookmarkStart w:id="452" w:name="_Toc185395255"/>
      <w:bookmarkStart w:id="453" w:name="_Toc225670757"/>
      <w:bookmarkStart w:id="454" w:name="_Toc282696231"/>
      <w:bookmarkStart w:id="455" w:name="_Toc211911354"/>
      <w:bookmarkStart w:id="456" w:name="_Toc283019219"/>
      <w:bookmarkStart w:id="457" w:name="_Toc239568424"/>
      <w:r>
        <w:rPr>
          <w:rFonts w:ascii="宋体" w:hAnsi="宋体"/>
          <w:b/>
        </w:rPr>
        <w:t>合同</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eastAsia" w:ascii="宋体" w:hAnsi="宋体"/>
          <w:b/>
        </w:rPr>
        <w:t>生效及其他</w:t>
      </w:r>
    </w:p>
    <w:p>
      <w:pPr>
        <w:pStyle w:val="193"/>
        <w:spacing w:line="440" w:lineRule="exact"/>
        <w:ind w:firstLine="492"/>
        <w:rPr>
          <w:rFonts w:ascii="宋体" w:hAnsi="宋体"/>
          <w:szCs w:val="24"/>
        </w:rPr>
      </w:pPr>
      <w:r>
        <w:rPr>
          <w:rFonts w:hint="eastAsia" w:ascii="宋体" w:hAnsi="宋体"/>
          <w:szCs w:val="24"/>
        </w:rPr>
        <w:t>1、合同经双方法定代表人或授权委托代理人签字并加盖单位公章后生效。</w:t>
      </w:r>
    </w:p>
    <w:p>
      <w:pPr>
        <w:pStyle w:val="193"/>
        <w:spacing w:line="440" w:lineRule="exact"/>
        <w:ind w:firstLine="492"/>
        <w:rPr>
          <w:rFonts w:ascii="宋体" w:hAnsi="宋体"/>
          <w:szCs w:val="24"/>
        </w:rPr>
      </w:pPr>
      <w:r>
        <w:rPr>
          <w:rFonts w:hint="eastAsia" w:ascii="宋体" w:hAnsi="宋体"/>
          <w:szCs w:val="24"/>
        </w:rPr>
        <w:t>2、合同执行中涉及采购资金和采购内容修改或补充的，须经政府采购监管部门审批，并签书面补充协议报政府采购监督管理部门备案，方可作为主合同不可分割的一部分。</w:t>
      </w:r>
    </w:p>
    <w:p>
      <w:pPr>
        <w:widowControl/>
        <w:spacing w:line="440" w:lineRule="exact"/>
        <w:ind w:firstLine="492"/>
        <w:rPr>
          <w:rFonts w:ascii="宋体" w:hAnsi="宋体"/>
          <w:szCs w:val="24"/>
        </w:rPr>
      </w:pPr>
      <w:r>
        <w:rPr>
          <w:rFonts w:hint="eastAsia" w:ascii="宋体" w:hAnsi="宋体"/>
          <w:szCs w:val="24"/>
        </w:rPr>
        <w:t>3、本合同一式xx份，自双方签章之日起生效。甲方xx份，乙方xx份、政府采购管理部门、采购代理机构各一份。</w:t>
      </w:r>
    </w:p>
    <w:p>
      <w:pPr>
        <w:numPr>
          <w:ilvl w:val="0"/>
          <w:numId w:val="59"/>
        </w:numPr>
        <w:tabs>
          <w:tab w:val="left" w:pos="0"/>
          <w:tab w:val="clear" w:pos="1521"/>
        </w:tabs>
        <w:spacing w:line="440" w:lineRule="exact"/>
        <w:ind w:left="0" w:firstLine="0" w:firstLineChars="0"/>
        <w:rPr>
          <w:rFonts w:ascii="宋体" w:hAnsi="宋体"/>
          <w:b/>
        </w:rPr>
      </w:pPr>
      <w:r>
        <w:rPr>
          <w:rFonts w:hint="eastAsia" w:ascii="宋体" w:hAnsi="宋体"/>
          <w:b/>
        </w:rPr>
        <w:t>附件</w:t>
      </w:r>
    </w:p>
    <w:p>
      <w:pPr>
        <w:pStyle w:val="193"/>
        <w:spacing w:line="440" w:lineRule="exact"/>
        <w:ind w:firstLine="492"/>
        <w:rPr>
          <w:rFonts w:ascii="宋体" w:hAnsi="宋体"/>
          <w:szCs w:val="24"/>
        </w:rPr>
      </w:pPr>
      <w:r>
        <w:rPr>
          <w:rFonts w:hint="eastAsia" w:ascii="宋体" w:hAnsi="宋体"/>
          <w:szCs w:val="24"/>
        </w:rPr>
        <w:t>1、项目招标文件</w:t>
      </w:r>
    </w:p>
    <w:p>
      <w:pPr>
        <w:pStyle w:val="193"/>
        <w:spacing w:line="440" w:lineRule="exact"/>
        <w:ind w:firstLine="492"/>
        <w:rPr>
          <w:rFonts w:ascii="宋体" w:hAnsi="宋体"/>
          <w:szCs w:val="24"/>
        </w:rPr>
      </w:pPr>
      <w:r>
        <w:rPr>
          <w:rFonts w:hint="eastAsia" w:ascii="宋体" w:hAnsi="宋体"/>
          <w:szCs w:val="24"/>
        </w:rPr>
        <w:t>2、项目投标文件</w:t>
      </w:r>
    </w:p>
    <w:p>
      <w:pPr>
        <w:pStyle w:val="193"/>
        <w:spacing w:line="440" w:lineRule="exact"/>
        <w:ind w:firstLine="492"/>
        <w:rPr>
          <w:rFonts w:ascii="宋体" w:hAnsi="宋体"/>
          <w:szCs w:val="24"/>
        </w:rPr>
      </w:pPr>
      <w:r>
        <w:rPr>
          <w:rFonts w:hint="eastAsia" w:ascii="宋体" w:hAnsi="宋体"/>
          <w:szCs w:val="24"/>
        </w:rPr>
        <w:t>3、中标通知书</w:t>
      </w:r>
    </w:p>
    <w:p>
      <w:pPr>
        <w:pStyle w:val="193"/>
        <w:spacing w:line="440" w:lineRule="exact"/>
        <w:ind w:firstLine="492"/>
        <w:rPr>
          <w:rFonts w:ascii="宋体" w:hAnsi="宋体"/>
          <w:szCs w:val="24"/>
        </w:rPr>
      </w:pPr>
      <w:r>
        <w:rPr>
          <w:rFonts w:hint="eastAsia" w:ascii="宋体" w:hAnsi="宋体"/>
          <w:szCs w:val="24"/>
        </w:rPr>
        <w:t>4、其他</w:t>
      </w:r>
    </w:p>
    <w:p>
      <w:pPr>
        <w:spacing w:line="440" w:lineRule="exact"/>
        <w:ind w:firstLine="492"/>
        <w:rPr>
          <w:rFonts w:ascii="宋体" w:hAnsi="宋体"/>
        </w:rPr>
      </w:pPr>
    </w:p>
    <w:p>
      <w:pPr>
        <w:spacing w:line="440" w:lineRule="exact"/>
        <w:ind w:firstLine="492"/>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spacing w:line="440" w:lineRule="exact"/>
        <w:ind w:firstLine="492"/>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spacing w:line="440" w:lineRule="exact"/>
        <w:ind w:firstLine="492"/>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spacing w:line="440" w:lineRule="exact"/>
        <w:ind w:firstLine="492"/>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spacing w:line="440" w:lineRule="exact"/>
        <w:ind w:firstLine="492"/>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spacing w:line="440" w:lineRule="exact"/>
        <w:ind w:firstLine="492"/>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spacing w:line="440" w:lineRule="exact"/>
        <w:ind w:firstLine="492"/>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spacing w:line="440" w:lineRule="exact"/>
        <w:ind w:firstLine="492"/>
        <w:rPr>
          <w:rFonts w:ascii="Calibri" w:hAnsi="Calibri"/>
          <w:szCs w:val="24"/>
        </w:rPr>
      </w:pPr>
      <w:r>
        <w:rPr>
          <w:rFonts w:hint="eastAsia" w:ascii="宋体" w:hAnsi="宋体"/>
        </w:rPr>
        <w:t>签约日期：</w:t>
      </w:r>
      <w:r>
        <w:rPr>
          <w:rFonts w:hint="eastAsia" w:ascii="宋体" w:hAnsi="宋体"/>
          <w:szCs w:val="21"/>
        </w:rPr>
        <w:t>XX</w:t>
      </w:r>
      <w:r>
        <w:rPr>
          <w:rFonts w:hint="eastAsia" w:ascii="宋体" w:hAnsi="宋体"/>
        </w:rPr>
        <w:t>年</w:t>
      </w:r>
      <w:r>
        <w:rPr>
          <w:rFonts w:hint="eastAsia" w:ascii="宋体" w:hAnsi="宋体"/>
          <w:szCs w:val="21"/>
        </w:rPr>
        <w:t>XX</w:t>
      </w:r>
      <w:r>
        <w:rPr>
          <w:rFonts w:hint="eastAsia" w:ascii="宋体" w:hAnsi="宋体"/>
        </w:rPr>
        <w:t>月</w:t>
      </w:r>
      <w:r>
        <w:rPr>
          <w:rFonts w:hint="eastAsia" w:ascii="宋体" w:hAnsi="宋体"/>
          <w:szCs w:val="21"/>
        </w:rPr>
        <w:t>XX</w:t>
      </w:r>
      <w:r>
        <w:rPr>
          <w:rFonts w:hint="eastAsia" w:ascii="宋体" w:hAnsi="宋体"/>
        </w:rPr>
        <w:t>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签约日期：</w:t>
      </w:r>
      <w:r>
        <w:rPr>
          <w:rFonts w:hint="eastAsia" w:ascii="宋体" w:hAnsi="宋体"/>
          <w:szCs w:val="21"/>
        </w:rPr>
        <w:t>XX</w:t>
      </w:r>
      <w:r>
        <w:rPr>
          <w:rFonts w:hint="eastAsia" w:ascii="宋体" w:hAnsi="宋体"/>
        </w:rPr>
        <w:t>年</w:t>
      </w:r>
      <w:r>
        <w:rPr>
          <w:rFonts w:hint="eastAsia" w:ascii="宋体" w:hAnsi="宋体"/>
          <w:szCs w:val="21"/>
        </w:rPr>
        <w:t>XX</w:t>
      </w:r>
      <w:r>
        <w:rPr>
          <w:rFonts w:hint="eastAsia" w:ascii="宋体" w:hAnsi="宋体"/>
        </w:rPr>
        <w:t>月</w:t>
      </w:r>
      <w:r>
        <w:rPr>
          <w:rFonts w:hint="eastAsia" w:ascii="宋体" w:hAnsi="宋体"/>
          <w:szCs w:val="21"/>
        </w:rPr>
        <w:t>XX日</w:t>
      </w:r>
      <w:bookmarkEnd w:id="0"/>
      <w:bookmarkEnd w:id="1"/>
      <w:bookmarkEnd w:id="2"/>
      <w:bookmarkEnd w:id="3"/>
      <w:bookmarkEnd w:id="402"/>
      <w:bookmarkEnd w:id="403"/>
    </w:p>
    <w:sectPr>
      <w:footerReference r:id="rId12" w:type="default"/>
      <w:pgSz w:w="11906" w:h="16838"/>
      <w:pgMar w:top="1417" w:right="1417" w:bottom="1417" w:left="1417" w:header="1134" w:footer="992" w:gutter="0"/>
      <w:cols w:space="0" w:num="1"/>
      <w:docGrid w:type="linesAndChars" w:linePitch="31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90"/>
      </w:pPr>
      <w:r>
        <w:separator/>
      </w:r>
    </w:p>
  </w:endnote>
  <w:endnote w:type="continuationSeparator" w:id="1">
    <w:p>
      <w:pPr>
        <w:spacing w:line="240" w:lineRule="auto"/>
        <w:ind w:firstLine="4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8"/>
                  <w:ind w:firstLine="360"/>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71</w: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8"/>
                  <w:ind w:firstLine="360"/>
                </w:pPr>
                <w:r>
                  <w:fldChar w:fldCharType="begin"/>
                </w:r>
                <w:r>
                  <w:instrText xml:space="preserve"> PAGE  \* MERGEFORMAT </w:instrText>
                </w:r>
                <w:r>
                  <w:fldChar w:fldCharType="separate"/>
                </w:r>
                <w:r>
                  <w:t>47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8"/>
                  <w:ind w:firstLine="360"/>
                </w:pPr>
                <w:r>
                  <w:fldChar w:fldCharType="begin"/>
                </w:r>
                <w:r>
                  <w:instrText xml:space="preserve"> PAGE  \* MERGEFORMAT </w:instrText>
                </w:r>
                <w:r>
                  <w:fldChar w:fldCharType="separate"/>
                </w:r>
                <w:r>
                  <w:t>52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90"/>
      </w:pPr>
      <w:r>
        <w:separator/>
      </w:r>
    </w:p>
  </w:footnote>
  <w:footnote w:type="continuationSeparator" w:id="1">
    <w:p>
      <w:pPr>
        <w:spacing w:line="240" w:lineRule="auto"/>
        <w:ind w:firstLine="49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0" w:firstLineChars="0"/>
      <w:jc w:val="both"/>
      <w:rPr>
        <w:u w:val="single"/>
      </w:rPr>
    </w:pPr>
    <w:r>
      <w:rPr>
        <w:rFonts w:hint="eastAsia"/>
        <w:sz w:val="21"/>
        <w:szCs w:val="21"/>
        <w:u w:val="single"/>
      </w:rPr>
      <w:drawing>
        <wp:anchor distT="0" distB="0" distL="114300" distR="114300" simplePos="0" relativeHeight="251659264" behindDoc="1" locked="0" layoutInCell="1" allowOverlap="1">
          <wp:simplePos x="0" y="0"/>
          <wp:positionH relativeFrom="column">
            <wp:posOffset>-80010</wp:posOffset>
          </wp:positionH>
          <wp:positionV relativeFrom="paragraph">
            <wp:posOffset>-247650</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ED6FB"/>
    <w:multiLevelType w:val="singleLevel"/>
    <w:tmpl w:val="971ED6FB"/>
    <w:lvl w:ilvl="0" w:tentative="0">
      <w:start w:val="1"/>
      <w:numFmt w:val="chineseCounting"/>
      <w:suff w:val="nothing"/>
      <w:lvlText w:val="（%1）"/>
      <w:lvlJc w:val="left"/>
      <w:pPr>
        <w:ind w:left="0" w:firstLine="420"/>
      </w:pPr>
      <w:rPr>
        <w:rFonts w:hint="eastAsia"/>
      </w:rPr>
    </w:lvl>
  </w:abstractNum>
  <w:abstractNum w:abstractNumId="1">
    <w:nsid w:val="97A76D8D"/>
    <w:multiLevelType w:val="singleLevel"/>
    <w:tmpl w:val="97A76D8D"/>
    <w:lvl w:ilvl="0" w:tentative="0">
      <w:start w:val="1"/>
      <w:numFmt w:val="chineseCounting"/>
      <w:suff w:val="nothing"/>
      <w:lvlText w:val="（%1）"/>
      <w:lvlJc w:val="left"/>
      <w:pPr>
        <w:ind w:left="0" w:firstLine="420"/>
      </w:pPr>
      <w:rPr>
        <w:rFonts w:hint="eastAsia"/>
      </w:rPr>
    </w:lvl>
  </w:abstractNum>
  <w:abstractNum w:abstractNumId="2">
    <w:nsid w:val="C47B4B3C"/>
    <w:multiLevelType w:val="singleLevel"/>
    <w:tmpl w:val="C47B4B3C"/>
    <w:lvl w:ilvl="0" w:tentative="0">
      <w:start w:val="1"/>
      <w:numFmt w:val="decimal"/>
      <w:lvlText w:val="%1、"/>
      <w:lvlJc w:val="left"/>
      <w:pPr>
        <w:tabs>
          <w:tab w:val="left" w:pos="420"/>
        </w:tabs>
        <w:ind w:left="425" w:hanging="425"/>
      </w:pPr>
      <w:rPr>
        <w:rFonts w:hint="default"/>
      </w:rPr>
    </w:lvl>
  </w:abstractNum>
  <w:abstractNum w:abstractNumId="3">
    <w:nsid w:val="D79BAF09"/>
    <w:multiLevelType w:val="singleLevel"/>
    <w:tmpl w:val="D79BAF09"/>
    <w:lvl w:ilvl="0" w:tentative="0">
      <w:start w:val="1"/>
      <w:numFmt w:val="chineseCounting"/>
      <w:suff w:val="nothing"/>
      <w:lvlText w:val="%1、"/>
      <w:lvlJc w:val="left"/>
      <w:pPr>
        <w:ind w:left="0" w:firstLine="420"/>
      </w:pPr>
      <w:rPr>
        <w:rFonts w:hint="eastAsia"/>
      </w:rPr>
    </w:lvl>
  </w:abstractNum>
  <w:abstractNum w:abstractNumId="4">
    <w:nsid w:val="FF086FF3"/>
    <w:multiLevelType w:val="singleLevel"/>
    <w:tmpl w:val="FF086FF3"/>
    <w:lvl w:ilvl="0" w:tentative="0">
      <w:start w:val="1"/>
      <w:numFmt w:val="chineseCounting"/>
      <w:suff w:val="nothing"/>
      <w:lvlText w:val="%1、"/>
      <w:lvlJc w:val="left"/>
      <w:pPr>
        <w:ind w:left="0" w:firstLine="420"/>
      </w:pPr>
      <w:rPr>
        <w:rFonts w:hint="eastAsia"/>
      </w:r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1696" w:hanging="420"/>
      </w:pPr>
      <w:rPr>
        <w:rFonts w:hint="eastAsia"/>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88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E"/>
    <w:multiLevelType w:val="multilevel"/>
    <w:tmpl w:val="0000003E"/>
    <w:lvl w:ilvl="0" w:tentative="0">
      <w:start w:val="1"/>
      <w:numFmt w:val="chineseCountingThousand"/>
      <w:suff w:val="nothing"/>
      <w:lvlText w:val="%1、"/>
      <w:lvlJc w:val="left"/>
      <w:pPr>
        <w:ind w:left="1540" w:hanging="420"/>
      </w:pPr>
      <w:rPr>
        <w:rFonts w:hint="eastAsia"/>
        <w:b/>
        <w:i w:val="0"/>
        <w:iCs w:val="0"/>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0">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458E5B"/>
    <w:multiLevelType w:val="singleLevel"/>
    <w:tmpl w:val="1F458E5B"/>
    <w:lvl w:ilvl="0" w:tentative="0">
      <w:start w:val="1"/>
      <w:numFmt w:val="decimal"/>
      <w:lvlText w:val="%1、"/>
      <w:lvlJc w:val="left"/>
      <w:pPr>
        <w:tabs>
          <w:tab w:val="left" w:pos="420"/>
        </w:tabs>
        <w:ind w:left="425" w:leftChars="0" w:hanging="425" w:firstLineChars="0"/>
      </w:pPr>
      <w:rPr>
        <w:rFonts w:hint="default"/>
      </w:rPr>
    </w:lvl>
  </w:abstractNum>
  <w:abstractNum w:abstractNumId="1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ACF7A70"/>
    <w:multiLevelType w:val="singleLevel"/>
    <w:tmpl w:val="4ACF7A70"/>
    <w:lvl w:ilvl="0" w:tentative="0">
      <w:start w:val="1"/>
      <w:numFmt w:val="chineseCounting"/>
      <w:suff w:val="nothing"/>
      <w:lvlText w:val="%1、"/>
      <w:lvlJc w:val="left"/>
      <w:pPr>
        <w:ind w:left="0" w:firstLine="420"/>
      </w:pPr>
      <w:rPr>
        <w:rFonts w:hint="eastAsia"/>
      </w:rPr>
    </w:lvl>
  </w:abstractNum>
  <w:abstractNum w:abstractNumId="15">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6">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4C2964A"/>
    <w:multiLevelType w:val="singleLevel"/>
    <w:tmpl w:val="54C2964A"/>
    <w:lvl w:ilvl="0" w:tentative="0">
      <w:start w:val="1"/>
      <w:numFmt w:val="decimal"/>
      <w:suff w:val="nothing"/>
      <w:lvlText w:val="%1、"/>
      <w:lvlJc w:val="left"/>
    </w:lvl>
  </w:abstractNum>
  <w:abstractNum w:abstractNumId="18">
    <w:nsid w:val="58DDCC0E"/>
    <w:multiLevelType w:val="multilevel"/>
    <w:tmpl w:val="58DDCC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DDE819"/>
    <w:multiLevelType w:val="singleLevel"/>
    <w:tmpl w:val="58DDE819"/>
    <w:lvl w:ilvl="0" w:tentative="0">
      <w:start w:val="1"/>
      <w:numFmt w:val="chineseCounting"/>
      <w:suff w:val="nothing"/>
      <w:lvlText w:val="（%1）"/>
      <w:lvlJc w:val="left"/>
      <w:pPr>
        <w:ind w:left="0" w:firstLine="420"/>
      </w:pPr>
      <w:rPr>
        <w:rFonts w:hint="eastAsia"/>
      </w:rPr>
    </w:lvl>
  </w:abstractNum>
  <w:abstractNum w:abstractNumId="20">
    <w:nsid w:val="58DDF6CD"/>
    <w:multiLevelType w:val="singleLevel"/>
    <w:tmpl w:val="58DDF6CD"/>
    <w:lvl w:ilvl="0" w:tentative="0">
      <w:start w:val="1"/>
      <w:numFmt w:val="chineseCounting"/>
      <w:suff w:val="nothing"/>
      <w:lvlText w:val="%1、"/>
      <w:lvlJc w:val="left"/>
      <w:pPr>
        <w:ind w:left="0" w:firstLine="420"/>
      </w:pPr>
      <w:rPr>
        <w:rFonts w:hint="eastAsia"/>
      </w:rPr>
    </w:lvl>
  </w:abstractNum>
  <w:abstractNum w:abstractNumId="21">
    <w:nsid w:val="58E72D27"/>
    <w:multiLevelType w:val="singleLevel"/>
    <w:tmpl w:val="58E72D27"/>
    <w:lvl w:ilvl="0" w:tentative="0">
      <w:start w:val="1"/>
      <w:numFmt w:val="decimal"/>
      <w:lvlText w:val="%1."/>
      <w:lvlJc w:val="left"/>
      <w:pPr>
        <w:ind w:left="425" w:hanging="425"/>
      </w:pPr>
      <w:rPr>
        <w:rFonts w:hint="default"/>
      </w:rPr>
    </w:lvl>
  </w:abstractNum>
  <w:abstractNum w:abstractNumId="22">
    <w:nsid w:val="59DEF6EB"/>
    <w:multiLevelType w:val="singleLevel"/>
    <w:tmpl w:val="59DEF6EB"/>
    <w:lvl w:ilvl="0" w:tentative="0">
      <w:start w:val="1"/>
      <w:numFmt w:val="chineseCounting"/>
      <w:suff w:val="nothing"/>
      <w:lvlText w:val="%1、"/>
      <w:lvlJc w:val="left"/>
    </w:lvl>
  </w:abstractNum>
  <w:abstractNum w:abstractNumId="23">
    <w:nsid w:val="59DF2960"/>
    <w:multiLevelType w:val="singleLevel"/>
    <w:tmpl w:val="59DF2960"/>
    <w:lvl w:ilvl="0" w:tentative="0">
      <w:start w:val="1"/>
      <w:numFmt w:val="chineseCounting"/>
      <w:suff w:val="nothing"/>
      <w:lvlText w:val="（%1）"/>
      <w:lvlJc w:val="left"/>
      <w:pPr>
        <w:ind w:left="0" w:firstLine="420"/>
      </w:pPr>
      <w:rPr>
        <w:rFonts w:hint="eastAsia"/>
      </w:rPr>
    </w:lvl>
  </w:abstractNum>
  <w:abstractNum w:abstractNumId="24">
    <w:nsid w:val="59DF297E"/>
    <w:multiLevelType w:val="singleLevel"/>
    <w:tmpl w:val="59DF297E"/>
    <w:lvl w:ilvl="0" w:tentative="0">
      <w:start w:val="1"/>
      <w:numFmt w:val="chineseCounting"/>
      <w:suff w:val="nothing"/>
      <w:lvlText w:val="（%1）"/>
      <w:lvlJc w:val="left"/>
      <w:pPr>
        <w:ind w:left="0" w:firstLine="420"/>
      </w:pPr>
      <w:rPr>
        <w:rFonts w:hint="eastAsia"/>
      </w:rPr>
    </w:lvl>
  </w:abstractNum>
  <w:abstractNum w:abstractNumId="25">
    <w:nsid w:val="5A1BBB23"/>
    <w:multiLevelType w:val="singleLevel"/>
    <w:tmpl w:val="5A1BBB23"/>
    <w:lvl w:ilvl="0" w:tentative="0">
      <w:start w:val="1"/>
      <w:numFmt w:val="chineseCounting"/>
      <w:suff w:val="nothing"/>
      <w:lvlText w:val="（%1）"/>
      <w:lvlJc w:val="left"/>
    </w:lvl>
  </w:abstractNum>
  <w:abstractNum w:abstractNumId="26">
    <w:nsid w:val="5A1BC085"/>
    <w:multiLevelType w:val="singleLevel"/>
    <w:tmpl w:val="5A1BC085"/>
    <w:lvl w:ilvl="0" w:tentative="0">
      <w:start w:val="1"/>
      <w:numFmt w:val="chineseCounting"/>
      <w:suff w:val="nothing"/>
      <w:lvlText w:val="%1、"/>
      <w:lvlJc w:val="left"/>
      <w:pPr>
        <w:ind w:left="0" w:firstLine="420"/>
      </w:pPr>
      <w:rPr>
        <w:rFonts w:hint="eastAsia"/>
      </w:rPr>
    </w:lvl>
  </w:abstractNum>
  <w:abstractNum w:abstractNumId="27">
    <w:nsid w:val="5A1BC096"/>
    <w:multiLevelType w:val="singleLevel"/>
    <w:tmpl w:val="5A1BC096"/>
    <w:lvl w:ilvl="0" w:tentative="0">
      <w:start w:val="1"/>
      <w:numFmt w:val="chineseCounting"/>
      <w:suff w:val="nothing"/>
      <w:lvlText w:val="%1、"/>
      <w:lvlJc w:val="left"/>
      <w:pPr>
        <w:ind w:left="0" w:firstLine="420"/>
      </w:pPr>
      <w:rPr>
        <w:rFonts w:hint="eastAsia"/>
      </w:rPr>
    </w:lvl>
  </w:abstractNum>
  <w:abstractNum w:abstractNumId="28">
    <w:nsid w:val="5A1BC0C9"/>
    <w:multiLevelType w:val="singleLevel"/>
    <w:tmpl w:val="5A1BC0C9"/>
    <w:lvl w:ilvl="0" w:tentative="0">
      <w:start w:val="1"/>
      <w:numFmt w:val="chineseCounting"/>
      <w:suff w:val="nothing"/>
      <w:lvlText w:val="%1、"/>
      <w:lvlJc w:val="left"/>
      <w:pPr>
        <w:ind w:left="0" w:firstLine="420"/>
      </w:pPr>
      <w:rPr>
        <w:rFonts w:hint="eastAsia"/>
      </w:rPr>
    </w:lvl>
  </w:abstractNum>
  <w:abstractNum w:abstractNumId="29">
    <w:nsid w:val="5A1BC0DF"/>
    <w:multiLevelType w:val="singleLevel"/>
    <w:tmpl w:val="5A1BC0DF"/>
    <w:lvl w:ilvl="0" w:tentative="0">
      <w:start w:val="1"/>
      <w:numFmt w:val="chineseCounting"/>
      <w:suff w:val="nothing"/>
      <w:lvlText w:val="%1、"/>
      <w:lvlJc w:val="left"/>
      <w:pPr>
        <w:ind w:left="0" w:firstLine="420"/>
      </w:pPr>
      <w:rPr>
        <w:rFonts w:hint="eastAsia"/>
      </w:rPr>
    </w:lvl>
  </w:abstractNum>
  <w:abstractNum w:abstractNumId="30">
    <w:nsid w:val="5A1BC0F2"/>
    <w:multiLevelType w:val="singleLevel"/>
    <w:tmpl w:val="5A1BC0F2"/>
    <w:lvl w:ilvl="0" w:tentative="0">
      <w:start w:val="1"/>
      <w:numFmt w:val="chineseCounting"/>
      <w:suff w:val="nothing"/>
      <w:lvlText w:val="%1、"/>
      <w:lvlJc w:val="left"/>
      <w:pPr>
        <w:ind w:left="0" w:firstLine="420"/>
      </w:pPr>
      <w:rPr>
        <w:rFonts w:hint="eastAsia"/>
      </w:rPr>
    </w:lvl>
  </w:abstractNum>
  <w:abstractNum w:abstractNumId="31">
    <w:nsid w:val="5A1BC104"/>
    <w:multiLevelType w:val="singleLevel"/>
    <w:tmpl w:val="5A1BC104"/>
    <w:lvl w:ilvl="0" w:tentative="0">
      <w:start w:val="1"/>
      <w:numFmt w:val="chineseCounting"/>
      <w:suff w:val="nothing"/>
      <w:lvlText w:val="%1、"/>
      <w:lvlJc w:val="left"/>
      <w:pPr>
        <w:ind w:left="0" w:firstLine="420"/>
      </w:pPr>
      <w:rPr>
        <w:rFonts w:hint="eastAsia"/>
      </w:rPr>
    </w:lvl>
  </w:abstractNum>
  <w:abstractNum w:abstractNumId="32">
    <w:nsid w:val="5A1BC12D"/>
    <w:multiLevelType w:val="singleLevel"/>
    <w:tmpl w:val="5A1BC12D"/>
    <w:lvl w:ilvl="0" w:tentative="0">
      <w:start w:val="1"/>
      <w:numFmt w:val="chineseCounting"/>
      <w:suff w:val="nothing"/>
      <w:lvlText w:val="%1、"/>
      <w:lvlJc w:val="left"/>
      <w:pPr>
        <w:ind w:left="0" w:firstLine="420"/>
      </w:pPr>
      <w:rPr>
        <w:rFonts w:hint="eastAsia"/>
      </w:rPr>
    </w:lvl>
  </w:abstractNum>
  <w:abstractNum w:abstractNumId="33">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4">
    <w:nsid w:val="5A1BCF2F"/>
    <w:multiLevelType w:val="singleLevel"/>
    <w:tmpl w:val="5A1BCF2F"/>
    <w:lvl w:ilvl="0" w:tentative="0">
      <w:start w:val="1"/>
      <w:numFmt w:val="chineseCounting"/>
      <w:suff w:val="nothing"/>
      <w:lvlText w:val="%1、"/>
      <w:lvlJc w:val="left"/>
      <w:pPr>
        <w:ind w:left="0" w:firstLine="420"/>
      </w:pPr>
      <w:rPr>
        <w:rFonts w:hint="eastAsia"/>
      </w:rPr>
    </w:lvl>
  </w:abstractNum>
  <w:abstractNum w:abstractNumId="35">
    <w:nsid w:val="5A1BCF5D"/>
    <w:multiLevelType w:val="singleLevel"/>
    <w:tmpl w:val="5A1BCF5D"/>
    <w:lvl w:ilvl="0" w:tentative="0">
      <w:start w:val="1"/>
      <w:numFmt w:val="decimal"/>
      <w:suff w:val="nothing"/>
      <w:lvlText w:val="%1、"/>
      <w:lvlJc w:val="left"/>
    </w:lvl>
  </w:abstractNum>
  <w:abstractNum w:abstractNumId="36">
    <w:nsid w:val="5A1BD2C8"/>
    <w:multiLevelType w:val="singleLevel"/>
    <w:tmpl w:val="5A1BD2C8"/>
    <w:lvl w:ilvl="0" w:tentative="0">
      <w:start w:val="1"/>
      <w:numFmt w:val="chineseCounting"/>
      <w:suff w:val="nothing"/>
      <w:lvlText w:val="%1、"/>
      <w:lvlJc w:val="left"/>
      <w:pPr>
        <w:ind w:left="0" w:firstLine="420"/>
      </w:pPr>
      <w:rPr>
        <w:rFonts w:hint="eastAsia"/>
      </w:rPr>
    </w:lvl>
  </w:abstractNum>
  <w:abstractNum w:abstractNumId="37">
    <w:nsid w:val="5A1BD3D3"/>
    <w:multiLevelType w:val="singleLevel"/>
    <w:tmpl w:val="5A1BD3D3"/>
    <w:lvl w:ilvl="0" w:tentative="0">
      <w:start w:val="1"/>
      <w:numFmt w:val="chineseCounting"/>
      <w:suff w:val="nothing"/>
      <w:lvlText w:val="%1、"/>
      <w:lvlJc w:val="left"/>
      <w:pPr>
        <w:ind w:left="0" w:firstLine="420"/>
      </w:pPr>
      <w:rPr>
        <w:rFonts w:hint="eastAsia"/>
      </w:rPr>
    </w:lvl>
  </w:abstractNum>
  <w:abstractNum w:abstractNumId="38">
    <w:nsid w:val="5A1BD3EE"/>
    <w:multiLevelType w:val="singleLevel"/>
    <w:tmpl w:val="5A1BD3EE"/>
    <w:lvl w:ilvl="0" w:tentative="0">
      <w:start w:val="1"/>
      <w:numFmt w:val="chineseCounting"/>
      <w:suff w:val="nothing"/>
      <w:lvlText w:val="%1、"/>
      <w:lvlJc w:val="left"/>
      <w:pPr>
        <w:ind w:left="0" w:firstLine="420"/>
      </w:pPr>
      <w:rPr>
        <w:rFonts w:hint="eastAsia"/>
      </w:rPr>
    </w:lvl>
  </w:abstractNum>
  <w:abstractNum w:abstractNumId="39">
    <w:nsid w:val="5A1CF407"/>
    <w:multiLevelType w:val="singleLevel"/>
    <w:tmpl w:val="5A1CF407"/>
    <w:lvl w:ilvl="0" w:tentative="0">
      <w:start w:val="1"/>
      <w:numFmt w:val="chineseCounting"/>
      <w:suff w:val="nothing"/>
      <w:lvlText w:val="（%1）"/>
      <w:lvlJc w:val="left"/>
      <w:pPr>
        <w:ind w:left="0" w:firstLine="420"/>
      </w:pPr>
      <w:rPr>
        <w:rFonts w:hint="eastAsia"/>
      </w:rPr>
    </w:lvl>
  </w:abstractNum>
  <w:abstractNum w:abstractNumId="40">
    <w:nsid w:val="5A1CF43F"/>
    <w:multiLevelType w:val="singleLevel"/>
    <w:tmpl w:val="5A1CF43F"/>
    <w:lvl w:ilvl="0" w:tentative="0">
      <w:start w:val="1"/>
      <w:numFmt w:val="chineseCounting"/>
      <w:suff w:val="nothing"/>
      <w:lvlText w:val="%1、"/>
      <w:lvlJc w:val="left"/>
      <w:pPr>
        <w:ind w:left="0" w:firstLine="420"/>
      </w:pPr>
      <w:rPr>
        <w:rFonts w:hint="eastAsia"/>
      </w:rPr>
    </w:lvl>
  </w:abstractNum>
  <w:abstractNum w:abstractNumId="41">
    <w:nsid w:val="5A1CF453"/>
    <w:multiLevelType w:val="singleLevel"/>
    <w:tmpl w:val="5A1CF453"/>
    <w:lvl w:ilvl="0" w:tentative="0">
      <w:start w:val="1"/>
      <w:numFmt w:val="chineseCounting"/>
      <w:suff w:val="nothing"/>
      <w:lvlText w:val="（%1）"/>
      <w:lvlJc w:val="left"/>
      <w:pPr>
        <w:ind w:left="0" w:firstLine="420"/>
      </w:pPr>
      <w:rPr>
        <w:rFonts w:hint="eastAsia"/>
      </w:rPr>
    </w:lvl>
  </w:abstractNum>
  <w:abstractNum w:abstractNumId="42">
    <w:nsid w:val="5A1CF847"/>
    <w:multiLevelType w:val="singleLevel"/>
    <w:tmpl w:val="5A1CF847"/>
    <w:lvl w:ilvl="0" w:tentative="0">
      <w:start w:val="1"/>
      <w:numFmt w:val="chineseCounting"/>
      <w:suff w:val="nothing"/>
      <w:lvlText w:val="%1、"/>
      <w:lvlJc w:val="left"/>
      <w:pPr>
        <w:ind w:left="0" w:firstLine="420"/>
      </w:pPr>
      <w:rPr>
        <w:rFonts w:hint="eastAsia"/>
      </w:rPr>
    </w:lvl>
  </w:abstractNum>
  <w:abstractNum w:abstractNumId="43">
    <w:nsid w:val="5A1CF8F5"/>
    <w:multiLevelType w:val="singleLevel"/>
    <w:tmpl w:val="5A1CF8F5"/>
    <w:lvl w:ilvl="0" w:tentative="0">
      <w:start w:val="1"/>
      <w:numFmt w:val="chineseCounting"/>
      <w:suff w:val="nothing"/>
      <w:lvlText w:val="%1、"/>
      <w:lvlJc w:val="left"/>
      <w:pPr>
        <w:ind w:left="0" w:firstLine="420"/>
      </w:pPr>
      <w:rPr>
        <w:rFonts w:hint="eastAsia"/>
      </w:rPr>
    </w:lvl>
  </w:abstractNum>
  <w:abstractNum w:abstractNumId="44">
    <w:nsid w:val="5A1CFC04"/>
    <w:multiLevelType w:val="singleLevel"/>
    <w:tmpl w:val="5A1CFC04"/>
    <w:lvl w:ilvl="0" w:tentative="0">
      <w:start w:val="1"/>
      <w:numFmt w:val="chineseCounting"/>
      <w:suff w:val="nothing"/>
      <w:lvlText w:val="%1、"/>
      <w:lvlJc w:val="left"/>
      <w:pPr>
        <w:ind w:left="0" w:firstLine="420"/>
      </w:pPr>
      <w:rPr>
        <w:rFonts w:hint="eastAsia"/>
      </w:rPr>
    </w:lvl>
  </w:abstractNum>
  <w:abstractNum w:abstractNumId="45">
    <w:nsid w:val="5A1D0417"/>
    <w:multiLevelType w:val="singleLevel"/>
    <w:tmpl w:val="5A1D0417"/>
    <w:lvl w:ilvl="0" w:tentative="0">
      <w:start w:val="1"/>
      <w:numFmt w:val="chineseCounting"/>
      <w:suff w:val="nothing"/>
      <w:lvlText w:val="%1、"/>
      <w:lvlJc w:val="left"/>
      <w:pPr>
        <w:ind w:left="0" w:firstLine="420"/>
      </w:pPr>
      <w:rPr>
        <w:rFonts w:hint="eastAsia"/>
      </w:rPr>
    </w:lvl>
  </w:abstractNum>
  <w:abstractNum w:abstractNumId="46">
    <w:nsid w:val="5A1FAC91"/>
    <w:multiLevelType w:val="singleLevel"/>
    <w:tmpl w:val="5A1FAC91"/>
    <w:lvl w:ilvl="0" w:tentative="0">
      <w:start w:val="1"/>
      <w:numFmt w:val="chineseCounting"/>
      <w:suff w:val="nothing"/>
      <w:lvlText w:val="%1、"/>
      <w:lvlJc w:val="left"/>
      <w:pPr>
        <w:ind w:left="0" w:firstLine="420"/>
      </w:pPr>
      <w:rPr>
        <w:rFonts w:hint="eastAsia"/>
      </w:rPr>
    </w:lvl>
  </w:abstractNum>
  <w:abstractNum w:abstractNumId="47">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8">
    <w:nsid w:val="5A24ED4D"/>
    <w:multiLevelType w:val="singleLevel"/>
    <w:tmpl w:val="5A24ED4D"/>
    <w:lvl w:ilvl="0" w:tentative="0">
      <w:start w:val="1"/>
      <w:numFmt w:val="chineseCounting"/>
      <w:suff w:val="nothing"/>
      <w:lvlText w:val="%1、"/>
      <w:lvlJc w:val="left"/>
      <w:pPr>
        <w:ind w:left="0" w:firstLine="420"/>
      </w:pPr>
      <w:rPr>
        <w:rFonts w:hint="eastAsia"/>
      </w:rPr>
    </w:lvl>
  </w:abstractNum>
  <w:abstractNum w:abstractNumId="49">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50">
    <w:nsid w:val="5A24ED80"/>
    <w:multiLevelType w:val="singleLevel"/>
    <w:tmpl w:val="5A24ED80"/>
    <w:lvl w:ilvl="0" w:tentative="0">
      <w:start w:val="1"/>
      <w:numFmt w:val="chineseCounting"/>
      <w:suff w:val="nothing"/>
      <w:lvlText w:val="%1、"/>
      <w:lvlJc w:val="left"/>
      <w:pPr>
        <w:ind w:left="0" w:firstLine="420"/>
      </w:pPr>
      <w:rPr>
        <w:rFonts w:hint="eastAsia"/>
      </w:rPr>
    </w:lvl>
  </w:abstractNum>
  <w:abstractNum w:abstractNumId="51">
    <w:nsid w:val="5A24ED8E"/>
    <w:multiLevelType w:val="singleLevel"/>
    <w:tmpl w:val="5A24ED8E"/>
    <w:lvl w:ilvl="0" w:tentative="0">
      <w:start w:val="1"/>
      <w:numFmt w:val="chineseCounting"/>
      <w:suff w:val="nothing"/>
      <w:lvlText w:val="%1、"/>
      <w:lvlJc w:val="left"/>
      <w:pPr>
        <w:ind w:left="0" w:firstLine="420"/>
      </w:pPr>
      <w:rPr>
        <w:rFonts w:hint="eastAsia"/>
      </w:rPr>
    </w:lvl>
  </w:abstractNum>
  <w:abstractNum w:abstractNumId="52">
    <w:nsid w:val="5A24EE1D"/>
    <w:multiLevelType w:val="singleLevel"/>
    <w:tmpl w:val="5A24EE1D"/>
    <w:lvl w:ilvl="0" w:tentative="0">
      <w:start w:val="1"/>
      <w:numFmt w:val="chineseCounting"/>
      <w:suff w:val="nothing"/>
      <w:lvlText w:val="%1、"/>
      <w:lvlJc w:val="left"/>
      <w:pPr>
        <w:ind w:left="0" w:firstLine="420"/>
      </w:pPr>
      <w:rPr>
        <w:rFonts w:hint="eastAsia"/>
      </w:rPr>
    </w:lvl>
  </w:abstractNum>
  <w:abstractNum w:abstractNumId="53">
    <w:nsid w:val="5A24EE2D"/>
    <w:multiLevelType w:val="singleLevel"/>
    <w:tmpl w:val="5A24EE2D"/>
    <w:lvl w:ilvl="0" w:tentative="0">
      <w:start w:val="1"/>
      <w:numFmt w:val="chineseCounting"/>
      <w:suff w:val="nothing"/>
      <w:lvlText w:val="%1、"/>
      <w:lvlJc w:val="left"/>
      <w:pPr>
        <w:ind w:left="0" w:firstLine="420"/>
      </w:pPr>
      <w:rPr>
        <w:rFonts w:hint="eastAsia"/>
      </w:rPr>
    </w:lvl>
  </w:abstractNum>
  <w:abstractNum w:abstractNumId="54">
    <w:nsid w:val="5A24EE3F"/>
    <w:multiLevelType w:val="singleLevel"/>
    <w:tmpl w:val="5A24EE3F"/>
    <w:lvl w:ilvl="0" w:tentative="0">
      <w:start w:val="1"/>
      <w:numFmt w:val="chineseCounting"/>
      <w:suff w:val="nothing"/>
      <w:lvlText w:val="%1、"/>
      <w:lvlJc w:val="left"/>
      <w:pPr>
        <w:ind w:left="0" w:firstLine="420"/>
      </w:pPr>
      <w:rPr>
        <w:rFonts w:hint="eastAsia"/>
      </w:rPr>
    </w:lvl>
  </w:abstractNum>
  <w:abstractNum w:abstractNumId="55">
    <w:nsid w:val="5A24EE53"/>
    <w:multiLevelType w:val="singleLevel"/>
    <w:tmpl w:val="5A24EE53"/>
    <w:lvl w:ilvl="0" w:tentative="0">
      <w:start w:val="1"/>
      <w:numFmt w:val="chineseCounting"/>
      <w:suff w:val="nothing"/>
      <w:lvlText w:val="（%1）"/>
      <w:lvlJc w:val="left"/>
      <w:pPr>
        <w:ind w:left="0" w:firstLine="420"/>
      </w:pPr>
      <w:rPr>
        <w:rFonts w:hint="eastAsia"/>
      </w:rPr>
    </w:lvl>
  </w:abstractNum>
  <w:abstractNum w:abstractNumId="56">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57">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8">
    <w:nsid w:val="6FCB37F9"/>
    <w:multiLevelType w:val="singleLevel"/>
    <w:tmpl w:val="6FCB37F9"/>
    <w:lvl w:ilvl="0" w:tentative="0">
      <w:start w:val="1"/>
      <w:numFmt w:val="decimal"/>
      <w:suff w:val="nothing"/>
      <w:lvlText w:val="%1、"/>
      <w:lvlJc w:val="left"/>
    </w:lvl>
  </w:abstractNum>
  <w:abstractNum w:abstractNumId="59">
    <w:nsid w:val="7BF64CA9"/>
    <w:multiLevelType w:val="multilevel"/>
    <w:tmpl w:val="7BF64CA9"/>
    <w:lvl w:ilvl="0" w:tentative="0">
      <w:start w:val="1"/>
      <w:numFmt w:val="chineseCountingThousand"/>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8"/>
  </w:num>
  <w:num w:numId="2">
    <w:abstractNumId w:val="13"/>
  </w:num>
  <w:num w:numId="3">
    <w:abstractNumId w:val="9"/>
  </w:num>
  <w:num w:numId="4">
    <w:abstractNumId w:val="16"/>
  </w:num>
  <w:num w:numId="5">
    <w:abstractNumId w:val="11"/>
  </w:num>
  <w:num w:numId="6">
    <w:abstractNumId w:val="2"/>
  </w:num>
  <w:num w:numId="7">
    <w:abstractNumId w:val="58"/>
  </w:num>
  <w:num w:numId="8">
    <w:abstractNumId w:val="59"/>
  </w:num>
  <w:num w:numId="9">
    <w:abstractNumId w:val="7"/>
  </w:num>
  <w:num w:numId="10">
    <w:abstractNumId w:val="25"/>
  </w:num>
  <w:num w:numId="11">
    <w:abstractNumId w:val="26"/>
  </w:num>
  <w:num w:numId="12">
    <w:abstractNumId w:val="27"/>
  </w:num>
  <w:num w:numId="13">
    <w:abstractNumId w:val="29"/>
  </w:num>
  <w:num w:numId="14">
    <w:abstractNumId w:val="5"/>
  </w:num>
  <w:num w:numId="15">
    <w:abstractNumId w:val="28"/>
  </w:num>
  <w:num w:numId="16">
    <w:abstractNumId w:val="30"/>
  </w:num>
  <w:num w:numId="17">
    <w:abstractNumId w:val="31"/>
  </w:num>
  <w:num w:numId="18">
    <w:abstractNumId w:val="32"/>
  </w:num>
  <w:num w:numId="19">
    <w:abstractNumId w:val="24"/>
  </w:num>
  <w:num w:numId="20">
    <w:abstractNumId w:val="23"/>
  </w:num>
  <w:num w:numId="21">
    <w:abstractNumId w:val="51"/>
  </w:num>
  <w:num w:numId="22">
    <w:abstractNumId w:val="50"/>
  </w:num>
  <w:num w:numId="23">
    <w:abstractNumId w:val="0"/>
  </w:num>
  <w:num w:numId="24">
    <w:abstractNumId w:val="49"/>
  </w:num>
  <w:num w:numId="25">
    <w:abstractNumId w:val="33"/>
  </w:num>
  <w:num w:numId="26">
    <w:abstractNumId w:val="46"/>
  </w:num>
  <w:num w:numId="27">
    <w:abstractNumId w:val="35"/>
  </w:num>
  <w:num w:numId="28">
    <w:abstractNumId w:val="34"/>
  </w:num>
  <w:num w:numId="29">
    <w:abstractNumId w:val="48"/>
  </w:num>
  <w:num w:numId="30">
    <w:abstractNumId w:val="47"/>
  </w:num>
  <w:num w:numId="31">
    <w:abstractNumId w:val="36"/>
  </w:num>
  <w:num w:numId="32">
    <w:abstractNumId w:val="37"/>
  </w:num>
  <w:num w:numId="33">
    <w:abstractNumId w:val="38"/>
  </w:num>
  <w:num w:numId="34">
    <w:abstractNumId w:val="18"/>
  </w:num>
  <w:num w:numId="35">
    <w:abstractNumId w:val="52"/>
  </w:num>
  <w:num w:numId="36">
    <w:abstractNumId w:val="53"/>
  </w:num>
  <w:num w:numId="37">
    <w:abstractNumId w:val="54"/>
  </w:num>
  <w:num w:numId="38">
    <w:abstractNumId w:val="55"/>
  </w:num>
  <w:num w:numId="39">
    <w:abstractNumId w:val="56"/>
  </w:num>
  <w:num w:numId="40">
    <w:abstractNumId w:val="21"/>
  </w:num>
  <w:num w:numId="41">
    <w:abstractNumId w:val="6"/>
  </w:num>
  <w:num w:numId="42">
    <w:abstractNumId w:val="22"/>
  </w:num>
  <w:num w:numId="43">
    <w:abstractNumId w:val="4"/>
  </w:num>
  <w:num w:numId="44">
    <w:abstractNumId w:val="14"/>
  </w:num>
  <w:num w:numId="45">
    <w:abstractNumId w:val="42"/>
  </w:num>
  <w:num w:numId="46">
    <w:abstractNumId w:val="39"/>
  </w:num>
  <w:num w:numId="47">
    <w:abstractNumId w:val="40"/>
  </w:num>
  <w:num w:numId="48">
    <w:abstractNumId w:val="19"/>
  </w:num>
  <w:num w:numId="49">
    <w:abstractNumId w:val="41"/>
  </w:num>
  <w:num w:numId="50">
    <w:abstractNumId w:val="43"/>
  </w:num>
  <w:num w:numId="51">
    <w:abstractNumId w:val="1"/>
  </w:num>
  <w:num w:numId="52">
    <w:abstractNumId w:val="44"/>
  </w:num>
  <w:num w:numId="53">
    <w:abstractNumId w:val="20"/>
  </w:num>
  <w:num w:numId="54">
    <w:abstractNumId w:val="57"/>
  </w:num>
  <w:num w:numId="55">
    <w:abstractNumId w:val="17"/>
  </w:num>
  <w:num w:numId="56">
    <w:abstractNumId w:val="15"/>
  </w:num>
  <w:num w:numId="57">
    <w:abstractNumId w:val="3"/>
  </w:num>
  <w:num w:numId="58">
    <w:abstractNumId w:val="45"/>
  </w:num>
  <w:num w:numId="59">
    <w:abstractNumId w:val="12"/>
  </w:num>
  <w:num w:numId="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7D"/>
    <w:rsid w:val="00001C48"/>
    <w:rsid w:val="000024BC"/>
    <w:rsid w:val="00002925"/>
    <w:rsid w:val="00002C9E"/>
    <w:rsid w:val="0000472D"/>
    <w:rsid w:val="0000474A"/>
    <w:rsid w:val="00005414"/>
    <w:rsid w:val="000063D3"/>
    <w:rsid w:val="00007224"/>
    <w:rsid w:val="0000785C"/>
    <w:rsid w:val="000079C1"/>
    <w:rsid w:val="00007B68"/>
    <w:rsid w:val="00010AA2"/>
    <w:rsid w:val="00011086"/>
    <w:rsid w:val="00011A95"/>
    <w:rsid w:val="00012E61"/>
    <w:rsid w:val="00012F72"/>
    <w:rsid w:val="000131F9"/>
    <w:rsid w:val="000137C9"/>
    <w:rsid w:val="0001595A"/>
    <w:rsid w:val="00015DFB"/>
    <w:rsid w:val="00016AEA"/>
    <w:rsid w:val="00016E6A"/>
    <w:rsid w:val="00017F59"/>
    <w:rsid w:val="00020D79"/>
    <w:rsid w:val="00020DEE"/>
    <w:rsid w:val="00022677"/>
    <w:rsid w:val="00023399"/>
    <w:rsid w:val="000237E8"/>
    <w:rsid w:val="00023C54"/>
    <w:rsid w:val="00025F80"/>
    <w:rsid w:val="000313FF"/>
    <w:rsid w:val="00031419"/>
    <w:rsid w:val="00031528"/>
    <w:rsid w:val="00032B2C"/>
    <w:rsid w:val="000333CD"/>
    <w:rsid w:val="0003378B"/>
    <w:rsid w:val="000362A1"/>
    <w:rsid w:val="0003758F"/>
    <w:rsid w:val="000407F3"/>
    <w:rsid w:val="000409AA"/>
    <w:rsid w:val="00041BEB"/>
    <w:rsid w:val="0004286E"/>
    <w:rsid w:val="00042BB9"/>
    <w:rsid w:val="000438F0"/>
    <w:rsid w:val="000441EC"/>
    <w:rsid w:val="00044B0E"/>
    <w:rsid w:val="00044C1C"/>
    <w:rsid w:val="00044C8B"/>
    <w:rsid w:val="00044E8E"/>
    <w:rsid w:val="000475E5"/>
    <w:rsid w:val="00047FF4"/>
    <w:rsid w:val="00050B69"/>
    <w:rsid w:val="00050F96"/>
    <w:rsid w:val="00051825"/>
    <w:rsid w:val="00051C3A"/>
    <w:rsid w:val="000534BC"/>
    <w:rsid w:val="00055385"/>
    <w:rsid w:val="00056A07"/>
    <w:rsid w:val="00060163"/>
    <w:rsid w:val="000607DB"/>
    <w:rsid w:val="00061646"/>
    <w:rsid w:val="00062E57"/>
    <w:rsid w:val="00063A8E"/>
    <w:rsid w:val="00063B12"/>
    <w:rsid w:val="000665D0"/>
    <w:rsid w:val="00066BB4"/>
    <w:rsid w:val="00070CFF"/>
    <w:rsid w:val="00070FAF"/>
    <w:rsid w:val="00071456"/>
    <w:rsid w:val="00072924"/>
    <w:rsid w:val="0007459A"/>
    <w:rsid w:val="00075B9D"/>
    <w:rsid w:val="00076503"/>
    <w:rsid w:val="000773C7"/>
    <w:rsid w:val="000803E3"/>
    <w:rsid w:val="00081263"/>
    <w:rsid w:val="00081796"/>
    <w:rsid w:val="000818BC"/>
    <w:rsid w:val="00082655"/>
    <w:rsid w:val="000828C1"/>
    <w:rsid w:val="00083B0F"/>
    <w:rsid w:val="000846BC"/>
    <w:rsid w:val="00086155"/>
    <w:rsid w:val="00086D0F"/>
    <w:rsid w:val="00087903"/>
    <w:rsid w:val="00090956"/>
    <w:rsid w:val="00090A26"/>
    <w:rsid w:val="00090F84"/>
    <w:rsid w:val="0009171D"/>
    <w:rsid w:val="000943C7"/>
    <w:rsid w:val="00094C47"/>
    <w:rsid w:val="00096B87"/>
    <w:rsid w:val="000A002D"/>
    <w:rsid w:val="000A1FEC"/>
    <w:rsid w:val="000A2516"/>
    <w:rsid w:val="000A2D60"/>
    <w:rsid w:val="000A332B"/>
    <w:rsid w:val="000A37CF"/>
    <w:rsid w:val="000A4AE9"/>
    <w:rsid w:val="000A55FA"/>
    <w:rsid w:val="000A5FEE"/>
    <w:rsid w:val="000A7254"/>
    <w:rsid w:val="000A7C79"/>
    <w:rsid w:val="000B0976"/>
    <w:rsid w:val="000B0BF4"/>
    <w:rsid w:val="000B0E0B"/>
    <w:rsid w:val="000B23A3"/>
    <w:rsid w:val="000B2D86"/>
    <w:rsid w:val="000B3FEE"/>
    <w:rsid w:val="000B475F"/>
    <w:rsid w:val="000B4E88"/>
    <w:rsid w:val="000B54AD"/>
    <w:rsid w:val="000B5871"/>
    <w:rsid w:val="000B6AF2"/>
    <w:rsid w:val="000B6BD4"/>
    <w:rsid w:val="000B7961"/>
    <w:rsid w:val="000B7C61"/>
    <w:rsid w:val="000B7FB1"/>
    <w:rsid w:val="000C0116"/>
    <w:rsid w:val="000C0494"/>
    <w:rsid w:val="000C0A55"/>
    <w:rsid w:val="000C0CBA"/>
    <w:rsid w:val="000C15BB"/>
    <w:rsid w:val="000C194A"/>
    <w:rsid w:val="000C2C9F"/>
    <w:rsid w:val="000C2FFF"/>
    <w:rsid w:val="000C4F52"/>
    <w:rsid w:val="000C50B5"/>
    <w:rsid w:val="000C54CF"/>
    <w:rsid w:val="000C5F00"/>
    <w:rsid w:val="000C631A"/>
    <w:rsid w:val="000C6AD8"/>
    <w:rsid w:val="000C7C10"/>
    <w:rsid w:val="000D0055"/>
    <w:rsid w:val="000D066E"/>
    <w:rsid w:val="000D0D43"/>
    <w:rsid w:val="000D22E2"/>
    <w:rsid w:val="000D294E"/>
    <w:rsid w:val="000D3935"/>
    <w:rsid w:val="000D3FF3"/>
    <w:rsid w:val="000D54CA"/>
    <w:rsid w:val="000D57E3"/>
    <w:rsid w:val="000D5A59"/>
    <w:rsid w:val="000D62E7"/>
    <w:rsid w:val="000D72FC"/>
    <w:rsid w:val="000E01BD"/>
    <w:rsid w:val="000E09B4"/>
    <w:rsid w:val="000E1FD9"/>
    <w:rsid w:val="000E23F4"/>
    <w:rsid w:val="000E2E34"/>
    <w:rsid w:val="000E38D8"/>
    <w:rsid w:val="000E3B32"/>
    <w:rsid w:val="000E5907"/>
    <w:rsid w:val="000E5EAD"/>
    <w:rsid w:val="000E70F9"/>
    <w:rsid w:val="000E7772"/>
    <w:rsid w:val="000F1339"/>
    <w:rsid w:val="000F22BF"/>
    <w:rsid w:val="000F26BC"/>
    <w:rsid w:val="000F26C6"/>
    <w:rsid w:val="000F3701"/>
    <w:rsid w:val="000F51A7"/>
    <w:rsid w:val="00100D0E"/>
    <w:rsid w:val="00100F68"/>
    <w:rsid w:val="00101273"/>
    <w:rsid w:val="00101489"/>
    <w:rsid w:val="00102ECD"/>
    <w:rsid w:val="00102FFF"/>
    <w:rsid w:val="001037E9"/>
    <w:rsid w:val="00103A59"/>
    <w:rsid w:val="00103BCB"/>
    <w:rsid w:val="00103E5F"/>
    <w:rsid w:val="0010440D"/>
    <w:rsid w:val="00105AC1"/>
    <w:rsid w:val="00105CCB"/>
    <w:rsid w:val="0010664E"/>
    <w:rsid w:val="001067E0"/>
    <w:rsid w:val="00106C3C"/>
    <w:rsid w:val="00111D47"/>
    <w:rsid w:val="00111F75"/>
    <w:rsid w:val="0011397F"/>
    <w:rsid w:val="0011490E"/>
    <w:rsid w:val="001164A7"/>
    <w:rsid w:val="001168DB"/>
    <w:rsid w:val="001170FC"/>
    <w:rsid w:val="00117E01"/>
    <w:rsid w:val="001200B4"/>
    <w:rsid w:val="001211F5"/>
    <w:rsid w:val="00121D1C"/>
    <w:rsid w:val="00122E05"/>
    <w:rsid w:val="00123107"/>
    <w:rsid w:val="00123751"/>
    <w:rsid w:val="0012386F"/>
    <w:rsid w:val="00123A64"/>
    <w:rsid w:val="00124887"/>
    <w:rsid w:val="001255DD"/>
    <w:rsid w:val="00125C4B"/>
    <w:rsid w:val="00126029"/>
    <w:rsid w:val="00126115"/>
    <w:rsid w:val="001262DA"/>
    <w:rsid w:val="00127675"/>
    <w:rsid w:val="00131AD5"/>
    <w:rsid w:val="00133BF9"/>
    <w:rsid w:val="00140CCE"/>
    <w:rsid w:val="00142B1F"/>
    <w:rsid w:val="00143BF2"/>
    <w:rsid w:val="0014578A"/>
    <w:rsid w:val="0014673F"/>
    <w:rsid w:val="0014740E"/>
    <w:rsid w:val="0014772B"/>
    <w:rsid w:val="00150A9C"/>
    <w:rsid w:val="00151A69"/>
    <w:rsid w:val="00152A64"/>
    <w:rsid w:val="00153945"/>
    <w:rsid w:val="00153ABD"/>
    <w:rsid w:val="00153C00"/>
    <w:rsid w:val="00154859"/>
    <w:rsid w:val="00154E17"/>
    <w:rsid w:val="001564A9"/>
    <w:rsid w:val="00157889"/>
    <w:rsid w:val="00160734"/>
    <w:rsid w:val="0016156F"/>
    <w:rsid w:val="001622EA"/>
    <w:rsid w:val="00162E4D"/>
    <w:rsid w:val="00163474"/>
    <w:rsid w:val="00164592"/>
    <w:rsid w:val="001648A8"/>
    <w:rsid w:val="00165D98"/>
    <w:rsid w:val="0016797E"/>
    <w:rsid w:val="00167AAF"/>
    <w:rsid w:val="00167F4E"/>
    <w:rsid w:val="00170E34"/>
    <w:rsid w:val="00170EC4"/>
    <w:rsid w:val="00171813"/>
    <w:rsid w:val="00171F7F"/>
    <w:rsid w:val="00171FFB"/>
    <w:rsid w:val="0017227A"/>
    <w:rsid w:val="001725E8"/>
    <w:rsid w:val="00172A27"/>
    <w:rsid w:val="00172BFD"/>
    <w:rsid w:val="00172E2E"/>
    <w:rsid w:val="001739EE"/>
    <w:rsid w:val="0017408A"/>
    <w:rsid w:val="00174E1C"/>
    <w:rsid w:val="0017682F"/>
    <w:rsid w:val="0017683E"/>
    <w:rsid w:val="001773E8"/>
    <w:rsid w:val="00177583"/>
    <w:rsid w:val="00177A62"/>
    <w:rsid w:val="00180E2D"/>
    <w:rsid w:val="00181F7D"/>
    <w:rsid w:val="0018398F"/>
    <w:rsid w:val="00183AEB"/>
    <w:rsid w:val="00183C0A"/>
    <w:rsid w:val="001845DE"/>
    <w:rsid w:val="001851F4"/>
    <w:rsid w:val="001856E0"/>
    <w:rsid w:val="00185EFB"/>
    <w:rsid w:val="00186260"/>
    <w:rsid w:val="001869C7"/>
    <w:rsid w:val="00186D00"/>
    <w:rsid w:val="001878BF"/>
    <w:rsid w:val="00187E01"/>
    <w:rsid w:val="00191068"/>
    <w:rsid w:val="0019108A"/>
    <w:rsid w:val="00192AFA"/>
    <w:rsid w:val="00194369"/>
    <w:rsid w:val="001954DA"/>
    <w:rsid w:val="00196221"/>
    <w:rsid w:val="0019679D"/>
    <w:rsid w:val="00196D4F"/>
    <w:rsid w:val="00197D6D"/>
    <w:rsid w:val="001A0CA8"/>
    <w:rsid w:val="001A1BF6"/>
    <w:rsid w:val="001A1CC3"/>
    <w:rsid w:val="001A1D8D"/>
    <w:rsid w:val="001A3AE1"/>
    <w:rsid w:val="001A3E20"/>
    <w:rsid w:val="001A614A"/>
    <w:rsid w:val="001A63E7"/>
    <w:rsid w:val="001A7044"/>
    <w:rsid w:val="001A7212"/>
    <w:rsid w:val="001B0ED7"/>
    <w:rsid w:val="001B0ED9"/>
    <w:rsid w:val="001B1BEB"/>
    <w:rsid w:val="001B219D"/>
    <w:rsid w:val="001B2D5B"/>
    <w:rsid w:val="001B4A99"/>
    <w:rsid w:val="001B61F3"/>
    <w:rsid w:val="001B63DC"/>
    <w:rsid w:val="001B74F6"/>
    <w:rsid w:val="001C00E4"/>
    <w:rsid w:val="001C0FA8"/>
    <w:rsid w:val="001C27DA"/>
    <w:rsid w:val="001C31F0"/>
    <w:rsid w:val="001C32C1"/>
    <w:rsid w:val="001C34E3"/>
    <w:rsid w:val="001C3C80"/>
    <w:rsid w:val="001C3E11"/>
    <w:rsid w:val="001C4685"/>
    <w:rsid w:val="001C50C4"/>
    <w:rsid w:val="001C586D"/>
    <w:rsid w:val="001C64FA"/>
    <w:rsid w:val="001C717B"/>
    <w:rsid w:val="001C7248"/>
    <w:rsid w:val="001C7B1B"/>
    <w:rsid w:val="001D022E"/>
    <w:rsid w:val="001D02AA"/>
    <w:rsid w:val="001D0BB6"/>
    <w:rsid w:val="001D0D03"/>
    <w:rsid w:val="001D1211"/>
    <w:rsid w:val="001D17AB"/>
    <w:rsid w:val="001D2155"/>
    <w:rsid w:val="001D26B9"/>
    <w:rsid w:val="001D2769"/>
    <w:rsid w:val="001D3ECA"/>
    <w:rsid w:val="001D4C5D"/>
    <w:rsid w:val="001D637D"/>
    <w:rsid w:val="001D6472"/>
    <w:rsid w:val="001D6E99"/>
    <w:rsid w:val="001D7C5A"/>
    <w:rsid w:val="001D7E58"/>
    <w:rsid w:val="001E221B"/>
    <w:rsid w:val="001E2F42"/>
    <w:rsid w:val="001E336C"/>
    <w:rsid w:val="001E34EC"/>
    <w:rsid w:val="001E4FF0"/>
    <w:rsid w:val="001E51B4"/>
    <w:rsid w:val="001E57F9"/>
    <w:rsid w:val="001E581C"/>
    <w:rsid w:val="001E7F91"/>
    <w:rsid w:val="001F1EBD"/>
    <w:rsid w:val="001F22F0"/>
    <w:rsid w:val="001F294A"/>
    <w:rsid w:val="001F31BC"/>
    <w:rsid w:val="001F3A60"/>
    <w:rsid w:val="001F543A"/>
    <w:rsid w:val="001F67B8"/>
    <w:rsid w:val="001F712F"/>
    <w:rsid w:val="001F77F5"/>
    <w:rsid w:val="001F7DE9"/>
    <w:rsid w:val="0020067D"/>
    <w:rsid w:val="00201312"/>
    <w:rsid w:val="002018CC"/>
    <w:rsid w:val="00203B5C"/>
    <w:rsid w:val="002044EA"/>
    <w:rsid w:val="00204949"/>
    <w:rsid w:val="00205E9A"/>
    <w:rsid w:val="00207742"/>
    <w:rsid w:val="00210685"/>
    <w:rsid w:val="00212230"/>
    <w:rsid w:val="002122DE"/>
    <w:rsid w:val="002126AD"/>
    <w:rsid w:val="00212D78"/>
    <w:rsid w:val="00212E81"/>
    <w:rsid w:val="00213140"/>
    <w:rsid w:val="00213C4F"/>
    <w:rsid w:val="0021555A"/>
    <w:rsid w:val="00215632"/>
    <w:rsid w:val="0021579D"/>
    <w:rsid w:val="0021663A"/>
    <w:rsid w:val="00216B6D"/>
    <w:rsid w:val="00216F18"/>
    <w:rsid w:val="00217BC5"/>
    <w:rsid w:val="00217FC3"/>
    <w:rsid w:val="002214A2"/>
    <w:rsid w:val="002220D4"/>
    <w:rsid w:val="00222878"/>
    <w:rsid w:val="00222E31"/>
    <w:rsid w:val="00225D81"/>
    <w:rsid w:val="002275BE"/>
    <w:rsid w:val="00227CE3"/>
    <w:rsid w:val="00227F42"/>
    <w:rsid w:val="00230874"/>
    <w:rsid w:val="002309C2"/>
    <w:rsid w:val="00231A8C"/>
    <w:rsid w:val="002322B7"/>
    <w:rsid w:val="002323F6"/>
    <w:rsid w:val="00234380"/>
    <w:rsid w:val="002346F3"/>
    <w:rsid w:val="00234834"/>
    <w:rsid w:val="00235453"/>
    <w:rsid w:val="00236770"/>
    <w:rsid w:val="002377B6"/>
    <w:rsid w:val="00237D3D"/>
    <w:rsid w:val="00237F2C"/>
    <w:rsid w:val="002403D5"/>
    <w:rsid w:val="002407C8"/>
    <w:rsid w:val="00241E49"/>
    <w:rsid w:val="0024456C"/>
    <w:rsid w:val="002454E6"/>
    <w:rsid w:val="00245545"/>
    <w:rsid w:val="002463F2"/>
    <w:rsid w:val="00246488"/>
    <w:rsid w:val="002474A3"/>
    <w:rsid w:val="00247829"/>
    <w:rsid w:val="00247C26"/>
    <w:rsid w:val="002515CC"/>
    <w:rsid w:val="00252548"/>
    <w:rsid w:val="00252703"/>
    <w:rsid w:val="00252A0F"/>
    <w:rsid w:val="00252FAC"/>
    <w:rsid w:val="002556FD"/>
    <w:rsid w:val="002563BD"/>
    <w:rsid w:val="0025692F"/>
    <w:rsid w:val="00256FDF"/>
    <w:rsid w:val="00257B76"/>
    <w:rsid w:val="00261662"/>
    <w:rsid w:val="002619BC"/>
    <w:rsid w:val="00263560"/>
    <w:rsid w:val="002645F0"/>
    <w:rsid w:val="00264F50"/>
    <w:rsid w:val="00266F83"/>
    <w:rsid w:val="00270984"/>
    <w:rsid w:val="00270E81"/>
    <w:rsid w:val="0027212F"/>
    <w:rsid w:val="002738DB"/>
    <w:rsid w:val="0027464F"/>
    <w:rsid w:val="002757CF"/>
    <w:rsid w:val="00276327"/>
    <w:rsid w:val="0027749F"/>
    <w:rsid w:val="00277BF7"/>
    <w:rsid w:val="00280218"/>
    <w:rsid w:val="002802AC"/>
    <w:rsid w:val="00280CD7"/>
    <w:rsid w:val="00280EA2"/>
    <w:rsid w:val="00281202"/>
    <w:rsid w:val="002818C6"/>
    <w:rsid w:val="00281A72"/>
    <w:rsid w:val="00281F12"/>
    <w:rsid w:val="0028405B"/>
    <w:rsid w:val="00284B1D"/>
    <w:rsid w:val="002854D6"/>
    <w:rsid w:val="002859FD"/>
    <w:rsid w:val="00285DF7"/>
    <w:rsid w:val="00286F46"/>
    <w:rsid w:val="00290753"/>
    <w:rsid w:val="00291A34"/>
    <w:rsid w:val="00291F74"/>
    <w:rsid w:val="00292977"/>
    <w:rsid w:val="00294CC2"/>
    <w:rsid w:val="00295057"/>
    <w:rsid w:val="002953A7"/>
    <w:rsid w:val="00295611"/>
    <w:rsid w:val="0029576F"/>
    <w:rsid w:val="00296ACB"/>
    <w:rsid w:val="002A02DD"/>
    <w:rsid w:val="002A0640"/>
    <w:rsid w:val="002A0E4B"/>
    <w:rsid w:val="002A4D00"/>
    <w:rsid w:val="002A4F5B"/>
    <w:rsid w:val="002A50B0"/>
    <w:rsid w:val="002A579C"/>
    <w:rsid w:val="002B0541"/>
    <w:rsid w:val="002B0C5C"/>
    <w:rsid w:val="002B12D0"/>
    <w:rsid w:val="002B38B1"/>
    <w:rsid w:val="002B39B6"/>
    <w:rsid w:val="002B3D69"/>
    <w:rsid w:val="002B40D6"/>
    <w:rsid w:val="002B46F8"/>
    <w:rsid w:val="002B529C"/>
    <w:rsid w:val="002B5A22"/>
    <w:rsid w:val="002B5AD2"/>
    <w:rsid w:val="002B65E0"/>
    <w:rsid w:val="002B6F15"/>
    <w:rsid w:val="002C08FD"/>
    <w:rsid w:val="002C0F7E"/>
    <w:rsid w:val="002C2382"/>
    <w:rsid w:val="002C5F49"/>
    <w:rsid w:val="002C61F6"/>
    <w:rsid w:val="002C6395"/>
    <w:rsid w:val="002D1873"/>
    <w:rsid w:val="002D22C4"/>
    <w:rsid w:val="002D248D"/>
    <w:rsid w:val="002D260B"/>
    <w:rsid w:val="002D28AA"/>
    <w:rsid w:val="002D38A9"/>
    <w:rsid w:val="002D397D"/>
    <w:rsid w:val="002D3D28"/>
    <w:rsid w:val="002D4CA5"/>
    <w:rsid w:val="002D4F54"/>
    <w:rsid w:val="002D4F56"/>
    <w:rsid w:val="002D53D1"/>
    <w:rsid w:val="002D5FE7"/>
    <w:rsid w:val="002D6190"/>
    <w:rsid w:val="002D6FF0"/>
    <w:rsid w:val="002E0C4E"/>
    <w:rsid w:val="002E0E97"/>
    <w:rsid w:val="002E0EF5"/>
    <w:rsid w:val="002E2572"/>
    <w:rsid w:val="002E2653"/>
    <w:rsid w:val="002E298F"/>
    <w:rsid w:val="002E2B0B"/>
    <w:rsid w:val="002E31AC"/>
    <w:rsid w:val="002E436D"/>
    <w:rsid w:val="002F0B37"/>
    <w:rsid w:val="002F3186"/>
    <w:rsid w:val="002F3B89"/>
    <w:rsid w:val="002F3D8D"/>
    <w:rsid w:val="002F3EEC"/>
    <w:rsid w:val="002F66B8"/>
    <w:rsid w:val="002F66EB"/>
    <w:rsid w:val="002F6FFC"/>
    <w:rsid w:val="002F7836"/>
    <w:rsid w:val="00301FBF"/>
    <w:rsid w:val="00302755"/>
    <w:rsid w:val="00303620"/>
    <w:rsid w:val="003036DC"/>
    <w:rsid w:val="0030495A"/>
    <w:rsid w:val="00305955"/>
    <w:rsid w:val="00305BBC"/>
    <w:rsid w:val="003061ED"/>
    <w:rsid w:val="003066BA"/>
    <w:rsid w:val="00306A5D"/>
    <w:rsid w:val="00306C9C"/>
    <w:rsid w:val="00307D10"/>
    <w:rsid w:val="0031111D"/>
    <w:rsid w:val="00311415"/>
    <w:rsid w:val="00311EA3"/>
    <w:rsid w:val="00313E4F"/>
    <w:rsid w:val="003142D8"/>
    <w:rsid w:val="0031438B"/>
    <w:rsid w:val="0031465A"/>
    <w:rsid w:val="003173DC"/>
    <w:rsid w:val="00320389"/>
    <w:rsid w:val="00323FB4"/>
    <w:rsid w:val="00324944"/>
    <w:rsid w:val="00324FEB"/>
    <w:rsid w:val="00325FB7"/>
    <w:rsid w:val="00326D73"/>
    <w:rsid w:val="00326F0F"/>
    <w:rsid w:val="00333692"/>
    <w:rsid w:val="00334E17"/>
    <w:rsid w:val="00335417"/>
    <w:rsid w:val="00336A5F"/>
    <w:rsid w:val="00337308"/>
    <w:rsid w:val="00340387"/>
    <w:rsid w:val="003406B9"/>
    <w:rsid w:val="00341D4C"/>
    <w:rsid w:val="003431EF"/>
    <w:rsid w:val="003434A6"/>
    <w:rsid w:val="003448E0"/>
    <w:rsid w:val="00345116"/>
    <w:rsid w:val="00345A7A"/>
    <w:rsid w:val="0034741B"/>
    <w:rsid w:val="003478A4"/>
    <w:rsid w:val="003500F7"/>
    <w:rsid w:val="00350E47"/>
    <w:rsid w:val="0035393C"/>
    <w:rsid w:val="0035583B"/>
    <w:rsid w:val="00356616"/>
    <w:rsid w:val="00356620"/>
    <w:rsid w:val="0035670E"/>
    <w:rsid w:val="003568B4"/>
    <w:rsid w:val="00360121"/>
    <w:rsid w:val="00360169"/>
    <w:rsid w:val="00360829"/>
    <w:rsid w:val="00361F68"/>
    <w:rsid w:val="00362E4E"/>
    <w:rsid w:val="00363A38"/>
    <w:rsid w:val="00363C7B"/>
    <w:rsid w:val="00365738"/>
    <w:rsid w:val="00366057"/>
    <w:rsid w:val="00367D7E"/>
    <w:rsid w:val="003707B0"/>
    <w:rsid w:val="00370E28"/>
    <w:rsid w:val="003713F9"/>
    <w:rsid w:val="00375C90"/>
    <w:rsid w:val="00376739"/>
    <w:rsid w:val="003770F4"/>
    <w:rsid w:val="00377485"/>
    <w:rsid w:val="00381CC3"/>
    <w:rsid w:val="00382537"/>
    <w:rsid w:val="0038290B"/>
    <w:rsid w:val="00384914"/>
    <w:rsid w:val="0038552C"/>
    <w:rsid w:val="00385F35"/>
    <w:rsid w:val="00385FE3"/>
    <w:rsid w:val="00386017"/>
    <w:rsid w:val="0038645C"/>
    <w:rsid w:val="0038752E"/>
    <w:rsid w:val="003875E6"/>
    <w:rsid w:val="0038797A"/>
    <w:rsid w:val="00387ABC"/>
    <w:rsid w:val="003902E1"/>
    <w:rsid w:val="0039034B"/>
    <w:rsid w:val="00392257"/>
    <w:rsid w:val="003929C3"/>
    <w:rsid w:val="00393D0F"/>
    <w:rsid w:val="00393E7F"/>
    <w:rsid w:val="00395837"/>
    <w:rsid w:val="00395AD1"/>
    <w:rsid w:val="003977F0"/>
    <w:rsid w:val="003A0763"/>
    <w:rsid w:val="003A4325"/>
    <w:rsid w:val="003A7913"/>
    <w:rsid w:val="003B014A"/>
    <w:rsid w:val="003B1DC7"/>
    <w:rsid w:val="003B1F4B"/>
    <w:rsid w:val="003B248D"/>
    <w:rsid w:val="003B40CE"/>
    <w:rsid w:val="003B4171"/>
    <w:rsid w:val="003B4473"/>
    <w:rsid w:val="003B6363"/>
    <w:rsid w:val="003B6C2F"/>
    <w:rsid w:val="003B76BC"/>
    <w:rsid w:val="003B77E9"/>
    <w:rsid w:val="003C085F"/>
    <w:rsid w:val="003C0FFA"/>
    <w:rsid w:val="003C1282"/>
    <w:rsid w:val="003C1429"/>
    <w:rsid w:val="003C2935"/>
    <w:rsid w:val="003C301A"/>
    <w:rsid w:val="003C32F8"/>
    <w:rsid w:val="003C60DC"/>
    <w:rsid w:val="003C6903"/>
    <w:rsid w:val="003C722E"/>
    <w:rsid w:val="003C72AC"/>
    <w:rsid w:val="003C7BFE"/>
    <w:rsid w:val="003D0AF8"/>
    <w:rsid w:val="003D1976"/>
    <w:rsid w:val="003D42B9"/>
    <w:rsid w:val="003D5566"/>
    <w:rsid w:val="003D595F"/>
    <w:rsid w:val="003D6E50"/>
    <w:rsid w:val="003E0F5E"/>
    <w:rsid w:val="003E1012"/>
    <w:rsid w:val="003E19DF"/>
    <w:rsid w:val="003E33DA"/>
    <w:rsid w:val="003E4984"/>
    <w:rsid w:val="003E55FC"/>
    <w:rsid w:val="003E5A39"/>
    <w:rsid w:val="003E5FAE"/>
    <w:rsid w:val="003E64F7"/>
    <w:rsid w:val="003E7846"/>
    <w:rsid w:val="003F11F1"/>
    <w:rsid w:val="003F2A4A"/>
    <w:rsid w:val="003F34CD"/>
    <w:rsid w:val="003F4469"/>
    <w:rsid w:val="003F4FB6"/>
    <w:rsid w:val="003F586C"/>
    <w:rsid w:val="003F64CF"/>
    <w:rsid w:val="003F754C"/>
    <w:rsid w:val="004006F0"/>
    <w:rsid w:val="0040196C"/>
    <w:rsid w:val="0040282A"/>
    <w:rsid w:val="00403317"/>
    <w:rsid w:val="00403EAC"/>
    <w:rsid w:val="0040583A"/>
    <w:rsid w:val="00406EF3"/>
    <w:rsid w:val="00407130"/>
    <w:rsid w:val="00407575"/>
    <w:rsid w:val="004101F8"/>
    <w:rsid w:val="00410861"/>
    <w:rsid w:val="00410EBA"/>
    <w:rsid w:val="00412B1D"/>
    <w:rsid w:val="00413261"/>
    <w:rsid w:val="004138FB"/>
    <w:rsid w:val="004147A8"/>
    <w:rsid w:val="004170C8"/>
    <w:rsid w:val="004174C5"/>
    <w:rsid w:val="00417CD3"/>
    <w:rsid w:val="0042087A"/>
    <w:rsid w:val="00420904"/>
    <w:rsid w:val="00420A39"/>
    <w:rsid w:val="00420A94"/>
    <w:rsid w:val="00422CC4"/>
    <w:rsid w:val="0042339F"/>
    <w:rsid w:val="0042386E"/>
    <w:rsid w:val="0043126E"/>
    <w:rsid w:val="0043228A"/>
    <w:rsid w:val="00432ACD"/>
    <w:rsid w:val="00432C08"/>
    <w:rsid w:val="004335FF"/>
    <w:rsid w:val="00433751"/>
    <w:rsid w:val="00433AB0"/>
    <w:rsid w:val="00435C8E"/>
    <w:rsid w:val="00436327"/>
    <w:rsid w:val="0043701E"/>
    <w:rsid w:val="004373D1"/>
    <w:rsid w:val="0043779F"/>
    <w:rsid w:val="00437CF5"/>
    <w:rsid w:val="00440ABA"/>
    <w:rsid w:val="0044131E"/>
    <w:rsid w:val="00442F46"/>
    <w:rsid w:val="0044375A"/>
    <w:rsid w:val="00443901"/>
    <w:rsid w:val="00444569"/>
    <w:rsid w:val="0044477C"/>
    <w:rsid w:val="00444B86"/>
    <w:rsid w:val="004457D6"/>
    <w:rsid w:val="00445ED9"/>
    <w:rsid w:val="00446063"/>
    <w:rsid w:val="004460EB"/>
    <w:rsid w:val="00450AED"/>
    <w:rsid w:val="00450D9A"/>
    <w:rsid w:val="0045262E"/>
    <w:rsid w:val="004537BE"/>
    <w:rsid w:val="00454399"/>
    <w:rsid w:val="00455C66"/>
    <w:rsid w:val="00455E35"/>
    <w:rsid w:val="00456007"/>
    <w:rsid w:val="00456804"/>
    <w:rsid w:val="0046046A"/>
    <w:rsid w:val="00460D9A"/>
    <w:rsid w:val="004613D5"/>
    <w:rsid w:val="00462131"/>
    <w:rsid w:val="00462841"/>
    <w:rsid w:val="00464A32"/>
    <w:rsid w:val="00465117"/>
    <w:rsid w:val="004665EE"/>
    <w:rsid w:val="004677C3"/>
    <w:rsid w:val="004726BD"/>
    <w:rsid w:val="0047378E"/>
    <w:rsid w:val="00473C32"/>
    <w:rsid w:val="004741D4"/>
    <w:rsid w:val="00474830"/>
    <w:rsid w:val="00474972"/>
    <w:rsid w:val="0047497A"/>
    <w:rsid w:val="004750C5"/>
    <w:rsid w:val="00475505"/>
    <w:rsid w:val="0047646B"/>
    <w:rsid w:val="00477F64"/>
    <w:rsid w:val="00480D14"/>
    <w:rsid w:val="004810ED"/>
    <w:rsid w:val="0048172F"/>
    <w:rsid w:val="0048332E"/>
    <w:rsid w:val="00484432"/>
    <w:rsid w:val="00484815"/>
    <w:rsid w:val="00484A7B"/>
    <w:rsid w:val="00484D78"/>
    <w:rsid w:val="00485267"/>
    <w:rsid w:val="00490107"/>
    <w:rsid w:val="004906D5"/>
    <w:rsid w:val="004919ED"/>
    <w:rsid w:val="0049340B"/>
    <w:rsid w:val="0049580A"/>
    <w:rsid w:val="0049589E"/>
    <w:rsid w:val="00495D2D"/>
    <w:rsid w:val="00496ADC"/>
    <w:rsid w:val="0049793F"/>
    <w:rsid w:val="004A131A"/>
    <w:rsid w:val="004A1FCE"/>
    <w:rsid w:val="004A2D5A"/>
    <w:rsid w:val="004A3493"/>
    <w:rsid w:val="004A4264"/>
    <w:rsid w:val="004A4754"/>
    <w:rsid w:val="004A4ECE"/>
    <w:rsid w:val="004A6F67"/>
    <w:rsid w:val="004B07BF"/>
    <w:rsid w:val="004B0B3C"/>
    <w:rsid w:val="004B10D5"/>
    <w:rsid w:val="004B1A3D"/>
    <w:rsid w:val="004B22B0"/>
    <w:rsid w:val="004B251A"/>
    <w:rsid w:val="004B2950"/>
    <w:rsid w:val="004B2F1D"/>
    <w:rsid w:val="004B4A18"/>
    <w:rsid w:val="004B50EF"/>
    <w:rsid w:val="004B56E6"/>
    <w:rsid w:val="004B59CC"/>
    <w:rsid w:val="004B6B92"/>
    <w:rsid w:val="004B7271"/>
    <w:rsid w:val="004B738C"/>
    <w:rsid w:val="004C1014"/>
    <w:rsid w:val="004C1537"/>
    <w:rsid w:val="004C21EB"/>
    <w:rsid w:val="004C36CE"/>
    <w:rsid w:val="004C3A9B"/>
    <w:rsid w:val="004C46F2"/>
    <w:rsid w:val="004C5C67"/>
    <w:rsid w:val="004C5CFB"/>
    <w:rsid w:val="004C6C38"/>
    <w:rsid w:val="004C79FD"/>
    <w:rsid w:val="004D006E"/>
    <w:rsid w:val="004D056F"/>
    <w:rsid w:val="004D1727"/>
    <w:rsid w:val="004D17A8"/>
    <w:rsid w:val="004D53B2"/>
    <w:rsid w:val="004D6222"/>
    <w:rsid w:val="004E001A"/>
    <w:rsid w:val="004E101E"/>
    <w:rsid w:val="004E12FC"/>
    <w:rsid w:val="004E16C0"/>
    <w:rsid w:val="004E28D9"/>
    <w:rsid w:val="004E40E2"/>
    <w:rsid w:val="004E4A2E"/>
    <w:rsid w:val="004E69D1"/>
    <w:rsid w:val="004E7F9E"/>
    <w:rsid w:val="004F2112"/>
    <w:rsid w:val="004F3B9C"/>
    <w:rsid w:val="004F509D"/>
    <w:rsid w:val="004F588F"/>
    <w:rsid w:val="004F5959"/>
    <w:rsid w:val="004F627A"/>
    <w:rsid w:val="004F65E3"/>
    <w:rsid w:val="004F6C43"/>
    <w:rsid w:val="00500BD1"/>
    <w:rsid w:val="00500DEB"/>
    <w:rsid w:val="005012C8"/>
    <w:rsid w:val="00502579"/>
    <w:rsid w:val="00503EA7"/>
    <w:rsid w:val="00503FEF"/>
    <w:rsid w:val="00505493"/>
    <w:rsid w:val="00505D21"/>
    <w:rsid w:val="00506093"/>
    <w:rsid w:val="00506F41"/>
    <w:rsid w:val="0050756B"/>
    <w:rsid w:val="00511370"/>
    <w:rsid w:val="00512298"/>
    <w:rsid w:val="00513F37"/>
    <w:rsid w:val="005145BB"/>
    <w:rsid w:val="00516021"/>
    <w:rsid w:val="00516358"/>
    <w:rsid w:val="005166B8"/>
    <w:rsid w:val="0052257B"/>
    <w:rsid w:val="00522736"/>
    <w:rsid w:val="005227EC"/>
    <w:rsid w:val="00522A7F"/>
    <w:rsid w:val="00523022"/>
    <w:rsid w:val="00524461"/>
    <w:rsid w:val="005255C6"/>
    <w:rsid w:val="005274B2"/>
    <w:rsid w:val="0052768C"/>
    <w:rsid w:val="00527881"/>
    <w:rsid w:val="00530680"/>
    <w:rsid w:val="0053103D"/>
    <w:rsid w:val="0053233E"/>
    <w:rsid w:val="00532384"/>
    <w:rsid w:val="00532757"/>
    <w:rsid w:val="00534C33"/>
    <w:rsid w:val="00535FBD"/>
    <w:rsid w:val="00537120"/>
    <w:rsid w:val="005378A2"/>
    <w:rsid w:val="00540145"/>
    <w:rsid w:val="005423B5"/>
    <w:rsid w:val="00543975"/>
    <w:rsid w:val="00543B4B"/>
    <w:rsid w:val="00543EB8"/>
    <w:rsid w:val="0054454D"/>
    <w:rsid w:val="00544BA4"/>
    <w:rsid w:val="005502DD"/>
    <w:rsid w:val="005503B8"/>
    <w:rsid w:val="005513B1"/>
    <w:rsid w:val="00552640"/>
    <w:rsid w:val="005559DE"/>
    <w:rsid w:val="00556517"/>
    <w:rsid w:val="0055713D"/>
    <w:rsid w:val="00560BD1"/>
    <w:rsid w:val="00561489"/>
    <w:rsid w:val="005621AA"/>
    <w:rsid w:val="00562C0E"/>
    <w:rsid w:val="00562C8D"/>
    <w:rsid w:val="00563947"/>
    <w:rsid w:val="00564A99"/>
    <w:rsid w:val="0056573D"/>
    <w:rsid w:val="0056718F"/>
    <w:rsid w:val="0056748F"/>
    <w:rsid w:val="00567CCD"/>
    <w:rsid w:val="00567E98"/>
    <w:rsid w:val="00567EA1"/>
    <w:rsid w:val="00567FD6"/>
    <w:rsid w:val="0057012F"/>
    <w:rsid w:val="005706E1"/>
    <w:rsid w:val="005713FE"/>
    <w:rsid w:val="00572472"/>
    <w:rsid w:val="0057251B"/>
    <w:rsid w:val="00572BFB"/>
    <w:rsid w:val="00575376"/>
    <w:rsid w:val="00575F6F"/>
    <w:rsid w:val="00577F62"/>
    <w:rsid w:val="005813CA"/>
    <w:rsid w:val="00582428"/>
    <w:rsid w:val="00582B37"/>
    <w:rsid w:val="00582C87"/>
    <w:rsid w:val="00582DC3"/>
    <w:rsid w:val="0058338A"/>
    <w:rsid w:val="0058362D"/>
    <w:rsid w:val="00586013"/>
    <w:rsid w:val="005864EB"/>
    <w:rsid w:val="00586C7D"/>
    <w:rsid w:val="00586D5F"/>
    <w:rsid w:val="00590326"/>
    <w:rsid w:val="00590B24"/>
    <w:rsid w:val="00590B37"/>
    <w:rsid w:val="00590CF0"/>
    <w:rsid w:val="00591DA0"/>
    <w:rsid w:val="00592FAF"/>
    <w:rsid w:val="00593034"/>
    <w:rsid w:val="00593081"/>
    <w:rsid w:val="00593971"/>
    <w:rsid w:val="00593AB4"/>
    <w:rsid w:val="005952D3"/>
    <w:rsid w:val="005956DF"/>
    <w:rsid w:val="00595DF1"/>
    <w:rsid w:val="00597FDB"/>
    <w:rsid w:val="005A00DB"/>
    <w:rsid w:val="005A07EA"/>
    <w:rsid w:val="005A1602"/>
    <w:rsid w:val="005A21F5"/>
    <w:rsid w:val="005A27C6"/>
    <w:rsid w:val="005A2886"/>
    <w:rsid w:val="005A2D1A"/>
    <w:rsid w:val="005A341D"/>
    <w:rsid w:val="005A3615"/>
    <w:rsid w:val="005A40EE"/>
    <w:rsid w:val="005A4CDE"/>
    <w:rsid w:val="005A52B2"/>
    <w:rsid w:val="005A56AF"/>
    <w:rsid w:val="005A6536"/>
    <w:rsid w:val="005A65D7"/>
    <w:rsid w:val="005B0684"/>
    <w:rsid w:val="005B17BD"/>
    <w:rsid w:val="005B1CDF"/>
    <w:rsid w:val="005B1F26"/>
    <w:rsid w:val="005B308E"/>
    <w:rsid w:val="005B3E97"/>
    <w:rsid w:val="005B3FF7"/>
    <w:rsid w:val="005B4FD9"/>
    <w:rsid w:val="005B53F8"/>
    <w:rsid w:val="005B57A5"/>
    <w:rsid w:val="005B5B45"/>
    <w:rsid w:val="005B602E"/>
    <w:rsid w:val="005B68AC"/>
    <w:rsid w:val="005C0264"/>
    <w:rsid w:val="005C0E2D"/>
    <w:rsid w:val="005C4D74"/>
    <w:rsid w:val="005C70AF"/>
    <w:rsid w:val="005D21CC"/>
    <w:rsid w:val="005D321D"/>
    <w:rsid w:val="005D363A"/>
    <w:rsid w:val="005D682D"/>
    <w:rsid w:val="005D6E56"/>
    <w:rsid w:val="005D6F06"/>
    <w:rsid w:val="005D7726"/>
    <w:rsid w:val="005E0CDA"/>
    <w:rsid w:val="005E1B47"/>
    <w:rsid w:val="005E4C17"/>
    <w:rsid w:val="005E61E5"/>
    <w:rsid w:val="005E657C"/>
    <w:rsid w:val="005E7492"/>
    <w:rsid w:val="005F0401"/>
    <w:rsid w:val="005F0968"/>
    <w:rsid w:val="005F11F4"/>
    <w:rsid w:val="005F1281"/>
    <w:rsid w:val="005F164F"/>
    <w:rsid w:val="005F2BBC"/>
    <w:rsid w:val="005F57B0"/>
    <w:rsid w:val="005F61B0"/>
    <w:rsid w:val="005F68DC"/>
    <w:rsid w:val="005F69E2"/>
    <w:rsid w:val="005F6C82"/>
    <w:rsid w:val="006001B7"/>
    <w:rsid w:val="00600AAA"/>
    <w:rsid w:val="00601855"/>
    <w:rsid w:val="006026AC"/>
    <w:rsid w:val="00603897"/>
    <w:rsid w:val="00604041"/>
    <w:rsid w:val="00604BBC"/>
    <w:rsid w:val="006068BD"/>
    <w:rsid w:val="00607D3C"/>
    <w:rsid w:val="006107B4"/>
    <w:rsid w:val="00610A9D"/>
    <w:rsid w:val="0061220A"/>
    <w:rsid w:val="00614532"/>
    <w:rsid w:val="00615B8B"/>
    <w:rsid w:val="006174BE"/>
    <w:rsid w:val="00617E20"/>
    <w:rsid w:val="006220DF"/>
    <w:rsid w:val="006221C0"/>
    <w:rsid w:val="0062351E"/>
    <w:rsid w:val="00623D4A"/>
    <w:rsid w:val="00623E17"/>
    <w:rsid w:val="0062634B"/>
    <w:rsid w:val="00626749"/>
    <w:rsid w:val="00627977"/>
    <w:rsid w:val="00627FFC"/>
    <w:rsid w:val="0063211B"/>
    <w:rsid w:val="006325D6"/>
    <w:rsid w:val="006328A6"/>
    <w:rsid w:val="00632C89"/>
    <w:rsid w:val="006333F8"/>
    <w:rsid w:val="00633A0E"/>
    <w:rsid w:val="00635474"/>
    <w:rsid w:val="00635987"/>
    <w:rsid w:val="00635F3B"/>
    <w:rsid w:val="006368A3"/>
    <w:rsid w:val="00637D17"/>
    <w:rsid w:val="00640287"/>
    <w:rsid w:val="0064198A"/>
    <w:rsid w:val="006428FD"/>
    <w:rsid w:val="00642C80"/>
    <w:rsid w:val="0064392E"/>
    <w:rsid w:val="00643CEB"/>
    <w:rsid w:val="00643EDA"/>
    <w:rsid w:val="0064441B"/>
    <w:rsid w:val="006449E3"/>
    <w:rsid w:val="00644E03"/>
    <w:rsid w:val="0064529E"/>
    <w:rsid w:val="00650286"/>
    <w:rsid w:val="006503DD"/>
    <w:rsid w:val="00650AFC"/>
    <w:rsid w:val="00651830"/>
    <w:rsid w:val="00651EA3"/>
    <w:rsid w:val="00651FB5"/>
    <w:rsid w:val="0065273C"/>
    <w:rsid w:val="00653395"/>
    <w:rsid w:val="00653590"/>
    <w:rsid w:val="00653F46"/>
    <w:rsid w:val="0065404E"/>
    <w:rsid w:val="00654099"/>
    <w:rsid w:val="006555C8"/>
    <w:rsid w:val="006561EB"/>
    <w:rsid w:val="0065654B"/>
    <w:rsid w:val="00656711"/>
    <w:rsid w:val="0065694C"/>
    <w:rsid w:val="00656AE9"/>
    <w:rsid w:val="0065724C"/>
    <w:rsid w:val="006578FC"/>
    <w:rsid w:val="0065797D"/>
    <w:rsid w:val="006579E8"/>
    <w:rsid w:val="00660049"/>
    <w:rsid w:val="00660C04"/>
    <w:rsid w:val="00660FE2"/>
    <w:rsid w:val="00661313"/>
    <w:rsid w:val="006617BC"/>
    <w:rsid w:val="006624AD"/>
    <w:rsid w:val="0066385B"/>
    <w:rsid w:val="006660D2"/>
    <w:rsid w:val="006707BC"/>
    <w:rsid w:val="00671020"/>
    <w:rsid w:val="0067170B"/>
    <w:rsid w:val="00671715"/>
    <w:rsid w:val="00671C0C"/>
    <w:rsid w:val="00674487"/>
    <w:rsid w:val="00675DF2"/>
    <w:rsid w:val="006773CC"/>
    <w:rsid w:val="006810F6"/>
    <w:rsid w:val="006830C5"/>
    <w:rsid w:val="00683567"/>
    <w:rsid w:val="0068378E"/>
    <w:rsid w:val="006837B1"/>
    <w:rsid w:val="00683F8A"/>
    <w:rsid w:val="006847E6"/>
    <w:rsid w:val="006854B1"/>
    <w:rsid w:val="006861BE"/>
    <w:rsid w:val="0068620E"/>
    <w:rsid w:val="00686B8F"/>
    <w:rsid w:val="00687DCE"/>
    <w:rsid w:val="0069112F"/>
    <w:rsid w:val="006911DE"/>
    <w:rsid w:val="006916B7"/>
    <w:rsid w:val="00691E7A"/>
    <w:rsid w:val="006920E1"/>
    <w:rsid w:val="00692748"/>
    <w:rsid w:val="0069389D"/>
    <w:rsid w:val="00693EB1"/>
    <w:rsid w:val="0069555A"/>
    <w:rsid w:val="00696731"/>
    <w:rsid w:val="006967C6"/>
    <w:rsid w:val="00696A33"/>
    <w:rsid w:val="00696D08"/>
    <w:rsid w:val="00696F9F"/>
    <w:rsid w:val="006977A3"/>
    <w:rsid w:val="006A0741"/>
    <w:rsid w:val="006A0C78"/>
    <w:rsid w:val="006A0E18"/>
    <w:rsid w:val="006A29CC"/>
    <w:rsid w:val="006A44C7"/>
    <w:rsid w:val="006A7538"/>
    <w:rsid w:val="006A7FA5"/>
    <w:rsid w:val="006B0EEF"/>
    <w:rsid w:val="006B3271"/>
    <w:rsid w:val="006B36F0"/>
    <w:rsid w:val="006B3E0D"/>
    <w:rsid w:val="006B4154"/>
    <w:rsid w:val="006B578D"/>
    <w:rsid w:val="006B5DA3"/>
    <w:rsid w:val="006C021A"/>
    <w:rsid w:val="006C0851"/>
    <w:rsid w:val="006C0C98"/>
    <w:rsid w:val="006C107A"/>
    <w:rsid w:val="006C112E"/>
    <w:rsid w:val="006C285E"/>
    <w:rsid w:val="006C3250"/>
    <w:rsid w:val="006C4406"/>
    <w:rsid w:val="006C5DDA"/>
    <w:rsid w:val="006C5FDE"/>
    <w:rsid w:val="006C6B7C"/>
    <w:rsid w:val="006C6E54"/>
    <w:rsid w:val="006D0E9A"/>
    <w:rsid w:val="006D160F"/>
    <w:rsid w:val="006D21F1"/>
    <w:rsid w:val="006D2AB6"/>
    <w:rsid w:val="006D31FD"/>
    <w:rsid w:val="006D3A03"/>
    <w:rsid w:val="006D3A9A"/>
    <w:rsid w:val="006D4CFB"/>
    <w:rsid w:val="006D4EDF"/>
    <w:rsid w:val="006D52EB"/>
    <w:rsid w:val="006D56BD"/>
    <w:rsid w:val="006D5F2A"/>
    <w:rsid w:val="006D7270"/>
    <w:rsid w:val="006D72BC"/>
    <w:rsid w:val="006D7598"/>
    <w:rsid w:val="006D79CE"/>
    <w:rsid w:val="006D7F8E"/>
    <w:rsid w:val="006E027B"/>
    <w:rsid w:val="006E03BE"/>
    <w:rsid w:val="006E2009"/>
    <w:rsid w:val="006E2524"/>
    <w:rsid w:val="006E31F0"/>
    <w:rsid w:val="006E4023"/>
    <w:rsid w:val="006E5115"/>
    <w:rsid w:val="006E55D4"/>
    <w:rsid w:val="006E5799"/>
    <w:rsid w:val="006F0884"/>
    <w:rsid w:val="006F12A6"/>
    <w:rsid w:val="006F15A9"/>
    <w:rsid w:val="006F1F9B"/>
    <w:rsid w:val="006F24AF"/>
    <w:rsid w:val="006F3A54"/>
    <w:rsid w:val="006F5F42"/>
    <w:rsid w:val="006F6719"/>
    <w:rsid w:val="006F795E"/>
    <w:rsid w:val="006F7986"/>
    <w:rsid w:val="006F7997"/>
    <w:rsid w:val="006F7B3A"/>
    <w:rsid w:val="0070025C"/>
    <w:rsid w:val="00701FC2"/>
    <w:rsid w:val="007021CC"/>
    <w:rsid w:val="00702313"/>
    <w:rsid w:val="00702F31"/>
    <w:rsid w:val="00704506"/>
    <w:rsid w:val="00705F5B"/>
    <w:rsid w:val="00706C1D"/>
    <w:rsid w:val="00707DF3"/>
    <w:rsid w:val="00707EE2"/>
    <w:rsid w:val="00710627"/>
    <w:rsid w:val="007113CE"/>
    <w:rsid w:val="00714DCA"/>
    <w:rsid w:val="007171C5"/>
    <w:rsid w:val="0072003E"/>
    <w:rsid w:val="00720215"/>
    <w:rsid w:val="00720841"/>
    <w:rsid w:val="00721427"/>
    <w:rsid w:val="00721788"/>
    <w:rsid w:val="00723176"/>
    <w:rsid w:val="00723506"/>
    <w:rsid w:val="00724C66"/>
    <w:rsid w:val="00724D37"/>
    <w:rsid w:val="00725A98"/>
    <w:rsid w:val="00725B58"/>
    <w:rsid w:val="00726746"/>
    <w:rsid w:val="007267E0"/>
    <w:rsid w:val="00727404"/>
    <w:rsid w:val="007309F4"/>
    <w:rsid w:val="00730B43"/>
    <w:rsid w:val="00731594"/>
    <w:rsid w:val="00731CD6"/>
    <w:rsid w:val="00732E8A"/>
    <w:rsid w:val="00733621"/>
    <w:rsid w:val="00735883"/>
    <w:rsid w:val="0073706A"/>
    <w:rsid w:val="007374E3"/>
    <w:rsid w:val="00737779"/>
    <w:rsid w:val="007401F5"/>
    <w:rsid w:val="00740250"/>
    <w:rsid w:val="00740A7D"/>
    <w:rsid w:val="00741088"/>
    <w:rsid w:val="00741BDC"/>
    <w:rsid w:val="00741E30"/>
    <w:rsid w:val="00743392"/>
    <w:rsid w:val="00744431"/>
    <w:rsid w:val="007462D4"/>
    <w:rsid w:val="007464C5"/>
    <w:rsid w:val="00746F5F"/>
    <w:rsid w:val="00750F27"/>
    <w:rsid w:val="0075177B"/>
    <w:rsid w:val="00752ACD"/>
    <w:rsid w:val="00752BD0"/>
    <w:rsid w:val="00753F18"/>
    <w:rsid w:val="00754616"/>
    <w:rsid w:val="00755370"/>
    <w:rsid w:val="007556B2"/>
    <w:rsid w:val="00756454"/>
    <w:rsid w:val="0075687A"/>
    <w:rsid w:val="00756EA7"/>
    <w:rsid w:val="007579ED"/>
    <w:rsid w:val="00757D25"/>
    <w:rsid w:val="00757D5D"/>
    <w:rsid w:val="0076072C"/>
    <w:rsid w:val="00760785"/>
    <w:rsid w:val="007646C3"/>
    <w:rsid w:val="00764838"/>
    <w:rsid w:val="00765762"/>
    <w:rsid w:val="00767ED4"/>
    <w:rsid w:val="00772C18"/>
    <w:rsid w:val="007734E2"/>
    <w:rsid w:val="00774FB1"/>
    <w:rsid w:val="00775396"/>
    <w:rsid w:val="00775A2A"/>
    <w:rsid w:val="00777917"/>
    <w:rsid w:val="007807A0"/>
    <w:rsid w:val="00780BB7"/>
    <w:rsid w:val="00782027"/>
    <w:rsid w:val="0078268F"/>
    <w:rsid w:val="007827ED"/>
    <w:rsid w:val="00782892"/>
    <w:rsid w:val="007834E3"/>
    <w:rsid w:val="00784130"/>
    <w:rsid w:val="0078598A"/>
    <w:rsid w:val="00787015"/>
    <w:rsid w:val="007876C5"/>
    <w:rsid w:val="00793089"/>
    <w:rsid w:val="0079505C"/>
    <w:rsid w:val="0079539B"/>
    <w:rsid w:val="0079556C"/>
    <w:rsid w:val="00796EFD"/>
    <w:rsid w:val="00797A87"/>
    <w:rsid w:val="00797B13"/>
    <w:rsid w:val="007A05FC"/>
    <w:rsid w:val="007A0A7D"/>
    <w:rsid w:val="007A0FE2"/>
    <w:rsid w:val="007A1639"/>
    <w:rsid w:val="007A1C14"/>
    <w:rsid w:val="007A2F08"/>
    <w:rsid w:val="007A3373"/>
    <w:rsid w:val="007A37B4"/>
    <w:rsid w:val="007A420F"/>
    <w:rsid w:val="007A44A5"/>
    <w:rsid w:val="007A70F6"/>
    <w:rsid w:val="007A7DBC"/>
    <w:rsid w:val="007B03A7"/>
    <w:rsid w:val="007B0771"/>
    <w:rsid w:val="007B2014"/>
    <w:rsid w:val="007B2BAF"/>
    <w:rsid w:val="007B2CE9"/>
    <w:rsid w:val="007B2DBA"/>
    <w:rsid w:val="007B30ED"/>
    <w:rsid w:val="007B4020"/>
    <w:rsid w:val="007B4227"/>
    <w:rsid w:val="007B4CB4"/>
    <w:rsid w:val="007B5CB6"/>
    <w:rsid w:val="007B6B06"/>
    <w:rsid w:val="007B7F7F"/>
    <w:rsid w:val="007C08C0"/>
    <w:rsid w:val="007C119D"/>
    <w:rsid w:val="007C33D6"/>
    <w:rsid w:val="007C3BD3"/>
    <w:rsid w:val="007C4101"/>
    <w:rsid w:val="007C5788"/>
    <w:rsid w:val="007C71E8"/>
    <w:rsid w:val="007C7AC3"/>
    <w:rsid w:val="007D14F1"/>
    <w:rsid w:val="007D304C"/>
    <w:rsid w:val="007D377E"/>
    <w:rsid w:val="007D3BE9"/>
    <w:rsid w:val="007D41DF"/>
    <w:rsid w:val="007D43EF"/>
    <w:rsid w:val="007D52FF"/>
    <w:rsid w:val="007D5AE5"/>
    <w:rsid w:val="007D6123"/>
    <w:rsid w:val="007D6663"/>
    <w:rsid w:val="007D7B34"/>
    <w:rsid w:val="007E00D0"/>
    <w:rsid w:val="007E3BC7"/>
    <w:rsid w:val="007E454A"/>
    <w:rsid w:val="007E58EB"/>
    <w:rsid w:val="007E659A"/>
    <w:rsid w:val="007E68C3"/>
    <w:rsid w:val="007E6E8C"/>
    <w:rsid w:val="007E709D"/>
    <w:rsid w:val="007E735C"/>
    <w:rsid w:val="007F0297"/>
    <w:rsid w:val="007F0786"/>
    <w:rsid w:val="007F16D8"/>
    <w:rsid w:val="007F1A89"/>
    <w:rsid w:val="007F372A"/>
    <w:rsid w:val="007F3BDE"/>
    <w:rsid w:val="007F4EF3"/>
    <w:rsid w:val="007F6646"/>
    <w:rsid w:val="007F69A3"/>
    <w:rsid w:val="007F6DA6"/>
    <w:rsid w:val="007F72CA"/>
    <w:rsid w:val="008005B8"/>
    <w:rsid w:val="00801F06"/>
    <w:rsid w:val="0080485C"/>
    <w:rsid w:val="00804E20"/>
    <w:rsid w:val="008078DE"/>
    <w:rsid w:val="008101CB"/>
    <w:rsid w:val="0081078C"/>
    <w:rsid w:val="008108C2"/>
    <w:rsid w:val="008113FB"/>
    <w:rsid w:val="00812502"/>
    <w:rsid w:val="00812893"/>
    <w:rsid w:val="00814125"/>
    <w:rsid w:val="008155AA"/>
    <w:rsid w:val="008159A3"/>
    <w:rsid w:val="00815F8E"/>
    <w:rsid w:val="0081603C"/>
    <w:rsid w:val="0082090B"/>
    <w:rsid w:val="008211DB"/>
    <w:rsid w:val="00821A04"/>
    <w:rsid w:val="00821D51"/>
    <w:rsid w:val="00821D64"/>
    <w:rsid w:val="00822EC8"/>
    <w:rsid w:val="00823761"/>
    <w:rsid w:val="00823CC3"/>
    <w:rsid w:val="0082450A"/>
    <w:rsid w:val="008249A9"/>
    <w:rsid w:val="00825DEA"/>
    <w:rsid w:val="00826D15"/>
    <w:rsid w:val="008270EF"/>
    <w:rsid w:val="00827A17"/>
    <w:rsid w:val="00827F53"/>
    <w:rsid w:val="008311BC"/>
    <w:rsid w:val="0083273E"/>
    <w:rsid w:val="00833CB0"/>
    <w:rsid w:val="00833DD7"/>
    <w:rsid w:val="008348F3"/>
    <w:rsid w:val="00835097"/>
    <w:rsid w:val="00835642"/>
    <w:rsid w:val="00835F36"/>
    <w:rsid w:val="0083636F"/>
    <w:rsid w:val="00837867"/>
    <w:rsid w:val="00842533"/>
    <w:rsid w:val="008430E4"/>
    <w:rsid w:val="00844819"/>
    <w:rsid w:val="008454AD"/>
    <w:rsid w:val="00845E37"/>
    <w:rsid w:val="00846E1E"/>
    <w:rsid w:val="00850712"/>
    <w:rsid w:val="00850A62"/>
    <w:rsid w:val="0085101C"/>
    <w:rsid w:val="0085222E"/>
    <w:rsid w:val="0085286C"/>
    <w:rsid w:val="00853805"/>
    <w:rsid w:val="00854440"/>
    <w:rsid w:val="008546E5"/>
    <w:rsid w:val="00854B68"/>
    <w:rsid w:val="0085630E"/>
    <w:rsid w:val="008567A9"/>
    <w:rsid w:val="0085707E"/>
    <w:rsid w:val="0086021A"/>
    <w:rsid w:val="0086098D"/>
    <w:rsid w:val="00860A5F"/>
    <w:rsid w:val="008610C1"/>
    <w:rsid w:val="0086359E"/>
    <w:rsid w:val="008640B9"/>
    <w:rsid w:val="00864864"/>
    <w:rsid w:val="00864EC6"/>
    <w:rsid w:val="00865A0F"/>
    <w:rsid w:val="00865B36"/>
    <w:rsid w:val="00865BA3"/>
    <w:rsid w:val="0086609D"/>
    <w:rsid w:val="00866343"/>
    <w:rsid w:val="00866FE6"/>
    <w:rsid w:val="00867AF9"/>
    <w:rsid w:val="0087128D"/>
    <w:rsid w:val="00871532"/>
    <w:rsid w:val="00871799"/>
    <w:rsid w:val="00871ADC"/>
    <w:rsid w:val="0087412F"/>
    <w:rsid w:val="00874131"/>
    <w:rsid w:val="008741EA"/>
    <w:rsid w:val="00874C3B"/>
    <w:rsid w:val="00875FC2"/>
    <w:rsid w:val="00876116"/>
    <w:rsid w:val="00876324"/>
    <w:rsid w:val="008779C8"/>
    <w:rsid w:val="00877A9B"/>
    <w:rsid w:val="00880508"/>
    <w:rsid w:val="008806BB"/>
    <w:rsid w:val="008809A3"/>
    <w:rsid w:val="008815C4"/>
    <w:rsid w:val="00881C73"/>
    <w:rsid w:val="00881EFB"/>
    <w:rsid w:val="00882E81"/>
    <w:rsid w:val="008831D6"/>
    <w:rsid w:val="008836C7"/>
    <w:rsid w:val="00883C8E"/>
    <w:rsid w:val="00887EA2"/>
    <w:rsid w:val="00887EB7"/>
    <w:rsid w:val="00891982"/>
    <w:rsid w:val="00891AA9"/>
    <w:rsid w:val="00892215"/>
    <w:rsid w:val="00893452"/>
    <w:rsid w:val="0089450B"/>
    <w:rsid w:val="008A0A9D"/>
    <w:rsid w:val="008A1782"/>
    <w:rsid w:val="008A45AA"/>
    <w:rsid w:val="008A489B"/>
    <w:rsid w:val="008A4CA1"/>
    <w:rsid w:val="008A50BE"/>
    <w:rsid w:val="008A58E3"/>
    <w:rsid w:val="008A5A20"/>
    <w:rsid w:val="008A70B4"/>
    <w:rsid w:val="008A769C"/>
    <w:rsid w:val="008A7A44"/>
    <w:rsid w:val="008B13E1"/>
    <w:rsid w:val="008B1C2F"/>
    <w:rsid w:val="008B20C7"/>
    <w:rsid w:val="008B368F"/>
    <w:rsid w:val="008B430C"/>
    <w:rsid w:val="008B54D4"/>
    <w:rsid w:val="008B5631"/>
    <w:rsid w:val="008B5A07"/>
    <w:rsid w:val="008B772A"/>
    <w:rsid w:val="008C15F8"/>
    <w:rsid w:val="008C2769"/>
    <w:rsid w:val="008C28A6"/>
    <w:rsid w:val="008C2922"/>
    <w:rsid w:val="008C2CB0"/>
    <w:rsid w:val="008C3AB3"/>
    <w:rsid w:val="008C3C12"/>
    <w:rsid w:val="008C5192"/>
    <w:rsid w:val="008C524C"/>
    <w:rsid w:val="008C530F"/>
    <w:rsid w:val="008C64BD"/>
    <w:rsid w:val="008D079C"/>
    <w:rsid w:val="008D219A"/>
    <w:rsid w:val="008D449C"/>
    <w:rsid w:val="008D52BD"/>
    <w:rsid w:val="008D6116"/>
    <w:rsid w:val="008D64FF"/>
    <w:rsid w:val="008D6517"/>
    <w:rsid w:val="008D7E47"/>
    <w:rsid w:val="008E049D"/>
    <w:rsid w:val="008E081E"/>
    <w:rsid w:val="008E164A"/>
    <w:rsid w:val="008E1A4D"/>
    <w:rsid w:val="008E20BC"/>
    <w:rsid w:val="008E249C"/>
    <w:rsid w:val="008E2BE7"/>
    <w:rsid w:val="008E3707"/>
    <w:rsid w:val="008E3E4E"/>
    <w:rsid w:val="008E4FFD"/>
    <w:rsid w:val="008E52C8"/>
    <w:rsid w:val="008E52E9"/>
    <w:rsid w:val="008E6E64"/>
    <w:rsid w:val="008E7A6A"/>
    <w:rsid w:val="008E7DEB"/>
    <w:rsid w:val="008F0052"/>
    <w:rsid w:val="008F040D"/>
    <w:rsid w:val="008F05E2"/>
    <w:rsid w:val="008F0CA8"/>
    <w:rsid w:val="008F1749"/>
    <w:rsid w:val="008F1DFF"/>
    <w:rsid w:val="008F2D8B"/>
    <w:rsid w:val="008F3484"/>
    <w:rsid w:val="008F3F1E"/>
    <w:rsid w:val="008F481E"/>
    <w:rsid w:val="008F53C5"/>
    <w:rsid w:val="008F5735"/>
    <w:rsid w:val="008F5C8D"/>
    <w:rsid w:val="008F5F06"/>
    <w:rsid w:val="008F6C64"/>
    <w:rsid w:val="008F7142"/>
    <w:rsid w:val="0090093B"/>
    <w:rsid w:val="009024BF"/>
    <w:rsid w:val="0090366E"/>
    <w:rsid w:val="0090397D"/>
    <w:rsid w:val="009045BC"/>
    <w:rsid w:val="00905474"/>
    <w:rsid w:val="00905827"/>
    <w:rsid w:val="00906D25"/>
    <w:rsid w:val="009078C1"/>
    <w:rsid w:val="00910239"/>
    <w:rsid w:val="009105C8"/>
    <w:rsid w:val="00911B6A"/>
    <w:rsid w:val="00912674"/>
    <w:rsid w:val="009126A4"/>
    <w:rsid w:val="009126EB"/>
    <w:rsid w:val="0091328D"/>
    <w:rsid w:val="0091345D"/>
    <w:rsid w:val="009136F2"/>
    <w:rsid w:val="00913884"/>
    <w:rsid w:val="00913E86"/>
    <w:rsid w:val="00915640"/>
    <w:rsid w:val="009158D7"/>
    <w:rsid w:val="00915D94"/>
    <w:rsid w:val="00916D05"/>
    <w:rsid w:val="0091752B"/>
    <w:rsid w:val="009176C5"/>
    <w:rsid w:val="009201C7"/>
    <w:rsid w:val="00920A95"/>
    <w:rsid w:val="00921974"/>
    <w:rsid w:val="009221DB"/>
    <w:rsid w:val="00923869"/>
    <w:rsid w:val="00923B86"/>
    <w:rsid w:val="00923CAB"/>
    <w:rsid w:val="00923CF3"/>
    <w:rsid w:val="00924D6C"/>
    <w:rsid w:val="009250C8"/>
    <w:rsid w:val="00925270"/>
    <w:rsid w:val="00925D54"/>
    <w:rsid w:val="00927E1E"/>
    <w:rsid w:val="00933509"/>
    <w:rsid w:val="009357BF"/>
    <w:rsid w:val="00936E79"/>
    <w:rsid w:val="00940FCD"/>
    <w:rsid w:val="00943D38"/>
    <w:rsid w:val="009440AE"/>
    <w:rsid w:val="00945431"/>
    <w:rsid w:val="00945687"/>
    <w:rsid w:val="00945689"/>
    <w:rsid w:val="00945A0E"/>
    <w:rsid w:val="00947CB1"/>
    <w:rsid w:val="009504BA"/>
    <w:rsid w:val="009510A8"/>
    <w:rsid w:val="0095260E"/>
    <w:rsid w:val="00952A5C"/>
    <w:rsid w:val="00952CD8"/>
    <w:rsid w:val="00952F3C"/>
    <w:rsid w:val="0095360C"/>
    <w:rsid w:val="00953B93"/>
    <w:rsid w:val="00953E94"/>
    <w:rsid w:val="0095416C"/>
    <w:rsid w:val="00954E15"/>
    <w:rsid w:val="00955012"/>
    <w:rsid w:val="00955A89"/>
    <w:rsid w:val="0095699E"/>
    <w:rsid w:val="009600D7"/>
    <w:rsid w:val="00960E58"/>
    <w:rsid w:val="00963971"/>
    <w:rsid w:val="00964761"/>
    <w:rsid w:val="00965047"/>
    <w:rsid w:val="00966924"/>
    <w:rsid w:val="00967374"/>
    <w:rsid w:val="00967EA7"/>
    <w:rsid w:val="00970C00"/>
    <w:rsid w:val="009716F0"/>
    <w:rsid w:val="009723A2"/>
    <w:rsid w:val="00972536"/>
    <w:rsid w:val="00972A77"/>
    <w:rsid w:val="00972F5C"/>
    <w:rsid w:val="00974352"/>
    <w:rsid w:val="009749D0"/>
    <w:rsid w:val="00974BB4"/>
    <w:rsid w:val="00974C31"/>
    <w:rsid w:val="00974CE6"/>
    <w:rsid w:val="009755BC"/>
    <w:rsid w:val="009760AC"/>
    <w:rsid w:val="00976AF8"/>
    <w:rsid w:val="009803ED"/>
    <w:rsid w:val="00980F55"/>
    <w:rsid w:val="00982982"/>
    <w:rsid w:val="00983042"/>
    <w:rsid w:val="00984027"/>
    <w:rsid w:val="0098405F"/>
    <w:rsid w:val="00987FAB"/>
    <w:rsid w:val="00992C22"/>
    <w:rsid w:val="00992EA9"/>
    <w:rsid w:val="00993483"/>
    <w:rsid w:val="00993880"/>
    <w:rsid w:val="00993D58"/>
    <w:rsid w:val="0099408F"/>
    <w:rsid w:val="009945CF"/>
    <w:rsid w:val="00996257"/>
    <w:rsid w:val="00996331"/>
    <w:rsid w:val="009965E4"/>
    <w:rsid w:val="009969BA"/>
    <w:rsid w:val="009972E9"/>
    <w:rsid w:val="009A09EE"/>
    <w:rsid w:val="009A0C1A"/>
    <w:rsid w:val="009A0CDD"/>
    <w:rsid w:val="009A1F26"/>
    <w:rsid w:val="009A2820"/>
    <w:rsid w:val="009A2E03"/>
    <w:rsid w:val="009A337D"/>
    <w:rsid w:val="009A3420"/>
    <w:rsid w:val="009A4C2F"/>
    <w:rsid w:val="009A4E4C"/>
    <w:rsid w:val="009A6BA0"/>
    <w:rsid w:val="009A6E7F"/>
    <w:rsid w:val="009A7157"/>
    <w:rsid w:val="009A71D8"/>
    <w:rsid w:val="009B0225"/>
    <w:rsid w:val="009B05BB"/>
    <w:rsid w:val="009B07FE"/>
    <w:rsid w:val="009B09ED"/>
    <w:rsid w:val="009B1C60"/>
    <w:rsid w:val="009B201B"/>
    <w:rsid w:val="009B2436"/>
    <w:rsid w:val="009B2BBB"/>
    <w:rsid w:val="009B2CAB"/>
    <w:rsid w:val="009B346A"/>
    <w:rsid w:val="009B7234"/>
    <w:rsid w:val="009B7A97"/>
    <w:rsid w:val="009C163A"/>
    <w:rsid w:val="009C2DC3"/>
    <w:rsid w:val="009C31F2"/>
    <w:rsid w:val="009C3D31"/>
    <w:rsid w:val="009C4C77"/>
    <w:rsid w:val="009C54C9"/>
    <w:rsid w:val="009C5C36"/>
    <w:rsid w:val="009C5D49"/>
    <w:rsid w:val="009C658D"/>
    <w:rsid w:val="009D001D"/>
    <w:rsid w:val="009D0EB5"/>
    <w:rsid w:val="009D1516"/>
    <w:rsid w:val="009D1855"/>
    <w:rsid w:val="009D3B1F"/>
    <w:rsid w:val="009D3B75"/>
    <w:rsid w:val="009D4085"/>
    <w:rsid w:val="009D602F"/>
    <w:rsid w:val="009E070D"/>
    <w:rsid w:val="009E15C4"/>
    <w:rsid w:val="009E1B97"/>
    <w:rsid w:val="009E1D3A"/>
    <w:rsid w:val="009E1DCD"/>
    <w:rsid w:val="009E39A8"/>
    <w:rsid w:val="009E56D9"/>
    <w:rsid w:val="009E58A8"/>
    <w:rsid w:val="009E6131"/>
    <w:rsid w:val="009E682F"/>
    <w:rsid w:val="009E7D35"/>
    <w:rsid w:val="009F19A4"/>
    <w:rsid w:val="009F1C40"/>
    <w:rsid w:val="009F2BDF"/>
    <w:rsid w:val="009F55C6"/>
    <w:rsid w:val="009F5876"/>
    <w:rsid w:val="009F67DE"/>
    <w:rsid w:val="009F6CDA"/>
    <w:rsid w:val="009F6FCA"/>
    <w:rsid w:val="00A00659"/>
    <w:rsid w:val="00A007EC"/>
    <w:rsid w:val="00A008E1"/>
    <w:rsid w:val="00A01543"/>
    <w:rsid w:val="00A01A6D"/>
    <w:rsid w:val="00A01EF8"/>
    <w:rsid w:val="00A02B1A"/>
    <w:rsid w:val="00A03060"/>
    <w:rsid w:val="00A03A85"/>
    <w:rsid w:val="00A03AA5"/>
    <w:rsid w:val="00A04778"/>
    <w:rsid w:val="00A053C8"/>
    <w:rsid w:val="00A06BFC"/>
    <w:rsid w:val="00A06CDD"/>
    <w:rsid w:val="00A073A9"/>
    <w:rsid w:val="00A07B82"/>
    <w:rsid w:val="00A07D0F"/>
    <w:rsid w:val="00A117FD"/>
    <w:rsid w:val="00A1184E"/>
    <w:rsid w:val="00A11B5E"/>
    <w:rsid w:val="00A12C84"/>
    <w:rsid w:val="00A134DC"/>
    <w:rsid w:val="00A15667"/>
    <w:rsid w:val="00A1694F"/>
    <w:rsid w:val="00A16C7C"/>
    <w:rsid w:val="00A17647"/>
    <w:rsid w:val="00A20358"/>
    <w:rsid w:val="00A20F6E"/>
    <w:rsid w:val="00A2127A"/>
    <w:rsid w:val="00A215C4"/>
    <w:rsid w:val="00A24866"/>
    <w:rsid w:val="00A26700"/>
    <w:rsid w:val="00A27FD8"/>
    <w:rsid w:val="00A31AA9"/>
    <w:rsid w:val="00A31EBF"/>
    <w:rsid w:val="00A32DFB"/>
    <w:rsid w:val="00A330E5"/>
    <w:rsid w:val="00A3415D"/>
    <w:rsid w:val="00A34BD0"/>
    <w:rsid w:val="00A34BE3"/>
    <w:rsid w:val="00A34CA7"/>
    <w:rsid w:val="00A35059"/>
    <w:rsid w:val="00A35535"/>
    <w:rsid w:val="00A3561C"/>
    <w:rsid w:val="00A3585F"/>
    <w:rsid w:val="00A3587B"/>
    <w:rsid w:val="00A35BEC"/>
    <w:rsid w:val="00A361D1"/>
    <w:rsid w:val="00A374FB"/>
    <w:rsid w:val="00A37C4B"/>
    <w:rsid w:val="00A37C76"/>
    <w:rsid w:val="00A411B0"/>
    <w:rsid w:val="00A417A8"/>
    <w:rsid w:val="00A41F09"/>
    <w:rsid w:val="00A4309C"/>
    <w:rsid w:val="00A43507"/>
    <w:rsid w:val="00A43889"/>
    <w:rsid w:val="00A43909"/>
    <w:rsid w:val="00A447A1"/>
    <w:rsid w:val="00A46689"/>
    <w:rsid w:val="00A50352"/>
    <w:rsid w:val="00A50589"/>
    <w:rsid w:val="00A513A6"/>
    <w:rsid w:val="00A518FB"/>
    <w:rsid w:val="00A51F1C"/>
    <w:rsid w:val="00A527F7"/>
    <w:rsid w:val="00A5299E"/>
    <w:rsid w:val="00A53160"/>
    <w:rsid w:val="00A53A7A"/>
    <w:rsid w:val="00A54528"/>
    <w:rsid w:val="00A56C9D"/>
    <w:rsid w:val="00A6344A"/>
    <w:rsid w:val="00A64847"/>
    <w:rsid w:val="00A648B9"/>
    <w:rsid w:val="00A673A5"/>
    <w:rsid w:val="00A673CF"/>
    <w:rsid w:val="00A67EDF"/>
    <w:rsid w:val="00A70433"/>
    <w:rsid w:val="00A70F04"/>
    <w:rsid w:val="00A71240"/>
    <w:rsid w:val="00A714CF"/>
    <w:rsid w:val="00A7187C"/>
    <w:rsid w:val="00A71E3E"/>
    <w:rsid w:val="00A71EA3"/>
    <w:rsid w:val="00A72168"/>
    <w:rsid w:val="00A7340C"/>
    <w:rsid w:val="00A744AA"/>
    <w:rsid w:val="00A744FC"/>
    <w:rsid w:val="00A74BAF"/>
    <w:rsid w:val="00A81ACE"/>
    <w:rsid w:val="00A83503"/>
    <w:rsid w:val="00A835AC"/>
    <w:rsid w:val="00A83CC8"/>
    <w:rsid w:val="00A83D57"/>
    <w:rsid w:val="00A84480"/>
    <w:rsid w:val="00A84BEF"/>
    <w:rsid w:val="00A84DFC"/>
    <w:rsid w:val="00A87C94"/>
    <w:rsid w:val="00A915B5"/>
    <w:rsid w:val="00A9219D"/>
    <w:rsid w:val="00A93219"/>
    <w:rsid w:val="00A97513"/>
    <w:rsid w:val="00AA07DD"/>
    <w:rsid w:val="00AA1422"/>
    <w:rsid w:val="00AA38BF"/>
    <w:rsid w:val="00AA3D14"/>
    <w:rsid w:val="00AA4A60"/>
    <w:rsid w:val="00AA4D56"/>
    <w:rsid w:val="00AA4FD6"/>
    <w:rsid w:val="00AA5429"/>
    <w:rsid w:val="00AA5509"/>
    <w:rsid w:val="00AA5A01"/>
    <w:rsid w:val="00AA7142"/>
    <w:rsid w:val="00AA7A5C"/>
    <w:rsid w:val="00AB00C6"/>
    <w:rsid w:val="00AB0D23"/>
    <w:rsid w:val="00AB10DC"/>
    <w:rsid w:val="00AB1F0D"/>
    <w:rsid w:val="00AB27E8"/>
    <w:rsid w:val="00AB389C"/>
    <w:rsid w:val="00AB393F"/>
    <w:rsid w:val="00AB47FC"/>
    <w:rsid w:val="00AB4D08"/>
    <w:rsid w:val="00AB56D1"/>
    <w:rsid w:val="00AB5B26"/>
    <w:rsid w:val="00AB6932"/>
    <w:rsid w:val="00AC0C6D"/>
    <w:rsid w:val="00AC0ECE"/>
    <w:rsid w:val="00AC10B9"/>
    <w:rsid w:val="00AC265C"/>
    <w:rsid w:val="00AC2D29"/>
    <w:rsid w:val="00AC3DF2"/>
    <w:rsid w:val="00AC4876"/>
    <w:rsid w:val="00AC5F49"/>
    <w:rsid w:val="00AC6253"/>
    <w:rsid w:val="00AC6C7D"/>
    <w:rsid w:val="00AC6CBA"/>
    <w:rsid w:val="00AC77E7"/>
    <w:rsid w:val="00AC78AE"/>
    <w:rsid w:val="00AD2455"/>
    <w:rsid w:val="00AD316F"/>
    <w:rsid w:val="00AD4E9D"/>
    <w:rsid w:val="00AD5D74"/>
    <w:rsid w:val="00AD649E"/>
    <w:rsid w:val="00AE0529"/>
    <w:rsid w:val="00AE233E"/>
    <w:rsid w:val="00AE24B7"/>
    <w:rsid w:val="00AE37CA"/>
    <w:rsid w:val="00AE48B4"/>
    <w:rsid w:val="00AE6139"/>
    <w:rsid w:val="00AE75C3"/>
    <w:rsid w:val="00AF1722"/>
    <w:rsid w:val="00AF179A"/>
    <w:rsid w:val="00AF2BB2"/>
    <w:rsid w:val="00AF2CE8"/>
    <w:rsid w:val="00AF2D51"/>
    <w:rsid w:val="00AF3A3E"/>
    <w:rsid w:val="00AF48AA"/>
    <w:rsid w:val="00AF5B2D"/>
    <w:rsid w:val="00AF6D64"/>
    <w:rsid w:val="00AF7E4C"/>
    <w:rsid w:val="00B00656"/>
    <w:rsid w:val="00B0247E"/>
    <w:rsid w:val="00B026E9"/>
    <w:rsid w:val="00B0354D"/>
    <w:rsid w:val="00B05039"/>
    <w:rsid w:val="00B05997"/>
    <w:rsid w:val="00B077ED"/>
    <w:rsid w:val="00B11AEC"/>
    <w:rsid w:val="00B1227C"/>
    <w:rsid w:val="00B124CD"/>
    <w:rsid w:val="00B14004"/>
    <w:rsid w:val="00B159B8"/>
    <w:rsid w:val="00B174BA"/>
    <w:rsid w:val="00B204AE"/>
    <w:rsid w:val="00B20D60"/>
    <w:rsid w:val="00B21B4A"/>
    <w:rsid w:val="00B21BFB"/>
    <w:rsid w:val="00B21DA2"/>
    <w:rsid w:val="00B22122"/>
    <w:rsid w:val="00B22F57"/>
    <w:rsid w:val="00B2309C"/>
    <w:rsid w:val="00B24B17"/>
    <w:rsid w:val="00B24B24"/>
    <w:rsid w:val="00B250F0"/>
    <w:rsid w:val="00B2521C"/>
    <w:rsid w:val="00B25497"/>
    <w:rsid w:val="00B2564D"/>
    <w:rsid w:val="00B27002"/>
    <w:rsid w:val="00B270D9"/>
    <w:rsid w:val="00B2712E"/>
    <w:rsid w:val="00B2738C"/>
    <w:rsid w:val="00B302AA"/>
    <w:rsid w:val="00B308AD"/>
    <w:rsid w:val="00B30BD4"/>
    <w:rsid w:val="00B31941"/>
    <w:rsid w:val="00B3198F"/>
    <w:rsid w:val="00B3244B"/>
    <w:rsid w:val="00B32A61"/>
    <w:rsid w:val="00B3374F"/>
    <w:rsid w:val="00B3438C"/>
    <w:rsid w:val="00B34C4A"/>
    <w:rsid w:val="00B35172"/>
    <w:rsid w:val="00B3518C"/>
    <w:rsid w:val="00B35436"/>
    <w:rsid w:val="00B362E0"/>
    <w:rsid w:val="00B3728E"/>
    <w:rsid w:val="00B37F7D"/>
    <w:rsid w:val="00B40BD4"/>
    <w:rsid w:val="00B4206C"/>
    <w:rsid w:val="00B422B1"/>
    <w:rsid w:val="00B428D3"/>
    <w:rsid w:val="00B42E96"/>
    <w:rsid w:val="00B43DE8"/>
    <w:rsid w:val="00B45E27"/>
    <w:rsid w:val="00B4632D"/>
    <w:rsid w:val="00B46E04"/>
    <w:rsid w:val="00B4715B"/>
    <w:rsid w:val="00B47A76"/>
    <w:rsid w:val="00B50AC5"/>
    <w:rsid w:val="00B5106A"/>
    <w:rsid w:val="00B515CC"/>
    <w:rsid w:val="00B51B8E"/>
    <w:rsid w:val="00B51C3D"/>
    <w:rsid w:val="00B51E0A"/>
    <w:rsid w:val="00B52048"/>
    <w:rsid w:val="00B52150"/>
    <w:rsid w:val="00B522A8"/>
    <w:rsid w:val="00B525FE"/>
    <w:rsid w:val="00B5302D"/>
    <w:rsid w:val="00B53CA2"/>
    <w:rsid w:val="00B56151"/>
    <w:rsid w:val="00B60178"/>
    <w:rsid w:val="00B60980"/>
    <w:rsid w:val="00B60EF7"/>
    <w:rsid w:val="00B61C65"/>
    <w:rsid w:val="00B6320D"/>
    <w:rsid w:val="00B63723"/>
    <w:rsid w:val="00B638AF"/>
    <w:rsid w:val="00B655FE"/>
    <w:rsid w:val="00B65C20"/>
    <w:rsid w:val="00B676CA"/>
    <w:rsid w:val="00B678D4"/>
    <w:rsid w:val="00B703FC"/>
    <w:rsid w:val="00B7119C"/>
    <w:rsid w:val="00B746DD"/>
    <w:rsid w:val="00B746E2"/>
    <w:rsid w:val="00B75B88"/>
    <w:rsid w:val="00B760A0"/>
    <w:rsid w:val="00B76BA4"/>
    <w:rsid w:val="00B80BEE"/>
    <w:rsid w:val="00B8150F"/>
    <w:rsid w:val="00B81B24"/>
    <w:rsid w:val="00B83F11"/>
    <w:rsid w:val="00B841DF"/>
    <w:rsid w:val="00B84F7C"/>
    <w:rsid w:val="00B8597D"/>
    <w:rsid w:val="00B86B15"/>
    <w:rsid w:val="00B86C23"/>
    <w:rsid w:val="00B87713"/>
    <w:rsid w:val="00B87D40"/>
    <w:rsid w:val="00B87DB0"/>
    <w:rsid w:val="00B92563"/>
    <w:rsid w:val="00B92BD7"/>
    <w:rsid w:val="00B932D7"/>
    <w:rsid w:val="00B93CDA"/>
    <w:rsid w:val="00B93E5B"/>
    <w:rsid w:val="00B95461"/>
    <w:rsid w:val="00B977E7"/>
    <w:rsid w:val="00B97C3C"/>
    <w:rsid w:val="00BA0B8E"/>
    <w:rsid w:val="00BA0CD0"/>
    <w:rsid w:val="00BA14DD"/>
    <w:rsid w:val="00BA2480"/>
    <w:rsid w:val="00BA44DB"/>
    <w:rsid w:val="00BA4C83"/>
    <w:rsid w:val="00BA50B7"/>
    <w:rsid w:val="00BA60D3"/>
    <w:rsid w:val="00BA6769"/>
    <w:rsid w:val="00BA6AAE"/>
    <w:rsid w:val="00BA6B70"/>
    <w:rsid w:val="00BA725A"/>
    <w:rsid w:val="00BB0080"/>
    <w:rsid w:val="00BB1FDF"/>
    <w:rsid w:val="00BB2ACA"/>
    <w:rsid w:val="00BB3265"/>
    <w:rsid w:val="00BB3889"/>
    <w:rsid w:val="00BB508C"/>
    <w:rsid w:val="00BB526A"/>
    <w:rsid w:val="00BB5AB7"/>
    <w:rsid w:val="00BB603B"/>
    <w:rsid w:val="00BB6DF8"/>
    <w:rsid w:val="00BB7647"/>
    <w:rsid w:val="00BC09BB"/>
    <w:rsid w:val="00BC1753"/>
    <w:rsid w:val="00BC178C"/>
    <w:rsid w:val="00BC20A2"/>
    <w:rsid w:val="00BC2262"/>
    <w:rsid w:val="00BC290D"/>
    <w:rsid w:val="00BC32BC"/>
    <w:rsid w:val="00BC3AC6"/>
    <w:rsid w:val="00BC3B7C"/>
    <w:rsid w:val="00BC4466"/>
    <w:rsid w:val="00BC4CBC"/>
    <w:rsid w:val="00BC4CC7"/>
    <w:rsid w:val="00BC4D3B"/>
    <w:rsid w:val="00BC535B"/>
    <w:rsid w:val="00BC6FA6"/>
    <w:rsid w:val="00BC7A21"/>
    <w:rsid w:val="00BD05B1"/>
    <w:rsid w:val="00BD08D8"/>
    <w:rsid w:val="00BD1981"/>
    <w:rsid w:val="00BD404D"/>
    <w:rsid w:val="00BD582F"/>
    <w:rsid w:val="00BD5D27"/>
    <w:rsid w:val="00BD60E0"/>
    <w:rsid w:val="00BD68CF"/>
    <w:rsid w:val="00BE15A2"/>
    <w:rsid w:val="00BE1718"/>
    <w:rsid w:val="00BE1E87"/>
    <w:rsid w:val="00BE2786"/>
    <w:rsid w:val="00BE3B24"/>
    <w:rsid w:val="00BE44DD"/>
    <w:rsid w:val="00BE58CD"/>
    <w:rsid w:val="00BE78C4"/>
    <w:rsid w:val="00BF0CDC"/>
    <w:rsid w:val="00BF12C8"/>
    <w:rsid w:val="00BF1CBB"/>
    <w:rsid w:val="00BF4EB7"/>
    <w:rsid w:val="00BF7EE8"/>
    <w:rsid w:val="00C006E5"/>
    <w:rsid w:val="00C017B6"/>
    <w:rsid w:val="00C049DE"/>
    <w:rsid w:val="00C0549E"/>
    <w:rsid w:val="00C05784"/>
    <w:rsid w:val="00C05B04"/>
    <w:rsid w:val="00C05E85"/>
    <w:rsid w:val="00C07032"/>
    <w:rsid w:val="00C073C3"/>
    <w:rsid w:val="00C07460"/>
    <w:rsid w:val="00C10821"/>
    <w:rsid w:val="00C11311"/>
    <w:rsid w:val="00C11755"/>
    <w:rsid w:val="00C13818"/>
    <w:rsid w:val="00C1567E"/>
    <w:rsid w:val="00C16211"/>
    <w:rsid w:val="00C17CB0"/>
    <w:rsid w:val="00C2090E"/>
    <w:rsid w:val="00C20A49"/>
    <w:rsid w:val="00C20E43"/>
    <w:rsid w:val="00C22C10"/>
    <w:rsid w:val="00C233D0"/>
    <w:rsid w:val="00C23E4F"/>
    <w:rsid w:val="00C24EB7"/>
    <w:rsid w:val="00C253F1"/>
    <w:rsid w:val="00C26E77"/>
    <w:rsid w:val="00C26FC9"/>
    <w:rsid w:val="00C270F0"/>
    <w:rsid w:val="00C27CB7"/>
    <w:rsid w:val="00C30420"/>
    <w:rsid w:val="00C32AB6"/>
    <w:rsid w:val="00C33003"/>
    <w:rsid w:val="00C336DA"/>
    <w:rsid w:val="00C338B3"/>
    <w:rsid w:val="00C33BBC"/>
    <w:rsid w:val="00C347D3"/>
    <w:rsid w:val="00C34910"/>
    <w:rsid w:val="00C34DE1"/>
    <w:rsid w:val="00C37358"/>
    <w:rsid w:val="00C37A39"/>
    <w:rsid w:val="00C40F22"/>
    <w:rsid w:val="00C41130"/>
    <w:rsid w:val="00C4164F"/>
    <w:rsid w:val="00C418E3"/>
    <w:rsid w:val="00C422AD"/>
    <w:rsid w:val="00C43382"/>
    <w:rsid w:val="00C44665"/>
    <w:rsid w:val="00C450EA"/>
    <w:rsid w:val="00C4520C"/>
    <w:rsid w:val="00C45981"/>
    <w:rsid w:val="00C45AFA"/>
    <w:rsid w:val="00C46163"/>
    <w:rsid w:val="00C4690F"/>
    <w:rsid w:val="00C51FBA"/>
    <w:rsid w:val="00C5207F"/>
    <w:rsid w:val="00C52547"/>
    <w:rsid w:val="00C52E70"/>
    <w:rsid w:val="00C53670"/>
    <w:rsid w:val="00C53B91"/>
    <w:rsid w:val="00C5666C"/>
    <w:rsid w:val="00C578D0"/>
    <w:rsid w:val="00C57C6B"/>
    <w:rsid w:val="00C602AD"/>
    <w:rsid w:val="00C61479"/>
    <w:rsid w:val="00C61CDE"/>
    <w:rsid w:val="00C637C8"/>
    <w:rsid w:val="00C640B6"/>
    <w:rsid w:val="00C6512C"/>
    <w:rsid w:val="00C658E8"/>
    <w:rsid w:val="00C70539"/>
    <w:rsid w:val="00C70D4E"/>
    <w:rsid w:val="00C72003"/>
    <w:rsid w:val="00C72795"/>
    <w:rsid w:val="00C730CB"/>
    <w:rsid w:val="00C73AFB"/>
    <w:rsid w:val="00C74E3F"/>
    <w:rsid w:val="00C7570D"/>
    <w:rsid w:val="00C75DF6"/>
    <w:rsid w:val="00C804D4"/>
    <w:rsid w:val="00C812F6"/>
    <w:rsid w:val="00C81398"/>
    <w:rsid w:val="00C81AD9"/>
    <w:rsid w:val="00C81B18"/>
    <w:rsid w:val="00C8294D"/>
    <w:rsid w:val="00C82985"/>
    <w:rsid w:val="00C8330E"/>
    <w:rsid w:val="00C848B3"/>
    <w:rsid w:val="00C8495A"/>
    <w:rsid w:val="00C849B6"/>
    <w:rsid w:val="00C84BB5"/>
    <w:rsid w:val="00C84F4F"/>
    <w:rsid w:val="00C85423"/>
    <w:rsid w:val="00C8550C"/>
    <w:rsid w:val="00C85682"/>
    <w:rsid w:val="00C867B3"/>
    <w:rsid w:val="00C9030A"/>
    <w:rsid w:val="00C92F2F"/>
    <w:rsid w:val="00C93180"/>
    <w:rsid w:val="00C93FB9"/>
    <w:rsid w:val="00C94738"/>
    <w:rsid w:val="00C94A5A"/>
    <w:rsid w:val="00C959FA"/>
    <w:rsid w:val="00CA0AF4"/>
    <w:rsid w:val="00CA1BF5"/>
    <w:rsid w:val="00CA2B03"/>
    <w:rsid w:val="00CA3529"/>
    <w:rsid w:val="00CA36E6"/>
    <w:rsid w:val="00CA55C8"/>
    <w:rsid w:val="00CA5AF4"/>
    <w:rsid w:val="00CA6FB6"/>
    <w:rsid w:val="00CA7C7A"/>
    <w:rsid w:val="00CB0A0E"/>
    <w:rsid w:val="00CB1EFA"/>
    <w:rsid w:val="00CB375F"/>
    <w:rsid w:val="00CB4C86"/>
    <w:rsid w:val="00CB65A1"/>
    <w:rsid w:val="00CB66F4"/>
    <w:rsid w:val="00CB682A"/>
    <w:rsid w:val="00CC00CB"/>
    <w:rsid w:val="00CC11F6"/>
    <w:rsid w:val="00CC1995"/>
    <w:rsid w:val="00CC308A"/>
    <w:rsid w:val="00CC3BAF"/>
    <w:rsid w:val="00CC3CF5"/>
    <w:rsid w:val="00CC5E62"/>
    <w:rsid w:val="00CC6331"/>
    <w:rsid w:val="00CC68D2"/>
    <w:rsid w:val="00CC6A0E"/>
    <w:rsid w:val="00CC77E4"/>
    <w:rsid w:val="00CC7B9C"/>
    <w:rsid w:val="00CC7D48"/>
    <w:rsid w:val="00CC7E7A"/>
    <w:rsid w:val="00CD00E3"/>
    <w:rsid w:val="00CD0441"/>
    <w:rsid w:val="00CD25CD"/>
    <w:rsid w:val="00CD31AC"/>
    <w:rsid w:val="00CD31E4"/>
    <w:rsid w:val="00CD44A7"/>
    <w:rsid w:val="00CD48BA"/>
    <w:rsid w:val="00CD48C6"/>
    <w:rsid w:val="00CD5461"/>
    <w:rsid w:val="00CD6202"/>
    <w:rsid w:val="00CD6718"/>
    <w:rsid w:val="00CD6CCA"/>
    <w:rsid w:val="00CD6F14"/>
    <w:rsid w:val="00CD6F73"/>
    <w:rsid w:val="00CE16FA"/>
    <w:rsid w:val="00CE2FD7"/>
    <w:rsid w:val="00CE34F4"/>
    <w:rsid w:val="00CE44F9"/>
    <w:rsid w:val="00CE450D"/>
    <w:rsid w:val="00CE55F6"/>
    <w:rsid w:val="00CE59B9"/>
    <w:rsid w:val="00CE6646"/>
    <w:rsid w:val="00CF1930"/>
    <w:rsid w:val="00CF272F"/>
    <w:rsid w:val="00CF4193"/>
    <w:rsid w:val="00CF43DF"/>
    <w:rsid w:val="00CF44CB"/>
    <w:rsid w:val="00CF5C76"/>
    <w:rsid w:val="00CF6094"/>
    <w:rsid w:val="00D00094"/>
    <w:rsid w:val="00D0145F"/>
    <w:rsid w:val="00D01B8E"/>
    <w:rsid w:val="00D01EAC"/>
    <w:rsid w:val="00D0289D"/>
    <w:rsid w:val="00D06A3F"/>
    <w:rsid w:val="00D07321"/>
    <w:rsid w:val="00D07431"/>
    <w:rsid w:val="00D10DC4"/>
    <w:rsid w:val="00D112B8"/>
    <w:rsid w:val="00D11303"/>
    <w:rsid w:val="00D12955"/>
    <w:rsid w:val="00D12CC4"/>
    <w:rsid w:val="00D13503"/>
    <w:rsid w:val="00D15292"/>
    <w:rsid w:val="00D161B1"/>
    <w:rsid w:val="00D165AE"/>
    <w:rsid w:val="00D20151"/>
    <w:rsid w:val="00D2180C"/>
    <w:rsid w:val="00D21B91"/>
    <w:rsid w:val="00D2362B"/>
    <w:rsid w:val="00D2694D"/>
    <w:rsid w:val="00D30D9A"/>
    <w:rsid w:val="00D32123"/>
    <w:rsid w:val="00D32177"/>
    <w:rsid w:val="00D323FD"/>
    <w:rsid w:val="00D32860"/>
    <w:rsid w:val="00D32D2F"/>
    <w:rsid w:val="00D33434"/>
    <w:rsid w:val="00D33AC1"/>
    <w:rsid w:val="00D34B90"/>
    <w:rsid w:val="00D3559F"/>
    <w:rsid w:val="00D3616F"/>
    <w:rsid w:val="00D40060"/>
    <w:rsid w:val="00D410B3"/>
    <w:rsid w:val="00D41192"/>
    <w:rsid w:val="00D41474"/>
    <w:rsid w:val="00D42E80"/>
    <w:rsid w:val="00D4438E"/>
    <w:rsid w:val="00D45224"/>
    <w:rsid w:val="00D4556D"/>
    <w:rsid w:val="00D4626B"/>
    <w:rsid w:val="00D506C4"/>
    <w:rsid w:val="00D53C09"/>
    <w:rsid w:val="00D564D3"/>
    <w:rsid w:val="00D56739"/>
    <w:rsid w:val="00D56EFA"/>
    <w:rsid w:val="00D57A69"/>
    <w:rsid w:val="00D619FD"/>
    <w:rsid w:val="00D62469"/>
    <w:rsid w:val="00D62F6B"/>
    <w:rsid w:val="00D6382E"/>
    <w:rsid w:val="00D64015"/>
    <w:rsid w:val="00D64622"/>
    <w:rsid w:val="00D648BE"/>
    <w:rsid w:val="00D64B86"/>
    <w:rsid w:val="00D66785"/>
    <w:rsid w:val="00D67F44"/>
    <w:rsid w:val="00D70437"/>
    <w:rsid w:val="00D70E66"/>
    <w:rsid w:val="00D70F9B"/>
    <w:rsid w:val="00D71544"/>
    <w:rsid w:val="00D7272F"/>
    <w:rsid w:val="00D72A33"/>
    <w:rsid w:val="00D72DF6"/>
    <w:rsid w:val="00D72F95"/>
    <w:rsid w:val="00D74235"/>
    <w:rsid w:val="00D75A0D"/>
    <w:rsid w:val="00D75A87"/>
    <w:rsid w:val="00D769FC"/>
    <w:rsid w:val="00D76DBB"/>
    <w:rsid w:val="00D7726D"/>
    <w:rsid w:val="00D810B5"/>
    <w:rsid w:val="00D81F9D"/>
    <w:rsid w:val="00D826EE"/>
    <w:rsid w:val="00D84117"/>
    <w:rsid w:val="00D84C29"/>
    <w:rsid w:val="00D85C8E"/>
    <w:rsid w:val="00D86FC5"/>
    <w:rsid w:val="00D877F5"/>
    <w:rsid w:val="00D90F7E"/>
    <w:rsid w:val="00D92597"/>
    <w:rsid w:val="00D94D4A"/>
    <w:rsid w:val="00D95720"/>
    <w:rsid w:val="00D95998"/>
    <w:rsid w:val="00D95E31"/>
    <w:rsid w:val="00DA004E"/>
    <w:rsid w:val="00DA028D"/>
    <w:rsid w:val="00DA0C26"/>
    <w:rsid w:val="00DA0F33"/>
    <w:rsid w:val="00DA274D"/>
    <w:rsid w:val="00DA3BCB"/>
    <w:rsid w:val="00DA4AA5"/>
    <w:rsid w:val="00DA4CE9"/>
    <w:rsid w:val="00DA4EE1"/>
    <w:rsid w:val="00DA4F4E"/>
    <w:rsid w:val="00DA61BC"/>
    <w:rsid w:val="00DA6987"/>
    <w:rsid w:val="00DA6E24"/>
    <w:rsid w:val="00DA7050"/>
    <w:rsid w:val="00DA7F57"/>
    <w:rsid w:val="00DB0568"/>
    <w:rsid w:val="00DB26A6"/>
    <w:rsid w:val="00DB297B"/>
    <w:rsid w:val="00DB39E2"/>
    <w:rsid w:val="00DB4E65"/>
    <w:rsid w:val="00DB5457"/>
    <w:rsid w:val="00DB5AE9"/>
    <w:rsid w:val="00DB5AF8"/>
    <w:rsid w:val="00DB78DB"/>
    <w:rsid w:val="00DC2428"/>
    <w:rsid w:val="00DC31A3"/>
    <w:rsid w:val="00DC4C06"/>
    <w:rsid w:val="00DC4D82"/>
    <w:rsid w:val="00DC5CD1"/>
    <w:rsid w:val="00DC78CB"/>
    <w:rsid w:val="00DC7E24"/>
    <w:rsid w:val="00DD01FB"/>
    <w:rsid w:val="00DD16F2"/>
    <w:rsid w:val="00DD47A0"/>
    <w:rsid w:val="00DD650D"/>
    <w:rsid w:val="00DD73B5"/>
    <w:rsid w:val="00DE2A37"/>
    <w:rsid w:val="00DE2A9E"/>
    <w:rsid w:val="00DE2B01"/>
    <w:rsid w:val="00DE3B16"/>
    <w:rsid w:val="00DE3CF6"/>
    <w:rsid w:val="00DE5EF0"/>
    <w:rsid w:val="00DE76FB"/>
    <w:rsid w:val="00DE775B"/>
    <w:rsid w:val="00DF0FC7"/>
    <w:rsid w:val="00DF360A"/>
    <w:rsid w:val="00DF3707"/>
    <w:rsid w:val="00DF403F"/>
    <w:rsid w:val="00DF5EC0"/>
    <w:rsid w:val="00DF61CB"/>
    <w:rsid w:val="00DF6376"/>
    <w:rsid w:val="00DF7183"/>
    <w:rsid w:val="00DF721B"/>
    <w:rsid w:val="00E00E7F"/>
    <w:rsid w:val="00E00FF9"/>
    <w:rsid w:val="00E03826"/>
    <w:rsid w:val="00E0456C"/>
    <w:rsid w:val="00E04814"/>
    <w:rsid w:val="00E05957"/>
    <w:rsid w:val="00E05A1E"/>
    <w:rsid w:val="00E0610A"/>
    <w:rsid w:val="00E06440"/>
    <w:rsid w:val="00E103A3"/>
    <w:rsid w:val="00E10414"/>
    <w:rsid w:val="00E10970"/>
    <w:rsid w:val="00E10AEA"/>
    <w:rsid w:val="00E117A0"/>
    <w:rsid w:val="00E11D89"/>
    <w:rsid w:val="00E1220C"/>
    <w:rsid w:val="00E12960"/>
    <w:rsid w:val="00E129E9"/>
    <w:rsid w:val="00E12BE3"/>
    <w:rsid w:val="00E13E43"/>
    <w:rsid w:val="00E14EC4"/>
    <w:rsid w:val="00E150A4"/>
    <w:rsid w:val="00E15C27"/>
    <w:rsid w:val="00E1609D"/>
    <w:rsid w:val="00E1629D"/>
    <w:rsid w:val="00E17B39"/>
    <w:rsid w:val="00E207D8"/>
    <w:rsid w:val="00E24049"/>
    <w:rsid w:val="00E24601"/>
    <w:rsid w:val="00E2616A"/>
    <w:rsid w:val="00E26AA8"/>
    <w:rsid w:val="00E312AD"/>
    <w:rsid w:val="00E313C3"/>
    <w:rsid w:val="00E321B8"/>
    <w:rsid w:val="00E32B5A"/>
    <w:rsid w:val="00E336E6"/>
    <w:rsid w:val="00E33A43"/>
    <w:rsid w:val="00E34899"/>
    <w:rsid w:val="00E362B2"/>
    <w:rsid w:val="00E36585"/>
    <w:rsid w:val="00E36B1A"/>
    <w:rsid w:val="00E37861"/>
    <w:rsid w:val="00E412DC"/>
    <w:rsid w:val="00E4158A"/>
    <w:rsid w:val="00E41872"/>
    <w:rsid w:val="00E420F0"/>
    <w:rsid w:val="00E43599"/>
    <w:rsid w:val="00E44126"/>
    <w:rsid w:val="00E44187"/>
    <w:rsid w:val="00E46906"/>
    <w:rsid w:val="00E47384"/>
    <w:rsid w:val="00E50463"/>
    <w:rsid w:val="00E53A3A"/>
    <w:rsid w:val="00E54A1E"/>
    <w:rsid w:val="00E55A74"/>
    <w:rsid w:val="00E602CF"/>
    <w:rsid w:val="00E60361"/>
    <w:rsid w:val="00E62240"/>
    <w:rsid w:val="00E62AC2"/>
    <w:rsid w:val="00E63AA9"/>
    <w:rsid w:val="00E64020"/>
    <w:rsid w:val="00E64C05"/>
    <w:rsid w:val="00E6584F"/>
    <w:rsid w:val="00E65E88"/>
    <w:rsid w:val="00E65F42"/>
    <w:rsid w:val="00E668FB"/>
    <w:rsid w:val="00E66C30"/>
    <w:rsid w:val="00E66E76"/>
    <w:rsid w:val="00E70F0C"/>
    <w:rsid w:val="00E71122"/>
    <w:rsid w:val="00E7149B"/>
    <w:rsid w:val="00E71EB0"/>
    <w:rsid w:val="00E76A01"/>
    <w:rsid w:val="00E77E32"/>
    <w:rsid w:val="00E77EE7"/>
    <w:rsid w:val="00E82184"/>
    <w:rsid w:val="00E82A1F"/>
    <w:rsid w:val="00E8332A"/>
    <w:rsid w:val="00E83690"/>
    <w:rsid w:val="00E83F05"/>
    <w:rsid w:val="00E85295"/>
    <w:rsid w:val="00E8558D"/>
    <w:rsid w:val="00E875D8"/>
    <w:rsid w:val="00E87C3D"/>
    <w:rsid w:val="00E90F74"/>
    <w:rsid w:val="00E9151B"/>
    <w:rsid w:val="00E9195C"/>
    <w:rsid w:val="00E941B6"/>
    <w:rsid w:val="00E948F6"/>
    <w:rsid w:val="00E9638D"/>
    <w:rsid w:val="00E96F53"/>
    <w:rsid w:val="00E9750D"/>
    <w:rsid w:val="00E978EA"/>
    <w:rsid w:val="00E97B73"/>
    <w:rsid w:val="00EA03F6"/>
    <w:rsid w:val="00EA065A"/>
    <w:rsid w:val="00EA0772"/>
    <w:rsid w:val="00EA1D63"/>
    <w:rsid w:val="00EA1D8D"/>
    <w:rsid w:val="00EA3FE8"/>
    <w:rsid w:val="00EA5436"/>
    <w:rsid w:val="00EA55DE"/>
    <w:rsid w:val="00EA5F49"/>
    <w:rsid w:val="00EA6232"/>
    <w:rsid w:val="00EB15DA"/>
    <w:rsid w:val="00EB1BA7"/>
    <w:rsid w:val="00EB2A88"/>
    <w:rsid w:val="00EB2C91"/>
    <w:rsid w:val="00EB6176"/>
    <w:rsid w:val="00EB6457"/>
    <w:rsid w:val="00EB728F"/>
    <w:rsid w:val="00EB7B2B"/>
    <w:rsid w:val="00EC0759"/>
    <w:rsid w:val="00EC0E69"/>
    <w:rsid w:val="00EC0FEC"/>
    <w:rsid w:val="00EC1AEB"/>
    <w:rsid w:val="00EC5486"/>
    <w:rsid w:val="00EC5A05"/>
    <w:rsid w:val="00EC6435"/>
    <w:rsid w:val="00EC6641"/>
    <w:rsid w:val="00EC79DB"/>
    <w:rsid w:val="00ED05B5"/>
    <w:rsid w:val="00ED1769"/>
    <w:rsid w:val="00ED4163"/>
    <w:rsid w:val="00ED5E49"/>
    <w:rsid w:val="00ED7A67"/>
    <w:rsid w:val="00EE1494"/>
    <w:rsid w:val="00EE2B9D"/>
    <w:rsid w:val="00EE3A74"/>
    <w:rsid w:val="00EE3BF0"/>
    <w:rsid w:val="00EE4628"/>
    <w:rsid w:val="00EE4AC0"/>
    <w:rsid w:val="00EE58A2"/>
    <w:rsid w:val="00EE5ED3"/>
    <w:rsid w:val="00EE7486"/>
    <w:rsid w:val="00EE7718"/>
    <w:rsid w:val="00EE779F"/>
    <w:rsid w:val="00EF01CB"/>
    <w:rsid w:val="00EF20A4"/>
    <w:rsid w:val="00EF40A0"/>
    <w:rsid w:val="00EF41D9"/>
    <w:rsid w:val="00EF4AF9"/>
    <w:rsid w:val="00EF5AAC"/>
    <w:rsid w:val="00EF5D1A"/>
    <w:rsid w:val="00EF6761"/>
    <w:rsid w:val="00EF6B5F"/>
    <w:rsid w:val="00EF6F2D"/>
    <w:rsid w:val="00F021E2"/>
    <w:rsid w:val="00F0265C"/>
    <w:rsid w:val="00F02BB0"/>
    <w:rsid w:val="00F04FA7"/>
    <w:rsid w:val="00F052BB"/>
    <w:rsid w:val="00F05559"/>
    <w:rsid w:val="00F05A8C"/>
    <w:rsid w:val="00F065B3"/>
    <w:rsid w:val="00F06954"/>
    <w:rsid w:val="00F07155"/>
    <w:rsid w:val="00F10AFB"/>
    <w:rsid w:val="00F10F99"/>
    <w:rsid w:val="00F11420"/>
    <w:rsid w:val="00F11495"/>
    <w:rsid w:val="00F118F6"/>
    <w:rsid w:val="00F13898"/>
    <w:rsid w:val="00F13A65"/>
    <w:rsid w:val="00F14A92"/>
    <w:rsid w:val="00F17BE4"/>
    <w:rsid w:val="00F17E82"/>
    <w:rsid w:val="00F2000D"/>
    <w:rsid w:val="00F21091"/>
    <w:rsid w:val="00F22B6D"/>
    <w:rsid w:val="00F22D50"/>
    <w:rsid w:val="00F231CE"/>
    <w:rsid w:val="00F23708"/>
    <w:rsid w:val="00F24A0F"/>
    <w:rsid w:val="00F259CA"/>
    <w:rsid w:val="00F25DF2"/>
    <w:rsid w:val="00F25E18"/>
    <w:rsid w:val="00F27BD3"/>
    <w:rsid w:val="00F3200F"/>
    <w:rsid w:val="00F33E19"/>
    <w:rsid w:val="00F34EA0"/>
    <w:rsid w:val="00F367D8"/>
    <w:rsid w:val="00F373F6"/>
    <w:rsid w:val="00F37B0D"/>
    <w:rsid w:val="00F37D5B"/>
    <w:rsid w:val="00F37FBF"/>
    <w:rsid w:val="00F41C03"/>
    <w:rsid w:val="00F41CF3"/>
    <w:rsid w:val="00F41E3C"/>
    <w:rsid w:val="00F42768"/>
    <w:rsid w:val="00F43A64"/>
    <w:rsid w:val="00F446F3"/>
    <w:rsid w:val="00F44ADE"/>
    <w:rsid w:val="00F45A39"/>
    <w:rsid w:val="00F474AF"/>
    <w:rsid w:val="00F4759A"/>
    <w:rsid w:val="00F4760D"/>
    <w:rsid w:val="00F478AB"/>
    <w:rsid w:val="00F47E52"/>
    <w:rsid w:val="00F47F07"/>
    <w:rsid w:val="00F5119F"/>
    <w:rsid w:val="00F5175D"/>
    <w:rsid w:val="00F52315"/>
    <w:rsid w:val="00F536CF"/>
    <w:rsid w:val="00F554C7"/>
    <w:rsid w:val="00F55767"/>
    <w:rsid w:val="00F55DC8"/>
    <w:rsid w:val="00F56A78"/>
    <w:rsid w:val="00F56C38"/>
    <w:rsid w:val="00F57173"/>
    <w:rsid w:val="00F57B5F"/>
    <w:rsid w:val="00F617B5"/>
    <w:rsid w:val="00F622D8"/>
    <w:rsid w:val="00F62E71"/>
    <w:rsid w:val="00F62EA5"/>
    <w:rsid w:val="00F63CA6"/>
    <w:rsid w:val="00F660E9"/>
    <w:rsid w:val="00F670FD"/>
    <w:rsid w:val="00F676DA"/>
    <w:rsid w:val="00F70139"/>
    <w:rsid w:val="00F70AA1"/>
    <w:rsid w:val="00F70C4C"/>
    <w:rsid w:val="00F72062"/>
    <w:rsid w:val="00F73CBA"/>
    <w:rsid w:val="00F73E24"/>
    <w:rsid w:val="00F764E9"/>
    <w:rsid w:val="00F76776"/>
    <w:rsid w:val="00F7799B"/>
    <w:rsid w:val="00F8011A"/>
    <w:rsid w:val="00F80334"/>
    <w:rsid w:val="00F81620"/>
    <w:rsid w:val="00F81B76"/>
    <w:rsid w:val="00F82D20"/>
    <w:rsid w:val="00F85DD2"/>
    <w:rsid w:val="00F86399"/>
    <w:rsid w:val="00F86D7B"/>
    <w:rsid w:val="00F86EC6"/>
    <w:rsid w:val="00F90CBC"/>
    <w:rsid w:val="00F912EC"/>
    <w:rsid w:val="00F91644"/>
    <w:rsid w:val="00F91CEC"/>
    <w:rsid w:val="00F92039"/>
    <w:rsid w:val="00F92142"/>
    <w:rsid w:val="00F921CF"/>
    <w:rsid w:val="00F9241E"/>
    <w:rsid w:val="00F9295F"/>
    <w:rsid w:val="00F92C48"/>
    <w:rsid w:val="00F92CC8"/>
    <w:rsid w:val="00F932E9"/>
    <w:rsid w:val="00F934ED"/>
    <w:rsid w:val="00F93AB3"/>
    <w:rsid w:val="00F93D00"/>
    <w:rsid w:val="00F93FDA"/>
    <w:rsid w:val="00F94007"/>
    <w:rsid w:val="00F954C9"/>
    <w:rsid w:val="00F95B66"/>
    <w:rsid w:val="00F95EAE"/>
    <w:rsid w:val="00F96854"/>
    <w:rsid w:val="00F97AF8"/>
    <w:rsid w:val="00FA163C"/>
    <w:rsid w:val="00FA2CED"/>
    <w:rsid w:val="00FA405A"/>
    <w:rsid w:val="00FA743D"/>
    <w:rsid w:val="00FB00EB"/>
    <w:rsid w:val="00FB0779"/>
    <w:rsid w:val="00FB0B6B"/>
    <w:rsid w:val="00FB0F33"/>
    <w:rsid w:val="00FB1900"/>
    <w:rsid w:val="00FB2251"/>
    <w:rsid w:val="00FB31C9"/>
    <w:rsid w:val="00FB56B3"/>
    <w:rsid w:val="00FB58D3"/>
    <w:rsid w:val="00FB6D80"/>
    <w:rsid w:val="00FB7773"/>
    <w:rsid w:val="00FC08DA"/>
    <w:rsid w:val="00FC1CED"/>
    <w:rsid w:val="00FC2B8C"/>
    <w:rsid w:val="00FC5423"/>
    <w:rsid w:val="00FC6AEA"/>
    <w:rsid w:val="00FC6AF0"/>
    <w:rsid w:val="00FC70AF"/>
    <w:rsid w:val="00FC7159"/>
    <w:rsid w:val="00FC73B5"/>
    <w:rsid w:val="00FC7C06"/>
    <w:rsid w:val="00FC7DC5"/>
    <w:rsid w:val="00FD0539"/>
    <w:rsid w:val="00FD0659"/>
    <w:rsid w:val="00FD06ED"/>
    <w:rsid w:val="00FD09A5"/>
    <w:rsid w:val="00FD222E"/>
    <w:rsid w:val="00FD2B1C"/>
    <w:rsid w:val="00FD2F1B"/>
    <w:rsid w:val="00FD32FF"/>
    <w:rsid w:val="00FD652D"/>
    <w:rsid w:val="00FE0B16"/>
    <w:rsid w:val="00FE50B4"/>
    <w:rsid w:val="00FE6A86"/>
    <w:rsid w:val="00FE74C4"/>
    <w:rsid w:val="00FE7B1F"/>
    <w:rsid w:val="00FE7F14"/>
    <w:rsid w:val="00FF01EF"/>
    <w:rsid w:val="00FF05B6"/>
    <w:rsid w:val="00FF1BAF"/>
    <w:rsid w:val="00FF3FAD"/>
    <w:rsid w:val="00FF4669"/>
    <w:rsid w:val="00FF4C98"/>
    <w:rsid w:val="00FF4DA9"/>
    <w:rsid w:val="00FF5F40"/>
    <w:rsid w:val="00FF7440"/>
    <w:rsid w:val="01342858"/>
    <w:rsid w:val="013C24AE"/>
    <w:rsid w:val="01457B13"/>
    <w:rsid w:val="01814A66"/>
    <w:rsid w:val="01DE7AA6"/>
    <w:rsid w:val="01E4013F"/>
    <w:rsid w:val="01E85D63"/>
    <w:rsid w:val="025D718F"/>
    <w:rsid w:val="028748D6"/>
    <w:rsid w:val="02976E3A"/>
    <w:rsid w:val="02A22DAC"/>
    <w:rsid w:val="02DD429F"/>
    <w:rsid w:val="02ED26B0"/>
    <w:rsid w:val="031603BF"/>
    <w:rsid w:val="031C2C36"/>
    <w:rsid w:val="032650D8"/>
    <w:rsid w:val="03314410"/>
    <w:rsid w:val="033957C7"/>
    <w:rsid w:val="03656041"/>
    <w:rsid w:val="039D2BB9"/>
    <w:rsid w:val="03A66D20"/>
    <w:rsid w:val="03CB5125"/>
    <w:rsid w:val="041A3F8C"/>
    <w:rsid w:val="043869BA"/>
    <w:rsid w:val="046643CD"/>
    <w:rsid w:val="046A109B"/>
    <w:rsid w:val="047570E6"/>
    <w:rsid w:val="04857063"/>
    <w:rsid w:val="049E51F0"/>
    <w:rsid w:val="04DB06BE"/>
    <w:rsid w:val="05645101"/>
    <w:rsid w:val="059473B8"/>
    <w:rsid w:val="05B96F54"/>
    <w:rsid w:val="05CF3286"/>
    <w:rsid w:val="05E26745"/>
    <w:rsid w:val="05E615FD"/>
    <w:rsid w:val="063613FC"/>
    <w:rsid w:val="06775686"/>
    <w:rsid w:val="06882FC2"/>
    <w:rsid w:val="06B42D73"/>
    <w:rsid w:val="06F90AE1"/>
    <w:rsid w:val="072D7F2E"/>
    <w:rsid w:val="076C24A6"/>
    <w:rsid w:val="076E3C6E"/>
    <w:rsid w:val="07AE1443"/>
    <w:rsid w:val="07DF7BB4"/>
    <w:rsid w:val="085E69D6"/>
    <w:rsid w:val="08A4711A"/>
    <w:rsid w:val="08AC1A22"/>
    <w:rsid w:val="08AC6A74"/>
    <w:rsid w:val="08EA0E6E"/>
    <w:rsid w:val="09297956"/>
    <w:rsid w:val="093379F4"/>
    <w:rsid w:val="0939162F"/>
    <w:rsid w:val="09586AFD"/>
    <w:rsid w:val="097E4DEF"/>
    <w:rsid w:val="0987670B"/>
    <w:rsid w:val="09B67BB6"/>
    <w:rsid w:val="09D12F06"/>
    <w:rsid w:val="09E66F25"/>
    <w:rsid w:val="09F0498C"/>
    <w:rsid w:val="0A10364C"/>
    <w:rsid w:val="0A1B0067"/>
    <w:rsid w:val="0A6230D8"/>
    <w:rsid w:val="0A670F06"/>
    <w:rsid w:val="0A6D4BFF"/>
    <w:rsid w:val="0AAC6D5E"/>
    <w:rsid w:val="0AC31512"/>
    <w:rsid w:val="0AE376EC"/>
    <w:rsid w:val="0AF20A83"/>
    <w:rsid w:val="0B0438D0"/>
    <w:rsid w:val="0B120F00"/>
    <w:rsid w:val="0B761876"/>
    <w:rsid w:val="0BBC49D8"/>
    <w:rsid w:val="0BC66307"/>
    <w:rsid w:val="0C152FCE"/>
    <w:rsid w:val="0C780194"/>
    <w:rsid w:val="0C924963"/>
    <w:rsid w:val="0CC26D86"/>
    <w:rsid w:val="0CD45921"/>
    <w:rsid w:val="0D145700"/>
    <w:rsid w:val="0D181335"/>
    <w:rsid w:val="0D1E6FFB"/>
    <w:rsid w:val="0D2544F7"/>
    <w:rsid w:val="0D3C5632"/>
    <w:rsid w:val="0D66602D"/>
    <w:rsid w:val="0D885A9C"/>
    <w:rsid w:val="0DA35783"/>
    <w:rsid w:val="0DBF68CD"/>
    <w:rsid w:val="0DC43CB1"/>
    <w:rsid w:val="0E2100F7"/>
    <w:rsid w:val="0E2407CC"/>
    <w:rsid w:val="0E737D4F"/>
    <w:rsid w:val="0E872AA9"/>
    <w:rsid w:val="0E9201B9"/>
    <w:rsid w:val="0EAD6F71"/>
    <w:rsid w:val="0ED05A13"/>
    <w:rsid w:val="0EFE259F"/>
    <w:rsid w:val="0F2B14CB"/>
    <w:rsid w:val="0F6F21E6"/>
    <w:rsid w:val="0FA030AD"/>
    <w:rsid w:val="0FA177F6"/>
    <w:rsid w:val="0FB15EFE"/>
    <w:rsid w:val="10053D35"/>
    <w:rsid w:val="100D05EB"/>
    <w:rsid w:val="102461A8"/>
    <w:rsid w:val="103C3C6D"/>
    <w:rsid w:val="10AC4FF4"/>
    <w:rsid w:val="10BD4BC0"/>
    <w:rsid w:val="10D53BE2"/>
    <w:rsid w:val="110D1362"/>
    <w:rsid w:val="11435093"/>
    <w:rsid w:val="1152419B"/>
    <w:rsid w:val="121E3713"/>
    <w:rsid w:val="123B1823"/>
    <w:rsid w:val="12450BAF"/>
    <w:rsid w:val="124F3FD1"/>
    <w:rsid w:val="12670DD1"/>
    <w:rsid w:val="126C323A"/>
    <w:rsid w:val="129D7E76"/>
    <w:rsid w:val="12A5120B"/>
    <w:rsid w:val="12A92791"/>
    <w:rsid w:val="12AC5C62"/>
    <w:rsid w:val="12E06E61"/>
    <w:rsid w:val="13683A14"/>
    <w:rsid w:val="137D5FC7"/>
    <w:rsid w:val="13A44F0B"/>
    <w:rsid w:val="13B239FC"/>
    <w:rsid w:val="13C158A8"/>
    <w:rsid w:val="13DC75A8"/>
    <w:rsid w:val="13E81A72"/>
    <w:rsid w:val="13F52C61"/>
    <w:rsid w:val="14042586"/>
    <w:rsid w:val="1417666C"/>
    <w:rsid w:val="142C2C6B"/>
    <w:rsid w:val="14435577"/>
    <w:rsid w:val="14520BBC"/>
    <w:rsid w:val="14D469C7"/>
    <w:rsid w:val="14DB2C30"/>
    <w:rsid w:val="14DC0E23"/>
    <w:rsid w:val="15367A96"/>
    <w:rsid w:val="153B5DCB"/>
    <w:rsid w:val="15AC4A9C"/>
    <w:rsid w:val="1619109F"/>
    <w:rsid w:val="161C68C4"/>
    <w:rsid w:val="163303D9"/>
    <w:rsid w:val="165215F4"/>
    <w:rsid w:val="165709F8"/>
    <w:rsid w:val="165E68B8"/>
    <w:rsid w:val="166A10D5"/>
    <w:rsid w:val="168D5B82"/>
    <w:rsid w:val="16B9124E"/>
    <w:rsid w:val="16C230B7"/>
    <w:rsid w:val="16D97918"/>
    <w:rsid w:val="16E63F2C"/>
    <w:rsid w:val="17000B89"/>
    <w:rsid w:val="174170B6"/>
    <w:rsid w:val="175C00C8"/>
    <w:rsid w:val="17736B2F"/>
    <w:rsid w:val="17D1477B"/>
    <w:rsid w:val="17D839C4"/>
    <w:rsid w:val="17E45112"/>
    <w:rsid w:val="18182FA5"/>
    <w:rsid w:val="18245CC3"/>
    <w:rsid w:val="184A3E2A"/>
    <w:rsid w:val="184E1211"/>
    <w:rsid w:val="192505D5"/>
    <w:rsid w:val="19305586"/>
    <w:rsid w:val="194159AF"/>
    <w:rsid w:val="194D6D6B"/>
    <w:rsid w:val="195F49F3"/>
    <w:rsid w:val="19967B64"/>
    <w:rsid w:val="19991559"/>
    <w:rsid w:val="19D406DA"/>
    <w:rsid w:val="19DC63DF"/>
    <w:rsid w:val="1A8A186A"/>
    <w:rsid w:val="1AC31A76"/>
    <w:rsid w:val="1ACA0A70"/>
    <w:rsid w:val="1B0D15D1"/>
    <w:rsid w:val="1B13156E"/>
    <w:rsid w:val="1B6225BC"/>
    <w:rsid w:val="1B891281"/>
    <w:rsid w:val="1BE42253"/>
    <w:rsid w:val="1C003141"/>
    <w:rsid w:val="1C16504C"/>
    <w:rsid w:val="1C3D26D4"/>
    <w:rsid w:val="1C574BC2"/>
    <w:rsid w:val="1C5A41DD"/>
    <w:rsid w:val="1C5D242E"/>
    <w:rsid w:val="1C732976"/>
    <w:rsid w:val="1C9D4556"/>
    <w:rsid w:val="1D4F2AAC"/>
    <w:rsid w:val="1D736FD5"/>
    <w:rsid w:val="1D8421D2"/>
    <w:rsid w:val="1D9A2DD7"/>
    <w:rsid w:val="1DBC54B7"/>
    <w:rsid w:val="1DFB4C20"/>
    <w:rsid w:val="1E2471A4"/>
    <w:rsid w:val="1E2B49DB"/>
    <w:rsid w:val="1E2F2C1C"/>
    <w:rsid w:val="1E3D1E18"/>
    <w:rsid w:val="1E4138CC"/>
    <w:rsid w:val="1E6165B6"/>
    <w:rsid w:val="1E893715"/>
    <w:rsid w:val="1E972ACD"/>
    <w:rsid w:val="1F0E4D3F"/>
    <w:rsid w:val="1F4218F5"/>
    <w:rsid w:val="1F592F62"/>
    <w:rsid w:val="1F83426C"/>
    <w:rsid w:val="1FD415D8"/>
    <w:rsid w:val="1FF0448F"/>
    <w:rsid w:val="20142710"/>
    <w:rsid w:val="201954BC"/>
    <w:rsid w:val="20427AF1"/>
    <w:rsid w:val="206866A0"/>
    <w:rsid w:val="208A327C"/>
    <w:rsid w:val="20BC2DAD"/>
    <w:rsid w:val="20C459C9"/>
    <w:rsid w:val="20E32684"/>
    <w:rsid w:val="20E45D1D"/>
    <w:rsid w:val="20FD731C"/>
    <w:rsid w:val="20FE67E6"/>
    <w:rsid w:val="211060DA"/>
    <w:rsid w:val="21464C5F"/>
    <w:rsid w:val="2170325F"/>
    <w:rsid w:val="217515B7"/>
    <w:rsid w:val="2180316D"/>
    <w:rsid w:val="21D63406"/>
    <w:rsid w:val="21DC734B"/>
    <w:rsid w:val="21F12723"/>
    <w:rsid w:val="21FC02CE"/>
    <w:rsid w:val="22455298"/>
    <w:rsid w:val="22AE7FBA"/>
    <w:rsid w:val="22C20677"/>
    <w:rsid w:val="230650F4"/>
    <w:rsid w:val="231C4807"/>
    <w:rsid w:val="231E0FA0"/>
    <w:rsid w:val="235C334B"/>
    <w:rsid w:val="23645260"/>
    <w:rsid w:val="23793872"/>
    <w:rsid w:val="238F4C93"/>
    <w:rsid w:val="23A135EE"/>
    <w:rsid w:val="23AC564C"/>
    <w:rsid w:val="23B05B68"/>
    <w:rsid w:val="23BF5003"/>
    <w:rsid w:val="23E806CF"/>
    <w:rsid w:val="23FE7406"/>
    <w:rsid w:val="24112498"/>
    <w:rsid w:val="247E6945"/>
    <w:rsid w:val="249E06DB"/>
    <w:rsid w:val="24E017CD"/>
    <w:rsid w:val="24EA50DD"/>
    <w:rsid w:val="24F1620A"/>
    <w:rsid w:val="25295B0C"/>
    <w:rsid w:val="253F19AA"/>
    <w:rsid w:val="25565033"/>
    <w:rsid w:val="256C2B48"/>
    <w:rsid w:val="257E77A0"/>
    <w:rsid w:val="25A509B2"/>
    <w:rsid w:val="25B00E3A"/>
    <w:rsid w:val="25DF1481"/>
    <w:rsid w:val="26646141"/>
    <w:rsid w:val="271B5CEC"/>
    <w:rsid w:val="27526BAA"/>
    <w:rsid w:val="275E1797"/>
    <w:rsid w:val="27DD5981"/>
    <w:rsid w:val="280C52A4"/>
    <w:rsid w:val="28176E43"/>
    <w:rsid w:val="281F7F99"/>
    <w:rsid w:val="28592EF1"/>
    <w:rsid w:val="287953EB"/>
    <w:rsid w:val="28806DF0"/>
    <w:rsid w:val="28900BA9"/>
    <w:rsid w:val="28FA0E51"/>
    <w:rsid w:val="294E5EB7"/>
    <w:rsid w:val="29C744CF"/>
    <w:rsid w:val="29DE5B26"/>
    <w:rsid w:val="2A0318CF"/>
    <w:rsid w:val="2A064835"/>
    <w:rsid w:val="2A3F11DE"/>
    <w:rsid w:val="2A581A37"/>
    <w:rsid w:val="2A7A772A"/>
    <w:rsid w:val="2AB54AE1"/>
    <w:rsid w:val="2AFE46AA"/>
    <w:rsid w:val="2B383D51"/>
    <w:rsid w:val="2B4C2697"/>
    <w:rsid w:val="2B5451DF"/>
    <w:rsid w:val="2B547374"/>
    <w:rsid w:val="2B5A1BA0"/>
    <w:rsid w:val="2B713D94"/>
    <w:rsid w:val="2B7D2315"/>
    <w:rsid w:val="2B8C63BF"/>
    <w:rsid w:val="2BB1038F"/>
    <w:rsid w:val="2BC2693B"/>
    <w:rsid w:val="2BD262B8"/>
    <w:rsid w:val="2BD31A64"/>
    <w:rsid w:val="2C6401B5"/>
    <w:rsid w:val="2C640D7E"/>
    <w:rsid w:val="2CDF427D"/>
    <w:rsid w:val="2D064334"/>
    <w:rsid w:val="2D3357C2"/>
    <w:rsid w:val="2D6A1BB6"/>
    <w:rsid w:val="2D6A57C6"/>
    <w:rsid w:val="2D703FDF"/>
    <w:rsid w:val="2D7C68A1"/>
    <w:rsid w:val="2DCD7FAF"/>
    <w:rsid w:val="2DF1284B"/>
    <w:rsid w:val="2EB166DA"/>
    <w:rsid w:val="2ED365DA"/>
    <w:rsid w:val="2EF35CF5"/>
    <w:rsid w:val="2F115AC7"/>
    <w:rsid w:val="2F373202"/>
    <w:rsid w:val="2F4706D4"/>
    <w:rsid w:val="2F5A0DD1"/>
    <w:rsid w:val="2F8A1F4B"/>
    <w:rsid w:val="2FAA47B9"/>
    <w:rsid w:val="30514503"/>
    <w:rsid w:val="30655558"/>
    <w:rsid w:val="30753F5F"/>
    <w:rsid w:val="30AC5617"/>
    <w:rsid w:val="30B545AA"/>
    <w:rsid w:val="312447A0"/>
    <w:rsid w:val="314725D9"/>
    <w:rsid w:val="31A65E71"/>
    <w:rsid w:val="31CD5062"/>
    <w:rsid w:val="31E65944"/>
    <w:rsid w:val="31EB0128"/>
    <w:rsid w:val="32756BFC"/>
    <w:rsid w:val="335C28EE"/>
    <w:rsid w:val="33A24BDF"/>
    <w:rsid w:val="33A87713"/>
    <w:rsid w:val="33B769CC"/>
    <w:rsid w:val="34CE29F1"/>
    <w:rsid w:val="34D53238"/>
    <w:rsid w:val="35402119"/>
    <w:rsid w:val="355F7D17"/>
    <w:rsid w:val="35656C01"/>
    <w:rsid w:val="356C5ADB"/>
    <w:rsid w:val="35933C9C"/>
    <w:rsid w:val="35B666EA"/>
    <w:rsid w:val="35FC7290"/>
    <w:rsid w:val="36707B23"/>
    <w:rsid w:val="36805626"/>
    <w:rsid w:val="36E47FB4"/>
    <w:rsid w:val="36F53640"/>
    <w:rsid w:val="37056AC8"/>
    <w:rsid w:val="373C15FF"/>
    <w:rsid w:val="3744252A"/>
    <w:rsid w:val="37A2268B"/>
    <w:rsid w:val="37C73F5F"/>
    <w:rsid w:val="382C2525"/>
    <w:rsid w:val="388762A5"/>
    <w:rsid w:val="388D4B87"/>
    <w:rsid w:val="38D964CE"/>
    <w:rsid w:val="38EE2589"/>
    <w:rsid w:val="38FD6CFE"/>
    <w:rsid w:val="390E0843"/>
    <w:rsid w:val="39146911"/>
    <w:rsid w:val="399A6D5A"/>
    <w:rsid w:val="39D92652"/>
    <w:rsid w:val="3A06009B"/>
    <w:rsid w:val="3A1472D4"/>
    <w:rsid w:val="3A353ED7"/>
    <w:rsid w:val="3A39635F"/>
    <w:rsid w:val="3A7E3B3F"/>
    <w:rsid w:val="3A9E5220"/>
    <w:rsid w:val="3ACC4674"/>
    <w:rsid w:val="3AF54968"/>
    <w:rsid w:val="3AF67BF5"/>
    <w:rsid w:val="3B0C109E"/>
    <w:rsid w:val="3B443F62"/>
    <w:rsid w:val="3B5D109D"/>
    <w:rsid w:val="3B951ABA"/>
    <w:rsid w:val="3B982578"/>
    <w:rsid w:val="3BB03A6E"/>
    <w:rsid w:val="3BC0222D"/>
    <w:rsid w:val="3C067F23"/>
    <w:rsid w:val="3C581593"/>
    <w:rsid w:val="3C8214CE"/>
    <w:rsid w:val="3CBA4DF2"/>
    <w:rsid w:val="3D23441D"/>
    <w:rsid w:val="3D382A3C"/>
    <w:rsid w:val="3D5D4285"/>
    <w:rsid w:val="3D893630"/>
    <w:rsid w:val="3E0F7A97"/>
    <w:rsid w:val="3E22564C"/>
    <w:rsid w:val="3E2E0840"/>
    <w:rsid w:val="3E4D7995"/>
    <w:rsid w:val="3E7552A2"/>
    <w:rsid w:val="3E7A4897"/>
    <w:rsid w:val="3EAC2183"/>
    <w:rsid w:val="3EBD25D1"/>
    <w:rsid w:val="3ED2670F"/>
    <w:rsid w:val="3EDA312F"/>
    <w:rsid w:val="3EDA7B13"/>
    <w:rsid w:val="3F2D2F76"/>
    <w:rsid w:val="3F6854DC"/>
    <w:rsid w:val="3FAA16E8"/>
    <w:rsid w:val="3FC64BDA"/>
    <w:rsid w:val="40686D05"/>
    <w:rsid w:val="406E346D"/>
    <w:rsid w:val="407F2AFB"/>
    <w:rsid w:val="40B40801"/>
    <w:rsid w:val="40B94622"/>
    <w:rsid w:val="40E56436"/>
    <w:rsid w:val="40F12CAD"/>
    <w:rsid w:val="41347174"/>
    <w:rsid w:val="41C9059B"/>
    <w:rsid w:val="41ED4AA3"/>
    <w:rsid w:val="41FA00D0"/>
    <w:rsid w:val="42403D73"/>
    <w:rsid w:val="42580FAD"/>
    <w:rsid w:val="42A850C0"/>
    <w:rsid w:val="42C5190D"/>
    <w:rsid w:val="434C616C"/>
    <w:rsid w:val="435A4CE0"/>
    <w:rsid w:val="439B3058"/>
    <w:rsid w:val="43AA02EC"/>
    <w:rsid w:val="43E47436"/>
    <w:rsid w:val="44206BFE"/>
    <w:rsid w:val="44676FC7"/>
    <w:rsid w:val="44AB5D0D"/>
    <w:rsid w:val="44C64B75"/>
    <w:rsid w:val="44F33DE8"/>
    <w:rsid w:val="45060930"/>
    <w:rsid w:val="452B7206"/>
    <w:rsid w:val="455D4AF3"/>
    <w:rsid w:val="45633339"/>
    <w:rsid w:val="458564BB"/>
    <w:rsid w:val="45917CDF"/>
    <w:rsid w:val="45BB4C0E"/>
    <w:rsid w:val="462C587B"/>
    <w:rsid w:val="462E1313"/>
    <w:rsid w:val="46430B68"/>
    <w:rsid w:val="46775896"/>
    <w:rsid w:val="468E278E"/>
    <w:rsid w:val="46BC1005"/>
    <w:rsid w:val="46C34577"/>
    <w:rsid w:val="46E314B4"/>
    <w:rsid w:val="46E6370E"/>
    <w:rsid w:val="470D5511"/>
    <w:rsid w:val="47736C8F"/>
    <w:rsid w:val="47891CC0"/>
    <w:rsid w:val="47AD08E1"/>
    <w:rsid w:val="47D60F1E"/>
    <w:rsid w:val="47FD0464"/>
    <w:rsid w:val="486663E5"/>
    <w:rsid w:val="486F2D6A"/>
    <w:rsid w:val="48762AED"/>
    <w:rsid w:val="491D31DE"/>
    <w:rsid w:val="49603D57"/>
    <w:rsid w:val="49666CE1"/>
    <w:rsid w:val="496C08F4"/>
    <w:rsid w:val="498A27AD"/>
    <w:rsid w:val="498B553A"/>
    <w:rsid w:val="49D81D4E"/>
    <w:rsid w:val="49F713F7"/>
    <w:rsid w:val="4A450A6D"/>
    <w:rsid w:val="4A5273D5"/>
    <w:rsid w:val="4A643214"/>
    <w:rsid w:val="4A847609"/>
    <w:rsid w:val="4A8479EE"/>
    <w:rsid w:val="4A936085"/>
    <w:rsid w:val="4A9A1EE7"/>
    <w:rsid w:val="4ACA748C"/>
    <w:rsid w:val="4AE55D5C"/>
    <w:rsid w:val="4B1423E4"/>
    <w:rsid w:val="4B1E6129"/>
    <w:rsid w:val="4B2673C1"/>
    <w:rsid w:val="4B3A33D9"/>
    <w:rsid w:val="4B580B2A"/>
    <w:rsid w:val="4B785485"/>
    <w:rsid w:val="4B7C2C4B"/>
    <w:rsid w:val="4BA006BE"/>
    <w:rsid w:val="4BE324A0"/>
    <w:rsid w:val="4BF13DC8"/>
    <w:rsid w:val="4C3034E2"/>
    <w:rsid w:val="4C333065"/>
    <w:rsid w:val="4C9445E0"/>
    <w:rsid w:val="4D4761E9"/>
    <w:rsid w:val="4D503A5A"/>
    <w:rsid w:val="4D8E0FA5"/>
    <w:rsid w:val="4D930A17"/>
    <w:rsid w:val="4DFD5CE0"/>
    <w:rsid w:val="4E391CE2"/>
    <w:rsid w:val="4E5A75D8"/>
    <w:rsid w:val="4E887BB0"/>
    <w:rsid w:val="4EBA4566"/>
    <w:rsid w:val="4EBC742B"/>
    <w:rsid w:val="4EBD0135"/>
    <w:rsid w:val="4EC45138"/>
    <w:rsid w:val="4ED50F77"/>
    <w:rsid w:val="4F2F3EDD"/>
    <w:rsid w:val="4F4676B3"/>
    <w:rsid w:val="4F5419D0"/>
    <w:rsid w:val="4F710190"/>
    <w:rsid w:val="4F787B4A"/>
    <w:rsid w:val="4FA076C9"/>
    <w:rsid w:val="4FC15AB0"/>
    <w:rsid w:val="4FE810B2"/>
    <w:rsid w:val="4FEE0AB0"/>
    <w:rsid w:val="50215674"/>
    <w:rsid w:val="506B3BDE"/>
    <w:rsid w:val="508B6819"/>
    <w:rsid w:val="50DD105F"/>
    <w:rsid w:val="51013AD0"/>
    <w:rsid w:val="512A56C8"/>
    <w:rsid w:val="516C0B41"/>
    <w:rsid w:val="517B747C"/>
    <w:rsid w:val="51D44D9A"/>
    <w:rsid w:val="51DA671A"/>
    <w:rsid w:val="522B3139"/>
    <w:rsid w:val="524B22B2"/>
    <w:rsid w:val="52C2375C"/>
    <w:rsid w:val="52EF122B"/>
    <w:rsid w:val="53162C32"/>
    <w:rsid w:val="531C675A"/>
    <w:rsid w:val="53221710"/>
    <w:rsid w:val="533830F3"/>
    <w:rsid w:val="53436005"/>
    <w:rsid w:val="534A43F1"/>
    <w:rsid w:val="53516E6B"/>
    <w:rsid w:val="536D715A"/>
    <w:rsid w:val="538802AE"/>
    <w:rsid w:val="53AF3E35"/>
    <w:rsid w:val="53C42B4B"/>
    <w:rsid w:val="53D5282C"/>
    <w:rsid w:val="53DF7727"/>
    <w:rsid w:val="53E742FC"/>
    <w:rsid w:val="53E83932"/>
    <w:rsid w:val="542D6815"/>
    <w:rsid w:val="54580D1C"/>
    <w:rsid w:val="54FC0FFB"/>
    <w:rsid w:val="55176933"/>
    <w:rsid w:val="553A3871"/>
    <w:rsid w:val="55447071"/>
    <w:rsid w:val="55901ABA"/>
    <w:rsid w:val="55A7121A"/>
    <w:rsid w:val="55CD2ECD"/>
    <w:rsid w:val="55E837F5"/>
    <w:rsid w:val="55E86ECF"/>
    <w:rsid w:val="567F78C0"/>
    <w:rsid w:val="56CD78F5"/>
    <w:rsid w:val="56D50094"/>
    <w:rsid w:val="56DA7897"/>
    <w:rsid w:val="570E41C9"/>
    <w:rsid w:val="57153CF5"/>
    <w:rsid w:val="57442BF6"/>
    <w:rsid w:val="57617296"/>
    <w:rsid w:val="5762709E"/>
    <w:rsid w:val="578B7F80"/>
    <w:rsid w:val="579E603F"/>
    <w:rsid w:val="57CA7389"/>
    <w:rsid w:val="57D00616"/>
    <w:rsid w:val="57F00E70"/>
    <w:rsid w:val="58025A23"/>
    <w:rsid w:val="581111F8"/>
    <w:rsid w:val="58254067"/>
    <w:rsid w:val="585A454E"/>
    <w:rsid w:val="58630098"/>
    <w:rsid w:val="58C83A07"/>
    <w:rsid w:val="58E47C9D"/>
    <w:rsid w:val="591F3C70"/>
    <w:rsid w:val="592D7A55"/>
    <w:rsid w:val="59514407"/>
    <w:rsid w:val="59721430"/>
    <w:rsid w:val="59785AD8"/>
    <w:rsid w:val="598D6FDC"/>
    <w:rsid w:val="59B60545"/>
    <w:rsid w:val="59D576B2"/>
    <w:rsid w:val="59DC2232"/>
    <w:rsid w:val="5A22634A"/>
    <w:rsid w:val="5A3D29B1"/>
    <w:rsid w:val="5A457608"/>
    <w:rsid w:val="5A506BCC"/>
    <w:rsid w:val="5A6B5BE7"/>
    <w:rsid w:val="5AA16047"/>
    <w:rsid w:val="5AB16798"/>
    <w:rsid w:val="5B6E7A31"/>
    <w:rsid w:val="5B762678"/>
    <w:rsid w:val="5B8A010C"/>
    <w:rsid w:val="5BEE62DE"/>
    <w:rsid w:val="5C1E61E6"/>
    <w:rsid w:val="5C2A414B"/>
    <w:rsid w:val="5C49243F"/>
    <w:rsid w:val="5C546A39"/>
    <w:rsid w:val="5C6C657F"/>
    <w:rsid w:val="5C8D3EC7"/>
    <w:rsid w:val="5D16498C"/>
    <w:rsid w:val="5D387537"/>
    <w:rsid w:val="5D4003CB"/>
    <w:rsid w:val="5D427C0C"/>
    <w:rsid w:val="5D587BD2"/>
    <w:rsid w:val="5DA10596"/>
    <w:rsid w:val="5DD60224"/>
    <w:rsid w:val="5DF612B1"/>
    <w:rsid w:val="5E4A376A"/>
    <w:rsid w:val="5E95437A"/>
    <w:rsid w:val="5EFB5F89"/>
    <w:rsid w:val="5EFD014A"/>
    <w:rsid w:val="5F86233B"/>
    <w:rsid w:val="5F966266"/>
    <w:rsid w:val="5FD52E8E"/>
    <w:rsid w:val="5FFC0BAA"/>
    <w:rsid w:val="603C26C5"/>
    <w:rsid w:val="604146E8"/>
    <w:rsid w:val="60A54DA0"/>
    <w:rsid w:val="60BF2365"/>
    <w:rsid w:val="60CE080D"/>
    <w:rsid w:val="60EB1333"/>
    <w:rsid w:val="60FF6911"/>
    <w:rsid w:val="610F73FC"/>
    <w:rsid w:val="61210257"/>
    <w:rsid w:val="61430DF7"/>
    <w:rsid w:val="616E09E5"/>
    <w:rsid w:val="61CE52B8"/>
    <w:rsid w:val="61D62E4A"/>
    <w:rsid w:val="61FD3D94"/>
    <w:rsid w:val="62220A11"/>
    <w:rsid w:val="62401566"/>
    <w:rsid w:val="632376F2"/>
    <w:rsid w:val="634966B7"/>
    <w:rsid w:val="635B3C49"/>
    <w:rsid w:val="63645397"/>
    <w:rsid w:val="636F15A5"/>
    <w:rsid w:val="63F543AD"/>
    <w:rsid w:val="640158BC"/>
    <w:rsid w:val="640D4BB3"/>
    <w:rsid w:val="641E079B"/>
    <w:rsid w:val="64BD4E61"/>
    <w:rsid w:val="64E30823"/>
    <w:rsid w:val="6512108F"/>
    <w:rsid w:val="651A11FD"/>
    <w:rsid w:val="65A416D5"/>
    <w:rsid w:val="662D0BF4"/>
    <w:rsid w:val="66722E47"/>
    <w:rsid w:val="6696635E"/>
    <w:rsid w:val="669B3F41"/>
    <w:rsid w:val="66E77B3B"/>
    <w:rsid w:val="67035865"/>
    <w:rsid w:val="67071531"/>
    <w:rsid w:val="671168D4"/>
    <w:rsid w:val="677B41B8"/>
    <w:rsid w:val="6780383B"/>
    <w:rsid w:val="67825A99"/>
    <w:rsid w:val="67A24DFF"/>
    <w:rsid w:val="67CD0864"/>
    <w:rsid w:val="67DC7F8F"/>
    <w:rsid w:val="67E47D0B"/>
    <w:rsid w:val="67FD381F"/>
    <w:rsid w:val="68211D9A"/>
    <w:rsid w:val="68282183"/>
    <w:rsid w:val="682C568A"/>
    <w:rsid w:val="68415F42"/>
    <w:rsid w:val="68B91B9A"/>
    <w:rsid w:val="68E2551D"/>
    <w:rsid w:val="68FA5F02"/>
    <w:rsid w:val="694F3A5E"/>
    <w:rsid w:val="695E2587"/>
    <w:rsid w:val="6969566A"/>
    <w:rsid w:val="697417B6"/>
    <w:rsid w:val="69C72F50"/>
    <w:rsid w:val="69C935B6"/>
    <w:rsid w:val="6A047788"/>
    <w:rsid w:val="6A181B06"/>
    <w:rsid w:val="6A497FF7"/>
    <w:rsid w:val="6AC702E3"/>
    <w:rsid w:val="6AD22650"/>
    <w:rsid w:val="6B45441D"/>
    <w:rsid w:val="6B724008"/>
    <w:rsid w:val="6BD810BD"/>
    <w:rsid w:val="6C5A7557"/>
    <w:rsid w:val="6C971767"/>
    <w:rsid w:val="6CAB2DD7"/>
    <w:rsid w:val="6CB471F3"/>
    <w:rsid w:val="6D122993"/>
    <w:rsid w:val="6D176D6A"/>
    <w:rsid w:val="6D313A3A"/>
    <w:rsid w:val="6D906BE5"/>
    <w:rsid w:val="6D9F0BE5"/>
    <w:rsid w:val="6DA50E56"/>
    <w:rsid w:val="6DFC2B7E"/>
    <w:rsid w:val="6E1C75EB"/>
    <w:rsid w:val="6E2D5C2A"/>
    <w:rsid w:val="6EC413A7"/>
    <w:rsid w:val="6F1C0879"/>
    <w:rsid w:val="6F7A0C51"/>
    <w:rsid w:val="6F81487E"/>
    <w:rsid w:val="6F9334E7"/>
    <w:rsid w:val="6FB91A62"/>
    <w:rsid w:val="6FE5543D"/>
    <w:rsid w:val="70160330"/>
    <w:rsid w:val="70176FFD"/>
    <w:rsid w:val="7053650B"/>
    <w:rsid w:val="70851A43"/>
    <w:rsid w:val="709E3D58"/>
    <w:rsid w:val="70B827F1"/>
    <w:rsid w:val="70D9413F"/>
    <w:rsid w:val="71175496"/>
    <w:rsid w:val="71226BBC"/>
    <w:rsid w:val="71646BFB"/>
    <w:rsid w:val="71745FA3"/>
    <w:rsid w:val="71780BE9"/>
    <w:rsid w:val="71EA7D6C"/>
    <w:rsid w:val="71EB2DF1"/>
    <w:rsid w:val="7226548E"/>
    <w:rsid w:val="723F274B"/>
    <w:rsid w:val="724C1F5D"/>
    <w:rsid w:val="724E7B3B"/>
    <w:rsid w:val="72917AA6"/>
    <w:rsid w:val="72BE66A5"/>
    <w:rsid w:val="72D939EF"/>
    <w:rsid w:val="72DE23D9"/>
    <w:rsid w:val="72DF5E19"/>
    <w:rsid w:val="72E32A5F"/>
    <w:rsid w:val="72E619B6"/>
    <w:rsid w:val="73515FDB"/>
    <w:rsid w:val="735B1B9E"/>
    <w:rsid w:val="736A5B38"/>
    <w:rsid w:val="736F081B"/>
    <w:rsid w:val="73904560"/>
    <w:rsid w:val="73AD4C83"/>
    <w:rsid w:val="73B73466"/>
    <w:rsid w:val="73D83805"/>
    <w:rsid w:val="740E7BC1"/>
    <w:rsid w:val="74185BD6"/>
    <w:rsid w:val="743F47BE"/>
    <w:rsid w:val="74517AC4"/>
    <w:rsid w:val="745D3101"/>
    <w:rsid w:val="7470727B"/>
    <w:rsid w:val="748B51E3"/>
    <w:rsid w:val="74CF6D2C"/>
    <w:rsid w:val="74D730FC"/>
    <w:rsid w:val="753F5398"/>
    <w:rsid w:val="753F66E5"/>
    <w:rsid w:val="7566059A"/>
    <w:rsid w:val="756F01CE"/>
    <w:rsid w:val="75775DE7"/>
    <w:rsid w:val="75941616"/>
    <w:rsid w:val="75985412"/>
    <w:rsid w:val="75B1030F"/>
    <w:rsid w:val="75FB50F5"/>
    <w:rsid w:val="76034A86"/>
    <w:rsid w:val="76187D55"/>
    <w:rsid w:val="76661DF8"/>
    <w:rsid w:val="76755828"/>
    <w:rsid w:val="768253B3"/>
    <w:rsid w:val="768B3DF4"/>
    <w:rsid w:val="76D27F0E"/>
    <w:rsid w:val="76D533DF"/>
    <w:rsid w:val="76EA7B2B"/>
    <w:rsid w:val="76FD03F6"/>
    <w:rsid w:val="776E0056"/>
    <w:rsid w:val="77F02C86"/>
    <w:rsid w:val="78367DC6"/>
    <w:rsid w:val="786523C1"/>
    <w:rsid w:val="786A0094"/>
    <w:rsid w:val="78901FED"/>
    <w:rsid w:val="789A2964"/>
    <w:rsid w:val="78B84262"/>
    <w:rsid w:val="78BC0F2F"/>
    <w:rsid w:val="790867DA"/>
    <w:rsid w:val="79322D6B"/>
    <w:rsid w:val="798627F9"/>
    <w:rsid w:val="7999478C"/>
    <w:rsid w:val="799C1D30"/>
    <w:rsid w:val="799F0ADA"/>
    <w:rsid w:val="79A6673A"/>
    <w:rsid w:val="79F26791"/>
    <w:rsid w:val="7A385BF2"/>
    <w:rsid w:val="7A9754CD"/>
    <w:rsid w:val="7A9F19F8"/>
    <w:rsid w:val="7ADB7FD7"/>
    <w:rsid w:val="7B0D1822"/>
    <w:rsid w:val="7B171992"/>
    <w:rsid w:val="7B200A8F"/>
    <w:rsid w:val="7B245DDA"/>
    <w:rsid w:val="7B7B1AAE"/>
    <w:rsid w:val="7BB330D6"/>
    <w:rsid w:val="7BBD3DF5"/>
    <w:rsid w:val="7BFC7675"/>
    <w:rsid w:val="7C323878"/>
    <w:rsid w:val="7C404D0A"/>
    <w:rsid w:val="7C572975"/>
    <w:rsid w:val="7C682BD6"/>
    <w:rsid w:val="7C99581C"/>
    <w:rsid w:val="7CBD06BF"/>
    <w:rsid w:val="7CED762D"/>
    <w:rsid w:val="7CFC42B0"/>
    <w:rsid w:val="7D1740CE"/>
    <w:rsid w:val="7D711EC2"/>
    <w:rsid w:val="7DA27EAC"/>
    <w:rsid w:val="7DC73C81"/>
    <w:rsid w:val="7DEE6797"/>
    <w:rsid w:val="7DF928B6"/>
    <w:rsid w:val="7E005C69"/>
    <w:rsid w:val="7E2311BC"/>
    <w:rsid w:val="7E523DA7"/>
    <w:rsid w:val="7E7A47BD"/>
    <w:rsid w:val="7E9C44FC"/>
    <w:rsid w:val="7E9F5D6A"/>
    <w:rsid w:val="7EFA42AE"/>
    <w:rsid w:val="7F161963"/>
    <w:rsid w:val="7FAD5AD5"/>
    <w:rsid w:val="7FBA0681"/>
    <w:rsid w:val="7FE13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858" w:firstLineChars="200"/>
    </w:pPr>
    <w:rPr>
      <w:rFonts w:ascii="Times New Roman" w:hAnsi="Times New Roman" w:eastAsia="宋体" w:cs="Times New Roman"/>
      <w:kern w:val="2"/>
      <w:sz w:val="24"/>
      <w:szCs w:val="22"/>
      <w:lang w:val="en-US" w:eastAsia="zh-CN" w:bidi="ar-SA"/>
    </w:rPr>
  </w:style>
  <w:style w:type="paragraph" w:styleId="3">
    <w:name w:val="heading 1"/>
    <w:basedOn w:val="1"/>
    <w:next w:val="1"/>
    <w:link w:val="105"/>
    <w:qFormat/>
    <w:uiPriority w:val="0"/>
    <w:pPr>
      <w:keepNext/>
      <w:keepLines/>
      <w:numPr>
        <w:ilvl w:val="0"/>
        <w:numId w:val="1"/>
      </w:numPr>
      <w:spacing w:before="300" w:after="300"/>
      <w:ind w:left="0" w:firstLine="0" w:firstLineChars="0"/>
      <w:jc w:val="center"/>
      <w:outlineLvl w:val="0"/>
    </w:pPr>
    <w:rPr>
      <w:rFonts w:ascii="宋体" w:hAnsi="宋体"/>
      <w:b/>
      <w:bCs/>
      <w:spacing w:val="-20"/>
      <w:kern w:val="44"/>
      <w:sz w:val="32"/>
      <w:szCs w:val="32"/>
    </w:rPr>
  </w:style>
  <w:style w:type="paragraph" w:styleId="4">
    <w:name w:val="heading 2"/>
    <w:basedOn w:val="1"/>
    <w:next w:val="1"/>
    <w:link w:val="65"/>
    <w:qFormat/>
    <w:uiPriority w:val="0"/>
    <w:pPr>
      <w:keepNext/>
      <w:keepLines/>
      <w:numPr>
        <w:ilvl w:val="1"/>
        <w:numId w:val="1"/>
      </w:numPr>
      <w:ind w:left="0" w:firstLine="0" w:firstLineChars="0"/>
      <w:outlineLvl w:val="1"/>
    </w:pPr>
    <w:rPr>
      <w:rFonts w:ascii="宋体" w:hAnsi="宋体"/>
      <w:b/>
      <w:bCs/>
      <w:sz w:val="28"/>
      <w:szCs w:val="28"/>
    </w:rPr>
  </w:style>
  <w:style w:type="paragraph" w:styleId="5">
    <w:name w:val="heading 3"/>
    <w:basedOn w:val="1"/>
    <w:next w:val="1"/>
    <w:link w:val="73"/>
    <w:qFormat/>
    <w:uiPriority w:val="0"/>
    <w:pPr>
      <w:keepNext/>
      <w:keepLines/>
      <w:numPr>
        <w:ilvl w:val="2"/>
        <w:numId w:val="1"/>
      </w:numPr>
      <w:ind w:left="0" w:firstLine="658"/>
      <w:outlineLvl w:val="2"/>
    </w:pPr>
    <w:rPr>
      <w:rFonts w:ascii="宋体" w:hAnsi="宋体"/>
      <w:b/>
      <w:bCs/>
      <w:color w:val="000000"/>
      <w:kern w:val="0"/>
      <w:szCs w:val="28"/>
    </w:rPr>
  </w:style>
  <w:style w:type="paragraph" w:styleId="6">
    <w:name w:val="heading 4"/>
    <w:basedOn w:val="1"/>
    <w:next w:val="1"/>
    <w:link w:val="90"/>
    <w:qFormat/>
    <w:uiPriority w:val="0"/>
    <w:pPr>
      <w:keepNext/>
      <w:keepLines/>
      <w:spacing w:before="120" w:after="120"/>
      <w:ind w:left="918" w:hanging="708"/>
      <w:outlineLvl w:val="3"/>
    </w:pPr>
    <w:rPr>
      <w:rFonts w:ascii="Arial" w:hAnsi="Arial"/>
      <w:b/>
      <w:bCs/>
      <w:kern w:val="0"/>
      <w:sz w:val="28"/>
      <w:szCs w:val="28"/>
    </w:rPr>
  </w:style>
  <w:style w:type="paragraph" w:styleId="7">
    <w:name w:val="heading 5"/>
    <w:basedOn w:val="1"/>
    <w:next w:val="1"/>
    <w:link w:val="56"/>
    <w:qFormat/>
    <w:uiPriority w:val="0"/>
    <w:pPr>
      <w:tabs>
        <w:tab w:val="left" w:pos="1134"/>
      </w:tabs>
      <w:spacing w:before="280" w:after="290"/>
      <w:ind w:left="1560" w:hanging="992"/>
      <w:outlineLvl w:val="4"/>
    </w:pPr>
    <w:rPr>
      <w:b/>
      <w:bCs/>
      <w:kern w:val="0"/>
      <w:sz w:val="28"/>
      <w:szCs w:val="28"/>
    </w:rPr>
  </w:style>
  <w:style w:type="paragraph" w:styleId="8">
    <w:name w:val="heading 6"/>
    <w:basedOn w:val="1"/>
    <w:next w:val="1"/>
    <w:link w:val="10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106"/>
    <w:qFormat/>
    <w:uiPriority w:val="0"/>
    <w:pPr>
      <w:keepNext/>
      <w:widowControl/>
      <w:tabs>
        <w:tab w:val="left" w:pos="3600"/>
      </w:tabs>
      <w:spacing w:after="120"/>
      <w:outlineLvl w:val="6"/>
    </w:pPr>
    <w:rPr>
      <w:rFonts w:ascii="Arial Narrow" w:hAnsi="Arial Narrow"/>
      <w:b/>
      <w:bCs/>
      <w:iCs/>
      <w:kern w:val="0"/>
      <w:sz w:val="20"/>
      <w:szCs w:val="24"/>
      <w:lang w:eastAsia="en-US"/>
    </w:rPr>
  </w:style>
  <w:style w:type="paragraph" w:styleId="10">
    <w:name w:val="heading 8"/>
    <w:basedOn w:val="1"/>
    <w:next w:val="1"/>
    <w:link w:val="72"/>
    <w:qFormat/>
    <w:uiPriority w:val="0"/>
    <w:pPr>
      <w:keepNext/>
      <w:keepLines/>
      <w:spacing w:before="240" w:after="64" w:line="316" w:lineRule="auto"/>
      <w:outlineLvl w:val="7"/>
    </w:pPr>
    <w:rPr>
      <w:rFonts w:ascii="Arial" w:hAnsi="Arial" w:eastAsia="黑体"/>
      <w:kern w:val="0"/>
      <w:szCs w:val="24"/>
    </w:rPr>
  </w:style>
  <w:style w:type="paragraph" w:styleId="11">
    <w:name w:val="heading 9"/>
    <w:basedOn w:val="1"/>
    <w:next w:val="1"/>
    <w:link w:val="69"/>
    <w:qFormat/>
    <w:uiPriority w:val="0"/>
    <w:pPr>
      <w:keepNext/>
      <w:keepLines/>
      <w:spacing w:before="240" w:after="64" w:line="316" w:lineRule="auto"/>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line="240" w:lineRule="auto"/>
    </w:pPr>
  </w:style>
  <w:style w:type="paragraph" w:styleId="12">
    <w:name w:val="toc 7"/>
    <w:basedOn w:val="1"/>
    <w:next w:val="1"/>
    <w:qFormat/>
    <w:uiPriority w:val="0"/>
    <w:pPr>
      <w:ind w:left="2520" w:leftChars="1200"/>
    </w:pPr>
    <w:rPr>
      <w:szCs w:val="24"/>
    </w:rPr>
  </w:style>
  <w:style w:type="paragraph" w:styleId="13">
    <w:name w:val="index 8"/>
    <w:basedOn w:val="1"/>
    <w:next w:val="1"/>
    <w:qFormat/>
    <w:uiPriority w:val="0"/>
    <w:pPr>
      <w:ind w:left="1400" w:leftChars="1400"/>
    </w:pPr>
    <w:rPr>
      <w:szCs w:val="20"/>
    </w:rPr>
  </w:style>
  <w:style w:type="paragraph" w:styleId="14">
    <w:name w:val="Normal Indent"/>
    <w:basedOn w:val="1"/>
    <w:qFormat/>
    <w:uiPriority w:val="0"/>
    <w:pPr>
      <w:spacing w:after="180" w:line="309" w:lineRule="auto"/>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4"/>
    <w:qFormat/>
    <w:uiPriority w:val="0"/>
    <w:pPr>
      <w:shd w:val="clear" w:color="auto" w:fill="000080"/>
    </w:pPr>
    <w:rPr>
      <w:kern w:val="0"/>
      <w:sz w:val="18"/>
      <w:szCs w:val="18"/>
    </w:rPr>
  </w:style>
  <w:style w:type="paragraph" w:styleId="17">
    <w:name w:val="annotation text"/>
    <w:basedOn w:val="1"/>
    <w:link w:val="86"/>
    <w:qFormat/>
    <w:uiPriority w:val="0"/>
    <w:rPr>
      <w:kern w:val="0"/>
      <w:sz w:val="18"/>
      <w:szCs w:val="18"/>
    </w:rPr>
  </w:style>
  <w:style w:type="paragraph" w:styleId="18">
    <w:name w:val="Body Text 3"/>
    <w:basedOn w:val="1"/>
    <w:link w:val="110"/>
    <w:qFormat/>
    <w:uiPriority w:val="0"/>
    <w:pPr>
      <w:jc w:val="center"/>
    </w:pPr>
    <w:rPr>
      <w:rFonts w:eastAsia="黑体"/>
      <w:sz w:val="44"/>
      <w:szCs w:val="24"/>
    </w:rPr>
  </w:style>
  <w:style w:type="paragraph" w:styleId="19">
    <w:name w:val="Body Text Indent"/>
    <w:basedOn w:val="1"/>
    <w:link w:val="66"/>
    <w:qFormat/>
    <w:uiPriority w:val="0"/>
    <w:pPr>
      <w:spacing w:after="120"/>
      <w:ind w:left="420" w:leftChars="200"/>
    </w:pPr>
    <w:rPr>
      <w:kern w:val="0"/>
      <w:sz w:val="20"/>
      <w:szCs w:val="24"/>
    </w:rPr>
  </w:style>
  <w:style w:type="paragraph" w:styleId="20">
    <w:name w:val="Block Text"/>
    <w:basedOn w:val="1"/>
    <w:qFormat/>
    <w:uiPriority w:val="0"/>
    <w:pPr>
      <w:ind w:left="-540" w:leftChars="-257" w:right="-334" w:rightChars="-159" w:firstLine="540" w:firstLineChars="180"/>
    </w:pPr>
    <w:rPr>
      <w:sz w:val="30"/>
      <w:szCs w:val="24"/>
    </w:rPr>
  </w:style>
  <w:style w:type="paragraph" w:styleId="21">
    <w:name w:val="toc 5"/>
    <w:basedOn w:val="1"/>
    <w:next w:val="1"/>
    <w:qFormat/>
    <w:uiPriority w:val="0"/>
    <w:pPr>
      <w:ind w:left="1680" w:leftChars="800"/>
    </w:pPr>
    <w:rPr>
      <w:sz w:val="18"/>
      <w:szCs w:val="18"/>
    </w:rPr>
  </w:style>
  <w:style w:type="paragraph" w:styleId="22">
    <w:name w:val="toc 3"/>
    <w:basedOn w:val="1"/>
    <w:next w:val="1"/>
    <w:qFormat/>
    <w:uiPriority w:val="0"/>
    <w:pPr>
      <w:tabs>
        <w:tab w:val="left" w:pos="709"/>
        <w:tab w:val="left" w:pos="993"/>
        <w:tab w:val="right" w:leader="dot" w:pos="8364"/>
      </w:tabs>
      <w:ind w:left="360"/>
    </w:pPr>
    <w:rPr>
      <w:rFonts w:eastAsia="楷体_GB2312"/>
      <w:iCs/>
      <w:sz w:val="20"/>
      <w:szCs w:val="20"/>
    </w:rPr>
  </w:style>
  <w:style w:type="paragraph" w:styleId="23">
    <w:name w:val="Plain Text"/>
    <w:basedOn w:val="1"/>
    <w:link w:val="108"/>
    <w:qFormat/>
    <w:uiPriority w:val="0"/>
    <w:rPr>
      <w:rFonts w:ascii="宋体" w:hAnsi="Courier New"/>
      <w:kern w:val="0"/>
      <w:sz w:val="20"/>
      <w:szCs w:val="18"/>
    </w:rPr>
  </w:style>
  <w:style w:type="paragraph" w:styleId="24">
    <w:name w:val="toc 8"/>
    <w:basedOn w:val="1"/>
    <w:next w:val="1"/>
    <w:qFormat/>
    <w:uiPriority w:val="0"/>
    <w:pPr>
      <w:ind w:left="2940" w:leftChars="1400"/>
    </w:pPr>
    <w:rPr>
      <w:szCs w:val="24"/>
    </w:rPr>
  </w:style>
  <w:style w:type="paragraph" w:styleId="25">
    <w:name w:val="Date"/>
    <w:basedOn w:val="1"/>
    <w:next w:val="1"/>
    <w:link w:val="94"/>
    <w:qFormat/>
    <w:uiPriority w:val="0"/>
    <w:pPr>
      <w:ind w:left="100" w:leftChars="2500"/>
    </w:pPr>
    <w:rPr>
      <w:kern w:val="0"/>
      <w:szCs w:val="24"/>
    </w:rPr>
  </w:style>
  <w:style w:type="paragraph" w:styleId="26">
    <w:name w:val="Body Text Indent 2"/>
    <w:basedOn w:val="1"/>
    <w:link w:val="107"/>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112"/>
    <w:qFormat/>
    <w:uiPriority w:val="0"/>
    <w:pPr>
      <w:tabs>
        <w:tab w:val="center" w:pos="4153"/>
        <w:tab w:val="right" w:pos="8306"/>
      </w:tabs>
      <w:snapToGrid w:val="0"/>
    </w:pPr>
    <w:rPr>
      <w:kern w:val="0"/>
      <w:sz w:val="18"/>
      <w:szCs w:val="18"/>
    </w:rPr>
  </w:style>
  <w:style w:type="paragraph" w:styleId="29">
    <w:name w:val="header"/>
    <w:basedOn w:val="1"/>
    <w:link w:val="98"/>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709"/>
        <w:tab w:val="right" w:leader="dot" w:pos="8364"/>
      </w:tabs>
      <w:spacing w:line="400" w:lineRule="exact"/>
      <w:ind w:firstLine="658"/>
    </w:pPr>
    <w:rPr>
      <w:rFonts w:ascii="华文中宋" w:hAnsi="华文中宋" w:eastAsia="华文中宋"/>
      <w:bCs/>
      <w:caps/>
      <w:sz w:val="21"/>
      <w:szCs w:val="20"/>
    </w:rPr>
  </w:style>
  <w:style w:type="paragraph" w:styleId="31">
    <w:name w:val="toc 4"/>
    <w:basedOn w:val="1"/>
    <w:next w:val="1"/>
    <w:qFormat/>
    <w:uiPriority w:val="0"/>
    <w:pPr>
      <w:ind w:left="1260" w:leftChars="600"/>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semiHidden/>
    <w:qFormat/>
    <w:uiPriority w:val="0"/>
    <w:pPr>
      <w:snapToGrid w:val="0"/>
    </w:pPr>
    <w:rPr>
      <w:sz w:val="18"/>
      <w:szCs w:val="18"/>
    </w:rPr>
  </w:style>
  <w:style w:type="paragraph" w:styleId="34">
    <w:name w:val="toc 6"/>
    <w:basedOn w:val="1"/>
    <w:next w:val="1"/>
    <w:qFormat/>
    <w:uiPriority w:val="0"/>
    <w:pPr>
      <w:ind w:left="2100" w:leftChars="1000"/>
    </w:pPr>
    <w:rPr>
      <w:szCs w:val="24"/>
    </w:rPr>
  </w:style>
  <w:style w:type="paragraph" w:styleId="35">
    <w:name w:val="Body Text Indent 3"/>
    <w:basedOn w:val="1"/>
    <w:link w:val="89"/>
    <w:qFormat/>
    <w:uiPriority w:val="0"/>
    <w:pPr>
      <w:ind w:left="153" w:leftChars="85" w:firstLine="560"/>
    </w:pPr>
    <w:rPr>
      <w:rFonts w:ascii="宋体" w:hAnsi="宋体"/>
      <w:kern w:val="0"/>
      <w:sz w:val="28"/>
      <w:szCs w:val="28"/>
    </w:rPr>
  </w:style>
  <w:style w:type="paragraph" w:styleId="36">
    <w:name w:val="toc 2"/>
    <w:basedOn w:val="1"/>
    <w:next w:val="1"/>
    <w:qFormat/>
    <w:uiPriority w:val="39"/>
    <w:pPr>
      <w:tabs>
        <w:tab w:val="left" w:pos="620"/>
        <w:tab w:val="right" w:leader="dot" w:pos="8364"/>
      </w:tabs>
      <w:spacing w:line="300" w:lineRule="exact"/>
      <w:ind w:left="180" w:firstLine="658"/>
    </w:pPr>
    <w:rPr>
      <w:rFonts w:ascii="华文中宋" w:hAnsi="华文中宋" w:eastAsia="华文中宋"/>
      <w:smallCaps/>
      <w:sz w:val="21"/>
      <w:szCs w:val="20"/>
    </w:rPr>
  </w:style>
  <w:style w:type="paragraph" w:styleId="37">
    <w:name w:val="toc 9"/>
    <w:basedOn w:val="1"/>
    <w:next w:val="1"/>
    <w:qFormat/>
    <w:uiPriority w:val="0"/>
    <w:pPr>
      <w:ind w:left="3360" w:leftChars="1600"/>
    </w:pPr>
    <w:rPr>
      <w:szCs w:val="24"/>
    </w:rPr>
  </w:style>
  <w:style w:type="paragraph" w:styleId="38">
    <w:name w:val="Body Text 2"/>
    <w:basedOn w:val="1"/>
    <w:link w:val="103"/>
    <w:qFormat/>
    <w:uiPriority w:val="0"/>
    <w:pPr>
      <w:spacing w:after="120" w:line="480" w:lineRule="auto"/>
    </w:pPr>
    <w:rPr>
      <w:kern w:val="0"/>
      <w:sz w:val="18"/>
      <w:szCs w:val="18"/>
    </w:rPr>
  </w:style>
  <w:style w:type="paragraph" w:styleId="39">
    <w:name w:val="Normal (Web)"/>
    <w:basedOn w:val="1"/>
    <w:qFormat/>
    <w:uiPriority w:val="0"/>
    <w:pPr>
      <w:widowControl/>
      <w:spacing w:before="100" w:beforeAutospacing="1" w:after="100" w:afterAutospacing="1"/>
    </w:pPr>
    <w:rPr>
      <w:rFonts w:ascii="宋体" w:hAnsi="宋体"/>
      <w:color w:val="000000"/>
      <w:kern w:val="0"/>
      <w:szCs w:val="24"/>
    </w:rPr>
  </w:style>
  <w:style w:type="paragraph" w:styleId="40">
    <w:name w:val="annotation subject"/>
    <w:basedOn w:val="17"/>
    <w:next w:val="17"/>
    <w:semiHidden/>
    <w:qFormat/>
    <w:uiPriority w:val="0"/>
    <w:rPr>
      <w:rFonts w:ascii="Calibri" w:hAnsi="Calibri"/>
      <w:b/>
      <w:bCs/>
      <w:kern w:val="2"/>
      <w:sz w:val="21"/>
      <w:szCs w:val="22"/>
    </w:rPr>
  </w:style>
  <w:style w:type="paragraph" w:styleId="41">
    <w:name w:val="Body Text First Indent"/>
    <w:basedOn w:val="2"/>
    <w:link w:val="92"/>
    <w:qFormat/>
    <w:uiPriority w:val="0"/>
    <w:pPr>
      <w:ind w:firstLine="420" w:firstLineChars="100"/>
    </w:pPr>
    <w:rPr>
      <w:kern w:val="0"/>
      <w:sz w:val="18"/>
      <w:szCs w:val="18"/>
    </w:rPr>
  </w:style>
  <w:style w:type="paragraph" w:styleId="42">
    <w:name w:val="Body Text First Indent 2"/>
    <w:basedOn w:val="19"/>
    <w:unhideWhenUsed/>
    <w:qFormat/>
    <w:uiPriority w:val="99"/>
    <w:pPr>
      <w:ind w:firstLine="42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semiHidden/>
    <w:qFormat/>
    <w:uiPriority w:val="0"/>
    <w:rPr>
      <w:vertAlign w:val="superscript"/>
    </w:rPr>
  </w:style>
  <w:style w:type="paragraph" w:customStyle="1" w:styleId="52">
    <w:name w:val="标题 5（有编号）（绿盟科技）"/>
    <w:basedOn w:val="1"/>
    <w:next w:val="5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4">
    <w:name w:val="文档结构图 字符"/>
    <w:link w:val="16"/>
    <w:qFormat/>
    <w:uiPriority w:val="0"/>
    <w:rPr>
      <w:rFonts w:eastAsia="宋体"/>
      <w:sz w:val="18"/>
      <w:szCs w:val="18"/>
      <w:lang w:bidi="ar-SA"/>
    </w:rPr>
  </w:style>
  <w:style w:type="character" w:customStyle="1" w:styleId="55">
    <w:name w:val="Char Char8"/>
    <w:qFormat/>
    <w:uiPriority w:val="0"/>
    <w:rPr>
      <w:rFonts w:hint="eastAsia" w:ascii="宋体" w:hAnsi="宋体" w:eastAsia="宋体"/>
      <w:kern w:val="2"/>
      <w:sz w:val="28"/>
      <w:szCs w:val="28"/>
    </w:rPr>
  </w:style>
  <w:style w:type="character" w:customStyle="1" w:styleId="56">
    <w:name w:val="标题 5 字符"/>
    <w:link w:val="7"/>
    <w:qFormat/>
    <w:uiPriority w:val="0"/>
    <w:rPr>
      <w:rFonts w:ascii="Calibri" w:hAnsi="Calibri"/>
      <w:b/>
      <w:bCs/>
      <w:sz w:val="28"/>
      <w:szCs w:val="28"/>
    </w:rPr>
  </w:style>
  <w:style w:type="character" w:customStyle="1" w:styleId="57">
    <w:name w:val="Char Char5"/>
    <w:qFormat/>
    <w:uiPriority w:val="0"/>
    <w:rPr>
      <w:kern w:val="2"/>
      <w:sz w:val="21"/>
      <w:szCs w:val="24"/>
    </w:rPr>
  </w:style>
  <w:style w:type="character" w:customStyle="1" w:styleId="58">
    <w:name w:val="列出段落 Char Char"/>
    <w:qFormat/>
    <w:uiPriority w:val="0"/>
    <w:rPr>
      <w:rFonts w:hint="default" w:ascii="Calibri" w:hAnsi="Calibri" w:cs="Calibri"/>
      <w:kern w:val="2"/>
      <w:sz w:val="21"/>
      <w:szCs w:val="22"/>
    </w:rPr>
  </w:style>
  <w:style w:type="character" w:customStyle="1" w:styleId="59">
    <w:name w:val="正文文本 Char Char"/>
    <w:qFormat/>
    <w:uiPriority w:val="0"/>
    <w:rPr>
      <w:kern w:val="2"/>
      <w:sz w:val="21"/>
      <w:szCs w:val="24"/>
    </w:rPr>
  </w:style>
  <w:style w:type="character" w:customStyle="1" w:styleId="60">
    <w:name w:val="Char Char11"/>
    <w:qFormat/>
    <w:uiPriority w:val="0"/>
    <w:rPr>
      <w:rFonts w:hint="default" w:ascii="Arial Narrow" w:hAnsi="Arial Narrow"/>
      <w:b/>
      <w:bCs/>
      <w:iCs/>
      <w:szCs w:val="24"/>
      <w:lang w:eastAsia="en-US"/>
    </w:rPr>
  </w:style>
  <w:style w:type="character" w:customStyle="1" w:styleId="61">
    <w:name w:val="标书（正文） Char Char"/>
    <w:qFormat/>
    <w:uiPriority w:val="0"/>
    <w:rPr>
      <w:rFonts w:hint="eastAsia" w:ascii="宋体" w:hAnsi="宋体" w:eastAsia="宋体"/>
      <w:b/>
      <w:kern w:val="10"/>
      <w:sz w:val="21"/>
      <w:szCs w:val="21"/>
      <w:lang w:val="en-US" w:eastAsia="zh-CN" w:bidi="ar-SA"/>
    </w:rPr>
  </w:style>
  <w:style w:type="character" w:customStyle="1" w:styleId="62">
    <w:name w:val="line2"/>
    <w:basedOn w:val="45"/>
    <w:qFormat/>
    <w:uiPriority w:val="0"/>
  </w:style>
  <w:style w:type="character" w:customStyle="1" w:styleId="63">
    <w:name w:val="纯文本 Char"/>
    <w:qFormat/>
    <w:uiPriority w:val="0"/>
    <w:rPr>
      <w:rFonts w:ascii="宋体" w:hAnsi="Courier New" w:eastAsia="宋体" w:cs="Courier New"/>
      <w:szCs w:val="21"/>
    </w:rPr>
  </w:style>
  <w:style w:type="character" w:customStyle="1" w:styleId="64">
    <w:name w:val="Char Char10"/>
    <w:qFormat/>
    <w:uiPriority w:val="0"/>
    <w:rPr>
      <w:kern w:val="2"/>
      <w:sz w:val="24"/>
      <w:szCs w:val="24"/>
    </w:rPr>
  </w:style>
  <w:style w:type="character" w:customStyle="1" w:styleId="65">
    <w:name w:val="标题 2 字符"/>
    <w:link w:val="4"/>
    <w:qFormat/>
    <w:uiPriority w:val="0"/>
    <w:rPr>
      <w:rFonts w:ascii="宋体" w:hAnsi="宋体"/>
      <w:b/>
      <w:bCs/>
      <w:kern w:val="2"/>
      <w:sz w:val="28"/>
      <w:szCs w:val="28"/>
    </w:rPr>
  </w:style>
  <w:style w:type="character" w:customStyle="1" w:styleId="66">
    <w:name w:val="正文文本缩进 字符"/>
    <w:link w:val="19"/>
    <w:qFormat/>
    <w:uiPriority w:val="0"/>
    <w:rPr>
      <w:rFonts w:eastAsia="宋体"/>
      <w:szCs w:val="24"/>
      <w:lang w:bidi="ar-SA"/>
    </w:rPr>
  </w:style>
  <w:style w:type="character" w:customStyle="1" w:styleId="67">
    <w:name w:val="批注框文本 字符"/>
    <w:link w:val="27"/>
    <w:qFormat/>
    <w:uiPriority w:val="0"/>
    <w:rPr>
      <w:rFonts w:eastAsia="宋体"/>
      <w:sz w:val="18"/>
      <w:szCs w:val="18"/>
      <w:lang w:bidi="ar-SA"/>
    </w:rPr>
  </w:style>
  <w:style w:type="character" w:customStyle="1" w:styleId="68">
    <w:name w:val="MM Topic 4 Char Char"/>
    <w:qFormat/>
    <w:uiPriority w:val="0"/>
    <w:rPr>
      <w:rFonts w:hint="default" w:ascii="Arial" w:hAnsi="Arial" w:cs="Arial"/>
      <w:b/>
      <w:bCs/>
      <w:kern w:val="2"/>
      <w:sz w:val="28"/>
      <w:szCs w:val="28"/>
    </w:rPr>
  </w:style>
  <w:style w:type="character" w:customStyle="1" w:styleId="69">
    <w:name w:val="标题 9 字符"/>
    <w:link w:val="11"/>
    <w:qFormat/>
    <w:uiPriority w:val="0"/>
    <w:rPr>
      <w:rFonts w:ascii="Arial" w:hAnsi="Arial" w:eastAsia="黑体"/>
      <w:szCs w:val="21"/>
      <w:lang w:bidi="ar-SA"/>
    </w:rPr>
  </w:style>
  <w:style w:type="character" w:customStyle="1" w:styleId="70">
    <w:name w:val="标书正文:  0.74 厘米 Char Char"/>
    <w:qFormat/>
    <w:uiPriority w:val="0"/>
    <w:rPr>
      <w:kern w:val="2"/>
      <w:sz w:val="24"/>
    </w:rPr>
  </w:style>
  <w:style w:type="character" w:customStyle="1" w:styleId="71">
    <w:name w:val="标题 3 Char Char Char"/>
    <w:qFormat/>
    <w:uiPriority w:val="0"/>
    <w:rPr>
      <w:rFonts w:eastAsia="宋体"/>
      <w:b/>
      <w:kern w:val="2"/>
      <w:sz w:val="32"/>
      <w:lang w:val="en-US" w:eastAsia="zh-CN" w:bidi="ar-SA"/>
    </w:rPr>
  </w:style>
  <w:style w:type="character" w:customStyle="1" w:styleId="72">
    <w:name w:val="标题 8 字符"/>
    <w:link w:val="10"/>
    <w:qFormat/>
    <w:uiPriority w:val="0"/>
    <w:rPr>
      <w:rFonts w:ascii="Arial" w:hAnsi="Arial" w:eastAsia="黑体"/>
      <w:sz w:val="24"/>
      <w:szCs w:val="24"/>
      <w:lang w:bidi="ar-SA"/>
    </w:rPr>
  </w:style>
  <w:style w:type="character" w:customStyle="1" w:styleId="73">
    <w:name w:val="标题 3 字符"/>
    <w:link w:val="5"/>
    <w:qFormat/>
    <w:uiPriority w:val="0"/>
    <w:rPr>
      <w:rFonts w:ascii="宋体" w:hAnsi="宋体"/>
      <w:b/>
      <w:bCs/>
      <w:color w:val="000000"/>
      <w:sz w:val="24"/>
      <w:szCs w:val="28"/>
    </w:rPr>
  </w:style>
  <w:style w:type="character" w:customStyle="1" w:styleId="74">
    <w:name w:val="副标题 字符"/>
    <w:link w:val="32"/>
    <w:qFormat/>
    <w:uiPriority w:val="0"/>
    <w:rPr>
      <w:rFonts w:ascii="Cambria" w:hAnsi="Cambria"/>
      <w:b/>
      <w:bCs/>
      <w:kern w:val="28"/>
      <w:sz w:val="32"/>
      <w:szCs w:val="32"/>
    </w:rPr>
  </w:style>
  <w:style w:type="character" w:customStyle="1" w:styleId="75">
    <w:name w:val="（符号）邀请函中一、"/>
    <w:qFormat/>
    <w:uiPriority w:val="0"/>
    <w:rPr>
      <w:rFonts w:ascii="黑体" w:hAnsi="黑体" w:eastAsia="黑体"/>
      <w:b/>
      <w:bCs/>
      <w:sz w:val="24"/>
    </w:rPr>
  </w:style>
  <w:style w:type="character" w:customStyle="1" w:styleId="76">
    <w:name w:val="tt Char"/>
    <w:qFormat/>
    <w:uiPriority w:val="0"/>
    <w:rPr>
      <w:rFonts w:hint="default" w:ascii="Arial" w:hAnsi="Arial" w:eastAsia="黑体" w:cs="Arial"/>
      <w:kern w:val="2"/>
      <w:sz w:val="21"/>
      <w:szCs w:val="21"/>
    </w:rPr>
  </w:style>
  <w:style w:type="character" w:customStyle="1" w:styleId="77">
    <w:name w:val="Char Char9"/>
    <w:qFormat/>
    <w:uiPriority w:val="0"/>
    <w:rPr>
      <w:kern w:val="2"/>
      <w:sz w:val="18"/>
      <w:szCs w:val="18"/>
    </w:rPr>
  </w:style>
  <w:style w:type="character" w:customStyle="1" w:styleId="78">
    <w:name w:val="MM Topic 3 Char Char"/>
    <w:qFormat/>
    <w:uiPriority w:val="0"/>
    <w:rPr>
      <w:rFonts w:hint="eastAsia" w:ascii="宋体" w:hAnsi="宋体" w:eastAsia="宋体"/>
      <w:b/>
      <w:bCs/>
      <w:color w:val="000000"/>
      <w:kern w:val="2"/>
      <w:sz w:val="28"/>
      <w:szCs w:val="28"/>
    </w:rPr>
  </w:style>
  <w:style w:type="character" w:customStyle="1" w:styleId="79">
    <w:name w:val="样式 小四2 Char Char"/>
    <w:qFormat/>
    <w:uiPriority w:val="0"/>
    <w:rPr>
      <w:rFonts w:hint="eastAsia" w:ascii="宋体" w:hAnsi="宋体" w:eastAsia="宋体"/>
      <w:kern w:val="2"/>
      <w:sz w:val="24"/>
      <w:szCs w:val="24"/>
    </w:rPr>
  </w:style>
  <w:style w:type="character" w:customStyle="1" w:styleId="80">
    <w:name w:val="Char Char7"/>
    <w:qFormat/>
    <w:uiPriority w:val="0"/>
    <w:rPr>
      <w:kern w:val="2"/>
      <w:sz w:val="18"/>
      <w:szCs w:val="18"/>
    </w:rPr>
  </w:style>
  <w:style w:type="character" w:customStyle="1" w:styleId="81">
    <w:name w:val="Char Char3"/>
    <w:qFormat/>
    <w:uiPriority w:val="0"/>
    <w:rPr>
      <w:b/>
      <w:bCs/>
      <w:kern w:val="2"/>
      <w:sz w:val="18"/>
      <w:szCs w:val="18"/>
    </w:rPr>
  </w:style>
  <w:style w:type="character" w:customStyle="1" w:styleId="82">
    <w:name w:val="apple-style-span"/>
    <w:basedOn w:val="45"/>
    <w:qFormat/>
    <w:uiPriority w:val="0"/>
  </w:style>
  <w:style w:type="character" w:customStyle="1" w:styleId="83">
    <w:name w:val="Char Char4"/>
    <w:qFormat/>
    <w:uiPriority w:val="0"/>
    <w:rPr>
      <w:kern w:val="2"/>
      <w:sz w:val="18"/>
      <w:szCs w:val="18"/>
    </w:rPr>
  </w:style>
  <w:style w:type="character" w:customStyle="1" w:styleId="84">
    <w:name w:val="副标题 Char1"/>
    <w:qFormat/>
    <w:uiPriority w:val="11"/>
    <w:rPr>
      <w:rFonts w:ascii="Cambria" w:hAnsi="Cambria" w:cs="Times New Roman"/>
      <w:b/>
      <w:bCs/>
      <w:kern w:val="28"/>
      <w:sz w:val="32"/>
      <w:szCs w:val="32"/>
    </w:rPr>
  </w:style>
  <w:style w:type="character" w:customStyle="1" w:styleId="85">
    <w:name w:val="small"/>
    <w:basedOn w:val="45"/>
    <w:qFormat/>
    <w:uiPriority w:val="0"/>
  </w:style>
  <w:style w:type="character" w:customStyle="1" w:styleId="86">
    <w:name w:val="批注文字 字符"/>
    <w:link w:val="17"/>
    <w:qFormat/>
    <w:uiPriority w:val="0"/>
    <w:rPr>
      <w:rFonts w:eastAsia="宋体"/>
      <w:sz w:val="18"/>
      <w:szCs w:val="18"/>
      <w:lang w:bidi="ar-SA"/>
    </w:rPr>
  </w:style>
  <w:style w:type="character" w:customStyle="1" w:styleId="87">
    <w:name w:val="Legal Level 1.1.1. Char"/>
    <w:qFormat/>
    <w:uiPriority w:val="0"/>
    <w:rPr>
      <w:rFonts w:hint="default" w:ascii="Arial" w:hAnsi="Arial" w:eastAsia="黑体" w:cs="Arial"/>
      <w:kern w:val="2"/>
      <w:sz w:val="24"/>
      <w:szCs w:val="24"/>
    </w:rPr>
  </w:style>
  <w:style w:type="character" w:customStyle="1" w:styleId="88">
    <w:name w:val="正文文本 Char"/>
    <w:basedOn w:val="45"/>
    <w:qFormat/>
    <w:uiPriority w:val="0"/>
  </w:style>
  <w:style w:type="character" w:customStyle="1" w:styleId="89">
    <w:name w:val="正文文本缩进 3 字符"/>
    <w:link w:val="35"/>
    <w:qFormat/>
    <w:uiPriority w:val="0"/>
    <w:rPr>
      <w:rFonts w:ascii="宋体" w:hAnsi="宋体" w:eastAsia="宋体"/>
      <w:sz w:val="28"/>
      <w:szCs w:val="28"/>
      <w:lang w:bidi="ar-SA"/>
    </w:rPr>
  </w:style>
  <w:style w:type="character" w:customStyle="1" w:styleId="90">
    <w:name w:val="标题 4 字符"/>
    <w:link w:val="6"/>
    <w:qFormat/>
    <w:uiPriority w:val="0"/>
    <w:rPr>
      <w:rFonts w:ascii="Arial" w:hAnsi="Arial"/>
      <w:b/>
      <w:bCs/>
      <w:sz w:val="28"/>
      <w:szCs w:val="28"/>
    </w:rPr>
  </w:style>
  <w:style w:type="character" w:customStyle="1" w:styleId="91">
    <w:name w:val="文章正文 Char Char"/>
    <w:qFormat/>
    <w:uiPriority w:val="0"/>
    <w:rPr>
      <w:rFonts w:hint="eastAsia" w:ascii="宋体" w:hAnsi="宋体" w:eastAsia="宋体"/>
      <w:kern w:val="2"/>
      <w:sz w:val="24"/>
      <w:szCs w:val="24"/>
      <w:lang w:val="en-US" w:eastAsia="zh-CN" w:bidi="ar-SA"/>
    </w:rPr>
  </w:style>
  <w:style w:type="character" w:customStyle="1" w:styleId="92">
    <w:name w:val="正文首行缩进 字符"/>
    <w:link w:val="41"/>
    <w:qFormat/>
    <w:uiPriority w:val="0"/>
    <w:rPr>
      <w:rFonts w:eastAsia="宋体"/>
      <w:sz w:val="18"/>
      <w:szCs w:val="18"/>
      <w:lang w:bidi="ar-SA"/>
    </w:rPr>
  </w:style>
  <w:style w:type="character" w:customStyle="1" w:styleId="93">
    <w:name w:val="正文文本 Char1"/>
    <w:qFormat/>
    <w:uiPriority w:val="0"/>
    <w:rPr>
      <w:rFonts w:ascii="Times New Roman" w:hAnsi="Times New Roman" w:eastAsia="宋体" w:cs="Times New Roman"/>
      <w:kern w:val="0"/>
      <w:sz w:val="18"/>
      <w:szCs w:val="18"/>
    </w:rPr>
  </w:style>
  <w:style w:type="character" w:customStyle="1" w:styleId="94">
    <w:name w:val="日期 字符"/>
    <w:link w:val="25"/>
    <w:qFormat/>
    <w:uiPriority w:val="0"/>
    <w:rPr>
      <w:rFonts w:eastAsia="宋体"/>
      <w:sz w:val="24"/>
      <w:szCs w:val="24"/>
      <w:lang w:bidi="ar-SA"/>
    </w:rPr>
  </w:style>
  <w:style w:type="character" w:customStyle="1" w:styleId="95">
    <w:name w:val="正文文本 字符"/>
    <w:basedOn w:val="45"/>
    <w:link w:val="2"/>
    <w:qFormat/>
    <w:uiPriority w:val="0"/>
    <w:rPr>
      <w:rFonts w:eastAsia="宋体"/>
    </w:rPr>
  </w:style>
  <w:style w:type="character" w:customStyle="1" w:styleId="96">
    <w:name w:val="CD正文 Char Char"/>
    <w:qFormat/>
    <w:uiPriority w:val="0"/>
    <w:rPr>
      <w:rFonts w:hint="eastAsia" w:ascii="宋体" w:hAnsi="宋体" w:eastAsia="宋体"/>
      <w:kern w:val="2"/>
      <w:sz w:val="30"/>
      <w:szCs w:val="28"/>
      <w:lang w:val="en-US" w:eastAsia="zh-CN" w:bidi="ar-SA"/>
    </w:rPr>
  </w:style>
  <w:style w:type="character" w:customStyle="1" w:styleId="97">
    <w:name w:val="Char Char2"/>
    <w:qFormat/>
    <w:uiPriority w:val="0"/>
    <w:rPr>
      <w:kern w:val="2"/>
      <w:sz w:val="18"/>
      <w:szCs w:val="18"/>
    </w:rPr>
  </w:style>
  <w:style w:type="character" w:customStyle="1" w:styleId="98">
    <w:name w:val="页眉 字符"/>
    <w:link w:val="29"/>
    <w:qFormat/>
    <w:uiPriority w:val="0"/>
    <w:rPr>
      <w:rFonts w:ascii="Calibri" w:hAnsi="Calibri" w:eastAsia="宋体"/>
      <w:sz w:val="18"/>
      <w:szCs w:val="18"/>
      <w:lang w:bidi="ar-SA"/>
    </w:rPr>
  </w:style>
  <w:style w:type="character" w:customStyle="1" w:styleId="99">
    <w:name w:val="标题 1 Char1"/>
    <w:qFormat/>
    <w:uiPriority w:val="0"/>
    <w:rPr>
      <w:b/>
      <w:bCs/>
      <w:kern w:val="44"/>
      <w:sz w:val="44"/>
      <w:szCs w:val="44"/>
    </w:rPr>
  </w:style>
  <w:style w:type="character" w:customStyle="1" w:styleId="100">
    <w:name w:val="表正文 Char1"/>
    <w:qFormat/>
    <w:uiPriority w:val="0"/>
    <w:rPr>
      <w:rFonts w:hint="eastAsia" w:ascii="宋体" w:hAnsi="宋体" w:eastAsia="宋体"/>
      <w:kern w:val="2"/>
      <w:sz w:val="21"/>
      <w:lang w:val="en-US" w:eastAsia="zh-CN" w:bidi="ar-SA"/>
    </w:rPr>
  </w:style>
  <w:style w:type="character" w:customStyle="1" w:styleId="101">
    <w:name w:val="彩色列表 - 强调文字颜色 1 Char"/>
    <w:link w:val="102"/>
    <w:qFormat/>
    <w:uiPriority w:val="0"/>
    <w:rPr>
      <w:rFonts w:ascii="Calibri" w:hAnsi="Calibri"/>
      <w:kern w:val="2"/>
      <w:sz w:val="21"/>
      <w:szCs w:val="22"/>
    </w:rPr>
  </w:style>
  <w:style w:type="paragraph" w:customStyle="1" w:styleId="102">
    <w:name w:val="彩色列表 - 强调文字颜色 12"/>
    <w:basedOn w:val="1"/>
    <w:link w:val="101"/>
    <w:qFormat/>
    <w:uiPriority w:val="0"/>
    <w:pPr>
      <w:ind w:firstLine="420"/>
    </w:pPr>
  </w:style>
  <w:style w:type="character" w:customStyle="1" w:styleId="103">
    <w:name w:val="正文文本 2 字符"/>
    <w:link w:val="38"/>
    <w:qFormat/>
    <w:uiPriority w:val="0"/>
    <w:rPr>
      <w:rFonts w:eastAsia="宋体"/>
      <w:sz w:val="18"/>
      <w:szCs w:val="18"/>
      <w:lang w:bidi="ar-SA"/>
    </w:rPr>
  </w:style>
  <w:style w:type="character" w:customStyle="1" w:styleId="104">
    <w:name w:val="标题 6 字符"/>
    <w:link w:val="8"/>
    <w:qFormat/>
    <w:uiPriority w:val="0"/>
    <w:rPr>
      <w:rFonts w:ascii="Arial" w:hAnsi="Arial"/>
      <w:b/>
      <w:bCs/>
      <w:sz w:val="28"/>
      <w:szCs w:val="18"/>
    </w:rPr>
  </w:style>
  <w:style w:type="character" w:customStyle="1" w:styleId="105">
    <w:name w:val="标题 1 字符"/>
    <w:link w:val="3"/>
    <w:qFormat/>
    <w:uiPriority w:val="0"/>
    <w:rPr>
      <w:rFonts w:ascii="宋体" w:hAnsi="宋体"/>
      <w:b/>
      <w:bCs/>
      <w:spacing w:val="-20"/>
      <w:kern w:val="44"/>
      <w:sz w:val="32"/>
      <w:szCs w:val="32"/>
    </w:rPr>
  </w:style>
  <w:style w:type="character" w:customStyle="1" w:styleId="106">
    <w:name w:val="标题 7 字符"/>
    <w:link w:val="9"/>
    <w:qFormat/>
    <w:uiPriority w:val="0"/>
    <w:rPr>
      <w:rFonts w:ascii="Arial Narrow" w:hAnsi="Arial Narrow" w:eastAsia="宋体"/>
      <w:b/>
      <w:bCs/>
      <w:iCs/>
      <w:szCs w:val="24"/>
      <w:lang w:eastAsia="en-US" w:bidi="ar-SA"/>
    </w:rPr>
  </w:style>
  <w:style w:type="character" w:customStyle="1" w:styleId="107">
    <w:name w:val="正文文本缩进 2 字符"/>
    <w:basedOn w:val="45"/>
    <w:link w:val="26"/>
    <w:qFormat/>
    <w:uiPriority w:val="0"/>
  </w:style>
  <w:style w:type="character" w:customStyle="1" w:styleId="108">
    <w:name w:val="纯文本 字符"/>
    <w:link w:val="23"/>
    <w:qFormat/>
    <w:uiPriority w:val="0"/>
    <w:rPr>
      <w:rFonts w:ascii="宋体" w:hAnsi="Courier New" w:eastAsia="宋体"/>
      <w:szCs w:val="18"/>
      <w:lang w:bidi="ar-SA"/>
    </w:rPr>
  </w:style>
  <w:style w:type="character" w:customStyle="1" w:styleId="109">
    <w:name w:val="Char Char Char"/>
    <w:qFormat/>
    <w:uiPriority w:val="0"/>
    <w:rPr>
      <w:rFonts w:hint="eastAsia" w:ascii="宋体" w:hAnsi="宋体" w:eastAsia="宋体"/>
      <w:kern w:val="2"/>
      <w:sz w:val="18"/>
      <w:szCs w:val="18"/>
      <w:lang w:val="en-US" w:eastAsia="zh-CN" w:bidi="ar-SA"/>
    </w:rPr>
  </w:style>
  <w:style w:type="character" w:customStyle="1" w:styleId="110">
    <w:name w:val="正文文本 3 字符"/>
    <w:link w:val="18"/>
    <w:qFormat/>
    <w:uiPriority w:val="0"/>
    <w:rPr>
      <w:rFonts w:eastAsia="黑体"/>
      <w:kern w:val="2"/>
      <w:sz w:val="44"/>
      <w:szCs w:val="24"/>
      <w:lang w:val="en-US" w:eastAsia="zh-CN" w:bidi="ar-SA"/>
    </w:rPr>
  </w:style>
  <w:style w:type="character" w:customStyle="1" w:styleId="111">
    <w:name w:val="Char Char6"/>
    <w:qFormat/>
    <w:uiPriority w:val="0"/>
    <w:rPr>
      <w:kern w:val="2"/>
      <w:sz w:val="21"/>
      <w:szCs w:val="24"/>
    </w:rPr>
  </w:style>
  <w:style w:type="character" w:customStyle="1" w:styleId="112">
    <w:name w:val="页脚 字符"/>
    <w:link w:val="28"/>
    <w:qFormat/>
    <w:uiPriority w:val="0"/>
    <w:rPr>
      <w:rFonts w:ascii="Calibri" w:hAnsi="Calibri" w:eastAsia="宋体"/>
      <w:sz w:val="18"/>
      <w:szCs w:val="18"/>
      <w:lang w:bidi="ar-SA"/>
    </w:rPr>
  </w:style>
  <w:style w:type="paragraph" w:customStyle="1" w:styleId="113">
    <w:name w:val="样式 右侧:  1 字符1"/>
    <w:basedOn w:val="1"/>
    <w:qFormat/>
    <w:uiPriority w:val="0"/>
    <w:pPr>
      <w:ind w:left="240" w:leftChars="100" w:right="240" w:rightChars="100"/>
    </w:pPr>
    <w:rPr>
      <w:rFonts w:eastAsia="仿宋_GB2312" w:cs="宋体"/>
      <w:sz w:val="28"/>
      <w:szCs w:val="20"/>
    </w:rPr>
  </w:style>
  <w:style w:type="paragraph" w:customStyle="1" w:styleId="114">
    <w:name w:val="MM Title"/>
    <w:basedOn w:val="1"/>
    <w:qFormat/>
    <w:uiPriority w:val="0"/>
    <w:pPr>
      <w:spacing w:before="240" w:after="60"/>
      <w:jc w:val="center"/>
      <w:outlineLvl w:val="0"/>
    </w:pPr>
    <w:rPr>
      <w:rFonts w:ascii="Arial" w:hAnsi="Arial" w:cs="Arial"/>
      <w:b/>
      <w:bCs/>
      <w:sz w:val="32"/>
      <w:szCs w:val="32"/>
    </w:rPr>
  </w:style>
  <w:style w:type="paragraph" w:customStyle="1" w:styleId="115">
    <w:name w:val="项目符号：一级"/>
    <w:basedOn w:val="116"/>
    <w:next w:val="116"/>
    <w:qFormat/>
    <w:uiPriority w:val="0"/>
  </w:style>
  <w:style w:type="paragraph" w:customStyle="1" w:styleId="116">
    <w:name w:val="正文格式"/>
    <w:basedOn w:val="1"/>
    <w:qFormat/>
    <w:uiPriority w:val="0"/>
    <w:pPr>
      <w:widowControl/>
      <w:adjustRightInd w:val="0"/>
      <w:snapToGrid w:val="0"/>
      <w:spacing w:beforeLines="25"/>
      <w:ind w:firstLine="480"/>
    </w:pPr>
    <w:rPr>
      <w:rFonts w:ascii="宋体" w:hAnsi="宋体"/>
      <w:bCs/>
      <w:color w:val="000000"/>
      <w:kern w:val="0"/>
      <w:szCs w:val="24"/>
    </w:rPr>
  </w:style>
  <w:style w:type="paragraph" w:customStyle="1" w:styleId="117">
    <w:name w:val="默认段落字体 Para Char Char Char1 Char"/>
    <w:basedOn w:val="1"/>
    <w:next w:val="1"/>
    <w:qFormat/>
    <w:uiPriority w:val="0"/>
    <w:pPr>
      <w:spacing w:line="240" w:lineRule="atLeast"/>
      <w:ind w:left="420" w:firstLine="420"/>
    </w:pPr>
    <w:rPr>
      <w:kern w:val="0"/>
      <w:szCs w:val="21"/>
    </w:rPr>
  </w:style>
  <w:style w:type="paragraph" w:customStyle="1" w:styleId="118">
    <w:name w:val="gb_master正文"/>
    <w:basedOn w:val="1"/>
    <w:qFormat/>
    <w:uiPriority w:val="0"/>
    <w:pPr>
      <w:ind w:firstLine="200"/>
    </w:pPr>
    <w:rPr>
      <w:szCs w:val="24"/>
    </w:rPr>
  </w:style>
  <w:style w:type="paragraph" w:customStyle="1" w:styleId="119">
    <w:name w:val="p0"/>
    <w:basedOn w:val="1"/>
    <w:qFormat/>
    <w:uiPriority w:val="0"/>
    <w:pPr>
      <w:widowControl/>
      <w:spacing w:before="100" w:beforeAutospacing="1" w:after="100" w:afterAutospacing="1"/>
    </w:pPr>
    <w:rPr>
      <w:rFonts w:ascii="宋体" w:hAnsi="宋体" w:cs="宋体"/>
      <w:kern w:val="0"/>
      <w:szCs w:val="24"/>
    </w:rPr>
  </w:style>
  <w:style w:type="paragraph" w:customStyle="1" w:styleId="12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21">
    <w:name w:val="Char2 Char Char Char"/>
    <w:basedOn w:val="1"/>
    <w:qFormat/>
    <w:uiPriority w:val="0"/>
    <w:rPr>
      <w:rFonts w:ascii="仿宋_GB2312"/>
      <w:b/>
      <w:sz w:val="30"/>
      <w:szCs w:val="32"/>
    </w:rPr>
  </w:style>
  <w:style w:type="paragraph" w:customStyle="1" w:styleId="122">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textAlignment w:val="baseline"/>
      <w:outlineLvl w:val="1"/>
    </w:pPr>
    <w:rPr>
      <w:rFonts w:ascii="宋体" w:hAnsi="宋体" w:cs="宋体"/>
      <w:color w:val="000000"/>
      <w:kern w:val="0"/>
      <w:szCs w:val="20"/>
    </w:rPr>
  </w:style>
  <w:style w:type="paragraph" w:customStyle="1" w:styleId="1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24">
    <w:name w:val="默认段落字体 Para Char"/>
    <w:basedOn w:val="1"/>
    <w:qFormat/>
    <w:uiPriority w:val="0"/>
    <w:rPr>
      <w:rFonts w:ascii="Tahoma" w:hAnsi="Tahoma"/>
      <w:szCs w:val="20"/>
    </w:rPr>
  </w:style>
  <w:style w:type="paragraph" w:customStyle="1" w:styleId="125">
    <w:name w:val="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26">
    <w:name w:val="样式 行距: 1.5 倍行距 左  3.42 字符"/>
    <w:basedOn w:val="1"/>
    <w:qFormat/>
    <w:uiPriority w:val="0"/>
    <w:pPr>
      <w:ind w:left="200" w:leftChars="200" w:firstLine="200"/>
    </w:pPr>
    <w:rPr>
      <w:rFonts w:cs="宋体"/>
      <w:szCs w:val="20"/>
    </w:rPr>
  </w:style>
  <w:style w:type="paragraph" w:customStyle="1" w:styleId="127">
    <w:name w:val="样式 正文缩进 + (中文) 仿宋_GB2312 小四 Char"/>
    <w:basedOn w:val="14"/>
    <w:qFormat/>
    <w:uiPriority w:val="0"/>
    <w:pPr>
      <w:spacing w:after="0" w:line="360" w:lineRule="auto"/>
      <w:ind w:firstLine="480"/>
    </w:pPr>
    <w:rPr>
      <w:rFonts w:ascii="宋体" w:hAnsi="宋体"/>
      <w:szCs w:val="24"/>
    </w:rPr>
  </w:style>
  <w:style w:type="paragraph" w:customStyle="1" w:styleId="128">
    <w:name w:val="表格文字"/>
    <w:basedOn w:val="1"/>
    <w:qFormat/>
    <w:uiPriority w:val="0"/>
    <w:pPr>
      <w:spacing w:beforeLines="25"/>
    </w:pPr>
    <w:rPr>
      <w:rFonts w:ascii="Times New (W1)" w:hAnsi="Times New (W1)"/>
      <w:spacing w:val="10"/>
      <w:szCs w:val="24"/>
    </w:rPr>
  </w:style>
  <w:style w:type="paragraph" w:customStyle="1" w:styleId="129">
    <w:name w:val="CD正文"/>
    <w:basedOn w:val="130"/>
    <w:qFormat/>
    <w:uiPriority w:val="0"/>
  </w:style>
  <w:style w:type="paragraph" w:customStyle="1" w:styleId="130">
    <w:name w:val="文章正文"/>
    <w:basedOn w:val="1"/>
    <w:qFormat/>
    <w:uiPriority w:val="0"/>
    <w:pPr>
      <w:ind w:firstLine="420"/>
    </w:pPr>
    <w:rPr>
      <w:szCs w:val="24"/>
    </w:rPr>
  </w:style>
  <w:style w:type="paragraph" w:customStyle="1" w:styleId="131">
    <w:name w:val="标书正文:  0.74 厘米"/>
    <w:basedOn w:val="1"/>
    <w:qFormat/>
    <w:uiPriority w:val="0"/>
    <w:pPr>
      <w:snapToGrid w:val="0"/>
      <w:ind w:firstLine="420"/>
    </w:pPr>
    <w:rPr>
      <w:szCs w:val="18"/>
    </w:rPr>
  </w:style>
  <w:style w:type="paragraph" w:customStyle="1" w:styleId="132">
    <w:name w:val="默认段落字体 Para Char Char"/>
    <w:basedOn w:val="1"/>
    <w:qFormat/>
    <w:uiPriority w:val="0"/>
    <w:rPr>
      <w:szCs w:val="24"/>
    </w:rPr>
  </w:style>
  <w:style w:type="paragraph" w:customStyle="1" w:styleId="133">
    <w:name w:val="MM Topic 6"/>
    <w:basedOn w:val="8"/>
    <w:qFormat/>
    <w:uiPriority w:val="0"/>
    <w:pPr>
      <w:tabs>
        <w:tab w:val="left" w:pos="3260"/>
        <w:tab w:val="clear" w:pos="1702"/>
      </w:tabs>
      <w:ind w:left="0" w:firstLine="0"/>
    </w:pPr>
    <w:rPr>
      <w:rFonts w:eastAsia="黑体"/>
    </w:rPr>
  </w:style>
  <w:style w:type="paragraph" w:customStyle="1" w:styleId="134">
    <w:name w:val="Char1 Char Char Char"/>
    <w:basedOn w:val="1"/>
    <w:next w:val="1"/>
    <w:qFormat/>
    <w:uiPriority w:val="0"/>
    <w:pPr>
      <w:spacing w:line="240" w:lineRule="atLeast"/>
      <w:ind w:left="420" w:firstLine="420"/>
    </w:pPr>
    <w:rPr>
      <w:kern w:val="0"/>
      <w:szCs w:val="21"/>
    </w:rPr>
  </w:style>
  <w:style w:type="paragraph" w:customStyle="1" w:styleId="135">
    <w:name w:val="样式 首行缩进:  2 字符"/>
    <w:basedOn w:val="1"/>
    <w:qFormat/>
    <w:uiPriority w:val="0"/>
    <w:pPr>
      <w:spacing w:line="400" w:lineRule="exact"/>
      <w:ind w:firstLine="200"/>
    </w:pPr>
    <w:rPr>
      <w:rFonts w:cs="宋体"/>
      <w:szCs w:val="24"/>
    </w:rPr>
  </w:style>
  <w:style w:type="paragraph" w:customStyle="1" w:styleId="136">
    <w:name w:val="Char1"/>
    <w:basedOn w:val="1"/>
    <w:next w:val="1"/>
    <w:qFormat/>
    <w:uiPriority w:val="0"/>
    <w:pPr>
      <w:spacing w:line="240" w:lineRule="atLeast"/>
      <w:ind w:left="420" w:firstLine="420"/>
    </w:pPr>
    <w:rPr>
      <w:kern w:val="0"/>
      <w:szCs w:val="21"/>
    </w:rPr>
  </w:style>
  <w:style w:type="paragraph" w:customStyle="1" w:styleId="137">
    <w:name w:val="标题 5 + 首行缩进:  2 字符"/>
    <w:basedOn w:val="7"/>
    <w:next w:val="19"/>
    <w:qFormat/>
    <w:uiPriority w:val="0"/>
    <w:pPr>
      <w:tabs>
        <w:tab w:val="left" w:pos="992"/>
        <w:tab w:val="clear" w:pos="1134"/>
      </w:tabs>
      <w:snapToGrid w:val="0"/>
      <w:spacing w:beforeLines="50" w:afterLines="50"/>
      <w:ind w:left="3570" w:firstLine="482"/>
    </w:pPr>
    <w:rPr>
      <w:color w:val="000000"/>
      <w:szCs w:val="20"/>
    </w:rPr>
  </w:style>
  <w:style w:type="paragraph" w:customStyle="1" w:styleId="138">
    <w:name w:val="Char2 Char Char Char Char Char Char"/>
    <w:basedOn w:val="1"/>
    <w:qFormat/>
    <w:uiPriority w:val="0"/>
    <w:rPr>
      <w:rFonts w:ascii="仿宋_GB2312"/>
      <w:b/>
      <w:sz w:val="30"/>
      <w:szCs w:val="32"/>
    </w:rPr>
  </w:style>
  <w:style w:type="paragraph" w:customStyle="1" w:styleId="139">
    <w:name w:val="MM Topic 2"/>
    <w:basedOn w:val="4"/>
    <w:qFormat/>
    <w:uiPriority w:val="0"/>
    <w:pPr>
      <w:numPr>
        <w:numId w:val="0"/>
      </w:numPr>
      <w:tabs>
        <w:tab w:val="left" w:pos="992"/>
      </w:tabs>
    </w:pPr>
  </w:style>
  <w:style w:type="paragraph" w:customStyle="1" w:styleId="140">
    <w:name w:val="Style Style4 + First line:  2 ch Before:  0.5 line After:  0.5 li..."/>
    <w:basedOn w:val="1"/>
    <w:qFormat/>
    <w:uiPriority w:val="0"/>
    <w:pPr>
      <w:spacing w:beforeLines="50" w:line="276" w:lineRule="auto"/>
      <w:ind w:firstLine="480"/>
    </w:pPr>
    <w:rPr>
      <w:rFonts w:ascii="Arial" w:hAnsi="Arial"/>
      <w:szCs w:val="20"/>
    </w:rPr>
  </w:style>
  <w:style w:type="paragraph" w:customStyle="1" w:styleId="141">
    <w:name w:val="正文 首行缩进:  2 字符 Char Char"/>
    <w:basedOn w:val="1"/>
    <w:qFormat/>
    <w:uiPriority w:val="0"/>
    <w:pPr>
      <w:ind w:firstLine="480"/>
    </w:pPr>
    <w:rPr>
      <w:rFonts w:cs="宋体"/>
      <w:szCs w:val="20"/>
    </w:rPr>
  </w:style>
  <w:style w:type="paragraph" w:customStyle="1" w:styleId="142">
    <w:name w:val="MM Topic 8"/>
    <w:basedOn w:val="10"/>
    <w:qFormat/>
    <w:uiPriority w:val="0"/>
    <w:pPr>
      <w:tabs>
        <w:tab w:val="left" w:pos="4394"/>
      </w:tabs>
    </w:pPr>
  </w:style>
  <w:style w:type="paragraph" w:customStyle="1" w:styleId="143">
    <w:name w:val="Char1 Char Char Char Char Char Char"/>
    <w:basedOn w:val="1"/>
    <w:qFormat/>
    <w:uiPriority w:val="0"/>
    <w:rPr>
      <w:rFonts w:ascii="Tahoma" w:hAnsi="Tahoma"/>
      <w:szCs w:val="20"/>
    </w:rPr>
  </w:style>
  <w:style w:type="paragraph" w:customStyle="1" w:styleId="144">
    <w:name w:val="RFI Heading 3rd Level"/>
    <w:basedOn w:val="1"/>
    <w:qFormat/>
    <w:uiPriority w:val="0"/>
    <w:pPr>
      <w:widowControl/>
      <w:tabs>
        <w:tab w:val="left" w:pos="720"/>
      </w:tabs>
      <w:ind w:left="720" w:hanging="720"/>
    </w:pPr>
    <w:rPr>
      <w:rFonts w:ascii="Arial (W1)" w:hAnsi="Arial (W1)"/>
      <w:color w:val="000000"/>
      <w:kern w:val="0"/>
      <w:szCs w:val="24"/>
      <w:lang w:val="en-GB" w:eastAsia="en-US"/>
    </w:rPr>
  </w:style>
  <w:style w:type="paragraph" w:customStyle="1" w:styleId="145">
    <w:name w:val="样式 小四2"/>
    <w:basedOn w:val="1"/>
    <w:qFormat/>
    <w:uiPriority w:val="0"/>
    <w:rPr>
      <w:rFonts w:ascii="宋体" w:hAnsi="宋体"/>
      <w:szCs w:val="24"/>
    </w:rPr>
  </w:style>
  <w:style w:type="paragraph" w:customStyle="1" w:styleId="14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7">
    <w:name w:val="Char Char1"/>
    <w:basedOn w:val="1"/>
    <w:next w:val="1"/>
    <w:qFormat/>
    <w:uiPriority w:val="0"/>
    <w:pPr>
      <w:spacing w:line="240" w:lineRule="atLeast"/>
      <w:ind w:left="420" w:firstLine="420"/>
    </w:pPr>
    <w:rPr>
      <w:rFonts w:ascii="楷体_GB2312" w:hAnsi="宋体" w:eastAsia="楷体_GB2312"/>
      <w:bCs/>
      <w:color w:val="000000"/>
      <w:kern w:val="0"/>
      <w:sz w:val="28"/>
      <w:szCs w:val="28"/>
    </w:rPr>
  </w:style>
  <w:style w:type="paragraph" w:customStyle="1" w:styleId="148">
    <w:name w:val="1 Char"/>
    <w:basedOn w:val="1"/>
    <w:qFormat/>
    <w:uiPriority w:val="0"/>
    <w:pPr>
      <w:widowControl/>
      <w:spacing w:after="160" w:line="240" w:lineRule="exact"/>
    </w:pPr>
    <w:rPr>
      <w:rFonts w:ascii="Tahoma" w:hAnsi="Tahoma" w:eastAsia="Times New Roman"/>
      <w:kern w:val="0"/>
      <w:szCs w:val="24"/>
      <w:lang w:eastAsia="en-US"/>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文章正文 Char Char1"/>
    <w:basedOn w:val="1"/>
    <w:qFormat/>
    <w:uiPriority w:val="0"/>
    <w:pPr>
      <w:ind w:firstLine="420"/>
    </w:pPr>
    <w:rPr>
      <w:szCs w:val="24"/>
    </w:rPr>
  </w:style>
  <w:style w:type="paragraph" w:customStyle="1" w:styleId="151">
    <w:name w:val="标题2-1"/>
    <w:basedOn w:val="1"/>
    <w:qFormat/>
    <w:uiPriority w:val="0"/>
    <w:pPr>
      <w:tabs>
        <w:tab w:val="left" w:pos="0"/>
      </w:tabs>
      <w:autoSpaceDE w:val="0"/>
      <w:autoSpaceDN w:val="0"/>
      <w:adjustRightInd w:val="0"/>
      <w:spacing w:beforeLines="50"/>
      <w:outlineLvl w:val="1"/>
    </w:pPr>
    <w:rPr>
      <w:rFonts w:ascii="Arial" w:hAnsi="宋体" w:cs="Arial"/>
      <w:b/>
      <w:bCs/>
      <w:color w:val="292929"/>
      <w:kern w:val="0"/>
      <w:sz w:val="28"/>
      <w:szCs w:val="28"/>
    </w:r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图"/>
    <w:basedOn w:val="1"/>
    <w:qFormat/>
    <w:uiPriority w:val="0"/>
    <w:pPr>
      <w:widowControl/>
      <w:adjustRightInd w:val="0"/>
      <w:snapToGrid w:val="0"/>
      <w:jc w:val="center"/>
    </w:pPr>
    <w:rPr>
      <w:rFonts w:ascii="宋体" w:hAnsi="宋体"/>
      <w:bCs/>
      <w:szCs w:val="24"/>
    </w:rPr>
  </w:style>
  <w:style w:type="paragraph" w:customStyle="1" w:styleId="154">
    <w:name w:val="Char1 Char Char Char Char Char Char1"/>
    <w:basedOn w:val="1"/>
    <w:qFormat/>
    <w:uiPriority w:val="0"/>
    <w:rPr>
      <w:rFonts w:ascii="Tahoma" w:hAnsi="Tahoma"/>
      <w:szCs w:val="20"/>
    </w:rPr>
  </w:style>
  <w:style w:type="paragraph" w:customStyle="1" w:styleId="155">
    <w:name w:val="zw1"/>
    <w:basedOn w:val="1"/>
    <w:qFormat/>
    <w:uiPriority w:val="0"/>
    <w:pPr>
      <w:widowControl/>
      <w:ind w:firstLine="480"/>
    </w:pPr>
    <w:rPr>
      <w:kern w:val="0"/>
      <w:szCs w:val="20"/>
    </w:rPr>
  </w:style>
  <w:style w:type="paragraph" w:customStyle="1" w:styleId="156">
    <w:name w:val="Char Char Char Char Char Char Char"/>
    <w:basedOn w:val="1"/>
    <w:qFormat/>
    <w:uiPriority w:val="0"/>
    <w:pPr>
      <w:widowControl/>
      <w:snapToGrid w:val="0"/>
      <w:spacing w:line="240" w:lineRule="exact"/>
    </w:pPr>
    <w:rPr>
      <w:rFonts w:ascii="Verdana" w:hAnsi="Verdana"/>
      <w:kern w:val="0"/>
      <w:sz w:val="20"/>
      <w:szCs w:val="20"/>
      <w:lang w:eastAsia="en-US"/>
    </w:rPr>
  </w:style>
  <w:style w:type="paragraph" w:customStyle="1" w:styleId="157">
    <w:name w:val="MM Topic 1"/>
    <w:basedOn w:val="3"/>
    <w:qFormat/>
    <w:uiPriority w:val="0"/>
    <w:pPr>
      <w:tabs>
        <w:tab w:val="left" w:pos="425"/>
      </w:tabs>
    </w:pPr>
    <w:rPr>
      <w:sz w:val="44"/>
    </w:rPr>
  </w:style>
  <w:style w:type="paragraph" w:customStyle="1" w:styleId="1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pPr>
    <w:rPr>
      <w:rFonts w:ascii="Arial" w:hAnsi="Arial"/>
      <w:bCs w:val="0"/>
      <w:iCs/>
      <w:color w:val="000000"/>
    </w:rPr>
  </w:style>
  <w:style w:type="paragraph" w:customStyle="1" w:styleId="159">
    <w:name w:val="我的正文"/>
    <w:basedOn w:val="1"/>
    <w:qFormat/>
    <w:uiPriority w:val="0"/>
    <w:pPr>
      <w:ind w:firstLine="420"/>
    </w:pPr>
    <w:rPr>
      <w:rFonts w:ascii="宋体" w:hAnsi="宋体"/>
      <w:szCs w:val="24"/>
    </w:rPr>
  </w:style>
  <w:style w:type="paragraph" w:customStyle="1" w:styleId="160">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61">
    <w:name w:val="标书（正文）"/>
    <w:basedOn w:val="1"/>
    <w:qFormat/>
    <w:uiPriority w:val="0"/>
    <w:pPr>
      <w:ind w:firstLine="560"/>
    </w:pPr>
    <w:rPr>
      <w:rFonts w:ascii="宋体" w:hAnsi="宋体"/>
      <w:kern w:val="10"/>
      <w:sz w:val="28"/>
      <w:szCs w:val="28"/>
    </w:rPr>
  </w:style>
  <w:style w:type="paragraph" w:customStyle="1" w:styleId="162">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63">
    <w:name w:val="论文正文"/>
    <w:basedOn w:val="1"/>
    <w:qFormat/>
    <w:uiPriority w:val="0"/>
    <w:pPr>
      <w:ind w:firstLine="700" w:firstLineChars="250"/>
    </w:pPr>
    <w:rPr>
      <w:rFonts w:ascii="宋体" w:hAnsi="宋体"/>
      <w:bCs/>
      <w:sz w:val="28"/>
      <w:szCs w:val="28"/>
    </w:rPr>
  </w:style>
  <w:style w:type="paragraph" w:customStyle="1" w:styleId="164">
    <w:name w:val="样式1"/>
    <w:basedOn w:val="1"/>
    <w:qFormat/>
    <w:uiPriority w:val="0"/>
    <w:rPr>
      <w:rFonts w:eastAsia="隶书"/>
      <w:i/>
      <w:dstrike/>
      <w:sz w:val="28"/>
      <w:szCs w:val="18"/>
    </w:rPr>
  </w:style>
  <w:style w:type="paragraph" w:customStyle="1" w:styleId="165">
    <w:name w:val="表格"/>
    <w:basedOn w:val="1"/>
    <w:qFormat/>
    <w:uiPriority w:val="0"/>
    <w:pPr>
      <w:spacing w:line="400" w:lineRule="exact"/>
    </w:pPr>
    <w:rPr>
      <w:szCs w:val="24"/>
    </w:rPr>
  </w:style>
  <w:style w:type="paragraph" w:customStyle="1" w:styleId="16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67">
    <w:name w:val="Char"/>
    <w:basedOn w:val="1"/>
    <w:next w:val="1"/>
    <w:qFormat/>
    <w:uiPriority w:val="0"/>
    <w:pPr>
      <w:spacing w:line="240" w:lineRule="atLeast"/>
      <w:ind w:left="420" w:firstLine="420"/>
    </w:pPr>
    <w:rPr>
      <w:kern w:val="0"/>
      <w:szCs w:val="21"/>
    </w:rPr>
  </w:style>
  <w:style w:type="paragraph" w:customStyle="1" w:styleId="168">
    <w:name w:val="Char Char Char Char Char Char Char Char Char Char Char Char Char"/>
    <w:basedOn w:val="16"/>
    <w:qFormat/>
    <w:uiPriority w:val="0"/>
    <w:rPr>
      <w:rFonts w:ascii="Tahoma" w:hAnsi="Tahoma"/>
      <w:sz w:val="24"/>
      <w:szCs w:val="24"/>
    </w:rPr>
  </w:style>
  <w:style w:type="paragraph" w:customStyle="1" w:styleId="169">
    <w:name w:val="MM Topic 3"/>
    <w:basedOn w:val="5"/>
    <w:qFormat/>
    <w:uiPriority w:val="0"/>
    <w:pPr>
      <w:numPr>
        <w:numId w:val="0"/>
      </w:numPr>
      <w:tabs>
        <w:tab w:val="left" w:pos="1418"/>
      </w:tabs>
    </w:pPr>
  </w:style>
  <w:style w:type="paragraph" w:customStyle="1" w:styleId="170">
    <w:name w:val="样式 仿宋_GB2312 小四 左侧:  0.63 厘米"/>
    <w:basedOn w:val="1"/>
    <w:qFormat/>
    <w:uiPriority w:val="0"/>
    <w:pPr>
      <w:spacing w:before="120" w:after="120"/>
      <w:ind w:left="357" w:firstLine="200"/>
    </w:pPr>
    <w:rPr>
      <w:rFonts w:ascii="仿宋_GB2312" w:hAnsi="仿宋_GB2312" w:eastAsia="仿宋_GB2312" w:cs="宋体"/>
      <w:szCs w:val="20"/>
    </w:rPr>
  </w:style>
  <w:style w:type="paragraph" w:customStyle="1" w:styleId="17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Cs w:val="24"/>
    </w:rPr>
  </w:style>
  <w:style w:type="paragraph" w:customStyle="1" w:styleId="172">
    <w:name w:val="Char Char Char Char"/>
    <w:basedOn w:val="1"/>
    <w:qFormat/>
    <w:uiPriority w:val="0"/>
    <w:rPr>
      <w:rFonts w:ascii="Tahoma" w:hAnsi="Tahoma"/>
      <w:szCs w:val="20"/>
    </w:rPr>
  </w:style>
  <w:style w:type="paragraph" w:customStyle="1" w:styleId="173">
    <w:name w:val="Style8"/>
    <w:basedOn w:val="1"/>
    <w:qFormat/>
    <w:uiPriority w:val="0"/>
    <w:pPr>
      <w:tabs>
        <w:tab w:val="left" w:pos="1304"/>
      </w:tabs>
      <w:spacing w:beforeLines="50" w:line="276" w:lineRule="auto"/>
      <w:ind w:left="1304" w:hanging="397"/>
    </w:pPr>
    <w:rPr>
      <w:rFonts w:ascii="Arial" w:hAnsi="Arial"/>
      <w:szCs w:val="24"/>
    </w:rPr>
  </w:style>
  <w:style w:type="paragraph" w:customStyle="1" w:styleId="174">
    <w:name w:val="MM Topic 9"/>
    <w:basedOn w:val="11"/>
    <w:qFormat/>
    <w:uiPriority w:val="0"/>
    <w:pPr>
      <w:tabs>
        <w:tab w:val="left" w:pos="5102"/>
      </w:tabs>
    </w:pPr>
  </w:style>
  <w:style w:type="paragraph" w:customStyle="1" w:styleId="175">
    <w:name w:val="MM Topic 5"/>
    <w:basedOn w:val="7"/>
    <w:qFormat/>
    <w:uiPriority w:val="0"/>
    <w:pPr>
      <w:tabs>
        <w:tab w:val="left" w:pos="2551"/>
        <w:tab w:val="clear" w:pos="1134"/>
      </w:tabs>
      <w:ind w:left="0" w:firstLine="0"/>
    </w:pPr>
  </w:style>
  <w:style w:type="paragraph" w:customStyle="1" w:styleId="176">
    <w:name w:val="大纲正文"/>
    <w:basedOn w:val="1"/>
    <w:qFormat/>
    <w:uiPriority w:val="0"/>
    <w:pPr>
      <w:ind w:firstLine="480"/>
    </w:pPr>
    <w:rPr>
      <w:szCs w:val="20"/>
    </w:rPr>
  </w:style>
  <w:style w:type="paragraph" w:customStyle="1" w:styleId="177">
    <w:name w:val="MM Topic 4"/>
    <w:basedOn w:val="6"/>
    <w:qFormat/>
    <w:uiPriority w:val="0"/>
    <w:pPr>
      <w:tabs>
        <w:tab w:val="left" w:pos="1984"/>
      </w:tabs>
      <w:ind w:left="0" w:firstLine="0"/>
    </w:pPr>
  </w:style>
  <w:style w:type="paragraph" w:customStyle="1" w:styleId="1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9">
    <w:name w:val="样式 小四 首行缩进:  0.74 厘米"/>
    <w:basedOn w:val="1"/>
    <w:qFormat/>
    <w:uiPriority w:val="0"/>
    <w:pPr>
      <w:spacing w:before="100" w:beforeAutospacing="1" w:after="100" w:afterAutospacing="1" w:line="300" w:lineRule="auto"/>
      <w:ind w:firstLine="420" w:firstLineChars="175"/>
    </w:pPr>
    <w:rPr>
      <w:rFonts w:ascii="宋体" w:hAnsi="宋体"/>
      <w:szCs w:val="24"/>
    </w:rPr>
  </w:style>
  <w:style w:type="paragraph" w:customStyle="1" w:styleId="180">
    <w:name w:val="样式 标题 2H2第一章 标题 2Heading 2 HiddenHeading 2 CCBSheading 2h2..."/>
    <w:basedOn w:val="4"/>
    <w:qFormat/>
    <w:uiPriority w:val="0"/>
    <w:pPr>
      <w:tabs>
        <w:tab w:val="left" w:pos="-2493"/>
      </w:tabs>
    </w:pPr>
    <w:rPr>
      <w:szCs w:val="20"/>
    </w:rPr>
  </w:style>
  <w:style w:type="paragraph" w:customStyle="1" w:styleId="181">
    <w:name w:val="正文首行缩进两字符"/>
    <w:basedOn w:val="1"/>
    <w:qFormat/>
    <w:uiPriority w:val="0"/>
    <w:pPr>
      <w:ind w:firstLine="200"/>
    </w:pPr>
    <w:rPr>
      <w:szCs w:val="24"/>
    </w:rPr>
  </w:style>
  <w:style w:type="paragraph" w:customStyle="1" w:styleId="182">
    <w:name w:val="列出段落2"/>
    <w:basedOn w:val="1"/>
    <w:qFormat/>
    <w:uiPriority w:val="34"/>
    <w:pPr>
      <w:ind w:firstLine="420"/>
    </w:pPr>
  </w:style>
  <w:style w:type="paragraph" w:customStyle="1" w:styleId="183">
    <w:name w:val="列出段落1"/>
    <w:basedOn w:val="1"/>
    <w:qFormat/>
    <w:uiPriority w:val="0"/>
    <w:pPr>
      <w:ind w:firstLine="420"/>
    </w:pPr>
  </w:style>
  <w:style w:type="paragraph" w:customStyle="1" w:styleId="184">
    <w:name w:val="修订1"/>
    <w:hidden/>
    <w:qFormat/>
    <w:uiPriority w:val="0"/>
    <w:rPr>
      <w:rFonts w:ascii="Calibri" w:hAnsi="Calibri" w:eastAsia="宋体" w:cs="Times New Roman"/>
      <w:kern w:val="2"/>
      <w:sz w:val="21"/>
      <w:szCs w:val="22"/>
      <w:lang w:val="en-US" w:eastAsia="zh-CN" w:bidi="ar-SA"/>
    </w:rPr>
  </w:style>
  <w:style w:type="paragraph" w:customStyle="1" w:styleId="185">
    <w:name w:val="彩色列表 - 强调文字颜色 11"/>
    <w:basedOn w:val="1"/>
    <w:qFormat/>
    <w:uiPriority w:val="0"/>
    <w:pPr>
      <w:ind w:firstLine="420"/>
    </w:pPr>
  </w:style>
  <w:style w:type="paragraph" w:customStyle="1" w:styleId="186">
    <w:name w:val="List Paragraph1"/>
    <w:basedOn w:val="1"/>
    <w:qFormat/>
    <w:uiPriority w:val="0"/>
    <w:pPr>
      <w:ind w:firstLine="420"/>
    </w:pPr>
    <w:rPr>
      <w:szCs w:val="24"/>
    </w:rPr>
  </w:style>
  <w:style w:type="character" w:customStyle="1" w:styleId="187">
    <w:name w:val="font01"/>
    <w:basedOn w:val="45"/>
    <w:qFormat/>
    <w:uiPriority w:val="0"/>
    <w:rPr>
      <w:rFonts w:hint="eastAsia" w:ascii="宋体" w:hAnsi="宋体" w:eastAsia="宋体" w:cs="宋体"/>
      <w:color w:val="000000"/>
      <w:sz w:val="24"/>
      <w:szCs w:val="24"/>
      <w:u w:val="none"/>
    </w:rPr>
  </w:style>
  <w:style w:type="character" w:customStyle="1" w:styleId="188">
    <w:name w:val="font11"/>
    <w:basedOn w:val="45"/>
    <w:qFormat/>
    <w:uiPriority w:val="0"/>
    <w:rPr>
      <w:rFonts w:hint="eastAsia" w:ascii="宋体" w:hAnsi="宋体" w:eastAsia="宋体" w:cs="宋体"/>
      <w:color w:val="000000"/>
      <w:sz w:val="22"/>
      <w:szCs w:val="22"/>
      <w:u w:val="none"/>
    </w:rPr>
  </w:style>
  <w:style w:type="paragraph" w:customStyle="1" w:styleId="189">
    <w:name w:val="列出段落11"/>
    <w:basedOn w:val="1"/>
    <w:qFormat/>
    <w:uiPriority w:val="34"/>
    <w:pPr>
      <w:ind w:firstLine="420"/>
    </w:pPr>
  </w:style>
  <w:style w:type="paragraph" w:customStyle="1" w:styleId="19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91">
    <w:name w:val="列出段落3"/>
    <w:basedOn w:val="1"/>
    <w:qFormat/>
    <w:uiPriority w:val="34"/>
    <w:pPr>
      <w:ind w:firstLine="420"/>
    </w:pPr>
  </w:style>
  <w:style w:type="table" w:customStyle="1" w:styleId="19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_Style 1"/>
    <w:basedOn w:val="1"/>
    <w:qFormat/>
    <w:uiPriority w:val="0"/>
    <w:pPr>
      <w:ind w:firstLine="420"/>
    </w:pPr>
  </w:style>
  <w:style w:type="paragraph" w:customStyle="1" w:styleId="194">
    <w:name w:val="样式2"/>
    <w:basedOn w:val="1"/>
    <w:qFormat/>
    <w:uiPriority w:val="0"/>
    <w:pPr>
      <w:ind w:firstLine="200"/>
    </w:pPr>
    <w:rPr>
      <w:rFonts w:eastAsia="仿宋_GB2312"/>
    </w:rPr>
  </w:style>
  <w:style w:type="paragraph" w:customStyle="1" w:styleId="195">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customStyle="1" w:styleId="196">
    <w:name w:val="引用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9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图表文（硬梁包）"/>
    <w:qFormat/>
    <w:uiPriority w:val="0"/>
    <w:pPr>
      <w:spacing w:line="240" w:lineRule="atLeast"/>
      <w:jc w:val="center"/>
    </w:pPr>
    <w:rPr>
      <w:rFonts w:ascii="宋体" w:hAnsi="宋体" w:eastAsia="宋体" w:cs="宋体"/>
      <w:w w:val="90"/>
      <w:kern w:val="2"/>
      <w:sz w:val="21"/>
      <w:szCs w:val="21"/>
      <w:lang w:val="en-US" w:eastAsia="zh-CN" w:bidi="ar-SA"/>
    </w:rPr>
  </w:style>
  <w:style w:type="paragraph" w:customStyle="1" w:styleId="199">
    <w:name w:val="列表段落11"/>
    <w:basedOn w:val="1"/>
    <w:qFormat/>
    <w:uiPriority w:val="99"/>
    <w:pPr>
      <w:ind w:left="720"/>
      <w:contextualSpacing/>
    </w:pPr>
    <w:rPr>
      <w:rFonts w:ascii="Calibri" w:hAnsi="Calibri"/>
    </w:rPr>
  </w:style>
  <w:style w:type="character" w:customStyle="1" w:styleId="200">
    <w:name w:val="font31"/>
    <w:basedOn w:val="45"/>
    <w:qFormat/>
    <w:uiPriority w:val="0"/>
    <w:rPr>
      <w:rFonts w:ascii="Tahoma" w:hAnsi="Tahoma" w:eastAsia="Tahoma" w:cs="Tahoma"/>
      <w:color w:val="000000"/>
      <w:sz w:val="24"/>
      <w:szCs w:val="24"/>
      <w:u w:val="none"/>
    </w:rPr>
  </w:style>
  <w:style w:type="character" w:customStyle="1" w:styleId="201">
    <w:name w:val="font21"/>
    <w:basedOn w:val="4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111B0-BA22-4F7C-B520-BC4C252D62A5}">
  <ds:schemaRefs/>
</ds:datastoreItem>
</file>

<file path=docProps/app.xml><?xml version="1.0" encoding="utf-8"?>
<Properties xmlns="http://schemas.openxmlformats.org/officeDocument/2006/extended-properties" xmlns:vt="http://schemas.openxmlformats.org/officeDocument/2006/docPropsVTypes">
  <Template>Normal</Template>
  <Pages>68</Pages>
  <Words>5614</Words>
  <Characters>32002</Characters>
  <Lines>266</Lines>
  <Paragraphs>75</Paragraphs>
  <TotalTime>1</TotalTime>
  <ScaleCrop>false</ScaleCrop>
  <LinksUpToDate>false</LinksUpToDate>
  <CharactersWithSpaces>37541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2016-12-15T08:05:00Z</dcterms:created>
  <dc:creator>hyf</dc:creator>
  <cp:lastModifiedBy>123</cp:lastModifiedBy>
  <cp:lastPrinted>2017-11-27T06:31:00Z</cp:lastPrinted>
  <dcterms:modified xsi:type="dcterms:W3CDTF">2021-06-23T08:28:12Z</dcterms:modified>
  <dc:title>招 标 文 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DE55C03238A143EE9355C6823BB39770</vt:lpwstr>
  </property>
</Properties>
</file>