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jc w:val="center"/>
        <w:rPr>
          <w:rFonts w:ascii="宋体" w:hAnsi="宋体"/>
          <w:color w:val="auto"/>
          <w:spacing w:val="42"/>
          <w:szCs w:val="6"/>
          <w:highlight w:val="none"/>
        </w:rPr>
      </w:pPr>
      <w:r>
        <w:rPr>
          <w:rFonts w:hint="eastAsia" w:ascii="宋体" w:hAnsi="宋体"/>
          <w:color w:val="auto"/>
          <w:spacing w:val="42"/>
          <w:szCs w:val="6"/>
          <w:highlight w:val="none"/>
        </w:rPr>
        <w:t xml:space="preserve"> </w:t>
      </w:r>
    </w:p>
    <w:p>
      <w:pPr>
        <w:ind w:firstLine="660"/>
        <w:jc w:val="center"/>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0" w:firstLineChars="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ind w:firstLine="0" w:firstLineChars="0"/>
        <w:jc w:val="center"/>
        <w:rPr>
          <w:rFonts w:ascii="宋体" w:hAnsi="宋体"/>
          <w:color w:val="auto"/>
          <w:spacing w:val="42"/>
          <w:sz w:val="130"/>
          <w:szCs w:val="130"/>
          <w:highlight w:val="none"/>
        </w:rPr>
      </w:pPr>
      <w:r>
        <w:rPr>
          <w:rFonts w:hint="eastAsia" w:ascii="宋体" w:hAnsi="宋体"/>
          <w:color w:val="auto"/>
          <w:spacing w:val="42"/>
          <w:sz w:val="130"/>
          <w:szCs w:val="130"/>
          <w:highlight w:val="none"/>
        </w:rPr>
        <w:t>招 标 文 件</w:t>
      </w:r>
    </w:p>
    <w:p>
      <w:pPr>
        <w:ind w:firstLine="492"/>
        <w:jc w:val="center"/>
        <w:rPr>
          <w:rFonts w:ascii="宋体" w:hAnsi="宋体"/>
          <w:color w:val="auto"/>
          <w:szCs w:val="18"/>
          <w:highlight w:val="none"/>
        </w:rPr>
      </w:pPr>
    </w:p>
    <w:p>
      <w:pPr>
        <w:ind w:firstLine="492"/>
        <w:jc w:val="center"/>
        <w:rPr>
          <w:rFonts w:ascii="宋体" w:hAnsi="宋体"/>
          <w:color w:val="auto"/>
          <w:highlight w:val="none"/>
        </w:rPr>
      </w:pPr>
    </w:p>
    <w:p>
      <w:pPr>
        <w:ind w:firstLine="0" w:firstLineChars="0"/>
        <w:jc w:val="both"/>
        <w:rPr>
          <w:rFonts w:ascii="宋体" w:hAnsi="宋体"/>
          <w:color w:val="auto"/>
          <w:highlight w:val="none"/>
        </w:rPr>
      </w:pPr>
    </w:p>
    <w:p>
      <w:pPr>
        <w:pStyle w:val="2"/>
        <w:ind w:firstLine="492"/>
        <w:rPr>
          <w:rFonts w:ascii="宋体" w:hAnsi="宋体"/>
          <w:color w:val="auto"/>
          <w:highlight w:val="none"/>
        </w:rPr>
      </w:pPr>
    </w:p>
    <w:p>
      <w:pPr>
        <w:pStyle w:val="2"/>
        <w:ind w:firstLine="492"/>
        <w:rPr>
          <w:rFonts w:ascii="宋体" w:hAnsi="宋体"/>
          <w:color w:val="auto"/>
          <w:highlight w:val="none"/>
        </w:rPr>
      </w:pPr>
    </w:p>
    <w:p>
      <w:pPr>
        <w:pStyle w:val="2"/>
        <w:ind w:firstLine="492"/>
        <w:rPr>
          <w:rFonts w:ascii="宋体" w:hAnsi="宋体"/>
          <w:color w:val="auto"/>
          <w:highlight w:val="none"/>
        </w:rPr>
      </w:pPr>
    </w:p>
    <w:p>
      <w:pPr>
        <w:pStyle w:val="2"/>
        <w:ind w:firstLine="492"/>
        <w:rPr>
          <w:rFonts w:ascii="宋体" w:hAnsi="宋体"/>
          <w:color w:val="auto"/>
          <w:highlight w:val="none"/>
        </w:rPr>
      </w:pPr>
    </w:p>
    <w:p>
      <w:pPr>
        <w:ind w:left="1630" w:hanging="1625" w:hangingChars="500"/>
        <w:rPr>
          <w:rFonts w:ascii="宋体" w:hAnsi="宋体"/>
          <w:color w:val="auto"/>
          <w:sz w:val="32"/>
          <w:szCs w:val="32"/>
          <w:highlight w:val="none"/>
        </w:rPr>
      </w:pPr>
      <w:r>
        <w:rPr>
          <w:rFonts w:hint="eastAsia" w:ascii="宋体" w:hAnsi="宋体"/>
          <w:color w:val="auto"/>
          <w:sz w:val="32"/>
          <w:szCs w:val="32"/>
          <w:highlight w:val="none"/>
        </w:rPr>
        <w:t>项目名称：</w:t>
      </w:r>
      <w:r>
        <w:rPr>
          <w:rFonts w:hint="eastAsia" w:ascii="宋体" w:hAnsi="宋体"/>
          <w:color w:val="auto"/>
          <w:sz w:val="32"/>
          <w:szCs w:val="32"/>
          <w:highlight w:val="none"/>
          <w:lang w:eastAsia="zh-CN"/>
        </w:rPr>
        <w:t>成都市龙泉驿区城市绿地建设管理中心龙泉驿区道路景观绿化管护服务采购项目</w:t>
      </w:r>
    </w:p>
    <w:p>
      <w:pPr>
        <w:ind w:firstLine="0" w:firstLineChars="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招标编号：</w:t>
      </w:r>
      <w:r>
        <w:rPr>
          <w:rFonts w:hint="eastAsia" w:ascii="宋体" w:hAnsi="宋体"/>
          <w:color w:val="auto"/>
          <w:sz w:val="32"/>
          <w:szCs w:val="32"/>
          <w:highlight w:val="none"/>
          <w:lang w:eastAsia="zh-CN"/>
        </w:rPr>
        <w:t>510112202100105</w:t>
      </w:r>
    </w:p>
    <w:p>
      <w:pPr>
        <w:ind w:firstLine="0" w:firstLineChars="0"/>
        <w:rPr>
          <w:rFonts w:ascii="宋体" w:hAnsi="宋体"/>
          <w:color w:val="auto"/>
          <w:spacing w:val="20"/>
          <w:sz w:val="32"/>
          <w:szCs w:val="32"/>
          <w:highlight w:val="none"/>
        </w:rPr>
      </w:pPr>
    </w:p>
    <w:p>
      <w:pPr>
        <w:ind w:firstLine="0" w:firstLineChars="0"/>
        <w:jc w:val="center"/>
        <w:rPr>
          <w:rFonts w:ascii="宋体" w:hAnsi="宋体"/>
          <w:color w:val="auto"/>
          <w:kern w:val="24"/>
          <w:sz w:val="32"/>
          <w:szCs w:val="32"/>
          <w:highlight w:val="none"/>
        </w:rPr>
      </w:pPr>
    </w:p>
    <w:p>
      <w:pPr>
        <w:ind w:firstLine="0" w:firstLineChars="0"/>
        <w:jc w:val="center"/>
        <w:rPr>
          <w:rFonts w:ascii="宋体" w:hAnsi="宋体"/>
          <w:color w:val="auto"/>
          <w:sz w:val="32"/>
          <w:szCs w:val="32"/>
          <w:highlight w:val="none"/>
        </w:rPr>
      </w:pPr>
      <w:r>
        <w:rPr>
          <w:rFonts w:hint="eastAsia" w:ascii="宋体" w:hAnsi="宋体"/>
          <w:color w:val="auto"/>
          <w:sz w:val="32"/>
          <w:szCs w:val="32"/>
          <w:highlight w:val="none"/>
        </w:rPr>
        <w:t>中国·成都</w:t>
      </w:r>
    </w:p>
    <w:p>
      <w:pPr>
        <w:ind w:firstLine="0" w:firstLineChars="0"/>
        <w:jc w:val="center"/>
        <w:rPr>
          <w:rFonts w:ascii="宋体" w:hAnsi="宋体"/>
          <w:color w:val="auto"/>
          <w:sz w:val="32"/>
          <w:szCs w:val="32"/>
          <w:highlight w:val="none"/>
        </w:rPr>
      </w:pPr>
      <w:r>
        <w:rPr>
          <w:rFonts w:hint="eastAsia" w:ascii="宋体" w:hAnsi="宋体"/>
          <w:color w:val="auto"/>
          <w:sz w:val="32"/>
          <w:szCs w:val="32"/>
          <w:highlight w:val="none"/>
        </w:rPr>
        <w:t xml:space="preserve">   四川世科工程咨询有限公司、</w:t>
      </w:r>
      <w:r>
        <w:rPr>
          <w:rFonts w:hint="eastAsia" w:ascii="宋体" w:hAnsi="宋体"/>
          <w:color w:val="auto"/>
          <w:sz w:val="32"/>
          <w:szCs w:val="32"/>
          <w:highlight w:val="none"/>
          <w:lang w:eastAsia="zh-CN"/>
        </w:rPr>
        <w:t>成都市龙泉驿区城市绿地建设管理中心</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 xml:space="preserve">共同编制  </w:t>
      </w:r>
    </w:p>
    <w:p>
      <w:pPr>
        <w:ind w:firstLine="0" w:firstLineChars="0"/>
        <w:jc w:val="center"/>
        <w:rPr>
          <w:rFonts w:hint="eastAsia" w:ascii="宋体" w:hAnsi="宋体"/>
          <w:color w:val="auto"/>
          <w:sz w:val="32"/>
          <w:szCs w:val="32"/>
          <w:highlight w:val="none"/>
        </w:rPr>
      </w:pPr>
      <w:r>
        <w:rPr>
          <w:rFonts w:hint="eastAsia" w:ascii="宋体" w:hAnsi="宋体"/>
          <w:color w:val="auto"/>
          <w:sz w:val="32"/>
          <w:szCs w:val="32"/>
          <w:highlight w:val="none"/>
        </w:rPr>
        <w:t xml:space="preserve"> 二〇二</w:t>
      </w:r>
      <w:r>
        <w:rPr>
          <w:rFonts w:hint="eastAsia" w:ascii="宋体" w:hAnsi="宋体"/>
          <w:color w:val="auto"/>
          <w:sz w:val="32"/>
          <w:szCs w:val="32"/>
          <w:highlight w:val="none"/>
          <w:lang w:val="en-US" w:eastAsia="zh-CN"/>
        </w:rPr>
        <w:t>一</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六</w:t>
      </w:r>
      <w:r>
        <w:rPr>
          <w:rFonts w:hint="eastAsia" w:ascii="宋体" w:hAnsi="宋体"/>
          <w:color w:val="auto"/>
          <w:sz w:val="32"/>
          <w:szCs w:val="32"/>
          <w:highlight w:val="none"/>
        </w:rPr>
        <w:t>月</w:t>
      </w:r>
    </w:p>
    <w:p>
      <w:pPr>
        <w:pStyle w:val="2"/>
      </w:pPr>
    </w:p>
    <w:p>
      <w:pPr>
        <w:ind w:firstLine="735"/>
        <w:jc w:val="center"/>
        <w:rPr>
          <w:rFonts w:ascii="宋体" w:hAnsi="宋体"/>
          <w:b/>
          <w:color w:val="auto"/>
          <w:sz w:val="36"/>
          <w:highlight w:val="none"/>
        </w:rPr>
      </w:pPr>
      <w:bookmarkStart w:id="0" w:name="_Toc101247312"/>
      <w:bookmarkStart w:id="1" w:name="_Toc148505181"/>
      <w:bookmarkStart w:id="2" w:name="_Toc101328520"/>
      <w:bookmarkStart w:id="3" w:name="_Toc101234248"/>
    </w:p>
    <w:p>
      <w:pPr>
        <w:pStyle w:val="4"/>
        <w:pageBreakBefore w:val="0"/>
        <w:numPr>
          <w:ilvl w:val="1"/>
          <w:numId w:val="0"/>
        </w:numPr>
        <w:tabs>
          <w:tab w:val="left" w:pos="567"/>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highlight w:val="none"/>
          <w:lang w:eastAsia="zh-CN"/>
        </w:rPr>
      </w:pPr>
      <w:bookmarkStart w:id="4" w:name="_Toc30593"/>
      <w:r>
        <w:rPr>
          <w:rFonts w:hint="eastAsia" w:ascii="宋体" w:hAnsi="宋体" w:eastAsia="宋体" w:cs="宋体"/>
          <w:b/>
          <w:bCs w:val="0"/>
          <w:color w:val="auto"/>
          <w:sz w:val="36"/>
          <w:szCs w:val="36"/>
          <w:highlight w:val="none"/>
          <w:lang w:eastAsia="zh-CN"/>
        </w:rPr>
        <w:t>“政采贷”业务介绍</w:t>
      </w:r>
      <w:bookmarkEnd w:id="4"/>
    </w:p>
    <w:p>
      <w:pPr>
        <w:pStyle w:val="4"/>
        <w:keepNext/>
        <w:keepLines/>
        <w:pageBreakBefore w:val="0"/>
        <w:widowControl w:val="0"/>
        <w:numPr>
          <w:ilvl w:val="1"/>
          <w:numId w:val="0"/>
        </w:numPr>
        <w:tabs>
          <w:tab w:val="left" w:pos="567"/>
        </w:tabs>
        <w:kinsoku/>
        <w:wordWrap/>
        <w:overflowPunct/>
        <w:topLinePunct w:val="0"/>
        <w:autoSpaceDE/>
        <w:autoSpaceDN/>
        <w:bidi w:val="0"/>
        <w:adjustRightInd/>
        <w:snapToGrid/>
        <w:spacing w:line="360" w:lineRule="auto"/>
        <w:ind w:firstLine="490" w:firstLineChars="200"/>
        <w:textAlignment w:val="auto"/>
        <w:rPr>
          <w:rFonts w:hint="eastAsia" w:ascii="宋体" w:hAnsi="宋体" w:eastAsia="宋体" w:cs="宋体"/>
          <w:b w:val="0"/>
          <w:bCs w:val="0"/>
          <w:color w:val="auto"/>
          <w:sz w:val="24"/>
          <w:szCs w:val="24"/>
          <w:highlight w:val="none"/>
          <w:lang w:eastAsia="zh-CN"/>
        </w:rPr>
      </w:pPr>
      <w:bookmarkStart w:id="5" w:name="_Toc29579"/>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highlight w:val="none"/>
          <w:lang w:eastAsia="zh-CN"/>
        </w:rPr>
        <w:t>、营造良好的营商环境</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《四川省财政厅关于推进四川省政府采购供应商信用融资工作的通知》（川财采﹝</w:t>
      </w:r>
      <w:r>
        <w:rPr>
          <w:rFonts w:hint="eastAsia" w:ascii="宋体" w:hAnsi="宋体" w:eastAsia="宋体" w:cs="宋体"/>
          <w:b w:val="0"/>
          <w:bCs w:val="0"/>
          <w:color w:val="auto"/>
          <w:sz w:val="24"/>
          <w:szCs w:val="24"/>
          <w:highlight w:val="none"/>
          <w:lang w:val="en-US" w:eastAsia="zh-CN"/>
        </w:rPr>
        <w:t>2018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123号</w:t>
      </w:r>
      <w:r>
        <w:rPr>
          <w:rFonts w:hint="eastAsia" w:ascii="宋体" w:hAnsi="宋体" w:eastAsia="宋体" w:cs="宋体"/>
          <w:b w:val="0"/>
          <w:bCs w:val="0"/>
          <w:color w:val="auto"/>
          <w:sz w:val="24"/>
          <w:szCs w:val="24"/>
          <w:highlight w:val="none"/>
          <w:lang w:eastAsia="zh-CN"/>
        </w:rPr>
        <w:t>）文件要求。有融资需求的供应商可根据四川政府采购网公示的银行及其“政采贷”产品，自行选择符合自身情况的“政采贷”银行及其产品，凭中标（成交）通知书向银行提出贷款意向申请。</w:t>
      </w:r>
      <w:bookmarkEnd w:id="5"/>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4"/>
        <w:pageBreakBefore w:val="0"/>
        <w:numPr>
          <w:ilvl w:val="1"/>
          <w:numId w:val="0"/>
        </w:numPr>
        <w:tabs>
          <w:tab w:val="left" w:pos="567"/>
        </w:tabs>
        <w:kinsoku/>
        <w:wordWrap/>
        <w:overflowPunct/>
        <w:topLinePunct w:val="0"/>
        <w:autoSpaceDE/>
        <w:autoSpaceDN/>
        <w:bidi w:val="0"/>
        <w:adjustRightInd/>
        <w:spacing w:line="360" w:lineRule="auto"/>
        <w:ind w:firstLine="2925" w:firstLineChars="900"/>
        <w:jc w:val="both"/>
        <w:textAlignment w:val="auto"/>
        <w:rPr>
          <w:rFonts w:hint="eastAsia" w:ascii="宋体" w:hAnsi="宋体" w:eastAsia="宋体" w:cs="宋体"/>
          <w:b/>
          <w:bCs w:val="0"/>
          <w:color w:val="auto"/>
          <w:sz w:val="32"/>
          <w:szCs w:val="32"/>
          <w:highlight w:val="none"/>
          <w:lang w:eastAsia="zh-CN"/>
        </w:rPr>
      </w:pPr>
      <w:bookmarkStart w:id="6" w:name="_Toc27467"/>
      <w:r>
        <w:rPr>
          <w:rFonts w:hint="eastAsia" w:ascii="宋体" w:hAnsi="宋体" w:eastAsia="宋体" w:cs="宋体"/>
          <w:b/>
          <w:bCs w:val="0"/>
          <w:color w:val="auto"/>
          <w:sz w:val="32"/>
          <w:szCs w:val="32"/>
          <w:highlight w:val="none"/>
          <w:lang w:eastAsia="zh-CN"/>
        </w:rPr>
        <w:t>“蓉采贷”业务介绍</w:t>
      </w:r>
      <w:bookmarkEnd w:id="6"/>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9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银行名称</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联系部门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成都银行</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中小企业部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中国建设银行成都第六支行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交通银行四川省分行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中国农业银行成都天府新区分行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四川天府银行成都分行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浦发银行成都分行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上海银行成都分行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成都农村商业银行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中国民生银行成都分行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中国工商银行成都分行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中国邮政储蓄银行成都分行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招商银行成都分行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广发银行成都分行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东大街支部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重庆银行成都分行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小微企业银行部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渤海银行成都分行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028-86772083</w:t>
            </w:r>
          </w:p>
        </w:tc>
      </w:tr>
    </w:tbl>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0"/>
          <w:pgNumType w:fmt="decimal"/>
          <w:cols w:space="0" w:num="1"/>
          <w:docGrid w:type="linesAndChars" w:linePitch="312" w:charSpace="1228"/>
        </w:sectPr>
      </w:pPr>
    </w:p>
    <w:p>
      <w:pPr>
        <w:ind w:firstLine="735"/>
        <w:jc w:val="center"/>
        <w:rPr>
          <w:rFonts w:ascii="宋体" w:hAnsi="宋体"/>
          <w:b/>
          <w:color w:val="auto"/>
          <w:sz w:val="36"/>
          <w:highlight w:val="none"/>
        </w:rPr>
      </w:pPr>
      <w:r>
        <w:rPr>
          <w:rFonts w:hint="eastAsia" w:ascii="宋体" w:hAnsi="宋体"/>
          <w:b/>
          <w:color w:val="auto"/>
          <w:sz w:val="36"/>
          <w:highlight w:val="none"/>
        </w:rPr>
        <w:tab/>
      </w:r>
      <w:r>
        <w:rPr>
          <w:rFonts w:hint="eastAsia" w:ascii="宋体" w:hAnsi="宋体"/>
          <w:b/>
          <w:color w:val="auto"/>
          <w:sz w:val="32"/>
          <w:szCs w:val="32"/>
          <w:highlight w:val="none"/>
        </w:rPr>
        <w:t>目 录</w:t>
      </w:r>
    </w:p>
    <w:p>
      <w:pPr>
        <w:pStyle w:val="36"/>
        <w:tabs>
          <w:tab w:val="right" w:leader="dot" w:pos="9214"/>
          <w:tab w:val="clear" w:pos="620"/>
          <w:tab w:val="clear" w:pos="8364"/>
        </w:tabs>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TOC \o "1-2" \h \u </w:instrText>
      </w:r>
      <w:r>
        <w:rPr>
          <w:rFonts w:hint="eastAsia" w:ascii="宋体" w:hAnsi="宋体" w:eastAsia="宋体"/>
          <w:color w:val="auto"/>
          <w:highlight w:val="none"/>
        </w:rPr>
        <w:fldChar w:fldCharType="separate"/>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_Toc5732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第1章 </w:t>
      </w:r>
      <w:r>
        <w:rPr>
          <w:rFonts w:hint="eastAsia"/>
          <w:highlight w:val="none"/>
        </w:rPr>
        <w:t>投标邀请</w:t>
      </w:r>
      <w:r>
        <w:tab/>
      </w:r>
      <w:r>
        <w:fldChar w:fldCharType="begin"/>
      </w:r>
      <w:r>
        <w:instrText xml:space="preserve"> PAGEREF _Toc5732 \h </w:instrText>
      </w:r>
      <w:r>
        <w:fldChar w:fldCharType="separate"/>
      </w:r>
      <w:r>
        <w:t>5</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_Toc7228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第2章 </w:t>
      </w:r>
      <w:r>
        <w:rPr>
          <w:rFonts w:hint="eastAsia"/>
          <w:highlight w:val="none"/>
        </w:rPr>
        <w:t>投标人须知</w:t>
      </w:r>
      <w:r>
        <w:tab/>
      </w:r>
      <w:r>
        <w:fldChar w:fldCharType="begin"/>
      </w:r>
      <w:r>
        <w:instrText xml:space="preserve"> PAGEREF _Toc7228 \h </w:instrText>
      </w:r>
      <w:r>
        <w:fldChar w:fldCharType="separate"/>
      </w:r>
      <w:r>
        <w:t>8</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_Toc31420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2.1 </w:t>
      </w:r>
      <w:r>
        <w:rPr>
          <w:rFonts w:hint="eastAsia"/>
          <w:highlight w:val="none"/>
        </w:rPr>
        <w:t>投标人须知附表</w:t>
      </w:r>
      <w:r>
        <w:tab/>
      </w:r>
      <w:r>
        <w:fldChar w:fldCharType="begin"/>
      </w:r>
      <w:r>
        <w:instrText xml:space="preserve"> PAGEREF _Toc31420 \h </w:instrText>
      </w:r>
      <w:r>
        <w:fldChar w:fldCharType="separate"/>
      </w:r>
      <w:r>
        <w:t>8</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_Toc16084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2.2 </w:t>
      </w:r>
      <w:r>
        <w:rPr>
          <w:rFonts w:hint="eastAsia"/>
          <w:highlight w:val="none"/>
        </w:rPr>
        <w:t>总则</w:t>
      </w:r>
      <w:r>
        <w:tab/>
      </w:r>
      <w:r>
        <w:fldChar w:fldCharType="begin"/>
      </w:r>
      <w:r>
        <w:instrText xml:space="preserve"> PAGEREF _Toc16084 \h </w:instrText>
      </w:r>
      <w:r>
        <w:fldChar w:fldCharType="separate"/>
      </w:r>
      <w:r>
        <w:t>11</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_Toc1204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2.3 </w:t>
      </w:r>
      <w:r>
        <w:rPr>
          <w:rFonts w:hint="eastAsia"/>
          <w:highlight w:val="none"/>
        </w:rPr>
        <w:t>招标文件</w:t>
      </w:r>
      <w:r>
        <w:tab/>
      </w:r>
      <w:r>
        <w:fldChar w:fldCharType="begin"/>
      </w:r>
      <w:r>
        <w:instrText xml:space="preserve"> PAGEREF _Toc1204 \h </w:instrText>
      </w:r>
      <w:r>
        <w:fldChar w:fldCharType="separate"/>
      </w:r>
      <w:r>
        <w:t>12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_Toc10696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2.4 </w:t>
      </w:r>
      <w:r>
        <w:rPr>
          <w:rFonts w:hint="eastAsia"/>
          <w:highlight w:val="none"/>
        </w:rPr>
        <w:t>投标文件</w:t>
      </w:r>
      <w:r>
        <w:tab/>
      </w:r>
      <w:r>
        <w:fldChar w:fldCharType="begin"/>
      </w:r>
      <w:r>
        <w:instrText xml:space="preserve"> PAGEREF _Toc10696 \h </w:instrText>
      </w:r>
      <w:r>
        <w:fldChar w:fldCharType="separate"/>
      </w:r>
      <w:r>
        <w:t>14</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_Toc3811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2.5 </w:t>
      </w:r>
      <w:r>
        <w:rPr>
          <w:rFonts w:hint="eastAsia"/>
          <w:highlight w:val="none"/>
        </w:rPr>
        <w:t>开标、评标和中标</w:t>
      </w:r>
      <w:r>
        <w:tab/>
      </w:r>
      <w:r>
        <w:fldChar w:fldCharType="begin"/>
      </w:r>
      <w:r>
        <w:instrText xml:space="preserve"> PAGEREF _Toc3811 \h </w:instrText>
      </w:r>
      <w:r>
        <w:fldChar w:fldCharType="separate"/>
      </w:r>
      <w:r>
        <w:t>19</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_Toc31038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2.6 </w:t>
      </w:r>
      <w:r>
        <w:rPr>
          <w:rFonts w:hint="eastAsia"/>
          <w:highlight w:val="none"/>
        </w:rPr>
        <w:t>签订及履行合同和验收</w:t>
      </w:r>
      <w:r>
        <w:tab/>
      </w:r>
      <w:r>
        <w:fldChar w:fldCharType="begin"/>
      </w:r>
      <w:r>
        <w:instrText xml:space="preserve"> PAGEREF _Toc31038 \h </w:instrText>
      </w:r>
      <w:r>
        <w:fldChar w:fldCharType="separate"/>
      </w:r>
      <w:r>
        <w:t>20</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_Toc26899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2.7 </w:t>
      </w:r>
      <w:r>
        <w:rPr>
          <w:rFonts w:hint="eastAsia"/>
          <w:highlight w:val="none"/>
        </w:rPr>
        <w:t>投标纪律要求</w:t>
      </w:r>
      <w:r>
        <w:tab/>
      </w:r>
      <w:r>
        <w:fldChar w:fldCharType="begin"/>
      </w:r>
      <w:r>
        <w:instrText xml:space="preserve"> PAGEREF _Toc26899 \h </w:instrText>
      </w:r>
      <w:r>
        <w:fldChar w:fldCharType="separate"/>
      </w:r>
      <w:r>
        <w:t>22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_Toc22806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2.8 </w:t>
      </w:r>
      <w:r>
        <w:rPr>
          <w:rFonts w:hint="eastAsia"/>
          <w:highlight w:val="none"/>
        </w:rPr>
        <w:t>资金支付</w:t>
      </w:r>
      <w:r>
        <w:tab/>
      </w:r>
      <w:r>
        <w:fldChar w:fldCharType="begin"/>
      </w:r>
      <w:r>
        <w:instrText xml:space="preserve"> PAGEREF _Toc22806 \h </w:instrText>
      </w:r>
      <w:r>
        <w:fldChar w:fldCharType="separate"/>
      </w:r>
      <w:r>
        <w:t>23</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_Toc9724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2.9 </w:t>
      </w:r>
      <w:r>
        <w:rPr>
          <w:rFonts w:hint="eastAsia"/>
          <w:highlight w:val="none"/>
        </w:rPr>
        <w:t>询问、质疑和投诉</w:t>
      </w:r>
      <w:r>
        <w:tab/>
      </w:r>
      <w:r>
        <w:fldChar w:fldCharType="begin"/>
      </w:r>
      <w:r>
        <w:instrText xml:space="preserve"> PAGEREF _Toc9724 \h </w:instrText>
      </w:r>
      <w:r>
        <w:fldChar w:fldCharType="separate"/>
      </w:r>
      <w:r>
        <w:t>23</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_Toc5675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其他</w:t>
      </w:r>
      <w:r>
        <w:tab/>
      </w:r>
      <w:r>
        <w:fldChar w:fldCharType="begin"/>
      </w:r>
      <w:r>
        <w:instrText xml:space="preserve"> PAGEREF _Toc5675 \h </w:instrText>
      </w:r>
      <w:r>
        <w:fldChar w:fldCharType="separate"/>
      </w:r>
      <w:r>
        <w:t>24</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_Toc30698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第3章 </w:t>
      </w:r>
      <w:r>
        <w:rPr>
          <w:rFonts w:hint="eastAsia"/>
          <w:highlight w:val="none"/>
        </w:rPr>
        <w:t>投标文件格式</w:t>
      </w:r>
      <w:r>
        <w:tab/>
      </w:r>
      <w:r>
        <w:fldChar w:fldCharType="begin"/>
      </w:r>
      <w:r>
        <w:instrText xml:space="preserve"> PAGEREF _Toc30698 \h </w:instrText>
      </w:r>
      <w:r>
        <w:fldChar w:fldCharType="separate"/>
      </w:r>
      <w:r>
        <w:t>25</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_Toc22261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3.1 </w:t>
      </w:r>
      <w:r>
        <w:rPr>
          <w:rFonts w:hint="eastAsia"/>
          <w:highlight w:val="none"/>
        </w:rPr>
        <w:t>资格性响应文件</w:t>
      </w:r>
      <w:r>
        <w:tab/>
      </w:r>
      <w:r>
        <w:fldChar w:fldCharType="begin"/>
      </w:r>
      <w:r>
        <w:instrText xml:space="preserve"> PAGEREF _Toc22261 \h </w:instrText>
      </w:r>
      <w:r>
        <w:fldChar w:fldCharType="separate"/>
      </w:r>
      <w:r>
        <w:t>26</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_Toc7019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3.2 </w:t>
      </w:r>
      <w:r>
        <w:rPr>
          <w:rFonts w:hint="eastAsia"/>
          <w:highlight w:val="none"/>
        </w:rPr>
        <w:t>技术、服务性响应文件</w:t>
      </w:r>
      <w:r>
        <w:tab/>
      </w:r>
      <w:r>
        <w:fldChar w:fldCharType="begin"/>
      </w:r>
      <w:r>
        <w:instrText xml:space="preserve"> PAGEREF _Toc7019 \h </w:instrText>
      </w:r>
      <w:r>
        <w:fldChar w:fldCharType="separate"/>
      </w:r>
      <w:r>
        <w:t>36</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_Toc7674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第4章 </w:t>
      </w:r>
      <w:r>
        <w:rPr>
          <w:rFonts w:hint="eastAsia"/>
          <w:highlight w:val="none"/>
        </w:rPr>
        <w:t>招标项目技术、商务及其他要求</w:t>
      </w:r>
      <w:r>
        <w:tab/>
      </w:r>
      <w:r>
        <w:fldChar w:fldCharType="begin"/>
      </w:r>
      <w:r>
        <w:instrText xml:space="preserve"> PAGEREF _Toc7674 \h </w:instrText>
      </w:r>
      <w:r>
        <w:fldChar w:fldCharType="separate"/>
      </w:r>
      <w:r>
        <w:t>50</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_Toc2156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4.1 </w:t>
      </w:r>
      <w:r>
        <w:rPr>
          <w:rFonts w:hint="eastAsia"/>
          <w:szCs w:val="24"/>
          <w:highlight w:val="none"/>
        </w:rPr>
        <w:t>项目概况</w:t>
      </w:r>
      <w:r>
        <w:tab/>
      </w:r>
      <w:r>
        <w:fldChar w:fldCharType="begin"/>
      </w:r>
      <w:r>
        <w:instrText xml:space="preserve"> PAGEREF _Toc2156 \h </w:instrText>
      </w:r>
      <w:r>
        <w:fldChar w:fldCharType="separate"/>
      </w:r>
      <w:r>
        <w:t>50</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_Toc3300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4.2 </w:t>
      </w:r>
      <w:r>
        <w:rPr>
          <w:rFonts w:hint="eastAsia"/>
          <w:szCs w:val="24"/>
          <w:highlight w:val="none"/>
          <w:lang w:val="en-US" w:eastAsia="zh-CN"/>
        </w:rPr>
        <w:t>管护内容</w:t>
      </w:r>
      <w:r>
        <w:tab/>
      </w:r>
      <w:r>
        <w:fldChar w:fldCharType="begin"/>
      </w:r>
      <w:r>
        <w:instrText xml:space="preserve"> PAGEREF _Toc3300 \h </w:instrText>
      </w:r>
      <w:r>
        <w:fldChar w:fldCharType="separate"/>
      </w:r>
      <w:r>
        <w:t>50</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_Toc9604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4.3 </w:t>
      </w:r>
      <w:r>
        <w:rPr>
          <w:rFonts w:hint="eastAsia"/>
          <w:szCs w:val="24"/>
          <w:highlight w:val="none"/>
          <w:lang w:val="en-US" w:eastAsia="zh-CN"/>
        </w:rPr>
        <w:t>管护范围清单</w:t>
      </w:r>
      <w:r>
        <w:tab/>
      </w:r>
      <w:r>
        <w:fldChar w:fldCharType="begin"/>
      </w:r>
      <w:r>
        <w:instrText xml:space="preserve"> PAGEREF _Toc9604 \h </w:instrText>
      </w:r>
      <w:r>
        <w:fldChar w:fldCharType="separate"/>
      </w:r>
      <w:r>
        <w:t>50</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_Toc21822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4.4 </w:t>
      </w:r>
      <w:r>
        <w:rPr>
          <w:rFonts w:hint="eastAsia"/>
          <w:szCs w:val="24"/>
          <w:highlight w:val="none"/>
          <w:lang w:val="en-US" w:eastAsia="zh-CN"/>
        </w:rPr>
        <w:t>各包管护标准</w:t>
      </w:r>
      <w:r>
        <w:tab/>
      </w:r>
      <w:r>
        <w:fldChar w:fldCharType="begin"/>
      </w:r>
      <w:r>
        <w:instrText xml:space="preserve"> PAGEREF _Toc21822 \h </w:instrText>
      </w:r>
      <w:r>
        <w:fldChar w:fldCharType="separate"/>
      </w:r>
      <w:r>
        <w:t>52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_Toc22065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4.5 </w:t>
      </w:r>
      <w:r>
        <w:rPr>
          <w:rFonts w:hint="eastAsia"/>
          <w:szCs w:val="24"/>
          <w:highlight w:val="none"/>
          <w:lang w:val="en-US" w:eastAsia="zh-CN"/>
        </w:rPr>
        <w:t>考核办法</w:t>
      </w:r>
      <w:r>
        <w:tab/>
      </w:r>
      <w:r>
        <w:fldChar w:fldCharType="begin"/>
      </w:r>
      <w:r>
        <w:instrText xml:space="preserve"> PAGEREF _Toc22065 \h </w:instrText>
      </w:r>
      <w:r>
        <w:fldChar w:fldCharType="separate"/>
      </w:r>
      <w:r>
        <w:t>59</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_Toc27684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4.6 </w:t>
      </w:r>
      <w:r>
        <w:rPr>
          <w:rFonts w:hint="eastAsia"/>
          <w:szCs w:val="24"/>
          <w:highlight w:val="none"/>
          <w:lang w:val="en-US" w:eastAsia="zh-CN"/>
        </w:rPr>
        <w:t>各包</w:t>
      </w:r>
      <w:r>
        <w:rPr>
          <w:rFonts w:hint="eastAsia"/>
          <w:szCs w:val="24"/>
          <w:highlight w:val="none"/>
        </w:rPr>
        <w:t>商务要求</w:t>
      </w:r>
      <w:r>
        <w:tab/>
      </w:r>
      <w:r>
        <w:fldChar w:fldCharType="begin"/>
      </w:r>
      <w:r>
        <w:instrText xml:space="preserve"> PAGEREF _Toc27684 \h </w:instrText>
      </w:r>
      <w:r>
        <w:fldChar w:fldCharType="separate"/>
      </w:r>
      <w:r>
        <w:t>59</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_Toc17488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第5章 </w:t>
      </w:r>
      <w:r>
        <w:rPr>
          <w:rFonts w:hint="eastAsia"/>
          <w:highlight w:val="none"/>
        </w:rPr>
        <w:t>资格性审查</w:t>
      </w:r>
      <w:r>
        <w:tab/>
      </w:r>
      <w:r>
        <w:fldChar w:fldCharType="begin"/>
      </w:r>
      <w:r>
        <w:instrText xml:space="preserve"> PAGEREF _Toc17488 \h </w:instrText>
      </w:r>
      <w:r>
        <w:fldChar w:fldCharType="separate"/>
      </w:r>
      <w:r>
        <w:t>66</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_Toc110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第6章 </w:t>
      </w:r>
      <w:r>
        <w:rPr>
          <w:rFonts w:hint="eastAsia"/>
          <w:szCs w:val="24"/>
          <w:highlight w:val="none"/>
        </w:rPr>
        <w:t>评标办法</w:t>
      </w:r>
      <w:r>
        <w:tab/>
      </w:r>
      <w:r>
        <w:fldChar w:fldCharType="begin"/>
      </w:r>
      <w:r>
        <w:instrText xml:space="preserve"> PAGEREF _Toc110 \h </w:instrText>
      </w:r>
      <w:r>
        <w:fldChar w:fldCharType="separate"/>
      </w:r>
      <w:r>
        <w:t>68</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_Toc1569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6.1 </w:t>
      </w:r>
      <w:r>
        <w:rPr>
          <w:rFonts w:hint="eastAsia"/>
          <w:highlight w:val="none"/>
        </w:rPr>
        <w:t>总则</w:t>
      </w:r>
      <w:r>
        <w:tab/>
      </w:r>
      <w:r>
        <w:fldChar w:fldCharType="begin"/>
      </w:r>
      <w:r>
        <w:instrText xml:space="preserve"> PAGEREF _Toc1569 \h </w:instrText>
      </w:r>
      <w:r>
        <w:fldChar w:fldCharType="separate"/>
      </w:r>
      <w:r>
        <w:t>68</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_Toc28434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6.2 </w:t>
      </w:r>
      <w:r>
        <w:rPr>
          <w:rFonts w:hint="eastAsia"/>
          <w:highlight w:val="none"/>
        </w:rPr>
        <w:t>评标方法</w:t>
      </w:r>
      <w:r>
        <w:tab/>
      </w:r>
      <w:r>
        <w:fldChar w:fldCharType="begin"/>
      </w:r>
      <w:r>
        <w:instrText xml:space="preserve"> PAGEREF _Toc28434 \h </w:instrText>
      </w:r>
      <w:r>
        <w:fldChar w:fldCharType="separate"/>
      </w:r>
      <w:r>
        <w:t>69</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_Toc3470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6.3 </w:t>
      </w:r>
      <w:r>
        <w:rPr>
          <w:rFonts w:hint="eastAsia"/>
          <w:highlight w:val="none"/>
        </w:rPr>
        <w:t>评标程序</w:t>
      </w:r>
      <w:r>
        <w:tab/>
      </w:r>
      <w:r>
        <w:fldChar w:fldCharType="begin"/>
      </w:r>
      <w:r>
        <w:instrText xml:space="preserve"> PAGEREF _Toc3470 \h </w:instrText>
      </w:r>
      <w:r>
        <w:fldChar w:fldCharType="separate"/>
      </w:r>
      <w:r>
        <w:t>69</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_Toc4062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6.4 </w:t>
      </w:r>
      <w:r>
        <w:rPr>
          <w:rFonts w:hint="eastAsia"/>
          <w:highlight w:val="none"/>
        </w:rPr>
        <w:t>评标争议处理规则</w:t>
      </w:r>
      <w:r>
        <w:tab/>
      </w:r>
      <w:r>
        <w:fldChar w:fldCharType="begin"/>
      </w:r>
      <w:r>
        <w:instrText xml:space="preserve"> PAGEREF _Toc4062 \h </w:instrText>
      </w:r>
      <w:r>
        <w:fldChar w:fldCharType="separate"/>
      </w:r>
      <w:r>
        <w:t>72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_Toc29332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6.5 </w:t>
      </w:r>
      <w:r>
        <w:rPr>
          <w:rFonts w:hint="eastAsia"/>
          <w:highlight w:val="none"/>
        </w:rPr>
        <w:t>招标采购单位现场复核评标结果</w:t>
      </w:r>
      <w:r>
        <w:tab/>
      </w:r>
      <w:r>
        <w:fldChar w:fldCharType="begin"/>
      </w:r>
      <w:r>
        <w:instrText xml:space="preserve"> PAGEREF _Toc29332 \h </w:instrText>
      </w:r>
      <w:r>
        <w:fldChar w:fldCharType="separate"/>
      </w:r>
      <w:r>
        <w:t>72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_Toc17588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6.6 </w:t>
      </w:r>
      <w:r>
        <w:rPr>
          <w:rFonts w:hint="eastAsia"/>
          <w:highlight w:val="none"/>
        </w:rPr>
        <w:t>评标细则及标准</w:t>
      </w:r>
      <w:r>
        <w:tab/>
      </w:r>
      <w:r>
        <w:fldChar w:fldCharType="begin"/>
      </w:r>
      <w:r>
        <w:instrText xml:space="preserve"> PAGEREF _Toc17588 \h </w:instrText>
      </w:r>
      <w:r>
        <w:fldChar w:fldCharType="separate"/>
      </w:r>
      <w:r>
        <w:t>73</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_Toc31225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6.7 </w:t>
      </w:r>
      <w:r>
        <w:rPr>
          <w:rFonts w:hint="eastAsia"/>
          <w:highlight w:val="none"/>
        </w:rPr>
        <w:t>废标</w:t>
      </w:r>
      <w:r>
        <w:tab/>
      </w:r>
      <w:r>
        <w:fldChar w:fldCharType="begin"/>
      </w:r>
      <w:r>
        <w:instrText xml:space="preserve"> PAGEREF _Toc31225 \h </w:instrText>
      </w:r>
      <w:r>
        <w:fldChar w:fldCharType="separate"/>
      </w:r>
      <w:r>
        <w:t>75</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_Toc18413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6.8 </w:t>
      </w:r>
      <w:r>
        <w:rPr>
          <w:rFonts w:hint="eastAsia"/>
          <w:highlight w:val="none"/>
        </w:rPr>
        <w:t>定标</w:t>
      </w:r>
      <w:r>
        <w:tab/>
      </w:r>
      <w:r>
        <w:fldChar w:fldCharType="begin"/>
      </w:r>
      <w:r>
        <w:instrText xml:space="preserve"> PAGEREF _Toc18413 \h </w:instrText>
      </w:r>
      <w:r>
        <w:fldChar w:fldCharType="separate"/>
      </w:r>
      <w:r>
        <w:t>75</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_Toc696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6.9 </w:t>
      </w:r>
      <w:r>
        <w:rPr>
          <w:rFonts w:hint="eastAsia"/>
          <w:highlight w:val="none"/>
        </w:rPr>
        <w:t>评标专家在政府采购活动中承担以下义务</w:t>
      </w:r>
      <w:r>
        <w:tab/>
      </w:r>
      <w:r>
        <w:fldChar w:fldCharType="begin"/>
      </w:r>
      <w:r>
        <w:instrText xml:space="preserve"> PAGEREF _Toc696 \h </w:instrText>
      </w:r>
      <w:r>
        <w:fldChar w:fldCharType="separate"/>
      </w:r>
      <w:r>
        <w:t>76</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_Toc23186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6.10 </w:t>
      </w:r>
      <w:r>
        <w:rPr>
          <w:rFonts w:hint="eastAsia"/>
          <w:highlight w:val="none"/>
        </w:rPr>
        <w:t>评审专家在政府采购活动中应当遵守以下工作纪律</w:t>
      </w:r>
      <w:r>
        <w:tab/>
      </w:r>
      <w:r>
        <w:fldChar w:fldCharType="begin"/>
      </w:r>
      <w:r>
        <w:instrText xml:space="preserve"> PAGEREF _Toc23186 \h </w:instrText>
      </w:r>
      <w:r>
        <w:fldChar w:fldCharType="separate"/>
      </w:r>
      <w:r>
        <w:t>76</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_Toc6089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第7章 </w:t>
      </w:r>
      <w:r>
        <w:rPr>
          <w:rFonts w:hint="eastAsia"/>
          <w:highlight w:val="none"/>
        </w:rPr>
        <w:t>政府采购合同</w:t>
      </w:r>
      <w:r>
        <w:tab/>
      </w:r>
      <w:r>
        <w:fldChar w:fldCharType="begin"/>
      </w:r>
      <w:r>
        <w:instrText xml:space="preserve"> PAGEREF _Toc6089 \h </w:instrText>
      </w:r>
      <w:r>
        <w:fldChar w:fldCharType="separate"/>
      </w:r>
      <w:r>
        <w:t>78</w:t>
      </w:r>
      <w:r>
        <w:fldChar w:fldCharType="end"/>
      </w:r>
      <w:r>
        <w:rPr>
          <w:rFonts w:hint="eastAsia" w:ascii="宋体" w:hAnsi="宋体" w:eastAsia="宋体"/>
          <w:bCs/>
          <w:caps/>
          <w:smallCaps w:val="0"/>
          <w:color w:val="auto"/>
          <w:highlight w:val="none"/>
        </w:rPr>
        <w:fldChar w:fldCharType="end"/>
      </w:r>
    </w:p>
    <w:p>
      <w:pPr>
        <w:pStyle w:val="36"/>
        <w:spacing w:line="240" w:lineRule="auto"/>
        <w:ind w:left="0" w:firstLine="0" w:firstLineChars="0"/>
        <w:rPr>
          <w:rFonts w:ascii="宋体" w:hAnsi="宋体" w:eastAsia="宋体"/>
          <w:bCs/>
          <w:caps/>
          <w:smallCaps w:val="0"/>
          <w:color w:val="auto"/>
          <w:highlight w:val="none"/>
        </w:rPr>
      </w:pPr>
      <w:r>
        <w:rPr>
          <w:rFonts w:hint="eastAsia" w:ascii="宋体" w:hAnsi="宋体" w:eastAsia="宋体"/>
          <w:bCs/>
          <w:caps/>
          <w:smallCaps w:val="0"/>
          <w:color w:val="auto"/>
          <w:highlight w:val="none"/>
        </w:rPr>
        <w:fldChar w:fldCharType="end"/>
      </w:r>
    </w:p>
    <w:p>
      <w:pPr>
        <w:ind w:firstLine="492"/>
        <w:rPr>
          <w:rFonts w:ascii="宋体" w:hAnsi="宋体"/>
          <w:bCs/>
          <w:caps/>
          <w:color w:val="auto"/>
          <w:highlight w:val="none"/>
        </w:rPr>
      </w:pPr>
    </w:p>
    <w:p>
      <w:pPr>
        <w:pStyle w:val="2"/>
        <w:ind w:firstLine="492"/>
        <w:rPr>
          <w:color w:val="auto"/>
          <w:highlight w:val="none"/>
        </w:rPr>
      </w:pPr>
    </w:p>
    <w:p>
      <w:pPr>
        <w:pStyle w:val="3"/>
        <w:rPr>
          <w:color w:val="auto"/>
          <w:highlight w:val="none"/>
        </w:rPr>
      </w:pPr>
      <w:bookmarkStart w:id="7" w:name="_Toc28231"/>
      <w:bookmarkStart w:id="8" w:name="_Toc5732"/>
      <w:bookmarkStart w:id="9" w:name="_Toc204575871"/>
      <w:bookmarkStart w:id="10" w:name="_Toc181591102"/>
      <w:bookmarkStart w:id="11" w:name="_Toc181610856"/>
      <w:bookmarkStart w:id="12" w:name="_Toc25445"/>
      <w:bookmarkStart w:id="13" w:name="_Toc3763"/>
      <w:r>
        <w:rPr>
          <w:rFonts w:hint="eastAsia"/>
          <w:color w:val="auto"/>
          <w:highlight w:val="none"/>
        </w:rPr>
        <w:t>投标邀请</w:t>
      </w:r>
      <w:bookmarkEnd w:id="7"/>
      <w:bookmarkEnd w:id="8"/>
      <w:bookmarkEnd w:id="9"/>
      <w:bookmarkEnd w:id="10"/>
      <w:bookmarkEnd w:id="11"/>
      <w:bookmarkEnd w:id="12"/>
      <w:bookmarkEnd w:id="13"/>
    </w:p>
    <w:p>
      <w:pPr>
        <w:ind w:firstLine="492"/>
        <w:rPr>
          <w:rFonts w:ascii="宋体" w:hAnsi="宋体"/>
          <w:color w:val="auto"/>
          <w:szCs w:val="24"/>
          <w:highlight w:val="none"/>
        </w:rPr>
      </w:pPr>
      <w:r>
        <w:rPr>
          <w:rFonts w:hint="eastAsia" w:ascii="宋体" w:hAnsi="宋体"/>
          <w:b/>
          <w:bCs/>
          <w:color w:val="auto"/>
          <w:szCs w:val="24"/>
          <w:highlight w:val="none"/>
        </w:rPr>
        <w:t>四川世科工程咨询有限公司</w:t>
      </w:r>
      <w:r>
        <w:rPr>
          <w:rFonts w:hint="eastAsia" w:ascii="宋体" w:hAnsi="宋体"/>
          <w:color w:val="auto"/>
          <w:szCs w:val="24"/>
          <w:highlight w:val="none"/>
        </w:rPr>
        <w:t>受</w:t>
      </w:r>
      <w:r>
        <w:rPr>
          <w:rFonts w:hint="eastAsia" w:ascii="宋体" w:hAnsi="宋体"/>
          <w:b/>
          <w:color w:val="auto"/>
          <w:szCs w:val="24"/>
          <w:highlight w:val="none"/>
          <w:lang w:eastAsia="zh-CN"/>
        </w:rPr>
        <w:t>成都市龙泉驿区城市绿地建设管理中心</w:t>
      </w:r>
      <w:r>
        <w:rPr>
          <w:rFonts w:hint="eastAsia" w:ascii="宋体" w:hAnsi="宋体"/>
          <w:color w:val="auto"/>
          <w:szCs w:val="24"/>
          <w:highlight w:val="none"/>
        </w:rPr>
        <w:t>委托，拟对</w:t>
      </w:r>
      <w:r>
        <w:rPr>
          <w:rFonts w:hint="eastAsia" w:ascii="宋体" w:hAnsi="宋体"/>
          <w:b/>
          <w:color w:val="auto"/>
          <w:szCs w:val="24"/>
          <w:highlight w:val="none"/>
          <w:lang w:eastAsia="zh-CN"/>
        </w:rPr>
        <w:t>成都市龙泉驿区城市绿地建设管理中心龙泉驿区道路景观绿化管护服务采购项目</w:t>
      </w:r>
      <w:r>
        <w:rPr>
          <w:rFonts w:hint="eastAsia" w:ascii="宋体" w:hAnsi="宋体"/>
          <w:color w:val="auto"/>
          <w:szCs w:val="24"/>
          <w:highlight w:val="none"/>
        </w:rPr>
        <w:t>进行国内公开招标，兹邀请符合本次招标要求的供应商参加投标。</w:t>
      </w:r>
    </w:p>
    <w:p>
      <w:pPr>
        <w:numPr>
          <w:ilvl w:val="0"/>
          <w:numId w:val="3"/>
        </w:numPr>
        <w:ind w:left="0" w:firstLine="494"/>
        <w:rPr>
          <w:rFonts w:ascii="宋体" w:hAnsi="宋体"/>
          <w:b/>
          <w:color w:val="auto"/>
          <w:szCs w:val="24"/>
          <w:highlight w:val="none"/>
        </w:rPr>
      </w:pPr>
      <w:r>
        <w:rPr>
          <w:rFonts w:hint="eastAsia" w:ascii="宋体" w:hAnsi="宋体"/>
          <w:b/>
          <w:color w:val="auto"/>
          <w:szCs w:val="24"/>
          <w:highlight w:val="none"/>
        </w:rPr>
        <w:t>招标编号：</w:t>
      </w:r>
      <w:r>
        <w:rPr>
          <w:rFonts w:hint="eastAsia" w:ascii="宋体" w:hAnsi="宋体"/>
          <w:b/>
          <w:color w:val="auto"/>
          <w:szCs w:val="24"/>
          <w:highlight w:val="none"/>
          <w:lang w:eastAsia="zh-CN"/>
        </w:rPr>
        <w:t>510112202100105</w:t>
      </w:r>
    </w:p>
    <w:p>
      <w:pPr>
        <w:numPr>
          <w:ilvl w:val="0"/>
          <w:numId w:val="3"/>
        </w:numPr>
        <w:ind w:left="0" w:firstLine="494"/>
        <w:rPr>
          <w:rFonts w:ascii="宋体" w:hAnsi="宋体"/>
          <w:b/>
          <w:color w:val="auto"/>
          <w:szCs w:val="24"/>
          <w:highlight w:val="none"/>
        </w:rPr>
      </w:pPr>
      <w:r>
        <w:rPr>
          <w:rFonts w:hint="eastAsia" w:ascii="宋体" w:hAnsi="宋体"/>
          <w:b/>
          <w:color w:val="auto"/>
          <w:szCs w:val="24"/>
          <w:highlight w:val="none"/>
        </w:rPr>
        <w:t>招标项目：</w:t>
      </w:r>
      <w:r>
        <w:rPr>
          <w:rFonts w:hint="eastAsia" w:ascii="宋体" w:hAnsi="宋体"/>
          <w:b/>
          <w:color w:val="auto"/>
          <w:szCs w:val="24"/>
          <w:highlight w:val="none"/>
          <w:lang w:eastAsia="zh-CN"/>
        </w:rPr>
        <w:t>成都市龙泉驿区城市绿地建设管理中心龙泉驿区道路景观绿化管护服务采购项目</w:t>
      </w:r>
      <w:bookmarkStart w:id="455" w:name="_GoBack"/>
      <w:bookmarkEnd w:id="455"/>
    </w:p>
    <w:p>
      <w:pPr>
        <w:numPr>
          <w:ilvl w:val="0"/>
          <w:numId w:val="3"/>
        </w:numPr>
        <w:ind w:left="0" w:firstLine="494"/>
        <w:rPr>
          <w:rFonts w:ascii="宋体" w:hAnsi="宋体"/>
          <w:b/>
          <w:color w:val="auto"/>
          <w:szCs w:val="24"/>
          <w:highlight w:val="none"/>
        </w:rPr>
      </w:pPr>
      <w:r>
        <w:rPr>
          <w:rFonts w:hint="eastAsia" w:ascii="宋体" w:hAnsi="宋体"/>
          <w:b/>
          <w:color w:val="auto"/>
          <w:szCs w:val="24"/>
          <w:highlight w:val="none"/>
        </w:rPr>
        <w:t>资金来源及预算金额：</w:t>
      </w:r>
      <w:r>
        <w:rPr>
          <w:rFonts w:hint="eastAsia" w:ascii="宋体" w:hAnsi="宋体"/>
          <w:color w:val="auto"/>
          <w:szCs w:val="24"/>
          <w:highlight w:val="none"/>
        </w:rPr>
        <w:t>财政性资金，预算品目：</w:t>
      </w:r>
      <w:r>
        <w:rPr>
          <w:rFonts w:hint="eastAsia" w:ascii="宋体" w:hAnsi="宋体"/>
          <w:color w:val="auto"/>
          <w:szCs w:val="24"/>
          <w:highlight w:val="none"/>
          <w:lang w:val="en-US" w:eastAsia="zh-CN"/>
        </w:rPr>
        <w:t xml:space="preserve">园林绿化管护服务 </w:t>
      </w:r>
      <w:r>
        <w:rPr>
          <w:rFonts w:hint="eastAsia" w:ascii="宋体" w:hAnsi="宋体"/>
          <w:color w:val="auto"/>
          <w:szCs w:val="24"/>
          <w:highlight w:val="none"/>
        </w:rPr>
        <w:t>，预算金额</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6337.76万元</w:t>
      </w:r>
      <w:r>
        <w:rPr>
          <w:rFonts w:hint="eastAsia" w:ascii="宋体" w:hAnsi="宋体"/>
          <w:b w:val="0"/>
          <w:bCs w:val="0"/>
          <w:color w:val="auto"/>
          <w:szCs w:val="24"/>
          <w:highlight w:val="none"/>
          <w:lang w:eastAsia="zh-CN"/>
        </w:rPr>
        <w:t>（</w:t>
      </w:r>
      <w:r>
        <w:rPr>
          <w:rFonts w:hint="eastAsia" w:ascii="宋体" w:hAnsi="宋体" w:cs="宋体"/>
          <w:b w:val="0"/>
          <w:bCs/>
          <w:color w:val="auto"/>
          <w:sz w:val="24"/>
          <w:szCs w:val="24"/>
          <w:highlight w:val="none"/>
          <w:lang w:val="en-US" w:eastAsia="zh-CN"/>
        </w:rPr>
        <w:t>其中包件1预算金额：1592.01万元；包件2预算金额：1423.33万元；包件3预算金额：1784.51万元；包件4预算金额：863.30万元；包件5预算金额：674.61万元）。</w:t>
      </w:r>
    </w:p>
    <w:p>
      <w:pPr>
        <w:numPr>
          <w:ilvl w:val="0"/>
          <w:numId w:val="3"/>
        </w:numPr>
        <w:ind w:left="0" w:firstLine="494"/>
        <w:rPr>
          <w:rFonts w:ascii="宋体" w:hAnsi="宋体"/>
          <w:b/>
          <w:color w:val="auto"/>
          <w:szCs w:val="24"/>
          <w:highlight w:val="none"/>
        </w:rPr>
      </w:pPr>
      <w:r>
        <w:rPr>
          <w:rFonts w:hint="eastAsia" w:ascii="宋体" w:hAnsi="宋体"/>
          <w:b/>
          <w:color w:val="auto"/>
          <w:szCs w:val="24"/>
          <w:highlight w:val="none"/>
        </w:rPr>
        <w:t>招标项目简介</w:t>
      </w:r>
    </w:p>
    <w:p>
      <w:pPr>
        <w:numPr>
          <w:ilvl w:val="0"/>
          <w:numId w:val="0"/>
        </w:numPr>
        <w:ind w:firstLine="490" w:firstLineChars="200"/>
        <w:rPr>
          <w:color w:val="auto"/>
          <w:highlight w:val="none"/>
        </w:rPr>
      </w:pPr>
      <w:r>
        <w:rPr>
          <w:rFonts w:hint="eastAsia" w:ascii="宋体" w:hAnsi="宋体"/>
          <w:color w:val="auto"/>
          <w:szCs w:val="24"/>
          <w:highlight w:val="none"/>
          <w:lang w:eastAsia="zh-CN"/>
        </w:rPr>
        <w:t>成都市龙泉驿区城市绿地建设管理中心龙泉驿区道路景观绿化管护服务采购项目。</w:t>
      </w:r>
      <w:r>
        <w:rPr>
          <w:rFonts w:hint="eastAsia" w:ascii="宋体" w:hAnsi="宋体"/>
          <w:color w:val="auto"/>
          <w:szCs w:val="24"/>
          <w:highlight w:val="none"/>
        </w:rPr>
        <w:t>详细的技术、商务及其他要求见第4章。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94"/>
        <w:textAlignment w:val="auto"/>
        <w:rPr>
          <w:rFonts w:ascii="宋体" w:hAnsi="宋体"/>
          <w:b/>
          <w:color w:val="auto"/>
          <w:szCs w:val="24"/>
          <w:highlight w:val="none"/>
        </w:rPr>
      </w:pPr>
      <w:r>
        <w:rPr>
          <w:rFonts w:hint="eastAsia" w:ascii="宋体" w:hAnsi="宋体"/>
          <w:b/>
          <w:color w:val="auto"/>
          <w:szCs w:val="24"/>
          <w:highlight w:val="none"/>
          <w:lang w:val="en-US" w:eastAsia="zh-CN"/>
        </w:rPr>
        <w:t>专门面向中小企业采购情况</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lang w:val="en-US"/>
        </w:rPr>
      </w:pPr>
      <w:r>
        <w:rPr>
          <w:rFonts w:hint="eastAsia" w:ascii="宋体" w:hAnsi="宋体"/>
          <w:b w:val="0"/>
          <w:bCs/>
          <w:color w:val="auto"/>
          <w:szCs w:val="24"/>
          <w:highlight w:val="none"/>
          <w:lang w:val="en-US" w:eastAsia="zh-CN"/>
        </w:rPr>
        <w:t>本项目非专门面向中小企业采购。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94"/>
        <w:textAlignment w:val="auto"/>
        <w:rPr>
          <w:rFonts w:ascii="宋体" w:hAnsi="宋体"/>
          <w:b/>
          <w:color w:val="auto"/>
          <w:szCs w:val="24"/>
          <w:highlight w:val="none"/>
        </w:rPr>
      </w:pPr>
      <w:r>
        <w:rPr>
          <w:rFonts w:hint="eastAsia" w:ascii="宋体" w:hAnsi="宋体"/>
          <w:b/>
          <w:color w:val="auto"/>
          <w:szCs w:val="24"/>
          <w:highlight w:val="none"/>
        </w:rPr>
        <w:t>各包供应商参加本次政府采购活动应具备的条件</w:t>
      </w:r>
    </w:p>
    <w:p>
      <w:pPr>
        <w:pStyle w:val="181"/>
        <w:keepNext w:val="0"/>
        <w:keepLines w:val="0"/>
        <w:pageBreakBefore w:val="0"/>
        <w:numPr>
          <w:ilvl w:val="1"/>
          <w:numId w:val="4"/>
        </w:numPr>
        <w:tabs>
          <w:tab w:val="left" w:pos="1260"/>
          <w:tab w:val="clear" w:pos="1130"/>
        </w:tabs>
        <w:kinsoku/>
        <w:wordWrap/>
        <w:overflowPunct/>
        <w:topLinePunct w:val="0"/>
        <w:bidi w:val="0"/>
        <w:snapToGrid/>
        <w:spacing w:line="360" w:lineRule="auto"/>
        <w:ind w:left="0" w:firstLine="63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具备《中华人民共和国政府采购法》第二十二条规定的条件：</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pPr>
        <w:pStyle w:val="181"/>
        <w:keepNext w:val="0"/>
        <w:keepLines w:val="0"/>
        <w:pageBreakBefore w:val="0"/>
        <w:tabs>
          <w:tab w:val="left" w:pos="1260"/>
        </w:tabs>
        <w:kinsoku/>
        <w:wordWrap/>
        <w:overflowPunct/>
        <w:topLinePunct w:val="0"/>
        <w:autoSpaceDE/>
        <w:autoSpaceDN/>
        <w:bidi w:val="0"/>
        <w:adjustRightInd/>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181"/>
        <w:keepNext w:val="0"/>
        <w:keepLines w:val="0"/>
        <w:pageBreakBefore w:val="0"/>
        <w:numPr>
          <w:ilvl w:val="1"/>
          <w:numId w:val="4"/>
        </w:numPr>
        <w:tabs>
          <w:tab w:val="left" w:pos="1260"/>
          <w:tab w:val="clear" w:pos="1130"/>
        </w:tabs>
        <w:kinsoku/>
        <w:wordWrap/>
        <w:overflowPunct/>
        <w:topLinePunct w:val="0"/>
        <w:autoSpaceDE/>
        <w:autoSpaceDN/>
        <w:bidi w:val="0"/>
        <w:adjustRightInd/>
        <w:snapToGrid/>
        <w:spacing w:line="360" w:lineRule="auto"/>
        <w:ind w:left="0" w:firstLine="63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根据本项目的特殊要求，供应商还须具备的其它特定条件：</w:t>
      </w:r>
    </w:p>
    <w:p>
      <w:pPr>
        <w:keepNext w:val="0"/>
        <w:keepLines w:val="0"/>
        <w:pageBreakBefore w:val="0"/>
        <w:numPr>
          <w:ilvl w:val="0"/>
          <w:numId w:val="5"/>
        </w:numPr>
        <w:shd w:val="clear" w:color="auto" w:fill="FFFFFF"/>
        <w:tabs>
          <w:tab w:val="left" w:pos="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未被列入经营异常名录；</w:t>
      </w:r>
    </w:p>
    <w:p>
      <w:pPr>
        <w:keepNext w:val="0"/>
        <w:keepLines w:val="0"/>
        <w:pageBreakBefore w:val="0"/>
        <w:numPr>
          <w:ilvl w:val="0"/>
          <w:numId w:val="5"/>
        </w:numPr>
        <w:shd w:val="clear" w:color="auto" w:fill="FFFFFF"/>
        <w:tabs>
          <w:tab w:val="left" w:pos="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未被列入失信被执行人、重大税收违法案件当事人名单、政府采购严重违法失信行为记录名单； </w:t>
      </w:r>
    </w:p>
    <w:p>
      <w:pPr>
        <w:keepNext w:val="0"/>
        <w:keepLines w:val="0"/>
        <w:pageBreakBefore w:val="0"/>
        <w:numPr>
          <w:ilvl w:val="0"/>
          <w:numId w:val="5"/>
        </w:numPr>
        <w:shd w:val="clear" w:color="auto" w:fill="FFFFFF"/>
        <w:tabs>
          <w:tab w:val="left" w:pos="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在行贿犯罪信息查询期限内，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及其现任法定代表人、主要负责人没有行贿犯罪记录； </w:t>
      </w:r>
    </w:p>
    <w:p>
      <w:pPr>
        <w:keepNext w:val="0"/>
        <w:keepLines w:val="0"/>
        <w:pageBreakBefore w:val="0"/>
        <w:numPr>
          <w:ilvl w:val="0"/>
          <w:numId w:val="5"/>
        </w:numPr>
        <w:shd w:val="clear" w:color="auto" w:fill="FFFFFF"/>
        <w:tabs>
          <w:tab w:val="left" w:pos="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不属于其他国家相关法律法规规定的禁止参加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 xml:space="preserve">的供应商； </w:t>
      </w:r>
    </w:p>
    <w:p>
      <w:pPr>
        <w:pStyle w:val="181"/>
        <w:keepNext w:val="0"/>
        <w:keepLines w:val="0"/>
        <w:pageBreakBefore w:val="0"/>
        <w:numPr>
          <w:ilvl w:val="0"/>
          <w:numId w:val="5"/>
        </w:numPr>
        <w:tabs>
          <w:tab w:val="left" w:pos="0"/>
          <w:tab w:val="left" w:pos="126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本项目</w:t>
      </w:r>
      <w:r>
        <w:rPr>
          <w:rFonts w:hint="eastAsia" w:ascii="宋体" w:hAnsi="宋体" w:eastAsia="宋体" w:cs="宋体"/>
          <w:color w:val="auto"/>
          <w:kern w:val="2"/>
          <w:sz w:val="24"/>
          <w:highlight w:val="none"/>
          <w:lang w:val="en-US" w:eastAsia="zh-CN"/>
        </w:rPr>
        <w:t>不</w:t>
      </w:r>
      <w:r>
        <w:rPr>
          <w:rFonts w:hint="eastAsia" w:ascii="宋体" w:hAnsi="宋体" w:eastAsia="宋体" w:cs="宋体"/>
          <w:color w:val="auto"/>
          <w:kern w:val="2"/>
          <w:sz w:val="24"/>
          <w:highlight w:val="none"/>
        </w:rPr>
        <w:t>接受联合体</w:t>
      </w:r>
      <w:r>
        <w:rPr>
          <w:rFonts w:hint="eastAsia" w:ascii="宋体" w:hAnsi="宋体" w:eastAsia="宋体" w:cs="宋体"/>
          <w:color w:val="auto"/>
          <w:kern w:val="2"/>
          <w:sz w:val="24"/>
          <w:highlight w:val="none"/>
          <w:lang w:val="en-US" w:eastAsia="zh-CN"/>
        </w:rPr>
        <w:t>投标</w:t>
      </w:r>
      <w:r>
        <w:rPr>
          <w:rFonts w:hint="eastAsia" w:ascii="宋体" w:hAnsi="宋体" w:eastAsia="宋体" w:cs="宋体"/>
          <w:color w:val="auto"/>
          <w:kern w:val="2"/>
          <w:sz w:val="24"/>
          <w:highlight w:val="none"/>
        </w:rPr>
        <w:t>。</w:t>
      </w:r>
    </w:p>
    <w:p>
      <w:pPr>
        <w:numPr>
          <w:ilvl w:val="0"/>
          <w:numId w:val="3"/>
        </w:numPr>
        <w:ind w:left="0" w:firstLine="494"/>
        <w:rPr>
          <w:rFonts w:ascii="宋体" w:hAnsi="宋体"/>
          <w:i/>
          <w:color w:val="auto"/>
          <w:szCs w:val="24"/>
          <w:highlight w:val="none"/>
        </w:rPr>
      </w:pPr>
      <w:r>
        <w:rPr>
          <w:rFonts w:hint="eastAsia" w:ascii="宋体" w:hAnsi="宋体"/>
          <w:b/>
          <w:color w:val="auto"/>
          <w:szCs w:val="24"/>
          <w:highlight w:val="none"/>
        </w:rPr>
        <w:t>招标文件</w:t>
      </w:r>
      <w:r>
        <w:rPr>
          <w:rFonts w:hint="eastAsia" w:ascii="宋体" w:hAnsi="宋体"/>
          <w:b/>
          <w:color w:val="auto"/>
          <w:szCs w:val="24"/>
          <w:highlight w:val="none"/>
          <w:lang w:eastAsia="zh-CN"/>
        </w:rPr>
        <w:t>获取</w:t>
      </w:r>
      <w:r>
        <w:rPr>
          <w:rFonts w:hint="eastAsia" w:ascii="宋体" w:hAnsi="宋体"/>
          <w:b/>
          <w:color w:val="auto"/>
          <w:szCs w:val="24"/>
          <w:highlight w:val="none"/>
        </w:rPr>
        <w:t>时间及地点</w:t>
      </w:r>
    </w:p>
    <w:p>
      <w:pPr>
        <w:spacing w:line="480" w:lineRule="exact"/>
        <w:ind w:firstLine="494"/>
        <w:rPr>
          <w:rFonts w:ascii="宋体" w:hAnsi="宋体"/>
          <w:color w:val="auto"/>
          <w:szCs w:val="24"/>
          <w:highlight w:val="none"/>
        </w:rPr>
      </w:pPr>
      <w:bookmarkStart w:id="14" w:name="_Toc186274101"/>
      <w:bookmarkStart w:id="15" w:name="_Toc180051012"/>
      <w:bookmarkStart w:id="16" w:name="_Toc174185149"/>
      <w:bookmarkStart w:id="17" w:name="_Toc184023104"/>
      <w:bookmarkStart w:id="18" w:name="_Toc184013605"/>
      <w:r>
        <w:rPr>
          <w:rFonts w:hint="eastAsia" w:ascii="宋体" w:hAnsi="宋体"/>
          <w:b/>
          <w:color w:val="auto"/>
          <w:szCs w:val="24"/>
          <w:highlight w:val="none"/>
        </w:rPr>
        <w:t>招标文件</w:t>
      </w:r>
      <w:r>
        <w:rPr>
          <w:rFonts w:hint="eastAsia" w:ascii="宋体" w:hAnsi="宋体"/>
          <w:b/>
          <w:color w:val="auto"/>
          <w:szCs w:val="24"/>
          <w:highlight w:val="none"/>
          <w:lang w:eastAsia="zh-CN"/>
        </w:rPr>
        <w:t>获取</w:t>
      </w:r>
      <w:r>
        <w:rPr>
          <w:rFonts w:hint="eastAsia" w:ascii="宋体" w:hAnsi="宋体"/>
          <w:b/>
          <w:color w:val="auto"/>
          <w:szCs w:val="24"/>
          <w:highlight w:val="none"/>
        </w:rPr>
        <w:t>时间：</w:t>
      </w:r>
      <w:r>
        <w:rPr>
          <w:rFonts w:hint="eastAsia" w:ascii="宋体" w:hAnsi="宋体"/>
          <w:color w:val="auto"/>
          <w:szCs w:val="24"/>
          <w:highlight w:val="none"/>
        </w:rPr>
        <w:t>202</w:t>
      </w:r>
      <w:r>
        <w:rPr>
          <w:rFonts w:hint="eastAsia" w:ascii="宋体" w:hAnsi="宋体"/>
          <w:color w:val="auto"/>
          <w:szCs w:val="24"/>
          <w:highlight w:val="none"/>
          <w:lang w:val="en-US" w:eastAsia="zh-CN"/>
        </w:rPr>
        <w:t>1</w:t>
      </w:r>
      <w:r>
        <w:rPr>
          <w:rFonts w:hint="eastAsia" w:ascii="宋体" w:hAnsi="宋体"/>
          <w:color w:val="auto"/>
          <w:szCs w:val="24"/>
          <w:highlight w:val="none"/>
        </w:rPr>
        <w:t>年</w:t>
      </w:r>
      <w:r>
        <w:rPr>
          <w:rFonts w:hint="eastAsia" w:ascii="宋体" w:hAnsi="宋体"/>
          <w:color w:val="auto"/>
          <w:szCs w:val="24"/>
          <w:highlight w:val="none"/>
          <w:lang w:val="en-US" w:eastAsia="zh-CN"/>
        </w:rPr>
        <w:t>6</w:t>
      </w:r>
      <w:r>
        <w:rPr>
          <w:rFonts w:hint="eastAsia" w:ascii="宋体" w:hAnsi="宋体"/>
          <w:color w:val="auto"/>
          <w:szCs w:val="24"/>
          <w:highlight w:val="none"/>
        </w:rPr>
        <w:t>月</w:t>
      </w:r>
      <w:r>
        <w:rPr>
          <w:rFonts w:hint="eastAsia" w:ascii="宋体" w:hAnsi="宋体"/>
          <w:color w:val="auto"/>
          <w:szCs w:val="24"/>
          <w:highlight w:val="none"/>
          <w:lang w:val="en-US" w:eastAsia="zh-CN"/>
        </w:rPr>
        <w:t>18</w:t>
      </w:r>
      <w:r>
        <w:rPr>
          <w:rFonts w:hint="eastAsia" w:ascii="宋体" w:hAnsi="宋体"/>
          <w:color w:val="auto"/>
          <w:szCs w:val="24"/>
          <w:highlight w:val="none"/>
        </w:rPr>
        <w:t>日至202</w:t>
      </w:r>
      <w:r>
        <w:rPr>
          <w:rFonts w:hint="eastAsia" w:ascii="宋体" w:hAnsi="宋体"/>
          <w:color w:val="auto"/>
          <w:szCs w:val="24"/>
          <w:highlight w:val="none"/>
          <w:lang w:val="en-US" w:eastAsia="zh-CN"/>
        </w:rPr>
        <w:t>1</w:t>
      </w:r>
      <w:r>
        <w:rPr>
          <w:rFonts w:hint="eastAsia" w:ascii="宋体" w:hAnsi="宋体"/>
          <w:color w:val="auto"/>
          <w:szCs w:val="24"/>
          <w:highlight w:val="none"/>
        </w:rPr>
        <w:t>年</w:t>
      </w:r>
      <w:r>
        <w:rPr>
          <w:rFonts w:hint="eastAsia" w:ascii="宋体" w:hAnsi="宋体"/>
          <w:color w:val="auto"/>
          <w:szCs w:val="24"/>
          <w:highlight w:val="none"/>
          <w:lang w:val="en-US" w:eastAsia="zh-CN"/>
        </w:rPr>
        <w:t>6</w:t>
      </w:r>
      <w:r>
        <w:rPr>
          <w:rFonts w:hint="eastAsia" w:ascii="宋体" w:hAnsi="宋体"/>
          <w:color w:val="auto"/>
          <w:szCs w:val="24"/>
          <w:highlight w:val="none"/>
        </w:rPr>
        <w:t>月</w:t>
      </w:r>
      <w:r>
        <w:rPr>
          <w:rFonts w:hint="eastAsia" w:ascii="宋体" w:hAnsi="宋体"/>
          <w:color w:val="auto"/>
          <w:szCs w:val="24"/>
          <w:highlight w:val="none"/>
          <w:lang w:val="en-US" w:eastAsia="zh-CN"/>
        </w:rPr>
        <w:t>24</w:t>
      </w:r>
      <w:r>
        <w:rPr>
          <w:rFonts w:hint="eastAsia" w:ascii="宋体" w:hAnsi="宋体"/>
          <w:color w:val="auto"/>
          <w:szCs w:val="24"/>
          <w:highlight w:val="none"/>
        </w:rPr>
        <w:t>日（北京时间，法定公休日、法定节假日除外，每日09：00时至17：00时）。</w:t>
      </w:r>
    </w:p>
    <w:p>
      <w:pPr>
        <w:spacing w:line="480" w:lineRule="exact"/>
        <w:ind w:firstLine="494"/>
        <w:rPr>
          <w:rFonts w:ascii="宋体" w:hAnsi="宋体"/>
          <w:color w:val="auto"/>
          <w:szCs w:val="24"/>
          <w:highlight w:val="none"/>
        </w:rPr>
      </w:pPr>
      <w:r>
        <w:rPr>
          <w:rFonts w:hint="eastAsia" w:ascii="宋体" w:hAnsi="宋体"/>
          <w:b/>
          <w:color w:val="auto"/>
          <w:szCs w:val="24"/>
          <w:highlight w:val="none"/>
        </w:rPr>
        <w:t>招标文件</w:t>
      </w:r>
      <w:r>
        <w:rPr>
          <w:rFonts w:hint="eastAsia" w:ascii="宋体" w:hAnsi="宋体"/>
          <w:b/>
          <w:color w:val="auto"/>
          <w:szCs w:val="24"/>
          <w:highlight w:val="none"/>
          <w:lang w:val="en-US" w:eastAsia="zh-CN"/>
        </w:rPr>
        <w:t>免费获取</w:t>
      </w:r>
      <w:r>
        <w:rPr>
          <w:rFonts w:hint="eastAsia" w:ascii="宋体" w:hAnsi="宋体"/>
          <w:color w:val="auto"/>
          <w:szCs w:val="24"/>
          <w:highlight w:val="none"/>
        </w:rPr>
        <w:t>（ 投标资格不能转让）。</w:t>
      </w:r>
    </w:p>
    <w:p>
      <w:pPr>
        <w:spacing w:line="480" w:lineRule="exact"/>
        <w:ind w:firstLine="494"/>
        <w:rPr>
          <w:rFonts w:ascii="宋体" w:hAnsi="宋体"/>
          <w:b/>
          <w:bCs/>
          <w:color w:val="auto"/>
          <w:szCs w:val="24"/>
          <w:highlight w:val="none"/>
        </w:rPr>
      </w:pPr>
      <w:r>
        <w:rPr>
          <w:rFonts w:hint="eastAsia" w:ascii="宋体" w:hAnsi="宋体"/>
          <w:b/>
          <w:bCs/>
          <w:color w:val="auto"/>
          <w:szCs w:val="24"/>
          <w:highlight w:val="none"/>
        </w:rPr>
        <w:t>招标文件</w:t>
      </w:r>
      <w:r>
        <w:rPr>
          <w:rFonts w:hint="eastAsia" w:ascii="宋体" w:hAnsi="宋体"/>
          <w:b/>
          <w:bCs/>
          <w:color w:val="auto"/>
          <w:szCs w:val="24"/>
          <w:highlight w:val="none"/>
          <w:lang w:eastAsia="zh-CN"/>
        </w:rPr>
        <w:t>获取</w:t>
      </w:r>
      <w:r>
        <w:rPr>
          <w:rFonts w:hint="eastAsia" w:ascii="宋体" w:hAnsi="宋体"/>
          <w:b/>
          <w:bCs/>
          <w:color w:val="auto"/>
          <w:szCs w:val="24"/>
          <w:highlight w:val="none"/>
        </w:rPr>
        <w:t>方式（两种</w:t>
      </w:r>
      <w:r>
        <w:rPr>
          <w:rFonts w:hint="eastAsia" w:ascii="宋体" w:hAnsi="宋体"/>
          <w:b/>
          <w:bCs/>
          <w:color w:val="auto"/>
          <w:szCs w:val="24"/>
          <w:highlight w:val="none"/>
          <w:lang w:eastAsia="zh-CN"/>
        </w:rPr>
        <w:t>获取</w:t>
      </w:r>
      <w:r>
        <w:rPr>
          <w:rFonts w:hint="eastAsia" w:ascii="宋体" w:hAnsi="宋体"/>
          <w:b/>
          <w:bCs/>
          <w:color w:val="auto"/>
          <w:szCs w:val="24"/>
          <w:highlight w:val="none"/>
        </w:rPr>
        <w:t>方式2选1）：</w:t>
      </w:r>
    </w:p>
    <w:p>
      <w:pPr>
        <w:numPr>
          <w:ilvl w:val="0"/>
          <w:numId w:val="6"/>
        </w:numPr>
        <w:spacing w:line="480" w:lineRule="exact"/>
        <w:ind w:firstLine="494"/>
        <w:rPr>
          <w:rFonts w:ascii="宋体" w:hAnsi="宋体"/>
          <w:b/>
          <w:bCs/>
          <w:color w:val="auto"/>
          <w:szCs w:val="24"/>
          <w:highlight w:val="none"/>
        </w:rPr>
      </w:pPr>
      <w:r>
        <w:rPr>
          <w:rFonts w:hint="eastAsia" w:ascii="宋体" w:hAnsi="宋体"/>
          <w:b/>
          <w:bCs/>
          <w:color w:val="auto"/>
          <w:szCs w:val="24"/>
          <w:highlight w:val="none"/>
        </w:rPr>
        <w:t>网上</w:t>
      </w:r>
      <w:r>
        <w:rPr>
          <w:rFonts w:hint="eastAsia" w:ascii="宋体" w:hAnsi="宋体"/>
          <w:b/>
          <w:bCs/>
          <w:color w:val="auto"/>
          <w:szCs w:val="24"/>
          <w:highlight w:val="none"/>
          <w:lang w:eastAsia="zh-CN"/>
        </w:rPr>
        <w:t>获取</w:t>
      </w:r>
      <w:r>
        <w:rPr>
          <w:rFonts w:hint="eastAsia" w:ascii="宋体" w:hAnsi="宋体"/>
          <w:b/>
          <w:bCs/>
          <w:color w:val="auto"/>
          <w:szCs w:val="24"/>
          <w:highlight w:val="none"/>
        </w:rPr>
        <w:t>。在本项目采购文件获取时间期内，在本公司官方网站www.scskgc.com在线</w:t>
      </w:r>
      <w:r>
        <w:rPr>
          <w:rFonts w:hint="eastAsia" w:ascii="宋体" w:hAnsi="宋体"/>
          <w:b/>
          <w:bCs/>
          <w:color w:val="auto"/>
          <w:szCs w:val="24"/>
          <w:highlight w:val="none"/>
          <w:lang w:eastAsia="zh-CN"/>
        </w:rPr>
        <w:t>获取</w:t>
      </w:r>
      <w:r>
        <w:rPr>
          <w:rFonts w:hint="eastAsia" w:ascii="宋体" w:hAnsi="宋体"/>
          <w:b/>
          <w:bCs/>
          <w:color w:val="auto"/>
          <w:szCs w:val="24"/>
          <w:highlight w:val="none"/>
        </w:rPr>
        <w:t>,具体</w:t>
      </w:r>
      <w:r>
        <w:rPr>
          <w:rFonts w:hint="eastAsia" w:ascii="宋体" w:hAnsi="宋体"/>
          <w:b/>
          <w:bCs/>
          <w:color w:val="auto"/>
          <w:szCs w:val="24"/>
          <w:highlight w:val="none"/>
          <w:lang w:eastAsia="zh-CN"/>
        </w:rPr>
        <w:t>获取</w:t>
      </w:r>
      <w:r>
        <w:rPr>
          <w:rFonts w:hint="eastAsia" w:ascii="宋体" w:hAnsi="宋体"/>
          <w:b/>
          <w:bCs/>
          <w:color w:val="auto"/>
          <w:szCs w:val="24"/>
          <w:highlight w:val="none"/>
        </w:rPr>
        <w:t>流程详请见网站的"供应商服务系统”，关于"供应商服务系统”的使用问题可以在www.scskgc.com下载操作手册。注册及网上报名咨询电话:028-61032618。</w:t>
      </w:r>
    </w:p>
    <w:p>
      <w:pPr>
        <w:ind w:firstLine="494"/>
        <w:rPr>
          <w:rFonts w:ascii="宋体" w:hAnsi="宋体"/>
          <w:b/>
          <w:bCs/>
          <w:color w:val="auto"/>
          <w:szCs w:val="24"/>
          <w:highlight w:val="none"/>
        </w:rPr>
      </w:pPr>
      <w:r>
        <w:rPr>
          <w:rFonts w:hint="eastAsia" w:ascii="宋体" w:hAnsi="宋体"/>
          <w:b/>
          <w:bCs/>
          <w:color w:val="auto"/>
          <w:szCs w:val="24"/>
          <w:highlight w:val="none"/>
        </w:rPr>
        <w:t>2、现场报名。在本项目招标文件获取时间期内，在成都市高新区天府三街288号大有智慧广场迈普大厦10楼1010室现场</w:t>
      </w:r>
      <w:r>
        <w:rPr>
          <w:rFonts w:hint="eastAsia" w:ascii="宋体" w:hAnsi="宋体"/>
          <w:b/>
          <w:bCs/>
          <w:color w:val="auto"/>
          <w:szCs w:val="24"/>
          <w:highlight w:val="none"/>
          <w:lang w:eastAsia="zh-CN"/>
        </w:rPr>
        <w:t>获取</w:t>
      </w:r>
      <w:r>
        <w:rPr>
          <w:rFonts w:hint="eastAsia" w:ascii="宋体" w:hAnsi="宋体"/>
          <w:b/>
          <w:bCs/>
          <w:color w:val="auto"/>
          <w:szCs w:val="24"/>
          <w:highlight w:val="none"/>
        </w:rPr>
        <w:t>。</w:t>
      </w:r>
      <w:r>
        <w:rPr>
          <w:rFonts w:hint="eastAsia" w:ascii="宋体" w:hAnsi="宋体"/>
          <w:b/>
          <w:bCs/>
          <w:color w:val="auto"/>
          <w:szCs w:val="24"/>
          <w:highlight w:val="none"/>
          <w:lang w:eastAsia="zh-CN"/>
        </w:rPr>
        <w:t>获取</w:t>
      </w:r>
      <w:r>
        <w:rPr>
          <w:rFonts w:hint="eastAsia" w:ascii="宋体" w:hAnsi="宋体"/>
          <w:b/>
          <w:bCs/>
          <w:color w:val="auto"/>
          <w:szCs w:val="24"/>
          <w:highlight w:val="none"/>
        </w:rPr>
        <w:t>招标文件时必须携带</w:t>
      </w:r>
      <w:r>
        <w:rPr>
          <w:rFonts w:hint="eastAsia" w:ascii="宋体" w:hAnsi="宋体"/>
          <w:color w:val="auto"/>
          <w:szCs w:val="24"/>
          <w:highlight w:val="none"/>
        </w:rPr>
        <w:t>：</w:t>
      </w:r>
      <w:r>
        <w:rPr>
          <w:rFonts w:hint="eastAsia" w:ascii="宋体" w:hAnsi="宋体"/>
          <w:b/>
          <w:bCs/>
          <w:color w:val="auto"/>
          <w:szCs w:val="24"/>
          <w:highlight w:val="none"/>
        </w:rPr>
        <w:t>1. 供应商为法人或者其他组织的提供加盖单位公章的介绍信原件和加盖单位公章的被介绍人身份证复印件（需注明项目名称及项目编号）；2.供应商为自然人的，只需提供本人身份证复印件。</w:t>
      </w:r>
    </w:p>
    <w:p>
      <w:pPr>
        <w:numPr>
          <w:ilvl w:val="0"/>
          <w:numId w:val="3"/>
        </w:numPr>
        <w:ind w:left="0" w:firstLine="494"/>
        <w:rPr>
          <w:rFonts w:ascii="宋体" w:hAnsi="宋体"/>
          <w:b/>
          <w:color w:val="auto"/>
          <w:szCs w:val="24"/>
          <w:highlight w:val="none"/>
        </w:rPr>
      </w:pPr>
      <w:r>
        <w:rPr>
          <w:rFonts w:hint="eastAsia" w:ascii="宋体" w:hAnsi="宋体"/>
          <w:b/>
          <w:color w:val="auto"/>
          <w:szCs w:val="24"/>
          <w:highlight w:val="none"/>
        </w:rPr>
        <w:t>投标截止时间及开标时间</w:t>
      </w:r>
      <w:bookmarkEnd w:id="14"/>
      <w:bookmarkEnd w:id="15"/>
      <w:bookmarkEnd w:id="16"/>
      <w:bookmarkEnd w:id="17"/>
      <w:bookmarkEnd w:id="18"/>
      <w:r>
        <w:rPr>
          <w:rFonts w:hint="eastAsia" w:ascii="宋体" w:hAnsi="宋体"/>
          <w:b/>
          <w:color w:val="auto"/>
          <w:szCs w:val="24"/>
          <w:highlight w:val="none"/>
        </w:rPr>
        <w:t>(北京时间)</w:t>
      </w:r>
    </w:p>
    <w:p>
      <w:pPr>
        <w:numPr>
          <w:ilvl w:val="0"/>
          <w:numId w:val="7"/>
        </w:numPr>
        <w:snapToGrid w:val="0"/>
        <w:ind w:left="0" w:firstLine="492"/>
        <w:rPr>
          <w:rFonts w:ascii="宋体" w:hAnsi="宋体"/>
          <w:color w:val="auto"/>
          <w:szCs w:val="24"/>
          <w:highlight w:val="none"/>
        </w:rPr>
      </w:pPr>
      <w:r>
        <w:rPr>
          <w:rFonts w:hint="eastAsia" w:ascii="宋体" w:hAnsi="宋体"/>
          <w:color w:val="auto"/>
          <w:szCs w:val="24"/>
          <w:highlight w:val="none"/>
        </w:rPr>
        <w:t>投标截止时间及开标时间：</w:t>
      </w:r>
      <w:r>
        <w:rPr>
          <w:rFonts w:hint="eastAsia" w:ascii="宋体" w:hAnsi="宋体"/>
          <w:b/>
          <w:color w:val="auto"/>
          <w:szCs w:val="24"/>
          <w:highlight w:val="none"/>
        </w:rPr>
        <w:t>202</w:t>
      </w:r>
      <w:r>
        <w:rPr>
          <w:rFonts w:hint="eastAsia" w:ascii="宋体" w:hAnsi="宋体"/>
          <w:b/>
          <w:color w:val="auto"/>
          <w:szCs w:val="24"/>
          <w:highlight w:val="none"/>
          <w:lang w:val="en-US" w:eastAsia="zh-CN"/>
        </w:rPr>
        <w:t>1</w:t>
      </w:r>
      <w:r>
        <w:rPr>
          <w:rFonts w:hint="eastAsia" w:ascii="宋体" w:hAnsi="宋体"/>
          <w:b/>
          <w:color w:val="auto"/>
          <w:szCs w:val="24"/>
          <w:highlight w:val="none"/>
        </w:rPr>
        <w:t>年</w:t>
      </w:r>
      <w:r>
        <w:rPr>
          <w:rFonts w:hint="eastAsia" w:ascii="宋体" w:hAnsi="宋体"/>
          <w:b/>
          <w:color w:val="auto"/>
          <w:szCs w:val="24"/>
          <w:highlight w:val="none"/>
          <w:lang w:val="en-US" w:eastAsia="zh-CN"/>
        </w:rPr>
        <w:t>7</w:t>
      </w:r>
      <w:r>
        <w:rPr>
          <w:rFonts w:hint="eastAsia" w:ascii="宋体" w:hAnsi="宋体"/>
          <w:b/>
          <w:color w:val="auto"/>
          <w:szCs w:val="24"/>
          <w:highlight w:val="none"/>
        </w:rPr>
        <w:t>月</w:t>
      </w:r>
      <w:r>
        <w:rPr>
          <w:rFonts w:hint="eastAsia" w:ascii="宋体" w:hAnsi="宋体"/>
          <w:b/>
          <w:color w:val="auto"/>
          <w:szCs w:val="24"/>
          <w:highlight w:val="none"/>
          <w:lang w:val="en-US" w:eastAsia="zh-CN"/>
        </w:rPr>
        <w:t>8</w:t>
      </w:r>
      <w:r>
        <w:rPr>
          <w:rFonts w:hint="eastAsia" w:ascii="宋体" w:hAnsi="宋体"/>
          <w:b/>
          <w:color w:val="auto"/>
          <w:szCs w:val="24"/>
          <w:highlight w:val="none"/>
        </w:rPr>
        <w:t>日上午10:30。</w:t>
      </w:r>
    </w:p>
    <w:p>
      <w:pPr>
        <w:numPr>
          <w:ilvl w:val="0"/>
          <w:numId w:val="7"/>
        </w:numPr>
        <w:snapToGrid w:val="0"/>
        <w:ind w:left="0" w:firstLine="492"/>
        <w:rPr>
          <w:rFonts w:ascii="宋体" w:hAnsi="宋体"/>
          <w:color w:val="auto"/>
          <w:szCs w:val="24"/>
          <w:highlight w:val="none"/>
        </w:rPr>
      </w:pPr>
      <w:r>
        <w:rPr>
          <w:rFonts w:hint="eastAsia" w:ascii="宋体" w:hAnsi="宋体"/>
          <w:color w:val="auto"/>
          <w:szCs w:val="24"/>
          <w:highlight w:val="none"/>
        </w:rPr>
        <w:t>投标文件应在开标当日投标截止时间前送达开标地点。逾期送达的投标文件不予接收。本次招标不接受以电子邮件、传真及邮寄方式递交的投标文件。</w:t>
      </w:r>
    </w:p>
    <w:p>
      <w:pPr>
        <w:numPr>
          <w:ilvl w:val="0"/>
          <w:numId w:val="3"/>
        </w:numPr>
        <w:ind w:left="0" w:firstLine="494"/>
        <w:rPr>
          <w:rFonts w:ascii="宋体" w:hAnsi="宋体"/>
          <w:b/>
          <w:color w:val="auto"/>
          <w:szCs w:val="24"/>
          <w:highlight w:val="none"/>
        </w:rPr>
      </w:pPr>
      <w:r>
        <w:rPr>
          <w:rFonts w:hint="eastAsia" w:ascii="宋体" w:hAnsi="宋体"/>
          <w:b/>
          <w:color w:val="auto"/>
          <w:szCs w:val="24"/>
          <w:highlight w:val="none"/>
        </w:rPr>
        <w:t>投标文件递交地点及开标地点</w:t>
      </w:r>
    </w:p>
    <w:p>
      <w:pPr>
        <w:snapToGrid w:val="0"/>
        <w:ind w:firstLine="492"/>
        <w:rPr>
          <w:rFonts w:ascii="宋体" w:hAnsi="宋体"/>
          <w:color w:val="auto"/>
          <w:szCs w:val="24"/>
          <w:highlight w:val="none"/>
        </w:rPr>
      </w:pPr>
      <w:r>
        <w:rPr>
          <w:rFonts w:hint="eastAsia" w:ascii="宋体" w:hAnsi="宋体"/>
          <w:color w:val="auto"/>
          <w:szCs w:val="24"/>
          <w:highlight w:val="none"/>
        </w:rPr>
        <w:t>成都市高新区天府三街288号大有智慧广场迈普大厦10楼1010室本项目开标室。</w:t>
      </w:r>
    </w:p>
    <w:p>
      <w:pPr>
        <w:numPr>
          <w:ilvl w:val="0"/>
          <w:numId w:val="3"/>
        </w:numPr>
        <w:ind w:left="0" w:firstLine="494"/>
        <w:rPr>
          <w:rFonts w:ascii="宋体" w:hAnsi="宋体"/>
          <w:b/>
          <w:color w:val="auto"/>
          <w:szCs w:val="24"/>
          <w:highlight w:val="none"/>
        </w:rPr>
      </w:pPr>
      <w:r>
        <w:rPr>
          <w:rFonts w:hint="eastAsia" w:ascii="宋体" w:hAnsi="宋体"/>
          <w:b/>
          <w:color w:val="auto"/>
          <w:szCs w:val="24"/>
          <w:highlight w:val="none"/>
        </w:rPr>
        <w:t>本投标邀请在“四川政府采购网”上以公告形式发布</w:t>
      </w:r>
    </w:p>
    <w:p>
      <w:pPr>
        <w:numPr>
          <w:ilvl w:val="0"/>
          <w:numId w:val="3"/>
        </w:numPr>
        <w:ind w:left="0" w:firstLine="494"/>
        <w:rPr>
          <w:rFonts w:ascii="宋体" w:hAnsi="宋体"/>
          <w:b/>
          <w:color w:val="auto"/>
          <w:szCs w:val="24"/>
          <w:highlight w:val="none"/>
        </w:rPr>
      </w:pPr>
      <w:r>
        <w:rPr>
          <w:rFonts w:hint="eastAsia" w:ascii="宋体" w:hAnsi="宋体"/>
          <w:b/>
          <w:color w:val="auto"/>
          <w:szCs w:val="24"/>
          <w:highlight w:val="none"/>
        </w:rPr>
        <w:t>联系方式</w:t>
      </w:r>
    </w:p>
    <w:p>
      <w:pPr>
        <w:pStyle w:val="181"/>
        <w:ind w:firstLine="492"/>
        <w:rPr>
          <w:rFonts w:hint="eastAsia" w:ascii="宋体" w:hAnsi="宋体" w:eastAsia="宋体"/>
          <w:bCs/>
          <w:color w:val="auto"/>
          <w:highlight w:val="none"/>
          <w:lang w:eastAsia="zh-CN"/>
        </w:rPr>
      </w:pPr>
      <w:r>
        <w:rPr>
          <w:rFonts w:hint="eastAsia" w:ascii="宋体" w:hAnsi="宋体"/>
          <w:bCs/>
          <w:color w:val="auto"/>
          <w:kern w:val="0"/>
          <w:highlight w:val="none"/>
        </w:rPr>
        <w:t>采购人：</w:t>
      </w:r>
      <w:r>
        <w:rPr>
          <w:rFonts w:hint="eastAsia" w:ascii="宋体" w:hAnsi="宋体"/>
          <w:bCs/>
          <w:color w:val="auto"/>
          <w:highlight w:val="none"/>
          <w:lang w:eastAsia="zh-CN"/>
        </w:rPr>
        <w:t>成都市龙泉驿区城市绿地建设管理中心</w:t>
      </w:r>
    </w:p>
    <w:p>
      <w:pPr>
        <w:pStyle w:val="181"/>
        <w:ind w:firstLine="492"/>
        <w:rPr>
          <w:rFonts w:hint="eastAsia" w:ascii="宋体" w:hAnsi="宋体"/>
          <w:color w:val="auto"/>
          <w:kern w:val="0"/>
          <w:highlight w:val="none"/>
        </w:rPr>
      </w:pPr>
      <w:r>
        <w:rPr>
          <w:rFonts w:hint="eastAsia" w:ascii="宋体" w:hAnsi="宋体"/>
          <w:color w:val="auto"/>
          <w:kern w:val="0"/>
          <w:highlight w:val="none"/>
        </w:rPr>
        <w:t>地    址：龙泉驿区龙泉街道怡和新城E3区20栋</w:t>
      </w:r>
    </w:p>
    <w:p>
      <w:pPr>
        <w:pStyle w:val="181"/>
        <w:ind w:firstLine="492"/>
        <w:rPr>
          <w:rFonts w:hint="eastAsia" w:ascii="宋体" w:hAnsi="宋体"/>
          <w:color w:val="auto"/>
          <w:kern w:val="0"/>
          <w:highlight w:val="none"/>
        </w:rPr>
      </w:pPr>
      <w:r>
        <w:rPr>
          <w:rFonts w:hint="eastAsia" w:ascii="宋体" w:hAnsi="宋体"/>
          <w:color w:val="auto"/>
          <w:kern w:val="0"/>
          <w:highlight w:val="none"/>
        </w:rPr>
        <w:t>联 系 人：何老师</w:t>
      </w:r>
    </w:p>
    <w:p>
      <w:pPr>
        <w:pStyle w:val="181"/>
        <w:ind w:firstLine="492"/>
        <w:rPr>
          <w:rFonts w:hint="eastAsia" w:ascii="宋体" w:hAnsi="宋体"/>
          <w:color w:val="auto"/>
          <w:kern w:val="0"/>
          <w:highlight w:val="none"/>
        </w:rPr>
      </w:pPr>
      <w:r>
        <w:rPr>
          <w:rFonts w:hint="eastAsia" w:ascii="宋体" w:hAnsi="宋体"/>
          <w:color w:val="auto"/>
          <w:kern w:val="0"/>
          <w:highlight w:val="none"/>
        </w:rPr>
        <w:t>联系电话：028-84852594</w:t>
      </w:r>
    </w:p>
    <w:p>
      <w:pPr>
        <w:pStyle w:val="181"/>
        <w:ind w:firstLine="492"/>
        <w:rPr>
          <w:rFonts w:ascii="宋体" w:hAnsi="宋体"/>
          <w:color w:val="auto"/>
          <w:kern w:val="0"/>
          <w:highlight w:val="none"/>
        </w:rPr>
      </w:pPr>
      <w:r>
        <w:rPr>
          <w:rFonts w:hint="eastAsia" w:ascii="宋体" w:hAnsi="宋体"/>
          <w:color w:val="auto"/>
          <w:kern w:val="0"/>
          <w:highlight w:val="none"/>
        </w:rPr>
        <w:t xml:space="preserve">采购代理机构：四川世科工程咨询有限公司 </w:t>
      </w:r>
    </w:p>
    <w:p>
      <w:pPr>
        <w:pStyle w:val="181"/>
        <w:ind w:firstLine="492"/>
        <w:rPr>
          <w:rFonts w:ascii="宋体" w:hAnsi="宋体"/>
          <w:color w:val="auto"/>
          <w:kern w:val="0"/>
          <w:highlight w:val="none"/>
        </w:rPr>
      </w:pPr>
      <w:r>
        <w:rPr>
          <w:rFonts w:hint="eastAsia" w:ascii="宋体" w:hAnsi="宋体"/>
          <w:color w:val="auto"/>
          <w:kern w:val="0"/>
          <w:highlight w:val="none"/>
        </w:rPr>
        <w:t>地    址：成都市高新区天府三街288号大有智慧广场迈普大厦10楼1010室</w:t>
      </w:r>
    </w:p>
    <w:p>
      <w:pPr>
        <w:pStyle w:val="181"/>
        <w:ind w:firstLine="492"/>
        <w:rPr>
          <w:rFonts w:ascii="宋体" w:hAnsi="宋体"/>
          <w:color w:val="auto"/>
          <w:kern w:val="0"/>
          <w:highlight w:val="none"/>
        </w:rPr>
      </w:pPr>
      <w:r>
        <w:rPr>
          <w:rFonts w:hint="eastAsia" w:ascii="宋体" w:hAnsi="宋体"/>
          <w:color w:val="auto"/>
          <w:kern w:val="0"/>
          <w:highlight w:val="none"/>
        </w:rPr>
        <w:t>联 系 人：高老师</w:t>
      </w:r>
    </w:p>
    <w:p>
      <w:pPr>
        <w:pStyle w:val="181"/>
        <w:ind w:firstLine="492"/>
        <w:rPr>
          <w:rFonts w:ascii="宋体" w:hAnsi="宋体"/>
          <w:color w:val="auto"/>
          <w:kern w:val="0"/>
          <w:highlight w:val="none"/>
        </w:rPr>
      </w:pPr>
      <w:r>
        <w:rPr>
          <w:rFonts w:hint="eastAsia" w:ascii="宋体" w:hAnsi="宋体"/>
          <w:color w:val="auto"/>
          <w:kern w:val="0"/>
          <w:highlight w:val="none"/>
        </w:rPr>
        <w:t xml:space="preserve">联系电话：028-61032618转8005 </w:t>
      </w:r>
    </w:p>
    <w:p>
      <w:pPr>
        <w:pStyle w:val="181"/>
        <w:ind w:firstLine="492"/>
        <w:rPr>
          <w:rFonts w:ascii="宋体" w:hAnsi="宋体"/>
          <w:color w:val="auto"/>
          <w:kern w:val="0"/>
          <w:highlight w:val="none"/>
        </w:rPr>
      </w:pPr>
      <w:r>
        <w:rPr>
          <w:rFonts w:hint="eastAsia" w:ascii="宋体" w:hAnsi="宋体"/>
          <w:color w:val="auto"/>
          <w:kern w:val="0"/>
          <w:highlight w:val="none"/>
        </w:rPr>
        <w:t>传    真：028-61032618</w:t>
      </w: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181"/>
        <w:spacing w:line="460" w:lineRule="exact"/>
        <w:ind w:firstLine="575" w:firstLineChars="202"/>
        <w:rPr>
          <w:rFonts w:ascii="宋体" w:hAnsi="宋体"/>
          <w:color w:val="auto"/>
          <w:kern w:val="0"/>
          <w:sz w:val="28"/>
          <w:szCs w:val="22"/>
          <w:highlight w:val="none"/>
        </w:rPr>
      </w:pPr>
    </w:p>
    <w:p>
      <w:pPr>
        <w:pStyle w:val="3"/>
        <w:rPr>
          <w:color w:val="auto"/>
          <w:highlight w:val="none"/>
        </w:rPr>
      </w:pPr>
      <w:bookmarkStart w:id="19" w:name="_Toc7228"/>
      <w:bookmarkStart w:id="20" w:name="_Toc23511"/>
      <w:bookmarkStart w:id="21" w:name="_Toc32385"/>
      <w:bookmarkStart w:id="22" w:name="_Toc19869"/>
      <w:r>
        <w:rPr>
          <w:rFonts w:hint="eastAsia"/>
          <w:color w:val="auto"/>
          <w:highlight w:val="none"/>
        </w:rPr>
        <w:t>投标人须知</w:t>
      </w:r>
      <w:bookmarkEnd w:id="19"/>
      <w:bookmarkEnd w:id="20"/>
      <w:bookmarkEnd w:id="21"/>
      <w:bookmarkEnd w:id="22"/>
    </w:p>
    <w:p>
      <w:pPr>
        <w:pStyle w:val="4"/>
        <w:rPr>
          <w:color w:val="auto"/>
          <w:highlight w:val="none"/>
        </w:rPr>
      </w:pPr>
      <w:bookmarkStart w:id="23" w:name="_Toc189727030"/>
      <w:bookmarkStart w:id="24" w:name="_Toc213396946"/>
      <w:bookmarkStart w:id="25" w:name="_Toc316462344"/>
      <w:bookmarkStart w:id="26" w:name="_Toc26018"/>
      <w:bookmarkStart w:id="27" w:name="_Toc213496268"/>
      <w:bookmarkStart w:id="28" w:name="_Toc31420"/>
      <w:bookmarkStart w:id="29" w:name="_Toc993"/>
      <w:bookmarkStart w:id="30" w:name="_Toc10412"/>
      <w:bookmarkStart w:id="31" w:name="_Toc217446032"/>
      <w:bookmarkStart w:id="32" w:name="_Toc213396760"/>
      <w:bookmarkStart w:id="33" w:name="_Toc213397010"/>
      <w:r>
        <w:rPr>
          <w:rFonts w:hint="eastAsia"/>
          <w:color w:val="auto"/>
          <w:highlight w:val="none"/>
        </w:rPr>
        <w:t>投标人须知附表</w:t>
      </w:r>
      <w:bookmarkEnd w:id="23"/>
      <w:bookmarkEnd w:id="24"/>
      <w:bookmarkEnd w:id="25"/>
      <w:bookmarkEnd w:id="26"/>
      <w:bookmarkEnd w:id="27"/>
      <w:bookmarkEnd w:id="28"/>
      <w:bookmarkEnd w:id="29"/>
      <w:bookmarkEnd w:id="30"/>
      <w:bookmarkEnd w:id="31"/>
      <w:bookmarkEnd w:id="32"/>
      <w:bookmarkEnd w:id="33"/>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630"/>
        <w:gridCol w:w="699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6" w:hRule="exact"/>
          <w:jc w:val="center"/>
        </w:trPr>
        <w:tc>
          <w:tcPr>
            <w:tcW w:w="884" w:type="dxa"/>
            <w:shd w:val="clear" w:color="auto" w:fill="auto"/>
            <w:vAlign w:val="center"/>
          </w:tcPr>
          <w:p>
            <w:pPr>
              <w:snapToGrid w:val="0"/>
              <w:ind w:firstLine="0" w:firstLineChars="0"/>
              <w:jc w:val="center"/>
              <w:rPr>
                <w:rFonts w:ascii="宋体" w:hAnsi="宋体" w:cs="宋体"/>
                <w:b/>
                <w:color w:val="auto"/>
                <w:szCs w:val="24"/>
                <w:highlight w:val="none"/>
              </w:rPr>
            </w:pPr>
            <w:r>
              <w:rPr>
                <w:rFonts w:hint="eastAsia" w:ascii="宋体" w:hAnsi="宋体" w:cs="宋体"/>
                <w:b/>
                <w:color w:val="auto"/>
                <w:szCs w:val="24"/>
                <w:highlight w:val="none"/>
                <w:lang w:val="zh-CN"/>
              </w:rPr>
              <w:t>序号</w:t>
            </w:r>
          </w:p>
        </w:tc>
        <w:tc>
          <w:tcPr>
            <w:tcW w:w="1630" w:type="dxa"/>
            <w:shd w:val="clear" w:color="auto" w:fill="auto"/>
            <w:vAlign w:val="center"/>
          </w:tcPr>
          <w:p>
            <w:pPr>
              <w:pStyle w:val="152"/>
              <w:spacing w:line="360" w:lineRule="auto"/>
              <w:jc w:val="center"/>
              <w:rPr>
                <w:b/>
                <w:color w:val="auto"/>
                <w:highlight w:val="none"/>
                <w:lang w:val="zh-CN"/>
              </w:rPr>
            </w:pPr>
            <w:r>
              <w:rPr>
                <w:rFonts w:hint="eastAsia"/>
                <w:b/>
                <w:color w:val="auto"/>
                <w:highlight w:val="none"/>
                <w:lang w:val="zh-CN"/>
              </w:rPr>
              <w:t>应知事项</w:t>
            </w:r>
          </w:p>
        </w:tc>
        <w:tc>
          <w:tcPr>
            <w:tcW w:w="6992" w:type="dxa"/>
            <w:shd w:val="clear" w:color="auto" w:fill="auto"/>
            <w:vAlign w:val="center"/>
          </w:tcPr>
          <w:p>
            <w:pPr>
              <w:pStyle w:val="152"/>
              <w:spacing w:line="360" w:lineRule="auto"/>
              <w:jc w:val="center"/>
              <w:rPr>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exact"/>
          <w:jc w:val="center"/>
        </w:trPr>
        <w:tc>
          <w:tcPr>
            <w:tcW w:w="884" w:type="dxa"/>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shd w:val="clear" w:color="auto" w:fill="auto"/>
            <w:vAlign w:val="center"/>
          </w:tcPr>
          <w:p>
            <w:pPr>
              <w:ind w:firstLine="0" w:firstLineChars="0"/>
              <w:rPr>
                <w:rFonts w:ascii="宋体" w:hAnsi="宋体" w:cs="宋体"/>
                <w:color w:val="auto"/>
                <w:sz w:val="20"/>
                <w:szCs w:val="20"/>
                <w:highlight w:val="none"/>
                <w:lang w:val="zh-CN"/>
              </w:rPr>
            </w:pPr>
            <w:r>
              <w:rPr>
                <w:rFonts w:hint="eastAsia" w:ascii="宋体" w:hAnsi="宋体" w:cs="宋体"/>
                <w:color w:val="auto"/>
                <w:sz w:val="20"/>
                <w:szCs w:val="20"/>
                <w:highlight w:val="none"/>
              </w:rPr>
              <w:t>采购预算（实质性要求）</w:t>
            </w:r>
          </w:p>
        </w:tc>
        <w:tc>
          <w:tcPr>
            <w:tcW w:w="6992" w:type="dxa"/>
            <w:shd w:val="clear" w:color="auto" w:fill="auto"/>
            <w:vAlign w:val="center"/>
          </w:tcPr>
          <w:p>
            <w:pPr>
              <w:ind w:firstLine="0" w:firstLineChars="0"/>
              <w:rPr>
                <w:rFonts w:ascii="宋体" w:hAnsi="宋体" w:cs="宋体"/>
                <w:b/>
                <w:color w:val="auto"/>
                <w:sz w:val="20"/>
                <w:szCs w:val="20"/>
                <w:highlight w:val="none"/>
                <w:lang w:val="zh-CN"/>
              </w:rPr>
            </w:pPr>
            <w:r>
              <w:rPr>
                <w:rFonts w:hint="eastAsia" w:ascii="宋体" w:hAnsi="宋体" w:eastAsia="宋体" w:cs="宋体"/>
                <w:color w:val="auto"/>
                <w:kern w:val="0"/>
                <w:sz w:val="22"/>
                <w:szCs w:val="22"/>
                <w:highlight w:val="none"/>
                <w:lang w:val="en-US" w:eastAsia="zh-CN" w:bidi="ar-SA"/>
              </w:rPr>
              <w:t>本项目预算</w:t>
            </w:r>
            <w:r>
              <w:rPr>
                <w:rFonts w:hint="eastAsia" w:ascii="宋体" w:hAnsi="宋体" w:cs="宋体"/>
                <w:color w:val="auto"/>
                <w:kern w:val="0"/>
                <w:sz w:val="22"/>
                <w:szCs w:val="22"/>
                <w:highlight w:val="none"/>
                <w:lang w:val="en-US" w:eastAsia="zh-CN" w:bidi="ar-SA"/>
              </w:rPr>
              <w:t>金额</w:t>
            </w:r>
            <w:r>
              <w:rPr>
                <w:rFonts w:hint="eastAsia" w:ascii="宋体" w:hAnsi="宋体" w:eastAsia="宋体" w:cs="宋体"/>
                <w:color w:val="auto"/>
                <w:kern w:val="0"/>
                <w:sz w:val="22"/>
                <w:szCs w:val="22"/>
                <w:highlight w:val="none"/>
                <w:lang w:val="en-US" w:eastAsia="zh-CN" w:bidi="ar-SA"/>
              </w:rPr>
              <w:t>为：</w:t>
            </w:r>
            <w:r>
              <w:rPr>
                <w:rFonts w:hint="eastAsia" w:ascii="宋体" w:hAnsi="宋体"/>
                <w:color w:val="auto"/>
                <w:sz w:val="22"/>
                <w:szCs w:val="22"/>
                <w:highlight w:val="none"/>
                <w:lang w:val="en-US" w:eastAsia="zh-CN"/>
              </w:rPr>
              <w:t>6337.76万元</w:t>
            </w:r>
            <w:r>
              <w:rPr>
                <w:rFonts w:hint="eastAsia" w:ascii="宋体" w:hAnsi="宋体"/>
                <w:b w:val="0"/>
                <w:bCs w:val="0"/>
                <w:color w:val="auto"/>
                <w:sz w:val="22"/>
                <w:szCs w:val="22"/>
                <w:highlight w:val="none"/>
                <w:lang w:eastAsia="zh-CN"/>
              </w:rPr>
              <w:t>（</w:t>
            </w:r>
            <w:r>
              <w:rPr>
                <w:rFonts w:hint="eastAsia" w:ascii="宋体" w:hAnsi="宋体" w:cs="宋体"/>
                <w:b w:val="0"/>
                <w:bCs/>
                <w:color w:val="auto"/>
                <w:sz w:val="22"/>
                <w:szCs w:val="22"/>
                <w:highlight w:val="none"/>
                <w:lang w:val="en-US" w:eastAsia="zh-CN"/>
              </w:rPr>
              <w:t>其中包件1预算金额：1592.01万元；包件2预算金额：1423.33万元；包件3预算金额：1784.51万元；包件4预算金额：863.30万元；包件5预算金额：674.61万元）</w:t>
            </w:r>
            <w:r>
              <w:rPr>
                <w:rFonts w:hint="eastAsia" w:ascii="宋体" w:hAnsi="宋体" w:eastAsia="宋体" w:cs="宋体"/>
                <w:color w:val="auto"/>
                <w:kern w:val="0"/>
                <w:sz w:val="22"/>
                <w:szCs w:val="22"/>
                <w:highlight w:val="none"/>
                <w:lang w:val="en-US" w:eastAsia="zh-CN" w:bidi="ar-SA"/>
              </w:rPr>
              <w:t>，各包报价超过该包件采购预算的，该包件投标为无效投标。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0" w:hRule="exact"/>
          <w:jc w:val="center"/>
        </w:trPr>
        <w:tc>
          <w:tcPr>
            <w:tcW w:w="884" w:type="dxa"/>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shd w:val="clear" w:color="auto" w:fill="auto"/>
            <w:vAlign w:val="center"/>
          </w:tcPr>
          <w:p>
            <w:pPr>
              <w:ind w:firstLine="0" w:firstLineChars="0"/>
              <w:jc w:val="both"/>
              <w:rPr>
                <w:rFonts w:ascii="宋体" w:hAnsi="宋体" w:cs="宋体"/>
                <w:color w:val="auto"/>
                <w:szCs w:val="24"/>
                <w:highlight w:val="none"/>
                <w:lang w:val="zh-CN"/>
              </w:rPr>
            </w:pPr>
            <w:r>
              <w:rPr>
                <w:rFonts w:hint="eastAsia" w:ascii="宋体" w:hAnsi="宋体" w:cs="宋体"/>
                <w:color w:val="auto"/>
                <w:szCs w:val="24"/>
                <w:highlight w:val="none"/>
              </w:rPr>
              <w:t>低于成本价不正当竞争预防措施（实质性要求）</w:t>
            </w:r>
          </w:p>
        </w:tc>
        <w:tc>
          <w:tcPr>
            <w:tcW w:w="6992" w:type="dxa"/>
            <w:shd w:val="clear" w:color="auto" w:fill="auto"/>
            <w:vAlign w:val="center"/>
          </w:tcPr>
          <w:p>
            <w:pPr>
              <w:pStyle w:val="39"/>
              <w:spacing w:beforeAutospacing="0" w:afterAutospacing="0"/>
              <w:ind w:firstLine="0" w:firstLineChars="0"/>
              <w:jc w:val="both"/>
              <w:rPr>
                <w:rFonts w:hint="eastAsia" w:cs="宋体"/>
                <w:color w:val="auto"/>
                <w:highlight w:val="none"/>
              </w:rPr>
            </w:pPr>
            <w:r>
              <w:rPr>
                <w:rFonts w:hint="eastAsia"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spacing w:beforeAutospacing="0" w:afterAutospacing="0"/>
              <w:ind w:firstLine="0" w:firstLineChars="0"/>
              <w:jc w:val="both"/>
              <w:rPr>
                <w:color w:val="auto"/>
                <w:highlight w:val="none"/>
                <w:lang w:val="zh-CN"/>
              </w:rPr>
            </w:pPr>
            <w:r>
              <w:rPr>
                <w:rFonts w:hint="eastAsia"/>
                <w:color w:val="auto"/>
                <w:highlight w:val="none"/>
              </w:rPr>
              <w:t>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w:t>
            </w:r>
            <w:r>
              <w:rPr>
                <w:rFonts w:hint="eastAsia"/>
                <w:color w:val="auto"/>
                <w:highlight w:val="none"/>
                <w:lang w:val="zh-CN"/>
              </w:rPr>
              <w:t>需提供完整的财务状况报告（含三表一附注）】</w:t>
            </w:r>
          </w:p>
          <w:p>
            <w:pPr>
              <w:pStyle w:val="152"/>
              <w:spacing w:line="360" w:lineRule="auto"/>
              <w:jc w:val="both"/>
              <w:rPr>
                <w:color w:val="auto"/>
                <w:highlight w:val="none"/>
                <w:lang w:val="zh-CN"/>
              </w:rPr>
            </w:pPr>
            <w:r>
              <w:rPr>
                <w:rFonts w:hint="eastAsia"/>
                <w:color w:val="auto"/>
                <w:highlight w:val="none"/>
                <w:lang w:val="zh-CN"/>
              </w:rPr>
              <w:t>供应商书面说明应当签字确认或者加盖单位公章，否则无效。书面说明的签字确认，供应商为法人的，由其法定代表人或者代理人签字确认；供应商为其他组织的，由其主要负责人或者代理人签字确认；供应商为自然人的，由其本人或者代理人签字确认。</w:t>
            </w:r>
          </w:p>
          <w:p>
            <w:pPr>
              <w:ind w:firstLine="492"/>
              <w:rPr>
                <w:rFonts w:ascii="宋体" w:hAnsi="宋体" w:cs="宋体"/>
                <w:b/>
                <w:color w:val="auto"/>
                <w:szCs w:val="24"/>
                <w:highlight w:val="none"/>
                <w:lang w:val="zh-CN"/>
              </w:rPr>
            </w:pPr>
            <w:r>
              <w:rPr>
                <w:rFonts w:hint="eastAsia" w:ascii="宋体" w:hAnsi="宋体" w:cs="宋体"/>
                <w:color w:val="auto"/>
                <w:szCs w:val="24"/>
                <w:highlight w:val="none"/>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9" w:hRule="exact"/>
          <w:jc w:val="center"/>
        </w:trPr>
        <w:tc>
          <w:tcPr>
            <w:tcW w:w="884" w:type="dxa"/>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shd w:val="clear" w:color="auto" w:fill="auto"/>
            <w:vAlign w:val="center"/>
          </w:tcPr>
          <w:p>
            <w:pPr>
              <w:pStyle w:val="152"/>
              <w:keepNext w:val="0"/>
              <w:keepLines w:val="0"/>
              <w:pageBreakBefore w:val="0"/>
              <w:kinsoku/>
              <w:wordWrap/>
              <w:overflowPunct/>
              <w:topLinePunct w:val="0"/>
              <w:bidi w:val="0"/>
              <w:snapToGrid/>
              <w:spacing w:line="340" w:lineRule="exact"/>
              <w:jc w:val="both"/>
              <w:textAlignment w:val="auto"/>
              <w:rPr>
                <w:rFonts w:hint="eastAsia" w:ascii="宋体" w:hAnsi="宋体" w:cs="宋体"/>
                <w:color w:val="auto"/>
                <w:szCs w:val="24"/>
                <w:highlight w:val="none"/>
              </w:rPr>
            </w:pPr>
            <w:r>
              <w:rPr>
                <w:rFonts w:hint="eastAsia"/>
                <w:color w:val="auto"/>
                <w:kern w:val="2"/>
                <w:highlight w:val="none"/>
                <w:lang w:val="zh-CN"/>
              </w:rPr>
              <w:t>小微企业价格扣除</w:t>
            </w:r>
          </w:p>
        </w:tc>
        <w:tc>
          <w:tcPr>
            <w:tcW w:w="6992" w:type="dxa"/>
            <w:shd w:val="clear" w:color="auto" w:fill="auto"/>
            <w:vAlign w:val="center"/>
          </w:tcPr>
          <w:p>
            <w:pPr>
              <w:pStyle w:val="152"/>
              <w:keepNext w:val="0"/>
              <w:keepLines w:val="0"/>
              <w:pageBreakBefore w:val="0"/>
              <w:kinsoku/>
              <w:wordWrap/>
              <w:overflowPunct/>
              <w:topLinePunct w:val="0"/>
              <w:bidi w:val="0"/>
              <w:snapToGrid/>
              <w:spacing w:line="340" w:lineRule="exact"/>
              <w:jc w:val="both"/>
              <w:textAlignment w:val="auto"/>
              <w:rPr>
                <w:color w:val="auto"/>
                <w:kern w:val="2"/>
                <w:highlight w:val="none"/>
                <w:lang w:val="zh-CN"/>
              </w:rPr>
            </w:pPr>
            <w:r>
              <w:rPr>
                <w:rFonts w:hint="eastAsia"/>
                <w:color w:val="auto"/>
                <w:kern w:val="2"/>
                <w:highlight w:val="none"/>
                <w:lang w:val="zh-CN"/>
              </w:rPr>
              <w:t>一、小微企业价格扣除</w:t>
            </w:r>
          </w:p>
          <w:p>
            <w:pPr>
              <w:pStyle w:val="152"/>
              <w:keepNext w:val="0"/>
              <w:keepLines w:val="0"/>
              <w:pageBreakBefore w:val="0"/>
              <w:kinsoku/>
              <w:wordWrap/>
              <w:overflowPunct/>
              <w:topLinePunct w:val="0"/>
              <w:bidi w:val="0"/>
              <w:snapToGrid/>
              <w:spacing w:line="340" w:lineRule="exact"/>
              <w:jc w:val="both"/>
              <w:textAlignment w:val="auto"/>
              <w:rPr>
                <w:color w:val="auto"/>
                <w:kern w:val="2"/>
                <w:highlight w:val="none"/>
                <w:lang w:val="zh-CN"/>
              </w:rPr>
            </w:pPr>
            <w:r>
              <w:rPr>
                <w:rFonts w:hint="eastAsia"/>
                <w:color w:val="auto"/>
                <w:kern w:val="2"/>
                <w:highlight w:val="none"/>
                <w:lang w:val="zh-CN"/>
              </w:rPr>
              <w:t>1、根据《政府采购促进中小企业发展暂行办法》（财库[20</w:t>
            </w:r>
            <w:r>
              <w:rPr>
                <w:rFonts w:hint="eastAsia"/>
                <w:color w:val="auto"/>
                <w:kern w:val="2"/>
                <w:highlight w:val="none"/>
                <w:lang w:val="en-US" w:eastAsia="zh-CN"/>
              </w:rPr>
              <w:t>20</w:t>
            </w:r>
            <w:r>
              <w:rPr>
                <w:rFonts w:hint="eastAsia"/>
                <w:color w:val="auto"/>
                <w:kern w:val="2"/>
                <w:highlight w:val="none"/>
                <w:lang w:val="zh-CN"/>
              </w:rPr>
              <w:t>]</w:t>
            </w:r>
            <w:r>
              <w:rPr>
                <w:rFonts w:hint="eastAsia"/>
                <w:color w:val="auto"/>
                <w:kern w:val="2"/>
                <w:highlight w:val="none"/>
                <w:lang w:val="en-US" w:eastAsia="zh-CN"/>
              </w:rPr>
              <w:t>46</w:t>
            </w:r>
            <w:r>
              <w:rPr>
                <w:rFonts w:hint="eastAsia"/>
                <w:color w:val="auto"/>
                <w:kern w:val="2"/>
                <w:highlight w:val="none"/>
                <w:lang w:val="zh-CN"/>
              </w:rPr>
              <w:t>号）的规定，对小型和微型企业给予</w:t>
            </w:r>
            <w:r>
              <w:rPr>
                <w:rFonts w:hint="eastAsia"/>
                <w:color w:val="auto"/>
                <w:kern w:val="2"/>
                <w:highlight w:val="none"/>
              </w:rPr>
              <w:t>10</w:t>
            </w:r>
            <w:r>
              <w:rPr>
                <w:rFonts w:hint="eastAsia"/>
                <w:color w:val="auto"/>
                <w:kern w:val="2"/>
                <w:highlight w:val="none"/>
                <w:lang w:val="zh-CN"/>
              </w:rPr>
              <w:t>%的价格扣除，用扣除后的价格参与评标。</w:t>
            </w:r>
          </w:p>
          <w:p>
            <w:pPr>
              <w:pStyle w:val="152"/>
              <w:keepNext w:val="0"/>
              <w:keepLines w:val="0"/>
              <w:pageBreakBefore w:val="0"/>
              <w:kinsoku/>
              <w:wordWrap/>
              <w:overflowPunct/>
              <w:topLinePunct w:val="0"/>
              <w:bidi w:val="0"/>
              <w:snapToGrid/>
              <w:spacing w:line="340" w:lineRule="exact"/>
              <w:jc w:val="both"/>
              <w:textAlignment w:val="auto"/>
              <w:rPr>
                <w:rFonts w:hint="eastAsia" w:ascii="宋体" w:hAnsi="宋体" w:cs="宋体"/>
                <w:color w:val="auto"/>
                <w:szCs w:val="24"/>
                <w:highlight w:val="none"/>
              </w:rPr>
            </w:pPr>
            <w:r>
              <w:rPr>
                <w:rFonts w:hint="eastAsia"/>
                <w:color w:val="auto"/>
                <w:kern w:val="2"/>
                <w:highlight w:val="none"/>
                <w:lang w:val="zh-CN"/>
              </w:rPr>
              <w:t>2、参加政府采购活动的中小企业应当提供《中小企业声明函》原件。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9" w:hRule="exact"/>
          <w:jc w:val="center"/>
        </w:trPr>
        <w:tc>
          <w:tcPr>
            <w:tcW w:w="884" w:type="dxa"/>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shd w:val="clear" w:color="auto" w:fill="auto"/>
            <w:vAlign w:val="center"/>
          </w:tcPr>
          <w:p>
            <w:pPr>
              <w:pStyle w:val="152"/>
              <w:keepNext w:val="0"/>
              <w:keepLines w:val="0"/>
              <w:pageBreakBefore w:val="0"/>
              <w:kinsoku/>
              <w:wordWrap/>
              <w:overflowPunct/>
              <w:topLinePunct w:val="0"/>
              <w:bidi w:val="0"/>
              <w:snapToGrid/>
              <w:spacing w:line="340" w:lineRule="exact"/>
              <w:jc w:val="both"/>
              <w:textAlignment w:val="auto"/>
              <w:rPr>
                <w:rFonts w:hint="eastAsia" w:ascii="宋体" w:hAnsi="宋体" w:cs="宋体"/>
                <w:color w:val="auto"/>
                <w:szCs w:val="24"/>
                <w:highlight w:val="none"/>
              </w:rPr>
            </w:pPr>
            <w:r>
              <w:rPr>
                <w:rFonts w:hint="eastAsia"/>
                <w:color w:val="auto"/>
                <w:highlight w:val="none"/>
                <w:lang w:val="zh-CN"/>
              </w:rPr>
              <w:t>监狱企业</w:t>
            </w:r>
          </w:p>
        </w:tc>
        <w:tc>
          <w:tcPr>
            <w:tcW w:w="6992" w:type="dxa"/>
            <w:shd w:val="clear" w:color="auto" w:fill="auto"/>
            <w:vAlign w:val="center"/>
          </w:tcPr>
          <w:p>
            <w:pPr>
              <w:keepNext w:val="0"/>
              <w:keepLines w:val="0"/>
              <w:pageBreakBefore w:val="0"/>
              <w:widowControl/>
              <w:kinsoku/>
              <w:wordWrap/>
              <w:overflowPunct/>
              <w:topLinePunct w:val="0"/>
              <w:bidi w:val="0"/>
              <w:snapToGrid/>
              <w:spacing w:line="340" w:lineRule="exact"/>
              <w:ind w:firstLine="0" w:firstLineChars="0"/>
              <w:textAlignment w:val="auto"/>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１、</w:t>
            </w:r>
            <w:r>
              <w:rPr>
                <w:rFonts w:ascii="宋体" w:hAnsi="宋体" w:cs="宋体"/>
                <w:color w:val="auto"/>
                <w:kern w:val="0"/>
                <w:szCs w:val="24"/>
                <w:highlight w:val="none"/>
                <w:lang w:val="zh-CN"/>
              </w:rPr>
              <w:t>根据</w:t>
            </w:r>
            <w:r>
              <w:rPr>
                <w:rFonts w:hint="eastAsia" w:ascii="宋体" w:hAnsi="宋体" w:cs="宋体"/>
                <w:color w:val="auto"/>
                <w:kern w:val="0"/>
                <w:szCs w:val="24"/>
                <w:highlight w:val="none"/>
                <w:lang w:val="zh-CN"/>
              </w:rPr>
              <w:t>《关于政府采购支持监狱企业发展有关问题的通知》（财库</w:t>
            </w:r>
            <w:r>
              <w:rPr>
                <w:rFonts w:ascii="宋体" w:hAnsi="宋体" w:cs="宋体"/>
                <w:color w:val="auto"/>
                <w:kern w:val="0"/>
                <w:szCs w:val="24"/>
                <w:highlight w:val="none"/>
                <w:lang w:val="zh-CN"/>
              </w:rPr>
              <w:t>[201</w:t>
            </w:r>
            <w:r>
              <w:rPr>
                <w:rFonts w:hint="eastAsia" w:ascii="宋体" w:hAnsi="宋体" w:cs="宋体"/>
                <w:color w:val="auto"/>
                <w:kern w:val="0"/>
                <w:szCs w:val="24"/>
                <w:highlight w:val="none"/>
                <w:lang w:val="zh-CN"/>
              </w:rPr>
              <w:t>4</w:t>
            </w:r>
            <w:r>
              <w:rPr>
                <w:rFonts w:ascii="宋体" w:hAnsi="宋体" w:cs="宋体"/>
                <w:color w:val="auto"/>
                <w:kern w:val="0"/>
                <w:szCs w:val="24"/>
                <w:highlight w:val="none"/>
                <w:lang w:val="zh-CN"/>
              </w:rPr>
              <w:t>]</w:t>
            </w:r>
            <w:r>
              <w:rPr>
                <w:rFonts w:hint="eastAsia" w:ascii="宋体" w:hAnsi="宋体" w:cs="宋体"/>
                <w:color w:val="auto"/>
                <w:kern w:val="0"/>
                <w:szCs w:val="24"/>
                <w:highlight w:val="none"/>
                <w:lang w:val="zh-CN"/>
              </w:rPr>
              <w:t>68</w:t>
            </w:r>
            <w:r>
              <w:rPr>
                <w:rFonts w:ascii="宋体" w:hAnsi="宋体" w:cs="宋体"/>
                <w:color w:val="auto"/>
                <w:kern w:val="0"/>
                <w:szCs w:val="24"/>
                <w:highlight w:val="none"/>
                <w:lang w:val="zh-CN"/>
              </w:rPr>
              <w:t>号）的规定</w:t>
            </w:r>
            <w:r>
              <w:rPr>
                <w:rFonts w:hint="eastAsia" w:ascii="宋体" w:hAnsi="宋体" w:cs="宋体"/>
                <w:color w:val="auto"/>
                <w:kern w:val="0"/>
                <w:szCs w:val="24"/>
                <w:highlight w:val="none"/>
                <w:lang w:val="zh-CN"/>
              </w:rPr>
              <w:t>，对监狱企业</w:t>
            </w:r>
            <w:r>
              <w:rPr>
                <w:rFonts w:ascii="宋体" w:hAnsi="宋体" w:cs="宋体"/>
                <w:color w:val="auto"/>
                <w:kern w:val="0"/>
                <w:szCs w:val="24"/>
                <w:highlight w:val="none"/>
                <w:lang w:val="zh-CN"/>
              </w:rPr>
              <w:t>给予</w:t>
            </w:r>
            <w:r>
              <w:rPr>
                <w:rFonts w:hint="eastAsia" w:ascii="宋体" w:hAnsi="宋体" w:cs="宋体"/>
                <w:color w:val="auto"/>
                <w:kern w:val="0"/>
                <w:szCs w:val="24"/>
                <w:highlight w:val="none"/>
              </w:rPr>
              <w:t>10</w:t>
            </w:r>
            <w:r>
              <w:rPr>
                <w:rFonts w:ascii="宋体" w:hAnsi="宋体" w:cs="宋体"/>
                <w:color w:val="auto"/>
                <w:kern w:val="0"/>
                <w:szCs w:val="24"/>
                <w:highlight w:val="none"/>
                <w:lang w:val="zh-CN"/>
              </w:rPr>
              <w:t>%的价格扣除，用扣除后的价格参与评标。</w:t>
            </w:r>
          </w:p>
          <w:p>
            <w:pPr>
              <w:keepNext w:val="0"/>
              <w:keepLines w:val="0"/>
              <w:pageBreakBefore w:val="0"/>
              <w:widowControl/>
              <w:kinsoku/>
              <w:wordWrap/>
              <w:overflowPunct/>
              <w:topLinePunct w:val="0"/>
              <w:bidi w:val="0"/>
              <w:snapToGrid/>
              <w:spacing w:line="340" w:lineRule="exact"/>
              <w:ind w:firstLine="0" w:firstLineChars="0"/>
              <w:textAlignment w:val="auto"/>
              <w:rPr>
                <w:rFonts w:hint="eastAsia" w:ascii="宋体" w:hAnsi="宋体" w:cs="宋体"/>
                <w:color w:val="auto"/>
                <w:szCs w:val="24"/>
                <w:highlight w:val="none"/>
              </w:rPr>
            </w:pPr>
            <w:r>
              <w:rPr>
                <w:rFonts w:hint="eastAsia" w:ascii="宋体" w:hAnsi="宋体" w:cs="宋体"/>
                <w:color w:val="auto"/>
                <w:kern w:val="0"/>
                <w:szCs w:val="24"/>
                <w:highlight w:val="none"/>
                <w:lang w:val="zh-CN"/>
              </w:rPr>
              <w:t>２、监狱企业应提供由省级以上监狱管理局、戒毒管理局（含新疆生产建设兵团）出具的生产厂商属于监狱企业的证明文件复印件。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9" w:hRule="exact"/>
          <w:jc w:val="center"/>
        </w:trPr>
        <w:tc>
          <w:tcPr>
            <w:tcW w:w="884" w:type="dxa"/>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shd w:val="clear" w:color="auto" w:fill="auto"/>
            <w:vAlign w:val="center"/>
          </w:tcPr>
          <w:p>
            <w:pPr>
              <w:pStyle w:val="152"/>
              <w:keepNext w:val="0"/>
              <w:keepLines w:val="0"/>
              <w:pageBreakBefore w:val="0"/>
              <w:kinsoku/>
              <w:wordWrap/>
              <w:overflowPunct/>
              <w:topLinePunct w:val="0"/>
              <w:bidi w:val="0"/>
              <w:snapToGrid/>
              <w:spacing w:line="340" w:lineRule="exact"/>
              <w:jc w:val="both"/>
              <w:textAlignment w:val="auto"/>
              <w:rPr>
                <w:rFonts w:hint="eastAsia" w:ascii="宋体" w:hAnsi="宋体" w:cs="宋体"/>
                <w:color w:val="auto"/>
                <w:szCs w:val="24"/>
                <w:highlight w:val="none"/>
              </w:rPr>
            </w:pPr>
            <w:r>
              <w:rPr>
                <w:rFonts w:hint="eastAsia"/>
                <w:color w:val="auto"/>
                <w:highlight w:val="none"/>
                <w:lang w:val="zh-CN"/>
              </w:rPr>
              <w:t>残疾人福利性单位</w:t>
            </w:r>
          </w:p>
        </w:tc>
        <w:tc>
          <w:tcPr>
            <w:tcW w:w="6992" w:type="dxa"/>
            <w:shd w:val="clear" w:color="auto" w:fill="auto"/>
            <w:vAlign w:val="center"/>
          </w:tcPr>
          <w:p>
            <w:pPr>
              <w:keepNext w:val="0"/>
              <w:keepLines w:val="0"/>
              <w:pageBreakBefore w:val="0"/>
              <w:widowControl/>
              <w:kinsoku/>
              <w:wordWrap/>
              <w:overflowPunct/>
              <w:topLinePunct w:val="0"/>
              <w:bidi w:val="0"/>
              <w:snapToGrid/>
              <w:spacing w:line="340" w:lineRule="exact"/>
              <w:ind w:firstLine="0" w:firstLineChars="0"/>
              <w:textAlignment w:val="auto"/>
              <w:rPr>
                <w:rFonts w:ascii="宋体" w:hAnsi="宋体" w:cs="宋体"/>
                <w:color w:val="auto"/>
                <w:kern w:val="0"/>
                <w:szCs w:val="24"/>
                <w:highlight w:val="none"/>
                <w:lang w:val="zh-CN"/>
              </w:rPr>
            </w:pPr>
            <w:r>
              <w:rPr>
                <w:rFonts w:ascii="宋体" w:hAnsi="宋体" w:cs="宋体"/>
                <w:color w:val="auto"/>
                <w:kern w:val="0"/>
                <w:szCs w:val="24"/>
                <w:highlight w:val="none"/>
                <w:lang w:val="zh-CN"/>
              </w:rPr>
              <w:t>1、根据《</w:t>
            </w:r>
            <w:r>
              <w:rPr>
                <w:rFonts w:hint="eastAsia" w:ascii="宋体" w:hAnsi="宋体" w:cs="宋体"/>
                <w:color w:val="auto"/>
                <w:kern w:val="0"/>
                <w:szCs w:val="24"/>
                <w:highlight w:val="none"/>
                <w:lang w:val="zh-CN"/>
              </w:rPr>
              <w:t>三部门联合发布关于促进残疾人就业政府采购政策的通知</w:t>
            </w:r>
            <w:r>
              <w:rPr>
                <w:rFonts w:ascii="宋体" w:hAnsi="宋体" w:cs="宋体"/>
                <w:color w:val="auto"/>
                <w:kern w:val="0"/>
                <w:szCs w:val="24"/>
                <w:highlight w:val="none"/>
                <w:lang w:val="zh-CN"/>
              </w:rPr>
              <w:t>》（财库[201</w:t>
            </w:r>
            <w:r>
              <w:rPr>
                <w:rFonts w:hint="eastAsia" w:ascii="宋体" w:hAnsi="宋体" w:cs="宋体"/>
                <w:color w:val="auto"/>
                <w:kern w:val="0"/>
                <w:szCs w:val="24"/>
                <w:highlight w:val="none"/>
                <w:lang w:val="zh-CN"/>
              </w:rPr>
              <w:t>7</w:t>
            </w:r>
            <w:r>
              <w:rPr>
                <w:rFonts w:ascii="宋体" w:hAnsi="宋体" w:cs="宋体"/>
                <w:color w:val="auto"/>
                <w:kern w:val="0"/>
                <w:szCs w:val="24"/>
                <w:highlight w:val="none"/>
                <w:lang w:val="zh-CN"/>
              </w:rPr>
              <w:t>]1</w:t>
            </w:r>
            <w:r>
              <w:rPr>
                <w:rFonts w:hint="eastAsia" w:ascii="宋体" w:hAnsi="宋体" w:cs="宋体"/>
                <w:color w:val="auto"/>
                <w:kern w:val="0"/>
                <w:szCs w:val="24"/>
                <w:highlight w:val="none"/>
                <w:lang w:val="zh-CN"/>
              </w:rPr>
              <w:t>4</w:t>
            </w:r>
            <w:r>
              <w:rPr>
                <w:rFonts w:ascii="宋体" w:hAnsi="宋体" w:cs="宋体"/>
                <w:color w:val="auto"/>
                <w:kern w:val="0"/>
                <w:szCs w:val="24"/>
                <w:highlight w:val="none"/>
                <w:lang w:val="zh-CN"/>
              </w:rPr>
              <w:t>1号）的规定，</w:t>
            </w:r>
            <w:r>
              <w:rPr>
                <w:rFonts w:hint="eastAsia" w:ascii="宋体" w:hAnsi="宋体" w:cs="宋体"/>
                <w:color w:val="auto"/>
                <w:kern w:val="0"/>
                <w:szCs w:val="24"/>
                <w:highlight w:val="none"/>
                <w:lang w:val="zh-CN"/>
              </w:rPr>
              <w:t>残疾人福利性单位视同小型和微型企业，对残疾人福利性单位</w:t>
            </w:r>
            <w:r>
              <w:rPr>
                <w:rFonts w:ascii="宋体" w:hAnsi="宋体" w:cs="宋体"/>
                <w:color w:val="auto"/>
                <w:kern w:val="0"/>
                <w:szCs w:val="24"/>
                <w:highlight w:val="none"/>
                <w:lang w:val="zh-CN"/>
              </w:rPr>
              <w:t>给予</w:t>
            </w:r>
            <w:r>
              <w:rPr>
                <w:rFonts w:hint="eastAsia" w:ascii="宋体" w:hAnsi="宋体" w:cs="宋体"/>
                <w:color w:val="auto"/>
                <w:kern w:val="0"/>
                <w:szCs w:val="24"/>
                <w:highlight w:val="none"/>
              </w:rPr>
              <w:t>10</w:t>
            </w:r>
            <w:r>
              <w:rPr>
                <w:rFonts w:ascii="宋体" w:hAnsi="宋体" w:cs="宋体"/>
                <w:color w:val="auto"/>
                <w:kern w:val="0"/>
                <w:szCs w:val="24"/>
                <w:highlight w:val="none"/>
                <w:lang w:val="zh-CN"/>
              </w:rPr>
              <w:t>%的价格扣除，用扣除后的价格参与评标。</w:t>
            </w:r>
          </w:p>
          <w:p>
            <w:pPr>
              <w:keepNext w:val="0"/>
              <w:keepLines w:val="0"/>
              <w:pageBreakBefore w:val="0"/>
              <w:widowControl/>
              <w:kinsoku/>
              <w:wordWrap/>
              <w:overflowPunct/>
              <w:topLinePunct w:val="0"/>
              <w:bidi w:val="0"/>
              <w:snapToGrid/>
              <w:spacing w:line="340" w:lineRule="exact"/>
              <w:ind w:firstLine="0" w:firstLineChars="0"/>
              <w:textAlignment w:val="auto"/>
              <w:rPr>
                <w:rFonts w:hint="eastAsia" w:ascii="宋体" w:hAnsi="宋体" w:cs="宋体"/>
                <w:color w:val="auto"/>
                <w:szCs w:val="24"/>
                <w:highlight w:val="none"/>
              </w:rPr>
            </w:pPr>
            <w:r>
              <w:rPr>
                <w:rFonts w:ascii="宋体" w:hAnsi="宋体" w:cs="宋体"/>
                <w:color w:val="auto"/>
                <w:kern w:val="0"/>
                <w:szCs w:val="24"/>
                <w:highlight w:val="none"/>
                <w:lang w:val="zh-CN"/>
              </w:rPr>
              <w:t>2、</w:t>
            </w:r>
            <w:r>
              <w:rPr>
                <w:rFonts w:hint="eastAsia" w:ascii="宋体" w:hAnsi="宋体" w:cs="宋体"/>
                <w:color w:val="auto"/>
                <w:kern w:val="0"/>
                <w:szCs w:val="24"/>
                <w:highlight w:val="none"/>
                <w:lang w:val="zh-CN"/>
              </w:rPr>
              <w:t>投标人应提供</w:t>
            </w:r>
            <w:r>
              <w:rPr>
                <w:rFonts w:ascii="宋体" w:hAnsi="宋体" w:cs="宋体"/>
                <w:color w:val="auto"/>
                <w:kern w:val="0"/>
                <w:szCs w:val="24"/>
                <w:highlight w:val="none"/>
                <w:lang w:val="zh-CN"/>
              </w:rPr>
              <w:t>《</w:t>
            </w:r>
            <w:r>
              <w:rPr>
                <w:rFonts w:hint="eastAsia" w:ascii="宋体" w:hAnsi="宋体" w:cs="宋体"/>
                <w:color w:val="auto"/>
                <w:kern w:val="0"/>
                <w:szCs w:val="24"/>
                <w:highlight w:val="none"/>
                <w:lang w:val="zh-CN"/>
              </w:rPr>
              <w:t>残疾人福利性单位声明函</w:t>
            </w:r>
            <w:r>
              <w:rPr>
                <w:rFonts w:ascii="宋体" w:hAnsi="宋体" w:cs="宋体"/>
                <w:color w:val="auto"/>
                <w:kern w:val="0"/>
                <w:szCs w:val="24"/>
                <w:highlight w:val="none"/>
                <w:lang w:val="zh-CN"/>
              </w:rPr>
              <w:t>》原件。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shd w:val="clear" w:color="auto" w:fill="auto"/>
            <w:vAlign w:val="center"/>
          </w:tcPr>
          <w:p>
            <w:pPr>
              <w:pStyle w:val="152"/>
              <w:spacing w:line="380" w:lineRule="exact"/>
              <w:jc w:val="both"/>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52"/>
              <w:spacing w:line="360" w:lineRule="auto"/>
              <w:jc w:val="both"/>
              <w:rPr>
                <w:color w:val="auto"/>
                <w:highlight w:val="none"/>
                <w:lang w:val="zh-CN"/>
              </w:rPr>
            </w:pPr>
          </w:p>
        </w:tc>
        <w:tc>
          <w:tcPr>
            <w:tcW w:w="6992" w:type="dxa"/>
            <w:shd w:val="clear" w:color="auto" w:fill="auto"/>
            <w:vAlign w:val="center"/>
          </w:tcPr>
          <w:p>
            <w:pPr>
              <w:spacing w:line="360" w:lineRule="auto"/>
              <w:ind w:firstLine="490" w:firstLineChars="200"/>
              <w:rPr>
                <w:rFonts w:ascii="宋体" w:hAnsi="宋体" w:cs="宋体"/>
                <w:color w:val="auto"/>
                <w:kern w:val="0"/>
                <w:szCs w:val="24"/>
                <w:highlight w:val="none"/>
                <w:lang w:val="zh-CN"/>
              </w:rPr>
            </w:pPr>
            <w:r>
              <w:rPr>
                <w:rFonts w:hint="eastAsia"/>
                <w:color w:val="auto"/>
                <w:highlight w:val="none"/>
                <w:lang w:val="en-US" w:eastAsia="zh-CN"/>
              </w:rPr>
              <w:t>严格按照《四川省公共资源交易领域严重失信联合惩戒实施办法》（川发改信用规【2019】405号）、《关于对政府采购领域严重违法失信主体开展联合惩戒的合作备案录》（发改财经【2018】1614号）等相关文件的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8" w:space="0"/>
              <w:left w:val="single" w:color="auto" w:sz="8" w:space="0"/>
              <w:bottom w:val="single" w:color="auto" w:sz="8" w:space="0"/>
              <w:right w:val="single" w:color="auto" w:sz="8" w:space="0"/>
            </w:tcBorders>
            <w:shd w:val="clear" w:color="auto" w:fill="auto"/>
            <w:vAlign w:val="center"/>
          </w:tcPr>
          <w:p>
            <w:pPr>
              <w:ind w:firstLine="0" w:firstLineChars="0"/>
              <w:jc w:val="center"/>
              <w:rPr>
                <w:rFonts w:ascii="宋体" w:hAnsi="宋体" w:cs="宋体"/>
                <w:color w:val="auto"/>
                <w:szCs w:val="24"/>
                <w:highlight w:val="none"/>
                <w:lang w:val="zh-CN"/>
              </w:rPr>
            </w:pPr>
            <w:r>
              <w:rPr>
                <w:rFonts w:hint="eastAsia" w:ascii="宋体" w:hAnsi="宋体" w:cs="宋体"/>
                <w:color w:val="auto"/>
                <w:kern w:val="0"/>
                <w:szCs w:val="24"/>
                <w:highlight w:val="none"/>
              </w:rPr>
              <w:t>评标情况公告</w:t>
            </w:r>
          </w:p>
        </w:tc>
        <w:tc>
          <w:tcPr>
            <w:tcW w:w="6992" w:type="dxa"/>
            <w:tcBorders>
              <w:top w:val="single" w:color="auto" w:sz="8" w:space="0"/>
              <w:left w:val="single" w:color="auto" w:sz="8" w:space="0"/>
              <w:bottom w:val="single" w:color="auto" w:sz="8" w:space="0"/>
              <w:right w:val="single" w:color="auto" w:sz="18" w:space="0"/>
            </w:tcBorders>
            <w:shd w:val="clear" w:color="auto" w:fill="auto"/>
            <w:vAlign w:val="center"/>
          </w:tcPr>
          <w:p>
            <w:pPr>
              <w:widowControl/>
              <w:ind w:firstLine="0" w:firstLineChars="0"/>
              <w:rPr>
                <w:rFonts w:ascii="宋体" w:hAnsi="宋体" w:cs="宋体"/>
                <w:color w:val="auto"/>
                <w:szCs w:val="24"/>
                <w:highlight w:val="none"/>
                <w:lang w:val="zh-CN"/>
              </w:rPr>
            </w:pPr>
            <w:r>
              <w:rPr>
                <w:rFonts w:hint="eastAsia" w:ascii="宋体" w:hAnsi="宋体" w:cs="宋体"/>
                <w:color w:val="auto"/>
                <w:kern w:val="0"/>
                <w:szCs w:val="24"/>
                <w:highlight w:val="none"/>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9"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8" w:space="0"/>
              <w:left w:val="single" w:color="auto" w:sz="8" w:space="0"/>
              <w:bottom w:val="single" w:color="auto" w:sz="8" w:space="0"/>
              <w:right w:val="single" w:color="auto" w:sz="8" w:space="0"/>
            </w:tcBorders>
            <w:shd w:val="clear" w:color="auto" w:fill="auto"/>
            <w:vAlign w:val="center"/>
          </w:tcPr>
          <w:p>
            <w:pPr>
              <w:ind w:firstLine="0" w:firstLineChars="0"/>
              <w:jc w:val="center"/>
              <w:outlineLvl w:val="5"/>
              <w:rPr>
                <w:rFonts w:ascii="宋体" w:hAnsi="宋体" w:cs="宋体"/>
                <w:color w:val="auto"/>
                <w:szCs w:val="24"/>
                <w:highlight w:val="none"/>
                <w:lang w:val="zh-CN"/>
              </w:rPr>
            </w:pPr>
            <w:r>
              <w:rPr>
                <w:rFonts w:hint="eastAsia" w:ascii="宋体" w:hAnsi="宋体" w:cs="宋体"/>
                <w:color w:val="auto"/>
                <w:szCs w:val="24"/>
                <w:highlight w:val="none"/>
                <w:lang w:val="zh-CN"/>
              </w:rPr>
              <w:t>投标保证金</w:t>
            </w:r>
          </w:p>
        </w:tc>
        <w:tc>
          <w:tcPr>
            <w:tcW w:w="6992" w:type="dxa"/>
            <w:tcBorders>
              <w:top w:val="single" w:color="auto" w:sz="8" w:space="0"/>
              <w:left w:val="single" w:color="auto" w:sz="8" w:space="0"/>
              <w:bottom w:val="single" w:color="auto" w:sz="8" w:space="0"/>
              <w:right w:val="single" w:color="auto" w:sz="18" w:space="0"/>
            </w:tcBorders>
            <w:shd w:val="clear" w:color="auto" w:fill="auto"/>
            <w:vAlign w:val="center"/>
          </w:tcPr>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本项目无投标保证金。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8" w:space="0"/>
              <w:left w:val="single" w:color="auto" w:sz="8" w:space="0"/>
              <w:bottom w:val="single" w:color="auto" w:sz="8" w:space="0"/>
              <w:right w:val="single" w:color="auto" w:sz="8" w:space="0"/>
            </w:tcBorders>
            <w:shd w:val="clear" w:color="auto" w:fill="auto"/>
            <w:vAlign w:val="center"/>
          </w:tcPr>
          <w:p>
            <w:pPr>
              <w:ind w:firstLine="0" w:firstLineChars="0"/>
              <w:jc w:val="center"/>
              <w:outlineLvl w:val="5"/>
              <w:rPr>
                <w:rFonts w:ascii="宋体" w:hAnsi="宋体" w:cs="宋体"/>
                <w:color w:val="auto"/>
                <w:szCs w:val="24"/>
                <w:highlight w:val="none"/>
              </w:rPr>
            </w:pPr>
            <w:r>
              <w:rPr>
                <w:rFonts w:hint="eastAsia" w:ascii="宋体" w:hAnsi="宋体" w:cs="宋体"/>
                <w:color w:val="auto"/>
                <w:szCs w:val="24"/>
                <w:highlight w:val="none"/>
                <w:lang w:val="zh-CN"/>
              </w:rPr>
              <w:t>履约保证金</w:t>
            </w:r>
          </w:p>
        </w:tc>
        <w:tc>
          <w:tcPr>
            <w:tcW w:w="6992"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adjustRightInd w:val="0"/>
              <w:ind w:firstLine="0" w:firstLineChars="0"/>
              <w:rPr>
                <w:rFonts w:ascii="宋体" w:hAnsi="宋体" w:cs="宋体"/>
                <w:color w:val="auto"/>
                <w:szCs w:val="24"/>
                <w:highlight w:val="none"/>
              </w:rPr>
            </w:pPr>
            <w:r>
              <w:rPr>
                <w:rFonts w:hint="eastAsia" w:ascii="宋体" w:hAnsi="宋体" w:cs="宋体"/>
                <w:color w:val="auto"/>
                <w:szCs w:val="24"/>
                <w:highlight w:val="none"/>
                <w:lang w:val="zh-CN"/>
              </w:rPr>
              <w:t>本项目无</w:t>
            </w:r>
            <w:r>
              <w:rPr>
                <w:rFonts w:hint="eastAsia" w:ascii="宋体" w:hAnsi="宋体" w:cs="宋体"/>
                <w:color w:val="auto"/>
                <w:szCs w:val="24"/>
                <w:highlight w:val="none"/>
              </w:rPr>
              <w:t>履约保证金</w:t>
            </w:r>
            <w:r>
              <w:rPr>
                <w:rFonts w:hint="eastAsia" w:ascii="宋体" w:hAnsi="宋体"/>
                <w:color w:val="auto"/>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52"/>
              <w:spacing w:line="360" w:lineRule="auto"/>
              <w:rPr>
                <w:rFonts w:hint="default" w:eastAsia="宋体"/>
                <w:color w:val="auto"/>
                <w:highlight w:val="none"/>
                <w:lang w:val="en-US" w:eastAsia="zh-CN"/>
              </w:rPr>
            </w:pPr>
            <w:r>
              <w:rPr>
                <w:rFonts w:hint="eastAsia"/>
                <w:color w:val="auto"/>
                <w:highlight w:val="none"/>
                <w:lang w:val="en-US" w:eastAsia="zh-CN"/>
              </w:rPr>
              <w:t>国家规定的强制、优先采购范围</w:t>
            </w:r>
          </w:p>
        </w:tc>
        <w:tc>
          <w:tcPr>
            <w:tcW w:w="6992" w:type="dxa"/>
            <w:tcBorders>
              <w:top w:val="single" w:color="auto" w:sz="8" w:space="0"/>
              <w:left w:val="single" w:color="auto" w:sz="8" w:space="0"/>
              <w:bottom w:val="single" w:color="auto" w:sz="8" w:space="0"/>
              <w:right w:val="single" w:color="auto" w:sz="18" w:space="0"/>
            </w:tcBorders>
            <w:shd w:val="clear" w:color="auto" w:fill="auto"/>
            <w:vAlign w:val="center"/>
          </w:tcPr>
          <w:p>
            <w:pPr>
              <w:pStyle w:val="152"/>
              <w:spacing w:line="360" w:lineRule="auto"/>
              <w:rPr>
                <w:rFonts w:hint="eastAsia"/>
                <w:color w:val="auto"/>
                <w:highlight w:val="none"/>
                <w:lang w:val="en-US" w:eastAsia="zh-CN"/>
              </w:rPr>
            </w:pPr>
            <w:r>
              <w:rPr>
                <w:rFonts w:hint="eastAsia"/>
                <w:color w:val="auto"/>
                <w:highlight w:val="none"/>
                <w:lang w:val="en-US" w:eastAsia="zh-CN"/>
              </w:rPr>
              <w:t>本项目采购需求中涉及国家规定的强制采购范围内产品，均应按照国家相关要求进行审核。不管招标文件是否要求，投标人须提供相关证明材料；若未提供，投标人自行承担由此带来的后果。优先采购范围内的产品按招标文件约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8" w:space="0"/>
              <w:left w:val="single" w:color="auto" w:sz="8" w:space="0"/>
              <w:bottom w:val="single" w:color="auto" w:sz="4" w:space="0"/>
              <w:right w:val="single" w:color="auto" w:sz="8" w:space="0"/>
            </w:tcBorders>
            <w:shd w:val="clear" w:color="auto" w:fill="auto"/>
            <w:vAlign w:val="center"/>
          </w:tcPr>
          <w:p>
            <w:pPr>
              <w:pStyle w:val="152"/>
              <w:spacing w:line="360" w:lineRule="auto"/>
              <w:jc w:val="center"/>
              <w:rPr>
                <w:color w:val="auto"/>
                <w:highlight w:val="none"/>
              </w:rPr>
            </w:pPr>
            <w:r>
              <w:rPr>
                <w:rFonts w:hint="eastAsia"/>
                <w:color w:val="auto"/>
                <w:kern w:val="2"/>
                <w:highlight w:val="none"/>
              </w:rPr>
              <w:t>采购文件咨询</w:t>
            </w:r>
          </w:p>
        </w:tc>
        <w:tc>
          <w:tcPr>
            <w:tcW w:w="6992" w:type="dxa"/>
            <w:tcBorders>
              <w:top w:val="single" w:color="auto" w:sz="8" w:space="0"/>
              <w:left w:val="single" w:color="auto" w:sz="8" w:space="0"/>
              <w:bottom w:val="single" w:color="auto" w:sz="4" w:space="0"/>
              <w:right w:val="single" w:color="auto" w:sz="18" w:space="0"/>
            </w:tcBorders>
            <w:shd w:val="clear" w:color="auto" w:fill="auto"/>
          </w:tcPr>
          <w:p>
            <w:pPr>
              <w:ind w:firstLine="0" w:firstLineChars="0"/>
              <w:rPr>
                <w:rFonts w:ascii="宋体" w:hAnsi="宋体" w:cs="宋体"/>
                <w:color w:val="auto"/>
                <w:szCs w:val="24"/>
                <w:highlight w:val="none"/>
              </w:rPr>
            </w:pPr>
            <w:r>
              <w:rPr>
                <w:rFonts w:hint="eastAsia" w:ascii="宋体" w:hAnsi="宋体" w:cs="宋体"/>
                <w:color w:val="auto"/>
                <w:szCs w:val="24"/>
                <w:highlight w:val="none"/>
              </w:rPr>
              <w:t>联系人：高老师</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联系电话：61032618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outlineLvl w:val="5"/>
              <w:rPr>
                <w:rFonts w:ascii="宋体" w:hAnsi="宋体" w:cs="宋体"/>
                <w:b/>
                <w:color w:val="auto"/>
                <w:szCs w:val="24"/>
                <w:highlight w:val="none"/>
              </w:rPr>
            </w:pPr>
            <w:r>
              <w:rPr>
                <w:rFonts w:hint="eastAsia" w:ascii="宋体" w:hAnsi="宋体" w:cs="宋体"/>
                <w:color w:val="auto"/>
                <w:szCs w:val="24"/>
                <w:highlight w:val="none"/>
              </w:rPr>
              <w:t>开标、评标工作咨询</w:t>
            </w:r>
          </w:p>
        </w:tc>
        <w:tc>
          <w:tcPr>
            <w:tcW w:w="6992" w:type="dxa"/>
            <w:tcBorders>
              <w:top w:val="single" w:color="auto" w:sz="4" w:space="0"/>
              <w:left w:val="single" w:color="auto" w:sz="8" w:space="0"/>
              <w:bottom w:val="single" w:color="auto" w:sz="4" w:space="0"/>
              <w:right w:val="single" w:color="auto" w:sz="18" w:space="0"/>
            </w:tcBorders>
            <w:shd w:val="clear" w:color="auto" w:fill="auto"/>
            <w:vAlign w:val="center"/>
          </w:tcPr>
          <w:p>
            <w:pPr>
              <w:ind w:firstLine="0" w:firstLineChars="0"/>
              <w:outlineLvl w:val="5"/>
              <w:rPr>
                <w:rFonts w:ascii="宋体" w:hAnsi="宋体" w:cs="宋体"/>
                <w:color w:val="auto"/>
                <w:kern w:val="0"/>
                <w:szCs w:val="24"/>
                <w:highlight w:val="none"/>
              </w:rPr>
            </w:pPr>
            <w:r>
              <w:rPr>
                <w:rFonts w:hint="eastAsia" w:ascii="宋体" w:hAnsi="宋体" w:cs="宋体"/>
                <w:color w:val="auto"/>
                <w:szCs w:val="24"/>
                <w:highlight w:val="none"/>
              </w:rPr>
              <w:t>联系人：高老师</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联系电话：61032618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中标通知书领取</w:t>
            </w:r>
          </w:p>
        </w:tc>
        <w:tc>
          <w:tcPr>
            <w:tcW w:w="6992" w:type="dxa"/>
            <w:tcBorders>
              <w:top w:val="single" w:color="auto" w:sz="4" w:space="0"/>
              <w:left w:val="single" w:color="auto" w:sz="8" w:space="0"/>
              <w:bottom w:val="single" w:color="auto" w:sz="4" w:space="0"/>
              <w:right w:val="single" w:color="auto" w:sz="18" w:space="0"/>
            </w:tcBorders>
            <w:shd w:val="clear" w:color="auto" w:fill="auto"/>
            <w:vAlign w:val="center"/>
          </w:tcPr>
          <w:p>
            <w:pPr>
              <w:tabs>
                <w:tab w:val="left" w:pos="7665"/>
              </w:tabs>
              <w:ind w:firstLine="0" w:firstLineChars="0"/>
              <w:rPr>
                <w:rFonts w:ascii="宋体" w:hAnsi="宋体" w:cs="宋体"/>
                <w:color w:val="auto"/>
                <w:szCs w:val="24"/>
                <w:highlight w:val="none"/>
              </w:rPr>
            </w:pPr>
            <w:r>
              <w:rPr>
                <w:rFonts w:hint="eastAsia" w:ascii="宋体" w:hAnsi="宋体" w:cs="宋体"/>
                <w:color w:val="auto"/>
                <w:szCs w:val="24"/>
                <w:highlight w:val="none"/>
              </w:rPr>
              <w:t>中标公告在四川政府采购网上公告后，中标供应商凭有效身份证明证件到四川世科工程咨询有限公司领取中标通知书。</w:t>
            </w:r>
          </w:p>
          <w:p>
            <w:pPr>
              <w:ind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联系人：</w:t>
            </w:r>
            <w:r>
              <w:rPr>
                <w:rFonts w:hint="eastAsia" w:ascii="宋体" w:hAnsi="宋体" w:cs="宋体"/>
                <w:color w:val="auto"/>
                <w:szCs w:val="24"/>
                <w:highlight w:val="none"/>
              </w:rPr>
              <w:t>李老师</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联系电话：</w:t>
            </w:r>
            <w:r>
              <w:rPr>
                <w:rFonts w:hint="eastAsia" w:ascii="宋体" w:hAnsi="宋体" w:cs="宋体"/>
                <w:color w:val="auto"/>
                <w:szCs w:val="24"/>
                <w:highlight w:val="none"/>
              </w:rPr>
              <w:t>61032618</w:t>
            </w:r>
          </w:p>
          <w:p>
            <w:pPr>
              <w:ind w:firstLine="0" w:firstLineChars="0"/>
              <w:rPr>
                <w:rFonts w:ascii="宋体" w:hAnsi="宋体" w:cs="宋体"/>
                <w:color w:val="auto"/>
                <w:szCs w:val="24"/>
                <w:highlight w:val="none"/>
              </w:rPr>
            </w:pPr>
            <w:r>
              <w:rPr>
                <w:rFonts w:hint="eastAsia" w:ascii="宋体" w:hAnsi="宋体" w:cs="宋体"/>
                <w:color w:val="auto"/>
                <w:szCs w:val="24"/>
                <w:highlight w:val="none"/>
                <w:lang w:val="zh-CN"/>
              </w:rPr>
              <w:t>地址：</w:t>
            </w:r>
            <w:r>
              <w:rPr>
                <w:rFonts w:hint="eastAsia" w:ascii="宋体" w:hAnsi="宋体" w:cs="宋体"/>
                <w:color w:val="auto"/>
                <w:szCs w:val="24"/>
                <w:highlight w:val="none"/>
              </w:rPr>
              <w:t>成都市高新区天府三街288号大有智慧广场迈普大厦10楼1010室</w:t>
            </w:r>
            <w:r>
              <w:rPr>
                <w:rFonts w:hint="eastAsia" w:ascii="宋体" w:hAnsi="宋体" w:cs="宋体"/>
                <w:color w:val="auto"/>
                <w:szCs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4" w:space="0"/>
              <w:left w:val="single" w:color="auto" w:sz="8" w:space="0"/>
              <w:bottom w:val="single" w:color="auto" w:sz="4" w:space="0"/>
              <w:right w:val="single" w:color="auto" w:sz="8" w:space="0"/>
            </w:tcBorders>
            <w:shd w:val="clear" w:color="auto" w:fill="auto"/>
          </w:tcPr>
          <w:p>
            <w:pPr>
              <w:pStyle w:val="152"/>
              <w:spacing w:line="360" w:lineRule="auto"/>
              <w:jc w:val="center"/>
              <w:rPr>
                <w:color w:val="auto"/>
                <w:kern w:val="2"/>
                <w:highlight w:val="none"/>
              </w:rPr>
            </w:pPr>
          </w:p>
          <w:p>
            <w:pPr>
              <w:pStyle w:val="152"/>
              <w:spacing w:line="360" w:lineRule="auto"/>
              <w:jc w:val="center"/>
              <w:rPr>
                <w:color w:val="auto"/>
                <w:highlight w:val="none"/>
              </w:rPr>
            </w:pPr>
            <w:r>
              <w:rPr>
                <w:rFonts w:hint="eastAsia"/>
                <w:color w:val="auto"/>
                <w:kern w:val="2"/>
                <w:highlight w:val="none"/>
              </w:rPr>
              <w:t>供应商询问、质疑</w:t>
            </w:r>
          </w:p>
        </w:tc>
        <w:tc>
          <w:tcPr>
            <w:tcW w:w="6992" w:type="dxa"/>
            <w:tcBorders>
              <w:top w:val="single" w:color="auto" w:sz="4" w:space="0"/>
              <w:left w:val="single" w:color="auto" w:sz="8" w:space="0"/>
              <w:bottom w:val="single" w:color="auto" w:sz="4" w:space="0"/>
              <w:right w:val="single" w:color="auto" w:sz="18" w:space="0"/>
            </w:tcBorders>
            <w:shd w:val="clear" w:color="auto" w:fill="auto"/>
          </w:tcPr>
          <w:p>
            <w:pPr>
              <w:numPr>
                <w:ilvl w:val="0"/>
                <w:numId w:val="9"/>
              </w:numPr>
              <w:ind w:firstLine="0" w:firstLineChars="0"/>
              <w:rPr>
                <w:rFonts w:ascii="宋体" w:hAnsi="宋体" w:cs="宋体"/>
                <w:color w:val="auto"/>
                <w:szCs w:val="24"/>
                <w:highlight w:val="none"/>
                <w:lang w:val="zh-CN"/>
              </w:rPr>
            </w:pPr>
            <w:r>
              <w:rPr>
                <w:rFonts w:hint="eastAsia" w:ascii="宋体" w:hAnsi="宋体" w:cs="宋体"/>
                <w:color w:val="auto"/>
                <w:szCs w:val="24"/>
                <w:highlight w:val="none"/>
              </w:rPr>
              <w:t>询问：根据委托代理协议约定，供应商询问由四川世科工程咨询有限公司</w:t>
            </w:r>
            <w:r>
              <w:rPr>
                <w:rFonts w:hint="eastAsia" w:ascii="宋体" w:hAnsi="宋体" w:cs="宋体"/>
                <w:color w:val="auto"/>
                <w:szCs w:val="24"/>
                <w:highlight w:val="none"/>
                <w:lang w:val="zh-CN"/>
              </w:rPr>
              <w:t>负责答复。</w:t>
            </w:r>
          </w:p>
          <w:p>
            <w:pPr>
              <w:numPr>
                <w:ilvl w:val="0"/>
                <w:numId w:val="9"/>
              </w:numPr>
              <w:ind w:firstLine="0" w:firstLineChars="0"/>
              <w:rPr>
                <w:rFonts w:ascii="宋体" w:hAnsi="宋体" w:cs="宋体"/>
                <w:color w:val="auto"/>
                <w:szCs w:val="24"/>
                <w:highlight w:val="none"/>
                <w:lang w:val="zh-CN"/>
              </w:rPr>
            </w:pPr>
            <w:r>
              <w:rPr>
                <w:rFonts w:hint="eastAsia" w:ascii="宋体" w:hAnsi="宋体" w:cs="宋体"/>
                <w:color w:val="auto"/>
                <w:szCs w:val="24"/>
                <w:highlight w:val="none"/>
              </w:rPr>
              <w:t>质疑：根据委托代理协议约定，对于采购文件的质疑由四川世科工程咨询有限公司</w:t>
            </w:r>
            <w:r>
              <w:rPr>
                <w:rFonts w:hint="eastAsia" w:ascii="宋体" w:hAnsi="宋体" w:cs="宋体"/>
                <w:color w:val="auto"/>
                <w:szCs w:val="24"/>
                <w:highlight w:val="none"/>
                <w:lang w:val="zh-CN"/>
              </w:rPr>
              <w:t>负责答复；对于采购过程</w:t>
            </w:r>
            <w:r>
              <w:rPr>
                <w:rFonts w:hint="eastAsia" w:ascii="宋体" w:hAnsi="宋体" w:cs="宋体"/>
                <w:color w:val="auto"/>
                <w:szCs w:val="24"/>
                <w:highlight w:val="none"/>
              </w:rPr>
              <w:t>的质疑由四川世科工程咨询有限公司</w:t>
            </w:r>
            <w:r>
              <w:rPr>
                <w:rFonts w:hint="eastAsia" w:ascii="宋体" w:hAnsi="宋体" w:cs="宋体"/>
                <w:color w:val="auto"/>
                <w:szCs w:val="24"/>
                <w:highlight w:val="none"/>
                <w:lang w:val="zh-CN"/>
              </w:rPr>
              <w:t>负责答复；对于采购结果</w:t>
            </w:r>
            <w:r>
              <w:rPr>
                <w:rFonts w:hint="eastAsia" w:ascii="宋体" w:hAnsi="宋体" w:cs="宋体"/>
                <w:color w:val="auto"/>
                <w:szCs w:val="24"/>
                <w:highlight w:val="none"/>
              </w:rPr>
              <w:t>的质疑由四川世科工程咨询有限公司</w:t>
            </w:r>
            <w:r>
              <w:rPr>
                <w:rFonts w:hint="eastAsia" w:ascii="宋体" w:hAnsi="宋体" w:cs="宋体"/>
                <w:color w:val="auto"/>
                <w:szCs w:val="24"/>
                <w:highlight w:val="none"/>
                <w:lang w:val="zh-CN"/>
              </w:rPr>
              <w:t>负责答复</w:t>
            </w:r>
            <w:r>
              <w:rPr>
                <w:rFonts w:hint="eastAsia" w:ascii="宋体" w:hAnsi="宋体" w:cs="宋体"/>
                <w:color w:val="auto"/>
                <w:szCs w:val="24"/>
                <w:highlight w:val="none"/>
              </w:rPr>
              <w:t>。</w:t>
            </w:r>
          </w:p>
          <w:p>
            <w:pPr>
              <w:ind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联系人：</w:t>
            </w:r>
            <w:r>
              <w:rPr>
                <w:rFonts w:hint="eastAsia" w:ascii="宋体" w:hAnsi="宋体" w:cs="宋体"/>
                <w:color w:val="auto"/>
                <w:szCs w:val="24"/>
                <w:highlight w:val="none"/>
              </w:rPr>
              <w:t>李老师</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联系电话：</w:t>
            </w:r>
            <w:r>
              <w:rPr>
                <w:rFonts w:hint="eastAsia" w:ascii="宋体" w:hAnsi="宋体" w:cs="宋体"/>
                <w:color w:val="auto"/>
                <w:szCs w:val="24"/>
                <w:highlight w:val="none"/>
              </w:rPr>
              <w:t>61032618</w:t>
            </w:r>
          </w:p>
          <w:p>
            <w:pPr>
              <w:ind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地址：</w:t>
            </w:r>
            <w:r>
              <w:rPr>
                <w:rFonts w:hint="eastAsia" w:ascii="宋体" w:hAnsi="宋体" w:cs="宋体"/>
                <w:color w:val="auto"/>
                <w:szCs w:val="24"/>
                <w:highlight w:val="none"/>
              </w:rPr>
              <w:t>成都市高新区天府三街288号大有智慧广场迈普大厦10楼1010室</w:t>
            </w:r>
            <w:r>
              <w:rPr>
                <w:rFonts w:hint="eastAsia" w:ascii="宋体" w:hAnsi="宋体" w:cs="宋体"/>
                <w:color w:val="auto"/>
                <w:szCs w:val="24"/>
                <w:highlight w:val="none"/>
                <w:lang w:val="zh-CN"/>
              </w:rPr>
              <w:t>。</w:t>
            </w:r>
          </w:p>
          <w:p>
            <w:pPr>
              <w:ind w:firstLine="0" w:firstLineChars="0"/>
              <w:rPr>
                <w:rFonts w:ascii="宋体" w:hAnsi="宋体" w:cs="宋体"/>
                <w:color w:val="auto"/>
                <w:szCs w:val="24"/>
                <w:highlight w:val="none"/>
                <w:lang w:val="zh-CN"/>
              </w:rPr>
            </w:pPr>
            <w:r>
              <w:rPr>
                <w:rFonts w:hint="eastAsia" w:ascii="宋体" w:hAnsi="宋体" w:cs="宋体"/>
                <w:color w:val="auto"/>
                <w:szCs w:val="24"/>
                <w:highlight w:val="none"/>
              </w:rPr>
              <w:t>邮编：610020</w:t>
            </w:r>
            <w:r>
              <w:rPr>
                <w:rFonts w:hint="eastAsia" w:ascii="宋体" w:hAnsi="宋体" w:cs="宋体"/>
                <w:color w:val="auto"/>
                <w:szCs w:val="24"/>
                <w:highlight w:val="none"/>
                <w:lang w:val="zh-CN"/>
              </w:rPr>
              <w:t>。</w:t>
            </w:r>
          </w:p>
          <w:p>
            <w:pPr>
              <w:ind w:firstLine="0" w:firstLineChars="0"/>
              <w:rPr>
                <w:rFonts w:ascii="宋体" w:hAnsi="宋体" w:cs="宋体"/>
                <w:color w:val="auto"/>
                <w:szCs w:val="24"/>
                <w:highlight w:val="none"/>
              </w:rPr>
            </w:pPr>
            <w:r>
              <w:rPr>
                <w:rFonts w:hint="eastAsia" w:ascii="宋体" w:hAnsi="宋体" w:cs="宋体"/>
                <w:color w:val="auto"/>
                <w:szCs w:val="24"/>
                <w:highlight w:val="none"/>
              </w:rPr>
              <w:t>注：根据《中华人民共和国政府采购法》的规定，供应商质疑不得超出采购文件、采购过程、采购结果的范围。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3"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4" w:space="0"/>
              <w:left w:val="single" w:color="auto" w:sz="8" w:space="0"/>
              <w:bottom w:val="single" w:color="auto" w:sz="4" w:space="0"/>
              <w:right w:val="single" w:color="auto" w:sz="8" w:space="0"/>
            </w:tcBorders>
            <w:shd w:val="clear" w:color="auto" w:fill="auto"/>
            <w:vAlign w:val="center"/>
          </w:tcPr>
          <w:p>
            <w:pPr>
              <w:pStyle w:val="152"/>
              <w:spacing w:line="360" w:lineRule="auto"/>
              <w:jc w:val="center"/>
              <w:rPr>
                <w:color w:val="auto"/>
                <w:highlight w:val="none"/>
              </w:rPr>
            </w:pPr>
            <w:r>
              <w:rPr>
                <w:rFonts w:hint="eastAsia"/>
                <w:color w:val="auto"/>
                <w:kern w:val="2"/>
                <w:highlight w:val="none"/>
              </w:rPr>
              <w:t>供应商投诉</w:t>
            </w:r>
          </w:p>
        </w:tc>
        <w:tc>
          <w:tcPr>
            <w:tcW w:w="6992" w:type="dxa"/>
            <w:tcBorders>
              <w:top w:val="single" w:color="auto" w:sz="4" w:space="0"/>
              <w:left w:val="single" w:color="auto" w:sz="8" w:space="0"/>
              <w:bottom w:val="single" w:color="auto" w:sz="4" w:space="0"/>
              <w:right w:val="single" w:color="auto" w:sz="18" w:space="0"/>
            </w:tcBorders>
            <w:shd w:val="clear" w:color="auto" w:fill="auto"/>
          </w:tcPr>
          <w:p>
            <w:pPr>
              <w:ind w:firstLine="0" w:firstLineChars="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投诉受理单位：本采购项目同级财政部门</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4" w:space="0"/>
              <w:left w:val="single" w:color="auto" w:sz="8" w:space="0"/>
              <w:bottom w:val="single" w:color="auto" w:sz="4" w:space="0"/>
              <w:right w:val="single" w:color="auto" w:sz="8" w:space="0"/>
            </w:tcBorders>
            <w:shd w:val="clear" w:color="auto" w:fill="auto"/>
            <w:vAlign w:val="center"/>
          </w:tcPr>
          <w:p>
            <w:pPr>
              <w:pStyle w:val="152"/>
              <w:wordWrap w:val="0"/>
              <w:topLinePunct/>
              <w:spacing w:line="360" w:lineRule="auto"/>
              <w:jc w:val="center"/>
              <w:rPr>
                <w:color w:val="auto"/>
                <w:highlight w:val="none"/>
              </w:rPr>
            </w:pPr>
            <w:r>
              <w:rPr>
                <w:rFonts w:hint="eastAsia"/>
                <w:bCs/>
                <w:color w:val="auto"/>
                <w:highlight w:val="none"/>
                <w:lang w:val="zh-CN"/>
              </w:rPr>
              <w:t>开标时递交的资料</w:t>
            </w:r>
          </w:p>
        </w:tc>
        <w:tc>
          <w:tcPr>
            <w:tcW w:w="6992" w:type="dxa"/>
            <w:tcBorders>
              <w:top w:val="single" w:color="auto" w:sz="4" w:space="0"/>
              <w:left w:val="single" w:color="auto" w:sz="8" w:space="0"/>
              <w:bottom w:val="single" w:color="auto" w:sz="4" w:space="0"/>
              <w:right w:val="single" w:color="auto" w:sz="18" w:space="0"/>
            </w:tcBorders>
            <w:shd w:val="clear" w:color="auto" w:fill="auto"/>
            <w:vAlign w:val="center"/>
          </w:tcPr>
          <w:p>
            <w:pPr>
              <w:wordWrap w:val="0"/>
              <w:topLinePunct/>
              <w:autoSpaceDE w:val="0"/>
              <w:autoSpaceDN w:val="0"/>
              <w:adjustRightInd w:val="0"/>
              <w:ind w:firstLine="0" w:firstLineChars="0"/>
              <w:rPr>
                <w:rFonts w:ascii="宋体" w:hAnsi="宋体" w:cs="宋体"/>
                <w:bCs/>
                <w:color w:val="auto"/>
                <w:szCs w:val="24"/>
                <w:highlight w:val="none"/>
                <w:lang w:val="zh-CN"/>
              </w:rPr>
            </w:pPr>
            <w:r>
              <w:rPr>
                <w:rFonts w:hint="eastAsia" w:ascii="宋体" w:hAnsi="宋体" w:cs="宋体"/>
                <w:bCs/>
                <w:color w:val="auto"/>
                <w:szCs w:val="24"/>
                <w:highlight w:val="none"/>
                <w:lang w:val="zh-CN"/>
              </w:rPr>
              <w:t>(1)开标一览表</w:t>
            </w:r>
            <w:r>
              <w:rPr>
                <w:rFonts w:hint="eastAsia" w:ascii="宋体" w:hAnsi="宋体" w:cs="宋体"/>
                <w:bCs/>
                <w:color w:val="auto"/>
                <w:szCs w:val="24"/>
                <w:highlight w:val="none"/>
              </w:rPr>
              <w:t>1</w:t>
            </w:r>
            <w:r>
              <w:rPr>
                <w:rFonts w:hint="eastAsia" w:ascii="宋体" w:hAnsi="宋体" w:cs="宋体"/>
                <w:bCs/>
                <w:color w:val="auto"/>
                <w:szCs w:val="24"/>
                <w:highlight w:val="none"/>
                <w:lang w:val="zh-CN"/>
              </w:rPr>
              <w:t>份（单独密封）；</w:t>
            </w:r>
          </w:p>
          <w:p>
            <w:pPr>
              <w:wordWrap w:val="0"/>
              <w:topLinePunct/>
              <w:autoSpaceDE w:val="0"/>
              <w:autoSpaceDN w:val="0"/>
              <w:adjustRightInd w:val="0"/>
              <w:ind w:firstLine="0" w:firstLineChars="0"/>
              <w:rPr>
                <w:rFonts w:ascii="宋体" w:hAnsi="宋体" w:cs="宋体"/>
                <w:bCs/>
                <w:color w:val="auto"/>
                <w:szCs w:val="24"/>
                <w:highlight w:val="none"/>
                <w:lang w:val="zh-CN"/>
              </w:rPr>
            </w:pPr>
            <w:r>
              <w:rPr>
                <w:rFonts w:hint="eastAsia" w:ascii="宋体" w:hAnsi="宋体" w:cs="宋体"/>
                <w:bCs/>
                <w:color w:val="auto"/>
                <w:szCs w:val="24"/>
                <w:highlight w:val="none"/>
                <w:lang w:val="zh-CN"/>
              </w:rPr>
              <w:t>(2)资格性响应文件一正两副；技术、服务性响应文件一正两副(副本可采用正本的复印件)；</w:t>
            </w:r>
          </w:p>
          <w:p>
            <w:pPr>
              <w:pStyle w:val="2"/>
              <w:spacing w:line="360" w:lineRule="auto"/>
              <w:ind w:firstLine="0" w:firstLineChars="0"/>
              <w:rPr>
                <w:rFonts w:ascii="宋体" w:hAnsi="宋体" w:cs="宋体"/>
                <w:bCs/>
                <w:color w:val="auto"/>
                <w:szCs w:val="24"/>
                <w:highlight w:val="none"/>
              </w:rPr>
            </w:pPr>
            <w:r>
              <w:rPr>
                <w:rFonts w:hint="eastAsia" w:ascii="宋体" w:hAnsi="宋体" w:cs="宋体"/>
                <w:bCs/>
                <w:color w:val="auto"/>
                <w:szCs w:val="24"/>
                <w:highlight w:val="none"/>
              </w:rPr>
              <w:t>(3)电子文档1份；</w:t>
            </w:r>
          </w:p>
          <w:p>
            <w:pPr>
              <w:pStyle w:val="2"/>
              <w:spacing w:line="360" w:lineRule="auto"/>
              <w:ind w:firstLine="0" w:firstLineChars="0"/>
              <w:rPr>
                <w:rFonts w:ascii="宋体" w:hAnsi="宋体" w:cs="宋体"/>
                <w:color w:val="auto"/>
                <w:szCs w:val="24"/>
                <w:highlight w:val="none"/>
              </w:rPr>
            </w:pPr>
            <w:r>
              <w:rPr>
                <w:rFonts w:hint="eastAsia" w:ascii="宋体" w:hAnsi="宋体" w:cs="宋体"/>
                <w:color w:val="auto"/>
                <w:szCs w:val="24"/>
                <w:highlight w:val="none"/>
                <w:shd w:val="clear" w:color="auto" w:fill="FFFFFF"/>
              </w:rPr>
              <w:t>逾期送达或者未按照招标文件要求密封的投标文件和开标一览表将被拒收。</w:t>
            </w:r>
            <w:r>
              <w:rPr>
                <w:rFonts w:hint="eastAsia" w:ascii="宋体" w:hAnsi="宋体" w:cs="宋体"/>
                <w:bCs/>
                <w:color w:val="auto"/>
                <w:szCs w:val="24"/>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outlineLvl w:val="5"/>
              <w:rPr>
                <w:rFonts w:ascii="宋体" w:hAnsi="宋体" w:cs="宋体"/>
                <w:color w:val="auto"/>
                <w:szCs w:val="24"/>
                <w:highlight w:val="none"/>
              </w:rPr>
            </w:pPr>
            <w:r>
              <w:rPr>
                <w:rFonts w:hint="eastAsia" w:ascii="宋体" w:hAnsi="宋体" w:cs="宋体"/>
                <w:color w:val="auto"/>
                <w:szCs w:val="24"/>
                <w:highlight w:val="none"/>
                <w:lang w:val="zh-CN"/>
              </w:rPr>
              <w:t>招标代理服务费</w:t>
            </w:r>
          </w:p>
        </w:tc>
        <w:tc>
          <w:tcPr>
            <w:tcW w:w="6992" w:type="dxa"/>
            <w:tcBorders>
              <w:top w:val="single" w:color="auto" w:sz="4" w:space="0"/>
              <w:left w:val="single" w:color="auto" w:sz="8" w:space="0"/>
              <w:bottom w:val="single" w:color="auto" w:sz="4" w:space="0"/>
              <w:right w:val="single" w:color="auto" w:sz="18" w:space="0"/>
            </w:tcBorders>
            <w:shd w:val="clear" w:color="auto" w:fill="auto"/>
            <w:vAlign w:val="center"/>
          </w:tcPr>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en-US" w:eastAsia="zh-CN"/>
              </w:rPr>
              <w:t>各包</w:t>
            </w:r>
            <w:r>
              <w:rPr>
                <w:rFonts w:hint="eastAsia" w:ascii="宋体" w:hAnsi="宋体" w:cs="宋体"/>
                <w:color w:val="auto"/>
                <w:szCs w:val="24"/>
                <w:highlight w:val="none"/>
                <w:lang w:val="zh-CN"/>
              </w:rPr>
              <w:t>《招标代理服务收费管理暂行办法》（计价格[2002]1980号）标准</w:t>
            </w:r>
            <w:r>
              <w:rPr>
                <w:rFonts w:hint="eastAsia" w:ascii="宋体" w:hAnsi="宋体" w:cs="宋体"/>
                <w:color w:val="auto"/>
                <w:szCs w:val="24"/>
                <w:highlight w:val="none"/>
                <w:lang w:val="en-US" w:eastAsia="zh-CN"/>
              </w:rPr>
              <w:t>×服务年限</w:t>
            </w:r>
            <w:r>
              <w:rPr>
                <w:rFonts w:hint="eastAsia" w:ascii="宋体" w:hAnsi="宋体" w:cs="宋体"/>
                <w:color w:val="auto"/>
                <w:szCs w:val="24"/>
                <w:highlight w:val="none"/>
              </w:rPr>
              <w:t>收取</w:t>
            </w:r>
            <w:r>
              <w:rPr>
                <w:rFonts w:hint="eastAsia" w:ascii="宋体" w:hAnsi="宋体" w:cs="宋体"/>
                <w:color w:val="auto"/>
                <w:szCs w:val="24"/>
                <w:highlight w:val="none"/>
                <w:lang w:val="zh-CN"/>
              </w:rPr>
              <w:t>，由各包中标人领取中标通知书前支付。可采取现金支付或银行转账。银行转账相关信息如下：</w:t>
            </w:r>
          </w:p>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开户单位：四川世科工程咨询有限公司</w:t>
            </w:r>
          </w:p>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开户银行：中国建设银行股份有限公司双流分行</w:t>
            </w:r>
          </w:p>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银行帐号：5100 1527 9080 5152 8329</w:t>
            </w:r>
          </w:p>
          <w:p>
            <w:pPr>
              <w:ind w:firstLine="0" w:firstLineChars="0"/>
              <w:outlineLvl w:val="5"/>
              <w:rPr>
                <w:rFonts w:ascii="宋体" w:hAnsi="宋体" w:cs="宋体"/>
                <w:color w:val="auto"/>
                <w:szCs w:val="24"/>
                <w:highlight w:val="none"/>
              </w:rPr>
            </w:pPr>
            <w:r>
              <w:rPr>
                <w:rFonts w:hint="eastAsia" w:ascii="宋体" w:hAnsi="宋体" w:cs="宋体"/>
                <w:color w:val="auto"/>
                <w:szCs w:val="24"/>
                <w:highlight w:val="none"/>
                <w:lang w:val="zh-CN"/>
              </w:rPr>
              <w:t>转账事由： 5101122020000053项目成交服务费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630"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outlineLvl w:val="5"/>
              <w:rPr>
                <w:rFonts w:ascii="宋体" w:hAnsi="宋体" w:cs="宋体"/>
                <w:color w:val="auto"/>
                <w:szCs w:val="24"/>
                <w:highlight w:val="none"/>
                <w:lang w:val="zh-CN"/>
              </w:rPr>
            </w:pPr>
            <w:r>
              <w:rPr>
                <w:rFonts w:hint="eastAsia" w:ascii="宋体" w:hAnsi="宋体" w:cs="宋体"/>
                <w:color w:val="auto"/>
                <w:szCs w:val="24"/>
                <w:highlight w:val="none"/>
                <w:lang w:val="zh-CN"/>
              </w:rPr>
              <w:t>信用融资</w:t>
            </w:r>
          </w:p>
        </w:tc>
        <w:tc>
          <w:tcPr>
            <w:tcW w:w="6992" w:type="dxa"/>
            <w:tcBorders>
              <w:top w:val="single" w:color="auto" w:sz="4" w:space="0"/>
              <w:left w:val="single" w:color="auto" w:sz="8" w:space="0"/>
              <w:bottom w:val="single" w:color="auto" w:sz="4" w:space="0"/>
              <w:right w:val="single" w:color="auto" w:sz="18" w:space="0"/>
            </w:tcBorders>
            <w:shd w:val="clear" w:color="auto" w:fill="auto"/>
            <w:vAlign w:val="center"/>
          </w:tcPr>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bl>
    <w:p>
      <w:pPr>
        <w:pStyle w:val="4"/>
        <w:rPr>
          <w:color w:val="auto"/>
          <w:highlight w:val="none"/>
        </w:rPr>
      </w:pPr>
      <w:bookmarkStart w:id="34" w:name="_Toc16084"/>
      <w:bookmarkStart w:id="35" w:name="_Toc23165"/>
      <w:bookmarkStart w:id="36" w:name="_Toc19680"/>
      <w:bookmarkStart w:id="37" w:name="_Toc18174"/>
      <w:r>
        <w:rPr>
          <w:rFonts w:hint="eastAsia"/>
          <w:color w:val="auto"/>
          <w:highlight w:val="none"/>
        </w:rPr>
        <w:t>总则</w:t>
      </w:r>
      <w:bookmarkEnd w:id="34"/>
      <w:bookmarkEnd w:id="35"/>
      <w:bookmarkEnd w:id="36"/>
      <w:bookmarkEnd w:id="37"/>
    </w:p>
    <w:p>
      <w:pPr>
        <w:pStyle w:val="5"/>
        <w:ind w:firstLine="494"/>
        <w:rPr>
          <w:color w:val="auto"/>
          <w:highlight w:val="none"/>
        </w:rPr>
      </w:pPr>
      <w:bookmarkStart w:id="38" w:name="_Toc26659"/>
      <w:r>
        <w:rPr>
          <w:rFonts w:hint="eastAsia"/>
          <w:color w:val="auto"/>
          <w:highlight w:val="none"/>
        </w:rPr>
        <w:t>适用范围</w:t>
      </w:r>
      <w:bookmarkEnd w:id="38"/>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  本招标文件仅适用于本次公开招标所叙述的货物以及服务采购项目。</w:t>
      </w:r>
    </w:p>
    <w:p>
      <w:pPr>
        <w:pStyle w:val="5"/>
        <w:ind w:firstLine="494"/>
        <w:rPr>
          <w:color w:val="auto"/>
          <w:highlight w:val="none"/>
        </w:rPr>
      </w:pPr>
      <w:bookmarkStart w:id="39" w:name="_Toc31167"/>
      <w:r>
        <w:rPr>
          <w:rFonts w:hint="eastAsia"/>
          <w:color w:val="auto"/>
          <w:highlight w:val="none"/>
        </w:rPr>
        <w:t>有关定义</w:t>
      </w:r>
      <w:bookmarkEnd w:id="39"/>
    </w:p>
    <w:p>
      <w:pPr>
        <w:numPr>
          <w:ilvl w:val="0"/>
          <w:numId w:val="1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“采购人”和“甲方”系指依法进行政府采购的国家机关、事业单位、团体组织。本次招标的采购人是</w:t>
      </w:r>
      <w:r>
        <w:rPr>
          <w:rFonts w:hint="eastAsia" w:ascii="宋体" w:hAnsi="宋体" w:cs="宋体"/>
          <w:b/>
          <w:color w:val="auto"/>
          <w:szCs w:val="24"/>
          <w:highlight w:val="none"/>
          <w:lang w:eastAsia="zh-CN"/>
        </w:rPr>
        <w:t>成都市龙泉驿区城市绿地建设管理中心</w:t>
      </w:r>
      <w:r>
        <w:rPr>
          <w:rFonts w:hint="eastAsia" w:ascii="宋体" w:hAnsi="宋体" w:cs="宋体"/>
          <w:color w:val="auto"/>
          <w:szCs w:val="24"/>
          <w:highlight w:val="none"/>
        </w:rPr>
        <w:t>。</w:t>
      </w:r>
    </w:p>
    <w:p>
      <w:pPr>
        <w:numPr>
          <w:ilvl w:val="0"/>
          <w:numId w:val="1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“采购代理机构” 系指根据采购人的委托依法办理招标事宜的采购机构。本次招标的采购代理机构是</w:t>
      </w:r>
      <w:r>
        <w:rPr>
          <w:rFonts w:hint="eastAsia" w:ascii="宋体" w:hAnsi="宋体" w:cs="宋体"/>
          <w:b/>
          <w:bCs/>
          <w:color w:val="auto"/>
          <w:szCs w:val="24"/>
          <w:highlight w:val="none"/>
        </w:rPr>
        <w:t>四川世科工程咨询有限公司</w:t>
      </w:r>
      <w:r>
        <w:rPr>
          <w:rFonts w:hint="eastAsia" w:ascii="宋体" w:hAnsi="宋体" w:cs="宋体"/>
          <w:color w:val="auto"/>
          <w:szCs w:val="24"/>
          <w:highlight w:val="none"/>
        </w:rPr>
        <w:t>。</w:t>
      </w:r>
    </w:p>
    <w:p>
      <w:pPr>
        <w:numPr>
          <w:ilvl w:val="0"/>
          <w:numId w:val="1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“招标采购单位”系指“采购人”和“采购代理机构”的统称。</w:t>
      </w:r>
    </w:p>
    <w:p>
      <w:pPr>
        <w:numPr>
          <w:ilvl w:val="0"/>
          <w:numId w:val="1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“投标人”系指</w:t>
      </w:r>
      <w:r>
        <w:rPr>
          <w:rFonts w:hint="eastAsia" w:ascii="宋体" w:hAnsi="宋体" w:cs="宋体"/>
          <w:color w:val="auto"/>
          <w:szCs w:val="24"/>
          <w:highlight w:val="none"/>
          <w:lang w:eastAsia="zh-CN"/>
        </w:rPr>
        <w:t>获取</w:t>
      </w:r>
      <w:r>
        <w:rPr>
          <w:rFonts w:hint="eastAsia" w:ascii="宋体" w:hAnsi="宋体" w:cs="宋体"/>
          <w:color w:val="auto"/>
          <w:szCs w:val="24"/>
          <w:highlight w:val="none"/>
        </w:rPr>
        <w:t>了招标文件拟参加投标和向采购人提供货物及服务的供应商，“乙方”系指中标的供应商。</w:t>
      </w:r>
    </w:p>
    <w:p>
      <w:pPr>
        <w:pStyle w:val="5"/>
        <w:ind w:firstLine="494"/>
        <w:rPr>
          <w:color w:val="auto"/>
          <w:highlight w:val="none"/>
        </w:rPr>
      </w:pPr>
      <w:bookmarkStart w:id="40" w:name="_Toc22451"/>
      <w:bookmarkStart w:id="41" w:name="_Toc183582207"/>
      <w:bookmarkStart w:id="42" w:name="_Toc217446036"/>
      <w:bookmarkStart w:id="43" w:name="_Toc217390843"/>
      <w:bookmarkStart w:id="44" w:name="_Toc183682344"/>
      <w:r>
        <w:rPr>
          <w:rFonts w:hint="eastAsia"/>
          <w:color w:val="auto"/>
          <w:highlight w:val="none"/>
        </w:rPr>
        <w:t>合格的投标人</w:t>
      </w:r>
      <w:bookmarkEnd w:id="40"/>
      <w:bookmarkEnd w:id="41"/>
      <w:bookmarkEnd w:id="42"/>
      <w:bookmarkEnd w:id="43"/>
      <w:bookmarkEnd w:id="44"/>
      <w:r>
        <w:rPr>
          <w:rFonts w:hint="eastAsia"/>
          <w:color w:val="auto"/>
          <w:highlight w:val="none"/>
        </w:rPr>
        <w:t>（实质性要求）</w:t>
      </w:r>
    </w:p>
    <w:p>
      <w:pPr>
        <w:tabs>
          <w:tab w:val="left" w:pos="7665"/>
        </w:tabs>
        <w:ind w:firstLine="492"/>
        <w:rPr>
          <w:rFonts w:ascii="宋体" w:hAnsi="宋体" w:cs="宋体"/>
          <w:color w:val="auto"/>
          <w:szCs w:val="24"/>
          <w:highlight w:val="none"/>
        </w:rPr>
      </w:pPr>
      <w:r>
        <w:rPr>
          <w:rFonts w:hint="eastAsia" w:ascii="宋体" w:hAnsi="宋体" w:cs="宋体"/>
          <w:color w:val="auto"/>
          <w:szCs w:val="24"/>
          <w:highlight w:val="none"/>
        </w:rPr>
        <w:t>合格的投标人应具备以下条件：</w:t>
      </w:r>
    </w:p>
    <w:p>
      <w:pPr>
        <w:numPr>
          <w:ilvl w:val="0"/>
          <w:numId w:val="1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本招标文件规定的供应商资格条件；</w:t>
      </w:r>
    </w:p>
    <w:p>
      <w:pPr>
        <w:numPr>
          <w:ilvl w:val="0"/>
          <w:numId w:val="1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向采购代理机构</w:t>
      </w:r>
      <w:r>
        <w:rPr>
          <w:rFonts w:hint="eastAsia" w:ascii="宋体" w:hAnsi="宋体" w:cs="宋体"/>
          <w:color w:val="auto"/>
          <w:szCs w:val="24"/>
          <w:highlight w:val="none"/>
          <w:lang w:eastAsia="zh-CN"/>
        </w:rPr>
        <w:t>获取</w:t>
      </w:r>
      <w:r>
        <w:rPr>
          <w:rFonts w:hint="eastAsia" w:ascii="宋体" w:hAnsi="宋体" w:cs="宋体"/>
          <w:color w:val="auto"/>
          <w:szCs w:val="24"/>
          <w:highlight w:val="none"/>
        </w:rPr>
        <w:t>了招标文件并登记备案；</w:t>
      </w:r>
    </w:p>
    <w:p>
      <w:pPr>
        <w:numPr>
          <w:ilvl w:val="0"/>
          <w:numId w:val="1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遵守国家有关的法律、法规、规章和其他政策制度；</w:t>
      </w:r>
    </w:p>
    <w:p>
      <w:pPr>
        <w:numPr>
          <w:ilvl w:val="0"/>
          <w:numId w:val="1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招标文件和法律、行政法规规定的其他条件。</w:t>
      </w:r>
    </w:p>
    <w:p>
      <w:pPr>
        <w:pStyle w:val="5"/>
        <w:ind w:firstLine="494"/>
        <w:rPr>
          <w:color w:val="auto"/>
          <w:highlight w:val="none"/>
        </w:rPr>
      </w:pPr>
      <w:bookmarkStart w:id="45" w:name="_Toc32306"/>
      <w:r>
        <w:rPr>
          <w:rFonts w:hint="eastAsia"/>
          <w:color w:val="auto"/>
          <w:highlight w:val="none"/>
        </w:rPr>
        <w:t>拒绝参加本次采购活动的供应商</w:t>
      </w:r>
      <w:bookmarkEnd w:id="45"/>
    </w:p>
    <w:p>
      <w:pPr>
        <w:ind w:firstLine="492"/>
        <w:rPr>
          <w:rFonts w:ascii="宋体" w:hAnsi="宋体" w:cs="宋体"/>
          <w:color w:val="auto"/>
          <w:szCs w:val="24"/>
          <w:highlight w:val="none"/>
        </w:rPr>
      </w:pPr>
      <w:r>
        <w:rPr>
          <w:rFonts w:hint="eastAsia" w:ascii="宋体" w:hAnsi="宋体" w:cs="宋体"/>
          <w:color w:val="auto"/>
          <w:szCs w:val="24"/>
          <w:highlight w:val="none"/>
        </w:rPr>
        <w:t>根据《关于在政府采购活动中查询及使用信用记录有关问题的通知》（财库〔2016〕125号）的要求，</w:t>
      </w:r>
      <w:r>
        <w:rPr>
          <w:rFonts w:hint="eastAsia" w:ascii="宋体" w:hAnsi="宋体" w:cs="宋体"/>
          <w:b/>
          <w:bCs/>
          <w:color w:val="auto"/>
          <w:szCs w:val="24"/>
          <w:highlight w:val="none"/>
        </w:rPr>
        <w:t>本代理机构将通过“信用中国”网站、“中国政府采购网”等网站查询供应商在报名之日前的信用记录，</w:t>
      </w:r>
      <w:r>
        <w:rPr>
          <w:rFonts w:hint="eastAsia" w:ascii="宋体" w:hAnsi="宋体" w:cs="宋体"/>
          <w:color w:val="auto"/>
          <w:szCs w:val="24"/>
          <w:highlight w:val="none"/>
        </w:rPr>
        <w:t xml:space="preserve">将以纸质截图或将截图保存至电子介质的形式留存。拒绝列入失信被执行人、重大税收违法案件当事人名单、政府采购严重违法失信行为记录名单中的供应商报名参加本项目的采购活动。若因供应商为事业单位、团体组织、自然人等原因，在“信用中国”网站等渠道未查询到信息的，视为未被列入失信记录。  </w:t>
      </w:r>
    </w:p>
    <w:p>
      <w:pPr>
        <w:pStyle w:val="5"/>
        <w:ind w:firstLine="494"/>
        <w:rPr>
          <w:color w:val="auto"/>
          <w:highlight w:val="none"/>
        </w:rPr>
      </w:pPr>
      <w:bookmarkStart w:id="46" w:name="_Toc8079"/>
      <w:r>
        <w:rPr>
          <w:rFonts w:hint="eastAsia"/>
          <w:color w:val="auto"/>
          <w:highlight w:val="none"/>
        </w:rPr>
        <w:t>投标费用</w:t>
      </w:r>
      <w:bookmarkEnd w:id="46"/>
      <w:r>
        <w:rPr>
          <w:rFonts w:hint="eastAsia"/>
          <w:color w:val="auto"/>
          <w:highlight w:val="none"/>
        </w:rPr>
        <w:t>（实质性要求）</w:t>
      </w:r>
    </w:p>
    <w:p>
      <w:pPr>
        <w:ind w:firstLine="492"/>
        <w:rPr>
          <w:color w:val="auto"/>
          <w:highlight w:val="none"/>
        </w:rPr>
      </w:pPr>
      <w:r>
        <w:rPr>
          <w:rFonts w:hint="eastAsia"/>
          <w:color w:val="auto"/>
          <w:highlight w:val="none"/>
        </w:rPr>
        <w:t>投标人应自行承担参加投标的全部费用。不论投标的结果如何，招标采购单位均无义务和责任承担这些费用。</w:t>
      </w:r>
    </w:p>
    <w:p>
      <w:pPr>
        <w:pStyle w:val="5"/>
        <w:ind w:firstLine="494"/>
        <w:rPr>
          <w:color w:val="auto"/>
          <w:highlight w:val="none"/>
        </w:rPr>
      </w:pPr>
      <w:bookmarkStart w:id="47" w:name="_Toc15131"/>
      <w:r>
        <w:rPr>
          <w:rFonts w:hint="eastAsia"/>
          <w:color w:val="auto"/>
          <w:highlight w:val="none"/>
        </w:rPr>
        <w:t>充分、公平竞争保障措施</w:t>
      </w:r>
      <w:bookmarkEnd w:id="47"/>
      <w:r>
        <w:rPr>
          <w:rFonts w:hint="eastAsia"/>
          <w:color w:val="auto"/>
          <w:highlight w:val="none"/>
        </w:rPr>
        <w:t>（实质性要求）</w:t>
      </w:r>
    </w:p>
    <w:p>
      <w:pPr>
        <w:pStyle w:val="190"/>
        <w:spacing w:line="360" w:lineRule="auto"/>
        <w:ind w:firstLine="490" w:firstLineChars="200"/>
        <w:jc w:val="left"/>
        <w:rPr>
          <w:rFonts w:hAnsi="宋体" w:cs="宋体"/>
          <w:color w:val="auto"/>
          <w:sz w:val="24"/>
          <w:szCs w:val="24"/>
          <w:highlight w:val="none"/>
        </w:rPr>
      </w:pPr>
      <w:r>
        <w:rPr>
          <w:rFonts w:hint="eastAsia" w:hAnsi="宋体" w:cs="宋体"/>
          <w:b/>
          <w:color w:val="auto"/>
          <w:sz w:val="24"/>
          <w:szCs w:val="24"/>
          <w:highlight w:val="none"/>
        </w:rPr>
        <w:t>利害关系供应商处理。</w:t>
      </w:r>
      <w:r>
        <w:rPr>
          <w:rFonts w:hint="eastAsia" w:hAnsi="宋体" w:cs="宋体"/>
          <w:color w:val="auto"/>
          <w:sz w:val="24"/>
          <w:szCs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190"/>
        <w:spacing w:line="360" w:lineRule="auto"/>
        <w:ind w:firstLine="490" w:firstLineChars="200"/>
        <w:jc w:val="left"/>
        <w:rPr>
          <w:rFonts w:hAnsi="宋体" w:cs="宋体"/>
          <w:color w:val="auto"/>
          <w:sz w:val="24"/>
          <w:szCs w:val="24"/>
          <w:highlight w:val="none"/>
        </w:rPr>
      </w:pPr>
      <w:r>
        <w:rPr>
          <w:rFonts w:hint="eastAsia" w:hAnsi="宋体" w:cs="宋体"/>
          <w:b/>
          <w:color w:val="auto"/>
          <w:sz w:val="24"/>
          <w:szCs w:val="24"/>
          <w:highlight w:val="none"/>
        </w:rPr>
        <w:t>前期参与供应商处理。</w:t>
      </w:r>
      <w:r>
        <w:rPr>
          <w:rFonts w:hint="eastAsia" w:hAnsi="宋体" w:cs="宋体"/>
          <w:color w:val="auto"/>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190"/>
        <w:spacing w:line="360" w:lineRule="auto"/>
        <w:ind w:firstLine="490" w:firstLineChars="200"/>
        <w:jc w:val="left"/>
        <w:rPr>
          <w:rFonts w:hAnsi="宋体" w:cs="宋体"/>
          <w:color w:val="auto"/>
          <w:sz w:val="24"/>
          <w:szCs w:val="24"/>
          <w:highlight w:val="none"/>
        </w:rPr>
      </w:pPr>
      <w:r>
        <w:rPr>
          <w:rFonts w:hint="eastAsia" w:hAnsi="宋体" w:cs="宋体"/>
          <w:b/>
          <w:color w:val="auto"/>
          <w:sz w:val="24"/>
          <w:szCs w:val="24"/>
          <w:highlight w:val="none"/>
        </w:rPr>
        <w:t>利害关系代理人处理。</w:t>
      </w:r>
      <w:r>
        <w:rPr>
          <w:rFonts w:hint="eastAsia" w:hAnsi="宋体" w:cs="宋体"/>
          <w:color w:val="auto"/>
          <w:sz w:val="24"/>
          <w:szCs w:val="24"/>
          <w:highlight w:val="none"/>
        </w:rPr>
        <w:t>2家以上的供应商不得在同一合同项下的采购项目中，同时委托同一个自然人、同一家庭的人员、同一单位的人员作为其代理人，否则，其投标文件作为无效处理。</w:t>
      </w:r>
    </w:p>
    <w:p>
      <w:pPr>
        <w:pStyle w:val="4"/>
        <w:rPr>
          <w:color w:val="auto"/>
          <w:highlight w:val="none"/>
        </w:rPr>
      </w:pPr>
      <w:bookmarkStart w:id="48" w:name="_Toc183682347"/>
      <w:bookmarkStart w:id="49" w:name="_Toc20257"/>
      <w:bookmarkStart w:id="50" w:name="_Toc30873"/>
      <w:bookmarkStart w:id="51" w:name="_Toc217446039"/>
      <w:bookmarkStart w:id="52" w:name="_Toc1204"/>
      <w:bookmarkStart w:id="53" w:name="_Toc183582210"/>
      <w:bookmarkStart w:id="54" w:name="_Toc28416"/>
      <w:r>
        <w:rPr>
          <w:rFonts w:hint="eastAsia"/>
          <w:color w:val="auto"/>
          <w:highlight w:val="none"/>
        </w:rPr>
        <w:t>招标文件</w:t>
      </w:r>
      <w:bookmarkEnd w:id="48"/>
      <w:bookmarkEnd w:id="49"/>
      <w:bookmarkEnd w:id="50"/>
      <w:bookmarkEnd w:id="51"/>
      <w:bookmarkEnd w:id="52"/>
      <w:bookmarkEnd w:id="53"/>
      <w:bookmarkEnd w:id="54"/>
    </w:p>
    <w:p>
      <w:pPr>
        <w:pStyle w:val="5"/>
        <w:ind w:firstLine="494"/>
        <w:rPr>
          <w:color w:val="auto"/>
          <w:highlight w:val="none"/>
        </w:rPr>
      </w:pPr>
      <w:bookmarkStart w:id="55" w:name="_Toc28521"/>
      <w:r>
        <w:rPr>
          <w:rFonts w:hint="eastAsia"/>
          <w:color w:val="auto"/>
          <w:highlight w:val="none"/>
        </w:rPr>
        <w:t>招标文件的构成</w:t>
      </w:r>
      <w:bookmarkEnd w:id="55"/>
    </w:p>
    <w:p>
      <w:pPr>
        <w:numPr>
          <w:ilvl w:val="0"/>
          <w:numId w:val="12"/>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投标邀请；</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投标人须知；</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投标文件格式；</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招标项目技术、商务及其他要求；</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资格性审查；</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评标办法；</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政府采购合同。</w:t>
      </w:r>
    </w:p>
    <w:p>
      <w:pPr>
        <w:numPr>
          <w:ilvl w:val="0"/>
          <w:numId w:val="12"/>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投标人应认真阅读和充分理解招标文件中所有的事项、格式条款和规范要求。投标人没有对招标文件全面做出实质性响应所产生的风险由投标人承担。</w:t>
      </w:r>
    </w:p>
    <w:p>
      <w:pPr>
        <w:pStyle w:val="5"/>
        <w:ind w:firstLine="494"/>
        <w:rPr>
          <w:color w:val="auto"/>
          <w:highlight w:val="none"/>
        </w:rPr>
      </w:pPr>
      <w:bookmarkStart w:id="56" w:name="_Toc183582211"/>
      <w:bookmarkStart w:id="57" w:name="_Toc183682348"/>
      <w:bookmarkStart w:id="58" w:name="_Toc19159"/>
      <w:bookmarkStart w:id="59" w:name="_Toc217446040"/>
      <w:r>
        <w:rPr>
          <w:rFonts w:hint="eastAsia"/>
          <w:color w:val="auto"/>
          <w:highlight w:val="none"/>
        </w:rPr>
        <w:t>招标文件的澄清</w:t>
      </w:r>
      <w:bookmarkEnd w:id="56"/>
      <w:bookmarkEnd w:id="57"/>
      <w:r>
        <w:rPr>
          <w:rFonts w:hint="eastAsia"/>
          <w:color w:val="auto"/>
          <w:highlight w:val="none"/>
        </w:rPr>
        <w:t>和修改</w:t>
      </w:r>
      <w:bookmarkEnd w:id="58"/>
      <w:bookmarkEnd w:id="59"/>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在投标截止时间前，招标采购单位无论出于何种原因，可以对招标文件进行澄清或者修改。</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澄清或者修改的内容，招标采购单位应通知所有</w:t>
      </w:r>
      <w:r>
        <w:rPr>
          <w:rFonts w:hint="eastAsia" w:ascii="宋体" w:hAnsi="宋体" w:cs="宋体"/>
          <w:color w:val="auto"/>
          <w:szCs w:val="24"/>
          <w:highlight w:val="none"/>
          <w:lang w:eastAsia="zh-CN"/>
        </w:rPr>
        <w:t>获取</w:t>
      </w:r>
      <w:r>
        <w:rPr>
          <w:rFonts w:hint="eastAsia" w:ascii="宋体" w:hAnsi="宋体" w:cs="宋体"/>
          <w:color w:val="auto"/>
          <w:szCs w:val="24"/>
          <w:highlight w:val="none"/>
        </w:rPr>
        <w:t>了招标文件的潜在投标人，同时在“四川政府采购网”上发布更正公告。该澄清或者修改的内容为招标文件的组成部分。</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澄清或者修改的内容可能影响投标文件、资格预审申请文件编制的，招标采购单位发布公告并通知供应商的时间，应当在投标截止时间至少15日前、提交资格预审申请文件截止时间至少3日前；不足上述时间的，应当顺延提交投标文件、资格预审申请文件的截止时间。</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认为需要对招标文件进行澄清或者修改的，可以以书面形式向招标采购单位构提出申请，但招标采购单位可以决定是否采纳投标人的申请事项。在规定的时间内未提出澄清或质疑的，将视为完全认同本招标文件的要求。</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招标文件中编制的内容前后有矛盾或不一致，有时间先后顺序的，以时间在后的修改、澄清或补正文件为准；没有时间先后顺序的，按有利于投标人的原则进行处理。</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在投标截止时间前，招标采购单位可以视采购具体情况，延长投标截止时间和开标时间，并在招标文件要求提交投标文件的截止时间三日前，将变更时间通知所有</w:t>
      </w:r>
      <w:r>
        <w:rPr>
          <w:rFonts w:hint="eastAsia" w:ascii="宋体" w:hAnsi="宋体" w:cs="宋体"/>
          <w:color w:val="auto"/>
          <w:szCs w:val="24"/>
          <w:highlight w:val="none"/>
          <w:lang w:eastAsia="zh-CN"/>
        </w:rPr>
        <w:t>获取</w:t>
      </w:r>
      <w:r>
        <w:rPr>
          <w:rFonts w:hint="eastAsia" w:ascii="宋体" w:hAnsi="宋体" w:cs="宋体"/>
          <w:color w:val="auto"/>
          <w:szCs w:val="24"/>
          <w:highlight w:val="none"/>
        </w:rPr>
        <w:t>了招标文件的潜在供应商，同时在“四川政府采购网”上发布变更公告。</w:t>
      </w:r>
    </w:p>
    <w:p>
      <w:pPr>
        <w:pStyle w:val="5"/>
        <w:ind w:firstLine="494"/>
        <w:rPr>
          <w:rFonts w:cs="宋体"/>
          <w:color w:val="auto"/>
          <w:szCs w:val="24"/>
          <w:highlight w:val="none"/>
        </w:rPr>
      </w:pPr>
      <w:bookmarkStart w:id="60" w:name="_Toc20416"/>
      <w:r>
        <w:rPr>
          <w:rFonts w:hint="eastAsia" w:cs="宋体"/>
          <w:color w:val="auto"/>
          <w:szCs w:val="24"/>
          <w:highlight w:val="none"/>
        </w:rPr>
        <w:t>答疑会和现场考察</w:t>
      </w:r>
      <w:bookmarkEnd w:id="60"/>
    </w:p>
    <w:p>
      <w:pPr>
        <w:numPr>
          <w:ilvl w:val="0"/>
          <w:numId w:val="1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numPr>
          <w:ilvl w:val="0"/>
          <w:numId w:val="1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供应商考察现场所发生的一切费用由供应商自己承担。</w:t>
      </w:r>
    </w:p>
    <w:p>
      <w:pPr>
        <w:pStyle w:val="4"/>
        <w:rPr>
          <w:color w:val="auto"/>
          <w:highlight w:val="none"/>
        </w:rPr>
      </w:pPr>
      <w:bookmarkStart w:id="61" w:name="_Toc13275"/>
      <w:bookmarkStart w:id="62" w:name="_Toc30901"/>
      <w:bookmarkStart w:id="63" w:name="_Toc183682351"/>
      <w:bookmarkStart w:id="64" w:name="_Toc17181"/>
      <w:bookmarkStart w:id="65" w:name="_Toc10696"/>
      <w:bookmarkStart w:id="66" w:name="_Toc77400780"/>
      <w:bookmarkStart w:id="67" w:name="_Toc183582214"/>
      <w:bookmarkStart w:id="68" w:name="_Toc89075876"/>
      <w:bookmarkStart w:id="69" w:name="_Toc217446042"/>
      <w:r>
        <w:rPr>
          <w:rFonts w:hint="eastAsia"/>
          <w:color w:val="auto"/>
          <w:highlight w:val="none"/>
        </w:rPr>
        <w:t>投标文件</w:t>
      </w:r>
      <w:bookmarkEnd w:id="61"/>
      <w:bookmarkEnd w:id="62"/>
      <w:bookmarkEnd w:id="63"/>
      <w:bookmarkEnd w:id="64"/>
      <w:bookmarkEnd w:id="65"/>
      <w:bookmarkEnd w:id="66"/>
      <w:bookmarkEnd w:id="67"/>
      <w:bookmarkEnd w:id="68"/>
      <w:bookmarkEnd w:id="69"/>
    </w:p>
    <w:p>
      <w:pPr>
        <w:pStyle w:val="5"/>
        <w:ind w:firstLine="494"/>
        <w:rPr>
          <w:rFonts w:cs="宋体"/>
          <w:color w:val="auto"/>
          <w:szCs w:val="24"/>
          <w:highlight w:val="none"/>
        </w:rPr>
      </w:pPr>
      <w:bookmarkStart w:id="70" w:name="_Toc17848"/>
      <w:bookmarkStart w:id="71" w:name="_Toc217446043"/>
      <w:bookmarkStart w:id="72" w:name="_Toc183582215"/>
      <w:bookmarkStart w:id="73" w:name="_Toc183682352"/>
      <w:r>
        <w:rPr>
          <w:rFonts w:hint="eastAsia" w:cs="宋体"/>
          <w:color w:val="auto"/>
          <w:szCs w:val="24"/>
          <w:highlight w:val="none"/>
        </w:rPr>
        <w:t>投标文件的语言</w:t>
      </w:r>
      <w:bookmarkEnd w:id="70"/>
      <w:bookmarkEnd w:id="71"/>
      <w:bookmarkEnd w:id="72"/>
      <w:bookmarkEnd w:id="73"/>
      <w:r>
        <w:rPr>
          <w:rFonts w:hint="eastAsia"/>
          <w:color w:val="auto"/>
          <w:highlight w:val="none"/>
        </w:rPr>
        <w:t>（实质性要求）</w:t>
      </w:r>
    </w:p>
    <w:p>
      <w:pPr>
        <w:numPr>
          <w:ilvl w:val="0"/>
          <w:numId w:val="16"/>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提交的投标文件以及投标人与招标采购单位就有关投标的所有来往书面文件均须使用中文，投标文件中所附或引用的外文资料，必须逐一对应翻译成中文并加盖投标人公章后附在相关外文资料后面，否则，所提供的外文资料将可能被视为无效材料。（说明：供应商的法定代表人为外籍人士的，则法定代表人的签字和护照除外）</w:t>
      </w:r>
    </w:p>
    <w:p>
      <w:pPr>
        <w:numPr>
          <w:ilvl w:val="0"/>
          <w:numId w:val="16"/>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对不同文字文本投标文件的解释发生异议的，以中文文本为准。 </w:t>
      </w:r>
    </w:p>
    <w:p>
      <w:pPr>
        <w:pStyle w:val="5"/>
        <w:ind w:firstLine="494"/>
        <w:rPr>
          <w:rFonts w:cs="宋体"/>
          <w:color w:val="auto"/>
          <w:szCs w:val="24"/>
          <w:highlight w:val="none"/>
        </w:rPr>
      </w:pPr>
      <w:bookmarkStart w:id="74" w:name="_Toc183582216"/>
      <w:bookmarkStart w:id="75" w:name="_Toc183682353"/>
      <w:bookmarkStart w:id="76" w:name="_Toc217446044"/>
      <w:bookmarkStart w:id="77" w:name="_Toc20869"/>
      <w:r>
        <w:rPr>
          <w:rFonts w:hint="eastAsia" w:cs="宋体"/>
          <w:color w:val="auto"/>
          <w:szCs w:val="24"/>
          <w:highlight w:val="none"/>
        </w:rPr>
        <w:t>计量单位</w:t>
      </w:r>
      <w:bookmarkEnd w:id="74"/>
      <w:bookmarkEnd w:id="75"/>
      <w:bookmarkEnd w:id="76"/>
      <w:bookmarkEnd w:id="77"/>
      <w:r>
        <w:rPr>
          <w:rFonts w:hint="eastAsia"/>
          <w:color w:val="auto"/>
          <w:highlight w:val="none"/>
        </w:rPr>
        <w:t>（实质性要求）</w:t>
      </w:r>
    </w:p>
    <w:p>
      <w:pPr>
        <w:ind w:firstLine="492"/>
        <w:rPr>
          <w:rFonts w:ascii="宋体" w:hAnsi="宋体" w:cs="宋体"/>
          <w:color w:val="auto"/>
          <w:szCs w:val="24"/>
          <w:highlight w:val="none"/>
        </w:rPr>
      </w:pPr>
      <w:r>
        <w:rPr>
          <w:rFonts w:hint="eastAsia" w:ascii="宋体" w:hAnsi="宋体" w:cs="宋体"/>
          <w:color w:val="auto"/>
          <w:szCs w:val="24"/>
          <w:highlight w:val="none"/>
        </w:rPr>
        <w:t>除技术参数及要求中另有规定外，本采购项目的投标均采用国家法定的计量单位。</w:t>
      </w:r>
    </w:p>
    <w:p>
      <w:pPr>
        <w:pStyle w:val="5"/>
        <w:ind w:firstLine="494"/>
        <w:rPr>
          <w:rFonts w:cs="宋体"/>
          <w:color w:val="auto"/>
          <w:szCs w:val="24"/>
          <w:highlight w:val="none"/>
        </w:rPr>
      </w:pPr>
      <w:bookmarkStart w:id="78" w:name="_Toc217446045"/>
      <w:bookmarkStart w:id="79" w:name="_Toc13856"/>
      <w:r>
        <w:rPr>
          <w:rFonts w:hint="eastAsia" w:cs="宋体"/>
          <w:color w:val="auto"/>
          <w:szCs w:val="24"/>
          <w:highlight w:val="none"/>
        </w:rPr>
        <w:t>投标货币</w:t>
      </w:r>
      <w:bookmarkEnd w:id="78"/>
      <w:bookmarkEnd w:id="79"/>
      <w:r>
        <w:rPr>
          <w:rFonts w:hint="eastAsia"/>
          <w:color w:val="auto"/>
          <w:highlight w:val="none"/>
        </w:rPr>
        <w:t>（实质性要求）</w:t>
      </w:r>
    </w:p>
    <w:p>
      <w:pPr>
        <w:tabs>
          <w:tab w:val="left" w:pos="7665"/>
        </w:tabs>
        <w:ind w:firstLine="492"/>
        <w:rPr>
          <w:rFonts w:ascii="宋体" w:hAnsi="宋体" w:cs="宋体"/>
          <w:color w:val="auto"/>
          <w:szCs w:val="24"/>
          <w:highlight w:val="none"/>
        </w:rPr>
      </w:pPr>
      <w:r>
        <w:rPr>
          <w:rFonts w:hint="eastAsia" w:ascii="宋体" w:hAnsi="宋体" w:cs="宋体"/>
          <w:color w:val="auto"/>
          <w:szCs w:val="24"/>
          <w:highlight w:val="none"/>
        </w:rPr>
        <w:t>本次招标项目的投标均以人民币报价。</w:t>
      </w:r>
    </w:p>
    <w:p>
      <w:pPr>
        <w:pStyle w:val="5"/>
        <w:ind w:firstLine="494"/>
        <w:rPr>
          <w:rFonts w:cs="宋体"/>
          <w:color w:val="auto"/>
          <w:szCs w:val="24"/>
          <w:highlight w:val="none"/>
        </w:rPr>
      </w:pPr>
      <w:bookmarkStart w:id="80" w:name="_Toc217446046"/>
      <w:bookmarkStart w:id="81" w:name="_Toc19391"/>
      <w:r>
        <w:rPr>
          <w:rFonts w:hint="eastAsia" w:cs="宋体"/>
          <w:color w:val="auto"/>
          <w:szCs w:val="24"/>
          <w:highlight w:val="none"/>
        </w:rPr>
        <w:t>联合体投标</w:t>
      </w:r>
      <w:bookmarkEnd w:id="80"/>
      <w:bookmarkEnd w:id="81"/>
      <w:r>
        <w:rPr>
          <w:rFonts w:hint="eastAsia"/>
          <w:color w:val="auto"/>
          <w:highlight w:val="none"/>
        </w:rPr>
        <w:t>（实质性要求）</w:t>
      </w:r>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本次政府采购活动</w:t>
      </w:r>
      <w:r>
        <w:rPr>
          <w:rFonts w:hint="eastAsia" w:ascii="宋体" w:hAnsi="宋体" w:cs="宋体"/>
          <w:b/>
          <w:color w:val="auto"/>
          <w:szCs w:val="24"/>
          <w:highlight w:val="none"/>
        </w:rPr>
        <w:t>不接受</w:t>
      </w:r>
      <w:r>
        <w:rPr>
          <w:rFonts w:hint="eastAsia" w:ascii="宋体" w:hAnsi="宋体" w:cs="宋体"/>
          <w:color w:val="auto"/>
          <w:szCs w:val="24"/>
          <w:highlight w:val="none"/>
        </w:rPr>
        <w:t>联合体投标。</w:t>
      </w:r>
    </w:p>
    <w:p>
      <w:pPr>
        <w:pStyle w:val="5"/>
        <w:ind w:firstLine="494"/>
        <w:rPr>
          <w:rFonts w:cs="宋体"/>
          <w:color w:val="auto"/>
          <w:szCs w:val="24"/>
          <w:highlight w:val="none"/>
        </w:rPr>
      </w:pPr>
      <w:bookmarkStart w:id="82" w:name="_Toc217446047"/>
      <w:bookmarkStart w:id="83" w:name="_Toc28227"/>
      <w:r>
        <w:rPr>
          <w:rFonts w:hint="eastAsia" w:cs="宋体"/>
          <w:color w:val="auto"/>
          <w:szCs w:val="24"/>
          <w:highlight w:val="none"/>
        </w:rPr>
        <w:t>知识产权</w:t>
      </w:r>
      <w:bookmarkEnd w:id="82"/>
      <w:bookmarkEnd w:id="83"/>
      <w:r>
        <w:rPr>
          <w:rFonts w:hint="eastAsia"/>
          <w:color w:val="auto"/>
          <w:highlight w:val="none"/>
        </w:rPr>
        <w:t>（实质性要求）</w:t>
      </w:r>
    </w:p>
    <w:p>
      <w:pPr>
        <w:numPr>
          <w:ilvl w:val="0"/>
          <w:numId w:val="17"/>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采购人享有本项目实施过程中产生的知识成果及知识产权。</w:t>
      </w:r>
    </w:p>
    <w:p>
      <w:pPr>
        <w:numPr>
          <w:ilvl w:val="0"/>
          <w:numId w:val="17"/>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如欲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如采用投标人所不拥有的知识产权的产品，则在投标报价中必须包括合法获取该知识产权的相关费用。 </w:t>
      </w:r>
    </w:p>
    <w:p>
      <w:pPr>
        <w:pStyle w:val="5"/>
        <w:ind w:firstLine="494"/>
        <w:rPr>
          <w:rFonts w:cs="宋体"/>
          <w:color w:val="auto"/>
          <w:szCs w:val="24"/>
          <w:highlight w:val="none"/>
        </w:rPr>
      </w:pPr>
      <w:bookmarkStart w:id="84" w:name="_Toc183682354"/>
      <w:bookmarkStart w:id="85" w:name="_Toc183582217"/>
      <w:bookmarkStart w:id="86" w:name="_Toc4996"/>
      <w:bookmarkStart w:id="87" w:name="_Toc217446048"/>
      <w:r>
        <w:rPr>
          <w:rFonts w:hint="eastAsia" w:cs="宋体"/>
          <w:color w:val="auto"/>
          <w:szCs w:val="24"/>
          <w:highlight w:val="none"/>
        </w:rPr>
        <w:t>投标文件的组成</w:t>
      </w:r>
      <w:bookmarkEnd w:id="84"/>
      <w:bookmarkEnd w:id="85"/>
      <w:bookmarkEnd w:id="86"/>
      <w:bookmarkEnd w:id="87"/>
    </w:p>
    <w:p>
      <w:pPr>
        <w:ind w:firstLine="492"/>
        <w:rPr>
          <w:rFonts w:ascii="宋体" w:hAnsi="宋体" w:cs="宋体"/>
          <w:color w:val="auto"/>
          <w:szCs w:val="24"/>
          <w:highlight w:val="none"/>
        </w:rPr>
      </w:pPr>
      <w:r>
        <w:rPr>
          <w:rFonts w:hint="eastAsia" w:ascii="宋体" w:hAnsi="宋体" w:cs="宋体"/>
          <w:color w:val="auto"/>
          <w:szCs w:val="24"/>
          <w:highlight w:val="none"/>
        </w:rPr>
        <w:t>投标人应按照招标文件的规定和要求编制投标文件。投标文件分为资格性响应文件和技术、服务性响应文件。投标人拟在中标后将中标项目的非主体、非关键性工作交由他人完成的，应当在投标文件中载明。投标人编写的投标文件应包括下列部分：</w:t>
      </w:r>
    </w:p>
    <w:p>
      <w:pPr>
        <w:pStyle w:val="2"/>
        <w:spacing w:line="360" w:lineRule="auto"/>
        <w:ind w:firstLine="494"/>
        <w:rPr>
          <w:rFonts w:ascii="宋体" w:hAnsi="宋体" w:cs="宋体"/>
          <w:b/>
          <w:bCs/>
          <w:color w:val="auto"/>
          <w:szCs w:val="24"/>
          <w:highlight w:val="none"/>
        </w:rPr>
      </w:pPr>
      <w:r>
        <w:rPr>
          <w:rFonts w:hint="eastAsia" w:ascii="宋体" w:hAnsi="宋体" w:cs="宋体"/>
          <w:b/>
          <w:bCs/>
          <w:color w:val="auto"/>
          <w:szCs w:val="24"/>
          <w:highlight w:val="none"/>
        </w:rPr>
        <w:t>一、资格性响应文件：</w:t>
      </w:r>
    </w:p>
    <w:p>
      <w:pPr>
        <w:numPr>
          <w:ilvl w:val="0"/>
          <w:numId w:val="18"/>
        </w:numPr>
        <w:ind w:firstLine="492"/>
        <w:rPr>
          <w:rFonts w:ascii="宋体" w:hAnsi="宋体" w:cs="宋体"/>
          <w:color w:val="auto"/>
          <w:szCs w:val="24"/>
          <w:highlight w:val="none"/>
        </w:rPr>
      </w:pPr>
      <w:bookmarkStart w:id="88" w:name="_Toc316292019"/>
      <w:bookmarkEnd w:id="88"/>
      <w:bookmarkStart w:id="89" w:name="_Toc316291396"/>
      <w:bookmarkEnd w:id="89"/>
      <w:bookmarkStart w:id="90" w:name="_Toc316292020"/>
      <w:bookmarkEnd w:id="90"/>
      <w:bookmarkStart w:id="91" w:name="_Toc316291395"/>
      <w:bookmarkEnd w:id="91"/>
      <w:bookmarkStart w:id="92" w:name="_Toc183582218"/>
      <w:bookmarkStart w:id="93" w:name="_Toc183682355"/>
      <w:bookmarkStart w:id="94" w:name="_Toc217446049"/>
      <w:r>
        <w:rPr>
          <w:rFonts w:hint="eastAsia" w:ascii="宋体" w:hAnsi="宋体" w:cs="宋体"/>
          <w:color w:val="auto"/>
          <w:szCs w:val="24"/>
          <w:highlight w:val="none"/>
        </w:rPr>
        <w:t>投标函；</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具有独立承担民事责任能力的证明材料；</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健全的财务会计制度的证明材料；</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投标人缴纳税收的证明材料；</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投标人缴纳社会保障资金的证明材料 ；</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承诺</w:t>
      </w:r>
      <w:r>
        <w:rPr>
          <w:rFonts w:hint="eastAsia" w:ascii="宋体" w:hAnsi="宋体" w:cs="宋体"/>
          <w:color w:val="auto"/>
          <w:szCs w:val="24"/>
          <w:highlight w:val="none"/>
          <w:lang w:val="en-US" w:eastAsia="zh-CN"/>
        </w:rPr>
        <w:t>函</w:t>
      </w:r>
      <w:r>
        <w:rPr>
          <w:rFonts w:hint="eastAsia" w:ascii="宋体" w:hAnsi="宋体" w:cs="宋体"/>
          <w:color w:val="auto"/>
          <w:szCs w:val="24"/>
          <w:highlight w:val="none"/>
        </w:rPr>
        <w:t>；</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法定代表人身份证明书；</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法定代表人授权书原件；（投标文件均由供应商法定代表人签字的可不提供）</w:t>
      </w:r>
    </w:p>
    <w:p>
      <w:pPr>
        <w:numPr>
          <w:ilvl w:val="0"/>
          <w:numId w:val="18"/>
        </w:numPr>
        <w:spacing w:line="520" w:lineRule="exact"/>
        <w:ind w:firstLine="492"/>
        <w:rPr>
          <w:color w:val="auto"/>
          <w:highlight w:val="none"/>
        </w:rPr>
      </w:pPr>
      <w:r>
        <w:rPr>
          <w:rFonts w:hint="eastAsia" w:ascii="宋体" w:hAnsi="宋体"/>
          <w:color w:val="auto"/>
          <w:szCs w:val="24"/>
          <w:highlight w:val="none"/>
        </w:rPr>
        <w:t>采购人对法律、行政法规规定的其他条件无要求，投标人具有有效的营业执照或法人证书即可，可不提供其他证明材料。</w:t>
      </w:r>
    </w:p>
    <w:p>
      <w:pPr>
        <w:pStyle w:val="2"/>
        <w:spacing w:line="360" w:lineRule="auto"/>
        <w:ind w:firstLine="494"/>
        <w:rPr>
          <w:rFonts w:ascii="宋体" w:hAnsi="宋体" w:cs="宋体"/>
          <w:b/>
          <w:bCs/>
          <w:color w:val="auto"/>
          <w:szCs w:val="24"/>
          <w:highlight w:val="none"/>
        </w:rPr>
      </w:pPr>
      <w:r>
        <w:rPr>
          <w:rFonts w:hint="eastAsia" w:ascii="宋体" w:hAnsi="宋体" w:cs="宋体"/>
          <w:b/>
          <w:bCs/>
          <w:color w:val="auto"/>
          <w:szCs w:val="24"/>
          <w:highlight w:val="none"/>
        </w:rPr>
        <w:t>二、技术、服务性响应文件：</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开标一览表；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投标人基本情况表；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商务条款偏离表；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技术条款偏离表；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业绩一览表；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服务方案；</w:t>
      </w:r>
    </w:p>
    <w:p>
      <w:pPr>
        <w:pageBreakBefore w:val="0"/>
        <w:numPr>
          <w:ilvl w:val="0"/>
          <w:numId w:val="19"/>
        </w:numPr>
        <w:kinsoku/>
        <w:wordWrap/>
        <w:overflowPunct/>
        <w:topLinePunct w:val="0"/>
        <w:autoSpaceDE/>
        <w:autoSpaceDN/>
        <w:bidi w:val="0"/>
        <w:snapToGrid/>
        <w:spacing w:line="500" w:lineRule="exact"/>
        <w:ind w:firstLine="504"/>
        <w:rPr>
          <w:rFonts w:ascii="宋体" w:hAnsi="宋体" w:cs="宋体"/>
          <w:color w:val="auto"/>
          <w:szCs w:val="24"/>
          <w:highlight w:val="none"/>
        </w:rPr>
      </w:pPr>
      <w:r>
        <w:rPr>
          <w:rFonts w:hint="eastAsia" w:ascii="宋体" w:hAnsi="宋体" w:cs="宋体"/>
          <w:color w:val="auto"/>
          <w:szCs w:val="24"/>
          <w:highlight w:val="none"/>
        </w:rPr>
        <w:t>中小企业申明函（如未提供中小企业声明函的，则其投标报价不能享受招标文件规定的价格扣除，但不影响投标人投标文件的有效性）；</w:t>
      </w:r>
    </w:p>
    <w:p>
      <w:pPr>
        <w:pageBreakBefore w:val="0"/>
        <w:numPr>
          <w:ilvl w:val="0"/>
          <w:numId w:val="19"/>
        </w:numPr>
        <w:kinsoku/>
        <w:wordWrap/>
        <w:overflowPunct/>
        <w:topLinePunct w:val="0"/>
        <w:autoSpaceDE/>
        <w:autoSpaceDN/>
        <w:bidi w:val="0"/>
        <w:snapToGrid/>
        <w:spacing w:line="500" w:lineRule="exact"/>
        <w:ind w:firstLine="504"/>
        <w:rPr>
          <w:rFonts w:ascii="宋体" w:hAnsi="宋体" w:cs="宋体"/>
          <w:color w:val="auto"/>
          <w:szCs w:val="24"/>
          <w:highlight w:val="none"/>
        </w:rPr>
      </w:pPr>
      <w:r>
        <w:rPr>
          <w:rFonts w:hint="eastAsia" w:ascii="宋体" w:hAnsi="宋体" w:cs="宋体"/>
          <w:color w:val="auto"/>
          <w:szCs w:val="24"/>
          <w:highlight w:val="none"/>
        </w:rPr>
        <w:t>残疾人福利性单位声明函（如未提供残疾人福利性单位声明函的，则其不能享受招标文件规定的价格扣除，但不影响投标人投标文件的有效性）；</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其他投标人认为需要提供的文件和资料（如有）。</w:t>
      </w:r>
    </w:p>
    <w:p>
      <w:pPr>
        <w:pStyle w:val="2"/>
        <w:numPr>
          <w:ilvl w:val="0"/>
          <w:numId w:val="16"/>
        </w:numPr>
        <w:spacing w:line="360" w:lineRule="auto"/>
        <w:ind w:firstLine="494"/>
        <w:rPr>
          <w:rFonts w:ascii="宋体" w:hAnsi="宋体" w:cs="宋体"/>
          <w:b/>
          <w:bCs/>
          <w:color w:val="auto"/>
          <w:szCs w:val="24"/>
          <w:highlight w:val="none"/>
        </w:rPr>
      </w:pPr>
      <w:r>
        <w:rPr>
          <w:rFonts w:hint="eastAsia" w:ascii="宋体" w:hAnsi="宋体" w:cs="宋体"/>
          <w:b/>
          <w:bCs/>
          <w:color w:val="auto"/>
          <w:szCs w:val="24"/>
          <w:highlight w:val="none"/>
        </w:rPr>
        <w:t>开标一览表单独密封一份。</w:t>
      </w:r>
    </w:p>
    <w:p>
      <w:pPr>
        <w:pStyle w:val="2"/>
        <w:numPr>
          <w:ilvl w:val="0"/>
          <w:numId w:val="16"/>
        </w:numPr>
        <w:spacing w:line="360" w:lineRule="auto"/>
        <w:ind w:firstLine="494"/>
        <w:rPr>
          <w:rFonts w:ascii="宋体" w:hAnsi="宋体" w:cs="宋体"/>
          <w:b/>
          <w:bCs/>
          <w:color w:val="auto"/>
          <w:szCs w:val="24"/>
          <w:highlight w:val="none"/>
        </w:rPr>
      </w:pPr>
      <w:r>
        <w:rPr>
          <w:rFonts w:hint="eastAsia" w:ascii="宋体" w:hAnsi="宋体" w:cs="宋体"/>
          <w:b/>
          <w:bCs/>
          <w:color w:val="auto"/>
          <w:szCs w:val="24"/>
          <w:highlight w:val="none"/>
        </w:rPr>
        <w:t>电子文档一份。</w:t>
      </w:r>
    </w:p>
    <w:p>
      <w:pPr>
        <w:ind w:firstLine="494"/>
        <w:rPr>
          <w:rFonts w:ascii="宋体" w:hAnsi="宋体" w:cs="宋体"/>
          <w:b/>
          <w:bCs/>
          <w:color w:val="auto"/>
          <w:szCs w:val="24"/>
          <w:highlight w:val="none"/>
        </w:rPr>
      </w:pPr>
      <w:r>
        <w:rPr>
          <w:rFonts w:hint="eastAsia" w:ascii="宋体" w:hAnsi="宋体"/>
          <w:b/>
          <w:color w:val="auto"/>
          <w:highlight w:val="none"/>
        </w:rPr>
        <w:t>供应商还须另外提供与投标文件相一致的电子文档一份。（供应商递交投标文件后电子文档概不退还，电子文档与投标文件不一致的，以投标文件为准，但不影响有效性）。</w:t>
      </w:r>
    </w:p>
    <w:p>
      <w:pPr>
        <w:pStyle w:val="5"/>
        <w:ind w:firstLine="494"/>
        <w:rPr>
          <w:rFonts w:cs="宋体"/>
          <w:color w:val="auto"/>
          <w:szCs w:val="24"/>
          <w:highlight w:val="none"/>
        </w:rPr>
      </w:pPr>
      <w:bookmarkStart w:id="95" w:name="_Toc6280"/>
      <w:r>
        <w:rPr>
          <w:rFonts w:hint="eastAsia" w:cs="宋体"/>
          <w:color w:val="auto"/>
          <w:szCs w:val="24"/>
          <w:highlight w:val="none"/>
        </w:rPr>
        <w:t>投标文件格式</w:t>
      </w:r>
      <w:bookmarkEnd w:id="92"/>
      <w:bookmarkEnd w:id="93"/>
      <w:bookmarkEnd w:id="94"/>
      <w:bookmarkEnd w:id="95"/>
      <w:r>
        <w:rPr>
          <w:rFonts w:hint="eastAsia" w:cs="宋体"/>
          <w:color w:val="auto"/>
          <w:szCs w:val="24"/>
          <w:highlight w:val="none"/>
        </w:rPr>
        <w:tab/>
      </w:r>
    </w:p>
    <w:p>
      <w:pPr>
        <w:numPr>
          <w:ilvl w:val="0"/>
          <w:numId w:val="2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投标人应按照招标文件第3章中提供的“投标文件格式”填写相关内容。</w:t>
      </w:r>
    </w:p>
    <w:p>
      <w:pPr>
        <w:numPr>
          <w:ilvl w:val="0"/>
          <w:numId w:val="2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对于没有格式要求的投标文件由投标人自行编写。</w:t>
      </w:r>
    </w:p>
    <w:p>
      <w:pPr>
        <w:pStyle w:val="5"/>
        <w:ind w:firstLine="494"/>
        <w:rPr>
          <w:rFonts w:cs="宋体"/>
          <w:color w:val="auto"/>
          <w:szCs w:val="24"/>
          <w:highlight w:val="none"/>
        </w:rPr>
      </w:pPr>
      <w:bookmarkStart w:id="96" w:name="_Toc6545"/>
      <w:r>
        <w:rPr>
          <w:rFonts w:hint="eastAsia" w:cs="宋体"/>
          <w:color w:val="auto"/>
          <w:szCs w:val="24"/>
          <w:highlight w:val="none"/>
        </w:rPr>
        <w:t>投标报价</w:t>
      </w:r>
      <w:bookmarkEnd w:id="96"/>
    </w:p>
    <w:p>
      <w:pPr>
        <w:numPr>
          <w:ilvl w:val="0"/>
          <w:numId w:val="2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投标人的报价是投标人响应招标项目要求的全部工作内容的价格体现，包括投标人完成本项目所需的一切费用。</w:t>
      </w:r>
    </w:p>
    <w:p>
      <w:pPr>
        <w:numPr>
          <w:ilvl w:val="0"/>
          <w:numId w:val="2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投标人每种货物及服务内容只允许有一个报价，并且在合同履行过程中是固定不变的，任何有选择或可调整的报价将不予接受，并按无效投标处理。</w:t>
      </w:r>
    </w:p>
    <w:p>
      <w:pPr>
        <w:numPr>
          <w:ilvl w:val="0"/>
          <w:numId w:val="2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投标文件报价出现前后不一致的，除招标文件另有规定外，按照下列规定修正：</w:t>
      </w:r>
    </w:p>
    <w:p>
      <w:pPr>
        <w:numPr>
          <w:ilvl w:val="0"/>
          <w:numId w:val="22"/>
        </w:numPr>
        <w:tabs>
          <w:tab w:val="left" w:pos="1134"/>
        </w:tabs>
        <w:ind w:firstLineChars="0"/>
        <w:rPr>
          <w:rFonts w:ascii="宋体" w:hAnsi="宋体"/>
          <w:color w:val="auto"/>
          <w:szCs w:val="24"/>
          <w:highlight w:val="none"/>
        </w:rPr>
      </w:pPr>
      <w:r>
        <w:rPr>
          <w:rFonts w:hint="eastAsia" w:ascii="宋体" w:hAnsi="宋体"/>
          <w:color w:val="auto"/>
          <w:szCs w:val="24"/>
          <w:highlight w:val="none"/>
        </w:rPr>
        <w:t>投标文件中开标一览表（报价表）内容与投标文件中相应内容不一致的，以开标一览表（报价表）为准；</w:t>
      </w:r>
    </w:p>
    <w:p>
      <w:pPr>
        <w:numPr>
          <w:ilvl w:val="0"/>
          <w:numId w:val="22"/>
        </w:numPr>
        <w:tabs>
          <w:tab w:val="left" w:pos="1134"/>
        </w:tabs>
        <w:ind w:firstLineChars="0"/>
        <w:rPr>
          <w:rFonts w:ascii="宋体" w:hAnsi="宋体" w:cs="宋体"/>
          <w:color w:val="auto"/>
          <w:szCs w:val="24"/>
          <w:highlight w:val="none"/>
        </w:rPr>
      </w:pPr>
      <w:r>
        <w:rPr>
          <w:rFonts w:hint="eastAsia" w:ascii="宋体" w:hAnsi="宋体" w:cs="宋体"/>
          <w:color w:val="auto"/>
          <w:szCs w:val="24"/>
          <w:highlight w:val="none"/>
        </w:rPr>
        <w:t>大写金额和小写金额不一致的，以大写金额为准；</w:t>
      </w:r>
    </w:p>
    <w:p>
      <w:pPr>
        <w:numPr>
          <w:ilvl w:val="0"/>
          <w:numId w:val="22"/>
        </w:numPr>
        <w:tabs>
          <w:tab w:val="left" w:pos="1134"/>
        </w:tabs>
        <w:ind w:firstLineChars="0"/>
        <w:rPr>
          <w:rFonts w:ascii="宋体" w:hAnsi="宋体"/>
          <w:color w:val="auto"/>
          <w:szCs w:val="24"/>
          <w:highlight w:val="none"/>
        </w:rPr>
      </w:pPr>
      <w:r>
        <w:rPr>
          <w:rFonts w:hint="eastAsia" w:ascii="宋体" w:hAnsi="宋体"/>
          <w:color w:val="auto"/>
          <w:szCs w:val="24"/>
          <w:highlight w:val="none"/>
        </w:rPr>
        <w:t>单价金额小数点或者百分比有明显错位的，以开标一览表的总价为准，并修改单价；</w:t>
      </w:r>
    </w:p>
    <w:p>
      <w:pPr>
        <w:numPr>
          <w:ilvl w:val="0"/>
          <w:numId w:val="22"/>
        </w:numPr>
        <w:tabs>
          <w:tab w:val="left" w:pos="1134"/>
        </w:tabs>
        <w:ind w:firstLineChars="0"/>
        <w:rPr>
          <w:rFonts w:ascii="宋体" w:hAnsi="宋体" w:cs="宋体"/>
          <w:color w:val="auto"/>
          <w:szCs w:val="24"/>
          <w:highlight w:val="none"/>
        </w:rPr>
      </w:pPr>
      <w:r>
        <w:rPr>
          <w:rFonts w:hint="eastAsia" w:ascii="宋体" w:hAnsi="宋体" w:cs="宋体"/>
          <w:color w:val="auto"/>
          <w:szCs w:val="24"/>
          <w:highlight w:val="none"/>
        </w:rPr>
        <w:t>总价金额与按单价汇总金额不一致的，以单价汇总金额计算结果为准；</w:t>
      </w:r>
    </w:p>
    <w:p>
      <w:pPr>
        <w:pStyle w:val="102"/>
        <w:tabs>
          <w:tab w:val="left" w:pos="1050"/>
        </w:tabs>
        <w:ind w:firstLine="492"/>
        <w:rPr>
          <w:rFonts w:ascii="宋体" w:hAnsi="宋体"/>
          <w:color w:val="auto"/>
          <w:szCs w:val="24"/>
          <w:highlight w:val="none"/>
        </w:rPr>
      </w:pPr>
      <w:r>
        <w:rPr>
          <w:rFonts w:hint="eastAsia" w:ascii="宋体" w:hAnsi="宋体"/>
          <w:color w:val="auto"/>
          <w:szCs w:val="24"/>
          <w:highlight w:val="none"/>
        </w:rPr>
        <w:t>同时出现两种以上不一致的，按照前款规定的顺序修正。修正后的报价经投标人确认后产生约束力，投标人不确认的，其投标无效。</w:t>
      </w:r>
    </w:p>
    <w:p>
      <w:pPr>
        <w:tabs>
          <w:tab w:val="left" w:pos="1134"/>
        </w:tabs>
        <w:ind w:firstLine="492"/>
        <w:rPr>
          <w:color w:val="auto"/>
          <w:highlight w:val="none"/>
        </w:rPr>
      </w:pPr>
      <w:r>
        <w:rPr>
          <w:rFonts w:hint="eastAsia" w:ascii="宋体" w:hAnsi="宋体"/>
          <w:color w:val="auto"/>
          <w:szCs w:val="24"/>
          <w:highlight w:val="none"/>
        </w:rPr>
        <w:t>出现本条第（4）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5"/>
        <w:tabs>
          <w:tab w:val="left" w:pos="851"/>
        </w:tabs>
        <w:ind w:firstLine="494"/>
        <w:rPr>
          <w:rFonts w:cs="宋体"/>
          <w:color w:val="auto"/>
          <w:szCs w:val="24"/>
          <w:highlight w:val="none"/>
        </w:rPr>
      </w:pPr>
      <w:bookmarkStart w:id="97" w:name="_Toc316291400"/>
      <w:bookmarkEnd w:id="97"/>
      <w:bookmarkStart w:id="98" w:name="_Toc316292024"/>
      <w:bookmarkEnd w:id="98"/>
      <w:bookmarkStart w:id="99" w:name="_Toc217446051"/>
      <w:bookmarkStart w:id="100" w:name="_Toc183582224"/>
      <w:bookmarkStart w:id="101" w:name="_Toc11141"/>
      <w:bookmarkStart w:id="102" w:name="_Toc183682361"/>
      <w:r>
        <w:rPr>
          <w:rFonts w:hint="eastAsia" w:cs="宋体"/>
          <w:color w:val="auto"/>
          <w:szCs w:val="24"/>
          <w:highlight w:val="none"/>
        </w:rPr>
        <w:t>投标有效期</w:t>
      </w:r>
      <w:bookmarkEnd w:id="99"/>
      <w:bookmarkEnd w:id="100"/>
      <w:bookmarkEnd w:id="101"/>
      <w:bookmarkEnd w:id="102"/>
      <w:r>
        <w:rPr>
          <w:rFonts w:hint="eastAsia" w:cs="宋体"/>
          <w:color w:val="auto"/>
          <w:szCs w:val="24"/>
          <w:highlight w:val="none"/>
        </w:rPr>
        <w:t>（实质性要求）</w:t>
      </w:r>
    </w:p>
    <w:p>
      <w:pPr>
        <w:numPr>
          <w:ilvl w:val="0"/>
          <w:numId w:val="23"/>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投标有效期为投标截止之日起</w:t>
      </w:r>
      <w:r>
        <w:rPr>
          <w:rFonts w:hint="eastAsia" w:ascii="宋体" w:hAnsi="宋体" w:cs="宋体"/>
          <w:color w:val="auto"/>
          <w:szCs w:val="24"/>
          <w:highlight w:val="none"/>
          <w:u w:val="single"/>
        </w:rPr>
        <w:t>90</w:t>
      </w:r>
      <w:r>
        <w:rPr>
          <w:rFonts w:hint="eastAsia" w:ascii="宋体" w:hAnsi="宋体" w:cs="宋体"/>
          <w:color w:val="auto"/>
          <w:szCs w:val="24"/>
          <w:highlight w:val="none"/>
        </w:rPr>
        <w:t>天。投标有效期短于此规定期限的或不作响应的，则其投标文件将按无效投标文件处理。</w:t>
      </w:r>
    </w:p>
    <w:p>
      <w:pPr>
        <w:numPr>
          <w:ilvl w:val="0"/>
          <w:numId w:val="23"/>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numPr>
          <w:ilvl w:val="0"/>
          <w:numId w:val="23"/>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tabs>
          <w:tab w:val="left" w:pos="851"/>
        </w:tabs>
        <w:ind w:firstLine="494"/>
        <w:rPr>
          <w:rFonts w:cs="宋体"/>
          <w:color w:val="auto"/>
          <w:szCs w:val="24"/>
          <w:highlight w:val="none"/>
        </w:rPr>
      </w:pPr>
      <w:bookmarkStart w:id="103" w:name="_Toc183682362"/>
      <w:bookmarkStart w:id="104" w:name="_Toc183582225"/>
      <w:bookmarkStart w:id="105" w:name="_Toc5624"/>
      <w:bookmarkStart w:id="106" w:name="_Toc217446052"/>
      <w:r>
        <w:rPr>
          <w:rFonts w:hint="eastAsia" w:cs="宋体"/>
          <w:color w:val="auto"/>
          <w:szCs w:val="24"/>
          <w:highlight w:val="none"/>
        </w:rPr>
        <w:t>投标文件的印制和签署</w:t>
      </w:r>
      <w:bookmarkEnd w:id="103"/>
      <w:bookmarkEnd w:id="104"/>
      <w:bookmarkEnd w:id="105"/>
      <w:bookmarkEnd w:id="106"/>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应准备投标文件正本1份、副本2份（即资格性响应文件正本1份、副本2份，技术、服务性响应文件正本1份、副本2份）、“开标一览表”1份、电子文档1份。若正本和副本有不一致的内容，以正本书面投标文件为准。</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 投标文件的正本和副本均需打印或用不褪色、不变质的墨水书写，投标文件应由投标人法定代表人或经法定代表人正式授权的代理人在招标文件要求的地方签字或加盖单位公章。投标文件副本可采用正本的复印件，用于开标唱标单独提交的“开标一览表”应为原件。</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投标文件的打印和书写应清楚工整，任何行间插字、涂改或增删，必须由投标人的法定代表人或其授权代表签字或盖个人印鉴。</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投标文件正本和副本应当采取胶装方式装订成册（不能使用订书钉或活页夹装订，不能是散页；对投标文件的修改或撤回的书面通知除外）。（实质性要求）</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应根据招标文件的要求制作，签署、盖章和内容应完整。（说明：1、招标文件中要求提供复印件证明材料的，系指提供原件的影印件。2、招标文件中要求提供复印件加盖单位公章的证明材料的，复印件所在页按要求加盖了公章或复印件为多页但至少有一页按要求加盖了公章的，视为满足复印件加盖公章的要求。）</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投标文件统一用A4幅面纸印制（表、图及证件可以除外），并逐页编码。</w:t>
      </w:r>
    </w:p>
    <w:p>
      <w:pPr>
        <w:pStyle w:val="5"/>
        <w:tabs>
          <w:tab w:val="left" w:pos="851"/>
        </w:tabs>
        <w:ind w:firstLine="494"/>
        <w:rPr>
          <w:rFonts w:cs="宋体"/>
          <w:color w:val="auto"/>
          <w:szCs w:val="24"/>
          <w:highlight w:val="none"/>
        </w:rPr>
      </w:pPr>
      <w:bookmarkStart w:id="107" w:name="_Toc316475582"/>
      <w:bookmarkEnd w:id="107"/>
      <w:bookmarkStart w:id="108" w:name="_Toc316475583"/>
      <w:bookmarkEnd w:id="108"/>
      <w:bookmarkStart w:id="109" w:name="_Toc316475578"/>
      <w:bookmarkEnd w:id="109"/>
      <w:bookmarkStart w:id="110" w:name="_Toc316475581"/>
      <w:bookmarkEnd w:id="110"/>
      <w:bookmarkStart w:id="111" w:name="_Toc316475580"/>
      <w:bookmarkEnd w:id="111"/>
      <w:bookmarkStart w:id="112" w:name="_Toc316475579"/>
      <w:bookmarkEnd w:id="112"/>
      <w:bookmarkStart w:id="113" w:name="_Toc316475577"/>
      <w:bookmarkEnd w:id="113"/>
      <w:bookmarkStart w:id="114" w:name="_Toc13094"/>
      <w:bookmarkStart w:id="115" w:name="_Toc77400781"/>
      <w:bookmarkStart w:id="116" w:name="_Toc217446053"/>
      <w:bookmarkStart w:id="117" w:name="_Toc89075877"/>
      <w:bookmarkStart w:id="118" w:name="_Toc183582226"/>
      <w:bookmarkStart w:id="119" w:name="_Toc183682363"/>
      <w:r>
        <w:rPr>
          <w:rFonts w:hint="eastAsia" w:cs="宋体"/>
          <w:color w:val="auto"/>
          <w:szCs w:val="24"/>
          <w:highlight w:val="none"/>
        </w:rPr>
        <w:t>投标文件的密封和标注</w:t>
      </w:r>
      <w:bookmarkEnd w:id="114"/>
      <w:bookmarkEnd w:id="115"/>
      <w:bookmarkEnd w:id="116"/>
      <w:bookmarkEnd w:id="117"/>
      <w:bookmarkEnd w:id="118"/>
      <w:bookmarkEnd w:id="119"/>
    </w:p>
    <w:p>
      <w:pPr>
        <w:numPr>
          <w:ilvl w:val="0"/>
          <w:numId w:val="2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投标文件标注要求：</w:t>
      </w:r>
    </w:p>
    <w:p>
      <w:pPr>
        <w:numPr>
          <w:ilvl w:val="0"/>
          <w:numId w:val="26"/>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封面标注要求：投标人应在投标文件正本和所有副本的封面上注明投标人名称、招标编号、项目名称、日期及包件号并在封面上清晰地标注正本或副本字样。开标一览表封面注明供应商名称、项目编号、项目名称、日期及包件号（如有分包）及开标一览表字样。</w:t>
      </w:r>
      <w:r>
        <w:rPr>
          <w:rFonts w:hint="eastAsia"/>
          <w:color w:val="auto"/>
          <w:highlight w:val="none"/>
        </w:rPr>
        <w:t>电子文档封面注明</w:t>
      </w:r>
      <w:r>
        <w:rPr>
          <w:rFonts w:hint="eastAsia" w:ascii="宋体" w:hAnsi="宋体" w:cs="宋体"/>
          <w:color w:val="auto"/>
          <w:szCs w:val="24"/>
          <w:highlight w:val="none"/>
        </w:rPr>
        <w:t>供应商名称、项目编号、项目名称、日期及包件号及电子文档字样。</w:t>
      </w:r>
    </w:p>
    <w:p>
      <w:pPr>
        <w:pStyle w:val="2"/>
        <w:numPr>
          <w:ilvl w:val="0"/>
          <w:numId w:val="26"/>
        </w:numPr>
        <w:spacing w:line="360" w:lineRule="auto"/>
        <w:ind w:firstLine="492"/>
        <w:rPr>
          <w:color w:val="auto"/>
          <w:highlight w:val="none"/>
        </w:rPr>
      </w:pPr>
      <w:r>
        <w:rPr>
          <w:rFonts w:hint="eastAsia" w:ascii="宋体" w:hAnsi="宋体" w:cs="宋体"/>
          <w:color w:val="auto"/>
          <w:szCs w:val="24"/>
          <w:highlight w:val="none"/>
        </w:rPr>
        <w:t>投标文件密封袋标注要求：投标文件的密封袋上应当注明投标人名称、招标编号、项目名称、日期及包件号。</w:t>
      </w:r>
    </w:p>
    <w:p>
      <w:pPr>
        <w:pStyle w:val="2"/>
        <w:numPr>
          <w:ilvl w:val="0"/>
          <w:numId w:val="26"/>
        </w:numPr>
        <w:spacing w:line="360" w:lineRule="auto"/>
        <w:ind w:firstLine="492"/>
        <w:rPr>
          <w:color w:val="auto"/>
          <w:highlight w:val="none"/>
        </w:rPr>
      </w:pPr>
      <w:r>
        <w:rPr>
          <w:rFonts w:hint="eastAsia" w:ascii="宋体" w:hAnsi="宋体" w:cs="宋体"/>
          <w:color w:val="auto"/>
          <w:szCs w:val="24"/>
          <w:highlight w:val="none"/>
        </w:rPr>
        <w:t>标注格式详见招标文件第三章。</w:t>
      </w:r>
    </w:p>
    <w:p>
      <w:pPr>
        <w:numPr>
          <w:ilvl w:val="0"/>
          <w:numId w:val="2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投标文件密封要求：</w:t>
      </w:r>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资格性响应文件和技术、服务性响应文件及“开标一览表”均需单独密封。其中，资格性响应文件的正本和副本可密封在一起也可单独密封；技术、服务性响应文件的正本和副本可密封在一起也可单独密封。</w:t>
      </w:r>
    </w:p>
    <w:p>
      <w:pPr>
        <w:pStyle w:val="5"/>
        <w:ind w:firstLine="494"/>
        <w:rPr>
          <w:rFonts w:cs="宋体"/>
          <w:color w:val="auto"/>
          <w:szCs w:val="24"/>
          <w:highlight w:val="none"/>
        </w:rPr>
      </w:pPr>
      <w:bookmarkStart w:id="120" w:name="_Toc183582227"/>
      <w:bookmarkStart w:id="121" w:name="_Toc183682364"/>
      <w:bookmarkStart w:id="122" w:name="_Toc217446054"/>
      <w:bookmarkStart w:id="123" w:name="_Toc12728"/>
      <w:r>
        <w:rPr>
          <w:rFonts w:hint="eastAsia" w:cs="宋体"/>
          <w:color w:val="auto"/>
          <w:szCs w:val="24"/>
          <w:highlight w:val="none"/>
        </w:rPr>
        <w:t>投标文件的</w:t>
      </w:r>
      <w:bookmarkEnd w:id="120"/>
      <w:bookmarkEnd w:id="121"/>
      <w:r>
        <w:rPr>
          <w:rFonts w:hint="eastAsia" w:cs="宋体"/>
          <w:color w:val="auto"/>
          <w:szCs w:val="24"/>
          <w:highlight w:val="none"/>
        </w:rPr>
        <w:t>递交</w:t>
      </w:r>
      <w:bookmarkEnd w:id="122"/>
      <w:bookmarkEnd w:id="123"/>
    </w:p>
    <w:p>
      <w:pPr>
        <w:numPr>
          <w:ilvl w:val="0"/>
          <w:numId w:val="27"/>
        </w:numPr>
        <w:tabs>
          <w:tab w:val="left" w:pos="1134"/>
        </w:tabs>
        <w:ind w:firstLine="492"/>
        <w:rPr>
          <w:rFonts w:ascii="宋体" w:hAnsi="宋体" w:cs="宋体"/>
          <w:bCs/>
          <w:color w:val="auto"/>
          <w:szCs w:val="24"/>
          <w:highlight w:val="none"/>
        </w:rPr>
      </w:pPr>
      <w:r>
        <w:rPr>
          <w:rFonts w:hint="eastAsia" w:ascii="宋体" w:hAnsi="宋体" w:cs="宋体"/>
          <w:bCs/>
          <w:color w:val="auto"/>
          <w:szCs w:val="24"/>
          <w:highlight w:val="none"/>
        </w:rPr>
        <w:t>投标人应在投标截止时间之前将投标文件按照招标文件的规定密封后送达开标地点，投标截止时间后送达的投标文件将被拒绝接收。</w:t>
      </w:r>
    </w:p>
    <w:p>
      <w:pPr>
        <w:numPr>
          <w:ilvl w:val="0"/>
          <w:numId w:val="27"/>
        </w:numPr>
        <w:tabs>
          <w:tab w:val="left" w:pos="1134"/>
        </w:tabs>
        <w:ind w:firstLine="492"/>
        <w:rPr>
          <w:rFonts w:ascii="宋体" w:hAnsi="宋体" w:cs="宋体"/>
          <w:bCs/>
          <w:color w:val="auto"/>
          <w:szCs w:val="24"/>
          <w:highlight w:val="none"/>
        </w:rPr>
      </w:pPr>
      <w:r>
        <w:rPr>
          <w:rFonts w:hint="eastAsia" w:ascii="宋体" w:hAnsi="宋体" w:cs="宋体"/>
          <w:bCs/>
          <w:color w:val="auto"/>
          <w:szCs w:val="24"/>
          <w:highlight w:val="none"/>
        </w:rPr>
        <w:t>递交投标文件时，报名供应商名称和招标文件的文号、包件号应当与投标供应商名称和招标文件的文号、包件号一致。但是，投标文件实质内容报名供应商名称和招标文件的文号、包件号一致，只是封面文字错误的，可以在评标过程中当面予以澄清，以有效的澄清材料作为认定投标文件是否有效的依据。</w:t>
      </w:r>
    </w:p>
    <w:p>
      <w:pPr>
        <w:numPr>
          <w:ilvl w:val="0"/>
          <w:numId w:val="27"/>
        </w:numPr>
        <w:tabs>
          <w:tab w:val="left" w:pos="0"/>
        </w:tabs>
        <w:ind w:firstLine="492"/>
        <w:rPr>
          <w:rFonts w:ascii="宋体" w:hAnsi="宋体" w:cs="宋体"/>
          <w:bCs/>
          <w:color w:val="auto"/>
          <w:szCs w:val="24"/>
          <w:highlight w:val="none"/>
        </w:rPr>
      </w:pPr>
      <w:r>
        <w:rPr>
          <w:rFonts w:hint="eastAsia" w:ascii="宋体" w:hAnsi="宋体" w:cs="宋体"/>
          <w:bCs/>
          <w:color w:val="auto"/>
          <w:szCs w:val="24"/>
          <w:highlight w:val="none"/>
        </w:rPr>
        <w:t>因招标文件的修改推迟投标截止日期的，按采购代理机构书面通知修改的时间递交。</w:t>
      </w:r>
    </w:p>
    <w:p>
      <w:pPr>
        <w:numPr>
          <w:ilvl w:val="0"/>
          <w:numId w:val="27"/>
        </w:numPr>
        <w:tabs>
          <w:tab w:val="left" w:pos="0"/>
        </w:tabs>
        <w:ind w:firstLine="492"/>
        <w:rPr>
          <w:rFonts w:ascii="宋体" w:hAnsi="宋体" w:cs="宋体"/>
          <w:bCs/>
          <w:color w:val="auto"/>
          <w:szCs w:val="24"/>
          <w:highlight w:val="none"/>
        </w:rPr>
      </w:pPr>
      <w:r>
        <w:rPr>
          <w:rFonts w:hint="eastAsia" w:ascii="宋体" w:hAnsi="宋体" w:cs="宋体"/>
          <w:bCs/>
          <w:color w:val="auto"/>
          <w:szCs w:val="24"/>
          <w:highlight w:val="none"/>
        </w:rPr>
        <w:t>本次招标不接收以电子邮件、传真及邮寄方式递交的投标文件。</w:t>
      </w:r>
    </w:p>
    <w:p>
      <w:pPr>
        <w:pStyle w:val="5"/>
        <w:ind w:firstLine="494"/>
        <w:rPr>
          <w:rFonts w:cs="宋体"/>
          <w:color w:val="auto"/>
          <w:szCs w:val="24"/>
          <w:highlight w:val="none"/>
        </w:rPr>
      </w:pPr>
      <w:bookmarkStart w:id="124" w:name="_Toc316475586"/>
      <w:bookmarkEnd w:id="124"/>
      <w:bookmarkStart w:id="125" w:name="_Toc316475587"/>
      <w:bookmarkEnd w:id="125"/>
      <w:bookmarkStart w:id="126" w:name="_Toc183582228"/>
      <w:bookmarkStart w:id="127" w:name="_Toc183682365"/>
      <w:bookmarkStart w:id="128" w:name="_Toc12450"/>
      <w:bookmarkStart w:id="129" w:name="_Toc217446055"/>
      <w:r>
        <w:rPr>
          <w:rFonts w:hint="eastAsia" w:cs="宋体"/>
          <w:color w:val="auto"/>
          <w:szCs w:val="24"/>
          <w:highlight w:val="none"/>
        </w:rPr>
        <w:t>投标文件的修改和撤</w:t>
      </w:r>
      <w:bookmarkEnd w:id="126"/>
      <w:bookmarkEnd w:id="127"/>
      <w:r>
        <w:rPr>
          <w:rFonts w:hint="eastAsia" w:cs="宋体"/>
          <w:color w:val="auto"/>
          <w:szCs w:val="24"/>
          <w:highlight w:val="none"/>
        </w:rPr>
        <w:t>回</w:t>
      </w:r>
      <w:bookmarkEnd w:id="128"/>
      <w:bookmarkEnd w:id="129"/>
    </w:p>
    <w:p>
      <w:pPr>
        <w:numPr>
          <w:ilvl w:val="0"/>
          <w:numId w:val="28"/>
        </w:numPr>
        <w:tabs>
          <w:tab w:val="left" w:pos="1134"/>
        </w:tabs>
        <w:ind w:firstLine="492"/>
        <w:rPr>
          <w:rFonts w:ascii="宋体" w:hAnsi="宋体" w:cs="宋体"/>
          <w:bCs/>
          <w:color w:val="auto"/>
          <w:szCs w:val="24"/>
          <w:highlight w:val="none"/>
        </w:rPr>
      </w:pPr>
      <w:r>
        <w:rPr>
          <w:rFonts w:hint="eastAsia" w:ascii="宋体" w:hAnsi="宋体" w:cs="宋体"/>
          <w:bCs/>
          <w:color w:val="auto"/>
          <w:szCs w:val="24"/>
          <w:highlight w:val="none"/>
        </w:rPr>
        <w:t>投标人在提交投标文件后可对其投标文件进行修改或撤回，但该修改或撤回的书面通知须在投标截止时间之前送达开标地点。修改的内容为投标文件的组成部分。</w:t>
      </w:r>
    </w:p>
    <w:p>
      <w:pPr>
        <w:numPr>
          <w:ilvl w:val="0"/>
          <w:numId w:val="28"/>
        </w:numPr>
        <w:tabs>
          <w:tab w:val="left" w:pos="1134"/>
        </w:tabs>
        <w:ind w:firstLine="492"/>
        <w:rPr>
          <w:rFonts w:ascii="宋体" w:hAnsi="宋体" w:cs="宋体"/>
          <w:bCs/>
          <w:color w:val="auto"/>
          <w:szCs w:val="24"/>
          <w:highlight w:val="none"/>
        </w:rPr>
      </w:pPr>
      <w:r>
        <w:rPr>
          <w:rFonts w:hint="eastAsia" w:ascii="宋体" w:hAnsi="宋体" w:cs="宋体"/>
          <w:bCs/>
          <w:color w:val="auto"/>
          <w:szCs w:val="24"/>
          <w:highlight w:val="none"/>
        </w:rPr>
        <w:t>投标人修改或撤回的书面通知，应由其法定代表人或授权代理人签署并盖投标人公章。修改书应按投标人须知中“投标文件的包装和密封、标注”的规定进行编制、密封、标注，并在每个包装的最外层标明“修改投标文件”字样。</w:t>
      </w:r>
    </w:p>
    <w:p>
      <w:pPr>
        <w:ind w:firstLine="492"/>
        <w:rPr>
          <w:color w:val="auto"/>
          <w:highlight w:val="none"/>
        </w:rPr>
      </w:pPr>
      <w:r>
        <w:rPr>
          <w:rFonts w:hint="eastAsia" w:ascii="宋体" w:hAnsi="宋体" w:cs="宋体"/>
          <w:bCs/>
          <w:color w:val="auto"/>
          <w:szCs w:val="24"/>
          <w:highlight w:val="none"/>
        </w:rPr>
        <w:t>在投标截止时间之后，投标人不得对其递交的投标文件做任何修改，撤回投标的，将按照有关规定进行相应处理。</w:t>
      </w:r>
    </w:p>
    <w:p>
      <w:pPr>
        <w:pStyle w:val="4"/>
        <w:rPr>
          <w:color w:val="auto"/>
          <w:highlight w:val="none"/>
        </w:rPr>
      </w:pPr>
      <w:bookmarkStart w:id="130" w:name="_Toc77400782"/>
      <w:bookmarkStart w:id="131" w:name="_Toc30326"/>
      <w:bookmarkStart w:id="132" w:name="_Toc89075878"/>
      <w:bookmarkStart w:id="133" w:name="_Toc21163"/>
      <w:bookmarkStart w:id="134" w:name="_Toc3811"/>
      <w:bookmarkStart w:id="135" w:name="_Toc183682368"/>
      <w:bookmarkStart w:id="136" w:name="_Toc217446056"/>
      <w:bookmarkStart w:id="137" w:name="_Toc3379"/>
      <w:bookmarkStart w:id="138" w:name="_Toc183582231"/>
      <w:r>
        <w:rPr>
          <w:rFonts w:hint="eastAsia"/>
          <w:color w:val="auto"/>
          <w:highlight w:val="none"/>
        </w:rPr>
        <w:t>开标、评标和中标</w:t>
      </w:r>
      <w:bookmarkEnd w:id="130"/>
      <w:bookmarkEnd w:id="131"/>
      <w:bookmarkEnd w:id="132"/>
      <w:bookmarkEnd w:id="133"/>
      <w:bookmarkEnd w:id="134"/>
      <w:bookmarkEnd w:id="135"/>
      <w:bookmarkEnd w:id="136"/>
      <w:bookmarkEnd w:id="137"/>
      <w:bookmarkEnd w:id="138"/>
    </w:p>
    <w:p>
      <w:pPr>
        <w:pStyle w:val="5"/>
        <w:ind w:firstLine="494"/>
        <w:rPr>
          <w:rFonts w:cs="宋体"/>
          <w:color w:val="auto"/>
          <w:szCs w:val="24"/>
          <w:highlight w:val="none"/>
        </w:rPr>
      </w:pPr>
      <w:bookmarkStart w:id="139" w:name="_Toc183682369"/>
      <w:bookmarkStart w:id="140" w:name="_Toc217446057"/>
      <w:bookmarkStart w:id="141" w:name="_Toc20486"/>
      <w:bookmarkStart w:id="142" w:name="_Toc183582232"/>
      <w:r>
        <w:rPr>
          <w:rFonts w:hint="eastAsia" w:cs="宋体"/>
          <w:color w:val="auto"/>
          <w:szCs w:val="24"/>
          <w:highlight w:val="none"/>
        </w:rPr>
        <w:t>开标</w:t>
      </w:r>
      <w:bookmarkEnd w:id="139"/>
      <w:bookmarkEnd w:id="140"/>
      <w:bookmarkEnd w:id="141"/>
      <w:bookmarkEnd w:id="142"/>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开标在招标文件规定的时间和地点公开进行。开标由采购代理机构主持，评标专家不参加开标活动。</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开标时，可能根据具体情况邀请有关监督管理部门对开标活动进行现场监督。</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开标时，由投标人或其推选的代表先检查其自己递交的投标文件的密封情况，经确认无误后，由招标工作人员将投标人单独递交的“开标一览表”当众拆封，并由唱标人员按照招标文件规定的内容进行宣读。</w:t>
      </w:r>
    </w:p>
    <w:p>
      <w:pPr>
        <w:ind w:firstLine="492"/>
        <w:rPr>
          <w:rFonts w:ascii="宋体"/>
          <w:color w:val="auto"/>
          <w:highlight w:val="none"/>
        </w:rPr>
      </w:pPr>
      <w:r>
        <w:rPr>
          <w:rFonts w:hint="eastAsia" w:ascii="宋体"/>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但不得干扰、阻挠开标工作的正常进行。</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投标文件中相关内容与“开标一览表”不一致的，以“开标一览表”为准。对不同文字文本投标文件的解释发生异议的，以中文文本为准。</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所有投标唱标完毕，如投标人代表对宣读的“开标一览表”上的内容有异议的，应在获得开标会主持人同意后当场提出。如确实属于宣读错误，经现场监督人员核实后，当场予以更正。</w:t>
      </w:r>
    </w:p>
    <w:p>
      <w:pPr>
        <w:pStyle w:val="5"/>
        <w:ind w:firstLine="494"/>
        <w:rPr>
          <w:rFonts w:cs="宋体"/>
          <w:color w:val="auto"/>
          <w:szCs w:val="24"/>
          <w:highlight w:val="none"/>
        </w:rPr>
      </w:pPr>
      <w:bookmarkStart w:id="143" w:name="_Toc4270"/>
      <w:r>
        <w:rPr>
          <w:rFonts w:hint="eastAsia" w:cs="宋体"/>
          <w:color w:val="auto"/>
          <w:szCs w:val="24"/>
          <w:highlight w:val="none"/>
        </w:rPr>
        <w:t>开评标过程存档</w:t>
      </w:r>
      <w:bookmarkEnd w:id="143"/>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开标和评标过程进行全过程电子监控，并将电子监控资料存储介质留存归档。</w:t>
      </w:r>
    </w:p>
    <w:p>
      <w:pPr>
        <w:pStyle w:val="5"/>
        <w:ind w:firstLine="494"/>
        <w:rPr>
          <w:rFonts w:cs="宋体"/>
          <w:color w:val="auto"/>
          <w:szCs w:val="24"/>
          <w:highlight w:val="none"/>
        </w:rPr>
      </w:pPr>
      <w:bookmarkStart w:id="144" w:name="_Toc15169"/>
      <w:r>
        <w:rPr>
          <w:rFonts w:hint="eastAsia" w:cs="宋体"/>
          <w:color w:val="auto"/>
          <w:szCs w:val="24"/>
          <w:highlight w:val="none"/>
        </w:rPr>
        <w:t>评标情况公告</w:t>
      </w:r>
      <w:bookmarkEnd w:id="144"/>
    </w:p>
    <w:p>
      <w:pPr>
        <w:ind w:firstLine="492"/>
        <w:rPr>
          <w:rFonts w:ascii="宋体" w:hAnsi="宋体" w:cs="宋体"/>
          <w:color w:val="auto"/>
          <w:szCs w:val="24"/>
          <w:highlight w:val="none"/>
        </w:rPr>
      </w:pPr>
      <w:bookmarkStart w:id="145" w:name="_Toc183582238"/>
      <w:bookmarkStart w:id="146" w:name="_Toc183682375"/>
      <w:bookmarkStart w:id="147" w:name="_Toc217446063"/>
      <w:r>
        <w:rPr>
          <w:rFonts w:hint="eastAsia" w:ascii="宋体" w:hAnsi="宋体" w:cs="宋体"/>
          <w:color w:val="auto"/>
          <w:szCs w:val="24"/>
          <w:highlight w:val="none"/>
        </w:rPr>
        <w:t>所有供应商投标文件资格性、符合性检查情况、采用综合评分法时的总得分和分项汇总得分情况、评标结果等将在四川政府采购网上采购结果公告栏中予以公告。</w:t>
      </w:r>
    </w:p>
    <w:p>
      <w:pPr>
        <w:pStyle w:val="5"/>
        <w:ind w:firstLine="494"/>
        <w:rPr>
          <w:rFonts w:cs="宋体"/>
          <w:color w:val="auto"/>
          <w:szCs w:val="24"/>
          <w:highlight w:val="none"/>
        </w:rPr>
      </w:pPr>
      <w:bookmarkStart w:id="148" w:name="_Toc7698"/>
      <w:r>
        <w:rPr>
          <w:rFonts w:hint="eastAsia" w:cs="宋体"/>
          <w:color w:val="auto"/>
          <w:szCs w:val="24"/>
          <w:highlight w:val="none"/>
        </w:rPr>
        <w:t>中标通知</w:t>
      </w:r>
      <w:bookmarkEnd w:id="145"/>
      <w:bookmarkEnd w:id="146"/>
      <w:r>
        <w:rPr>
          <w:rFonts w:hint="eastAsia" w:cs="宋体"/>
          <w:color w:val="auto"/>
          <w:szCs w:val="24"/>
          <w:highlight w:val="none"/>
        </w:rPr>
        <w:t>书</w:t>
      </w:r>
      <w:bookmarkEnd w:id="147"/>
      <w:bookmarkEnd w:id="148"/>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 中标通知书为签订政府采购合同的依据之一，是合同的有效组成部分。</w:t>
      </w:r>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投标人中标后，拒绝领取中标通知书的，招标采购单位将于中标供应商确定之日起两个工作日内采取邮寄、快递方式按照投标人投标文件中的地址发出中标通知书。</w:t>
      </w:r>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中标通知书对采购人和中标人均具有法律效力。中标通知书发出后，采购人改变中标结果，或者中标人无正当理由放弃中标的，应当承担相应的法律责任。</w:t>
      </w:r>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中标公告发出后，中标供应商可凭有效身份证明证件到</w:t>
      </w:r>
      <w:r>
        <w:rPr>
          <w:rFonts w:hint="eastAsia" w:ascii="宋体" w:hAnsi="宋体" w:cs="宋体"/>
          <w:color w:val="auto"/>
          <w:szCs w:val="24"/>
          <w:highlight w:val="none"/>
          <w:lang w:val="zh-CN"/>
        </w:rPr>
        <w:t>四川世科工程咨询有限公司</w:t>
      </w:r>
      <w:r>
        <w:rPr>
          <w:rFonts w:hint="eastAsia" w:ascii="宋体" w:hAnsi="宋体" w:cs="宋体"/>
          <w:color w:val="auto"/>
          <w:szCs w:val="24"/>
          <w:highlight w:val="none"/>
        </w:rPr>
        <w:t>领取中标通知书。联系人：李老师，联系电话：028-61032618。</w:t>
      </w:r>
    </w:p>
    <w:p>
      <w:pPr>
        <w:pStyle w:val="4"/>
        <w:rPr>
          <w:color w:val="auto"/>
          <w:highlight w:val="none"/>
        </w:rPr>
      </w:pPr>
      <w:bookmarkStart w:id="149" w:name="_Toc31038"/>
      <w:bookmarkStart w:id="150" w:name="_Toc10918"/>
      <w:bookmarkStart w:id="151" w:name="_Toc28651"/>
      <w:bookmarkStart w:id="152" w:name="_Toc5487"/>
      <w:bookmarkStart w:id="153" w:name="_Toc217446064"/>
      <w:bookmarkStart w:id="154" w:name="_Toc183682377"/>
      <w:bookmarkStart w:id="155" w:name="_Toc183582240"/>
      <w:r>
        <w:rPr>
          <w:rFonts w:hint="eastAsia"/>
          <w:color w:val="auto"/>
          <w:highlight w:val="none"/>
        </w:rPr>
        <w:t>签订及履行合同和验收</w:t>
      </w:r>
      <w:bookmarkEnd w:id="149"/>
      <w:bookmarkEnd w:id="150"/>
      <w:bookmarkEnd w:id="151"/>
      <w:bookmarkEnd w:id="152"/>
      <w:bookmarkEnd w:id="153"/>
    </w:p>
    <w:p>
      <w:pPr>
        <w:pStyle w:val="5"/>
        <w:ind w:firstLine="494"/>
        <w:rPr>
          <w:rFonts w:cs="宋体"/>
          <w:color w:val="auto"/>
          <w:szCs w:val="24"/>
          <w:highlight w:val="none"/>
        </w:rPr>
      </w:pPr>
      <w:bookmarkStart w:id="156" w:name="_Toc14747"/>
      <w:bookmarkStart w:id="157" w:name="_Toc217446065"/>
      <w:r>
        <w:rPr>
          <w:rFonts w:hint="eastAsia" w:cs="宋体"/>
          <w:color w:val="auto"/>
          <w:szCs w:val="24"/>
          <w:highlight w:val="none"/>
        </w:rPr>
        <w:t>签订合同</w:t>
      </w:r>
      <w:bookmarkEnd w:id="156"/>
      <w:bookmarkEnd w:id="157"/>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中标人应在中标通知书发出之日起三十日内与采购人签订采购合同。由于中标人的原因逾期未与采购人签订采购合同的，将视为放弃中标，取消其中标资格并将按相关规定进行处理。</w:t>
      </w:r>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中标人因不可抗力原因不能履行采购合同或放弃中标的，采购人可以与排在中标人之后第一位的中标候选人签订采购合同，以此类推。</w:t>
      </w:r>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中标人在合同签订之后三个工作日内，将签订的合同（一份）送采购代理机构。联系人：李老师，联系电话：028-61032618。</w:t>
      </w:r>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kern w:val="0"/>
          <w:szCs w:val="24"/>
          <w:highlight w:val="none"/>
        </w:rPr>
        <w:t>询问或者质疑事项可能影响中标、成交结果的，采购人应当暂停签订合同，已经签订合同的，应当中止履行合同。</w:t>
      </w:r>
    </w:p>
    <w:p>
      <w:pPr>
        <w:pStyle w:val="5"/>
        <w:ind w:firstLine="494"/>
        <w:rPr>
          <w:rFonts w:cs="宋体"/>
          <w:color w:val="auto"/>
          <w:szCs w:val="24"/>
          <w:highlight w:val="none"/>
        </w:rPr>
      </w:pPr>
      <w:bookmarkStart w:id="158" w:name="_Toc315871033"/>
      <w:bookmarkEnd w:id="158"/>
      <w:bookmarkStart w:id="159" w:name="_Toc217446066"/>
      <w:bookmarkStart w:id="160" w:name="_Toc12604"/>
      <w:r>
        <w:rPr>
          <w:rFonts w:hint="eastAsia" w:cs="宋体"/>
          <w:color w:val="auto"/>
          <w:szCs w:val="24"/>
          <w:highlight w:val="none"/>
        </w:rPr>
        <w:t>合同分包</w:t>
      </w:r>
      <w:bookmarkEnd w:id="159"/>
      <w:bookmarkEnd w:id="160"/>
      <w:r>
        <w:rPr>
          <w:rFonts w:hint="eastAsia" w:cs="宋体"/>
          <w:color w:val="auto"/>
          <w:szCs w:val="24"/>
          <w:highlight w:val="none"/>
        </w:rPr>
        <w:t>（实质性要求）</w:t>
      </w:r>
    </w:p>
    <w:p>
      <w:pPr>
        <w:numPr>
          <w:ilvl w:val="0"/>
          <w:numId w:val="32"/>
        </w:numPr>
        <w:tabs>
          <w:tab w:val="left" w:pos="1134"/>
        </w:tabs>
        <w:ind w:firstLine="492"/>
        <w:rPr>
          <w:rFonts w:ascii="宋体" w:hAnsi="宋体" w:cs="宋体"/>
          <w:color w:val="auto"/>
          <w:kern w:val="0"/>
          <w:szCs w:val="24"/>
          <w:highlight w:val="none"/>
        </w:rPr>
      </w:pPr>
      <w:bookmarkStart w:id="161" w:name="_Toc217446067"/>
      <w:r>
        <w:rPr>
          <w:rFonts w:hint="eastAsia" w:ascii="宋体" w:hAnsi="宋体" w:cs="宋体"/>
          <w:color w:val="auto"/>
          <w:kern w:val="0"/>
          <w:szCs w:val="24"/>
          <w:highlight w:val="none"/>
        </w:rPr>
        <w:t>经采购人同意，中标人可以依法采取分包方式履行合同。这种要求应当在合同签订之前征得采购人同意，并且分包供应商履行的分包项目的服务要求及技术要求等，必须与中标的一致。</w:t>
      </w:r>
    </w:p>
    <w:p>
      <w:pPr>
        <w:numPr>
          <w:ilvl w:val="0"/>
          <w:numId w:val="32"/>
        </w:numPr>
        <w:tabs>
          <w:tab w:val="left" w:pos="1134"/>
        </w:tabs>
        <w:ind w:firstLine="492"/>
        <w:rPr>
          <w:rFonts w:ascii="宋体" w:hAnsi="宋体" w:cs="宋体"/>
          <w:color w:val="auto"/>
          <w:kern w:val="0"/>
          <w:szCs w:val="24"/>
          <w:highlight w:val="none"/>
        </w:rPr>
      </w:pPr>
      <w:r>
        <w:rPr>
          <w:rFonts w:hint="eastAsia" w:ascii="宋体" w:hAnsi="宋体" w:cs="宋体"/>
          <w:color w:val="auto"/>
          <w:kern w:val="0"/>
          <w:szCs w:val="24"/>
          <w:highlight w:val="none"/>
        </w:rPr>
        <w:t>分包履行合同的部分应当为采购项目的非主体、非关键性工作，不属于中标人的主要合同义务。</w:t>
      </w:r>
    </w:p>
    <w:p>
      <w:pPr>
        <w:numPr>
          <w:ilvl w:val="0"/>
          <w:numId w:val="32"/>
        </w:numPr>
        <w:tabs>
          <w:tab w:val="left" w:pos="1134"/>
        </w:tabs>
        <w:ind w:firstLine="492"/>
        <w:rPr>
          <w:rFonts w:ascii="宋体" w:hAnsi="宋体" w:cs="宋体"/>
          <w:color w:val="auto"/>
          <w:kern w:val="0"/>
          <w:szCs w:val="24"/>
          <w:highlight w:val="none"/>
        </w:rPr>
      </w:pPr>
      <w:r>
        <w:rPr>
          <w:rFonts w:hint="eastAsia" w:ascii="宋体" w:hAnsi="宋体" w:cs="宋体"/>
          <w:color w:val="auto"/>
          <w:kern w:val="0"/>
          <w:szCs w:val="24"/>
          <w:highlight w:val="none"/>
        </w:rPr>
        <w:t>采购合同实行分包履行的，中标人就采购项目和分包项目向采购人负责，分包供应商就分包项目承担责任。</w:t>
      </w:r>
    </w:p>
    <w:p>
      <w:pPr>
        <w:numPr>
          <w:ilvl w:val="0"/>
          <w:numId w:val="32"/>
        </w:numPr>
        <w:tabs>
          <w:tab w:val="left" w:pos="1134"/>
        </w:tabs>
        <w:ind w:firstLine="492"/>
        <w:rPr>
          <w:rFonts w:ascii="宋体" w:hAnsi="宋体" w:cs="宋体"/>
          <w:color w:val="auto"/>
          <w:kern w:val="0"/>
          <w:szCs w:val="24"/>
          <w:highlight w:val="none"/>
        </w:rPr>
      </w:pPr>
      <w:r>
        <w:rPr>
          <w:rFonts w:hint="eastAsia" w:ascii="宋体" w:hAnsi="宋体" w:cs="宋体"/>
          <w:color w:val="auto"/>
          <w:kern w:val="0"/>
          <w:szCs w:val="24"/>
          <w:highlight w:val="none"/>
        </w:rPr>
        <w:t>中小企业依据《政府采购促进中小企业发展暂行办法》（财库[20</w:t>
      </w:r>
      <w:r>
        <w:rPr>
          <w:rFonts w:hint="eastAsia" w:ascii="宋体" w:hAnsi="宋体" w:cs="宋体"/>
          <w:color w:val="auto"/>
          <w:kern w:val="0"/>
          <w:szCs w:val="24"/>
          <w:highlight w:val="none"/>
          <w:lang w:val="en-US" w:eastAsia="zh-CN"/>
        </w:rPr>
        <w:t>20</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46</w:t>
      </w:r>
      <w:r>
        <w:rPr>
          <w:rFonts w:hint="eastAsia" w:ascii="宋体" w:hAnsi="宋体" w:cs="宋体"/>
          <w:color w:val="auto"/>
          <w:kern w:val="0"/>
          <w:szCs w:val="24"/>
          <w:highlight w:val="none"/>
        </w:rPr>
        <w:t>号）规定的政策获取政府采购合同后，小型、微型企业不得分包或转包给大型、中型企业，中型企业不得分包或转包给大型企业。</w:t>
      </w:r>
    </w:p>
    <w:p>
      <w:pPr>
        <w:pStyle w:val="5"/>
        <w:ind w:firstLine="494"/>
        <w:rPr>
          <w:rFonts w:cs="宋体"/>
          <w:color w:val="auto"/>
          <w:szCs w:val="24"/>
          <w:highlight w:val="none"/>
        </w:rPr>
      </w:pPr>
      <w:bookmarkStart w:id="162" w:name="_Toc21789"/>
      <w:r>
        <w:rPr>
          <w:rFonts w:hint="eastAsia" w:cs="宋体"/>
          <w:color w:val="auto"/>
          <w:szCs w:val="24"/>
          <w:highlight w:val="none"/>
        </w:rPr>
        <w:t>合同转包</w:t>
      </w:r>
      <w:bookmarkEnd w:id="162"/>
      <w:r>
        <w:rPr>
          <w:rFonts w:hint="eastAsia" w:cs="宋体"/>
          <w:color w:val="auto"/>
          <w:szCs w:val="24"/>
          <w:highlight w:val="none"/>
        </w:rPr>
        <w:t>（实质性要求）</w:t>
      </w:r>
    </w:p>
    <w:p>
      <w:pPr>
        <w:numPr>
          <w:ilvl w:val="0"/>
          <w:numId w:val="33"/>
        </w:numPr>
        <w:tabs>
          <w:tab w:val="left" w:pos="1134"/>
        </w:tabs>
        <w:ind w:left="0" w:firstLine="492"/>
        <w:rPr>
          <w:rFonts w:ascii="宋体" w:hAnsi="宋体" w:cs="宋体"/>
          <w:color w:val="auto"/>
          <w:kern w:val="0"/>
          <w:szCs w:val="24"/>
          <w:highlight w:val="none"/>
        </w:rPr>
      </w:pPr>
      <w:r>
        <w:rPr>
          <w:rFonts w:hint="eastAsia" w:ascii="宋体" w:hAnsi="宋体" w:cs="宋体"/>
          <w:color w:val="auto"/>
          <w:kern w:val="0"/>
          <w:szCs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numPr>
          <w:ilvl w:val="0"/>
          <w:numId w:val="33"/>
        </w:numPr>
        <w:tabs>
          <w:tab w:val="left" w:pos="1134"/>
        </w:tabs>
        <w:ind w:left="0" w:firstLine="492"/>
        <w:rPr>
          <w:rFonts w:ascii="宋体" w:hAnsi="宋体" w:cs="宋体"/>
          <w:color w:val="auto"/>
          <w:szCs w:val="24"/>
          <w:highlight w:val="none"/>
        </w:rPr>
      </w:pPr>
      <w:r>
        <w:rPr>
          <w:rFonts w:hint="eastAsia" w:ascii="宋体" w:hAnsi="宋体" w:cs="宋体"/>
          <w:color w:val="auto"/>
          <w:kern w:val="0"/>
          <w:szCs w:val="24"/>
          <w:highlight w:val="none"/>
        </w:rPr>
        <w:t>中标人转包的，视同拒绝履行政府采购合同义务，将依法追究法律责任</w:t>
      </w:r>
      <w:r>
        <w:rPr>
          <w:rFonts w:hint="eastAsia" w:ascii="宋体" w:hAnsi="宋体" w:cs="宋体"/>
          <w:color w:val="auto"/>
          <w:szCs w:val="24"/>
          <w:highlight w:val="none"/>
        </w:rPr>
        <w:t>。</w:t>
      </w:r>
    </w:p>
    <w:p>
      <w:pPr>
        <w:pStyle w:val="5"/>
        <w:ind w:firstLine="494"/>
        <w:rPr>
          <w:rFonts w:cs="宋体"/>
          <w:color w:val="auto"/>
          <w:szCs w:val="24"/>
          <w:highlight w:val="none"/>
        </w:rPr>
      </w:pPr>
      <w:bookmarkStart w:id="163" w:name="_Toc25501"/>
      <w:r>
        <w:rPr>
          <w:rFonts w:hint="eastAsia" w:cs="宋体"/>
          <w:color w:val="auto"/>
          <w:szCs w:val="24"/>
          <w:highlight w:val="none"/>
        </w:rPr>
        <w:t>采购人增加合同标的的权</w:t>
      </w:r>
      <w:bookmarkEnd w:id="161"/>
      <w:r>
        <w:rPr>
          <w:rFonts w:hint="eastAsia" w:cs="宋体"/>
          <w:color w:val="auto"/>
          <w:szCs w:val="24"/>
          <w:highlight w:val="none"/>
        </w:rPr>
        <w:t>利</w:t>
      </w:r>
      <w:bookmarkEnd w:id="163"/>
    </w:p>
    <w:p>
      <w:pPr>
        <w:ind w:firstLine="492"/>
        <w:rPr>
          <w:rFonts w:ascii="宋体" w:hAnsi="宋体" w:cs="宋体"/>
          <w:color w:val="auto"/>
          <w:szCs w:val="24"/>
          <w:highlight w:val="none"/>
        </w:rPr>
      </w:pPr>
      <w:r>
        <w:rPr>
          <w:rFonts w:hint="eastAsia" w:ascii="宋体" w:hAnsi="宋体" w:cs="宋体"/>
          <w:color w:val="auto"/>
          <w:szCs w:val="24"/>
          <w:highlight w:val="none"/>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ind w:firstLine="494"/>
        <w:rPr>
          <w:rFonts w:cs="宋体"/>
          <w:color w:val="auto"/>
          <w:szCs w:val="24"/>
          <w:highlight w:val="none"/>
        </w:rPr>
      </w:pPr>
      <w:bookmarkStart w:id="164" w:name="_Toc7487"/>
      <w:bookmarkStart w:id="165" w:name="_Toc217446069"/>
      <w:r>
        <w:rPr>
          <w:rFonts w:hint="eastAsia" w:cs="宋体"/>
          <w:color w:val="auto"/>
          <w:szCs w:val="24"/>
          <w:highlight w:val="none"/>
        </w:rPr>
        <w:t>合同公告</w:t>
      </w:r>
      <w:bookmarkEnd w:id="164"/>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ind w:firstLine="494"/>
        <w:rPr>
          <w:rFonts w:cs="宋体"/>
          <w:color w:val="auto"/>
          <w:szCs w:val="24"/>
          <w:highlight w:val="none"/>
        </w:rPr>
      </w:pPr>
      <w:bookmarkStart w:id="166" w:name="_Toc13660"/>
      <w:r>
        <w:rPr>
          <w:rFonts w:hint="eastAsia" w:cs="宋体"/>
          <w:color w:val="auto"/>
          <w:szCs w:val="24"/>
          <w:highlight w:val="none"/>
        </w:rPr>
        <w:t>合同备案</w:t>
      </w:r>
      <w:bookmarkEnd w:id="166"/>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采购人应当将政府采购合同副本自签订（双方当事人均已签字盖章）之日起七个工作日内通过四川政府采购网报同级财政部门备案。</w:t>
      </w:r>
    </w:p>
    <w:p>
      <w:pPr>
        <w:pStyle w:val="5"/>
        <w:ind w:firstLine="494"/>
        <w:rPr>
          <w:rFonts w:cs="宋体"/>
          <w:color w:val="auto"/>
          <w:szCs w:val="24"/>
          <w:highlight w:val="none"/>
        </w:rPr>
      </w:pPr>
      <w:bookmarkStart w:id="167" w:name="_Toc2121"/>
      <w:r>
        <w:rPr>
          <w:rFonts w:hint="eastAsia" w:cs="宋体"/>
          <w:color w:val="auto"/>
          <w:szCs w:val="24"/>
          <w:highlight w:val="none"/>
        </w:rPr>
        <w:t>履行合同</w:t>
      </w:r>
      <w:bookmarkEnd w:id="165"/>
      <w:bookmarkEnd w:id="167"/>
    </w:p>
    <w:p>
      <w:pPr>
        <w:numPr>
          <w:ilvl w:val="0"/>
          <w:numId w:val="3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合同一经签订，双方应严格履行合同规定的义务。</w:t>
      </w:r>
    </w:p>
    <w:p>
      <w:pPr>
        <w:numPr>
          <w:ilvl w:val="0"/>
          <w:numId w:val="3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在合同履行过程中，如发生合同纠纷，合同双方应按照《合同法》及合同条款的有关规定进行处理。</w:t>
      </w:r>
    </w:p>
    <w:bookmarkEnd w:id="154"/>
    <w:bookmarkEnd w:id="155"/>
    <w:p>
      <w:pPr>
        <w:pStyle w:val="4"/>
        <w:rPr>
          <w:color w:val="auto"/>
          <w:highlight w:val="none"/>
        </w:rPr>
      </w:pPr>
      <w:bookmarkStart w:id="168" w:name="_Toc5489"/>
      <w:bookmarkStart w:id="169" w:name="_Toc217446074"/>
      <w:bookmarkStart w:id="170" w:name="_Toc26899"/>
      <w:bookmarkStart w:id="171" w:name="_Toc29524"/>
      <w:bookmarkStart w:id="172" w:name="_Toc9342"/>
      <w:bookmarkStart w:id="173" w:name="_Toc183582243"/>
      <w:bookmarkStart w:id="174" w:name="_Toc183682380"/>
      <w:r>
        <w:rPr>
          <w:rFonts w:hint="eastAsia"/>
          <w:color w:val="auto"/>
          <w:highlight w:val="none"/>
        </w:rPr>
        <w:t>投标纪律要求</w:t>
      </w:r>
      <w:bookmarkEnd w:id="168"/>
      <w:bookmarkEnd w:id="169"/>
      <w:bookmarkEnd w:id="170"/>
      <w:bookmarkEnd w:id="171"/>
      <w:bookmarkEnd w:id="172"/>
    </w:p>
    <w:p>
      <w:pPr>
        <w:pStyle w:val="5"/>
        <w:ind w:firstLine="494"/>
        <w:rPr>
          <w:rFonts w:cs="宋体"/>
          <w:color w:val="auto"/>
          <w:szCs w:val="24"/>
          <w:highlight w:val="none"/>
        </w:rPr>
      </w:pPr>
      <w:bookmarkStart w:id="175" w:name="_Toc217446075"/>
      <w:bookmarkStart w:id="176" w:name="_Toc5227"/>
      <w:r>
        <w:rPr>
          <w:rFonts w:hint="eastAsia" w:cs="宋体"/>
          <w:color w:val="auto"/>
          <w:szCs w:val="24"/>
          <w:highlight w:val="none"/>
        </w:rPr>
        <w:t>投标人不得具有的情形</w:t>
      </w:r>
      <w:bookmarkEnd w:id="175"/>
      <w:bookmarkEnd w:id="176"/>
    </w:p>
    <w:p>
      <w:pPr>
        <w:pStyle w:val="14"/>
        <w:spacing w:after="0" w:line="360" w:lineRule="auto"/>
        <w:ind w:firstLine="492"/>
        <w:rPr>
          <w:rFonts w:ascii="宋体" w:hAnsi="宋体" w:cs="宋体"/>
          <w:color w:val="auto"/>
          <w:szCs w:val="24"/>
          <w:highlight w:val="none"/>
        </w:rPr>
      </w:pPr>
      <w:r>
        <w:rPr>
          <w:rFonts w:hint="eastAsia" w:ascii="宋体" w:hAnsi="宋体" w:cs="宋体"/>
          <w:color w:val="auto"/>
          <w:szCs w:val="24"/>
          <w:highlight w:val="none"/>
        </w:rPr>
        <w:t>投标人参加投标不得有下列情形：</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提供虚假材料谋取中标；</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采取不正当手段诋毁、排挤其他投标人；</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与招标采购单位、其他投标人恶意串通；</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向招标采购单位、评标委员会成员行贿或者提供其他不正当利益；</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在招标过程中与招标采购单位进行协商谈判；</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中标或者成交后无正当理由拒不与采购人签订政府采购合同；</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未按照招标文件确定的事项签订政府采购合同；</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将政府采购合同转包或者违规分包；</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提供假冒伪劣产品；</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擅自变更、中止或者终止政府采购合同；</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拒绝有关部门的监督检查或者向监督检查部门提供虚假情况；</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法律法规规定的其他情形。</w:t>
      </w:r>
    </w:p>
    <w:p>
      <w:pPr>
        <w:pStyle w:val="14"/>
        <w:spacing w:after="0" w:line="360" w:lineRule="auto"/>
        <w:ind w:firstLine="492"/>
        <w:rPr>
          <w:rFonts w:ascii="宋体" w:hAnsi="宋体" w:cs="宋体"/>
          <w:color w:val="auto"/>
          <w:szCs w:val="24"/>
          <w:highlight w:val="none"/>
        </w:rPr>
      </w:pPr>
      <w:r>
        <w:rPr>
          <w:rFonts w:hint="eastAsia" w:ascii="宋体" w:hAnsi="宋体" w:cs="宋体"/>
          <w:color w:val="auto"/>
          <w:szCs w:val="24"/>
          <w:highlight w:val="none"/>
        </w:rPr>
        <w:t>投标人有上述情形的，按照规定追究法律责任，具备（1）-（10）条情形之一的，同时将取消中标资格或者认定中标无效。</w:t>
      </w:r>
    </w:p>
    <w:p>
      <w:pPr>
        <w:pStyle w:val="5"/>
        <w:ind w:firstLine="494"/>
        <w:rPr>
          <w:rFonts w:cs="宋体"/>
          <w:color w:val="auto"/>
          <w:szCs w:val="24"/>
          <w:highlight w:val="none"/>
        </w:rPr>
      </w:pPr>
      <w:bookmarkStart w:id="177" w:name="_Toc31344"/>
      <w:bookmarkStart w:id="178" w:name="_Toc314574786"/>
      <w:r>
        <w:rPr>
          <w:rFonts w:hint="eastAsia" w:cs="宋体"/>
          <w:color w:val="auto"/>
          <w:szCs w:val="24"/>
          <w:highlight w:val="none"/>
        </w:rPr>
        <w:t>保密</w:t>
      </w:r>
      <w:bookmarkEnd w:id="177"/>
      <w:bookmarkEnd w:id="178"/>
    </w:p>
    <w:p>
      <w:pPr>
        <w:pStyle w:val="14"/>
        <w:numPr>
          <w:ilvl w:val="0"/>
          <w:numId w:val="36"/>
        </w:numPr>
        <w:tabs>
          <w:tab w:val="left" w:pos="1134"/>
        </w:tabs>
        <w:spacing w:after="0" w:line="360" w:lineRule="auto"/>
        <w:ind w:firstLine="492"/>
        <w:rPr>
          <w:rFonts w:ascii="宋体" w:hAnsi="宋体" w:cs="宋体"/>
          <w:color w:val="auto"/>
          <w:szCs w:val="24"/>
          <w:highlight w:val="none"/>
        </w:rPr>
      </w:pPr>
      <w:r>
        <w:rPr>
          <w:rFonts w:hint="eastAsia" w:ascii="宋体" w:hAnsi="宋体" w:cs="宋体"/>
          <w:color w:val="auto"/>
          <w:szCs w:val="24"/>
          <w:highlight w:val="none"/>
        </w:rPr>
        <w:t>不得透露有关潜在投标人的任何情况。</w:t>
      </w:r>
    </w:p>
    <w:p>
      <w:pPr>
        <w:pStyle w:val="14"/>
        <w:numPr>
          <w:ilvl w:val="0"/>
          <w:numId w:val="36"/>
        </w:numPr>
        <w:tabs>
          <w:tab w:val="left" w:pos="1134"/>
        </w:tabs>
        <w:spacing w:after="0" w:line="360" w:lineRule="auto"/>
        <w:ind w:firstLine="492"/>
        <w:rPr>
          <w:rFonts w:ascii="宋体" w:hAnsi="宋体" w:cs="宋体"/>
          <w:color w:val="auto"/>
          <w:szCs w:val="24"/>
          <w:highlight w:val="none"/>
        </w:rPr>
      </w:pPr>
      <w:r>
        <w:rPr>
          <w:rFonts w:hint="eastAsia" w:ascii="宋体" w:hAnsi="宋体" w:cs="宋体"/>
          <w:color w:val="auto"/>
          <w:szCs w:val="24"/>
          <w:highlight w:val="none"/>
        </w:rPr>
        <w:t>有关投标文件的审查、澄清、评估和比较以及合同授予意向等情况都不得对外透露。</w:t>
      </w:r>
    </w:p>
    <w:p>
      <w:pPr>
        <w:pStyle w:val="5"/>
        <w:ind w:firstLine="494"/>
        <w:rPr>
          <w:rFonts w:cs="宋体"/>
          <w:color w:val="auto"/>
          <w:szCs w:val="24"/>
          <w:highlight w:val="none"/>
        </w:rPr>
      </w:pPr>
      <w:bookmarkStart w:id="179" w:name="_Toc11830"/>
      <w:r>
        <w:rPr>
          <w:rFonts w:hint="eastAsia" w:cs="宋体"/>
          <w:color w:val="auto"/>
          <w:szCs w:val="24"/>
          <w:highlight w:val="none"/>
        </w:rPr>
        <w:t>回避</w:t>
      </w:r>
      <w:bookmarkEnd w:id="179"/>
    </w:p>
    <w:p>
      <w:pPr>
        <w:pStyle w:val="39"/>
        <w:shd w:val="clear" w:color="auto" w:fill="FFFFFF"/>
        <w:spacing w:before="0" w:beforeAutospacing="0" w:after="0" w:afterAutospacing="0"/>
        <w:ind w:firstLine="492"/>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参加采购活动前3年内与供应商存在劳动关系；</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参加采购活动前3年内担任供应商的董事、监事；</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参加采购活动前3年内是供应商的控股股东或者实际控制人；</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与供应商的法定代表人或者负责人有夫妻、直系血亲、三代以内旁系血亲或者近姻亲关系；</w:t>
      </w:r>
    </w:p>
    <w:p>
      <w:pPr>
        <w:pStyle w:val="39"/>
        <w:numPr>
          <w:ilvl w:val="0"/>
          <w:numId w:val="37"/>
        </w:numPr>
        <w:shd w:val="clear" w:color="auto" w:fill="FFFFFF"/>
        <w:tabs>
          <w:tab w:val="left" w:pos="709"/>
        </w:tabs>
        <w:spacing w:before="0" w:beforeAutospacing="0" w:after="0" w:afterAutospacing="0"/>
        <w:ind w:firstLine="492"/>
        <w:rPr>
          <w:rFonts w:cs="宋体"/>
          <w:color w:val="auto"/>
          <w:highlight w:val="none"/>
        </w:rPr>
      </w:pPr>
      <w:r>
        <w:rPr>
          <w:rFonts w:hint="eastAsia" w:cs="宋体"/>
          <w:color w:val="auto"/>
          <w:highlight w:val="none"/>
        </w:rPr>
        <w:t>与供应商有其他可能影响政府采购活动公平、公正进行的关系。</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180" w:name="_Toc22806"/>
      <w:bookmarkStart w:id="181" w:name="_Toc20902"/>
      <w:bookmarkStart w:id="182" w:name="_Toc217446076"/>
      <w:bookmarkStart w:id="183" w:name="_Toc24794"/>
      <w:bookmarkStart w:id="184" w:name="_Toc30038"/>
      <w:r>
        <w:rPr>
          <w:rFonts w:hint="eastAsia"/>
          <w:color w:val="auto"/>
          <w:highlight w:val="none"/>
        </w:rPr>
        <w:t>资金支付</w:t>
      </w:r>
      <w:bookmarkEnd w:id="180"/>
      <w:bookmarkEnd w:id="181"/>
      <w:bookmarkEnd w:id="182"/>
      <w:bookmarkEnd w:id="183"/>
      <w:bookmarkEnd w:id="184"/>
    </w:p>
    <w:p>
      <w:pPr>
        <w:pStyle w:val="35"/>
        <w:ind w:left="0" w:leftChars="0" w:firstLine="492"/>
        <w:rPr>
          <w:rFonts w:cs="宋体"/>
          <w:color w:val="auto"/>
          <w:sz w:val="24"/>
          <w:szCs w:val="24"/>
          <w:highlight w:val="none"/>
        </w:rPr>
      </w:pPr>
      <w:bookmarkStart w:id="185" w:name="_Toc316292046"/>
      <w:r>
        <w:rPr>
          <w:rFonts w:hint="eastAsia" w:cs="宋体"/>
          <w:color w:val="auto"/>
          <w:sz w:val="24"/>
          <w:szCs w:val="24"/>
          <w:highlight w:val="none"/>
        </w:rPr>
        <w:t>付款方式见第四章商务部分。</w:t>
      </w:r>
    </w:p>
    <w:bookmarkEnd w:id="185"/>
    <w:p>
      <w:pPr>
        <w:pStyle w:val="4"/>
        <w:rPr>
          <w:color w:val="auto"/>
          <w:highlight w:val="none"/>
        </w:rPr>
      </w:pPr>
      <w:bookmarkStart w:id="186" w:name="_Toc217446078"/>
      <w:bookmarkStart w:id="187" w:name="_Toc853"/>
      <w:bookmarkStart w:id="188" w:name="_Toc9724"/>
      <w:bookmarkStart w:id="189" w:name="_Toc21829"/>
      <w:bookmarkStart w:id="190" w:name="_Toc8314"/>
      <w:r>
        <w:rPr>
          <w:rFonts w:hint="eastAsia"/>
          <w:color w:val="auto"/>
          <w:highlight w:val="none"/>
        </w:rPr>
        <w:t>询问、质疑和投诉</w:t>
      </w:r>
      <w:bookmarkEnd w:id="186"/>
      <w:bookmarkEnd w:id="187"/>
      <w:bookmarkEnd w:id="188"/>
      <w:bookmarkEnd w:id="189"/>
      <w:bookmarkEnd w:id="190"/>
      <w:bookmarkStart w:id="191" w:name="_Toc217446079"/>
    </w:p>
    <w:bookmarkEnd w:id="191"/>
    <w:p>
      <w:pPr>
        <w:pStyle w:val="26"/>
        <w:numPr>
          <w:ilvl w:val="0"/>
          <w:numId w:val="38"/>
        </w:numPr>
        <w:tabs>
          <w:tab w:val="left" w:pos="1134"/>
        </w:tabs>
        <w:spacing w:after="0" w:line="360" w:lineRule="auto"/>
        <w:ind w:leftChars="0" w:firstLine="492"/>
        <w:rPr>
          <w:rFonts w:ascii="宋体" w:hAnsi="宋体" w:cs="宋体"/>
          <w:color w:val="auto"/>
          <w:szCs w:val="24"/>
          <w:highlight w:val="none"/>
        </w:rPr>
      </w:pPr>
      <w:r>
        <w:rPr>
          <w:rFonts w:hint="eastAsia" w:ascii="宋体" w:hAnsi="宋体" w:cs="宋体"/>
          <w:color w:val="auto"/>
          <w:szCs w:val="24"/>
          <w:highlight w:val="none"/>
        </w:rPr>
        <w:t>询问、质疑、投诉的接收和处理严格按照</w:t>
      </w:r>
      <w:bookmarkEnd w:id="173"/>
      <w:bookmarkEnd w:id="174"/>
      <w:r>
        <w:rPr>
          <w:rFonts w:hint="eastAsia" w:ascii="宋体" w:hAnsi="宋体" w:cs="宋体"/>
          <w:color w:val="auto"/>
          <w:szCs w:val="24"/>
          <w:highlight w:val="none"/>
        </w:rPr>
        <w:t>《中华人共和国政府采购法》(主席令【2002】第68号)、《中华人共和国政府采购法实施条例》(国务院令第658号)、《政府采购质疑和投诉办法》(财政部令第94号)以及《关于贯彻落实</w:t>
      </w:r>
      <w:r>
        <w:rPr>
          <w:rFonts w:hint="eastAsia" w:ascii="宋体" w:hAnsi="宋体" w:cs="宋体"/>
          <w:bCs/>
          <w:color w:val="auto"/>
          <w:kern w:val="36"/>
          <w:szCs w:val="24"/>
          <w:highlight w:val="none"/>
        </w:rPr>
        <w:t>&lt;中华人民共和国政府采购法实施条例&gt;等</w:t>
      </w:r>
      <w:r>
        <w:rPr>
          <w:rFonts w:hint="eastAsia" w:ascii="宋体" w:hAnsi="宋体" w:cs="宋体"/>
          <w:color w:val="auto"/>
          <w:szCs w:val="24"/>
          <w:highlight w:val="none"/>
        </w:rPr>
        <w:t>的规定办理。</w:t>
      </w:r>
    </w:p>
    <w:p>
      <w:pPr>
        <w:pStyle w:val="26"/>
        <w:numPr>
          <w:ilvl w:val="0"/>
          <w:numId w:val="38"/>
        </w:numPr>
        <w:tabs>
          <w:tab w:val="left" w:pos="1134"/>
        </w:tabs>
        <w:spacing w:after="0" w:line="360" w:lineRule="auto"/>
        <w:ind w:leftChars="0" w:firstLine="492"/>
        <w:rPr>
          <w:rFonts w:ascii="宋体" w:hAnsi="宋体" w:cs="宋体"/>
          <w:color w:val="auto"/>
          <w:szCs w:val="24"/>
          <w:highlight w:val="none"/>
        </w:rPr>
      </w:pPr>
      <w:r>
        <w:rPr>
          <w:rFonts w:hint="eastAsia" w:ascii="宋体" w:hAnsi="宋体" w:cs="宋体"/>
          <w:color w:val="auto"/>
          <w:szCs w:val="24"/>
          <w:highlight w:val="none"/>
        </w:rPr>
        <w:t>供应商提出的询问，应当明确询问事项，如以书面形式提出的，应由供应商签字并加盖单位公章。</w:t>
      </w:r>
    </w:p>
    <w:p>
      <w:pPr>
        <w:pStyle w:val="26"/>
        <w:numPr>
          <w:ilvl w:val="0"/>
          <w:numId w:val="38"/>
        </w:numPr>
        <w:tabs>
          <w:tab w:val="left" w:pos="1134"/>
        </w:tabs>
        <w:spacing w:after="0" w:line="360" w:lineRule="auto"/>
        <w:ind w:leftChars="0" w:firstLine="492"/>
        <w:rPr>
          <w:rFonts w:ascii="宋体" w:hAnsi="宋体" w:cs="宋体"/>
          <w:color w:val="auto"/>
          <w:szCs w:val="24"/>
          <w:highlight w:val="none"/>
        </w:rPr>
      </w:pPr>
      <w:r>
        <w:rPr>
          <w:rFonts w:hint="eastAsia" w:ascii="宋体" w:hAnsi="宋体" w:cs="宋体"/>
          <w:color w:val="auto"/>
          <w:szCs w:val="24"/>
          <w:highlight w:val="none"/>
        </w:rPr>
        <w:t>供应商对采购人、采购代理机构的质疑答复不满意，或者采购人、采购代理机构未在规定期限内作出答复的，供应商可以在答复期满后15个工作日内向同级财政部门提起投诉。</w:t>
      </w:r>
    </w:p>
    <w:p>
      <w:pPr>
        <w:pStyle w:val="26"/>
        <w:numPr>
          <w:ilvl w:val="0"/>
          <w:numId w:val="38"/>
        </w:numPr>
        <w:tabs>
          <w:tab w:val="left" w:pos="1134"/>
        </w:tabs>
        <w:spacing w:after="0" w:line="360" w:lineRule="auto"/>
        <w:ind w:leftChars="0" w:firstLine="492"/>
        <w:rPr>
          <w:rFonts w:ascii="宋体" w:hAnsi="宋体" w:cs="宋体"/>
          <w:color w:val="auto"/>
          <w:szCs w:val="24"/>
          <w:highlight w:val="none"/>
        </w:rPr>
      </w:pPr>
      <w:r>
        <w:rPr>
          <w:rFonts w:hint="eastAsia" w:ascii="宋体" w:hAnsi="宋体" w:cs="宋体"/>
          <w:color w:val="auto"/>
          <w:szCs w:val="24"/>
          <w:highlight w:val="none"/>
        </w:rPr>
        <w:t>供应商应当在法定质疑期内一次性提出针对同一采购程序环节的质疑。</w:t>
      </w:r>
    </w:p>
    <w:p>
      <w:pPr>
        <w:pStyle w:val="4"/>
        <w:rPr>
          <w:color w:val="auto"/>
          <w:highlight w:val="none"/>
        </w:rPr>
      </w:pPr>
      <w:bookmarkStart w:id="192" w:name="_Toc17918"/>
      <w:bookmarkStart w:id="193" w:name="_Toc16036"/>
      <w:bookmarkStart w:id="194" w:name="_Toc19526"/>
      <w:bookmarkStart w:id="195" w:name="_Toc5675"/>
      <w:r>
        <w:rPr>
          <w:rFonts w:hint="eastAsia"/>
          <w:color w:val="auto"/>
          <w:highlight w:val="none"/>
        </w:rPr>
        <w:t>其他</w:t>
      </w:r>
      <w:bookmarkEnd w:id="192"/>
      <w:bookmarkEnd w:id="193"/>
      <w:bookmarkEnd w:id="194"/>
      <w:bookmarkEnd w:id="195"/>
    </w:p>
    <w:p>
      <w:pPr>
        <w:ind w:firstLine="492"/>
        <w:rPr>
          <w:rFonts w:ascii="宋体" w:hAnsi="宋体" w:cs="宋体"/>
          <w:color w:val="auto"/>
          <w:szCs w:val="24"/>
          <w:highlight w:val="none"/>
        </w:rPr>
      </w:pPr>
      <w:r>
        <w:rPr>
          <w:rFonts w:hint="eastAsia" w:ascii="宋体" w:hAnsi="宋体" w:cs="宋体"/>
          <w:color w:val="auto"/>
          <w:szCs w:val="24"/>
          <w:highlight w:val="none"/>
        </w:rPr>
        <w:t>招标文件中所引相关法律制度规定，在政府采购中有变化的，按照变化后的相关法律制度规定执行。本章和第六章中“6.1总则、6.2评标方法、6.3评标程序”规定的内容条款，在本项目投标截止时间届满后，因相关法律制度规定的变化导致不符合相关法律制度规定的，直接按照变化后的相关法律制度规定执行，本招标文件不再做调整。</w:t>
      </w:r>
    </w:p>
    <w:p>
      <w:pPr>
        <w:ind w:firstLine="492"/>
        <w:rPr>
          <w:rFonts w:ascii="宋体" w:hAnsi="宋体" w:cs="宋体"/>
          <w:color w:val="auto"/>
          <w:szCs w:val="24"/>
          <w:highlight w:val="none"/>
        </w:rPr>
      </w:pPr>
      <w:r>
        <w:rPr>
          <w:rFonts w:hint="eastAsia" w:ascii="宋体" w:hAnsi="宋体" w:cs="宋体"/>
          <w:color w:val="auto"/>
          <w:szCs w:val="24"/>
          <w:highlight w:val="none"/>
        </w:rPr>
        <w:br w:type="page"/>
      </w: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3"/>
        <w:rPr>
          <w:color w:val="auto"/>
          <w:highlight w:val="none"/>
        </w:rPr>
      </w:pPr>
      <w:bookmarkStart w:id="196" w:name="_Toc316292048"/>
      <w:bookmarkEnd w:id="196"/>
      <w:bookmarkStart w:id="197" w:name="_Toc315871046"/>
      <w:bookmarkEnd w:id="197"/>
      <w:bookmarkStart w:id="198" w:name="_Toc316292049"/>
      <w:bookmarkEnd w:id="198"/>
      <w:bookmarkStart w:id="199" w:name="_Toc316292052"/>
      <w:bookmarkEnd w:id="199"/>
      <w:bookmarkStart w:id="200" w:name="_Toc315871045"/>
      <w:bookmarkEnd w:id="200"/>
      <w:bookmarkStart w:id="201" w:name="_Toc316292051"/>
      <w:bookmarkEnd w:id="201"/>
      <w:bookmarkStart w:id="202" w:name="_Toc316292050"/>
      <w:bookmarkEnd w:id="202"/>
      <w:bookmarkStart w:id="203" w:name="_Toc315871048"/>
      <w:bookmarkEnd w:id="203"/>
      <w:bookmarkStart w:id="204" w:name="_Toc315871049"/>
      <w:bookmarkEnd w:id="204"/>
      <w:bookmarkStart w:id="205" w:name="_Toc315871047"/>
      <w:bookmarkEnd w:id="205"/>
      <w:bookmarkStart w:id="206" w:name="_Toc315871050"/>
      <w:bookmarkEnd w:id="206"/>
      <w:bookmarkStart w:id="207" w:name="_Toc15124"/>
      <w:bookmarkStart w:id="208" w:name="_Toc28404"/>
      <w:bookmarkStart w:id="209" w:name="_Toc30698"/>
      <w:bookmarkStart w:id="210" w:name="_Toc28280"/>
      <w:r>
        <w:rPr>
          <w:rFonts w:hint="eastAsia"/>
          <w:color w:val="auto"/>
          <w:highlight w:val="none"/>
        </w:rPr>
        <w:t>投标文件格式</w:t>
      </w:r>
      <w:bookmarkEnd w:id="207"/>
      <w:bookmarkEnd w:id="208"/>
      <w:bookmarkEnd w:id="209"/>
      <w:bookmarkEnd w:id="210"/>
    </w:p>
    <w:p>
      <w:pPr>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spacing w:line="500" w:lineRule="exact"/>
        <w:ind w:firstLine="572"/>
        <w:rPr>
          <w:rFonts w:ascii="宋体" w:hAnsi="宋体"/>
          <w:color w:val="auto"/>
          <w:sz w:val="28"/>
          <w:szCs w:val="28"/>
          <w:highlight w:val="none"/>
        </w:rPr>
      </w:pPr>
    </w:p>
    <w:p>
      <w:pPr>
        <w:ind w:firstLine="492"/>
        <w:rPr>
          <w:color w:val="auto"/>
          <w:highlight w:val="none"/>
        </w:rPr>
      </w:pPr>
      <w:r>
        <w:rPr>
          <w:rFonts w:hint="eastAsia"/>
          <w:color w:val="auto"/>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ind w:firstLine="492"/>
        <w:rPr>
          <w:color w:val="auto"/>
          <w:highlight w:val="none"/>
        </w:rPr>
      </w:pPr>
      <w:r>
        <w:rPr>
          <w:rFonts w:hint="eastAsia"/>
          <w:color w:val="auto"/>
          <w:highlight w:val="none"/>
        </w:rPr>
        <w:t>二、本章所制投标文件格式有关表格中的备注栏，由投标人根据自身投标情况作解释性说明，不作为必填项。</w:t>
      </w:r>
    </w:p>
    <w:p>
      <w:pPr>
        <w:ind w:firstLine="492"/>
        <w:rPr>
          <w:color w:val="auto"/>
          <w:highlight w:val="none"/>
        </w:rPr>
      </w:pPr>
      <w:r>
        <w:rPr>
          <w:rFonts w:hint="eastAsia"/>
          <w:color w:val="auto"/>
          <w:highlight w:val="none"/>
        </w:rPr>
        <w:t>三、本章所制投标文件格式中需要填写的相关内容事项，可能会与本采购项目无关，在不改变投标文件原义、不影响本项目采购需求的情况下，投标人可以不予填写，但应当注明。</w:t>
      </w: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4"/>
        <w:rPr>
          <w:color w:val="auto"/>
          <w:highlight w:val="none"/>
        </w:rPr>
      </w:pPr>
      <w:bookmarkStart w:id="211" w:name="_Toc3025"/>
      <w:bookmarkStart w:id="212" w:name="_Toc22261"/>
      <w:bookmarkStart w:id="213" w:name="_Toc12929"/>
      <w:bookmarkStart w:id="214" w:name="_Toc2690"/>
      <w:bookmarkStart w:id="215" w:name="_Toc217446082"/>
      <w:r>
        <w:rPr>
          <w:rFonts w:hint="eastAsia"/>
          <w:color w:val="auto"/>
          <w:highlight w:val="none"/>
        </w:rPr>
        <w:t>资格性响应文件</w:t>
      </w:r>
      <w:bookmarkEnd w:id="211"/>
      <w:bookmarkEnd w:id="212"/>
      <w:bookmarkEnd w:id="213"/>
      <w:bookmarkEnd w:id="214"/>
    </w:p>
    <w:p>
      <w:pPr>
        <w:pStyle w:val="5"/>
        <w:ind w:firstLine="494"/>
        <w:rPr>
          <w:color w:val="auto"/>
          <w:highlight w:val="none"/>
        </w:rPr>
      </w:pPr>
      <w:bookmarkStart w:id="216" w:name="_Toc30921"/>
      <w:bookmarkStart w:id="217" w:name="_Toc320698761"/>
      <w:r>
        <w:rPr>
          <w:rFonts w:hint="eastAsia"/>
          <w:color w:val="auto"/>
          <w:highlight w:val="none"/>
        </w:rPr>
        <w:t>资格性响应件密封包装最外层格式</w:t>
      </w:r>
      <w:bookmarkEnd w:id="216"/>
      <w:bookmarkEnd w:id="217"/>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ind w:firstLine="494"/>
              <w:rPr>
                <w:rFonts w:ascii="宋体" w:hAnsi="宋体"/>
                <w:b/>
                <w:color w:val="auto"/>
                <w:szCs w:val="24"/>
                <w:highlight w:val="none"/>
                <w:u w:val="singl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成都市龙泉驿区城市绿地建设管理中心龙泉驿区道路景观绿化管护服务采购项目</w:t>
            </w:r>
          </w:p>
          <w:p>
            <w:pPr>
              <w:ind w:firstLine="494"/>
              <w:rPr>
                <w:rFonts w:hint="eastAsia" w:ascii="宋体" w:hAnsi="宋体" w:eastAsia="宋体"/>
                <w:b/>
                <w:bCs/>
                <w:color w:val="auto"/>
                <w:szCs w:val="24"/>
                <w:highlight w:val="none"/>
                <w:u w:val="single"/>
                <w:lang w:eastAsia="zh-CN"/>
              </w:rPr>
            </w:pPr>
            <w:r>
              <w:rPr>
                <w:rFonts w:hint="eastAsia" w:ascii="宋体" w:hAnsi="宋体"/>
                <w:b/>
                <w:color w:val="auto"/>
                <w:szCs w:val="24"/>
                <w:highlight w:val="none"/>
              </w:rPr>
              <w:t>招标编号：</w:t>
            </w:r>
            <w:r>
              <w:rPr>
                <w:rFonts w:hint="eastAsia" w:ascii="宋体" w:hAnsi="宋体"/>
                <w:b/>
                <w:bCs/>
                <w:color w:val="auto"/>
                <w:szCs w:val="24"/>
                <w:highlight w:val="none"/>
                <w:u w:val="single"/>
                <w:lang w:eastAsia="zh-CN"/>
              </w:rPr>
              <w:t>510112202100105</w:t>
            </w:r>
          </w:p>
          <w:p>
            <w:pPr>
              <w:ind w:firstLine="494"/>
              <w:rPr>
                <w:rFonts w:ascii="宋体" w:hAnsi="宋体"/>
                <w:b/>
                <w:color w:val="auto"/>
                <w:sz w:val="28"/>
                <w:szCs w:val="28"/>
                <w:highlight w:val="none"/>
                <w:u w:val="singl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资格性响应文件</w:t>
            </w:r>
          </w:p>
          <w:p>
            <w:pPr>
              <w:ind w:firstLine="572"/>
              <w:jc w:val="center"/>
              <w:rPr>
                <w:rFonts w:ascii="宋体" w:hAnsi="宋体"/>
                <w:color w:val="auto"/>
                <w:sz w:val="28"/>
                <w:szCs w:val="28"/>
                <w:highlight w:val="none"/>
              </w:rPr>
            </w:pPr>
          </w:p>
          <w:p>
            <w:pPr>
              <w:ind w:firstLine="1960" w:firstLineChars="800"/>
              <w:jc w:val="both"/>
              <w:rPr>
                <w:rFonts w:ascii="宋体" w:hAnsi="宋体"/>
                <w:color w:val="auto"/>
                <w:szCs w:val="24"/>
                <w:highlight w:val="none"/>
              </w:rPr>
            </w:pPr>
            <w:r>
              <w:rPr>
                <w:rFonts w:hint="eastAsia" w:ascii="宋体" w:hAnsi="宋体"/>
                <w:color w:val="auto"/>
                <w:szCs w:val="24"/>
                <w:highlight w:val="none"/>
              </w:rPr>
              <w:t>供应商名称：</w:t>
            </w:r>
            <w:r>
              <w:rPr>
                <w:rFonts w:hint="eastAsia" w:ascii="宋体" w:hAnsi="宋体"/>
                <w:bCs/>
                <w:color w:val="auto"/>
                <w:szCs w:val="24"/>
                <w:highlight w:val="none"/>
                <w:u w:val="single"/>
              </w:rPr>
              <w:t xml:space="preserve">                       </w:t>
            </w:r>
            <w:r>
              <w:rPr>
                <w:rFonts w:hint="eastAsia" w:ascii="宋体" w:hAnsi="宋体"/>
                <w:color w:val="auto"/>
                <w:szCs w:val="24"/>
                <w:highlight w:val="none"/>
              </w:rPr>
              <w:t>（加盖单位公章）</w:t>
            </w:r>
          </w:p>
          <w:p>
            <w:pPr>
              <w:pStyle w:val="26"/>
              <w:spacing w:after="0" w:line="360" w:lineRule="auto"/>
              <w:ind w:left="0" w:leftChars="0" w:firstLine="1960" w:firstLineChars="800"/>
              <w:rPr>
                <w:rFonts w:ascii="宋体" w:hAnsi="宋体"/>
                <w:b/>
                <w:color w:val="auto"/>
                <w:sz w:val="28"/>
                <w:szCs w:val="28"/>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tc>
      </w:tr>
    </w:tbl>
    <w:p>
      <w:pPr>
        <w:pStyle w:val="5"/>
        <w:ind w:firstLine="494"/>
        <w:rPr>
          <w:color w:val="auto"/>
          <w:highlight w:val="none"/>
        </w:rPr>
      </w:pPr>
      <w:bookmarkStart w:id="218" w:name="_Toc22475"/>
      <w:r>
        <w:rPr>
          <w:rFonts w:hint="eastAsia"/>
          <w:color w:val="auto"/>
          <w:highlight w:val="none"/>
        </w:rPr>
        <w:t>资格性响应文件封面格式</w:t>
      </w:r>
      <w:bookmarkEnd w:id="218"/>
    </w:p>
    <w:tbl>
      <w:tblPr>
        <w:tblStyle w:val="43"/>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ind w:firstLine="494"/>
              <w:rPr>
                <w:rFonts w:ascii="宋体" w:hAnsi="宋体"/>
                <w:b/>
                <w:color w:val="auto"/>
                <w:szCs w:val="24"/>
                <w:highlight w:val="none"/>
                <w:u w:val="singl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成都市龙泉驿区城市绿地建设管理中心龙泉驿区道路景观绿化管护服务采购项目</w:t>
            </w:r>
          </w:p>
          <w:p>
            <w:pPr>
              <w:ind w:firstLine="494"/>
              <w:rPr>
                <w:rFonts w:hint="eastAsia" w:ascii="宋体" w:hAnsi="宋体" w:eastAsia="宋体"/>
                <w:b/>
                <w:bCs/>
                <w:color w:val="auto"/>
                <w:szCs w:val="24"/>
                <w:highlight w:val="none"/>
                <w:u w:val="single"/>
                <w:lang w:eastAsia="zh-CN"/>
              </w:rPr>
            </w:pPr>
            <w:r>
              <w:rPr>
                <w:rFonts w:hint="eastAsia" w:ascii="宋体" w:hAnsi="宋体"/>
                <w:b/>
                <w:color w:val="auto"/>
                <w:szCs w:val="21"/>
                <w:highlight w:val="none"/>
              </w:rPr>
              <w:t>招标编号</w:t>
            </w:r>
            <w:r>
              <w:rPr>
                <w:rFonts w:hint="eastAsia" w:ascii="宋体" w:hAnsi="宋体"/>
                <w:b/>
                <w:color w:val="auto"/>
                <w:szCs w:val="24"/>
                <w:highlight w:val="none"/>
              </w:rPr>
              <w:t>：</w:t>
            </w:r>
            <w:r>
              <w:rPr>
                <w:rFonts w:hint="eastAsia" w:ascii="宋体" w:hAnsi="宋体"/>
                <w:b/>
                <w:bCs/>
                <w:color w:val="auto"/>
                <w:szCs w:val="24"/>
                <w:highlight w:val="none"/>
                <w:u w:val="single"/>
                <w:lang w:eastAsia="zh-CN"/>
              </w:rPr>
              <w:t>510112202100105</w:t>
            </w:r>
          </w:p>
          <w:p>
            <w:pPr>
              <w:ind w:firstLine="494"/>
              <w:rPr>
                <w:rFonts w:ascii="宋体" w:hAnsi="宋体"/>
                <w:b/>
                <w:color w:val="auto"/>
                <w:szCs w:val="24"/>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color w:val="auto"/>
                <w:szCs w:val="24"/>
                <w:highlight w:val="none"/>
                <w:u w:val="single"/>
              </w:rPr>
              <w:t xml:space="preserve">          </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资格性响应文件</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ind w:firstLine="492"/>
              <w:rPr>
                <w:color w:val="auto"/>
                <w:highlight w:val="none"/>
              </w:rPr>
            </w:pPr>
          </w:p>
          <w:p>
            <w:pPr>
              <w:ind w:firstLine="1960" w:firstLineChars="800"/>
              <w:jc w:val="both"/>
              <w:rPr>
                <w:rFonts w:ascii="宋体" w:hAnsi="宋体"/>
                <w:color w:val="auto"/>
                <w:szCs w:val="24"/>
                <w:highlight w:val="none"/>
              </w:rPr>
            </w:pPr>
            <w:r>
              <w:rPr>
                <w:rFonts w:hint="eastAsia" w:ascii="宋体" w:hAnsi="宋体"/>
                <w:color w:val="auto"/>
                <w:szCs w:val="24"/>
                <w:highlight w:val="none"/>
              </w:rPr>
              <w:t>供应商名称：</w:t>
            </w:r>
            <w:r>
              <w:rPr>
                <w:rFonts w:hint="eastAsia" w:ascii="宋体" w:hAnsi="宋体"/>
                <w:bCs/>
                <w:color w:val="auto"/>
                <w:szCs w:val="24"/>
                <w:highlight w:val="none"/>
                <w:u w:val="single"/>
              </w:rPr>
              <w:t xml:space="preserve">                       </w:t>
            </w:r>
            <w:r>
              <w:rPr>
                <w:rFonts w:hint="eastAsia" w:ascii="宋体" w:hAnsi="宋体"/>
                <w:color w:val="auto"/>
                <w:szCs w:val="24"/>
                <w:highlight w:val="none"/>
              </w:rPr>
              <w:t>（加盖单位公章）</w:t>
            </w:r>
          </w:p>
          <w:p>
            <w:pPr>
              <w:pStyle w:val="26"/>
              <w:spacing w:after="0" w:line="360" w:lineRule="auto"/>
              <w:ind w:left="0" w:leftChars="0" w:firstLine="1960" w:firstLineChars="800"/>
              <w:rPr>
                <w:rFonts w:ascii="宋体" w:hAnsi="宋体"/>
                <w:color w:val="auto"/>
                <w:sz w:val="28"/>
                <w:szCs w:val="28"/>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tc>
      </w:tr>
    </w:tbl>
    <w:p>
      <w:pPr>
        <w:ind w:firstLine="492"/>
        <w:rPr>
          <w:color w:val="auto"/>
          <w:highlight w:val="none"/>
        </w:rPr>
      </w:pPr>
    </w:p>
    <w:p>
      <w:pPr>
        <w:spacing w:line="380" w:lineRule="exact"/>
        <w:ind w:firstLine="494"/>
        <w:rPr>
          <w:rFonts w:ascii="宋体" w:hAnsi="宋体"/>
          <w:b/>
          <w:color w:val="auto"/>
          <w:szCs w:val="24"/>
          <w:highlight w:val="none"/>
        </w:rPr>
      </w:pPr>
      <w:r>
        <w:rPr>
          <w:rFonts w:hint="eastAsia" w:ascii="宋体" w:hAnsi="宋体"/>
          <w:b/>
          <w:color w:val="auto"/>
          <w:szCs w:val="24"/>
          <w:highlight w:val="none"/>
        </w:rPr>
        <w:t>温馨提示：</w:t>
      </w:r>
    </w:p>
    <w:p>
      <w:pPr>
        <w:numPr>
          <w:ilvl w:val="0"/>
          <w:numId w:val="39"/>
        </w:numPr>
        <w:spacing w:line="380" w:lineRule="exact"/>
        <w:ind w:firstLine="494"/>
        <w:rPr>
          <w:rFonts w:ascii="宋体" w:hAnsi="宋体"/>
          <w:b/>
          <w:color w:val="auto"/>
          <w:szCs w:val="24"/>
          <w:highlight w:val="none"/>
        </w:rPr>
      </w:pPr>
      <w:r>
        <w:rPr>
          <w:rFonts w:hint="eastAsia" w:ascii="宋体" w:hAnsi="宋体"/>
          <w:b/>
          <w:color w:val="auto"/>
          <w:szCs w:val="24"/>
          <w:highlight w:val="none"/>
        </w:rPr>
        <w:t>资格性响应文件正本一份、副本二份；</w:t>
      </w:r>
    </w:p>
    <w:p>
      <w:pPr>
        <w:numPr>
          <w:ilvl w:val="0"/>
          <w:numId w:val="39"/>
        </w:numPr>
        <w:ind w:firstLine="494"/>
        <w:rPr>
          <w:rFonts w:ascii="宋体" w:hAnsi="宋体"/>
          <w:b/>
          <w:color w:val="auto"/>
          <w:szCs w:val="24"/>
          <w:highlight w:val="none"/>
        </w:rPr>
      </w:pPr>
      <w:r>
        <w:rPr>
          <w:rFonts w:hint="eastAsia" w:ascii="宋体" w:hAnsi="宋体"/>
          <w:b/>
          <w:color w:val="auto"/>
          <w:szCs w:val="24"/>
          <w:highlight w:val="none"/>
        </w:rPr>
        <w:t>资格性响应文件应单独密封包装，并于截止时间前送达指定地点。</w:t>
      </w:r>
    </w:p>
    <w:p>
      <w:pPr>
        <w:pStyle w:val="2"/>
        <w:ind w:firstLine="0" w:firstLineChars="0"/>
        <w:rPr>
          <w:color w:val="auto"/>
          <w:highlight w:val="none"/>
        </w:rPr>
      </w:pPr>
    </w:p>
    <w:p>
      <w:pPr>
        <w:pStyle w:val="2"/>
        <w:ind w:firstLine="0" w:firstLineChars="0"/>
        <w:rPr>
          <w:color w:val="auto"/>
          <w:highlight w:val="none"/>
        </w:rPr>
      </w:pPr>
    </w:p>
    <w:p>
      <w:pPr>
        <w:pStyle w:val="2"/>
        <w:ind w:firstLine="0" w:firstLineChars="0"/>
        <w:rPr>
          <w:color w:val="auto"/>
          <w:highlight w:val="none"/>
        </w:rPr>
      </w:pPr>
    </w:p>
    <w:p>
      <w:pPr>
        <w:pStyle w:val="2"/>
        <w:ind w:firstLine="0" w:firstLineChars="0"/>
        <w:rPr>
          <w:color w:val="auto"/>
          <w:highlight w:val="none"/>
        </w:rPr>
      </w:pPr>
    </w:p>
    <w:p>
      <w:pPr>
        <w:pStyle w:val="2"/>
        <w:ind w:firstLine="0" w:firstLineChars="0"/>
        <w:rPr>
          <w:color w:val="auto"/>
          <w:highlight w:val="none"/>
        </w:rPr>
      </w:pPr>
    </w:p>
    <w:p>
      <w:pPr>
        <w:pStyle w:val="2"/>
        <w:ind w:firstLine="0" w:firstLineChars="0"/>
        <w:rPr>
          <w:color w:val="auto"/>
          <w:highlight w:val="none"/>
        </w:rPr>
      </w:pPr>
    </w:p>
    <w:p>
      <w:pPr>
        <w:pStyle w:val="5"/>
        <w:ind w:firstLine="494"/>
        <w:rPr>
          <w:color w:val="auto"/>
          <w:highlight w:val="none"/>
        </w:rPr>
      </w:pPr>
      <w:bookmarkStart w:id="219" w:name="_Toc14132"/>
      <w:r>
        <w:rPr>
          <w:rFonts w:hint="eastAsia"/>
          <w:color w:val="auto"/>
          <w:highlight w:val="none"/>
        </w:rPr>
        <w:t>投标函</w:t>
      </w:r>
      <w:bookmarkEnd w:id="219"/>
    </w:p>
    <w:p>
      <w:pPr>
        <w:pStyle w:val="26"/>
        <w:spacing w:after="0" w:line="500" w:lineRule="exact"/>
        <w:ind w:left="0" w:leftChars="0" w:firstLine="0" w:firstLineChars="0"/>
        <w:jc w:val="both"/>
        <w:rPr>
          <w:rFonts w:ascii="宋体" w:hAnsi="宋体"/>
          <w:bCs/>
          <w:color w:val="auto"/>
          <w:szCs w:val="24"/>
          <w:highlight w:val="none"/>
        </w:rPr>
      </w:pPr>
      <w:r>
        <w:rPr>
          <w:rFonts w:hint="eastAsia" w:ascii="宋体" w:hAnsi="宋体"/>
          <w:bCs/>
          <w:color w:val="auto"/>
          <w:szCs w:val="24"/>
          <w:highlight w:val="none"/>
        </w:rPr>
        <w:t>四川世科工程咨询有限公司：</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我方全面研究了“</w:t>
      </w:r>
      <w:r>
        <w:rPr>
          <w:rFonts w:hint="eastAsia" w:ascii="宋体" w:hAnsi="宋体"/>
          <w:b/>
          <w:color w:val="auto"/>
          <w:szCs w:val="24"/>
          <w:highlight w:val="none"/>
          <w:u w:val="single"/>
          <w:lang w:eastAsia="zh-CN"/>
        </w:rPr>
        <w:t>成都市龙泉驿区城市绿地建设管理中心龙泉驿区道路景观绿化管护服务采购项目</w:t>
      </w:r>
      <w:r>
        <w:rPr>
          <w:rFonts w:hint="eastAsia" w:ascii="宋体" w:hAnsi="宋体"/>
          <w:b/>
          <w:bCs/>
          <w:color w:val="auto"/>
          <w:szCs w:val="24"/>
          <w:highlight w:val="none"/>
          <w:u w:val="single"/>
        </w:rPr>
        <w:t>”（招标编号：</w:t>
      </w:r>
      <w:r>
        <w:rPr>
          <w:rFonts w:hint="eastAsia" w:ascii="宋体" w:hAnsi="宋体"/>
          <w:b/>
          <w:bCs/>
          <w:color w:val="auto"/>
          <w:szCs w:val="24"/>
          <w:highlight w:val="none"/>
          <w:u w:val="single"/>
          <w:lang w:eastAsia="zh-CN"/>
        </w:rPr>
        <w:t>510112202100105</w:t>
      </w:r>
      <w:r>
        <w:rPr>
          <w:rFonts w:hint="eastAsia" w:ascii="宋体" w:hAnsi="宋体"/>
          <w:b/>
          <w:bCs/>
          <w:color w:val="auto"/>
          <w:szCs w:val="24"/>
          <w:highlight w:val="none"/>
        </w:rPr>
        <w:t>）</w:t>
      </w:r>
      <w:r>
        <w:rPr>
          <w:rFonts w:hint="eastAsia" w:ascii="宋体" w:hAnsi="宋体"/>
          <w:bCs/>
          <w:color w:val="auto"/>
          <w:szCs w:val="24"/>
          <w:highlight w:val="none"/>
        </w:rPr>
        <w:t>招标文件，决定参加贵单位组织的本项目</w:t>
      </w:r>
      <w:r>
        <w:rPr>
          <w:rFonts w:hint="eastAsia" w:ascii="宋体" w:hAnsi="宋体"/>
          <w:b/>
          <w:color w:val="auto"/>
          <w:szCs w:val="24"/>
          <w:highlight w:val="none"/>
        </w:rPr>
        <w:t>包件</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bCs/>
          <w:color w:val="auto"/>
          <w:szCs w:val="24"/>
          <w:highlight w:val="none"/>
        </w:rPr>
        <w:t>的投标。我方授权</w:t>
      </w:r>
      <w:r>
        <w:rPr>
          <w:rFonts w:hint="eastAsia" w:ascii="宋体" w:hAnsi="宋体"/>
          <w:bCs/>
          <w:color w:val="auto"/>
          <w:szCs w:val="24"/>
          <w:highlight w:val="none"/>
          <w:u w:val="single"/>
        </w:rPr>
        <w:t xml:space="preserve">       （姓名、职务）</w:t>
      </w:r>
      <w:r>
        <w:rPr>
          <w:rFonts w:hint="eastAsia" w:ascii="宋体" w:hAnsi="宋体"/>
          <w:bCs/>
          <w:color w:val="auto"/>
          <w:szCs w:val="24"/>
          <w:highlight w:val="none"/>
        </w:rPr>
        <w:t xml:space="preserve">代表我方 </w:t>
      </w:r>
      <w:r>
        <w:rPr>
          <w:rFonts w:hint="eastAsia" w:ascii="宋体" w:hAnsi="宋体"/>
          <w:bCs/>
          <w:color w:val="auto"/>
          <w:szCs w:val="24"/>
          <w:highlight w:val="none"/>
          <w:u w:val="single"/>
        </w:rPr>
        <w:t xml:space="preserve">     （投标人名称）</w:t>
      </w:r>
      <w:r>
        <w:rPr>
          <w:rFonts w:hint="eastAsia" w:ascii="宋体" w:hAnsi="宋体"/>
          <w:bCs/>
          <w:color w:val="auto"/>
          <w:szCs w:val="24"/>
          <w:highlight w:val="none"/>
        </w:rPr>
        <w:t>全权处理本项目投标的有关事宜。</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我方自愿按照招标文件规定的各项要求向采购人提供所需货物及服务，</w:t>
      </w:r>
      <w:r>
        <w:rPr>
          <w:rFonts w:hint="eastAsia" w:ascii="宋体" w:hAnsi="宋体"/>
          <w:b/>
          <w:color w:val="auto"/>
          <w:szCs w:val="24"/>
          <w:highlight w:val="none"/>
        </w:rPr>
        <w:t>投标报价以《开标一览表》为准</w:t>
      </w:r>
      <w:r>
        <w:rPr>
          <w:rFonts w:hint="eastAsia" w:ascii="宋体" w:hAnsi="宋体"/>
          <w:color w:val="auto"/>
          <w:szCs w:val="24"/>
          <w:highlight w:val="none"/>
        </w:rPr>
        <w:t>。</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如果我方中标，我方将严格履行合同规定的责任和义务，否则将承担由此产生的一切责任。</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我方已知晓全部招标文件的内容，包括修改文件（如有）以及全部相关资料和有关附件，并对上述文件均无异议。</w:t>
      </w:r>
    </w:p>
    <w:p>
      <w:pPr>
        <w:numPr>
          <w:ilvl w:val="1"/>
          <w:numId w:val="40"/>
        </w:numPr>
        <w:tabs>
          <w:tab w:val="left" w:pos="1134"/>
        </w:tabs>
        <w:ind w:left="0" w:firstLine="504"/>
        <w:rPr>
          <w:rFonts w:ascii="宋体" w:hAnsi="宋体"/>
          <w:color w:val="auto"/>
          <w:szCs w:val="24"/>
          <w:highlight w:val="none"/>
        </w:rPr>
      </w:pPr>
      <w:r>
        <w:rPr>
          <w:rFonts w:hint="eastAsia" w:ascii="宋体" w:hAnsi="宋体"/>
          <w:color w:val="auto"/>
          <w:szCs w:val="24"/>
          <w:highlight w:val="none"/>
        </w:rPr>
        <w:t>我方同意本招标文件依据</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《四川省公共资源交易领域严重失信联合惩戒实施办法》（川发改信用规【2019】405号）、《关于对政府采购领域严重违法失信主体开展联合惩戒的合作备案录》（发改财经【2018】1614号）等相关文件</w:t>
      </w:r>
      <w:r>
        <w:rPr>
          <w:rFonts w:hint="eastAsia" w:ascii="宋体" w:hAnsi="宋体"/>
          <w:color w:val="auto"/>
          <w:szCs w:val="24"/>
          <w:highlight w:val="none"/>
        </w:rPr>
        <w:t>对我方可能存在的失信行为进行的惩戒。</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投标有效期为从投标截止之日起90天。</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我方承诺一旦我公司成为本项目中标供应商，将按照招标文件的规定向四川世科工程咨询有限公司缴纳代理服务费。</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我方愿意提供贵方可能另外要求的，与投标有关的文件资料，并保证我方已提供和将要提供的文件资料是真实、准确的，并对此承担一切法律后果。</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我单位联系方式：</w:t>
      </w:r>
    </w:p>
    <w:p>
      <w:pPr>
        <w:pStyle w:val="26"/>
        <w:spacing w:after="0" w:line="360" w:lineRule="auto"/>
        <w:ind w:left="0" w:leftChars="0" w:firstLine="492"/>
        <w:rPr>
          <w:rFonts w:ascii="宋体" w:hAnsi="宋体"/>
          <w:color w:val="auto"/>
          <w:szCs w:val="24"/>
          <w:highlight w:val="none"/>
          <w:u w:val="singl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传真：</w:t>
      </w:r>
      <w:r>
        <w:rPr>
          <w:rFonts w:hint="eastAsia" w:ascii="宋体" w:hAnsi="宋体"/>
          <w:color w:val="auto"/>
          <w:szCs w:val="24"/>
          <w:highlight w:val="none"/>
          <w:u w:val="single"/>
        </w:rPr>
        <w:t xml:space="preserve">          </w:t>
      </w:r>
      <w:r>
        <w:rPr>
          <w:rFonts w:hint="eastAsia" w:ascii="宋体" w:hAnsi="宋体"/>
          <w:color w:val="auto"/>
          <w:szCs w:val="24"/>
          <w:highlight w:val="none"/>
        </w:rPr>
        <w:t>邮政编码：</w:t>
      </w:r>
      <w:r>
        <w:rPr>
          <w:rFonts w:hint="eastAsia" w:ascii="宋体" w:hAnsi="宋体"/>
          <w:color w:val="auto"/>
          <w:szCs w:val="24"/>
          <w:highlight w:val="none"/>
          <w:u w:val="single"/>
        </w:rPr>
        <w:tab/>
      </w:r>
      <w:r>
        <w:rPr>
          <w:rFonts w:hint="eastAsia" w:ascii="宋体" w:hAnsi="宋体"/>
          <w:color w:val="auto"/>
          <w:szCs w:val="24"/>
          <w:highlight w:val="none"/>
          <w:u w:val="single"/>
        </w:rPr>
        <w:tab/>
      </w:r>
      <w:r>
        <w:rPr>
          <w:rFonts w:hint="eastAsia" w:ascii="宋体" w:hAnsi="宋体"/>
          <w:color w:val="auto"/>
          <w:szCs w:val="24"/>
          <w:highlight w:val="none"/>
          <w:u w:val="single"/>
        </w:rPr>
        <w:tab/>
      </w:r>
      <w:r>
        <w:rPr>
          <w:rFonts w:hint="eastAsia" w:ascii="宋体" w:hAnsi="宋体"/>
          <w:color w:val="auto"/>
          <w:szCs w:val="24"/>
          <w:highlight w:val="none"/>
          <w:u w:val="single"/>
        </w:rPr>
        <w:tab/>
      </w:r>
      <w:r>
        <w:rPr>
          <w:rFonts w:hint="eastAsia" w:ascii="宋体" w:hAnsi="宋体"/>
          <w:color w:val="auto"/>
          <w:szCs w:val="24"/>
          <w:highlight w:val="none"/>
          <w:u w:val="single"/>
        </w:rPr>
        <w:t xml:space="preserve">  </w:t>
      </w:r>
      <w:r>
        <w:rPr>
          <w:rFonts w:hint="eastAsia" w:ascii="宋体" w:hAnsi="宋体"/>
          <w:color w:val="auto"/>
          <w:szCs w:val="24"/>
          <w:highlight w:val="none"/>
          <w:u w:val="single"/>
        </w:rPr>
        <w:tab/>
      </w:r>
      <w:r>
        <w:rPr>
          <w:rFonts w:hint="eastAsia" w:ascii="宋体" w:hAnsi="宋体"/>
          <w:color w:val="auto"/>
          <w:szCs w:val="24"/>
          <w:highlight w:val="none"/>
          <w:u w:val="single"/>
        </w:rPr>
        <w:tab/>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500" w:lineRule="exact"/>
        <w:ind w:left="492" w:firstLine="492"/>
        <w:jc w:val="both"/>
        <w:rPr>
          <w:rFonts w:ascii="宋体" w:hAnsi="宋体"/>
          <w:bCs/>
          <w:color w:val="auto"/>
          <w:szCs w:val="24"/>
          <w:highlight w:val="none"/>
        </w:rPr>
      </w:pPr>
      <w:r>
        <w:rPr>
          <w:rFonts w:hint="eastAsia" w:ascii="宋体" w:hAnsi="宋体"/>
          <w:bCs/>
          <w:color w:val="auto"/>
          <w:szCs w:val="24"/>
          <w:highlight w:val="none"/>
        </w:rPr>
        <w:br w:type="page"/>
      </w:r>
    </w:p>
    <w:p>
      <w:pPr>
        <w:pStyle w:val="5"/>
        <w:ind w:firstLine="494"/>
        <w:rPr>
          <w:color w:val="auto"/>
          <w:sz w:val="28"/>
          <w:highlight w:val="none"/>
        </w:rPr>
      </w:pPr>
      <w:bookmarkStart w:id="220" w:name="_Toc30172"/>
      <w:r>
        <w:rPr>
          <w:rFonts w:hint="eastAsia"/>
          <w:color w:val="auto"/>
          <w:highlight w:val="none"/>
        </w:rPr>
        <w:t>具有独立承担民事责任的能力证明材料</w:t>
      </w:r>
      <w:bookmarkEnd w:id="220"/>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rPr>
          <w:rFonts w:ascii="宋体" w:hAnsi="宋体"/>
          <w:color w:val="auto"/>
          <w:sz w:val="28"/>
          <w:szCs w:val="28"/>
          <w:highlight w:val="none"/>
        </w:rPr>
      </w:pPr>
    </w:p>
    <w:p>
      <w:pPr>
        <w:pStyle w:val="2"/>
        <w:rPr>
          <w:rFonts w:ascii="宋体" w:hAnsi="宋体"/>
          <w:color w:val="auto"/>
          <w:sz w:val="28"/>
          <w:szCs w:val="28"/>
          <w:highlight w:val="none"/>
        </w:rPr>
      </w:pPr>
    </w:p>
    <w:p>
      <w:pPr>
        <w:rPr>
          <w:rFonts w:ascii="宋体" w:hAnsi="宋体"/>
          <w:color w:val="auto"/>
          <w:sz w:val="28"/>
          <w:szCs w:val="28"/>
          <w:highlight w:val="none"/>
        </w:rPr>
      </w:pPr>
    </w:p>
    <w:p>
      <w:pPr>
        <w:pStyle w:val="2"/>
        <w:rPr>
          <w:color w:val="auto"/>
          <w:highlight w:val="none"/>
        </w:rPr>
      </w:pPr>
    </w:p>
    <w:p>
      <w:pPr>
        <w:pStyle w:val="5"/>
        <w:ind w:firstLine="494"/>
        <w:rPr>
          <w:color w:val="auto"/>
          <w:highlight w:val="none"/>
        </w:rPr>
      </w:pPr>
      <w:bookmarkStart w:id="221" w:name="_Toc27818"/>
      <w:bookmarkStart w:id="222" w:name="_Toc26535"/>
      <w:r>
        <w:rPr>
          <w:rFonts w:hint="eastAsia" w:cs="宋体"/>
          <w:color w:val="auto"/>
          <w:szCs w:val="24"/>
          <w:highlight w:val="none"/>
        </w:rPr>
        <w:t>健全的财务会计制度的证明材料</w:t>
      </w:r>
    </w:p>
    <w:p>
      <w:pPr>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rPr>
          <w:rFonts w:ascii="宋体" w:hAnsi="宋体" w:cs="宋体"/>
          <w:color w:val="auto"/>
          <w:szCs w:val="24"/>
          <w:highlight w:val="none"/>
        </w:rPr>
      </w:pPr>
    </w:p>
    <w:p>
      <w:pPr>
        <w:pStyle w:val="2"/>
        <w:rPr>
          <w:rFonts w:ascii="宋体" w:hAnsi="宋体" w:cs="宋体"/>
          <w:color w:val="auto"/>
          <w:szCs w:val="24"/>
          <w:highlight w:val="none"/>
        </w:rPr>
      </w:pPr>
    </w:p>
    <w:p>
      <w:pPr>
        <w:rPr>
          <w:color w:val="auto"/>
          <w:highlight w:val="none"/>
        </w:rPr>
      </w:pPr>
    </w:p>
    <w:p>
      <w:pPr>
        <w:pStyle w:val="2"/>
        <w:ind w:firstLine="492"/>
        <w:rPr>
          <w:rFonts w:ascii="宋体" w:hAnsi="宋体" w:cs="宋体"/>
          <w:color w:val="auto"/>
          <w:szCs w:val="24"/>
          <w:highlight w:val="none"/>
        </w:rPr>
      </w:pPr>
    </w:p>
    <w:p>
      <w:pPr>
        <w:pStyle w:val="5"/>
        <w:ind w:firstLine="494"/>
        <w:rPr>
          <w:color w:val="auto"/>
          <w:highlight w:val="none"/>
        </w:rPr>
      </w:pPr>
      <w:r>
        <w:rPr>
          <w:rFonts w:hint="eastAsia"/>
          <w:color w:val="auto"/>
          <w:highlight w:val="none"/>
        </w:rPr>
        <w:t>投标人缴纳税收的证明材料</w:t>
      </w:r>
      <w:bookmarkEnd w:id="221"/>
    </w:p>
    <w:p>
      <w:pPr>
        <w:ind w:firstLine="492"/>
        <w:rPr>
          <w:color w:val="auto"/>
          <w:highlight w:val="none"/>
        </w:rPr>
      </w:pPr>
    </w:p>
    <w:p>
      <w:pPr>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ind w:firstLine="492"/>
        <w:rPr>
          <w:color w:val="auto"/>
          <w:highlight w:val="none"/>
        </w:rPr>
      </w:pPr>
    </w:p>
    <w:p>
      <w:pPr>
        <w:pStyle w:val="2"/>
        <w:ind w:firstLine="572"/>
        <w:rPr>
          <w:rFonts w:ascii="宋体" w:hAnsi="宋体" w:cs="宋体"/>
          <w:color w:val="auto"/>
          <w:sz w:val="28"/>
          <w:szCs w:val="28"/>
          <w:highlight w:val="none"/>
          <w:shd w:val="clear" w:color="auto" w:fill="FFFFFF"/>
        </w:rPr>
      </w:pPr>
    </w:p>
    <w:p>
      <w:pPr>
        <w:rPr>
          <w:rFonts w:ascii="宋体" w:hAnsi="宋体" w:cs="宋体"/>
          <w:color w:val="auto"/>
          <w:sz w:val="28"/>
          <w:szCs w:val="28"/>
          <w:highlight w:val="none"/>
          <w:shd w:val="clear" w:color="auto" w:fill="FFFFFF"/>
        </w:rPr>
      </w:pPr>
    </w:p>
    <w:p>
      <w:pPr>
        <w:pStyle w:val="2"/>
        <w:rPr>
          <w:color w:val="auto"/>
          <w:highlight w:val="none"/>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5"/>
        <w:ind w:firstLine="494"/>
        <w:rPr>
          <w:color w:val="auto"/>
          <w:highlight w:val="none"/>
        </w:rPr>
      </w:pPr>
      <w:r>
        <w:rPr>
          <w:rFonts w:hint="eastAsia"/>
          <w:color w:val="auto"/>
          <w:highlight w:val="none"/>
        </w:rPr>
        <w:t xml:space="preserve"> </w:t>
      </w:r>
      <w:bookmarkStart w:id="223" w:name="_Toc21408"/>
      <w:r>
        <w:rPr>
          <w:rFonts w:hint="eastAsia"/>
          <w:color w:val="auto"/>
          <w:highlight w:val="none"/>
        </w:rPr>
        <w:t>投标人缴纳社会保障资金的证明材料</w:t>
      </w:r>
      <w:bookmarkEnd w:id="223"/>
    </w:p>
    <w:p>
      <w:pPr>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ind w:firstLine="492"/>
        <w:rPr>
          <w:color w:val="auto"/>
          <w:highlight w:val="none"/>
        </w:rPr>
      </w:pPr>
    </w:p>
    <w:p>
      <w:pPr>
        <w:ind w:firstLine="492"/>
        <w:rPr>
          <w:color w:val="auto"/>
          <w:highlight w:val="none"/>
        </w:rPr>
      </w:pPr>
      <w:r>
        <w:rPr>
          <w:rFonts w:hint="eastAsia"/>
          <w:color w:val="auto"/>
          <w:highlight w:val="none"/>
        </w:rPr>
        <w:br w:type="page"/>
      </w:r>
    </w:p>
    <w:p>
      <w:pPr>
        <w:pStyle w:val="5"/>
        <w:ind w:firstLine="494"/>
        <w:rPr>
          <w:color w:val="auto"/>
          <w:highlight w:val="none"/>
        </w:rPr>
      </w:pPr>
      <w:bookmarkStart w:id="224" w:name="_Toc20876"/>
      <w:r>
        <w:rPr>
          <w:rFonts w:hint="eastAsia"/>
          <w:color w:val="auto"/>
          <w:highlight w:val="none"/>
        </w:rPr>
        <w:t>承诺</w:t>
      </w:r>
      <w:bookmarkEnd w:id="224"/>
      <w:r>
        <w:rPr>
          <w:rFonts w:hint="eastAsia"/>
          <w:color w:val="auto"/>
          <w:highlight w:val="none"/>
          <w:lang w:val="en-US" w:eastAsia="zh-CN"/>
        </w:rPr>
        <w:t>函</w:t>
      </w:r>
    </w:p>
    <w:p>
      <w:pPr>
        <w:ind w:firstLine="0" w:firstLineChars="0"/>
        <w:rPr>
          <w:rFonts w:ascii="宋体" w:hAnsi="宋体"/>
          <w:color w:val="auto"/>
          <w:szCs w:val="24"/>
          <w:highlight w:val="none"/>
        </w:rPr>
      </w:pPr>
      <w:r>
        <w:rPr>
          <w:rFonts w:hint="eastAsia" w:ascii="宋体" w:hAnsi="宋体"/>
          <w:b/>
          <w:bCs/>
          <w:color w:val="auto"/>
          <w:szCs w:val="24"/>
          <w:highlight w:val="none"/>
        </w:rPr>
        <w:t>四川世科工程咨询有限公司：</w:t>
      </w:r>
    </w:p>
    <w:p>
      <w:pPr>
        <w:ind w:firstLine="504"/>
        <w:rPr>
          <w:rFonts w:ascii="宋体" w:hAnsi="宋体"/>
          <w:color w:val="auto"/>
          <w:szCs w:val="24"/>
          <w:highlight w:val="none"/>
        </w:rPr>
      </w:pPr>
      <w:r>
        <w:rPr>
          <w:rFonts w:hint="eastAsia" w:ascii="宋体" w:hAnsi="宋体"/>
          <w:color w:val="auto"/>
          <w:szCs w:val="24"/>
          <w:highlight w:val="none"/>
        </w:rPr>
        <w:t>我公司作为本次采购项目的投标人，根据招标文件的要求，在此郑重承诺：</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我公司具有良好的商业信誉。</w:t>
      </w:r>
    </w:p>
    <w:p>
      <w:pPr>
        <w:pStyle w:val="2"/>
        <w:numPr>
          <w:ilvl w:val="0"/>
          <w:numId w:val="41"/>
        </w:numPr>
        <w:spacing w:line="360" w:lineRule="auto"/>
        <w:ind w:firstLine="504"/>
        <w:rPr>
          <w:color w:val="auto"/>
          <w:highlight w:val="none"/>
        </w:rPr>
      </w:pPr>
      <w:r>
        <w:rPr>
          <w:rFonts w:hint="eastAsia"/>
          <w:color w:val="auto"/>
          <w:highlight w:val="none"/>
        </w:rPr>
        <w:t>我公司具有履行合同所必须的设备和专业技术能力。</w:t>
      </w:r>
    </w:p>
    <w:p>
      <w:pPr>
        <w:pStyle w:val="2"/>
        <w:numPr>
          <w:ilvl w:val="0"/>
          <w:numId w:val="41"/>
        </w:numPr>
        <w:spacing w:line="360" w:lineRule="auto"/>
        <w:ind w:firstLine="504"/>
        <w:rPr>
          <w:rFonts w:ascii="宋体" w:hAnsi="宋体"/>
          <w:color w:val="auto"/>
          <w:szCs w:val="24"/>
          <w:highlight w:val="none"/>
        </w:rPr>
      </w:pPr>
      <w:r>
        <w:rPr>
          <w:rFonts w:hint="eastAsia" w:ascii="宋体" w:hAnsi="宋体"/>
          <w:color w:val="auto"/>
          <w:szCs w:val="24"/>
          <w:highlight w:val="none"/>
        </w:rPr>
        <w:t>我公司参加政府采购活动前三年内（成立不足三年的，从成立之日起算），在经营活动中无重大违法记录。（</w:t>
      </w:r>
      <w:r>
        <w:rPr>
          <w:rFonts w:hint="eastAsia" w:ascii="宋体" w:hAnsi="宋体" w:cs="宋体"/>
          <w:color w:val="auto"/>
          <w:szCs w:val="24"/>
          <w:highlight w:val="none"/>
        </w:rPr>
        <w:t>重大违法记录是指投标人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组织的违法行为处以罚款或者没收财产2万元以上；对在经营活动中的违法行为 处以罚款或者没收财产5万元以上。国务院有关部门规定的较大数额标准低于前款规定的，从其规定。)</w:t>
      </w:r>
    </w:p>
    <w:p>
      <w:pPr>
        <w:numPr>
          <w:ilvl w:val="0"/>
          <w:numId w:val="41"/>
        </w:numPr>
        <w:ind w:firstLine="50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我公司</w:t>
      </w:r>
      <w:r>
        <w:rPr>
          <w:rFonts w:hint="eastAsia" w:ascii="宋体" w:hAnsi="宋体" w:eastAsia="宋体" w:cs="宋体"/>
          <w:color w:val="auto"/>
          <w:sz w:val="24"/>
          <w:szCs w:val="24"/>
          <w:highlight w:val="none"/>
        </w:rPr>
        <w:t>未被列入经营异常名录</w:t>
      </w:r>
      <w:r>
        <w:rPr>
          <w:rFonts w:hint="eastAsia" w:ascii="宋体" w:hAnsi="宋体" w:cs="宋体"/>
          <w:color w:val="auto"/>
          <w:sz w:val="24"/>
          <w:szCs w:val="24"/>
          <w:highlight w:val="none"/>
          <w:lang w:eastAsia="zh-CN"/>
        </w:rPr>
        <w:t>。</w:t>
      </w:r>
    </w:p>
    <w:p>
      <w:pPr>
        <w:numPr>
          <w:ilvl w:val="0"/>
          <w:numId w:val="41"/>
        </w:numPr>
        <w:ind w:firstLine="504"/>
        <w:rPr>
          <w:rFonts w:ascii="宋体" w:hAnsi="宋体"/>
          <w:color w:val="auto"/>
          <w:szCs w:val="24"/>
          <w:highlight w:val="none"/>
        </w:rPr>
      </w:pPr>
      <w:r>
        <w:rPr>
          <w:rFonts w:hint="eastAsia" w:ascii="宋体" w:hAnsi="宋体" w:cs="宋体"/>
          <w:color w:val="auto"/>
          <w:sz w:val="24"/>
          <w:szCs w:val="24"/>
          <w:highlight w:val="none"/>
          <w:lang w:val="en-US" w:eastAsia="zh-CN"/>
        </w:rPr>
        <w:t>我公司</w:t>
      </w:r>
      <w:r>
        <w:rPr>
          <w:rFonts w:hint="eastAsia" w:ascii="宋体" w:hAnsi="宋体" w:eastAsia="宋体" w:cs="宋体"/>
          <w:color w:val="auto"/>
          <w:sz w:val="24"/>
          <w:szCs w:val="24"/>
          <w:highlight w:val="none"/>
        </w:rPr>
        <w:t>未被列入失信被执行人、重大税收违法案件当事人名单、政府采购严重违法失信行为记录名单</w:t>
      </w:r>
      <w:r>
        <w:rPr>
          <w:rFonts w:hint="eastAsia" w:ascii="宋体" w:hAnsi="宋体" w:cs="宋体"/>
          <w:color w:val="auto"/>
          <w:sz w:val="24"/>
          <w:szCs w:val="24"/>
          <w:highlight w:val="none"/>
          <w:lang w:eastAsia="zh-CN"/>
        </w:rPr>
        <w:t>。</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我公司及我公司法定代表人或主要负责人</w:t>
      </w:r>
      <w:r>
        <w:rPr>
          <w:rFonts w:hint="eastAsia" w:ascii="宋体" w:hAnsi="宋体" w:cs="宋体"/>
          <w:color w:val="auto"/>
          <w:szCs w:val="24"/>
          <w:highlight w:val="none"/>
        </w:rPr>
        <w:t>不具有行贿犯罪记录</w:t>
      </w:r>
      <w:r>
        <w:rPr>
          <w:rFonts w:hint="eastAsia" w:ascii="宋体" w:hAnsi="宋体"/>
          <w:color w:val="auto"/>
          <w:szCs w:val="24"/>
          <w:highlight w:val="none"/>
        </w:rPr>
        <w:t>。</w:t>
      </w:r>
    </w:p>
    <w:p>
      <w:pPr>
        <w:numPr>
          <w:ilvl w:val="0"/>
          <w:numId w:val="41"/>
        </w:numPr>
        <w:ind w:firstLine="504"/>
        <w:rPr>
          <w:color w:val="auto"/>
          <w:highlight w:val="none"/>
        </w:rPr>
      </w:pPr>
      <w:r>
        <w:rPr>
          <w:color w:val="auto"/>
          <w:highlight w:val="none"/>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参加本次采购活动，我公司不存在和其他供应商在同一合同项下的采购项目中，同时委托同一个自然人、同一家庭的人员、同一单位的人员作为代理人的行为。</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参加本次采购活动，我公司不存在与单位负责人为同一人或者存在直接控股、管理关系的其他供应商参与同一合同项下的政府采购活动的行为。</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我公司没有为本项目提供过整体设计、规范编制或者项目管理、监理、检测等服务。</w:t>
      </w:r>
    </w:p>
    <w:p>
      <w:pPr>
        <w:widowControl w:val="0"/>
        <w:numPr>
          <w:ilvl w:val="0"/>
          <w:numId w:val="41"/>
        </w:numPr>
        <w:spacing w:line="360" w:lineRule="auto"/>
        <w:ind w:firstLine="490" w:firstLineChars="20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《四川省公共资源交易领域严重失信联合惩戒实施办法》（川发改信用规【2019】405号）、《关于对政府采购领域严重违法失信主体开展联合惩戒的合作备案录》（发改财经【2018】1614号）</w:t>
      </w:r>
      <w:r>
        <w:rPr>
          <w:rFonts w:hint="eastAsia" w:ascii="宋体" w:hAnsi="宋体"/>
          <w:color w:val="auto"/>
          <w:highlight w:val="none"/>
        </w:rPr>
        <w:t>规定的失信行为，将在磋商文件中全面如实反映。</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在本项目使用的任何产品和服务（包括部分使用）时，不会产生因第三方提出侵犯其专利权、商标权或其它知识产权而引起的法律和经济纠纷，如因专利权、商标权或其它知识产权而引起法律和经济纠纷，由我公司承担所有相关责任。</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采购人享有本项目实施过程中产生的知识成果及知识产权。</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如欲在项目实施过程中采用自有知识成果，将在投标文件中声明，并提供相关知识产权证明文件。使用该知识成果后，我公司将提供开发接口和开发手册等技术文档，并提供无限期技术支持，采购人享有永久使用权（含采购人委托第三方在该项目后续开发的使用权）。</w:t>
      </w:r>
    </w:p>
    <w:p>
      <w:pPr>
        <w:numPr>
          <w:ilvl w:val="0"/>
          <w:numId w:val="41"/>
        </w:numPr>
        <w:ind w:firstLine="504"/>
        <w:rPr>
          <w:color w:val="auto"/>
          <w:highlight w:val="none"/>
        </w:rPr>
      </w:pPr>
      <w:r>
        <w:rPr>
          <w:rFonts w:hint="eastAsia" w:ascii="宋体" w:hAnsi="宋体"/>
          <w:color w:val="auto"/>
          <w:szCs w:val="24"/>
          <w:highlight w:val="none"/>
        </w:rPr>
        <w:t xml:space="preserve">如采用我公司所不拥有的知识产权的产品，则在投标报价中已包括合法获取该知识产权的相关费用。 </w:t>
      </w:r>
    </w:p>
    <w:p>
      <w:pPr>
        <w:pStyle w:val="2"/>
        <w:numPr>
          <w:ilvl w:val="0"/>
          <w:numId w:val="41"/>
        </w:numPr>
        <w:spacing w:line="360" w:lineRule="auto"/>
        <w:ind w:firstLine="504"/>
        <w:rPr>
          <w:rFonts w:ascii="宋体" w:hAnsi="宋体"/>
          <w:color w:val="auto"/>
          <w:szCs w:val="24"/>
          <w:highlight w:val="none"/>
        </w:rPr>
      </w:pPr>
      <w:r>
        <w:rPr>
          <w:rFonts w:hint="eastAsia" w:ascii="宋体" w:hAnsi="宋体"/>
          <w:color w:val="auto"/>
          <w:szCs w:val="24"/>
          <w:highlight w:val="none"/>
        </w:rPr>
        <w:t>我公司符合法律、行政法规规定的其他条件。</w:t>
      </w:r>
    </w:p>
    <w:p>
      <w:pPr>
        <w:ind w:firstLine="504"/>
        <w:rPr>
          <w:rFonts w:ascii="宋体" w:hAnsi="宋体"/>
          <w:color w:val="auto"/>
          <w:szCs w:val="24"/>
          <w:highlight w:val="none"/>
        </w:rPr>
      </w:pPr>
      <w:r>
        <w:rPr>
          <w:rFonts w:hint="eastAsia" w:ascii="宋体" w:hAnsi="宋体"/>
          <w:color w:val="auto"/>
          <w:szCs w:val="24"/>
          <w:highlight w:val="none"/>
        </w:rPr>
        <w:t>如违反以上承诺，本公司愿承担一切法律责任。</w:t>
      </w:r>
    </w:p>
    <w:p>
      <w:pPr>
        <w:pStyle w:val="2"/>
        <w:spacing w:line="360" w:lineRule="auto"/>
        <w:ind w:firstLine="492"/>
        <w:rPr>
          <w:color w:val="auto"/>
          <w:szCs w:val="24"/>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360" w:lineRule="auto"/>
        <w:ind w:left="0" w:leftChars="0" w:firstLine="492"/>
        <w:rPr>
          <w:rFonts w:ascii="宋体" w:hAnsi="宋体"/>
          <w:bCs/>
          <w:color w:val="auto"/>
          <w:sz w:val="28"/>
          <w:szCs w:val="28"/>
          <w:highlight w:val="none"/>
          <w:u w:val="singl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bookmarkEnd w:id="222"/>
    <w:p>
      <w:pPr>
        <w:pStyle w:val="5"/>
        <w:ind w:firstLine="494"/>
        <w:rPr>
          <w:color w:val="auto"/>
          <w:highlight w:val="none"/>
        </w:rPr>
      </w:pPr>
      <w:bookmarkStart w:id="225" w:name="_Toc16526"/>
      <w:r>
        <w:rPr>
          <w:rFonts w:hint="eastAsia"/>
          <w:color w:val="auto"/>
          <w:highlight w:val="none"/>
        </w:rPr>
        <w:t>法定代表人身份证明书</w:t>
      </w:r>
      <w:bookmarkEnd w:id="225"/>
    </w:p>
    <w:p>
      <w:pPr>
        <w:tabs>
          <w:tab w:val="left" w:pos="6300"/>
        </w:tabs>
        <w:ind w:firstLine="572"/>
        <w:rPr>
          <w:rFonts w:ascii="宋体" w:hAnsi="宋体"/>
          <w:color w:val="auto"/>
          <w:sz w:val="28"/>
          <w:highlight w:val="none"/>
          <w:u w:val="single"/>
          <w:lang w:val="zh-CN"/>
        </w:rPr>
      </w:pPr>
    </w:p>
    <w:p>
      <w:pPr>
        <w:tabs>
          <w:tab w:val="left" w:pos="6300"/>
        </w:tabs>
        <w:ind w:firstLine="492"/>
        <w:rPr>
          <w:rFonts w:ascii="宋体" w:hAnsi="宋体"/>
          <w:color w:val="auto"/>
          <w:szCs w:val="24"/>
          <w:highlight w:val="none"/>
          <w:lang w:val="zh-CN"/>
        </w:rPr>
      </w:pPr>
      <w:r>
        <w:rPr>
          <w:rFonts w:hint="eastAsia" w:ascii="宋体" w:hAnsi="宋体"/>
          <w:color w:val="auto"/>
          <w:szCs w:val="24"/>
          <w:highlight w:val="none"/>
          <w:u w:val="single"/>
          <w:lang w:val="zh-CN"/>
        </w:rPr>
        <w:t xml:space="preserve">   （法定代表人姓名）         </w:t>
      </w:r>
      <w:r>
        <w:rPr>
          <w:rFonts w:hint="eastAsia" w:ascii="宋体" w:hAnsi="宋体"/>
          <w:color w:val="auto"/>
          <w:szCs w:val="24"/>
          <w:highlight w:val="none"/>
          <w:lang w:val="zh-CN"/>
        </w:rPr>
        <w:t>在</w:t>
      </w:r>
      <w:r>
        <w:rPr>
          <w:rFonts w:hint="eastAsia" w:ascii="宋体" w:hAnsi="宋体"/>
          <w:color w:val="auto"/>
          <w:szCs w:val="24"/>
          <w:highlight w:val="none"/>
          <w:u w:val="single"/>
          <w:lang w:val="zh-CN"/>
        </w:rPr>
        <w:t xml:space="preserve">          （投标人名称）  </w:t>
      </w:r>
      <w:r>
        <w:rPr>
          <w:rFonts w:hint="eastAsia" w:ascii="宋体" w:hAnsi="宋体"/>
          <w:color w:val="auto"/>
          <w:szCs w:val="24"/>
          <w:highlight w:val="none"/>
          <w:lang w:val="zh-CN"/>
        </w:rPr>
        <w:t>处 任</w:t>
      </w:r>
      <w:r>
        <w:rPr>
          <w:rFonts w:hint="eastAsia" w:ascii="宋体" w:hAnsi="宋体"/>
          <w:color w:val="auto"/>
          <w:szCs w:val="24"/>
          <w:highlight w:val="none"/>
          <w:u w:val="single"/>
          <w:lang w:val="zh-CN"/>
        </w:rPr>
        <w:t xml:space="preserve">         （职务名称）        </w:t>
      </w:r>
      <w:r>
        <w:rPr>
          <w:rFonts w:hint="eastAsia" w:ascii="宋体" w:hAnsi="宋体"/>
          <w:color w:val="auto"/>
          <w:szCs w:val="24"/>
          <w:highlight w:val="none"/>
          <w:lang w:val="zh-CN"/>
        </w:rPr>
        <w:t>职务，是</w:t>
      </w:r>
      <w:r>
        <w:rPr>
          <w:rFonts w:hint="eastAsia" w:ascii="宋体" w:hAnsi="宋体"/>
          <w:color w:val="auto"/>
          <w:szCs w:val="24"/>
          <w:highlight w:val="none"/>
          <w:u w:val="single"/>
          <w:lang w:val="zh-CN"/>
        </w:rPr>
        <w:t xml:space="preserve">      （投标人名称）    </w:t>
      </w:r>
      <w:r>
        <w:rPr>
          <w:rFonts w:hint="eastAsia" w:ascii="宋体" w:hAnsi="宋体"/>
          <w:color w:val="auto"/>
          <w:szCs w:val="24"/>
          <w:highlight w:val="none"/>
          <w:lang w:val="zh-CN"/>
        </w:rPr>
        <w:t>的法定代表人。</w:t>
      </w: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r>
        <w:rPr>
          <w:rFonts w:hint="eastAsia" w:ascii="宋体" w:hAnsi="宋体"/>
          <w:color w:val="auto"/>
          <w:szCs w:val="24"/>
          <w:highlight w:val="none"/>
          <w:lang w:val="zh-CN"/>
        </w:rPr>
        <w:t>特此证明。</w:t>
      </w: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ind w:firstLine="492"/>
        <w:rPr>
          <w:rFonts w:ascii="宋体" w:hAnsi="宋体"/>
          <w:color w:val="auto"/>
          <w:szCs w:val="24"/>
          <w:highlight w:val="none"/>
          <w:lang w:val="zh-CN"/>
        </w:rPr>
      </w:pPr>
      <w:r>
        <w:rPr>
          <w:rFonts w:hint="eastAsia" w:ascii="宋体" w:hAnsi="宋体"/>
          <w:color w:val="auto"/>
          <w:szCs w:val="24"/>
          <w:highlight w:val="none"/>
          <w:lang w:val="zh-CN"/>
        </w:rPr>
        <w:t>投标人名称：</w:t>
      </w:r>
      <w:r>
        <w:rPr>
          <w:rFonts w:hint="eastAsia" w:ascii="宋体" w:hAnsi="宋体"/>
          <w:bCs/>
          <w:color w:val="auto"/>
          <w:szCs w:val="24"/>
          <w:highlight w:val="none"/>
          <w:u w:val="single"/>
        </w:rPr>
        <w:t xml:space="preserve">                       </w:t>
      </w:r>
      <w:r>
        <w:rPr>
          <w:rFonts w:hint="eastAsia" w:ascii="宋体" w:hAnsi="宋体"/>
          <w:color w:val="auto"/>
          <w:szCs w:val="24"/>
          <w:highlight w:val="none"/>
          <w:lang w:val="zh-CN"/>
        </w:rPr>
        <w:t>（加盖单位公章）</w:t>
      </w:r>
    </w:p>
    <w:p>
      <w:pPr>
        <w:pStyle w:val="26"/>
        <w:spacing w:after="0" w:line="360" w:lineRule="auto"/>
        <w:ind w:left="0" w:leftChars="0"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ind w:firstLine="492"/>
        <w:rPr>
          <w:color w:val="auto"/>
          <w:highlight w:val="none"/>
        </w:rPr>
      </w:pPr>
    </w:p>
    <w:p>
      <w:pPr>
        <w:pStyle w:val="14"/>
        <w:spacing w:after="0" w:line="360" w:lineRule="auto"/>
        <w:ind w:firstLine="494"/>
        <w:rPr>
          <w:rFonts w:hint="eastAsia" w:ascii="宋体" w:hAnsi="宋体" w:eastAsia="宋体" w:cs="宋体"/>
          <w:b/>
          <w:color w:val="auto"/>
          <w:sz w:val="24"/>
          <w:szCs w:val="24"/>
          <w:highlight w:val="none"/>
        </w:rPr>
      </w:pPr>
      <w:r>
        <w:rPr>
          <w:rFonts w:hint="eastAsia" w:ascii="宋体" w:hAnsi="宋体"/>
          <w:b/>
          <w:color w:val="auto"/>
          <w:szCs w:val="24"/>
          <w:highlight w:val="none"/>
        </w:rPr>
        <w:t>注：后附法定代表人身份证复印件（身份证两面均应复印）或护照复印件（供应商的法定代表人为外籍人士的，则提供护照复印件），复印件加盖单位公章。</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为自然人无须提供身份证明书，仅提供身份证复印件或护照复印件。</w:t>
      </w: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5"/>
        <w:ind w:firstLine="494"/>
        <w:rPr>
          <w:color w:val="auto"/>
          <w:highlight w:val="none"/>
        </w:rPr>
      </w:pPr>
      <w:bookmarkStart w:id="226" w:name="_Toc30122"/>
      <w:r>
        <w:rPr>
          <w:rFonts w:hint="eastAsia"/>
          <w:color w:val="auto"/>
          <w:highlight w:val="none"/>
        </w:rPr>
        <w:t>法定代表人授权委托书</w:t>
      </w:r>
      <w:bookmarkEnd w:id="226"/>
    </w:p>
    <w:p>
      <w:pPr>
        <w:ind w:firstLine="492"/>
        <w:rPr>
          <w:color w:val="auto"/>
          <w:highlight w:val="none"/>
        </w:rPr>
      </w:pPr>
    </w:p>
    <w:p>
      <w:pPr>
        <w:ind w:firstLine="0" w:firstLineChars="0"/>
        <w:rPr>
          <w:rFonts w:ascii="宋体" w:hAnsi="宋体"/>
          <w:color w:val="auto"/>
          <w:szCs w:val="24"/>
          <w:highlight w:val="none"/>
        </w:rPr>
      </w:pPr>
      <w:r>
        <w:rPr>
          <w:rFonts w:hint="eastAsia" w:ascii="宋体" w:hAnsi="宋体"/>
          <w:color w:val="auto"/>
          <w:szCs w:val="24"/>
          <w:highlight w:val="none"/>
        </w:rPr>
        <w:t>四川世科工程咨询有限公司：</w:t>
      </w:r>
    </w:p>
    <w:p>
      <w:pPr>
        <w:ind w:firstLine="492"/>
        <w:rPr>
          <w:rFonts w:ascii="宋体" w:hAnsi="宋体"/>
          <w:color w:val="auto"/>
          <w:szCs w:val="24"/>
          <w:highlight w:val="none"/>
        </w:rPr>
      </w:pPr>
      <w:r>
        <w:rPr>
          <w:rFonts w:hint="eastAsia" w:ascii="宋体" w:hAnsi="宋体"/>
          <w:color w:val="auto"/>
          <w:szCs w:val="24"/>
          <w:highlight w:val="none"/>
          <w:u w:val="single"/>
        </w:rPr>
        <w:t xml:space="preserve">        （投标人名称）</w:t>
      </w:r>
      <w:r>
        <w:rPr>
          <w:rFonts w:hint="eastAsia" w:ascii="宋体" w:hAnsi="宋体"/>
          <w:color w:val="auto"/>
          <w:szCs w:val="24"/>
          <w:highlight w:val="none"/>
        </w:rPr>
        <w:t>法定代表人____________ 授权委托___________</w:t>
      </w:r>
      <w:r>
        <w:rPr>
          <w:rFonts w:hint="eastAsia" w:ascii="宋体" w:hAnsi="宋体"/>
          <w:color w:val="auto"/>
          <w:szCs w:val="24"/>
          <w:highlight w:val="none"/>
          <w:u w:val="single"/>
        </w:rPr>
        <w:t xml:space="preserve"> </w:t>
      </w:r>
      <w:r>
        <w:rPr>
          <w:rFonts w:hint="eastAsia" w:ascii="宋体" w:hAnsi="宋体"/>
          <w:color w:val="auto"/>
          <w:szCs w:val="24"/>
          <w:highlight w:val="none"/>
        </w:rPr>
        <w:t>为我的代理人，参加贵单位组织的</w:t>
      </w:r>
      <w:r>
        <w:rPr>
          <w:rFonts w:hint="eastAsia" w:ascii="宋体" w:hAnsi="宋体"/>
          <w:b/>
          <w:color w:val="auto"/>
          <w:szCs w:val="24"/>
          <w:highlight w:val="none"/>
          <w:u w:val="single"/>
          <w:lang w:eastAsia="zh-CN"/>
        </w:rPr>
        <w:t>成都市龙泉驿区城市绿地建设管理中心龙泉驿区道路景观绿化管护服务采购项目</w:t>
      </w:r>
      <w:r>
        <w:rPr>
          <w:rFonts w:hint="eastAsia" w:ascii="宋体" w:hAnsi="宋体"/>
          <w:b/>
          <w:color w:val="auto"/>
          <w:szCs w:val="24"/>
          <w:highlight w:val="none"/>
        </w:rPr>
        <w:t>（招标编号：</w:t>
      </w:r>
      <w:r>
        <w:rPr>
          <w:rFonts w:hint="eastAsia" w:ascii="宋体" w:hAnsi="宋体" w:cs="宋体"/>
          <w:b/>
          <w:color w:val="auto"/>
          <w:kern w:val="0"/>
          <w:szCs w:val="24"/>
          <w:highlight w:val="none"/>
          <w:u w:val="single"/>
          <w:lang w:eastAsia="zh-CN"/>
        </w:rPr>
        <w:t>510112202100105</w:t>
      </w:r>
      <w:r>
        <w:rPr>
          <w:rFonts w:hint="eastAsia" w:ascii="宋体" w:hAnsi="宋体"/>
          <w:b/>
          <w:color w:val="auto"/>
          <w:szCs w:val="24"/>
          <w:highlight w:val="none"/>
        </w:rPr>
        <w:t>）包件</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color w:val="auto"/>
          <w:szCs w:val="24"/>
          <w:highlight w:val="none"/>
        </w:rPr>
        <w:t>的投标。代理人在本次招标中所签署的一切文件和处理的一切有关事宜，我公司均予承认，所产生的法律后果均由我单位承担。</w:t>
      </w:r>
    </w:p>
    <w:p>
      <w:pPr>
        <w:ind w:firstLine="492"/>
        <w:rPr>
          <w:rFonts w:ascii="宋体" w:hAnsi="宋体"/>
          <w:color w:val="auto"/>
          <w:szCs w:val="24"/>
          <w:highlight w:val="none"/>
        </w:rPr>
      </w:pPr>
      <w:r>
        <w:rPr>
          <w:rFonts w:hint="eastAsia" w:ascii="宋体" w:hAnsi="宋体"/>
          <w:color w:val="auto"/>
          <w:szCs w:val="24"/>
          <w:highlight w:val="none"/>
        </w:rPr>
        <w:t>代理人无转委托权，本授权书自</w:t>
      </w:r>
      <w:r>
        <w:rPr>
          <w:rFonts w:hint="eastAsia" w:ascii="宋体" w:hAnsi="宋体"/>
          <w:color w:val="auto"/>
          <w:szCs w:val="24"/>
          <w:highlight w:val="none"/>
          <w:u w:val="single"/>
        </w:rPr>
        <w:t xml:space="preserve">   </w:t>
      </w:r>
      <w:r>
        <w:rPr>
          <w:rFonts w:hint="eastAsia" w:ascii="宋体" w:hAnsi="宋体"/>
          <w:color w:val="auto"/>
          <w:szCs w:val="24"/>
          <w:highlight w:val="none"/>
        </w:rPr>
        <w:t>年</w:t>
      </w:r>
      <w:r>
        <w:rPr>
          <w:rFonts w:hint="eastAsia" w:ascii="宋体" w:hAnsi="宋体"/>
          <w:color w:val="auto"/>
          <w:szCs w:val="24"/>
          <w:highlight w:val="none"/>
          <w:u w:val="single"/>
        </w:rPr>
        <w:t xml:space="preserve">  </w:t>
      </w:r>
      <w:r>
        <w:rPr>
          <w:rFonts w:hint="eastAsia" w:ascii="宋体" w:hAnsi="宋体"/>
          <w:color w:val="auto"/>
          <w:szCs w:val="24"/>
          <w:highlight w:val="none"/>
        </w:rPr>
        <w:t>月</w:t>
      </w:r>
      <w:r>
        <w:rPr>
          <w:rFonts w:hint="eastAsia" w:ascii="宋体" w:hAnsi="宋体"/>
          <w:color w:val="auto"/>
          <w:szCs w:val="24"/>
          <w:highlight w:val="none"/>
          <w:u w:val="single"/>
        </w:rPr>
        <w:t xml:space="preserve">  </w:t>
      </w:r>
      <w:r>
        <w:rPr>
          <w:rFonts w:hint="eastAsia" w:ascii="宋体" w:hAnsi="宋体"/>
          <w:color w:val="auto"/>
          <w:szCs w:val="24"/>
          <w:highlight w:val="none"/>
        </w:rPr>
        <w:t>日签字生效，特此声明。</w:t>
      </w:r>
    </w:p>
    <w:p>
      <w:pPr>
        <w:pStyle w:val="23"/>
        <w:ind w:firstLine="492"/>
        <w:rPr>
          <w:rFonts w:hAnsi="宋体"/>
          <w:color w:val="auto"/>
          <w:sz w:val="24"/>
          <w:szCs w:val="24"/>
          <w:highlight w:val="none"/>
        </w:rPr>
      </w:pPr>
    </w:p>
    <w:p>
      <w:pPr>
        <w:ind w:firstLine="492"/>
        <w:rPr>
          <w:rFonts w:ascii="宋体" w:hAnsi="宋体"/>
          <w:color w:val="auto"/>
          <w:szCs w:val="24"/>
          <w:highlight w:val="none"/>
        </w:rPr>
      </w:pPr>
      <w:r>
        <w:rPr>
          <w:rFonts w:hint="eastAsia" w:ascii="宋体" w:hAnsi="宋体"/>
          <w:color w:val="auto"/>
          <w:szCs w:val="24"/>
          <w:highlight w:val="none"/>
        </w:rPr>
        <w:t>法定代表人：</w:t>
      </w:r>
      <w:r>
        <w:rPr>
          <w:rFonts w:hint="eastAsia" w:ascii="宋体" w:hAnsi="宋体"/>
          <w:bCs/>
          <w:color w:val="auto"/>
          <w:szCs w:val="24"/>
          <w:highlight w:val="none"/>
          <w:u w:val="single"/>
        </w:rPr>
        <w:t xml:space="preserve">               </w:t>
      </w:r>
      <w:r>
        <w:rPr>
          <w:rFonts w:hint="eastAsia" w:ascii="宋体" w:hAnsi="宋体"/>
          <w:color w:val="auto"/>
          <w:szCs w:val="24"/>
          <w:highlight w:val="none"/>
        </w:rPr>
        <w:t>（签字或盖法定代表人印章）</w:t>
      </w:r>
    </w:p>
    <w:p>
      <w:pPr>
        <w:ind w:firstLine="492"/>
        <w:rPr>
          <w:rFonts w:ascii="宋体" w:hAnsi="宋体"/>
          <w:color w:val="auto"/>
          <w:szCs w:val="24"/>
          <w:highlight w:val="none"/>
        </w:rPr>
      </w:pPr>
    </w:p>
    <w:p>
      <w:pPr>
        <w:pStyle w:val="23"/>
        <w:ind w:firstLine="492"/>
        <w:rPr>
          <w:rFonts w:hAnsi="宋体"/>
          <w:color w:val="auto"/>
          <w:sz w:val="24"/>
          <w:szCs w:val="24"/>
          <w:highlight w:val="none"/>
        </w:rPr>
      </w:pPr>
      <w:r>
        <w:rPr>
          <w:rFonts w:hint="eastAsia" w:hAnsi="宋体"/>
          <w:color w:val="auto"/>
          <w:sz w:val="24"/>
          <w:szCs w:val="24"/>
          <w:highlight w:val="none"/>
        </w:rPr>
        <w:t>代理人：</w:t>
      </w:r>
      <w:r>
        <w:rPr>
          <w:rFonts w:hint="eastAsia" w:hAnsi="宋体"/>
          <w:bCs/>
          <w:color w:val="auto"/>
          <w:sz w:val="24"/>
          <w:szCs w:val="24"/>
          <w:highlight w:val="none"/>
          <w:u w:val="single"/>
        </w:rPr>
        <w:t xml:space="preserve">               </w:t>
      </w:r>
      <w:r>
        <w:rPr>
          <w:rFonts w:hint="eastAsia" w:hAnsi="宋体"/>
          <w:color w:val="auto"/>
          <w:sz w:val="24"/>
          <w:szCs w:val="24"/>
          <w:highlight w:val="none"/>
        </w:rPr>
        <w:t>（签字）</w:t>
      </w:r>
    </w:p>
    <w:p>
      <w:pPr>
        <w:ind w:firstLine="492"/>
        <w:rPr>
          <w:rFonts w:ascii="宋体" w:hAnsi="宋体"/>
          <w:color w:val="auto"/>
          <w:szCs w:val="24"/>
          <w:highlight w:val="none"/>
        </w:rPr>
      </w:pPr>
    </w:p>
    <w:p>
      <w:pPr>
        <w:ind w:firstLine="492"/>
        <w:rPr>
          <w:rFonts w:ascii="宋体" w:hAnsi="宋体"/>
          <w:color w:val="auto"/>
          <w:szCs w:val="24"/>
          <w:highlight w:val="none"/>
        </w:rPr>
      </w:pPr>
      <w:r>
        <w:rPr>
          <w:rFonts w:hint="eastAsia" w:ascii="宋体" w:hAnsi="宋体"/>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color w:val="auto"/>
          <w:szCs w:val="24"/>
          <w:highlight w:val="none"/>
        </w:rPr>
        <w:t>（加盖单位公章）</w:t>
      </w:r>
    </w:p>
    <w:p>
      <w:pPr>
        <w:ind w:firstLine="492"/>
        <w:rPr>
          <w:rFonts w:ascii="宋体" w:hAnsi="宋体"/>
          <w:color w:val="auto"/>
          <w:szCs w:val="24"/>
          <w:highlight w:val="none"/>
        </w:rPr>
      </w:pPr>
    </w:p>
    <w:p>
      <w:pPr>
        <w:pStyle w:val="26"/>
        <w:spacing w:after="0" w:line="360" w:lineRule="auto"/>
        <w:ind w:left="0" w:leftChars="0" w:firstLine="506"/>
        <w:rPr>
          <w:rFonts w:ascii="宋体" w:hAnsi="宋体"/>
          <w:b/>
          <w:color w:val="auto"/>
          <w:szCs w:val="24"/>
          <w:highlight w:val="none"/>
        </w:rPr>
      </w:pPr>
      <w:r>
        <w:rPr>
          <w:rFonts w:hint="eastAsia" w:ascii="宋体" w:hAnsi="宋体"/>
          <w:b/>
          <w:color w:val="auto"/>
          <w:szCs w:val="24"/>
          <w:highlight w:val="none"/>
          <w:lang w:val="zh-CN"/>
        </w:rPr>
        <w:t>注：</w:t>
      </w:r>
      <w:r>
        <w:rPr>
          <w:rFonts w:hint="eastAsia" w:ascii="宋体" w:hAnsi="宋体"/>
          <w:b/>
          <w:color w:val="auto"/>
          <w:szCs w:val="24"/>
          <w:highlight w:val="none"/>
        </w:rPr>
        <w:t>1、后</w:t>
      </w:r>
      <w:r>
        <w:rPr>
          <w:rFonts w:ascii="宋体" w:hAnsi="宋体"/>
          <w:b/>
          <w:color w:val="auto"/>
          <w:szCs w:val="24"/>
          <w:highlight w:val="none"/>
          <w:lang w:val="zh-CN"/>
        </w:rPr>
        <w:t>附代理人身份证复印件（身份证</w:t>
      </w:r>
      <w:r>
        <w:rPr>
          <w:rFonts w:hint="eastAsia" w:ascii="宋体" w:hAnsi="宋体"/>
          <w:b/>
          <w:color w:val="auto"/>
          <w:szCs w:val="24"/>
          <w:highlight w:val="none"/>
          <w:lang w:val="zh-CN"/>
        </w:rPr>
        <w:t>两面均应复印</w:t>
      </w:r>
      <w:r>
        <w:rPr>
          <w:rFonts w:ascii="宋体" w:hAnsi="宋体"/>
          <w:b/>
          <w:color w:val="auto"/>
          <w:szCs w:val="24"/>
          <w:highlight w:val="none"/>
          <w:lang w:val="zh-CN"/>
        </w:rPr>
        <w:t>）</w:t>
      </w:r>
      <w:r>
        <w:rPr>
          <w:rFonts w:hint="eastAsia" w:ascii="宋体" w:hAnsi="宋体"/>
          <w:b/>
          <w:color w:val="auto"/>
          <w:szCs w:val="24"/>
          <w:highlight w:val="none"/>
          <w:lang w:val="zh-CN"/>
        </w:rPr>
        <w:t>并</w:t>
      </w:r>
      <w:r>
        <w:rPr>
          <w:rFonts w:hint="eastAsia" w:ascii="宋体" w:hAnsi="宋体"/>
          <w:b/>
          <w:color w:val="auto"/>
          <w:szCs w:val="24"/>
          <w:highlight w:val="none"/>
        </w:rPr>
        <w:t>加盖单位公章</w:t>
      </w:r>
      <w:r>
        <w:rPr>
          <w:rFonts w:ascii="宋体" w:hAnsi="宋体"/>
          <w:b/>
          <w:color w:val="auto"/>
          <w:szCs w:val="24"/>
          <w:highlight w:val="none"/>
        </w:rPr>
        <w:t>。</w:t>
      </w:r>
    </w:p>
    <w:p>
      <w:pPr>
        <w:pStyle w:val="26"/>
        <w:spacing w:after="0" w:line="360" w:lineRule="auto"/>
        <w:ind w:left="0" w:leftChars="0" w:firstLine="506"/>
        <w:rPr>
          <w:rFonts w:ascii="宋体" w:hAnsi="宋体"/>
          <w:b/>
          <w:color w:val="auto"/>
          <w:szCs w:val="24"/>
          <w:highlight w:val="none"/>
        </w:rPr>
      </w:pPr>
      <w:r>
        <w:rPr>
          <w:rFonts w:hint="eastAsia" w:ascii="宋体" w:hAnsi="宋体"/>
          <w:b/>
          <w:color w:val="auto"/>
          <w:szCs w:val="24"/>
          <w:highlight w:val="none"/>
          <w:lang w:val="zh-CN"/>
        </w:rPr>
        <w:t>2、</w:t>
      </w:r>
      <w:r>
        <w:rPr>
          <w:rFonts w:hint="eastAsia" w:ascii="宋体" w:hAnsi="宋体"/>
          <w:b/>
          <w:color w:val="auto"/>
          <w:szCs w:val="24"/>
          <w:highlight w:val="none"/>
        </w:rPr>
        <w:t>供应商的投标文件均由供应商法定代表人签字的，可不提供该附件的内容。</w:t>
      </w:r>
    </w:p>
    <w:p>
      <w:pPr>
        <w:pStyle w:val="26"/>
        <w:spacing w:after="0" w:line="360" w:lineRule="auto"/>
        <w:ind w:left="0" w:leftChars="0" w:firstLine="494"/>
        <w:rPr>
          <w:rFonts w:ascii="宋体" w:hAnsi="宋体"/>
          <w:b/>
          <w:color w:val="auto"/>
          <w:szCs w:val="24"/>
          <w:highlight w:val="none"/>
        </w:rPr>
      </w:pPr>
      <w:r>
        <w:rPr>
          <w:rFonts w:hint="eastAsia" w:ascii="宋体" w:hAnsi="宋体"/>
          <w:b/>
          <w:color w:val="auto"/>
          <w:szCs w:val="24"/>
          <w:highlight w:val="none"/>
        </w:rPr>
        <w:br w:type="page"/>
      </w:r>
    </w:p>
    <w:p>
      <w:pPr>
        <w:pStyle w:val="4"/>
        <w:rPr>
          <w:color w:val="auto"/>
          <w:highlight w:val="none"/>
        </w:rPr>
      </w:pPr>
      <w:bookmarkStart w:id="227" w:name="_Toc16091"/>
      <w:bookmarkStart w:id="228" w:name="_Toc734"/>
      <w:bookmarkStart w:id="229" w:name="_Toc2536"/>
      <w:bookmarkStart w:id="230" w:name="_Toc7019"/>
      <w:r>
        <w:rPr>
          <w:rFonts w:hint="eastAsia"/>
          <w:color w:val="auto"/>
          <w:highlight w:val="none"/>
        </w:rPr>
        <w:t>技术、服务性响应文件</w:t>
      </w:r>
      <w:bookmarkEnd w:id="227"/>
      <w:bookmarkEnd w:id="228"/>
      <w:bookmarkEnd w:id="229"/>
      <w:bookmarkEnd w:id="230"/>
    </w:p>
    <w:p>
      <w:pPr>
        <w:pStyle w:val="5"/>
        <w:ind w:firstLine="494"/>
        <w:rPr>
          <w:color w:val="auto"/>
          <w:highlight w:val="none"/>
        </w:rPr>
      </w:pPr>
      <w:bookmarkStart w:id="231" w:name="_Toc14598"/>
      <w:r>
        <w:rPr>
          <w:rFonts w:hint="eastAsia"/>
          <w:color w:val="auto"/>
          <w:highlight w:val="none"/>
        </w:rPr>
        <w:t>技术、服务性响应件密封包装最外层格式</w:t>
      </w:r>
      <w:bookmarkEnd w:id="231"/>
    </w:p>
    <w:tbl>
      <w:tblPr>
        <w:tblStyle w:val="43"/>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309" w:type="dxa"/>
          </w:tcPr>
          <w:p>
            <w:pPr>
              <w:ind w:firstLine="494"/>
              <w:rPr>
                <w:rFonts w:ascii="宋体" w:hAnsi="宋体"/>
                <w:b/>
                <w:color w:val="auto"/>
                <w:szCs w:val="24"/>
                <w:highlight w:val="none"/>
                <w:u w:val="singl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成都市龙泉驿区城市绿地建设管理中心龙泉驿区道路景观绿化管护服务采购项目</w:t>
            </w:r>
          </w:p>
          <w:p>
            <w:pPr>
              <w:ind w:firstLine="494"/>
              <w:rPr>
                <w:rFonts w:hint="eastAsia" w:ascii="宋体" w:hAnsi="宋体" w:eastAsia="宋体"/>
                <w:b/>
                <w:bCs/>
                <w:color w:val="auto"/>
                <w:szCs w:val="24"/>
                <w:highlight w:val="none"/>
                <w:u w:val="single"/>
                <w:lang w:eastAsia="zh-CN"/>
              </w:rPr>
            </w:pPr>
            <w:r>
              <w:rPr>
                <w:rFonts w:hint="eastAsia" w:ascii="宋体" w:hAnsi="宋体"/>
                <w:b/>
                <w:color w:val="auto"/>
                <w:szCs w:val="21"/>
                <w:highlight w:val="none"/>
              </w:rPr>
              <w:t>招标编号</w:t>
            </w:r>
            <w:r>
              <w:rPr>
                <w:rFonts w:hint="eastAsia" w:ascii="宋体" w:hAnsi="宋体"/>
                <w:b/>
                <w:color w:val="auto"/>
                <w:szCs w:val="24"/>
                <w:highlight w:val="none"/>
              </w:rPr>
              <w:t>：</w:t>
            </w:r>
            <w:r>
              <w:rPr>
                <w:rFonts w:hint="eastAsia" w:ascii="宋体" w:hAnsi="宋体"/>
                <w:b/>
                <w:bCs/>
                <w:color w:val="auto"/>
                <w:szCs w:val="24"/>
                <w:highlight w:val="none"/>
                <w:u w:val="single"/>
                <w:lang w:eastAsia="zh-CN"/>
              </w:rPr>
              <w:t>510112202100105</w:t>
            </w:r>
          </w:p>
          <w:p>
            <w:pPr>
              <w:ind w:firstLine="494"/>
              <w:rPr>
                <w:rFonts w:ascii="宋体" w:hAnsi="宋体"/>
                <w:b/>
                <w:color w:val="auto"/>
                <w:sz w:val="28"/>
                <w:szCs w:val="28"/>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ind w:firstLine="572"/>
              <w:jc w:val="center"/>
              <w:rPr>
                <w:rFonts w:ascii="宋体" w:hAnsi="宋体"/>
                <w:color w:val="auto"/>
                <w:sz w:val="28"/>
                <w:szCs w:val="28"/>
                <w:highlight w:val="none"/>
              </w:rPr>
            </w:pPr>
          </w:p>
          <w:p>
            <w:pPr>
              <w:ind w:firstLine="492"/>
              <w:rPr>
                <w:rFonts w:ascii="宋体" w:hAnsi="宋体"/>
                <w:color w:val="auto"/>
                <w:szCs w:val="24"/>
                <w:highlight w:val="none"/>
              </w:rPr>
            </w:pPr>
            <w:r>
              <w:rPr>
                <w:rFonts w:hint="eastAsia" w:ascii="宋体" w:hAnsi="宋体"/>
                <w:color w:val="auto"/>
                <w:szCs w:val="24"/>
                <w:highlight w:val="none"/>
              </w:rPr>
              <w:t>供应商名称：</w:t>
            </w:r>
            <w:r>
              <w:rPr>
                <w:rFonts w:hint="eastAsia" w:ascii="宋体" w:hAnsi="宋体"/>
                <w:bCs/>
                <w:color w:val="auto"/>
                <w:szCs w:val="24"/>
                <w:highlight w:val="none"/>
                <w:u w:val="single"/>
              </w:rPr>
              <w:t xml:space="preserve">                       </w:t>
            </w:r>
            <w:r>
              <w:rPr>
                <w:rFonts w:hint="eastAsia" w:ascii="宋体" w:hAnsi="宋体"/>
                <w:color w:val="auto"/>
                <w:szCs w:val="24"/>
                <w:highlight w:val="none"/>
              </w:rPr>
              <w:t>（加盖单位公章）</w:t>
            </w:r>
          </w:p>
          <w:p>
            <w:pPr>
              <w:ind w:firstLine="492"/>
              <w:rPr>
                <w:rFonts w:ascii="宋体" w:hAnsi="宋体"/>
                <w:b/>
                <w:color w:val="auto"/>
                <w:sz w:val="28"/>
                <w:szCs w:val="28"/>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tc>
      </w:tr>
    </w:tbl>
    <w:p>
      <w:pPr>
        <w:pStyle w:val="5"/>
        <w:tabs>
          <w:tab w:val="left" w:pos="709"/>
        </w:tabs>
        <w:ind w:left="1135" w:firstLine="494"/>
        <w:rPr>
          <w:color w:val="auto"/>
          <w:highlight w:val="none"/>
        </w:rPr>
      </w:pPr>
      <w:bookmarkStart w:id="232" w:name="_Toc30033"/>
      <w:r>
        <w:rPr>
          <w:rFonts w:hint="eastAsia"/>
          <w:color w:val="auto"/>
          <w:highlight w:val="none"/>
        </w:rPr>
        <w:t>技术、服务性响应文件封面格式</w:t>
      </w:r>
      <w:bookmarkEnd w:id="232"/>
    </w:p>
    <w:tbl>
      <w:tblPr>
        <w:tblStyle w:val="43"/>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ind w:firstLine="494"/>
              <w:rPr>
                <w:rFonts w:ascii="宋体" w:hAnsi="宋体"/>
                <w:b/>
                <w:color w:val="auto"/>
                <w:szCs w:val="24"/>
                <w:highlight w:val="none"/>
                <w:u w:val="singl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成都市龙泉驿区城市绿地建设管理中心龙泉驿区道路景观绿化管护服务采购项目</w:t>
            </w:r>
          </w:p>
          <w:p>
            <w:pPr>
              <w:ind w:firstLine="494"/>
              <w:rPr>
                <w:rFonts w:ascii="宋体" w:hAnsi="宋体"/>
                <w:b/>
                <w:color w:val="auto"/>
                <w:sz w:val="28"/>
                <w:szCs w:val="28"/>
                <w:highlight w:val="none"/>
              </w:rPr>
            </w:pPr>
            <w:r>
              <w:rPr>
                <w:rFonts w:hint="eastAsia" w:ascii="宋体" w:hAnsi="宋体"/>
                <w:b/>
                <w:color w:val="auto"/>
                <w:szCs w:val="21"/>
                <w:highlight w:val="none"/>
              </w:rPr>
              <w:t>招标编号</w:t>
            </w:r>
            <w:r>
              <w:rPr>
                <w:rFonts w:hint="eastAsia" w:ascii="宋体" w:hAnsi="宋体"/>
                <w:b/>
                <w:color w:val="auto"/>
                <w:szCs w:val="24"/>
                <w:highlight w:val="none"/>
              </w:rPr>
              <w:t>：</w:t>
            </w:r>
            <w:r>
              <w:rPr>
                <w:rFonts w:hint="eastAsia" w:ascii="宋体" w:hAnsi="宋体"/>
                <w:b/>
                <w:bCs/>
                <w:color w:val="auto"/>
                <w:szCs w:val="24"/>
                <w:highlight w:val="none"/>
                <w:u w:val="single"/>
                <w:lang w:eastAsia="zh-CN"/>
              </w:rPr>
              <w:t>510112202100105</w:t>
            </w:r>
            <w:r>
              <w:rPr>
                <w:rFonts w:hint="eastAsia" w:ascii="宋体" w:hAnsi="宋体"/>
                <w:color w:val="auto"/>
                <w:spacing w:val="6"/>
                <w:sz w:val="28"/>
                <w:szCs w:val="28"/>
                <w:highlight w:val="none"/>
                <w:u w:val="single"/>
              </w:rPr>
              <w:t xml:space="preserve">   </w:t>
            </w:r>
          </w:p>
          <w:p>
            <w:pPr>
              <w:ind w:firstLine="494"/>
              <w:rPr>
                <w:rFonts w:ascii="宋体" w:hAnsi="宋体"/>
                <w:color w:val="auto"/>
                <w:sz w:val="28"/>
                <w:szCs w:val="28"/>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ind w:firstLine="492"/>
              <w:rPr>
                <w:rFonts w:ascii="宋体" w:hAnsi="宋体"/>
                <w:color w:val="auto"/>
                <w:szCs w:val="24"/>
                <w:highlight w:val="none"/>
              </w:rPr>
            </w:pPr>
            <w:r>
              <w:rPr>
                <w:rFonts w:hint="eastAsia" w:ascii="宋体" w:hAnsi="宋体"/>
                <w:color w:val="auto"/>
                <w:szCs w:val="24"/>
                <w:highlight w:val="none"/>
              </w:rPr>
              <w:t>供应商名称：</w:t>
            </w:r>
            <w:r>
              <w:rPr>
                <w:rFonts w:hint="eastAsia" w:ascii="宋体" w:hAnsi="宋体"/>
                <w:bCs/>
                <w:color w:val="auto"/>
                <w:szCs w:val="24"/>
                <w:highlight w:val="none"/>
                <w:u w:val="single"/>
              </w:rPr>
              <w:t xml:space="preserve">                       </w:t>
            </w:r>
            <w:r>
              <w:rPr>
                <w:rFonts w:hint="eastAsia" w:ascii="宋体" w:hAnsi="宋体"/>
                <w:color w:val="auto"/>
                <w:spacing w:val="6"/>
                <w:szCs w:val="24"/>
                <w:highlight w:val="none"/>
              </w:rPr>
              <w:t xml:space="preserve"> </w:t>
            </w:r>
            <w:r>
              <w:rPr>
                <w:rFonts w:hint="eastAsia" w:ascii="宋体" w:hAnsi="宋体"/>
                <w:color w:val="auto"/>
                <w:szCs w:val="24"/>
                <w:highlight w:val="none"/>
              </w:rPr>
              <w:t>（加盖单位公章）</w:t>
            </w:r>
          </w:p>
          <w:p>
            <w:pPr>
              <w:ind w:firstLine="492"/>
              <w:jc w:val="both"/>
              <w:rPr>
                <w:rFonts w:ascii="宋体" w:hAnsi="宋体"/>
                <w:color w:val="auto"/>
                <w:sz w:val="28"/>
                <w:szCs w:val="28"/>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tc>
      </w:tr>
    </w:tbl>
    <w:p>
      <w:pPr>
        <w:ind w:firstLine="494"/>
        <w:rPr>
          <w:rFonts w:ascii="宋体" w:hAnsi="宋体"/>
          <w:b/>
          <w:color w:val="auto"/>
          <w:szCs w:val="24"/>
          <w:highlight w:val="none"/>
        </w:rPr>
      </w:pPr>
      <w:r>
        <w:rPr>
          <w:rFonts w:hint="eastAsia" w:ascii="宋体" w:hAnsi="宋体"/>
          <w:b/>
          <w:color w:val="auto"/>
          <w:szCs w:val="24"/>
          <w:highlight w:val="none"/>
        </w:rPr>
        <w:t>温馨提示：</w:t>
      </w:r>
    </w:p>
    <w:p>
      <w:pPr>
        <w:ind w:firstLine="494"/>
        <w:rPr>
          <w:rFonts w:ascii="宋体" w:hAnsi="宋体"/>
          <w:b/>
          <w:color w:val="auto"/>
          <w:szCs w:val="24"/>
          <w:highlight w:val="none"/>
        </w:rPr>
      </w:pPr>
      <w:r>
        <w:rPr>
          <w:rFonts w:hint="eastAsia" w:ascii="宋体" w:hAnsi="宋体"/>
          <w:b/>
          <w:color w:val="auto"/>
          <w:szCs w:val="24"/>
          <w:highlight w:val="none"/>
        </w:rPr>
        <w:t>1.技术、服务性响应文件正本一份、副本二份；</w:t>
      </w:r>
    </w:p>
    <w:p>
      <w:pPr>
        <w:ind w:firstLine="494"/>
        <w:rPr>
          <w:rFonts w:ascii="宋体" w:hAnsi="宋体"/>
          <w:b/>
          <w:color w:val="auto"/>
          <w:szCs w:val="24"/>
          <w:highlight w:val="none"/>
        </w:rPr>
      </w:pPr>
      <w:r>
        <w:rPr>
          <w:rFonts w:hint="eastAsia" w:ascii="宋体" w:hAnsi="宋体"/>
          <w:b/>
          <w:color w:val="auto"/>
          <w:szCs w:val="24"/>
          <w:highlight w:val="none"/>
        </w:rPr>
        <w:t>2.技术、服务性响应文件应单独密封包装，并于截止时间前送指定地点。</w:t>
      </w: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bookmarkEnd w:id="215"/>
    <w:p>
      <w:pPr>
        <w:pStyle w:val="5"/>
        <w:ind w:firstLine="494"/>
        <w:rPr>
          <w:color w:val="auto"/>
          <w:highlight w:val="none"/>
        </w:rPr>
      </w:pPr>
      <w:bookmarkStart w:id="233" w:name="_Toc8633"/>
      <w:r>
        <w:rPr>
          <w:rFonts w:hint="eastAsia"/>
          <w:color w:val="auto"/>
          <w:highlight w:val="none"/>
        </w:rPr>
        <w:t>开标一览表</w:t>
      </w:r>
      <w:bookmarkEnd w:id="233"/>
    </w:p>
    <w:p>
      <w:pPr>
        <w:pStyle w:val="5"/>
        <w:numPr>
          <w:ilvl w:val="3"/>
          <w:numId w:val="1"/>
        </w:numPr>
        <w:ind w:left="420" w:leftChars="0" w:firstLine="494"/>
        <w:rPr>
          <w:b/>
          <w:bCs/>
          <w:color w:val="auto"/>
          <w:highlight w:val="none"/>
        </w:rPr>
      </w:pPr>
      <w:r>
        <w:rPr>
          <w:rFonts w:hint="eastAsia"/>
          <w:b/>
          <w:bCs/>
          <w:color w:val="auto"/>
          <w:highlight w:val="none"/>
          <w:lang w:val="en-US" w:eastAsia="zh-CN"/>
        </w:rPr>
        <w:t>包件1开标一览表</w:t>
      </w:r>
    </w:p>
    <w:p>
      <w:pPr>
        <w:ind w:firstLine="494"/>
        <w:rPr>
          <w:b/>
          <w:bCs/>
          <w:color w:val="auto"/>
          <w:highlight w:val="none"/>
          <w:u w:val="single"/>
        </w:rPr>
      </w:pPr>
      <w:bookmarkStart w:id="234" w:name="_Toc5012"/>
      <w:bookmarkStart w:id="235" w:name="_Toc229802674"/>
      <w:bookmarkStart w:id="236" w:name="_Toc239846734"/>
      <w:bookmarkStart w:id="237" w:name="_Toc239849853"/>
      <w:bookmarkStart w:id="238" w:name="_Toc240865266"/>
      <w:bookmarkStart w:id="239" w:name="_Toc231030275"/>
      <w:bookmarkStart w:id="240" w:name="_Toc237145395"/>
      <w:bookmarkStart w:id="241" w:name="_Toc265494342"/>
      <w:bookmarkStart w:id="242" w:name="_Toc314574804"/>
      <w:bookmarkStart w:id="243" w:name="_Toc240367172"/>
      <w:r>
        <w:rPr>
          <w:rFonts w:hint="eastAsia"/>
          <w:b/>
          <w:bCs/>
          <w:color w:val="auto"/>
          <w:highlight w:val="none"/>
        </w:rPr>
        <w:t>项目名称</w:t>
      </w:r>
      <w:r>
        <w:rPr>
          <w:rFonts w:hint="eastAsia"/>
          <w:color w:val="auto"/>
          <w:highlight w:val="none"/>
        </w:rPr>
        <w:t>：</w:t>
      </w:r>
      <w:bookmarkEnd w:id="234"/>
      <w:r>
        <w:rPr>
          <w:rFonts w:hint="eastAsia" w:ascii="宋体" w:hAnsi="宋体"/>
          <w:b/>
          <w:color w:val="auto"/>
          <w:szCs w:val="24"/>
          <w:highlight w:val="none"/>
          <w:u w:val="single"/>
          <w:lang w:eastAsia="zh-CN"/>
        </w:rPr>
        <w:t>成都市龙泉驿区城市绿地建设管理中心龙泉驿区道路景观绿化管护服务采购项目</w:t>
      </w:r>
    </w:p>
    <w:p>
      <w:pPr>
        <w:snapToGrid w:val="0"/>
        <w:ind w:firstLine="494"/>
        <w:rPr>
          <w:rFonts w:hint="eastAsia" w:ascii="宋体" w:hAnsi="宋体"/>
          <w:b/>
          <w:color w:val="auto"/>
          <w:szCs w:val="24"/>
          <w:highlight w:val="none"/>
          <w:u w:val="single"/>
          <w:lang w:eastAsia="zh-CN"/>
        </w:rPr>
      </w:pPr>
      <w:r>
        <w:rPr>
          <w:rFonts w:hint="eastAsia" w:ascii="宋体" w:hAnsi="宋体"/>
          <w:b/>
          <w:color w:val="auto"/>
          <w:szCs w:val="24"/>
          <w:highlight w:val="none"/>
        </w:rPr>
        <w:t>招标编号：</w:t>
      </w:r>
      <w:r>
        <w:rPr>
          <w:rFonts w:hint="eastAsia" w:ascii="宋体" w:hAnsi="宋体"/>
          <w:b/>
          <w:color w:val="auto"/>
          <w:szCs w:val="24"/>
          <w:highlight w:val="none"/>
          <w:u w:val="single"/>
          <w:lang w:eastAsia="zh-CN"/>
        </w:rPr>
        <w:t>510112202100105</w:t>
      </w:r>
    </w:p>
    <w:tbl>
      <w:tblPr>
        <w:tblStyle w:val="44"/>
        <w:tblpPr w:leftFromText="180" w:rightFromText="180" w:vertAnchor="text" w:tblpX="-357" w:tblpY="228"/>
        <w:tblOverlap w:val="never"/>
        <w:tblW w:w="10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98"/>
        <w:gridCol w:w="1127"/>
        <w:gridCol w:w="1345"/>
        <w:gridCol w:w="1832"/>
        <w:gridCol w:w="720"/>
        <w:gridCol w:w="141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8"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管护地段</w:t>
            </w:r>
          </w:p>
        </w:tc>
        <w:tc>
          <w:tcPr>
            <w:tcW w:w="2425"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管护内容</w:t>
            </w:r>
          </w:p>
        </w:tc>
        <w:tc>
          <w:tcPr>
            <w:tcW w:w="1345"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p>
        </w:tc>
        <w:tc>
          <w:tcPr>
            <w:tcW w:w="1832"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单价</w:t>
            </w:r>
          </w:p>
        </w:tc>
        <w:tc>
          <w:tcPr>
            <w:tcW w:w="72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时间</w:t>
            </w:r>
          </w:p>
        </w:tc>
        <w:tc>
          <w:tcPr>
            <w:tcW w:w="141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总价</w:t>
            </w:r>
          </w:p>
        </w:tc>
        <w:tc>
          <w:tcPr>
            <w:tcW w:w="2025"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8"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0"/>
                <w:szCs w:val="20"/>
                <w:u w:val="none"/>
                <w:lang w:val="en-US" w:eastAsia="zh-CN" w:bidi="ar"/>
              </w:rPr>
              <w:t>驿都大道</w:t>
            </w:r>
          </w:p>
        </w:tc>
        <w:tc>
          <w:tcPr>
            <w:tcW w:w="1298"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none"/>
                <w:lang w:val="en-US" w:eastAsia="zh-CN" w:bidi="ar"/>
              </w:rPr>
              <w:t>绿地养护</w:t>
            </w:r>
          </w:p>
        </w:tc>
        <w:tc>
          <w:tcPr>
            <w:tcW w:w="112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特级养护</w:t>
            </w:r>
          </w:p>
        </w:tc>
        <w:tc>
          <w:tcPr>
            <w:tcW w:w="1345"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870982.81</w:t>
            </w:r>
            <w:r>
              <w:rPr>
                <w:rFonts w:hint="eastAsia" w:ascii="宋体" w:hAnsi="宋体" w:eastAsia="宋体" w:cs="宋体"/>
                <w:i w:val="0"/>
                <w:iCs w:val="0"/>
                <w:color w:val="000000"/>
                <w:kern w:val="0"/>
                <w:sz w:val="21"/>
                <w:szCs w:val="21"/>
                <w:u w:val="none"/>
                <w:lang w:val="en-US" w:eastAsia="zh-CN" w:bidi="ar"/>
              </w:rPr>
              <w:t>㎡</w:t>
            </w:r>
          </w:p>
        </w:tc>
        <w:tc>
          <w:tcPr>
            <w:tcW w:w="1832"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72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1年</w:t>
            </w:r>
          </w:p>
        </w:tc>
        <w:tc>
          <w:tcPr>
            <w:tcW w:w="141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2025"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cs="宋体"/>
                <w:i w:val="0"/>
                <w:iCs w:val="0"/>
                <w:color w:val="000000"/>
                <w:sz w:val="21"/>
                <w:szCs w:val="21"/>
                <w:u w:val="none"/>
                <w:lang w:val="en-US" w:eastAsia="zh-CN"/>
              </w:rPr>
              <w:t>总价=</w:t>
            </w: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r>
              <w:rPr>
                <w:rFonts w:hint="eastAsia" w:ascii="宋体" w:hAnsi="宋体" w:eastAsia="宋体" w:cs="宋体"/>
                <w:i w:val="0"/>
                <w:iCs w:val="0"/>
                <w:color w:val="000000"/>
                <w:sz w:val="21"/>
                <w:szCs w:val="21"/>
                <w:u w:val="none"/>
                <w:lang w:val="en-US" w:eastAsia="zh-CN"/>
              </w:rPr>
              <w:t>×单价×时间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8"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98"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12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一级养护</w:t>
            </w:r>
          </w:p>
        </w:tc>
        <w:tc>
          <w:tcPr>
            <w:tcW w:w="1345"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320950.06</w:t>
            </w:r>
            <w:r>
              <w:rPr>
                <w:rFonts w:hint="eastAsia" w:ascii="宋体" w:hAnsi="宋体" w:eastAsia="宋体" w:cs="宋体"/>
                <w:i w:val="0"/>
                <w:iCs w:val="0"/>
                <w:color w:val="000000"/>
                <w:kern w:val="0"/>
                <w:sz w:val="21"/>
                <w:szCs w:val="21"/>
                <w:u w:val="none"/>
                <w:lang w:val="en-US" w:eastAsia="zh-CN" w:bidi="ar"/>
              </w:rPr>
              <w:t>㎡</w:t>
            </w:r>
          </w:p>
        </w:tc>
        <w:tc>
          <w:tcPr>
            <w:tcW w:w="183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1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2025"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8"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98"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12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普通养护</w:t>
            </w:r>
          </w:p>
        </w:tc>
        <w:tc>
          <w:tcPr>
            <w:tcW w:w="1345"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630563.00</w:t>
            </w:r>
            <w:r>
              <w:rPr>
                <w:rFonts w:hint="eastAsia" w:ascii="宋体" w:hAnsi="宋体" w:eastAsia="宋体" w:cs="宋体"/>
                <w:i w:val="0"/>
                <w:iCs w:val="0"/>
                <w:color w:val="000000"/>
                <w:kern w:val="0"/>
                <w:sz w:val="21"/>
                <w:szCs w:val="21"/>
                <w:u w:val="none"/>
                <w:lang w:val="en-US" w:eastAsia="zh-CN" w:bidi="ar"/>
              </w:rPr>
              <w:t>㎡</w:t>
            </w:r>
          </w:p>
        </w:tc>
        <w:tc>
          <w:tcPr>
            <w:tcW w:w="183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1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2025"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98"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行道树养护</w:t>
            </w:r>
          </w:p>
        </w:tc>
        <w:tc>
          <w:tcPr>
            <w:tcW w:w="112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一级养护</w:t>
            </w:r>
          </w:p>
        </w:tc>
        <w:tc>
          <w:tcPr>
            <w:tcW w:w="1345"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614.00</w:t>
            </w:r>
            <w:r>
              <w:rPr>
                <w:rFonts w:hint="eastAsia" w:ascii="宋体" w:hAnsi="宋体" w:eastAsia="宋体" w:cs="宋体"/>
                <w:i w:val="0"/>
                <w:iCs w:val="0"/>
                <w:color w:val="000000"/>
                <w:kern w:val="0"/>
                <w:sz w:val="21"/>
                <w:szCs w:val="21"/>
                <w:u w:val="none"/>
                <w:lang w:val="en-US" w:eastAsia="zh-CN" w:bidi="ar"/>
              </w:rPr>
              <w:t>株</w:t>
            </w:r>
          </w:p>
        </w:tc>
        <w:tc>
          <w:tcPr>
            <w:tcW w:w="183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元/年.株</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1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2025"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8"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2425"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草花更换养护</w:t>
            </w:r>
          </w:p>
        </w:tc>
        <w:tc>
          <w:tcPr>
            <w:tcW w:w="1345"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8809.14</w:t>
            </w:r>
            <w:r>
              <w:rPr>
                <w:rFonts w:hint="eastAsia" w:ascii="宋体" w:hAnsi="宋体" w:eastAsia="宋体" w:cs="宋体"/>
                <w:i w:val="0"/>
                <w:iCs w:val="0"/>
                <w:color w:val="000000"/>
                <w:kern w:val="0"/>
                <w:sz w:val="21"/>
                <w:szCs w:val="21"/>
                <w:u w:val="none"/>
                <w:lang w:val="en-US" w:eastAsia="zh-CN" w:bidi="ar"/>
              </w:rPr>
              <w:t>㎡</w:t>
            </w:r>
          </w:p>
        </w:tc>
        <w:tc>
          <w:tcPr>
            <w:tcW w:w="183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1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2025"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98"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2425"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节点及其他</w:t>
            </w:r>
          </w:p>
        </w:tc>
        <w:tc>
          <w:tcPr>
            <w:tcW w:w="1345"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49209.63</w:t>
            </w:r>
            <w:r>
              <w:rPr>
                <w:rFonts w:hint="eastAsia" w:ascii="宋体" w:hAnsi="宋体" w:eastAsia="宋体" w:cs="宋体"/>
                <w:i w:val="0"/>
                <w:iCs w:val="0"/>
                <w:color w:val="000000"/>
                <w:kern w:val="0"/>
                <w:sz w:val="21"/>
                <w:szCs w:val="21"/>
                <w:u w:val="none"/>
                <w:lang w:val="en-US" w:eastAsia="zh-CN" w:bidi="ar"/>
              </w:rPr>
              <w:t>㎡</w:t>
            </w:r>
          </w:p>
        </w:tc>
        <w:tc>
          <w:tcPr>
            <w:tcW w:w="183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val="0"/>
                <w:bCs/>
                <w:color w:val="auto"/>
                <w:szCs w:val="24"/>
                <w:highlight w:val="none"/>
                <w:u w:val="none"/>
                <w:lang w:val="en-US" w:eastAsia="zh-CN"/>
              </w:rPr>
              <w:t>/</w:t>
            </w:r>
          </w:p>
        </w:tc>
        <w:tc>
          <w:tcPr>
            <w:tcW w:w="72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1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2025"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color w:val="auto"/>
                <w:sz w:val="21"/>
                <w:szCs w:val="21"/>
                <w:highlight w:val="none"/>
                <w:u w:val="single"/>
                <w:vertAlign w:val="baseline"/>
                <w:lang w:val="en-US" w:eastAsia="zh-CN"/>
              </w:rPr>
            </w:pPr>
            <w:r>
              <w:rPr>
                <w:rFonts w:hint="eastAsia" w:ascii="宋体" w:hAnsi="宋体" w:cs="宋体"/>
                <w:i w:val="0"/>
                <w:iCs w:val="0"/>
                <w:color w:val="000000"/>
                <w:sz w:val="21"/>
                <w:szCs w:val="21"/>
                <w:u w:val="none"/>
                <w:lang w:val="en-US" w:eastAsia="zh-CN"/>
              </w:rPr>
              <w:t>节点及其他的</w:t>
            </w:r>
            <w:r>
              <w:rPr>
                <w:rFonts w:hint="eastAsia" w:ascii="宋体" w:hAnsi="宋体" w:eastAsia="宋体" w:cs="宋体"/>
                <w:i w:val="0"/>
                <w:iCs w:val="0"/>
                <w:color w:val="000000"/>
                <w:sz w:val="21"/>
                <w:szCs w:val="21"/>
                <w:u w:val="none"/>
                <w:lang w:val="en-US" w:eastAsia="zh-CN"/>
              </w:rPr>
              <w:t>总价为包干价，一年不超过</w:t>
            </w:r>
            <w:r>
              <w:rPr>
                <w:rFonts w:hint="default" w:ascii="宋体" w:hAnsi="宋体" w:eastAsia="宋体" w:cs="宋体"/>
                <w:i w:val="0"/>
                <w:iCs w:val="0"/>
                <w:color w:val="000000"/>
                <w:sz w:val="21"/>
                <w:szCs w:val="21"/>
                <w:u w:val="none"/>
                <w:lang w:val="en-US" w:eastAsia="zh-CN"/>
              </w:rPr>
              <w:t>1431536.38</w:t>
            </w:r>
            <w:r>
              <w:rPr>
                <w:rFonts w:hint="eastAsia" w:ascii="宋体" w:hAnsi="宋体" w:eastAsia="宋体" w:cs="宋体"/>
                <w:i w:val="0"/>
                <w:iCs w:val="0"/>
                <w:color w:val="000000"/>
                <w:sz w:val="21"/>
                <w:szCs w:val="21"/>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20" w:type="dxa"/>
            <w:gridSpan w:val="6"/>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投标报价（总价合计）</w:t>
            </w:r>
          </w:p>
        </w:tc>
        <w:tc>
          <w:tcPr>
            <w:tcW w:w="141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2025"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bl>
    <w:p>
      <w:pPr>
        <w:pStyle w:val="2"/>
        <w:rPr>
          <w:rFonts w:hint="eastAsia" w:ascii="宋体" w:hAnsi="宋体"/>
          <w:b/>
          <w:color w:val="auto"/>
          <w:szCs w:val="24"/>
          <w:highlight w:val="none"/>
          <w:u w:val="single"/>
          <w:lang w:eastAsia="zh-CN"/>
        </w:rPr>
      </w:pPr>
    </w:p>
    <w:p>
      <w:pPr>
        <w:ind w:firstLine="494"/>
        <w:rPr>
          <w:rFonts w:ascii="宋体" w:hAnsi="宋体"/>
          <w:b/>
          <w:color w:val="auto"/>
          <w:szCs w:val="24"/>
          <w:highlight w:val="none"/>
          <w:u w:val="single"/>
        </w:rPr>
      </w:pPr>
      <w:r>
        <w:rPr>
          <w:rFonts w:hint="eastAsia" w:ascii="宋体" w:hAnsi="宋体"/>
          <w:b/>
          <w:color w:val="auto"/>
          <w:szCs w:val="24"/>
          <w:highlight w:val="none"/>
        </w:rPr>
        <w:t>投标报价（人民币大写）：</w:t>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lang w:val="en-US" w:eastAsia="zh-CN"/>
        </w:rPr>
        <w:t>每年</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rPr>
        <w:t xml:space="preserve">                    </w:t>
      </w:r>
    </w:p>
    <w:p>
      <w:pPr>
        <w:pStyle w:val="26"/>
        <w:spacing w:after="0" w:line="360" w:lineRule="auto"/>
        <w:ind w:left="0" w:leftChars="0" w:firstLine="492"/>
        <w:rPr>
          <w:rFonts w:ascii="宋体" w:hAnsi="宋体"/>
          <w:bCs/>
          <w:color w:val="auto"/>
          <w:szCs w:val="24"/>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360" w:lineRule="auto"/>
        <w:ind w:left="0" w:leftChars="0"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6"/>
        <w:ind w:left="0" w:leftChars="0" w:firstLine="490" w:firstLineChars="200"/>
        <w:rPr>
          <w:rFonts w:ascii="宋体" w:hAnsi="宋体"/>
          <w:color w:val="auto"/>
          <w:szCs w:val="24"/>
          <w:highlight w:val="none"/>
        </w:rPr>
      </w:pPr>
      <w:bookmarkStart w:id="244" w:name="_Toc351709662"/>
      <w:bookmarkStart w:id="245" w:name="_Toc17556"/>
      <w:r>
        <w:rPr>
          <w:rFonts w:ascii="宋体" w:hAnsi="宋体"/>
          <w:bCs/>
          <w:color w:val="auto"/>
          <w:szCs w:val="24"/>
          <w:highlight w:val="none"/>
        </w:rPr>
        <w:t xml:space="preserve"> </w:t>
      </w:r>
      <w:r>
        <w:rPr>
          <w:rFonts w:hint="eastAsia" w:ascii="宋体" w:hAnsi="宋体"/>
          <w:bCs/>
          <w:color w:val="auto"/>
          <w:szCs w:val="24"/>
          <w:highlight w:val="none"/>
        </w:rPr>
        <w:t>说明：</w:t>
      </w:r>
      <w:r>
        <w:rPr>
          <w:rFonts w:hint="eastAsia" w:ascii="宋体" w:hAnsi="宋体"/>
          <w:bCs/>
          <w:color w:val="auto"/>
          <w:szCs w:val="24"/>
          <w:highlight w:val="none"/>
          <w:lang w:val="en-US" w:eastAsia="zh-CN"/>
        </w:rPr>
        <w:t>单价</w:t>
      </w:r>
      <w:r>
        <w:rPr>
          <w:rFonts w:hint="eastAsia" w:ascii="宋体" w:hAnsi="宋体"/>
          <w:bCs/>
          <w:color w:val="auto"/>
          <w:szCs w:val="24"/>
          <w:highlight w:val="none"/>
        </w:rPr>
        <w:t>应为</w:t>
      </w:r>
      <w:r>
        <w:rPr>
          <w:rFonts w:hint="eastAsia" w:ascii="宋体" w:hAnsi="宋体"/>
          <w:bCs/>
          <w:color w:val="auto"/>
          <w:szCs w:val="24"/>
          <w:highlight w:val="none"/>
          <w:lang w:val="en-US" w:eastAsia="zh-CN"/>
        </w:rPr>
        <w:t>综合单价，</w:t>
      </w:r>
      <w:r>
        <w:rPr>
          <w:rFonts w:hint="eastAsia" w:ascii="宋体" w:hAnsi="宋体"/>
          <w:bCs/>
          <w:color w:val="auto"/>
          <w:szCs w:val="24"/>
          <w:highlight w:val="none"/>
        </w:rPr>
        <w:t>包括</w:t>
      </w:r>
      <w:r>
        <w:rPr>
          <w:rFonts w:hint="eastAsia" w:ascii="宋体" w:hAnsi="宋体"/>
          <w:bCs/>
          <w:color w:val="auto"/>
          <w:szCs w:val="24"/>
          <w:highlight w:val="none"/>
          <w:lang w:val="en-US" w:eastAsia="zh-CN"/>
        </w:rPr>
        <w:t>人工费、材料费、税收、管理费、机械费以及</w:t>
      </w:r>
      <w:r>
        <w:rPr>
          <w:rFonts w:hint="eastAsia" w:ascii="宋体" w:hAnsi="宋体"/>
          <w:bCs/>
          <w:color w:val="auto"/>
          <w:szCs w:val="24"/>
          <w:highlight w:val="none"/>
        </w:rPr>
        <w:t>招标文件规定</w:t>
      </w:r>
      <w:r>
        <w:rPr>
          <w:rFonts w:hint="eastAsia" w:ascii="宋体" w:hAnsi="宋体"/>
          <w:bCs/>
          <w:color w:val="auto"/>
          <w:szCs w:val="24"/>
          <w:highlight w:val="none"/>
          <w:lang w:val="en-US" w:eastAsia="zh-CN"/>
        </w:rPr>
        <w:t>其他费用等</w:t>
      </w:r>
      <w:r>
        <w:rPr>
          <w:rFonts w:hint="eastAsia" w:ascii="宋体" w:hAnsi="宋体"/>
          <w:bCs/>
          <w:color w:val="auto"/>
          <w:szCs w:val="24"/>
          <w:highlight w:val="none"/>
          <w:lang w:eastAsia="zh-CN"/>
        </w:rPr>
        <w:t>，</w:t>
      </w:r>
      <w:r>
        <w:rPr>
          <w:rFonts w:hint="eastAsia" w:ascii="宋体" w:hAnsi="宋体"/>
          <w:bCs/>
          <w:color w:val="auto"/>
          <w:szCs w:val="24"/>
          <w:highlight w:val="none"/>
          <w:lang w:val="en-US" w:eastAsia="zh-CN"/>
        </w:rPr>
        <w:t>投其他包件的可不提供本页内容</w:t>
      </w:r>
      <w:r>
        <w:rPr>
          <w:rFonts w:hint="eastAsia" w:ascii="宋体" w:hAnsi="宋体"/>
          <w:bCs/>
          <w:color w:val="auto"/>
          <w:szCs w:val="24"/>
          <w:highlight w:val="none"/>
        </w:rPr>
        <w:t>。</w:t>
      </w:r>
    </w:p>
    <w:p>
      <w:pPr>
        <w:pStyle w:val="5"/>
        <w:numPr>
          <w:ilvl w:val="3"/>
          <w:numId w:val="1"/>
        </w:numPr>
        <w:ind w:left="420" w:leftChars="0" w:firstLine="494"/>
        <w:rPr>
          <w:b/>
          <w:bCs/>
          <w:color w:val="auto"/>
          <w:highlight w:val="none"/>
        </w:rPr>
      </w:pPr>
      <w:r>
        <w:rPr>
          <w:rFonts w:hint="eastAsia"/>
          <w:b/>
          <w:bCs/>
          <w:color w:val="auto"/>
          <w:highlight w:val="none"/>
          <w:lang w:val="en-US" w:eastAsia="zh-CN"/>
        </w:rPr>
        <w:t>包件2开标一览表</w:t>
      </w:r>
    </w:p>
    <w:p>
      <w:pPr>
        <w:ind w:firstLine="494"/>
        <w:rPr>
          <w:b/>
          <w:bCs/>
          <w:color w:val="auto"/>
          <w:highlight w:val="none"/>
          <w:u w:val="single"/>
        </w:rPr>
      </w:pPr>
      <w:r>
        <w:rPr>
          <w:rFonts w:hint="eastAsia"/>
          <w:b/>
          <w:bCs/>
          <w:color w:val="auto"/>
          <w:highlight w:val="none"/>
        </w:rPr>
        <w:t>项目名称</w:t>
      </w:r>
      <w:r>
        <w:rPr>
          <w:rFonts w:hint="eastAsia"/>
          <w:color w:val="auto"/>
          <w:highlight w:val="none"/>
        </w:rPr>
        <w:t>：</w:t>
      </w:r>
      <w:r>
        <w:rPr>
          <w:rFonts w:hint="eastAsia" w:ascii="宋体" w:hAnsi="宋体"/>
          <w:b/>
          <w:color w:val="auto"/>
          <w:szCs w:val="24"/>
          <w:highlight w:val="none"/>
          <w:u w:val="single"/>
          <w:lang w:eastAsia="zh-CN"/>
        </w:rPr>
        <w:t>成都市龙泉驿区城市绿地建设管理中心龙泉驿区道路景观绿化管护服务采购项目</w:t>
      </w:r>
    </w:p>
    <w:p>
      <w:pPr>
        <w:snapToGrid w:val="0"/>
        <w:ind w:firstLine="494"/>
        <w:rPr>
          <w:rFonts w:hint="eastAsia" w:ascii="宋体" w:hAnsi="宋体"/>
          <w:b/>
          <w:color w:val="auto"/>
          <w:szCs w:val="24"/>
          <w:highlight w:val="none"/>
          <w:u w:val="single"/>
          <w:lang w:eastAsia="zh-CN"/>
        </w:rPr>
      </w:pPr>
      <w:r>
        <w:rPr>
          <w:rFonts w:hint="eastAsia" w:ascii="宋体" w:hAnsi="宋体"/>
          <w:b/>
          <w:color w:val="auto"/>
          <w:szCs w:val="24"/>
          <w:highlight w:val="none"/>
        </w:rPr>
        <w:t>招标编号：</w:t>
      </w:r>
      <w:r>
        <w:rPr>
          <w:rFonts w:hint="eastAsia" w:ascii="宋体" w:hAnsi="宋体"/>
          <w:b/>
          <w:color w:val="auto"/>
          <w:szCs w:val="24"/>
          <w:highlight w:val="none"/>
          <w:u w:val="single"/>
          <w:lang w:eastAsia="zh-CN"/>
        </w:rPr>
        <w:t>510112202100105</w:t>
      </w:r>
    </w:p>
    <w:tbl>
      <w:tblPr>
        <w:tblStyle w:val="44"/>
        <w:tblpPr w:leftFromText="180" w:rightFromText="180" w:vertAnchor="text" w:tblpX="-357" w:tblpY="228"/>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46"/>
        <w:gridCol w:w="1096"/>
        <w:gridCol w:w="1260"/>
        <w:gridCol w:w="1657"/>
        <w:gridCol w:w="643"/>
        <w:gridCol w:w="1452"/>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管护地段</w:t>
            </w:r>
          </w:p>
        </w:tc>
        <w:tc>
          <w:tcPr>
            <w:tcW w:w="2342"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管护内容</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p>
        </w:tc>
        <w:tc>
          <w:tcPr>
            <w:tcW w:w="165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单价</w:t>
            </w:r>
          </w:p>
        </w:tc>
        <w:tc>
          <w:tcPr>
            <w:tcW w:w="643"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时间</w:t>
            </w:r>
          </w:p>
        </w:tc>
        <w:tc>
          <w:tcPr>
            <w:tcW w:w="1452"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总价</w:t>
            </w:r>
          </w:p>
        </w:tc>
        <w:tc>
          <w:tcPr>
            <w:tcW w:w="159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0"/>
                <w:szCs w:val="20"/>
                <w:u w:val="none"/>
                <w:lang w:val="en-US" w:eastAsia="zh-CN" w:bidi="ar"/>
              </w:rPr>
              <w:t>老城区</w:t>
            </w:r>
          </w:p>
        </w:tc>
        <w:tc>
          <w:tcPr>
            <w:tcW w:w="1246"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none"/>
                <w:lang w:val="en-US" w:eastAsia="zh-CN" w:bidi="ar"/>
              </w:rPr>
              <w:t>绿地养护</w:t>
            </w: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特级养护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947311.59</w:t>
            </w:r>
            <w:r>
              <w:rPr>
                <w:rFonts w:hint="eastAsia" w:ascii="宋体" w:hAnsi="宋体" w:eastAsia="宋体" w:cs="宋体"/>
                <w:i w:val="0"/>
                <w:iCs w:val="0"/>
                <w:color w:val="000000"/>
                <w:kern w:val="0"/>
                <w:sz w:val="21"/>
                <w:szCs w:val="21"/>
                <w:u w:val="none"/>
                <w:lang w:val="en-US" w:eastAsia="zh-CN" w:bidi="ar"/>
              </w:rPr>
              <w:t>㎡</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43"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cs="宋体"/>
                <w:i w:val="0"/>
                <w:iCs w:val="0"/>
                <w:color w:val="000000"/>
                <w:sz w:val="21"/>
                <w:szCs w:val="21"/>
                <w:u w:val="none"/>
                <w:lang w:val="en-US" w:eastAsia="zh-CN"/>
              </w:rPr>
              <w:t>总价=</w:t>
            </w: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r>
              <w:rPr>
                <w:rFonts w:hint="eastAsia" w:ascii="宋体" w:hAnsi="宋体" w:eastAsia="宋体" w:cs="宋体"/>
                <w:i w:val="0"/>
                <w:iCs w:val="0"/>
                <w:color w:val="000000"/>
                <w:sz w:val="21"/>
                <w:szCs w:val="21"/>
                <w:u w:val="none"/>
                <w:lang w:val="en-US" w:eastAsia="zh-CN"/>
              </w:rPr>
              <w:t>×单价×时间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46"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一级养护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139241.92</w:t>
            </w:r>
            <w:r>
              <w:rPr>
                <w:rFonts w:hint="eastAsia" w:ascii="宋体" w:hAnsi="宋体" w:eastAsia="宋体" w:cs="宋体"/>
                <w:i w:val="0"/>
                <w:iCs w:val="0"/>
                <w:color w:val="000000"/>
                <w:kern w:val="0"/>
                <w:sz w:val="21"/>
                <w:szCs w:val="21"/>
                <w:u w:val="none"/>
                <w:lang w:val="en-US" w:eastAsia="zh-CN" w:bidi="ar"/>
              </w:rPr>
              <w:t>㎡</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46"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普通养护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39646.40</w:t>
            </w:r>
            <w:r>
              <w:rPr>
                <w:rFonts w:hint="eastAsia" w:ascii="宋体" w:hAnsi="宋体" w:eastAsia="宋体" w:cs="宋体"/>
                <w:i w:val="0"/>
                <w:iCs w:val="0"/>
                <w:color w:val="000000"/>
                <w:kern w:val="0"/>
                <w:sz w:val="21"/>
                <w:szCs w:val="21"/>
                <w:u w:val="none"/>
                <w:lang w:val="en-US" w:eastAsia="zh-CN" w:bidi="ar"/>
              </w:rPr>
              <w:t>㎡</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46"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行道树养护</w:t>
            </w: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一级养护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6803.00 </w:t>
            </w:r>
            <w:r>
              <w:rPr>
                <w:rFonts w:hint="eastAsia" w:ascii="宋体" w:hAnsi="宋体" w:eastAsia="宋体" w:cs="宋体"/>
                <w:i w:val="0"/>
                <w:iCs w:val="0"/>
                <w:color w:val="000000"/>
                <w:kern w:val="0"/>
                <w:sz w:val="21"/>
                <w:szCs w:val="21"/>
                <w:u w:val="none"/>
                <w:lang w:val="en-US" w:eastAsia="zh-CN" w:bidi="ar"/>
              </w:rPr>
              <w:t>株</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元/年.株</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46"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普通养护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13031.00</w:t>
            </w:r>
            <w:r>
              <w:rPr>
                <w:rFonts w:hint="eastAsia" w:ascii="宋体" w:hAnsi="宋体" w:eastAsia="宋体" w:cs="宋体"/>
                <w:i w:val="0"/>
                <w:iCs w:val="0"/>
                <w:color w:val="000000"/>
                <w:kern w:val="0"/>
                <w:sz w:val="21"/>
                <w:szCs w:val="21"/>
                <w:u w:val="none"/>
                <w:lang w:val="en-US" w:eastAsia="zh-CN" w:bidi="ar"/>
              </w:rPr>
              <w:t>株</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元/年.株</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2342"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草花更换养护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6153.01</w:t>
            </w:r>
            <w:r>
              <w:rPr>
                <w:rFonts w:hint="eastAsia" w:ascii="宋体" w:hAnsi="宋体" w:eastAsia="宋体" w:cs="宋体"/>
                <w:i w:val="0"/>
                <w:iCs w:val="0"/>
                <w:color w:val="000000"/>
                <w:kern w:val="0"/>
                <w:sz w:val="21"/>
                <w:szCs w:val="21"/>
                <w:u w:val="none"/>
                <w:lang w:val="en-US" w:eastAsia="zh-CN" w:bidi="ar"/>
              </w:rPr>
              <w:t>㎡</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2342"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节点及其他</w:t>
            </w:r>
          </w:p>
        </w:tc>
        <w:tc>
          <w:tcPr>
            <w:tcW w:w="126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92319.00</w:t>
            </w:r>
            <w:r>
              <w:rPr>
                <w:rFonts w:hint="eastAsia" w:ascii="宋体" w:hAnsi="宋体" w:eastAsia="宋体" w:cs="宋体"/>
                <w:i w:val="0"/>
                <w:iCs w:val="0"/>
                <w:color w:val="000000"/>
                <w:kern w:val="0"/>
                <w:sz w:val="21"/>
                <w:szCs w:val="21"/>
                <w:u w:val="none"/>
                <w:lang w:val="en-US" w:eastAsia="zh-CN" w:bidi="ar"/>
              </w:rPr>
              <w:t>㎡</w:t>
            </w:r>
          </w:p>
        </w:tc>
        <w:tc>
          <w:tcPr>
            <w:tcW w:w="165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735" w:firstLineChars="30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val="0"/>
                <w:bCs/>
                <w:color w:val="auto"/>
                <w:szCs w:val="24"/>
                <w:highlight w:val="none"/>
                <w:u w:val="none"/>
                <w:lang w:val="en-US" w:eastAsia="zh-CN"/>
              </w:rPr>
              <w:t>/</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kern w:val="2"/>
                <w:sz w:val="21"/>
                <w:szCs w:val="21"/>
                <w:highlight w:val="none"/>
                <w:u w:val="single"/>
                <w:vertAlign w:val="baseline"/>
                <w:lang w:val="en-US" w:eastAsia="zh-CN" w:bidi="ar-SA"/>
              </w:rPr>
            </w:pPr>
            <w:r>
              <w:rPr>
                <w:rFonts w:hint="eastAsia" w:ascii="宋体" w:hAnsi="宋体" w:eastAsia="宋体" w:cs="宋体"/>
                <w:i w:val="0"/>
                <w:iCs w:val="0"/>
                <w:color w:val="000000"/>
                <w:sz w:val="21"/>
                <w:szCs w:val="21"/>
                <w:u w:val="none"/>
                <w:lang w:val="en-US" w:eastAsia="zh-CN"/>
              </w:rPr>
              <w:t>节点及其他的总价为包干价，一年不超过</w:t>
            </w:r>
            <w:r>
              <w:rPr>
                <w:rFonts w:hint="default" w:ascii="宋体" w:hAnsi="宋体" w:eastAsia="宋体" w:cs="宋体"/>
                <w:i w:val="0"/>
                <w:iCs w:val="0"/>
                <w:color w:val="000000"/>
                <w:sz w:val="21"/>
                <w:szCs w:val="21"/>
                <w:u w:val="none"/>
                <w:lang w:val="en-US" w:eastAsia="zh-CN"/>
              </w:rPr>
              <w:t>3037344.33</w:t>
            </w:r>
            <w:r>
              <w:rPr>
                <w:rFonts w:hint="eastAsia" w:ascii="宋体" w:hAnsi="宋体" w:eastAsia="宋体" w:cs="宋体"/>
                <w:i w:val="0"/>
                <w:iCs w:val="0"/>
                <w:color w:val="000000"/>
                <w:sz w:val="21"/>
                <w:szCs w:val="21"/>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73" w:type="dxa"/>
            <w:gridSpan w:val="6"/>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投标报价（总价合计）</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bl>
    <w:p>
      <w:pPr>
        <w:pStyle w:val="2"/>
        <w:rPr>
          <w:rFonts w:hint="eastAsia" w:ascii="宋体" w:hAnsi="宋体"/>
          <w:b/>
          <w:color w:val="auto"/>
          <w:szCs w:val="24"/>
          <w:highlight w:val="none"/>
          <w:u w:val="single"/>
          <w:lang w:eastAsia="zh-CN"/>
        </w:rPr>
      </w:pPr>
    </w:p>
    <w:p>
      <w:pPr>
        <w:ind w:firstLine="494"/>
        <w:rPr>
          <w:rFonts w:ascii="宋体" w:hAnsi="宋体"/>
          <w:b/>
          <w:color w:val="auto"/>
          <w:szCs w:val="24"/>
          <w:highlight w:val="none"/>
          <w:u w:val="single"/>
        </w:rPr>
      </w:pPr>
      <w:r>
        <w:rPr>
          <w:rFonts w:hint="eastAsia" w:ascii="宋体" w:hAnsi="宋体"/>
          <w:b/>
          <w:color w:val="auto"/>
          <w:szCs w:val="24"/>
          <w:highlight w:val="none"/>
        </w:rPr>
        <w:t>投标报价（人民币大写）：</w:t>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lang w:val="en-US" w:eastAsia="zh-CN"/>
        </w:rPr>
        <w:t>每年</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rPr>
        <w:t xml:space="preserve">                    </w:t>
      </w:r>
    </w:p>
    <w:p>
      <w:pPr>
        <w:pStyle w:val="26"/>
        <w:spacing w:after="0" w:line="360" w:lineRule="auto"/>
        <w:ind w:left="0" w:leftChars="0" w:firstLine="492"/>
        <w:rPr>
          <w:rFonts w:ascii="宋体" w:hAnsi="宋体"/>
          <w:bCs/>
          <w:color w:val="auto"/>
          <w:szCs w:val="24"/>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360" w:lineRule="auto"/>
        <w:ind w:left="0" w:leftChars="0"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bookmarkEnd w:id="244"/>
    <w:bookmarkEnd w:id="245"/>
    <w:p>
      <w:pPr>
        <w:pStyle w:val="26"/>
        <w:ind w:left="0" w:leftChars="0" w:firstLine="490" w:firstLineChars="200"/>
        <w:rPr>
          <w:rFonts w:ascii="宋体" w:hAnsi="宋体"/>
          <w:color w:val="auto"/>
          <w:szCs w:val="24"/>
          <w:highlight w:val="none"/>
        </w:rPr>
      </w:pPr>
      <w:r>
        <w:rPr>
          <w:rFonts w:hint="eastAsia" w:ascii="宋体" w:hAnsi="宋体"/>
          <w:bCs/>
          <w:color w:val="auto"/>
          <w:szCs w:val="24"/>
          <w:highlight w:val="none"/>
        </w:rPr>
        <w:t>说明：</w:t>
      </w:r>
      <w:r>
        <w:rPr>
          <w:rFonts w:hint="eastAsia" w:ascii="宋体" w:hAnsi="宋体"/>
          <w:bCs/>
          <w:color w:val="auto"/>
          <w:szCs w:val="24"/>
          <w:highlight w:val="none"/>
          <w:lang w:val="en-US" w:eastAsia="zh-CN"/>
        </w:rPr>
        <w:t>单价</w:t>
      </w:r>
      <w:r>
        <w:rPr>
          <w:rFonts w:hint="eastAsia" w:ascii="宋体" w:hAnsi="宋体"/>
          <w:bCs/>
          <w:color w:val="auto"/>
          <w:szCs w:val="24"/>
          <w:highlight w:val="none"/>
        </w:rPr>
        <w:t>应为</w:t>
      </w:r>
      <w:r>
        <w:rPr>
          <w:rFonts w:hint="eastAsia" w:ascii="宋体" w:hAnsi="宋体"/>
          <w:bCs/>
          <w:color w:val="auto"/>
          <w:szCs w:val="24"/>
          <w:highlight w:val="none"/>
          <w:lang w:val="en-US" w:eastAsia="zh-CN"/>
        </w:rPr>
        <w:t>综合单价，</w:t>
      </w:r>
      <w:r>
        <w:rPr>
          <w:rFonts w:hint="eastAsia" w:ascii="宋体" w:hAnsi="宋体"/>
          <w:bCs/>
          <w:color w:val="auto"/>
          <w:szCs w:val="24"/>
          <w:highlight w:val="none"/>
        </w:rPr>
        <w:t>包括</w:t>
      </w:r>
      <w:r>
        <w:rPr>
          <w:rFonts w:hint="eastAsia" w:ascii="宋体" w:hAnsi="宋体"/>
          <w:bCs/>
          <w:color w:val="auto"/>
          <w:szCs w:val="24"/>
          <w:highlight w:val="none"/>
          <w:lang w:val="en-US" w:eastAsia="zh-CN"/>
        </w:rPr>
        <w:t>人工费、材料费、税收、管理费、机械费以及</w:t>
      </w:r>
      <w:r>
        <w:rPr>
          <w:rFonts w:hint="eastAsia" w:ascii="宋体" w:hAnsi="宋体"/>
          <w:bCs/>
          <w:color w:val="auto"/>
          <w:szCs w:val="24"/>
          <w:highlight w:val="none"/>
        </w:rPr>
        <w:t>招标文件规定</w:t>
      </w:r>
      <w:r>
        <w:rPr>
          <w:rFonts w:hint="eastAsia" w:ascii="宋体" w:hAnsi="宋体"/>
          <w:bCs/>
          <w:color w:val="auto"/>
          <w:szCs w:val="24"/>
          <w:highlight w:val="none"/>
          <w:lang w:val="en-US" w:eastAsia="zh-CN"/>
        </w:rPr>
        <w:t>其他费用等</w:t>
      </w:r>
      <w:r>
        <w:rPr>
          <w:rFonts w:hint="eastAsia" w:ascii="宋体" w:hAnsi="宋体"/>
          <w:bCs/>
          <w:color w:val="auto"/>
          <w:szCs w:val="24"/>
          <w:highlight w:val="none"/>
          <w:lang w:eastAsia="zh-CN"/>
        </w:rPr>
        <w:t>，</w:t>
      </w:r>
      <w:r>
        <w:rPr>
          <w:rFonts w:hint="eastAsia" w:ascii="宋体" w:hAnsi="宋体"/>
          <w:bCs/>
          <w:color w:val="auto"/>
          <w:szCs w:val="24"/>
          <w:highlight w:val="none"/>
          <w:lang w:val="en-US" w:eastAsia="zh-CN"/>
        </w:rPr>
        <w:t>投其他包件的可不提供本页内容</w:t>
      </w:r>
      <w:r>
        <w:rPr>
          <w:rFonts w:hint="eastAsia" w:ascii="宋体" w:hAnsi="宋体"/>
          <w:bCs/>
          <w:color w:val="auto"/>
          <w:szCs w:val="24"/>
          <w:highlight w:val="none"/>
        </w:rPr>
        <w:t>。</w:t>
      </w:r>
    </w:p>
    <w:p>
      <w:pPr>
        <w:pStyle w:val="2"/>
        <w:ind w:firstLine="492"/>
        <w:rPr>
          <w:color w:val="auto"/>
          <w:highlight w:val="none"/>
        </w:rPr>
      </w:pPr>
    </w:p>
    <w:p>
      <w:pPr>
        <w:pStyle w:val="5"/>
        <w:numPr>
          <w:ilvl w:val="3"/>
          <w:numId w:val="1"/>
        </w:numPr>
        <w:ind w:left="420" w:leftChars="0" w:firstLine="494"/>
        <w:rPr>
          <w:b/>
          <w:bCs/>
          <w:color w:val="auto"/>
          <w:highlight w:val="none"/>
        </w:rPr>
      </w:pPr>
      <w:r>
        <w:rPr>
          <w:rFonts w:hint="eastAsia"/>
          <w:b/>
          <w:bCs/>
          <w:color w:val="auto"/>
          <w:highlight w:val="none"/>
          <w:lang w:val="en-US" w:eastAsia="zh-CN"/>
        </w:rPr>
        <w:t>包件3开标一览表</w:t>
      </w:r>
    </w:p>
    <w:p>
      <w:pPr>
        <w:ind w:firstLine="494"/>
        <w:rPr>
          <w:b/>
          <w:bCs/>
          <w:color w:val="auto"/>
          <w:highlight w:val="none"/>
          <w:u w:val="single"/>
        </w:rPr>
      </w:pPr>
      <w:r>
        <w:rPr>
          <w:rFonts w:hint="eastAsia"/>
          <w:b/>
          <w:bCs/>
          <w:color w:val="auto"/>
          <w:highlight w:val="none"/>
        </w:rPr>
        <w:t>项目名称</w:t>
      </w:r>
      <w:r>
        <w:rPr>
          <w:rFonts w:hint="eastAsia"/>
          <w:color w:val="auto"/>
          <w:highlight w:val="none"/>
        </w:rPr>
        <w:t>：</w:t>
      </w:r>
      <w:r>
        <w:rPr>
          <w:rFonts w:hint="eastAsia" w:ascii="宋体" w:hAnsi="宋体"/>
          <w:b/>
          <w:color w:val="auto"/>
          <w:szCs w:val="24"/>
          <w:highlight w:val="none"/>
          <w:u w:val="single"/>
          <w:lang w:eastAsia="zh-CN"/>
        </w:rPr>
        <w:t>成都市龙泉驿区城市绿地建设管理中心龙泉驿区道路景观绿化管护服务采购项目</w:t>
      </w:r>
    </w:p>
    <w:p>
      <w:pPr>
        <w:snapToGrid w:val="0"/>
        <w:ind w:firstLine="494"/>
        <w:rPr>
          <w:rFonts w:hint="eastAsia" w:ascii="宋体" w:hAnsi="宋体"/>
          <w:b/>
          <w:color w:val="auto"/>
          <w:szCs w:val="24"/>
          <w:highlight w:val="none"/>
          <w:u w:val="single"/>
          <w:lang w:eastAsia="zh-CN"/>
        </w:rPr>
      </w:pPr>
      <w:r>
        <w:rPr>
          <w:rFonts w:hint="eastAsia" w:ascii="宋体" w:hAnsi="宋体"/>
          <w:b/>
          <w:color w:val="auto"/>
          <w:szCs w:val="24"/>
          <w:highlight w:val="none"/>
        </w:rPr>
        <w:t>招标编号：</w:t>
      </w:r>
      <w:r>
        <w:rPr>
          <w:rFonts w:hint="eastAsia" w:ascii="宋体" w:hAnsi="宋体"/>
          <w:b/>
          <w:color w:val="auto"/>
          <w:szCs w:val="24"/>
          <w:highlight w:val="none"/>
          <w:u w:val="single"/>
          <w:lang w:eastAsia="zh-CN"/>
        </w:rPr>
        <w:t>510112202100105</w:t>
      </w:r>
    </w:p>
    <w:p>
      <w:pPr>
        <w:pStyle w:val="2"/>
        <w:rPr>
          <w:rFonts w:hint="eastAsia" w:ascii="宋体" w:hAnsi="宋体"/>
          <w:b/>
          <w:color w:val="auto"/>
          <w:szCs w:val="24"/>
          <w:highlight w:val="none"/>
          <w:u w:val="single"/>
          <w:lang w:eastAsia="zh-CN"/>
        </w:rPr>
      </w:pPr>
    </w:p>
    <w:tbl>
      <w:tblPr>
        <w:tblStyle w:val="44"/>
        <w:tblpPr w:leftFromText="180" w:rightFromText="180" w:vertAnchor="text" w:tblpX="-357" w:tblpY="228"/>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068"/>
        <w:gridCol w:w="1027"/>
        <w:gridCol w:w="1553"/>
        <w:gridCol w:w="1890"/>
        <w:gridCol w:w="630"/>
        <w:gridCol w:w="132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管护地段</w:t>
            </w:r>
          </w:p>
        </w:tc>
        <w:tc>
          <w:tcPr>
            <w:tcW w:w="2095"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管护内容</w:t>
            </w:r>
          </w:p>
        </w:tc>
        <w:tc>
          <w:tcPr>
            <w:tcW w:w="1553"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p>
        </w:tc>
        <w:tc>
          <w:tcPr>
            <w:tcW w:w="189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单价</w:t>
            </w:r>
          </w:p>
        </w:tc>
        <w:tc>
          <w:tcPr>
            <w:tcW w:w="63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时间</w:t>
            </w:r>
          </w:p>
        </w:tc>
        <w:tc>
          <w:tcPr>
            <w:tcW w:w="132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总价</w:t>
            </w:r>
          </w:p>
        </w:tc>
        <w:tc>
          <w:tcPr>
            <w:tcW w:w="107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7"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0"/>
                <w:szCs w:val="20"/>
                <w:u w:val="none"/>
                <w:lang w:val="en-US" w:eastAsia="zh-CN" w:bidi="ar"/>
              </w:rPr>
              <w:t>经开区</w:t>
            </w:r>
          </w:p>
        </w:tc>
        <w:tc>
          <w:tcPr>
            <w:tcW w:w="1068"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none"/>
                <w:lang w:val="en-US" w:eastAsia="zh-CN" w:bidi="ar"/>
              </w:rPr>
              <w:t>绿地养护</w:t>
            </w:r>
          </w:p>
        </w:tc>
        <w:tc>
          <w:tcPr>
            <w:tcW w:w="102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特级养护</w:t>
            </w:r>
          </w:p>
        </w:tc>
        <w:tc>
          <w:tcPr>
            <w:tcW w:w="1553"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1102505.02</w:t>
            </w:r>
            <w:r>
              <w:rPr>
                <w:rFonts w:hint="eastAsia" w:ascii="宋体" w:hAnsi="宋体" w:eastAsia="宋体" w:cs="宋体"/>
                <w:i w:val="0"/>
                <w:iCs w:val="0"/>
                <w:color w:val="000000"/>
                <w:kern w:val="0"/>
                <w:sz w:val="21"/>
                <w:szCs w:val="21"/>
                <w:u w:val="none"/>
                <w:lang w:val="en-US" w:eastAsia="zh-CN" w:bidi="ar"/>
              </w:rPr>
              <w:t>㎡</w:t>
            </w:r>
          </w:p>
        </w:tc>
        <w:tc>
          <w:tcPr>
            <w:tcW w:w="1890"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3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1年</w:t>
            </w:r>
          </w:p>
        </w:tc>
        <w:tc>
          <w:tcPr>
            <w:tcW w:w="1326"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074"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cs="宋体"/>
                <w:i w:val="0"/>
                <w:iCs w:val="0"/>
                <w:color w:val="000000"/>
                <w:sz w:val="21"/>
                <w:szCs w:val="21"/>
                <w:u w:val="none"/>
                <w:lang w:val="en-US" w:eastAsia="zh-CN"/>
              </w:rPr>
              <w:t>总价=</w:t>
            </w: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r>
              <w:rPr>
                <w:rFonts w:hint="eastAsia" w:ascii="宋体" w:hAnsi="宋体" w:eastAsia="宋体" w:cs="宋体"/>
                <w:i w:val="0"/>
                <w:iCs w:val="0"/>
                <w:color w:val="000000"/>
                <w:sz w:val="21"/>
                <w:szCs w:val="21"/>
                <w:u w:val="none"/>
                <w:lang w:val="en-US" w:eastAsia="zh-CN"/>
              </w:rPr>
              <w:t>×单价×时间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7"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068"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02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一级养护</w:t>
            </w:r>
          </w:p>
        </w:tc>
        <w:tc>
          <w:tcPr>
            <w:tcW w:w="1553"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607284.24</w:t>
            </w:r>
            <w:r>
              <w:rPr>
                <w:rFonts w:hint="eastAsia" w:ascii="宋体" w:hAnsi="宋体" w:eastAsia="宋体" w:cs="宋体"/>
                <w:i w:val="0"/>
                <w:iCs w:val="0"/>
                <w:color w:val="000000"/>
                <w:kern w:val="0"/>
                <w:sz w:val="21"/>
                <w:szCs w:val="21"/>
                <w:u w:val="none"/>
                <w:lang w:val="en-US" w:eastAsia="zh-CN" w:bidi="ar"/>
              </w:rPr>
              <w:t>㎡</w:t>
            </w:r>
          </w:p>
        </w:tc>
        <w:tc>
          <w:tcPr>
            <w:tcW w:w="189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3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326"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074"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7"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068"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02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普通养护</w:t>
            </w:r>
          </w:p>
        </w:tc>
        <w:tc>
          <w:tcPr>
            <w:tcW w:w="1553"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175180.00</w:t>
            </w:r>
            <w:r>
              <w:rPr>
                <w:rFonts w:hint="eastAsia" w:ascii="宋体" w:hAnsi="宋体" w:eastAsia="宋体" w:cs="宋体"/>
                <w:i w:val="0"/>
                <w:iCs w:val="0"/>
                <w:color w:val="000000"/>
                <w:kern w:val="0"/>
                <w:sz w:val="21"/>
                <w:szCs w:val="21"/>
                <w:u w:val="none"/>
                <w:lang w:val="en-US" w:eastAsia="zh-CN" w:bidi="ar"/>
              </w:rPr>
              <w:t>㎡</w:t>
            </w:r>
          </w:p>
        </w:tc>
        <w:tc>
          <w:tcPr>
            <w:tcW w:w="189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3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326"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074"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7"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2095"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草花更换养护</w:t>
            </w:r>
          </w:p>
        </w:tc>
        <w:tc>
          <w:tcPr>
            <w:tcW w:w="1553"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12964.18</w:t>
            </w:r>
            <w:r>
              <w:rPr>
                <w:rFonts w:hint="eastAsia" w:ascii="宋体" w:hAnsi="宋体" w:eastAsia="宋体" w:cs="宋体"/>
                <w:i w:val="0"/>
                <w:iCs w:val="0"/>
                <w:color w:val="000000"/>
                <w:kern w:val="0"/>
                <w:sz w:val="21"/>
                <w:szCs w:val="21"/>
                <w:u w:val="none"/>
                <w:lang w:val="en-US" w:eastAsia="zh-CN" w:bidi="ar"/>
              </w:rPr>
              <w:t>㎡</w:t>
            </w:r>
          </w:p>
        </w:tc>
        <w:tc>
          <w:tcPr>
            <w:tcW w:w="189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3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326"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074"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885" w:type="dxa"/>
            <w:gridSpan w:val="6"/>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投标报价（总价合计）</w:t>
            </w:r>
          </w:p>
        </w:tc>
        <w:tc>
          <w:tcPr>
            <w:tcW w:w="1326"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07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bl>
    <w:p/>
    <w:p>
      <w:pPr>
        <w:ind w:firstLine="494"/>
        <w:rPr>
          <w:rFonts w:ascii="宋体" w:hAnsi="宋体"/>
          <w:b/>
          <w:color w:val="auto"/>
          <w:szCs w:val="24"/>
          <w:highlight w:val="none"/>
        </w:rPr>
      </w:pPr>
    </w:p>
    <w:p>
      <w:pPr>
        <w:ind w:firstLine="494"/>
        <w:rPr>
          <w:rFonts w:ascii="宋体" w:hAnsi="宋体"/>
          <w:b/>
          <w:color w:val="auto"/>
          <w:szCs w:val="24"/>
          <w:highlight w:val="none"/>
          <w:u w:val="single"/>
        </w:rPr>
      </w:pPr>
      <w:r>
        <w:rPr>
          <w:rFonts w:hint="eastAsia" w:ascii="宋体" w:hAnsi="宋体"/>
          <w:b/>
          <w:color w:val="auto"/>
          <w:szCs w:val="24"/>
          <w:highlight w:val="none"/>
        </w:rPr>
        <w:t>投标报价（人民币大写）：</w:t>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lang w:val="en-US" w:eastAsia="zh-CN"/>
        </w:rPr>
        <w:t>每年</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rPr>
        <w:t xml:space="preserve">                    </w:t>
      </w:r>
    </w:p>
    <w:p>
      <w:pPr>
        <w:pStyle w:val="26"/>
        <w:spacing w:after="0" w:line="360" w:lineRule="auto"/>
        <w:ind w:left="0" w:leftChars="0" w:firstLine="492"/>
        <w:rPr>
          <w:rFonts w:ascii="宋体" w:hAnsi="宋体"/>
          <w:bCs/>
          <w:color w:val="auto"/>
          <w:szCs w:val="24"/>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360" w:lineRule="auto"/>
        <w:ind w:left="0" w:leftChars="0"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6"/>
        <w:spacing w:after="0" w:line="360" w:lineRule="auto"/>
        <w:ind w:left="0" w:leftChars="0" w:firstLine="492"/>
        <w:rPr>
          <w:rFonts w:ascii="宋体" w:hAnsi="宋体"/>
          <w:color w:val="auto"/>
          <w:szCs w:val="24"/>
          <w:highlight w:val="none"/>
        </w:rPr>
      </w:pPr>
    </w:p>
    <w:p>
      <w:pPr>
        <w:pStyle w:val="26"/>
        <w:ind w:left="0" w:leftChars="0" w:firstLine="490" w:firstLineChars="200"/>
        <w:rPr>
          <w:rFonts w:ascii="宋体" w:hAnsi="宋体"/>
          <w:color w:val="auto"/>
          <w:szCs w:val="24"/>
          <w:highlight w:val="none"/>
        </w:rPr>
      </w:pPr>
      <w:r>
        <w:rPr>
          <w:rFonts w:ascii="宋体" w:hAnsi="宋体"/>
          <w:bCs/>
          <w:color w:val="auto"/>
          <w:szCs w:val="24"/>
          <w:highlight w:val="none"/>
        </w:rPr>
        <w:t xml:space="preserve"> </w:t>
      </w:r>
      <w:r>
        <w:rPr>
          <w:rFonts w:hint="eastAsia" w:ascii="宋体" w:hAnsi="宋体"/>
          <w:bCs/>
          <w:color w:val="auto"/>
          <w:szCs w:val="24"/>
          <w:highlight w:val="none"/>
        </w:rPr>
        <w:t>说明：</w:t>
      </w:r>
      <w:r>
        <w:rPr>
          <w:rFonts w:hint="eastAsia" w:ascii="宋体" w:hAnsi="宋体"/>
          <w:bCs/>
          <w:color w:val="auto"/>
          <w:szCs w:val="24"/>
          <w:highlight w:val="none"/>
          <w:lang w:val="en-US" w:eastAsia="zh-CN"/>
        </w:rPr>
        <w:t>单价</w:t>
      </w:r>
      <w:r>
        <w:rPr>
          <w:rFonts w:hint="eastAsia" w:ascii="宋体" w:hAnsi="宋体"/>
          <w:bCs/>
          <w:color w:val="auto"/>
          <w:szCs w:val="24"/>
          <w:highlight w:val="none"/>
        </w:rPr>
        <w:t>应为</w:t>
      </w:r>
      <w:r>
        <w:rPr>
          <w:rFonts w:hint="eastAsia" w:ascii="宋体" w:hAnsi="宋体"/>
          <w:bCs/>
          <w:color w:val="auto"/>
          <w:szCs w:val="24"/>
          <w:highlight w:val="none"/>
          <w:lang w:val="en-US" w:eastAsia="zh-CN"/>
        </w:rPr>
        <w:t>综合单价，</w:t>
      </w:r>
      <w:r>
        <w:rPr>
          <w:rFonts w:hint="eastAsia" w:ascii="宋体" w:hAnsi="宋体"/>
          <w:bCs/>
          <w:color w:val="auto"/>
          <w:szCs w:val="24"/>
          <w:highlight w:val="none"/>
        </w:rPr>
        <w:t>包括</w:t>
      </w:r>
      <w:r>
        <w:rPr>
          <w:rFonts w:hint="eastAsia" w:ascii="宋体" w:hAnsi="宋体"/>
          <w:bCs/>
          <w:color w:val="auto"/>
          <w:szCs w:val="24"/>
          <w:highlight w:val="none"/>
          <w:lang w:val="en-US" w:eastAsia="zh-CN"/>
        </w:rPr>
        <w:t>人工费、材料费、税收、管理费、机械费以及</w:t>
      </w:r>
      <w:r>
        <w:rPr>
          <w:rFonts w:hint="eastAsia" w:ascii="宋体" w:hAnsi="宋体"/>
          <w:bCs/>
          <w:color w:val="auto"/>
          <w:szCs w:val="24"/>
          <w:highlight w:val="none"/>
        </w:rPr>
        <w:t>招标文件规定</w:t>
      </w:r>
      <w:r>
        <w:rPr>
          <w:rFonts w:hint="eastAsia" w:ascii="宋体" w:hAnsi="宋体"/>
          <w:bCs/>
          <w:color w:val="auto"/>
          <w:szCs w:val="24"/>
          <w:highlight w:val="none"/>
          <w:lang w:val="en-US" w:eastAsia="zh-CN"/>
        </w:rPr>
        <w:t>其他费用等</w:t>
      </w:r>
      <w:r>
        <w:rPr>
          <w:rFonts w:hint="eastAsia" w:ascii="宋体" w:hAnsi="宋体"/>
          <w:bCs/>
          <w:color w:val="auto"/>
          <w:szCs w:val="24"/>
          <w:highlight w:val="none"/>
          <w:lang w:eastAsia="zh-CN"/>
        </w:rPr>
        <w:t>，</w:t>
      </w:r>
      <w:r>
        <w:rPr>
          <w:rFonts w:hint="eastAsia" w:ascii="宋体" w:hAnsi="宋体"/>
          <w:bCs/>
          <w:color w:val="auto"/>
          <w:szCs w:val="24"/>
          <w:highlight w:val="none"/>
          <w:lang w:val="en-US" w:eastAsia="zh-CN"/>
        </w:rPr>
        <w:t>投其他包件的可不提供本页内容</w:t>
      </w:r>
      <w:r>
        <w:rPr>
          <w:rFonts w:hint="eastAsia" w:ascii="宋体" w:hAnsi="宋体"/>
          <w:bCs/>
          <w:color w:val="auto"/>
          <w:szCs w:val="24"/>
          <w:highlight w:val="none"/>
        </w:rPr>
        <w:t>。</w:t>
      </w:r>
    </w:p>
    <w:p>
      <w:pPr>
        <w:pStyle w:val="2"/>
        <w:ind w:firstLine="492"/>
        <w:rPr>
          <w:color w:val="auto"/>
          <w:highlight w:val="none"/>
        </w:rPr>
      </w:pPr>
    </w:p>
    <w:p>
      <w:pPr>
        <w:pStyle w:val="2"/>
        <w:ind w:firstLine="492"/>
        <w:rPr>
          <w:color w:val="auto"/>
          <w:highlight w:val="none"/>
        </w:rPr>
      </w:pPr>
    </w:p>
    <w:p>
      <w:pPr>
        <w:pStyle w:val="5"/>
        <w:numPr>
          <w:ilvl w:val="3"/>
          <w:numId w:val="1"/>
        </w:numPr>
        <w:ind w:left="420" w:leftChars="0" w:firstLine="494"/>
        <w:rPr>
          <w:b/>
          <w:bCs/>
          <w:color w:val="auto"/>
          <w:highlight w:val="none"/>
        </w:rPr>
      </w:pPr>
      <w:r>
        <w:rPr>
          <w:rFonts w:hint="eastAsia"/>
          <w:b/>
          <w:bCs/>
          <w:color w:val="auto"/>
          <w:highlight w:val="none"/>
          <w:lang w:val="en-US" w:eastAsia="zh-CN"/>
        </w:rPr>
        <w:t>包件4开标一览表</w:t>
      </w:r>
    </w:p>
    <w:p>
      <w:pPr>
        <w:ind w:firstLine="494"/>
        <w:rPr>
          <w:b/>
          <w:bCs/>
          <w:color w:val="auto"/>
          <w:highlight w:val="none"/>
          <w:u w:val="single"/>
        </w:rPr>
      </w:pPr>
      <w:r>
        <w:rPr>
          <w:rFonts w:hint="eastAsia"/>
          <w:b/>
          <w:bCs/>
          <w:color w:val="auto"/>
          <w:highlight w:val="none"/>
        </w:rPr>
        <w:t>项目名称</w:t>
      </w:r>
      <w:r>
        <w:rPr>
          <w:rFonts w:hint="eastAsia"/>
          <w:color w:val="auto"/>
          <w:highlight w:val="none"/>
        </w:rPr>
        <w:t>：</w:t>
      </w:r>
      <w:r>
        <w:rPr>
          <w:rFonts w:hint="eastAsia" w:ascii="宋体" w:hAnsi="宋体"/>
          <w:b/>
          <w:color w:val="auto"/>
          <w:szCs w:val="24"/>
          <w:highlight w:val="none"/>
          <w:u w:val="single"/>
          <w:lang w:eastAsia="zh-CN"/>
        </w:rPr>
        <w:t>成都市龙泉驿区城市绿地建设管理中心龙泉驿区道路景观绿化管护服务采购项目</w:t>
      </w:r>
    </w:p>
    <w:p>
      <w:pPr>
        <w:snapToGrid w:val="0"/>
        <w:ind w:firstLine="494"/>
        <w:rPr>
          <w:rFonts w:hint="eastAsia" w:ascii="宋体" w:hAnsi="宋体"/>
          <w:b/>
          <w:color w:val="auto"/>
          <w:szCs w:val="24"/>
          <w:highlight w:val="none"/>
          <w:u w:val="single"/>
          <w:lang w:eastAsia="zh-CN"/>
        </w:rPr>
      </w:pPr>
      <w:r>
        <w:rPr>
          <w:rFonts w:hint="eastAsia" w:ascii="宋体" w:hAnsi="宋体"/>
          <w:b/>
          <w:color w:val="auto"/>
          <w:szCs w:val="24"/>
          <w:highlight w:val="none"/>
        </w:rPr>
        <w:t>招标编号：</w:t>
      </w:r>
      <w:r>
        <w:rPr>
          <w:rFonts w:hint="eastAsia" w:ascii="宋体" w:hAnsi="宋体"/>
          <w:b/>
          <w:color w:val="auto"/>
          <w:szCs w:val="24"/>
          <w:highlight w:val="none"/>
          <w:u w:val="single"/>
          <w:lang w:eastAsia="zh-CN"/>
        </w:rPr>
        <w:t>510112202100105</w:t>
      </w:r>
    </w:p>
    <w:p>
      <w:pPr>
        <w:pStyle w:val="2"/>
        <w:rPr>
          <w:rFonts w:hint="eastAsia" w:ascii="宋体" w:hAnsi="宋体"/>
          <w:b/>
          <w:color w:val="auto"/>
          <w:szCs w:val="24"/>
          <w:highlight w:val="none"/>
          <w:u w:val="single"/>
          <w:lang w:eastAsia="zh-CN"/>
        </w:rPr>
      </w:pPr>
    </w:p>
    <w:tbl>
      <w:tblPr>
        <w:tblStyle w:val="44"/>
        <w:tblpPr w:leftFromText="180" w:rightFromText="180" w:vertAnchor="text" w:tblpX="-357" w:tblpY="228"/>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43"/>
        <w:gridCol w:w="1155"/>
        <w:gridCol w:w="1350"/>
        <w:gridCol w:w="1890"/>
        <w:gridCol w:w="630"/>
        <w:gridCol w:w="132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管护地段</w:t>
            </w:r>
          </w:p>
        </w:tc>
        <w:tc>
          <w:tcPr>
            <w:tcW w:w="2298"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管护内容</w:t>
            </w:r>
          </w:p>
        </w:tc>
        <w:tc>
          <w:tcPr>
            <w:tcW w:w="135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p>
        </w:tc>
        <w:tc>
          <w:tcPr>
            <w:tcW w:w="189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单价</w:t>
            </w:r>
          </w:p>
        </w:tc>
        <w:tc>
          <w:tcPr>
            <w:tcW w:w="63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时间</w:t>
            </w:r>
          </w:p>
        </w:tc>
        <w:tc>
          <w:tcPr>
            <w:tcW w:w="132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总价</w:t>
            </w:r>
          </w:p>
        </w:tc>
        <w:tc>
          <w:tcPr>
            <w:tcW w:w="107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17"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0"/>
                <w:szCs w:val="20"/>
                <w:u w:val="none"/>
                <w:lang w:val="en-US" w:eastAsia="zh-CN" w:bidi="ar"/>
              </w:rPr>
              <w:t>车城大道</w:t>
            </w:r>
          </w:p>
        </w:tc>
        <w:tc>
          <w:tcPr>
            <w:tcW w:w="1143"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none"/>
                <w:lang w:val="en-US" w:eastAsia="zh-CN" w:bidi="ar"/>
              </w:rPr>
              <w:t>绿地养护</w:t>
            </w:r>
          </w:p>
        </w:tc>
        <w:tc>
          <w:tcPr>
            <w:tcW w:w="1155"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特级养护</w:t>
            </w:r>
          </w:p>
        </w:tc>
        <w:tc>
          <w:tcPr>
            <w:tcW w:w="135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658192.28</w:t>
            </w:r>
            <w:r>
              <w:rPr>
                <w:rFonts w:hint="eastAsia" w:ascii="宋体" w:hAnsi="宋体" w:eastAsia="宋体" w:cs="宋体"/>
                <w:i w:val="0"/>
                <w:iCs w:val="0"/>
                <w:color w:val="000000"/>
                <w:kern w:val="0"/>
                <w:sz w:val="21"/>
                <w:szCs w:val="21"/>
                <w:u w:val="none"/>
                <w:lang w:val="en-US" w:eastAsia="zh-CN" w:bidi="ar"/>
              </w:rPr>
              <w:t>㎡</w:t>
            </w:r>
          </w:p>
        </w:tc>
        <w:tc>
          <w:tcPr>
            <w:tcW w:w="1890"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3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1年</w:t>
            </w:r>
          </w:p>
        </w:tc>
        <w:tc>
          <w:tcPr>
            <w:tcW w:w="1326"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074"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cs="宋体"/>
                <w:i w:val="0"/>
                <w:iCs w:val="0"/>
                <w:color w:val="000000"/>
                <w:sz w:val="21"/>
                <w:szCs w:val="21"/>
                <w:u w:val="none"/>
                <w:lang w:val="en-US" w:eastAsia="zh-CN"/>
              </w:rPr>
              <w:t>总价=</w:t>
            </w: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r>
              <w:rPr>
                <w:rFonts w:hint="eastAsia" w:ascii="宋体" w:hAnsi="宋体" w:eastAsia="宋体" w:cs="宋体"/>
                <w:i w:val="0"/>
                <w:iCs w:val="0"/>
                <w:color w:val="000000"/>
                <w:sz w:val="21"/>
                <w:szCs w:val="21"/>
                <w:u w:val="none"/>
                <w:lang w:val="en-US" w:eastAsia="zh-CN"/>
              </w:rPr>
              <w:t>×单价×时间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7"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143"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155"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一级养护</w:t>
            </w:r>
          </w:p>
        </w:tc>
        <w:tc>
          <w:tcPr>
            <w:tcW w:w="135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56984.30</w:t>
            </w:r>
            <w:r>
              <w:rPr>
                <w:rFonts w:hint="eastAsia" w:ascii="宋体" w:hAnsi="宋体" w:eastAsia="宋体" w:cs="宋体"/>
                <w:i w:val="0"/>
                <w:iCs w:val="0"/>
                <w:color w:val="000000"/>
                <w:kern w:val="0"/>
                <w:sz w:val="21"/>
                <w:szCs w:val="21"/>
                <w:u w:val="none"/>
                <w:lang w:val="en-US" w:eastAsia="zh-CN" w:bidi="ar"/>
              </w:rPr>
              <w:t>㎡</w:t>
            </w:r>
          </w:p>
        </w:tc>
        <w:tc>
          <w:tcPr>
            <w:tcW w:w="189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3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326"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074"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717"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2298"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草花更换养护</w:t>
            </w:r>
          </w:p>
        </w:tc>
        <w:tc>
          <w:tcPr>
            <w:tcW w:w="135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7004.58</w:t>
            </w:r>
            <w:r>
              <w:rPr>
                <w:rFonts w:hint="eastAsia" w:ascii="宋体" w:hAnsi="宋体" w:eastAsia="宋体" w:cs="宋体"/>
                <w:i w:val="0"/>
                <w:iCs w:val="0"/>
                <w:color w:val="000000"/>
                <w:kern w:val="0"/>
                <w:sz w:val="21"/>
                <w:szCs w:val="21"/>
                <w:u w:val="none"/>
                <w:lang w:val="en-US" w:eastAsia="zh-CN" w:bidi="ar"/>
              </w:rPr>
              <w:t>㎡</w:t>
            </w:r>
          </w:p>
        </w:tc>
        <w:tc>
          <w:tcPr>
            <w:tcW w:w="189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3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326"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074"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885" w:type="dxa"/>
            <w:gridSpan w:val="6"/>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投标报价（总价合计）</w:t>
            </w:r>
          </w:p>
        </w:tc>
        <w:tc>
          <w:tcPr>
            <w:tcW w:w="1326"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07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bl>
    <w:p>
      <w:pPr>
        <w:rPr>
          <w:rFonts w:hint="eastAsia" w:ascii="宋体" w:hAnsi="宋体"/>
          <w:b/>
          <w:color w:val="auto"/>
          <w:szCs w:val="24"/>
          <w:highlight w:val="none"/>
          <w:u w:val="single"/>
          <w:lang w:eastAsia="zh-CN"/>
        </w:rPr>
      </w:pPr>
    </w:p>
    <w:p>
      <w:pPr>
        <w:ind w:firstLine="494"/>
        <w:rPr>
          <w:rFonts w:ascii="宋体" w:hAnsi="宋体"/>
          <w:b/>
          <w:color w:val="auto"/>
          <w:szCs w:val="24"/>
          <w:highlight w:val="none"/>
        </w:rPr>
      </w:pPr>
    </w:p>
    <w:p>
      <w:pPr>
        <w:ind w:firstLine="494"/>
        <w:rPr>
          <w:rFonts w:ascii="宋体" w:hAnsi="宋体"/>
          <w:b/>
          <w:color w:val="auto"/>
          <w:szCs w:val="24"/>
          <w:highlight w:val="none"/>
          <w:u w:val="single"/>
        </w:rPr>
      </w:pPr>
      <w:r>
        <w:rPr>
          <w:rFonts w:hint="eastAsia" w:ascii="宋体" w:hAnsi="宋体"/>
          <w:b/>
          <w:color w:val="auto"/>
          <w:szCs w:val="24"/>
          <w:highlight w:val="none"/>
        </w:rPr>
        <w:t>投标报价（人民币大写）：</w:t>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lang w:val="en-US" w:eastAsia="zh-CN"/>
        </w:rPr>
        <w:t>每年</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rPr>
        <w:t xml:space="preserve">                    </w:t>
      </w:r>
    </w:p>
    <w:p>
      <w:pPr>
        <w:pStyle w:val="26"/>
        <w:spacing w:after="0" w:line="360" w:lineRule="auto"/>
        <w:ind w:left="0" w:leftChars="0" w:firstLine="492"/>
        <w:rPr>
          <w:rFonts w:ascii="宋体" w:hAnsi="宋体"/>
          <w:bCs/>
          <w:color w:val="auto"/>
          <w:szCs w:val="24"/>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360" w:lineRule="auto"/>
        <w:ind w:left="0" w:leftChars="0"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6"/>
        <w:spacing w:after="0" w:line="360" w:lineRule="auto"/>
        <w:ind w:left="0" w:leftChars="0" w:firstLine="492"/>
        <w:rPr>
          <w:rFonts w:ascii="宋体" w:hAnsi="宋体"/>
          <w:color w:val="auto"/>
          <w:szCs w:val="24"/>
          <w:highlight w:val="none"/>
        </w:rPr>
      </w:pPr>
    </w:p>
    <w:p>
      <w:pPr>
        <w:pStyle w:val="26"/>
        <w:ind w:left="0" w:leftChars="0" w:firstLine="490" w:firstLineChars="200"/>
        <w:rPr>
          <w:rFonts w:ascii="宋体" w:hAnsi="宋体"/>
          <w:color w:val="auto"/>
          <w:szCs w:val="24"/>
          <w:highlight w:val="none"/>
        </w:rPr>
      </w:pPr>
      <w:r>
        <w:rPr>
          <w:rFonts w:ascii="宋体" w:hAnsi="宋体"/>
          <w:bCs/>
          <w:color w:val="auto"/>
          <w:szCs w:val="24"/>
          <w:highlight w:val="none"/>
        </w:rPr>
        <w:t xml:space="preserve"> </w:t>
      </w:r>
      <w:r>
        <w:rPr>
          <w:rFonts w:hint="eastAsia" w:ascii="宋体" w:hAnsi="宋体"/>
          <w:bCs/>
          <w:color w:val="auto"/>
          <w:szCs w:val="24"/>
          <w:highlight w:val="none"/>
        </w:rPr>
        <w:t>说明：</w:t>
      </w:r>
      <w:r>
        <w:rPr>
          <w:rFonts w:hint="eastAsia" w:ascii="宋体" w:hAnsi="宋体"/>
          <w:bCs/>
          <w:color w:val="auto"/>
          <w:szCs w:val="24"/>
          <w:highlight w:val="none"/>
          <w:lang w:val="en-US" w:eastAsia="zh-CN"/>
        </w:rPr>
        <w:t>单价</w:t>
      </w:r>
      <w:r>
        <w:rPr>
          <w:rFonts w:hint="eastAsia" w:ascii="宋体" w:hAnsi="宋体"/>
          <w:bCs/>
          <w:color w:val="auto"/>
          <w:szCs w:val="24"/>
          <w:highlight w:val="none"/>
        </w:rPr>
        <w:t>应为</w:t>
      </w:r>
      <w:r>
        <w:rPr>
          <w:rFonts w:hint="eastAsia" w:ascii="宋体" w:hAnsi="宋体"/>
          <w:bCs/>
          <w:color w:val="auto"/>
          <w:szCs w:val="24"/>
          <w:highlight w:val="none"/>
          <w:lang w:val="en-US" w:eastAsia="zh-CN"/>
        </w:rPr>
        <w:t>综合单价，</w:t>
      </w:r>
      <w:r>
        <w:rPr>
          <w:rFonts w:hint="eastAsia" w:ascii="宋体" w:hAnsi="宋体"/>
          <w:bCs/>
          <w:color w:val="auto"/>
          <w:szCs w:val="24"/>
          <w:highlight w:val="none"/>
        </w:rPr>
        <w:t>包括</w:t>
      </w:r>
      <w:r>
        <w:rPr>
          <w:rFonts w:hint="eastAsia" w:ascii="宋体" w:hAnsi="宋体"/>
          <w:bCs/>
          <w:color w:val="auto"/>
          <w:szCs w:val="24"/>
          <w:highlight w:val="none"/>
          <w:lang w:val="en-US" w:eastAsia="zh-CN"/>
        </w:rPr>
        <w:t>人工费、材料费、税收、管理费、机械费以及</w:t>
      </w:r>
      <w:r>
        <w:rPr>
          <w:rFonts w:hint="eastAsia" w:ascii="宋体" w:hAnsi="宋体"/>
          <w:bCs/>
          <w:color w:val="auto"/>
          <w:szCs w:val="24"/>
          <w:highlight w:val="none"/>
        </w:rPr>
        <w:t>招标文件规定</w:t>
      </w:r>
      <w:r>
        <w:rPr>
          <w:rFonts w:hint="eastAsia" w:ascii="宋体" w:hAnsi="宋体"/>
          <w:bCs/>
          <w:color w:val="auto"/>
          <w:szCs w:val="24"/>
          <w:highlight w:val="none"/>
          <w:lang w:val="en-US" w:eastAsia="zh-CN"/>
        </w:rPr>
        <w:t>其他费用等</w:t>
      </w:r>
      <w:r>
        <w:rPr>
          <w:rFonts w:hint="eastAsia" w:ascii="宋体" w:hAnsi="宋体"/>
          <w:bCs/>
          <w:color w:val="auto"/>
          <w:szCs w:val="24"/>
          <w:highlight w:val="none"/>
          <w:lang w:eastAsia="zh-CN"/>
        </w:rPr>
        <w:t>，</w:t>
      </w:r>
      <w:r>
        <w:rPr>
          <w:rFonts w:hint="eastAsia" w:ascii="宋体" w:hAnsi="宋体"/>
          <w:bCs/>
          <w:color w:val="auto"/>
          <w:szCs w:val="24"/>
          <w:highlight w:val="none"/>
          <w:lang w:val="en-US" w:eastAsia="zh-CN"/>
        </w:rPr>
        <w:t>投其他包件的可不提供本页内容</w:t>
      </w:r>
      <w:r>
        <w:rPr>
          <w:rFonts w:hint="eastAsia" w:ascii="宋体" w:hAnsi="宋体"/>
          <w:bCs/>
          <w:color w:val="auto"/>
          <w:szCs w:val="24"/>
          <w:highlight w:val="none"/>
        </w:rPr>
        <w:t>。</w:t>
      </w: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5"/>
        <w:numPr>
          <w:ilvl w:val="3"/>
          <w:numId w:val="1"/>
        </w:numPr>
        <w:ind w:left="420" w:leftChars="0" w:firstLine="494"/>
        <w:rPr>
          <w:color w:val="auto"/>
          <w:highlight w:val="none"/>
        </w:rPr>
      </w:pPr>
      <w:r>
        <w:rPr>
          <w:rFonts w:hint="eastAsia"/>
          <w:color w:val="auto"/>
          <w:highlight w:val="none"/>
          <w:lang w:val="en-US" w:eastAsia="zh-CN"/>
        </w:rPr>
        <w:t>包件5开标一览表</w:t>
      </w:r>
    </w:p>
    <w:p>
      <w:pPr>
        <w:ind w:firstLine="494"/>
        <w:rPr>
          <w:b/>
          <w:bCs/>
          <w:color w:val="auto"/>
          <w:highlight w:val="none"/>
          <w:u w:val="single"/>
        </w:rPr>
      </w:pPr>
      <w:r>
        <w:rPr>
          <w:rFonts w:hint="eastAsia"/>
          <w:b/>
          <w:bCs/>
          <w:color w:val="auto"/>
          <w:highlight w:val="none"/>
        </w:rPr>
        <w:t>项目名称</w:t>
      </w:r>
      <w:r>
        <w:rPr>
          <w:rFonts w:hint="eastAsia"/>
          <w:color w:val="auto"/>
          <w:highlight w:val="none"/>
        </w:rPr>
        <w:t>：</w:t>
      </w:r>
      <w:r>
        <w:rPr>
          <w:rFonts w:hint="eastAsia" w:ascii="宋体" w:hAnsi="宋体"/>
          <w:b/>
          <w:color w:val="auto"/>
          <w:szCs w:val="24"/>
          <w:highlight w:val="none"/>
          <w:u w:val="single"/>
          <w:lang w:eastAsia="zh-CN"/>
        </w:rPr>
        <w:t>成都市龙泉驿区城市绿地建设管理中心龙泉驿区道路景观绿化管护服务采购项目</w:t>
      </w:r>
    </w:p>
    <w:p>
      <w:pPr>
        <w:snapToGrid w:val="0"/>
        <w:ind w:firstLine="494"/>
        <w:rPr>
          <w:rFonts w:hint="eastAsia" w:ascii="宋体" w:hAnsi="宋体"/>
          <w:b/>
          <w:color w:val="auto"/>
          <w:szCs w:val="24"/>
          <w:highlight w:val="none"/>
          <w:u w:val="single"/>
          <w:lang w:eastAsia="zh-CN"/>
        </w:rPr>
      </w:pPr>
      <w:r>
        <w:rPr>
          <w:rFonts w:hint="eastAsia" w:ascii="宋体" w:hAnsi="宋体"/>
          <w:b/>
          <w:color w:val="auto"/>
          <w:szCs w:val="24"/>
          <w:highlight w:val="none"/>
        </w:rPr>
        <w:t>招标编号：</w:t>
      </w:r>
      <w:r>
        <w:rPr>
          <w:rFonts w:hint="eastAsia" w:ascii="宋体" w:hAnsi="宋体"/>
          <w:b/>
          <w:color w:val="auto"/>
          <w:szCs w:val="24"/>
          <w:highlight w:val="none"/>
          <w:u w:val="single"/>
          <w:lang w:eastAsia="zh-CN"/>
        </w:rPr>
        <w:t>510112202100105</w:t>
      </w:r>
    </w:p>
    <w:p/>
    <w:tbl>
      <w:tblPr>
        <w:tblStyle w:val="44"/>
        <w:tblpPr w:leftFromText="180" w:rightFromText="180" w:vertAnchor="text" w:tblpX="-357" w:tblpY="228"/>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46"/>
        <w:gridCol w:w="1096"/>
        <w:gridCol w:w="1260"/>
        <w:gridCol w:w="1657"/>
        <w:gridCol w:w="643"/>
        <w:gridCol w:w="1452"/>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管护地段</w:t>
            </w:r>
          </w:p>
        </w:tc>
        <w:tc>
          <w:tcPr>
            <w:tcW w:w="2342" w:type="dxa"/>
            <w:gridSpan w:val="2"/>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管护内容</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p>
        </w:tc>
        <w:tc>
          <w:tcPr>
            <w:tcW w:w="1657"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单价</w:t>
            </w:r>
          </w:p>
        </w:tc>
        <w:tc>
          <w:tcPr>
            <w:tcW w:w="643"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时间</w:t>
            </w:r>
          </w:p>
        </w:tc>
        <w:tc>
          <w:tcPr>
            <w:tcW w:w="1452"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总价</w:t>
            </w:r>
          </w:p>
        </w:tc>
        <w:tc>
          <w:tcPr>
            <w:tcW w:w="1590"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0"/>
                <w:szCs w:val="20"/>
                <w:u w:val="none"/>
                <w:lang w:val="en-US" w:eastAsia="zh-CN" w:bidi="ar"/>
              </w:rPr>
              <w:t>成洛路</w:t>
            </w:r>
          </w:p>
        </w:tc>
        <w:tc>
          <w:tcPr>
            <w:tcW w:w="1246"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none"/>
                <w:lang w:val="en-US" w:eastAsia="zh-CN" w:bidi="ar"/>
              </w:rPr>
              <w:t>绿地养护</w:t>
            </w: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特级养护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702710.35</w:t>
            </w:r>
            <w:r>
              <w:rPr>
                <w:rFonts w:hint="eastAsia" w:ascii="宋体" w:hAnsi="宋体" w:eastAsia="宋体" w:cs="宋体"/>
                <w:i w:val="0"/>
                <w:iCs w:val="0"/>
                <w:color w:val="000000"/>
                <w:kern w:val="0"/>
                <w:sz w:val="21"/>
                <w:szCs w:val="21"/>
                <w:u w:val="none"/>
                <w:lang w:val="en-US" w:eastAsia="zh-CN" w:bidi="ar"/>
              </w:rPr>
              <w:t>㎡</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43"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val="en-US"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cs="宋体"/>
                <w:i w:val="0"/>
                <w:iCs w:val="0"/>
                <w:color w:val="000000"/>
                <w:sz w:val="21"/>
                <w:szCs w:val="21"/>
                <w:u w:val="none"/>
                <w:lang w:val="en-US" w:eastAsia="zh-CN"/>
              </w:rPr>
              <w:t>总价=</w:t>
            </w:r>
            <w:r>
              <w:rPr>
                <w:rFonts w:hint="eastAsia" w:ascii="宋体" w:hAnsi="宋体" w:eastAsia="宋体" w:cs="宋体"/>
                <w:i w:val="0"/>
                <w:iCs w:val="0"/>
                <w:color w:val="000000"/>
                <w:sz w:val="21"/>
                <w:szCs w:val="21"/>
                <w:u w:val="none"/>
                <w:lang w:val="en-US" w:eastAsia="zh-CN"/>
              </w:rPr>
              <w:t>面积</w:t>
            </w:r>
            <w:r>
              <w:rPr>
                <w:rFonts w:hint="eastAsia" w:ascii="宋体" w:hAnsi="宋体" w:cs="宋体"/>
                <w:i w:val="0"/>
                <w:iCs w:val="0"/>
                <w:color w:val="000000"/>
                <w:sz w:val="21"/>
                <w:szCs w:val="21"/>
                <w:u w:val="none"/>
                <w:lang w:val="en-US" w:eastAsia="zh-CN"/>
              </w:rPr>
              <w:t>/数量</w:t>
            </w:r>
            <w:r>
              <w:rPr>
                <w:rFonts w:hint="eastAsia" w:ascii="宋体" w:hAnsi="宋体" w:eastAsia="宋体" w:cs="宋体"/>
                <w:i w:val="0"/>
                <w:iCs w:val="0"/>
                <w:color w:val="000000"/>
                <w:sz w:val="21"/>
                <w:szCs w:val="21"/>
                <w:u w:val="none"/>
                <w:lang w:val="en-US" w:eastAsia="zh-CN"/>
              </w:rPr>
              <w:t>×单价×时间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46"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一级养护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131438.54 </w:t>
            </w:r>
            <w:r>
              <w:rPr>
                <w:rFonts w:hint="eastAsia" w:ascii="宋体" w:hAnsi="宋体" w:eastAsia="宋体" w:cs="宋体"/>
                <w:i w:val="0"/>
                <w:iCs w:val="0"/>
                <w:color w:val="000000"/>
                <w:kern w:val="0"/>
                <w:sz w:val="21"/>
                <w:szCs w:val="21"/>
                <w:u w:val="none"/>
                <w:lang w:val="en-US" w:eastAsia="zh-CN" w:bidi="ar"/>
              </w:rPr>
              <w:t>㎡</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46"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普通养护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173428.12 </w:t>
            </w:r>
            <w:r>
              <w:rPr>
                <w:rFonts w:hint="eastAsia" w:ascii="宋体" w:hAnsi="宋体" w:eastAsia="宋体" w:cs="宋体"/>
                <w:i w:val="0"/>
                <w:iCs w:val="0"/>
                <w:color w:val="000000"/>
                <w:kern w:val="0"/>
                <w:sz w:val="21"/>
                <w:szCs w:val="21"/>
                <w:u w:val="none"/>
                <w:lang w:val="en-US" w:eastAsia="zh-CN" w:bidi="ar"/>
              </w:rPr>
              <w:t>㎡</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46" w:type="dxa"/>
            <w:vMerge w:val="restart"/>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行道树养护</w:t>
            </w: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一级养护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656.00 </w:t>
            </w:r>
            <w:r>
              <w:rPr>
                <w:rFonts w:hint="eastAsia" w:ascii="宋体" w:hAnsi="宋体" w:eastAsia="宋体" w:cs="宋体"/>
                <w:i w:val="0"/>
                <w:iCs w:val="0"/>
                <w:color w:val="000000"/>
                <w:kern w:val="0"/>
                <w:sz w:val="21"/>
                <w:szCs w:val="21"/>
                <w:u w:val="none"/>
                <w:lang w:val="en-US" w:eastAsia="zh-CN" w:bidi="ar"/>
              </w:rPr>
              <w:t>株</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元/年.株</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p>
        </w:tc>
        <w:tc>
          <w:tcPr>
            <w:tcW w:w="1246"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普通养护</w:t>
            </w:r>
          </w:p>
        </w:tc>
        <w:tc>
          <w:tcPr>
            <w:tcW w:w="12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1667.00 </w:t>
            </w:r>
            <w:r>
              <w:rPr>
                <w:rFonts w:hint="eastAsia" w:ascii="宋体" w:hAnsi="宋体" w:eastAsia="宋体" w:cs="宋体"/>
                <w:i w:val="0"/>
                <w:iCs w:val="0"/>
                <w:color w:val="000000"/>
                <w:kern w:val="0"/>
                <w:sz w:val="21"/>
                <w:szCs w:val="21"/>
                <w:u w:val="none"/>
                <w:lang w:val="en-US" w:eastAsia="zh-CN" w:bidi="ar"/>
              </w:rPr>
              <w:t>株</w:t>
            </w:r>
          </w:p>
        </w:tc>
        <w:tc>
          <w:tcPr>
            <w:tcW w:w="1657"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 xml:space="preserve"> </w:t>
            </w:r>
            <w:r>
              <w:rPr>
                <w:rFonts w:hint="eastAsia" w:ascii="宋体" w:hAnsi="宋体" w:eastAsia="宋体" w:cs="宋体"/>
                <w:i w:val="0"/>
                <w:iCs w:val="0"/>
                <w:color w:val="000000"/>
                <w:kern w:val="0"/>
                <w:sz w:val="21"/>
                <w:szCs w:val="21"/>
                <w:u w:val="none"/>
                <w:lang w:val="en-US" w:eastAsia="zh-CN" w:bidi="ar"/>
              </w:rPr>
              <w:t>元/年.株</w:t>
            </w:r>
          </w:p>
        </w:tc>
        <w:tc>
          <w:tcPr>
            <w:tcW w:w="64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sz w:val="21"/>
                <w:szCs w:val="21"/>
                <w:u w:val="none"/>
                <w:lang w:val="en-US" w:eastAsia="zh-CN"/>
              </w:rPr>
              <w:t>1年</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vMerge w:val="continue"/>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73" w:type="dxa"/>
            <w:gridSpan w:val="6"/>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投标报价（总价合计）</w:t>
            </w:r>
          </w:p>
        </w:tc>
        <w:tc>
          <w:tcPr>
            <w:tcW w:w="1452"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元/年</w:t>
            </w:r>
          </w:p>
        </w:tc>
        <w:tc>
          <w:tcPr>
            <w:tcW w:w="159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1"/>
                <w:szCs w:val="21"/>
                <w:highlight w:val="none"/>
                <w:u w:val="single"/>
                <w:vertAlign w:val="baseline"/>
                <w:lang w:eastAsia="zh-CN"/>
              </w:rPr>
            </w:pPr>
          </w:p>
        </w:tc>
      </w:tr>
    </w:tbl>
    <w:p/>
    <w:p>
      <w:pPr>
        <w:ind w:firstLine="494"/>
        <w:rPr>
          <w:rFonts w:ascii="宋体" w:hAnsi="宋体"/>
          <w:b/>
          <w:color w:val="auto"/>
          <w:szCs w:val="24"/>
          <w:highlight w:val="none"/>
          <w:u w:val="single"/>
        </w:rPr>
      </w:pPr>
      <w:r>
        <w:rPr>
          <w:rFonts w:hint="eastAsia" w:ascii="宋体" w:hAnsi="宋体"/>
          <w:b/>
          <w:color w:val="auto"/>
          <w:szCs w:val="24"/>
          <w:highlight w:val="none"/>
        </w:rPr>
        <w:t>投标报价（人民币大写）：</w:t>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lang w:val="en-US" w:eastAsia="zh-CN"/>
        </w:rPr>
        <w:t>每年</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rPr>
        <w:t xml:space="preserve">                    </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360" w:lineRule="auto"/>
        <w:ind w:left="0" w:leftChars="0"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6"/>
        <w:ind w:left="0" w:leftChars="0" w:firstLine="490" w:firstLineChars="200"/>
        <w:rPr>
          <w:rFonts w:hint="eastAsia" w:ascii="宋体" w:hAnsi="宋体"/>
          <w:bCs/>
          <w:color w:val="auto"/>
          <w:szCs w:val="24"/>
          <w:highlight w:val="none"/>
        </w:rPr>
      </w:pPr>
      <w:r>
        <w:rPr>
          <w:rFonts w:ascii="宋体" w:hAnsi="宋体"/>
          <w:bCs/>
          <w:color w:val="auto"/>
          <w:szCs w:val="24"/>
          <w:highlight w:val="none"/>
        </w:rPr>
        <w:t xml:space="preserve"> </w:t>
      </w:r>
      <w:r>
        <w:rPr>
          <w:rFonts w:hint="eastAsia" w:ascii="宋体" w:hAnsi="宋体"/>
          <w:bCs/>
          <w:color w:val="auto"/>
          <w:szCs w:val="24"/>
          <w:highlight w:val="none"/>
        </w:rPr>
        <w:t>说明：</w:t>
      </w:r>
      <w:r>
        <w:rPr>
          <w:rFonts w:hint="eastAsia" w:ascii="宋体" w:hAnsi="宋体"/>
          <w:bCs/>
          <w:color w:val="auto"/>
          <w:szCs w:val="24"/>
          <w:highlight w:val="none"/>
          <w:lang w:val="en-US" w:eastAsia="zh-CN"/>
        </w:rPr>
        <w:t>单价</w:t>
      </w:r>
      <w:r>
        <w:rPr>
          <w:rFonts w:hint="eastAsia" w:ascii="宋体" w:hAnsi="宋体"/>
          <w:bCs/>
          <w:color w:val="auto"/>
          <w:szCs w:val="24"/>
          <w:highlight w:val="none"/>
        </w:rPr>
        <w:t>应为</w:t>
      </w:r>
      <w:r>
        <w:rPr>
          <w:rFonts w:hint="eastAsia" w:ascii="宋体" w:hAnsi="宋体"/>
          <w:bCs/>
          <w:color w:val="auto"/>
          <w:szCs w:val="24"/>
          <w:highlight w:val="none"/>
          <w:lang w:val="en-US" w:eastAsia="zh-CN"/>
        </w:rPr>
        <w:t>综合单价，</w:t>
      </w:r>
      <w:r>
        <w:rPr>
          <w:rFonts w:hint="eastAsia" w:ascii="宋体" w:hAnsi="宋体"/>
          <w:bCs/>
          <w:color w:val="auto"/>
          <w:szCs w:val="24"/>
          <w:highlight w:val="none"/>
        </w:rPr>
        <w:t>包括</w:t>
      </w:r>
      <w:r>
        <w:rPr>
          <w:rFonts w:hint="eastAsia" w:ascii="宋体" w:hAnsi="宋体"/>
          <w:bCs/>
          <w:color w:val="auto"/>
          <w:szCs w:val="24"/>
          <w:highlight w:val="none"/>
          <w:lang w:val="en-US" w:eastAsia="zh-CN"/>
        </w:rPr>
        <w:t>人工费、材料费、税收、管理费、机械费以及</w:t>
      </w:r>
      <w:r>
        <w:rPr>
          <w:rFonts w:hint="eastAsia" w:ascii="宋体" w:hAnsi="宋体"/>
          <w:bCs/>
          <w:color w:val="auto"/>
          <w:szCs w:val="24"/>
          <w:highlight w:val="none"/>
        </w:rPr>
        <w:t>招标文件规定</w:t>
      </w:r>
      <w:r>
        <w:rPr>
          <w:rFonts w:hint="eastAsia" w:ascii="宋体" w:hAnsi="宋体"/>
          <w:bCs/>
          <w:color w:val="auto"/>
          <w:szCs w:val="24"/>
          <w:highlight w:val="none"/>
          <w:lang w:val="en-US" w:eastAsia="zh-CN"/>
        </w:rPr>
        <w:t>其他费用等</w:t>
      </w:r>
      <w:r>
        <w:rPr>
          <w:rFonts w:hint="eastAsia" w:ascii="宋体" w:hAnsi="宋体"/>
          <w:bCs/>
          <w:color w:val="auto"/>
          <w:szCs w:val="24"/>
          <w:highlight w:val="none"/>
          <w:lang w:eastAsia="zh-CN"/>
        </w:rPr>
        <w:t>，</w:t>
      </w:r>
      <w:r>
        <w:rPr>
          <w:rFonts w:hint="eastAsia" w:ascii="宋体" w:hAnsi="宋体"/>
          <w:bCs/>
          <w:color w:val="auto"/>
          <w:szCs w:val="24"/>
          <w:highlight w:val="none"/>
          <w:lang w:val="en-US" w:eastAsia="zh-CN"/>
        </w:rPr>
        <w:t>投其他包件的可不提供本页内容</w:t>
      </w:r>
      <w:r>
        <w:rPr>
          <w:rFonts w:hint="eastAsia" w:ascii="宋体" w:hAnsi="宋体"/>
          <w:bCs/>
          <w:color w:val="auto"/>
          <w:szCs w:val="24"/>
          <w:highlight w:val="none"/>
        </w:rPr>
        <w:t>。</w:t>
      </w:r>
    </w:p>
    <w:p>
      <w:pPr>
        <w:pStyle w:val="26"/>
        <w:ind w:left="0" w:leftChars="0" w:firstLine="490" w:firstLineChars="200"/>
        <w:rPr>
          <w:rFonts w:hint="eastAsia" w:ascii="宋体" w:hAnsi="宋体"/>
          <w:bCs/>
          <w:color w:val="auto"/>
          <w:szCs w:val="24"/>
          <w:highlight w:val="none"/>
        </w:rPr>
      </w:pPr>
    </w:p>
    <w:p>
      <w:pPr>
        <w:pStyle w:val="26"/>
        <w:ind w:left="0" w:leftChars="0" w:firstLine="490" w:firstLineChars="200"/>
        <w:rPr>
          <w:rFonts w:hint="eastAsia" w:ascii="宋体" w:hAnsi="宋体"/>
          <w:bCs/>
          <w:color w:val="auto"/>
          <w:szCs w:val="24"/>
          <w:highlight w:val="none"/>
        </w:rPr>
      </w:pPr>
    </w:p>
    <w:bookmarkEnd w:id="235"/>
    <w:bookmarkEnd w:id="236"/>
    <w:bookmarkEnd w:id="237"/>
    <w:bookmarkEnd w:id="238"/>
    <w:bookmarkEnd w:id="239"/>
    <w:bookmarkEnd w:id="240"/>
    <w:bookmarkEnd w:id="241"/>
    <w:bookmarkEnd w:id="242"/>
    <w:bookmarkEnd w:id="243"/>
    <w:p>
      <w:pPr>
        <w:pStyle w:val="5"/>
        <w:ind w:firstLine="494"/>
        <w:rPr>
          <w:color w:val="auto"/>
          <w:highlight w:val="none"/>
        </w:rPr>
      </w:pPr>
      <w:bookmarkStart w:id="246" w:name="_Toc302997926"/>
      <w:bookmarkStart w:id="247" w:name="_Toc15436"/>
      <w:bookmarkStart w:id="248" w:name="_Toc263753605"/>
      <w:bookmarkStart w:id="249" w:name="_Toc263768870"/>
      <w:bookmarkStart w:id="250" w:name="_Toc220299393"/>
      <w:bookmarkStart w:id="251" w:name="_Toc217446083"/>
      <w:r>
        <w:rPr>
          <w:rFonts w:hint="eastAsia"/>
          <w:color w:val="auto"/>
          <w:highlight w:val="none"/>
        </w:rPr>
        <w:t>投标人基本情况表</w:t>
      </w:r>
      <w:bookmarkEnd w:id="246"/>
      <w:bookmarkEnd w:id="247"/>
    </w:p>
    <w:tbl>
      <w:tblPr>
        <w:tblStyle w:val="43"/>
        <w:tblW w:w="8625" w:type="dxa"/>
        <w:tblInd w:w="-10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25"/>
        <w:gridCol w:w="1020"/>
        <w:gridCol w:w="1067"/>
        <w:gridCol w:w="1248"/>
        <w:gridCol w:w="8"/>
        <w:gridCol w:w="1318"/>
        <w:gridCol w:w="379"/>
        <w:gridCol w:w="79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投标人名称</w:t>
            </w:r>
          </w:p>
        </w:tc>
        <w:tc>
          <w:tcPr>
            <w:tcW w:w="6900" w:type="dxa"/>
            <w:gridSpan w:val="8"/>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注册地址</w:t>
            </w:r>
          </w:p>
        </w:tc>
        <w:tc>
          <w:tcPr>
            <w:tcW w:w="3343" w:type="dxa"/>
            <w:gridSpan w:val="4"/>
            <w:vAlign w:val="center"/>
          </w:tcPr>
          <w:p>
            <w:pPr>
              <w:autoSpaceDE w:val="0"/>
              <w:autoSpaceDN w:val="0"/>
              <w:adjustRightInd w:val="0"/>
              <w:ind w:firstLine="0" w:firstLineChars="0"/>
              <w:jc w:val="center"/>
              <w:rPr>
                <w:rFonts w:ascii="宋体" w:hAnsi="宋体"/>
                <w:color w:val="auto"/>
                <w:kern w:val="0"/>
                <w:szCs w:val="24"/>
                <w:highlight w:val="none"/>
              </w:rPr>
            </w:pPr>
          </w:p>
        </w:tc>
        <w:tc>
          <w:tcPr>
            <w:tcW w:w="1318"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邮政编码</w:t>
            </w:r>
          </w:p>
        </w:tc>
        <w:tc>
          <w:tcPr>
            <w:tcW w:w="2239" w:type="dxa"/>
            <w:gridSpan w:val="3"/>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Merge w:val="restart"/>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联系方式</w:t>
            </w:r>
          </w:p>
        </w:tc>
        <w:tc>
          <w:tcPr>
            <w:tcW w:w="1020"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联系人</w:t>
            </w:r>
          </w:p>
        </w:tc>
        <w:tc>
          <w:tcPr>
            <w:tcW w:w="2315"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326" w:type="dxa"/>
            <w:gridSpan w:val="2"/>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电话</w:t>
            </w:r>
          </w:p>
        </w:tc>
        <w:tc>
          <w:tcPr>
            <w:tcW w:w="2239" w:type="dxa"/>
            <w:gridSpan w:val="3"/>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25"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020"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传真</w:t>
            </w:r>
          </w:p>
        </w:tc>
        <w:tc>
          <w:tcPr>
            <w:tcW w:w="2315"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326" w:type="dxa"/>
            <w:gridSpan w:val="2"/>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网址</w:t>
            </w:r>
          </w:p>
        </w:tc>
        <w:tc>
          <w:tcPr>
            <w:tcW w:w="2239" w:type="dxa"/>
            <w:gridSpan w:val="3"/>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单位性质</w:t>
            </w:r>
          </w:p>
        </w:tc>
        <w:tc>
          <w:tcPr>
            <w:tcW w:w="6900" w:type="dxa"/>
            <w:gridSpan w:val="8"/>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法定代表人</w:t>
            </w:r>
          </w:p>
        </w:tc>
        <w:tc>
          <w:tcPr>
            <w:tcW w:w="1020"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姓名</w:t>
            </w:r>
          </w:p>
        </w:tc>
        <w:tc>
          <w:tcPr>
            <w:tcW w:w="1067" w:type="dxa"/>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技术职称</w:t>
            </w:r>
          </w:p>
        </w:tc>
        <w:tc>
          <w:tcPr>
            <w:tcW w:w="1326"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172" w:type="dxa"/>
            <w:gridSpan w:val="2"/>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电话</w:t>
            </w:r>
          </w:p>
        </w:tc>
        <w:tc>
          <w:tcPr>
            <w:tcW w:w="1067" w:type="dxa"/>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trPr>
        <w:tc>
          <w:tcPr>
            <w:tcW w:w="1725" w:type="dxa"/>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技术负责人</w:t>
            </w:r>
          </w:p>
        </w:tc>
        <w:tc>
          <w:tcPr>
            <w:tcW w:w="1020" w:type="dxa"/>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姓名</w:t>
            </w:r>
          </w:p>
        </w:tc>
        <w:tc>
          <w:tcPr>
            <w:tcW w:w="1067" w:type="dxa"/>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技术职称</w:t>
            </w:r>
          </w:p>
        </w:tc>
        <w:tc>
          <w:tcPr>
            <w:tcW w:w="1326" w:type="dxa"/>
            <w:gridSpan w:val="2"/>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p>
        </w:tc>
        <w:tc>
          <w:tcPr>
            <w:tcW w:w="1172" w:type="dxa"/>
            <w:gridSpan w:val="2"/>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电话</w:t>
            </w:r>
          </w:p>
        </w:tc>
        <w:tc>
          <w:tcPr>
            <w:tcW w:w="1067" w:type="dxa"/>
            <w:tcBorders>
              <w:bottom w:val="single" w:color="auto" w:sz="4" w:space="0"/>
            </w:tcBorders>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725" w:type="dxa"/>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财务负责人</w:t>
            </w:r>
          </w:p>
        </w:tc>
        <w:tc>
          <w:tcPr>
            <w:tcW w:w="1020" w:type="dxa"/>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姓名</w:t>
            </w:r>
          </w:p>
        </w:tc>
        <w:tc>
          <w:tcPr>
            <w:tcW w:w="1067" w:type="dxa"/>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技术职称</w:t>
            </w:r>
          </w:p>
        </w:tc>
        <w:tc>
          <w:tcPr>
            <w:tcW w:w="1326" w:type="dxa"/>
            <w:gridSpan w:val="2"/>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p>
        </w:tc>
        <w:tc>
          <w:tcPr>
            <w:tcW w:w="1172" w:type="dxa"/>
            <w:gridSpan w:val="2"/>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电话</w:t>
            </w:r>
          </w:p>
        </w:tc>
        <w:tc>
          <w:tcPr>
            <w:tcW w:w="1067" w:type="dxa"/>
            <w:tcBorders>
              <w:top w:val="single" w:color="auto" w:sz="4" w:space="0"/>
            </w:tcBorders>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成立时间</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4813" w:type="dxa"/>
            <w:gridSpan w:val="6"/>
            <w:vAlign w:val="center"/>
          </w:tcPr>
          <w:p>
            <w:pPr>
              <w:autoSpaceDE w:val="0"/>
              <w:autoSpaceDN w:val="0"/>
              <w:adjustRightInd w:val="0"/>
              <w:ind w:firstLine="0" w:firstLineChars="0"/>
              <w:rPr>
                <w:rFonts w:ascii="宋体" w:hAnsi="宋体"/>
                <w:color w:val="auto"/>
                <w:kern w:val="0"/>
                <w:szCs w:val="24"/>
                <w:highlight w:val="none"/>
              </w:rPr>
            </w:pPr>
            <w:r>
              <w:rPr>
                <w:rFonts w:hint="eastAsia" w:ascii="宋体" w:hAnsi="宋体"/>
                <w:color w:val="auto"/>
                <w:kern w:val="0"/>
                <w:szCs w:val="24"/>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企业资质等级</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restart"/>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其中</w:t>
            </w: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项目经理</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营业执照号</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高级职称人员</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注册资金</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中级职称人员</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开户银行</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初级职称人员</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账号</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技工</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经营范围</w:t>
            </w:r>
          </w:p>
        </w:tc>
        <w:tc>
          <w:tcPr>
            <w:tcW w:w="6900" w:type="dxa"/>
            <w:gridSpan w:val="8"/>
            <w:vAlign w:val="center"/>
          </w:tcPr>
          <w:p>
            <w:pPr>
              <w:autoSpaceDE w:val="0"/>
              <w:autoSpaceDN w:val="0"/>
              <w:adjustRightInd w:val="0"/>
              <w:ind w:firstLine="0" w:firstLineChars="0"/>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725" w:type="dxa"/>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备注</w:t>
            </w:r>
          </w:p>
        </w:tc>
        <w:tc>
          <w:tcPr>
            <w:tcW w:w="6900" w:type="dxa"/>
            <w:gridSpan w:val="8"/>
          </w:tcPr>
          <w:p>
            <w:pPr>
              <w:autoSpaceDE w:val="0"/>
              <w:autoSpaceDN w:val="0"/>
              <w:adjustRightInd w:val="0"/>
              <w:ind w:firstLine="0" w:firstLineChars="0"/>
              <w:rPr>
                <w:rFonts w:ascii="宋体" w:hAnsi="宋体"/>
                <w:color w:val="auto"/>
                <w:kern w:val="0"/>
                <w:szCs w:val="24"/>
                <w:highlight w:val="none"/>
              </w:rPr>
            </w:pPr>
          </w:p>
        </w:tc>
      </w:tr>
    </w:tbl>
    <w:p>
      <w:pPr>
        <w:adjustRightInd w:val="0"/>
        <w:spacing w:line="400" w:lineRule="exact"/>
        <w:ind w:firstLine="572"/>
        <w:rPr>
          <w:rFonts w:ascii="宋体" w:hAnsi="宋体"/>
          <w:bCs/>
          <w:color w:val="auto"/>
          <w:sz w:val="28"/>
          <w:szCs w:val="28"/>
          <w:highlight w:val="none"/>
        </w:rPr>
      </w:pPr>
    </w:p>
    <w:p>
      <w:pPr>
        <w:pStyle w:val="2"/>
        <w:ind w:firstLine="492"/>
        <w:rPr>
          <w:color w:val="auto"/>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spacing w:line="360" w:lineRule="auto"/>
        <w:ind w:firstLine="492"/>
        <w:rPr>
          <w:color w:val="auto"/>
          <w:szCs w:val="28"/>
          <w:highlight w:val="none"/>
        </w:rPr>
      </w:pPr>
      <w:r>
        <w:rPr>
          <w:rFonts w:hint="eastAsia"/>
          <w:color w:val="auto"/>
          <w:szCs w:val="24"/>
          <w:highlight w:val="none"/>
        </w:rPr>
        <w:t>注：对于投标人不涉及的项，可不填写。</w:t>
      </w:r>
    </w:p>
    <w:p>
      <w:pPr>
        <w:pStyle w:val="2"/>
        <w:ind w:firstLine="492"/>
        <w:rPr>
          <w:color w:val="auto"/>
          <w:highlight w:val="none"/>
        </w:rPr>
      </w:pPr>
    </w:p>
    <w:bookmarkEnd w:id="248"/>
    <w:bookmarkEnd w:id="249"/>
    <w:bookmarkEnd w:id="250"/>
    <w:p>
      <w:pPr>
        <w:pStyle w:val="5"/>
        <w:ind w:firstLine="494"/>
        <w:rPr>
          <w:color w:val="auto"/>
          <w:highlight w:val="none"/>
        </w:rPr>
      </w:pPr>
      <w:bookmarkStart w:id="252" w:name="_Toc17866"/>
      <w:bookmarkStart w:id="253" w:name="_Toc263768877"/>
      <w:bookmarkStart w:id="254" w:name="_Toc302997928"/>
      <w:bookmarkStart w:id="255" w:name="_Toc263753619"/>
      <w:r>
        <w:rPr>
          <w:rFonts w:hint="eastAsia"/>
          <w:color w:val="auto"/>
          <w:highlight w:val="none"/>
        </w:rPr>
        <w:t>商务条款偏离表</w:t>
      </w:r>
      <w:bookmarkEnd w:id="252"/>
    </w:p>
    <w:p>
      <w:pPr>
        <w:ind w:firstLine="494"/>
        <w:rPr>
          <w:rFonts w:ascii="宋体" w:hAnsi="宋体"/>
          <w:b/>
          <w:color w:val="auto"/>
          <w:szCs w:val="24"/>
          <w:highlight w:val="non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成都市龙泉驿区城市绿地建设管理中心龙泉驿区道路景观绿化管护服务采购项目</w:t>
      </w:r>
    </w:p>
    <w:p>
      <w:pPr>
        <w:pStyle w:val="14"/>
        <w:tabs>
          <w:tab w:val="left" w:pos="7560"/>
        </w:tabs>
        <w:spacing w:after="0" w:line="360" w:lineRule="auto"/>
        <w:ind w:firstLine="494"/>
        <w:rPr>
          <w:rFonts w:hint="eastAsia" w:ascii="宋体" w:hAnsi="宋体" w:eastAsia="宋体"/>
          <w:b/>
          <w:color w:val="auto"/>
          <w:szCs w:val="24"/>
          <w:highlight w:val="none"/>
          <w:u w:val="single"/>
          <w:lang w:eastAsia="zh-CN"/>
        </w:rPr>
      </w:pPr>
      <w:r>
        <w:rPr>
          <w:rFonts w:hint="eastAsia" w:ascii="宋体" w:hAnsi="宋体"/>
          <w:b/>
          <w:color w:val="auto"/>
          <w:szCs w:val="24"/>
          <w:highlight w:val="none"/>
        </w:rPr>
        <w:t>招标编号：</w:t>
      </w:r>
      <w:r>
        <w:rPr>
          <w:rFonts w:hint="eastAsia" w:ascii="宋体" w:hAnsi="宋体"/>
          <w:b/>
          <w:color w:val="auto"/>
          <w:szCs w:val="24"/>
          <w:highlight w:val="none"/>
          <w:u w:val="single"/>
          <w:lang w:eastAsia="zh-CN"/>
        </w:rPr>
        <w:t>510112202100105</w:t>
      </w:r>
    </w:p>
    <w:p>
      <w:pPr>
        <w:pStyle w:val="14"/>
        <w:tabs>
          <w:tab w:val="left" w:pos="7560"/>
        </w:tabs>
        <w:spacing w:after="0" w:line="360" w:lineRule="auto"/>
        <w:ind w:firstLine="494"/>
        <w:rPr>
          <w:rFonts w:ascii="宋体" w:hAnsi="宋体"/>
          <w:b/>
          <w:color w:val="auto"/>
          <w:szCs w:val="24"/>
          <w:highlight w:val="none"/>
          <w:u w:val="singl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tbl>
      <w:tblPr>
        <w:tblStyle w:val="43"/>
        <w:tblW w:w="86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2589"/>
        <w:gridCol w:w="2514"/>
        <w:gridCol w:w="1276"/>
      </w:tblGrid>
      <w:tr>
        <w:tblPrEx>
          <w:tblCellMar>
            <w:top w:w="0" w:type="dxa"/>
            <w:left w:w="108" w:type="dxa"/>
            <w:bottom w:w="0" w:type="dxa"/>
            <w:right w:w="108" w:type="dxa"/>
          </w:tblCellMar>
        </w:tblPrEx>
        <w:trPr>
          <w:trHeight w:val="1182" w:hRule="exact"/>
          <w:jc w:val="center"/>
        </w:trPr>
        <w:tc>
          <w:tcPr>
            <w:tcW w:w="993" w:type="dxa"/>
            <w:tcBorders>
              <w:top w:val="single" w:color="auto" w:sz="8" w:space="0"/>
              <w:left w:val="single" w:color="auto" w:sz="8"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b/>
                <w:color w:val="auto"/>
                <w:szCs w:val="24"/>
                <w:highlight w:val="none"/>
              </w:rPr>
              <w:t xml:space="preserve"> </w:t>
            </w:r>
            <w:r>
              <w:rPr>
                <w:rFonts w:hint="eastAsia" w:ascii="宋体" w:hAnsi="宋体"/>
                <w:color w:val="auto"/>
                <w:szCs w:val="24"/>
                <w:highlight w:val="none"/>
              </w:rPr>
              <w:t>序号</w:t>
            </w:r>
          </w:p>
        </w:tc>
        <w:tc>
          <w:tcPr>
            <w:tcW w:w="1275"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招标文件条目号</w:t>
            </w:r>
          </w:p>
        </w:tc>
        <w:tc>
          <w:tcPr>
            <w:tcW w:w="2589"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招标文件的商务条款</w:t>
            </w:r>
          </w:p>
        </w:tc>
        <w:tc>
          <w:tcPr>
            <w:tcW w:w="2514"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投标文件的商务条款</w:t>
            </w:r>
          </w:p>
        </w:tc>
        <w:tc>
          <w:tcPr>
            <w:tcW w:w="1276" w:type="dxa"/>
            <w:tcBorders>
              <w:top w:val="single" w:color="auto" w:sz="8" w:space="0"/>
              <w:left w:val="single" w:color="auto" w:sz="4" w:space="0"/>
              <w:bottom w:val="single" w:color="auto" w:sz="4" w:space="0"/>
              <w:right w:val="single" w:color="auto" w:sz="8"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bl>
    <w:p>
      <w:pPr>
        <w:pStyle w:val="2"/>
        <w:ind w:firstLine="492"/>
        <w:rPr>
          <w:color w:val="auto"/>
          <w:highlight w:val="none"/>
        </w:rPr>
      </w:pPr>
    </w:p>
    <w:p>
      <w:pPr>
        <w:pStyle w:val="2"/>
        <w:widowControl/>
        <w:spacing w:line="360" w:lineRule="auto"/>
        <w:ind w:firstLine="492"/>
        <w:rPr>
          <w:rFonts w:ascii="宋体" w:hAnsi="宋体"/>
          <w:color w:val="auto"/>
          <w:szCs w:val="24"/>
          <w:highlight w:val="none"/>
        </w:rPr>
      </w:pPr>
      <w:r>
        <w:rPr>
          <w:rFonts w:hint="eastAsia" w:ascii="宋体" w:hAnsi="宋体"/>
          <w:color w:val="auto"/>
          <w:szCs w:val="18"/>
          <w:highlight w:val="none"/>
        </w:rPr>
        <w:t xml:space="preserve"> </w:t>
      </w:r>
      <w:r>
        <w:rPr>
          <w:rFonts w:hint="eastAsia" w:ascii="宋体" w:hAnsi="宋体"/>
          <w:color w:val="auto"/>
          <w:szCs w:val="24"/>
          <w:highlight w:val="none"/>
        </w:rPr>
        <w:t>说明：1、本表只填写投标文件中与招标文件有偏离（包括正偏离和负偏离）的内容，投标文件中商务条款响应与招标文件要求完全一致的，可以不用在此表中列出。</w:t>
      </w:r>
    </w:p>
    <w:p>
      <w:pPr>
        <w:pStyle w:val="2"/>
        <w:widowControl/>
        <w:spacing w:line="360" w:lineRule="auto"/>
        <w:ind w:firstLine="492"/>
        <w:rPr>
          <w:rFonts w:ascii="宋体" w:hAnsi="宋体"/>
          <w:color w:val="auto"/>
          <w:szCs w:val="24"/>
          <w:highlight w:val="none"/>
        </w:rPr>
      </w:pPr>
      <w:r>
        <w:rPr>
          <w:rFonts w:hint="eastAsia" w:ascii="宋体" w:hAnsi="宋体"/>
          <w:color w:val="auto"/>
          <w:szCs w:val="24"/>
          <w:highlight w:val="none"/>
        </w:rPr>
        <w:t>2、投标人不得虚假填写，否则一切责任由投标人承担。</w:t>
      </w:r>
    </w:p>
    <w:p>
      <w:pPr>
        <w:ind w:firstLine="492"/>
        <w:rPr>
          <w:rFonts w:ascii="宋体" w:hAnsi="宋体"/>
          <w:color w:val="auto"/>
          <w:szCs w:val="24"/>
          <w:highlight w:val="none"/>
        </w:rPr>
      </w:pPr>
      <w:r>
        <w:rPr>
          <w:rFonts w:hint="eastAsia" w:ascii="宋体" w:hAnsi="宋体"/>
          <w:color w:val="auto"/>
          <w:szCs w:val="24"/>
          <w:highlight w:val="none"/>
        </w:rPr>
        <w:t>3、招标文件中加“★”条款为符合性审查项，其偏离不列入本表中。</w:t>
      </w:r>
    </w:p>
    <w:p>
      <w:pPr>
        <w:pStyle w:val="2"/>
        <w:spacing w:line="360" w:lineRule="auto"/>
        <w:ind w:firstLine="492"/>
        <w:rPr>
          <w:color w:val="auto"/>
          <w:szCs w:val="24"/>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5"/>
        <w:ind w:firstLine="494"/>
        <w:rPr>
          <w:color w:val="auto"/>
          <w:highlight w:val="none"/>
        </w:rPr>
      </w:pPr>
      <w:bookmarkStart w:id="256" w:name="_Toc4083"/>
      <w:r>
        <w:rPr>
          <w:rFonts w:hint="eastAsia"/>
          <w:color w:val="auto"/>
          <w:highlight w:val="none"/>
          <w:lang w:val="en-US" w:eastAsia="zh-CN"/>
        </w:rPr>
        <w:t>技术</w:t>
      </w:r>
      <w:r>
        <w:rPr>
          <w:rFonts w:hint="eastAsia"/>
          <w:color w:val="auto"/>
          <w:highlight w:val="none"/>
        </w:rPr>
        <w:t>条款偏离表</w:t>
      </w:r>
      <w:bookmarkEnd w:id="256"/>
    </w:p>
    <w:p>
      <w:pPr>
        <w:snapToGrid w:val="0"/>
        <w:spacing w:line="500" w:lineRule="exact"/>
        <w:ind w:right="-727" w:rightChars="-297" w:firstLine="494"/>
        <w:rPr>
          <w:rFonts w:ascii="宋体" w:hAnsi="宋体"/>
          <w:b/>
          <w:color w:val="auto"/>
          <w:szCs w:val="24"/>
          <w:highlight w:val="non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成都市龙泉驿区城市绿地建设管理中心龙泉驿区道路景观绿化管护服务采购项目</w:t>
      </w:r>
    </w:p>
    <w:p>
      <w:pPr>
        <w:pStyle w:val="14"/>
        <w:tabs>
          <w:tab w:val="left" w:pos="7560"/>
        </w:tabs>
        <w:spacing w:after="0" w:line="500" w:lineRule="exact"/>
        <w:ind w:firstLine="494"/>
        <w:rPr>
          <w:rFonts w:hint="eastAsia" w:ascii="宋体" w:hAnsi="宋体" w:eastAsia="宋体"/>
          <w:b/>
          <w:color w:val="auto"/>
          <w:szCs w:val="24"/>
          <w:highlight w:val="none"/>
          <w:u w:val="single"/>
          <w:lang w:eastAsia="zh-CN"/>
        </w:rPr>
      </w:pPr>
      <w:r>
        <w:rPr>
          <w:rFonts w:hint="eastAsia" w:ascii="宋体" w:hAnsi="宋体"/>
          <w:b/>
          <w:color w:val="auto"/>
          <w:szCs w:val="24"/>
          <w:highlight w:val="none"/>
        </w:rPr>
        <w:t>招标编号：</w:t>
      </w:r>
      <w:r>
        <w:rPr>
          <w:rFonts w:hint="eastAsia" w:ascii="宋体" w:hAnsi="宋体"/>
          <w:b/>
          <w:color w:val="auto"/>
          <w:szCs w:val="24"/>
          <w:highlight w:val="none"/>
          <w:u w:val="single"/>
          <w:lang w:eastAsia="zh-CN"/>
        </w:rPr>
        <w:t>510112202100105</w:t>
      </w:r>
    </w:p>
    <w:p>
      <w:pPr>
        <w:pStyle w:val="14"/>
        <w:tabs>
          <w:tab w:val="left" w:pos="7560"/>
        </w:tabs>
        <w:spacing w:after="0" w:line="500" w:lineRule="exact"/>
        <w:ind w:firstLine="494"/>
        <w:rPr>
          <w:rFonts w:ascii="宋体" w:hAnsi="宋体"/>
          <w:b/>
          <w:color w:val="auto"/>
          <w:szCs w:val="24"/>
          <w:highlight w:val="none"/>
          <w:u w:val="singl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p>
      <w:pPr>
        <w:pStyle w:val="2"/>
        <w:ind w:firstLine="492"/>
        <w:rPr>
          <w:color w:val="auto"/>
          <w:highlight w:val="none"/>
        </w:rPr>
      </w:pPr>
    </w:p>
    <w:tbl>
      <w:tblPr>
        <w:tblStyle w:val="43"/>
        <w:tblW w:w="86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589"/>
        <w:gridCol w:w="2552"/>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51" w:type="dxa"/>
            <w:tcBorders>
              <w:top w:val="single" w:color="auto" w:sz="8" w:space="0"/>
              <w:left w:val="single" w:color="auto" w:sz="8"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1276"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招标文件条目号</w:t>
            </w:r>
          </w:p>
        </w:tc>
        <w:tc>
          <w:tcPr>
            <w:tcW w:w="2589"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招标文件的</w:t>
            </w:r>
            <w:r>
              <w:rPr>
                <w:rFonts w:hint="eastAsia"/>
                <w:color w:val="auto"/>
                <w:highlight w:val="none"/>
                <w:lang w:val="en-US" w:eastAsia="zh-CN"/>
              </w:rPr>
              <w:t>技术</w:t>
            </w:r>
            <w:r>
              <w:rPr>
                <w:rFonts w:hint="eastAsia" w:ascii="宋体" w:hAnsi="宋体"/>
                <w:color w:val="auto"/>
                <w:szCs w:val="24"/>
                <w:highlight w:val="none"/>
              </w:rPr>
              <w:t>条款</w:t>
            </w:r>
          </w:p>
        </w:tc>
        <w:tc>
          <w:tcPr>
            <w:tcW w:w="2552"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投标文件的</w:t>
            </w:r>
            <w:r>
              <w:rPr>
                <w:rFonts w:hint="eastAsia"/>
                <w:color w:val="auto"/>
                <w:highlight w:val="none"/>
                <w:lang w:val="en-US" w:eastAsia="zh-CN"/>
              </w:rPr>
              <w:t>技术</w:t>
            </w:r>
            <w:r>
              <w:rPr>
                <w:rFonts w:hint="eastAsia" w:ascii="宋体" w:hAnsi="宋体"/>
                <w:color w:val="auto"/>
                <w:szCs w:val="24"/>
                <w:highlight w:val="none"/>
              </w:rPr>
              <w:t>条款</w:t>
            </w:r>
          </w:p>
        </w:tc>
        <w:tc>
          <w:tcPr>
            <w:tcW w:w="1379" w:type="dxa"/>
            <w:tcBorders>
              <w:top w:val="single" w:color="auto" w:sz="8" w:space="0"/>
              <w:left w:val="single" w:color="auto" w:sz="4" w:space="0"/>
              <w:bottom w:val="single" w:color="auto" w:sz="4" w:space="0"/>
              <w:right w:val="single" w:color="auto" w:sz="8"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是否偏离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851" w:type="dxa"/>
            <w:tcBorders>
              <w:top w:val="single" w:color="auto" w:sz="4" w:space="0"/>
              <w:left w:val="single" w:color="auto" w:sz="8" w:space="0"/>
              <w:bottom w:val="single" w:color="auto" w:sz="8"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8"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8"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8"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8" w:space="0"/>
              <w:right w:val="single" w:color="auto" w:sz="8" w:space="0"/>
            </w:tcBorders>
          </w:tcPr>
          <w:p>
            <w:pPr>
              <w:ind w:firstLine="0" w:firstLineChars="0"/>
              <w:rPr>
                <w:rFonts w:ascii="宋体" w:hAnsi="宋体"/>
                <w:color w:val="auto"/>
                <w:szCs w:val="24"/>
                <w:highlight w:val="none"/>
              </w:rPr>
            </w:pPr>
          </w:p>
        </w:tc>
      </w:tr>
    </w:tbl>
    <w:p>
      <w:pPr>
        <w:pStyle w:val="2"/>
        <w:widowControl/>
        <w:spacing w:line="40" w:lineRule="atLeast"/>
        <w:ind w:firstLine="492"/>
        <w:rPr>
          <w:rFonts w:ascii="宋体" w:hAnsi="宋体"/>
          <w:color w:val="auto"/>
          <w:szCs w:val="18"/>
          <w:highlight w:val="none"/>
        </w:rPr>
      </w:pPr>
      <w:r>
        <w:rPr>
          <w:rFonts w:hint="eastAsia" w:ascii="宋体" w:hAnsi="宋体"/>
          <w:color w:val="auto"/>
          <w:szCs w:val="18"/>
          <w:highlight w:val="none"/>
        </w:rPr>
        <w:t xml:space="preserve"> 说明：1、本表只填写投标文件中与招标文件有偏离（包括正偏离和负偏离）的内容，投标文件中</w:t>
      </w:r>
      <w:r>
        <w:rPr>
          <w:rFonts w:hint="eastAsia"/>
          <w:color w:val="auto"/>
          <w:highlight w:val="none"/>
          <w:lang w:val="en-US" w:eastAsia="zh-CN"/>
        </w:rPr>
        <w:t>技术</w:t>
      </w:r>
      <w:r>
        <w:rPr>
          <w:rFonts w:hint="eastAsia" w:ascii="宋体" w:hAnsi="宋体"/>
          <w:color w:val="auto"/>
          <w:szCs w:val="18"/>
          <w:highlight w:val="none"/>
        </w:rPr>
        <w:t>条款响应与招标文件要求完全一致的，可以不用在此表中列出。</w:t>
      </w:r>
    </w:p>
    <w:p>
      <w:pPr>
        <w:pStyle w:val="2"/>
        <w:widowControl/>
        <w:spacing w:line="40" w:lineRule="atLeast"/>
        <w:ind w:firstLine="980" w:firstLineChars="400"/>
        <w:rPr>
          <w:rFonts w:ascii="宋体" w:hAnsi="宋体"/>
          <w:color w:val="auto"/>
          <w:szCs w:val="18"/>
          <w:highlight w:val="none"/>
        </w:rPr>
      </w:pPr>
      <w:r>
        <w:rPr>
          <w:rFonts w:hint="eastAsia" w:ascii="宋体" w:hAnsi="宋体"/>
          <w:color w:val="auto"/>
          <w:szCs w:val="18"/>
          <w:highlight w:val="none"/>
        </w:rPr>
        <w:t>2、投标人不得虚假填写，否则一切责任由投标人承担。</w:t>
      </w:r>
    </w:p>
    <w:p>
      <w:pPr>
        <w:spacing w:line="400" w:lineRule="exact"/>
        <w:ind w:firstLine="980" w:firstLineChars="400"/>
        <w:rPr>
          <w:rFonts w:ascii="宋体" w:hAnsi="宋体"/>
          <w:color w:val="auto"/>
          <w:szCs w:val="18"/>
          <w:highlight w:val="none"/>
        </w:rPr>
      </w:pPr>
      <w:r>
        <w:rPr>
          <w:rFonts w:hint="eastAsia" w:ascii="宋体" w:hAnsi="宋体"/>
          <w:color w:val="auto"/>
          <w:szCs w:val="18"/>
          <w:highlight w:val="none"/>
        </w:rPr>
        <w:t>3、招标文件中加“★”条款为符合性审查项，其偏离不列入本表中。</w:t>
      </w:r>
    </w:p>
    <w:p>
      <w:pPr>
        <w:pStyle w:val="2"/>
        <w:ind w:firstLine="492"/>
        <w:rPr>
          <w:color w:val="auto"/>
          <w:highlight w:val="none"/>
        </w:rPr>
      </w:pPr>
    </w:p>
    <w:p>
      <w:pPr>
        <w:pStyle w:val="2"/>
        <w:ind w:firstLine="492"/>
        <w:rPr>
          <w:color w:val="auto"/>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ind w:firstLine="492"/>
        <w:rPr>
          <w:color w:val="auto"/>
          <w:highlight w:val="none"/>
        </w:rPr>
      </w:pPr>
    </w:p>
    <w:p>
      <w:pPr>
        <w:pStyle w:val="2"/>
        <w:ind w:firstLine="492"/>
        <w:rPr>
          <w:color w:val="auto"/>
          <w:highlight w:val="none"/>
        </w:rPr>
      </w:pPr>
    </w:p>
    <w:p>
      <w:pPr>
        <w:pStyle w:val="5"/>
        <w:ind w:firstLine="494"/>
        <w:rPr>
          <w:color w:val="auto"/>
          <w:highlight w:val="none"/>
        </w:rPr>
      </w:pPr>
      <w:bookmarkStart w:id="257" w:name="_Toc24188"/>
      <w:r>
        <w:rPr>
          <w:rFonts w:hint="eastAsia"/>
          <w:color w:val="auto"/>
          <w:highlight w:val="none"/>
        </w:rPr>
        <w:t>业绩一览表</w:t>
      </w:r>
      <w:bookmarkEnd w:id="257"/>
    </w:p>
    <w:p>
      <w:pPr>
        <w:snapToGrid w:val="0"/>
        <w:ind w:firstLine="494"/>
        <w:rPr>
          <w:rFonts w:ascii="宋体" w:hAnsi="宋体"/>
          <w:b/>
          <w:color w:val="auto"/>
          <w:szCs w:val="24"/>
          <w:highlight w:val="non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成都市龙泉驿区城市绿地建设管理中心龙泉驿区道路景观绿化管护服务采购项目</w:t>
      </w:r>
    </w:p>
    <w:p>
      <w:pPr>
        <w:pStyle w:val="14"/>
        <w:tabs>
          <w:tab w:val="left" w:pos="7560"/>
        </w:tabs>
        <w:spacing w:after="0" w:line="360" w:lineRule="auto"/>
        <w:ind w:firstLine="494"/>
        <w:rPr>
          <w:rFonts w:hint="eastAsia" w:eastAsia="宋体"/>
          <w:color w:val="auto"/>
          <w:szCs w:val="24"/>
          <w:highlight w:val="none"/>
          <w:lang w:eastAsia="zh-CN"/>
        </w:rPr>
      </w:pPr>
      <w:r>
        <w:rPr>
          <w:rFonts w:hint="eastAsia" w:ascii="宋体" w:hAnsi="宋体"/>
          <w:b/>
          <w:color w:val="auto"/>
          <w:szCs w:val="24"/>
          <w:highlight w:val="none"/>
        </w:rPr>
        <w:t>招标编号：</w:t>
      </w:r>
      <w:r>
        <w:rPr>
          <w:rFonts w:hint="eastAsia" w:ascii="宋体" w:hAnsi="宋体"/>
          <w:b/>
          <w:color w:val="auto"/>
          <w:szCs w:val="24"/>
          <w:highlight w:val="none"/>
          <w:u w:val="single"/>
          <w:lang w:eastAsia="zh-CN"/>
        </w:rPr>
        <w:t>510112202100105</w:t>
      </w:r>
    </w:p>
    <w:p>
      <w:pPr>
        <w:ind w:firstLine="494"/>
        <w:rPr>
          <w:color w:val="auto"/>
          <w:szCs w:val="24"/>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tbl>
      <w:tblPr>
        <w:tblStyle w:val="43"/>
        <w:tblW w:w="84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7"/>
        <w:gridCol w:w="1802"/>
        <w:gridCol w:w="2075"/>
        <w:gridCol w:w="1352"/>
        <w:gridCol w:w="1352"/>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tcBorders>
              <w:top w:val="single" w:color="auto" w:sz="4" w:space="0"/>
            </w:tcBorders>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年份</w:t>
            </w:r>
          </w:p>
        </w:tc>
        <w:tc>
          <w:tcPr>
            <w:tcW w:w="1802" w:type="dxa"/>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用户名称</w:t>
            </w:r>
          </w:p>
        </w:tc>
        <w:tc>
          <w:tcPr>
            <w:tcW w:w="2075" w:type="dxa"/>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项目名称</w:t>
            </w:r>
          </w:p>
        </w:tc>
        <w:tc>
          <w:tcPr>
            <w:tcW w:w="1352" w:type="dxa"/>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完成时间</w:t>
            </w:r>
          </w:p>
        </w:tc>
        <w:tc>
          <w:tcPr>
            <w:tcW w:w="1352" w:type="dxa"/>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合同金额</w:t>
            </w:r>
          </w:p>
        </w:tc>
        <w:tc>
          <w:tcPr>
            <w:tcW w:w="1284" w:type="dxa"/>
            <w:tcBorders>
              <w:left w:val="single" w:color="auto" w:sz="4" w:space="0"/>
            </w:tcBorders>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tcBorders>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tcBorders>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802"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617"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802"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17"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80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15" w:hRule="atLeast"/>
          <w:jc w:val="center"/>
        </w:trPr>
        <w:tc>
          <w:tcPr>
            <w:tcW w:w="617"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80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bl>
    <w:p>
      <w:pPr>
        <w:pStyle w:val="2"/>
        <w:spacing w:line="360" w:lineRule="auto"/>
        <w:ind w:firstLine="492"/>
        <w:rPr>
          <w:color w:val="auto"/>
          <w:szCs w:val="24"/>
          <w:highlight w:val="none"/>
        </w:rPr>
      </w:pPr>
      <w:bookmarkStart w:id="258" w:name="_Toc4615"/>
      <w:bookmarkStart w:id="259" w:name="_Toc12974"/>
      <w:bookmarkStart w:id="260" w:name="_Toc858"/>
      <w:bookmarkStart w:id="261" w:name="_Toc30185"/>
      <w:bookmarkStart w:id="262" w:name="_Toc3145"/>
      <w:r>
        <w:rPr>
          <w:rFonts w:hint="eastAsia" w:ascii="宋体" w:hAnsi="宋体" w:cs="宋体"/>
          <w:color w:val="auto"/>
          <w:szCs w:val="24"/>
          <w:highlight w:val="none"/>
        </w:rPr>
        <w:t>说明：以上业绩仅限投标人自己实施的。</w:t>
      </w:r>
      <w:bookmarkEnd w:id="258"/>
      <w:bookmarkEnd w:id="259"/>
      <w:bookmarkEnd w:id="260"/>
      <w:bookmarkEnd w:id="261"/>
      <w:bookmarkEnd w:id="262"/>
      <w:r>
        <w:rPr>
          <w:rFonts w:hint="eastAsia"/>
          <w:color w:val="auto"/>
          <w:szCs w:val="24"/>
          <w:highlight w:val="none"/>
        </w:rPr>
        <w:t>对于投标人不涉及的项，可不填写，如无业绩，可不提供本页内容。</w:t>
      </w:r>
    </w:p>
    <w:p>
      <w:pPr>
        <w:ind w:firstLine="492"/>
        <w:rPr>
          <w:color w:val="auto"/>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color w:val="auto"/>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bookmarkEnd w:id="253"/>
    <w:bookmarkEnd w:id="254"/>
    <w:bookmarkEnd w:id="255"/>
    <w:p>
      <w:pPr>
        <w:pStyle w:val="5"/>
        <w:ind w:firstLine="494"/>
        <w:rPr>
          <w:color w:val="auto"/>
          <w:highlight w:val="none"/>
        </w:rPr>
      </w:pPr>
      <w:r>
        <w:rPr>
          <w:rFonts w:hint="eastAsia"/>
          <w:color w:val="auto"/>
          <w:highlight w:val="none"/>
        </w:rPr>
        <w:t>服务方案</w:t>
      </w:r>
    </w:p>
    <w:p>
      <w:pPr>
        <w:snapToGrid w:val="0"/>
        <w:ind w:firstLine="494"/>
        <w:rPr>
          <w:rFonts w:ascii="宋体" w:hAnsi="宋体"/>
          <w:b/>
          <w:color w:val="auto"/>
          <w:szCs w:val="24"/>
          <w:highlight w:val="non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成都市龙泉驿区城市绿地建设管理中心龙泉驿区道路景观绿化管护服务采购项目</w:t>
      </w:r>
    </w:p>
    <w:p>
      <w:pPr>
        <w:pStyle w:val="14"/>
        <w:tabs>
          <w:tab w:val="left" w:pos="7560"/>
        </w:tabs>
        <w:spacing w:after="0" w:line="360" w:lineRule="auto"/>
        <w:ind w:firstLine="494"/>
        <w:rPr>
          <w:rFonts w:hint="eastAsia" w:ascii="宋体" w:hAnsi="宋体" w:eastAsia="宋体"/>
          <w:b/>
          <w:color w:val="auto"/>
          <w:szCs w:val="24"/>
          <w:highlight w:val="none"/>
          <w:u w:val="single"/>
          <w:lang w:eastAsia="zh-CN"/>
        </w:rPr>
      </w:pPr>
      <w:r>
        <w:rPr>
          <w:rFonts w:hint="eastAsia" w:ascii="宋体" w:hAnsi="宋体"/>
          <w:b/>
          <w:color w:val="auto"/>
          <w:szCs w:val="24"/>
          <w:highlight w:val="none"/>
        </w:rPr>
        <w:t>招标编号：</w:t>
      </w:r>
      <w:r>
        <w:rPr>
          <w:rFonts w:hint="eastAsia" w:ascii="宋体" w:hAnsi="宋体"/>
          <w:b/>
          <w:color w:val="auto"/>
          <w:szCs w:val="24"/>
          <w:highlight w:val="none"/>
          <w:u w:val="single"/>
          <w:lang w:eastAsia="zh-CN"/>
        </w:rPr>
        <w:t>510112202100105</w:t>
      </w:r>
    </w:p>
    <w:p>
      <w:pPr>
        <w:pStyle w:val="2"/>
        <w:spacing w:line="360" w:lineRule="auto"/>
        <w:ind w:firstLine="494"/>
        <w:rPr>
          <w:color w:val="auto"/>
          <w:szCs w:val="24"/>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b/>
          <w:color w:val="auto"/>
          <w:szCs w:val="24"/>
          <w:highlight w:val="none"/>
          <w:u w:val="single"/>
        </w:rPr>
        <w:t xml:space="preserve">       </w:t>
      </w:r>
    </w:p>
    <w:p>
      <w:pPr>
        <w:pStyle w:val="14"/>
        <w:tabs>
          <w:tab w:val="left" w:pos="7560"/>
        </w:tabs>
        <w:spacing w:after="0" w:line="360" w:lineRule="auto"/>
        <w:ind w:firstLine="494"/>
        <w:rPr>
          <w:rFonts w:ascii="宋体" w:hAnsi="宋体"/>
          <w:b/>
          <w:color w:val="auto"/>
          <w:szCs w:val="24"/>
          <w:highlight w:val="none"/>
        </w:rPr>
      </w:pPr>
    </w:p>
    <w:bookmarkEnd w:id="251"/>
    <w:p>
      <w:pPr>
        <w:ind w:firstLine="492"/>
        <w:rPr>
          <w:rFonts w:ascii="宋体" w:hAnsi="宋体"/>
          <w:bCs/>
          <w:color w:val="auto"/>
          <w:szCs w:val="24"/>
          <w:highlight w:val="none"/>
        </w:rPr>
      </w:pPr>
      <w:bookmarkStart w:id="263" w:name="_Toc316475719"/>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ind w:firstLine="492"/>
        <w:rPr>
          <w:rFonts w:ascii="宋体" w:hAnsi="宋体"/>
          <w:bCs/>
          <w:color w:val="auto"/>
          <w:szCs w:val="24"/>
          <w:highlight w:val="none"/>
        </w:rPr>
      </w:pPr>
    </w:p>
    <w:p>
      <w:pPr>
        <w:pStyle w:val="2"/>
        <w:spacing w:line="360" w:lineRule="auto"/>
        <w:ind w:firstLine="492"/>
        <w:rPr>
          <w:color w:val="auto"/>
          <w:szCs w:val="24"/>
          <w:highlight w:val="none"/>
        </w:rPr>
      </w:pPr>
    </w:p>
    <w:bookmarkEnd w:id="263"/>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5"/>
        <w:ind w:firstLine="494"/>
        <w:rPr>
          <w:color w:val="auto"/>
          <w:highlight w:val="none"/>
        </w:rPr>
      </w:pPr>
      <w:r>
        <w:rPr>
          <w:rFonts w:hint="eastAsia"/>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 号）的规定，本公司（联合体）参加（单位名称）的（项目名称）采购活动，工 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1. </w:t>
      </w:r>
      <w:r>
        <w:rPr>
          <w:rFonts w:hint="eastAsia" w:ascii="宋体" w:hAnsi="宋体" w:eastAsia="宋体" w:cs="宋体"/>
          <w:i w:val="0"/>
          <w:iCs w:val="0"/>
          <w:color w:val="auto"/>
          <w:kern w:val="0"/>
          <w:sz w:val="24"/>
          <w:szCs w:val="24"/>
          <w:highlight w:val="none"/>
          <w:u w:val="single"/>
          <w:lang w:val="en-US" w:eastAsia="zh-CN" w:bidi="ar"/>
        </w:rPr>
        <w:t xml:space="preserve">         （标的名称）</w:t>
      </w:r>
      <w:r>
        <w:rPr>
          <w:rFonts w:hint="eastAsia" w:ascii="宋体" w:hAnsi="宋体" w:eastAsia="宋体" w:cs="宋体"/>
          <w:i w:val="0"/>
          <w:iCs w:val="0"/>
          <w:color w:val="auto"/>
          <w:kern w:val="0"/>
          <w:sz w:val="24"/>
          <w:szCs w:val="24"/>
          <w:highlight w:val="none"/>
          <w:lang w:val="en-US" w:eastAsia="zh-CN" w:bidi="ar"/>
        </w:rPr>
        <w:t xml:space="preserve"> ，属于</w:t>
      </w:r>
      <w:r>
        <w:rPr>
          <w:rFonts w:hint="eastAsia" w:ascii="宋体" w:hAnsi="宋体" w:eastAsia="宋体" w:cs="宋体"/>
          <w:i w:val="0"/>
          <w:iCs w:val="0"/>
          <w:color w:val="auto"/>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 xml:space="preserve">         （企业名称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2. </w:t>
      </w:r>
      <w:r>
        <w:rPr>
          <w:rFonts w:hint="eastAsia" w:ascii="宋体" w:hAnsi="宋体" w:eastAsia="宋体" w:cs="宋体"/>
          <w:i w:val="0"/>
          <w:iCs w:val="0"/>
          <w:color w:val="auto"/>
          <w:kern w:val="0"/>
          <w:sz w:val="24"/>
          <w:szCs w:val="24"/>
          <w:highlight w:val="none"/>
          <w:u w:val="single"/>
          <w:lang w:val="en-US" w:eastAsia="zh-CN" w:bidi="ar"/>
        </w:rPr>
        <w:t xml:space="preserve">         （标的名称）</w:t>
      </w:r>
      <w:r>
        <w:rPr>
          <w:rFonts w:hint="eastAsia" w:ascii="宋体" w:hAnsi="宋体" w:eastAsia="宋体" w:cs="宋体"/>
          <w:i w:val="0"/>
          <w:iCs w:val="0"/>
          <w:color w:val="auto"/>
          <w:kern w:val="0"/>
          <w:sz w:val="24"/>
          <w:szCs w:val="24"/>
          <w:highlight w:val="none"/>
          <w:lang w:val="en-US" w:eastAsia="zh-CN" w:bidi="ar"/>
        </w:rPr>
        <w:t xml:space="preserve"> ，属于</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（采购文件中明确的所属行业）；承建（承接）企业为</w:t>
      </w:r>
      <w:r>
        <w:rPr>
          <w:rFonts w:hint="eastAsia" w:ascii="宋体" w:hAnsi="宋体" w:eastAsia="宋体" w:cs="宋体"/>
          <w:i w:val="0"/>
          <w:iCs w:val="0"/>
          <w:color w:val="auto"/>
          <w:kern w:val="0"/>
          <w:sz w:val="24"/>
          <w:szCs w:val="24"/>
          <w:highlight w:val="none"/>
          <w:u w:val="single"/>
          <w:lang w:val="en-US" w:eastAsia="zh-CN" w:bidi="ar"/>
        </w:rPr>
        <w:t xml:space="preserve">         （企业名称）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人</w:t>
      </w:r>
      <w:r>
        <w:rPr>
          <w:rFonts w:hint="eastAsia" w:ascii="宋体" w:hAnsi="宋体" w:eastAsia="宋体" w:cs="宋体"/>
          <w:i w:val="0"/>
          <w:iCs w:val="0"/>
          <w:color w:val="auto"/>
          <w:kern w:val="0"/>
          <w:sz w:val="24"/>
          <w:szCs w:val="24"/>
          <w:highlight w:val="none"/>
          <w:lang w:val="en-US" w:eastAsia="zh-CN" w:bidi="ar"/>
        </w:rPr>
        <w:t>，营业收入为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万元</w:t>
      </w:r>
      <w:r>
        <w:rPr>
          <w:rFonts w:hint="eastAsia" w:ascii="宋体" w:hAnsi="宋体" w:eastAsia="宋体" w:cs="宋体"/>
          <w:i w:val="0"/>
          <w:iCs w:val="0"/>
          <w:color w:val="auto"/>
          <w:kern w:val="0"/>
          <w:sz w:val="24"/>
          <w:szCs w:val="24"/>
          <w:highlight w:val="none"/>
          <w:lang w:val="en-US" w:eastAsia="zh-CN" w:bidi="ar"/>
        </w:rPr>
        <w:t>，资产总额为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5" w:firstLineChars="15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ascii="宋体" w:hAnsi="宋体" w:cs="宋体"/>
          <w:b/>
          <w:bCs/>
          <w:color w:val="auto"/>
          <w:highlight w:val="none"/>
        </w:rPr>
      </w:pPr>
      <w:r>
        <w:rPr>
          <w:rFonts w:hint="eastAsia" w:ascii="宋体" w:hAnsi="宋体" w:cs="宋体"/>
          <w:b/>
          <w:bCs/>
          <w:color w:val="auto"/>
          <w:spacing w:val="6"/>
          <w:highlight w:val="none"/>
        </w:rPr>
        <w:t xml:space="preserve">说明： </w:t>
      </w:r>
      <w:r>
        <w:rPr>
          <w:rFonts w:hint="eastAsia" w:ascii="宋体" w:hAnsi="宋体" w:cs="宋体"/>
          <w:b/>
          <w:bCs/>
          <w:color w:val="auto"/>
          <w:highlight w:val="none"/>
        </w:rPr>
        <w:t>非中小企业不提供此声明函，如未提供中小企业声明函的，则其不能享受</w:t>
      </w:r>
      <w:r>
        <w:rPr>
          <w:rFonts w:hint="eastAsia" w:ascii="宋体" w:hAnsi="宋体" w:cs="宋体"/>
          <w:b/>
          <w:bCs/>
          <w:color w:val="auto"/>
          <w:highlight w:val="none"/>
          <w:lang w:eastAsia="zh-CN"/>
        </w:rPr>
        <w:t>招标文件</w:t>
      </w:r>
      <w:r>
        <w:rPr>
          <w:rFonts w:hint="eastAsia" w:ascii="宋体" w:hAnsi="宋体" w:cs="宋体"/>
          <w:b/>
          <w:bCs/>
          <w:color w:val="auto"/>
          <w:highlight w:val="none"/>
        </w:rPr>
        <w:t>规定的价格扣除，但不影响</w:t>
      </w:r>
      <w:r>
        <w:rPr>
          <w:rFonts w:hint="eastAsia" w:ascii="宋体" w:hAnsi="宋体"/>
          <w:b/>
          <w:color w:val="auto"/>
          <w:spacing w:val="6"/>
          <w:szCs w:val="24"/>
          <w:highlight w:val="none"/>
        </w:rPr>
        <w:t>投标人投标文件</w:t>
      </w:r>
      <w:r>
        <w:rPr>
          <w:rFonts w:hint="eastAsia" w:ascii="宋体" w:hAnsi="宋体" w:cs="宋体"/>
          <w:b/>
          <w:bCs/>
          <w:color w:val="auto"/>
          <w:highlight w:val="none"/>
        </w:rPr>
        <w:t>的有效性。供应商为监狱企业的，提供由省级以上监狱管理局、戒毒管理局（含新疆生产建设兵团）出具的供应商属于监狱企业的证明文件复印件。监狱企业视同小型、微型企业，享受</w:t>
      </w:r>
      <w:r>
        <w:rPr>
          <w:rFonts w:hint="eastAsia" w:ascii="宋体" w:hAnsi="宋体" w:cs="宋体"/>
          <w:b/>
          <w:bCs/>
          <w:color w:val="auto"/>
          <w:highlight w:val="none"/>
          <w:lang w:eastAsia="zh-CN"/>
        </w:rPr>
        <w:t>招标文件</w:t>
      </w:r>
      <w:r>
        <w:rPr>
          <w:rFonts w:hint="eastAsia" w:ascii="宋体" w:hAnsi="宋体" w:cs="宋体"/>
          <w:b/>
          <w:bCs/>
          <w:color w:val="auto"/>
          <w:highlight w:val="none"/>
        </w:rPr>
        <w:t>规定的价格扣除，不重复享受政策。如提供虚假中小企业声明函的，则采购人有权取消参加磋商、成交资格，有权终止合同，并报政府采购监管部门。</w:t>
      </w:r>
      <w:r>
        <w:rPr>
          <w:rFonts w:hint="eastAsia" w:ascii="宋体" w:hAnsi="宋体" w:eastAsia="宋体" w:cs="宋体"/>
          <w:b/>
          <w:bCs/>
          <w:color w:val="000000"/>
          <w:kern w:val="0"/>
          <w:sz w:val="24"/>
          <w:szCs w:val="24"/>
          <w:highlight w:val="none"/>
          <w:lang w:val="en-US" w:eastAsia="zh-CN" w:bidi="ar"/>
        </w:rPr>
        <w:t>本项目采购标的对应的中小企业划分标准所属行业为其他未列明行业</w:t>
      </w:r>
      <w:r>
        <w:rPr>
          <w:rFonts w:hint="eastAsia" w:ascii="宋体" w:hAnsi="宋体" w:cs="宋体"/>
          <w:b/>
          <w:szCs w:val="24"/>
          <w:highlight w:val="none"/>
          <w:lang w:eastAsia="zh-CN"/>
        </w:rPr>
        <w:t>。</w:t>
      </w:r>
    </w:p>
    <w:p/>
    <w:p>
      <w:pPr>
        <w:pStyle w:val="5"/>
        <w:ind w:firstLine="494"/>
        <w:rPr>
          <w:color w:val="auto"/>
          <w:highlight w:val="none"/>
        </w:rPr>
      </w:pPr>
      <w:r>
        <w:rPr>
          <w:rFonts w:hint="eastAsia"/>
          <w:color w:val="auto"/>
          <w:highlight w:val="none"/>
          <w:lang w:val="en-US" w:eastAsia="zh-CN"/>
        </w:rPr>
        <w:t>残疾人福利性单位声明函</w:t>
      </w:r>
    </w:p>
    <w:p>
      <w:pPr>
        <w:spacing w:line="360" w:lineRule="auto"/>
        <w:ind w:firstLine="490"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1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1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tabs>
          <w:tab w:val="left" w:pos="3969"/>
        </w:tabs>
        <w:spacing w:line="360" w:lineRule="auto"/>
        <w:ind w:right="-58" w:firstLine="51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9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14" w:firstLineChars="200"/>
        <w:rPr>
          <w:rFonts w:ascii="宋体" w:hAnsi="宋体" w:cs="宋体"/>
          <w:color w:val="auto"/>
          <w:spacing w:val="6"/>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1" w:firstLineChars="0"/>
        <w:jc w:val="both"/>
        <w:textAlignment w:val="auto"/>
        <w:rPr>
          <w:rFonts w:hint="eastAsia" w:ascii="宋体" w:hAnsi="宋体"/>
          <w:b/>
          <w:color w:val="auto"/>
          <w:spacing w:val="6"/>
          <w:szCs w:val="24"/>
          <w:highlight w:val="none"/>
        </w:rPr>
      </w:pPr>
      <w:r>
        <w:rPr>
          <w:rFonts w:hint="eastAsia" w:ascii="宋体" w:hAnsi="宋体"/>
          <w:b/>
          <w:color w:val="auto"/>
          <w:spacing w:val="6"/>
          <w:szCs w:val="24"/>
          <w:highlight w:val="none"/>
        </w:rPr>
        <w:t>说明：非残疾人福利性单位不提供此声明函，如未提供此声明函，则其不能享受招标文件规定的价格扣除，但不影响投标人投标文件的有效性。残疾人福利性单位属于小型、微型企业的，不重复享受政策。中标供应商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pPr>
        <w:pStyle w:val="2"/>
        <w:rPr>
          <w:rFonts w:hint="eastAsia" w:ascii="宋体" w:hAnsi="宋体"/>
          <w:b/>
          <w:color w:val="auto"/>
          <w:spacing w:val="6"/>
          <w:szCs w:val="24"/>
          <w:highlight w:val="none"/>
        </w:rPr>
      </w:pPr>
    </w:p>
    <w:p>
      <w:pPr>
        <w:rPr>
          <w:rFonts w:hint="eastAsia" w:ascii="宋体" w:hAnsi="宋体"/>
          <w:b/>
          <w:color w:val="auto"/>
          <w:spacing w:val="6"/>
          <w:szCs w:val="24"/>
          <w:highlight w:val="none"/>
        </w:rPr>
      </w:pPr>
    </w:p>
    <w:p>
      <w:pPr>
        <w:pStyle w:val="2"/>
        <w:rPr>
          <w:rFonts w:hint="eastAsia" w:ascii="宋体" w:hAnsi="宋体"/>
          <w:b/>
          <w:color w:val="auto"/>
          <w:spacing w:val="6"/>
          <w:szCs w:val="24"/>
          <w:highlight w:val="none"/>
        </w:rPr>
      </w:pPr>
    </w:p>
    <w:p>
      <w:pPr>
        <w:rPr>
          <w:rFonts w:hint="eastAsia"/>
        </w:rPr>
      </w:pPr>
    </w:p>
    <w:p>
      <w:pPr>
        <w:pStyle w:val="5"/>
        <w:ind w:firstLine="494"/>
        <w:rPr>
          <w:rFonts w:cs="宋体"/>
          <w:color w:val="auto"/>
          <w:szCs w:val="24"/>
          <w:highlight w:val="none"/>
        </w:rPr>
      </w:pPr>
      <w:r>
        <w:rPr>
          <w:rFonts w:hint="eastAsia"/>
          <w:color w:val="auto"/>
          <w:highlight w:val="none"/>
        </w:rPr>
        <w:t>投标人认为需要提供的文件和资料</w:t>
      </w:r>
    </w:p>
    <w:p>
      <w:pPr>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4"/>
        <w:rPr>
          <w:b/>
          <w:bCs/>
          <w:color w:val="auto"/>
          <w:highlight w:val="none"/>
        </w:rPr>
      </w:pPr>
    </w:p>
    <w:p>
      <w:pPr>
        <w:pStyle w:val="2"/>
        <w:ind w:firstLine="494"/>
        <w:rPr>
          <w:b/>
          <w:bCs/>
          <w:color w:val="auto"/>
          <w:highlight w:val="none"/>
        </w:rPr>
      </w:pPr>
      <w:r>
        <w:rPr>
          <w:rFonts w:hint="eastAsia"/>
          <w:b/>
          <w:bCs/>
          <w:color w:val="auto"/>
          <w:highlight w:val="none"/>
        </w:rPr>
        <w:t>注：</w:t>
      </w:r>
      <w:r>
        <w:rPr>
          <w:rFonts w:hint="eastAsia"/>
          <w:b/>
          <w:bCs/>
          <w:color w:val="auto"/>
          <w:sz w:val="21"/>
          <w:highlight w:val="none"/>
        </w:rPr>
        <w:t>如投标人</w:t>
      </w:r>
      <w:r>
        <w:rPr>
          <w:rFonts w:hint="eastAsia"/>
          <w:b/>
          <w:bCs/>
          <w:color w:val="auto"/>
          <w:highlight w:val="none"/>
        </w:rPr>
        <w:t>没有认为需要提供的文件和资料可不提供。</w:t>
      </w:r>
    </w:p>
    <w:p>
      <w:pPr>
        <w:pStyle w:val="2"/>
        <w:ind w:firstLine="494"/>
        <w:rPr>
          <w:b/>
          <w:bCs/>
          <w:color w:val="auto"/>
          <w:highlight w:val="none"/>
        </w:rPr>
      </w:pPr>
      <w:r>
        <w:rPr>
          <w:rFonts w:hint="eastAsia"/>
          <w:b/>
          <w:bCs/>
          <w:color w:val="auto"/>
          <w:highlight w:val="none"/>
        </w:rPr>
        <w:br w:type="page"/>
      </w:r>
    </w:p>
    <w:p>
      <w:pPr>
        <w:pStyle w:val="3"/>
        <w:rPr>
          <w:color w:val="auto"/>
          <w:highlight w:val="none"/>
        </w:rPr>
        <w:sectPr>
          <w:footerReference r:id="rId11" w:type="default"/>
          <w:pgSz w:w="11906" w:h="16838"/>
          <w:pgMar w:top="1417" w:right="1417" w:bottom="1417" w:left="1417" w:header="1134" w:footer="992" w:gutter="0"/>
          <w:pgNumType w:fmt="decimal"/>
          <w:cols w:space="0" w:num="1"/>
          <w:docGrid w:type="linesAndChars" w:linePitch="312" w:charSpace="1228"/>
        </w:sectPr>
      </w:pPr>
      <w:bookmarkStart w:id="264" w:name="_Toc217446093"/>
      <w:bookmarkStart w:id="265" w:name="_Toc7674"/>
      <w:bookmarkStart w:id="266" w:name="_Toc10096"/>
      <w:bookmarkStart w:id="267" w:name="_Toc32203"/>
      <w:bookmarkStart w:id="268" w:name="_Toc20595"/>
      <w:bookmarkStart w:id="269" w:name="_Toc316292231"/>
      <w:bookmarkStart w:id="270" w:name="_Toc321382057"/>
    </w:p>
    <w:p>
      <w:pPr>
        <w:pStyle w:val="3"/>
        <w:rPr>
          <w:color w:val="auto"/>
          <w:highlight w:val="none"/>
        </w:rPr>
      </w:pPr>
      <w:r>
        <w:rPr>
          <w:rFonts w:hint="eastAsia"/>
          <w:color w:val="auto"/>
          <w:highlight w:val="none"/>
        </w:rPr>
        <w:t>招标项目技术、商务及其他要求</w:t>
      </w:r>
      <w:bookmarkEnd w:id="264"/>
      <w:bookmarkEnd w:id="265"/>
      <w:bookmarkEnd w:id="266"/>
      <w:bookmarkEnd w:id="267"/>
      <w:bookmarkEnd w:id="268"/>
    </w:p>
    <w:p>
      <w:pPr>
        <w:pStyle w:val="4"/>
        <w:rPr>
          <w:color w:val="auto"/>
          <w:sz w:val="24"/>
          <w:szCs w:val="24"/>
          <w:highlight w:val="none"/>
        </w:rPr>
      </w:pPr>
      <w:bookmarkStart w:id="271" w:name="_Toc2156"/>
      <w:bookmarkStart w:id="272" w:name="_Toc30942"/>
      <w:r>
        <w:rPr>
          <w:rFonts w:hint="eastAsia"/>
          <w:color w:val="auto"/>
          <w:sz w:val="24"/>
          <w:szCs w:val="24"/>
          <w:highlight w:val="none"/>
        </w:rPr>
        <w:t>项目概况</w:t>
      </w:r>
      <w:bookmarkEnd w:id="271"/>
      <w:bookmarkEnd w:id="272"/>
    </w:p>
    <w:p>
      <w:pPr>
        <w:pStyle w:val="2"/>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本项目共分五个包件，包件1：驿都大道景观绿化管护；包件2：老城区景观绿化管护；包件3：经开区景观绿化管护；包件4：车城大道景观绿化管护；包件5：成洛路景观绿化管护。</w:t>
      </w:r>
      <w:r>
        <w:rPr>
          <w:rFonts w:hint="eastAsia" w:ascii="宋体" w:hAnsi="宋体" w:cs="宋体"/>
          <w:color w:val="auto"/>
          <w:sz w:val="24"/>
          <w:szCs w:val="24"/>
          <w:highlight w:val="none"/>
          <w:lang w:val="en-US" w:eastAsia="zh-CN"/>
        </w:rPr>
        <w:t>每个包件确定一名中标人为本项目提供相关服务及服务配套的货物</w:t>
      </w:r>
      <w:r>
        <w:rPr>
          <w:rFonts w:hint="eastAsia" w:ascii="宋体" w:hAnsi="宋体" w:eastAsia="宋体" w:cs="宋体"/>
          <w:color w:val="auto"/>
          <w:sz w:val="24"/>
          <w:szCs w:val="24"/>
          <w:highlight w:val="none"/>
          <w:lang w:val="en-US" w:eastAsia="zh-CN"/>
        </w:rPr>
        <w:t>。</w:t>
      </w:r>
    </w:p>
    <w:p>
      <w:pPr>
        <w:pStyle w:val="4"/>
        <w:rPr>
          <w:color w:val="auto"/>
          <w:sz w:val="24"/>
          <w:szCs w:val="24"/>
          <w:highlight w:val="none"/>
        </w:rPr>
      </w:pPr>
      <w:bookmarkStart w:id="273" w:name="_Toc3300"/>
      <w:r>
        <w:rPr>
          <w:rFonts w:hint="eastAsia"/>
          <w:color w:val="auto"/>
          <w:sz w:val="24"/>
          <w:szCs w:val="24"/>
          <w:highlight w:val="none"/>
          <w:lang w:val="en-US" w:eastAsia="zh-CN"/>
        </w:rPr>
        <w:t>管护内容</w:t>
      </w:r>
      <w:bookmarkEnd w:id="273"/>
    </w:p>
    <w:p>
      <w:pPr>
        <w:pStyle w:val="5"/>
        <w:numPr>
          <w:ilvl w:val="2"/>
          <w:numId w:val="0"/>
        </w:numPr>
        <w:ind w:firstLine="49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管护工作实行总体承包（包括日常保洁、植物日常养护、草花及时更换养护，植物、花卉病虫害防治、绿地内设施、设备日常维护、维修、垃圾清转等）。</w:t>
      </w:r>
    </w:p>
    <w:p>
      <w:pPr>
        <w:pStyle w:val="4"/>
        <w:rPr>
          <w:color w:val="auto"/>
          <w:sz w:val="24"/>
          <w:szCs w:val="24"/>
          <w:highlight w:val="none"/>
        </w:rPr>
      </w:pPr>
      <w:bookmarkStart w:id="274" w:name="_Toc9604"/>
      <w:r>
        <w:rPr>
          <w:rFonts w:hint="eastAsia"/>
          <w:color w:val="auto"/>
          <w:sz w:val="24"/>
          <w:szCs w:val="24"/>
          <w:highlight w:val="none"/>
          <w:lang w:val="en-US" w:eastAsia="zh-CN"/>
        </w:rPr>
        <w:t>管护范围清单</w:t>
      </w:r>
      <w:bookmarkEnd w:id="274"/>
    </w:p>
    <w:p>
      <w:pPr>
        <w:pStyle w:val="5"/>
        <w:ind w:firstLine="494"/>
        <w:rPr>
          <w:rFonts w:hint="eastAsia" w:ascii="宋体" w:hAnsi="宋体" w:eastAsia="宋体" w:cs="Times New Roman"/>
          <w:color w:val="auto"/>
          <w:highlight w:val="none"/>
        </w:rPr>
      </w:pPr>
      <w:r>
        <w:rPr>
          <w:rFonts w:hint="eastAsia" w:ascii="宋体" w:hAnsi="宋体" w:eastAsia="宋体" w:cs="Times New Roman"/>
          <w:color w:val="auto"/>
          <w:highlight w:val="none"/>
          <w:lang w:val="en-US" w:eastAsia="zh-CN"/>
        </w:rPr>
        <w:t>包件1管护范围清单</w:t>
      </w:r>
    </w:p>
    <w:tbl>
      <w:tblPr>
        <w:tblStyle w:val="43"/>
        <w:tblW w:w="10575"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8"/>
        <w:gridCol w:w="1197"/>
        <w:gridCol w:w="1215"/>
        <w:gridCol w:w="1275"/>
        <w:gridCol w:w="1080"/>
        <w:gridCol w:w="1440"/>
        <w:gridCol w:w="187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188"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管护地段</w:t>
            </w:r>
          </w:p>
        </w:tc>
        <w:tc>
          <w:tcPr>
            <w:tcW w:w="3687"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绿地养护面积</w:t>
            </w:r>
          </w:p>
        </w:tc>
        <w:tc>
          <w:tcPr>
            <w:tcW w:w="2520"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行道树养护数量</w:t>
            </w:r>
          </w:p>
        </w:tc>
        <w:tc>
          <w:tcPr>
            <w:tcW w:w="18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草花更换养护面积</w:t>
            </w:r>
          </w:p>
        </w:tc>
        <w:tc>
          <w:tcPr>
            <w:tcW w:w="13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节点及其它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0"/>
                <w:szCs w:val="20"/>
                <w:u w:val="none"/>
              </w:rPr>
            </w:pPr>
          </w:p>
        </w:tc>
        <w:tc>
          <w:tcPr>
            <w:tcW w:w="119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特级养护面积（㎡）</w:t>
            </w:r>
          </w:p>
        </w:tc>
        <w:tc>
          <w:tcPr>
            <w:tcW w:w="12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一级养护面积（㎡）</w:t>
            </w:r>
          </w:p>
        </w:tc>
        <w:tc>
          <w:tcPr>
            <w:tcW w:w="12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普通养护面积（㎡）</w:t>
            </w:r>
          </w:p>
        </w:tc>
        <w:tc>
          <w:tcPr>
            <w:tcW w:w="108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一级养护数量（株）</w:t>
            </w:r>
          </w:p>
        </w:tc>
        <w:tc>
          <w:tcPr>
            <w:tcW w:w="14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普通养护数量（株）</w:t>
            </w:r>
          </w:p>
        </w:tc>
        <w:tc>
          <w:tcPr>
            <w:tcW w:w="18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草花面积（㎡）</w:t>
            </w:r>
          </w:p>
        </w:tc>
        <w:tc>
          <w:tcPr>
            <w:tcW w:w="13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驿都大道</w:t>
            </w:r>
          </w:p>
        </w:tc>
        <w:tc>
          <w:tcPr>
            <w:tcW w:w="119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870982.81 </w:t>
            </w:r>
          </w:p>
        </w:tc>
        <w:tc>
          <w:tcPr>
            <w:tcW w:w="121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320950.06 </w:t>
            </w:r>
          </w:p>
        </w:tc>
        <w:tc>
          <w:tcPr>
            <w:tcW w:w="12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630563.00 </w:t>
            </w:r>
          </w:p>
        </w:tc>
        <w:tc>
          <w:tcPr>
            <w:tcW w:w="108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614.00 </w:t>
            </w:r>
          </w:p>
        </w:tc>
        <w:tc>
          <w:tcPr>
            <w:tcW w:w="14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0.00 </w:t>
            </w:r>
          </w:p>
        </w:tc>
        <w:tc>
          <w:tcPr>
            <w:tcW w:w="18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8809.14 </w:t>
            </w:r>
          </w:p>
        </w:tc>
        <w:tc>
          <w:tcPr>
            <w:tcW w:w="130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49209.63</w:t>
            </w:r>
            <w:r>
              <w:rPr>
                <w:rFonts w:hint="eastAsia" w:ascii="Times New Roman" w:hAnsi="Times New Roman" w:cs="Times New Roman"/>
                <w:i w:val="0"/>
                <w:iCs w:val="0"/>
                <w:color w:val="000000"/>
                <w:kern w:val="0"/>
                <w:sz w:val="20"/>
                <w:szCs w:val="20"/>
                <w:highlight w:val="none"/>
                <w:u w:val="none"/>
                <w:lang w:val="en-US" w:eastAsia="zh-CN" w:bidi="ar"/>
              </w:rPr>
              <w:t>（驿都东路（音乐广场—汽车总站）花箱草花，天鹅湖生态示范区不少于20人保安保洁及日常养护，最终以采购人要求为准）</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p>
        </w:tc>
      </w:tr>
    </w:tbl>
    <w:p>
      <w:pPr>
        <w:rPr>
          <w:rFonts w:hint="eastAsia"/>
          <w:highlight w:val="none"/>
        </w:rPr>
      </w:pPr>
    </w:p>
    <w:p>
      <w:pPr>
        <w:pStyle w:val="5"/>
        <w:ind w:firstLine="494"/>
        <w:rPr>
          <w:rFonts w:hint="eastAsia"/>
          <w:highlight w:val="none"/>
        </w:rPr>
      </w:pPr>
      <w:r>
        <w:rPr>
          <w:rFonts w:hint="eastAsia"/>
          <w:highlight w:val="none"/>
          <w:lang w:val="en-US" w:eastAsia="zh-CN"/>
        </w:rPr>
        <w:t>包件2管护范围清单</w:t>
      </w:r>
    </w:p>
    <w:tbl>
      <w:tblPr>
        <w:tblStyle w:val="43"/>
        <w:tblW w:w="10545"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8"/>
        <w:gridCol w:w="1093"/>
        <w:gridCol w:w="1319"/>
        <w:gridCol w:w="1260"/>
        <w:gridCol w:w="1095"/>
        <w:gridCol w:w="1440"/>
        <w:gridCol w:w="18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1188"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管护地段</w:t>
            </w:r>
          </w:p>
        </w:tc>
        <w:tc>
          <w:tcPr>
            <w:tcW w:w="3672"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绿地养护面积</w:t>
            </w:r>
          </w:p>
        </w:tc>
        <w:tc>
          <w:tcPr>
            <w:tcW w:w="2535"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行道树养护数量</w:t>
            </w:r>
          </w:p>
        </w:tc>
        <w:tc>
          <w:tcPr>
            <w:tcW w:w="18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草花更换养护面积</w:t>
            </w:r>
          </w:p>
        </w:tc>
        <w:tc>
          <w:tcPr>
            <w:tcW w:w="12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节点及其他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0"/>
                <w:szCs w:val="20"/>
                <w:highlight w:val="none"/>
                <w:u w:val="none"/>
              </w:rPr>
            </w:pPr>
          </w:p>
        </w:tc>
        <w:tc>
          <w:tcPr>
            <w:tcW w:w="109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特级养护面积（㎡）</w:t>
            </w:r>
          </w:p>
        </w:tc>
        <w:tc>
          <w:tcPr>
            <w:tcW w:w="131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一级养护面积（㎡）</w:t>
            </w:r>
          </w:p>
        </w:tc>
        <w:tc>
          <w:tcPr>
            <w:tcW w:w="12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普通养护面积（㎡）</w:t>
            </w:r>
          </w:p>
        </w:tc>
        <w:tc>
          <w:tcPr>
            <w:tcW w:w="109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一级养护数量（株）</w:t>
            </w:r>
          </w:p>
        </w:tc>
        <w:tc>
          <w:tcPr>
            <w:tcW w:w="14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普通养护数量（株）</w:t>
            </w:r>
          </w:p>
        </w:tc>
        <w:tc>
          <w:tcPr>
            <w:tcW w:w="18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草花面积（㎡）</w:t>
            </w:r>
          </w:p>
        </w:tc>
        <w:tc>
          <w:tcPr>
            <w:tcW w:w="127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老城区</w:t>
            </w:r>
          </w:p>
        </w:tc>
        <w:tc>
          <w:tcPr>
            <w:tcW w:w="109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947311.59 </w:t>
            </w:r>
          </w:p>
        </w:tc>
        <w:tc>
          <w:tcPr>
            <w:tcW w:w="13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139241.92 </w:t>
            </w:r>
          </w:p>
        </w:tc>
        <w:tc>
          <w:tcPr>
            <w:tcW w:w="126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39646.40 </w:t>
            </w:r>
          </w:p>
        </w:tc>
        <w:tc>
          <w:tcPr>
            <w:tcW w:w="109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6803.00 </w:t>
            </w:r>
          </w:p>
        </w:tc>
        <w:tc>
          <w:tcPr>
            <w:tcW w:w="14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13031.00 </w:t>
            </w:r>
          </w:p>
        </w:tc>
        <w:tc>
          <w:tcPr>
            <w:tcW w:w="18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6153.01 </w:t>
            </w:r>
          </w:p>
        </w:tc>
        <w:tc>
          <w:tcPr>
            <w:tcW w:w="12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92319.00</w:t>
            </w:r>
            <w:r>
              <w:rPr>
                <w:rFonts w:hint="eastAsia" w:cs="Times New Roman"/>
                <w:i w:val="0"/>
                <w:iCs w:val="0"/>
                <w:color w:val="000000"/>
                <w:kern w:val="0"/>
                <w:sz w:val="20"/>
                <w:szCs w:val="20"/>
                <w:highlight w:val="none"/>
                <w:u w:val="none"/>
                <w:lang w:val="en-US" w:eastAsia="zh-CN" w:bidi="ar"/>
              </w:rPr>
              <w:t>（</w:t>
            </w:r>
            <w:r>
              <w:rPr>
                <w:rFonts w:hint="eastAsia" w:ascii="Times New Roman" w:hAnsi="Times New Roman" w:cs="Times New Roman"/>
                <w:i w:val="0"/>
                <w:iCs w:val="0"/>
                <w:color w:val="000000"/>
                <w:kern w:val="0"/>
                <w:sz w:val="20"/>
                <w:szCs w:val="20"/>
                <w:highlight w:val="none"/>
                <w:u w:val="none"/>
                <w:lang w:val="en-US" w:eastAsia="zh-CN" w:bidi="ar"/>
              </w:rPr>
              <w:t>市民阳光健身步道特殊管护，7个节点：竹林栈道、绿茵草地乒乓运动公园、奶牛广场、北干道城市段、百鸟园、大面大小水景、节点9处厕所，音乐广场特殊养护，最终以采购人要求为准</w:t>
            </w:r>
            <w:r>
              <w:rPr>
                <w:rFonts w:hint="eastAsia"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p>
        </w:tc>
      </w:tr>
    </w:tbl>
    <w:p>
      <w:pPr>
        <w:rPr>
          <w:rFonts w:hint="eastAsia"/>
          <w:highlight w:val="none"/>
        </w:rPr>
      </w:pPr>
    </w:p>
    <w:p>
      <w:pPr>
        <w:pStyle w:val="5"/>
        <w:bidi w:val="0"/>
        <w:rPr>
          <w:rFonts w:hint="eastAsia"/>
        </w:rPr>
      </w:pPr>
      <w:r>
        <w:rPr>
          <w:rFonts w:hint="eastAsia"/>
          <w:lang w:val="en-US" w:eastAsia="zh-CN"/>
        </w:rPr>
        <w:t>包件3管护范围清单</w:t>
      </w:r>
    </w:p>
    <w:tbl>
      <w:tblPr>
        <w:tblStyle w:val="43"/>
        <w:tblW w:w="10545" w:type="dxa"/>
        <w:tblInd w:w="-673" w:type="dxa"/>
        <w:shd w:val="clear" w:color="auto" w:fill="auto"/>
        <w:tblLayout w:type="fixed"/>
        <w:tblCellMar>
          <w:top w:w="0" w:type="dxa"/>
          <w:left w:w="108" w:type="dxa"/>
          <w:bottom w:w="0" w:type="dxa"/>
          <w:right w:w="108" w:type="dxa"/>
        </w:tblCellMar>
      </w:tblPr>
      <w:tblGrid>
        <w:gridCol w:w="1215"/>
        <w:gridCol w:w="1080"/>
        <w:gridCol w:w="1320"/>
        <w:gridCol w:w="1275"/>
        <w:gridCol w:w="1095"/>
        <w:gridCol w:w="1365"/>
        <w:gridCol w:w="1920"/>
        <w:gridCol w:w="1275"/>
      </w:tblGrid>
      <w:tr>
        <w:tblPrEx>
          <w:shd w:val="clear" w:color="auto" w:fill="auto"/>
          <w:tblCellMar>
            <w:top w:w="0" w:type="dxa"/>
            <w:left w:w="108" w:type="dxa"/>
            <w:bottom w:w="0" w:type="dxa"/>
            <w:right w:w="108" w:type="dxa"/>
          </w:tblCellMar>
        </w:tblPrEx>
        <w:trPr>
          <w:trHeight w:val="60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管护地段</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绿地养护面积</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行道树养护数量</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草花更换养护面积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节点及其它</w:t>
            </w:r>
          </w:p>
        </w:tc>
      </w:tr>
      <w:tr>
        <w:tblPrEx>
          <w:tblCellMar>
            <w:top w:w="0" w:type="dxa"/>
            <w:left w:w="108" w:type="dxa"/>
            <w:bottom w:w="0" w:type="dxa"/>
            <w:right w:w="108" w:type="dxa"/>
          </w:tblCellMar>
        </w:tblPrEx>
        <w:trPr>
          <w:trHeight w:val="6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特级养护面积（㎡）</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一级养护面积（㎡）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普通养护面积（㎡）</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一级养护数量（株）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普通养护数量（株）</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草花面积（㎡）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r>
      <w:tr>
        <w:tblPrEx>
          <w:tblCellMar>
            <w:top w:w="0" w:type="dxa"/>
            <w:left w:w="108" w:type="dxa"/>
            <w:bottom w:w="0" w:type="dxa"/>
            <w:right w:w="108" w:type="dxa"/>
          </w:tblCellMar>
        </w:tblPrEx>
        <w:trPr>
          <w:trHeight w:val="60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经开区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1102505.02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607284.24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175180.00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12964.18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r>
    </w:tbl>
    <w:p>
      <w:pPr>
        <w:pStyle w:val="2"/>
        <w:rPr>
          <w:rFonts w:hint="eastAsia"/>
        </w:rPr>
      </w:pPr>
    </w:p>
    <w:p>
      <w:pPr>
        <w:pStyle w:val="5"/>
        <w:bidi w:val="0"/>
        <w:rPr>
          <w:rFonts w:hint="eastAsia"/>
        </w:rPr>
      </w:pPr>
      <w:r>
        <w:rPr>
          <w:rFonts w:hint="eastAsia"/>
          <w:lang w:val="en-US" w:eastAsia="zh-CN"/>
        </w:rPr>
        <w:t>包件4管护范围清单</w:t>
      </w:r>
    </w:p>
    <w:tbl>
      <w:tblPr>
        <w:tblStyle w:val="43"/>
        <w:tblW w:w="10515" w:type="dxa"/>
        <w:tblInd w:w="-673" w:type="dxa"/>
        <w:shd w:val="clear" w:color="auto" w:fill="auto"/>
        <w:tblLayout w:type="fixed"/>
        <w:tblCellMar>
          <w:top w:w="0" w:type="dxa"/>
          <w:left w:w="108" w:type="dxa"/>
          <w:bottom w:w="0" w:type="dxa"/>
          <w:right w:w="108" w:type="dxa"/>
        </w:tblCellMar>
      </w:tblPr>
      <w:tblGrid>
        <w:gridCol w:w="1245"/>
        <w:gridCol w:w="1077"/>
        <w:gridCol w:w="1377"/>
        <w:gridCol w:w="1191"/>
        <w:gridCol w:w="1110"/>
        <w:gridCol w:w="1365"/>
        <w:gridCol w:w="1920"/>
        <w:gridCol w:w="1230"/>
      </w:tblGrid>
      <w:tr>
        <w:tblPrEx>
          <w:tblCellMar>
            <w:top w:w="0" w:type="dxa"/>
            <w:left w:w="108" w:type="dxa"/>
            <w:bottom w:w="0" w:type="dxa"/>
            <w:right w:w="108" w:type="dxa"/>
          </w:tblCellMar>
        </w:tblPrEx>
        <w:trPr>
          <w:trHeight w:val="60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管护地段</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绿地养护面积</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行道树养护数量</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草花更换养护面积</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节点及其它</w:t>
            </w:r>
          </w:p>
        </w:tc>
      </w:tr>
      <w:tr>
        <w:trPr>
          <w:trHeight w:val="6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特级养护面积（㎡）</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一级养护面积（㎡）</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普通养护面积（㎡）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一级养护数量（株）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普通养护数量（株）</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草花面积（㎡）</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面积(㎡)</w:t>
            </w:r>
          </w:p>
        </w:tc>
      </w:tr>
      <w:tr>
        <w:tblPrEx>
          <w:tblCellMar>
            <w:top w:w="0" w:type="dxa"/>
            <w:left w:w="108" w:type="dxa"/>
            <w:bottom w:w="0" w:type="dxa"/>
            <w:right w:w="108" w:type="dxa"/>
          </w:tblCellMar>
        </w:tblPrEx>
        <w:trPr>
          <w:trHeight w:val="6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车城大道</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658192.28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56984.30 </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7004.58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r>
    </w:tbl>
    <w:p>
      <w:pPr>
        <w:rPr>
          <w:rFonts w:hint="eastAsia"/>
          <w:color w:val="auto"/>
        </w:rPr>
      </w:pPr>
    </w:p>
    <w:p>
      <w:pPr>
        <w:pStyle w:val="5"/>
        <w:bidi w:val="0"/>
        <w:rPr>
          <w:rFonts w:hint="eastAsia"/>
          <w:color w:val="auto"/>
          <w:lang w:val="en-US" w:eastAsia="zh-CN"/>
        </w:rPr>
      </w:pPr>
      <w:r>
        <w:rPr>
          <w:rFonts w:hint="eastAsia"/>
          <w:color w:val="auto"/>
          <w:lang w:val="en-US" w:eastAsia="zh-CN"/>
        </w:rPr>
        <w:t>包件5管护范围清单</w:t>
      </w:r>
    </w:p>
    <w:tbl>
      <w:tblPr>
        <w:tblStyle w:val="43"/>
        <w:tblW w:w="1053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60"/>
        <w:gridCol w:w="1230"/>
        <w:gridCol w:w="1230"/>
        <w:gridCol w:w="1170"/>
        <w:gridCol w:w="1125"/>
        <w:gridCol w:w="1365"/>
        <w:gridCol w:w="19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管护地段</w:t>
            </w:r>
          </w:p>
        </w:tc>
        <w:tc>
          <w:tcPr>
            <w:tcW w:w="3630"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绿地养护面积</w:t>
            </w:r>
          </w:p>
        </w:tc>
        <w:tc>
          <w:tcPr>
            <w:tcW w:w="2490"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行道树养护数量</w:t>
            </w:r>
          </w:p>
        </w:tc>
        <w:tc>
          <w:tcPr>
            <w:tcW w:w="19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草花更换养护面积</w:t>
            </w:r>
          </w:p>
        </w:tc>
        <w:tc>
          <w:tcPr>
            <w:tcW w:w="123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节点及其它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0"/>
                <w:szCs w:val="20"/>
                <w:u w:val="none"/>
              </w:rPr>
            </w:pPr>
          </w:p>
        </w:tc>
        <w:tc>
          <w:tcPr>
            <w:tcW w:w="123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特级养护面积（㎡）</w:t>
            </w:r>
          </w:p>
        </w:tc>
        <w:tc>
          <w:tcPr>
            <w:tcW w:w="123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一级养护面积（㎡）</w:t>
            </w:r>
          </w:p>
        </w:tc>
        <w:tc>
          <w:tcPr>
            <w:tcW w:w="117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普通养护面积（㎡）</w:t>
            </w:r>
          </w:p>
        </w:tc>
        <w:tc>
          <w:tcPr>
            <w:tcW w:w="1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一级养护数量（株）</w:t>
            </w:r>
          </w:p>
        </w:tc>
        <w:tc>
          <w:tcPr>
            <w:tcW w:w="13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普通养护数量（株）</w:t>
            </w:r>
          </w:p>
        </w:tc>
        <w:tc>
          <w:tcPr>
            <w:tcW w:w="192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草花面积（㎡）</w:t>
            </w:r>
          </w:p>
        </w:tc>
        <w:tc>
          <w:tcPr>
            <w:tcW w:w="123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成洛路</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702710.35 </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131438.54 </w:t>
            </w:r>
          </w:p>
        </w:tc>
        <w:tc>
          <w:tcPr>
            <w:tcW w:w="11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173428.12 </w:t>
            </w:r>
          </w:p>
        </w:tc>
        <w:tc>
          <w:tcPr>
            <w:tcW w:w="11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656.00 </w:t>
            </w:r>
          </w:p>
        </w:tc>
        <w:tc>
          <w:tcPr>
            <w:tcW w:w="136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1667.00 </w:t>
            </w:r>
          </w:p>
        </w:tc>
        <w:tc>
          <w:tcPr>
            <w:tcW w:w="192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12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r>
    </w:tbl>
    <w:p>
      <w:pPr>
        <w:pStyle w:val="2"/>
        <w:rPr>
          <w:rFonts w:hint="eastAsia"/>
          <w:color w:val="auto"/>
        </w:rPr>
      </w:pPr>
    </w:p>
    <w:p>
      <w:pPr>
        <w:pStyle w:val="4"/>
        <w:rPr>
          <w:color w:val="auto"/>
          <w:sz w:val="24"/>
          <w:szCs w:val="24"/>
          <w:highlight w:val="none"/>
        </w:rPr>
      </w:pPr>
      <w:bookmarkStart w:id="275" w:name="_Toc21822"/>
      <w:bookmarkStart w:id="276" w:name="_Toc31097"/>
      <w:bookmarkStart w:id="277" w:name="_Toc16804"/>
      <w:bookmarkStart w:id="278" w:name="_Toc3757"/>
      <w:r>
        <w:rPr>
          <w:rFonts w:hint="eastAsia"/>
          <w:color w:val="auto"/>
          <w:sz w:val="24"/>
          <w:szCs w:val="24"/>
          <w:highlight w:val="none"/>
          <w:lang w:val="en-US" w:eastAsia="zh-CN"/>
        </w:rPr>
        <w:t>各包管护标准</w:t>
      </w:r>
      <w:bookmarkEnd w:id="275"/>
    </w:p>
    <w:p>
      <w:pPr>
        <w:pStyle w:val="5"/>
        <w:bidi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龙泉驿区城市公共绿地、街道绿地养护标准</w:t>
      </w:r>
    </w:p>
    <w:p>
      <w:pPr>
        <w:ind w:firstLine="480"/>
        <w:rPr>
          <w:rFonts w:ascii="宋体" w:hAnsi="宋体" w:cs="宋体"/>
          <w:color w:val="auto"/>
          <w:szCs w:val="24"/>
        </w:rPr>
      </w:pPr>
      <w:r>
        <w:rPr>
          <w:rFonts w:hint="eastAsia" w:ascii="宋体" w:hAnsi="宋体" w:cs="宋体"/>
          <w:color w:val="auto"/>
          <w:szCs w:val="24"/>
        </w:rPr>
        <w:t>1.1  绿化养护技术措施完善，管理得当，植物配置科学合理，达到</w:t>
      </w:r>
      <w:r>
        <w:rPr>
          <w:rFonts w:hint="eastAsia" w:ascii="宋体" w:hAnsi="宋体" w:cs="宋体"/>
          <w:color w:val="auto"/>
          <w:szCs w:val="24"/>
          <w:lang w:eastAsia="zh-CN"/>
        </w:rPr>
        <w:t>不裸土</w:t>
      </w:r>
      <w:r>
        <w:rPr>
          <w:rFonts w:hint="eastAsia" w:ascii="宋体" w:hAnsi="宋体" w:cs="宋体"/>
          <w:color w:val="auto"/>
          <w:szCs w:val="24"/>
        </w:rPr>
        <w:t>。</w:t>
      </w:r>
    </w:p>
    <w:p>
      <w:pPr>
        <w:ind w:firstLine="480"/>
        <w:rPr>
          <w:rFonts w:ascii="宋体" w:hAnsi="宋体" w:cs="宋体"/>
          <w:color w:val="auto"/>
          <w:szCs w:val="24"/>
        </w:rPr>
      </w:pPr>
      <w:r>
        <w:rPr>
          <w:rFonts w:hint="eastAsia" w:ascii="宋体" w:hAnsi="宋体" w:cs="宋体"/>
          <w:color w:val="auto"/>
          <w:szCs w:val="24"/>
        </w:rPr>
        <w:t>1.2  园林植物</w:t>
      </w:r>
    </w:p>
    <w:p>
      <w:pPr>
        <w:ind w:firstLine="480"/>
        <w:rPr>
          <w:rFonts w:ascii="宋体" w:hAnsi="宋体" w:cs="宋体"/>
          <w:color w:val="auto"/>
          <w:szCs w:val="24"/>
        </w:rPr>
      </w:pPr>
      <w:r>
        <w:rPr>
          <w:rFonts w:hint="eastAsia" w:ascii="宋体" w:hAnsi="宋体" w:cs="宋体"/>
          <w:color w:val="auto"/>
          <w:szCs w:val="24"/>
        </w:rPr>
        <w:t>1.2.1  生长健壮。新建绿地各种植物两年内达到正常形态。</w:t>
      </w:r>
    </w:p>
    <w:p>
      <w:pPr>
        <w:ind w:firstLine="480"/>
        <w:rPr>
          <w:rFonts w:ascii="宋体" w:hAnsi="宋体" w:cs="宋体"/>
          <w:color w:val="auto"/>
          <w:szCs w:val="24"/>
        </w:rPr>
      </w:pPr>
      <w:r>
        <w:rPr>
          <w:rFonts w:hint="eastAsia" w:ascii="宋体" w:hAnsi="宋体" w:cs="宋体"/>
          <w:color w:val="auto"/>
          <w:szCs w:val="24"/>
        </w:rPr>
        <w:t>1.2.2  园林树木树冠完整美观，分枝点合适，枝条粗壮，无枯枝死杈；主侧枝分布匀称、数量适宜、修剪科学合理；内膛不乱，通风透光。花灌木开花及时，株形丰满，花后修剪及时合理。绿篱、色块等修剪及时，枝叶茂密，整齐一致，整型树木造型雅观。行道树无缺株，绿地内无死树。</w:t>
      </w:r>
    </w:p>
    <w:p>
      <w:pPr>
        <w:ind w:firstLine="480"/>
        <w:rPr>
          <w:rFonts w:ascii="宋体" w:hAnsi="宋体" w:cs="宋体"/>
          <w:color w:val="auto"/>
          <w:szCs w:val="24"/>
        </w:rPr>
      </w:pPr>
      <w:r>
        <w:rPr>
          <w:rFonts w:hint="eastAsia" w:ascii="宋体" w:hAnsi="宋体" w:cs="宋体"/>
          <w:color w:val="auto"/>
          <w:szCs w:val="24"/>
        </w:rPr>
        <w:t xml:space="preserve">1.2.3  落叶树新梢生长健壮，叶片大小、颜色正常。在一般条件下，无黄叶、焦叶、卷叶，正常叶片保存率在9 5%以上。针叶树针叶宿存3年以上，结果枝条在10 %以下。 </w:t>
      </w:r>
    </w:p>
    <w:p>
      <w:pPr>
        <w:ind w:firstLine="480"/>
        <w:rPr>
          <w:rFonts w:ascii="宋体" w:hAnsi="宋体" w:cs="宋体"/>
          <w:color w:val="auto"/>
          <w:szCs w:val="24"/>
        </w:rPr>
      </w:pPr>
      <w:r>
        <w:rPr>
          <w:rFonts w:hint="eastAsia" w:ascii="宋体" w:hAnsi="宋体" w:cs="宋体"/>
          <w:color w:val="auto"/>
          <w:szCs w:val="24"/>
        </w:rPr>
        <w:t>1.2.4  花坛、花带轮廓清晰，整齐美观，色彩艳丽，无残缺，无残花败叶。</w:t>
      </w:r>
    </w:p>
    <w:p>
      <w:pPr>
        <w:ind w:firstLine="480"/>
        <w:rPr>
          <w:rFonts w:ascii="宋体" w:hAnsi="宋体" w:cs="宋体"/>
          <w:color w:val="auto"/>
          <w:szCs w:val="24"/>
        </w:rPr>
      </w:pPr>
      <w:r>
        <w:rPr>
          <w:rFonts w:hint="eastAsia" w:ascii="宋体" w:hAnsi="宋体" w:cs="宋体"/>
          <w:color w:val="auto"/>
          <w:szCs w:val="24"/>
        </w:rPr>
        <w:t>1.2.5  草坪及地被植物整齐，覆盖率99 %以上，草坪内无杂草。草坪绿色期：冷季型草不得少于300天；暖季型草不得少于210天。</w:t>
      </w:r>
    </w:p>
    <w:p>
      <w:pPr>
        <w:ind w:firstLine="480"/>
        <w:rPr>
          <w:rFonts w:ascii="宋体" w:hAnsi="宋体" w:cs="宋体"/>
          <w:color w:val="auto"/>
          <w:szCs w:val="24"/>
        </w:rPr>
      </w:pPr>
      <w:r>
        <w:rPr>
          <w:rFonts w:hint="eastAsia" w:ascii="宋体" w:hAnsi="宋体" w:cs="宋体"/>
          <w:color w:val="auto"/>
          <w:szCs w:val="24"/>
        </w:rPr>
        <w:t>1.2.6  病虫害控制及时，园林树木无蛀干害虫的活卵、活虫；在园林树木主干、主枝上平均每100 cm2介壳虫的活虫数不得超过1头，较细枝条上平均每30 cm不得超过2头，且平均被害株数不得超过1 ％。叶片上无虫粪、虫网。被虫咬的叶片每株不得超过2 %。</w:t>
      </w:r>
    </w:p>
    <w:p>
      <w:pPr>
        <w:ind w:firstLine="480"/>
        <w:rPr>
          <w:rFonts w:ascii="宋体" w:hAnsi="宋体" w:cs="宋体"/>
          <w:color w:val="auto"/>
          <w:szCs w:val="24"/>
        </w:rPr>
      </w:pPr>
      <w:r>
        <w:rPr>
          <w:rFonts w:hint="eastAsia" w:ascii="宋体" w:hAnsi="宋体" w:cs="宋体"/>
          <w:color w:val="auto"/>
          <w:szCs w:val="24"/>
        </w:rPr>
        <w:t>1.3  垂直绿化应根据不同植物的攀缘特点，及时采取相应的牵引、设置网架等技术措施，视攀缘植物生长习性，覆盖率不得低于90 %。开花的攀缘植物应适时开花，且花繁色艳。</w:t>
      </w:r>
    </w:p>
    <w:p>
      <w:pPr>
        <w:ind w:firstLine="480"/>
        <w:rPr>
          <w:rFonts w:ascii="宋体" w:hAnsi="宋体" w:cs="宋体"/>
          <w:color w:val="auto"/>
          <w:szCs w:val="24"/>
        </w:rPr>
      </w:pPr>
      <w:r>
        <w:rPr>
          <w:rFonts w:hint="eastAsia" w:ascii="宋体" w:hAnsi="宋体" w:cs="宋体"/>
          <w:color w:val="auto"/>
          <w:szCs w:val="24"/>
        </w:rPr>
        <w:t>1.4  绿地整洁，无杂物、无白色污染（树挂），对绿化生产垃圾（如树枝、树叶、草屑等）、绿地内水面杂物，重点地区随产随清，其它地区日产日清，做到巡视保洁。</w:t>
      </w:r>
    </w:p>
    <w:p>
      <w:pPr>
        <w:ind w:firstLine="480"/>
        <w:rPr>
          <w:rFonts w:ascii="宋体" w:hAnsi="宋体" w:cs="宋体"/>
          <w:color w:val="auto"/>
          <w:szCs w:val="24"/>
        </w:rPr>
      </w:pPr>
      <w:r>
        <w:rPr>
          <w:rFonts w:hint="eastAsia" w:ascii="宋体" w:hAnsi="宋体" w:cs="宋体"/>
          <w:color w:val="auto"/>
          <w:szCs w:val="24"/>
        </w:rPr>
        <w:t>1.5  栏杆、园路、桌椅、路灯、井盖和牌示等园林设施完整、安全，维护及时。</w:t>
      </w:r>
    </w:p>
    <w:p>
      <w:pPr>
        <w:ind w:firstLine="480"/>
        <w:rPr>
          <w:rFonts w:ascii="宋体" w:hAnsi="宋体" w:cs="宋体"/>
          <w:color w:val="auto"/>
          <w:szCs w:val="24"/>
        </w:rPr>
      </w:pPr>
      <w:r>
        <w:rPr>
          <w:rFonts w:hint="eastAsia" w:ascii="宋体" w:hAnsi="宋体" w:cs="宋体"/>
          <w:color w:val="auto"/>
          <w:szCs w:val="24"/>
        </w:rPr>
        <w:t>1.6  绿地完整，无堆物、堆料、搭棚，树干上无钉拴刻画等现象。行道树下距树干2 m范围内无堆物、堆料、圈栏或搭棚设摊等影响树木生长和养护管理的现象。</w:t>
      </w:r>
    </w:p>
    <w:p>
      <w:pPr>
        <w:ind w:firstLine="482"/>
        <w:rPr>
          <w:rFonts w:ascii="宋体" w:hAnsi="宋体" w:cs="宋体"/>
          <w:b/>
          <w:color w:val="auto"/>
          <w:szCs w:val="24"/>
        </w:rPr>
      </w:pPr>
      <w:r>
        <w:rPr>
          <w:rFonts w:hint="eastAsia" w:ascii="宋体" w:hAnsi="宋体" w:cs="宋体"/>
          <w:b/>
          <w:color w:val="auto"/>
          <w:szCs w:val="24"/>
        </w:rPr>
        <w:t>2、一级绿地养护质量标准</w:t>
      </w:r>
    </w:p>
    <w:p>
      <w:pPr>
        <w:ind w:firstLine="480"/>
        <w:rPr>
          <w:rFonts w:ascii="宋体" w:hAnsi="宋体" w:cs="宋体"/>
          <w:color w:val="auto"/>
          <w:szCs w:val="24"/>
        </w:rPr>
      </w:pPr>
      <w:r>
        <w:rPr>
          <w:rFonts w:hint="eastAsia" w:ascii="宋体" w:hAnsi="宋体" w:cs="宋体"/>
          <w:color w:val="auto"/>
          <w:szCs w:val="24"/>
        </w:rPr>
        <w:t>2.1   绿化养护技术措施比较完善，管理基本得当，植物配置合理，基本达到</w:t>
      </w:r>
      <w:r>
        <w:rPr>
          <w:rFonts w:hint="eastAsia" w:ascii="宋体" w:hAnsi="宋体" w:cs="宋体"/>
          <w:color w:val="auto"/>
          <w:szCs w:val="24"/>
          <w:lang w:eastAsia="zh-CN"/>
        </w:rPr>
        <w:t>不裸土</w:t>
      </w:r>
      <w:r>
        <w:rPr>
          <w:rFonts w:hint="eastAsia" w:ascii="宋体" w:hAnsi="宋体" w:cs="宋体"/>
          <w:color w:val="auto"/>
          <w:szCs w:val="24"/>
        </w:rPr>
        <w:t>。</w:t>
      </w:r>
      <w:r>
        <w:rPr>
          <w:rFonts w:hint="eastAsia" w:ascii="宋体" w:hAnsi="宋体" w:cs="宋体"/>
          <w:color w:val="auto"/>
          <w:szCs w:val="24"/>
        </w:rPr>
        <w:br w:type="textWrapping"/>
      </w:r>
      <w:r>
        <w:rPr>
          <w:rFonts w:hint="eastAsia" w:ascii="宋体" w:hAnsi="宋体" w:cs="宋体"/>
          <w:color w:val="auto"/>
          <w:szCs w:val="24"/>
        </w:rPr>
        <w:t xml:space="preserve">    2.2  园林植物</w:t>
      </w:r>
      <w:r>
        <w:rPr>
          <w:rFonts w:hint="eastAsia" w:ascii="宋体" w:hAnsi="宋体" w:cs="宋体"/>
          <w:color w:val="auto"/>
          <w:szCs w:val="24"/>
        </w:rPr>
        <w:br w:type="textWrapping"/>
      </w:r>
      <w:r>
        <w:rPr>
          <w:rFonts w:hint="eastAsia" w:ascii="宋体" w:hAnsi="宋体" w:cs="宋体"/>
          <w:color w:val="auto"/>
          <w:szCs w:val="24"/>
        </w:rPr>
        <w:t xml:space="preserve">    2.2.1  生长正常。新建绿地各种植物3年内达到正常形态。</w:t>
      </w:r>
      <w:r>
        <w:rPr>
          <w:rFonts w:hint="eastAsia" w:ascii="宋体" w:hAnsi="宋体" w:cs="宋体"/>
          <w:color w:val="auto"/>
          <w:szCs w:val="24"/>
        </w:rPr>
        <w:br w:type="textWrapping"/>
      </w:r>
      <w:r>
        <w:rPr>
          <w:rFonts w:hint="eastAsia" w:ascii="宋体" w:hAnsi="宋体" w:cs="宋体"/>
          <w:color w:val="auto"/>
          <w:szCs w:val="24"/>
        </w:rPr>
        <w:t xml:space="preserve">    2.2.2  园林树木树冠基本完整，主侧枝分布均称、数量适宜、修剪合理，内膛不乱，通风透光。花灌木开花及时、正常，花后修剪及时。绿篱、色块枝叶正常，整齐一致。行道树无缺株，绿地内无死树。</w:t>
      </w:r>
      <w:r>
        <w:rPr>
          <w:rFonts w:hint="eastAsia" w:ascii="宋体" w:hAnsi="宋体" w:cs="宋体"/>
          <w:color w:val="auto"/>
          <w:szCs w:val="24"/>
        </w:rPr>
        <w:br w:type="textWrapping"/>
      </w:r>
      <w:r>
        <w:rPr>
          <w:rFonts w:hint="eastAsia" w:ascii="宋体" w:hAnsi="宋体" w:cs="宋体"/>
          <w:color w:val="auto"/>
          <w:szCs w:val="24"/>
        </w:rPr>
        <w:t xml:space="preserve">    2.2.3  落叶树新梢生长正常，叶片大小、颜色正常，在一般条件下，黄叶、焦叶、卷叶和带虫尿、虫网的叶片不得超过5%，正常叶片保存率在90%以上。针叶树针叶宿存2年以上，结果枝条不超过20%。</w:t>
      </w:r>
      <w:r>
        <w:rPr>
          <w:rFonts w:hint="eastAsia" w:ascii="宋体" w:hAnsi="宋体" w:cs="宋体"/>
          <w:color w:val="auto"/>
          <w:szCs w:val="24"/>
        </w:rPr>
        <w:br w:type="textWrapping"/>
      </w:r>
      <w:r>
        <w:rPr>
          <w:rFonts w:hint="eastAsia" w:ascii="宋体" w:hAnsi="宋体" w:cs="宋体"/>
          <w:color w:val="auto"/>
          <w:szCs w:val="24"/>
        </w:rPr>
        <w:t xml:space="preserve">    2.2.4  花坛、花带轮廓清晰，整齐美观，适时开花，无残缺。</w:t>
      </w:r>
      <w:r>
        <w:rPr>
          <w:rFonts w:hint="eastAsia" w:ascii="宋体" w:hAnsi="宋体" w:cs="宋体"/>
          <w:color w:val="auto"/>
          <w:szCs w:val="24"/>
        </w:rPr>
        <w:br w:type="textWrapping"/>
      </w:r>
      <w:r>
        <w:rPr>
          <w:rFonts w:hint="eastAsia" w:ascii="宋体" w:hAnsi="宋体" w:cs="宋体"/>
          <w:color w:val="auto"/>
          <w:szCs w:val="24"/>
        </w:rPr>
        <w:t xml:space="preserve">    2.2.5  草坪及地被植物整齐一致，覆盖率95 %以上，除缀花草坪外草坪内杂草率不得超过2 %。草坪绿色期：冷季型草不得少于270天，暖季型草不得少于180天。</w:t>
      </w:r>
      <w:r>
        <w:rPr>
          <w:rFonts w:hint="eastAsia" w:ascii="宋体" w:hAnsi="宋体" w:cs="宋体"/>
          <w:color w:val="auto"/>
          <w:szCs w:val="24"/>
        </w:rPr>
        <w:br w:type="textWrapping"/>
      </w:r>
      <w:r>
        <w:rPr>
          <w:rFonts w:hint="eastAsia" w:ascii="宋体" w:hAnsi="宋体" w:cs="宋体"/>
          <w:color w:val="auto"/>
          <w:szCs w:val="24"/>
        </w:rPr>
        <w:t xml:space="preserve">    2.2.6  病虫害控制及时，园林树木有蛀干害虫危害的株数不得超过1 %；园林树木的主干、主枝上平均每100 cm2介壳虫的活虫数不得超过2头，较细枝条上平均每30 cm不得超过5头，且平均被害株数不得超过3％。叶上无虫粪，被虫咬的叶片每株不得超过5%。</w:t>
      </w:r>
      <w:r>
        <w:rPr>
          <w:rFonts w:hint="eastAsia" w:ascii="宋体" w:hAnsi="宋体" w:cs="宋体"/>
          <w:color w:val="auto"/>
          <w:szCs w:val="24"/>
        </w:rPr>
        <w:br w:type="textWrapping"/>
      </w:r>
      <w:r>
        <w:rPr>
          <w:rFonts w:hint="eastAsia" w:ascii="宋体" w:hAnsi="宋体" w:cs="宋体"/>
          <w:color w:val="auto"/>
          <w:szCs w:val="24"/>
        </w:rPr>
        <w:t xml:space="preserve">    2.3  垂直绿化应根据不同植物的攀缘特点，采取相应的牵引、设置网架等技术措施，视攀缘植物生长习性，覆盖率不得低于80%，开花的攀缘植物能适时开花。</w:t>
      </w:r>
      <w:r>
        <w:rPr>
          <w:rFonts w:hint="eastAsia" w:ascii="宋体" w:hAnsi="宋体" w:cs="宋体"/>
          <w:color w:val="auto"/>
          <w:szCs w:val="24"/>
        </w:rPr>
        <w:br w:type="textWrapping"/>
      </w:r>
      <w:r>
        <w:rPr>
          <w:rFonts w:hint="eastAsia" w:ascii="宋体" w:hAnsi="宋体" w:cs="宋体"/>
          <w:color w:val="auto"/>
          <w:szCs w:val="24"/>
        </w:rPr>
        <w:t xml:space="preserve">    2.4  绿地整洁，无杂物、无白色污染（树挂），绿化生产垃圾（如树枝、树叶、草屑等）、绿地内水面杂物应日产日清，做到保洁及时。</w:t>
      </w:r>
      <w:r>
        <w:rPr>
          <w:rFonts w:hint="eastAsia" w:ascii="宋体" w:hAnsi="宋体" w:cs="宋体"/>
          <w:color w:val="auto"/>
          <w:szCs w:val="24"/>
        </w:rPr>
        <w:br w:type="textWrapping"/>
      </w:r>
      <w:r>
        <w:rPr>
          <w:rFonts w:hint="eastAsia" w:ascii="宋体" w:hAnsi="宋体" w:cs="宋体"/>
          <w:color w:val="auto"/>
          <w:szCs w:val="24"/>
        </w:rPr>
        <w:t xml:space="preserve">    2.5  栏杆、园路、桌椅、路灯、井盖和牌示等园林设施完整、安全，基本做到维护及时。</w:t>
      </w:r>
      <w:r>
        <w:rPr>
          <w:rFonts w:hint="eastAsia" w:ascii="宋体" w:hAnsi="宋体" w:cs="宋体"/>
          <w:color w:val="auto"/>
          <w:szCs w:val="24"/>
        </w:rPr>
        <w:br w:type="textWrapping"/>
      </w:r>
      <w:r>
        <w:rPr>
          <w:rFonts w:hint="eastAsia" w:ascii="宋体" w:hAnsi="宋体" w:cs="宋体"/>
          <w:color w:val="auto"/>
          <w:szCs w:val="24"/>
        </w:rPr>
        <w:t xml:space="preserve">    2.6  绿地完整，无堆物、堆料、搭棚，树干上无钉拴刻画等现象。行道树下距树干2m范围内无堆物、堆料、搭棚设摊、圈栏等影响树木生长和养护管理的现象。</w:t>
      </w:r>
    </w:p>
    <w:p>
      <w:pPr>
        <w:ind w:firstLine="479" w:firstLineChars="196"/>
        <w:rPr>
          <w:rFonts w:ascii="宋体" w:hAnsi="宋体" w:cs="宋体"/>
          <w:b/>
          <w:color w:val="auto"/>
          <w:szCs w:val="24"/>
        </w:rPr>
      </w:pPr>
      <w:r>
        <w:rPr>
          <w:rFonts w:hint="eastAsia" w:ascii="宋体" w:hAnsi="宋体" w:cs="宋体"/>
          <w:b/>
          <w:color w:val="auto"/>
          <w:szCs w:val="24"/>
        </w:rPr>
        <w:t>3、普通绿地养护质量标准</w:t>
      </w:r>
    </w:p>
    <w:p>
      <w:pPr>
        <w:ind w:firstLine="480"/>
        <w:rPr>
          <w:rFonts w:hint="eastAsia"/>
          <w:color w:val="auto"/>
          <w:lang w:val="en-US" w:eastAsia="zh-CN"/>
        </w:rPr>
      </w:pPr>
      <w:r>
        <w:rPr>
          <w:rFonts w:hint="eastAsia" w:ascii="宋体" w:hAnsi="宋体" w:cs="宋体"/>
          <w:color w:val="auto"/>
          <w:szCs w:val="24"/>
        </w:rPr>
        <w:t>3.1  绿化养护技术措施基本完善，植物配置基本合理，裸露土地不明显。</w:t>
      </w:r>
      <w:r>
        <w:rPr>
          <w:rFonts w:hint="eastAsia" w:ascii="宋体" w:hAnsi="宋体" w:cs="宋体"/>
          <w:color w:val="auto"/>
          <w:szCs w:val="24"/>
        </w:rPr>
        <w:br w:type="textWrapping"/>
      </w:r>
      <w:r>
        <w:rPr>
          <w:rFonts w:hint="eastAsia" w:ascii="宋体" w:hAnsi="宋体" w:cs="宋体"/>
          <w:color w:val="auto"/>
          <w:szCs w:val="24"/>
        </w:rPr>
        <w:t xml:space="preserve">    3.2  园林植物</w:t>
      </w:r>
      <w:r>
        <w:rPr>
          <w:rFonts w:hint="eastAsia" w:ascii="宋体" w:hAnsi="宋体" w:cs="宋体"/>
          <w:color w:val="auto"/>
          <w:szCs w:val="24"/>
        </w:rPr>
        <w:br w:type="textWrapping"/>
      </w:r>
      <w:r>
        <w:rPr>
          <w:rFonts w:hint="eastAsia" w:ascii="宋体" w:hAnsi="宋体" w:cs="宋体"/>
          <w:color w:val="auto"/>
          <w:szCs w:val="24"/>
        </w:rPr>
        <w:t xml:space="preserve">    3.2.1  生长正常。新建绿地各种植物四年内达到正常形态。</w:t>
      </w:r>
      <w:r>
        <w:rPr>
          <w:rFonts w:hint="eastAsia" w:ascii="宋体" w:hAnsi="宋体" w:cs="宋体"/>
          <w:color w:val="auto"/>
          <w:szCs w:val="24"/>
        </w:rPr>
        <w:br w:type="textWrapping"/>
      </w:r>
      <w:r>
        <w:rPr>
          <w:rFonts w:hint="eastAsia" w:ascii="宋体" w:hAnsi="宋体" w:cs="宋体"/>
          <w:color w:val="auto"/>
          <w:szCs w:val="24"/>
        </w:rPr>
        <w:t xml:space="preserve">    3.2.2  园林树木树冠基本正常，修剪及时，无明显枯枝死叉。分枝点合适，枝条粗壮，行道树缺株率不超过2%，绿地内无死树。</w:t>
      </w:r>
      <w:r>
        <w:rPr>
          <w:rFonts w:hint="eastAsia" w:ascii="宋体" w:hAnsi="宋体" w:cs="宋体"/>
          <w:color w:val="auto"/>
          <w:szCs w:val="24"/>
        </w:rPr>
        <w:br w:type="textWrapping"/>
      </w:r>
      <w:r>
        <w:rPr>
          <w:rFonts w:hint="eastAsia" w:ascii="宋体" w:hAnsi="宋体" w:cs="宋体"/>
          <w:color w:val="auto"/>
          <w:szCs w:val="24"/>
        </w:rPr>
        <w:t xml:space="preserve">    3.2.3  落叶树新梢生长基本正常，叶片大小、颜色正常，在正常条件下，有黄叶、焦叶、卷叶和带虫尿、虫网叶片的株数不得超过15%，正常叶片保存率在80%以上。针叶树针叶宿存1年以上，结果枝条不超过50 %。</w:t>
      </w:r>
      <w:r>
        <w:rPr>
          <w:rFonts w:hint="eastAsia" w:ascii="宋体" w:hAnsi="宋体" w:cs="宋体"/>
          <w:color w:val="auto"/>
          <w:szCs w:val="24"/>
        </w:rPr>
        <w:br w:type="textWrapping"/>
      </w:r>
      <w:r>
        <w:rPr>
          <w:rFonts w:hint="eastAsia" w:ascii="宋体" w:hAnsi="宋体" w:cs="宋体"/>
          <w:color w:val="auto"/>
          <w:szCs w:val="24"/>
        </w:rPr>
        <w:t xml:space="preserve">    3.2.4  花坛、花带轮廓基本清晰、整齐美观。</w:t>
      </w:r>
      <w:r>
        <w:rPr>
          <w:rFonts w:hint="eastAsia" w:ascii="宋体" w:hAnsi="宋体" w:cs="宋体"/>
          <w:color w:val="auto"/>
          <w:szCs w:val="24"/>
        </w:rPr>
        <w:br w:type="textWrapping"/>
      </w:r>
      <w:r>
        <w:rPr>
          <w:rFonts w:hint="eastAsia" w:ascii="宋体" w:hAnsi="宋体" w:cs="宋体"/>
          <w:color w:val="auto"/>
          <w:szCs w:val="24"/>
        </w:rPr>
        <w:t xml:space="preserve">    3.2.5  草坪及地被植物基本整齐，覆盖率85%以上，除缀花草坪外草坪内杂草率不得超过7%。草坪绿色期：冷季型草不得少于240天，暖季型草不得少于160天。</w:t>
      </w:r>
      <w:r>
        <w:rPr>
          <w:rFonts w:hint="eastAsia" w:ascii="宋体" w:hAnsi="宋体" w:cs="宋体"/>
          <w:color w:val="auto"/>
          <w:szCs w:val="24"/>
        </w:rPr>
        <w:br w:type="textWrapping"/>
      </w:r>
      <w:r>
        <w:rPr>
          <w:rFonts w:hint="eastAsia" w:ascii="宋体" w:hAnsi="宋体" w:cs="宋体"/>
          <w:color w:val="auto"/>
          <w:szCs w:val="24"/>
        </w:rPr>
        <w:t xml:space="preserve">    3.2.6  病虫害控制比较及时，园林树木有蛀干害虫危害的株数不得超过5%；在园林树木主干、主枝上平均每100cm2介壳虫的活虫数不得超过3头，较细枝条上平均每30cm不得超过8头，且平均被害株数不得超过10％。被虫咬的叶片每株不得超过10%。</w:t>
      </w:r>
      <w:r>
        <w:rPr>
          <w:rFonts w:hint="eastAsia" w:ascii="宋体" w:hAnsi="宋体" w:cs="宋体"/>
          <w:color w:val="auto"/>
          <w:szCs w:val="24"/>
        </w:rPr>
        <w:br w:type="textWrapping"/>
      </w:r>
      <w:r>
        <w:rPr>
          <w:rFonts w:hint="eastAsia" w:ascii="宋体" w:hAnsi="宋体" w:cs="宋体"/>
          <w:color w:val="auto"/>
          <w:szCs w:val="24"/>
        </w:rPr>
        <w:t xml:space="preserve">    3.3  垂直绿化能根据不同植物的攀缘特点，采取相应的技术措施，视攀缘植物生长习性，覆盖率不得低于70%。开花的攀缘植物能适时开花。</w:t>
      </w:r>
      <w:r>
        <w:rPr>
          <w:rFonts w:hint="eastAsia" w:ascii="宋体" w:hAnsi="宋体" w:cs="宋体"/>
          <w:color w:val="auto"/>
          <w:szCs w:val="24"/>
        </w:rPr>
        <w:br w:type="textWrapping"/>
      </w:r>
      <w:r>
        <w:rPr>
          <w:rFonts w:hint="eastAsia" w:ascii="宋体" w:hAnsi="宋体" w:cs="宋体"/>
          <w:color w:val="auto"/>
          <w:szCs w:val="24"/>
        </w:rPr>
        <w:t xml:space="preserve">    3.4  绿地基本整洁，无明显杂物，基本无白色污染（树挂），绿化生产垃圾（如树枝、树叶、草屑等）、绿地内水面杂物能日产日清，能做到保洁及时。</w:t>
      </w:r>
      <w:r>
        <w:rPr>
          <w:rFonts w:hint="eastAsia" w:ascii="宋体" w:hAnsi="宋体" w:cs="宋体"/>
          <w:color w:val="auto"/>
          <w:szCs w:val="24"/>
        </w:rPr>
        <w:br w:type="textWrapping"/>
      </w:r>
      <w:r>
        <w:rPr>
          <w:rFonts w:hint="eastAsia" w:ascii="宋体" w:hAnsi="宋体" w:cs="宋体"/>
          <w:color w:val="auto"/>
          <w:szCs w:val="24"/>
        </w:rPr>
        <w:t xml:space="preserve">    3.5  栏杆、园路、桌椅、路灯、井盖和牌示等园林设施基本完整，能进行维护。</w:t>
      </w:r>
      <w:r>
        <w:rPr>
          <w:rFonts w:hint="eastAsia" w:ascii="宋体" w:hAnsi="宋体" w:cs="宋体"/>
          <w:color w:val="auto"/>
          <w:szCs w:val="24"/>
        </w:rPr>
        <w:br w:type="textWrapping"/>
      </w:r>
      <w:r>
        <w:rPr>
          <w:rFonts w:hint="eastAsia" w:ascii="宋体" w:hAnsi="宋体" w:cs="宋体"/>
          <w:color w:val="auto"/>
          <w:szCs w:val="24"/>
        </w:rPr>
        <w:t xml:space="preserve">    3.6  绿地基本完整，无明显堆物、堆料、搭棚、树干上无钉拴刻画等现象。行道树下距树干2米范围内无明显的堆物、堆料、圈栏或搭棚设摊等影响树木生长和养护管理的现象。</w:t>
      </w:r>
    </w:p>
    <w:p>
      <w:pPr>
        <w:pStyle w:val="5"/>
        <w:bidi w:val="0"/>
        <w:rPr>
          <w:rFonts w:hint="eastAsia"/>
          <w:color w:val="auto"/>
          <w:highlight w:val="none"/>
        </w:rPr>
      </w:pPr>
      <w:r>
        <w:rPr>
          <w:rFonts w:hint="eastAsia"/>
          <w:color w:val="auto"/>
          <w:highlight w:val="none"/>
          <w:lang w:eastAsia="zh-CN"/>
        </w:rPr>
        <w:t>行道树养护标准</w:t>
      </w:r>
    </w:p>
    <w:p>
      <w:pPr>
        <w:ind w:firstLine="479" w:firstLineChars="196"/>
        <w:rPr>
          <w:rFonts w:ascii="宋体" w:hAnsi="宋体" w:cs="宋体"/>
          <w:b/>
          <w:color w:val="auto"/>
          <w:szCs w:val="24"/>
        </w:rPr>
      </w:pPr>
      <w:r>
        <w:rPr>
          <w:rFonts w:hint="eastAsia" w:ascii="宋体" w:hAnsi="宋体" w:cs="宋体"/>
          <w:b/>
          <w:color w:val="auto"/>
          <w:szCs w:val="24"/>
        </w:rPr>
        <w:t>1、一级行道树养护质量标准</w:t>
      </w:r>
    </w:p>
    <w:p>
      <w:pPr>
        <w:ind w:firstLine="480"/>
        <w:rPr>
          <w:rFonts w:ascii="宋体" w:hAnsi="宋体" w:cs="宋体"/>
          <w:b/>
          <w:color w:val="auto"/>
          <w:szCs w:val="24"/>
        </w:rPr>
      </w:pPr>
      <w:r>
        <w:rPr>
          <w:rFonts w:hint="eastAsia" w:ascii="宋体" w:hAnsi="宋体" w:cs="宋体"/>
          <w:color w:val="auto"/>
          <w:szCs w:val="24"/>
        </w:rPr>
        <w:t>1.1.1生长势好：生长量超过该树种该规格的平均生长量。</w:t>
      </w:r>
      <w:r>
        <w:rPr>
          <w:rFonts w:hint="eastAsia" w:ascii="宋体" w:hAnsi="宋体" w:cs="宋体"/>
          <w:color w:val="auto"/>
          <w:szCs w:val="24"/>
        </w:rPr>
        <w:br w:type="textWrapping"/>
      </w:r>
      <w:r>
        <w:rPr>
          <w:rFonts w:hint="eastAsia" w:ascii="宋体" w:hAnsi="宋体" w:cs="宋体"/>
          <w:color w:val="auto"/>
          <w:szCs w:val="24"/>
        </w:rPr>
        <w:t>  1.1.2 叶片健壮:</w:t>
      </w:r>
      <w:r>
        <w:rPr>
          <w:rFonts w:hint="eastAsia" w:ascii="宋体" w:hAnsi="宋体" w:cs="宋体"/>
          <w:color w:val="auto"/>
          <w:szCs w:val="24"/>
        </w:rPr>
        <w:br w:type="textWrapping"/>
      </w:r>
      <w:r>
        <w:rPr>
          <w:rFonts w:hint="eastAsia" w:ascii="宋体" w:hAnsi="宋体" w:cs="宋体"/>
          <w:color w:val="auto"/>
          <w:szCs w:val="24"/>
        </w:rPr>
        <w:t>    ａ)、叶片正常落叶树叶大而肥厚,针叶树针叶健壮，在正常条件下，不黄叶不焦叶、不卷叶、不落叶、叶上无虫粪、虫网。</w:t>
      </w:r>
      <w:r>
        <w:rPr>
          <w:rFonts w:hint="eastAsia" w:ascii="宋体" w:hAnsi="宋体" w:cs="宋体"/>
          <w:color w:val="auto"/>
          <w:szCs w:val="24"/>
        </w:rPr>
        <w:br w:type="textWrapping"/>
      </w:r>
      <w:r>
        <w:rPr>
          <w:rFonts w:hint="eastAsia" w:ascii="宋体" w:hAnsi="宋体" w:cs="宋体"/>
          <w:color w:val="auto"/>
          <w:szCs w:val="24"/>
        </w:rPr>
        <w:t>    ｂ)、被虫咬的叶片最严重的每株在5%以下（含5%下同)。</w:t>
      </w:r>
      <w:r>
        <w:rPr>
          <w:rFonts w:hint="eastAsia" w:ascii="宋体" w:hAnsi="宋体" w:cs="宋体"/>
          <w:color w:val="auto"/>
          <w:szCs w:val="24"/>
        </w:rPr>
        <w:br w:type="textWrapping"/>
      </w:r>
      <w:r>
        <w:rPr>
          <w:rFonts w:hint="eastAsia" w:ascii="宋体" w:hAnsi="宋体" w:cs="宋体"/>
          <w:color w:val="auto"/>
          <w:szCs w:val="24"/>
        </w:rPr>
        <w:t>  1.1.3 枝干健壮:</w:t>
      </w:r>
      <w:r>
        <w:rPr>
          <w:rFonts w:hint="eastAsia" w:ascii="宋体" w:hAnsi="宋体" w:cs="宋体"/>
          <w:color w:val="auto"/>
          <w:szCs w:val="24"/>
        </w:rPr>
        <w:br w:type="textWrapping"/>
      </w:r>
      <w:r>
        <w:rPr>
          <w:rFonts w:hint="eastAsia" w:ascii="宋体" w:hAnsi="宋体" w:cs="宋体"/>
          <w:color w:val="auto"/>
          <w:szCs w:val="24"/>
        </w:rPr>
        <w:t>    a)、无明显枯枝死叉，枝条粗壮，过冬枝条已木质化。</w:t>
      </w:r>
      <w:r>
        <w:rPr>
          <w:rFonts w:hint="eastAsia" w:ascii="宋体" w:hAnsi="宋体" w:cs="宋体"/>
          <w:color w:val="auto"/>
          <w:szCs w:val="24"/>
        </w:rPr>
        <w:br w:type="textWrapping"/>
      </w:r>
      <w:r>
        <w:rPr>
          <w:rFonts w:hint="eastAsia" w:ascii="宋体" w:hAnsi="宋体" w:cs="宋体"/>
          <w:color w:val="auto"/>
          <w:szCs w:val="24"/>
        </w:rPr>
        <w:t>    b)、无蛀干害虫的活卵、活虫。</w:t>
      </w:r>
      <w:r>
        <w:rPr>
          <w:rFonts w:hint="eastAsia" w:ascii="宋体" w:hAnsi="宋体" w:cs="宋体"/>
          <w:color w:val="auto"/>
          <w:szCs w:val="24"/>
        </w:rPr>
        <w:br w:type="textWrapping"/>
      </w:r>
      <w:r>
        <w:rPr>
          <w:rFonts w:hint="eastAsia" w:ascii="宋体" w:hAnsi="宋体" w:cs="宋体"/>
          <w:color w:val="auto"/>
          <w:szCs w:val="24"/>
        </w:rPr>
        <w:t>    c）、介壳虫最严重处，主干主枝上平均每100cm有一头活虫以下（含１头，下同）较细枝条平均每33cm长，在5头活虫以下，株数都在2％以下。</w:t>
      </w:r>
      <w:r>
        <w:rPr>
          <w:rFonts w:hint="eastAsia" w:ascii="宋体" w:hAnsi="宋体" w:cs="宋体"/>
          <w:color w:val="auto"/>
          <w:szCs w:val="24"/>
        </w:rPr>
        <w:br w:type="textWrapping"/>
      </w:r>
      <w:r>
        <w:rPr>
          <w:rFonts w:hint="eastAsia" w:ascii="宋体" w:hAnsi="宋体" w:cs="宋体"/>
          <w:color w:val="auto"/>
          <w:szCs w:val="24"/>
        </w:rPr>
        <w:t>    d)、无明显的人为损坏，绿地内无堆物、堆料，圈栏等。</w:t>
      </w:r>
      <w:r>
        <w:rPr>
          <w:rFonts w:hint="eastAsia" w:ascii="宋体" w:hAnsi="宋体" w:cs="宋体"/>
          <w:color w:val="auto"/>
          <w:szCs w:val="24"/>
        </w:rPr>
        <w:br w:type="textWrapping"/>
      </w:r>
      <w:r>
        <w:rPr>
          <w:rFonts w:hint="eastAsia" w:ascii="宋体" w:hAnsi="宋体" w:cs="宋体"/>
          <w:color w:val="auto"/>
          <w:szCs w:val="24"/>
        </w:rPr>
        <w:t>    e)、树冠完整美观，分枝点合适，主侧枝分布均称、数量适宜，内膛不乱，通风透光，绿篱、整型植株等应枝叶茂密，光满无缺，花灌木开花后必须进行修剪。</w:t>
      </w:r>
      <w:r>
        <w:rPr>
          <w:rFonts w:hint="eastAsia" w:ascii="宋体" w:hAnsi="宋体" w:cs="宋体"/>
          <w:color w:val="auto"/>
          <w:szCs w:val="24"/>
        </w:rPr>
        <w:br w:type="textWrapping"/>
      </w:r>
      <w:r>
        <w:rPr>
          <w:rFonts w:hint="eastAsia" w:ascii="宋体" w:hAnsi="宋体" w:cs="宋体"/>
          <w:color w:val="auto"/>
          <w:szCs w:val="24"/>
        </w:rPr>
        <w:t>  1.1.4缺株在2%以下(包括2%下同)。</w:t>
      </w:r>
      <w:r>
        <w:rPr>
          <w:rFonts w:hint="eastAsia" w:ascii="宋体" w:hAnsi="宋体" w:cs="宋体"/>
          <w:color w:val="auto"/>
          <w:szCs w:val="24"/>
        </w:rPr>
        <w:br w:type="textWrapping"/>
      </w:r>
      <w:r>
        <w:rPr>
          <w:rFonts w:hint="eastAsia" w:ascii="宋体" w:hAnsi="宋体" w:cs="宋体"/>
          <w:color w:val="auto"/>
          <w:szCs w:val="24"/>
        </w:rPr>
        <w:t xml:space="preserve">   2、</w:t>
      </w:r>
      <w:r>
        <w:rPr>
          <w:rFonts w:hint="eastAsia" w:ascii="宋体" w:hAnsi="宋体" w:cs="宋体"/>
          <w:b/>
          <w:color w:val="auto"/>
          <w:szCs w:val="24"/>
        </w:rPr>
        <w:t>普通养护质量标准</w:t>
      </w:r>
    </w:p>
    <w:p>
      <w:pPr>
        <w:ind w:left="492" w:leftChars="201" w:firstLine="0" w:firstLineChars="0"/>
        <w:rPr>
          <w:rFonts w:ascii="宋体" w:hAnsi="宋体" w:cs="宋体"/>
          <w:color w:val="auto"/>
          <w:szCs w:val="24"/>
        </w:rPr>
      </w:pPr>
      <w:r>
        <w:rPr>
          <w:rFonts w:hint="eastAsia" w:ascii="宋体" w:hAnsi="宋体" w:cs="宋体"/>
          <w:color w:val="auto"/>
          <w:szCs w:val="24"/>
        </w:rPr>
        <w:t>2.1.1生长势基本正常。</w:t>
      </w:r>
      <w:r>
        <w:rPr>
          <w:rFonts w:hint="eastAsia" w:ascii="宋体" w:hAnsi="宋体" w:cs="宋体"/>
          <w:color w:val="auto"/>
          <w:szCs w:val="24"/>
        </w:rPr>
        <w:br w:type="textWrapping"/>
      </w:r>
      <w:r>
        <w:rPr>
          <w:rFonts w:hint="eastAsia" w:ascii="宋体" w:hAnsi="宋体" w:cs="宋体"/>
          <w:color w:val="auto"/>
          <w:szCs w:val="24"/>
        </w:rPr>
        <w:t>2.1.2叶色基本正常。</w:t>
      </w:r>
      <w:r>
        <w:rPr>
          <w:rFonts w:hint="eastAsia" w:ascii="宋体" w:hAnsi="宋体" w:cs="宋体"/>
          <w:color w:val="auto"/>
          <w:szCs w:val="24"/>
        </w:rPr>
        <w:br w:type="textWrapping"/>
      </w:r>
      <w:r>
        <w:rPr>
          <w:rFonts w:hint="eastAsia" w:ascii="宋体" w:hAnsi="宋体" w:cs="宋体"/>
          <w:color w:val="auto"/>
          <w:szCs w:val="24"/>
        </w:rPr>
        <w:t>   a)、叶色基本正常。</w:t>
      </w:r>
    </w:p>
    <w:p>
      <w:pPr>
        <w:ind w:left="5" w:firstLine="492" w:firstLineChars="201"/>
        <w:rPr>
          <w:rFonts w:ascii="宋体" w:hAnsi="宋体" w:cs="宋体"/>
          <w:color w:val="auto"/>
          <w:szCs w:val="24"/>
        </w:rPr>
      </w:pPr>
      <w:r>
        <w:rPr>
          <w:rFonts w:hint="eastAsia" w:ascii="宋体" w:hAnsi="宋体" w:cs="宋体"/>
          <w:color w:val="auto"/>
          <w:szCs w:val="24"/>
        </w:rPr>
        <w:t xml:space="preserve"> b)、严重黄叶、焦叶、卷叶、带虫粪、虫网灰尘叶的株整</w:t>
      </w:r>
      <w:r>
        <w:rPr>
          <w:rFonts w:hint="eastAsia" w:ascii="宋体" w:hAnsi="宋体" w:cs="宋体"/>
          <w:color w:val="auto"/>
          <w:szCs w:val="24"/>
        </w:rPr>
        <w:br w:type="textWrapping"/>
      </w:r>
      <w:r>
        <w:rPr>
          <w:rFonts w:hint="eastAsia" w:ascii="宋体" w:hAnsi="宋体" w:cs="宋体"/>
          <w:color w:val="auto"/>
          <w:szCs w:val="24"/>
        </w:rPr>
        <w:t>在10％以下。</w:t>
      </w:r>
      <w:r>
        <w:rPr>
          <w:rFonts w:hint="eastAsia" w:ascii="宋体" w:hAnsi="宋体" w:cs="宋体"/>
          <w:color w:val="auto"/>
          <w:szCs w:val="24"/>
        </w:rPr>
        <w:br w:type="textWrapping"/>
      </w:r>
      <w:r>
        <w:rPr>
          <w:rFonts w:hint="eastAsia" w:ascii="宋体" w:hAnsi="宋体" w:cs="宋体"/>
          <w:color w:val="auto"/>
          <w:szCs w:val="24"/>
        </w:rPr>
        <w:t>   c）、被虫咬的叶片最严重的每株在20％以下。</w:t>
      </w:r>
      <w:r>
        <w:rPr>
          <w:rFonts w:hint="eastAsia" w:ascii="宋体" w:hAnsi="宋体" w:cs="宋体"/>
          <w:color w:val="auto"/>
          <w:szCs w:val="24"/>
        </w:rPr>
        <w:br w:type="textWrapping"/>
      </w:r>
      <w:r>
        <w:rPr>
          <w:rFonts w:hint="eastAsia" w:ascii="宋体" w:hAnsi="宋体" w:cs="宋体"/>
          <w:color w:val="auto"/>
          <w:szCs w:val="24"/>
        </w:rPr>
        <w:t>  2.1.3 枝干基本正常：</w:t>
      </w:r>
      <w:r>
        <w:rPr>
          <w:rFonts w:hint="eastAsia" w:ascii="宋体" w:hAnsi="宋体" w:cs="宋体"/>
          <w:color w:val="auto"/>
          <w:szCs w:val="24"/>
        </w:rPr>
        <w:br w:type="textWrapping"/>
      </w:r>
      <w:r>
        <w:rPr>
          <w:rFonts w:hint="eastAsia" w:ascii="宋体" w:hAnsi="宋体" w:cs="宋体"/>
          <w:color w:val="auto"/>
          <w:szCs w:val="24"/>
        </w:rPr>
        <w:t>   a)、无明显枯枝，死杈。</w:t>
      </w:r>
      <w:r>
        <w:rPr>
          <w:rFonts w:hint="eastAsia" w:ascii="宋体" w:hAnsi="宋体" w:cs="宋体"/>
          <w:color w:val="auto"/>
          <w:szCs w:val="24"/>
        </w:rPr>
        <w:br w:type="textWrapping"/>
      </w:r>
      <w:r>
        <w:rPr>
          <w:rFonts w:hint="eastAsia" w:ascii="宋体" w:hAnsi="宋体" w:cs="宋体"/>
          <w:color w:val="auto"/>
          <w:szCs w:val="24"/>
        </w:rPr>
        <w:t>   b)、有蛀干虫的株数在10％以下。</w:t>
      </w:r>
    </w:p>
    <w:p>
      <w:pPr>
        <w:ind w:left="5" w:firstLine="492" w:firstLineChars="201"/>
        <w:rPr>
          <w:rFonts w:ascii="宋体" w:hAnsi="宋体" w:cs="宋体"/>
          <w:color w:val="auto"/>
          <w:szCs w:val="24"/>
        </w:rPr>
      </w:pPr>
      <w:r>
        <w:rPr>
          <w:rFonts w:hint="eastAsia" w:ascii="宋体" w:hAnsi="宋体" w:cs="宋体"/>
          <w:color w:val="auto"/>
          <w:szCs w:val="24"/>
        </w:rPr>
        <w:t>c)、个壳虫最严重处，主枝、主干上平均每100cm3头活虫以下，较细枝条平均33cm长，内有15活虫头以下，株数在6％以下。</w:t>
      </w:r>
    </w:p>
    <w:p>
      <w:pPr>
        <w:ind w:left="5" w:firstLine="492" w:firstLineChars="201"/>
        <w:rPr>
          <w:rFonts w:ascii="宋体" w:hAnsi="宋体" w:cs="宋体"/>
          <w:color w:val="auto"/>
          <w:szCs w:val="24"/>
        </w:rPr>
      </w:pPr>
      <w:r>
        <w:rPr>
          <w:rFonts w:hint="eastAsia" w:ascii="宋体" w:hAnsi="宋体" w:cs="宋体"/>
          <w:color w:val="auto"/>
          <w:szCs w:val="24"/>
        </w:rPr>
        <w:t>d)、对人为损坏能及时处理，绿地内无堆物堆料搭棚，侵占等。行道树下无堆放白灰等对树木有烧伤、毒害的物质，无搭棚、围墙、圈占等。</w:t>
      </w:r>
    </w:p>
    <w:p>
      <w:pPr>
        <w:ind w:left="5" w:firstLine="492" w:firstLineChars="201"/>
        <w:rPr>
          <w:rFonts w:ascii="宋体" w:hAnsi="宋体" w:cs="宋体"/>
          <w:color w:val="auto"/>
          <w:szCs w:val="24"/>
        </w:rPr>
      </w:pPr>
      <w:r>
        <w:rPr>
          <w:rFonts w:hint="eastAsia" w:ascii="宋体" w:hAnsi="宋体" w:cs="宋体"/>
          <w:color w:val="auto"/>
          <w:szCs w:val="24"/>
        </w:rPr>
        <w:t>e)、90％以上树冠基本完整，有绿化效果。</w:t>
      </w:r>
    </w:p>
    <w:p>
      <w:pPr>
        <w:ind w:firstLine="480"/>
        <w:rPr>
          <w:rFonts w:ascii="宋体" w:hAnsi="宋体" w:cs="宋体"/>
          <w:color w:val="auto"/>
          <w:szCs w:val="24"/>
        </w:rPr>
      </w:pPr>
      <w:r>
        <w:rPr>
          <w:rFonts w:hint="eastAsia" w:ascii="宋体" w:hAnsi="宋体" w:cs="宋体"/>
          <w:color w:val="auto"/>
          <w:szCs w:val="24"/>
        </w:rPr>
        <w:t>2.1.4 缺株在6％以下。</w:t>
      </w:r>
    </w:p>
    <w:p>
      <w:pPr>
        <w:pStyle w:val="2"/>
        <w:spacing w:line="360" w:lineRule="auto"/>
        <w:ind w:firstLine="480"/>
        <w:rPr>
          <w:rFonts w:ascii="宋体" w:hAnsi="宋体" w:cs="宋体"/>
          <w:color w:val="auto"/>
          <w:szCs w:val="24"/>
        </w:rPr>
      </w:pPr>
      <w:r>
        <w:rPr>
          <w:rFonts w:hint="eastAsia" w:ascii="宋体" w:hAnsi="宋体" w:cs="宋体"/>
          <w:color w:val="auto"/>
          <w:szCs w:val="24"/>
        </w:rPr>
        <w:t>2.1.5草花更换养护标准：</w:t>
      </w:r>
    </w:p>
    <w:p>
      <w:pPr>
        <w:pStyle w:val="2"/>
        <w:spacing w:line="360" w:lineRule="auto"/>
        <w:ind w:firstLine="480"/>
        <w:rPr>
          <w:rFonts w:ascii="宋体" w:hAnsi="宋体" w:cs="宋体"/>
          <w:color w:val="auto"/>
          <w:szCs w:val="24"/>
        </w:rPr>
      </w:pPr>
      <w:r>
        <w:rPr>
          <w:rFonts w:hint="eastAsia" w:ascii="宋体" w:hAnsi="宋体" w:cs="宋体"/>
          <w:color w:val="auto"/>
          <w:szCs w:val="24"/>
        </w:rPr>
        <w:t>1.每天开花率不低于40%。</w:t>
      </w:r>
    </w:p>
    <w:p>
      <w:pPr>
        <w:pStyle w:val="2"/>
        <w:spacing w:line="360" w:lineRule="auto"/>
        <w:ind w:firstLine="480"/>
        <w:rPr>
          <w:rFonts w:ascii="宋体" w:hAnsi="宋体" w:cs="宋体"/>
          <w:color w:val="auto"/>
          <w:szCs w:val="24"/>
        </w:rPr>
      </w:pPr>
      <w:r>
        <w:rPr>
          <w:rFonts w:hint="eastAsia" w:ascii="宋体" w:hAnsi="宋体" w:cs="宋体"/>
          <w:color w:val="auto"/>
          <w:szCs w:val="24"/>
        </w:rPr>
        <w:t>2.每年更换次数不少于6次，覆盖率不低于98%。</w:t>
      </w:r>
    </w:p>
    <w:p>
      <w:pPr>
        <w:pStyle w:val="2"/>
        <w:spacing w:line="360" w:lineRule="auto"/>
        <w:ind w:firstLine="480"/>
        <w:rPr>
          <w:color w:val="auto"/>
        </w:rPr>
      </w:pPr>
      <w:r>
        <w:rPr>
          <w:rFonts w:hint="eastAsia" w:ascii="宋体" w:hAnsi="宋体" w:cs="宋体"/>
          <w:color w:val="auto"/>
          <w:szCs w:val="24"/>
        </w:rPr>
        <w:t>3.每次更换品种需甲方确认批准。</w:t>
      </w:r>
    </w:p>
    <w:p>
      <w:pPr>
        <w:pStyle w:val="5"/>
        <w:bidi w:val="0"/>
        <w:rPr>
          <w:rFonts w:hint="eastAsia"/>
          <w:color w:val="auto"/>
          <w:lang w:val="en-US" w:eastAsia="zh-CN"/>
        </w:rPr>
      </w:pPr>
      <w:r>
        <w:rPr>
          <w:rFonts w:hint="eastAsia"/>
          <w:color w:val="auto"/>
          <w:lang w:val="en-US" w:eastAsia="zh-CN"/>
        </w:rPr>
        <w:t>监管制度</w:t>
      </w:r>
    </w:p>
    <w:p>
      <w:pPr>
        <w:ind w:firstLine="482"/>
        <w:rPr>
          <w:rFonts w:ascii="宋体" w:hAnsi="宋体" w:cs="宋体"/>
          <w:b/>
          <w:color w:val="auto"/>
          <w:szCs w:val="24"/>
        </w:rPr>
      </w:pPr>
      <w:r>
        <w:rPr>
          <w:rFonts w:hint="eastAsia" w:ascii="宋体" w:hAnsi="宋体" w:cs="宋体"/>
          <w:b/>
          <w:color w:val="auto"/>
          <w:szCs w:val="24"/>
        </w:rPr>
        <w:t>1、行政监管责任落实制度</w:t>
      </w:r>
    </w:p>
    <w:p>
      <w:pPr>
        <w:spacing w:line="460" w:lineRule="exact"/>
        <w:ind w:firstLine="480"/>
        <w:rPr>
          <w:rFonts w:ascii="宋体" w:hAnsi="宋体" w:cs="宋体"/>
          <w:color w:val="auto"/>
          <w:szCs w:val="24"/>
        </w:rPr>
      </w:pPr>
      <w:r>
        <w:rPr>
          <w:rFonts w:hint="eastAsia" w:ascii="宋体" w:hAnsi="宋体" w:cs="宋体"/>
          <w:color w:val="auto"/>
          <w:szCs w:val="24"/>
        </w:rPr>
        <w:t>执行片区管护责任制，按责任区域划分落实管护监督职责</w:t>
      </w:r>
      <w:r>
        <w:rPr>
          <w:rFonts w:hint="eastAsia" w:ascii="宋体" w:hAnsi="宋体" w:cs="宋体"/>
          <w:color w:val="auto"/>
          <w:szCs w:val="24"/>
          <w:lang w:eastAsia="zh-CN"/>
        </w:rPr>
        <w:t>。</w:t>
      </w:r>
      <w:r>
        <w:rPr>
          <w:rFonts w:hint="eastAsia" w:ascii="宋体" w:hAnsi="宋体" w:cs="宋体"/>
          <w:color w:val="auto"/>
          <w:szCs w:val="24"/>
        </w:rPr>
        <w:t>及时组织召开管护工作会，聘请专家进行病虫害防治工作。</w:t>
      </w:r>
    </w:p>
    <w:p>
      <w:pPr>
        <w:spacing w:line="460" w:lineRule="exact"/>
        <w:ind w:firstLine="480"/>
        <w:rPr>
          <w:rFonts w:ascii="宋体" w:hAnsi="宋体" w:cs="宋体"/>
          <w:color w:val="auto"/>
          <w:szCs w:val="24"/>
        </w:rPr>
      </w:pPr>
      <w:r>
        <w:rPr>
          <w:rFonts w:hint="eastAsia" w:ascii="宋体" w:hAnsi="宋体" w:cs="宋体"/>
          <w:color w:val="auto"/>
          <w:szCs w:val="24"/>
        </w:rPr>
        <w:t>1.1片区管护责任人（组）工作职责</w:t>
      </w:r>
    </w:p>
    <w:p>
      <w:pPr>
        <w:spacing w:line="460" w:lineRule="exact"/>
        <w:ind w:firstLine="480"/>
        <w:rPr>
          <w:rFonts w:ascii="宋体" w:hAnsi="宋体" w:cs="宋体"/>
          <w:color w:val="auto"/>
          <w:szCs w:val="24"/>
        </w:rPr>
      </w:pPr>
      <w:r>
        <w:rPr>
          <w:rFonts w:hint="eastAsia" w:ascii="宋体" w:hAnsi="宋体" w:cs="宋体"/>
          <w:color w:val="auto"/>
          <w:szCs w:val="24"/>
        </w:rPr>
        <w:t>1.1.1、做好每日管护巡查工作及记录，发现问题及时通知责任管护单位整改到位；</w:t>
      </w:r>
      <w:r>
        <w:rPr>
          <w:rFonts w:hint="eastAsia" w:ascii="宋体" w:hAnsi="宋体" w:cs="宋体"/>
          <w:color w:val="auto"/>
          <w:szCs w:val="24"/>
          <w:lang w:eastAsia="zh-CN"/>
        </w:rPr>
        <w:t>在规定时间内</w:t>
      </w:r>
      <w:r>
        <w:rPr>
          <w:rFonts w:hint="eastAsia" w:ascii="宋体" w:hAnsi="宋体" w:cs="宋体"/>
          <w:color w:val="auto"/>
          <w:szCs w:val="24"/>
        </w:rPr>
        <w:t>不能整改到位，</w:t>
      </w:r>
      <w:r>
        <w:rPr>
          <w:rFonts w:hint="eastAsia" w:ascii="宋体" w:hAnsi="宋体" w:cs="宋体"/>
          <w:color w:val="auto"/>
          <w:szCs w:val="24"/>
          <w:lang w:val="en-US" w:eastAsia="zh-CN"/>
        </w:rPr>
        <w:t>对管护单位进行处罚并</w:t>
      </w:r>
      <w:r>
        <w:rPr>
          <w:rFonts w:hint="eastAsia" w:ascii="宋体" w:hAnsi="宋体" w:cs="宋体"/>
          <w:color w:val="auto"/>
          <w:szCs w:val="24"/>
        </w:rPr>
        <w:t>及时上报管护部，管护部</w:t>
      </w:r>
      <w:r>
        <w:rPr>
          <w:rFonts w:hint="eastAsia" w:ascii="宋体" w:hAnsi="宋体" w:cs="宋体"/>
          <w:color w:val="auto"/>
          <w:szCs w:val="24"/>
          <w:lang w:eastAsia="zh-CN"/>
        </w:rPr>
        <w:t>督促管护单位</w:t>
      </w:r>
      <w:r>
        <w:rPr>
          <w:rFonts w:hint="eastAsia" w:ascii="宋体" w:hAnsi="宋体" w:cs="宋体"/>
          <w:color w:val="auto"/>
          <w:szCs w:val="24"/>
        </w:rPr>
        <w:t>整改到位，</w:t>
      </w:r>
      <w:r>
        <w:rPr>
          <w:rFonts w:hint="eastAsia" w:ascii="宋体" w:hAnsi="宋体" w:cs="宋体"/>
          <w:color w:val="auto"/>
          <w:szCs w:val="24"/>
          <w:lang w:val="en-US" w:eastAsia="zh-CN"/>
        </w:rPr>
        <w:t>并</w:t>
      </w:r>
      <w:r>
        <w:rPr>
          <w:rFonts w:hint="eastAsia" w:ascii="宋体" w:hAnsi="宋体" w:cs="宋体"/>
          <w:color w:val="auto"/>
          <w:szCs w:val="24"/>
        </w:rPr>
        <w:t>逐级上报落实整改。</w:t>
      </w:r>
    </w:p>
    <w:p>
      <w:pPr>
        <w:spacing w:line="460" w:lineRule="exact"/>
        <w:ind w:firstLine="480"/>
        <w:rPr>
          <w:rFonts w:ascii="宋体" w:hAnsi="宋体" w:cs="宋体"/>
          <w:color w:val="auto"/>
          <w:szCs w:val="24"/>
        </w:rPr>
      </w:pPr>
      <w:r>
        <w:rPr>
          <w:rFonts w:hint="eastAsia" w:ascii="宋体" w:hAnsi="宋体" w:cs="宋体"/>
          <w:color w:val="auto"/>
          <w:szCs w:val="24"/>
        </w:rPr>
        <w:t>1.1.2、负责监督管护单位日常管护安全措施，确保安全管护、文明管护。</w:t>
      </w:r>
    </w:p>
    <w:p>
      <w:pPr>
        <w:spacing w:line="460" w:lineRule="exact"/>
        <w:ind w:firstLine="480"/>
        <w:rPr>
          <w:rFonts w:ascii="宋体" w:hAnsi="宋体" w:cs="宋体"/>
          <w:color w:val="auto"/>
          <w:szCs w:val="24"/>
        </w:rPr>
      </w:pPr>
      <w:r>
        <w:rPr>
          <w:rFonts w:hint="eastAsia" w:ascii="宋体" w:hAnsi="宋体" w:cs="宋体"/>
          <w:color w:val="auto"/>
          <w:szCs w:val="24"/>
        </w:rPr>
        <w:t>1.1.3、督促管护单位按时保质保量落实管护例会要求事项。</w:t>
      </w:r>
    </w:p>
    <w:p>
      <w:pPr>
        <w:spacing w:line="460" w:lineRule="exact"/>
        <w:ind w:firstLine="480"/>
        <w:rPr>
          <w:rFonts w:hint="eastAsia" w:ascii="宋体" w:hAnsi="宋体" w:cs="宋体"/>
          <w:color w:val="auto"/>
          <w:szCs w:val="24"/>
          <w:lang w:val="en-US" w:eastAsia="zh-CN"/>
        </w:rPr>
      </w:pPr>
      <w:r>
        <w:rPr>
          <w:rFonts w:hint="eastAsia" w:ascii="宋体" w:hAnsi="宋体" w:cs="宋体"/>
          <w:color w:val="auto"/>
          <w:szCs w:val="24"/>
        </w:rPr>
        <w:t>1.1.4、每周五上午11：00前上报周管护巡查情况表于管护部，管护部负责</w:t>
      </w:r>
      <w:r>
        <w:rPr>
          <w:rFonts w:hint="eastAsia" w:ascii="宋体" w:hAnsi="宋体" w:cs="宋体"/>
          <w:color w:val="auto"/>
          <w:szCs w:val="24"/>
          <w:lang w:val="en-US" w:eastAsia="zh-CN"/>
        </w:rPr>
        <w:t>收集。</w:t>
      </w:r>
    </w:p>
    <w:p>
      <w:pPr>
        <w:spacing w:line="460" w:lineRule="exact"/>
        <w:ind w:firstLine="480"/>
        <w:rPr>
          <w:rFonts w:ascii="宋体" w:hAnsi="宋体" w:cs="宋体"/>
          <w:color w:val="auto"/>
          <w:szCs w:val="24"/>
        </w:rPr>
      </w:pPr>
      <w:r>
        <w:rPr>
          <w:rFonts w:hint="eastAsia" w:ascii="宋体" w:hAnsi="宋体" w:cs="宋体"/>
          <w:color w:val="auto"/>
          <w:szCs w:val="24"/>
        </w:rPr>
        <w:t>1.1.5、参加每月管护考核工作，严格按照考核办法进行考核验收，确保管护质量达标。</w:t>
      </w:r>
    </w:p>
    <w:p>
      <w:pPr>
        <w:spacing w:line="460" w:lineRule="exact"/>
        <w:ind w:firstLine="480"/>
        <w:rPr>
          <w:rFonts w:ascii="宋体" w:hAnsi="宋体" w:cs="宋体"/>
          <w:color w:val="auto"/>
          <w:szCs w:val="24"/>
        </w:rPr>
      </w:pPr>
      <w:r>
        <w:rPr>
          <w:rFonts w:hint="eastAsia" w:ascii="宋体" w:hAnsi="宋体" w:cs="宋体"/>
          <w:color w:val="auto"/>
          <w:szCs w:val="24"/>
        </w:rPr>
        <w:t>1.1.6、各片区责任人（组）要严格按照《龙泉驿区城市公共绿地、街道绿地养护标准》、《龙泉驿区城区景观绿化重要节点区域养护管理标准》、《城区公共绿地、街道绿地、行道树、草花管护考核办法》、《龙泉驿区绿地管护措施登记卡》进行日常管护管理，确保监督到位。</w:t>
      </w:r>
    </w:p>
    <w:p>
      <w:pPr>
        <w:spacing w:line="460" w:lineRule="exact"/>
        <w:ind w:firstLine="480"/>
        <w:rPr>
          <w:rFonts w:ascii="宋体" w:hAnsi="宋体" w:cs="宋体"/>
          <w:color w:val="auto"/>
          <w:szCs w:val="24"/>
        </w:rPr>
      </w:pPr>
      <w:r>
        <w:rPr>
          <w:rFonts w:hint="eastAsia" w:ascii="宋体" w:hAnsi="宋体" w:cs="宋体"/>
          <w:color w:val="auto"/>
          <w:szCs w:val="24"/>
        </w:rPr>
        <w:t>1.2管护周例会制</w:t>
      </w:r>
    </w:p>
    <w:p>
      <w:pPr>
        <w:spacing w:line="460" w:lineRule="exact"/>
        <w:ind w:firstLine="480"/>
        <w:rPr>
          <w:rFonts w:ascii="宋体" w:hAnsi="宋体" w:cs="宋体"/>
          <w:color w:val="auto"/>
          <w:szCs w:val="24"/>
        </w:rPr>
      </w:pPr>
      <w:r>
        <w:rPr>
          <w:rFonts w:hint="eastAsia" w:ascii="宋体" w:hAnsi="宋体" w:cs="宋体"/>
          <w:color w:val="auto"/>
          <w:szCs w:val="24"/>
        </w:rPr>
        <w:t>1.2.1、每周一10：00由绿地建设管理中心主任主持召开管护例会，通报上周管护情况，安排本周管护工作。各责任管护单位项目经理、管护责任人和巡查组长参加会议，未经请假，迟到、早退一次扣除管护费300元，未到会者，一次扣除管护费500元。</w:t>
      </w:r>
    </w:p>
    <w:p>
      <w:pPr>
        <w:spacing w:line="460" w:lineRule="exact"/>
        <w:ind w:firstLine="480"/>
        <w:rPr>
          <w:rFonts w:ascii="宋体" w:hAnsi="宋体" w:cs="宋体"/>
          <w:color w:val="auto"/>
          <w:szCs w:val="24"/>
        </w:rPr>
      </w:pPr>
      <w:r>
        <w:rPr>
          <w:rFonts w:hint="eastAsia" w:ascii="宋体" w:hAnsi="宋体" w:cs="宋体"/>
          <w:color w:val="auto"/>
          <w:szCs w:val="24"/>
        </w:rPr>
        <w:t>1.2.2、各管护责任单位务必落实周例会安排工作，对未按规定时限完成整改事项，每项工作扣除管护费500元。</w:t>
      </w:r>
    </w:p>
    <w:p>
      <w:pPr>
        <w:spacing w:line="460" w:lineRule="exact"/>
        <w:ind w:firstLine="482"/>
        <w:rPr>
          <w:rFonts w:ascii="宋体" w:hAnsi="宋体" w:cs="宋体"/>
          <w:b/>
          <w:color w:val="auto"/>
          <w:szCs w:val="24"/>
        </w:rPr>
      </w:pPr>
      <w:r>
        <w:rPr>
          <w:rFonts w:hint="eastAsia" w:ascii="宋体" w:hAnsi="宋体" w:cs="宋体"/>
          <w:b/>
          <w:color w:val="auto"/>
          <w:szCs w:val="24"/>
        </w:rPr>
        <w:t>3、管护作息制度</w:t>
      </w:r>
    </w:p>
    <w:p>
      <w:pPr>
        <w:spacing w:line="460" w:lineRule="exact"/>
        <w:ind w:firstLine="480"/>
        <w:rPr>
          <w:rFonts w:ascii="宋体" w:hAnsi="宋体" w:cs="宋体"/>
          <w:color w:val="auto"/>
          <w:szCs w:val="24"/>
        </w:rPr>
      </w:pPr>
      <w:r>
        <w:rPr>
          <w:rFonts w:hint="eastAsia" w:ascii="宋体" w:hAnsi="宋体" w:cs="宋体"/>
          <w:color w:val="auto"/>
          <w:szCs w:val="24"/>
        </w:rPr>
        <w:t>3.1各绿地管护单位管护人员作息时间为7：00至11：00，15：00至19：00，重大节点及重要活动、庆典等管护中午11：00至15：00、夜晚19：00至22：00执行轮班制，期间管护人员必须在岗。</w:t>
      </w:r>
    </w:p>
    <w:p>
      <w:pPr>
        <w:spacing w:line="460" w:lineRule="exact"/>
        <w:ind w:firstLine="480"/>
        <w:rPr>
          <w:rFonts w:ascii="宋体" w:hAnsi="宋体" w:cs="宋体"/>
          <w:color w:val="auto"/>
          <w:szCs w:val="24"/>
        </w:rPr>
      </w:pPr>
      <w:r>
        <w:rPr>
          <w:rFonts w:hint="eastAsia" w:ascii="宋体" w:hAnsi="宋体" w:cs="宋体"/>
          <w:color w:val="auto"/>
          <w:szCs w:val="24"/>
        </w:rPr>
        <w:t>3.2管护人员工作时间不在岗，发现一次扣除管护费1000元，管护人员不足，少一人扣除管护费200元。</w:t>
      </w:r>
    </w:p>
    <w:p>
      <w:pPr>
        <w:spacing w:line="460" w:lineRule="exact"/>
        <w:ind w:firstLine="482"/>
        <w:rPr>
          <w:rFonts w:ascii="宋体" w:hAnsi="宋体" w:cs="宋体"/>
          <w:b/>
          <w:color w:val="auto"/>
          <w:szCs w:val="24"/>
        </w:rPr>
      </w:pPr>
      <w:r>
        <w:rPr>
          <w:rFonts w:hint="eastAsia" w:ascii="宋体" w:hAnsi="宋体" w:cs="宋体"/>
          <w:b/>
          <w:color w:val="auto"/>
          <w:szCs w:val="24"/>
        </w:rPr>
        <w:t>4、浇灌制度</w:t>
      </w:r>
    </w:p>
    <w:p>
      <w:pPr>
        <w:spacing w:line="460" w:lineRule="exact"/>
        <w:ind w:firstLine="480"/>
        <w:rPr>
          <w:rFonts w:ascii="宋体" w:hAnsi="宋体" w:cs="宋体"/>
          <w:color w:val="auto"/>
          <w:szCs w:val="24"/>
        </w:rPr>
      </w:pPr>
      <w:r>
        <w:rPr>
          <w:rFonts w:hint="eastAsia" w:ascii="宋体" w:hAnsi="宋体" w:cs="宋体"/>
          <w:color w:val="auto"/>
          <w:szCs w:val="24"/>
        </w:rPr>
        <w:t>4.1浇灌时间为每天7：00至11：00，16：00至20：00，未在规定时间段浇灌，发现一次扣除管护费500元。</w:t>
      </w:r>
    </w:p>
    <w:p>
      <w:pPr>
        <w:spacing w:line="460" w:lineRule="exact"/>
        <w:ind w:firstLine="480"/>
        <w:rPr>
          <w:rFonts w:ascii="宋体" w:hAnsi="宋体" w:cs="宋体"/>
          <w:color w:val="auto"/>
          <w:szCs w:val="24"/>
        </w:rPr>
      </w:pPr>
      <w:r>
        <w:rPr>
          <w:rFonts w:hint="eastAsia" w:ascii="宋体" w:hAnsi="宋体" w:cs="宋体"/>
          <w:color w:val="auto"/>
          <w:szCs w:val="24"/>
        </w:rPr>
        <w:t>4.2浇灌人工及水管严格按照各工区上报人工、水管数执行，浇灌人工不足，发现一次扣除管护费200元。</w:t>
      </w:r>
    </w:p>
    <w:p>
      <w:pPr>
        <w:spacing w:line="460" w:lineRule="exact"/>
        <w:ind w:firstLine="480"/>
        <w:rPr>
          <w:rFonts w:ascii="宋体" w:hAnsi="宋体" w:cs="宋体"/>
          <w:color w:val="auto"/>
          <w:szCs w:val="24"/>
        </w:rPr>
      </w:pPr>
      <w:r>
        <w:rPr>
          <w:rFonts w:hint="eastAsia" w:ascii="宋体" w:hAnsi="宋体" w:cs="宋体"/>
          <w:color w:val="auto"/>
          <w:szCs w:val="24"/>
        </w:rPr>
        <w:t>4.3浇灌必须全面浇透，土壤板结及时进行打孔处理，未及时进行打孔处理，影响浇灌效果，每平方米扣除管护费200元。</w:t>
      </w:r>
    </w:p>
    <w:p>
      <w:pPr>
        <w:spacing w:line="460" w:lineRule="exact"/>
        <w:ind w:firstLine="482"/>
        <w:rPr>
          <w:rFonts w:ascii="宋体" w:hAnsi="宋体" w:cs="宋体"/>
          <w:b/>
          <w:color w:val="auto"/>
          <w:szCs w:val="24"/>
        </w:rPr>
      </w:pPr>
      <w:r>
        <w:rPr>
          <w:rFonts w:hint="eastAsia" w:ascii="宋体" w:hAnsi="宋体" w:cs="宋体"/>
          <w:b/>
          <w:color w:val="auto"/>
          <w:szCs w:val="24"/>
        </w:rPr>
        <w:t>5、修剪制度</w:t>
      </w:r>
    </w:p>
    <w:p>
      <w:pPr>
        <w:spacing w:line="460" w:lineRule="exact"/>
        <w:ind w:firstLine="480"/>
        <w:rPr>
          <w:rFonts w:ascii="宋体" w:hAnsi="宋体" w:cs="宋体"/>
          <w:color w:val="auto"/>
          <w:szCs w:val="24"/>
        </w:rPr>
      </w:pPr>
      <w:r>
        <w:rPr>
          <w:rFonts w:hint="eastAsia" w:ascii="宋体" w:hAnsi="宋体" w:cs="宋体"/>
          <w:color w:val="auto"/>
          <w:szCs w:val="24"/>
        </w:rPr>
        <w:t>5.1采用专业人员操作修剪机具，修剪机在工作前务必进行检修，杜绝漏油现象，刀片保持锋利，因漏油灼伤草坪，每平方米扣除管护费200元；因刀片锈钝修剪撕裂草叶，影响景观效果，每平方米扣除管护费100元。</w:t>
      </w:r>
    </w:p>
    <w:p>
      <w:pPr>
        <w:spacing w:line="460" w:lineRule="exact"/>
        <w:ind w:firstLine="480"/>
        <w:rPr>
          <w:rFonts w:ascii="宋体" w:hAnsi="宋体" w:cs="宋体"/>
          <w:color w:val="auto"/>
          <w:szCs w:val="24"/>
        </w:rPr>
      </w:pPr>
      <w:r>
        <w:rPr>
          <w:rFonts w:hint="eastAsia" w:ascii="宋体" w:hAnsi="宋体" w:cs="宋体"/>
          <w:color w:val="auto"/>
          <w:szCs w:val="24"/>
        </w:rPr>
        <w:t>5.2草坪高度控制在5㎝至8㎝，草高超过10㎝必须及时修剪，修剪草坪不得过低，低于5㎝发现一次每平方米扣除管护费200元。修剪草渣当天清除，未及时清除，发现一次一处扣除管护费</w:t>
      </w:r>
      <w:r>
        <w:rPr>
          <w:rFonts w:hint="eastAsia" w:ascii="宋体" w:hAnsi="宋体" w:cs="宋体"/>
          <w:color w:val="auto"/>
          <w:szCs w:val="24"/>
          <w:lang w:eastAsia="zh-CN"/>
        </w:rPr>
        <w:t>500</w:t>
      </w:r>
      <w:r>
        <w:rPr>
          <w:rFonts w:hint="eastAsia" w:ascii="宋体" w:hAnsi="宋体" w:cs="宋体"/>
          <w:color w:val="auto"/>
          <w:szCs w:val="24"/>
        </w:rPr>
        <w:t>元。</w:t>
      </w:r>
    </w:p>
    <w:p>
      <w:pPr>
        <w:spacing w:line="460" w:lineRule="exact"/>
        <w:ind w:firstLine="480"/>
        <w:rPr>
          <w:rFonts w:ascii="宋体" w:hAnsi="宋体" w:cs="宋体"/>
          <w:color w:val="auto"/>
          <w:szCs w:val="24"/>
        </w:rPr>
      </w:pPr>
      <w:r>
        <w:rPr>
          <w:rFonts w:hint="eastAsia" w:ascii="宋体" w:hAnsi="宋体" w:cs="宋体"/>
          <w:color w:val="auto"/>
          <w:szCs w:val="24"/>
        </w:rPr>
        <w:t>5.3行道树修剪保持树冠完整美观，分枝点合适，主侧枝分布均称，通风透光。乔木修剪注意避让电力设施、通讯设施，确保安全间距。因城区行道树修剪不及时或修剪不当，影响行人交通及电力通讯设施等安全，一次一株扣除管护费200元。</w:t>
      </w:r>
    </w:p>
    <w:p>
      <w:pPr>
        <w:spacing w:line="460" w:lineRule="exact"/>
        <w:ind w:firstLine="480"/>
        <w:rPr>
          <w:rFonts w:ascii="宋体" w:hAnsi="宋体" w:cs="宋体"/>
          <w:color w:val="auto"/>
          <w:szCs w:val="24"/>
        </w:rPr>
      </w:pPr>
      <w:r>
        <w:rPr>
          <w:rFonts w:hint="eastAsia" w:ascii="宋体" w:hAnsi="宋体" w:cs="宋体"/>
          <w:color w:val="auto"/>
          <w:szCs w:val="24"/>
        </w:rPr>
        <w:t>5.4花乔开花后及时进行修剪，开花凋谢后5日内未进行修剪，每株扣除管护费100元。</w:t>
      </w:r>
    </w:p>
    <w:p>
      <w:pPr>
        <w:spacing w:line="460" w:lineRule="exact"/>
        <w:ind w:firstLine="482"/>
        <w:rPr>
          <w:rFonts w:ascii="宋体" w:hAnsi="宋体" w:cs="宋体"/>
          <w:b/>
          <w:color w:val="auto"/>
          <w:szCs w:val="24"/>
        </w:rPr>
      </w:pPr>
      <w:r>
        <w:rPr>
          <w:rFonts w:hint="eastAsia" w:ascii="宋体" w:hAnsi="宋体" w:cs="宋体"/>
          <w:b/>
          <w:color w:val="auto"/>
          <w:szCs w:val="24"/>
        </w:rPr>
        <w:t>6、病虫害控制</w:t>
      </w:r>
    </w:p>
    <w:p>
      <w:pPr>
        <w:spacing w:line="460" w:lineRule="exact"/>
        <w:ind w:firstLine="480"/>
        <w:rPr>
          <w:rFonts w:ascii="宋体" w:hAnsi="宋体" w:cs="宋体"/>
          <w:color w:val="auto"/>
          <w:szCs w:val="24"/>
        </w:rPr>
      </w:pPr>
      <w:r>
        <w:rPr>
          <w:rFonts w:hint="eastAsia" w:ascii="宋体" w:hAnsi="宋体" w:cs="宋体"/>
          <w:color w:val="auto"/>
          <w:szCs w:val="24"/>
        </w:rPr>
        <w:t>6.1重大病虫害防治严格按照专家诊断进行打药控制，常规预防工作由各管护单位根据实际情况灵活处理。</w:t>
      </w:r>
    </w:p>
    <w:p>
      <w:pPr>
        <w:spacing w:line="460" w:lineRule="exact"/>
        <w:ind w:firstLine="480"/>
        <w:rPr>
          <w:rFonts w:ascii="宋体" w:hAnsi="宋体" w:cs="宋体"/>
          <w:color w:val="auto"/>
          <w:szCs w:val="24"/>
        </w:rPr>
      </w:pPr>
      <w:r>
        <w:rPr>
          <w:rFonts w:hint="eastAsia" w:ascii="宋体" w:hAnsi="宋体" w:cs="宋体"/>
          <w:color w:val="auto"/>
          <w:szCs w:val="24"/>
        </w:rPr>
        <w:t>6.2各管护单位购买药品必须保证质量，发现药品存在质量问题，严重影响植物生长或导致植物死亡，除更换同等规格植物外，扣除管护费2000元。</w:t>
      </w:r>
    </w:p>
    <w:p>
      <w:pPr>
        <w:spacing w:line="460" w:lineRule="exact"/>
        <w:ind w:firstLine="480"/>
        <w:rPr>
          <w:rFonts w:ascii="宋体" w:hAnsi="宋体" w:cs="宋体"/>
          <w:color w:val="auto"/>
          <w:szCs w:val="24"/>
        </w:rPr>
      </w:pPr>
      <w:r>
        <w:rPr>
          <w:rFonts w:hint="eastAsia" w:ascii="宋体" w:hAnsi="宋体" w:cs="宋体"/>
          <w:color w:val="auto"/>
          <w:szCs w:val="24"/>
        </w:rPr>
        <w:t>6.3打药及时，药量适中，浓度不得超标，操作人员必须配戴口罩、手套。发现药剂浓度超标导致植物灼伤，每平方米扣除管护费500元；操作人员不按照要求配戴口罩、手套，发现一次扣除管护费</w:t>
      </w:r>
      <w:r>
        <w:rPr>
          <w:rFonts w:hint="eastAsia" w:ascii="宋体" w:hAnsi="宋体" w:cs="宋体"/>
          <w:color w:val="auto"/>
          <w:szCs w:val="24"/>
          <w:lang w:eastAsia="zh-CN"/>
        </w:rPr>
        <w:t>500</w:t>
      </w:r>
      <w:r>
        <w:rPr>
          <w:rFonts w:hint="eastAsia" w:ascii="宋体" w:hAnsi="宋体" w:cs="宋体"/>
          <w:color w:val="auto"/>
          <w:szCs w:val="24"/>
        </w:rPr>
        <w:t>元。</w:t>
      </w:r>
    </w:p>
    <w:p>
      <w:pPr>
        <w:spacing w:line="460" w:lineRule="exact"/>
        <w:ind w:firstLine="482"/>
        <w:rPr>
          <w:rFonts w:ascii="宋体" w:hAnsi="宋体" w:cs="宋体"/>
          <w:b/>
          <w:color w:val="auto"/>
          <w:szCs w:val="24"/>
        </w:rPr>
      </w:pPr>
      <w:r>
        <w:rPr>
          <w:rFonts w:hint="eastAsia" w:ascii="宋体" w:hAnsi="宋体" w:cs="宋体"/>
          <w:b/>
          <w:color w:val="auto"/>
          <w:szCs w:val="24"/>
        </w:rPr>
        <w:t>7、施肥管理</w:t>
      </w:r>
    </w:p>
    <w:p>
      <w:pPr>
        <w:spacing w:line="460" w:lineRule="exact"/>
        <w:ind w:firstLine="480"/>
        <w:rPr>
          <w:rFonts w:ascii="宋体" w:hAnsi="宋体" w:cs="宋体"/>
          <w:color w:val="auto"/>
          <w:szCs w:val="24"/>
        </w:rPr>
      </w:pPr>
      <w:r>
        <w:rPr>
          <w:rFonts w:hint="eastAsia" w:ascii="宋体" w:hAnsi="宋体" w:cs="宋体"/>
          <w:color w:val="auto"/>
          <w:szCs w:val="24"/>
        </w:rPr>
        <w:t>7.1施肥及时、科学、全面。</w:t>
      </w:r>
    </w:p>
    <w:p>
      <w:pPr>
        <w:spacing w:line="460" w:lineRule="exact"/>
        <w:ind w:firstLine="480"/>
        <w:rPr>
          <w:rFonts w:ascii="宋体" w:hAnsi="宋体" w:cs="宋体"/>
          <w:color w:val="auto"/>
          <w:szCs w:val="24"/>
        </w:rPr>
      </w:pPr>
      <w:r>
        <w:rPr>
          <w:rFonts w:hint="eastAsia" w:ascii="宋体" w:hAnsi="宋体" w:cs="宋体"/>
          <w:color w:val="auto"/>
          <w:szCs w:val="24"/>
        </w:rPr>
        <w:t>7.2施肥均匀，颗粒状肥料施后及时进行浇水。因施肥不均匀导致植物灼伤，每平方米扣除管护费200元。</w:t>
      </w:r>
    </w:p>
    <w:p>
      <w:pPr>
        <w:spacing w:line="460" w:lineRule="exact"/>
        <w:ind w:firstLine="482"/>
        <w:rPr>
          <w:rFonts w:ascii="宋体" w:hAnsi="宋体" w:cs="宋体"/>
          <w:b/>
          <w:color w:val="auto"/>
          <w:szCs w:val="24"/>
        </w:rPr>
      </w:pPr>
      <w:r>
        <w:rPr>
          <w:rFonts w:hint="eastAsia" w:ascii="宋体" w:hAnsi="宋体" w:cs="宋体"/>
          <w:b/>
          <w:color w:val="auto"/>
          <w:szCs w:val="24"/>
        </w:rPr>
        <w:t>8、鲜花更换</w:t>
      </w:r>
    </w:p>
    <w:p>
      <w:pPr>
        <w:spacing w:line="460" w:lineRule="exact"/>
        <w:ind w:firstLine="480"/>
        <w:rPr>
          <w:rFonts w:ascii="宋体" w:hAnsi="宋体" w:cs="宋体"/>
          <w:color w:val="auto"/>
          <w:szCs w:val="24"/>
        </w:rPr>
      </w:pPr>
      <w:r>
        <w:rPr>
          <w:rFonts w:hint="eastAsia" w:ascii="宋体" w:hAnsi="宋体" w:cs="宋体"/>
          <w:color w:val="auto"/>
          <w:szCs w:val="24"/>
        </w:rPr>
        <w:t>鲜花凋谢及时进行更换，更换品种</w:t>
      </w:r>
      <w:r>
        <w:rPr>
          <w:rFonts w:hint="eastAsia" w:ascii="宋体" w:hAnsi="宋体" w:cs="宋体"/>
          <w:color w:val="auto"/>
          <w:szCs w:val="24"/>
          <w:lang w:val="en-US" w:eastAsia="zh-CN"/>
        </w:rPr>
        <w:t>及规格</w:t>
      </w:r>
      <w:r>
        <w:rPr>
          <w:rFonts w:hint="eastAsia" w:ascii="宋体" w:hAnsi="宋体" w:cs="宋体"/>
          <w:color w:val="auto"/>
          <w:szCs w:val="24"/>
        </w:rPr>
        <w:t>严格按照甲方要求进行。鲜花凋谢后未及时进行更换，一次每平方米扣除管护费200元。</w:t>
      </w:r>
    </w:p>
    <w:p>
      <w:pPr>
        <w:spacing w:line="460" w:lineRule="exact"/>
        <w:ind w:firstLine="482"/>
        <w:rPr>
          <w:rFonts w:ascii="宋体" w:hAnsi="宋体" w:cs="宋体"/>
          <w:b/>
          <w:color w:val="auto"/>
          <w:szCs w:val="24"/>
        </w:rPr>
      </w:pPr>
      <w:r>
        <w:rPr>
          <w:rFonts w:hint="eastAsia" w:ascii="宋体" w:hAnsi="宋体" w:cs="宋体"/>
          <w:b/>
          <w:color w:val="auto"/>
          <w:szCs w:val="24"/>
        </w:rPr>
        <w:t>9、节点设施设配维护、维修制度</w:t>
      </w:r>
    </w:p>
    <w:p>
      <w:pPr>
        <w:spacing w:line="460" w:lineRule="exact"/>
        <w:ind w:firstLine="480"/>
        <w:rPr>
          <w:rFonts w:ascii="宋体" w:hAnsi="宋体" w:cs="宋体"/>
          <w:color w:val="auto"/>
          <w:szCs w:val="24"/>
        </w:rPr>
      </w:pPr>
      <w:r>
        <w:rPr>
          <w:rFonts w:hint="eastAsia" w:ascii="宋体" w:hAnsi="宋体" w:cs="宋体"/>
          <w:color w:val="auto"/>
          <w:szCs w:val="24"/>
        </w:rPr>
        <w:t>管护单位对节点设施</w:t>
      </w:r>
      <w:r>
        <w:rPr>
          <w:rFonts w:hint="eastAsia" w:ascii="宋体" w:hAnsi="宋体" w:cs="宋体"/>
          <w:color w:val="auto"/>
          <w:szCs w:val="24"/>
          <w:lang w:eastAsia="zh-CN"/>
        </w:rPr>
        <w:t>设备</w:t>
      </w:r>
      <w:r>
        <w:rPr>
          <w:rFonts w:hint="eastAsia" w:ascii="宋体" w:hAnsi="宋体" w:cs="宋体"/>
          <w:color w:val="auto"/>
          <w:szCs w:val="24"/>
        </w:rPr>
        <w:t>进行定期、不定期检查，及时维护、维修；对已不能维修的设备</w:t>
      </w:r>
      <w:r>
        <w:rPr>
          <w:rFonts w:hint="eastAsia" w:ascii="宋体" w:hAnsi="宋体" w:cs="宋体"/>
          <w:color w:val="auto"/>
          <w:szCs w:val="24"/>
          <w:lang w:eastAsia="zh-CN"/>
        </w:rPr>
        <w:t>及时</w:t>
      </w:r>
      <w:r>
        <w:rPr>
          <w:rFonts w:hint="eastAsia" w:ascii="宋体" w:hAnsi="宋体" w:cs="宋体"/>
          <w:color w:val="auto"/>
          <w:szCs w:val="24"/>
        </w:rPr>
        <w:t>上报，并按甲方规定要求及时更换；未在规定时间上报的一次扣除管护费1000元；未按规定要求更换到位的，一次扣除管护费2000元。</w:t>
      </w:r>
    </w:p>
    <w:p>
      <w:pPr>
        <w:spacing w:line="460" w:lineRule="exact"/>
        <w:ind w:firstLine="482"/>
        <w:rPr>
          <w:rFonts w:ascii="宋体" w:hAnsi="宋体" w:cs="宋体"/>
          <w:b/>
          <w:color w:val="auto"/>
          <w:szCs w:val="24"/>
        </w:rPr>
      </w:pPr>
      <w:r>
        <w:rPr>
          <w:rFonts w:hint="eastAsia" w:ascii="宋体" w:hAnsi="宋体" w:cs="宋体"/>
          <w:b/>
          <w:color w:val="auto"/>
          <w:szCs w:val="24"/>
        </w:rPr>
        <w:t>10、节点动物饲养制度</w:t>
      </w:r>
    </w:p>
    <w:p>
      <w:pPr>
        <w:spacing w:line="460" w:lineRule="exact"/>
        <w:ind w:firstLine="480"/>
        <w:rPr>
          <w:rFonts w:ascii="宋体" w:hAnsi="宋体" w:cs="宋体"/>
          <w:color w:val="auto"/>
          <w:szCs w:val="24"/>
        </w:rPr>
      </w:pPr>
      <w:r>
        <w:rPr>
          <w:rFonts w:hint="eastAsia" w:ascii="宋体" w:hAnsi="宋体" w:cs="宋体"/>
          <w:color w:val="auto"/>
          <w:szCs w:val="24"/>
        </w:rPr>
        <w:t>管护单位对节点的动物管养不到位，造成死亡的（或丢失），一次一只扣管护费1000元，并购买同品种、品质的补充到位。</w:t>
      </w:r>
    </w:p>
    <w:p>
      <w:pPr>
        <w:spacing w:line="460" w:lineRule="exact"/>
        <w:ind w:firstLine="482"/>
        <w:rPr>
          <w:rFonts w:ascii="宋体" w:hAnsi="宋体" w:cs="宋体"/>
          <w:b/>
          <w:color w:val="auto"/>
          <w:szCs w:val="24"/>
        </w:rPr>
      </w:pPr>
      <w:r>
        <w:rPr>
          <w:rFonts w:hint="eastAsia" w:ascii="宋体" w:hAnsi="宋体" w:cs="宋体"/>
          <w:b/>
          <w:color w:val="auto"/>
          <w:szCs w:val="24"/>
        </w:rPr>
        <w:t>11、节点管护人员在岗考核制度</w:t>
      </w:r>
    </w:p>
    <w:p>
      <w:pPr>
        <w:spacing w:line="460" w:lineRule="exact"/>
        <w:ind w:firstLine="480"/>
        <w:rPr>
          <w:rFonts w:ascii="宋体" w:hAnsi="宋体" w:cs="宋体"/>
          <w:color w:val="auto"/>
          <w:szCs w:val="24"/>
        </w:rPr>
      </w:pPr>
      <w:r>
        <w:rPr>
          <w:rFonts w:hint="eastAsia" w:ascii="宋体" w:hAnsi="宋体" w:cs="宋体"/>
          <w:color w:val="auto"/>
          <w:szCs w:val="24"/>
        </w:rPr>
        <w:t>甲方定期不定期对节点设置岗位进行查岗，缺岗一人一次扣管护费200元。</w:t>
      </w:r>
    </w:p>
    <w:p>
      <w:pPr>
        <w:spacing w:line="460" w:lineRule="exact"/>
        <w:ind w:firstLine="482"/>
        <w:rPr>
          <w:rFonts w:ascii="宋体" w:hAnsi="宋体" w:cs="宋体"/>
          <w:b/>
          <w:color w:val="auto"/>
          <w:szCs w:val="24"/>
        </w:rPr>
      </w:pPr>
      <w:r>
        <w:rPr>
          <w:rFonts w:hint="eastAsia" w:ascii="宋体" w:hAnsi="宋体" w:cs="宋体"/>
          <w:b/>
          <w:color w:val="auto"/>
          <w:szCs w:val="24"/>
        </w:rPr>
        <w:t>12、考核制度</w:t>
      </w:r>
    </w:p>
    <w:p>
      <w:pPr>
        <w:snapToGrid w:val="0"/>
        <w:spacing w:line="460" w:lineRule="exact"/>
        <w:ind w:firstLine="480"/>
        <w:rPr>
          <w:rFonts w:ascii="宋体" w:hAnsi="宋体" w:cs="宋体"/>
          <w:b/>
          <w:color w:val="auto"/>
          <w:szCs w:val="24"/>
        </w:rPr>
      </w:pPr>
      <w:r>
        <w:rPr>
          <w:rFonts w:hint="eastAsia" w:ascii="宋体" w:hAnsi="宋体" w:cs="宋体"/>
          <w:color w:val="auto"/>
          <w:szCs w:val="24"/>
        </w:rPr>
        <w:t>管护考核严格按照《城区公共绿地、街道绿地、行道树、草花管护考核办法》进行，由采购人组织，各管护单位管护责任人必须参加现场考核，缺席一次扣除管护费</w:t>
      </w:r>
      <w:r>
        <w:rPr>
          <w:rFonts w:hint="eastAsia" w:ascii="宋体" w:hAnsi="宋体" w:cs="宋体"/>
          <w:color w:val="auto"/>
          <w:szCs w:val="24"/>
          <w:lang w:eastAsia="zh-CN"/>
        </w:rPr>
        <w:t>1000</w:t>
      </w:r>
      <w:r>
        <w:rPr>
          <w:rFonts w:hint="eastAsia" w:ascii="宋体" w:hAnsi="宋体" w:cs="宋体"/>
          <w:color w:val="auto"/>
          <w:szCs w:val="24"/>
        </w:rPr>
        <w:t>元。</w:t>
      </w:r>
    </w:p>
    <w:p>
      <w:pPr>
        <w:pStyle w:val="4"/>
        <w:rPr>
          <w:color w:val="auto"/>
          <w:sz w:val="24"/>
          <w:szCs w:val="24"/>
          <w:highlight w:val="none"/>
        </w:rPr>
      </w:pPr>
      <w:bookmarkStart w:id="279" w:name="_Toc22065"/>
      <w:r>
        <w:rPr>
          <w:rFonts w:hint="eastAsia"/>
          <w:color w:val="auto"/>
          <w:sz w:val="24"/>
          <w:szCs w:val="24"/>
          <w:highlight w:val="none"/>
          <w:lang w:val="en-US" w:eastAsia="zh-CN"/>
        </w:rPr>
        <w:t>考核办法</w:t>
      </w:r>
      <w:bookmarkEnd w:id="279"/>
    </w:p>
    <w:p>
      <w:pPr>
        <w:numPr>
          <w:ilvl w:val="0"/>
          <w:numId w:val="42"/>
        </w:numPr>
        <w:ind w:firstLine="480"/>
        <w:rPr>
          <w:rFonts w:ascii="宋体" w:hAnsi="宋体" w:cs="宋体"/>
          <w:color w:val="auto"/>
          <w:szCs w:val="24"/>
        </w:rPr>
      </w:pPr>
      <w:bookmarkStart w:id="280" w:name="_Toc27684"/>
      <w:r>
        <w:rPr>
          <w:rFonts w:hint="eastAsia" w:ascii="宋体" w:hAnsi="宋体" w:cs="宋体"/>
          <w:color w:val="auto"/>
          <w:szCs w:val="24"/>
        </w:rPr>
        <w:t>考核方式与要求</w:t>
      </w:r>
    </w:p>
    <w:p>
      <w:pPr>
        <w:pStyle w:val="2"/>
        <w:numPr>
          <w:ilvl w:val="0"/>
          <w:numId w:val="43"/>
        </w:numPr>
        <w:spacing w:line="360" w:lineRule="auto"/>
        <w:ind w:firstLine="480"/>
        <w:rPr>
          <w:rFonts w:ascii="宋体" w:hAnsi="宋体" w:eastAsia="宋体" w:cs="宋体"/>
          <w:color w:val="auto"/>
          <w:sz w:val="24"/>
          <w:szCs w:val="24"/>
        </w:rPr>
      </w:pPr>
      <w:r>
        <w:rPr>
          <w:rFonts w:ascii="宋体" w:hAnsi="宋体" w:eastAsia="宋体" w:cs="宋体"/>
          <w:color w:val="auto"/>
          <w:sz w:val="24"/>
          <w:szCs w:val="24"/>
        </w:rPr>
        <w:t>考核采取定期和不定期相结合的办法综合评定。</w:t>
      </w:r>
      <w:r>
        <w:rPr>
          <w:rFonts w:ascii="宋体" w:hAnsi="宋体" w:eastAsia="宋体" w:cs="宋体"/>
          <w:color w:val="auto"/>
          <w:sz w:val="24"/>
          <w:szCs w:val="24"/>
        </w:rPr>
        <w:br w:type="textWrapping"/>
      </w:r>
      <w:r>
        <w:rPr>
          <w:rFonts w:ascii="宋体" w:hAnsi="宋体" w:eastAsia="宋体" w:cs="宋体"/>
          <w:color w:val="auto"/>
          <w:sz w:val="24"/>
          <w:szCs w:val="24"/>
        </w:rPr>
        <w:t>定期检查：每月</w:t>
      </w:r>
      <w:r>
        <w:rPr>
          <w:rFonts w:hint="eastAsia" w:ascii="宋体" w:hAnsi="宋体" w:cs="宋体"/>
          <w:color w:val="auto"/>
          <w:sz w:val="24"/>
          <w:szCs w:val="24"/>
          <w:lang w:val="en-US" w:eastAsia="zh-CN"/>
        </w:rPr>
        <w:t>上旬</w:t>
      </w:r>
      <w:r>
        <w:rPr>
          <w:rFonts w:ascii="宋体" w:hAnsi="宋体" w:eastAsia="宋体" w:cs="宋体"/>
          <w:color w:val="auto"/>
          <w:sz w:val="24"/>
          <w:szCs w:val="24"/>
        </w:rPr>
        <w:t>，由区绿地建管中心牵头，会同区公园城市局财务管理科、园林绿化管理科、审计科、办公室进行现场检查，考核上月管护</w:t>
      </w:r>
      <w:r>
        <w:rPr>
          <w:rFonts w:hint="eastAsia" w:ascii="宋体" w:hAnsi="宋体" w:cs="宋体"/>
          <w:color w:val="auto"/>
          <w:sz w:val="24"/>
          <w:szCs w:val="24"/>
          <w:lang w:val="en-US" w:eastAsia="zh-CN"/>
        </w:rPr>
        <w:t>完成情况和管护质量</w:t>
      </w:r>
      <w:r>
        <w:rPr>
          <w:rFonts w:ascii="宋体" w:hAnsi="宋体" w:eastAsia="宋体" w:cs="宋体"/>
          <w:color w:val="auto"/>
          <w:sz w:val="24"/>
          <w:szCs w:val="24"/>
        </w:rPr>
        <w:t>。</w:t>
      </w:r>
      <w:r>
        <w:rPr>
          <w:rFonts w:ascii="宋体" w:hAnsi="宋体" w:eastAsia="宋体" w:cs="宋体"/>
          <w:color w:val="auto"/>
          <w:sz w:val="24"/>
          <w:szCs w:val="24"/>
        </w:rPr>
        <w:br w:type="textWrapping"/>
      </w:r>
      <w:r>
        <w:rPr>
          <w:rFonts w:hint="eastAsia" w:ascii="宋体" w:hAnsi="宋体" w:cs="宋体"/>
          <w:color w:val="auto"/>
          <w:sz w:val="24"/>
          <w:szCs w:val="24"/>
          <w:lang w:val="en-US" w:eastAsia="zh-CN"/>
        </w:rPr>
        <w:t xml:space="preserve">    </w:t>
      </w:r>
      <w:r>
        <w:rPr>
          <w:rFonts w:ascii="宋体" w:hAnsi="宋体" w:eastAsia="宋体" w:cs="宋体"/>
          <w:color w:val="auto"/>
          <w:sz w:val="24"/>
          <w:szCs w:val="24"/>
        </w:rPr>
        <w:t>2、不定期检查：由区绿地建管中心</w:t>
      </w:r>
      <w:r>
        <w:rPr>
          <w:rFonts w:hint="eastAsia" w:ascii="宋体" w:hAnsi="宋体" w:cs="宋体"/>
          <w:color w:val="auto"/>
          <w:sz w:val="24"/>
          <w:szCs w:val="24"/>
          <w:lang w:val="en-US" w:eastAsia="zh-CN"/>
        </w:rPr>
        <w:t>组织</w:t>
      </w:r>
      <w:r>
        <w:rPr>
          <w:rFonts w:ascii="宋体" w:hAnsi="宋体" w:eastAsia="宋体" w:cs="宋体"/>
          <w:color w:val="auto"/>
          <w:sz w:val="24"/>
          <w:szCs w:val="24"/>
        </w:rPr>
        <w:t>，</w:t>
      </w:r>
      <w:r>
        <w:rPr>
          <w:rFonts w:hint="eastAsia" w:ascii="宋体" w:hAnsi="宋体" w:cs="宋体"/>
          <w:color w:val="auto"/>
          <w:sz w:val="24"/>
          <w:szCs w:val="24"/>
          <w:lang w:val="en-US" w:eastAsia="zh-CN"/>
        </w:rPr>
        <w:t>各巡查小组</w:t>
      </w:r>
      <w:r>
        <w:rPr>
          <w:rFonts w:ascii="宋体" w:hAnsi="宋体" w:eastAsia="宋体" w:cs="宋体"/>
          <w:color w:val="auto"/>
          <w:sz w:val="24"/>
          <w:szCs w:val="24"/>
        </w:rPr>
        <w:t>会同区公园局不定期对绿地管护情况单独检查并做好记录，记录情况作为考核依据。</w:t>
      </w:r>
    </w:p>
    <w:p>
      <w:pPr>
        <w:pStyle w:val="2"/>
        <w:numPr>
          <w:ilvl w:val="0"/>
          <w:numId w:val="0"/>
        </w:numPr>
        <w:spacing w:line="360" w:lineRule="auto"/>
        <w:ind w:firstLine="490" w:firstLineChars="200"/>
        <w:rPr>
          <w:rFonts w:ascii="宋体" w:hAnsi="宋体" w:cs="宋体"/>
          <w:color w:val="auto"/>
          <w:szCs w:val="24"/>
        </w:rPr>
      </w:pPr>
      <w:r>
        <w:rPr>
          <w:rFonts w:hint="eastAsia" w:ascii="宋体" w:hAnsi="宋体" w:cs="宋体"/>
          <w:color w:val="auto"/>
          <w:szCs w:val="24"/>
          <w:lang w:eastAsia="zh-CN"/>
        </w:rPr>
        <w:t>3、</w:t>
      </w:r>
      <w:r>
        <w:rPr>
          <w:rFonts w:hint="eastAsia" w:ascii="宋体" w:hAnsi="宋体" w:cs="宋体"/>
          <w:color w:val="auto"/>
          <w:szCs w:val="24"/>
        </w:rPr>
        <w:t>考核按照城市公共绿地、街道绿地管护方案，定点、定量、定质进行考核。</w:t>
      </w:r>
    </w:p>
    <w:p>
      <w:pPr>
        <w:pStyle w:val="2"/>
        <w:spacing w:line="360" w:lineRule="auto"/>
        <w:ind w:firstLine="480"/>
        <w:rPr>
          <w:rFonts w:ascii="宋体" w:hAnsi="宋体" w:cs="宋体"/>
          <w:color w:val="auto"/>
          <w:szCs w:val="24"/>
        </w:rPr>
      </w:pPr>
      <w:r>
        <w:rPr>
          <w:rFonts w:hint="eastAsia" w:ascii="宋体" w:hAnsi="宋体" w:cs="宋体"/>
          <w:color w:val="auto"/>
          <w:szCs w:val="24"/>
          <w:lang w:eastAsia="zh-CN"/>
        </w:rPr>
        <w:t>4、</w:t>
      </w:r>
      <w:r>
        <w:rPr>
          <w:rFonts w:hint="eastAsia" w:ascii="宋体" w:hAnsi="宋体" w:cs="宋体"/>
          <w:color w:val="auto"/>
          <w:szCs w:val="24"/>
        </w:rPr>
        <w:t>每月根据管护单位实际管护</w:t>
      </w:r>
      <w:r>
        <w:rPr>
          <w:rFonts w:hint="eastAsia" w:ascii="宋体" w:hAnsi="宋体" w:cs="宋体"/>
          <w:color w:val="auto"/>
          <w:sz w:val="24"/>
          <w:szCs w:val="24"/>
          <w:lang w:val="en-US" w:eastAsia="zh-CN"/>
        </w:rPr>
        <w:t>完成情况和管护质量</w:t>
      </w:r>
      <w:r>
        <w:rPr>
          <w:rFonts w:hint="eastAsia" w:ascii="宋体" w:hAnsi="宋体" w:cs="宋体"/>
          <w:color w:val="auto"/>
          <w:szCs w:val="24"/>
        </w:rPr>
        <w:t>及考核验收结果，决算并支付上月管护费。</w:t>
      </w:r>
    </w:p>
    <w:p>
      <w:pPr>
        <w:pStyle w:val="2"/>
        <w:spacing w:line="360" w:lineRule="auto"/>
        <w:ind w:firstLine="480"/>
        <w:rPr>
          <w:rFonts w:ascii="宋体" w:hAnsi="宋体" w:cs="宋体"/>
          <w:color w:val="auto"/>
          <w:szCs w:val="24"/>
        </w:rPr>
      </w:pPr>
      <w:r>
        <w:rPr>
          <w:rFonts w:hint="eastAsia" w:ascii="宋体" w:hAnsi="宋体" w:cs="宋体"/>
          <w:color w:val="auto"/>
          <w:szCs w:val="24"/>
          <w:lang w:eastAsia="zh-CN"/>
        </w:rPr>
        <w:t>5、</w:t>
      </w:r>
      <w:r>
        <w:rPr>
          <w:rFonts w:hint="eastAsia" w:ascii="宋体" w:hAnsi="宋体" w:cs="宋体"/>
          <w:color w:val="auto"/>
          <w:szCs w:val="24"/>
        </w:rPr>
        <w:t>实际结算管护费低于当月管护费70%以下（含70%），区绿地建管中心有权终止管护合同。</w:t>
      </w:r>
    </w:p>
    <w:p>
      <w:pPr>
        <w:pStyle w:val="2"/>
        <w:spacing w:line="360" w:lineRule="auto"/>
        <w:ind w:firstLine="480"/>
        <w:rPr>
          <w:rFonts w:ascii="宋体" w:hAnsi="宋体" w:cs="宋体"/>
          <w:color w:val="auto"/>
          <w:szCs w:val="24"/>
        </w:rPr>
      </w:pPr>
      <w:r>
        <w:rPr>
          <w:rFonts w:hint="eastAsia" w:ascii="宋体" w:hAnsi="宋体" w:cs="宋体"/>
          <w:color w:val="auto"/>
          <w:szCs w:val="24"/>
          <w:lang w:eastAsia="zh-CN"/>
        </w:rPr>
        <w:t>6、</w:t>
      </w:r>
      <w:r>
        <w:rPr>
          <w:rFonts w:hint="eastAsia" w:ascii="宋体" w:hAnsi="宋体" w:cs="宋体"/>
          <w:color w:val="auto"/>
          <w:szCs w:val="24"/>
        </w:rPr>
        <w:t>考核的具体内容及评分</w:t>
      </w:r>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项目</w:t>
            </w: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restart"/>
            <w:vAlign w:val="center"/>
          </w:tcPr>
          <w:p>
            <w:pPr>
              <w:pStyle w:val="2"/>
              <w:spacing w:line="360" w:lineRule="auto"/>
              <w:ind w:firstLine="0" w:firstLineChars="0"/>
              <w:jc w:val="center"/>
              <w:rPr>
                <w:rFonts w:ascii="宋体" w:hAnsi="宋体" w:cs="宋体"/>
                <w:color w:val="auto"/>
                <w:kern w:val="0"/>
                <w:szCs w:val="24"/>
              </w:rPr>
            </w:pPr>
            <w:r>
              <w:rPr>
                <w:rFonts w:hint="eastAsia" w:ascii="宋体" w:hAnsi="宋体" w:cs="宋体"/>
                <w:color w:val="auto"/>
                <w:kern w:val="0"/>
                <w:szCs w:val="24"/>
              </w:rPr>
              <w:t>一、清扫保洁</w:t>
            </w: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1、工作时间内无人及时清扫垃圾，一次扣该</w:t>
            </w:r>
            <w:r>
              <w:rPr>
                <w:rFonts w:hint="eastAsia" w:ascii="宋体" w:hAnsi="宋体" w:cs="宋体"/>
                <w:color w:val="auto"/>
                <w:kern w:val="0"/>
                <w:szCs w:val="24"/>
                <w:lang w:eastAsia="zh-CN"/>
              </w:rPr>
              <w:t>标段</w:t>
            </w:r>
            <w:r>
              <w:rPr>
                <w:rFonts w:hint="eastAsia" w:ascii="宋体" w:hAnsi="宋体" w:cs="宋体"/>
                <w:color w:val="auto"/>
                <w:kern w:val="0"/>
                <w:szCs w:val="24"/>
              </w:rPr>
              <w:t>管护费的</w:t>
            </w:r>
            <w:r>
              <w:rPr>
                <w:rFonts w:hint="eastAsia" w:ascii="宋体" w:hAnsi="宋体" w:cs="宋体"/>
                <w:color w:val="auto"/>
                <w:kern w:val="0"/>
                <w:szCs w:val="24"/>
                <w:lang w:eastAsia="zh-CN"/>
              </w:rPr>
              <w:t>2</w:t>
            </w:r>
            <w:r>
              <w:rPr>
                <w:rFonts w:hint="eastAsia" w:ascii="宋体" w:hAnsi="宋体" w:cs="宋体"/>
                <w:color w:val="auto"/>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tcPr>
          <w:p>
            <w:pPr>
              <w:pStyle w:val="2"/>
              <w:spacing w:line="360" w:lineRule="auto"/>
              <w:ind w:firstLine="0" w:firstLineChars="0"/>
              <w:jc w:val="both"/>
              <w:rPr>
                <w:rFonts w:ascii="宋体" w:hAnsi="宋体" w:cs="宋体"/>
                <w:color w:val="auto"/>
                <w:kern w:val="0"/>
                <w:szCs w:val="24"/>
              </w:rPr>
            </w:pP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1、水体浑浊、不清澈，发现一次扣该路段管护费0.2%。</w:t>
            </w:r>
          </w:p>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2、池底有泥土、垃圾等杂物，发现一次扣该路段管护费1%。</w:t>
            </w:r>
          </w:p>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3、水中有漂浮物，发现一次扣该路段管护费的2%。</w:t>
            </w:r>
          </w:p>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4、水体有异味，发现一次扣该路段管护费5%。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tcPr>
          <w:p>
            <w:pPr>
              <w:pStyle w:val="2"/>
              <w:spacing w:line="360" w:lineRule="auto"/>
              <w:ind w:firstLine="0" w:firstLineChars="0"/>
              <w:jc w:val="both"/>
              <w:rPr>
                <w:rFonts w:ascii="宋体" w:hAnsi="宋体" w:cs="宋体"/>
                <w:color w:val="auto"/>
                <w:kern w:val="0"/>
                <w:szCs w:val="24"/>
              </w:rPr>
            </w:pP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3、清理出来的废物4小时内未清运完毕，一次一处扣该路段管护费1%。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tcPr>
          <w:p>
            <w:pPr>
              <w:pStyle w:val="2"/>
              <w:spacing w:line="360" w:lineRule="auto"/>
              <w:ind w:firstLine="0" w:firstLineChars="0"/>
              <w:jc w:val="both"/>
              <w:rPr>
                <w:rFonts w:ascii="宋体" w:hAnsi="宋体" w:cs="宋体"/>
                <w:color w:val="auto"/>
                <w:kern w:val="0"/>
                <w:szCs w:val="24"/>
              </w:rPr>
            </w:pP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4、发现烟头，一处发现20个以下，每个扣5元；20个以上，每个扣10元。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tcPr>
          <w:p>
            <w:pPr>
              <w:pStyle w:val="2"/>
              <w:spacing w:line="360" w:lineRule="auto"/>
              <w:ind w:firstLine="0" w:firstLineChars="0"/>
              <w:jc w:val="both"/>
              <w:rPr>
                <w:rFonts w:ascii="宋体" w:hAnsi="宋体" w:cs="宋体"/>
                <w:color w:val="auto"/>
                <w:kern w:val="0"/>
                <w:szCs w:val="24"/>
              </w:rPr>
            </w:pP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5、花台不清洁，有污垢，发现一次每平方米扣10元。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tcPr>
          <w:p>
            <w:pPr>
              <w:pStyle w:val="2"/>
              <w:spacing w:line="360" w:lineRule="auto"/>
              <w:ind w:firstLine="0" w:firstLineChars="0"/>
              <w:jc w:val="both"/>
              <w:rPr>
                <w:rFonts w:ascii="宋体" w:hAnsi="宋体" w:cs="宋体"/>
                <w:color w:val="auto"/>
                <w:kern w:val="0"/>
                <w:szCs w:val="24"/>
              </w:rPr>
            </w:pP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6、池壁、台阶、木质平台等清洁，发现污垢，一次每平方扣10元。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tcPr>
          <w:p>
            <w:pPr>
              <w:pStyle w:val="2"/>
              <w:spacing w:line="360" w:lineRule="auto"/>
              <w:ind w:firstLine="0" w:firstLineChars="0"/>
              <w:jc w:val="both"/>
              <w:rPr>
                <w:rFonts w:ascii="宋体" w:hAnsi="宋体" w:cs="宋体"/>
                <w:color w:val="auto"/>
                <w:kern w:val="0"/>
                <w:szCs w:val="24"/>
              </w:rPr>
            </w:pP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7、道路、活动场地发现污垢或积水，一次扣管护费的2%。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pStyle w:val="2"/>
              <w:spacing w:line="360" w:lineRule="auto"/>
              <w:ind w:firstLine="0" w:firstLineChars="0"/>
              <w:jc w:val="center"/>
              <w:rPr>
                <w:rFonts w:ascii="宋体" w:hAnsi="宋体" w:cs="宋体"/>
                <w:color w:val="auto"/>
                <w:kern w:val="0"/>
                <w:szCs w:val="24"/>
              </w:rPr>
            </w:pPr>
            <w:r>
              <w:rPr>
                <w:rFonts w:hint="eastAsia" w:ascii="宋体" w:hAnsi="宋体" w:cs="宋体"/>
                <w:color w:val="auto"/>
                <w:kern w:val="0"/>
                <w:szCs w:val="24"/>
              </w:rPr>
              <w:t>二、水体</w:t>
            </w:r>
            <w:r>
              <w:rPr>
                <w:rFonts w:hint="eastAsia" w:ascii="宋体" w:hAnsi="宋体" w:cs="宋体"/>
                <w:color w:val="auto"/>
                <w:kern w:val="0"/>
                <w:szCs w:val="24"/>
                <w:lang w:eastAsia="zh-CN"/>
              </w:rPr>
              <w:t>水景</w:t>
            </w:r>
            <w:r>
              <w:rPr>
                <w:rFonts w:hint="eastAsia" w:ascii="宋体" w:hAnsi="宋体" w:cs="宋体"/>
                <w:color w:val="auto"/>
                <w:kern w:val="0"/>
                <w:szCs w:val="24"/>
              </w:rPr>
              <w:t>质量</w:t>
            </w: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1、水体浑浊、不清澈，发现一次扣该路段管护费</w:t>
            </w:r>
            <w:r>
              <w:rPr>
                <w:rFonts w:hint="eastAsia" w:ascii="宋体" w:hAnsi="宋体" w:cs="宋体"/>
                <w:color w:val="auto"/>
                <w:kern w:val="0"/>
                <w:szCs w:val="24"/>
                <w:lang w:eastAsia="zh-CN"/>
              </w:rPr>
              <w:t>1</w:t>
            </w:r>
            <w:r>
              <w:rPr>
                <w:rFonts w:hint="eastAsia" w:ascii="宋体" w:hAnsi="宋体" w:cs="宋体"/>
                <w:color w:val="auto"/>
                <w:kern w:val="0"/>
                <w:szCs w:val="24"/>
              </w:rPr>
              <w:t>%。</w:t>
            </w:r>
          </w:p>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2、池底有泥土、垃圾等杂物，发现一次扣该路段管护费1%。</w:t>
            </w:r>
          </w:p>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3、水中有漂浮物，发现一次扣该路段管护费的2%。</w:t>
            </w:r>
          </w:p>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4、水体有异味，发现一次扣该路段管护费5%。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pStyle w:val="2"/>
              <w:spacing w:line="360" w:lineRule="auto"/>
              <w:ind w:firstLine="0" w:firstLineChars="0"/>
              <w:jc w:val="center"/>
              <w:rPr>
                <w:rFonts w:ascii="宋体" w:hAnsi="宋体" w:cs="宋体"/>
                <w:color w:val="auto"/>
                <w:kern w:val="0"/>
                <w:szCs w:val="24"/>
              </w:rPr>
            </w:pPr>
            <w:r>
              <w:rPr>
                <w:rFonts w:hint="eastAsia" w:ascii="宋体" w:hAnsi="宋体" w:cs="宋体"/>
                <w:color w:val="auto"/>
                <w:kern w:val="0"/>
                <w:szCs w:val="24"/>
              </w:rPr>
              <w:t>三、安全、秩序维持</w:t>
            </w:r>
          </w:p>
        </w:tc>
        <w:tc>
          <w:tcPr>
            <w:tcW w:w="7318" w:type="dxa"/>
          </w:tcPr>
          <w:p>
            <w:pPr>
              <w:pStyle w:val="2"/>
              <w:numPr>
                <w:ilvl w:val="0"/>
                <w:numId w:val="44"/>
              </w:numPr>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未及时制止游人破坏设施，使设施损坏，一处扣该路段管护费的2%。</w:t>
            </w:r>
          </w:p>
          <w:p>
            <w:pPr>
              <w:pStyle w:val="2"/>
              <w:numPr>
                <w:ilvl w:val="0"/>
                <w:numId w:val="44"/>
              </w:numPr>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破坏绿地4小时内未发现及制止，一处扣该路段管护费的3%；8小时内未发现及制止，一处扣该路段管护费的5%；12小时未报告区绿地建管中心，一处扣该路段管护费的1</w:t>
            </w:r>
            <w:r>
              <w:rPr>
                <w:rFonts w:hint="eastAsia" w:ascii="宋体" w:hAnsi="宋体" w:cs="宋体"/>
                <w:color w:val="auto"/>
                <w:kern w:val="0"/>
                <w:szCs w:val="24"/>
                <w:lang w:eastAsia="zh-CN"/>
              </w:rPr>
              <w:t>0</w:t>
            </w:r>
            <w:r>
              <w:rPr>
                <w:rFonts w:hint="eastAsia" w:ascii="宋体" w:hAnsi="宋体" w:cs="宋体"/>
                <w:color w:val="auto"/>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pStyle w:val="2"/>
              <w:spacing w:line="360" w:lineRule="auto"/>
              <w:ind w:firstLine="0" w:firstLineChars="0"/>
              <w:jc w:val="center"/>
              <w:rPr>
                <w:rFonts w:ascii="宋体" w:hAnsi="宋体" w:cs="宋体"/>
                <w:color w:val="auto"/>
                <w:kern w:val="0"/>
                <w:szCs w:val="24"/>
              </w:rPr>
            </w:pPr>
            <w:r>
              <w:rPr>
                <w:rFonts w:hint="eastAsia" w:ascii="宋体" w:hAnsi="宋体" w:cs="宋体"/>
                <w:color w:val="auto"/>
                <w:kern w:val="0"/>
                <w:szCs w:val="24"/>
              </w:rPr>
              <w:t>四、植物管护管理</w:t>
            </w:r>
          </w:p>
        </w:tc>
        <w:tc>
          <w:tcPr>
            <w:tcW w:w="7318" w:type="dxa"/>
          </w:tcPr>
          <w:p>
            <w:pPr>
              <w:pStyle w:val="2"/>
              <w:numPr>
                <w:ilvl w:val="0"/>
                <w:numId w:val="45"/>
              </w:numPr>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乔木：A、因明显缺水或积水造成</w:t>
            </w:r>
            <w:r>
              <w:rPr>
                <w:rFonts w:hint="eastAsia" w:ascii="宋体" w:hAnsi="宋体" w:cs="宋体"/>
                <w:color w:val="auto"/>
                <w:kern w:val="0"/>
                <w:szCs w:val="24"/>
                <w:lang w:eastAsia="zh-CN"/>
              </w:rPr>
              <w:t>树木</w:t>
            </w:r>
            <w:r>
              <w:rPr>
                <w:rFonts w:hint="eastAsia" w:ascii="宋体" w:hAnsi="宋体" w:cs="宋体"/>
                <w:color w:val="auto"/>
                <w:kern w:val="0"/>
                <w:szCs w:val="24"/>
              </w:rPr>
              <w:t>萎焉的，</w:t>
            </w:r>
            <w:r>
              <w:rPr>
                <w:rFonts w:hint="eastAsia" w:ascii="宋体" w:hAnsi="宋体" w:cs="宋体"/>
                <w:color w:val="auto"/>
                <w:kern w:val="0"/>
                <w:szCs w:val="24"/>
                <w:lang w:eastAsia="zh-CN"/>
              </w:rPr>
              <w:t>按该株市场</w:t>
            </w:r>
            <w:r>
              <w:rPr>
                <w:rFonts w:hint="eastAsia" w:ascii="宋体" w:hAnsi="宋体" w:cs="宋体"/>
                <w:color w:val="auto"/>
                <w:kern w:val="0"/>
                <w:szCs w:val="24"/>
              </w:rPr>
              <w:t>扣除当月管护费。B、树木死亡，按市场价3倍扣除管护费并在规定时间内补栽；有明显枯枝败叶的，一株扣该路段管护费的0.1%。C、病虫害发生超过标准的，一株扣该路段管护费的0.2%。D、树上出现藤本植物及其他杂物未及时清除的，一株扣该路段管护费的0.</w:t>
            </w:r>
            <w:r>
              <w:rPr>
                <w:rFonts w:hint="eastAsia" w:ascii="宋体" w:hAnsi="宋体" w:cs="宋体"/>
                <w:color w:val="auto"/>
                <w:kern w:val="0"/>
                <w:szCs w:val="24"/>
                <w:lang w:eastAsia="zh-CN"/>
              </w:rPr>
              <w:t>5</w:t>
            </w:r>
            <w:r>
              <w:rPr>
                <w:rFonts w:hint="eastAsia" w:ascii="宋体" w:hAnsi="宋体" w:cs="宋体"/>
                <w:color w:val="auto"/>
                <w:kern w:val="0"/>
                <w:szCs w:val="24"/>
              </w:rPr>
              <w:t>%。E、树木倾斜不扶正的，一株扣该路段管护费的0.1%。F、树木倒入车道内</w:t>
            </w:r>
            <w:r>
              <w:rPr>
                <w:rFonts w:hint="eastAsia" w:ascii="宋体" w:hAnsi="宋体" w:cs="宋体"/>
                <w:color w:val="auto"/>
                <w:kern w:val="0"/>
                <w:szCs w:val="24"/>
                <w:lang w:eastAsia="zh-CN"/>
              </w:rPr>
              <w:t>，</w:t>
            </w:r>
            <w:r>
              <w:rPr>
                <w:rFonts w:hint="eastAsia" w:ascii="宋体" w:hAnsi="宋体" w:cs="宋体"/>
                <w:color w:val="auto"/>
                <w:kern w:val="0"/>
                <w:szCs w:val="24"/>
                <w:lang w:val="en-US" w:eastAsia="zh-CN"/>
              </w:rPr>
              <w:t>发生的</w:t>
            </w:r>
            <w:r>
              <w:rPr>
                <w:rFonts w:hint="eastAsia" w:ascii="宋体" w:hAnsi="宋体" w:cs="宋体"/>
                <w:color w:val="auto"/>
                <w:kern w:val="0"/>
                <w:szCs w:val="24"/>
                <w:lang w:eastAsia="zh-CN"/>
              </w:rPr>
              <w:t>车辆和人员</w:t>
            </w:r>
            <w:r>
              <w:rPr>
                <w:rFonts w:hint="eastAsia" w:ascii="宋体" w:hAnsi="宋体" w:cs="宋体"/>
                <w:color w:val="auto"/>
                <w:kern w:val="0"/>
                <w:szCs w:val="24"/>
                <w:lang w:val="en-US" w:eastAsia="zh-CN"/>
              </w:rPr>
              <w:t>伤亡事故</w:t>
            </w:r>
            <w:r>
              <w:rPr>
                <w:rFonts w:hint="eastAsia" w:ascii="宋体" w:hAnsi="宋体" w:cs="宋体"/>
                <w:color w:val="auto"/>
                <w:kern w:val="0"/>
                <w:szCs w:val="24"/>
                <w:lang w:eastAsia="zh-CN"/>
              </w:rPr>
              <w:t>，由管护单位自行负责。</w:t>
            </w:r>
            <w:r>
              <w:rPr>
                <w:rFonts w:hint="eastAsia" w:ascii="宋体" w:hAnsi="宋体" w:cs="宋体"/>
                <w:color w:val="auto"/>
                <w:kern w:val="0"/>
                <w:szCs w:val="24"/>
              </w:rPr>
              <w:t>G、树木死亡未在1天内报告并在指定时间内换植合格的，一株扣该路段管护费的1%。H、乔木的修剪没按规定执行的，每一株扣</w:t>
            </w:r>
            <w:r>
              <w:rPr>
                <w:rFonts w:hint="eastAsia" w:ascii="宋体" w:hAnsi="宋体" w:cs="宋体"/>
                <w:color w:val="auto"/>
                <w:kern w:val="0"/>
                <w:szCs w:val="24"/>
                <w:lang w:eastAsia="zh-CN"/>
              </w:rPr>
              <w:t>500</w:t>
            </w:r>
            <w:r>
              <w:rPr>
                <w:rFonts w:hint="eastAsia" w:ascii="宋体" w:hAnsi="宋体" w:cs="宋体"/>
                <w:color w:val="auto"/>
                <w:kern w:val="0"/>
                <w:szCs w:val="24"/>
              </w:rPr>
              <w:t>元。</w:t>
            </w:r>
          </w:p>
          <w:p>
            <w:pPr>
              <w:pStyle w:val="2"/>
              <w:numPr>
                <w:ilvl w:val="0"/>
                <w:numId w:val="45"/>
              </w:numPr>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灌木：A、灌木萌发的新</w:t>
            </w:r>
            <w:r>
              <w:rPr>
                <w:rFonts w:hint="eastAsia" w:ascii="宋体" w:hAnsi="宋体" w:cs="宋体"/>
                <w:color w:val="auto"/>
                <w:kern w:val="0"/>
                <w:szCs w:val="24"/>
                <w:lang w:eastAsia="zh-CN"/>
              </w:rPr>
              <w:t>梢</w:t>
            </w:r>
            <w:r>
              <w:rPr>
                <w:rFonts w:hint="eastAsia" w:ascii="宋体" w:hAnsi="宋体" w:cs="宋体"/>
                <w:color w:val="auto"/>
                <w:kern w:val="0"/>
                <w:szCs w:val="24"/>
              </w:rPr>
              <w:t>超过6cm未修剪的，一次每组团扣该路段管护费的2%。B、病虫害发生率超过标准的，一次每组团扣该路段管护费的</w:t>
            </w:r>
            <w:r>
              <w:rPr>
                <w:rFonts w:hint="eastAsia" w:ascii="宋体" w:hAnsi="宋体" w:cs="宋体"/>
                <w:color w:val="auto"/>
                <w:kern w:val="0"/>
                <w:szCs w:val="24"/>
                <w:lang w:eastAsia="zh-CN"/>
              </w:rPr>
              <w:t>1</w:t>
            </w:r>
            <w:r>
              <w:rPr>
                <w:rFonts w:hint="eastAsia" w:ascii="宋体" w:hAnsi="宋体" w:cs="宋体"/>
                <w:color w:val="auto"/>
                <w:kern w:val="0"/>
                <w:szCs w:val="24"/>
              </w:rPr>
              <w:t>%。C、杂草超过5%每平方的，一次每组团扣该路段管护费的1%。单块杂草面积超过0.5cm，一次每平方扣50元。</w:t>
            </w:r>
          </w:p>
          <w:p>
            <w:pPr>
              <w:pStyle w:val="2"/>
              <w:numPr>
                <w:ilvl w:val="0"/>
                <w:numId w:val="46"/>
              </w:numPr>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因明显缺水或其他原因造成植株死亡，面积超过5%每平方米的，一次每组团扣该路段管护费的2%。单块死亡面积1m</w:t>
            </w:r>
            <w:r>
              <w:rPr>
                <w:rFonts w:hint="eastAsia" w:ascii="宋体" w:hAnsi="宋体" w:cs="宋体"/>
                <w:color w:val="auto"/>
                <w:kern w:val="0"/>
                <w:szCs w:val="24"/>
                <w:vertAlign w:val="superscript"/>
              </w:rPr>
              <w:t>2</w:t>
            </w:r>
            <w:r>
              <w:rPr>
                <w:rFonts w:hint="eastAsia" w:ascii="宋体" w:hAnsi="宋体" w:cs="宋体"/>
                <w:color w:val="auto"/>
                <w:kern w:val="0"/>
                <w:szCs w:val="24"/>
              </w:rPr>
              <w:t>以下的，一次每平方米扣100元；超过1m</w:t>
            </w:r>
            <w:r>
              <w:rPr>
                <w:rFonts w:hint="eastAsia" w:ascii="宋体" w:hAnsi="宋体" w:cs="宋体"/>
                <w:color w:val="auto"/>
                <w:kern w:val="0"/>
                <w:szCs w:val="24"/>
                <w:vertAlign w:val="superscript"/>
              </w:rPr>
              <w:t>2</w:t>
            </w:r>
            <w:r>
              <w:rPr>
                <w:rFonts w:hint="eastAsia" w:ascii="宋体" w:hAnsi="宋体" w:cs="宋体"/>
                <w:color w:val="auto"/>
                <w:kern w:val="0"/>
                <w:szCs w:val="24"/>
              </w:rPr>
              <w:t>，一次每平方米扣200元。</w:t>
            </w:r>
          </w:p>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3、草坪：A、死亡面积1m</w:t>
            </w:r>
            <w:r>
              <w:rPr>
                <w:rFonts w:hint="eastAsia" w:ascii="宋体" w:hAnsi="宋体" w:cs="宋体"/>
                <w:color w:val="auto"/>
                <w:kern w:val="0"/>
                <w:szCs w:val="24"/>
                <w:vertAlign w:val="superscript"/>
              </w:rPr>
              <w:t>2</w:t>
            </w:r>
            <w:r>
              <w:rPr>
                <w:rFonts w:hint="eastAsia" w:ascii="宋体" w:hAnsi="宋体" w:cs="宋体"/>
                <w:color w:val="auto"/>
                <w:kern w:val="0"/>
                <w:szCs w:val="24"/>
              </w:rPr>
              <w:t>以下的，一次扣每平方米</w:t>
            </w:r>
            <w:r>
              <w:rPr>
                <w:rFonts w:hint="eastAsia" w:ascii="宋体" w:hAnsi="宋体" w:cs="宋体"/>
                <w:color w:val="auto"/>
                <w:kern w:val="0"/>
                <w:szCs w:val="24"/>
                <w:lang w:eastAsia="zh-CN"/>
              </w:rPr>
              <w:t>100</w:t>
            </w:r>
            <w:r>
              <w:rPr>
                <w:rFonts w:hint="eastAsia" w:ascii="宋体" w:hAnsi="宋体" w:cs="宋体"/>
                <w:color w:val="auto"/>
                <w:kern w:val="0"/>
                <w:szCs w:val="24"/>
              </w:rPr>
              <w:t>元，1m</w:t>
            </w:r>
            <w:r>
              <w:rPr>
                <w:rFonts w:hint="eastAsia" w:ascii="宋体" w:hAnsi="宋体" w:cs="宋体"/>
                <w:color w:val="auto"/>
                <w:kern w:val="0"/>
                <w:szCs w:val="24"/>
                <w:vertAlign w:val="superscript"/>
              </w:rPr>
              <w:t>2</w:t>
            </w:r>
            <w:r>
              <w:rPr>
                <w:rFonts w:hint="eastAsia" w:ascii="宋体" w:hAnsi="宋体" w:cs="宋体"/>
                <w:color w:val="auto"/>
                <w:kern w:val="0"/>
                <w:szCs w:val="24"/>
              </w:rPr>
              <w:t>以上的，每平方米扣</w:t>
            </w:r>
            <w:r>
              <w:rPr>
                <w:rFonts w:hint="eastAsia" w:ascii="宋体" w:hAnsi="宋体" w:cs="宋体"/>
                <w:color w:val="auto"/>
                <w:kern w:val="0"/>
                <w:szCs w:val="24"/>
                <w:lang w:eastAsia="zh-CN"/>
              </w:rPr>
              <w:t>200</w:t>
            </w:r>
            <w:r>
              <w:rPr>
                <w:rFonts w:hint="eastAsia" w:ascii="宋体" w:hAnsi="宋体" w:cs="宋体"/>
                <w:color w:val="auto"/>
                <w:kern w:val="0"/>
                <w:szCs w:val="24"/>
              </w:rPr>
              <w:t>元。B、草坪秃班超过1%的，一次每片扣该段管护费的2%。C、杂草超过1%的，一次每片扣该段管护费的5%。D、草坪草高超过10cm未及时修剪的，一次每片扣该段管护费的3%。E、草坪发生病虫害未及时控制的，一次每平方米扣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restart"/>
            <w:vAlign w:val="center"/>
          </w:tcPr>
          <w:p>
            <w:pPr>
              <w:pStyle w:val="2"/>
              <w:spacing w:line="360" w:lineRule="auto"/>
              <w:ind w:firstLine="0" w:firstLineChars="0"/>
              <w:jc w:val="center"/>
              <w:rPr>
                <w:rFonts w:ascii="宋体" w:hAnsi="宋体" w:cs="宋体"/>
                <w:color w:val="auto"/>
                <w:kern w:val="0"/>
                <w:szCs w:val="24"/>
              </w:rPr>
            </w:pPr>
            <w:r>
              <w:rPr>
                <w:rFonts w:hint="eastAsia" w:ascii="宋体" w:hAnsi="宋体" w:cs="宋体"/>
                <w:color w:val="auto"/>
                <w:kern w:val="0"/>
                <w:szCs w:val="24"/>
              </w:rPr>
              <w:t>五、花卉更换、养护</w:t>
            </w: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1、花卉萎焉或</w:t>
            </w:r>
            <w:r>
              <w:rPr>
                <w:rFonts w:hint="eastAsia" w:ascii="宋体" w:hAnsi="宋体" w:cs="宋体"/>
                <w:color w:val="auto"/>
                <w:kern w:val="0"/>
                <w:szCs w:val="24"/>
                <w:lang w:eastAsia="zh-CN"/>
              </w:rPr>
              <w:t>枯死</w:t>
            </w:r>
            <w:r>
              <w:rPr>
                <w:rFonts w:hint="eastAsia" w:ascii="宋体" w:hAnsi="宋体" w:cs="宋体"/>
                <w:color w:val="auto"/>
                <w:kern w:val="0"/>
                <w:szCs w:val="24"/>
              </w:rPr>
              <w:t>，一次每平方米扣200元。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vAlign w:val="center"/>
          </w:tcPr>
          <w:p>
            <w:pPr>
              <w:pStyle w:val="2"/>
              <w:spacing w:line="360" w:lineRule="auto"/>
              <w:ind w:firstLine="0" w:firstLineChars="0"/>
              <w:jc w:val="center"/>
              <w:rPr>
                <w:rFonts w:ascii="宋体" w:hAnsi="宋体" w:cs="宋体"/>
                <w:color w:val="auto"/>
                <w:kern w:val="0"/>
                <w:szCs w:val="24"/>
              </w:rPr>
            </w:pP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2、花卉未按计划及时更换，一次每平方米扣100元。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vAlign w:val="center"/>
          </w:tcPr>
          <w:p>
            <w:pPr>
              <w:pStyle w:val="2"/>
              <w:spacing w:line="360" w:lineRule="auto"/>
              <w:ind w:firstLine="0" w:firstLineChars="0"/>
              <w:jc w:val="center"/>
              <w:rPr>
                <w:rFonts w:ascii="宋体" w:hAnsi="宋体" w:cs="宋体"/>
                <w:color w:val="auto"/>
                <w:kern w:val="0"/>
                <w:szCs w:val="24"/>
              </w:rPr>
            </w:pP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3未按甲方要求更换品种，一次每平方米扣100元。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pStyle w:val="2"/>
              <w:spacing w:line="360" w:lineRule="auto"/>
              <w:ind w:firstLine="0" w:firstLineChars="0"/>
              <w:jc w:val="center"/>
              <w:rPr>
                <w:rFonts w:ascii="宋体" w:hAnsi="宋体" w:cs="宋体"/>
                <w:color w:val="auto"/>
                <w:kern w:val="0"/>
                <w:szCs w:val="24"/>
              </w:rPr>
            </w:pPr>
            <w:r>
              <w:rPr>
                <w:rFonts w:hint="eastAsia" w:ascii="宋体" w:hAnsi="宋体" w:cs="宋体"/>
                <w:color w:val="auto"/>
                <w:kern w:val="0"/>
                <w:szCs w:val="24"/>
              </w:rPr>
              <w:t>六、市政设施维护</w:t>
            </w: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1、损坏的市政设施，未按规定时间维修好，一次一处扣该路段管护费的2%。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pStyle w:val="2"/>
              <w:spacing w:line="360" w:lineRule="auto"/>
              <w:ind w:firstLine="0" w:firstLineChars="0"/>
              <w:jc w:val="center"/>
              <w:rPr>
                <w:rFonts w:ascii="宋体" w:hAnsi="宋体" w:cs="宋体"/>
                <w:color w:val="auto"/>
                <w:kern w:val="0"/>
                <w:szCs w:val="24"/>
              </w:rPr>
            </w:pPr>
            <w:r>
              <w:rPr>
                <w:rFonts w:hint="eastAsia" w:ascii="宋体" w:hAnsi="宋体" w:cs="宋体"/>
                <w:color w:val="auto"/>
                <w:kern w:val="0"/>
                <w:szCs w:val="24"/>
              </w:rPr>
              <w:t>七、管护措施到位情况</w:t>
            </w: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1、管护措施不到位，一次一项扣当月管护费的2%。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pStyle w:val="2"/>
              <w:spacing w:line="360" w:lineRule="auto"/>
              <w:ind w:firstLine="0" w:firstLineChars="0"/>
              <w:jc w:val="center"/>
              <w:rPr>
                <w:rFonts w:ascii="宋体" w:hAnsi="宋体" w:cs="宋体"/>
                <w:color w:val="auto"/>
                <w:kern w:val="0"/>
                <w:szCs w:val="24"/>
              </w:rPr>
            </w:pPr>
            <w:r>
              <w:rPr>
                <w:rFonts w:hint="eastAsia" w:ascii="宋体" w:hAnsi="宋体" w:cs="宋体"/>
                <w:color w:val="auto"/>
                <w:kern w:val="0"/>
                <w:szCs w:val="24"/>
              </w:rPr>
              <w:t>八、整体效果</w:t>
            </w:r>
          </w:p>
        </w:tc>
        <w:tc>
          <w:tcPr>
            <w:tcW w:w="7318" w:type="dxa"/>
          </w:tcPr>
          <w:p>
            <w:pPr>
              <w:pStyle w:val="2"/>
              <w:spacing w:line="360" w:lineRule="auto"/>
              <w:ind w:firstLine="0" w:firstLineChars="0"/>
              <w:jc w:val="both"/>
              <w:rPr>
                <w:rFonts w:ascii="宋体" w:hAnsi="宋体" w:cs="宋体"/>
                <w:color w:val="auto"/>
                <w:kern w:val="0"/>
                <w:szCs w:val="24"/>
              </w:rPr>
            </w:pPr>
            <w:r>
              <w:rPr>
                <w:rFonts w:hint="eastAsia" w:ascii="宋体" w:hAnsi="宋体" w:cs="宋体"/>
                <w:color w:val="auto"/>
                <w:kern w:val="0"/>
                <w:szCs w:val="24"/>
              </w:rPr>
              <w:t>验收考核组根据验收考核时行道树、乔木、灌木、地被植物、草坪的长势情况；绿篱、草坪、地被植物修剪整齐度；绿地整齐效果等情况扣除当月管护费的2-20%。</w:t>
            </w:r>
          </w:p>
        </w:tc>
      </w:tr>
    </w:tbl>
    <w:p>
      <w:pPr>
        <w:ind w:firstLine="480"/>
        <w:rPr>
          <w:rFonts w:ascii="宋体" w:hAnsi="宋体" w:cs="宋体"/>
          <w:color w:val="auto"/>
          <w:szCs w:val="24"/>
        </w:rPr>
      </w:pPr>
      <w:r>
        <w:rPr>
          <w:rFonts w:hint="eastAsia" w:ascii="宋体" w:hAnsi="宋体" w:cs="宋体"/>
          <w:color w:val="auto"/>
          <w:szCs w:val="24"/>
        </w:rPr>
        <w:t>二、管护例会制度</w:t>
      </w:r>
    </w:p>
    <w:p>
      <w:pPr>
        <w:ind w:firstLine="480"/>
        <w:rPr>
          <w:rFonts w:ascii="宋体" w:hAnsi="宋体" w:cs="宋体"/>
          <w:color w:val="auto"/>
          <w:szCs w:val="24"/>
        </w:rPr>
      </w:pPr>
      <w:r>
        <w:rPr>
          <w:rFonts w:hint="eastAsia" w:ascii="宋体" w:hAnsi="宋体" w:cs="宋体"/>
          <w:color w:val="auto"/>
          <w:szCs w:val="24"/>
        </w:rPr>
        <w:t>（一）坚持周例会制度，每周一10：00由区绿地建设管理中心主任主持召开管护例会，通报上周管护情况，安排本周管护工作。</w:t>
      </w:r>
    </w:p>
    <w:p>
      <w:pPr>
        <w:ind w:firstLine="480"/>
        <w:rPr>
          <w:rFonts w:ascii="宋体" w:hAnsi="宋体" w:cs="宋体"/>
          <w:color w:val="auto"/>
          <w:szCs w:val="24"/>
        </w:rPr>
      </w:pPr>
      <w:r>
        <w:rPr>
          <w:rFonts w:hint="eastAsia" w:ascii="宋体" w:hAnsi="宋体" w:cs="宋体"/>
          <w:color w:val="auto"/>
          <w:szCs w:val="24"/>
        </w:rPr>
        <w:t>（二）参会制度，各责任管护单位负责人、管护项目经理、区绿地建管中心监管责任人参加会议，未经会议主持人同意无故不参会者，一次扣除管护费500元；迟到、早退者，一次扣除管护费300元。</w:t>
      </w:r>
    </w:p>
    <w:p>
      <w:pPr>
        <w:ind w:firstLine="480"/>
        <w:rPr>
          <w:rFonts w:ascii="宋体" w:hAnsi="宋体" w:cs="宋体"/>
          <w:color w:val="auto"/>
          <w:szCs w:val="24"/>
        </w:rPr>
      </w:pPr>
      <w:r>
        <w:rPr>
          <w:rFonts w:hint="eastAsia" w:ascii="宋体" w:hAnsi="宋体" w:cs="宋体"/>
          <w:color w:val="auto"/>
          <w:szCs w:val="24"/>
        </w:rPr>
        <w:t>三、工作时效制度</w:t>
      </w:r>
    </w:p>
    <w:p>
      <w:pPr>
        <w:ind w:firstLine="480"/>
        <w:rPr>
          <w:rFonts w:ascii="宋体" w:hAnsi="宋体" w:cs="宋体"/>
          <w:color w:val="auto"/>
          <w:szCs w:val="24"/>
        </w:rPr>
      </w:pPr>
      <w:r>
        <w:rPr>
          <w:rFonts w:hint="eastAsia" w:ascii="宋体" w:hAnsi="宋体" w:cs="宋体"/>
          <w:color w:val="auto"/>
          <w:szCs w:val="24"/>
        </w:rPr>
        <w:t>各管护责任单位必须在规定时间内落实完成安排的工作任务，对无故不按规定时限完成安排工作的，每一项扣除管护费1000元。</w:t>
      </w:r>
    </w:p>
    <w:p>
      <w:pPr>
        <w:ind w:firstLine="480"/>
        <w:rPr>
          <w:rFonts w:ascii="宋体" w:hAnsi="宋体" w:cs="宋体"/>
          <w:color w:val="auto"/>
          <w:szCs w:val="24"/>
        </w:rPr>
      </w:pPr>
      <w:r>
        <w:rPr>
          <w:rFonts w:hint="eastAsia" w:ascii="宋体" w:hAnsi="宋体" w:cs="宋体"/>
          <w:color w:val="auto"/>
          <w:szCs w:val="24"/>
        </w:rPr>
        <w:t>四、管护作息制度</w:t>
      </w:r>
    </w:p>
    <w:p>
      <w:pPr>
        <w:ind w:firstLine="480"/>
        <w:rPr>
          <w:rFonts w:ascii="宋体" w:hAnsi="宋体" w:cs="宋体"/>
          <w:color w:val="auto"/>
          <w:szCs w:val="24"/>
        </w:rPr>
      </w:pPr>
      <w:r>
        <w:rPr>
          <w:rFonts w:hint="eastAsia" w:ascii="宋体" w:hAnsi="宋体" w:cs="宋体"/>
          <w:color w:val="auto"/>
          <w:szCs w:val="24"/>
        </w:rPr>
        <w:t>（一）工作时间</w:t>
      </w:r>
    </w:p>
    <w:p>
      <w:pPr>
        <w:ind w:firstLine="480"/>
        <w:rPr>
          <w:rFonts w:ascii="宋体" w:hAnsi="宋体" w:cs="宋体"/>
          <w:color w:val="auto"/>
          <w:szCs w:val="24"/>
        </w:rPr>
      </w:pPr>
      <w:r>
        <w:rPr>
          <w:rFonts w:hint="eastAsia" w:ascii="宋体" w:hAnsi="宋体" w:cs="宋体"/>
          <w:color w:val="auto"/>
          <w:szCs w:val="24"/>
        </w:rPr>
        <w:t>1、夏季：7:00至11:00、15:00至19:00（如视自身情况变更工作时间须上报管护部），重大节点及重要活动、庆典等管护中午12:00至14:00、夜晚16:00至22:00执行轮班制。（如有变动，另行通知）</w:t>
      </w:r>
    </w:p>
    <w:p>
      <w:pPr>
        <w:ind w:firstLine="480"/>
        <w:rPr>
          <w:rFonts w:ascii="宋体" w:hAnsi="宋体" w:cs="宋体"/>
          <w:color w:val="auto"/>
          <w:szCs w:val="24"/>
        </w:rPr>
      </w:pPr>
      <w:r>
        <w:rPr>
          <w:rFonts w:hint="eastAsia" w:ascii="宋体" w:hAnsi="宋体" w:cs="宋体"/>
          <w:color w:val="auto"/>
          <w:szCs w:val="24"/>
        </w:rPr>
        <w:t>2、春、秋、冬季：8:00至12:00、14:00至19:00，重大节点及重要活动、庆典等管护中午12:00至14:00、夜晚16:00至22:00执行轮班制。（如有变动，另行通知）</w:t>
      </w:r>
    </w:p>
    <w:p>
      <w:pPr>
        <w:ind w:firstLine="480"/>
        <w:rPr>
          <w:rFonts w:ascii="宋体" w:hAnsi="宋体" w:cs="宋体"/>
          <w:color w:val="auto"/>
          <w:szCs w:val="24"/>
        </w:rPr>
      </w:pPr>
      <w:r>
        <w:rPr>
          <w:rFonts w:hint="eastAsia" w:ascii="宋体" w:hAnsi="宋体" w:cs="宋体"/>
          <w:color w:val="auto"/>
          <w:szCs w:val="24"/>
        </w:rPr>
        <w:t>（二）管护人员工作时间不在岗，发现一次扣除管护费1000元，管护人员不足，少一人扣除管护费200元；管护人员在工作时间必须着统一的工作服，未着工作服发现一人扣除管护费</w:t>
      </w:r>
      <w:r>
        <w:rPr>
          <w:rFonts w:hint="eastAsia" w:ascii="宋体" w:hAnsi="宋体" w:cs="宋体"/>
          <w:color w:val="auto"/>
          <w:szCs w:val="24"/>
          <w:lang w:eastAsia="zh-CN"/>
        </w:rPr>
        <w:t>100</w:t>
      </w:r>
      <w:r>
        <w:rPr>
          <w:rFonts w:hint="eastAsia" w:ascii="宋体" w:hAnsi="宋体" w:cs="宋体"/>
          <w:color w:val="auto"/>
          <w:szCs w:val="24"/>
        </w:rPr>
        <w:t>元。</w:t>
      </w:r>
    </w:p>
    <w:p>
      <w:pPr>
        <w:ind w:firstLine="480"/>
        <w:rPr>
          <w:rFonts w:ascii="宋体" w:hAnsi="宋体" w:cs="宋体"/>
          <w:color w:val="auto"/>
          <w:szCs w:val="24"/>
        </w:rPr>
      </w:pPr>
      <w:r>
        <w:rPr>
          <w:rFonts w:hint="eastAsia" w:ascii="宋体" w:hAnsi="宋体" w:cs="宋体"/>
          <w:color w:val="auto"/>
          <w:szCs w:val="24"/>
        </w:rPr>
        <w:t>五、浇灌制度</w:t>
      </w:r>
    </w:p>
    <w:p>
      <w:pPr>
        <w:ind w:firstLine="480"/>
        <w:rPr>
          <w:rFonts w:ascii="宋体" w:hAnsi="宋体" w:cs="宋体"/>
          <w:color w:val="auto"/>
          <w:szCs w:val="24"/>
        </w:rPr>
      </w:pPr>
      <w:r>
        <w:rPr>
          <w:rFonts w:hint="eastAsia" w:ascii="宋体" w:hAnsi="宋体" w:cs="宋体"/>
          <w:color w:val="auto"/>
          <w:szCs w:val="24"/>
        </w:rPr>
        <w:t>（一）草坪浇灌时间：夏季每天7:00至11:00、16:00至22:00。</w:t>
      </w:r>
    </w:p>
    <w:p>
      <w:pPr>
        <w:ind w:firstLine="480"/>
        <w:rPr>
          <w:rFonts w:ascii="宋体" w:hAnsi="宋体" w:cs="宋体"/>
          <w:color w:val="auto"/>
          <w:szCs w:val="24"/>
        </w:rPr>
      </w:pPr>
      <w:r>
        <w:rPr>
          <w:rFonts w:hint="eastAsia" w:ascii="宋体" w:hAnsi="宋体" w:cs="宋体"/>
          <w:color w:val="auto"/>
          <w:szCs w:val="24"/>
        </w:rPr>
        <w:t>（二）按照审核的浇灌点位及人工配置进行浇灌，在浇灌时间无人浇水，造成草坪、植物、鲜花缺水，发现一次一个点位扣除管护费200元。</w:t>
      </w:r>
    </w:p>
    <w:p>
      <w:pPr>
        <w:ind w:firstLine="480"/>
        <w:rPr>
          <w:rFonts w:ascii="宋体" w:hAnsi="宋体" w:cs="宋体"/>
          <w:color w:val="auto"/>
          <w:szCs w:val="24"/>
        </w:rPr>
      </w:pPr>
      <w:r>
        <w:rPr>
          <w:rFonts w:hint="eastAsia" w:ascii="宋体" w:hAnsi="宋体" w:cs="宋体"/>
          <w:color w:val="auto"/>
          <w:szCs w:val="24"/>
        </w:rPr>
        <w:t>（三）浇灌必须全面浇透，土壤板结及时进行打孔处理，未及时进行打孔处理，影响浇灌效果，每平方米扣除管护费200元。</w:t>
      </w:r>
    </w:p>
    <w:p>
      <w:pPr>
        <w:ind w:firstLine="480"/>
        <w:rPr>
          <w:rFonts w:ascii="宋体" w:hAnsi="宋体" w:cs="宋体"/>
          <w:color w:val="auto"/>
          <w:szCs w:val="24"/>
        </w:rPr>
      </w:pPr>
      <w:r>
        <w:rPr>
          <w:rFonts w:hint="eastAsia" w:ascii="宋体" w:hAnsi="宋体" w:cs="宋体"/>
          <w:color w:val="auto"/>
          <w:szCs w:val="24"/>
        </w:rPr>
        <w:t>（四）对枯草及时疏理，保持草坪的透气，对未及时清理草坪枯死层而发生重大病虫害，每平方米扣管护费200元。</w:t>
      </w:r>
    </w:p>
    <w:p>
      <w:pPr>
        <w:ind w:firstLine="480"/>
        <w:rPr>
          <w:rFonts w:ascii="宋体" w:hAnsi="宋体" w:cs="宋体"/>
          <w:color w:val="auto"/>
          <w:szCs w:val="24"/>
        </w:rPr>
      </w:pPr>
      <w:r>
        <w:rPr>
          <w:rFonts w:hint="eastAsia" w:ascii="宋体" w:hAnsi="宋体" w:cs="宋体"/>
          <w:color w:val="auto"/>
          <w:szCs w:val="24"/>
        </w:rPr>
        <w:t>六、修剪制度</w:t>
      </w:r>
    </w:p>
    <w:p>
      <w:pPr>
        <w:ind w:firstLine="480"/>
        <w:rPr>
          <w:rFonts w:ascii="宋体" w:hAnsi="宋体" w:cs="宋体"/>
          <w:color w:val="auto"/>
          <w:szCs w:val="24"/>
        </w:rPr>
      </w:pPr>
      <w:r>
        <w:rPr>
          <w:rFonts w:hint="eastAsia" w:ascii="宋体" w:hAnsi="宋体" w:cs="宋体"/>
          <w:color w:val="auto"/>
          <w:szCs w:val="24"/>
        </w:rPr>
        <w:t>（一）采用专业人员操作修剪机具，修剪机在工作前务必进行检修，杜绝漏油现象，刀片保持锋利，因漏油灼伤草坪，每平方米扣除管护费200元；因刀片锈钝修剪撕裂草叶，影响景观效果，每平方米扣除管护费</w:t>
      </w:r>
      <w:r>
        <w:rPr>
          <w:rFonts w:hint="eastAsia" w:ascii="宋体" w:hAnsi="宋体" w:cs="宋体"/>
          <w:color w:val="auto"/>
          <w:szCs w:val="24"/>
          <w:lang w:val="en-US" w:eastAsia="zh-CN"/>
        </w:rPr>
        <w:t>100</w:t>
      </w:r>
      <w:r>
        <w:rPr>
          <w:rFonts w:hint="eastAsia" w:ascii="宋体" w:hAnsi="宋体" w:cs="宋体"/>
          <w:color w:val="auto"/>
          <w:szCs w:val="24"/>
        </w:rPr>
        <w:t>元。</w:t>
      </w:r>
    </w:p>
    <w:p>
      <w:pPr>
        <w:ind w:firstLine="480"/>
        <w:rPr>
          <w:rFonts w:ascii="宋体" w:hAnsi="宋体" w:cs="宋体"/>
          <w:color w:val="auto"/>
          <w:szCs w:val="24"/>
        </w:rPr>
      </w:pPr>
      <w:r>
        <w:rPr>
          <w:rFonts w:hint="eastAsia" w:ascii="宋体" w:hAnsi="宋体" w:cs="宋体"/>
          <w:color w:val="auto"/>
          <w:szCs w:val="24"/>
        </w:rPr>
        <w:t>（二）草坪高度控制在5cm至8cm，草高超过8cm必须及时修剪，修剪草坪不得过低，低于5cm发现一次每平方米扣除管护费200元。修剪草渣当天清除，未及时清除，发现一次一处扣除管护费</w:t>
      </w:r>
      <w:r>
        <w:rPr>
          <w:rFonts w:hint="eastAsia" w:ascii="宋体" w:hAnsi="宋体" w:cs="宋体"/>
          <w:color w:val="auto"/>
          <w:szCs w:val="24"/>
          <w:lang w:val="en-US" w:eastAsia="zh-CN"/>
        </w:rPr>
        <w:t>500</w:t>
      </w:r>
      <w:r>
        <w:rPr>
          <w:rFonts w:hint="eastAsia" w:ascii="宋体" w:hAnsi="宋体" w:cs="宋体"/>
          <w:color w:val="auto"/>
          <w:szCs w:val="24"/>
        </w:rPr>
        <w:t>元。</w:t>
      </w:r>
    </w:p>
    <w:p>
      <w:pPr>
        <w:ind w:firstLine="480"/>
        <w:rPr>
          <w:rFonts w:ascii="宋体" w:hAnsi="宋体" w:cs="宋体"/>
          <w:color w:val="auto"/>
          <w:szCs w:val="24"/>
        </w:rPr>
      </w:pPr>
      <w:r>
        <w:rPr>
          <w:rFonts w:hint="eastAsia" w:ascii="宋体" w:hAnsi="宋体" w:cs="宋体"/>
          <w:color w:val="auto"/>
          <w:szCs w:val="24"/>
        </w:rPr>
        <w:t>（三）行道树修剪保持树冠完整美观，分枝点合适，主侧枝分布均称，通风透光。乔木修剪注意避让电力设施、通讯设施，确保安全间距。因城区行道树修剪不及时或修剪不当，</w:t>
      </w:r>
      <w:r>
        <w:rPr>
          <w:rFonts w:hint="eastAsia" w:ascii="宋体" w:hAnsi="宋体" w:cs="宋体"/>
          <w:color w:val="auto"/>
          <w:szCs w:val="24"/>
          <w:lang w:eastAsia="zh-CN"/>
        </w:rPr>
        <w:t>影响</w:t>
      </w:r>
      <w:r>
        <w:rPr>
          <w:rFonts w:hint="eastAsia" w:ascii="宋体" w:hAnsi="宋体" w:cs="宋体"/>
          <w:color w:val="auto"/>
          <w:szCs w:val="24"/>
        </w:rPr>
        <w:t>行人、交通及电力通讯设施等安全，一次一株扣除管护费200元。</w:t>
      </w:r>
    </w:p>
    <w:p>
      <w:pPr>
        <w:ind w:firstLine="480"/>
        <w:rPr>
          <w:rFonts w:ascii="宋体" w:hAnsi="宋体" w:cs="宋体"/>
          <w:color w:val="auto"/>
          <w:szCs w:val="24"/>
        </w:rPr>
      </w:pPr>
      <w:r>
        <w:rPr>
          <w:rFonts w:hint="eastAsia" w:ascii="宋体" w:hAnsi="宋体" w:cs="宋体"/>
          <w:color w:val="auto"/>
          <w:szCs w:val="24"/>
        </w:rPr>
        <w:t>（四）花乔开花后及时进行修剪，开花凋谢后5日内未进行修剪，每株扣除管护费100元。</w:t>
      </w:r>
    </w:p>
    <w:p>
      <w:pPr>
        <w:ind w:firstLine="480"/>
        <w:rPr>
          <w:rFonts w:ascii="宋体" w:hAnsi="宋体" w:cs="宋体"/>
          <w:color w:val="auto"/>
          <w:szCs w:val="24"/>
        </w:rPr>
      </w:pPr>
      <w:r>
        <w:rPr>
          <w:rFonts w:hint="eastAsia" w:ascii="宋体" w:hAnsi="宋体" w:cs="宋体"/>
          <w:color w:val="auto"/>
          <w:szCs w:val="24"/>
        </w:rPr>
        <w:t>七、病虫害控制</w:t>
      </w:r>
    </w:p>
    <w:p>
      <w:pPr>
        <w:ind w:firstLine="480"/>
        <w:rPr>
          <w:rFonts w:ascii="宋体" w:hAnsi="宋体" w:cs="宋体"/>
          <w:color w:val="auto"/>
          <w:szCs w:val="24"/>
        </w:rPr>
      </w:pPr>
      <w:r>
        <w:rPr>
          <w:rFonts w:hint="eastAsia" w:ascii="宋体" w:hAnsi="宋体" w:cs="宋体"/>
          <w:color w:val="auto"/>
          <w:szCs w:val="24"/>
        </w:rPr>
        <w:t>（一）重大病虫防治严格按照</w:t>
      </w:r>
      <w:r>
        <w:rPr>
          <w:rFonts w:hint="eastAsia" w:ascii="宋体" w:hAnsi="宋体" w:cs="宋体"/>
          <w:color w:val="auto"/>
          <w:szCs w:val="24"/>
          <w:lang w:eastAsia="zh-CN"/>
        </w:rPr>
        <w:t>绿地中心病虫害防控办及</w:t>
      </w:r>
      <w:r>
        <w:rPr>
          <w:rFonts w:hint="eastAsia" w:ascii="宋体" w:hAnsi="宋体" w:cs="宋体"/>
          <w:color w:val="auto"/>
          <w:szCs w:val="24"/>
        </w:rPr>
        <w:t>专家诊断进行打药控制，常规预防工作由各管护单位根据实际情况灵活处理。</w:t>
      </w:r>
    </w:p>
    <w:p>
      <w:pPr>
        <w:ind w:firstLine="480"/>
        <w:rPr>
          <w:rFonts w:ascii="宋体" w:hAnsi="宋体" w:cs="宋体"/>
          <w:color w:val="auto"/>
          <w:szCs w:val="24"/>
        </w:rPr>
      </w:pPr>
      <w:r>
        <w:rPr>
          <w:rFonts w:hint="eastAsia" w:ascii="宋体" w:hAnsi="宋体" w:cs="宋体"/>
          <w:color w:val="auto"/>
          <w:szCs w:val="24"/>
        </w:rPr>
        <w:t>（二）各管护单位购买药品必须保证质量，发现药品存在质量问题，严格影响植物生长或导致植物死亡，除更换同等规格植物外，扣除管护费2000元。</w:t>
      </w:r>
    </w:p>
    <w:p>
      <w:pPr>
        <w:ind w:firstLine="480"/>
        <w:rPr>
          <w:rFonts w:ascii="宋体" w:hAnsi="宋体" w:cs="宋体"/>
          <w:color w:val="auto"/>
          <w:szCs w:val="24"/>
        </w:rPr>
      </w:pPr>
      <w:r>
        <w:rPr>
          <w:rFonts w:hint="eastAsia" w:ascii="宋体" w:hAnsi="宋体" w:cs="宋体"/>
          <w:color w:val="auto"/>
          <w:szCs w:val="24"/>
        </w:rPr>
        <w:t>（三）打药及时，药量适中，浓度不得超标，操作人员必须配戴口罩、手套。发现药剂浓度超标导致植物灼伤，每平方米扣除管护费500元；操作人员不按照要求配戴口罩、手套，发现一次扣除管护费</w:t>
      </w:r>
      <w:r>
        <w:rPr>
          <w:rFonts w:hint="eastAsia" w:ascii="宋体" w:hAnsi="宋体" w:cs="宋体"/>
          <w:color w:val="auto"/>
          <w:szCs w:val="24"/>
          <w:lang w:eastAsia="zh-CN"/>
        </w:rPr>
        <w:t>500</w:t>
      </w:r>
      <w:r>
        <w:rPr>
          <w:rFonts w:hint="eastAsia" w:ascii="宋体" w:hAnsi="宋体" w:cs="宋体"/>
          <w:color w:val="auto"/>
          <w:szCs w:val="24"/>
        </w:rPr>
        <w:t>元。</w:t>
      </w:r>
    </w:p>
    <w:p>
      <w:pPr>
        <w:ind w:firstLine="480"/>
        <w:rPr>
          <w:rFonts w:ascii="宋体" w:hAnsi="宋体" w:cs="宋体"/>
          <w:color w:val="auto"/>
          <w:szCs w:val="24"/>
        </w:rPr>
      </w:pPr>
      <w:r>
        <w:rPr>
          <w:rFonts w:hint="eastAsia" w:ascii="宋体" w:hAnsi="宋体" w:cs="宋体"/>
          <w:color w:val="auto"/>
          <w:szCs w:val="24"/>
        </w:rPr>
        <w:t>八、施肥管理</w:t>
      </w:r>
    </w:p>
    <w:p>
      <w:pPr>
        <w:ind w:firstLine="480"/>
        <w:rPr>
          <w:rFonts w:ascii="宋体" w:hAnsi="宋体" w:cs="宋体"/>
          <w:color w:val="auto"/>
          <w:szCs w:val="24"/>
        </w:rPr>
      </w:pPr>
      <w:r>
        <w:rPr>
          <w:rFonts w:hint="eastAsia" w:ascii="宋体" w:hAnsi="宋体" w:cs="宋体"/>
          <w:color w:val="auto"/>
          <w:szCs w:val="24"/>
        </w:rPr>
        <w:t>（一）施肥及时、科学、全面。</w:t>
      </w:r>
    </w:p>
    <w:p>
      <w:pPr>
        <w:ind w:firstLine="480"/>
        <w:rPr>
          <w:rFonts w:ascii="宋体" w:hAnsi="宋体" w:cs="宋体"/>
          <w:color w:val="auto"/>
          <w:szCs w:val="24"/>
        </w:rPr>
      </w:pPr>
      <w:r>
        <w:rPr>
          <w:rFonts w:hint="eastAsia" w:ascii="宋体" w:hAnsi="宋体" w:cs="宋体"/>
          <w:color w:val="auto"/>
          <w:szCs w:val="24"/>
        </w:rPr>
        <w:t>（二）施肥均匀，颗粒状肥料施后及时进行浇水。因施肥不均匀导致植物灼伤，每平方米扣除管护费200元。</w:t>
      </w:r>
    </w:p>
    <w:p>
      <w:pPr>
        <w:ind w:firstLine="480"/>
        <w:rPr>
          <w:rFonts w:ascii="宋体" w:hAnsi="宋体" w:cs="宋体"/>
          <w:color w:val="auto"/>
          <w:szCs w:val="24"/>
        </w:rPr>
      </w:pPr>
      <w:r>
        <w:rPr>
          <w:rFonts w:hint="eastAsia" w:ascii="宋体" w:hAnsi="宋体" w:cs="宋体"/>
          <w:color w:val="auto"/>
          <w:szCs w:val="24"/>
        </w:rPr>
        <w:t>九、鲜花更换</w:t>
      </w:r>
    </w:p>
    <w:p>
      <w:pPr>
        <w:ind w:firstLine="480"/>
        <w:rPr>
          <w:rFonts w:ascii="宋体" w:hAnsi="宋体" w:cs="宋体"/>
          <w:color w:val="auto"/>
          <w:szCs w:val="24"/>
        </w:rPr>
      </w:pPr>
      <w:r>
        <w:rPr>
          <w:rFonts w:hint="eastAsia" w:ascii="宋体" w:hAnsi="宋体" w:cs="宋体"/>
          <w:color w:val="auto"/>
          <w:szCs w:val="24"/>
        </w:rPr>
        <w:t>鲜花凋谢及时进行更换，更换品种严格按照甲方要求进行。鲜花凋谢后未及时进行更换，一次每平方米扣除管护费200元。</w:t>
      </w:r>
    </w:p>
    <w:p>
      <w:pPr>
        <w:ind w:firstLine="480"/>
        <w:rPr>
          <w:rFonts w:ascii="宋体" w:hAnsi="宋体" w:cs="宋体"/>
          <w:szCs w:val="24"/>
        </w:rPr>
      </w:pPr>
      <w:r>
        <w:rPr>
          <w:rFonts w:hint="eastAsia" w:ascii="宋体" w:hAnsi="宋体" w:cs="宋体"/>
          <w:szCs w:val="24"/>
        </w:rPr>
        <w:t>十、考核制度</w:t>
      </w:r>
    </w:p>
    <w:p>
      <w:pPr>
        <w:ind w:firstLine="480"/>
        <w:rPr>
          <w:rFonts w:ascii="宋体" w:hAnsi="宋体" w:cs="宋体"/>
          <w:szCs w:val="24"/>
        </w:rPr>
      </w:pPr>
      <w:r>
        <w:rPr>
          <w:rFonts w:hint="eastAsia" w:ascii="宋体" w:hAnsi="宋体" w:cs="宋体"/>
          <w:szCs w:val="24"/>
        </w:rPr>
        <w:t>管护考核严格按照《城区公共绿地、街道绿地、行道树、草花管护考核办法》进行，由区绿地建管中心组织，各管护单位管护责任人必须参加现场考核，缺席一次扣除管护费500元。</w:t>
      </w:r>
    </w:p>
    <w:p>
      <w:pPr>
        <w:pStyle w:val="4"/>
        <w:rPr>
          <w:color w:val="auto"/>
          <w:sz w:val="24"/>
          <w:szCs w:val="24"/>
          <w:highlight w:val="none"/>
        </w:rPr>
      </w:pPr>
      <w:r>
        <w:rPr>
          <w:rFonts w:hint="eastAsia"/>
          <w:color w:val="auto"/>
          <w:sz w:val="24"/>
          <w:szCs w:val="24"/>
          <w:highlight w:val="none"/>
          <w:lang w:val="en-US" w:eastAsia="zh-CN"/>
        </w:rPr>
        <w:t>人员基本要求</w:t>
      </w:r>
    </w:p>
    <w:p>
      <w:pPr>
        <w:pStyle w:val="5"/>
        <w:bidi w:val="0"/>
        <w:rPr>
          <w:rFonts w:hint="eastAsia" w:ascii="宋体" w:hAnsi="宋体" w:eastAsia="宋体" w:cs="宋体"/>
          <w:color w:val="auto"/>
          <w:sz w:val="24"/>
          <w:szCs w:val="32"/>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32"/>
          <w:lang w:val="en-US" w:eastAsia="zh-CN"/>
        </w:rPr>
        <w:t>投标人中标后，每个包件的人员按照特级养护每3000㎡一人、一级养护5000㎡一人、普通养护8000㎡一人进行配备。（提供承诺函）</w:t>
      </w:r>
    </w:p>
    <w:p>
      <w:pPr>
        <w:pStyle w:val="5"/>
        <w:bidi w:val="0"/>
        <w:rPr>
          <w:rFonts w:hint="eastAsia" w:ascii="宋体" w:hAnsi="宋体" w:eastAsia="宋体" w:cs="宋体"/>
          <w:color w:val="auto"/>
          <w:sz w:val="24"/>
          <w:szCs w:val="32"/>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32"/>
          <w:lang w:val="en-US" w:eastAsia="zh-CN"/>
        </w:rPr>
        <w:t>按要求购买从业人员社会保险，从业人员工资不低于当年最新公布的成都市最低工资标准。（提供承诺函）</w:t>
      </w:r>
    </w:p>
    <w:p>
      <w:pPr>
        <w:pStyle w:val="4"/>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机具配置基本要求</w:t>
      </w:r>
    </w:p>
    <w:tbl>
      <w:tblPr>
        <w:tblStyle w:val="44"/>
        <w:tblpPr w:leftFromText="180" w:rightFromText="180" w:vertAnchor="text" w:tblpX="127" w:tblpY="324"/>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858"/>
        <w:gridCol w:w="810"/>
        <w:gridCol w:w="1175"/>
        <w:gridCol w:w="1176"/>
        <w:gridCol w:w="778"/>
        <w:gridCol w:w="1096"/>
        <w:gridCol w:w="93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5"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包件号</w:t>
            </w:r>
          </w:p>
        </w:tc>
        <w:tc>
          <w:tcPr>
            <w:tcW w:w="858"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洒水车</w:t>
            </w:r>
          </w:p>
        </w:tc>
        <w:tc>
          <w:tcPr>
            <w:tcW w:w="810"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货车</w:t>
            </w:r>
          </w:p>
        </w:tc>
        <w:tc>
          <w:tcPr>
            <w:tcW w:w="1175"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三轮载货摩托车</w:t>
            </w:r>
          </w:p>
        </w:tc>
        <w:tc>
          <w:tcPr>
            <w:tcW w:w="1176"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剪草机</w:t>
            </w:r>
          </w:p>
        </w:tc>
        <w:tc>
          <w:tcPr>
            <w:tcW w:w="778"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打药机</w:t>
            </w:r>
          </w:p>
        </w:tc>
        <w:tc>
          <w:tcPr>
            <w:tcW w:w="1096"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割灌机</w:t>
            </w:r>
          </w:p>
        </w:tc>
        <w:tc>
          <w:tcPr>
            <w:tcW w:w="938"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绿篱机</w:t>
            </w:r>
          </w:p>
        </w:tc>
        <w:tc>
          <w:tcPr>
            <w:tcW w:w="968"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高枝油锯</w:t>
            </w:r>
          </w:p>
        </w:tc>
        <w:tc>
          <w:tcPr>
            <w:tcW w:w="968"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抽水机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5"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858"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2辆</w:t>
            </w:r>
          </w:p>
        </w:tc>
        <w:tc>
          <w:tcPr>
            <w:tcW w:w="810"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6辆</w:t>
            </w:r>
          </w:p>
        </w:tc>
        <w:tc>
          <w:tcPr>
            <w:tcW w:w="1175"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6辆</w:t>
            </w:r>
          </w:p>
        </w:tc>
        <w:tc>
          <w:tcPr>
            <w:tcW w:w="1176"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778"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4"/>
                <w:szCs w:val="24"/>
                <w:highlight w:val="none"/>
                <w:vertAlign w:val="baseline"/>
                <w:lang w:val="en-US" w:eastAsia="zh-CN"/>
              </w:rPr>
            </w:pPr>
            <w:r>
              <w:rPr>
                <w:rFonts w:hint="eastAsia" w:ascii="宋体" w:hAnsi="宋体" w:cs="宋体"/>
                <w:b w:val="0"/>
                <w:bCs w:val="0"/>
                <w:color w:val="auto"/>
                <w:kern w:val="2"/>
                <w:sz w:val="24"/>
                <w:szCs w:val="24"/>
                <w:highlight w:val="none"/>
                <w:vertAlign w:val="baseline"/>
                <w:lang w:val="en-US" w:eastAsia="zh-CN" w:bidi="ar-SA"/>
              </w:rPr>
              <w:t>5</w:t>
            </w:r>
            <w:r>
              <w:rPr>
                <w:rFonts w:hint="eastAsia" w:ascii="宋体" w:hAnsi="宋体" w:eastAsia="宋体" w:cs="宋体"/>
                <w:b w:val="0"/>
                <w:bCs w:val="0"/>
                <w:color w:val="auto"/>
                <w:kern w:val="2"/>
                <w:sz w:val="24"/>
                <w:szCs w:val="24"/>
                <w:highlight w:val="none"/>
                <w:vertAlign w:val="baseline"/>
                <w:lang w:val="en-US" w:eastAsia="zh-CN" w:bidi="ar-SA"/>
              </w:rPr>
              <w:t>台</w:t>
            </w:r>
          </w:p>
        </w:tc>
        <w:tc>
          <w:tcPr>
            <w:tcW w:w="1096"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38"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68"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2台</w:t>
            </w:r>
          </w:p>
        </w:tc>
        <w:tc>
          <w:tcPr>
            <w:tcW w:w="968" w:type="dxa"/>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858"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2辆</w:t>
            </w:r>
          </w:p>
        </w:tc>
        <w:tc>
          <w:tcPr>
            <w:tcW w:w="810"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6辆</w:t>
            </w:r>
          </w:p>
        </w:tc>
        <w:tc>
          <w:tcPr>
            <w:tcW w:w="1175"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6辆</w:t>
            </w:r>
          </w:p>
        </w:tc>
        <w:tc>
          <w:tcPr>
            <w:tcW w:w="1176"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778"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kern w:val="2"/>
                <w:sz w:val="24"/>
                <w:szCs w:val="24"/>
                <w:highlight w:val="none"/>
                <w:vertAlign w:val="baseline"/>
                <w:lang w:val="en-US" w:eastAsia="zh-CN" w:bidi="ar-SA"/>
              </w:rPr>
              <w:t>5</w:t>
            </w:r>
            <w:r>
              <w:rPr>
                <w:rFonts w:hint="eastAsia" w:ascii="宋体" w:hAnsi="宋体" w:eastAsia="宋体" w:cs="宋体"/>
                <w:b w:val="0"/>
                <w:bCs w:val="0"/>
                <w:color w:val="auto"/>
                <w:kern w:val="2"/>
                <w:sz w:val="24"/>
                <w:szCs w:val="24"/>
                <w:highlight w:val="none"/>
                <w:vertAlign w:val="baseline"/>
                <w:lang w:val="en-US" w:eastAsia="zh-CN" w:bidi="ar-SA"/>
              </w:rPr>
              <w:t>台</w:t>
            </w:r>
          </w:p>
        </w:tc>
        <w:tc>
          <w:tcPr>
            <w:tcW w:w="1096"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3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6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2台</w:t>
            </w:r>
          </w:p>
        </w:tc>
        <w:tc>
          <w:tcPr>
            <w:tcW w:w="96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5"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858"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2辆</w:t>
            </w:r>
          </w:p>
        </w:tc>
        <w:tc>
          <w:tcPr>
            <w:tcW w:w="810"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6辆</w:t>
            </w:r>
          </w:p>
        </w:tc>
        <w:tc>
          <w:tcPr>
            <w:tcW w:w="1175"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6辆</w:t>
            </w:r>
          </w:p>
        </w:tc>
        <w:tc>
          <w:tcPr>
            <w:tcW w:w="1176"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778"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kern w:val="2"/>
                <w:sz w:val="24"/>
                <w:szCs w:val="24"/>
                <w:highlight w:val="none"/>
                <w:vertAlign w:val="baseline"/>
                <w:lang w:val="en-US" w:eastAsia="zh-CN" w:bidi="ar-SA"/>
              </w:rPr>
              <w:t>5</w:t>
            </w:r>
            <w:r>
              <w:rPr>
                <w:rFonts w:hint="eastAsia" w:ascii="宋体" w:hAnsi="宋体" w:eastAsia="宋体" w:cs="宋体"/>
                <w:b w:val="0"/>
                <w:bCs w:val="0"/>
                <w:color w:val="auto"/>
                <w:kern w:val="2"/>
                <w:sz w:val="24"/>
                <w:szCs w:val="24"/>
                <w:highlight w:val="none"/>
                <w:vertAlign w:val="baseline"/>
                <w:lang w:val="en-US" w:eastAsia="zh-CN" w:bidi="ar-SA"/>
              </w:rPr>
              <w:t>台</w:t>
            </w:r>
          </w:p>
        </w:tc>
        <w:tc>
          <w:tcPr>
            <w:tcW w:w="1096"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3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6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2台</w:t>
            </w:r>
          </w:p>
        </w:tc>
        <w:tc>
          <w:tcPr>
            <w:tcW w:w="96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5"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858"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2辆</w:t>
            </w:r>
          </w:p>
        </w:tc>
        <w:tc>
          <w:tcPr>
            <w:tcW w:w="810"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6辆</w:t>
            </w:r>
          </w:p>
        </w:tc>
        <w:tc>
          <w:tcPr>
            <w:tcW w:w="1175"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6辆</w:t>
            </w:r>
          </w:p>
        </w:tc>
        <w:tc>
          <w:tcPr>
            <w:tcW w:w="1176"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778"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kern w:val="2"/>
                <w:sz w:val="24"/>
                <w:szCs w:val="24"/>
                <w:highlight w:val="none"/>
                <w:vertAlign w:val="baseline"/>
                <w:lang w:val="en-US" w:eastAsia="zh-CN" w:bidi="ar-SA"/>
              </w:rPr>
              <w:t>5</w:t>
            </w:r>
            <w:r>
              <w:rPr>
                <w:rFonts w:hint="eastAsia" w:ascii="宋体" w:hAnsi="宋体" w:eastAsia="宋体" w:cs="宋体"/>
                <w:b w:val="0"/>
                <w:bCs w:val="0"/>
                <w:color w:val="auto"/>
                <w:kern w:val="2"/>
                <w:sz w:val="24"/>
                <w:szCs w:val="24"/>
                <w:highlight w:val="none"/>
                <w:vertAlign w:val="baseline"/>
                <w:lang w:val="en-US" w:eastAsia="zh-CN" w:bidi="ar-SA"/>
              </w:rPr>
              <w:t>台</w:t>
            </w:r>
          </w:p>
        </w:tc>
        <w:tc>
          <w:tcPr>
            <w:tcW w:w="1096"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3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6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2台</w:t>
            </w:r>
          </w:p>
        </w:tc>
        <w:tc>
          <w:tcPr>
            <w:tcW w:w="96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5" w:type="dxa"/>
          </w:tcPr>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858"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2辆</w:t>
            </w:r>
          </w:p>
        </w:tc>
        <w:tc>
          <w:tcPr>
            <w:tcW w:w="810"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6辆</w:t>
            </w:r>
          </w:p>
        </w:tc>
        <w:tc>
          <w:tcPr>
            <w:tcW w:w="1175"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6辆</w:t>
            </w:r>
          </w:p>
        </w:tc>
        <w:tc>
          <w:tcPr>
            <w:tcW w:w="1176"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778" w:type="dxa"/>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val="0"/>
                <w:bCs w:val="0"/>
                <w:color w:val="auto"/>
                <w:kern w:val="2"/>
                <w:sz w:val="24"/>
                <w:szCs w:val="24"/>
                <w:highlight w:val="none"/>
                <w:vertAlign w:val="baseline"/>
                <w:lang w:val="en-US" w:eastAsia="zh-CN" w:bidi="ar-SA"/>
              </w:rPr>
              <w:t>5</w:t>
            </w:r>
            <w:r>
              <w:rPr>
                <w:rFonts w:hint="eastAsia" w:ascii="宋体" w:hAnsi="宋体" w:eastAsia="宋体" w:cs="宋体"/>
                <w:b w:val="0"/>
                <w:bCs w:val="0"/>
                <w:color w:val="auto"/>
                <w:kern w:val="2"/>
                <w:sz w:val="24"/>
                <w:szCs w:val="24"/>
                <w:highlight w:val="none"/>
                <w:vertAlign w:val="baseline"/>
                <w:lang w:val="en-US" w:eastAsia="zh-CN" w:bidi="ar-SA"/>
              </w:rPr>
              <w:t>台</w:t>
            </w:r>
          </w:p>
        </w:tc>
        <w:tc>
          <w:tcPr>
            <w:tcW w:w="1096"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3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20台</w:t>
            </w:r>
          </w:p>
        </w:tc>
        <w:tc>
          <w:tcPr>
            <w:tcW w:w="96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2台</w:t>
            </w:r>
          </w:p>
        </w:tc>
        <w:tc>
          <w:tcPr>
            <w:tcW w:w="968"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1台</w:t>
            </w:r>
          </w:p>
        </w:tc>
      </w:tr>
    </w:tbl>
    <w:p>
      <w:pPr>
        <w:pStyle w:val="2"/>
        <w:rPr>
          <w:rFonts w:hint="eastAsia" w:ascii="宋体" w:hAnsi="宋体" w:cs="宋体"/>
          <w:b/>
          <w:bCs/>
          <w:color w:val="auto"/>
          <w:sz w:val="24"/>
          <w:szCs w:val="24"/>
          <w:highlight w:val="none"/>
          <w:lang w:val="en-US" w:eastAsia="zh-CN"/>
        </w:rPr>
      </w:pPr>
    </w:p>
    <w:p>
      <w:pPr>
        <w:ind w:firstLine="490" w:firstLineChars="200"/>
        <w:rPr>
          <w:rFonts w:hint="default"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提供设备购买发票或承诺函（承诺中标后签订合同前配齐相关设备）。</w:t>
      </w:r>
    </w:p>
    <w:p>
      <w:pPr>
        <w:pStyle w:val="4"/>
        <w:rPr>
          <w:color w:val="auto"/>
          <w:sz w:val="24"/>
          <w:szCs w:val="24"/>
          <w:highlight w:val="none"/>
        </w:rPr>
      </w:pPr>
      <w:r>
        <w:rPr>
          <w:rFonts w:hint="eastAsia"/>
          <w:color w:val="auto"/>
          <w:sz w:val="24"/>
          <w:szCs w:val="24"/>
          <w:highlight w:val="none"/>
          <w:lang w:val="en-US" w:eastAsia="zh-CN"/>
        </w:rPr>
        <w:t>各包</w:t>
      </w:r>
      <w:r>
        <w:rPr>
          <w:rFonts w:hint="eastAsia"/>
          <w:color w:val="auto"/>
          <w:sz w:val="24"/>
          <w:szCs w:val="24"/>
          <w:highlight w:val="none"/>
        </w:rPr>
        <w:t>商务要求</w:t>
      </w:r>
      <w:bookmarkEnd w:id="276"/>
      <w:bookmarkEnd w:id="277"/>
      <w:bookmarkEnd w:id="278"/>
      <w:bookmarkEnd w:id="280"/>
    </w:p>
    <w:p>
      <w:pPr>
        <w:pStyle w:val="5"/>
        <w:bidi w:val="0"/>
        <w:rPr>
          <w:color w:val="auto"/>
          <w:highlight w:val="none"/>
        </w:rPr>
      </w:pPr>
      <w:r>
        <w:rPr>
          <w:rFonts w:hint="eastAsia"/>
          <w:color w:val="auto"/>
          <w:highlight w:val="none"/>
          <w:lang w:val="en-US" w:eastAsia="zh-CN"/>
        </w:rPr>
        <w:t>现场踏勘</w:t>
      </w:r>
    </w:p>
    <w:p>
      <w:pPr>
        <w:rPr>
          <w:rFonts w:hint="default"/>
          <w:lang w:val="en-US"/>
        </w:rPr>
      </w:pPr>
      <w:r>
        <w:rPr>
          <w:rFonts w:hint="eastAsia"/>
          <w:color w:val="auto"/>
          <w:highlight w:val="none"/>
          <w:lang w:val="en-US" w:eastAsia="zh-CN"/>
        </w:rPr>
        <w:t>投标人可自行前往现场踏勘，采购人不统一组织，踏勘过程中如出现人身安全等意外情况，与采购人无关，踏勘产生的相关费用由投标人自行承担。</w:t>
      </w:r>
    </w:p>
    <w:p>
      <w:pPr>
        <w:pStyle w:val="5"/>
        <w:pageBreakBefore w:val="0"/>
        <w:widowControl w:val="0"/>
        <w:kinsoku/>
        <w:wordWrap/>
        <w:overflowPunct/>
        <w:topLinePunct w:val="0"/>
        <w:autoSpaceDE/>
        <w:autoSpaceDN/>
        <w:bidi w:val="0"/>
        <w:adjustRightInd/>
        <w:snapToGrid/>
        <w:spacing w:line="480" w:lineRule="exact"/>
        <w:textAlignment w:val="auto"/>
        <w:rPr>
          <w:color w:val="auto"/>
          <w:highlight w:val="none"/>
        </w:rPr>
      </w:pPr>
      <w:r>
        <w:rPr>
          <w:rFonts w:hint="eastAsia"/>
          <w:color w:val="auto"/>
          <w:highlight w:val="none"/>
          <w:lang w:val="en-US" w:eastAsia="zh-CN"/>
        </w:rPr>
        <w:t>服务期限</w:t>
      </w:r>
    </w:p>
    <w:p>
      <w:pPr>
        <w:pageBreakBefore w:val="0"/>
        <w:widowControl w:val="0"/>
        <w:kinsoku/>
        <w:wordWrap/>
        <w:overflowPunct/>
        <w:topLinePunct w:val="0"/>
        <w:autoSpaceDE/>
        <w:autoSpaceDN/>
        <w:bidi w:val="0"/>
        <w:adjustRightInd/>
        <w:snapToGrid/>
        <w:spacing w:line="480" w:lineRule="exact"/>
        <w:textAlignment w:val="auto"/>
      </w:pPr>
      <w:r>
        <w:rPr>
          <w:rFonts w:hint="eastAsia" w:ascii="宋体" w:hAnsi="宋体" w:cs="宋体"/>
          <w:kern w:val="0"/>
          <w:sz w:val="24"/>
          <w:szCs w:val="24"/>
          <w:highlight w:val="none"/>
          <w:lang w:val="en-US" w:eastAsia="zh-CN"/>
        </w:rPr>
        <w:t>自合同签订之日起3年。合同一年一签。</w:t>
      </w:r>
    </w:p>
    <w:p>
      <w:pPr>
        <w:pStyle w:val="5"/>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验收要求</w:t>
      </w:r>
    </w:p>
    <w:p>
      <w:pPr>
        <w:pageBreakBefore w:val="0"/>
        <w:widowControl w:val="0"/>
        <w:kinsoku/>
        <w:wordWrap/>
        <w:overflowPunct/>
        <w:topLinePunct w:val="0"/>
        <w:autoSpaceDE/>
        <w:autoSpaceDN/>
        <w:bidi w:val="0"/>
        <w:adjustRightInd/>
        <w:snapToGrid/>
        <w:spacing w:line="480" w:lineRule="exact"/>
        <w:ind w:firstLine="49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按照《财政部关于进一步加强政府采购需求和履约验收管理的指导意见》（财库[2016]205号）执行。</w:t>
      </w:r>
    </w:p>
    <w:p>
      <w:pPr>
        <w:pStyle w:val="5"/>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auto"/>
          <w:sz w:val="24"/>
          <w:szCs w:val="24"/>
          <w:highlight w:val="none"/>
        </w:rPr>
      </w:pPr>
      <w:r>
        <w:rPr>
          <w:rFonts w:hint="eastAsia" w:cs="宋体"/>
          <w:color w:val="auto"/>
          <w:sz w:val="24"/>
          <w:szCs w:val="24"/>
          <w:highlight w:val="none"/>
          <w:lang w:val="en-US" w:eastAsia="zh-CN"/>
        </w:rPr>
        <w:t>价款结算</w:t>
      </w:r>
    </w:p>
    <w:p>
      <w:pPr>
        <w:pageBreakBefore w:val="0"/>
        <w:widowControl w:val="0"/>
        <w:numPr>
          <w:ilvl w:val="0"/>
          <w:numId w:val="47"/>
        </w:numPr>
        <w:kinsoku/>
        <w:wordWrap/>
        <w:overflowPunct/>
        <w:topLinePunct w:val="0"/>
        <w:autoSpaceDE/>
        <w:autoSpaceDN/>
        <w:bidi w:val="0"/>
        <w:adjustRightInd/>
        <w:snapToGrid/>
        <w:spacing w:line="480" w:lineRule="exact"/>
        <w:ind w:left="0" w:leftChars="0" w:firstLine="420" w:firstLineChars="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包件1和包件2价款=各管护内容中标单价×实际数量据实结算+节点及其他的金额，全年结算金额不超过其包件预算金额。</w:t>
      </w:r>
    </w:p>
    <w:p>
      <w:pPr>
        <w:pageBreakBefore w:val="0"/>
        <w:widowControl w:val="0"/>
        <w:numPr>
          <w:ilvl w:val="0"/>
          <w:numId w:val="47"/>
        </w:numPr>
        <w:kinsoku/>
        <w:wordWrap/>
        <w:overflowPunct/>
        <w:topLinePunct w:val="0"/>
        <w:autoSpaceDE/>
        <w:autoSpaceDN/>
        <w:bidi w:val="0"/>
        <w:adjustRightInd/>
        <w:snapToGrid/>
        <w:spacing w:line="480" w:lineRule="exact"/>
        <w:ind w:left="0" w:leftChars="0" w:firstLine="420" w:firstLineChars="0"/>
        <w:textAlignment w:val="auto"/>
      </w:pPr>
      <w:r>
        <w:rPr>
          <w:rFonts w:hint="eastAsia" w:cs="宋体"/>
          <w:color w:val="auto"/>
          <w:sz w:val="24"/>
          <w:szCs w:val="24"/>
          <w:highlight w:val="none"/>
          <w:lang w:val="en-US" w:eastAsia="zh-CN"/>
        </w:rPr>
        <w:t>包件3、包件4和包件5价款=各管护内容中标单价×实际数量据实结算，全年结算金额不超过其包件预算金额。</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highlight w:val="none"/>
          <w:lang w:val="en-US" w:eastAsia="zh-CN"/>
        </w:rPr>
      </w:pPr>
      <w:r>
        <w:rPr>
          <w:rFonts w:hint="eastAsia"/>
          <w:highlight w:val="none"/>
          <w:lang w:val="en-US" w:eastAsia="zh-CN"/>
        </w:rPr>
        <w:t>注：所有管护内容，各包件中未在开标一览表中报价，但后期因工作临时需要，要求中标人提供相应管护内容的，则其单价按照其他包件相同管护内容中标单价的加权平均价计算。</w:t>
      </w:r>
    </w:p>
    <w:p>
      <w:pPr>
        <w:pStyle w:val="5"/>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付款</w:t>
      </w:r>
      <w:r>
        <w:rPr>
          <w:rFonts w:hint="eastAsia" w:cs="宋体"/>
          <w:color w:val="auto"/>
          <w:sz w:val="24"/>
          <w:szCs w:val="24"/>
          <w:highlight w:val="none"/>
          <w:lang w:val="en-US" w:eastAsia="zh-CN"/>
        </w:rPr>
        <w:t>方式</w:t>
      </w:r>
    </w:p>
    <w:p>
      <w:pPr>
        <w:pageBreakBefore w:val="0"/>
        <w:widowControl w:val="0"/>
        <w:numPr>
          <w:ilvl w:val="0"/>
          <w:numId w:val="0"/>
        </w:numPr>
        <w:kinsoku/>
        <w:wordWrap/>
        <w:overflowPunct/>
        <w:topLinePunct w:val="0"/>
        <w:autoSpaceDE/>
        <w:autoSpaceDN/>
        <w:bidi w:val="0"/>
        <w:adjustRightInd/>
        <w:snapToGrid/>
        <w:spacing w:after="163" w:line="480" w:lineRule="exact"/>
        <w:ind w:firstLine="490" w:firstLineChars="200"/>
        <w:textAlignment w:val="auto"/>
        <w:rPr>
          <w:rFonts w:ascii="Times New Roman" w:hAnsi="Times New Roman" w:eastAsia="方正仿宋_GBK"/>
          <w:sz w:val="24"/>
          <w:szCs w:val="24"/>
          <w:highlight w:val="none"/>
          <w:lang w:val="zh-TW" w:eastAsia="zh-TW"/>
        </w:rPr>
      </w:pPr>
      <w:r>
        <w:rPr>
          <w:rFonts w:hint="eastAsia" w:ascii="宋体" w:hAnsi="宋体" w:cs="宋体"/>
          <w:sz w:val="24"/>
          <w:szCs w:val="24"/>
          <w:highlight w:val="none"/>
          <w:lang w:val="en-US" w:eastAsia="zh-CN"/>
        </w:rPr>
        <w:t>根据考核结果按月支付</w:t>
      </w:r>
      <w:r>
        <w:rPr>
          <w:rFonts w:hint="eastAsia" w:ascii="宋体" w:hAnsi="宋体" w:eastAsia="宋体" w:cs="宋体"/>
          <w:sz w:val="24"/>
          <w:szCs w:val="24"/>
          <w:highlight w:val="none"/>
          <w:lang w:val="zh-TW" w:eastAsia="zh-CN"/>
        </w:rPr>
        <w:t>。</w:t>
      </w:r>
    </w:p>
    <w:p>
      <w:pPr>
        <w:pStyle w:val="5"/>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auto"/>
          <w:sz w:val="24"/>
          <w:szCs w:val="24"/>
          <w:highlight w:val="none"/>
        </w:rPr>
      </w:pPr>
      <w:r>
        <w:rPr>
          <w:rFonts w:hint="eastAsia" w:ascii="宋体" w:hAnsi="宋体" w:cs="宋体"/>
          <w:b/>
          <w:color w:val="auto"/>
          <w:sz w:val="24"/>
          <w:szCs w:val="32"/>
          <w:highlight w:val="none"/>
        </w:rPr>
        <w:t>★</w:t>
      </w:r>
      <w:r>
        <w:rPr>
          <w:rFonts w:hint="eastAsia" w:ascii="宋体" w:hAnsi="宋体" w:cs="宋体"/>
          <w:color w:val="auto"/>
          <w:sz w:val="24"/>
          <w:szCs w:val="24"/>
          <w:highlight w:val="none"/>
        </w:rPr>
        <w:t>最高限价</w:t>
      </w:r>
      <w:r>
        <w:rPr>
          <w:rFonts w:hint="eastAsia" w:cs="宋体"/>
          <w:color w:val="auto"/>
          <w:sz w:val="24"/>
          <w:szCs w:val="24"/>
          <w:highlight w:val="none"/>
          <w:lang w:val="en-US" w:eastAsia="zh-CN"/>
        </w:rPr>
        <w:t xml:space="preserve"> </w:t>
      </w:r>
    </w:p>
    <w:p>
      <w:pPr>
        <w:pageBreakBefore w:val="0"/>
        <w:widowControl w:val="0"/>
        <w:numPr>
          <w:ilvl w:val="0"/>
          <w:numId w:val="0"/>
        </w:numPr>
        <w:tabs>
          <w:tab w:val="left" w:pos="0"/>
          <w:tab w:val="left" w:pos="585"/>
        </w:tabs>
        <w:kinsoku/>
        <w:wordWrap/>
        <w:overflowPunct/>
        <w:topLinePunct w:val="0"/>
        <w:autoSpaceDE/>
        <w:autoSpaceDN/>
        <w:bidi w:val="0"/>
        <w:adjustRightInd/>
        <w:snapToGrid/>
        <w:spacing w:line="480" w:lineRule="exact"/>
        <w:ind w:left="0" w:leftChars="0" w:firstLine="497" w:firstLineChars="203"/>
        <w:textAlignment w:val="auto"/>
        <w:rPr>
          <w:rFonts w:hint="eastAsia" w:ascii="宋体" w:hAnsi="宋体" w:cs="宋体"/>
          <w:b/>
          <w:color w:val="auto"/>
          <w:sz w:val="24"/>
          <w:szCs w:val="32"/>
          <w:highlight w:val="none"/>
        </w:rPr>
      </w:pPr>
      <w:r>
        <w:rPr>
          <w:rFonts w:hint="eastAsia" w:ascii="宋体" w:hAnsi="宋体" w:cs="宋体"/>
          <w:b/>
          <w:color w:val="auto"/>
          <w:sz w:val="24"/>
          <w:szCs w:val="32"/>
          <w:highlight w:val="none"/>
          <w:lang w:val="en-US" w:eastAsia="zh-CN"/>
        </w:rPr>
        <w:t>本项目所有包件各管护单内容价详见下表，各管护内容单价高于对应管护内容最高限价的</w:t>
      </w:r>
      <w:r>
        <w:rPr>
          <w:rFonts w:hint="eastAsia" w:ascii="宋体" w:hAnsi="宋体" w:cs="宋体"/>
          <w:b/>
          <w:color w:val="auto"/>
          <w:sz w:val="24"/>
          <w:szCs w:val="32"/>
          <w:highlight w:val="none"/>
        </w:rPr>
        <w:t>，其投标文件按无效投标文件处理。</w:t>
      </w:r>
    </w:p>
    <w:tbl>
      <w:tblPr>
        <w:tblStyle w:val="43"/>
        <w:tblpPr w:leftFromText="180" w:rightFromText="180" w:vertAnchor="text" w:horzAnchor="page" w:tblpX="1282" w:tblpY="301"/>
        <w:tblOverlap w:val="never"/>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1"/>
        <w:gridCol w:w="1636"/>
        <w:gridCol w:w="1530"/>
        <w:gridCol w:w="1335"/>
        <w:gridCol w:w="166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4357"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绿地</w:t>
            </w:r>
          </w:p>
        </w:tc>
        <w:tc>
          <w:tcPr>
            <w:tcW w:w="3000"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行道树</w:t>
            </w:r>
          </w:p>
        </w:tc>
        <w:tc>
          <w:tcPr>
            <w:tcW w:w="169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草花更换养护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119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特级养护</w:t>
            </w:r>
            <w:r>
              <w:rPr>
                <w:rFonts w:hint="eastAsia" w:ascii="宋体" w:hAnsi="宋体" w:cs="宋体"/>
                <w:i w:val="0"/>
                <w:iCs w:val="0"/>
                <w:color w:val="000000"/>
                <w:kern w:val="0"/>
                <w:sz w:val="20"/>
                <w:szCs w:val="20"/>
                <w:u w:val="none"/>
                <w:lang w:val="en-US" w:eastAsia="zh-CN" w:bidi="ar"/>
              </w:rPr>
              <w:t>最高限价</w:t>
            </w:r>
          </w:p>
        </w:tc>
        <w:tc>
          <w:tcPr>
            <w:tcW w:w="163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w:t>
            </w:r>
            <w:r>
              <w:rPr>
                <w:rFonts w:hint="eastAsia" w:ascii="宋体" w:hAnsi="宋体" w:cs="宋体"/>
                <w:i w:val="0"/>
                <w:iCs w:val="0"/>
                <w:color w:val="000000"/>
                <w:kern w:val="0"/>
                <w:sz w:val="20"/>
                <w:szCs w:val="20"/>
                <w:u w:val="none"/>
                <w:lang w:val="en-US" w:eastAsia="zh-CN" w:bidi="ar"/>
              </w:rPr>
              <w:t>最高限价</w:t>
            </w:r>
          </w:p>
        </w:tc>
        <w:tc>
          <w:tcPr>
            <w:tcW w:w="153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普通养护</w:t>
            </w:r>
            <w:r>
              <w:rPr>
                <w:rFonts w:hint="eastAsia" w:ascii="宋体" w:hAnsi="宋体" w:cs="宋体"/>
                <w:i w:val="0"/>
                <w:iCs w:val="0"/>
                <w:color w:val="000000"/>
                <w:kern w:val="0"/>
                <w:sz w:val="20"/>
                <w:szCs w:val="20"/>
                <w:u w:val="none"/>
                <w:lang w:val="en-US" w:eastAsia="zh-CN" w:bidi="ar"/>
              </w:rPr>
              <w:t>最高限价</w:t>
            </w:r>
          </w:p>
        </w:tc>
        <w:tc>
          <w:tcPr>
            <w:tcW w:w="133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一级养护</w:t>
            </w:r>
            <w:r>
              <w:rPr>
                <w:rFonts w:hint="eastAsia" w:ascii="宋体" w:hAnsi="宋体" w:cs="宋体"/>
                <w:i w:val="0"/>
                <w:iCs w:val="0"/>
                <w:color w:val="000000"/>
                <w:kern w:val="0"/>
                <w:sz w:val="20"/>
                <w:szCs w:val="20"/>
                <w:u w:val="none"/>
                <w:lang w:val="en-US" w:eastAsia="zh-CN" w:bidi="ar"/>
              </w:rPr>
              <w:t>最高限价</w:t>
            </w:r>
          </w:p>
        </w:tc>
        <w:tc>
          <w:tcPr>
            <w:tcW w:w="16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普通养护</w:t>
            </w:r>
            <w:r>
              <w:rPr>
                <w:rFonts w:hint="eastAsia" w:ascii="宋体" w:hAnsi="宋体" w:cs="宋体"/>
                <w:i w:val="0"/>
                <w:iCs w:val="0"/>
                <w:color w:val="000000"/>
                <w:kern w:val="0"/>
                <w:sz w:val="20"/>
                <w:szCs w:val="20"/>
                <w:u w:val="none"/>
                <w:lang w:val="en-US" w:eastAsia="zh-CN" w:bidi="ar"/>
              </w:rPr>
              <w:t>最高限价</w:t>
            </w:r>
          </w:p>
        </w:tc>
        <w:tc>
          <w:tcPr>
            <w:tcW w:w="169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草花</w:t>
            </w:r>
            <w:r>
              <w:rPr>
                <w:rFonts w:hint="eastAsia" w:ascii="宋体" w:hAnsi="宋体" w:cs="宋体"/>
                <w:i w:val="0"/>
                <w:iCs w:val="0"/>
                <w:color w:val="000000"/>
                <w:kern w:val="0"/>
                <w:sz w:val="20"/>
                <w:szCs w:val="20"/>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119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7.9元/㎡.年</w:t>
            </w:r>
          </w:p>
        </w:tc>
        <w:tc>
          <w:tcPr>
            <w:tcW w:w="163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4.32元/㎡.年</w:t>
            </w:r>
          </w:p>
        </w:tc>
        <w:tc>
          <w:tcPr>
            <w:tcW w:w="153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3.5元/㎡.年</w:t>
            </w:r>
          </w:p>
        </w:tc>
        <w:tc>
          <w:tcPr>
            <w:tcW w:w="133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10元/年.株</w:t>
            </w:r>
          </w:p>
        </w:tc>
        <w:tc>
          <w:tcPr>
            <w:tcW w:w="166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8元/年.株</w:t>
            </w:r>
          </w:p>
        </w:tc>
        <w:tc>
          <w:tcPr>
            <w:tcW w:w="169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455元/㎡.年</w:t>
            </w:r>
          </w:p>
        </w:tc>
      </w:tr>
    </w:tbl>
    <w:p>
      <w:pPr>
        <w:pStyle w:val="2"/>
        <w:rPr>
          <w:rFonts w:hint="eastAsia" w:ascii="宋体" w:hAnsi="宋体" w:eastAsia="宋体" w:cs="宋体"/>
          <w:b/>
          <w:color w:val="auto"/>
          <w:sz w:val="24"/>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 w:val="24"/>
          <w:szCs w:val="32"/>
          <w:highlight w:val="none"/>
          <w:lang w:eastAsia="zh-CN"/>
        </w:rPr>
      </w:pPr>
      <w:r>
        <w:rPr>
          <w:rFonts w:hint="eastAsia" w:ascii="宋体" w:hAnsi="宋体" w:cs="宋体"/>
          <w:b/>
          <w:color w:val="auto"/>
          <w:sz w:val="24"/>
          <w:szCs w:val="32"/>
          <w:highlight w:val="none"/>
          <w:lang w:val="en-US" w:eastAsia="zh-CN"/>
        </w:rPr>
        <w:t>包件1和包件2节点及其他最高限价详见下表，包件1和包件2供应商节点及其他报价高于其最高限价的，其</w:t>
      </w:r>
      <w:r>
        <w:rPr>
          <w:rFonts w:hint="eastAsia" w:ascii="宋体" w:hAnsi="宋体" w:cs="宋体"/>
          <w:b/>
          <w:color w:val="auto"/>
          <w:sz w:val="24"/>
          <w:szCs w:val="32"/>
          <w:highlight w:val="none"/>
        </w:rPr>
        <w:t>投标文件按无效投标文件处理</w:t>
      </w:r>
      <w:r>
        <w:rPr>
          <w:rFonts w:hint="eastAsia" w:ascii="宋体" w:hAnsi="宋体" w:cs="宋体"/>
          <w:b/>
          <w:color w:val="auto"/>
          <w:sz w:val="24"/>
          <w:szCs w:val="32"/>
          <w:highlight w:val="none"/>
          <w:lang w:eastAsia="zh-CN"/>
        </w:rPr>
        <w:t>。</w:t>
      </w:r>
    </w:p>
    <w:tbl>
      <w:tblPr>
        <w:tblStyle w:val="43"/>
        <w:tblpPr w:leftFromText="180" w:rightFromText="180" w:vertAnchor="text" w:horzAnchor="page" w:tblpX="1282" w:tblpY="301"/>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30"/>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03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包件1节点及其他最高限价</w:t>
            </w:r>
          </w:p>
        </w:tc>
        <w:tc>
          <w:tcPr>
            <w:tcW w:w="50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1431536.38</w:t>
            </w:r>
            <w:r>
              <w:rPr>
                <w:rFonts w:hint="eastAsia" w:ascii="宋体" w:hAnsi="宋体" w:cs="宋体"/>
                <w:i w:val="0"/>
                <w:iCs w:val="0"/>
                <w:color w:val="000000"/>
                <w:kern w:val="0"/>
                <w:sz w:val="24"/>
                <w:szCs w:val="24"/>
                <w:u w:val="none"/>
                <w:lang w:val="en-US" w:eastAsia="zh-CN" w:bidi="ar"/>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03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包件2节点及其他最高限价</w:t>
            </w:r>
          </w:p>
        </w:tc>
        <w:tc>
          <w:tcPr>
            <w:tcW w:w="50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3037344.33</w:t>
            </w:r>
            <w:r>
              <w:rPr>
                <w:rFonts w:hint="eastAsia" w:ascii="宋体" w:hAnsi="宋体" w:cs="宋体"/>
                <w:i w:val="0"/>
                <w:iCs w:val="0"/>
                <w:color w:val="000000"/>
                <w:kern w:val="0"/>
                <w:sz w:val="24"/>
                <w:szCs w:val="24"/>
                <w:u w:val="none"/>
                <w:lang w:val="en-US" w:eastAsia="zh-CN" w:bidi="ar"/>
              </w:rPr>
              <w:t>元/年</w:t>
            </w:r>
          </w:p>
        </w:tc>
      </w:tr>
    </w:tbl>
    <w:p>
      <w:pPr>
        <w:pStyle w:val="2"/>
        <w:ind w:firstLine="494"/>
        <w:rPr>
          <w:rFonts w:ascii="宋体" w:hAnsi="宋体" w:cs="宋体"/>
          <w:b/>
          <w:color w:val="auto"/>
          <w:kern w:val="0"/>
          <w:sz w:val="24"/>
          <w:szCs w:val="24"/>
          <w:highlight w:val="none"/>
        </w:rPr>
      </w:pPr>
    </w:p>
    <w:p>
      <w:pPr>
        <w:pStyle w:val="2"/>
        <w:ind w:firstLine="494"/>
        <w:rPr>
          <w:rFonts w:ascii="宋体" w:hAnsi="宋体" w:cs="宋体"/>
          <w:b/>
          <w:color w:val="auto"/>
          <w:kern w:val="0"/>
          <w:szCs w:val="24"/>
          <w:highlight w:val="none"/>
        </w:rPr>
      </w:pPr>
      <w:r>
        <w:rPr>
          <w:rFonts w:hint="eastAsia" w:ascii="宋体" w:hAnsi="宋体" w:cs="宋体"/>
          <w:b/>
          <w:color w:val="auto"/>
          <w:kern w:val="0"/>
          <w:szCs w:val="24"/>
          <w:highlight w:val="none"/>
        </w:rPr>
        <w:t>注：本章加★条款为符合性审查内容，未响应或不满足的做无效投标处理。</w:t>
      </w:r>
    </w:p>
    <w:p>
      <w:pPr>
        <w:ind w:firstLine="492"/>
        <w:rPr>
          <w:color w:val="auto"/>
          <w:highlight w:val="none"/>
        </w:rPr>
      </w:pPr>
      <w:r>
        <w:rPr>
          <w:rFonts w:hint="eastAsia"/>
          <w:color w:val="auto"/>
          <w:highlight w:val="none"/>
        </w:rPr>
        <w:br w:type="page"/>
      </w:r>
    </w:p>
    <w:bookmarkEnd w:id="269"/>
    <w:bookmarkEnd w:id="270"/>
    <w:p>
      <w:pPr>
        <w:pStyle w:val="3"/>
        <w:spacing w:before="0" w:after="0" w:line="240" w:lineRule="auto"/>
        <w:rPr>
          <w:color w:val="auto"/>
          <w:highlight w:val="none"/>
        </w:rPr>
      </w:pPr>
      <w:bookmarkStart w:id="281" w:name="_Toc28598"/>
      <w:bookmarkStart w:id="282" w:name="_Toc13515"/>
      <w:bookmarkStart w:id="283" w:name="_Toc20840"/>
      <w:bookmarkStart w:id="284" w:name="_Toc17488"/>
      <w:bookmarkStart w:id="285" w:name="_Toc183682415"/>
      <w:bookmarkStart w:id="286" w:name="_Toc316292248"/>
      <w:bookmarkStart w:id="287" w:name="_Toc183582280"/>
      <w:bookmarkStart w:id="288" w:name="_Toc6274"/>
      <w:bookmarkStart w:id="289" w:name="_Toc208849007"/>
      <w:bookmarkStart w:id="290" w:name="_Toc315871642"/>
      <w:bookmarkStart w:id="291" w:name="_Toc8605"/>
      <w:bookmarkStart w:id="292" w:name="_Toc217446097"/>
      <w:r>
        <w:rPr>
          <w:rFonts w:hint="eastAsia"/>
          <w:color w:val="auto"/>
          <w:highlight w:val="none"/>
        </w:rPr>
        <w:t>资格性审查</w:t>
      </w:r>
      <w:bookmarkEnd w:id="281"/>
      <w:bookmarkEnd w:id="282"/>
      <w:bookmarkEnd w:id="283"/>
      <w:bookmarkEnd w:id="284"/>
    </w:p>
    <w:p>
      <w:pPr>
        <w:tabs>
          <w:tab w:val="left" w:pos="851"/>
        </w:tabs>
        <w:ind w:firstLine="492"/>
        <w:rPr>
          <w:rFonts w:ascii="宋体" w:hAnsi="宋体"/>
          <w:color w:val="auto"/>
          <w:szCs w:val="24"/>
          <w:highlight w:val="none"/>
        </w:rPr>
      </w:pPr>
      <w:r>
        <w:rPr>
          <w:rFonts w:hint="eastAsia" w:ascii="宋体" w:hAnsi="宋体"/>
          <w:color w:val="auto"/>
          <w:szCs w:val="24"/>
          <w:highlight w:val="none"/>
        </w:rPr>
        <w:t>资格性审查由采购人或采购代理机构依据法律法规和招标文件的规定，对投标文件中的资格证明等进行审查，以确定投标人是否具备投标资格，并填写资格审查表。</w:t>
      </w:r>
    </w:p>
    <w:p>
      <w:pPr>
        <w:tabs>
          <w:tab w:val="left" w:pos="851"/>
        </w:tabs>
        <w:ind w:firstLine="492"/>
        <w:rPr>
          <w:rFonts w:ascii="宋体" w:hAnsi="宋体"/>
          <w:color w:val="auto"/>
          <w:szCs w:val="24"/>
          <w:highlight w:val="none"/>
        </w:rPr>
      </w:pPr>
      <w:r>
        <w:rPr>
          <w:rFonts w:hint="eastAsia" w:ascii="宋体" w:hAnsi="宋体"/>
          <w:color w:val="auto"/>
          <w:szCs w:val="24"/>
          <w:highlight w:val="none"/>
        </w:rPr>
        <w:t>各包资格性审查标准见下表：</w:t>
      </w:r>
    </w:p>
    <w:tbl>
      <w:tblPr>
        <w:tblStyle w:val="43"/>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1567"/>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08" w:type="dxa"/>
            <w:gridSpan w:val="3"/>
            <w:vAlign w:val="center"/>
          </w:tcPr>
          <w:p>
            <w:pPr>
              <w:widowControl/>
              <w:spacing w:line="240" w:lineRule="auto"/>
              <w:ind w:firstLine="0" w:firstLineChars="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资格性审查项</w:t>
            </w:r>
          </w:p>
        </w:tc>
        <w:tc>
          <w:tcPr>
            <w:tcW w:w="5889" w:type="dxa"/>
            <w:vAlign w:val="center"/>
          </w:tcPr>
          <w:p>
            <w:pPr>
              <w:widowControl/>
              <w:spacing w:line="240" w:lineRule="auto"/>
              <w:ind w:firstLine="0" w:firstLineChars="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020" w:type="dxa"/>
            <w:vMerge w:val="restart"/>
            <w:vAlign w:val="center"/>
          </w:tcPr>
          <w:p>
            <w:pPr>
              <w:spacing w:line="240" w:lineRule="auto"/>
              <w:ind w:firstLine="0" w:firstLineChars="0"/>
              <w:rPr>
                <w:rFonts w:ascii="宋体" w:hAnsi="宋体" w:cs="宋体"/>
                <w:bCs/>
                <w:color w:val="auto"/>
                <w:kern w:val="0"/>
                <w:szCs w:val="24"/>
                <w:highlight w:val="none"/>
              </w:rPr>
            </w:pPr>
            <w:r>
              <w:rPr>
                <w:rFonts w:hint="eastAsia" w:ascii="宋体" w:hAnsi="宋体"/>
                <w:color w:val="auto"/>
                <w:szCs w:val="24"/>
                <w:highlight w:val="none"/>
              </w:rPr>
              <w:t>（一）资格要求</w:t>
            </w:r>
            <w:r>
              <w:rPr>
                <w:rFonts w:hint="eastAsia" w:ascii="宋体" w:hAnsi="宋体" w:cs="宋体"/>
                <w:color w:val="auto"/>
                <w:kern w:val="0"/>
                <w:szCs w:val="24"/>
                <w:highlight w:val="none"/>
              </w:rPr>
              <w:t>　</w:t>
            </w:r>
          </w:p>
        </w:tc>
        <w:tc>
          <w:tcPr>
            <w:tcW w:w="2888" w:type="dxa"/>
            <w:gridSpan w:val="2"/>
            <w:vAlign w:val="center"/>
          </w:tcPr>
          <w:p>
            <w:pPr>
              <w:spacing w:line="240" w:lineRule="auto"/>
              <w:ind w:firstLine="0" w:firstLineChars="0"/>
              <w:rPr>
                <w:rFonts w:ascii="宋体" w:hAnsi="宋体" w:cs="宋体"/>
                <w:bCs/>
                <w:color w:val="auto"/>
                <w:kern w:val="0"/>
                <w:szCs w:val="24"/>
                <w:highlight w:val="none"/>
              </w:rPr>
            </w:pPr>
            <w:r>
              <w:rPr>
                <w:rFonts w:hint="eastAsia" w:ascii="宋体" w:hAnsi="宋体"/>
                <w:color w:val="auto"/>
                <w:szCs w:val="24"/>
                <w:highlight w:val="none"/>
              </w:rPr>
              <w:t>1、具有独立承担民事责任的能力</w:t>
            </w:r>
          </w:p>
        </w:tc>
        <w:tc>
          <w:tcPr>
            <w:tcW w:w="5889" w:type="dxa"/>
            <w:vAlign w:val="center"/>
          </w:tcPr>
          <w:p>
            <w:pPr>
              <w:spacing w:line="240" w:lineRule="auto"/>
              <w:ind w:firstLine="0" w:firstLineChars="0"/>
              <w:rPr>
                <w:rFonts w:ascii="宋体" w:hAnsi="宋体" w:cs="宋体"/>
                <w:bCs/>
                <w:color w:val="auto"/>
                <w:kern w:val="0"/>
                <w:szCs w:val="24"/>
                <w:highlight w:val="none"/>
              </w:rPr>
            </w:pPr>
            <w:r>
              <w:rPr>
                <w:rFonts w:hint="eastAsia" w:ascii="宋体" w:hAnsi="宋体" w:cs="宋体"/>
                <w:bCs/>
                <w:color w:val="auto"/>
                <w:kern w:val="0"/>
                <w:szCs w:val="24"/>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2、具有良好的商业信誉</w:t>
            </w:r>
          </w:p>
        </w:tc>
        <w:tc>
          <w:tcPr>
            <w:tcW w:w="5889" w:type="dxa"/>
            <w:vMerge w:val="restart"/>
            <w:vAlign w:val="center"/>
          </w:tcPr>
          <w:p>
            <w:pPr>
              <w:widowControl/>
              <w:shd w:val="clear" w:color="auto" w:fill="FFFFFF"/>
              <w:spacing w:line="240" w:lineRule="auto"/>
              <w:ind w:firstLine="0" w:firstLineChars="0"/>
              <w:rPr>
                <w:rFonts w:ascii="宋体" w:hAnsi="宋体"/>
                <w:color w:val="auto"/>
                <w:szCs w:val="24"/>
                <w:highlight w:val="none"/>
              </w:rPr>
            </w:pPr>
            <w:r>
              <w:rPr>
                <w:rFonts w:hint="eastAsia" w:ascii="宋体" w:hAnsi="宋体"/>
                <w:color w:val="auto"/>
                <w:szCs w:val="24"/>
                <w:highlight w:val="none"/>
              </w:rPr>
              <w:t>按第三章的格式及要求提供承诺函原件。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s="宋体"/>
                <w:bCs/>
                <w:color w:val="auto"/>
                <w:kern w:val="0"/>
                <w:szCs w:val="24"/>
                <w:highlight w:val="none"/>
              </w:rPr>
            </w:pPr>
            <w:r>
              <w:rPr>
                <w:rFonts w:hint="eastAsia" w:ascii="宋体" w:hAnsi="宋体"/>
                <w:color w:val="auto"/>
                <w:szCs w:val="24"/>
                <w:highlight w:val="none"/>
              </w:rPr>
              <w:t>3、具有履行合同所必须的设备和专业技术能力</w:t>
            </w:r>
          </w:p>
        </w:tc>
        <w:tc>
          <w:tcPr>
            <w:tcW w:w="5889" w:type="dxa"/>
            <w:vMerge w:val="continue"/>
            <w:vAlign w:val="center"/>
          </w:tcPr>
          <w:p>
            <w:pPr>
              <w:widowControl/>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rPr>
              <w:t>4、参加政府采购活动前三年内，在经营活动中没有重大违法记录</w:t>
            </w:r>
          </w:p>
        </w:tc>
        <w:tc>
          <w:tcPr>
            <w:tcW w:w="5889" w:type="dxa"/>
            <w:vMerge w:val="continue"/>
            <w:vAlign w:val="center"/>
          </w:tcPr>
          <w:p>
            <w:pPr>
              <w:widowControl/>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keepNext w:val="0"/>
              <w:keepLines w:val="0"/>
              <w:pageBreakBefore w:val="0"/>
              <w:widowControl/>
              <w:numPr>
                <w:ilvl w:val="0"/>
                <w:numId w:val="0"/>
              </w:numPr>
              <w:shd w:val="clear" w:color="auto" w:fill="FFFFFF"/>
              <w:tabs>
                <w:tab w:val="left" w:pos="0"/>
              </w:tabs>
              <w:kinsoku/>
              <w:wordWrap/>
              <w:overflowPunct/>
              <w:topLinePunct w:val="0"/>
              <w:autoSpaceDE/>
              <w:autoSpaceDN/>
              <w:bidi w:val="0"/>
              <w:adjustRightInd/>
              <w:snapToGrid/>
              <w:spacing w:line="360" w:lineRule="auto"/>
              <w:textAlignment w:val="auto"/>
              <w:rPr>
                <w:rFonts w:hint="eastAsia" w:ascii="宋体" w:hAnsi="宋体"/>
                <w:color w:val="auto"/>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未被列入经营异常名录</w:t>
            </w:r>
          </w:p>
        </w:tc>
        <w:tc>
          <w:tcPr>
            <w:tcW w:w="5889" w:type="dxa"/>
            <w:vMerge w:val="continue"/>
            <w:vAlign w:val="center"/>
          </w:tcPr>
          <w:p>
            <w:pPr>
              <w:widowControl/>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widowControl/>
              <w:spacing w:line="240" w:lineRule="auto"/>
              <w:ind w:left="0" w:leftChars="0" w:firstLine="0" w:firstLineChars="0"/>
              <w:rPr>
                <w:rFonts w:hint="eastAsia" w:ascii="宋体" w:hAnsi="宋体"/>
                <w:color w:val="auto"/>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未被列入失信被执行人、重大税收违法案件当事人名单、政府采购严重违法失信行为记录名单</w:t>
            </w:r>
          </w:p>
        </w:tc>
        <w:tc>
          <w:tcPr>
            <w:tcW w:w="5889" w:type="dxa"/>
            <w:vMerge w:val="continue"/>
            <w:vAlign w:val="center"/>
          </w:tcPr>
          <w:p>
            <w:pPr>
              <w:widowControl/>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lang w:val="en-US" w:eastAsia="zh-CN"/>
              </w:rPr>
              <w:t>7</w:t>
            </w:r>
            <w:r>
              <w:rPr>
                <w:rFonts w:hint="eastAsia" w:ascii="宋体" w:hAnsi="宋体"/>
                <w:color w:val="auto"/>
                <w:szCs w:val="24"/>
                <w:highlight w:val="none"/>
              </w:rPr>
              <w:t>、在行贿犯罪信息查询期限内，投标人及其现任法定代表人、主要负责人无行贿犯罪记录</w:t>
            </w:r>
          </w:p>
        </w:tc>
        <w:tc>
          <w:tcPr>
            <w:tcW w:w="5889" w:type="dxa"/>
            <w:vMerge w:val="continue"/>
            <w:vAlign w:val="center"/>
          </w:tcPr>
          <w:p>
            <w:pPr>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lang w:val="en-US" w:eastAsia="zh-CN"/>
              </w:rPr>
              <w:t>8</w:t>
            </w:r>
            <w:r>
              <w:rPr>
                <w:rFonts w:hint="eastAsia" w:ascii="宋体" w:hAnsi="宋体"/>
                <w:color w:val="auto"/>
                <w:szCs w:val="24"/>
                <w:highlight w:val="none"/>
              </w:rPr>
              <w:t>、法律、行政法规规定的其他条件</w:t>
            </w:r>
          </w:p>
        </w:tc>
        <w:tc>
          <w:tcPr>
            <w:tcW w:w="5889" w:type="dxa"/>
            <w:vMerge w:val="continue"/>
            <w:vAlign w:val="center"/>
          </w:tcPr>
          <w:p>
            <w:pPr>
              <w:widowControl/>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lang w:val="en-US" w:eastAsia="zh-CN"/>
              </w:rPr>
              <w:t>9</w:t>
            </w:r>
            <w:r>
              <w:rPr>
                <w:rFonts w:hint="eastAsia" w:ascii="宋体" w:hAnsi="宋体"/>
                <w:color w:val="auto"/>
                <w:szCs w:val="24"/>
                <w:highlight w:val="none"/>
              </w:rPr>
              <w:t>、</w:t>
            </w:r>
            <w:r>
              <w:rPr>
                <w:rFonts w:hint="eastAsia" w:ascii="宋体" w:hAnsi="宋体" w:cs="宋体"/>
                <w:color w:val="auto"/>
                <w:szCs w:val="24"/>
                <w:highlight w:val="none"/>
              </w:rPr>
              <w:t>健全的财务会计制度的证明材料</w:t>
            </w:r>
          </w:p>
        </w:tc>
        <w:tc>
          <w:tcPr>
            <w:tcW w:w="5889" w:type="dxa"/>
            <w:vAlign w:val="center"/>
          </w:tcPr>
          <w:p>
            <w:pPr>
              <w:pStyle w:val="2"/>
              <w:ind w:firstLine="0" w:firstLineChars="0"/>
              <w:rPr>
                <w:rFonts w:ascii="宋体" w:hAnsi="宋体"/>
                <w:color w:val="auto"/>
                <w:szCs w:val="24"/>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年度经审计的财务报告复印件（包含审计报告和审计报告中所涉及的财务报表和报表附注），②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年度供应商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1321" w:type="dxa"/>
            <w:vMerge w:val="restart"/>
            <w:vAlign w:val="center"/>
          </w:tcPr>
          <w:p>
            <w:pPr>
              <w:widowControl/>
              <w:spacing w:line="240" w:lineRule="auto"/>
              <w:ind w:firstLine="0" w:firstLineChars="0"/>
              <w:rPr>
                <w:rFonts w:ascii="宋体" w:hAnsi="宋体" w:cs="宋体"/>
                <w:bCs/>
                <w:color w:val="auto"/>
                <w:kern w:val="0"/>
                <w:szCs w:val="24"/>
                <w:highlight w:val="none"/>
              </w:rPr>
            </w:pPr>
            <w:r>
              <w:rPr>
                <w:rFonts w:hint="eastAsia" w:ascii="宋体" w:hAnsi="宋体"/>
                <w:color w:val="auto"/>
                <w:szCs w:val="24"/>
                <w:highlight w:val="none"/>
                <w:lang w:val="en-US" w:eastAsia="zh-CN"/>
              </w:rPr>
              <w:t>10</w:t>
            </w:r>
            <w:r>
              <w:rPr>
                <w:rFonts w:hint="eastAsia" w:ascii="宋体" w:hAnsi="宋体"/>
                <w:color w:val="auto"/>
                <w:szCs w:val="24"/>
                <w:highlight w:val="none"/>
              </w:rPr>
              <w:t>、有依法缴纳税收和社会保障资金的良好记录</w:t>
            </w:r>
          </w:p>
        </w:tc>
        <w:tc>
          <w:tcPr>
            <w:tcW w:w="1567" w:type="dxa"/>
            <w:vAlign w:val="center"/>
          </w:tcPr>
          <w:p>
            <w:pPr>
              <w:widowControl/>
              <w:spacing w:line="240" w:lineRule="auto"/>
              <w:ind w:firstLine="0" w:firstLineChars="0"/>
              <w:rPr>
                <w:rFonts w:ascii="宋体" w:hAnsi="宋体" w:cs="宋体"/>
                <w:bCs/>
                <w:color w:val="auto"/>
                <w:kern w:val="0"/>
                <w:szCs w:val="24"/>
                <w:highlight w:val="none"/>
              </w:rPr>
            </w:pPr>
            <w:r>
              <w:rPr>
                <w:rFonts w:hint="eastAsia" w:ascii="宋体" w:hAnsi="宋体" w:cs="宋体"/>
                <w:bCs/>
                <w:color w:val="auto"/>
                <w:kern w:val="0"/>
                <w:szCs w:val="24"/>
                <w:highlight w:val="none"/>
              </w:rPr>
              <w:t>（1）缴纳社会保障资金的证明材料</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任意时段的缴纳社保的银行电子回单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社保部门出具的社保缴纳证明材料复印件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1321" w:type="dxa"/>
            <w:vMerge w:val="continue"/>
            <w:vAlign w:val="center"/>
          </w:tcPr>
          <w:p>
            <w:pPr>
              <w:widowControl/>
              <w:spacing w:line="240" w:lineRule="auto"/>
              <w:ind w:firstLine="0" w:firstLineChars="0"/>
              <w:rPr>
                <w:rFonts w:ascii="宋体" w:hAnsi="宋体"/>
                <w:color w:val="auto"/>
                <w:szCs w:val="24"/>
                <w:highlight w:val="none"/>
              </w:rPr>
            </w:pPr>
          </w:p>
        </w:tc>
        <w:tc>
          <w:tcPr>
            <w:tcW w:w="1567" w:type="dxa"/>
            <w:vAlign w:val="center"/>
          </w:tcPr>
          <w:p>
            <w:pPr>
              <w:widowControl/>
              <w:spacing w:line="240" w:lineRule="auto"/>
              <w:ind w:firstLine="0" w:firstLineChars="0"/>
              <w:rPr>
                <w:rFonts w:ascii="宋体" w:hAnsi="宋体"/>
                <w:color w:val="auto"/>
                <w:szCs w:val="24"/>
                <w:highlight w:val="none"/>
              </w:rPr>
            </w:pPr>
            <w:r>
              <w:rPr>
                <w:rFonts w:hint="eastAsia" w:ascii="宋体" w:hAnsi="宋体" w:cs="宋体"/>
                <w:bCs/>
                <w:color w:val="auto"/>
                <w:kern w:val="0"/>
                <w:szCs w:val="24"/>
                <w:highlight w:val="none"/>
              </w:rPr>
              <w:t>（2）缴纳税收的证明材料</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任意时段的缴纳税收的银行电子回单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税务部门出具的纳税证明</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完税证明的复印件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20" w:type="dxa"/>
            <w:vMerge w:val="continue"/>
            <w:vAlign w:val="center"/>
          </w:tcPr>
          <w:p>
            <w:pPr>
              <w:spacing w:line="240" w:lineRule="auto"/>
              <w:ind w:firstLine="0" w:firstLineChars="0"/>
              <w:rPr>
                <w:rFonts w:ascii="宋体" w:hAnsi="宋体" w:cs="宋体"/>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lang w:val="en-US" w:eastAsia="zh-CN"/>
              </w:rPr>
              <w:t>11</w:t>
            </w:r>
            <w:r>
              <w:rPr>
                <w:rFonts w:hint="eastAsia" w:ascii="宋体" w:hAnsi="宋体"/>
                <w:color w:val="auto"/>
                <w:szCs w:val="24"/>
                <w:highlight w:val="none"/>
              </w:rPr>
              <w:t>、法定代表人身份证明书</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szCs w:val="24"/>
                <w:highlight w:val="none"/>
              </w:rPr>
            </w:pPr>
            <w:r>
              <w:rPr>
                <w:rFonts w:hint="eastAsia" w:ascii="宋体" w:hAnsi="宋体" w:eastAsia="宋体" w:cs="宋体"/>
                <w:color w:val="auto"/>
                <w:sz w:val="24"/>
                <w:szCs w:val="24"/>
                <w:highlight w:val="none"/>
              </w:rPr>
              <w:t>法定代表人身份证明书原件（自然人参加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的不须提供身份证明书）及身份证复印件或护照复印件【注：（1）法定代表人身份证明书符合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020" w:type="dxa"/>
            <w:vMerge w:val="continue"/>
            <w:vAlign w:val="center"/>
          </w:tcPr>
          <w:p>
            <w:pPr>
              <w:spacing w:line="240" w:lineRule="auto"/>
              <w:ind w:firstLine="0" w:firstLineChars="0"/>
              <w:rPr>
                <w:rFonts w:ascii="宋体" w:hAnsi="宋体" w:cs="宋体"/>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rPr>
              <w:t>1</w:t>
            </w:r>
            <w:r>
              <w:rPr>
                <w:rFonts w:hint="eastAsia" w:ascii="宋体" w:hAnsi="宋体"/>
                <w:color w:val="auto"/>
                <w:szCs w:val="24"/>
                <w:highlight w:val="none"/>
                <w:lang w:val="en-US" w:eastAsia="zh-CN"/>
              </w:rPr>
              <w:t>2</w:t>
            </w:r>
            <w:r>
              <w:rPr>
                <w:rFonts w:hint="eastAsia" w:ascii="宋体" w:hAnsi="宋体"/>
                <w:color w:val="auto"/>
                <w:szCs w:val="24"/>
                <w:highlight w:val="none"/>
              </w:rPr>
              <w:t>、法定代表人授权委托书</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4"/>
                <w:highlight w:val="none"/>
              </w:rPr>
            </w:pPr>
            <w:r>
              <w:rPr>
                <w:rFonts w:hint="eastAsia" w:ascii="宋体" w:hAnsi="宋体" w:eastAsia="宋体" w:cs="宋体"/>
                <w:color w:val="auto"/>
                <w:sz w:val="24"/>
                <w:szCs w:val="24"/>
                <w:highlight w:val="none"/>
              </w:rPr>
              <w:t>法定代表人授权书原件及身份证复印件【注：（1）代理人身份证复印件（身份证两面均应复印，在有效期内）；（2）如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法定代表人签字的或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20" w:type="dxa"/>
            <w:vMerge w:val="continue"/>
            <w:vAlign w:val="center"/>
          </w:tcPr>
          <w:p>
            <w:pPr>
              <w:widowControl/>
              <w:spacing w:line="240" w:lineRule="auto"/>
              <w:ind w:firstLine="0" w:firstLineChars="0"/>
              <w:rPr>
                <w:rFonts w:ascii="宋体" w:hAnsi="宋体" w:cs="宋体"/>
                <w:color w:val="auto"/>
                <w:kern w:val="0"/>
                <w:szCs w:val="24"/>
                <w:highlight w:val="none"/>
              </w:rPr>
            </w:pP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1</w:t>
            </w:r>
            <w:r>
              <w:rPr>
                <w:rFonts w:hint="eastAsia" w:ascii="宋体" w:hAnsi="宋体"/>
                <w:color w:val="auto"/>
                <w:szCs w:val="24"/>
                <w:highlight w:val="none"/>
                <w:lang w:val="en-US" w:eastAsia="zh-CN"/>
              </w:rPr>
              <w:t>3</w:t>
            </w:r>
            <w:r>
              <w:rPr>
                <w:rFonts w:hint="eastAsia" w:ascii="宋体" w:hAnsi="宋体"/>
                <w:color w:val="auto"/>
                <w:szCs w:val="24"/>
                <w:highlight w:val="none"/>
              </w:rPr>
              <w:t>、联合体投标</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spacing w:line="240" w:lineRule="auto"/>
              <w:ind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（二）资质要求</w:t>
            </w:r>
          </w:p>
        </w:tc>
        <w:tc>
          <w:tcPr>
            <w:tcW w:w="2888" w:type="dxa"/>
            <w:gridSpan w:val="2"/>
            <w:vAlign w:val="center"/>
          </w:tcPr>
          <w:p>
            <w:pPr>
              <w:spacing w:line="240" w:lineRule="auto"/>
              <w:ind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无</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20" w:type="dxa"/>
            <w:vMerge w:val="restart"/>
            <w:vAlign w:val="center"/>
          </w:tcPr>
          <w:p>
            <w:pPr>
              <w:spacing w:line="240" w:lineRule="auto"/>
              <w:ind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（三）其他要求</w:t>
            </w: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资格性响应文件签署、盖章</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资格性响应文件按照招标文件规定要求签署、盖章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20" w:type="dxa"/>
            <w:vMerge w:val="continue"/>
            <w:vAlign w:val="center"/>
          </w:tcPr>
          <w:p>
            <w:pPr>
              <w:spacing w:line="240" w:lineRule="auto"/>
              <w:ind w:firstLine="0" w:firstLineChars="0"/>
              <w:rPr>
                <w:rFonts w:ascii="宋体" w:hAnsi="宋体" w:cs="宋体"/>
                <w:color w:val="auto"/>
                <w:kern w:val="0"/>
                <w:szCs w:val="24"/>
                <w:highlight w:val="none"/>
              </w:rPr>
            </w:pP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投标文件有效期</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符合招标文件要求</w:t>
            </w:r>
          </w:p>
        </w:tc>
      </w:tr>
    </w:tbl>
    <w:p>
      <w:pPr>
        <w:tabs>
          <w:tab w:val="left" w:pos="851"/>
        </w:tabs>
        <w:ind w:firstLine="492"/>
        <w:rPr>
          <w:rFonts w:hint="eastAsia" w:ascii="宋体" w:hAnsi="宋体"/>
          <w:color w:val="auto"/>
          <w:szCs w:val="24"/>
          <w:highlight w:val="none"/>
        </w:rPr>
      </w:pPr>
      <w:r>
        <w:rPr>
          <w:rFonts w:hint="eastAsia" w:ascii="宋体" w:hAnsi="宋体"/>
          <w:color w:val="auto"/>
          <w:szCs w:val="24"/>
          <w:highlight w:val="none"/>
        </w:rPr>
        <w:t>注：以上每一项结论均为“通过”的，则投标人的投标文件通过资格性审查；如有其中任意一项结论为“不通过”的，则投标人的投标文件按无效投标文件处理。如果资格审查小组认为投标人有任意一项不通过的，应在资格性审查表中载明不通过的具体原因。</w:t>
      </w: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Pr>
        <w:rPr>
          <w:rFonts w:hint="eastAsia" w:ascii="宋体" w:hAnsi="宋体"/>
          <w:color w:val="auto"/>
          <w:szCs w:val="24"/>
          <w:highlight w:val="none"/>
        </w:rPr>
      </w:pPr>
    </w:p>
    <w:p>
      <w:pPr>
        <w:pStyle w:val="2"/>
        <w:rPr>
          <w:rFonts w:hint="eastAsia" w:ascii="宋体" w:hAnsi="宋体"/>
          <w:color w:val="auto"/>
          <w:szCs w:val="24"/>
          <w:highlight w:val="none"/>
        </w:rPr>
      </w:pPr>
    </w:p>
    <w:p/>
    <w:p>
      <w:pPr>
        <w:pStyle w:val="3"/>
        <w:spacing w:before="0" w:after="0" w:line="240" w:lineRule="auto"/>
        <w:rPr>
          <w:color w:val="auto"/>
          <w:szCs w:val="24"/>
          <w:highlight w:val="none"/>
        </w:rPr>
      </w:pPr>
      <w:bookmarkStart w:id="293" w:name="_Toc17725"/>
      <w:bookmarkStart w:id="294" w:name="_Toc110"/>
      <w:r>
        <w:rPr>
          <w:rFonts w:hint="eastAsia"/>
          <w:color w:val="auto"/>
          <w:szCs w:val="24"/>
          <w:highlight w:val="none"/>
        </w:rPr>
        <w:t>评标办法</w:t>
      </w:r>
      <w:bookmarkEnd w:id="293"/>
      <w:bookmarkEnd w:id="294"/>
    </w:p>
    <w:p>
      <w:pPr>
        <w:pStyle w:val="4"/>
        <w:rPr>
          <w:color w:val="auto"/>
          <w:highlight w:val="none"/>
        </w:rPr>
      </w:pPr>
      <w:bookmarkStart w:id="295" w:name="_Toc1569"/>
      <w:bookmarkStart w:id="296" w:name="_Toc25269"/>
      <w:r>
        <w:rPr>
          <w:rFonts w:hint="eastAsia"/>
          <w:color w:val="auto"/>
          <w:highlight w:val="none"/>
        </w:rPr>
        <w:t>总则</w:t>
      </w:r>
      <w:bookmarkEnd w:id="285"/>
      <w:bookmarkEnd w:id="286"/>
      <w:bookmarkEnd w:id="287"/>
      <w:bookmarkEnd w:id="288"/>
      <w:bookmarkEnd w:id="289"/>
      <w:bookmarkEnd w:id="290"/>
      <w:bookmarkEnd w:id="291"/>
      <w:bookmarkEnd w:id="292"/>
      <w:bookmarkEnd w:id="295"/>
      <w:bookmarkEnd w:id="296"/>
    </w:p>
    <w:p>
      <w:pPr>
        <w:numPr>
          <w:ilvl w:val="0"/>
          <w:numId w:val="48"/>
        </w:numPr>
        <w:tabs>
          <w:tab w:val="left" w:pos="1134"/>
        </w:tabs>
        <w:ind w:firstLine="492"/>
        <w:rPr>
          <w:rFonts w:ascii="宋体" w:hAnsi="宋体"/>
          <w:color w:val="auto"/>
          <w:szCs w:val="24"/>
          <w:highlight w:val="none"/>
        </w:rPr>
      </w:pPr>
      <w:r>
        <w:rPr>
          <w:rFonts w:hint="eastAsia" w:ascii="宋体" w:hAnsi="宋体"/>
          <w:color w:val="auto"/>
          <w:szCs w:val="24"/>
          <w:highlight w:val="none"/>
        </w:rPr>
        <w:t>根据《中华人民共和国政府采购法》、《中华人民共和国政府采购法实施条例》和《政府采购货物和服务招标投标管理办法》等法律法规的相关规定，结合采购项目特点制定本评标办法。</w:t>
      </w:r>
    </w:p>
    <w:p>
      <w:pPr>
        <w:numPr>
          <w:ilvl w:val="0"/>
          <w:numId w:val="48"/>
        </w:numPr>
        <w:tabs>
          <w:tab w:val="left" w:pos="1134"/>
        </w:tabs>
        <w:ind w:firstLine="492"/>
        <w:rPr>
          <w:rFonts w:ascii="宋体" w:hAnsi="宋体"/>
          <w:color w:val="auto"/>
          <w:szCs w:val="24"/>
          <w:highlight w:val="none"/>
        </w:rPr>
      </w:pPr>
      <w:r>
        <w:rPr>
          <w:rFonts w:hint="eastAsia" w:ascii="宋体" w:hAnsi="宋体"/>
          <w:color w:val="auto"/>
          <w:szCs w:val="24"/>
          <w:highlight w:val="none"/>
        </w:rPr>
        <w:t>评标工作由采购代理机构负责组织，具体评标事务由招标采购单位依法组建的评标委员会负责。评标委员会由采购人代表和有关技术、经济等方面的专家组成。</w:t>
      </w:r>
    </w:p>
    <w:p>
      <w:pPr>
        <w:numPr>
          <w:ilvl w:val="0"/>
          <w:numId w:val="48"/>
        </w:numPr>
        <w:tabs>
          <w:tab w:val="left" w:pos="1134"/>
        </w:tabs>
        <w:ind w:firstLine="492"/>
        <w:rPr>
          <w:rFonts w:ascii="宋体" w:hAnsi="宋体"/>
          <w:color w:val="auto"/>
          <w:szCs w:val="24"/>
          <w:highlight w:val="none"/>
        </w:rPr>
      </w:pPr>
      <w:r>
        <w:rPr>
          <w:rFonts w:hint="eastAsia" w:ascii="宋体" w:hAnsi="宋体"/>
          <w:color w:val="auto"/>
          <w:szCs w:val="24"/>
          <w:highlight w:val="none"/>
        </w:rPr>
        <w:t>评标工作应遵循公平、公正、科学及择优的原则，并以相同的评标程序和标准对待所有的投标人。</w:t>
      </w:r>
    </w:p>
    <w:p>
      <w:pPr>
        <w:numPr>
          <w:ilvl w:val="0"/>
          <w:numId w:val="48"/>
        </w:numPr>
        <w:tabs>
          <w:tab w:val="left" w:pos="1134"/>
        </w:tabs>
        <w:ind w:firstLine="492"/>
        <w:rPr>
          <w:rFonts w:ascii="宋体" w:hAnsi="宋体"/>
          <w:color w:val="auto"/>
          <w:szCs w:val="24"/>
          <w:highlight w:val="none"/>
        </w:rPr>
      </w:pPr>
      <w:r>
        <w:rPr>
          <w:rFonts w:hint="eastAsia" w:ascii="宋体" w:hAnsi="宋体"/>
          <w:color w:val="auto"/>
          <w:szCs w:val="24"/>
          <w:highlight w:val="none"/>
        </w:rPr>
        <w:t>评标委员会按照招标文件规定的评标程序、评标方法和标准进行独立评审，并独立履行下列职责：</w:t>
      </w:r>
    </w:p>
    <w:p>
      <w:pPr>
        <w:numPr>
          <w:ilvl w:val="0"/>
          <w:numId w:val="49"/>
        </w:numPr>
        <w:ind w:firstLine="492"/>
        <w:rPr>
          <w:rFonts w:ascii="宋体" w:hAnsi="宋体"/>
          <w:color w:val="auto"/>
          <w:szCs w:val="24"/>
          <w:highlight w:val="none"/>
        </w:rPr>
      </w:pPr>
      <w:r>
        <w:rPr>
          <w:rFonts w:hint="eastAsia" w:ascii="宋体" w:hAnsi="宋体"/>
          <w:color w:val="auto"/>
          <w:szCs w:val="24"/>
          <w:highlight w:val="none"/>
        </w:rPr>
        <w:t>熟悉和理解招标文件；</w:t>
      </w:r>
    </w:p>
    <w:p>
      <w:pPr>
        <w:numPr>
          <w:ilvl w:val="0"/>
          <w:numId w:val="49"/>
        </w:numPr>
        <w:ind w:firstLine="492"/>
        <w:rPr>
          <w:rFonts w:ascii="宋体" w:hAnsi="宋体"/>
          <w:color w:val="auto"/>
          <w:szCs w:val="24"/>
          <w:highlight w:val="none"/>
        </w:rPr>
      </w:pPr>
      <w:r>
        <w:rPr>
          <w:rFonts w:hint="eastAsia" w:ascii="宋体" w:hAnsi="宋体"/>
          <w:color w:val="auto"/>
          <w:szCs w:val="24"/>
          <w:highlight w:val="none"/>
        </w:rPr>
        <w:t>审查投标文件是否符合招标文件要求，并作出评价；</w:t>
      </w:r>
    </w:p>
    <w:p>
      <w:pPr>
        <w:pStyle w:val="2"/>
        <w:numPr>
          <w:ilvl w:val="0"/>
          <w:numId w:val="49"/>
        </w:numPr>
        <w:spacing w:line="360" w:lineRule="auto"/>
        <w:ind w:firstLine="492"/>
        <w:rPr>
          <w:color w:val="auto"/>
          <w:highlight w:val="none"/>
        </w:rPr>
      </w:pPr>
      <w:r>
        <w:rPr>
          <w:rFonts w:hint="eastAsia" w:ascii="宋体" w:hAnsi="宋体"/>
          <w:color w:val="auto"/>
          <w:szCs w:val="24"/>
          <w:highlight w:val="none"/>
        </w:rPr>
        <w:t>根据需要要求采购代理机构对招标文件做出解释（评标委员会发现招标文件前后不一致或表达不明确或需要说明的事项，应提请招标采购单位书面解释说明）；根据需要要求供应商对投标文件有关事项做出澄清、说明或者更正；</w:t>
      </w:r>
    </w:p>
    <w:p>
      <w:pPr>
        <w:numPr>
          <w:ilvl w:val="0"/>
          <w:numId w:val="49"/>
        </w:numPr>
        <w:ind w:firstLine="492"/>
        <w:rPr>
          <w:rFonts w:ascii="宋体" w:hAnsi="宋体"/>
          <w:color w:val="auto"/>
          <w:szCs w:val="24"/>
          <w:highlight w:val="none"/>
        </w:rPr>
      </w:pPr>
      <w:r>
        <w:rPr>
          <w:rFonts w:hint="eastAsia" w:ascii="宋体" w:hAnsi="宋体"/>
          <w:color w:val="auto"/>
          <w:szCs w:val="24"/>
          <w:highlight w:val="none"/>
        </w:rPr>
        <w:t>推荐中标候选供应商名单，或者受采购人委托确定中标人；</w:t>
      </w:r>
    </w:p>
    <w:p>
      <w:pPr>
        <w:numPr>
          <w:ilvl w:val="0"/>
          <w:numId w:val="49"/>
        </w:numPr>
        <w:ind w:firstLine="492"/>
        <w:rPr>
          <w:rFonts w:ascii="宋体" w:hAnsi="宋体"/>
          <w:color w:val="auto"/>
          <w:szCs w:val="24"/>
          <w:highlight w:val="none"/>
        </w:rPr>
      </w:pPr>
      <w:r>
        <w:rPr>
          <w:rFonts w:hint="eastAsia" w:ascii="宋体" w:hAnsi="宋体"/>
          <w:color w:val="auto"/>
          <w:szCs w:val="24"/>
          <w:highlight w:val="none"/>
        </w:rPr>
        <w:t>起草评标报告并进行签署；</w:t>
      </w:r>
    </w:p>
    <w:p>
      <w:pPr>
        <w:numPr>
          <w:ilvl w:val="0"/>
          <w:numId w:val="49"/>
        </w:numPr>
        <w:ind w:firstLine="492"/>
        <w:rPr>
          <w:rFonts w:ascii="宋体" w:hAnsi="宋体"/>
          <w:color w:val="auto"/>
          <w:szCs w:val="24"/>
          <w:highlight w:val="none"/>
        </w:rPr>
      </w:pPr>
      <w:r>
        <w:rPr>
          <w:rFonts w:hint="eastAsia" w:ascii="宋体" w:hAnsi="宋体"/>
          <w:color w:val="auto"/>
          <w:szCs w:val="24"/>
          <w:highlight w:val="none"/>
        </w:rPr>
        <w:t>向采购组织单位、财政部门或者其他监督部门报告非法干预评标工作的行为</w:t>
      </w:r>
      <w:r>
        <w:rPr>
          <w:rFonts w:hint="eastAsia" w:ascii="宋体"/>
          <w:color w:val="auto"/>
          <w:szCs w:val="24"/>
          <w:highlight w:val="none"/>
        </w:rPr>
        <w:t>；</w:t>
      </w:r>
      <w:bookmarkStart w:id="297" w:name="_Toc217446098"/>
    </w:p>
    <w:p>
      <w:pPr>
        <w:numPr>
          <w:ilvl w:val="0"/>
          <w:numId w:val="49"/>
        </w:numPr>
        <w:ind w:firstLine="492"/>
        <w:rPr>
          <w:rFonts w:ascii="宋体" w:hAnsi="宋体"/>
          <w:color w:val="auto"/>
          <w:szCs w:val="24"/>
          <w:highlight w:val="none"/>
        </w:rPr>
      </w:pPr>
      <w:r>
        <w:rPr>
          <w:rFonts w:hint="eastAsia" w:ascii="宋体" w:hAnsi="宋体"/>
          <w:color w:val="auto"/>
          <w:szCs w:val="24"/>
          <w:highlight w:val="none"/>
        </w:rPr>
        <w:t>法律、法规和规章规定的其他职责。</w:t>
      </w:r>
    </w:p>
    <w:p>
      <w:pPr>
        <w:pStyle w:val="4"/>
        <w:rPr>
          <w:color w:val="auto"/>
          <w:highlight w:val="none"/>
        </w:rPr>
      </w:pPr>
      <w:bookmarkStart w:id="298" w:name="_Toc316292249"/>
      <w:bookmarkStart w:id="299" w:name="_Toc22615"/>
      <w:bookmarkStart w:id="300" w:name="_Toc9947"/>
      <w:bookmarkStart w:id="301" w:name="_Toc28434"/>
      <w:bookmarkStart w:id="302" w:name="_Toc4435"/>
      <w:bookmarkStart w:id="303" w:name="_Toc315871643"/>
      <w:r>
        <w:rPr>
          <w:rFonts w:hint="eastAsia"/>
          <w:color w:val="auto"/>
          <w:highlight w:val="none"/>
        </w:rPr>
        <w:t>评标方法</w:t>
      </w:r>
      <w:bookmarkEnd w:id="298"/>
      <w:bookmarkEnd w:id="299"/>
      <w:bookmarkEnd w:id="300"/>
      <w:bookmarkEnd w:id="301"/>
      <w:bookmarkEnd w:id="302"/>
      <w:bookmarkEnd w:id="303"/>
    </w:p>
    <w:p>
      <w:pPr>
        <w:ind w:firstLine="492"/>
        <w:rPr>
          <w:rFonts w:ascii="宋体" w:hAnsi="宋体"/>
          <w:color w:val="auto"/>
          <w:szCs w:val="24"/>
          <w:highlight w:val="none"/>
        </w:rPr>
      </w:pPr>
      <w:r>
        <w:rPr>
          <w:rFonts w:hint="eastAsia" w:ascii="宋体" w:hAnsi="宋体"/>
          <w:color w:val="auto"/>
          <w:szCs w:val="24"/>
          <w:highlight w:val="none"/>
        </w:rPr>
        <w:t>综合评分法。</w:t>
      </w:r>
    </w:p>
    <w:p>
      <w:pPr>
        <w:pStyle w:val="4"/>
        <w:rPr>
          <w:color w:val="auto"/>
          <w:highlight w:val="none"/>
        </w:rPr>
      </w:pPr>
      <w:bookmarkStart w:id="304" w:name="_Toc26118"/>
      <w:bookmarkStart w:id="305" w:name="_Toc3470"/>
      <w:bookmarkStart w:id="306" w:name="_Toc21696"/>
      <w:bookmarkStart w:id="307" w:name="_Toc27068"/>
      <w:bookmarkStart w:id="308" w:name="_Toc315871644"/>
      <w:bookmarkStart w:id="309" w:name="_Toc316292250"/>
      <w:r>
        <w:rPr>
          <w:rFonts w:hint="eastAsia"/>
          <w:color w:val="auto"/>
          <w:highlight w:val="none"/>
        </w:rPr>
        <w:t>评标程序</w:t>
      </w:r>
      <w:bookmarkEnd w:id="297"/>
      <w:bookmarkEnd w:id="304"/>
      <w:bookmarkEnd w:id="305"/>
      <w:bookmarkEnd w:id="306"/>
      <w:bookmarkEnd w:id="307"/>
      <w:bookmarkEnd w:id="308"/>
      <w:bookmarkEnd w:id="309"/>
    </w:p>
    <w:p>
      <w:pPr>
        <w:pStyle w:val="5"/>
        <w:ind w:firstLine="494"/>
        <w:rPr>
          <w:color w:val="auto"/>
          <w:highlight w:val="none"/>
        </w:rPr>
      </w:pPr>
      <w:bookmarkStart w:id="310" w:name="_Toc316475650"/>
      <w:bookmarkEnd w:id="310"/>
      <w:bookmarkStart w:id="311" w:name="_Toc316292251"/>
      <w:bookmarkStart w:id="312" w:name="_Toc315871645"/>
      <w:bookmarkStart w:id="313" w:name="_Toc24913"/>
      <w:bookmarkStart w:id="314" w:name="_Toc217446099"/>
      <w:r>
        <w:rPr>
          <w:rFonts w:hint="eastAsia"/>
          <w:color w:val="auto"/>
          <w:highlight w:val="none"/>
        </w:rPr>
        <w:t>熟悉和理解招标文件和停止评标</w:t>
      </w:r>
      <w:bookmarkEnd w:id="311"/>
      <w:bookmarkEnd w:id="312"/>
      <w:bookmarkEnd w:id="313"/>
    </w:p>
    <w:p>
      <w:pPr>
        <w:numPr>
          <w:ilvl w:val="0"/>
          <w:numId w:val="50"/>
        </w:numPr>
        <w:tabs>
          <w:tab w:val="left" w:pos="851"/>
        </w:tabs>
        <w:ind w:firstLine="492"/>
        <w:rPr>
          <w:rFonts w:ascii="宋体" w:hAnsi="宋体"/>
          <w:color w:val="auto"/>
          <w:szCs w:val="24"/>
          <w:highlight w:val="none"/>
        </w:rPr>
      </w:pPr>
      <w:r>
        <w:rPr>
          <w:rFonts w:hint="eastAsia" w:ascii="宋体" w:hAnsi="宋体"/>
          <w:color w:val="auto"/>
          <w:szCs w:val="24"/>
          <w:highlight w:val="none"/>
        </w:rPr>
        <w:t>评标委员会正式评标前，应当对招标文件进行熟悉和理解，内容主要包括采购项目技术、服务和商务要求、评标方法和标准以及可能涉及签订政府合同的内容等。</w:t>
      </w:r>
    </w:p>
    <w:p>
      <w:pPr>
        <w:numPr>
          <w:ilvl w:val="0"/>
          <w:numId w:val="50"/>
        </w:numPr>
        <w:tabs>
          <w:tab w:val="left" w:pos="851"/>
        </w:tabs>
        <w:ind w:firstLine="492"/>
        <w:rPr>
          <w:rFonts w:ascii="宋体" w:hAnsi="宋体"/>
          <w:color w:val="auto"/>
          <w:szCs w:val="24"/>
          <w:highlight w:val="none"/>
        </w:rPr>
      </w:pPr>
      <w:r>
        <w:rPr>
          <w:rFonts w:hint="eastAsia" w:ascii="宋体" w:hAnsi="宋体"/>
          <w:color w:val="auto"/>
          <w:szCs w:val="24"/>
          <w:highlight w:val="none"/>
        </w:rPr>
        <w:t>评标委员会熟悉和理解招标文件以及评标过程中，发现本招标文件有下列情形之一的，评标委员会应当停止评标：</w:t>
      </w:r>
    </w:p>
    <w:p>
      <w:pPr>
        <w:numPr>
          <w:ilvl w:val="0"/>
          <w:numId w:val="51"/>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招标文件的规定存在歧义、重大缺陷的；</w:t>
      </w:r>
    </w:p>
    <w:p>
      <w:pPr>
        <w:numPr>
          <w:ilvl w:val="0"/>
          <w:numId w:val="51"/>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招标文件明显以不合理条件对供应商实行差别待遇或者歧视待遇的；</w:t>
      </w:r>
    </w:p>
    <w:p>
      <w:pPr>
        <w:pStyle w:val="2"/>
        <w:numPr>
          <w:ilvl w:val="0"/>
          <w:numId w:val="51"/>
        </w:numPr>
        <w:spacing w:line="360" w:lineRule="auto"/>
        <w:ind w:firstLine="492"/>
        <w:rPr>
          <w:color w:val="auto"/>
          <w:highlight w:val="none"/>
        </w:rPr>
      </w:pPr>
      <w:r>
        <w:rPr>
          <w:rFonts w:hint="eastAsia" w:ascii="宋体" w:hAnsi="宋体"/>
          <w:color w:val="auto"/>
          <w:szCs w:val="24"/>
          <w:highlight w:val="none"/>
        </w:rPr>
        <w:t>采购项目属于国家规定的优先、强制采购范围，但是招标文件未依法体现优先、强制采购相关规定的；</w:t>
      </w:r>
    </w:p>
    <w:p>
      <w:pPr>
        <w:numPr>
          <w:ilvl w:val="0"/>
          <w:numId w:val="51"/>
        </w:numPr>
        <w:tabs>
          <w:tab w:val="left" w:pos="851"/>
        </w:tabs>
        <w:ind w:firstLine="492"/>
        <w:rPr>
          <w:rFonts w:ascii="宋体" w:hAnsi="宋体"/>
          <w:color w:val="auto"/>
          <w:szCs w:val="24"/>
          <w:highlight w:val="none"/>
        </w:rPr>
      </w:pPr>
      <w:r>
        <w:rPr>
          <w:rFonts w:hint="eastAsia" w:ascii="宋体" w:hAnsi="宋体"/>
          <w:color w:val="auto"/>
          <w:szCs w:val="24"/>
          <w:highlight w:val="none"/>
        </w:rPr>
        <w:t>采购项目属于政府采购促进中小企业发展的范围，但是招标文件未依法体现促进中小企业发展相关规定的；</w:t>
      </w:r>
    </w:p>
    <w:p>
      <w:pPr>
        <w:numPr>
          <w:ilvl w:val="0"/>
          <w:numId w:val="51"/>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招标文件规定的评标方法是综合评分法、最低评标价法之外的评标方法，或者虽然名称为综合评分法、最低评标价法，但实际上不符合国家规定；</w:t>
      </w:r>
    </w:p>
    <w:p>
      <w:pPr>
        <w:numPr>
          <w:ilvl w:val="0"/>
          <w:numId w:val="51"/>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招标文件将投标人的资格条件列为评分因素的；</w:t>
      </w:r>
    </w:p>
    <w:p>
      <w:pPr>
        <w:numPr>
          <w:ilvl w:val="0"/>
          <w:numId w:val="51"/>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招标文件有违反国家其他有关强制性规定的情形。</w:t>
      </w:r>
    </w:p>
    <w:p>
      <w:pPr>
        <w:tabs>
          <w:tab w:val="left" w:pos="851"/>
        </w:tabs>
        <w:ind w:firstLine="735" w:firstLineChars="300"/>
        <w:rPr>
          <w:rFonts w:ascii="宋体" w:hAnsi="宋体"/>
          <w:color w:val="auto"/>
          <w:szCs w:val="24"/>
          <w:highlight w:val="none"/>
        </w:rPr>
      </w:pPr>
      <w:r>
        <w:rPr>
          <w:rFonts w:hint="eastAsia" w:ascii="宋体" w:hAnsi="宋体"/>
          <w:color w:val="auto"/>
          <w:szCs w:val="24"/>
          <w:highlight w:val="none"/>
        </w:rPr>
        <w:t>出现上述规定的应当停止评标情形的，评标委员会成员应当向采购组织单位书面说明情况，说明停止评审的情形和具体理由。除本条规定和评标委员会无法依法组建的情形外，评标委员会成员不得以任何方式和理由停止评标。</w:t>
      </w:r>
    </w:p>
    <w:p>
      <w:pPr>
        <w:pStyle w:val="5"/>
        <w:ind w:firstLine="494"/>
        <w:rPr>
          <w:color w:val="auto"/>
          <w:szCs w:val="24"/>
          <w:highlight w:val="none"/>
        </w:rPr>
      </w:pPr>
      <w:bookmarkStart w:id="315" w:name="_Toc7871"/>
      <w:r>
        <w:rPr>
          <w:rFonts w:hint="eastAsia"/>
          <w:color w:val="auto"/>
          <w:szCs w:val="24"/>
          <w:highlight w:val="none"/>
        </w:rPr>
        <w:t>符合性检查</w:t>
      </w:r>
      <w:bookmarkEnd w:id="315"/>
    </w:p>
    <w:p>
      <w:pPr>
        <w:ind w:firstLine="492"/>
        <w:rPr>
          <w:rFonts w:ascii="宋体" w:hAnsi="宋体"/>
          <w:color w:val="auto"/>
          <w:szCs w:val="24"/>
          <w:highlight w:val="none"/>
        </w:rPr>
      </w:pPr>
      <w:r>
        <w:rPr>
          <w:rFonts w:hint="eastAsia" w:ascii="宋体" w:hAnsi="宋体"/>
          <w:color w:val="auto"/>
          <w:szCs w:val="24"/>
          <w:highlight w:val="none"/>
        </w:rPr>
        <w:t>投标人投标文件需同时符合下列情况，有任意一项不符合要求，在符合性检查时按照无效投标处理：</w:t>
      </w:r>
    </w:p>
    <w:tbl>
      <w:tblPr>
        <w:tblStyle w:val="44"/>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370"/>
        <w:gridCol w:w="384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序号</w:t>
            </w:r>
          </w:p>
        </w:tc>
        <w:tc>
          <w:tcPr>
            <w:tcW w:w="237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符合性审查项</w:t>
            </w:r>
          </w:p>
        </w:tc>
        <w:tc>
          <w:tcPr>
            <w:tcW w:w="384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通过条件</w:t>
            </w:r>
          </w:p>
        </w:tc>
        <w:tc>
          <w:tcPr>
            <w:tcW w:w="2278"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74"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1</w:t>
            </w:r>
          </w:p>
        </w:tc>
        <w:tc>
          <w:tcPr>
            <w:tcW w:w="237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投标文件正本、副本、开标一览表数量</w:t>
            </w:r>
          </w:p>
        </w:tc>
        <w:tc>
          <w:tcPr>
            <w:tcW w:w="384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符合招标文件规定</w:t>
            </w:r>
          </w:p>
        </w:tc>
        <w:tc>
          <w:tcPr>
            <w:tcW w:w="2278" w:type="dxa"/>
          </w:tcPr>
          <w:p>
            <w:pPr>
              <w:spacing w:line="240" w:lineRule="auto"/>
              <w:ind w:firstLine="0" w:firstLineChars="0"/>
              <w:jc w:val="both"/>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2</w:t>
            </w:r>
          </w:p>
        </w:tc>
        <w:tc>
          <w:tcPr>
            <w:tcW w:w="237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技术、服务性响应文件签署、盖章</w:t>
            </w:r>
          </w:p>
        </w:tc>
        <w:tc>
          <w:tcPr>
            <w:tcW w:w="384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符合招标文件规定</w:t>
            </w:r>
          </w:p>
        </w:tc>
        <w:tc>
          <w:tcPr>
            <w:tcW w:w="2278"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评分标准中要求提供的证明材料除外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3</w:t>
            </w:r>
          </w:p>
        </w:tc>
        <w:tc>
          <w:tcPr>
            <w:tcW w:w="237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第四章打★的要求</w:t>
            </w:r>
          </w:p>
        </w:tc>
        <w:tc>
          <w:tcPr>
            <w:tcW w:w="384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应答内容完全符合第四章打★的要求</w:t>
            </w:r>
          </w:p>
        </w:tc>
        <w:tc>
          <w:tcPr>
            <w:tcW w:w="2278" w:type="dxa"/>
          </w:tcPr>
          <w:p>
            <w:pPr>
              <w:spacing w:line="240" w:lineRule="auto"/>
              <w:ind w:firstLine="0" w:firstLineChars="0"/>
              <w:jc w:val="both"/>
              <w:rPr>
                <w:rFonts w:ascii="宋体" w:hAnsi="宋体"/>
                <w:color w:val="auto"/>
                <w:szCs w:val="24"/>
                <w:highlight w:val="none"/>
              </w:rPr>
            </w:pPr>
          </w:p>
        </w:tc>
      </w:tr>
    </w:tbl>
    <w:p>
      <w:pPr>
        <w:ind w:firstLine="492"/>
        <w:rPr>
          <w:rFonts w:ascii="宋体" w:hAnsi="宋体"/>
          <w:color w:val="auto"/>
          <w:szCs w:val="24"/>
          <w:highlight w:val="none"/>
        </w:rPr>
      </w:pPr>
    </w:p>
    <w:p>
      <w:pPr>
        <w:tabs>
          <w:tab w:val="left" w:pos="851"/>
        </w:tabs>
        <w:ind w:firstLine="494"/>
        <w:rPr>
          <w:rFonts w:ascii="宋体" w:hAnsi="宋体"/>
          <w:color w:val="auto"/>
          <w:szCs w:val="24"/>
          <w:highlight w:val="none"/>
        </w:rPr>
      </w:pPr>
      <w:r>
        <w:rPr>
          <w:rFonts w:hint="eastAsia" w:ascii="宋体" w:hAnsi="宋体"/>
          <w:b/>
          <w:bCs/>
          <w:color w:val="auto"/>
          <w:szCs w:val="24"/>
          <w:highlight w:val="none"/>
        </w:rPr>
        <w:t>注：</w:t>
      </w:r>
      <w:r>
        <w:rPr>
          <w:rFonts w:hint="eastAsia" w:ascii="宋体" w:hAnsi="宋体"/>
          <w:color w:val="auto"/>
          <w:szCs w:val="24"/>
          <w:highlight w:val="none"/>
        </w:rPr>
        <w:t>投标文件（包括单独递交的开标一览表）有下列情形的，本项目不作为实质性要求进行规定，即不作为符合性审查事项，不得作为无效投标处理：</w:t>
      </w:r>
    </w:p>
    <w:p>
      <w:pPr>
        <w:numPr>
          <w:ilvl w:val="0"/>
          <w:numId w:val="52"/>
        </w:numPr>
        <w:tabs>
          <w:tab w:val="left" w:pos="851"/>
        </w:tabs>
        <w:ind w:firstLine="492"/>
        <w:rPr>
          <w:rFonts w:ascii="宋体" w:hAnsi="宋体"/>
          <w:color w:val="auto"/>
          <w:szCs w:val="24"/>
          <w:highlight w:val="none"/>
        </w:rPr>
      </w:pPr>
      <w:r>
        <w:rPr>
          <w:rFonts w:hint="eastAsia" w:ascii="宋体" w:hAnsi="宋体"/>
          <w:color w:val="auto"/>
          <w:szCs w:val="24"/>
          <w:highlight w:val="none"/>
        </w:rPr>
        <w:t>存在个别地方（不超过2个）没有法定代表人签字，但有法定代表人的私人印章或者有效授权代理人签字的；</w:t>
      </w:r>
    </w:p>
    <w:p>
      <w:pPr>
        <w:numPr>
          <w:ilvl w:val="0"/>
          <w:numId w:val="52"/>
        </w:numPr>
        <w:tabs>
          <w:tab w:val="left" w:pos="851"/>
        </w:tabs>
        <w:ind w:firstLine="492"/>
        <w:rPr>
          <w:rFonts w:ascii="宋体" w:hAnsi="宋体"/>
          <w:color w:val="auto"/>
          <w:szCs w:val="24"/>
          <w:highlight w:val="none"/>
        </w:rPr>
      </w:pPr>
      <w:r>
        <w:rPr>
          <w:rFonts w:hint="eastAsia" w:ascii="宋体" w:hAnsi="宋体"/>
          <w:color w:val="auto"/>
          <w:szCs w:val="24"/>
          <w:highlight w:val="none"/>
        </w:rPr>
        <w:t>除招标文件明确要求加盖单位(法人)公章的以外，其他地方以相关专用章加盖的；</w:t>
      </w:r>
    </w:p>
    <w:p>
      <w:pPr>
        <w:numPr>
          <w:ilvl w:val="0"/>
          <w:numId w:val="52"/>
        </w:numPr>
        <w:tabs>
          <w:tab w:val="left" w:pos="851"/>
        </w:tabs>
        <w:ind w:firstLine="492"/>
        <w:rPr>
          <w:rFonts w:ascii="宋体" w:hAnsi="宋体"/>
          <w:color w:val="auto"/>
          <w:szCs w:val="24"/>
          <w:highlight w:val="none"/>
        </w:rPr>
      </w:pPr>
      <w:r>
        <w:rPr>
          <w:rFonts w:hint="eastAsia" w:ascii="宋体" w:hAnsi="宋体"/>
          <w:color w:val="auto"/>
          <w:szCs w:val="24"/>
          <w:highlight w:val="none"/>
        </w:rPr>
        <w:t>以骑缝章的形式代替投标文件内容逐页盖章的；</w:t>
      </w:r>
    </w:p>
    <w:p>
      <w:pPr>
        <w:numPr>
          <w:ilvl w:val="0"/>
          <w:numId w:val="52"/>
        </w:numPr>
        <w:tabs>
          <w:tab w:val="left" w:pos="851"/>
        </w:tabs>
        <w:ind w:firstLine="492"/>
        <w:rPr>
          <w:rFonts w:ascii="宋体" w:hAnsi="宋体"/>
          <w:color w:val="auto"/>
          <w:szCs w:val="24"/>
          <w:highlight w:val="none"/>
        </w:rPr>
      </w:pPr>
      <w:r>
        <w:rPr>
          <w:rFonts w:hint="eastAsia" w:ascii="宋体" w:hAnsi="宋体"/>
          <w:color w:val="auto"/>
          <w:szCs w:val="24"/>
          <w:highlight w:val="none"/>
        </w:rPr>
        <w:t>其他不影响采购项目实质性要求的情形。</w:t>
      </w:r>
    </w:p>
    <w:p>
      <w:pPr>
        <w:pStyle w:val="5"/>
        <w:ind w:firstLine="494"/>
        <w:rPr>
          <w:color w:val="auto"/>
          <w:szCs w:val="24"/>
          <w:highlight w:val="none"/>
        </w:rPr>
      </w:pPr>
      <w:bookmarkStart w:id="316" w:name="_Toc2932"/>
      <w:r>
        <w:rPr>
          <w:rFonts w:hint="eastAsia"/>
          <w:color w:val="auto"/>
          <w:szCs w:val="24"/>
          <w:highlight w:val="none"/>
        </w:rPr>
        <w:t>解释、澄清有关问题</w:t>
      </w:r>
      <w:bookmarkEnd w:id="316"/>
    </w:p>
    <w:p>
      <w:pPr>
        <w:numPr>
          <w:ilvl w:val="0"/>
          <w:numId w:val="53"/>
        </w:numPr>
        <w:tabs>
          <w:tab w:val="left" w:pos="1134"/>
        </w:tabs>
        <w:ind w:firstLine="492"/>
        <w:rPr>
          <w:rFonts w:ascii="宋体" w:hAnsi="宋体"/>
          <w:color w:val="auto"/>
          <w:szCs w:val="24"/>
          <w:highlight w:val="none"/>
        </w:rPr>
      </w:pPr>
      <w:r>
        <w:rPr>
          <w:rFonts w:hint="eastAsia" w:ascii="宋体" w:hAnsi="宋体"/>
          <w:color w:val="auto"/>
          <w:szCs w:val="24"/>
          <w:highlight w:val="none"/>
        </w:rPr>
        <w:t>评标过程中，供应商投标文件实质性符合招标文件要求的前提下，评标委员会对投标文件中含义不明确、同类问题表述不一致或者有明显文字和计算错误的内容，评标委员会可以书面形式（须由评标委员会全体成员签字）要求投标人作出必要的澄清、说明或者纠正，并给予投标人必要的反馈时间。</w:t>
      </w:r>
    </w:p>
    <w:p>
      <w:pPr>
        <w:numPr>
          <w:ilvl w:val="0"/>
          <w:numId w:val="53"/>
        </w:numPr>
        <w:tabs>
          <w:tab w:val="left" w:pos="1134"/>
        </w:tabs>
        <w:ind w:firstLine="492"/>
        <w:rPr>
          <w:rFonts w:ascii="宋体" w:hAnsi="宋体"/>
          <w:color w:val="auto"/>
          <w:szCs w:val="24"/>
          <w:highlight w:val="none"/>
        </w:rPr>
      </w:pPr>
      <w:r>
        <w:rPr>
          <w:rFonts w:hint="eastAsia" w:ascii="宋体" w:hAnsi="宋体"/>
          <w:color w:val="auto"/>
          <w:szCs w:val="24"/>
          <w:highlight w:val="none"/>
        </w:rPr>
        <w:t>供应商应当书面澄清、说明或者更正，并加盖单位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更正材料，是投标文件的组成部分。</w:t>
      </w:r>
    </w:p>
    <w:p>
      <w:pPr>
        <w:numPr>
          <w:ilvl w:val="0"/>
          <w:numId w:val="53"/>
        </w:numPr>
        <w:tabs>
          <w:tab w:val="left" w:pos="1134"/>
        </w:tabs>
        <w:ind w:firstLine="492"/>
        <w:rPr>
          <w:rFonts w:ascii="宋体" w:hAnsi="宋体"/>
          <w:color w:val="auto"/>
          <w:szCs w:val="24"/>
          <w:highlight w:val="none"/>
        </w:rPr>
      </w:pPr>
      <w:r>
        <w:rPr>
          <w:rFonts w:hint="eastAsia" w:ascii="宋体" w:hAnsi="宋体"/>
          <w:color w:val="auto"/>
          <w:szCs w:val="24"/>
          <w:highlight w:val="none"/>
        </w:rPr>
        <w:t>评标委员会要求供应商澄清、说明或更正，不得超出招标文件的范围，不得以此让供应商实质改变投标文件的内容，不得影响供应商公平竞争，本项目下列内容不得澄清：</w:t>
      </w:r>
    </w:p>
    <w:p>
      <w:pPr>
        <w:spacing w:line="400" w:lineRule="exact"/>
        <w:ind w:firstLine="492"/>
        <w:rPr>
          <w:rFonts w:ascii="宋体"/>
          <w:color w:val="auto"/>
          <w:highlight w:val="none"/>
        </w:rPr>
      </w:pPr>
      <w:r>
        <w:rPr>
          <w:rFonts w:hint="eastAsia" w:ascii="宋体"/>
          <w:color w:val="auto"/>
          <w:highlight w:val="none"/>
        </w:rPr>
        <w:t>（一）按财政部规定应当在评标时不予承认的投标文件内容事项；</w:t>
      </w:r>
    </w:p>
    <w:p>
      <w:pPr>
        <w:spacing w:line="400" w:lineRule="exact"/>
        <w:ind w:firstLine="492"/>
        <w:rPr>
          <w:rFonts w:ascii="宋体"/>
          <w:color w:val="auto"/>
          <w:highlight w:val="none"/>
        </w:rPr>
      </w:pPr>
      <w:r>
        <w:rPr>
          <w:rFonts w:hint="eastAsia" w:ascii="宋体"/>
          <w:color w:val="auto"/>
          <w:highlight w:val="none"/>
        </w:rPr>
        <w:t>（二）投标文件中已经明确的内容事项；</w:t>
      </w:r>
    </w:p>
    <w:p>
      <w:pPr>
        <w:spacing w:line="400" w:lineRule="exact"/>
        <w:ind w:firstLine="492"/>
        <w:rPr>
          <w:rFonts w:ascii="宋体" w:hAnsi="宋体"/>
          <w:color w:val="auto"/>
          <w:szCs w:val="24"/>
          <w:highlight w:val="none"/>
        </w:rPr>
      </w:pPr>
      <w:r>
        <w:rPr>
          <w:rFonts w:hint="eastAsia" w:ascii="宋体"/>
          <w:color w:val="auto"/>
          <w:highlight w:val="none"/>
        </w:rPr>
        <w:t>（三）投标文件未提供的材料。</w:t>
      </w:r>
    </w:p>
    <w:p>
      <w:pPr>
        <w:numPr>
          <w:ilvl w:val="0"/>
          <w:numId w:val="53"/>
        </w:numPr>
        <w:tabs>
          <w:tab w:val="left" w:pos="1134"/>
        </w:tabs>
        <w:ind w:firstLine="492"/>
        <w:rPr>
          <w:rFonts w:ascii="宋体" w:hAnsi="宋体"/>
          <w:color w:val="auto"/>
          <w:szCs w:val="24"/>
          <w:highlight w:val="none"/>
        </w:rPr>
      </w:pPr>
      <w:r>
        <w:rPr>
          <w:rFonts w:hint="eastAsia" w:ascii="宋体" w:hAnsi="宋体"/>
          <w:color w:val="auto"/>
          <w:szCs w:val="24"/>
          <w:highlight w:val="none"/>
        </w:rPr>
        <w:t>投标文件出现下列情况的，不需要供应商澄清，按以下原则处理：</w:t>
      </w:r>
    </w:p>
    <w:p>
      <w:pPr>
        <w:numPr>
          <w:ilvl w:val="0"/>
          <w:numId w:val="54"/>
        </w:numPr>
        <w:tabs>
          <w:tab w:val="left" w:pos="1134"/>
        </w:tabs>
        <w:ind w:firstLineChars="0"/>
        <w:rPr>
          <w:rFonts w:ascii="宋体" w:hAnsi="宋体"/>
          <w:color w:val="auto"/>
          <w:szCs w:val="24"/>
          <w:highlight w:val="none"/>
        </w:rPr>
      </w:pPr>
      <w:r>
        <w:rPr>
          <w:rFonts w:hint="eastAsia" w:ascii="宋体" w:hAnsi="宋体"/>
          <w:color w:val="auto"/>
          <w:szCs w:val="24"/>
          <w:highlight w:val="none"/>
        </w:rPr>
        <w:t>投标文件中开标一览表（报价表）内容与投标文件中相应内容不一致的，以开标一览表（报价表）为准；</w:t>
      </w:r>
    </w:p>
    <w:p>
      <w:pPr>
        <w:numPr>
          <w:ilvl w:val="0"/>
          <w:numId w:val="54"/>
        </w:numPr>
        <w:tabs>
          <w:tab w:val="left" w:pos="1134"/>
        </w:tabs>
        <w:ind w:firstLineChars="0"/>
        <w:rPr>
          <w:rFonts w:ascii="宋体" w:hAnsi="宋体" w:cs="宋体"/>
          <w:color w:val="auto"/>
          <w:szCs w:val="24"/>
          <w:highlight w:val="none"/>
        </w:rPr>
      </w:pPr>
      <w:r>
        <w:rPr>
          <w:rFonts w:hint="eastAsia" w:ascii="宋体" w:hAnsi="宋体" w:cs="宋体"/>
          <w:color w:val="auto"/>
          <w:szCs w:val="24"/>
          <w:highlight w:val="none"/>
        </w:rPr>
        <w:t>大写金额和小写金额不一致的，以大写金额为准；</w:t>
      </w:r>
    </w:p>
    <w:p>
      <w:pPr>
        <w:numPr>
          <w:ilvl w:val="0"/>
          <w:numId w:val="54"/>
        </w:numPr>
        <w:tabs>
          <w:tab w:val="left" w:pos="1134"/>
        </w:tabs>
        <w:ind w:firstLineChars="0"/>
        <w:rPr>
          <w:rFonts w:ascii="宋体" w:hAnsi="宋体"/>
          <w:color w:val="auto"/>
          <w:szCs w:val="24"/>
          <w:highlight w:val="none"/>
        </w:rPr>
      </w:pPr>
      <w:r>
        <w:rPr>
          <w:rFonts w:hint="eastAsia" w:ascii="宋体" w:hAnsi="宋体"/>
          <w:color w:val="auto"/>
          <w:szCs w:val="24"/>
          <w:highlight w:val="none"/>
        </w:rPr>
        <w:t>单价金额小数点或者百分比有明显错位的，以开标一览表的总价为准，并修改单价；</w:t>
      </w:r>
    </w:p>
    <w:p>
      <w:pPr>
        <w:numPr>
          <w:ilvl w:val="0"/>
          <w:numId w:val="54"/>
        </w:numPr>
        <w:tabs>
          <w:tab w:val="left" w:pos="1134"/>
        </w:tabs>
        <w:ind w:firstLineChars="0"/>
        <w:rPr>
          <w:rFonts w:ascii="宋体" w:hAnsi="宋体" w:cs="宋体"/>
          <w:color w:val="auto"/>
          <w:szCs w:val="24"/>
          <w:highlight w:val="none"/>
        </w:rPr>
      </w:pPr>
      <w:r>
        <w:rPr>
          <w:rFonts w:hint="eastAsia" w:ascii="宋体" w:hAnsi="宋体" w:cs="宋体"/>
          <w:color w:val="auto"/>
          <w:szCs w:val="24"/>
          <w:highlight w:val="none"/>
        </w:rPr>
        <w:t>总价金额与按单价汇总金额不一致的，以单价汇总金额计算结果为准；</w:t>
      </w:r>
    </w:p>
    <w:p>
      <w:pPr>
        <w:pStyle w:val="102"/>
        <w:tabs>
          <w:tab w:val="left" w:pos="1050"/>
        </w:tabs>
        <w:ind w:firstLine="492"/>
        <w:rPr>
          <w:rFonts w:ascii="宋体" w:hAnsi="宋体"/>
          <w:color w:val="auto"/>
          <w:szCs w:val="24"/>
          <w:highlight w:val="none"/>
        </w:rPr>
      </w:pPr>
      <w:r>
        <w:rPr>
          <w:rFonts w:hint="eastAsia" w:ascii="宋体" w:hAnsi="宋体"/>
          <w:color w:val="auto"/>
          <w:szCs w:val="24"/>
          <w:highlight w:val="none"/>
        </w:rPr>
        <w:t>同时出现两种以上不一致的，按照前款规定的顺序修正。修正后的报价经投标人确认后产生约束力，投标人不确认的，其投标无效。</w:t>
      </w:r>
    </w:p>
    <w:p>
      <w:pPr>
        <w:ind w:firstLine="492"/>
        <w:rPr>
          <w:rFonts w:ascii="宋体" w:hAnsi="宋体"/>
          <w:color w:val="auto"/>
          <w:szCs w:val="24"/>
          <w:highlight w:val="none"/>
        </w:rPr>
      </w:pPr>
      <w:r>
        <w:rPr>
          <w:rFonts w:hint="eastAsia" w:ascii="宋体" w:hAnsi="宋体"/>
          <w:color w:val="auto"/>
          <w:szCs w:val="24"/>
          <w:highlight w:val="none"/>
        </w:rPr>
        <w:t>出现本条第（四）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ind w:firstLine="494"/>
        <w:rPr>
          <w:color w:val="auto"/>
          <w:szCs w:val="24"/>
          <w:highlight w:val="none"/>
        </w:rPr>
      </w:pPr>
      <w:r>
        <w:rPr>
          <w:rFonts w:hint="eastAsia" w:ascii="宋体"/>
          <w:b/>
          <w:color w:val="auto"/>
          <w:szCs w:val="24"/>
          <w:highlight w:val="none"/>
        </w:rPr>
        <w:t>注：评标委员会当积极履行澄清、说明或者更正的职责，不得滥用权力。供应商的投标文件可以要求澄清、说明或者更正的，不得未经澄清、说明或者更正而直接作无效投标处理。</w:t>
      </w:r>
    </w:p>
    <w:p>
      <w:pPr>
        <w:pStyle w:val="5"/>
        <w:ind w:firstLine="494"/>
        <w:rPr>
          <w:color w:val="auto"/>
          <w:szCs w:val="24"/>
          <w:highlight w:val="none"/>
        </w:rPr>
      </w:pPr>
      <w:bookmarkStart w:id="317" w:name="_Toc315871647"/>
      <w:bookmarkStart w:id="318" w:name="_Toc32133"/>
      <w:bookmarkStart w:id="319" w:name="_Toc316292253"/>
      <w:r>
        <w:rPr>
          <w:rFonts w:hint="eastAsia"/>
          <w:color w:val="auto"/>
          <w:szCs w:val="24"/>
          <w:highlight w:val="none"/>
        </w:rPr>
        <w:t>比较与评价</w:t>
      </w:r>
      <w:bookmarkEnd w:id="317"/>
      <w:bookmarkEnd w:id="318"/>
      <w:bookmarkEnd w:id="319"/>
    </w:p>
    <w:p>
      <w:pPr>
        <w:tabs>
          <w:tab w:val="left" w:pos="851"/>
        </w:tabs>
        <w:ind w:firstLine="492"/>
        <w:rPr>
          <w:rFonts w:ascii="宋体" w:hAnsi="宋体"/>
          <w:color w:val="auto"/>
          <w:szCs w:val="24"/>
          <w:highlight w:val="none"/>
        </w:rPr>
      </w:pPr>
      <w:r>
        <w:rPr>
          <w:rFonts w:hint="eastAsia" w:ascii="宋体" w:hAnsi="宋体"/>
          <w:color w:val="auto"/>
          <w:szCs w:val="24"/>
          <w:highlight w:val="none"/>
        </w:rPr>
        <w:t>按招标文件中规定的评标细则及标准，对资格性检查和符合性检查合格的投标文件进行商务和技术评估，综合比较与评价。</w:t>
      </w:r>
    </w:p>
    <w:p>
      <w:pPr>
        <w:pStyle w:val="5"/>
        <w:ind w:firstLine="494"/>
        <w:rPr>
          <w:color w:val="auto"/>
          <w:szCs w:val="24"/>
          <w:highlight w:val="none"/>
        </w:rPr>
      </w:pPr>
      <w:bookmarkStart w:id="320" w:name="_Toc18740"/>
      <w:bookmarkStart w:id="321" w:name="_Toc316292254"/>
      <w:bookmarkStart w:id="322" w:name="_Toc315871648"/>
      <w:r>
        <w:rPr>
          <w:rFonts w:hint="eastAsia"/>
          <w:color w:val="auto"/>
          <w:szCs w:val="24"/>
          <w:highlight w:val="none"/>
        </w:rPr>
        <w:t>复核</w:t>
      </w:r>
      <w:bookmarkEnd w:id="320"/>
    </w:p>
    <w:p>
      <w:pPr>
        <w:tabs>
          <w:tab w:val="left" w:pos="851"/>
        </w:tabs>
        <w:ind w:firstLine="492"/>
        <w:rPr>
          <w:rFonts w:ascii="宋体" w:hAnsi="宋体"/>
          <w:color w:val="auto"/>
          <w:szCs w:val="24"/>
          <w:highlight w:val="none"/>
        </w:rPr>
      </w:pPr>
      <w:r>
        <w:rPr>
          <w:rFonts w:hint="eastAsia" w:ascii="宋体" w:hAnsi="宋体"/>
          <w:color w:val="auto"/>
          <w:szCs w:val="24"/>
          <w:highlight w:val="none"/>
        </w:rPr>
        <w:t>评分汇总结束后，评标委员会应当进行复核，特别要对拟推荐为中标候选供应商的、报价最低的、投标文件被认定为无效的进行重点复核。</w:t>
      </w:r>
    </w:p>
    <w:p>
      <w:pPr>
        <w:pStyle w:val="5"/>
        <w:ind w:firstLine="494"/>
        <w:rPr>
          <w:color w:val="auto"/>
          <w:szCs w:val="24"/>
          <w:highlight w:val="none"/>
        </w:rPr>
      </w:pPr>
      <w:bookmarkStart w:id="323" w:name="_Toc24884"/>
      <w:r>
        <w:rPr>
          <w:rFonts w:hint="eastAsia"/>
          <w:color w:val="auto"/>
          <w:szCs w:val="24"/>
          <w:highlight w:val="none"/>
        </w:rPr>
        <w:t>推荐中标候选</w:t>
      </w:r>
      <w:bookmarkEnd w:id="321"/>
      <w:bookmarkEnd w:id="322"/>
      <w:r>
        <w:rPr>
          <w:rFonts w:hint="eastAsia"/>
          <w:color w:val="auto"/>
          <w:szCs w:val="24"/>
          <w:highlight w:val="none"/>
        </w:rPr>
        <w:t>人名单</w:t>
      </w:r>
      <w:bookmarkEnd w:id="323"/>
    </w:p>
    <w:p>
      <w:pPr>
        <w:ind w:firstLine="492"/>
        <w:rPr>
          <w:rFonts w:ascii="宋体"/>
          <w:color w:val="auto"/>
          <w:szCs w:val="24"/>
          <w:highlight w:val="none"/>
        </w:rPr>
      </w:pPr>
      <w:r>
        <w:rPr>
          <w:rFonts w:hint="eastAsia" w:ascii="宋体" w:hAnsi="宋体"/>
          <w:color w:val="auto"/>
          <w:szCs w:val="24"/>
          <w:highlight w:val="none"/>
        </w:rPr>
        <w:t>按投标人综合得分从高到低进行排序，各包推荐1-3名中标候选人。综合得分相同的，按投标报价由低到高顺序排列；得分且投标报价相同的，按技术指标优劣顺序排列；得分、报价相同且技术指标也相当的，由采购人自主采取公平、择优的方式选择中标供应商。</w:t>
      </w:r>
    </w:p>
    <w:p>
      <w:pPr>
        <w:pStyle w:val="5"/>
        <w:ind w:firstLine="494"/>
        <w:rPr>
          <w:color w:val="auto"/>
          <w:szCs w:val="24"/>
          <w:highlight w:val="none"/>
        </w:rPr>
      </w:pPr>
      <w:bookmarkStart w:id="324" w:name="_Toc315871651"/>
      <w:bookmarkEnd w:id="324"/>
      <w:bookmarkStart w:id="325" w:name="_Toc315871652"/>
      <w:bookmarkEnd w:id="325"/>
      <w:bookmarkStart w:id="326" w:name="_Toc315871649"/>
      <w:bookmarkEnd w:id="326"/>
      <w:bookmarkStart w:id="327" w:name="_Toc315871650"/>
      <w:bookmarkEnd w:id="327"/>
      <w:bookmarkStart w:id="328" w:name="_Toc315871653"/>
      <w:bookmarkStart w:id="329" w:name="_Toc316292255"/>
      <w:bookmarkStart w:id="330" w:name="_Toc17912"/>
      <w:r>
        <w:rPr>
          <w:rFonts w:hint="eastAsia"/>
          <w:color w:val="auto"/>
          <w:szCs w:val="24"/>
          <w:highlight w:val="none"/>
        </w:rPr>
        <w:t>编写评标报告</w:t>
      </w:r>
      <w:bookmarkEnd w:id="328"/>
      <w:bookmarkEnd w:id="329"/>
      <w:bookmarkEnd w:id="330"/>
    </w:p>
    <w:p>
      <w:pPr>
        <w:ind w:firstLine="492"/>
        <w:rPr>
          <w:rFonts w:ascii="宋体" w:hAnsi="宋体"/>
          <w:color w:val="auto"/>
          <w:szCs w:val="24"/>
          <w:highlight w:val="none"/>
        </w:rPr>
      </w:pPr>
      <w:r>
        <w:rPr>
          <w:rFonts w:hint="eastAsia" w:ascii="宋体" w:hAnsi="宋体"/>
          <w:color w:val="auto"/>
          <w:szCs w:val="24"/>
          <w:highlight w:val="none"/>
        </w:rPr>
        <w:t>评标报告是评标委员会根据全体评标成员签字的原始评标记录和评标结果编写的报告，其主要内容包括：</w:t>
      </w:r>
    </w:p>
    <w:p>
      <w:pPr>
        <w:numPr>
          <w:ilvl w:val="0"/>
          <w:numId w:val="55"/>
        </w:numPr>
        <w:tabs>
          <w:tab w:val="left" w:pos="1155"/>
        </w:tabs>
        <w:ind w:firstLine="492"/>
        <w:rPr>
          <w:rFonts w:ascii="宋体" w:hAnsi="宋体"/>
          <w:color w:val="auto"/>
          <w:szCs w:val="24"/>
          <w:highlight w:val="none"/>
        </w:rPr>
      </w:pPr>
      <w:r>
        <w:rPr>
          <w:rFonts w:hint="eastAsia" w:ascii="宋体" w:hAnsi="宋体"/>
          <w:color w:val="auto"/>
          <w:szCs w:val="24"/>
          <w:highlight w:val="none"/>
        </w:rPr>
        <w:t>招标公告刊登的媒体名称、开标日期和地点；</w:t>
      </w:r>
    </w:p>
    <w:p>
      <w:pPr>
        <w:numPr>
          <w:ilvl w:val="0"/>
          <w:numId w:val="55"/>
        </w:numPr>
        <w:tabs>
          <w:tab w:val="left" w:pos="1155"/>
        </w:tabs>
        <w:ind w:firstLine="492"/>
        <w:rPr>
          <w:rFonts w:ascii="宋体" w:hAnsi="宋体"/>
          <w:color w:val="auto"/>
          <w:szCs w:val="24"/>
          <w:highlight w:val="none"/>
        </w:rPr>
      </w:pPr>
      <w:r>
        <w:rPr>
          <w:rFonts w:hint="eastAsia" w:ascii="宋体" w:hAnsi="宋体"/>
          <w:color w:val="auto"/>
          <w:szCs w:val="24"/>
          <w:highlight w:val="none"/>
        </w:rPr>
        <w:t>投标人名单和评标委员会成员名单；</w:t>
      </w:r>
    </w:p>
    <w:p>
      <w:pPr>
        <w:numPr>
          <w:ilvl w:val="0"/>
          <w:numId w:val="55"/>
        </w:numPr>
        <w:ind w:firstLine="492"/>
        <w:rPr>
          <w:color w:val="auto"/>
          <w:highlight w:val="none"/>
        </w:rPr>
      </w:pPr>
      <w:r>
        <w:rPr>
          <w:rFonts w:hint="eastAsia"/>
          <w:color w:val="auto"/>
          <w:highlight w:val="none"/>
        </w:rPr>
        <w:t>评标方法和标准；</w:t>
      </w:r>
    </w:p>
    <w:p>
      <w:pPr>
        <w:numPr>
          <w:ilvl w:val="0"/>
          <w:numId w:val="55"/>
        </w:numPr>
        <w:tabs>
          <w:tab w:val="left" w:pos="1155"/>
        </w:tabs>
        <w:ind w:firstLine="492"/>
        <w:rPr>
          <w:rFonts w:ascii="宋体" w:hAnsi="宋体"/>
          <w:color w:val="auto"/>
          <w:szCs w:val="24"/>
          <w:highlight w:val="none"/>
        </w:rPr>
      </w:pPr>
      <w:r>
        <w:rPr>
          <w:rFonts w:hint="eastAsia" w:ascii="宋体" w:hAnsi="宋体"/>
          <w:color w:val="auto"/>
          <w:szCs w:val="24"/>
          <w:highlight w:val="none"/>
        </w:rPr>
        <w:t>开标记录和评标情况及说明，包括投标无效投标人名单及原因；</w:t>
      </w:r>
    </w:p>
    <w:p>
      <w:pPr>
        <w:numPr>
          <w:ilvl w:val="0"/>
          <w:numId w:val="55"/>
        </w:numPr>
        <w:tabs>
          <w:tab w:val="left" w:pos="1155"/>
        </w:tabs>
        <w:ind w:firstLine="492"/>
        <w:rPr>
          <w:color w:val="auto"/>
          <w:highlight w:val="none"/>
        </w:rPr>
      </w:pPr>
      <w:r>
        <w:rPr>
          <w:rFonts w:hint="eastAsia" w:ascii="宋体" w:hAnsi="宋体"/>
          <w:color w:val="auto"/>
          <w:szCs w:val="24"/>
          <w:highlight w:val="none"/>
        </w:rPr>
        <w:t>评标结果，确定的中标候选人名单或者经采购人委托直接确定的中标人；</w:t>
      </w:r>
    </w:p>
    <w:p>
      <w:pPr>
        <w:numPr>
          <w:ilvl w:val="0"/>
          <w:numId w:val="55"/>
        </w:numPr>
        <w:tabs>
          <w:tab w:val="left" w:pos="1155"/>
        </w:tabs>
        <w:ind w:firstLine="492"/>
        <w:rPr>
          <w:rFonts w:ascii="宋体" w:hAnsi="宋体"/>
          <w:color w:val="auto"/>
          <w:szCs w:val="24"/>
          <w:highlight w:val="none"/>
        </w:rPr>
      </w:pPr>
      <w:r>
        <w:rPr>
          <w:rFonts w:hint="eastAsia" w:ascii="宋体" w:hAnsi="宋体"/>
          <w:color w:val="auto"/>
          <w:szCs w:val="24"/>
          <w:highlight w:val="none"/>
        </w:rPr>
        <w:t>其他需要说明的情况，包括评标过程中投标人根据评标委员会要求进行的澄清、说明或者补正，评标委员会成员的更换等。</w:t>
      </w:r>
    </w:p>
    <w:p>
      <w:pPr>
        <w:tabs>
          <w:tab w:val="left" w:pos="1155"/>
        </w:tabs>
        <w:ind w:firstLine="492"/>
        <w:rPr>
          <w:rFonts w:ascii="宋体" w:hAnsi="宋体"/>
          <w:color w:val="auto"/>
          <w:szCs w:val="24"/>
          <w:highlight w:val="none"/>
        </w:rPr>
      </w:pPr>
      <w:r>
        <w:rPr>
          <w:rFonts w:hint="eastAsia" w:ascii="宋体" w:hAnsi="宋体"/>
          <w:color w:val="auto"/>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rPr>
          <w:color w:val="auto"/>
          <w:highlight w:val="none"/>
        </w:rPr>
      </w:pPr>
      <w:bookmarkStart w:id="331" w:name="_Toc3921"/>
      <w:bookmarkStart w:id="332" w:name="_Toc4062"/>
      <w:bookmarkStart w:id="333" w:name="_Toc12616"/>
      <w:bookmarkStart w:id="334" w:name="_Toc30609"/>
      <w:bookmarkStart w:id="335" w:name="_Toc315871654"/>
      <w:bookmarkStart w:id="336" w:name="_Toc217446103"/>
      <w:bookmarkStart w:id="337" w:name="_Toc316292256"/>
      <w:r>
        <w:rPr>
          <w:rFonts w:hint="eastAsia"/>
          <w:color w:val="auto"/>
          <w:highlight w:val="none"/>
        </w:rPr>
        <w:t>评标争议处理规则</w:t>
      </w:r>
      <w:bookmarkEnd w:id="331"/>
      <w:bookmarkEnd w:id="332"/>
      <w:bookmarkEnd w:id="333"/>
      <w:bookmarkEnd w:id="334"/>
    </w:p>
    <w:p>
      <w:pPr>
        <w:tabs>
          <w:tab w:val="left" w:pos="1155"/>
        </w:tabs>
        <w:ind w:firstLine="492"/>
        <w:rPr>
          <w:rFonts w:ascii="宋体" w:hAnsi="宋体"/>
          <w:color w:val="auto"/>
          <w:szCs w:val="24"/>
          <w:highlight w:val="none"/>
        </w:rPr>
      </w:pPr>
      <w:r>
        <w:rPr>
          <w:rFonts w:hint="eastAsia" w:ascii="宋体" w:hAnsi="宋体"/>
          <w:color w:val="auto"/>
          <w:szCs w:val="24"/>
          <w:highlight w:val="none"/>
        </w:rPr>
        <w:t>评标委员会在评审过程中，对于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4"/>
        <w:rPr>
          <w:color w:val="auto"/>
          <w:highlight w:val="none"/>
        </w:rPr>
      </w:pPr>
      <w:bookmarkStart w:id="338" w:name="_Toc10580"/>
      <w:bookmarkStart w:id="339" w:name="_Toc20618"/>
      <w:bookmarkStart w:id="340" w:name="_Toc29332"/>
      <w:bookmarkStart w:id="341" w:name="_Toc25043"/>
      <w:r>
        <w:rPr>
          <w:rFonts w:hint="eastAsia"/>
          <w:color w:val="auto"/>
          <w:highlight w:val="none"/>
        </w:rPr>
        <w:t>招标采购单位现场复核评标结果</w:t>
      </w:r>
      <w:bookmarkEnd w:id="338"/>
      <w:bookmarkEnd w:id="339"/>
      <w:bookmarkEnd w:id="340"/>
      <w:bookmarkEnd w:id="341"/>
    </w:p>
    <w:p>
      <w:pPr>
        <w:pStyle w:val="152"/>
        <w:numPr>
          <w:ilvl w:val="0"/>
          <w:numId w:val="56"/>
        </w:numPr>
        <w:spacing w:line="360" w:lineRule="auto"/>
        <w:ind w:firstLine="490" w:firstLineChars="200"/>
        <w:rPr>
          <w:rFonts w:cs="Times New Roman"/>
          <w:color w:val="auto"/>
          <w:kern w:val="2"/>
          <w:highlight w:val="none"/>
        </w:rPr>
      </w:pPr>
      <w:r>
        <w:rPr>
          <w:rFonts w:hint="eastAsia" w:cs="Times New Roman"/>
          <w:color w:val="auto"/>
          <w:kern w:val="2"/>
          <w:highlight w:val="none"/>
        </w:rPr>
        <w:t>评标结果汇总完成后，评标委员会拟出具评标报告前，采购组织单位应当组织2名以上的本单位工作人员，在采购现场监督人员的监督之下，依据有关的法律制度和采购文件对评标结果进行复核，出具复核报告。存在下列情形之一的，采购组织单位应当根据情况书面建议评标委员会现场修改评标结果或者重新评标：</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（一）分值汇总计算错误的；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（二）分项评分超出评分标准范围的；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（三）客观评分不一致的。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存在本条上述规定情形的，由评标委员会自主决定是否采纳采购组织单位的书面建议，并承担独立评审责任。评标委员会采纳采购组织单位书面建议的，应当按照规定现场修改评标结果或者重新评标，并在评标报告中详细记载有关事宜；不采纳采购组织单位书面建议的，应当书面说明理由。采购组织单位书面建议未被评标委员会采纳的，应当按照规定程序要求继续组织实施采购活动，不得擅自中止采购活动。采购组织单位认为评标委员会评标结果不合法的，应当书面报告采购项目同级财政部门依法处理。</w:t>
      </w:r>
    </w:p>
    <w:p>
      <w:pPr>
        <w:pStyle w:val="152"/>
        <w:numPr>
          <w:ilvl w:val="0"/>
          <w:numId w:val="56"/>
        </w:numPr>
        <w:spacing w:line="360" w:lineRule="auto"/>
        <w:ind w:firstLine="490" w:firstLineChars="200"/>
        <w:rPr>
          <w:rFonts w:cs="Times New Roman"/>
          <w:color w:val="auto"/>
          <w:kern w:val="2"/>
          <w:highlight w:val="none"/>
        </w:rPr>
      </w:pPr>
      <w:r>
        <w:rPr>
          <w:rFonts w:hint="eastAsia" w:cs="Times New Roman"/>
          <w:color w:val="auto"/>
          <w:kern w:val="2"/>
          <w:highlight w:val="none"/>
        </w:rPr>
        <w:t>有下列情形之一的，不得修改评标结果或者重新评标：</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（一）评标委员会已经出具评标报告并且离开评标现场的；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（二）采购组织单位现场复核时，复核工作人员数量不足的；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（三）采购组织单位现场复核时，没有采购监督人员现场监督的；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（四）采购组织单位现场复核内容超出规定范围的；</w:t>
      </w:r>
    </w:p>
    <w:p>
      <w:pPr>
        <w:pStyle w:val="152"/>
        <w:spacing w:line="360" w:lineRule="auto"/>
        <w:ind w:firstLine="490" w:firstLineChars="200"/>
        <w:rPr>
          <w:color w:val="auto"/>
          <w:highlight w:val="none"/>
        </w:rPr>
      </w:pPr>
      <w:r>
        <w:rPr>
          <w:rFonts w:hint="eastAsia" w:cs="Times New Roman"/>
          <w:color w:val="auto"/>
          <w:kern w:val="2"/>
          <w:highlight w:val="none"/>
        </w:rPr>
        <w:t>（五）采购组织单位未提供书面建议的。</w:t>
      </w:r>
    </w:p>
    <w:p>
      <w:pPr>
        <w:pStyle w:val="4"/>
        <w:rPr>
          <w:color w:val="auto"/>
          <w:highlight w:val="none"/>
        </w:rPr>
      </w:pPr>
      <w:bookmarkStart w:id="342" w:name="_Toc17588"/>
      <w:bookmarkStart w:id="343" w:name="_Toc20341"/>
      <w:bookmarkStart w:id="344" w:name="_Toc29054"/>
      <w:bookmarkStart w:id="345" w:name="_Toc5128"/>
      <w:r>
        <w:rPr>
          <w:rFonts w:hint="eastAsia"/>
          <w:color w:val="auto"/>
          <w:highlight w:val="none"/>
        </w:rPr>
        <w:t>评标细则及标准</w:t>
      </w:r>
      <w:bookmarkEnd w:id="335"/>
      <w:bookmarkEnd w:id="336"/>
      <w:bookmarkEnd w:id="337"/>
      <w:bookmarkEnd w:id="342"/>
      <w:bookmarkEnd w:id="343"/>
      <w:bookmarkEnd w:id="344"/>
      <w:bookmarkEnd w:id="345"/>
    </w:p>
    <w:p>
      <w:pPr>
        <w:numPr>
          <w:ilvl w:val="0"/>
          <w:numId w:val="57"/>
        </w:numPr>
        <w:tabs>
          <w:tab w:val="left" w:pos="1155"/>
        </w:tabs>
        <w:ind w:left="0" w:firstLine="492"/>
        <w:rPr>
          <w:rFonts w:ascii="宋体" w:hAnsi="宋体"/>
          <w:color w:val="auto"/>
          <w:szCs w:val="24"/>
          <w:highlight w:val="none"/>
        </w:rPr>
      </w:pPr>
      <w:r>
        <w:rPr>
          <w:rFonts w:hint="eastAsia" w:ascii="宋体" w:hAnsi="宋体"/>
          <w:color w:val="auto"/>
          <w:szCs w:val="24"/>
          <w:highlight w:val="none"/>
        </w:rPr>
        <w:t>评标委员会只对通过初审的投标文件，根据招标文件的要求采用相同的评标程序、评分办法及标准进行评价和比较。</w:t>
      </w:r>
    </w:p>
    <w:p>
      <w:pPr>
        <w:numPr>
          <w:ilvl w:val="0"/>
          <w:numId w:val="57"/>
        </w:numPr>
        <w:tabs>
          <w:tab w:val="left" w:pos="1155"/>
        </w:tabs>
        <w:ind w:left="0" w:firstLine="492"/>
        <w:rPr>
          <w:rFonts w:ascii="宋体" w:hAnsi="宋体"/>
          <w:color w:val="auto"/>
          <w:szCs w:val="24"/>
          <w:highlight w:val="none"/>
        </w:rPr>
      </w:pPr>
      <w:r>
        <w:rPr>
          <w:rFonts w:hint="eastAsia" w:ascii="宋体" w:hAnsi="宋体"/>
          <w:color w:val="auto"/>
          <w:szCs w:val="24"/>
          <w:highlight w:val="none"/>
        </w:rPr>
        <w:t>本次综合评分的因素是：价格、技术、商务等。</w:t>
      </w:r>
    </w:p>
    <w:p>
      <w:pPr>
        <w:numPr>
          <w:ilvl w:val="0"/>
          <w:numId w:val="57"/>
        </w:numPr>
        <w:tabs>
          <w:tab w:val="left" w:pos="1155"/>
        </w:tabs>
        <w:ind w:left="0" w:firstLine="492"/>
        <w:rPr>
          <w:rFonts w:ascii="宋体" w:hAnsi="宋体"/>
          <w:color w:val="auto"/>
          <w:szCs w:val="24"/>
          <w:highlight w:val="none"/>
        </w:rPr>
      </w:pPr>
      <w:r>
        <w:rPr>
          <w:rFonts w:hint="eastAsia" w:ascii="宋体" w:hAnsi="宋体"/>
          <w:color w:val="auto"/>
          <w:szCs w:val="24"/>
          <w:highlight w:val="none"/>
        </w:rPr>
        <w:t>除价格因素外，评标委员会成员应依据招标文件规定的评分标准和方法独立对其他因素进行比较打分。</w:t>
      </w:r>
    </w:p>
    <w:p>
      <w:pPr>
        <w:pStyle w:val="5"/>
        <w:ind w:firstLine="494"/>
        <w:rPr>
          <w:color w:val="auto"/>
          <w:szCs w:val="24"/>
          <w:highlight w:val="none"/>
        </w:rPr>
      </w:pPr>
      <w:bookmarkStart w:id="346" w:name="_Toc218498587"/>
      <w:bookmarkStart w:id="347" w:name="_Toc22338"/>
      <w:bookmarkStart w:id="348" w:name="_Toc310176995"/>
      <w:bookmarkStart w:id="349" w:name="_Toc217102344"/>
      <w:r>
        <w:rPr>
          <w:rFonts w:hint="eastAsia"/>
          <w:color w:val="auto"/>
          <w:szCs w:val="24"/>
          <w:highlight w:val="none"/>
        </w:rPr>
        <w:t>评分办法</w:t>
      </w:r>
      <w:bookmarkEnd w:id="346"/>
      <w:bookmarkEnd w:id="347"/>
      <w:bookmarkEnd w:id="348"/>
      <w:bookmarkEnd w:id="349"/>
    </w:p>
    <w:p>
      <w:pPr>
        <w:ind w:firstLine="492"/>
        <w:rPr>
          <w:rFonts w:ascii="宋体" w:hAnsi="宋体"/>
          <w:color w:val="auto"/>
          <w:szCs w:val="24"/>
          <w:highlight w:val="none"/>
        </w:rPr>
      </w:pPr>
      <w:r>
        <w:rPr>
          <w:rFonts w:hint="eastAsia" w:ascii="宋体" w:hAnsi="宋体"/>
          <w:color w:val="auto"/>
          <w:szCs w:val="24"/>
          <w:highlight w:val="none"/>
        </w:rPr>
        <w:t xml:space="preserve">本次评标采用综合评分法，由评标委员会各成员独立对通过初审（资格检查和符合性检查）的投标人的投标文件进行评审和打分，    </w:t>
      </w:r>
    </w:p>
    <w:p>
      <w:pPr>
        <w:ind w:firstLine="492"/>
        <w:rPr>
          <w:rFonts w:ascii="宋体" w:hAnsi="宋体"/>
          <w:color w:val="auto"/>
          <w:szCs w:val="24"/>
          <w:highlight w:val="none"/>
        </w:rPr>
      </w:pPr>
      <w:r>
        <w:rPr>
          <w:rFonts w:hint="eastAsia" w:ascii="宋体" w:hAnsi="宋体"/>
          <w:color w:val="auto"/>
          <w:szCs w:val="24"/>
          <w:highlight w:val="none"/>
        </w:rPr>
        <w:t>评标得分＝（A</w:t>
      </w:r>
      <w:r>
        <w:rPr>
          <w:rFonts w:hint="eastAsia" w:ascii="宋体" w:hAnsi="宋体"/>
          <w:color w:val="auto"/>
          <w:szCs w:val="24"/>
          <w:highlight w:val="none"/>
          <w:vertAlign w:val="subscript"/>
        </w:rPr>
        <w:t>1</w:t>
      </w:r>
      <w:r>
        <w:rPr>
          <w:rFonts w:hint="eastAsia" w:ascii="宋体" w:hAnsi="宋体"/>
          <w:color w:val="auto"/>
          <w:szCs w:val="24"/>
          <w:highlight w:val="none"/>
        </w:rPr>
        <w:t>＋A</w:t>
      </w:r>
      <w:r>
        <w:rPr>
          <w:rFonts w:hint="eastAsia" w:ascii="宋体" w:hAnsi="宋体"/>
          <w:color w:val="auto"/>
          <w:szCs w:val="24"/>
          <w:highlight w:val="none"/>
          <w:vertAlign w:val="subscript"/>
        </w:rPr>
        <w:t>2</w:t>
      </w:r>
      <w:r>
        <w:rPr>
          <w:rFonts w:hint="eastAsia" w:ascii="宋体" w:hAnsi="宋体"/>
          <w:color w:val="auto"/>
          <w:szCs w:val="24"/>
          <w:highlight w:val="none"/>
        </w:rPr>
        <w:t>＋……＋A</w:t>
      </w:r>
      <w:r>
        <w:rPr>
          <w:rFonts w:hint="eastAsia" w:ascii="宋体" w:hAnsi="宋体"/>
          <w:color w:val="auto"/>
          <w:szCs w:val="24"/>
          <w:highlight w:val="none"/>
          <w:vertAlign w:val="subscript"/>
        </w:rPr>
        <w:t>n</w:t>
      </w:r>
      <w:r>
        <w:rPr>
          <w:rFonts w:hint="eastAsia" w:ascii="宋体" w:hAnsi="宋体"/>
          <w:color w:val="auto"/>
          <w:szCs w:val="24"/>
          <w:highlight w:val="none"/>
        </w:rPr>
        <w:t>）/n</w:t>
      </w:r>
      <w:r>
        <w:rPr>
          <w:rFonts w:hint="eastAsia" w:ascii="宋体" w:hAnsi="宋体"/>
          <w:color w:val="auto"/>
          <w:szCs w:val="24"/>
          <w:highlight w:val="none"/>
          <w:vertAlign w:val="subscript"/>
        </w:rPr>
        <w:t>1</w:t>
      </w:r>
      <w:r>
        <w:rPr>
          <w:rFonts w:hint="eastAsia" w:ascii="宋体" w:hAnsi="宋体"/>
          <w:color w:val="auto"/>
          <w:szCs w:val="24"/>
          <w:highlight w:val="none"/>
        </w:rPr>
        <w:t>+（B</w:t>
      </w:r>
      <w:r>
        <w:rPr>
          <w:rFonts w:hint="eastAsia" w:ascii="宋体" w:hAnsi="宋体"/>
          <w:color w:val="auto"/>
          <w:szCs w:val="24"/>
          <w:highlight w:val="none"/>
          <w:vertAlign w:val="subscript"/>
        </w:rPr>
        <w:t>1</w:t>
      </w:r>
      <w:r>
        <w:rPr>
          <w:rFonts w:hint="eastAsia" w:ascii="宋体" w:hAnsi="宋体"/>
          <w:color w:val="auto"/>
          <w:szCs w:val="24"/>
          <w:highlight w:val="none"/>
        </w:rPr>
        <w:t>＋B</w:t>
      </w:r>
      <w:r>
        <w:rPr>
          <w:rFonts w:hint="eastAsia" w:ascii="宋体" w:hAnsi="宋体"/>
          <w:color w:val="auto"/>
          <w:szCs w:val="24"/>
          <w:highlight w:val="none"/>
          <w:vertAlign w:val="subscript"/>
        </w:rPr>
        <w:t>2</w:t>
      </w:r>
      <w:r>
        <w:rPr>
          <w:rFonts w:hint="eastAsia" w:ascii="宋体" w:hAnsi="宋体"/>
          <w:color w:val="auto"/>
          <w:szCs w:val="24"/>
          <w:highlight w:val="none"/>
        </w:rPr>
        <w:t>＋……＋B</w:t>
      </w:r>
      <w:r>
        <w:rPr>
          <w:rFonts w:hint="eastAsia" w:ascii="宋体" w:hAnsi="宋体"/>
          <w:color w:val="auto"/>
          <w:szCs w:val="24"/>
          <w:highlight w:val="none"/>
          <w:vertAlign w:val="subscript"/>
        </w:rPr>
        <w:t>n</w:t>
      </w:r>
      <w:r>
        <w:rPr>
          <w:rFonts w:hint="eastAsia" w:ascii="宋体" w:hAnsi="宋体"/>
          <w:color w:val="auto"/>
          <w:szCs w:val="24"/>
          <w:highlight w:val="none"/>
        </w:rPr>
        <w:t>）/ n</w:t>
      </w:r>
      <w:r>
        <w:rPr>
          <w:rFonts w:hint="eastAsia" w:ascii="宋体" w:hAnsi="宋体"/>
          <w:color w:val="auto"/>
          <w:szCs w:val="24"/>
          <w:highlight w:val="none"/>
          <w:vertAlign w:val="subscript"/>
        </w:rPr>
        <w:t>2</w:t>
      </w:r>
      <w:r>
        <w:rPr>
          <w:rFonts w:hint="eastAsia" w:ascii="宋体" w:hAnsi="宋体"/>
          <w:color w:val="auto"/>
          <w:szCs w:val="24"/>
          <w:highlight w:val="none"/>
        </w:rPr>
        <w:t>+（C</w:t>
      </w:r>
      <w:r>
        <w:rPr>
          <w:rFonts w:hint="eastAsia" w:ascii="宋体" w:hAnsi="宋体"/>
          <w:color w:val="auto"/>
          <w:szCs w:val="24"/>
          <w:highlight w:val="none"/>
          <w:vertAlign w:val="subscript"/>
        </w:rPr>
        <w:t>1</w:t>
      </w:r>
      <w:r>
        <w:rPr>
          <w:rFonts w:hint="eastAsia" w:ascii="宋体" w:hAnsi="宋体"/>
          <w:color w:val="auto"/>
          <w:szCs w:val="24"/>
          <w:highlight w:val="none"/>
        </w:rPr>
        <w:t>＋C</w:t>
      </w:r>
      <w:r>
        <w:rPr>
          <w:rFonts w:hint="eastAsia" w:ascii="宋体" w:hAnsi="宋体"/>
          <w:color w:val="auto"/>
          <w:szCs w:val="24"/>
          <w:highlight w:val="none"/>
          <w:vertAlign w:val="subscript"/>
        </w:rPr>
        <w:t>2</w:t>
      </w:r>
      <w:r>
        <w:rPr>
          <w:rFonts w:hint="eastAsia" w:ascii="宋体" w:hAnsi="宋体"/>
          <w:color w:val="auto"/>
          <w:szCs w:val="24"/>
          <w:highlight w:val="none"/>
        </w:rPr>
        <w:t>＋……＋C</w:t>
      </w:r>
      <w:r>
        <w:rPr>
          <w:rFonts w:hint="eastAsia" w:ascii="宋体" w:hAnsi="宋体"/>
          <w:color w:val="auto"/>
          <w:szCs w:val="24"/>
          <w:highlight w:val="none"/>
          <w:vertAlign w:val="subscript"/>
        </w:rPr>
        <w:t>n</w:t>
      </w:r>
      <w:r>
        <w:rPr>
          <w:rFonts w:hint="eastAsia" w:ascii="宋体" w:hAnsi="宋体"/>
          <w:color w:val="auto"/>
          <w:szCs w:val="24"/>
          <w:highlight w:val="none"/>
        </w:rPr>
        <w:t>）/ n</w:t>
      </w:r>
      <w:r>
        <w:rPr>
          <w:rFonts w:hint="eastAsia" w:ascii="宋体" w:hAnsi="宋体"/>
          <w:color w:val="auto"/>
          <w:szCs w:val="24"/>
          <w:highlight w:val="none"/>
          <w:vertAlign w:val="subscript"/>
        </w:rPr>
        <w:t>3</w:t>
      </w:r>
    </w:p>
    <w:p>
      <w:pPr>
        <w:widowControl/>
        <w:ind w:firstLine="492"/>
        <w:rPr>
          <w:rFonts w:ascii="宋体" w:hAnsi="宋体"/>
          <w:color w:val="auto"/>
          <w:szCs w:val="24"/>
          <w:highlight w:val="none"/>
        </w:rPr>
      </w:pPr>
      <w:r>
        <w:rPr>
          <w:rFonts w:hint="eastAsia" w:ascii="宋体" w:hAnsi="宋体"/>
          <w:color w:val="auto"/>
          <w:szCs w:val="24"/>
          <w:highlight w:val="none"/>
        </w:rPr>
        <w:t>A</w:t>
      </w:r>
      <w:r>
        <w:rPr>
          <w:rFonts w:hint="eastAsia" w:ascii="宋体" w:hAnsi="宋体"/>
          <w:color w:val="auto"/>
          <w:szCs w:val="24"/>
          <w:highlight w:val="none"/>
          <w:vertAlign w:val="subscript"/>
        </w:rPr>
        <w:t>1</w:t>
      </w:r>
      <w:r>
        <w:rPr>
          <w:rFonts w:hint="eastAsia" w:ascii="宋体" w:hAnsi="宋体"/>
          <w:color w:val="auto"/>
          <w:szCs w:val="24"/>
          <w:highlight w:val="none"/>
        </w:rPr>
        <w:t>、A</w:t>
      </w:r>
      <w:r>
        <w:rPr>
          <w:rFonts w:hint="eastAsia" w:ascii="宋体" w:hAnsi="宋体"/>
          <w:color w:val="auto"/>
          <w:szCs w:val="24"/>
          <w:highlight w:val="none"/>
          <w:vertAlign w:val="subscript"/>
        </w:rPr>
        <w:t>2</w:t>
      </w:r>
      <w:r>
        <w:rPr>
          <w:rFonts w:hint="eastAsia" w:ascii="宋体" w:hAnsi="宋体"/>
          <w:color w:val="auto"/>
          <w:szCs w:val="24"/>
          <w:highlight w:val="none"/>
        </w:rPr>
        <w:t>……A</w:t>
      </w:r>
      <w:r>
        <w:rPr>
          <w:rFonts w:hint="eastAsia" w:ascii="宋体" w:hAnsi="宋体"/>
          <w:color w:val="auto"/>
          <w:szCs w:val="24"/>
          <w:highlight w:val="none"/>
          <w:vertAlign w:val="subscript"/>
        </w:rPr>
        <w:t>n</w:t>
      </w:r>
      <w:r>
        <w:rPr>
          <w:rFonts w:hint="eastAsia" w:ascii="宋体" w:hAnsi="宋体"/>
          <w:color w:val="auto"/>
          <w:szCs w:val="24"/>
          <w:highlight w:val="none"/>
        </w:rPr>
        <w:t>分别为每个</w:t>
      </w:r>
      <w:r>
        <w:rPr>
          <w:rFonts w:hint="eastAsia" w:ascii="宋体" w:hAnsi="宋体" w:cs="宋体"/>
          <w:color w:val="auto"/>
          <w:kern w:val="0"/>
          <w:szCs w:val="24"/>
          <w:highlight w:val="none"/>
        </w:rPr>
        <w:t>经济类</w:t>
      </w:r>
      <w:r>
        <w:rPr>
          <w:rFonts w:hint="eastAsia" w:ascii="宋体" w:hAnsi="宋体"/>
          <w:color w:val="auto"/>
          <w:szCs w:val="24"/>
          <w:highlight w:val="none"/>
        </w:rPr>
        <w:t>评委的打分，n</w:t>
      </w:r>
      <w:r>
        <w:rPr>
          <w:rFonts w:hint="eastAsia" w:ascii="宋体" w:hAnsi="宋体"/>
          <w:color w:val="auto"/>
          <w:szCs w:val="24"/>
          <w:highlight w:val="none"/>
          <w:vertAlign w:val="subscript"/>
        </w:rPr>
        <w:t>1</w:t>
      </w:r>
      <w:r>
        <w:rPr>
          <w:rFonts w:hint="eastAsia" w:ascii="宋体" w:hAnsi="宋体"/>
          <w:color w:val="auto"/>
          <w:szCs w:val="24"/>
          <w:highlight w:val="none"/>
        </w:rPr>
        <w:t>为</w:t>
      </w:r>
      <w:r>
        <w:rPr>
          <w:rFonts w:hint="eastAsia" w:ascii="宋体" w:hAnsi="宋体" w:cs="宋体"/>
          <w:color w:val="auto"/>
          <w:kern w:val="0"/>
          <w:szCs w:val="24"/>
          <w:highlight w:val="none"/>
        </w:rPr>
        <w:t>经济类</w:t>
      </w:r>
      <w:r>
        <w:rPr>
          <w:rFonts w:hint="eastAsia" w:ascii="宋体" w:hAnsi="宋体"/>
          <w:color w:val="auto"/>
          <w:szCs w:val="24"/>
          <w:highlight w:val="none"/>
        </w:rPr>
        <w:t>评委人数；B</w:t>
      </w:r>
      <w:r>
        <w:rPr>
          <w:rFonts w:hint="eastAsia" w:ascii="宋体" w:hAnsi="宋体"/>
          <w:color w:val="auto"/>
          <w:szCs w:val="24"/>
          <w:highlight w:val="none"/>
          <w:vertAlign w:val="subscript"/>
        </w:rPr>
        <w:t>1</w:t>
      </w:r>
      <w:r>
        <w:rPr>
          <w:rFonts w:hint="eastAsia" w:ascii="宋体" w:hAnsi="宋体"/>
          <w:color w:val="auto"/>
          <w:szCs w:val="24"/>
          <w:highlight w:val="none"/>
        </w:rPr>
        <w:t>、B</w:t>
      </w:r>
      <w:r>
        <w:rPr>
          <w:rFonts w:hint="eastAsia" w:ascii="宋体" w:hAnsi="宋体"/>
          <w:color w:val="auto"/>
          <w:szCs w:val="24"/>
          <w:highlight w:val="none"/>
          <w:vertAlign w:val="subscript"/>
        </w:rPr>
        <w:t>2</w:t>
      </w:r>
      <w:r>
        <w:rPr>
          <w:rFonts w:hint="eastAsia" w:ascii="宋体" w:hAnsi="宋体"/>
          <w:color w:val="auto"/>
          <w:szCs w:val="24"/>
          <w:highlight w:val="none"/>
        </w:rPr>
        <w:t>＋……B</w:t>
      </w:r>
      <w:r>
        <w:rPr>
          <w:rFonts w:hint="eastAsia" w:ascii="宋体" w:hAnsi="宋体"/>
          <w:color w:val="auto"/>
          <w:szCs w:val="24"/>
          <w:highlight w:val="none"/>
          <w:vertAlign w:val="subscript"/>
        </w:rPr>
        <w:t>n</w:t>
      </w:r>
      <w:r>
        <w:rPr>
          <w:rFonts w:hint="eastAsia" w:ascii="宋体" w:hAnsi="宋体"/>
          <w:color w:val="auto"/>
          <w:szCs w:val="24"/>
          <w:highlight w:val="none"/>
        </w:rPr>
        <w:t xml:space="preserve"> 分别为每个技术类评委（含采购人代表）的打分，n</w:t>
      </w:r>
      <w:r>
        <w:rPr>
          <w:rFonts w:hint="eastAsia" w:ascii="宋体" w:hAnsi="宋体"/>
          <w:color w:val="auto"/>
          <w:szCs w:val="24"/>
          <w:highlight w:val="none"/>
          <w:vertAlign w:val="subscript"/>
        </w:rPr>
        <w:t>2</w:t>
      </w:r>
      <w:r>
        <w:rPr>
          <w:rFonts w:hint="eastAsia" w:ascii="宋体" w:hAnsi="宋体"/>
          <w:color w:val="auto"/>
          <w:szCs w:val="24"/>
          <w:highlight w:val="none"/>
        </w:rPr>
        <w:t>为</w:t>
      </w:r>
      <w:r>
        <w:rPr>
          <w:rFonts w:hint="eastAsia" w:ascii="宋体" w:hAnsi="宋体" w:cs="宋体"/>
          <w:color w:val="auto"/>
          <w:kern w:val="0"/>
          <w:szCs w:val="24"/>
          <w:highlight w:val="none"/>
        </w:rPr>
        <w:t>技术类</w:t>
      </w:r>
      <w:r>
        <w:rPr>
          <w:rFonts w:hint="eastAsia" w:ascii="宋体" w:hAnsi="宋体"/>
          <w:color w:val="auto"/>
          <w:szCs w:val="24"/>
          <w:highlight w:val="none"/>
        </w:rPr>
        <w:t>评委（含采购人代表）人数；C</w:t>
      </w:r>
      <w:r>
        <w:rPr>
          <w:rFonts w:hint="eastAsia" w:ascii="宋体" w:hAnsi="宋体"/>
          <w:color w:val="auto"/>
          <w:szCs w:val="24"/>
          <w:highlight w:val="none"/>
          <w:vertAlign w:val="subscript"/>
        </w:rPr>
        <w:t>1</w:t>
      </w:r>
      <w:r>
        <w:rPr>
          <w:rFonts w:hint="eastAsia" w:ascii="宋体" w:hAnsi="宋体"/>
          <w:color w:val="auto"/>
          <w:szCs w:val="24"/>
          <w:highlight w:val="none"/>
        </w:rPr>
        <w:t>、C</w:t>
      </w:r>
      <w:r>
        <w:rPr>
          <w:rFonts w:hint="eastAsia" w:ascii="宋体" w:hAnsi="宋体"/>
          <w:color w:val="auto"/>
          <w:szCs w:val="24"/>
          <w:highlight w:val="none"/>
          <w:vertAlign w:val="subscript"/>
        </w:rPr>
        <w:t>2</w:t>
      </w:r>
      <w:r>
        <w:rPr>
          <w:rFonts w:hint="eastAsia" w:ascii="宋体" w:hAnsi="宋体"/>
          <w:color w:val="auto"/>
          <w:szCs w:val="24"/>
          <w:highlight w:val="none"/>
        </w:rPr>
        <w:t>……C</w:t>
      </w:r>
      <w:r>
        <w:rPr>
          <w:rFonts w:hint="eastAsia" w:ascii="宋体" w:hAnsi="宋体"/>
          <w:color w:val="auto"/>
          <w:szCs w:val="24"/>
          <w:highlight w:val="none"/>
          <w:vertAlign w:val="subscript"/>
        </w:rPr>
        <w:t>n</w:t>
      </w:r>
      <w:r>
        <w:rPr>
          <w:rFonts w:hint="eastAsia" w:ascii="宋体" w:hAnsi="宋体"/>
          <w:color w:val="auto"/>
          <w:szCs w:val="24"/>
          <w:highlight w:val="none"/>
        </w:rPr>
        <w:t xml:space="preserve"> 分别为评审委员会每个成员的打分，n</w:t>
      </w:r>
      <w:r>
        <w:rPr>
          <w:rFonts w:hint="eastAsia" w:ascii="宋体" w:hAnsi="宋体"/>
          <w:color w:val="auto"/>
          <w:szCs w:val="24"/>
          <w:highlight w:val="none"/>
          <w:vertAlign w:val="subscript"/>
        </w:rPr>
        <w:t>3</w:t>
      </w:r>
      <w:r>
        <w:rPr>
          <w:rFonts w:hint="eastAsia" w:ascii="宋体" w:hAnsi="宋体"/>
          <w:color w:val="auto"/>
          <w:szCs w:val="24"/>
          <w:highlight w:val="none"/>
        </w:rPr>
        <w:t>为评委人数。</w:t>
      </w:r>
    </w:p>
    <w:p>
      <w:pPr>
        <w:pStyle w:val="5"/>
        <w:numPr>
          <w:ilvl w:val="2"/>
          <w:numId w:val="0"/>
        </w:numPr>
        <w:ind w:leftChars="200"/>
        <w:rPr>
          <w:b/>
          <w:bCs/>
          <w:color w:val="auto"/>
          <w:highlight w:val="none"/>
        </w:rPr>
      </w:pPr>
      <w:r>
        <w:rPr>
          <w:rFonts w:hint="eastAsia"/>
          <w:b/>
          <w:bCs/>
          <w:color w:val="auto"/>
          <w:highlight w:val="none"/>
          <w:lang w:val="en-US" w:eastAsia="zh-CN"/>
        </w:rPr>
        <w:t>各包</w:t>
      </w:r>
      <w:r>
        <w:rPr>
          <w:rFonts w:hint="eastAsia"/>
          <w:b/>
          <w:bCs/>
          <w:color w:val="auto"/>
          <w:highlight w:val="none"/>
        </w:rPr>
        <w:t>评分标准</w:t>
      </w:r>
    </w:p>
    <w:tbl>
      <w:tblPr>
        <w:tblStyle w:val="43"/>
        <w:tblpPr w:leftFromText="180" w:rightFromText="180" w:vertAnchor="text" w:horzAnchor="page" w:tblpX="1259" w:tblpY="450"/>
        <w:tblOverlap w:val="never"/>
        <w:tblW w:w="96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170"/>
        <w:gridCol w:w="6630"/>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758"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630" w:type="dxa"/>
            <w:noWrap w:val="0"/>
            <w:tcMar>
              <w:top w:w="0" w:type="dxa"/>
              <w:left w:w="80" w:type="dxa"/>
              <w:bottom w:w="0" w:type="dxa"/>
              <w:right w:w="0" w:type="dxa"/>
            </w:tcMar>
            <w:vAlign w:val="top"/>
          </w:tcPr>
          <w:p>
            <w:pPr>
              <w:keepNext w:val="0"/>
              <w:keepLines w:val="0"/>
              <w:pageBreakBefore w:val="0"/>
              <w:numPr>
                <w:ilvl w:val="0"/>
                <w:numId w:val="58"/>
              </w:numPr>
              <w:kinsoku/>
              <w:wordWrap/>
              <w:overflowPunct/>
              <w:topLinePunct w:val="0"/>
              <w:bidi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w:t>
            </w:r>
          </w:p>
          <w:p>
            <w:pPr>
              <w:keepNext w:val="0"/>
              <w:keepLines w:val="0"/>
              <w:pageBreakBefore w:val="0"/>
              <w:numPr>
                <w:ilvl w:val="0"/>
                <w:numId w:val="58"/>
              </w:numPr>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经评审的最低有效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报价作为评审基准价；</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报价得分=(评审基准价／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758"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4"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技术类评委</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sz w:val="24"/>
                <w:szCs w:val="24"/>
                <w:highlight w:val="none"/>
              </w:rPr>
              <w:t>服务方案</w:t>
            </w:r>
          </w:p>
        </w:tc>
        <w:tc>
          <w:tcPr>
            <w:tcW w:w="663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根据投标人针对本项目提供的服务方案，至少包含：1、组织机构设置； 2、项目概况分析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现场情况描述；</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、具体管护实施方案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、质量保障措施；</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、安全保障措施；</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、环保控制措施；</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、突发应急情况分析及应急措施，方案齐全且完全符合本项目要求的，得</w:t>
            </w:r>
            <w:r>
              <w:rPr>
                <w:rFonts w:hint="eastAsia" w:ascii="宋体" w:hAnsi="宋体" w:eastAsia="宋体" w:cs="宋体"/>
                <w:sz w:val="24"/>
                <w:szCs w:val="24"/>
                <w:highlight w:val="none"/>
                <w:lang w:val="en-US" w:eastAsia="zh-CN"/>
              </w:rPr>
              <w:t>56</w:t>
            </w:r>
            <w:r>
              <w:rPr>
                <w:rFonts w:hint="eastAsia" w:ascii="宋体" w:hAnsi="宋体" w:eastAsia="宋体" w:cs="宋体"/>
                <w:sz w:val="24"/>
                <w:szCs w:val="24"/>
                <w:highlight w:val="none"/>
              </w:rPr>
              <w:t>分；每缺一项内容扣</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分，有一处不合理、脱离实际或不满足项目要求的，扣2分，扣完为止。</w:t>
            </w:r>
          </w:p>
        </w:tc>
        <w:tc>
          <w:tcPr>
            <w:tcW w:w="758"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56</w:t>
            </w:r>
            <w:r>
              <w:rPr>
                <w:rFonts w:hint="eastAsia" w:ascii="宋体" w:hAnsi="宋体" w:eastAsia="宋体" w:cs="宋体"/>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2"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人员配置</w:t>
            </w:r>
          </w:p>
        </w:tc>
        <w:tc>
          <w:tcPr>
            <w:tcW w:w="6630" w:type="dxa"/>
            <w:noWrap w:val="0"/>
            <w:tcMar>
              <w:top w:w="0" w:type="dxa"/>
              <w:left w:w="80" w:type="dxa"/>
              <w:bottom w:w="0" w:type="dxa"/>
              <w:right w:w="0" w:type="dxa"/>
            </w:tcMar>
            <w:vAlign w:val="center"/>
          </w:tcPr>
          <w:p>
            <w:pPr>
              <w:keepNext w:val="0"/>
              <w:keepLines w:val="0"/>
              <w:pageBreakBefore w:val="0"/>
              <w:numPr>
                <w:ilvl w:val="0"/>
                <w:numId w:val="0"/>
              </w:numPr>
              <w:kinsoku/>
              <w:wordWrap/>
              <w:overflowPunct/>
              <w:topLinePunct w:val="0"/>
              <w:bidi w:val="0"/>
              <w:snapToGrid/>
              <w:spacing w:line="360" w:lineRule="auto"/>
              <w:ind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投标人拟投入本项目的人员中：</w:t>
            </w:r>
          </w:p>
          <w:p>
            <w:pPr>
              <w:keepNext w:val="0"/>
              <w:keepLines w:val="0"/>
              <w:pageBreakBefore w:val="0"/>
              <w:numPr>
                <w:ilvl w:val="0"/>
                <w:numId w:val="59"/>
              </w:numPr>
              <w:kinsoku/>
              <w:wordWrap/>
              <w:overflowPunct/>
              <w:topLinePunct w:val="0"/>
              <w:bidi w:val="0"/>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具有园林类中级</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rPr>
              <w:t>职称</w:t>
            </w:r>
            <w:r>
              <w:rPr>
                <w:rFonts w:hint="eastAsia" w:ascii="宋体" w:hAnsi="宋体" w:cs="宋体"/>
                <w:color w:val="auto"/>
                <w:sz w:val="24"/>
                <w:szCs w:val="24"/>
                <w:highlight w:val="none"/>
                <w:lang w:val="en-US" w:eastAsia="zh-CN"/>
              </w:rPr>
              <w:t>1人及以上</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numPr>
                <w:ilvl w:val="0"/>
                <w:numId w:val="59"/>
              </w:numPr>
              <w:kinsoku/>
              <w:wordWrap/>
              <w:overflowPunct/>
              <w:topLinePunct w:val="0"/>
              <w:bidi w:val="0"/>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具有绿化工</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及以上的，得4分</w:t>
            </w:r>
            <w:r>
              <w:rPr>
                <w:rFonts w:hint="eastAsia" w:ascii="宋体" w:hAnsi="宋体" w:eastAsia="宋体" w:cs="宋体"/>
                <w:color w:val="auto"/>
                <w:sz w:val="24"/>
                <w:szCs w:val="24"/>
                <w:highlight w:val="none"/>
                <w:lang w:val="en-US" w:eastAsia="zh-CN"/>
              </w:rPr>
              <w:t>。</w:t>
            </w:r>
          </w:p>
          <w:p>
            <w:pPr>
              <w:pStyle w:val="2"/>
              <w:numPr>
                <w:ilvl w:val="0"/>
                <w:numId w:val="59"/>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具有建造师二级及以上2人级以上的，得4分。</w:t>
            </w:r>
          </w:p>
          <w:p>
            <w:pPr>
              <w:pStyle w:val="42"/>
              <w:keepNext w:val="0"/>
              <w:keepLines w:val="0"/>
              <w:pageBreakBefore w:val="0"/>
              <w:shd w:val="clear" w:color="auto" w:fill="auto"/>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Cs/>
                <w:color w:val="000000"/>
                <w:sz w:val="24"/>
                <w:szCs w:val="24"/>
                <w:highlight w:val="none"/>
              </w:rPr>
            </w:pPr>
            <w:r>
              <w:rPr>
                <w:rFonts w:hint="eastAsia" w:ascii="宋体" w:hAnsi="宋体" w:eastAsia="宋体" w:cs="宋体"/>
                <w:color w:val="auto"/>
                <w:sz w:val="24"/>
                <w:szCs w:val="24"/>
                <w:highlight w:val="none"/>
              </w:rPr>
              <w:t>（说明：提供证书复印件和</w:t>
            </w:r>
            <w:r>
              <w:rPr>
                <w:rFonts w:hint="eastAsia" w:ascii="宋体" w:hAnsi="宋体" w:eastAsia="宋体" w:cs="宋体"/>
                <w:color w:val="auto"/>
                <w:sz w:val="24"/>
                <w:szCs w:val="24"/>
                <w:highlight w:val="none"/>
                <w:lang w:val="en-US" w:eastAsia="zh-CN"/>
              </w:rPr>
              <w:t>在职证明材料</w:t>
            </w:r>
            <w:r>
              <w:rPr>
                <w:rFonts w:hint="eastAsia" w:ascii="宋体" w:hAnsi="宋体" w:eastAsia="宋体" w:cs="宋体"/>
                <w:color w:val="auto"/>
                <w:sz w:val="24"/>
                <w:szCs w:val="24"/>
                <w:highlight w:val="none"/>
              </w:rPr>
              <w:t>复印件。）</w:t>
            </w:r>
          </w:p>
        </w:tc>
        <w:tc>
          <w:tcPr>
            <w:tcW w:w="758" w:type="dxa"/>
            <w:noWrap w:val="0"/>
            <w:tcMar>
              <w:top w:w="0" w:type="dxa"/>
              <w:left w:w="80" w:type="dxa"/>
              <w:bottom w:w="0" w:type="dxa"/>
              <w:right w:w="0" w:type="dxa"/>
            </w:tcMar>
            <w:vAlign w:val="center"/>
          </w:tcPr>
          <w:p>
            <w:pPr>
              <w:pStyle w:val="2"/>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设备配置</w:t>
            </w:r>
          </w:p>
        </w:tc>
        <w:tc>
          <w:tcPr>
            <w:tcW w:w="6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投标人拟投入本项目的设备在满足招标文件基本要求的基础上：</w:t>
            </w:r>
          </w:p>
          <w:p>
            <w:pPr>
              <w:keepNext w:val="0"/>
              <w:keepLines w:val="0"/>
              <w:pageBreakBefore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1、增加1台及以上</w:t>
            </w:r>
            <w:r>
              <w:rPr>
                <w:rFonts w:hint="eastAsia" w:ascii="宋体" w:hAnsi="宋体" w:eastAsia="宋体" w:cs="宋体"/>
                <w:color w:val="auto"/>
                <w:sz w:val="24"/>
                <w:szCs w:val="24"/>
                <w:highlight w:val="none"/>
                <w:lang w:eastAsia="zh-CN"/>
              </w:rPr>
              <w:t>洒水车</w:t>
            </w:r>
            <w:r>
              <w:rPr>
                <w:rFonts w:hint="eastAsia" w:ascii="宋体" w:hAnsi="宋体" w:eastAsia="宋体" w:cs="宋体"/>
                <w:color w:val="auto"/>
                <w:sz w:val="24"/>
                <w:szCs w:val="24"/>
                <w:highlight w:val="none"/>
                <w:lang w:val="en-US" w:eastAsia="zh-CN"/>
              </w:rPr>
              <w:t>的，得2分；</w:t>
            </w:r>
          </w:p>
          <w:p>
            <w:pPr>
              <w:keepNext w:val="0"/>
              <w:keepLines w:val="0"/>
              <w:pageBreakBefore w:val="0"/>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增加1</w:t>
            </w:r>
            <w:r>
              <w:rPr>
                <w:rFonts w:hint="eastAsia" w:ascii="宋体" w:hAnsi="宋体" w:eastAsia="宋体" w:cs="宋体"/>
                <w:color w:val="auto"/>
                <w:sz w:val="24"/>
                <w:szCs w:val="24"/>
                <w:highlight w:val="none"/>
                <w:lang w:val="en-US" w:eastAsia="zh-CN"/>
              </w:rPr>
              <w:t>台及以上</w:t>
            </w:r>
            <w:r>
              <w:rPr>
                <w:rFonts w:hint="eastAsia" w:ascii="宋体" w:hAnsi="宋体" w:eastAsia="宋体" w:cs="宋体"/>
                <w:color w:val="auto"/>
                <w:sz w:val="24"/>
                <w:szCs w:val="24"/>
                <w:highlight w:val="none"/>
                <w:lang w:eastAsia="zh-CN"/>
              </w:rPr>
              <w:t>货车</w:t>
            </w:r>
            <w:r>
              <w:rPr>
                <w:rFonts w:hint="eastAsia" w:ascii="宋体" w:hAnsi="宋体" w:eastAsia="宋体" w:cs="宋体"/>
                <w:color w:val="auto"/>
                <w:sz w:val="24"/>
                <w:szCs w:val="24"/>
                <w:highlight w:val="none"/>
                <w:lang w:val="en-US" w:eastAsia="zh-CN"/>
              </w:rPr>
              <w:t>的，得2分；</w:t>
            </w:r>
          </w:p>
          <w:p>
            <w:pPr>
              <w:pStyle w:val="2"/>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增加1</w:t>
            </w:r>
            <w:r>
              <w:rPr>
                <w:rFonts w:hint="eastAsia" w:ascii="宋体" w:hAnsi="宋体" w:eastAsia="宋体" w:cs="宋体"/>
                <w:color w:val="auto"/>
                <w:sz w:val="24"/>
                <w:szCs w:val="24"/>
                <w:highlight w:val="none"/>
                <w:lang w:val="en-US" w:eastAsia="zh-CN"/>
              </w:rPr>
              <w:t>台及以上</w:t>
            </w:r>
            <w:r>
              <w:rPr>
                <w:rFonts w:hint="eastAsia" w:ascii="宋体" w:hAnsi="宋体" w:eastAsia="宋体" w:cs="宋体"/>
                <w:color w:val="auto"/>
                <w:sz w:val="24"/>
                <w:szCs w:val="24"/>
                <w:highlight w:val="none"/>
                <w:lang w:eastAsia="zh-CN"/>
              </w:rPr>
              <w:t>三轮载货摩托车</w:t>
            </w:r>
            <w:r>
              <w:rPr>
                <w:rFonts w:hint="eastAsia" w:ascii="宋体" w:hAnsi="宋体" w:eastAsia="宋体" w:cs="宋体"/>
                <w:color w:val="auto"/>
                <w:sz w:val="24"/>
                <w:szCs w:val="24"/>
                <w:highlight w:val="none"/>
                <w:lang w:val="en-US" w:eastAsia="zh-CN"/>
              </w:rPr>
              <w:t>的，得2分；</w:t>
            </w:r>
          </w:p>
          <w:p>
            <w:pPr>
              <w:pStyle w:val="2"/>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（说明：以上1-3项提供车辆清单、车辆行驶证和购置发票复印件）</w:t>
            </w:r>
          </w:p>
          <w:p>
            <w:pPr>
              <w:pStyle w:val="2"/>
              <w:keepNext w:val="0"/>
              <w:keepLines w:val="0"/>
              <w:pageBreakBefore w:val="0"/>
              <w:kinsoku/>
              <w:wordWrap/>
              <w:overflowPunct/>
              <w:topLinePunct w:val="0"/>
              <w:bidi w:val="0"/>
              <w:snapToGrid/>
              <w:spacing w:after="0"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增加5台</w:t>
            </w:r>
            <w:r>
              <w:rPr>
                <w:rFonts w:hint="eastAsia" w:ascii="宋体" w:hAnsi="宋体" w:eastAsia="宋体" w:cs="宋体"/>
                <w:color w:val="auto"/>
                <w:sz w:val="24"/>
                <w:szCs w:val="24"/>
                <w:highlight w:val="none"/>
                <w:lang w:val="en-US" w:eastAsia="zh-CN"/>
              </w:rPr>
              <w:t>及以上剪草机的，得2分；</w:t>
            </w:r>
          </w:p>
          <w:p>
            <w:pPr>
              <w:pStyle w:val="2"/>
              <w:keepNext w:val="0"/>
              <w:keepLines w:val="0"/>
              <w:pageBreakBefore w:val="0"/>
              <w:kinsoku/>
              <w:wordWrap/>
              <w:overflowPunct/>
              <w:topLinePunct w:val="0"/>
              <w:bidi w:val="0"/>
              <w:snapToGrid/>
              <w:spacing w:after="0"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增加5台</w:t>
            </w:r>
            <w:r>
              <w:rPr>
                <w:rFonts w:hint="eastAsia" w:ascii="宋体" w:hAnsi="宋体" w:eastAsia="宋体" w:cs="宋体"/>
                <w:color w:val="auto"/>
                <w:sz w:val="24"/>
                <w:szCs w:val="24"/>
                <w:highlight w:val="none"/>
                <w:lang w:val="en-US" w:eastAsia="zh-CN"/>
              </w:rPr>
              <w:t>及以上绿篱机的，得2分；</w:t>
            </w:r>
          </w:p>
          <w:p>
            <w:pPr>
              <w:pStyle w:val="2"/>
              <w:keepNext w:val="0"/>
              <w:keepLines w:val="0"/>
              <w:pageBreakBefore w:val="0"/>
              <w:kinsoku/>
              <w:wordWrap/>
              <w:overflowPunct/>
              <w:topLinePunct w:val="0"/>
              <w:bidi w:val="0"/>
              <w:snapToGrid/>
              <w:spacing w:after="0"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增加1</w:t>
            </w:r>
            <w:r>
              <w:rPr>
                <w:rFonts w:hint="eastAsia" w:ascii="宋体" w:hAnsi="宋体" w:eastAsia="宋体" w:cs="宋体"/>
                <w:color w:val="auto"/>
                <w:sz w:val="24"/>
                <w:szCs w:val="24"/>
                <w:highlight w:val="none"/>
                <w:lang w:val="en-US" w:eastAsia="zh-CN"/>
              </w:rPr>
              <w:t>台及以上高枝油锯的，得2分；</w:t>
            </w:r>
          </w:p>
          <w:p>
            <w:pPr>
              <w:pStyle w:val="2"/>
              <w:keepNext w:val="0"/>
              <w:keepLines w:val="0"/>
              <w:pageBreakBefore w:val="0"/>
              <w:kinsoku/>
              <w:wordWrap/>
              <w:overflowPunct/>
              <w:topLinePunct w:val="0"/>
              <w:bidi w:val="0"/>
              <w:snapToGrid/>
              <w:spacing w:after="0"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增加1</w:t>
            </w:r>
            <w:r>
              <w:rPr>
                <w:rFonts w:hint="eastAsia" w:ascii="宋体" w:hAnsi="宋体" w:eastAsia="宋体" w:cs="宋体"/>
                <w:color w:val="auto"/>
                <w:sz w:val="24"/>
                <w:szCs w:val="24"/>
                <w:highlight w:val="none"/>
                <w:lang w:val="en-US" w:eastAsia="zh-CN"/>
              </w:rPr>
              <w:t>台及以上抽水机的，得2分。</w:t>
            </w:r>
          </w:p>
          <w:p>
            <w:pPr>
              <w:pStyle w:val="42"/>
              <w:keepNext w:val="0"/>
              <w:keepLines w:val="0"/>
              <w:pageBreakBefore w:val="0"/>
              <w:shd w:val="clear" w:color="auto" w:fill="auto"/>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（说明：以上4-</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项提供设备清单、购置发票复印件及设备照片，为保证设备使用效果，设备需为2018年以后购买。）</w:t>
            </w:r>
          </w:p>
        </w:tc>
        <w:tc>
          <w:tcPr>
            <w:tcW w:w="758" w:type="dxa"/>
            <w:noWrap w:val="0"/>
            <w:tcMar>
              <w:top w:w="0" w:type="dxa"/>
              <w:left w:w="80" w:type="dxa"/>
              <w:bottom w:w="0" w:type="dxa"/>
              <w:right w:w="0" w:type="dxa"/>
            </w:tcMar>
            <w:vAlign w:val="center"/>
          </w:tcPr>
          <w:p>
            <w:pPr>
              <w:pStyle w:val="2"/>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履约能力</w:t>
            </w:r>
          </w:p>
        </w:tc>
        <w:tc>
          <w:tcPr>
            <w:tcW w:w="6630" w:type="dxa"/>
            <w:noWrap w:val="0"/>
            <w:tcMar>
              <w:top w:w="0" w:type="dxa"/>
              <w:left w:w="80" w:type="dxa"/>
              <w:bottom w:w="0" w:type="dxa"/>
              <w:right w:w="0" w:type="dxa"/>
            </w:tcMar>
            <w:vAlign w:val="center"/>
          </w:tcPr>
          <w:p>
            <w:pPr>
              <w:pStyle w:val="42"/>
              <w:keepNext w:val="0"/>
              <w:keepLines w:val="0"/>
              <w:pageBreakBefore w:val="0"/>
              <w:shd w:val="clear" w:color="auto" w:fill="auto"/>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投标人2018年以来具有类似项目业绩的，一个得</w:t>
            </w:r>
            <w:r>
              <w:rPr>
                <w:rFonts w:hint="eastAsia" w:hAnsi="宋体" w:cs="宋体"/>
                <w:color w:val="000000"/>
                <w:kern w:val="0"/>
                <w:sz w:val="24"/>
                <w:szCs w:val="24"/>
                <w:highlight w:val="none"/>
                <w:lang w:val="en-US" w:eastAsia="zh-CN" w:bidi="ar-SA"/>
              </w:rPr>
              <w:t>3</w:t>
            </w:r>
            <w:r>
              <w:rPr>
                <w:rFonts w:hint="eastAsia" w:ascii="宋体" w:hAnsi="宋体" w:eastAsia="宋体" w:cs="宋体"/>
                <w:color w:val="000000"/>
                <w:kern w:val="0"/>
                <w:sz w:val="24"/>
                <w:szCs w:val="24"/>
                <w:highlight w:val="none"/>
                <w:lang w:val="en-US" w:eastAsia="zh-CN" w:bidi="ar-SA"/>
              </w:rPr>
              <w:t>分，最多得</w:t>
            </w:r>
            <w:r>
              <w:rPr>
                <w:rFonts w:hint="eastAsia" w:hAnsi="宋体" w:cs="宋体"/>
                <w:color w:val="000000"/>
                <w:kern w:val="0"/>
                <w:sz w:val="24"/>
                <w:szCs w:val="24"/>
                <w:highlight w:val="none"/>
                <w:lang w:val="en-US" w:eastAsia="zh-CN" w:bidi="ar-SA"/>
              </w:rPr>
              <w:t>6</w:t>
            </w:r>
            <w:r>
              <w:rPr>
                <w:rFonts w:hint="eastAsia" w:ascii="宋体" w:hAnsi="宋体" w:eastAsia="宋体" w:cs="宋体"/>
                <w:color w:val="000000"/>
                <w:kern w:val="0"/>
                <w:sz w:val="24"/>
                <w:szCs w:val="24"/>
                <w:highlight w:val="none"/>
                <w:lang w:val="en-US" w:eastAsia="zh-CN" w:bidi="ar-SA"/>
              </w:rPr>
              <w:t>分。</w:t>
            </w:r>
            <w:r>
              <w:rPr>
                <w:rFonts w:hint="eastAsia" w:hAnsi="宋体" w:cs="宋体"/>
                <w:color w:val="000000"/>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说明：提供合同</w:t>
            </w:r>
            <w:r>
              <w:rPr>
                <w:rFonts w:hint="eastAsia" w:hAnsi="宋体" w:cs="宋体"/>
                <w:color w:val="000000"/>
                <w:kern w:val="0"/>
                <w:sz w:val="24"/>
                <w:szCs w:val="24"/>
                <w:highlight w:val="none"/>
                <w:lang w:val="en-US" w:eastAsia="zh-CN" w:bidi="ar-SA"/>
              </w:rPr>
              <w:t>或甲方派工单</w:t>
            </w:r>
            <w:r>
              <w:rPr>
                <w:rFonts w:hint="eastAsia" w:ascii="宋体" w:hAnsi="宋体" w:eastAsia="宋体" w:cs="宋体"/>
                <w:color w:val="000000"/>
                <w:kern w:val="0"/>
                <w:sz w:val="24"/>
                <w:szCs w:val="24"/>
                <w:highlight w:val="none"/>
                <w:lang w:val="en-US" w:eastAsia="zh-CN" w:bidi="ar-SA"/>
              </w:rPr>
              <w:t>复印件</w:t>
            </w:r>
            <w:r>
              <w:rPr>
                <w:rFonts w:hint="eastAsia" w:ascii="宋体" w:hAnsi="宋体" w:eastAsia="宋体" w:cs="宋体"/>
                <w:sz w:val="24"/>
                <w:szCs w:val="24"/>
                <w:highlight w:val="none"/>
                <w:lang w:eastAsia="zh-CN"/>
              </w:rPr>
              <w:t>。</w:t>
            </w:r>
            <w:r>
              <w:rPr>
                <w:rFonts w:hint="eastAsia" w:hAnsi="宋体" w:cs="宋体"/>
                <w:color w:val="000000"/>
                <w:kern w:val="0"/>
                <w:sz w:val="24"/>
                <w:szCs w:val="24"/>
                <w:highlight w:val="none"/>
                <w:lang w:val="en-US" w:eastAsia="zh-CN" w:bidi="ar-SA"/>
              </w:rPr>
              <w:t>）</w:t>
            </w:r>
          </w:p>
        </w:tc>
        <w:tc>
          <w:tcPr>
            <w:tcW w:w="758" w:type="dxa"/>
            <w:noWrap w:val="0"/>
            <w:tcMar>
              <w:top w:w="0" w:type="dxa"/>
              <w:left w:w="80" w:type="dxa"/>
              <w:bottom w:w="0" w:type="dxa"/>
              <w:right w:w="0" w:type="dxa"/>
            </w:tcMar>
            <w:vAlign w:val="center"/>
          </w:tcPr>
          <w:p>
            <w:pPr>
              <w:pStyle w:val="2"/>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文件的规范性</w:t>
            </w:r>
          </w:p>
        </w:tc>
        <w:tc>
          <w:tcPr>
            <w:tcW w:w="6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文件制作规范，没有细微偏差情形的得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分；有一项细微偏差扣0.5分，直至该项分值扣完为止。</w:t>
            </w:r>
          </w:p>
        </w:tc>
        <w:tc>
          <w:tcPr>
            <w:tcW w:w="758"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不发达地区或少数民族地区</w:t>
            </w:r>
          </w:p>
        </w:tc>
        <w:tc>
          <w:tcPr>
            <w:tcW w:w="6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如为不发达地区或少数民族地区的，得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sz w:val="24"/>
                <w:szCs w:val="24"/>
                <w:highlight w:val="none"/>
              </w:rPr>
              <w:t>注：</w:t>
            </w:r>
            <w:r>
              <w:rPr>
                <w:rFonts w:hint="eastAsia" w:ascii="宋体" w:hAnsi="宋体" w:eastAsia="宋体" w:cs="宋体"/>
                <w:color w:val="000000"/>
                <w:sz w:val="24"/>
                <w:szCs w:val="24"/>
                <w:highlight w:val="none"/>
              </w:rPr>
              <w:t>以投标人营业执照上注册地为准</w:t>
            </w:r>
            <w:r>
              <w:rPr>
                <w:rFonts w:hint="eastAsia" w:ascii="宋体" w:hAnsi="宋体" w:eastAsia="宋体" w:cs="宋体"/>
                <w:sz w:val="24"/>
                <w:szCs w:val="24"/>
                <w:highlight w:val="none"/>
              </w:rPr>
              <w:t>。</w:t>
            </w:r>
          </w:p>
        </w:tc>
        <w:tc>
          <w:tcPr>
            <w:tcW w:w="758"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bl>
    <w:p>
      <w:pPr>
        <w:ind w:firstLine="494"/>
        <w:rPr>
          <w:rFonts w:ascii="宋体" w:hAnsi="宋体"/>
          <w:b/>
          <w:color w:val="auto"/>
          <w:szCs w:val="24"/>
          <w:highlight w:val="none"/>
        </w:rPr>
      </w:pPr>
      <w:r>
        <w:rPr>
          <w:rFonts w:hint="eastAsia" w:ascii="宋体" w:hAnsi="宋体"/>
          <w:b/>
          <w:color w:val="auto"/>
          <w:szCs w:val="24"/>
          <w:highlight w:val="none"/>
        </w:rPr>
        <w:t>说明：1、评分的取值按四舍五入法，保留小数点后两位；</w:t>
      </w:r>
    </w:p>
    <w:p>
      <w:pPr>
        <w:ind w:firstLine="494"/>
        <w:rPr>
          <w:rFonts w:ascii="宋体" w:hAnsi="宋体"/>
          <w:b/>
          <w:color w:val="auto"/>
          <w:szCs w:val="24"/>
          <w:highlight w:val="none"/>
        </w:rPr>
      </w:pPr>
      <w:r>
        <w:rPr>
          <w:rFonts w:hint="eastAsia" w:ascii="宋体" w:hAnsi="宋体"/>
          <w:b/>
          <w:color w:val="auto"/>
          <w:szCs w:val="24"/>
          <w:highlight w:val="none"/>
        </w:rPr>
        <w:t xml:space="preserve">  2、评分标准中要求提供复印件的证明材料须清晰可辨。</w:t>
      </w:r>
    </w:p>
    <w:p>
      <w:pPr>
        <w:pStyle w:val="4"/>
        <w:rPr>
          <w:color w:val="auto"/>
          <w:highlight w:val="none"/>
        </w:rPr>
      </w:pPr>
      <w:bookmarkStart w:id="350" w:name="_Toc315871725"/>
      <w:bookmarkEnd w:id="350"/>
      <w:bookmarkStart w:id="351" w:name="_Toc320624285"/>
      <w:bookmarkEnd w:id="351"/>
      <w:bookmarkStart w:id="352" w:name="_Toc320624240"/>
      <w:bookmarkEnd w:id="352"/>
      <w:bookmarkStart w:id="353" w:name="_Toc320624260"/>
      <w:bookmarkEnd w:id="353"/>
      <w:bookmarkStart w:id="354" w:name="_Toc320624295"/>
      <w:bookmarkEnd w:id="354"/>
      <w:bookmarkStart w:id="355" w:name="_Toc320624280"/>
      <w:bookmarkEnd w:id="355"/>
      <w:bookmarkStart w:id="356" w:name="_Toc315871658"/>
      <w:bookmarkEnd w:id="356"/>
      <w:bookmarkStart w:id="357" w:name="_Toc320624255"/>
      <w:bookmarkEnd w:id="357"/>
      <w:bookmarkStart w:id="358" w:name="_Toc320624275"/>
      <w:bookmarkEnd w:id="358"/>
      <w:bookmarkStart w:id="359" w:name="_Toc320624290"/>
      <w:bookmarkEnd w:id="359"/>
      <w:bookmarkStart w:id="360" w:name="_Toc318206701"/>
      <w:bookmarkEnd w:id="360"/>
      <w:bookmarkStart w:id="361" w:name="_Toc315871656"/>
      <w:bookmarkEnd w:id="361"/>
      <w:bookmarkStart w:id="362" w:name="_Toc315871657"/>
      <w:bookmarkEnd w:id="362"/>
      <w:bookmarkStart w:id="363" w:name="_Toc320624265"/>
      <w:bookmarkEnd w:id="363"/>
      <w:bookmarkStart w:id="364" w:name="_Toc31256"/>
      <w:bookmarkStart w:id="365" w:name="_Toc19639"/>
      <w:bookmarkStart w:id="366" w:name="_Toc316292258"/>
      <w:bookmarkStart w:id="367" w:name="_Toc315871726"/>
      <w:bookmarkStart w:id="368" w:name="_Toc31225"/>
      <w:bookmarkStart w:id="369" w:name="_Toc20130"/>
      <w:bookmarkStart w:id="370" w:name="_Toc217446060"/>
      <w:r>
        <w:rPr>
          <w:rFonts w:hint="eastAsia"/>
          <w:color w:val="auto"/>
          <w:highlight w:val="none"/>
        </w:rPr>
        <w:t>废标</w:t>
      </w:r>
      <w:bookmarkEnd w:id="364"/>
      <w:bookmarkEnd w:id="365"/>
      <w:bookmarkEnd w:id="366"/>
      <w:bookmarkEnd w:id="367"/>
      <w:bookmarkEnd w:id="368"/>
      <w:bookmarkEnd w:id="369"/>
    </w:p>
    <w:p>
      <w:pPr>
        <w:pStyle w:val="5"/>
        <w:ind w:firstLine="494"/>
        <w:rPr>
          <w:color w:val="auto"/>
          <w:highlight w:val="none"/>
        </w:rPr>
      </w:pPr>
      <w:bookmarkStart w:id="371" w:name="_Toc22999"/>
      <w:r>
        <w:rPr>
          <w:rFonts w:hint="eastAsia"/>
          <w:color w:val="auto"/>
          <w:highlight w:val="none"/>
        </w:rPr>
        <w:t>本次政府采购活动中，各包出现下列情形之一的，该包件予以废标：</w:t>
      </w:r>
      <w:bookmarkEnd w:id="371"/>
    </w:p>
    <w:p>
      <w:pPr>
        <w:numPr>
          <w:ilvl w:val="0"/>
          <w:numId w:val="60"/>
        </w:numPr>
        <w:tabs>
          <w:tab w:val="left" w:pos="1155"/>
        </w:tabs>
        <w:ind w:left="0" w:firstLine="492"/>
        <w:rPr>
          <w:rFonts w:ascii="宋体" w:hAnsi="宋体"/>
          <w:color w:val="auto"/>
          <w:szCs w:val="24"/>
          <w:highlight w:val="none"/>
        </w:rPr>
      </w:pPr>
      <w:r>
        <w:rPr>
          <w:rFonts w:hint="eastAsia" w:ascii="宋体" w:hAnsi="宋体"/>
          <w:color w:val="auto"/>
          <w:szCs w:val="24"/>
          <w:highlight w:val="none"/>
        </w:rPr>
        <w:t>符合专业条件的供应商或者对招标文件作实质响应的供应商不足三家的；</w:t>
      </w:r>
    </w:p>
    <w:p>
      <w:pPr>
        <w:numPr>
          <w:ilvl w:val="0"/>
          <w:numId w:val="60"/>
        </w:numPr>
        <w:tabs>
          <w:tab w:val="left" w:pos="1155"/>
        </w:tabs>
        <w:ind w:left="0" w:firstLine="492"/>
        <w:rPr>
          <w:rFonts w:ascii="宋体" w:hAnsi="宋体"/>
          <w:color w:val="auto"/>
          <w:szCs w:val="24"/>
          <w:highlight w:val="none"/>
        </w:rPr>
      </w:pPr>
      <w:r>
        <w:rPr>
          <w:rFonts w:hint="eastAsia" w:ascii="宋体" w:hAnsi="宋体"/>
          <w:color w:val="auto"/>
          <w:szCs w:val="24"/>
          <w:highlight w:val="none"/>
        </w:rPr>
        <w:t>出现影响采购公正的违法、违规行为的；</w:t>
      </w:r>
    </w:p>
    <w:p>
      <w:pPr>
        <w:numPr>
          <w:ilvl w:val="0"/>
          <w:numId w:val="60"/>
        </w:numPr>
        <w:tabs>
          <w:tab w:val="left" w:pos="1155"/>
        </w:tabs>
        <w:ind w:left="0" w:firstLine="492"/>
        <w:rPr>
          <w:color w:val="auto"/>
          <w:highlight w:val="none"/>
        </w:rPr>
      </w:pPr>
      <w:r>
        <w:rPr>
          <w:rFonts w:hint="eastAsia" w:ascii="宋体" w:hAnsi="宋体"/>
          <w:color w:val="auto"/>
          <w:szCs w:val="24"/>
          <w:highlight w:val="none"/>
        </w:rPr>
        <w:t>投标人的报价均超过了采购预算，采购人不能支付；</w:t>
      </w:r>
    </w:p>
    <w:p>
      <w:pPr>
        <w:numPr>
          <w:ilvl w:val="0"/>
          <w:numId w:val="60"/>
        </w:numPr>
        <w:tabs>
          <w:tab w:val="left" w:pos="1155"/>
        </w:tabs>
        <w:ind w:left="0" w:firstLine="492"/>
        <w:rPr>
          <w:rFonts w:ascii="宋体" w:hAnsi="宋体"/>
          <w:color w:val="auto"/>
          <w:szCs w:val="24"/>
          <w:highlight w:val="none"/>
        </w:rPr>
      </w:pPr>
      <w:r>
        <w:rPr>
          <w:rFonts w:hint="eastAsia" w:ascii="宋体" w:hAnsi="宋体"/>
          <w:color w:val="auto"/>
          <w:szCs w:val="24"/>
          <w:highlight w:val="none"/>
        </w:rPr>
        <w:t>因重大变故，采购任务取消的。</w:t>
      </w:r>
    </w:p>
    <w:p>
      <w:pPr>
        <w:tabs>
          <w:tab w:val="left" w:pos="1155"/>
        </w:tabs>
        <w:ind w:firstLine="492"/>
        <w:rPr>
          <w:rFonts w:ascii="宋体" w:hAnsi="宋体"/>
          <w:color w:val="auto"/>
          <w:szCs w:val="24"/>
          <w:highlight w:val="none"/>
        </w:rPr>
      </w:pPr>
      <w:r>
        <w:rPr>
          <w:rFonts w:hint="eastAsia" w:ascii="宋体" w:hAnsi="宋体"/>
          <w:color w:val="auto"/>
          <w:szCs w:val="24"/>
          <w:highlight w:val="none"/>
        </w:rPr>
        <w:t>废标后，采购代理机构应在《四川政府采购网》上公告，并公告废标的情形。</w:t>
      </w:r>
    </w:p>
    <w:p>
      <w:pPr>
        <w:pStyle w:val="5"/>
        <w:ind w:firstLine="492"/>
        <w:rPr>
          <w:b w:val="0"/>
          <w:bCs w:val="0"/>
          <w:color w:val="auto"/>
          <w:szCs w:val="24"/>
          <w:highlight w:val="none"/>
        </w:rPr>
      </w:pPr>
      <w:bookmarkStart w:id="372" w:name="_Toc7624"/>
      <w:r>
        <w:rPr>
          <w:rFonts w:hint="eastAsia"/>
          <w:b w:val="0"/>
          <w:bCs w:val="0"/>
          <w:color w:val="auto"/>
          <w:szCs w:val="24"/>
          <w:highlight w:val="none"/>
        </w:rPr>
        <w:t>对于评标过程中废标的采购项目，评标委员会应当对招标文件是否存在倾向性和歧视性、是否存在不合理条款进行论证，并出具书面论证意见。</w:t>
      </w:r>
      <w:bookmarkEnd w:id="372"/>
    </w:p>
    <w:p>
      <w:pPr>
        <w:pStyle w:val="4"/>
        <w:rPr>
          <w:color w:val="auto"/>
          <w:highlight w:val="none"/>
        </w:rPr>
      </w:pPr>
      <w:bookmarkStart w:id="373" w:name="_Toc18413"/>
      <w:bookmarkStart w:id="374" w:name="_Toc315871727"/>
      <w:bookmarkStart w:id="375" w:name="_Toc4584"/>
      <w:bookmarkStart w:id="376" w:name="_Toc5494"/>
      <w:bookmarkStart w:id="377" w:name="_Toc30388"/>
      <w:bookmarkStart w:id="378" w:name="_Toc316292259"/>
      <w:r>
        <w:rPr>
          <w:rFonts w:hint="eastAsia"/>
          <w:color w:val="auto"/>
          <w:highlight w:val="none"/>
        </w:rPr>
        <w:t>定标</w:t>
      </w:r>
      <w:bookmarkEnd w:id="370"/>
      <w:bookmarkEnd w:id="373"/>
      <w:bookmarkEnd w:id="374"/>
      <w:bookmarkEnd w:id="375"/>
      <w:bookmarkEnd w:id="376"/>
      <w:bookmarkEnd w:id="377"/>
      <w:bookmarkEnd w:id="378"/>
      <w:bookmarkStart w:id="379" w:name="_Toc217446061"/>
    </w:p>
    <w:p>
      <w:pPr>
        <w:pStyle w:val="5"/>
        <w:ind w:firstLine="494"/>
        <w:rPr>
          <w:color w:val="auto"/>
          <w:szCs w:val="24"/>
          <w:highlight w:val="none"/>
        </w:rPr>
      </w:pPr>
      <w:bookmarkStart w:id="380" w:name="_Toc316292260"/>
      <w:bookmarkStart w:id="381" w:name="_Toc18262"/>
      <w:bookmarkStart w:id="382" w:name="_Toc315871728"/>
      <w:r>
        <w:rPr>
          <w:rFonts w:hint="eastAsia"/>
          <w:color w:val="auto"/>
          <w:szCs w:val="24"/>
          <w:highlight w:val="none"/>
        </w:rPr>
        <w:t>定标原则</w:t>
      </w:r>
      <w:bookmarkEnd w:id="379"/>
      <w:bookmarkEnd w:id="380"/>
      <w:bookmarkEnd w:id="381"/>
      <w:bookmarkEnd w:id="382"/>
    </w:p>
    <w:p>
      <w:pPr>
        <w:ind w:firstLine="492"/>
        <w:rPr>
          <w:rFonts w:ascii="宋体" w:hAnsi="宋体"/>
          <w:color w:val="auto"/>
          <w:szCs w:val="24"/>
          <w:highlight w:val="none"/>
        </w:rPr>
      </w:pPr>
      <w:r>
        <w:rPr>
          <w:rFonts w:hint="eastAsia" w:ascii="宋体" w:hAnsi="宋体"/>
          <w:color w:val="auto"/>
          <w:szCs w:val="24"/>
          <w:highlight w:val="none"/>
        </w:rPr>
        <w:t>本项目根据评标委员会推荐的中标候选人名单，各包按顺序确定中标人。</w:t>
      </w:r>
    </w:p>
    <w:p>
      <w:pPr>
        <w:pStyle w:val="5"/>
        <w:ind w:firstLine="494"/>
        <w:rPr>
          <w:color w:val="auto"/>
          <w:szCs w:val="24"/>
          <w:highlight w:val="none"/>
        </w:rPr>
      </w:pPr>
      <w:bookmarkStart w:id="383" w:name="_Toc217446062"/>
      <w:bookmarkStart w:id="384" w:name="_Toc31914"/>
      <w:bookmarkStart w:id="385" w:name="_Toc315871729"/>
      <w:bookmarkStart w:id="386" w:name="_Toc316292261"/>
      <w:r>
        <w:rPr>
          <w:rFonts w:hint="eastAsia"/>
          <w:color w:val="auto"/>
          <w:szCs w:val="24"/>
          <w:highlight w:val="none"/>
        </w:rPr>
        <w:t>定标程序</w:t>
      </w:r>
      <w:bookmarkEnd w:id="383"/>
      <w:bookmarkEnd w:id="384"/>
      <w:bookmarkEnd w:id="385"/>
      <w:bookmarkEnd w:id="386"/>
    </w:p>
    <w:bookmarkEnd w:id="314"/>
    <w:p>
      <w:pPr>
        <w:ind w:firstLine="492"/>
        <w:rPr>
          <w:rFonts w:ascii="宋体" w:hAnsi="宋体"/>
          <w:color w:val="auto"/>
          <w:kern w:val="0"/>
          <w:szCs w:val="24"/>
          <w:highlight w:val="none"/>
        </w:rPr>
      </w:pPr>
      <w:bookmarkStart w:id="387" w:name="_Toc315871730"/>
      <w:bookmarkStart w:id="388" w:name="_Toc316292262"/>
      <w:r>
        <w:rPr>
          <w:rFonts w:hint="eastAsia" w:ascii="宋体" w:hAnsi="宋体"/>
          <w:color w:val="auto"/>
          <w:kern w:val="0"/>
          <w:szCs w:val="24"/>
          <w:highlight w:val="none"/>
        </w:rPr>
        <w:t>一、评审委员会根据评审情况写出书面报告，推荐中标候选供应商。</w:t>
      </w:r>
    </w:p>
    <w:p>
      <w:pPr>
        <w:ind w:firstLine="492"/>
        <w:rPr>
          <w:rFonts w:ascii="宋体" w:hAnsi="宋体"/>
          <w:color w:val="auto"/>
          <w:kern w:val="0"/>
          <w:szCs w:val="24"/>
          <w:highlight w:val="none"/>
        </w:rPr>
      </w:pPr>
      <w:r>
        <w:rPr>
          <w:rFonts w:hint="eastAsia" w:ascii="宋体" w:hAnsi="宋体"/>
          <w:color w:val="auto"/>
          <w:kern w:val="0"/>
          <w:szCs w:val="24"/>
          <w:highlight w:val="none"/>
        </w:rPr>
        <w:t>二、采购代理机构在评标结束后2个工作日内将评标报告送采购人。</w:t>
      </w:r>
    </w:p>
    <w:p>
      <w:pPr>
        <w:ind w:firstLine="492"/>
        <w:rPr>
          <w:rFonts w:ascii="宋体" w:hAnsi="宋体"/>
          <w:color w:val="auto"/>
          <w:kern w:val="0"/>
          <w:szCs w:val="24"/>
          <w:highlight w:val="none"/>
        </w:rPr>
      </w:pPr>
      <w:r>
        <w:rPr>
          <w:rFonts w:hint="eastAsia" w:ascii="宋体" w:hAnsi="宋体"/>
          <w:color w:val="auto"/>
          <w:kern w:val="0"/>
          <w:szCs w:val="24"/>
          <w:highlight w:val="none"/>
        </w:rPr>
        <w:t>三、采购人在收到评审报告后5个工作日内，按照评审报告中推荐的中标候选人顺序确定中标人。如果中标候选人及其现任法定代表人、主要负责人存在行贿犯罪记录，采购人不确定其为中标人。</w:t>
      </w:r>
    </w:p>
    <w:p>
      <w:pPr>
        <w:pStyle w:val="2"/>
        <w:spacing w:line="360" w:lineRule="auto"/>
        <w:ind w:firstLine="494"/>
        <w:rPr>
          <w:rFonts w:ascii="宋体" w:hAnsi="宋体" w:cs="宋体"/>
          <w:b/>
          <w:color w:val="auto"/>
          <w:szCs w:val="24"/>
          <w:highlight w:val="none"/>
        </w:rPr>
      </w:pPr>
      <w:r>
        <w:rPr>
          <w:rFonts w:hint="eastAsia" w:ascii="宋体" w:hAnsi="宋体" w:cs="宋体"/>
          <w:b/>
          <w:color w:val="auto"/>
          <w:szCs w:val="24"/>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ind w:firstLine="492"/>
        <w:rPr>
          <w:rFonts w:ascii="宋体" w:hAnsi="宋体"/>
          <w:color w:val="auto"/>
          <w:kern w:val="0"/>
          <w:szCs w:val="24"/>
          <w:highlight w:val="none"/>
        </w:rPr>
      </w:pPr>
      <w:r>
        <w:rPr>
          <w:rFonts w:hint="eastAsia" w:ascii="宋体" w:hAnsi="宋体"/>
          <w:color w:val="auto"/>
          <w:kern w:val="0"/>
          <w:szCs w:val="24"/>
          <w:highlight w:val="none"/>
        </w:rPr>
        <w:t>四、根据采购人确定的中标供应商，采购代理机构自采购人确定中标之日起2个工作日内在《四川政府采购网》上发布中标公告，同时向中标供应商发出中标通知书。</w:t>
      </w:r>
    </w:p>
    <w:p>
      <w:pPr>
        <w:ind w:firstLine="492"/>
        <w:rPr>
          <w:rFonts w:ascii="宋体" w:hAnsi="宋体"/>
          <w:color w:val="auto"/>
          <w:kern w:val="0"/>
          <w:szCs w:val="24"/>
          <w:highlight w:val="none"/>
        </w:rPr>
      </w:pPr>
      <w:r>
        <w:rPr>
          <w:rFonts w:hint="eastAsia" w:ascii="宋体" w:hAnsi="宋体"/>
          <w:color w:val="auto"/>
          <w:kern w:val="0"/>
          <w:szCs w:val="24"/>
          <w:highlight w:val="none"/>
        </w:rPr>
        <w:t>五、招标采购单位不退回投标文件和其他投标资料。</w:t>
      </w:r>
    </w:p>
    <w:p>
      <w:pPr>
        <w:pStyle w:val="4"/>
        <w:rPr>
          <w:color w:val="auto"/>
          <w:highlight w:val="none"/>
        </w:rPr>
      </w:pPr>
      <w:bookmarkStart w:id="389" w:name="_Toc696"/>
      <w:bookmarkStart w:id="390" w:name="_Toc27727"/>
      <w:bookmarkStart w:id="391" w:name="_Toc31430"/>
      <w:bookmarkStart w:id="392" w:name="_Toc355"/>
      <w:r>
        <w:rPr>
          <w:rFonts w:hint="eastAsia"/>
          <w:color w:val="auto"/>
          <w:highlight w:val="none"/>
        </w:rPr>
        <w:t>评标专家在政府采购活动中承担以下义务</w:t>
      </w:r>
      <w:bookmarkEnd w:id="387"/>
      <w:bookmarkEnd w:id="388"/>
      <w:bookmarkEnd w:id="389"/>
      <w:bookmarkEnd w:id="390"/>
      <w:bookmarkEnd w:id="391"/>
      <w:bookmarkEnd w:id="392"/>
    </w:p>
    <w:p>
      <w:pPr>
        <w:numPr>
          <w:ilvl w:val="0"/>
          <w:numId w:val="61"/>
        </w:numPr>
        <w:ind w:firstLineChars="0"/>
        <w:rPr>
          <w:rFonts w:ascii="宋体"/>
          <w:color w:val="auto"/>
          <w:highlight w:val="none"/>
        </w:rPr>
      </w:pPr>
      <w:bookmarkStart w:id="393" w:name="_Toc315871731"/>
      <w:bookmarkStart w:id="394" w:name="_Toc4999"/>
      <w:bookmarkStart w:id="395" w:name="_Toc26972"/>
      <w:bookmarkStart w:id="396" w:name="_Toc316292263"/>
      <w:r>
        <w:rPr>
          <w:rFonts w:hint="eastAsia" w:ascii="宋体"/>
          <w:color w:val="auto"/>
          <w:highlight w:val="none"/>
        </w:rPr>
        <w:t xml:space="preserve">遵守评审工作纪律； </w:t>
      </w:r>
    </w:p>
    <w:p>
      <w:pPr>
        <w:numPr>
          <w:ilvl w:val="0"/>
          <w:numId w:val="61"/>
        </w:numPr>
        <w:ind w:firstLineChars="0"/>
        <w:rPr>
          <w:rFonts w:ascii="宋体"/>
          <w:color w:val="auto"/>
          <w:highlight w:val="none"/>
        </w:rPr>
      </w:pPr>
      <w:r>
        <w:rPr>
          <w:rFonts w:hint="eastAsia" w:ascii="宋体"/>
          <w:color w:val="auto"/>
          <w:highlight w:val="none"/>
        </w:rPr>
        <w:t>按照客观、公正、审慎的原则，根据采购文件规定的评审程序、评审方法和评审标准进行独立评审；</w:t>
      </w:r>
    </w:p>
    <w:p>
      <w:pPr>
        <w:numPr>
          <w:ilvl w:val="0"/>
          <w:numId w:val="61"/>
        </w:numPr>
        <w:ind w:firstLineChars="0"/>
        <w:rPr>
          <w:rFonts w:ascii="宋体"/>
          <w:color w:val="auto"/>
          <w:highlight w:val="none"/>
        </w:rPr>
      </w:pPr>
      <w:r>
        <w:rPr>
          <w:rFonts w:hint="eastAsia" w:ascii="宋体"/>
          <w:color w:val="auto"/>
          <w:highlight w:val="none"/>
        </w:rPr>
        <w:t>不得泄露评审文件、评审情况和在评审过程中获悉的商业秘密；</w:t>
      </w:r>
    </w:p>
    <w:p>
      <w:pPr>
        <w:numPr>
          <w:ilvl w:val="0"/>
          <w:numId w:val="61"/>
        </w:numPr>
        <w:ind w:firstLineChars="0"/>
        <w:rPr>
          <w:rFonts w:ascii="宋体"/>
          <w:color w:val="auto"/>
          <w:highlight w:val="none"/>
        </w:rPr>
      </w:pPr>
      <w:r>
        <w:rPr>
          <w:rFonts w:hint="eastAsia" w:ascii="宋体"/>
          <w:color w:val="auto"/>
          <w:highlight w:val="none"/>
        </w:rPr>
        <w:t>及时向监督部门报告评审过程中采购组织单位向评审专家做倾向性、误导性的解释或者说明，供应商行贿、提供虚假材料或者串通、受到的非法干预情况等违法违规行为；</w:t>
      </w:r>
    </w:p>
    <w:p>
      <w:pPr>
        <w:numPr>
          <w:ilvl w:val="0"/>
          <w:numId w:val="61"/>
        </w:numPr>
        <w:ind w:firstLineChars="0"/>
        <w:rPr>
          <w:rFonts w:ascii="宋体"/>
          <w:color w:val="auto"/>
          <w:highlight w:val="none"/>
        </w:rPr>
      </w:pPr>
      <w:r>
        <w:rPr>
          <w:rFonts w:hint="eastAsia" w:ascii="宋体"/>
          <w:color w:val="auto"/>
          <w:highlight w:val="none"/>
        </w:rPr>
        <w:t>发现采购文件内容违反国家有关强制性规定或者存在歧义、重大缺陷导致评审工作无法进行时，停止评审并向采购组织单位书面说明情况；</w:t>
      </w:r>
    </w:p>
    <w:p>
      <w:pPr>
        <w:numPr>
          <w:ilvl w:val="0"/>
          <w:numId w:val="61"/>
        </w:numPr>
        <w:ind w:firstLineChars="0"/>
        <w:rPr>
          <w:rFonts w:ascii="宋体"/>
          <w:color w:val="auto"/>
          <w:highlight w:val="none"/>
        </w:rPr>
      </w:pPr>
      <w:r>
        <w:rPr>
          <w:rFonts w:hint="eastAsia" w:ascii="宋体"/>
          <w:color w:val="auto"/>
          <w:highlight w:val="none"/>
        </w:rPr>
        <w:t>配合答复处理供应商的询问、质疑和投诉等事项；</w:t>
      </w:r>
    </w:p>
    <w:p>
      <w:pPr>
        <w:numPr>
          <w:ilvl w:val="0"/>
          <w:numId w:val="61"/>
        </w:numPr>
        <w:ind w:firstLineChars="0"/>
        <w:rPr>
          <w:rFonts w:ascii="宋体"/>
          <w:color w:val="auto"/>
          <w:highlight w:val="none"/>
        </w:rPr>
      </w:pPr>
      <w:r>
        <w:rPr>
          <w:rFonts w:hint="eastAsia" w:ascii="宋体"/>
          <w:color w:val="auto"/>
          <w:highlight w:val="none"/>
        </w:rPr>
        <w:t>法律、法规和规章规定的其他义务。</w:t>
      </w:r>
    </w:p>
    <w:p>
      <w:pPr>
        <w:pStyle w:val="4"/>
        <w:rPr>
          <w:color w:val="auto"/>
          <w:highlight w:val="none"/>
        </w:rPr>
      </w:pPr>
      <w:bookmarkStart w:id="397" w:name="_Toc23186"/>
      <w:bookmarkStart w:id="398" w:name="_Toc15759"/>
      <w:r>
        <w:rPr>
          <w:rFonts w:hint="eastAsia"/>
          <w:color w:val="auto"/>
          <w:highlight w:val="none"/>
        </w:rPr>
        <w:t>评审专家在政府采购活动中应当遵守以下工作纪律</w:t>
      </w:r>
      <w:bookmarkEnd w:id="393"/>
      <w:bookmarkEnd w:id="394"/>
      <w:bookmarkEnd w:id="395"/>
      <w:bookmarkEnd w:id="396"/>
      <w:bookmarkEnd w:id="397"/>
      <w:bookmarkEnd w:id="398"/>
    </w:p>
    <w:p>
      <w:pPr>
        <w:numPr>
          <w:ilvl w:val="0"/>
          <w:numId w:val="62"/>
        </w:numPr>
        <w:tabs>
          <w:tab w:val="left" w:pos="1155"/>
        </w:tabs>
        <w:ind w:firstLine="492"/>
        <w:rPr>
          <w:rFonts w:ascii="宋体" w:hAnsi="宋体"/>
          <w:color w:val="auto"/>
          <w:szCs w:val="24"/>
          <w:highlight w:val="none"/>
        </w:rPr>
      </w:pPr>
      <w:r>
        <w:rPr>
          <w:rFonts w:hint="eastAsia" w:ascii="宋体" w:hAnsi="宋体"/>
          <w:color w:val="auto"/>
          <w:szCs w:val="24"/>
          <w:highlight w:val="none"/>
        </w:rPr>
        <w:t>遵行《政府采购法》第十二条和《政府采购法实施条例》第九条及财政部关于回避的规定。</w:t>
      </w:r>
    </w:p>
    <w:p>
      <w:pPr>
        <w:numPr>
          <w:ilvl w:val="0"/>
          <w:numId w:val="62"/>
        </w:numPr>
        <w:tabs>
          <w:tab w:val="left" w:pos="1155"/>
        </w:tabs>
        <w:ind w:firstLine="492"/>
        <w:rPr>
          <w:rFonts w:ascii="宋体" w:hAnsi="宋体"/>
          <w:color w:val="auto"/>
          <w:szCs w:val="24"/>
          <w:highlight w:val="none"/>
        </w:rPr>
      </w:pPr>
      <w:r>
        <w:rPr>
          <w:rFonts w:hint="eastAsia" w:ascii="宋体" w:hAnsi="宋体"/>
          <w:color w:val="auto"/>
          <w:szCs w:val="24"/>
          <w:highlight w:val="none"/>
        </w:rPr>
        <w:t>评标前，应当将通讯工具或者相关电子设备交由招标采购单位统一保管。</w:t>
      </w:r>
    </w:p>
    <w:p>
      <w:pPr>
        <w:numPr>
          <w:ilvl w:val="0"/>
          <w:numId w:val="62"/>
        </w:numPr>
        <w:tabs>
          <w:tab w:val="left" w:pos="1155"/>
        </w:tabs>
        <w:ind w:firstLine="492"/>
        <w:rPr>
          <w:rFonts w:ascii="宋体" w:hAnsi="宋体"/>
          <w:color w:val="auto"/>
          <w:szCs w:val="24"/>
          <w:highlight w:val="none"/>
        </w:rPr>
      </w:pPr>
      <w:r>
        <w:rPr>
          <w:rFonts w:hint="eastAsia" w:ascii="宋体" w:hAnsi="宋体"/>
          <w:color w:val="auto"/>
          <w:szCs w:val="24"/>
          <w:highlight w:val="none"/>
        </w:rPr>
        <w:t>评标过程中，不得与外界联系，因发生不可预见情况，确实需要与外界联系的，应当在监督人员监督之下办理。</w:t>
      </w:r>
    </w:p>
    <w:p>
      <w:pPr>
        <w:numPr>
          <w:ilvl w:val="0"/>
          <w:numId w:val="62"/>
        </w:numPr>
        <w:tabs>
          <w:tab w:val="left" w:pos="1155"/>
        </w:tabs>
        <w:ind w:firstLine="492"/>
        <w:rPr>
          <w:rFonts w:ascii="宋体" w:hAnsi="宋体"/>
          <w:color w:val="auto"/>
          <w:szCs w:val="24"/>
          <w:highlight w:val="none"/>
        </w:rPr>
      </w:pPr>
      <w:r>
        <w:rPr>
          <w:rFonts w:hint="eastAsia" w:ascii="宋体" w:hAnsi="宋体"/>
          <w:color w:val="auto"/>
          <w:szCs w:val="24"/>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numPr>
          <w:ilvl w:val="0"/>
          <w:numId w:val="62"/>
        </w:numPr>
        <w:tabs>
          <w:tab w:val="left" w:pos="1155"/>
        </w:tabs>
        <w:ind w:firstLine="492"/>
        <w:rPr>
          <w:rFonts w:ascii="宋体" w:hAnsi="宋体"/>
          <w:color w:val="auto"/>
          <w:szCs w:val="24"/>
          <w:highlight w:val="none"/>
        </w:rPr>
      </w:pPr>
      <w:r>
        <w:rPr>
          <w:rFonts w:hint="eastAsia" w:ascii="宋体" w:hAnsi="宋体"/>
          <w:color w:val="auto"/>
          <w:szCs w:val="24"/>
          <w:highlight w:val="none"/>
        </w:rPr>
        <w:t>在评标过程中和评标结束后，不得记录、复制或带走任何评标资料，除因规定的义务外，不得向外界透露评标内容。</w:t>
      </w:r>
    </w:p>
    <w:p>
      <w:pPr>
        <w:numPr>
          <w:ilvl w:val="0"/>
          <w:numId w:val="62"/>
        </w:numPr>
        <w:tabs>
          <w:tab w:val="left" w:pos="1155"/>
        </w:tabs>
        <w:ind w:firstLine="492"/>
        <w:rPr>
          <w:rFonts w:ascii="宋体" w:hAnsi="宋体"/>
          <w:color w:val="auto"/>
          <w:szCs w:val="24"/>
          <w:highlight w:val="none"/>
        </w:rPr>
      </w:pPr>
      <w:r>
        <w:rPr>
          <w:rFonts w:hint="eastAsia" w:ascii="宋体" w:hAnsi="宋体"/>
          <w:color w:val="auto"/>
          <w:szCs w:val="24"/>
          <w:highlight w:val="none"/>
        </w:rPr>
        <w:t>服从评标现场招标采购单位的现场秩序管理，接受评标现场监督人员的合法监督。</w:t>
      </w:r>
    </w:p>
    <w:p>
      <w:pPr>
        <w:numPr>
          <w:ilvl w:val="0"/>
          <w:numId w:val="62"/>
        </w:numPr>
        <w:tabs>
          <w:tab w:val="left" w:pos="1155"/>
        </w:tabs>
        <w:ind w:firstLine="492"/>
        <w:rPr>
          <w:rFonts w:ascii="宋体" w:hAnsi="宋体"/>
          <w:color w:val="auto"/>
          <w:szCs w:val="24"/>
          <w:highlight w:val="none"/>
        </w:rPr>
      </w:pPr>
      <w:r>
        <w:rPr>
          <w:rFonts w:hint="eastAsia" w:ascii="宋体" w:hAnsi="宋体"/>
          <w:color w:val="auto"/>
          <w:szCs w:val="24"/>
          <w:highlight w:val="none"/>
        </w:rPr>
        <w:t>遵守有关廉洁自律规定，不得私下接触供应商，不得收受供应商及有关业务单位和个人的财物或好处，不得接受采购组织单位的请托。</w:t>
      </w:r>
    </w:p>
    <w:p>
      <w:pPr>
        <w:numPr>
          <w:ilvl w:val="0"/>
          <w:numId w:val="62"/>
        </w:numPr>
        <w:tabs>
          <w:tab w:val="left" w:pos="1155"/>
        </w:tabs>
        <w:ind w:firstLine="492"/>
        <w:rPr>
          <w:rFonts w:ascii="宋体" w:hAnsi="宋体"/>
          <w:color w:val="auto"/>
          <w:sz w:val="28"/>
          <w:szCs w:val="28"/>
          <w:highlight w:val="none"/>
        </w:rPr>
      </w:pPr>
      <w:r>
        <w:rPr>
          <w:rFonts w:hint="eastAsia" w:ascii="宋体" w:hAnsi="宋体"/>
          <w:color w:val="auto"/>
          <w:szCs w:val="24"/>
          <w:highlight w:val="none"/>
        </w:rPr>
        <w:t>遵守有关部门（机构）制定的其他评审工作纪律。</w:t>
      </w:r>
    </w:p>
    <w:p>
      <w:pPr>
        <w:pStyle w:val="3"/>
        <w:rPr>
          <w:color w:val="auto"/>
          <w:highlight w:val="none"/>
        </w:rPr>
      </w:pPr>
      <w:bookmarkStart w:id="399" w:name="_Toc26312"/>
      <w:bookmarkStart w:id="400" w:name="_Toc22856"/>
      <w:r>
        <w:rPr>
          <w:rFonts w:hint="eastAsia"/>
          <w:color w:val="auto"/>
          <w:highlight w:val="none"/>
        </w:rPr>
        <w:br w:type="page"/>
      </w:r>
      <w:bookmarkStart w:id="401" w:name="_Toc6089"/>
      <w:bookmarkStart w:id="402" w:name="_Toc20947"/>
      <w:r>
        <w:rPr>
          <w:rFonts w:hint="eastAsia"/>
          <w:color w:val="auto"/>
          <w:highlight w:val="none"/>
        </w:rPr>
        <w:t>政府采购合同</w:t>
      </w:r>
      <w:bookmarkEnd w:id="401"/>
      <w:bookmarkEnd w:id="402"/>
    </w:p>
    <w:p>
      <w:pPr>
        <w:ind w:firstLine="492"/>
        <w:rPr>
          <w:rFonts w:hint="eastAsia"/>
          <w:color w:val="auto"/>
          <w:highlight w:val="none"/>
        </w:rPr>
      </w:pPr>
      <w:r>
        <w:rPr>
          <w:rFonts w:hint="eastAsia"/>
          <w:color w:val="auto"/>
          <w:highlight w:val="none"/>
        </w:rPr>
        <w:t>（仅供参考，特别提醒：采购合同的签订不得偏离招标文件要约及投标文件承诺的实质性内容）</w:t>
      </w:r>
    </w:p>
    <w:p>
      <w:pPr>
        <w:spacing w:line="440" w:lineRule="exact"/>
        <w:ind w:firstLine="504"/>
        <w:rPr>
          <w:rFonts w:ascii="宋体" w:hAnsi="宋体"/>
          <w:color w:val="auto"/>
          <w:highlight w:val="none"/>
        </w:rPr>
      </w:pPr>
      <w:r>
        <w:rPr>
          <w:rFonts w:hint="eastAsia" w:ascii="宋体" w:hAnsi="宋体"/>
          <w:color w:val="auto"/>
          <w:highlight w:val="none"/>
        </w:rPr>
        <w:t>政府采购</w:t>
      </w:r>
      <w:r>
        <w:rPr>
          <w:rFonts w:ascii="宋体" w:hAnsi="宋体"/>
          <w:color w:val="auto"/>
          <w:highlight w:val="none"/>
        </w:rPr>
        <w:t>合同编号：</w:t>
      </w:r>
      <w:r>
        <w:rPr>
          <w:rFonts w:hint="eastAsia" w:ascii="宋体" w:hAnsi="宋体"/>
          <w:color w:val="auto"/>
          <w:szCs w:val="21"/>
          <w:highlight w:val="none"/>
        </w:rPr>
        <w:t>XXXX。</w:t>
      </w:r>
    </w:p>
    <w:p>
      <w:pPr>
        <w:spacing w:line="440" w:lineRule="exact"/>
        <w:ind w:firstLine="504"/>
        <w:rPr>
          <w:rFonts w:ascii="宋体" w:hAnsi="宋体"/>
          <w:color w:val="auto"/>
          <w:highlight w:val="none"/>
        </w:rPr>
      </w:pPr>
      <w:r>
        <w:rPr>
          <w:rFonts w:ascii="宋体" w:hAnsi="宋体"/>
          <w:color w:val="auto"/>
          <w:highlight w:val="none"/>
        </w:rPr>
        <w:t>签订地点：</w:t>
      </w:r>
      <w:r>
        <w:rPr>
          <w:rFonts w:hint="eastAsia" w:ascii="宋体" w:hAnsi="宋体"/>
          <w:color w:val="auto"/>
          <w:szCs w:val="21"/>
          <w:highlight w:val="none"/>
        </w:rPr>
        <w:t>XXXX。</w:t>
      </w:r>
    </w:p>
    <w:p>
      <w:pPr>
        <w:spacing w:line="440" w:lineRule="exact"/>
        <w:ind w:firstLine="504"/>
        <w:rPr>
          <w:rFonts w:ascii="宋体" w:hAnsi="宋体"/>
          <w:color w:val="auto"/>
          <w:highlight w:val="none"/>
        </w:rPr>
      </w:pPr>
      <w:r>
        <w:rPr>
          <w:rFonts w:ascii="宋体" w:hAnsi="宋体"/>
          <w:color w:val="auto"/>
          <w:highlight w:val="none"/>
        </w:rPr>
        <w:t>签订时间：</w:t>
      </w:r>
      <w:r>
        <w:rPr>
          <w:rFonts w:hint="eastAsia" w:ascii="宋体" w:hAnsi="宋体"/>
          <w:color w:val="auto"/>
          <w:szCs w:val="21"/>
          <w:highlight w:val="none"/>
        </w:rPr>
        <w:t>XXXX</w:t>
      </w:r>
      <w:r>
        <w:rPr>
          <w:rFonts w:ascii="宋体" w:hAnsi="宋体"/>
          <w:color w:val="auto"/>
          <w:highlight w:val="none"/>
        </w:rPr>
        <w:t>年</w:t>
      </w:r>
      <w:r>
        <w:rPr>
          <w:rFonts w:hint="eastAsia" w:ascii="宋体" w:hAnsi="宋体"/>
          <w:color w:val="auto"/>
          <w:szCs w:val="21"/>
          <w:highlight w:val="none"/>
        </w:rPr>
        <w:t>XX</w:t>
      </w:r>
      <w:r>
        <w:rPr>
          <w:rFonts w:ascii="宋体" w:hAnsi="宋体"/>
          <w:color w:val="auto"/>
          <w:highlight w:val="none"/>
        </w:rPr>
        <w:t>月</w:t>
      </w:r>
      <w:r>
        <w:rPr>
          <w:rFonts w:hint="eastAsia" w:ascii="宋体" w:hAnsi="宋体"/>
          <w:color w:val="auto"/>
          <w:szCs w:val="21"/>
          <w:highlight w:val="none"/>
        </w:rPr>
        <w:t>XX</w:t>
      </w:r>
      <w:r>
        <w:rPr>
          <w:rFonts w:ascii="宋体" w:hAnsi="宋体"/>
          <w:color w:val="auto"/>
          <w:highlight w:val="none"/>
        </w:rPr>
        <w:t>日</w:t>
      </w:r>
      <w:r>
        <w:rPr>
          <w:rFonts w:hint="eastAsia" w:ascii="宋体" w:hAnsi="宋体"/>
          <w:color w:val="auto"/>
          <w:highlight w:val="none"/>
        </w:rPr>
        <w:t>。</w:t>
      </w:r>
    </w:p>
    <w:p>
      <w:pPr>
        <w:spacing w:line="440" w:lineRule="exact"/>
        <w:ind w:firstLine="504"/>
        <w:rPr>
          <w:rFonts w:ascii="宋体" w:hAnsi="宋体"/>
          <w:color w:val="auto"/>
          <w:highlight w:val="none"/>
        </w:rPr>
      </w:pPr>
      <w:r>
        <w:rPr>
          <w:rFonts w:hint="eastAsia" w:ascii="宋体" w:hAnsi="宋体"/>
          <w:color w:val="auto"/>
          <w:highlight w:val="none"/>
        </w:rPr>
        <w:t>采购人（</w:t>
      </w:r>
      <w:r>
        <w:rPr>
          <w:rFonts w:ascii="宋体" w:hAnsi="宋体"/>
          <w:color w:val="auto"/>
          <w:highlight w:val="none"/>
        </w:rPr>
        <w:t>甲方</w:t>
      </w:r>
      <w:r>
        <w:rPr>
          <w:rFonts w:hint="eastAsia" w:ascii="宋体" w:hAnsi="宋体"/>
          <w:color w:val="auto"/>
          <w:highlight w:val="none"/>
        </w:rPr>
        <w:t>）</w:t>
      </w:r>
      <w:r>
        <w:rPr>
          <w:rFonts w:ascii="宋体" w:hAnsi="宋体"/>
          <w:color w:val="auto"/>
          <w:highlight w:val="none"/>
        </w:rPr>
        <w:t>：</w:t>
      </w:r>
      <w:r>
        <w:rPr>
          <w:rFonts w:ascii="宋体" w:hAnsi="宋体"/>
          <w:color w:val="auto"/>
          <w:highlight w:val="none"/>
          <w:u w:val="single"/>
        </w:rPr>
        <w:t xml:space="preserve">                              </w:t>
      </w:r>
    </w:p>
    <w:p>
      <w:pPr>
        <w:spacing w:line="440" w:lineRule="exact"/>
        <w:ind w:firstLine="504"/>
        <w:rPr>
          <w:rFonts w:ascii="宋体" w:hAnsi="宋体"/>
          <w:color w:val="auto"/>
          <w:highlight w:val="none"/>
          <w:u w:val="single"/>
        </w:rPr>
      </w:pPr>
      <w:r>
        <w:rPr>
          <w:rFonts w:hint="eastAsia" w:ascii="宋体" w:hAnsi="宋体"/>
          <w:color w:val="auto"/>
          <w:highlight w:val="none"/>
        </w:rPr>
        <w:t>供应商（乙</w:t>
      </w:r>
      <w:r>
        <w:rPr>
          <w:rFonts w:ascii="宋体" w:hAnsi="宋体"/>
          <w:color w:val="auto"/>
          <w:highlight w:val="none"/>
        </w:rPr>
        <w:t>方</w:t>
      </w:r>
      <w:r>
        <w:rPr>
          <w:rFonts w:hint="eastAsia" w:ascii="宋体" w:hAnsi="宋体"/>
          <w:color w:val="auto"/>
          <w:highlight w:val="none"/>
        </w:rPr>
        <w:t>）</w:t>
      </w:r>
      <w:r>
        <w:rPr>
          <w:rFonts w:ascii="宋体" w:hAnsi="宋体"/>
          <w:color w:val="auto"/>
          <w:highlight w:val="none"/>
        </w:rPr>
        <w:t>：</w:t>
      </w:r>
      <w:r>
        <w:rPr>
          <w:rFonts w:ascii="宋体" w:hAnsi="宋体"/>
          <w:color w:val="auto"/>
          <w:highlight w:val="none"/>
          <w:u w:val="single"/>
        </w:rPr>
        <w:t xml:space="preserve">                              </w:t>
      </w:r>
    </w:p>
    <w:p>
      <w:pPr>
        <w:spacing w:line="440" w:lineRule="exact"/>
        <w:ind w:firstLine="504"/>
        <w:rPr>
          <w:rFonts w:ascii="宋体" w:hAnsi="宋体"/>
          <w:color w:val="auto"/>
          <w:highlight w:val="none"/>
        </w:rPr>
      </w:pPr>
    </w:p>
    <w:p>
      <w:pPr>
        <w:spacing w:line="440" w:lineRule="exact"/>
        <w:ind w:firstLine="504"/>
        <w:rPr>
          <w:rFonts w:ascii="宋体" w:hAnsi="宋体"/>
          <w:color w:val="auto"/>
          <w:highlight w:val="none"/>
        </w:rPr>
      </w:pPr>
      <w:r>
        <w:rPr>
          <w:rFonts w:ascii="宋体" w:hAnsi="宋体"/>
          <w:color w:val="auto"/>
          <w:highlight w:val="none"/>
        </w:rPr>
        <w:t>依据《中华人民共和国</w:t>
      </w:r>
      <w:r>
        <w:rPr>
          <w:rFonts w:hint="eastAsia" w:ascii="宋体" w:hAnsi="宋体"/>
          <w:color w:val="auto"/>
          <w:highlight w:val="none"/>
        </w:rPr>
        <w:t>民法典</w:t>
      </w:r>
      <w:r>
        <w:rPr>
          <w:rFonts w:ascii="宋体" w:hAnsi="宋体"/>
          <w:color w:val="auto"/>
          <w:highlight w:val="none"/>
        </w:rPr>
        <w:t>》、《中华人民共和国政府采购法》</w:t>
      </w:r>
      <w:r>
        <w:rPr>
          <w:rFonts w:hint="eastAsia" w:ascii="宋体" w:hAnsi="宋体"/>
          <w:color w:val="auto"/>
          <w:highlight w:val="none"/>
        </w:rPr>
        <w:t>与项目行业有关的法律法规，以及xx采购项目  （项目编号：</w:t>
      </w:r>
      <w:r>
        <w:rPr>
          <w:rFonts w:hint="eastAsia" w:ascii="宋体" w:hAnsi="宋体"/>
          <w:color w:val="auto"/>
          <w:szCs w:val="21"/>
          <w:highlight w:val="none"/>
        </w:rPr>
        <w:t>XXXX</w:t>
      </w:r>
      <w:r>
        <w:rPr>
          <w:rFonts w:hint="eastAsia" w:ascii="宋体" w:hAnsi="宋体"/>
          <w:color w:val="auto"/>
          <w:highlight w:val="none"/>
        </w:rPr>
        <w:t>）</w:t>
      </w:r>
      <w:r>
        <w:rPr>
          <w:rFonts w:ascii="宋体" w:hAnsi="宋体"/>
          <w:color w:val="auto"/>
          <w:highlight w:val="none"/>
        </w:rPr>
        <w:t>的</w:t>
      </w:r>
      <w:r>
        <w:rPr>
          <w:rFonts w:hint="eastAsia" w:ascii="宋体" w:hAnsi="宋体"/>
          <w:color w:val="auto"/>
          <w:highlight w:val="none"/>
        </w:rPr>
        <w:t>《招标文件》</w:t>
      </w:r>
      <w:r>
        <w:rPr>
          <w:rFonts w:ascii="宋体" w:hAnsi="宋体"/>
          <w:color w:val="auto"/>
          <w:highlight w:val="none"/>
        </w:rPr>
        <w:t>，</w:t>
      </w:r>
      <w:r>
        <w:rPr>
          <w:rFonts w:hint="eastAsia" w:ascii="宋体" w:hAnsi="宋体"/>
          <w:color w:val="auto"/>
          <w:highlight w:val="none"/>
        </w:rPr>
        <w:t>乙方的《投标文件》及《中标通知书》，甲、乙双方同意签订本合同。详细技术说明及其他有关合同项目的特定信息由合同附件予以说明，合同附件及本项目的《招标文件》、《投标文件》、《中标通知书》等均为本合同的组成部分。</w:t>
      </w:r>
      <w:r>
        <w:rPr>
          <w:rFonts w:ascii="宋体" w:hAnsi="宋体"/>
          <w:color w:val="auto"/>
          <w:highlight w:val="none"/>
        </w:rPr>
        <w:t xml:space="preserve"> </w:t>
      </w: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项目基本情况</w:t>
      </w:r>
    </w:p>
    <w:p>
      <w:pPr>
        <w:pStyle w:val="52"/>
        <w:ind w:firstLine="506"/>
        <w:rPr>
          <w:color w:val="auto"/>
          <w:highlight w:val="none"/>
        </w:rPr>
      </w:pP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合同期限</w:t>
      </w:r>
    </w:p>
    <w:p>
      <w:pPr>
        <w:spacing w:line="440" w:lineRule="exact"/>
        <w:ind w:firstLine="504"/>
        <w:rPr>
          <w:rFonts w:ascii="宋体" w:hAnsi="宋体"/>
          <w:color w:val="auto"/>
          <w:highlight w:val="none"/>
        </w:rPr>
      </w:pPr>
    </w:p>
    <w:p>
      <w:pPr>
        <w:numPr>
          <w:ilvl w:val="0"/>
          <w:numId w:val="63"/>
        </w:numPr>
        <w:tabs>
          <w:tab w:val="left" w:pos="0"/>
          <w:tab w:val="clear" w:pos="1521"/>
        </w:tabs>
        <w:spacing w:line="440" w:lineRule="exact"/>
        <w:ind w:left="0" w:firstLine="0" w:firstLineChars="0"/>
        <w:rPr>
          <w:rFonts w:ascii="宋体" w:hAnsi="宋体"/>
          <w:b/>
          <w:color w:val="auto"/>
          <w:highlight w:val="none"/>
        </w:rPr>
      </w:pPr>
      <w:bookmarkStart w:id="403" w:name="_Toc239568418"/>
      <w:bookmarkStart w:id="404" w:name="_Toc225654644"/>
      <w:bookmarkStart w:id="405" w:name="_Toc251768862"/>
      <w:bookmarkStart w:id="406" w:name="_Toc225244852"/>
      <w:bookmarkStart w:id="407" w:name="_Toc283019214"/>
      <w:bookmarkStart w:id="408" w:name="_Toc241833903"/>
      <w:bookmarkStart w:id="409" w:name="_Toc225670751"/>
      <w:bookmarkStart w:id="410" w:name="_Toc212019594"/>
      <w:bookmarkStart w:id="411" w:name="_Toc237145406"/>
      <w:bookmarkStart w:id="412" w:name="_Toc185395249"/>
      <w:bookmarkStart w:id="413" w:name="_Toc239233914"/>
      <w:bookmarkStart w:id="414" w:name="_Toc247334841"/>
      <w:bookmarkStart w:id="415" w:name="_Toc211911348"/>
      <w:bookmarkStart w:id="416" w:name="_Toc238984975"/>
      <w:bookmarkStart w:id="417" w:name="_Toc282696226"/>
      <w:bookmarkStart w:id="418" w:name="_Toc286993786"/>
      <w:bookmarkStart w:id="419" w:name="_Toc211854449"/>
      <w:bookmarkStart w:id="420" w:name="_Toc232492928"/>
      <w:r>
        <w:rPr>
          <w:rFonts w:hint="eastAsia" w:ascii="宋体" w:hAnsi="宋体"/>
          <w:b/>
          <w:color w:val="auto"/>
          <w:highlight w:val="none"/>
        </w:rPr>
        <w:t>服务内容与质量标准</w:t>
      </w:r>
    </w:p>
    <w:p>
      <w:pPr>
        <w:spacing w:line="440" w:lineRule="exact"/>
        <w:ind w:left="567" w:firstLine="504"/>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XXXX；</w:t>
      </w:r>
    </w:p>
    <w:p>
      <w:pPr>
        <w:spacing w:line="440" w:lineRule="exact"/>
        <w:ind w:left="567" w:firstLine="504"/>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XXXX；</w:t>
      </w:r>
    </w:p>
    <w:p>
      <w:pPr>
        <w:spacing w:line="440" w:lineRule="exact"/>
        <w:ind w:left="567" w:firstLine="504"/>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XXXX．</w:t>
      </w:r>
    </w:p>
    <w:p>
      <w:pPr>
        <w:spacing w:line="440" w:lineRule="exact"/>
        <w:ind w:firstLine="504"/>
        <w:rPr>
          <w:rFonts w:ascii="宋体" w:hAnsi="宋体"/>
          <w:color w:val="auto"/>
          <w:highlight w:val="none"/>
        </w:rPr>
      </w:pPr>
      <w:r>
        <w:rPr>
          <w:rFonts w:ascii="宋体" w:hAnsi="宋体"/>
          <w:color w:val="auto"/>
          <w:highlight w:val="none"/>
        </w:rPr>
        <w:t>…</w:t>
      </w: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服务费用及支付方式</w:t>
      </w:r>
    </w:p>
    <w:p>
      <w:pPr>
        <w:numPr>
          <w:ilvl w:val="0"/>
          <w:numId w:val="64"/>
        </w:numPr>
        <w:spacing w:line="440" w:lineRule="exact"/>
        <w:ind w:left="0" w:firstLine="506"/>
        <w:rPr>
          <w:rFonts w:ascii="宋体" w:hAnsi="宋体"/>
          <w:b/>
          <w:color w:val="auto"/>
          <w:highlight w:val="none"/>
        </w:rPr>
      </w:pPr>
      <w:r>
        <w:rPr>
          <w:rFonts w:hint="eastAsia" w:ascii="宋体" w:hAnsi="宋体"/>
          <w:b/>
          <w:color w:val="auto"/>
          <w:highlight w:val="none"/>
        </w:rPr>
        <w:t>本项目服务费用由以下组成：</w:t>
      </w:r>
    </w:p>
    <w:p>
      <w:pPr>
        <w:spacing w:line="440" w:lineRule="exact"/>
        <w:ind w:firstLine="504"/>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XX</w:t>
      </w:r>
      <w:r>
        <w:rPr>
          <w:rFonts w:hint="eastAsia" w:ascii="宋体" w:hAnsi="宋体"/>
          <w:color w:val="auto"/>
          <w:highlight w:val="none"/>
        </w:rPr>
        <w:t>万元；</w:t>
      </w:r>
    </w:p>
    <w:p>
      <w:pPr>
        <w:spacing w:line="440" w:lineRule="exact"/>
        <w:ind w:firstLine="504"/>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XX</w:t>
      </w:r>
      <w:r>
        <w:rPr>
          <w:rFonts w:hint="eastAsia" w:ascii="宋体" w:hAnsi="宋体"/>
          <w:color w:val="auto"/>
          <w:highlight w:val="none"/>
        </w:rPr>
        <w:t>万元；</w:t>
      </w:r>
    </w:p>
    <w:p>
      <w:pPr>
        <w:spacing w:line="440" w:lineRule="exact"/>
        <w:ind w:firstLine="504"/>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XX</w:t>
      </w:r>
      <w:r>
        <w:rPr>
          <w:rFonts w:hint="eastAsia" w:ascii="宋体" w:hAnsi="宋体"/>
          <w:color w:val="auto"/>
          <w:highlight w:val="none"/>
        </w:rPr>
        <w:t>万元。</w:t>
      </w:r>
    </w:p>
    <w:p>
      <w:pPr>
        <w:spacing w:line="440" w:lineRule="exact"/>
        <w:ind w:firstLine="504"/>
        <w:rPr>
          <w:rFonts w:ascii="宋体" w:hAnsi="宋体"/>
          <w:color w:val="auto"/>
          <w:highlight w:val="none"/>
        </w:rPr>
      </w:pPr>
      <w:r>
        <w:rPr>
          <w:rFonts w:ascii="宋体" w:hAnsi="宋体"/>
          <w:color w:val="auto"/>
          <w:highlight w:val="none"/>
        </w:rPr>
        <w:t>……</w:t>
      </w:r>
    </w:p>
    <w:p>
      <w:pPr>
        <w:numPr>
          <w:ilvl w:val="0"/>
          <w:numId w:val="64"/>
        </w:numPr>
        <w:tabs>
          <w:tab w:val="left" w:pos="780"/>
        </w:tabs>
        <w:spacing w:line="440" w:lineRule="exact"/>
        <w:ind w:left="0" w:firstLine="506"/>
        <w:rPr>
          <w:rFonts w:ascii="宋体" w:hAnsi="宋体" w:cs="宋体"/>
          <w:color w:val="auto"/>
          <w:szCs w:val="24"/>
          <w:highlight w:val="none"/>
        </w:rPr>
      </w:pPr>
      <w:r>
        <w:rPr>
          <w:rFonts w:hint="eastAsia" w:ascii="宋体" w:hAnsi="宋体"/>
          <w:b/>
          <w:color w:val="auto"/>
          <w:highlight w:val="none"/>
        </w:rPr>
        <w:t xml:space="preserve">服务费支付方式： </w:t>
      </w:r>
      <w:r>
        <w:rPr>
          <w:rFonts w:hint="eastAsia" w:ascii="宋体" w:hAnsi="宋体" w:cs="宋体"/>
          <w:color w:val="auto"/>
          <w:szCs w:val="24"/>
          <w:highlight w:val="none"/>
        </w:rPr>
        <w:t>。</w:t>
      </w: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知识产权</w:t>
      </w:r>
    </w:p>
    <w:p>
      <w:pPr>
        <w:tabs>
          <w:tab w:val="left" w:pos="1440"/>
        </w:tabs>
        <w:spacing w:line="440" w:lineRule="exact"/>
        <w:ind w:firstLine="504"/>
        <w:rPr>
          <w:rFonts w:ascii="宋体" w:hAnsi="宋体"/>
          <w:color w:val="auto"/>
          <w:highlight w:val="none"/>
        </w:rPr>
      </w:pPr>
      <w:r>
        <w:rPr>
          <w:rFonts w:hint="eastAsia" w:ascii="宋体" w:hAnsi="宋体"/>
          <w:color w:val="auto"/>
          <w:highlight w:val="none"/>
        </w:rPr>
        <w:t>乙方应保证所提供的服务或其任何一部分均不会侵犯任何第三方的专利权、商标权或著作权。</w:t>
      </w: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无产权瑕疵条款</w:t>
      </w:r>
    </w:p>
    <w:p>
      <w:pPr>
        <w:tabs>
          <w:tab w:val="left" w:pos="1440"/>
        </w:tabs>
        <w:spacing w:line="440" w:lineRule="exact"/>
        <w:ind w:firstLine="504"/>
        <w:rPr>
          <w:rFonts w:ascii="宋体" w:hAnsi="宋体"/>
          <w:color w:val="auto"/>
          <w:highlight w:val="none"/>
        </w:rPr>
      </w:pPr>
      <w:r>
        <w:rPr>
          <w:rFonts w:hint="eastAsia" w:ascii="宋体" w:hAnsi="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ascii="宋体" w:hAnsi="宋体"/>
          <w:b/>
          <w:color w:val="auto"/>
          <w:highlight w:val="none"/>
        </w:rPr>
        <w:t>甲方的权利和义务</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甲方有权对合同规定范围内</w:t>
      </w:r>
      <w:r>
        <w:rPr>
          <w:rFonts w:hint="eastAsia" w:ascii="宋体" w:hAnsi="宋体"/>
          <w:bCs/>
          <w:color w:val="auto"/>
          <w:highlight w:val="none"/>
        </w:rPr>
        <w:t>乙方的服务行为</w:t>
      </w:r>
      <w:r>
        <w:rPr>
          <w:rFonts w:ascii="宋体" w:hAnsi="宋体"/>
          <w:bCs/>
          <w:color w:val="auto"/>
          <w:highlight w:val="none"/>
        </w:rPr>
        <w:t>进行监督和检查，拥有监管权。有权定期核对乙方提供服务所配备的人员数量。对甲方认为不合理的部分有权</w:t>
      </w:r>
      <w:r>
        <w:rPr>
          <w:rFonts w:hint="eastAsia" w:ascii="宋体" w:hAnsi="宋体"/>
          <w:bCs/>
          <w:color w:val="auto"/>
          <w:highlight w:val="none"/>
        </w:rPr>
        <w:t>下达整改通知书，并</w:t>
      </w:r>
      <w:r>
        <w:rPr>
          <w:rFonts w:ascii="宋体" w:hAnsi="宋体"/>
          <w:bCs/>
          <w:color w:val="auto"/>
          <w:highlight w:val="none"/>
        </w:rPr>
        <w:t>要求乙方</w:t>
      </w:r>
      <w:r>
        <w:rPr>
          <w:rFonts w:hint="eastAsia" w:ascii="宋体" w:hAnsi="宋体"/>
          <w:bCs/>
          <w:color w:val="auto"/>
          <w:highlight w:val="none"/>
        </w:rPr>
        <w:t>限期整改</w:t>
      </w:r>
      <w:r>
        <w:rPr>
          <w:rFonts w:ascii="宋体" w:hAnsi="宋体"/>
          <w:bCs/>
          <w:color w:val="auto"/>
          <w:highlight w:val="none"/>
        </w:rPr>
        <w:t>。</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负责检查监督乙方管理工作的实施及制度的执行情况。</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4、</w:t>
      </w:r>
      <w:r>
        <w:rPr>
          <w:rFonts w:ascii="宋体" w:hAnsi="宋体"/>
          <w:bCs/>
          <w:color w:val="auto"/>
          <w:highlight w:val="none"/>
        </w:rPr>
        <w:t>根据本合同规定，按时向乙方支付应付</w:t>
      </w:r>
      <w:r>
        <w:rPr>
          <w:rFonts w:hint="eastAsia" w:ascii="宋体" w:hAnsi="宋体"/>
          <w:bCs/>
          <w:color w:val="auto"/>
          <w:highlight w:val="none"/>
        </w:rPr>
        <w:t>服务费用</w:t>
      </w:r>
      <w:r>
        <w:rPr>
          <w:rFonts w:ascii="宋体" w:hAnsi="宋体"/>
          <w:bCs/>
          <w:color w:val="auto"/>
          <w:highlight w:val="none"/>
        </w:rPr>
        <w:t>。</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国家法律、法规所规定由甲方承担的其它责任。</w:t>
      </w: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ascii="宋体" w:hAnsi="宋体"/>
          <w:b/>
          <w:color w:val="auto"/>
          <w:highlight w:val="none"/>
        </w:rPr>
        <w:t>乙方的权利和义务</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对本合同规定的委托</w:t>
      </w:r>
      <w:r>
        <w:rPr>
          <w:rFonts w:hint="eastAsia" w:ascii="宋体" w:hAnsi="宋体"/>
          <w:bCs/>
          <w:color w:val="auto"/>
          <w:highlight w:val="none"/>
        </w:rPr>
        <w:t>服务</w:t>
      </w:r>
      <w:r>
        <w:rPr>
          <w:rFonts w:ascii="宋体" w:hAnsi="宋体"/>
          <w:bCs/>
          <w:color w:val="auto"/>
          <w:highlight w:val="none"/>
        </w:rPr>
        <w:t>范围内的</w:t>
      </w:r>
      <w:r>
        <w:rPr>
          <w:rFonts w:hint="eastAsia" w:ascii="宋体" w:hAnsi="宋体"/>
          <w:bCs/>
          <w:color w:val="auto"/>
          <w:highlight w:val="none"/>
        </w:rPr>
        <w:t>项目</w:t>
      </w:r>
      <w:r>
        <w:rPr>
          <w:rFonts w:ascii="宋体" w:hAnsi="宋体"/>
          <w:bCs/>
          <w:color w:val="auto"/>
          <w:highlight w:val="none"/>
        </w:rPr>
        <w:t>享有管理权及服务义务。</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根据本合同的规定向甲方收取相关</w:t>
      </w:r>
      <w:r>
        <w:rPr>
          <w:rFonts w:hint="eastAsia" w:ascii="宋体" w:hAnsi="宋体"/>
          <w:bCs/>
          <w:color w:val="auto"/>
          <w:highlight w:val="none"/>
        </w:rPr>
        <w:t>服务</w:t>
      </w:r>
      <w:r>
        <w:rPr>
          <w:rFonts w:ascii="宋体" w:hAnsi="宋体"/>
          <w:bCs/>
          <w:color w:val="auto"/>
          <w:highlight w:val="none"/>
        </w:rPr>
        <w:t>费用，并有权</w:t>
      </w:r>
      <w:r>
        <w:rPr>
          <w:rFonts w:hint="eastAsia" w:ascii="宋体" w:hAnsi="宋体"/>
          <w:bCs/>
          <w:color w:val="auto"/>
          <w:highlight w:val="none"/>
        </w:rPr>
        <w:t>在本项目管理范围内</w:t>
      </w:r>
      <w:r>
        <w:rPr>
          <w:rFonts w:ascii="宋体" w:hAnsi="宋体"/>
          <w:bCs/>
          <w:color w:val="auto"/>
          <w:highlight w:val="none"/>
        </w:rPr>
        <w:t>管理及合理使用。</w:t>
      </w:r>
    </w:p>
    <w:p>
      <w:pPr>
        <w:adjustRightInd w:val="0"/>
        <w:spacing w:line="440" w:lineRule="exact"/>
        <w:ind w:firstLine="504"/>
        <w:textAlignment w:val="baseline"/>
        <w:rPr>
          <w:rFonts w:ascii="宋体" w:hAnsi="宋体"/>
          <w:color w:val="auto"/>
          <w:highlight w:val="none"/>
        </w:rPr>
      </w:pPr>
      <w:r>
        <w:rPr>
          <w:rFonts w:hint="eastAsia" w:ascii="宋体" w:hAnsi="宋体"/>
          <w:color w:val="auto"/>
          <w:highlight w:val="none"/>
        </w:rPr>
        <w:t>3、及时向甲方通告本项目服务范围内有关服务的重大事项，及时配合处理投诉。</w:t>
      </w:r>
    </w:p>
    <w:p>
      <w:pPr>
        <w:adjustRightInd w:val="0"/>
        <w:spacing w:line="440" w:lineRule="exact"/>
        <w:ind w:firstLine="504"/>
        <w:textAlignment w:val="baseline"/>
        <w:rPr>
          <w:rFonts w:ascii="宋体" w:hAnsi="宋体"/>
          <w:bCs/>
          <w:color w:val="auto"/>
          <w:highlight w:val="none"/>
        </w:rPr>
      </w:pPr>
      <w:r>
        <w:rPr>
          <w:rFonts w:hint="eastAsia" w:ascii="宋体" w:hAnsi="宋体"/>
          <w:color w:val="auto"/>
          <w:highlight w:val="none"/>
        </w:rPr>
        <w:t>4、</w:t>
      </w:r>
      <w:r>
        <w:rPr>
          <w:rFonts w:ascii="宋体" w:hAnsi="宋体"/>
          <w:bCs/>
          <w:color w:val="auto"/>
          <w:highlight w:val="none"/>
        </w:rPr>
        <w:t>接受</w:t>
      </w:r>
      <w:r>
        <w:rPr>
          <w:rFonts w:hint="eastAsia" w:ascii="宋体" w:hAnsi="宋体"/>
          <w:bCs/>
          <w:color w:val="auto"/>
          <w:highlight w:val="none"/>
        </w:rPr>
        <w:t>项目行</w:t>
      </w:r>
      <w:r>
        <w:rPr>
          <w:rFonts w:ascii="宋体" w:hAnsi="宋体"/>
          <w:bCs/>
          <w:color w:val="auto"/>
          <w:highlight w:val="none"/>
        </w:rPr>
        <w:t>业管理部门及政府有关部门的指导，接受甲方的监督。</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国家法律、法规所规定由乙方承担的其它责任。</w:t>
      </w: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ascii="宋体" w:hAnsi="宋体"/>
          <w:b/>
          <w:color w:val="auto"/>
          <w:highlight w:val="none"/>
        </w:rPr>
        <w:t>违约责任</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甲乙双方必须遵守本合同并执行合同中的各项规定，保证</w:t>
      </w:r>
      <w:r>
        <w:rPr>
          <w:rFonts w:hint="eastAsia" w:ascii="宋体" w:hAnsi="宋体"/>
          <w:bCs/>
          <w:color w:val="auto"/>
          <w:highlight w:val="none"/>
        </w:rPr>
        <w:t>本</w:t>
      </w:r>
      <w:r>
        <w:rPr>
          <w:rFonts w:ascii="宋体" w:hAnsi="宋体"/>
          <w:bCs/>
          <w:color w:val="auto"/>
          <w:highlight w:val="none"/>
        </w:rPr>
        <w:t>合同的正常</w:t>
      </w:r>
      <w:r>
        <w:rPr>
          <w:rFonts w:hint="eastAsia" w:ascii="宋体" w:hAnsi="宋体"/>
          <w:bCs/>
          <w:color w:val="auto"/>
          <w:highlight w:val="none"/>
        </w:rPr>
        <w:t>履行</w:t>
      </w:r>
      <w:r>
        <w:rPr>
          <w:rFonts w:ascii="宋体" w:hAnsi="宋体"/>
          <w:bCs/>
          <w:color w:val="auto"/>
          <w:highlight w:val="none"/>
        </w:rPr>
        <w:t>。</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如因乙方</w:t>
      </w:r>
      <w:r>
        <w:rPr>
          <w:rFonts w:hint="eastAsia" w:ascii="宋体" w:hAnsi="宋体"/>
          <w:bCs/>
          <w:color w:val="auto"/>
          <w:highlight w:val="none"/>
        </w:rPr>
        <w:t>工作人员在履行职务过程中的</w:t>
      </w:r>
      <w:r>
        <w:rPr>
          <w:rFonts w:ascii="宋体" w:hAnsi="宋体"/>
          <w:bCs/>
          <w:color w:val="auto"/>
          <w:highlight w:val="none"/>
        </w:rPr>
        <w:t>的疏忽、失职、过错等</w:t>
      </w:r>
      <w:r>
        <w:rPr>
          <w:rFonts w:hint="eastAsia" w:ascii="宋体" w:hAnsi="宋体"/>
          <w:bCs/>
          <w:color w:val="auto"/>
          <w:highlight w:val="none"/>
        </w:rPr>
        <w:t>故意或者过失</w:t>
      </w:r>
      <w:r>
        <w:rPr>
          <w:rFonts w:ascii="宋体" w:hAnsi="宋体"/>
          <w:bCs/>
          <w:color w:val="auto"/>
          <w:highlight w:val="none"/>
        </w:rPr>
        <w:t>原因给甲方造成损失或侵害，</w:t>
      </w:r>
      <w:r>
        <w:rPr>
          <w:rFonts w:hint="eastAsia" w:ascii="宋体" w:hAnsi="宋体"/>
          <w:bCs/>
          <w:color w:val="auto"/>
          <w:highlight w:val="none"/>
        </w:rPr>
        <w:t>包括但不限于甲方本身的财产损失、由此而导致的甲方对任何第三方的法律责任等，乙方对此均应承担全部的赔偿责任</w:t>
      </w:r>
      <w:r>
        <w:rPr>
          <w:rFonts w:ascii="宋体" w:hAnsi="宋体"/>
          <w:bCs/>
          <w:color w:val="auto"/>
          <w:highlight w:val="none"/>
        </w:rPr>
        <w:t>。</w:t>
      </w: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不可抗力事件处理</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1、在合同有效期内，任何一方因不可抗力事件导致不能履行合同，则合同履行期可延长，其延长期与不可抗力影响期相同。</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2、不可抗力事件发生后，应立即通知对方，并寄送有关权威机构出具的证明。</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3、不可抗力事件延续</w:t>
      </w:r>
      <w:r>
        <w:rPr>
          <w:rFonts w:hint="eastAsia" w:ascii="宋体" w:hAnsi="宋体"/>
          <w:color w:val="auto"/>
          <w:szCs w:val="21"/>
          <w:highlight w:val="none"/>
        </w:rPr>
        <w:t>XX</w:t>
      </w:r>
      <w:r>
        <w:rPr>
          <w:rFonts w:hint="eastAsia" w:ascii="宋体" w:hAnsi="宋体"/>
          <w:color w:val="auto"/>
          <w:highlight w:val="none"/>
        </w:rPr>
        <w:t>天以上，双方应通过友好协商，确定是否继续履行合同。</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numPr>
          <w:ilvl w:val="0"/>
          <w:numId w:val="63"/>
        </w:numPr>
        <w:tabs>
          <w:tab w:val="left" w:pos="0"/>
          <w:tab w:val="clear" w:pos="1521"/>
        </w:tabs>
        <w:spacing w:line="440" w:lineRule="exact"/>
        <w:ind w:left="0" w:firstLine="0" w:firstLineChars="0"/>
        <w:rPr>
          <w:rFonts w:ascii="宋体" w:hAnsi="宋体"/>
          <w:b/>
          <w:color w:val="auto"/>
          <w:highlight w:val="none"/>
        </w:rPr>
      </w:pPr>
      <w:bookmarkStart w:id="421" w:name="_Toc225670756"/>
      <w:bookmarkStart w:id="422" w:name="_Toc251768867"/>
      <w:bookmarkStart w:id="423" w:name="_Toc247334846"/>
      <w:bookmarkStart w:id="424" w:name="_Toc225244857"/>
      <w:bookmarkStart w:id="425" w:name="_Toc211911353"/>
      <w:bookmarkStart w:id="426" w:name="_Toc239233919"/>
      <w:bookmarkStart w:id="427" w:name="_Toc212019599"/>
      <w:bookmarkStart w:id="428" w:name="_Toc241833908"/>
      <w:bookmarkStart w:id="429" w:name="_Toc238984980"/>
      <w:bookmarkStart w:id="430" w:name="_Toc239568423"/>
      <w:bookmarkStart w:id="431" w:name="_Toc211854454"/>
      <w:bookmarkStart w:id="432" w:name="_Toc225654649"/>
      <w:bookmarkStart w:id="433" w:name="_Toc237145411"/>
      <w:bookmarkStart w:id="434" w:name="_Toc232492933"/>
      <w:bookmarkStart w:id="435" w:name="_Toc286993792"/>
      <w:bookmarkStart w:id="436" w:name="_Toc185395254"/>
      <w:r>
        <w:rPr>
          <w:rFonts w:hint="eastAsia" w:ascii="宋体" w:hAnsi="宋体"/>
          <w:b/>
          <w:color w:val="auto"/>
          <w:highlight w:val="none"/>
        </w:rPr>
        <w:t>解</w:t>
      </w:r>
      <w:r>
        <w:rPr>
          <w:rFonts w:ascii="宋体" w:hAnsi="宋体"/>
          <w:b/>
          <w:color w:val="auto"/>
          <w:highlight w:val="none"/>
        </w:rPr>
        <w:t>决合同纠纷的方式</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1、</w:t>
      </w:r>
      <w:r>
        <w:rPr>
          <w:rFonts w:ascii="宋体" w:hAnsi="宋体"/>
          <w:color w:val="auto"/>
          <w:highlight w:val="none"/>
        </w:rPr>
        <w:t>在执行本合同中发生的或与本合同有关的争端，双方应通过友好协商解决，经协商在</w:t>
      </w:r>
      <w:r>
        <w:rPr>
          <w:rFonts w:hint="eastAsia" w:ascii="宋体" w:hAnsi="宋体"/>
          <w:color w:val="auto"/>
          <w:szCs w:val="21"/>
          <w:highlight w:val="none"/>
          <w:u w:val="single"/>
        </w:rPr>
        <w:t xml:space="preserve">      </w:t>
      </w:r>
      <w:r>
        <w:rPr>
          <w:rFonts w:ascii="宋体" w:hAnsi="宋体"/>
          <w:color w:val="auto"/>
          <w:highlight w:val="none"/>
        </w:rPr>
        <w:t>天内不能达成协议时，应提交成都仲裁委员会仲裁。</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2、</w:t>
      </w:r>
      <w:r>
        <w:rPr>
          <w:rFonts w:ascii="宋体" w:hAnsi="宋体"/>
          <w:color w:val="auto"/>
          <w:highlight w:val="none"/>
        </w:rPr>
        <w:t>仲裁裁决应为最终决定，并对双方具有约束力。</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3、</w:t>
      </w:r>
      <w:r>
        <w:rPr>
          <w:rFonts w:ascii="宋体" w:hAnsi="宋体"/>
          <w:color w:val="auto"/>
          <w:highlight w:val="none"/>
        </w:rPr>
        <w:t xml:space="preserve">除另有裁决外，仲裁费应由败诉方负担。 </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4、</w:t>
      </w:r>
      <w:r>
        <w:rPr>
          <w:rFonts w:ascii="宋体" w:hAnsi="宋体"/>
          <w:color w:val="auto"/>
          <w:highlight w:val="none"/>
        </w:rPr>
        <w:t xml:space="preserve">在仲裁期间，除正在进行仲裁部分外，合同其他部分继续执行。  </w:t>
      </w:r>
    </w:p>
    <w:p>
      <w:pPr>
        <w:numPr>
          <w:ilvl w:val="0"/>
          <w:numId w:val="63"/>
        </w:numPr>
        <w:tabs>
          <w:tab w:val="left" w:pos="0"/>
          <w:tab w:val="clear" w:pos="1521"/>
        </w:tabs>
        <w:spacing w:line="440" w:lineRule="exact"/>
        <w:ind w:left="0" w:firstLine="0" w:firstLineChars="0"/>
        <w:rPr>
          <w:rFonts w:ascii="宋体" w:hAnsi="宋体"/>
          <w:b/>
          <w:color w:val="auto"/>
          <w:highlight w:val="none"/>
        </w:rPr>
      </w:pPr>
      <w:bookmarkStart w:id="437" w:name="_Toc241833909"/>
      <w:bookmarkStart w:id="438" w:name="_Toc283019219"/>
      <w:bookmarkStart w:id="439" w:name="_Toc239568424"/>
      <w:bookmarkStart w:id="440" w:name="_Toc211854455"/>
      <w:bookmarkStart w:id="441" w:name="_Toc211911354"/>
      <w:bookmarkStart w:id="442" w:name="_Toc185395255"/>
      <w:bookmarkStart w:id="443" w:name="_Toc232492934"/>
      <w:bookmarkStart w:id="444" w:name="_Toc212019600"/>
      <w:bookmarkStart w:id="445" w:name="_Toc225670757"/>
      <w:bookmarkStart w:id="446" w:name="_Toc282696231"/>
      <w:bookmarkStart w:id="447" w:name="_Toc247334847"/>
      <w:bookmarkStart w:id="448" w:name="_Toc239233920"/>
      <w:bookmarkStart w:id="449" w:name="_Toc237145412"/>
      <w:bookmarkStart w:id="450" w:name="_Toc238984981"/>
      <w:bookmarkStart w:id="451" w:name="_Toc225654650"/>
      <w:bookmarkStart w:id="452" w:name="_Toc251768868"/>
      <w:bookmarkStart w:id="453" w:name="_Toc286993793"/>
      <w:bookmarkStart w:id="454" w:name="_Toc225244858"/>
      <w:r>
        <w:rPr>
          <w:rFonts w:ascii="宋体" w:hAnsi="宋体"/>
          <w:b/>
          <w:color w:val="auto"/>
          <w:highlight w:val="none"/>
        </w:rPr>
        <w:t>合同</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ascii="宋体" w:hAnsi="宋体"/>
          <w:b/>
          <w:color w:val="auto"/>
          <w:highlight w:val="none"/>
        </w:rPr>
        <w:t>生效及其他</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1、合同经双方法定代表人或授权委托代理人签字并加盖单位公章后生效。</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2、合同执行中涉及采购资金和采购内容修改或补充的，须经政府采购监管部门审批，并签书面补充协议报政府采购监督管理部门备案，方可作为主合同不可分割的一部分。</w:t>
      </w:r>
    </w:p>
    <w:p>
      <w:pPr>
        <w:widowControl/>
        <w:spacing w:line="440" w:lineRule="exact"/>
        <w:ind w:firstLine="504"/>
        <w:rPr>
          <w:rFonts w:ascii="宋体" w:hAnsi="宋体"/>
          <w:color w:val="auto"/>
          <w:szCs w:val="24"/>
          <w:highlight w:val="none"/>
        </w:rPr>
      </w:pPr>
      <w:r>
        <w:rPr>
          <w:rFonts w:hint="eastAsia" w:ascii="宋体" w:hAnsi="宋体"/>
          <w:color w:val="auto"/>
          <w:szCs w:val="24"/>
          <w:highlight w:val="none"/>
        </w:rPr>
        <w:t>3、本合同一式xx份，自双方签章之日起生效。甲方xx份，乙方xx份、政府采购管理部门、采购代理机构各一份。</w:t>
      </w:r>
    </w:p>
    <w:p>
      <w:pPr>
        <w:numPr>
          <w:ilvl w:val="0"/>
          <w:numId w:val="63"/>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附件</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1、项目招标文件</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2、项目投标文件</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3、中标通知书</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4、其他</w:t>
      </w:r>
    </w:p>
    <w:p>
      <w:pPr>
        <w:spacing w:line="440" w:lineRule="exact"/>
        <w:ind w:firstLine="504"/>
        <w:rPr>
          <w:rFonts w:ascii="宋体" w:hAnsi="宋体"/>
          <w:color w:val="auto"/>
          <w:highlight w:val="none"/>
        </w:rPr>
      </w:pPr>
    </w:p>
    <w:p>
      <w:pPr>
        <w:spacing w:line="440" w:lineRule="exact"/>
        <w:ind w:firstLine="504"/>
        <w:rPr>
          <w:rFonts w:ascii="宋体" w:hAnsi="宋体"/>
          <w:color w:val="auto"/>
          <w:highlight w:val="none"/>
        </w:rPr>
      </w:pPr>
      <w:r>
        <w:rPr>
          <w:rFonts w:hint="eastAsia" w:ascii="宋体" w:hAnsi="宋体"/>
          <w:color w:val="auto"/>
          <w:highlight w:val="none"/>
        </w:rPr>
        <w:t>甲方：   （盖章）</w:t>
      </w:r>
      <w:r>
        <w:rPr>
          <w:rFonts w:ascii="宋体" w:hAnsi="宋体"/>
          <w:color w:val="auto"/>
          <w:highlight w:val="none"/>
        </w:rPr>
        <w:t xml:space="preserve">   </w:t>
      </w:r>
      <w:r>
        <w:rPr>
          <w:rFonts w:ascii="宋体" w:hAnsi="宋体"/>
          <w:color w:val="auto"/>
          <w:highlight w:val="none"/>
        </w:rPr>
        <w:tab/>
      </w:r>
      <w:r>
        <w:rPr>
          <w:rFonts w:ascii="宋体" w:hAnsi="宋体"/>
          <w:color w:val="auto"/>
          <w:highlight w:val="none"/>
        </w:rPr>
        <w:tab/>
      </w:r>
      <w:r>
        <w:rPr>
          <w:rFonts w:ascii="宋体" w:hAnsi="宋体"/>
          <w:color w:val="auto"/>
          <w:highlight w:val="none"/>
        </w:rPr>
        <w:tab/>
      </w:r>
      <w:r>
        <w:rPr>
          <w:rFonts w:ascii="宋体" w:hAnsi="宋体"/>
          <w:color w:val="auto"/>
          <w:highlight w:val="none"/>
        </w:rPr>
        <w:t xml:space="preserve">    </w:t>
      </w:r>
      <w:r>
        <w:rPr>
          <w:rFonts w:hint="eastAsia" w:ascii="宋体" w:hAnsi="宋体"/>
          <w:color w:val="auto"/>
          <w:highlight w:val="none"/>
        </w:rPr>
        <w:t xml:space="preserve">   乙方：</w:t>
      </w:r>
      <w:r>
        <w:rPr>
          <w:rFonts w:ascii="宋体" w:hAnsi="宋体"/>
          <w:color w:val="auto"/>
          <w:highlight w:val="none"/>
        </w:rPr>
        <w:t xml:space="preserve">   </w:t>
      </w:r>
      <w:r>
        <w:rPr>
          <w:rFonts w:hint="eastAsia" w:ascii="宋体" w:hAnsi="宋体"/>
          <w:color w:val="auto"/>
          <w:highlight w:val="none"/>
        </w:rPr>
        <w:t>（盖章）</w:t>
      </w:r>
    </w:p>
    <w:p>
      <w:pPr>
        <w:spacing w:line="440" w:lineRule="exact"/>
        <w:ind w:firstLine="504"/>
        <w:rPr>
          <w:rFonts w:ascii="宋体" w:hAnsi="宋体"/>
          <w:color w:val="auto"/>
          <w:highlight w:val="none"/>
        </w:rPr>
      </w:pPr>
      <w:r>
        <w:rPr>
          <w:rFonts w:hint="eastAsia" w:ascii="宋体" w:hAnsi="宋体"/>
          <w:color w:val="auto"/>
          <w:highlight w:val="none"/>
        </w:rPr>
        <w:t>法定代表人（授权代表）：</w:t>
      </w:r>
      <w:r>
        <w:rPr>
          <w:rFonts w:ascii="宋体" w:hAnsi="宋体"/>
          <w:color w:val="auto"/>
          <w:highlight w:val="none"/>
        </w:rPr>
        <w:t xml:space="preserve">            </w:t>
      </w:r>
      <w:r>
        <w:rPr>
          <w:rFonts w:hint="eastAsia" w:ascii="宋体" w:hAnsi="宋体"/>
          <w:color w:val="auto"/>
          <w:highlight w:val="none"/>
        </w:rPr>
        <w:t>法定代表人（授权代表）：</w:t>
      </w:r>
    </w:p>
    <w:p>
      <w:pPr>
        <w:spacing w:line="440" w:lineRule="exact"/>
        <w:ind w:firstLine="504"/>
        <w:rPr>
          <w:rFonts w:ascii="宋体" w:hAnsi="宋体"/>
          <w:color w:val="auto"/>
          <w:highlight w:val="non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ascii="宋体" w:hAnsi="宋体"/>
          <w:color w:val="auto"/>
          <w:highlight w:val="none"/>
        </w:rPr>
        <w:t xml:space="preserve">                         </w:t>
      </w: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p>
    <w:p>
      <w:pPr>
        <w:spacing w:line="440" w:lineRule="exact"/>
        <w:ind w:firstLine="504"/>
        <w:rPr>
          <w:rFonts w:ascii="宋体" w:hAnsi="宋体"/>
          <w:color w:val="auto"/>
          <w:highlight w:val="none"/>
        </w:rPr>
      </w:pPr>
      <w:r>
        <w:rPr>
          <w:rFonts w:hint="eastAsia" w:ascii="宋体" w:hAnsi="宋体"/>
          <w:color w:val="auto"/>
          <w:highlight w:val="none"/>
        </w:rPr>
        <w:t>开户银行：</w:t>
      </w:r>
      <w:r>
        <w:rPr>
          <w:rFonts w:ascii="宋体" w:hAnsi="宋体"/>
          <w:color w:val="auto"/>
          <w:highlight w:val="none"/>
        </w:rPr>
        <w:t xml:space="preserve">                         </w:t>
      </w:r>
      <w:r>
        <w:rPr>
          <w:rFonts w:hint="eastAsia" w:ascii="宋体" w:hAnsi="宋体"/>
          <w:color w:val="auto"/>
          <w:highlight w:val="none"/>
        </w:rPr>
        <w:t>开户银行：</w:t>
      </w:r>
    </w:p>
    <w:p>
      <w:pPr>
        <w:spacing w:line="440" w:lineRule="exact"/>
        <w:ind w:firstLine="504"/>
        <w:rPr>
          <w:rFonts w:ascii="宋体" w:hAnsi="宋体"/>
          <w:color w:val="auto"/>
          <w:highlight w:val="none"/>
        </w:rPr>
      </w:pPr>
      <w:r>
        <w:rPr>
          <w:rFonts w:hint="eastAsia" w:ascii="宋体" w:hAnsi="宋体"/>
          <w:color w:val="auto"/>
          <w:highlight w:val="none"/>
        </w:rPr>
        <w:t>账号：</w:t>
      </w:r>
      <w:r>
        <w:rPr>
          <w:rFonts w:ascii="宋体" w:hAnsi="宋体"/>
          <w:color w:val="auto"/>
          <w:highlight w:val="none"/>
        </w:rPr>
        <w:t xml:space="preserve">                             </w:t>
      </w:r>
      <w:r>
        <w:rPr>
          <w:rFonts w:hint="eastAsia" w:ascii="宋体" w:hAnsi="宋体"/>
          <w:color w:val="auto"/>
          <w:highlight w:val="none"/>
        </w:rPr>
        <w:t>账号：</w:t>
      </w:r>
    </w:p>
    <w:p>
      <w:pPr>
        <w:spacing w:line="440" w:lineRule="exact"/>
        <w:ind w:firstLine="504"/>
        <w:rPr>
          <w:rFonts w:ascii="宋体" w:hAnsi="宋体"/>
          <w:color w:val="auto"/>
          <w:highlight w:val="non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r>
        <w:rPr>
          <w:rFonts w:ascii="宋体" w:hAnsi="宋体"/>
          <w:color w:val="auto"/>
          <w:highlight w:val="none"/>
        </w:rPr>
        <w:t xml:space="preserve">                         </w:t>
      </w: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p>
    <w:p>
      <w:pPr>
        <w:spacing w:line="440" w:lineRule="exact"/>
        <w:ind w:firstLine="504"/>
        <w:rPr>
          <w:rFonts w:ascii="宋体" w:hAnsi="宋体"/>
          <w:color w:val="auto"/>
          <w:highlight w:val="none"/>
        </w:rPr>
      </w:pPr>
      <w:r>
        <w:rPr>
          <w:rFonts w:hint="eastAsia" w:ascii="宋体" w:hAnsi="宋体"/>
          <w:color w:val="auto"/>
          <w:highlight w:val="none"/>
        </w:rPr>
        <w:t>传</w:t>
      </w:r>
      <w:r>
        <w:rPr>
          <w:rFonts w:ascii="宋体" w:hAnsi="宋体"/>
          <w:color w:val="auto"/>
          <w:highlight w:val="none"/>
        </w:rPr>
        <w:t xml:space="preserve">    </w:t>
      </w:r>
      <w:r>
        <w:rPr>
          <w:rFonts w:hint="eastAsia" w:ascii="宋体" w:hAnsi="宋体"/>
          <w:color w:val="auto"/>
          <w:highlight w:val="none"/>
        </w:rPr>
        <w:t>真：</w:t>
      </w:r>
      <w:r>
        <w:rPr>
          <w:rFonts w:ascii="宋体" w:hAnsi="宋体"/>
          <w:color w:val="auto"/>
          <w:highlight w:val="none"/>
        </w:rPr>
        <w:t xml:space="preserve">                         </w:t>
      </w:r>
      <w:r>
        <w:rPr>
          <w:rFonts w:hint="eastAsia" w:ascii="宋体" w:hAnsi="宋体"/>
          <w:color w:val="auto"/>
          <w:highlight w:val="none"/>
        </w:rPr>
        <w:t>传</w:t>
      </w:r>
      <w:r>
        <w:rPr>
          <w:rFonts w:ascii="宋体" w:hAnsi="宋体"/>
          <w:color w:val="auto"/>
          <w:highlight w:val="none"/>
        </w:rPr>
        <w:t xml:space="preserve">    </w:t>
      </w:r>
      <w:r>
        <w:rPr>
          <w:rFonts w:hint="eastAsia" w:ascii="宋体" w:hAnsi="宋体"/>
          <w:color w:val="auto"/>
          <w:highlight w:val="none"/>
        </w:rPr>
        <w:t>真：</w:t>
      </w:r>
    </w:p>
    <w:p>
      <w:pPr>
        <w:spacing w:line="440" w:lineRule="exact"/>
        <w:ind w:firstLine="504"/>
        <w:rPr>
          <w:rFonts w:ascii="Calibri" w:hAnsi="Calibri"/>
          <w:color w:val="auto"/>
          <w:szCs w:val="24"/>
          <w:highlight w:val="none"/>
        </w:rPr>
      </w:pPr>
      <w:r>
        <w:rPr>
          <w:rFonts w:hint="eastAsia" w:ascii="宋体" w:hAnsi="宋体"/>
          <w:color w:val="auto"/>
          <w:highlight w:val="none"/>
        </w:rPr>
        <w:t>签约日期：</w:t>
      </w:r>
      <w:r>
        <w:rPr>
          <w:rFonts w:hint="eastAsia" w:ascii="宋体" w:hAnsi="宋体"/>
          <w:color w:val="auto"/>
          <w:szCs w:val="21"/>
          <w:highlight w:val="none"/>
        </w:rPr>
        <w:t>XX</w:t>
      </w:r>
      <w:r>
        <w:rPr>
          <w:rFonts w:hint="eastAsia" w:ascii="宋体" w:hAnsi="宋体"/>
          <w:color w:val="auto"/>
          <w:highlight w:val="none"/>
        </w:rPr>
        <w:t>年</w:t>
      </w:r>
      <w:r>
        <w:rPr>
          <w:rFonts w:hint="eastAsia" w:ascii="宋体" w:hAnsi="宋体"/>
          <w:color w:val="auto"/>
          <w:szCs w:val="21"/>
          <w:highlight w:val="none"/>
        </w:rPr>
        <w:t>XX</w:t>
      </w:r>
      <w:r>
        <w:rPr>
          <w:rFonts w:hint="eastAsia" w:ascii="宋体" w:hAnsi="宋体"/>
          <w:color w:val="auto"/>
          <w:highlight w:val="none"/>
        </w:rPr>
        <w:t>月</w:t>
      </w:r>
      <w:r>
        <w:rPr>
          <w:rFonts w:hint="eastAsia" w:ascii="宋体" w:hAnsi="宋体"/>
          <w:color w:val="auto"/>
          <w:szCs w:val="21"/>
          <w:highlight w:val="none"/>
        </w:rPr>
        <w:t>XX</w:t>
      </w:r>
      <w:r>
        <w:rPr>
          <w:rFonts w:hint="eastAsia" w:ascii="宋体" w:hAnsi="宋体"/>
          <w:color w:val="auto"/>
          <w:highlight w:val="none"/>
        </w:rPr>
        <w:t>日</w:t>
      </w:r>
      <w:r>
        <w:rPr>
          <w:rFonts w:ascii="宋体" w:hAnsi="宋体"/>
          <w:color w:val="auto"/>
          <w:highlight w:val="none"/>
        </w:rPr>
        <w:t xml:space="preserve"> </w:t>
      </w:r>
      <w:r>
        <w:rPr>
          <w:rFonts w:ascii="宋体" w:hAnsi="宋体"/>
          <w:color w:val="auto"/>
          <w:highlight w:val="none"/>
        </w:rPr>
        <w:tab/>
      </w:r>
      <w:r>
        <w:rPr>
          <w:rFonts w:ascii="宋体" w:hAnsi="宋体"/>
          <w:color w:val="auto"/>
          <w:highlight w:val="none"/>
        </w:rPr>
        <w:tab/>
      </w:r>
      <w:r>
        <w:rPr>
          <w:rFonts w:ascii="宋体" w:hAnsi="宋体"/>
          <w:color w:val="auto"/>
          <w:highlight w:val="none"/>
        </w:rPr>
        <w:tab/>
      </w:r>
      <w:r>
        <w:rPr>
          <w:rFonts w:hint="eastAsia" w:ascii="宋体" w:hAnsi="宋体"/>
          <w:color w:val="auto"/>
          <w:highlight w:val="none"/>
        </w:rPr>
        <w:t>签约日期：</w:t>
      </w:r>
      <w:r>
        <w:rPr>
          <w:rFonts w:hint="eastAsia" w:ascii="宋体" w:hAnsi="宋体"/>
          <w:color w:val="auto"/>
          <w:szCs w:val="21"/>
          <w:highlight w:val="none"/>
        </w:rPr>
        <w:t>XX</w:t>
      </w:r>
      <w:r>
        <w:rPr>
          <w:rFonts w:hint="eastAsia" w:ascii="宋体" w:hAnsi="宋体"/>
          <w:color w:val="auto"/>
          <w:highlight w:val="none"/>
        </w:rPr>
        <w:t>年</w:t>
      </w:r>
      <w:r>
        <w:rPr>
          <w:rFonts w:hint="eastAsia" w:ascii="宋体" w:hAnsi="宋体"/>
          <w:color w:val="auto"/>
          <w:szCs w:val="21"/>
          <w:highlight w:val="none"/>
        </w:rPr>
        <w:t>XX</w:t>
      </w:r>
      <w:r>
        <w:rPr>
          <w:rFonts w:hint="eastAsia" w:ascii="宋体" w:hAnsi="宋体"/>
          <w:color w:val="auto"/>
          <w:highlight w:val="none"/>
        </w:rPr>
        <w:t>月</w:t>
      </w:r>
      <w:r>
        <w:rPr>
          <w:rFonts w:hint="eastAsia" w:ascii="宋体" w:hAnsi="宋体"/>
          <w:color w:val="auto"/>
          <w:szCs w:val="21"/>
          <w:highlight w:val="none"/>
        </w:rPr>
        <w:t>XX日</w:t>
      </w:r>
      <w:bookmarkEnd w:id="0"/>
      <w:bookmarkEnd w:id="1"/>
      <w:bookmarkEnd w:id="2"/>
      <w:bookmarkEnd w:id="3"/>
      <w:bookmarkEnd w:id="399"/>
      <w:bookmarkEnd w:id="400"/>
    </w:p>
    <w:sectPr>
      <w:pgSz w:w="11906" w:h="16838"/>
      <w:pgMar w:top="1417" w:right="1417" w:bottom="1417" w:left="1417" w:header="1134" w:footer="992" w:gutter="0"/>
      <w:pgNumType w:fmt="decimal"/>
      <w:cols w:space="0" w:num="1"/>
      <w:docGrid w:type="linesAndChars" w:linePitch="31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90"/>
      </w:pPr>
      <w:r>
        <w:separator/>
      </w:r>
    </w:p>
  </w:endnote>
  <w:endnote w:type="continuationSeparator" w:id="1">
    <w:p>
      <w:pPr>
        <w:spacing w:line="240" w:lineRule="auto"/>
        <w:ind w:firstLine="4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8" w:usb3="00000000" w:csb0="000001FF" w:csb1="00000000"/>
  </w:font>
  <w:font w:name="Arial (W1)">
    <w:altName w:val="Arial"/>
    <w:panose1 w:val="00000000000000000000"/>
    <w:charset w:val="00"/>
    <w:family w:val="auto"/>
    <w:pitch w:val="default"/>
    <w:sig w:usb0="00000000" w:usb1="00000000" w:usb2="00000009"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71</w: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w:rPr>
        <w:sz w:val="18"/>
      </w:rPr>
      <w:pict>
        <v:shape id="_x0000_s4104" o:spid="_x0000_s410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90"/>
      </w:pPr>
      <w:r>
        <w:separator/>
      </w:r>
    </w:p>
  </w:footnote>
  <w:footnote w:type="continuationSeparator" w:id="1">
    <w:p>
      <w:pPr>
        <w:spacing w:line="240" w:lineRule="auto"/>
        <w:ind w:firstLine="49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0" w:firstLineChars="0"/>
      <w:jc w:val="both"/>
      <w:rPr>
        <w:u w:val="single"/>
      </w:rPr>
    </w:pPr>
    <w:r>
      <w:rPr>
        <w:rFonts w:hint="eastAsia"/>
        <w:sz w:val="21"/>
        <w:szCs w:val="21"/>
        <w:u w:val="single"/>
      </w:rPr>
      <w:drawing>
        <wp:anchor distT="0" distB="0" distL="114300" distR="114300" simplePos="0" relativeHeight="251659264" behindDoc="1" locked="0" layoutInCell="1" allowOverlap="1">
          <wp:simplePos x="0" y="0"/>
          <wp:positionH relativeFrom="column">
            <wp:posOffset>-80010</wp:posOffset>
          </wp:positionH>
          <wp:positionV relativeFrom="paragraph">
            <wp:posOffset>-247650</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ED6FB"/>
    <w:multiLevelType w:val="singleLevel"/>
    <w:tmpl w:val="971ED6FB"/>
    <w:lvl w:ilvl="0" w:tentative="0">
      <w:start w:val="1"/>
      <w:numFmt w:val="chineseCounting"/>
      <w:suff w:val="nothing"/>
      <w:lvlText w:val="（%1）"/>
      <w:lvlJc w:val="left"/>
      <w:pPr>
        <w:ind w:left="0" w:firstLine="420"/>
      </w:pPr>
      <w:rPr>
        <w:rFonts w:hint="eastAsia"/>
      </w:rPr>
    </w:lvl>
  </w:abstractNum>
  <w:abstractNum w:abstractNumId="1">
    <w:nsid w:val="97A76D8D"/>
    <w:multiLevelType w:val="singleLevel"/>
    <w:tmpl w:val="97A76D8D"/>
    <w:lvl w:ilvl="0" w:tentative="0">
      <w:start w:val="1"/>
      <w:numFmt w:val="chineseCounting"/>
      <w:suff w:val="nothing"/>
      <w:lvlText w:val="（%1）"/>
      <w:lvlJc w:val="left"/>
      <w:pPr>
        <w:ind w:left="0" w:firstLine="420"/>
      </w:pPr>
      <w:rPr>
        <w:rFonts w:hint="eastAsia"/>
      </w:rPr>
    </w:lvl>
  </w:abstractNum>
  <w:abstractNum w:abstractNumId="2">
    <w:nsid w:val="A588D4FF"/>
    <w:multiLevelType w:val="singleLevel"/>
    <w:tmpl w:val="A588D4FF"/>
    <w:lvl w:ilvl="0" w:tentative="0">
      <w:start w:val="1"/>
      <w:numFmt w:val="decimal"/>
      <w:suff w:val="nothing"/>
      <w:lvlText w:val="%1、"/>
      <w:lvlJc w:val="left"/>
    </w:lvl>
  </w:abstractNum>
  <w:abstractNum w:abstractNumId="3">
    <w:nsid w:val="A8AF50C6"/>
    <w:multiLevelType w:val="singleLevel"/>
    <w:tmpl w:val="A8AF50C6"/>
    <w:lvl w:ilvl="0" w:tentative="0">
      <w:start w:val="1"/>
      <w:numFmt w:val="decimal"/>
      <w:suff w:val="nothing"/>
      <w:lvlText w:val="%1、"/>
      <w:lvlJc w:val="left"/>
    </w:lvl>
  </w:abstractNum>
  <w:abstractNum w:abstractNumId="4">
    <w:nsid w:val="C47B4B3C"/>
    <w:multiLevelType w:val="singleLevel"/>
    <w:tmpl w:val="C47B4B3C"/>
    <w:lvl w:ilvl="0" w:tentative="0">
      <w:start w:val="1"/>
      <w:numFmt w:val="decimal"/>
      <w:lvlText w:val="%1、"/>
      <w:lvlJc w:val="left"/>
      <w:pPr>
        <w:tabs>
          <w:tab w:val="left" w:pos="420"/>
        </w:tabs>
        <w:ind w:left="425" w:hanging="425"/>
      </w:pPr>
      <w:rPr>
        <w:rFonts w:hint="default"/>
      </w:rPr>
    </w:lvl>
  </w:abstractNum>
  <w:abstractNum w:abstractNumId="5">
    <w:nsid w:val="C55DFFFD"/>
    <w:multiLevelType w:val="singleLevel"/>
    <w:tmpl w:val="C55DFFFD"/>
    <w:lvl w:ilvl="0" w:tentative="0">
      <w:start w:val="1"/>
      <w:numFmt w:val="chineseCounting"/>
      <w:suff w:val="nothing"/>
      <w:lvlText w:val="%1、"/>
      <w:lvlJc w:val="left"/>
      <w:pPr>
        <w:ind w:left="0" w:firstLine="420"/>
      </w:pPr>
      <w:rPr>
        <w:rFonts w:hint="eastAsia"/>
      </w:rPr>
    </w:lvl>
  </w:abstractNum>
  <w:abstractNum w:abstractNumId="6">
    <w:nsid w:val="D79BAF09"/>
    <w:multiLevelType w:val="singleLevel"/>
    <w:tmpl w:val="D79BAF09"/>
    <w:lvl w:ilvl="0" w:tentative="0">
      <w:start w:val="1"/>
      <w:numFmt w:val="chineseCounting"/>
      <w:suff w:val="nothing"/>
      <w:lvlText w:val="%1、"/>
      <w:lvlJc w:val="left"/>
      <w:pPr>
        <w:ind w:left="0" w:firstLine="420"/>
      </w:pPr>
      <w:rPr>
        <w:rFonts w:hint="eastAsia"/>
      </w:rPr>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1696" w:hanging="420"/>
      </w:pPr>
      <w:rPr>
        <w:rFonts w:hint="eastAsia"/>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2">
    <w:nsid w:val="0000003E"/>
    <w:multiLevelType w:val="multilevel"/>
    <w:tmpl w:val="0000003E"/>
    <w:lvl w:ilvl="0" w:tentative="0">
      <w:start w:val="1"/>
      <w:numFmt w:val="chineseCountingThousand"/>
      <w:suff w:val="nothing"/>
      <w:lvlText w:val="%1、"/>
      <w:lvlJc w:val="left"/>
      <w:pPr>
        <w:ind w:left="1554" w:hanging="420"/>
      </w:pPr>
      <w:rPr>
        <w:rFonts w:hint="eastAsia"/>
        <w:b/>
        <w:lang w:val="en-US"/>
      </w:rPr>
    </w:lvl>
    <w:lvl w:ilvl="1" w:tentative="0">
      <w:start w:val="1"/>
      <w:numFmt w:val="decimal"/>
      <w:lvlText w:val="%2、"/>
      <w:lvlJc w:val="left"/>
      <w:pPr>
        <w:ind w:left="1693"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3">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7">
    <w:nsid w:val="4C5AC4BD"/>
    <w:multiLevelType w:val="singleLevel"/>
    <w:tmpl w:val="4C5AC4BD"/>
    <w:lvl w:ilvl="0" w:tentative="0">
      <w:start w:val="1"/>
      <w:numFmt w:val="decimal"/>
      <w:suff w:val="nothing"/>
      <w:lvlText w:val="%1、"/>
      <w:lvlJc w:val="left"/>
    </w:lvl>
  </w:abstractNum>
  <w:abstractNum w:abstractNumId="18">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8DDCC0E"/>
    <w:multiLevelType w:val="multilevel"/>
    <w:tmpl w:val="58DDCC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8DDE819"/>
    <w:multiLevelType w:val="singleLevel"/>
    <w:tmpl w:val="58DDE819"/>
    <w:lvl w:ilvl="0" w:tentative="0">
      <w:start w:val="1"/>
      <w:numFmt w:val="chineseCounting"/>
      <w:suff w:val="nothing"/>
      <w:lvlText w:val="（%1）"/>
      <w:lvlJc w:val="left"/>
      <w:pPr>
        <w:ind w:left="0" w:firstLine="420"/>
      </w:pPr>
      <w:rPr>
        <w:rFonts w:hint="eastAsia"/>
      </w:rPr>
    </w:lvl>
  </w:abstractNum>
  <w:abstractNum w:abstractNumId="21">
    <w:nsid w:val="58DDF6CD"/>
    <w:multiLevelType w:val="singleLevel"/>
    <w:tmpl w:val="58DDF6CD"/>
    <w:lvl w:ilvl="0" w:tentative="0">
      <w:start w:val="1"/>
      <w:numFmt w:val="chineseCounting"/>
      <w:suff w:val="nothing"/>
      <w:lvlText w:val="%1、"/>
      <w:lvlJc w:val="left"/>
      <w:pPr>
        <w:ind w:left="0" w:firstLine="420"/>
      </w:pPr>
      <w:rPr>
        <w:rFonts w:hint="eastAsia"/>
      </w:rPr>
    </w:lvl>
  </w:abstractNum>
  <w:abstractNum w:abstractNumId="22">
    <w:nsid w:val="58E72D27"/>
    <w:multiLevelType w:val="singleLevel"/>
    <w:tmpl w:val="58E72D27"/>
    <w:lvl w:ilvl="0" w:tentative="0">
      <w:start w:val="1"/>
      <w:numFmt w:val="decimal"/>
      <w:lvlText w:val="%1."/>
      <w:lvlJc w:val="left"/>
      <w:pPr>
        <w:ind w:left="425" w:hanging="425"/>
      </w:pPr>
      <w:rPr>
        <w:rFonts w:hint="default"/>
      </w:rPr>
    </w:lvl>
  </w:abstractNum>
  <w:abstractNum w:abstractNumId="23">
    <w:nsid w:val="59DEF6EB"/>
    <w:multiLevelType w:val="singleLevel"/>
    <w:tmpl w:val="59DEF6EB"/>
    <w:lvl w:ilvl="0" w:tentative="0">
      <w:start w:val="1"/>
      <w:numFmt w:val="chineseCounting"/>
      <w:suff w:val="nothing"/>
      <w:lvlText w:val="%1、"/>
      <w:lvlJc w:val="left"/>
    </w:lvl>
  </w:abstractNum>
  <w:abstractNum w:abstractNumId="24">
    <w:nsid w:val="59DF2960"/>
    <w:multiLevelType w:val="singleLevel"/>
    <w:tmpl w:val="59DF2960"/>
    <w:lvl w:ilvl="0" w:tentative="0">
      <w:start w:val="1"/>
      <w:numFmt w:val="chineseCounting"/>
      <w:suff w:val="nothing"/>
      <w:lvlText w:val="（%1）"/>
      <w:lvlJc w:val="left"/>
      <w:pPr>
        <w:ind w:left="0" w:firstLine="420"/>
      </w:pPr>
      <w:rPr>
        <w:rFonts w:hint="eastAsia"/>
      </w:rPr>
    </w:lvl>
  </w:abstractNum>
  <w:abstractNum w:abstractNumId="25">
    <w:nsid w:val="59DF297E"/>
    <w:multiLevelType w:val="singleLevel"/>
    <w:tmpl w:val="59DF297E"/>
    <w:lvl w:ilvl="0" w:tentative="0">
      <w:start w:val="1"/>
      <w:numFmt w:val="chineseCounting"/>
      <w:suff w:val="nothing"/>
      <w:lvlText w:val="（%1）"/>
      <w:lvlJc w:val="left"/>
      <w:pPr>
        <w:ind w:left="0" w:firstLine="420"/>
      </w:pPr>
      <w:rPr>
        <w:rFonts w:hint="eastAsia"/>
      </w:rPr>
    </w:lvl>
  </w:abstractNum>
  <w:abstractNum w:abstractNumId="26">
    <w:nsid w:val="5A1BBB23"/>
    <w:multiLevelType w:val="singleLevel"/>
    <w:tmpl w:val="5A1BBB23"/>
    <w:lvl w:ilvl="0" w:tentative="0">
      <w:start w:val="1"/>
      <w:numFmt w:val="chineseCounting"/>
      <w:suff w:val="nothing"/>
      <w:lvlText w:val="（%1）"/>
      <w:lvlJc w:val="left"/>
    </w:lvl>
  </w:abstractNum>
  <w:abstractNum w:abstractNumId="27">
    <w:nsid w:val="5A1BC085"/>
    <w:multiLevelType w:val="singleLevel"/>
    <w:tmpl w:val="5A1BC085"/>
    <w:lvl w:ilvl="0" w:tentative="0">
      <w:start w:val="1"/>
      <w:numFmt w:val="chineseCounting"/>
      <w:suff w:val="nothing"/>
      <w:lvlText w:val="%1、"/>
      <w:lvlJc w:val="left"/>
      <w:pPr>
        <w:ind w:left="0" w:firstLine="420"/>
      </w:pPr>
      <w:rPr>
        <w:rFonts w:hint="eastAsia"/>
      </w:rPr>
    </w:lvl>
  </w:abstractNum>
  <w:abstractNum w:abstractNumId="28">
    <w:nsid w:val="5A1BC096"/>
    <w:multiLevelType w:val="singleLevel"/>
    <w:tmpl w:val="5A1BC096"/>
    <w:lvl w:ilvl="0" w:tentative="0">
      <w:start w:val="1"/>
      <w:numFmt w:val="chineseCounting"/>
      <w:suff w:val="nothing"/>
      <w:lvlText w:val="%1、"/>
      <w:lvlJc w:val="left"/>
      <w:pPr>
        <w:ind w:left="0" w:firstLine="420"/>
      </w:pPr>
      <w:rPr>
        <w:rFonts w:hint="eastAsia"/>
      </w:rPr>
    </w:lvl>
  </w:abstractNum>
  <w:abstractNum w:abstractNumId="29">
    <w:nsid w:val="5A1BC0C9"/>
    <w:multiLevelType w:val="singleLevel"/>
    <w:tmpl w:val="5A1BC0C9"/>
    <w:lvl w:ilvl="0" w:tentative="0">
      <w:start w:val="1"/>
      <w:numFmt w:val="chineseCounting"/>
      <w:suff w:val="nothing"/>
      <w:lvlText w:val="%1、"/>
      <w:lvlJc w:val="left"/>
      <w:pPr>
        <w:ind w:left="0" w:firstLine="420"/>
      </w:pPr>
      <w:rPr>
        <w:rFonts w:hint="eastAsia"/>
      </w:rPr>
    </w:lvl>
  </w:abstractNum>
  <w:abstractNum w:abstractNumId="30">
    <w:nsid w:val="5A1BC0DF"/>
    <w:multiLevelType w:val="singleLevel"/>
    <w:tmpl w:val="5A1BC0DF"/>
    <w:lvl w:ilvl="0" w:tentative="0">
      <w:start w:val="1"/>
      <w:numFmt w:val="chineseCounting"/>
      <w:suff w:val="nothing"/>
      <w:lvlText w:val="%1、"/>
      <w:lvlJc w:val="left"/>
      <w:pPr>
        <w:ind w:left="0" w:firstLine="420"/>
      </w:pPr>
      <w:rPr>
        <w:rFonts w:hint="eastAsia"/>
      </w:rPr>
    </w:lvl>
  </w:abstractNum>
  <w:abstractNum w:abstractNumId="31">
    <w:nsid w:val="5A1BC0F2"/>
    <w:multiLevelType w:val="singleLevel"/>
    <w:tmpl w:val="5A1BC0F2"/>
    <w:lvl w:ilvl="0" w:tentative="0">
      <w:start w:val="1"/>
      <w:numFmt w:val="chineseCounting"/>
      <w:suff w:val="nothing"/>
      <w:lvlText w:val="%1、"/>
      <w:lvlJc w:val="left"/>
      <w:pPr>
        <w:ind w:left="0" w:firstLine="420"/>
      </w:pPr>
      <w:rPr>
        <w:rFonts w:hint="eastAsia"/>
      </w:rPr>
    </w:lvl>
  </w:abstractNum>
  <w:abstractNum w:abstractNumId="32">
    <w:nsid w:val="5A1BC104"/>
    <w:multiLevelType w:val="singleLevel"/>
    <w:tmpl w:val="5A1BC104"/>
    <w:lvl w:ilvl="0" w:tentative="0">
      <w:start w:val="1"/>
      <w:numFmt w:val="chineseCounting"/>
      <w:suff w:val="nothing"/>
      <w:lvlText w:val="%1、"/>
      <w:lvlJc w:val="left"/>
      <w:pPr>
        <w:ind w:left="0" w:firstLine="420"/>
      </w:pPr>
      <w:rPr>
        <w:rFonts w:hint="eastAsia"/>
      </w:rPr>
    </w:lvl>
  </w:abstractNum>
  <w:abstractNum w:abstractNumId="33">
    <w:nsid w:val="5A1BC12D"/>
    <w:multiLevelType w:val="singleLevel"/>
    <w:tmpl w:val="5A1BC12D"/>
    <w:lvl w:ilvl="0" w:tentative="0">
      <w:start w:val="1"/>
      <w:numFmt w:val="chineseCounting"/>
      <w:suff w:val="nothing"/>
      <w:lvlText w:val="%1、"/>
      <w:lvlJc w:val="left"/>
      <w:pPr>
        <w:ind w:left="0" w:firstLine="420"/>
      </w:pPr>
      <w:rPr>
        <w:rFonts w:hint="eastAsia"/>
      </w:rPr>
    </w:lvl>
  </w:abstractNum>
  <w:abstractNum w:abstractNumId="34">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35">
    <w:nsid w:val="5A1BCF2F"/>
    <w:multiLevelType w:val="singleLevel"/>
    <w:tmpl w:val="5A1BCF2F"/>
    <w:lvl w:ilvl="0" w:tentative="0">
      <w:start w:val="1"/>
      <w:numFmt w:val="chineseCounting"/>
      <w:suff w:val="nothing"/>
      <w:lvlText w:val="%1、"/>
      <w:lvlJc w:val="left"/>
      <w:pPr>
        <w:ind w:left="0" w:firstLine="420"/>
      </w:pPr>
      <w:rPr>
        <w:rFonts w:hint="eastAsia"/>
      </w:rPr>
    </w:lvl>
  </w:abstractNum>
  <w:abstractNum w:abstractNumId="36">
    <w:nsid w:val="5A1BCF5D"/>
    <w:multiLevelType w:val="singleLevel"/>
    <w:tmpl w:val="5A1BCF5D"/>
    <w:lvl w:ilvl="0" w:tentative="0">
      <w:start w:val="1"/>
      <w:numFmt w:val="decimal"/>
      <w:suff w:val="nothing"/>
      <w:lvlText w:val="%1、"/>
      <w:lvlJc w:val="left"/>
    </w:lvl>
  </w:abstractNum>
  <w:abstractNum w:abstractNumId="37">
    <w:nsid w:val="5A1BD2C8"/>
    <w:multiLevelType w:val="singleLevel"/>
    <w:tmpl w:val="5A1BD2C8"/>
    <w:lvl w:ilvl="0" w:tentative="0">
      <w:start w:val="1"/>
      <w:numFmt w:val="chineseCounting"/>
      <w:suff w:val="nothing"/>
      <w:lvlText w:val="%1、"/>
      <w:lvlJc w:val="left"/>
      <w:pPr>
        <w:ind w:left="0" w:firstLine="420"/>
      </w:pPr>
      <w:rPr>
        <w:rFonts w:hint="eastAsia"/>
      </w:rPr>
    </w:lvl>
  </w:abstractNum>
  <w:abstractNum w:abstractNumId="38">
    <w:nsid w:val="5A1BD3D3"/>
    <w:multiLevelType w:val="singleLevel"/>
    <w:tmpl w:val="5A1BD3D3"/>
    <w:lvl w:ilvl="0" w:tentative="0">
      <w:start w:val="1"/>
      <w:numFmt w:val="chineseCounting"/>
      <w:suff w:val="nothing"/>
      <w:lvlText w:val="%1、"/>
      <w:lvlJc w:val="left"/>
      <w:pPr>
        <w:ind w:left="0" w:firstLine="420"/>
      </w:pPr>
      <w:rPr>
        <w:rFonts w:hint="eastAsia"/>
      </w:rPr>
    </w:lvl>
  </w:abstractNum>
  <w:abstractNum w:abstractNumId="39">
    <w:nsid w:val="5A1BD3EE"/>
    <w:multiLevelType w:val="singleLevel"/>
    <w:tmpl w:val="5A1BD3EE"/>
    <w:lvl w:ilvl="0" w:tentative="0">
      <w:start w:val="1"/>
      <w:numFmt w:val="chineseCounting"/>
      <w:suff w:val="nothing"/>
      <w:lvlText w:val="%1、"/>
      <w:lvlJc w:val="left"/>
      <w:pPr>
        <w:ind w:left="0" w:firstLine="420"/>
      </w:pPr>
      <w:rPr>
        <w:rFonts w:hint="eastAsia"/>
      </w:rPr>
    </w:lvl>
  </w:abstractNum>
  <w:abstractNum w:abstractNumId="40">
    <w:nsid w:val="5A1CF407"/>
    <w:multiLevelType w:val="singleLevel"/>
    <w:tmpl w:val="5A1CF407"/>
    <w:lvl w:ilvl="0" w:tentative="0">
      <w:start w:val="1"/>
      <w:numFmt w:val="chineseCounting"/>
      <w:suff w:val="nothing"/>
      <w:lvlText w:val="（%1）"/>
      <w:lvlJc w:val="left"/>
      <w:pPr>
        <w:ind w:left="0" w:firstLine="420"/>
      </w:pPr>
      <w:rPr>
        <w:rFonts w:hint="eastAsia"/>
      </w:rPr>
    </w:lvl>
  </w:abstractNum>
  <w:abstractNum w:abstractNumId="41">
    <w:nsid w:val="5A1CF43F"/>
    <w:multiLevelType w:val="singleLevel"/>
    <w:tmpl w:val="5A1CF43F"/>
    <w:lvl w:ilvl="0" w:tentative="0">
      <w:start w:val="1"/>
      <w:numFmt w:val="chineseCounting"/>
      <w:suff w:val="nothing"/>
      <w:lvlText w:val="%1、"/>
      <w:lvlJc w:val="left"/>
      <w:pPr>
        <w:ind w:left="0" w:firstLine="420"/>
      </w:pPr>
      <w:rPr>
        <w:rFonts w:hint="eastAsia"/>
      </w:rPr>
    </w:lvl>
  </w:abstractNum>
  <w:abstractNum w:abstractNumId="42">
    <w:nsid w:val="5A1CF453"/>
    <w:multiLevelType w:val="singleLevel"/>
    <w:tmpl w:val="5A1CF453"/>
    <w:lvl w:ilvl="0" w:tentative="0">
      <w:start w:val="1"/>
      <w:numFmt w:val="chineseCounting"/>
      <w:suff w:val="nothing"/>
      <w:lvlText w:val="（%1）"/>
      <w:lvlJc w:val="left"/>
      <w:pPr>
        <w:ind w:left="0" w:firstLine="420"/>
      </w:pPr>
      <w:rPr>
        <w:rFonts w:hint="eastAsia"/>
      </w:rPr>
    </w:lvl>
  </w:abstractNum>
  <w:abstractNum w:abstractNumId="43">
    <w:nsid w:val="5A1CF847"/>
    <w:multiLevelType w:val="singleLevel"/>
    <w:tmpl w:val="5A1CF847"/>
    <w:lvl w:ilvl="0" w:tentative="0">
      <w:start w:val="1"/>
      <w:numFmt w:val="chineseCounting"/>
      <w:suff w:val="nothing"/>
      <w:lvlText w:val="%1、"/>
      <w:lvlJc w:val="left"/>
      <w:pPr>
        <w:ind w:left="0" w:firstLine="420"/>
      </w:pPr>
      <w:rPr>
        <w:rFonts w:hint="eastAsia"/>
      </w:rPr>
    </w:lvl>
  </w:abstractNum>
  <w:abstractNum w:abstractNumId="44">
    <w:nsid w:val="5A1CF8F5"/>
    <w:multiLevelType w:val="singleLevel"/>
    <w:tmpl w:val="5A1CF8F5"/>
    <w:lvl w:ilvl="0" w:tentative="0">
      <w:start w:val="1"/>
      <w:numFmt w:val="chineseCounting"/>
      <w:suff w:val="nothing"/>
      <w:lvlText w:val="%1、"/>
      <w:lvlJc w:val="left"/>
      <w:pPr>
        <w:ind w:left="0" w:firstLine="420"/>
      </w:pPr>
      <w:rPr>
        <w:rFonts w:hint="eastAsia"/>
      </w:rPr>
    </w:lvl>
  </w:abstractNum>
  <w:abstractNum w:abstractNumId="45">
    <w:nsid w:val="5A1CFC04"/>
    <w:multiLevelType w:val="singleLevel"/>
    <w:tmpl w:val="5A1CFC04"/>
    <w:lvl w:ilvl="0" w:tentative="0">
      <w:start w:val="1"/>
      <w:numFmt w:val="chineseCounting"/>
      <w:suff w:val="nothing"/>
      <w:lvlText w:val="%1、"/>
      <w:lvlJc w:val="left"/>
      <w:pPr>
        <w:ind w:left="0" w:firstLine="420"/>
      </w:pPr>
      <w:rPr>
        <w:rFonts w:hint="eastAsia"/>
      </w:rPr>
    </w:lvl>
  </w:abstractNum>
  <w:abstractNum w:abstractNumId="46">
    <w:nsid w:val="5A1D0417"/>
    <w:multiLevelType w:val="singleLevel"/>
    <w:tmpl w:val="5A1D0417"/>
    <w:lvl w:ilvl="0" w:tentative="0">
      <w:start w:val="1"/>
      <w:numFmt w:val="chineseCounting"/>
      <w:suff w:val="nothing"/>
      <w:lvlText w:val="%1、"/>
      <w:lvlJc w:val="left"/>
      <w:pPr>
        <w:ind w:left="0" w:firstLine="420"/>
      </w:pPr>
      <w:rPr>
        <w:rFonts w:hint="eastAsia"/>
      </w:rPr>
    </w:lvl>
  </w:abstractNum>
  <w:abstractNum w:abstractNumId="47">
    <w:nsid w:val="5A1FAC91"/>
    <w:multiLevelType w:val="singleLevel"/>
    <w:tmpl w:val="5A1FAC91"/>
    <w:lvl w:ilvl="0" w:tentative="0">
      <w:start w:val="1"/>
      <w:numFmt w:val="chineseCounting"/>
      <w:suff w:val="nothing"/>
      <w:lvlText w:val="%1、"/>
      <w:lvlJc w:val="left"/>
      <w:pPr>
        <w:ind w:left="0" w:firstLine="420"/>
      </w:pPr>
      <w:rPr>
        <w:rFonts w:hint="eastAsia"/>
      </w:rPr>
    </w:lvl>
  </w:abstractNum>
  <w:abstractNum w:abstractNumId="48">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9">
    <w:nsid w:val="5A24ED4D"/>
    <w:multiLevelType w:val="singleLevel"/>
    <w:tmpl w:val="5A24ED4D"/>
    <w:lvl w:ilvl="0" w:tentative="0">
      <w:start w:val="1"/>
      <w:numFmt w:val="chineseCounting"/>
      <w:suff w:val="nothing"/>
      <w:lvlText w:val="%1、"/>
      <w:lvlJc w:val="left"/>
      <w:pPr>
        <w:ind w:left="0" w:firstLine="420"/>
      </w:pPr>
      <w:rPr>
        <w:rFonts w:hint="eastAsia"/>
      </w:rPr>
    </w:lvl>
  </w:abstractNum>
  <w:abstractNum w:abstractNumId="50">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51">
    <w:nsid w:val="5A24ED80"/>
    <w:multiLevelType w:val="singleLevel"/>
    <w:tmpl w:val="5A24ED80"/>
    <w:lvl w:ilvl="0" w:tentative="0">
      <w:start w:val="1"/>
      <w:numFmt w:val="chineseCounting"/>
      <w:suff w:val="nothing"/>
      <w:lvlText w:val="%1、"/>
      <w:lvlJc w:val="left"/>
      <w:pPr>
        <w:ind w:left="0" w:firstLine="420"/>
      </w:pPr>
      <w:rPr>
        <w:rFonts w:hint="eastAsia"/>
      </w:rPr>
    </w:lvl>
  </w:abstractNum>
  <w:abstractNum w:abstractNumId="52">
    <w:nsid w:val="5A24ED8E"/>
    <w:multiLevelType w:val="singleLevel"/>
    <w:tmpl w:val="5A24ED8E"/>
    <w:lvl w:ilvl="0" w:tentative="0">
      <w:start w:val="1"/>
      <w:numFmt w:val="chineseCounting"/>
      <w:suff w:val="nothing"/>
      <w:lvlText w:val="%1、"/>
      <w:lvlJc w:val="left"/>
      <w:pPr>
        <w:ind w:left="0" w:firstLine="420"/>
      </w:pPr>
      <w:rPr>
        <w:rFonts w:hint="eastAsia"/>
      </w:rPr>
    </w:lvl>
  </w:abstractNum>
  <w:abstractNum w:abstractNumId="53">
    <w:nsid w:val="5A24EE1D"/>
    <w:multiLevelType w:val="singleLevel"/>
    <w:tmpl w:val="5A24EE1D"/>
    <w:lvl w:ilvl="0" w:tentative="0">
      <w:start w:val="1"/>
      <w:numFmt w:val="chineseCounting"/>
      <w:suff w:val="nothing"/>
      <w:lvlText w:val="%1、"/>
      <w:lvlJc w:val="left"/>
      <w:pPr>
        <w:ind w:left="0" w:firstLine="420"/>
      </w:pPr>
      <w:rPr>
        <w:rFonts w:hint="eastAsia"/>
      </w:rPr>
    </w:lvl>
  </w:abstractNum>
  <w:abstractNum w:abstractNumId="54">
    <w:nsid w:val="5A24EE2D"/>
    <w:multiLevelType w:val="singleLevel"/>
    <w:tmpl w:val="5A24EE2D"/>
    <w:lvl w:ilvl="0" w:tentative="0">
      <w:start w:val="1"/>
      <w:numFmt w:val="chineseCounting"/>
      <w:suff w:val="nothing"/>
      <w:lvlText w:val="%1、"/>
      <w:lvlJc w:val="left"/>
      <w:pPr>
        <w:ind w:left="0" w:firstLine="420"/>
      </w:pPr>
      <w:rPr>
        <w:rFonts w:hint="eastAsia"/>
      </w:rPr>
    </w:lvl>
  </w:abstractNum>
  <w:abstractNum w:abstractNumId="55">
    <w:nsid w:val="5A24EE3F"/>
    <w:multiLevelType w:val="singleLevel"/>
    <w:tmpl w:val="5A24EE3F"/>
    <w:lvl w:ilvl="0" w:tentative="0">
      <w:start w:val="1"/>
      <w:numFmt w:val="chineseCounting"/>
      <w:suff w:val="nothing"/>
      <w:lvlText w:val="%1、"/>
      <w:lvlJc w:val="left"/>
      <w:pPr>
        <w:ind w:left="0" w:firstLine="420"/>
      </w:pPr>
      <w:rPr>
        <w:rFonts w:hint="eastAsia"/>
      </w:rPr>
    </w:lvl>
  </w:abstractNum>
  <w:abstractNum w:abstractNumId="56">
    <w:nsid w:val="5A24EE53"/>
    <w:multiLevelType w:val="singleLevel"/>
    <w:tmpl w:val="5A24EE53"/>
    <w:lvl w:ilvl="0" w:tentative="0">
      <w:start w:val="1"/>
      <w:numFmt w:val="chineseCounting"/>
      <w:suff w:val="nothing"/>
      <w:lvlText w:val="（%1）"/>
      <w:lvlJc w:val="left"/>
      <w:pPr>
        <w:ind w:left="0" w:firstLine="420"/>
      </w:pPr>
      <w:rPr>
        <w:rFonts w:hint="eastAsia"/>
      </w:rPr>
    </w:lvl>
  </w:abstractNum>
  <w:abstractNum w:abstractNumId="57">
    <w:nsid w:val="5A24EE76"/>
    <w:multiLevelType w:val="singleLevel"/>
    <w:tmpl w:val="5A24EE76"/>
    <w:lvl w:ilvl="0" w:tentative="0">
      <w:start w:val="1"/>
      <w:numFmt w:val="chineseCounting"/>
      <w:suff w:val="nothing"/>
      <w:lvlText w:val="%1、"/>
      <w:lvlJc w:val="left"/>
      <w:pPr>
        <w:ind w:left="0" w:firstLine="420"/>
      </w:pPr>
      <w:rPr>
        <w:rFonts w:hint="eastAsia"/>
      </w:rPr>
    </w:lvl>
  </w:abstractNum>
  <w:abstractNum w:abstractNumId="58">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9">
    <w:nsid w:val="642AA4F2"/>
    <w:multiLevelType w:val="singleLevel"/>
    <w:tmpl w:val="642AA4F2"/>
    <w:lvl w:ilvl="0" w:tentative="0">
      <w:start w:val="1"/>
      <w:numFmt w:val="decimal"/>
      <w:suff w:val="nothing"/>
      <w:lvlText w:val="%1、"/>
      <w:lvlJc w:val="left"/>
    </w:lvl>
  </w:abstractNum>
  <w:abstractNum w:abstractNumId="60">
    <w:nsid w:val="69306A10"/>
    <w:multiLevelType w:val="singleLevel"/>
    <w:tmpl w:val="69306A10"/>
    <w:lvl w:ilvl="0" w:tentative="0">
      <w:start w:val="4"/>
      <w:numFmt w:val="upperLetter"/>
      <w:suff w:val="nothing"/>
      <w:lvlText w:val="%1、"/>
      <w:lvlJc w:val="left"/>
    </w:lvl>
  </w:abstractNum>
  <w:abstractNum w:abstractNumId="61">
    <w:nsid w:val="6FCB37F9"/>
    <w:multiLevelType w:val="singleLevel"/>
    <w:tmpl w:val="6FCB37F9"/>
    <w:lvl w:ilvl="0" w:tentative="0">
      <w:start w:val="1"/>
      <w:numFmt w:val="decimal"/>
      <w:suff w:val="nothing"/>
      <w:lvlText w:val="%1、"/>
      <w:lvlJc w:val="left"/>
    </w:lvl>
  </w:abstractNum>
  <w:abstractNum w:abstractNumId="62">
    <w:nsid w:val="7BF64CA9"/>
    <w:multiLevelType w:val="multilevel"/>
    <w:tmpl w:val="7BF64CA9"/>
    <w:lvl w:ilvl="0" w:tentative="0">
      <w:start w:val="1"/>
      <w:numFmt w:val="chineseCountingThousand"/>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3">
    <w:nsid w:val="7ED023E2"/>
    <w:multiLevelType w:val="singleLevel"/>
    <w:tmpl w:val="7ED023E2"/>
    <w:lvl w:ilvl="0" w:tentative="0">
      <w:start w:val="1"/>
      <w:numFmt w:val="chineseCounting"/>
      <w:suff w:val="nothing"/>
      <w:lvlText w:val="%1、"/>
      <w:lvlJc w:val="left"/>
      <w:rPr>
        <w:rFonts w:hint="eastAsia"/>
      </w:rPr>
    </w:lvl>
  </w:abstractNum>
  <w:num w:numId="1">
    <w:abstractNumId w:val="11"/>
  </w:num>
  <w:num w:numId="2">
    <w:abstractNumId w:val="15"/>
  </w:num>
  <w:num w:numId="3">
    <w:abstractNumId w:val="12"/>
  </w:num>
  <w:num w:numId="4">
    <w:abstractNumId w:val="18"/>
  </w:num>
  <w:num w:numId="5">
    <w:abstractNumId w:val="4"/>
  </w:num>
  <w:num w:numId="6">
    <w:abstractNumId w:val="61"/>
  </w:num>
  <w:num w:numId="7">
    <w:abstractNumId w:val="62"/>
  </w:num>
  <w:num w:numId="8">
    <w:abstractNumId w:val="10"/>
  </w:num>
  <w:num w:numId="9">
    <w:abstractNumId w:val="26"/>
  </w:num>
  <w:num w:numId="10">
    <w:abstractNumId w:val="27"/>
  </w:num>
  <w:num w:numId="11">
    <w:abstractNumId w:val="28"/>
  </w:num>
  <w:num w:numId="12">
    <w:abstractNumId w:val="30"/>
  </w:num>
  <w:num w:numId="13">
    <w:abstractNumId w:val="8"/>
  </w:num>
  <w:num w:numId="14">
    <w:abstractNumId w:val="29"/>
  </w:num>
  <w:num w:numId="15">
    <w:abstractNumId w:val="31"/>
  </w:num>
  <w:num w:numId="16">
    <w:abstractNumId w:val="32"/>
  </w:num>
  <w:num w:numId="17">
    <w:abstractNumId w:val="33"/>
  </w:num>
  <w:num w:numId="18">
    <w:abstractNumId w:val="25"/>
  </w:num>
  <w:num w:numId="19">
    <w:abstractNumId w:val="24"/>
  </w:num>
  <w:num w:numId="20">
    <w:abstractNumId w:val="52"/>
  </w:num>
  <w:num w:numId="21">
    <w:abstractNumId w:val="51"/>
  </w:num>
  <w:num w:numId="22">
    <w:abstractNumId w:val="0"/>
  </w:num>
  <w:num w:numId="23">
    <w:abstractNumId w:val="50"/>
  </w:num>
  <w:num w:numId="24">
    <w:abstractNumId w:val="34"/>
  </w:num>
  <w:num w:numId="25">
    <w:abstractNumId w:val="47"/>
  </w:num>
  <w:num w:numId="26">
    <w:abstractNumId w:val="36"/>
  </w:num>
  <w:num w:numId="27">
    <w:abstractNumId w:val="35"/>
  </w:num>
  <w:num w:numId="28">
    <w:abstractNumId w:val="49"/>
  </w:num>
  <w:num w:numId="29">
    <w:abstractNumId w:val="48"/>
  </w:num>
  <w:num w:numId="30">
    <w:abstractNumId w:val="37"/>
  </w:num>
  <w:num w:numId="31">
    <w:abstractNumId w:val="38"/>
  </w:num>
  <w:num w:numId="32">
    <w:abstractNumId w:val="39"/>
  </w:num>
  <w:num w:numId="33">
    <w:abstractNumId w:val="19"/>
  </w:num>
  <w:num w:numId="34">
    <w:abstractNumId w:val="53"/>
  </w:num>
  <w:num w:numId="35">
    <w:abstractNumId w:val="54"/>
  </w:num>
  <w:num w:numId="36">
    <w:abstractNumId w:val="55"/>
  </w:num>
  <w:num w:numId="37">
    <w:abstractNumId w:val="56"/>
  </w:num>
  <w:num w:numId="38">
    <w:abstractNumId w:val="57"/>
  </w:num>
  <w:num w:numId="39">
    <w:abstractNumId w:val="22"/>
  </w:num>
  <w:num w:numId="40">
    <w:abstractNumId w:val="9"/>
  </w:num>
  <w:num w:numId="41">
    <w:abstractNumId w:val="23"/>
  </w:num>
  <w:num w:numId="42">
    <w:abstractNumId w:val="63"/>
  </w:num>
  <w:num w:numId="43">
    <w:abstractNumId w:val="59"/>
  </w:num>
  <w:num w:numId="44">
    <w:abstractNumId w:val="2"/>
  </w:num>
  <w:num w:numId="45">
    <w:abstractNumId w:val="17"/>
  </w:num>
  <w:num w:numId="46">
    <w:abstractNumId w:val="60"/>
  </w:num>
  <w:num w:numId="47">
    <w:abstractNumId w:val="5"/>
  </w:num>
  <w:num w:numId="48">
    <w:abstractNumId w:val="43"/>
  </w:num>
  <w:num w:numId="49">
    <w:abstractNumId w:val="40"/>
  </w:num>
  <w:num w:numId="50">
    <w:abstractNumId w:val="41"/>
  </w:num>
  <w:num w:numId="51">
    <w:abstractNumId w:val="20"/>
  </w:num>
  <w:num w:numId="52">
    <w:abstractNumId w:val="42"/>
  </w:num>
  <w:num w:numId="53">
    <w:abstractNumId w:val="44"/>
  </w:num>
  <w:num w:numId="54">
    <w:abstractNumId w:val="1"/>
  </w:num>
  <w:num w:numId="55">
    <w:abstractNumId w:val="45"/>
  </w:num>
  <w:num w:numId="56">
    <w:abstractNumId w:val="21"/>
  </w:num>
  <w:num w:numId="57">
    <w:abstractNumId w:val="58"/>
  </w:num>
  <w:num w:numId="58">
    <w:abstractNumId w:val="3"/>
  </w:num>
  <w:num w:numId="59">
    <w:abstractNumId w:val="7"/>
  </w:num>
  <w:num w:numId="60">
    <w:abstractNumId w:val="16"/>
  </w:num>
  <w:num w:numId="61">
    <w:abstractNumId w:val="6"/>
  </w:num>
  <w:num w:numId="62">
    <w:abstractNumId w:val="46"/>
  </w:num>
  <w:num w:numId="63">
    <w:abstractNumId w:val="14"/>
  </w:num>
  <w:num w:numId="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hideSpellingError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37D"/>
    <w:rsid w:val="00001C48"/>
    <w:rsid w:val="000024BC"/>
    <w:rsid w:val="00002925"/>
    <w:rsid w:val="00002C9E"/>
    <w:rsid w:val="0000472D"/>
    <w:rsid w:val="0000474A"/>
    <w:rsid w:val="00005414"/>
    <w:rsid w:val="000063D3"/>
    <w:rsid w:val="00007224"/>
    <w:rsid w:val="0000785C"/>
    <w:rsid w:val="000079C1"/>
    <w:rsid w:val="00007B68"/>
    <w:rsid w:val="00010AA2"/>
    <w:rsid w:val="00011086"/>
    <w:rsid w:val="00011A95"/>
    <w:rsid w:val="00012E61"/>
    <w:rsid w:val="00012F72"/>
    <w:rsid w:val="000131F9"/>
    <w:rsid w:val="000137C9"/>
    <w:rsid w:val="0001595A"/>
    <w:rsid w:val="00015DFB"/>
    <w:rsid w:val="00016AEA"/>
    <w:rsid w:val="00016E6A"/>
    <w:rsid w:val="00017F59"/>
    <w:rsid w:val="00020D79"/>
    <w:rsid w:val="00020DEE"/>
    <w:rsid w:val="00022677"/>
    <w:rsid w:val="00023399"/>
    <w:rsid w:val="000237E8"/>
    <w:rsid w:val="00023C54"/>
    <w:rsid w:val="00025F80"/>
    <w:rsid w:val="000313FF"/>
    <w:rsid w:val="00031419"/>
    <w:rsid w:val="00031528"/>
    <w:rsid w:val="00032B2C"/>
    <w:rsid w:val="000333CD"/>
    <w:rsid w:val="0003378B"/>
    <w:rsid w:val="000362A1"/>
    <w:rsid w:val="0003758F"/>
    <w:rsid w:val="000407F3"/>
    <w:rsid w:val="000409AA"/>
    <w:rsid w:val="00041BEB"/>
    <w:rsid w:val="0004286E"/>
    <w:rsid w:val="00042BB9"/>
    <w:rsid w:val="000438F0"/>
    <w:rsid w:val="000441EC"/>
    <w:rsid w:val="00044B0E"/>
    <w:rsid w:val="00044C1C"/>
    <w:rsid w:val="00044C8B"/>
    <w:rsid w:val="00044E8E"/>
    <w:rsid w:val="000475E5"/>
    <w:rsid w:val="00047FF4"/>
    <w:rsid w:val="00050B69"/>
    <w:rsid w:val="00050F96"/>
    <w:rsid w:val="00051825"/>
    <w:rsid w:val="00051C3A"/>
    <w:rsid w:val="000534BC"/>
    <w:rsid w:val="00055385"/>
    <w:rsid w:val="00056A07"/>
    <w:rsid w:val="00060163"/>
    <w:rsid w:val="000607DB"/>
    <w:rsid w:val="00061646"/>
    <w:rsid w:val="00062E57"/>
    <w:rsid w:val="00063A8E"/>
    <w:rsid w:val="00063B12"/>
    <w:rsid w:val="000665D0"/>
    <w:rsid w:val="00066BB4"/>
    <w:rsid w:val="00070CFF"/>
    <w:rsid w:val="00070FAF"/>
    <w:rsid w:val="00071456"/>
    <w:rsid w:val="00072924"/>
    <w:rsid w:val="0007459A"/>
    <w:rsid w:val="00075B9D"/>
    <w:rsid w:val="00076503"/>
    <w:rsid w:val="000773C7"/>
    <w:rsid w:val="000803E3"/>
    <w:rsid w:val="00081263"/>
    <w:rsid w:val="00081796"/>
    <w:rsid w:val="000818BC"/>
    <w:rsid w:val="00082655"/>
    <w:rsid w:val="000828C1"/>
    <w:rsid w:val="00083B0F"/>
    <w:rsid w:val="000846BC"/>
    <w:rsid w:val="00086155"/>
    <w:rsid w:val="00086D0F"/>
    <w:rsid w:val="00087903"/>
    <w:rsid w:val="00090956"/>
    <w:rsid w:val="00090A26"/>
    <w:rsid w:val="00090F84"/>
    <w:rsid w:val="0009171D"/>
    <w:rsid w:val="000943C7"/>
    <w:rsid w:val="00094C47"/>
    <w:rsid w:val="00096B87"/>
    <w:rsid w:val="000A002D"/>
    <w:rsid w:val="000A1FEC"/>
    <w:rsid w:val="000A2516"/>
    <w:rsid w:val="000A2D60"/>
    <w:rsid w:val="000A332B"/>
    <w:rsid w:val="000A37CF"/>
    <w:rsid w:val="000A4AE9"/>
    <w:rsid w:val="000A55FA"/>
    <w:rsid w:val="000A5FEE"/>
    <w:rsid w:val="000A7254"/>
    <w:rsid w:val="000A7C79"/>
    <w:rsid w:val="000B0976"/>
    <w:rsid w:val="000B0BF4"/>
    <w:rsid w:val="000B0E0B"/>
    <w:rsid w:val="000B23A3"/>
    <w:rsid w:val="000B2D86"/>
    <w:rsid w:val="000B3FEE"/>
    <w:rsid w:val="000B475F"/>
    <w:rsid w:val="000B4E88"/>
    <w:rsid w:val="000B54AD"/>
    <w:rsid w:val="000B5871"/>
    <w:rsid w:val="000B6AF2"/>
    <w:rsid w:val="000B6BD4"/>
    <w:rsid w:val="000B7961"/>
    <w:rsid w:val="000B7C61"/>
    <w:rsid w:val="000B7FB1"/>
    <w:rsid w:val="000C0116"/>
    <w:rsid w:val="000C0494"/>
    <w:rsid w:val="000C0A55"/>
    <w:rsid w:val="000C0CBA"/>
    <w:rsid w:val="000C15BB"/>
    <w:rsid w:val="000C194A"/>
    <w:rsid w:val="000C2C9F"/>
    <w:rsid w:val="000C2FFF"/>
    <w:rsid w:val="000C4F52"/>
    <w:rsid w:val="000C50B5"/>
    <w:rsid w:val="000C54CF"/>
    <w:rsid w:val="000C5F00"/>
    <w:rsid w:val="000C631A"/>
    <w:rsid w:val="000C6AD8"/>
    <w:rsid w:val="000C7C10"/>
    <w:rsid w:val="000D0055"/>
    <w:rsid w:val="000D066E"/>
    <w:rsid w:val="000D0D43"/>
    <w:rsid w:val="000D22E2"/>
    <w:rsid w:val="000D294E"/>
    <w:rsid w:val="000D3935"/>
    <w:rsid w:val="000D3FF3"/>
    <w:rsid w:val="000D54CA"/>
    <w:rsid w:val="000D57E3"/>
    <w:rsid w:val="000D5A59"/>
    <w:rsid w:val="000D62E7"/>
    <w:rsid w:val="000D72FC"/>
    <w:rsid w:val="000E01BD"/>
    <w:rsid w:val="000E09B4"/>
    <w:rsid w:val="000E1FD9"/>
    <w:rsid w:val="000E23F4"/>
    <w:rsid w:val="000E2E34"/>
    <w:rsid w:val="000E38D8"/>
    <w:rsid w:val="000E3B32"/>
    <w:rsid w:val="000E5907"/>
    <w:rsid w:val="000E5EAD"/>
    <w:rsid w:val="000E70F9"/>
    <w:rsid w:val="000E7772"/>
    <w:rsid w:val="000F1339"/>
    <w:rsid w:val="000F22BF"/>
    <w:rsid w:val="000F26BC"/>
    <w:rsid w:val="000F26C6"/>
    <w:rsid w:val="000F3701"/>
    <w:rsid w:val="000F51A7"/>
    <w:rsid w:val="00100D0E"/>
    <w:rsid w:val="00100F68"/>
    <w:rsid w:val="00101273"/>
    <w:rsid w:val="00101489"/>
    <w:rsid w:val="00102ECD"/>
    <w:rsid w:val="00102FFF"/>
    <w:rsid w:val="001037E9"/>
    <w:rsid w:val="00103A59"/>
    <w:rsid w:val="00103BCB"/>
    <w:rsid w:val="00103E5F"/>
    <w:rsid w:val="0010440D"/>
    <w:rsid w:val="00105AC1"/>
    <w:rsid w:val="00105CCB"/>
    <w:rsid w:val="0010664E"/>
    <w:rsid w:val="001067E0"/>
    <w:rsid w:val="00106C3C"/>
    <w:rsid w:val="00111D47"/>
    <w:rsid w:val="00111F75"/>
    <w:rsid w:val="0011397F"/>
    <w:rsid w:val="0011490E"/>
    <w:rsid w:val="001164A7"/>
    <w:rsid w:val="001168DB"/>
    <w:rsid w:val="001170FC"/>
    <w:rsid w:val="00117E01"/>
    <w:rsid w:val="001200B4"/>
    <w:rsid w:val="001211F5"/>
    <w:rsid w:val="00121D1C"/>
    <w:rsid w:val="00122E05"/>
    <w:rsid w:val="00123107"/>
    <w:rsid w:val="00123751"/>
    <w:rsid w:val="0012386F"/>
    <w:rsid w:val="00123A64"/>
    <w:rsid w:val="00124887"/>
    <w:rsid w:val="001255DD"/>
    <w:rsid w:val="00125C4B"/>
    <w:rsid w:val="00126029"/>
    <w:rsid w:val="00126115"/>
    <w:rsid w:val="001262DA"/>
    <w:rsid w:val="00127675"/>
    <w:rsid w:val="00131AD5"/>
    <w:rsid w:val="00133BF9"/>
    <w:rsid w:val="00140CCE"/>
    <w:rsid w:val="00142B1F"/>
    <w:rsid w:val="00143BF2"/>
    <w:rsid w:val="0014578A"/>
    <w:rsid w:val="0014673F"/>
    <w:rsid w:val="0014740E"/>
    <w:rsid w:val="0014772B"/>
    <w:rsid w:val="00150A9C"/>
    <w:rsid w:val="00151A69"/>
    <w:rsid w:val="00152A64"/>
    <w:rsid w:val="00153945"/>
    <w:rsid w:val="00153ABD"/>
    <w:rsid w:val="00153C00"/>
    <w:rsid w:val="00154859"/>
    <w:rsid w:val="00154E17"/>
    <w:rsid w:val="001564A9"/>
    <w:rsid w:val="00157889"/>
    <w:rsid w:val="00160734"/>
    <w:rsid w:val="0016156F"/>
    <w:rsid w:val="001622EA"/>
    <w:rsid w:val="00162E4D"/>
    <w:rsid w:val="00163474"/>
    <w:rsid w:val="00164592"/>
    <w:rsid w:val="001648A8"/>
    <w:rsid w:val="00165D98"/>
    <w:rsid w:val="0016797E"/>
    <w:rsid w:val="00167AAF"/>
    <w:rsid w:val="00167F4E"/>
    <w:rsid w:val="00170E34"/>
    <w:rsid w:val="00170EC4"/>
    <w:rsid w:val="00171813"/>
    <w:rsid w:val="00171F7F"/>
    <w:rsid w:val="00171FFB"/>
    <w:rsid w:val="0017227A"/>
    <w:rsid w:val="001725E8"/>
    <w:rsid w:val="00172A27"/>
    <w:rsid w:val="00172BFD"/>
    <w:rsid w:val="00172E2E"/>
    <w:rsid w:val="001739EE"/>
    <w:rsid w:val="0017408A"/>
    <w:rsid w:val="00174E1C"/>
    <w:rsid w:val="0017682F"/>
    <w:rsid w:val="0017683E"/>
    <w:rsid w:val="001773E8"/>
    <w:rsid w:val="00177583"/>
    <w:rsid w:val="00177A62"/>
    <w:rsid w:val="00180E2D"/>
    <w:rsid w:val="00181F7D"/>
    <w:rsid w:val="0018398F"/>
    <w:rsid w:val="00183AEB"/>
    <w:rsid w:val="00183C0A"/>
    <w:rsid w:val="001845DE"/>
    <w:rsid w:val="001851F4"/>
    <w:rsid w:val="001856E0"/>
    <w:rsid w:val="00185EFB"/>
    <w:rsid w:val="00186260"/>
    <w:rsid w:val="001869C7"/>
    <w:rsid w:val="00186D00"/>
    <w:rsid w:val="001878BF"/>
    <w:rsid w:val="00187E01"/>
    <w:rsid w:val="00191068"/>
    <w:rsid w:val="0019108A"/>
    <w:rsid w:val="00192AFA"/>
    <w:rsid w:val="00194369"/>
    <w:rsid w:val="001954DA"/>
    <w:rsid w:val="00196221"/>
    <w:rsid w:val="0019679D"/>
    <w:rsid w:val="00196D4F"/>
    <w:rsid w:val="00197D6D"/>
    <w:rsid w:val="001A0CA8"/>
    <w:rsid w:val="001A1BF6"/>
    <w:rsid w:val="001A1CC3"/>
    <w:rsid w:val="001A1D8D"/>
    <w:rsid w:val="001A3AE1"/>
    <w:rsid w:val="001A3E20"/>
    <w:rsid w:val="001A614A"/>
    <w:rsid w:val="001A63E7"/>
    <w:rsid w:val="001A7044"/>
    <w:rsid w:val="001A7212"/>
    <w:rsid w:val="001B0ED7"/>
    <w:rsid w:val="001B0ED9"/>
    <w:rsid w:val="001B1BEB"/>
    <w:rsid w:val="001B219D"/>
    <w:rsid w:val="001B2D5B"/>
    <w:rsid w:val="001B4A99"/>
    <w:rsid w:val="001B61F3"/>
    <w:rsid w:val="001B63DC"/>
    <w:rsid w:val="001B74F6"/>
    <w:rsid w:val="001C00E4"/>
    <w:rsid w:val="001C0FA8"/>
    <w:rsid w:val="001C27DA"/>
    <w:rsid w:val="001C31F0"/>
    <w:rsid w:val="001C32C1"/>
    <w:rsid w:val="001C34E3"/>
    <w:rsid w:val="001C3C80"/>
    <w:rsid w:val="001C3E11"/>
    <w:rsid w:val="001C4685"/>
    <w:rsid w:val="001C50C4"/>
    <w:rsid w:val="001C586D"/>
    <w:rsid w:val="001C64FA"/>
    <w:rsid w:val="001C717B"/>
    <w:rsid w:val="001C7248"/>
    <w:rsid w:val="001C7B1B"/>
    <w:rsid w:val="001D022E"/>
    <w:rsid w:val="001D02AA"/>
    <w:rsid w:val="001D0BB6"/>
    <w:rsid w:val="001D0D03"/>
    <w:rsid w:val="001D1211"/>
    <w:rsid w:val="001D17AB"/>
    <w:rsid w:val="001D2155"/>
    <w:rsid w:val="001D26B9"/>
    <w:rsid w:val="001D2769"/>
    <w:rsid w:val="001D3ECA"/>
    <w:rsid w:val="001D4C5D"/>
    <w:rsid w:val="001D637D"/>
    <w:rsid w:val="001D6472"/>
    <w:rsid w:val="001D6E99"/>
    <w:rsid w:val="001D7C5A"/>
    <w:rsid w:val="001D7E58"/>
    <w:rsid w:val="001E221B"/>
    <w:rsid w:val="001E2F42"/>
    <w:rsid w:val="001E336C"/>
    <w:rsid w:val="001E34EC"/>
    <w:rsid w:val="001E4FF0"/>
    <w:rsid w:val="001E51B4"/>
    <w:rsid w:val="001E57F9"/>
    <w:rsid w:val="001E581C"/>
    <w:rsid w:val="001E7F91"/>
    <w:rsid w:val="001F1EBD"/>
    <w:rsid w:val="001F22F0"/>
    <w:rsid w:val="001F294A"/>
    <w:rsid w:val="001F31BC"/>
    <w:rsid w:val="001F3A60"/>
    <w:rsid w:val="001F543A"/>
    <w:rsid w:val="001F67B8"/>
    <w:rsid w:val="001F712F"/>
    <w:rsid w:val="001F77F5"/>
    <w:rsid w:val="001F7DE9"/>
    <w:rsid w:val="0020067D"/>
    <w:rsid w:val="00201312"/>
    <w:rsid w:val="002018CC"/>
    <w:rsid w:val="00203B5C"/>
    <w:rsid w:val="002044EA"/>
    <w:rsid w:val="00204949"/>
    <w:rsid w:val="00205E9A"/>
    <w:rsid w:val="00207742"/>
    <w:rsid w:val="00210685"/>
    <w:rsid w:val="00212230"/>
    <w:rsid w:val="002122DE"/>
    <w:rsid w:val="002126AD"/>
    <w:rsid w:val="00212D78"/>
    <w:rsid w:val="00212E81"/>
    <w:rsid w:val="00213140"/>
    <w:rsid w:val="00213C4F"/>
    <w:rsid w:val="0021555A"/>
    <w:rsid w:val="00215632"/>
    <w:rsid w:val="0021579D"/>
    <w:rsid w:val="0021663A"/>
    <w:rsid w:val="00216B6D"/>
    <w:rsid w:val="00216F18"/>
    <w:rsid w:val="00217BC5"/>
    <w:rsid w:val="00217FC3"/>
    <w:rsid w:val="002214A2"/>
    <w:rsid w:val="002220D4"/>
    <w:rsid w:val="00222878"/>
    <w:rsid w:val="00222E31"/>
    <w:rsid w:val="00225D81"/>
    <w:rsid w:val="002275BE"/>
    <w:rsid w:val="00227CE3"/>
    <w:rsid w:val="00227F42"/>
    <w:rsid w:val="00230874"/>
    <w:rsid w:val="002309C2"/>
    <w:rsid w:val="00231A8C"/>
    <w:rsid w:val="002322B7"/>
    <w:rsid w:val="002323F6"/>
    <w:rsid w:val="00234380"/>
    <w:rsid w:val="002346F3"/>
    <w:rsid w:val="00234834"/>
    <w:rsid w:val="00235453"/>
    <w:rsid w:val="00236770"/>
    <w:rsid w:val="002377B6"/>
    <w:rsid w:val="00237D3D"/>
    <w:rsid w:val="00237F2C"/>
    <w:rsid w:val="002403D5"/>
    <w:rsid w:val="002407C8"/>
    <w:rsid w:val="00241E49"/>
    <w:rsid w:val="0024456C"/>
    <w:rsid w:val="002454E6"/>
    <w:rsid w:val="00245545"/>
    <w:rsid w:val="00246488"/>
    <w:rsid w:val="002474A3"/>
    <w:rsid w:val="00247829"/>
    <w:rsid w:val="00247C26"/>
    <w:rsid w:val="002515CC"/>
    <w:rsid w:val="00252548"/>
    <w:rsid w:val="00252703"/>
    <w:rsid w:val="00252A0F"/>
    <w:rsid w:val="00252FAC"/>
    <w:rsid w:val="002556FD"/>
    <w:rsid w:val="002563BD"/>
    <w:rsid w:val="0025692F"/>
    <w:rsid w:val="00256FDF"/>
    <w:rsid w:val="00257B76"/>
    <w:rsid w:val="00261662"/>
    <w:rsid w:val="002619BC"/>
    <w:rsid w:val="00263560"/>
    <w:rsid w:val="002645F0"/>
    <w:rsid w:val="00264F50"/>
    <w:rsid w:val="00266F83"/>
    <w:rsid w:val="00270984"/>
    <w:rsid w:val="00270E81"/>
    <w:rsid w:val="0027212F"/>
    <w:rsid w:val="002738DB"/>
    <w:rsid w:val="0027464F"/>
    <w:rsid w:val="002757CF"/>
    <w:rsid w:val="00276327"/>
    <w:rsid w:val="0027749F"/>
    <w:rsid w:val="00277BF7"/>
    <w:rsid w:val="00280218"/>
    <w:rsid w:val="002802AC"/>
    <w:rsid w:val="00280CD7"/>
    <w:rsid w:val="00280EA2"/>
    <w:rsid w:val="00281202"/>
    <w:rsid w:val="002818C6"/>
    <w:rsid w:val="00281A72"/>
    <w:rsid w:val="00281F12"/>
    <w:rsid w:val="0028405B"/>
    <w:rsid w:val="00284B1D"/>
    <w:rsid w:val="002854D6"/>
    <w:rsid w:val="002859FD"/>
    <w:rsid w:val="00285DF7"/>
    <w:rsid w:val="00286F46"/>
    <w:rsid w:val="00290753"/>
    <w:rsid w:val="00291A34"/>
    <w:rsid w:val="00291F74"/>
    <w:rsid w:val="00292977"/>
    <w:rsid w:val="00294CC2"/>
    <w:rsid w:val="00295057"/>
    <w:rsid w:val="002953A7"/>
    <w:rsid w:val="00295611"/>
    <w:rsid w:val="0029576F"/>
    <w:rsid w:val="00296ACB"/>
    <w:rsid w:val="002A02DD"/>
    <w:rsid w:val="002A0640"/>
    <w:rsid w:val="002A0E4B"/>
    <w:rsid w:val="002A4D00"/>
    <w:rsid w:val="002A4F5B"/>
    <w:rsid w:val="002A50B0"/>
    <w:rsid w:val="002A579C"/>
    <w:rsid w:val="002B0541"/>
    <w:rsid w:val="002B0C5C"/>
    <w:rsid w:val="002B12D0"/>
    <w:rsid w:val="002B38B1"/>
    <w:rsid w:val="002B39B6"/>
    <w:rsid w:val="002B3D69"/>
    <w:rsid w:val="002B40D6"/>
    <w:rsid w:val="002B46F8"/>
    <w:rsid w:val="002B529C"/>
    <w:rsid w:val="002B5A22"/>
    <w:rsid w:val="002B5AD2"/>
    <w:rsid w:val="002B65E0"/>
    <w:rsid w:val="002B6F15"/>
    <w:rsid w:val="002C08FD"/>
    <w:rsid w:val="002C0F7E"/>
    <w:rsid w:val="002C2382"/>
    <w:rsid w:val="002C5F49"/>
    <w:rsid w:val="002C61F6"/>
    <w:rsid w:val="002C6395"/>
    <w:rsid w:val="002D1873"/>
    <w:rsid w:val="002D22C4"/>
    <w:rsid w:val="002D248D"/>
    <w:rsid w:val="002D260B"/>
    <w:rsid w:val="002D28AA"/>
    <w:rsid w:val="002D38A9"/>
    <w:rsid w:val="002D397D"/>
    <w:rsid w:val="002D3D28"/>
    <w:rsid w:val="002D4CA5"/>
    <w:rsid w:val="002D4F54"/>
    <w:rsid w:val="002D4F56"/>
    <w:rsid w:val="002D53D1"/>
    <w:rsid w:val="002D5FE7"/>
    <w:rsid w:val="002D6190"/>
    <w:rsid w:val="002D6FF0"/>
    <w:rsid w:val="002E0C4E"/>
    <w:rsid w:val="002E0E97"/>
    <w:rsid w:val="002E0EF5"/>
    <w:rsid w:val="002E2572"/>
    <w:rsid w:val="002E2653"/>
    <w:rsid w:val="002E298F"/>
    <w:rsid w:val="002E2B0B"/>
    <w:rsid w:val="002E31AC"/>
    <w:rsid w:val="002E436D"/>
    <w:rsid w:val="002F0B37"/>
    <w:rsid w:val="002F3186"/>
    <w:rsid w:val="002F3B89"/>
    <w:rsid w:val="002F3D8D"/>
    <w:rsid w:val="002F3EEC"/>
    <w:rsid w:val="002F66B8"/>
    <w:rsid w:val="002F66EB"/>
    <w:rsid w:val="002F6FFC"/>
    <w:rsid w:val="002F7836"/>
    <w:rsid w:val="00301FBF"/>
    <w:rsid w:val="00302755"/>
    <w:rsid w:val="00303620"/>
    <w:rsid w:val="003036DC"/>
    <w:rsid w:val="0030495A"/>
    <w:rsid w:val="00305955"/>
    <w:rsid w:val="00305BBC"/>
    <w:rsid w:val="003061ED"/>
    <w:rsid w:val="003066BA"/>
    <w:rsid w:val="00306A5D"/>
    <w:rsid w:val="00306C9C"/>
    <w:rsid w:val="00307D10"/>
    <w:rsid w:val="0031111D"/>
    <w:rsid w:val="00311415"/>
    <w:rsid w:val="00311EA3"/>
    <w:rsid w:val="00313E4F"/>
    <w:rsid w:val="003142D8"/>
    <w:rsid w:val="0031438B"/>
    <w:rsid w:val="0031465A"/>
    <w:rsid w:val="003173DC"/>
    <w:rsid w:val="00320389"/>
    <w:rsid w:val="00323FB4"/>
    <w:rsid w:val="00324944"/>
    <w:rsid w:val="00324FEB"/>
    <w:rsid w:val="00325FB7"/>
    <w:rsid w:val="00326D73"/>
    <w:rsid w:val="00326F0F"/>
    <w:rsid w:val="00333692"/>
    <w:rsid w:val="00334E17"/>
    <w:rsid w:val="00335417"/>
    <w:rsid w:val="00336A5F"/>
    <w:rsid w:val="00337308"/>
    <w:rsid w:val="00340387"/>
    <w:rsid w:val="003406B9"/>
    <w:rsid w:val="00341D4C"/>
    <w:rsid w:val="003431EF"/>
    <w:rsid w:val="003434A6"/>
    <w:rsid w:val="003448E0"/>
    <w:rsid w:val="00345116"/>
    <w:rsid w:val="00345A7A"/>
    <w:rsid w:val="0034741B"/>
    <w:rsid w:val="003478A4"/>
    <w:rsid w:val="003500F7"/>
    <w:rsid w:val="00350E47"/>
    <w:rsid w:val="0035393C"/>
    <w:rsid w:val="0035583B"/>
    <w:rsid w:val="00356616"/>
    <w:rsid w:val="00356620"/>
    <w:rsid w:val="0035670E"/>
    <w:rsid w:val="003568B4"/>
    <w:rsid w:val="00360121"/>
    <w:rsid w:val="00360169"/>
    <w:rsid w:val="00360829"/>
    <w:rsid w:val="00361F68"/>
    <w:rsid w:val="00362E4E"/>
    <w:rsid w:val="00363A38"/>
    <w:rsid w:val="00363C7B"/>
    <w:rsid w:val="00365738"/>
    <w:rsid w:val="00366057"/>
    <w:rsid w:val="00367D7E"/>
    <w:rsid w:val="003707B0"/>
    <w:rsid w:val="00370E28"/>
    <w:rsid w:val="003713F9"/>
    <w:rsid w:val="00375C90"/>
    <w:rsid w:val="00376739"/>
    <w:rsid w:val="003770F4"/>
    <w:rsid w:val="00377485"/>
    <w:rsid w:val="00381CC3"/>
    <w:rsid w:val="00382537"/>
    <w:rsid w:val="0038290B"/>
    <w:rsid w:val="00384914"/>
    <w:rsid w:val="0038552C"/>
    <w:rsid w:val="00385F35"/>
    <w:rsid w:val="00385FE3"/>
    <w:rsid w:val="00386017"/>
    <w:rsid w:val="0038645C"/>
    <w:rsid w:val="0038752E"/>
    <w:rsid w:val="003875E6"/>
    <w:rsid w:val="0038797A"/>
    <w:rsid w:val="00387ABC"/>
    <w:rsid w:val="003902E1"/>
    <w:rsid w:val="0039034B"/>
    <w:rsid w:val="00392257"/>
    <w:rsid w:val="003929C3"/>
    <w:rsid w:val="00393D0F"/>
    <w:rsid w:val="00393E7F"/>
    <w:rsid w:val="00395837"/>
    <w:rsid w:val="00395AD1"/>
    <w:rsid w:val="003977F0"/>
    <w:rsid w:val="003A0763"/>
    <w:rsid w:val="003A4325"/>
    <w:rsid w:val="003A7913"/>
    <w:rsid w:val="003B014A"/>
    <w:rsid w:val="003B1DC7"/>
    <w:rsid w:val="003B1F4B"/>
    <w:rsid w:val="003B248D"/>
    <w:rsid w:val="003B40CE"/>
    <w:rsid w:val="003B4171"/>
    <w:rsid w:val="003B4473"/>
    <w:rsid w:val="003B6363"/>
    <w:rsid w:val="003B6C2F"/>
    <w:rsid w:val="003B76BC"/>
    <w:rsid w:val="003B77E9"/>
    <w:rsid w:val="003C085F"/>
    <w:rsid w:val="003C0FFA"/>
    <w:rsid w:val="003C1282"/>
    <w:rsid w:val="003C1429"/>
    <w:rsid w:val="003C2935"/>
    <w:rsid w:val="003C301A"/>
    <w:rsid w:val="003C32F8"/>
    <w:rsid w:val="003C60DC"/>
    <w:rsid w:val="003C6903"/>
    <w:rsid w:val="003C722E"/>
    <w:rsid w:val="003C72AC"/>
    <w:rsid w:val="003C7BFE"/>
    <w:rsid w:val="003D0AF8"/>
    <w:rsid w:val="003D1976"/>
    <w:rsid w:val="003D42B9"/>
    <w:rsid w:val="003D5566"/>
    <w:rsid w:val="003D595F"/>
    <w:rsid w:val="003D6E50"/>
    <w:rsid w:val="003E1012"/>
    <w:rsid w:val="003E19DF"/>
    <w:rsid w:val="003E33DA"/>
    <w:rsid w:val="003E4984"/>
    <w:rsid w:val="003E55FC"/>
    <w:rsid w:val="003E5A39"/>
    <w:rsid w:val="003E5FAE"/>
    <w:rsid w:val="003E64F7"/>
    <w:rsid w:val="003E7846"/>
    <w:rsid w:val="003F11F1"/>
    <w:rsid w:val="003F2A4A"/>
    <w:rsid w:val="003F34CD"/>
    <w:rsid w:val="003F4469"/>
    <w:rsid w:val="003F4FB6"/>
    <w:rsid w:val="003F586C"/>
    <w:rsid w:val="003F64CF"/>
    <w:rsid w:val="003F754C"/>
    <w:rsid w:val="004006F0"/>
    <w:rsid w:val="0040196C"/>
    <w:rsid w:val="0040282A"/>
    <w:rsid w:val="00403317"/>
    <w:rsid w:val="00403EAC"/>
    <w:rsid w:val="0040583A"/>
    <w:rsid w:val="00406EF3"/>
    <w:rsid w:val="00407130"/>
    <w:rsid w:val="00407575"/>
    <w:rsid w:val="004101F8"/>
    <w:rsid w:val="00410861"/>
    <w:rsid w:val="00410EBA"/>
    <w:rsid w:val="00412B1D"/>
    <w:rsid w:val="00413261"/>
    <w:rsid w:val="004138FB"/>
    <w:rsid w:val="004147A8"/>
    <w:rsid w:val="004170C8"/>
    <w:rsid w:val="004174C5"/>
    <w:rsid w:val="00417CD3"/>
    <w:rsid w:val="0042087A"/>
    <w:rsid w:val="00420904"/>
    <w:rsid w:val="00420A39"/>
    <w:rsid w:val="00420A94"/>
    <w:rsid w:val="00422CC4"/>
    <w:rsid w:val="0042339F"/>
    <w:rsid w:val="0042386E"/>
    <w:rsid w:val="0043126E"/>
    <w:rsid w:val="0043228A"/>
    <w:rsid w:val="00432ACD"/>
    <w:rsid w:val="00432C08"/>
    <w:rsid w:val="004335FF"/>
    <w:rsid w:val="00433751"/>
    <w:rsid w:val="00433AB0"/>
    <w:rsid w:val="00435C8E"/>
    <w:rsid w:val="00436327"/>
    <w:rsid w:val="0043701E"/>
    <w:rsid w:val="004373D1"/>
    <w:rsid w:val="0043779F"/>
    <w:rsid w:val="00437CF5"/>
    <w:rsid w:val="00440ABA"/>
    <w:rsid w:val="0044131E"/>
    <w:rsid w:val="00442F46"/>
    <w:rsid w:val="0044375A"/>
    <w:rsid w:val="00443901"/>
    <w:rsid w:val="00444569"/>
    <w:rsid w:val="0044477C"/>
    <w:rsid w:val="00444B86"/>
    <w:rsid w:val="004457D6"/>
    <w:rsid w:val="00445ED9"/>
    <w:rsid w:val="00446063"/>
    <w:rsid w:val="004460EB"/>
    <w:rsid w:val="00450AED"/>
    <w:rsid w:val="00450D9A"/>
    <w:rsid w:val="0045262E"/>
    <w:rsid w:val="004537BE"/>
    <w:rsid w:val="00454399"/>
    <w:rsid w:val="00455C66"/>
    <w:rsid w:val="00455E35"/>
    <w:rsid w:val="00456007"/>
    <w:rsid w:val="00456804"/>
    <w:rsid w:val="0046046A"/>
    <w:rsid w:val="00460D9A"/>
    <w:rsid w:val="004613D5"/>
    <w:rsid w:val="00462131"/>
    <w:rsid w:val="00462841"/>
    <w:rsid w:val="00464A32"/>
    <w:rsid w:val="00465117"/>
    <w:rsid w:val="004665EE"/>
    <w:rsid w:val="004677C3"/>
    <w:rsid w:val="004726BD"/>
    <w:rsid w:val="0047378E"/>
    <w:rsid w:val="00473C32"/>
    <w:rsid w:val="004741D4"/>
    <w:rsid w:val="00474830"/>
    <w:rsid w:val="00474972"/>
    <w:rsid w:val="0047497A"/>
    <w:rsid w:val="004750C5"/>
    <w:rsid w:val="00475505"/>
    <w:rsid w:val="0047646B"/>
    <w:rsid w:val="00477F64"/>
    <w:rsid w:val="00480D14"/>
    <w:rsid w:val="004810ED"/>
    <w:rsid w:val="0048172F"/>
    <w:rsid w:val="0048332E"/>
    <w:rsid w:val="00484432"/>
    <w:rsid w:val="00484815"/>
    <w:rsid w:val="00484A7B"/>
    <w:rsid w:val="00484D78"/>
    <w:rsid w:val="00485267"/>
    <w:rsid w:val="00490107"/>
    <w:rsid w:val="004906D5"/>
    <w:rsid w:val="004919ED"/>
    <w:rsid w:val="0049340B"/>
    <w:rsid w:val="0049580A"/>
    <w:rsid w:val="0049589E"/>
    <w:rsid w:val="00495D2D"/>
    <w:rsid w:val="00496ADC"/>
    <w:rsid w:val="0049793F"/>
    <w:rsid w:val="004A131A"/>
    <w:rsid w:val="004A1FCE"/>
    <w:rsid w:val="004A2D5A"/>
    <w:rsid w:val="004A3493"/>
    <w:rsid w:val="004A4264"/>
    <w:rsid w:val="004A4754"/>
    <w:rsid w:val="004A4ECE"/>
    <w:rsid w:val="004A6F67"/>
    <w:rsid w:val="004B07BF"/>
    <w:rsid w:val="004B0B3C"/>
    <w:rsid w:val="004B10D5"/>
    <w:rsid w:val="004B1A3D"/>
    <w:rsid w:val="004B22B0"/>
    <w:rsid w:val="004B251A"/>
    <w:rsid w:val="004B2950"/>
    <w:rsid w:val="004B2F1D"/>
    <w:rsid w:val="004B4A18"/>
    <w:rsid w:val="004B50EF"/>
    <w:rsid w:val="004B56E6"/>
    <w:rsid w:val="004B59CC"/>
    <w:rsid w:val="004B6B92"/>
    <w:rsid w:val="004B7271"/>
    <w:rsid w:val="004B738C"/>
    <w:rsid w:val="004C1014"/>
    <w:rsid w:val="004C1537"/>
    <w:rsid w:val="004C21EB"/>
    <w:rsid w:val="004C36CE"/>
    <w:rsid w:val="004C3A9B"/>
    <w:rsid w:val="004C46F2"/>
    <w:rsid w:val="004C5C67"/>
    <w:rsid w:val="004C5CFB"/>
    <w:rsid w:val="004C6C38"/>
    <w:rsid w:val="004C79FD"/>
    <w:rsid w:val="004D006E"/>
    <w:rsid w:val="004D056F"/>
    <w:rsid w:val="004D1727"/>
    <w:rsid w:val="004D17A8"/>
    <w:rsid w:val="004D53B2"/>
    <w:rsid w:val="004D6222"/>
    <w:rsid w:val="004E001A"/>
    <w:rsid w:val="004E101E"/>
    <w:rsid w:val="004E12FC"/>
    <w:rsid w:val="004E16C0"/>
    <w:rsid w:val="004E28D9"/>
    <w:rsid w:val="004E40E2"/>
    <w:rsid w:val="004E4A2E"/>
    <w:rsid w:val="004E69D1"/>
    <w:rsid w:val="004E7F9E"/>
    <w:rsid w:val="004F2112"/>
    <w:rsid w:val="004F3B9C"/>
    <w:rsid w:val="004F509D"/>
    <w:rsid w:val="004F588F"/>
    <w:rsid w:val="004F5959"/>
    <w:rsid w:val="004F627A"/>
    <w:rsid w:val="004F65E3"/>
    <w:rsid w:val="004F6C43"/>
    <w:rsid w:val="00500BD1"/>
    <w:rsid w:val="00500DEB"/>
    <w:rsid w:val="005012C8"/>
    <w:rsid w:val="00502579"/>
    <w:rsid w:val="00503EA7"/>
    <w:rsid w:val="00503FEF"/>
    <w:rsid w:val="00505493"/>
    <w:rsid w:val="00505D21"/>
    <w:rsid w:val="00506093"/>
    <w:rsid w:val="00506F41"/>
    <w:rsid w:val="0050756B"/>
    <w:rsid w:val="00511370"/>
    <w:rsid w:val="00512298"/>
    <w:rsid w:val="00513F37"/>
    <w:rsid w:val="005145BB"/>
    <w:rsid w:val="00516021"/>
    <w:rsid w:val="00516358"/>
    <w:rsid w:val="005166B8"/>
    <w:rsid w:val="0052257B"/>
    <w:rsid w:val="005227EC"/>
    <w:rsid w:val="00522A7F"/>
    <w:rsid w:val="00523022"/>
    <w:rsid w:val="00524461"/>
    <w:rsid w:val="005255C6"/>
    <w:rsid w:val="005274B2"/>
    <w:rsid w:val="0052768C"/>
    <w:rsid w:val="00527881"/>
    <w:rsid w:val="00530680"/>
    <w:rsid w:val="0053103D"/>
    <w:rsid w:val="0053233E"/>
    <w:rsid w:val="00532384"/>
    <w:rsid w:val="00532757"/>
    <w:rsid w:val="00534C33"/>
    <w:rsid w:val="00535FBD"/>
    <w:rsid w:val="00537120"/>
    <w:rsid w:val="005378A2"/>
    <w:rsid w:val="00540145"/>
    <w:rsid w:val="005423B5"/>
    <w:rsid w:val="00543975"/>
    <w:rsid w:val="00543B4B"/>
    <w:rsid w:val="00543EB8"/>
    <w:rsid w:val="0054454D"/>
    <w:rsid w:val="00544BA4"/>
    <w:rsid w:val="005502DD"/>
    <w:rsid w:val="005503B8"/>
    <w:rsid w:val="005513B1"/>
    <w:rsid w:val="00552640"/>
    <w:rsid w:val="005559DE"/>
    <w:rsid w:val="00556517"/>
    <w:rsid w:val="0055713D"/>
    <w:rsid w:val="00560BD1"/>
    <w:rsid w:val="00561489"/>
    <w:rsid w:val="005621AA"/>
    <w:rsid w:val="00562C0E"/>
    <w:rsid w:val="00562C8D"/>
    <w:rsid w:val="00563947"/>
    <w:rsid w:val="00564A99"/>
    <w:rsid w:val="0056573D"/>
    <w:rsid w:val="0056718F"/>
    <w:rsid w:val="0056748F"/>
    <w:rsid w:val="00567CCD"/>
    <w:rsid w:val="00567E98"/>
    <w:rsid w:val="00567EA1"/>
    <w:rsid w:val="00567FD6"/>
    <w:rsid w:val="0057012F"/>
    <w:rsid w:val="005706E1"/>
    <w:rsid w:val="005713FE"/>
    <w:rsid w:val="00572472"/>
    <w:rsid w:val="0057251B"/>
    <w:rsid w:val="00572BFB"/>
    <w:rsid w:val="00575376"/>
    <w:rsid w:val="00575F6F"/>
    <w:rsid w:val="00577F62"/>
    <w:rsid w:val="005813CA"/>
    <w:rsid w:val="00582428"/>
    <w:rsid w:val="00582B37"/>
    <w:rsid w:val="00582C87"/>
    <w:rsid w:val="00582DC3"/>
    <w:rsid w:val="0058338A"/>
    <w:rsid w:val="0058362D"/>
    <w:rsid w:val="00586013"/>
    <w:rsid w:val="005864EB"/>
    <w:rsid w:val="00586C7D"/>
    <w:rsid w:val="00586D5F"/>
    <w:rsid w:val="00590326"/>
    <w:rsid w:val="00590B24"/>
    <w:rsid w:val="00590B37"/>
    <w:rsid w:val="00590CF0"/>
    <w:rsid w:val="00591DA0"/>
    <w:rsid w:val="00592FAF"/>
    <w:rsid w:val="00593034"/>
    <w:rsid w:val="00593081"/>
    <w:rsid w:val="00593971"/>
    <w:rsid w:val="00593AB4"/>
    <w:rsid w:val="005952D3"/>
    <w:rsid w:val="00595DF1"/>
    <w:rsid w:val="00597FDB"/>
    <w:rsid w:val="005A00DB"/>
    <w:rsid w:val="005A07EA"/>
    <w:rsid w:val="005A1602"/>
    <w:rsid w:val="005A21F5"/>
    <w:rsid w:val="005A27C6"/>
    <w:rsid w:val="005A2886"/>
    <w:rsid w:val="005A2D1A"/>
    <w:rsid w:val="005A341D"/>
    <w:rsid w:val="005A3615"/>
    <w:rsid w:val="005A40EE"/>
    <w:rsid w:val="005A4CDE"/>
    <w:rsid w:val="005A52B2"/>
    <w:rsid w:val="005A56AF"/>
    <w:rsid w:val="005A6536"/>
    <w:rsid w:val="005A65D7"/>
    <w:rsid w:val="005B0684"/>
    <w:rsid w:val="005B17BD"/>
    <w:rsid w:val="005B1CDF"/>
    <w:rsid w:val="005B1F26"/>
    <w:rsid w:val="005B308E"/>
    <w:rsid w:val="005B3E97"/>
    <w:rsid w:val="005B3FF7"/>
    <w:rsid w:val="005B4FD9"/>
    <w:rsid w:val="005B53F8"/>
    <w:rsid w:val="005B57A5"/>
    <w:rsid w:val="005B5B45"/>
    <w:rsid w:val="005B602E"/>
    <w:rsid w:val="005B68AC"/>
    <w:rsid w:val="005C0264"/>
    <w:rsid w:val="005C0E2D"/>
    <w:rsid w:val="005C4D74"/>
    <w:rsid w:val="005C70AF"/>
    <w:rsid w:val="005D21CC"/>
    <w:rsid w:val="005D321D"/>
    <w:rsid w:val="005D363A"/>
    <w:rsid w:val="005D682D"/>
    <w:rsid w:val="005D6E56"/>
    <w:rsid w:val="005D6F06"/>
    <w:rsid w:val="005D7726"/>
    <w:rsid w:val="005E0CDA"/>
    <w:rsid w:val="005E1B47"/>
    <w:rsid w:val="005E4C17"/>
    <w:rsid w:val="005E61E5"/>
    <w:rsid w:val="005E657C"/>
    <w:rsid w:val="005E7492"/>
    <w:rsid w:val="005F0401"/>
    <w:rsid w:val="005F0968"/>
    <w:rsid w:val="005F11F4"/>
    <w:rsid w:val="005F1281"/>
    <w:rsid w:val="005F164F"/>
    <w:rsid w:val="005F2BBC"/>
    <w:rsid w:val="005F57B0"/>
    <w:rsid w:val="005F61B0"/>
    <w:rsid w:val="005F68DC"/>
    <w:rsid w:val="005F69E2"/>
    <w:rsid w:val="005F6C82"/>
    <w:rsid w:val="006001B7"/>
    <w:rsid w:val="00600AAA"/>
    <w:rsid w:val="00601855"/>
    <w:rsid w:val="006026AC"/>
    <w:rsid w:val="00603897"/>
    <w:rsid w:val="00604041"/>
    <w:rsid w:val="00604BBC"/>
    <w:rsid w:val="006068BD"/>
    <w:rsid w:val="00607D3C"/>
    <w:rsid w:val="006107B4"/>
    <w:rsid w:val="00610A9D"/>
    <w:rsid w:val="0061220A"/>
    <w:rsid w:val="00614532"/>
    <w:rsid w:val="00615B8B"/>
    <w:rsid w:val="006174BE"/>
    <w:rsid w:val="00617E20"/>
    <w:rsid w:val="006220DF"/>
    <w:rsid w:val="006221C0"/>
    <w:rsid w:val="0062351E"/>
    <w:rsid w:val="00623D4A"/>
    <w:rsid w:val="00623E17"/>
    <w:rsid w:val="0062634B"/>
    <w:rsid w:val="00626749"/>
    <w:rsid w:val="00627977"/>
    <w:rsid w:val="00627FFC"/>
    <w:rsid w:val="0063211B"/>
    <w:rsid w:val="006325D6"/>
    <w:rsid w:val="006328A6"/>
    <w:rsid w:val="00632C89"/>
    <w:rsid w:val="006333F8"/>
    <w:rsid w:val="00633A0E"/>
    <w:rsid w:val="00635474"/>
    <w:rsid w:val="00635987"/>
    <w:rsid w:val="00635F3B"/>
    <w:rsid w:val="006368A3"/>
    <w:rsid w:val="00637D17"/>
    <w:rsid w:val="00640287"/>
    <w:rsid w:val="0064198A"/>
    <w:rsid w:val="006428FD"/>
    <w:rsid w:val="00642C80"/>
    <w:rsid w:val="0064392E"/>
    <w:rsid w:val="00643CEB"/>
    <w:rsid w:val="00643EDA"/>
    <w:rsid w:val="0064441B"/>
    <w:rsid w:val="006449E3"/>
    <w:rsid w:val="00644E03"/>
    <w:rsid w:val="0064529E"/>
    <w:rsid w:val="00650286"/>
    <w:rsid w:val="006503DD"/>
    <w:rsid w:val="00650AFC"/>
    <w:rsid w:val="00651830"/>
    <w:rsid w:val="00651EA3"/>
    <w:rsid w:val="00651FB5"/>
    <w:rsid w:val="0065273C"/>
    <w:rsid w:val="00653395"/>
    <w:rsid w:val="00653590"/>
    <w:rsid w:val="00653F46"/>
    <w:rsid w:val="0065404E"/>
    <w:rsid w:val="00654099"/>
    <w:rsid w:val="006555C8"/>
    <w:rsid w:val="006561EB"/>
    <w:rsid w:val="0065654B"/>
    <w:rsid w:val="00656711"/>
    <w:rsid w:val="0065694C"/>
    <w:rsid w:val="00656AE9"/>
    <w:rsid w:val="0065724C"/>
    <w:rsid w:val="006578FC"/>
    <w:rsid w:val="0065797D"/>
    <w:rsid w:val="006579E8"/>
    <w:rsid w:val="00660049"/>
    <w:rsid w:val="00660C04"/>
    <w:rsid w:val="00660FE2"/>
    <w:rsid w:val="00661313"/>
    <w:rsid w:val="006617BC"/>
    <w:rsid w:val="006624AD"/>
    <w:rsid w:val="0066385B"/>
    <w:rsid w:val="006660D2"/>
    <w:rsid w:val="006707BC"/>
    <w:rsid w:val="00671020"/>
    <w:rsid w:val="0067170B"/>
    <w:rsid w:val="00671715"/>
    <w:rsid w:val="00671C0C"/>
    <w:rsid w:val="00674487"/>
    <w:rsid w:val="00675DF2"/>
    <w:rsid w:val="006773CC"/>
    <w:rsid w:val="006810F6"/>
    <w:rsid w:val="006830C5"/>
    <w:rsid w:val="00683567"/>
    <w:rsid w:val="0068378E"/>
    <w:rsid w:val="006837B1"/>
    <w:rsid w:val="00683F8A"/>
    <w:rsid w:val="006847E6"/>
    <w:rsid w:val="006854B1"/>
    <w:rsid w:val="006861BE"/>
    <w:rsid w:val="0068620E"/>
    <w:rsid w:val="00686B8F"/>
    <w:rsid w:val="00687DCE"/>
    <w:rsid w:val="0069112F"/>
    <w:rsid w:val="006911DE"/>
    <w:rsid w:val="006916B7"/>
    <w:rsid w:val="00691E7A"/>
    <w:rsid w:val="006920E1"/>
    <w:rsid w:val="00692748"/>
    <w:rsid w:val="0069389D"/>
    <w:rsid w:val="00693EB1"/>
    <w:rsid w:val="0069555A"/>
    <w:rsid w:val="00696731"/>
    <w:rsid w:val="006967C6"/>
    <w:rsid w:val="00696A33"/>
    <w:rsid w:val="00696D08"/>
    <w:rsid w:val="00696F9F"/>
    <w:rsid w:val="006977A3"/>
    <w:rsid w:val="006A0741"/>
    <w:rsid w:val="006A0C78"/>
    <w:rsid w:val="006A0E18"/>
    <w:rsid w:val="006A29CC"/>
    <w:rsid w:val="006A44C7"/>
    <w:rsid w:val="006A7538"/>
    <w:rsid w:val="006A7FA5"/>
    <w:rsid w:val="006B0EEF"/>
    <w:rsid w:val="006B3271"/>
    <w:rsid w:val="006B36F0"/>
    <w:rsid w:val="006B3E0D"/>
    <w:rsid w:val="006B4154"/>
    <w:rsid w:val="006B578D"/>
    <w:rsid w:val="006B5DA3"/>
    <w:rsid w:val="006C021A"/>
    <w:rsid w:val="006C0851"/>
    <w:rsid w:val="006C0C98"/>
    <w:rsid w:val="006C107A"/>
    <w:rsid w:val="006C112E"/>
    <w:rsid w:val="006C285E"/>
    <w:rsid w:val="006C3250"/>
    <w:rsid w:val="006C4406"/>
    <w:rsid w:val="006C5DDA"/>
    <w:rsid w:val="006C5FDE"/>
    <w:rsid w:val="006C6B7C"/>
    <w:rsid w:val="006C6E54"/>
    <w:rsid w:val="006D0E9A"/>
    <w:rsid w:val="006D160F"/>
    <w:rsid w:val="006D21F1"/>
    <w:rsid w:val="006D2AB6"/>
    <w:rsid w:val="006D31FD"/>
    <w:rsid w:val="006D3A03"/>
    <w:rsid w:val="006D3A9A"/>
    <w:rsid w:val="006D4CFB"/>
    <w:rsid w:val="006D4EDF"/>
    <w:rsid w:val="006D52EB"/>
    <w:rsid w:val="006D56BD"/>
    <w:rsid w:val="006D5F2A"/>
    <w:rsid w:val="006D7270"/>
    <w:rsid w:val="006D72BC"/>
    <w:rsid w:val="006D7598"/>
    <w:rsid w:val="006D79CE"/>
    <w:rsid w:val="006D7F8E"/>
    <w:rsid w:val="006E027B"/>
    <w:rsid w:val="006E03BE"/>
    <w:rsid w:val="006E2009"/>
    <w:rsid w:val="006E2524"/>
    <w:rsid w:val="006E31F0"/>
    <w:rsid w:val="006E4023"/>
    <w:rsid w:val="006E5115"/>
    <w:rsid w:val="006E55D4"/>
    <w:rsid w:val="006E5799"/>
    <w:rsid w:val="006F0884"/>
    <w:rsid w:val="006F12A6"/>
    <w:rsid w:val="006F15A9"/>
    <w:rsid w:val="006F1F9B"/>
    <w:rsid w:val="006F24AF"/>
    <w:rsid w:val="006F3A54"/>
    <w:rsid w:val="006F5F42"/>
    <w:rsid w:val="006F6719"/>
    <w:rsid w:val="006F795E"/>
    <w:rsid w:val="006F7986"/>
    <w:rsid w:val="006F7997"/>
    <w:rsid w:val="006F7B3A"/>
    <w:rsid w:val="0070025C"/>
    <w:rsid w:val="00701FC2"/>
    <w:rsid w:val="007021CC"/>
    <w:rsid w:val="00702313"/>
    <w:rsid w:val="00702F31"/>
    <w:rsid w:val="00704506"/>
    <w:rsid w:val="00705F5B"/>
    <w:rsid w:val="00706C1D"/>
    <w:rsid w:val="00707DF3"/>
    <w:rsid w:val="00707EE2"/>
    <w:rsid w:val="00710627"/>
    <w:rsid w:val="007113CE"/>
    <w:rsid w:val="00714DCA"/>
    <w:rsid w:val="007171C5"/>
    <w:rsid w:val="0072003E"/>
    <w:rsid w:val="00720215"/>
    <w:rsid w:val="00720841"/>
    <w:rsid w:val="00721427"/>
    <w:rsid w:val="00721788"/>
    <w:rsid w:val="00723176"/>
    <w:rsid w:val="00723506"/>
    <w:rsid w:val="00724C66"/>
    <w:rsid w:val="00724D37"/>
    <w:rsid w:val="00725A98"/>
    <w:rsid w:val="00725B58"/>
    <w:rsid w:val="00726746"/>
    <w:rsid w:val="007267E0"/>
    <w:rsid w:val="00727404"/>
    <w:rsid w:val="007309F4"/>
    <w:rsid w:val="00730B43"/>
    <w:rsid w:val="00731594"/>
    <w:rsid w:val="00731CD6"/>
    <w:rsid w:val="00732E8A"/>
    <w:rsid w:val="00733621"/>
    <w:rsid w:val="00735883"/>
    <w:rsid w:val="0073706A"/>
    <w:rsid w:val="007374E3"/>
    <w:rsid w:val="00737779"/>
    <w:rsid w:val="007401F5"/>
    <w:rsid w:val="00740250"/>
    <w:rsid w:val="00740A7D"/>
    <w:rsid w:val="00741088"/>
    <w:rsid w:val="00741BDC"/>
    <w:rsid w:val="00741E30"/>
    <w:rsid w:val="00743392"/>
    <w:rsid w:val="00744431"/>
    <w:rsid w:val="007462D4"/>
    <w:rsid w:val="007464C5"/>
    <w:rsid w:val="00746F5F"/>
    <w:rsid w:val="00750F27"/>
    <w:rsid w:val="0075177B"/>
    <w:rsid w:val="00752ACD"/>
    <w:rsid w:val="00752BD0"/>
    <w:rsid w:val="00753F18"/>
    <w:rsid w:val="00754616"/>
    <w:rsid w:val="00755370"/>
    <w:rsid w:val="007556B2"/>
    <w:rsid w:val="00756454"/>
    <w:rsid w:val="0075687A"/>
    <w:rsid w:val="00756EA7"/>
    <w:rsid w:val="007579ED"/>
    <w:rsid w:val="00757D25"/>
    <w:rsid w:val="00757D5D"/>
    <w:rsid w:val="0076072C"/>
    <w:rsid w:val="00760785"/>
    <w:rsid w:val="007646C3"/>
    <w:rsid w:val="00764838"/>
    <w:rsid w:val="00765762"/>
    <w:rsid w:val="00767ED4"/>
    <w:rsid w:val="00772C18"/>
    <w:rsid w:val="007734E2"/>
    <w:rsid w:val="00774FB1"/>
    <w:rsid w:val="00775396"/>
    <w:rsid w:val="00775A2A"/>
    <w:rsid w:val="00777917"/>
    <w:rsid w:val="007807A0"/>
    <w:rsid w:val="00780BB7"/>
    <w:rsid w:val="00782027"/>
    <w:rsid w:val="0078268F"/>
    <w:rsid w:val="007827ED"/>
    <w:rsid w:val="00782892"/>
    <w:rsid w:val="007834E3"/>
    <w:rsid w:val="00784130"/>
    <w:rsid w:val="0078598A"/>
    <w:rsid w:val="00787015"/>
    <w:rsid w:val="007876C5"/>
    <w:rsid w:val="00793089"/>
    <w:rsid w:val="0079505C"/>
    <w:rsid w:val="0079539B"/>
    <w:rsid w:val="0079556C"/>
    <w:rsid w:val="00796EFD"/>
    <w:rsid w:val="00797A87"/>
    <w:rsid w:val="00797B13"/>
    <w:rsid w:val="007A05FC"/>
    <w:rsid w:val="007A0A7D"/>
    <w:rsid w:val="007A0FE2"/>
    <w:rsid w:val="007A1639"/>
    <w:rsid w:val="007A1C14"/>
    <w:rsid w:val="007A2F08"/>
    <w:rsid w:val="007A3373"/>
    <w:rsid w:val="007A37B4"/>
    <w:rsid w:val="007A420F"/>
    <w:rsid w:val="007A44A5"/>
    <w:rsid w:val="007A70F6"/>
    <w:rsid w:val="007A7DBC"/>
    <w:rsid w:val="007B03A7"/>
    <w:rsid w:val="007B0771"/>
    <w:rsid w:val="007B2014"/>
    <w:rsid w:val="007B2BAF"/>
    <w:rsid w:val="007B2CE9"/>
    <w:rsid w:val="007B2DBA"/>
    <w:rsid w:val="007B30ED"/>
    <w:rsid w:val="007B4020"/>
    <w:rsid w:val="007B4227"/>
    <w:rsid w:val="007B4CB4"/>
    <w:rsid w:val="007B5CB6"/>
    <w:rsid w:val="007B6B06"/>
    <w:rsid w:val="007B7F7F"/>
    <w:rsid w:val="007C08C0"/>
    <w:rsid w:val="007C119D"/>
    <w:rsid w:val="007C33D6"/>
    <w:rsid w:val="007C3BD3"/>
    <w:rsid w:val="007C4101"/>
    <w:rsid w:val="007C5788"/>
    <w:rsid w:val="007C71E8"/>
    <w:rsid w:val="007C7AC3"/>
    <w:rsid w:val="007D14F1"/>
    <w:rsid w:val="007D304C"/>
    <w:rsid w:val="007D377E"/>
    <w:rsid w:val="007D3BE9"/>
    <w:rsid w:val="007D41DF"/>
    <w:rsid w:val="007D43EF"/>
    <w:rsid w:val="007D52FF"/>
    <w:rsid w:val="007D5AE5"/>
    <w:rsid w:val="007D6123"/>
    <w:rsid w:val="007D6663"/>
    <w:rsid w:val="007D7B34"/>
    <w:rsid w:val="007E00D0"/>
    <w:rsid w:val="007E3BC7"/>
    <w:rsid w:val="007E454A"/>
    <w:rsid w:val="007E58EB"/>
    <w:rsid w:val="007E659A"/>
    <w:rsid w:val="007E68C3"/>
    <w:rsid w:val="007E6E8C"/>
    <w:rsid w:val="007E709D"/>
    <w:rsid w:val="007E735C"/>
    <w:rsid w:val="007F0297"/>
    <w:rsid w:val="007F0786"/>
    <w:rsid w:val="007F16D8"/>
    <w:rsid w:val="007F1A89"/>
    <w:rsid w:val="007F372A"/>
    <w:rsid w:val="007F3BDE"/>
    <w:rsid w:val="007F4EF3"/>
    <w:rsid w:val="007F6646"/>
    <w:rsid w:val="007F69A3"/>
    <w:rsid w:val="007F6DA6"/>
    <w:rsid w:val="007F72CA"/>
    <w:rsid w:val="008005B8"/>
    <w:rsid w:val="00801F06"/>
    <w:rsid w:val="0080485C"/>
    <w:rsid w:val="00804E20"/>
    <w:rsid w:val="008078DE"/>
    <w:rsid w:val="008101CB"/>
    <w:rsid w:val="0081078C"/>
    <w:rsid w:val="008108C2"/>
    <w:rsid w:val="008113FB"/>
    <w:rsid w:val="00812502"/>
    <w:rsid w:val="00812893"/>
    <w:rsid w:val="00814125"/>
    <w:rsid w:val="008155AA"/>
    <w:rsid w:val="008159A3"/>
    <w:rsid w:val="00815F8E"/>
    <w:rsid w:val="0081603C"/>
    <w:rsid w:val="0082090B"/>
    <w:rsid w:val="008211DB"/>
    <w:rsid w:val="00821A04"/>
    <w:rsid w:val="00821D51"/>
    <w:rsid w:val="00821D64"/>
    <w:rsid w:val="00822EC8"/>
    <w:rsid w:val="00823761"/>
    <w:rsid w:val="00823CC3"/>
    <w:rsid w:val="0082450A"/>
    <w:rsid w:val="008249A9"/>
    <w:rsid w:val="00825DEA"/>
    <w:rsid w:val="00826D15"/>
    <w:rsid w:val="008270EF"/>
    <w:rsid w:val="00827A17"/>
    <w:rsid w:val="00827F53"/>
    <w:rsid w:val="008311BC"/>
    <w:rsid w:val="0083273E"/>
    <w:rsid w:val="00833CB0"/>
    <w:rsid w:val="00833DD7"/>
    <w:rsid w:val="008348F3"/>
    <w:rsid w:val="00835097"/>
    <w:rsid w:val="00835642"/>
    <w:rsid w:val="00835F36"/>
    <w:rsid w:val="0083636F"/>
    <w:rsid w:val="00837867"/>
    <w:rsid w:val="00842533"/>
    <w:rsid w:val="008430E4"/>
    <w:rsid w:val="00844819"/>
    <w:rsid w:val="008454AD"/>
    <w:rsid w:val="00845E37"/>
    <w:rsid w:val="00846E1E"/>
    <w:rsid w:val="00850712"/>
    <w:rsid w:val="00850A62"/>
    <w:rsid w:val="0085101C"/>
    <w:rsid w:val="0085222E"/>
    <w:rsid w:val="0085286C"/>
    <w:rsid w:val="00853805"/>
    <w:rsid w:val="00854440"/>
    <w:rsid w:val="008546E5"/>
    <w:rsid w:val="00854B68"/>
    <w:rsid w:val="0085630E"/>
    <w:rsid w:val="008567A9"/>
    <w:rsid w:val="0085707E"/>
    <w:rsid w:val="0086021A"/>
    <w:rsid w:val="0086098D"/>
    <w:rsid w:val="00860A5F"/>
    <w:rsid w:val="008610C1"/>
    <w:rsid w:val="0086359E"/>
    <w:rsid w:val="008640B9"/>
    <w:rsid w:val="00864864"/>
    <w:rsid w:val="00864EC6"/>
    <w:rsid w:val="00865A0F"/>
    <w:rsid w:val="00865B36"/>
    <w:rsid w:val="00865BA3"/>
    <w:rsid w:val="0086609D"/>
    <w:rsid w:val="00866343"/>
    <w:rsid w:val="00866FE6"/>
    <w:rsid w:val="00867AF9"/>
    <w:rsid w:val="0087128D"/>
    <w:rsid w:val="00871532"/>
    <w:rsid w:val="00871799"/>
    <w:rsid w:val="00871ADC"/>
    <w:rsid w:val="0087412F"/>
    <w:rsid w:val="00874131"/>
    <w:rsid w:val="008741EA"/>
    <w:rsid w:val="00874C3B"/>
    <w:rsid w:val="00875FC2"/>
    <w:rsid w:val="00876116"/>
    <w:rsid w:val="00876324"/>
    <w:rsid w:val="008779C8"/>
    <w:rsid w:val="00877A9B"/>
    <w:rsid w:val="008806BB"/>
    <w:rsid w:val="008809A3"/>
    <w:rsid w:val="008815C4"/>
    <w:rsid w:val="00881C73"/>
    <w:rsid w:val="00881EFB"/>
    <w:rsid w:val="00882E81"/>
    <w:rsid w:val="008831D6"/>
    <w:rsid w:val="008836C7"/>
    <w:rsid w:val="00883C8E"/>
    <w:rsid w:val="00887EA2"/>
    <w:rsid w:val="00887EB7"/>
    <w:rsid w:val="00891982"/>
    <w:rsid w:val="00891AA9"/>
    <w:rsid w:val="00892215"/>
    <w:rsid w:val="00893452"/>
    <w:rsid w:val="0089450B"/>
    <w:rsid w:val="008A0A9D"/>
    <w:rsid w:val="008A1782"/>
    <w:rsid w:val="008A45AA"/>
    <w:rsid w:val="008A489B"/>
    <w:rsid w:val="008A4CA1"/>
    <w:rsid w:val="008A50BE"/>
    <w:rsid w:val="008A58E3"/>
    <w:rsid w:val="008A5A20"/>
    <w:rsid w:val="008A70B4"/>
    <w:rsid w:val="008A769C"/>
    <w:rsid w:val="008A7A44"/>
    <w:rsid w:val="008B13E1"/>
    <w:rsid w:val="008B1C2F"/>
    <w:rsid w:val="008B20C7"/>
    <w:rsid w:val="008B368F"/>
    <w:rsid w:val="008B430C"/>
    <w:rsid w:val="008B54D4"/>
    <w:rsid w:val="008B5631"/>
    <w:rsid w:val="008B5A07"/>
    <w:rsid w:val="008B772A"/>
    <w:rsid w:val="008C15F8"/>
    <w:rsid w:val="008C2769"/>
    <w:rsid w:val="008C28A6"/>
    <w:rsid w:val="008C2922"/>
    <w:rsid w:val="008C2CB0"/>
    <w:rsid w:val="008C3AB3"/>
    <w:rsid w:val="008C3C12"/>
    <w:rsid w:val="008C5192"/>
    <w:rsid w:val="008C524C"/>
    <w:rsid w:val="008C530F"/>
    <w:rsid w:val="008C64BD"/>
    <w:rsid w:val="008D079C"/>
    <w:rsid w:val="008D219A"/>
    <w:rsid w:val="008D449C"/>
    <w:rsid w:val="008D52BD"/>
    <w:rsid w:val="008D6116"/>
    <w:rsid w:val="008D64FF"/>
    <w:rsid w:val="008D6517"/>
    <w:rsid w:val="008D7E47"/>
    <w:rsid w:val="008E049D"/>
    <w:rsid w:val="008E081E"/>
    <w:rsid w:val="008E164A"/>
    <w:rsid w:val="008E1A4D"/>
    <w:rsid w:val="008E20BC"/>
    <w:rsid w:val="008E249C"/>
    <w:rsid w:val="008E2BE7"/>
    <w:rsid w:val="008E3707"/>
    <w:rsid w:val="008E3E4E"/>
    <w:rsid w:val="008E4FFD"/>
    <w:rsid w:val="008E52C8"/>
    <w:rsid w:val="008E52E9"/>
    <w:rsid w:val="008E6E64"/>
    <w:rsid w:val="008E7A6A"/>
    <w:rsid w:val="008E7DEB"/>
    <w:rsid w:val="008F0052"/>
    <w:rsid w:val="008F040D"/>
    <w:rsid w:val="008F05E2"/>
    <w:rsid w:val="008F0CA8"/>
    <w:rsid w:val="008F1749"/>
    <w:rsid w:val="008F1DFF"/>
    <w:rsid w:val="008F2D8B"/>
    <w:rsid w:val="008F3484"/>
    <w:rsid w:val="008F3F1E"/>
    <w:rsid w:val="008F481E"/>
    <w:rsid w:val="008F53C5"/>
    <w:rsid w:val="008F5735"/>
    <w:rsid w:val="008F5C8D"/>
    <w:rsid w:val="008F5F06"/>
    <w:rsid w:val="008F6C64"/>
    <w:rsid w:val="008F7142"/>
    <w:rsid w:val="0090093B"/>
    <w:rsid w:val="009024BF"/>
    <w:rsid w:val="0090366E"/>
    <w:rsid w:val="0090397D"/>
    <w:rsid w:val="009045BC"/>
    <w:rsid w:val="00905474"/>
    <w:rsid w:val="00905827"/>
    <w:rsid w:val="00906D25"/>
    <w:rsid w:val="009078C1"/>
    <w:rsid w:val="00910239"/>
    <w:rsid w:val="009105C8"/>
    <w:rsid w:val="00911B6A"/>
    <w:rsid w:val="00912674"/>
    <w:rsid w:val="009126A4"/>
    <w:rsid w:val="009126EB"/>
    <w:rsid w:val="0091328D"/>
    <w:rsid w:val="0091345D"/>
    <w:rsid w:val="009136F2"/>
    <w:rsid w:val="00913884"/>
    <w:rsid w:val="00913E86"/>
    <w:rsid w:val="00915640"/>
    <w:rsid w:val="009158D7"/>
    <w:rsid w:val="00915D94"/>
    <w:rsid w:val="00916D05"/>
    <w:rsid w:val="0091752B"/>
    <w:rsid w:val="009176C5"/>
    <w:rsid w:val="009201C7"/>
    <w:rsid w:val="00920A95"/>
    <w:rsid w:val="00921974"/>
    <w:rsid w:val="009221DB"/>
    <w:rsid w:val="00923869"/>
    <w:rsid w:val="00923B86"/>
    <w:rsid w:val="00923CAB"/>
    <w:rsid w:val="00923CF3"/>
    <w:rsid w:val="00924D6C"/>
    <w:rsid w:val="009250C8"/>
    <w:rsid w:val="00925270"/>
    <w:rsid w:val="00925D54"/>
    <w:rsid w:val="00927E1E"/>
    <w:rsid w:val="00933509"/>
    <w:rsid w:val="009357BF"/>
    <w:rsid w:val="00936E79"/>
    <w:rsid w:val="00940FCD"/>
    <w:rsid w:val="00943D38"/>
    <w:rsid w:val="009440AE"/>
    <w:rsid w:val="00945431"/>
    <w:rsid w:val="00945687"/>
    <w:rsid w:val="00945689"/>
    <w:rsid w:val="00945A0E"/>
    <w:rsid w:val="00947CB1"/>
    <w:rsid w:val="009504BA"/>
    <w:rsid w:val="009510A8"/>
    <w:rsid w:val="0095260E"/>
    <w:rsid w:val="00952A5C"/>
    <w:rsid w:val="00952CD8"/>
    <w:rsid w:val="00952F3C"/>
    <w:rsid w:val="0095360C"/>
    <w:rsid w:val="00953B93"/>
    <w:rsid w:val="00953E94"/>
    <w:rsid w:val="0095416C"/>
    <w:rsid w:val="00954E15"/>
    <w:rsid w:val="00955012"/>
    <w:rsid w:val="00955A89"/>
    <w:rsid w:val="0095699E"/>
    <w:rsid w:val="009600D7"/>
    <w:rsid w:val="00960E58"/>
    <w:rsid w:val="00963971"/>
    <w:rsid w:val="00964761"/>
    <w:rsid w:val="00965047"/>
    <w:rsid w:val="00966924"/>
    <w:rsid w:val="00967374"/>
    <w:rsid w:val="00967EA7"/>
    <w:rsid w:val="00970C00"/>
    <w:rsid w:val="009716F0"/>
    <w:rsid w:val="009723A2"/>
    <w:rsid w:val="00972536"/>
    <w:rsid w:val="00972A77"/>
    <w:rsid w:val="00972F5C"/>
    <w:rsid w:val="00974352"/>
    <w:rsid w:val="009749D0"/>
    <w:rsid w:val="00974BB4"/>
    <w:rsid w:val="00974C31"/>
    <w:rsid w:val="00974CE6"/>
    <w:rsid w:val="009755BC"/>
    <w:rsid w:val="009760AC"/>
    <w:rsid w:val="00976AF8"/>
    <w:rsid w:val="009803ED"/>
    <w:rsid w:val="00980F55"/>
    <w:rsid w:val="00982982"/>
    <w:rsid w:val="00983042"/>
    <w:rsid w:val="00984027"/>
    <w:rsid w:val="0098405F"/>
    <w:rsid w:val="00987FAB"/>
    <w:rsid w:val="00992C22"/>
    <w:rsid w:val="00992EA9"/>
    <w:rsid w:val="00993483"/>
    <w:rsid w:val="00993880"/>
    <w:rsid w:val="00993D58"/>
    <w:rsid w:val="0099408F"/>
    <w:rsid w:val="009945CF"/>
    <w:rsid w:val="00996257"/>
    <w:rsid w:val="00996331"/>
    <w:rsid w:val="009965E4"/>
    <w:rsid w:val="009969BA"/>
    <w:rsid w:val="009972E9"/>
    <w:rsid w:val="009A09EE"/>
    <w:rsid w:val="009A0C1A"/>
    <w:rsid w:val="009A0CDD"/>
    <w:rsid w:val="009A1F26"/>
    <w:rsid w:val="009A2820"/>
    <w:rsid w:val="009A2E03"/>
    <w:rsid w:val="009A337D"/>
    <w:rsid w:val="009A3420"/>
    <w:rsid w:val="009A4C2F"/>
    <w:rsid w:val="009A4E4C"/>
    <w:rsid w:val="009A6BA0"/>
    <w:rsid w:val="009A6E7F"/>
    <w:rsid w:val="009A7157"/>
    <w:rsid w:val="009A71D8"/>
    <w:rsid w:val="009B0225"/>
    <w:rsid w:val="009B05BB"/>
    <w:rsid w:val="009B07FE"/>
    <w:rsid w:val="009B09ED"/>
    <w:rsid w:val="009B1C60"/>
    <w:rsid w:val="009B201B"/>
    <w:rsid w:val="009B2436"/>
    <w:rsid w:val="009B2BBB"/>
    <w:rsid w:val="009B2CAB"/>
    <w:rsid w:val="009B346A"/>
    <w:rsid w:val="009B7234"/>
    <w:rsid w:val="009B7A97"/>
    <w:rsid w:val="009C163A"/>
    <w:rsid w:val="009C2DC3"/>
    <w:rsid w:val="009C31F2"/>
    <w:rsid w:val="009C3D31"/>
    <w:rsid w:val="009C4C77"/>
    <w:rsid w:val="009C54C9"/>
    <w:rsid w:val="009C5C36"/>
    <w:rsid w:val="009C5D49"/>
    <w:rsid w:val="009C658D"/>
    <w:rsid w:val="009D001D"/>
    <w:rsid w:val="009D0EB5"/>
    <w:rsid w:val="009D1516"/>
    <w:rsid w:val="009D1855"/>
    <w:rsid w:val="009D3B1F"/>
    <w:rsid w:val="009D3B75"/>
    <w:rsid w:val="009D4085"/>
    <w:rsid w:val="009D602F"/>
    <w:rsid w:val="009E070D"/>
    <w:rsid w:val="009E15C4"/>
    <w:rsid w:val="009E1B97"/>
    <w:rsid w:val="009E1D3A"/>
    <w:rsid w:val="009E1DCD"/>
    <w:rsid w:val="009E39A8"/>
    <w:rsid w:val="009E56D9"/>
    <w:rsid w:val="009E58A8"/>
    <w:rsid w:val="009E6131"/>
    <w:rsid w:val="009E682F"/>
    <w:rsid w:val="009E7D35"/>
    <w:rsid w:val="009F19A4"/>
    <w:rsid w:val="009F1C40"/>
    <w:rsid w:val="009F2BDF"/>
    <w:rsid w:val="009F55C6"/>
    <w:rsid w:val="009F5876"/>
    <w:rsid w:val="009F67DE"/>
    <w:rsid w:val="009F6CDA"/>
    <w:rsid w:val="009F6FCA"/>
    <w:rsid w:val="00A00659"/>
    <w:rsid w:val="00A007EC"/>
    <w:rsid w:val="00A008E1"/>
    <w:rsid w:val="00A01543"/>
    <w:rsid w:val="00A01A6D"/>
    <w:rsid w:val="00A01EF8"/>
    <w:rsid w:val="00A02B1A"/>
    <w:rsid w:val="00A03060"/>
    <w:rsid w:val="00A03A85"/>
    <w:rsid w:val="00A03AA5"/>
    <w:rsid w:val="00A04778"/>
    <w:rsid w:val="00A053C8"/>
    <w:rsid w:val="00A06BFC"/>
    <w:rsid w:val="00A06CDD"/>
    <w:rsid w:val="00A073A9"/>
    <w:rsid w:val="00A07B82"/>
    <w:rsid w:val="00A07D0F"/>
    <w:rsid w:val="00A117FD"/>
    <w:rsid w:val="00A1184E"/>
    <w:rsid w:val="00A11B5E"/>
    <w:rsid w:val="00A12C84"/>
    <w:rsid w:val="00A134DC"/>
    <w:rsid w:val="00A15667"/>
    <w:rsid w:val="00A1694F"/>
    <w:rsid w:val="00A16C7C"/>
    <w:rsid w:val="00A17647"/>
    <w:rsid w:val="00A20358"/>
    <w:rsid w:val="00A20F6E"/>
    <w:rsid w:val="00A2127A"/>
    <w:rsid w:val="00A215C4"/>
    <w:rsid w:val="00A24866"/>
    <w:rsid w:val="00A26700"/>
    <w:rsid w:val="00A27FD8"/>
    <w:rsid w:val="00A31AA9"/>
    <w:rsid w:val="00A31EBF"/>
    <w:rsid w:val="00A32DFB"/>
    <w:rsid w:val="00A330E5"/>
    <w:rsid w:val="00A3415D"/>
    <w:rsid w:val="00A34BD0"/>
    <w:rsid w:val="00A34BE3"/>
    <w:rsid w:val="00A34CA7"/>
    <w:rsid w:val="00A35059"/>
    <w:rsid w:val="00A35535"/>
    <w:rsid w:val="00A3561C"/>
    <w:rsid w:val="00A3585F"/>
    <w:rsid w:val="00A3587B"/>
    <w:rsid w:val="00A35BEC"/>
    <w:rsid w:val="00A361D1"/>
    <w:rsid w:val="00A374FB"/>
    <w:rsid w:val="00A37C4B"/>
    <w:rsid w:val="00A37C76"/>
    <w:rsid w:val="00A411B0"/>
    <w:rsid w:val="00A417A8"/>
    <w:rsid w:val="00A41F09"/>
    <w:rsid w:val="00A4309C"/>
    <w:rsid w:val="00A43507"/>
    <w:rsid w:val="00A43889"/>
    <w:rsid w:val="00A43909"/>
    <w:rsid w:val="00A447A1"/>
    <w:rsid w:val="00A46689"/>
    <w:rsid w:val="00A50352"/>
    <w:rsid w:val="00A50589"/>
    <w:rsid w:val="00A513A6"/>
    <w:rsid w:val="00A518FB"/>
    <w:rsid w:val="00A51F1C"/>
    <w:rsid w:val="00A527F7"/>
    <w:rsid w:val="00A5299E"/>
    <w:rsid w:val="00A53160"/>
    <w:rsid w:val="00A53A7A"/>
    <w:rsid w:val="00A54528"/>
    <w:rsid w:val="00A564F7"/>
    <w:rsid w:val="00A56C9D"/>
    <w:rsid w:val="00A6344A"/>
    <w:rsid w:val="00A64847"/>
    <w:rsid w:val="00A648B9"/>
    <w:rsid w:val="00A673A5"/>
    <w:rsid w:val="00A673CF"/>
    <w:rsid w:val="00A67EDF"/>
    <w:rsid w:val="00A70433"/>
    <w:rsid w:val="00A70F04"/>
    <w:rsid w:val="00A71240"/>
    <w:rsid w:val="00A714CF"/>
    <w:rsid w:val="00A7187C"/>
    <w:rsid w:val="00A71E3E"/>
    <w:rsid w:val="00A71EA3"/>
    <w:rsid w:val="00A72168"/>
    <w:rsid w:val="00A7340C"/>
    <w:rsid w:val="00A744AA"/>
    <w:rsid w:val="00A744FC"/>
    <w:rsid w:val="00A74BAF"/>
    <w:rsid w:val="00A81ACE"/>
    <w:rsid w:val="00A83503"/>
    <w:rsid w:val="00A835AC"/>
    <w:rsid w:val="00A83CC8"/>
    <w:rsid w:val="00A83D57"/>
    <w:rsid w:val="00A84480"/>
    <w:rsid w:val="00A84BEF"/>
    <w:rsid w:val="00A84DFC"/>
    <w:rsid w:val="00A87C94"/>
    <w:rsid w:val="00A915B5"/>
    <w:rsid w:val="00A9219D"/>
    <w:rsid w:val="00A93219"/>
    <w:rsid w:val="00A97513"/>
    <w:rsid w:val="00AA07DD"/>
    <w:rsid w:val="00AA1422"/>
    <w:rsid w:val="00AA38BF"/>
    <w:rsid w:val="00AA3D14"/>
    <w:rsid w:val="00AA4A60"/>
    <w:rsid w:val="00AA4D56"/>
    <w:rsid w:val="00AA4FD6"/>
    <w:rsid w:val="00AA5429"/>
    <w:rsid w:val="00AA5509"/>
    <w:rsid w:val="00AA5A01"/>
    <w:rsid w:val="00AA7142"/>
    <w:rsid w:val="00AA7A5C"/>
    <w:rsid w:val="00AB00C6"/>
    <w:rsid w:val="00AB0D23"/>
    <w:rsid w:val="00AB10DC"/>
    <w:rsid w:val="00AB1F0D"/>
    <w:rsid w:val="00AB27E8"/>
    <w:rsid w:val="00AB389C"/>
    <w:rsid w:val="00AB393F"/>
    <w:rsid w:val="00AB47FC"/>
    <w:rsid w:val="00AB4D08"/>
    <w:rsid w:val="00AB56D1"/>
    <w:rsid w:val="00AB5B26"/>
    <w:rsid w:val="00AB6932"/>
    <w:rsid w:val="00AC0C6D"/>
    <w:rsid w:val="00AC0ECE"/>
    <w:rsid w:val="00AC10B9"/>
    <w:rsid w:val="00AC265C"/>
    <w:rsid w:val="00AC2D29"/>
    <w:rsid w:val="00AC3DF2"/>
    <w:rsid w:val="00AC4876"/>
    <w:rsid w:val="00AC5F49"/>
    <w:rsid w:val="00AC6253"/>
    <w:rsid w:val="00AC6C7D"/>
    <w:rsid w:val="00AC6CBA"/>
    <w:rsid w:val="00AC77E7"/>
    <w:rsid w:val="00AC78AE"/>
    <w:rsid w:val="00AD2455"/>
    <w:rsid w:val="00AD316F"/>
    <w:rsid w:val="00AD4E9D"/>
    <w:rsid w:val="00AD5D74"/>
    <w:rsid w:val="00AD649E"/>
    <w:rsid w:val="00AE0529"/>
    <w:rsid w:val="00AE233E"/>
    <w:rsid w:val="00AE24B7"/>
    <w:rsid w:val="00AE37CA"/>
    <w:rsid w:val="00AE48B4"/>
    <w:rsid w:val="00AE6139"/>
    <w:rsid w:val="00AE75C3"/>
    <w:rsid w:val="00AF1722"/>
    <w:rsid w:val="00AF179A"/>
    <w:rsid w:val="00AF2BB2"/>
    <w:rsid w:val="00AF2CE8"/>
    <w:rsid w:val="00AF2D51"/>
    <w:rsid w:val="00AF3A3E"/>
    <w:rsid w:val="00AF48AA"/>
    <w:rsid w:val="00AF5B2D"/>
    <w:rsid w:val="00AF6D64"/>
    <w:rsid w:val="00AF7E4C"/>
    <w:rsid w:val="00B00656"/>
    <w:rsid w:val="00B0247E"/>
    <w:rsid w:val="00B026E9"/>
    <w:rsid w:val="00B0354D"/>
    <w:rsid w:val="00B05039"/>
    <w:rsid w:val="00B05997"/>
    <w:rsid w:val="00B077ED"/>
    <w:rsid w:val="00B11AEC"/>
    <w:rsid w:val="00B1227C"/>
    <w:rsid w:val="00B124CD"/>
    <w:rsid w:val="00B14004"/>
    <w:rsid w:val="00B159B8"/>
    <w:rsid w:val="00B174BA"/>
    <w:rsid w:val="00B204AE"/>
    <w:rsid w:val="00B20D60"/>
    <w:rsid w:val="00B21B4A"/>
    <w:rsid w:val="00B21BFB"/>
    <w:rsid w:val="00B21DA2"/>
    <w:rsid w:val="00B22122"/>
    <w:rsid w:val="00B22F57"/>
    <w:rsid w:val="00B2309C"/>
    <w:rsid w:val="00B24B17"/>
    <w:rsid w:val="00B24B24"/>
    <w:rsid w:val="00B250F0"/>
    <w:rsid w:val="00B2521C"/>
    <w:rsid w:val="00B25497"/>
    <w:rsid w:val="00B2564D"/>
    <w:rsid w:val="00B27002"/>
    <w:rsid w:val="00B270D9"/>
    <w:rsid w:val="00B2712E"/>
    <w:rsid w:val="00B2738C"/>
    <w:rsid w:val="00B302AA"/>
    <w:rsid w:val="00B308AD"/>
    <w:rsid w:val="00B30BD4"/>
    <w:rsid w:val="00B31941"/>
    <w:rsid w:val="00B3198F"/>
    <w:rsid w:val="00B3244B"/>
    <w:rsid w:val="00B32A61"/>
    <w:rsid w:val="00B3374F"/>
    <w:rsid w:val="00B3438C"/>
    <w:rsid w:val="00B34C4A"/>
    <w:rsid w:val="00B35172"/>
    <w:rsid w:val="00B3518C"/>
    <w:rsid w:val="00B35436"/>
    <w:rsid w:val="00B362E0"/>
    <w:rsid w:val="00B3728E"/>
    <w:rsid w:val="00B37F7D"/>
    <w:rsid w:val="00B40BD4"/>
    <w:rsid w:val="00B4206C"/>
    <w:rsid w:val="00B422B1"/>
    <w:rsid w:val="00B428D3"/>
    <w:rsid w:val="00B42E96"/>
    <w:rsid w:val="00B43DE8"/>
    <w:rsid w:val="00B45E27"/>
    <w:rsid w:val="00B4632D"/>
    <w:rsid w:val="00B46E04"/>
    <w:rsid w:val="00B4715B"/>
    <w:rsid w:val="00B47A76"/>
    <w:rsid w:val="00B50AC5"/>
    <w:rsid w:val="00B5106A"/>
    <w:rsid w:val="00B515CC"/>
    <w:rsid w:val="00B51B8E"/>
    <w:rsid w:val="00B51C3D"/>
    <w:rsid w:val="00B51E0A"/>
    <w:rsid w:val="00B52048"/>
    <w:rsid w:val="00B52150"/>
    <w:rsid w:val="00B522A8"/>
    <w:rsid w:val="00B525FE"/>
    <w:rsid w:val="00B5302D"/>
    <w:rsid w:val="00B53CA2"/>
    <w:rsid w:val="00B56151"/>
    <w:rsid w:val="00B60178"/>
    <w:rsid w:val="00B60980"/>
    <w:rsid w:val="00B60EF7"/>
    <w:rsid w:val="00B61C65"/>
    <w:rsid w:val="00B6320D"/>
    <w:rsid w:val="00B63723"/>
    <w:rsid w:val="00B638AF"/>
    <w:rsid w:val="00B655FE"/>
    <w:rsid w:val="00B65C20"/>
    <w:rsid w:val="00B676CA"/>
    <w:rsid w:val="00B678D4"/>
    <w:rsid w:val="00B703FC"/>
    <w:rsid w:val="00B7119C"/>
    <w:rsid w:val="00B746DD"/>
    <w:rsid w:val="00B746E2"/>
    <w:rsid w:val="00B75B88"/>
    <w:rsid w:val="00B760A0"/>
    <w:rsid w:val="00B76BA4"/>
    <w:rsid w:val="00B80BEE"/>
    <w:rsid w:val="00B8150F"/>
    <w:rsid w:val="00B81B24"/>
    <w:rsid w:val="00B83F11"/>
    <w:rsid w:val="00B841DF"/>
    <w:rsid w:val="00B84F7C"/>
    <w:rsid w:val="00B8597D"/>
    <w:rsid w:val="00B86B15"/>
    <w:rsid w:val="00B86C23"/>
    <w:rsid w:val="00B87713"/>
    <w:rsid w:val="00B87D40"/>
    <w:rsid w:val="00B87DB0"/>
    <w:rsid w:val="00B92563"/>
    <w:rsid w:val="00B92BD7"/>
    <w:rsid w:val="00B932D7"/>
    <w:rsid w:val="00B93CDA"/>
    <w:rsid w:val="00B93E5B"/>
    <w:rsid w:val="00B95461"/>
    <w:rsid w:val="00B977E7"/>
    <w:rsid w:val="00B97C3C"/>
    <w:rsid w:val="00BA0B8E"/>
    <w:rsid w:val="00BA0CD0"/>
    <w:rsid w:val="00BA14DD"/>
    <w:rsid w:val="00BA2480"/>
    <w:rsid w:val="00BA44DB"/>
    <w:rsid w:val="00BA4C83"/>
    <w:rsid w:val="00BA50B7"/>
    <w:rsid w:val="00BA60D3"/>
    <w:rsid w:val="00BA6769"/>
    <w:rsid w:val="00BA6AAE"/>
    <w:rsid w:val="00BA6B70"/>
    <w:rsid w:val="00BA725A"/>
    <w:rsid w:val="00BB0080"/>
    <w:rsid w:val="00BB1FDF"/>
    <w:rsid w:val="00BB2ACA"/>
    <w:rsid w:val="00BB3265"/>
    <w:rsid w:val="00BB3889"/>
    <w:rsid w:val="00BB508C"/>
    <w:rsid w:val="00BB526A"/>
    <w:rsid w:val="00BB5AB7"/>
    <w:rsid w:val="00BB603B"/>
    <w:rsid w:val="00BB6DF8"/>
    <w:rsid w:val="00BC09BB"/>
    <w:rsid w:val="00BC1753"/>
    <w:rsid w:val="00BC178C"/>
    <w:rsid w:val="00BC20A2"/>
    <w:rsid w:val="00BC2262"/>
    <w:rsid w:val="00BC290D"/>
    <w:rsid w:val="00BC32BC"/>
    <w:rsid w:val="00BC3AC6"/>
    <w:rsid w:val="00BC3B7C"/>
    <w:rsid w:val="00BC4466"/>
    <w:rsid w:val="00BC4CBC"/>
    <w:rsid w:val="00BC4CC7"/>
    <w:rsid w:val="00BC4D3B"/>
    <w:rsid w:val="00BC535B"/>
    <w:rsid w:val="00BC6FA6"/>
    <w:rsid w:val="00BC7A21"/>
    <w:rsid w:val="00BD05B1"/>
    <w:rsid w:val="00BD08D8"/>
    <w:rsid w:val="00BD1981"/>
    <w:rsid w:val="00BD404D"/>
    <w:rsid w:val="00BD582F"/>
    <w:rsid w:val="00BD5D27"/>
    <w:rsid w:val="00BD60E0"/>
    <w:rsid w:val="00BD68CF"/>
    <w:rsid w:val="00BE15A2"/>
    <w:rsid w:val="00BE1718"/>
    <w:rsid w:val="00BE1E87"/>
    <w:rsid w:val="00BE2786"/>
    <w:rsid w:val="00BE3B24"/>
    <w:rsid w:val="00BE44DD"/>
    <w:rsid w:val="00BE58CD"/>
    <w:rsid w:val="00BE78C4"/>
    <w:rsid w:val="00BF0CDC"/>
    <w:rsid w:val="00BF12C8"/>
    <w:rsid w:val="00BF1CBB"/>
    <w:rsid w:val="00BF4EB7"/>
    <w:rsid w:val="00BF7EE8"/>
    <w:rsid w:val="00C006E5"/>
    <w:rsid w:val="00C017B6"/>
    <w:rsid w:val="00C049DE"/>
    <w:rsid w:val="00C0549E"/>
    <w:rsid w:val="00C05784"/>
    <w:rsid w:val="00C05B04"/>
    <w:rsid w:val="00C05E85"/>
    <w:rsid w:val="00C07032"/>
    <w:rsid w:val="00C073C3"/>
    <w:rsid w:val="00C07460"/>
    <w:rsid w:val="00C10821"/>
    <w:rsid w:val="00C11311"/>
    <w:rsid w:val="00C11755"/>
    <w:rsid w:val="00C13818"/>
    <w:rsid w:val="00C1567E"/>
    <w:rsid w:val="00C16211"/>
    <w:rsid w:val="00C17CB0"/>
    <w:rsid w:val="00C2090E"/>
    <w:rsid w:val="00C20A49"/>
    <w:rsid w:val="00C20E43"/>
    <w:rsid w:val="00C22C10"/>
    <w:rsid w:val="00C233D0"/>
    <w:rsid w:val="00C23E4F"/>
    <w:rsid w:val="00C24EB7"/>
    <w:rsid w:val="00C253F1"/>
    <w:rsid w:val="00C26E77"/>
    <w:rsid w:val="00C26FC9"/>
    <w:rsid w:val="00C270F0"/>
    <w:rsid w:val="00C27CB7"/>
    <w:rsid w:val="00C30420"/>
    <w:rsid w:val="00C32AB6"/>
    <w:rsid w:val="00C33003"/>
    <w:rsid w:val="00C336DA"/>
    <w:rsid w:val="00C338B3"/>
    <w:rsid w:val="00C33BBC"/>
    <w:rsid w:val="00C347D3"/>
    <w:rsid w:val="00C34910"/>
    <w:rsid w:val="00C34DE1"/>
    <w:rsid w:val="00C37358"/>
    <w:rsid w:val="00C37A39"/>
    <w:rsid w:val="00C40F22"/>
    <w:rsid w:val="00C41130"/>
    <w:rsid w:val="00C4164F"/>
    <w:rsid w:val="00C418E3"/>
    <w:rsid w:val="00C422AD"/>
    <w:rsid w:val="00C43382"/>
    <w:rsid w:val="00C44665"/>
    <w:rsid w:val="00C450EA"/>
    <w:rsid w:val="00C4520C"/>
    <w:rsid w:val="00C45981"/>
    <w:rsid w:val="00C45AFA"/>
    <w:rsid w:val="00C46163"/>
    <w:rsid w:val="00C4690F"/>
    <w:rsid w:val="00C51FBA"/>
    <w:rsid w:val="00C5207F"/>
    <w:rsid w:val="00C52547"/>
    <w:rsid w:val="00C52E70"/>
    <w:rsid w:val="00C53670"/>
    <w:rsid w:val="00C53B91"/>
    <w:rsid w:val="00C5666C"/>
    <w:rsid w:val="00C578D0"/>
    <w:rsid w:val="00C57C6B"/>
    <w:rsid w:val="00C602AD"/>
    <w:rsid w:val="00C61479"/>
    <w:rsid w:val="00C61CDE"/>
    <w:rsid w:val="00C637C8"/>
    <w:rsid w:val="00C640B6"/>
    <w:rsid w:val="00C6512C"/>
    <w:rsid w:val="00C658E8"/>
    <w:rsid w:val="00C70539"/>
    <w:rsid w:val="00C70D4E"/>
    <w:rsid w:val="00C72003"/>
    <w:rsid w:val="00C72795"/>
    <w:rsid w:val="00C730CB"/>
    <w:rsid w:val="00C73AFB"/>
    <w:rsid w:val="00C74E3F"/>
    <w:rsid w:val="00C7570D"/>
    <w:rsid w:val="00C75DF6"/>
    <w:rsid w:val="00C804D4"/>
    <w:rsid w:val="00C812F6"/>
    <w:rsid w:val="00C81398"/>
    <w:rsid w:val="00C81AD9"/>
    <w:rsid w:val="00C81B18"/>
    <w:rsid w:val="00C8294D"/>
    <w:rsid w:val="00C82985"/>
    <w:rsid w:val="00C8330E"/>
    <w:rsid w:val="00C848B3"/>
    <w:rsid w:val="00C8495A"/>
    <w:rsid w:val="00C849B6"/>
    <w:rsid w:val="00C84BB5"/>
    <w:rsid w:val="00C84F4F"/>
    <w:rsid w:val="00C85423"/>
    <w:rsid w:val="00C8550C"/>
    <w:rsid w:val="00C85682"/>
    <w:rsid w:val="00C867B3"/>
    <w:rsid w:val="00C9030A"/>
    <w:rsid w:val="00C92F2F"/>
    <w:rsid w:val="00C93180"/>
    <w:rsid w:val="00C93FB9"/>
    <w:rsid w:val="00C94738"/>
    <w:rsid w:val="00C94A5A"/>
    <w:rsid w:val="00C959FA"/>
    <w:rsid w:val="00CA0AF4"/>
    <w:rsid w:val="00CA1BF5"/>
    <w:rsid w:val="00CA2B03"/>
    <w:rsid w:val="00CA3529"/>
    <w:rsid w:val="00CA36E6"/>
    <w:rsid w:val="00CA55C8"/>
    <w:rsid w:val="00CA5AF4"/>
    <w:rsid w:val="00CA6FB6"/>
    <w:rsid w:val="00CA7C7A"/>
    <w:rsid w:val="00CB0A0E"/>
    <w:rsid w:val="00CB1EFA"/>
    <w:rsid w:val="00CB375F"/>
    <w:rsid w:val="00CB4C86"/>
    <w:rsid w:val="00CB65A1"/>
    <w:rsid w:val="00CB66F4"/>
    <w:rsid w:val="00CB682A"/>
    <w:rsid w:val="00CC00CB"/>
    <w:rsid w:val="00CC11F6"/>
    <w:rsid w:val="00CC1995"/>
    <w:rsid w:val="00CC308A"/>
    <w:rsid w:val="00CC3BAF"/>
    <w:rsid w:val="00CC3CF5"/>
    <w:rsid w:val="00CC5E62"/>
    <w:rsid w:val="00CC6331"/>
    <w:rsid w:val="00CC68D2"/>
    <w:rsid w:val="00CC6A0E"/>
    <w:rsid w:val="00CC77E4"/>
    <w:rsid w:val="00CC7B9C"/>
    <w:rsid w:val="00CC7D48"/>
    <w:rsid w:val="00CC7E7A"/>
    <w:rsid w:val="00CD00E3"/>
    <w:rsid w:val="00CD0441"/>
    <w:rsid w:val="00CD25CD"/>
    <w:rsid w:val="00CD31AC"/>
    <w:rsid w:val="00CD31E4"/>
    <w:rsid w:val="00CD44A7"/>
    <w:rsid w:val="00CD48BA"/>
    <w:rsid w:val="00CD48C6"/>
    <w:rsid w:val="00CD5461"/>
    <w:rsid w:val="00CD6202"/>
    <w:rsid w:val="00CD6718"/>
    <w:rsid w:val="00CD6CCA"/>
    <w:rsid w:val="00CD6F14"/>
    <w:rsid w:val="00CD6F73"/>
    <w:rsid w:val="00CE16FA"/>
    <w:rsid w:val="00CE2FD7"/>
    <w:rsid w:val="00CE34F4"/>
    <w:rsid w:val="00CE44F9"/>
    <w:rsid w:val="00CE450D"/>
    <w:rsid w:val="00CE55F6"/>
    <w:rsid w:val="00CE59B9"/>
    <w:rsid w:val="00CE6646"/>
    <w:rsid w:val="00CF1930"/>
    <w:rsid w:val="00CF272F"/>
    <w:rsid w:val="00CF4193"/>
    <w:rsid w:val="00CF43DF"/>
    <w:rsid w:val="00CF44CB"/>
    <w:rsid w:val="00CF5C76"/>
    <w:rsid w:val="00CF6094"/>
    <w:rsid w:val="00D00094"/>
    <w:rsid w:val="00D0145F"/>
    <w:rsid w:val="00D01B8E"/>
    <w:rsid w:val="00D01EAC"/>
    <w:rsid w:val="00D0289D"/>
    <w:rsid w:val="00D06A3F"/>
    <w:rsid w:val="00D07321"/>
    <w:rsid w:val="00D07431"/>
    <w:rsid w:val="00D10DC4"/>
    <w:rsid w:val="00D112B8"/>
    <w:rsid w:val="00D11303"/>
    <w:rsid w:val="00D12955"/>
    <w:rsid w:val="00D12CC4"/>
    <w:rsid w:val="00D13503"/>
    <w:rsid w:val="00D15292"/>
    <w:rsid w:val="00D161B1"/>
    <w:rsid w:val="00D165AE"/>
    <w:rsid w:val="00D20151"/>
    <w:rsid w:val="00D2180C"/>
    <w:rsid w:val="00D21B91"/>
    <w:rsid w:val="00D2362B"/>
    <w:rsid w:val="00D2694D"/>
    <w:rsid w:val="00D30D9A"/>
    <w:rsid w:val="00D32123"/>
    <w:rsid w:val="00D32177"/>
    <w:rsid w:val="00D323FD"/>
    <w:rsid w:val="00D32860"/>
    <w:rsid w:val="00D32D2F"/>
    <w:rsid w:val="00D33434"/>
    <w:rsid w:val="00D33AC1"/>
    <w:rsid w:val="00D34B90"/>
    <w:rsid w:val="00D3559F"/>
    <w:rsid w:val="00D3616F"/>
    <w:rsid w:val="00D40060"/>
    <w:rsid w:val="00D410B3"/>
    <w:rsid w:val="00D41192"/>
    <w:rsid w:val="00D41474"/>
    <w:rsid w:val="00D42E80"/>
    <w:rsid w:val="00D4438E"/>
    <w:rsid w:val="00D45224"/>
    <w:rsid w:val="00D4556D"/>
    <w:rsid w:val="00D4626B"/>
    <w:rsid w:val="00D506C4"/>
    <w:rsid w:val="00D53C09"/>
    <w:rsid w:val="00D564D3"/>
    <w:rsid w:val="00D56739"/>
    <w:rsid w:val="00D56EFA"/>
    <w:rsid w:val="00D57A69"/>
    <w:rsid w:val="00D619FD"/>
    <w:rsid w:val="00D62469"/>
    <w:rsid w:val="00D62F6B"/>
    <w:rsid w:val="00D6382E"/>
    <w:rsid w:val="00D64015"/>
    <w:rsid w:val="00D64622"/>
    <w:rsid w:val="00D648BE"/>
    <w:rsid w:val="00D64B86"/>
    <w:rsid w:val="00D66785"/>
    <w:rsid w:val="00D67F44"/>
    <w:rsid w:val="00D70437"/>
    <w:rsid w:val="00D70E66"/>
    <w:rsid w:val="00D70F9B"/>
    <w:rsid w:val="00D71544"/>
    <w:rsid w:val="00D7272F"/>
    <w:rsid w:val="00D72A33"/>
    <w:rsid w:val="00D72DF6"/>
    <w:rsid w:val="00D72F95"/>
    <w:rsid w:val="00D74235"/>
    <w:rsid w:val="00D75A0D"/>
    <w:rsid w:val="00D75A87"/>
    <w:rsid w:val="00D769FC"/>
    <w:rsid w:val="00D76DBB"/>
    <w:rsid w:val="00D7726D"/>
    <w:rsid w:val="00D810B5"/>
    <w:rsid w:val="00D81F9D"/>
    <w:rsid w:val="00D826EE"/>
    <w:rsid w:val="00D84117"/>
    <w:rsid w:val="00D84C29"/>
    <w:rsid w:val="00D85C8E"/>
    <w:rsid w:val="00D86FC5"/>
    <w:rsid w:val="00D877F5"/>
    <w:rsid w:val="00D90F7E"/>
    <w:rsid w:val="00D92597"/>
    <w:rsid w:val="00D94D4A"/>
    <w:rsid w:val="00D95720"/>
    <w:rsid w:val="00D95998"/>
    <w:rsid w:val="00D95E31"/>
    <w:rsid w:val="00DA004E"/>
    <w:rsid w:val="00DA028D"/>
    <w:rsid w:val="00DA0C26"/>
    <w:rsid w:val="00DA0F33"/>
    <w:rsid w:val="00DA274D"/>
    <w:rsid w:val="00DA3BCB"/>
    <w:rsid w:val="00DA4AA5"/>
    <w:rsid w:val="00DA4CE9"/>
    <w:rsid w:val="00DA4EE1"/>
    <w:rsid w:val="00DA4F4E"/>
    <w:rsid w:val="00DA61BC"/>
    <w:rsid w:val="00DA6987"/>
    <w:rsid w:val="00DA6E24"/>
    <w:rsid w:val="00DA7050"/>
    <w:rsid w:val="00DA7F57"/>
    <w:rsid w:val="00DB0568"/>
    <w:rsid w:val="00DB26A6"/>
    <w:rsid w:val="00DB297B"/>
    <w:rsid w:val="00DB39E2"/>
    <w:rsid w:val="00DB4E65"/>
    <w:rsid w:val="00DB5457"/>
    <w:rsid w:val="00DB5AE9"/>
    <w:rsid w:val="00DB5AF8"/>
    <w:rsid w:val="00DB78DB"/>
    <w:rsid w:val="00DC2428"/>
    <w:rsid w:val="00DC31A3"/>
    <w:rsid w:val="00DC4C06"/>
    <w:rsid w:val="00DC4D82"/>
    <w:rsid w:val="00DC5CD1"/>
    <w:rsid w:val="00DC78CB"/>
    <w:rsid w:val="00DC7E24"/>
    <w:rsid w:val="00DD01FB"/>
    <w:rsid w:val="00DD16F2"/>
    <w:rsid w:val="00DD47A0"/>
    <w:rsid w:val="00DD650D"/>
    <w:rsid w:val="00DD73B5"/>
    <w:rsid w:val="00DE2A37"/>
    <w:rsid w:val="00DE2A9E"/>
    <w:rsid w:val="00DE2B01"/>
    <w:rsid w:val="00DE3B16"/>
    <w:rsid w:val="00DE3CF6"/>
    <w:rsid w:val="00DE5EF0"/>
    <w:rsid w:val="00DE76FB"/>
    <w:rsid w:val="00DE775B"/>
    <w:rsid w:val="00DF0FC7"/>
    <w:rsid w:val="00DF360A"/>
    <w:rsid w:val="00DF3707"/>
    <w:rsid w:val="00DF403F"/>
    <w:rsid w:val="00DF5EC0"/>
    <w:rsid w:val="00DF61CB"/>
    <w:rsid w:val="00DF6376"/>
    <w:rsid w:val="00DF7183"/>
    <w:rsid w:val="00DF721B"/>
    <w:rsid w:val="00E00E7F"/>
    <w:rsid w:val="00E00FF9"/>
    <w:rsid w:val="00E03826"/>
    <w:rsid w:val="00E0456C"/>
    <w:rsid w:val="00E04814"/>
    <w:rsid w:val="00E05957"/>
    <w:rsid w:val="00E05A1E"/>
    <w:rsid w:val="00E0610A"/>
    <w:rsid w:val="00E06440"/>
    <w:rsid w:val="00E103A3"/>
    <w:rsid w:val="00E10414"/>
    <w:rsid w:val="00E10970"/>
    <w:rsid w:val="00E10AEA"/>
    <w:rsid w:val="00E117A0"/>
    <w:rsid w:val="00E11D89"/>
    <w:rsid w:val="00E1220C"/>
    <w:rsid w:val="00E12960"/>
    <w:rsid w:val="00E129E9"/>
    <w:rsid w:val="00E12BE3"/>
    <w:rsid w:val="00E13E43"/>
    <w:rsid w:val="00E14EC4"/>
    <w:rsid w:val="00E150A4"/>
    <w:rsid w:val="00E15C27"/>
    <w:rsid w:val="00E1609D"/>
    <w:rsid w:val="00E1629D"/>
    <w:rsid w:val="00E17B39"/>
    <w:rsid w:val="00E207D8"/>
    <w:rsid w:val="00E24049"/>
    <w:rsid w:val="00E24601"/>
    <w:rsid w:val="00E2616A"/>
    <w:rsid w:val="00E26AA8"/>
    <w:rsid w:val="00E312AD"/>
    <w:rsid w:val="00E313C3"/>
    <w:rsid w:val="00E31BA7"/>
    <w:rsid w:val="00E321B8"/>
    <w:rsid w:val="00E32B5A"/>
    <w:rsid w:val="00E336E6"/>
    <w:rsid w:val="00E34899"/>
    <w:rsid w:val="00E362B2"/>
    <w:rsid w:val="00E36585"/>
    <w:rsid w:val="00E36B1A"/>
    <w:rsid w:val="00E37861"/>
    <w:rsid w:val="00E412DC"/>
    <w:rsid w:val="00E4158A"/>
    <w:rsid w:val="00E41872"/>
    <w:rsid w:val="00E420F0"/>
    <w:rsid w:val="00E43599"/>
    <w:rsid w:val="00E44126"/>
    <w:rsid w:val="00E44187"/>
    <w:rsid w:val="00E46906"/>
    <w:rsid w:val="00E47384"/>
    <w:rsid w:val="00E50463"/>
    <w:rsid w:val="00E53A3A"/>
    <w:rsid w:val="00E54A1E"/>
    <w:rsid w:val="00E55A74"/>
    <w:rsid w:val="00E602CF"/>
    <w:rsid w:val="00E60361"/>
    <w:rsid w:val="00E62240"/>
    <w:rsid w:val="00E62AC2"/>
    <w:rsid w:val="00E63AA9"/>
    <w:rsid w:val="00E64020"/>
    <w:rsid w:val="00E64C05"/>
    <w:rsid w:val="00E6584F"/>
    <w:rsid w:val="00E65E88"/>
    <w:rsid w:val="00E65F42"/>
    <w:rsid w:val="00E668FB"/>
    <w:rsid w:val="00E66C30"/>
    <w:rsid w:val="00E66E76"/>
    <w:rsid w:val="00E70F0C"/>
    <w:rsid w:val="00E71122"/>
    <w:rsid w:val="00E7149B"/>
    <w:rsid w:val="00E71EB0"/>
    <w:rsid w:val="00E76A01"/>
    <w:rsid w:val="00E77E32"/>
    <w:rsid w:val="00E77EE7"/>
    <w:rsid w:val="00E82184"/>
    <w:rsid w:val="00E82A1F"/>
    <w:rsid w:val="00E8332A"/>
    <w:rsid w:val="00E83690"/>
    <w:rsid w:val="00E83F05"/>
    <w:rsid w:val="00E85295"/>
    <w:rsid w:val="00E8558D"/>
    <w:rsid w:val="00E875D8"/>
    <w:rsid w:val="00E87C3D"/>
    <w:rsid w:val="00E90F74"/>
    <w:rsid w:val="00E9151B"/>
    <w:rsid w:val="00E9195C"/>
    <w:rsid w:val="00E941B6"/>
    <w:rsid w:val="00E948F6"/>
    <w:rsid w:val="00E9638D"/>
    <w:rsid w:val="00E96F53"/>
    <w:rsid w:val="00E9750D"/>
    <w:rsid w:val="00E978EA"/>
    <w:rsid w:val="00E97B73"/>
    <w:rsid w:val="00EA03F6"/>
    <w:rsid w:val="00EA065A"/>
    <w:rsid w:val="00EA0772"/>
    <w:rsid w:val="00EA1D63"/>
    <w:rsid w:val="00EA1D8D"/>
    <w:rsid w:val="00EA3FE8"/>
    <w:rsid w:val="00EA5436"/>
    <w:rsid w:val="00EA55DE"/>
    <w:rsid w:val="00EA5F49"/>
    <w:rsid w:val="00EA6232"/>
    <w:rsid w:val="00EB15DA"/>
    <w:rsid w:val="00EB1BA7"/>
    <w:rsid w:val="00EB2A88"/>
    <w:rsid w:val="00EB2C91"/>
    <w:rsid w:val="00EB6176"/>
    <w:rsid w:val="00EB6457"/>
    <w:rsid w:val="00EB728F"/>
    <w:rsid w:val="00EB7B2B"/>
    <w:rsid w:val="00EC0759"/>
    <w:rsid w:val="00EC0E69"/>
    <w:rsid w:val="00EC0FEC"/>
    <w:rsid w:val="00EC1AEB"/>
    <w:rsid w:val="00EC5486"/>
    <w:rsid w:val="00EC5A05"/>
    <w:rsid w:val="00EC6435"/>
    <w:rsid w:val="00EC6641"/>
    <w:rsid w:val="00EC79DB"/>
    <w:rsid w:val="00ED05B5"/>
    <w:rsid w:val="00ED1769"/>
    <w:rsid w:val="00ED4163"/>
    <w:rsid w:val="00ED5E49"/>
    <w:rsid w:val="00ED7A67"/>
    <w:rsid w:val="00EE1494"/>
    <w:rsid w:val="00EE2B9D"/>
    <w:rsid w:val="00EE3A74"/>
    <w:rsid w:val="00EE3BF0"/>
    <w:rsid w:val="00EE4628"/>
    <w:rsid w:val="00EE4AC0"/>
    <w:rsid w:val="00EE5ED3"/>
    <w:rsid w:val="00EE7486"/>
    <w:rsid w:val="00EE7718"/>
    <w:rsid w:val="00EE779F"/>
    <w:rsid w:val="00EF01CB"/>
    <w:rsid w:val="00EF20A4"/>
    <w:rsid w:val="00EF40A0"/>
    <w:rsid w:val="00EF41D9"/>
    <w:rsid w:val="00EF4AF9"/>
    <w:rsid w:val="00EF5AAC"/>
    <w:rsid w:val="00EF5D1A"/>
    <w:rsid w:val="00EF6761"/>
    <w:rsid w:val="00EF6B5F"/>
    <w:rsid w:val="00EF6F2D"/>
    <w:rsid w:val="00F021E2"/>
    <w:rsid w:val="00F0265C"/>
    <w:rsid w:val="00F02BB0"/>
    <w:rsid w:val="00F04FA7"/>
    <w:rsid w:val="00F052BB"/>
    <w:rsid w:val="00F05559"/>
    <w:rsid w:val="00F05A8C"/>
    <w:rsid w:val="00F065B3"/>
    <w:rsid w:val="00F06954"/>
    <w:rsid w:val="00F07155"/>
    <w:rsid w:val="00F10AFB"/>
    <w:rsid w:val="00F10F99"/>
    <w:rsid w:val="00F11420"/>
    <w:rsid w:val="00F11495"/>
    <w:rsid w:val="00F118F6"/>
    <w:rsid w:val="00F13898"/>
    <w:rsid w:val="00F13A65"/>
    <w:rsid w:val="00F14A92"/>
    <w:rsid w:val="00F17BE4"/>
    <w:rsid w:val="00F17E82"/>
    <w:rsid w:val="00F2000D"/>
    <w:rsid w:val="00F21091"/>
    <w:rsid w:val="00F22B6D"/>
    <w:rsid w:val="00F22D50"/>
    <w:rsid w:val="00F231CE"/>
    <w:rsid w:val="00F23708"/>
    <w:rsid w:val="00F24A0F"/>
    <w:rsid w:val="00F259CA"/>
    <w:rsid w:val="00F25DF2"/>
    <w:rsid w:val="00F25E18"/>
    <w:rsid w:val="00F27BD3"/>
    <w:rsid w:val="00F3200F"/>
    <w:rsid w:val="00F33E19"/>
    <w:rsid w:val="00F34EA0"/>
    <w:rsid w:val="00F367D8"/>
    <w:rsid w:val="00F373F6"/>
    <w:rsid w:val="00F37B0D"/>
    <w:rsid w:val="00F37D5B"/>
    <w:rsid w:val="00F37FBF"/>
    <w:rsid w:val="00F41C03"/>
    <w:rsid w:val="00F41E3C"/>
    <w:rsid w:val="00F42768"/>
    <w:rsid w:val="00F43A64"/>
    <w:rsid w:val="00F446F3"/>
    <w:rsid w:val="00F44ADE"/>
    <w:rsid w:val="00F45A39"/>
    <w:rsid w:val="00F474AF"/>
    <w:rsid w:val="00F4759A"/>
    <w:rsid w:val="00F4760D"/>
    <w:rsid w:val="00F478AB"/>
    <w:rsid w:val="00F47E52"/>
    <w:rsid w:val="00F47F07"/>
    <w:rsid w:val="00F5119F"/>
    <w:rsid w:val="00F5175D"/>
    <w:rsid w:val="00F52315"/>
    <w:rsid w:val="00F536CF"/>
    <w:rsid w:val="00F554C7"/>
    <w:rsid w:val="00F55767"/>
    <w:rsid w:val="00F55DC8"/>
    <w:rsid w:val="00F56A78"/>
    <w:rsid w:val="00F56C38"/>
    <w:rsid w:val="00F57173"/>
    <w:rsid w:val="00F57B5F"/>
    <w:rsid w:val="00F617B5"/>
    <w:rsid w:val="00F622D8"/>
    <w:rsid w:val="00F62E71"/>
    <w:rsid w:val="00F62EA5"/>
    <w:rsid w:val="00F63CA6"/>
    <w:rsid w:val="00F660E9"/>
    <w:rsid w:val="00F670FD"/>
    <w:rsid w:val="00F676DA"/>
    <w:rsid w:val="00F70139"/>
    <w:rsid w:val="00F70AA1"/>
    <w:rsid w:val="00F70C4C"/>
    <w:rsid w:val="00F72062"/>
    <w:rsid w:val="00F73CBA"/>
    <w:rsid w:val="00F73E24"/>
    <w:rsid w:val="00F764E9"/>
    <w:rsid w:val="00F76776"/>
    <w:rsid w:val="00F7799B"/>
    <w:rsid w:val="00F8011A"/>
    <w:rsid w:val="00F80334"/>
    <w:rsid w:val="00F81620"/>
    <w:rsid w:val="00F81B76"/>
    <w:rsid w:val="00F82D20"/>
    <w:rsid w:val="00F85DD2"/>
    <w:rsid w:val="00F86399"/>
    <w:rsid w:val="00F86D7B"/>
    <w:rsid w:val="00F86EC6"/>
    <w:rsid w:val="00F90CBC"/>
    <w:rsid w:val="00F912EC"/>
    <w:rsid w:val="00F91644"/>
    <w:rsid w:val="00F91CEC"/>
    <w:rsid w:val="00F92039"/>
    <w:rsid w:val="00F92142"/>
    <w:rsid w:val="00F921CF"/>
    <w:rsid w:val="00F9241E"/>
    <w:rsid w:val="00F9295F"/>
    <w:rsid w:val="00F92C48"/>
    <w:rsid w:val="00F92CC8"/>
    <w:rsid w:val="00F932E9"/>
    <w:rsid w:val="00F934ED"/>
    <w:rsid w:val="00F93AB3"/>
    <w:rsid w:val="00F93D00"/>
    <w:rsid w:val="00F93FDA"/>
    <w:rsid w:val="00F94007"/>
    <w:rsid w:val="00F954C9"/>
    <w:rsid w:val="00F95B66"/>
    <w:rsid w:val="00F95EAE"/>
    <w:rsid w:val="00F96854"/>
    <w:rsid w:val="00F97AF8"/>
    <w:rsid w:val="00FA163C"/>
    <w:rsid w:val="00FA2CED"/>
    <w:rsid w:val="00FA405A"/>
    <w:rsid w:val="00FA743D"/>
    <w:rsid w:val="00FB00EB"/>
    <w:rsid w:val="00FB0779"/>
    <w:rsid w:val="00FB0B6B"/>
    <w:rsid w:val="00FB0F33"/>
    <w:rsid w:val="00FB1900"/>
    <w:rsid w:val="00FB2251"/>
    <w:rsid w:val="00FB31C9"/>
    <w:rsid w:val="00FB56B3"/>
    <w:rsid w:val="00FB58D3"/>
    <w:rsid w:val="00FB6D80"/>
    <w:rsid w:val="00FB7773"/>
    <w:rsid w:val="00FC08DA"/>
    <w:rsid w:val="00FC1CED"/>
    <w:rsid w:val="00FC2B8C"/>
    <w:rsid w:val="00FC5423"/>
    <w:rsid w:val="00FC6AEA"/>
    <w:rsid w:val="00FC6AF0"/>
    <w:rsid w:val="00FC70AF"/>
    <w:rsid w:val="00FC7159"/>
    <w:rsid w:val="00FC73B5"/>
    <w:rsid w:val="00FC7C06"/>
    <w:rsid w:val="00FC7DC5"/>
    <w:rsid w:val="00FD0539"/>
    <w:rsid w:val="00FD0659"/>
    <w:rsid w:val="00FD06ED"/>
    <w:rsid w:val="00FD09A5"/>
    <w:rsid w:val="00FD222E"/>
    <w:rsid w:val="00FD2B1C"/>
    <w:rsid w:val="00FD2F1B"/>
    <w:rsid w:val="00FD32FF"/>
    <w:rsid w:val="00FD652D"/>
    <w:rsid w:val="00FE0B16"/>
    <w:rsid w:val="00FE50B4"/>
    <w:rsid w:val="00FE6A86"/>
    <w:rsid w:val="00FE74C4"/>
    <w:rsid w:val="00FE7B1F"/>
    <w:rsid w:val="00FE7F14"/>
    <w:rsid w:val="00FF01EF"/>
    <w:rsid w:val="00FF05B6"/>
    <w:rsid w:val="00FF1BAF"/>
    <w:rsid w:val="00FF3FAD"/>
    <w:rsid w:val="00FF4669"/>
    <w:rsid w:val="00FF4C98"/>
    <w:rsid w:val="00FF4DA9"/>
    <w:rsid w:val="00FF5F40"/>
    <w:rsid w:val="00FF7440"/>
    <w:rsid w:val="01342858"/>
    <w:rsid w:val="01457B13"/>
    <w:rsid w:val="01814A66"/>
    <w:rsid w:val="01DE7AA6"/>
    <w:rsid w:val="01E4013F"/>
    <w:rsid w:val="025D718F"/>
    <w:rsid w:val="028748D6"/>
    <w:rsid w:val="02976E3A"/>
    <w:rsid w:val="02A22DAC"/>
    <w:rsid w:val="02DD429F"/>
    <w:rsid w:val="031603BF"/>
    <w:rsid w:val="031C2C36"/>
    <w:rsid w:val="03207451"/>
    <w:rsid w:val="032650D8"/>
    <w:rsid w:val="03314410"/>
    <w:rsid w:val="03656041"/>
    <w:rsid w:val="03711B83"/>
    <w:rsid w:val="039D2BB9"/>
    <w:rsid w:val="03A66D20"/>
    <w:rsid w:val="03CB5125"/>
    <w:rsid w:val="041A3F8C"/>
    <w:rsid w:val="043869BA"/>
    <w:rsid w:val="046643CD"/>
    <w:rsid w:val="046A109B"/>
    <w:rsid w:val="047570E6"/>
    <w:rsid w:val="04793E24"/>
    <w:rsid w:val="04857063"/>
    <w:rsid w:val="049E51F0"/>
    <w:rsid w:val="049F6A05"/>
    <w:rsid w:val="05645101"/>
    <w:rsid w:val="059473B8"/>
    <w:rsid w:val="05B96F54"/>
    <w:rsid w:val="05CF2D58"/>
    <w:rsid w:val="05E26745"/>
    <w:rsid w:val="05E615FD"/>
    <w:rsid w:val="063613FC"/>
    <w:rsid w:val="06775686"/>
    <w:rsid w:val="06882FC2"/>
    <w:rsid w:val="06B42D73"/>
    <w:rsid w:val="06F90AE1"/>
    <w:rsid w:val="076E3C6E"/>
    <w:rsid w:val="07AE1443"/>
    <w:rsid w:val="085E69D6"/>
    <w:rsid w:val="08A4711A"/>
    <w:rsid w:val="08AC1A22"/>
    <w:rsid w:val="08AC6A74"/>
    <w:rsid w:val="08E8249D"/>
    <w:rsid w:val="08EA0E6E"/>
    <w:rsid w:val="09297956"/>
    <w:rsid w:val="093379F4"/>
    <w:rsid w:val="0939162F"/>
    <w:rsid w:val="09586AFD"/>
    <w:rsid w:val="097E4DEF"/>
    <w:rsid w:val="0987670B"/>
    <w:rsid w:val="09B67BB6"/>
    <w:rsid w:val="09D12F06"/>
    <w:rsid w:val="09E66F25"/>
    <w:rsid w:val="09F0498C"/>
    <w:rsid w:val="0A10364C"/>
    <w:rsid w:val="0A1B0067"/>
    <w:rsid w:val="0A6230D8"/>
    <w:rsid w:val="0A670F06"/>
    <w:rsid w:val="0A6D4BFF"/>
    <w:rsid w:val="0AAC6D5E"/>
    <w:rsid w:val="0AC31512"/>
    <w:rsid w:val="0AE376EC"/>
    <w:rsid w:val="0B0438D0"/>
    <w:rsid w:val="0B761876"/>
    <w:rsid w:val="0BBC49D8"/>
    <w:rsid w:val="0BC66307"/>
    <w:rsid w:val="0BF84262"/>
    <w:rsid w:val="0C152FCE"/>
    <w:rsid w:val="0C780194"/>
    <w:rsid w:val="0C922932"/>
    <w:rsid w:val="0C924963"/>
    <w:rsid w:val="0CC26D86"/>
    <w:rsid w:val="0CD45921"/>
    <w:rsid w:val="0D145700"/>
    <w:rsid w:val="0D181335"/>
    <w:rsid w:val="0D1E6FFB"/>
    <w:rsid w:val="0D2544F7"/>
    <w:rsid w:val="0D3C5632"/>
    <w:rsid w:val="0D66602D"/>
    <w:rsid w:val="0DA35783"/>
    <w:rsid w:val="0DBF68CD"/>
    <w:rsid w:val="0DC43CB1"/>
    <w:rsid w:val="0E2407CC"/>
    <w:rsid w:val="0E737D4F"/>
    <w:rsid w:val="0E9201B9"/>
    <w:rsid w:val="0EAD6F71"/>
    <w:rsid w:val="0ED05A13"/>
    <w:rsid w:val="0EE400F8"/>
    <w:rsid w:val="0EFE259F"/>
    <w:rsid w:val="0F2B14CB"/>
    <w:rsid w:val="0FA030AD"/>
    <w:rsid w:val="0FA177F6"/>
    <w:rsid w:val="0FA5508E"/>
    <w:rsid w:val="0FB15EFE"/>
    <w:rsid w:val="10053D35"/>
    <w:rsid w:val="100D05EB"/>
    <w:rsid w:val="102461A8"/>
    <w:rsid w:val="103C3C6D"/>
    <w:rsid w:val="10722274"/>
    <w:rsid w:val="10AC4FF4"/>
    <w:rsid w:val="10BD4BC0"/>
    <w:rsid w:val="10C17DB9"/>
    <w:rsid w:val="10D53BE2"/>
    <w:rsid w:val="110D1362"/>
    <w:rsid w:val="11435093"/>
    <w:rsid w:val="114A0BA2"/>
    <w:rsid w:val="1152419B"/>
    <w:rsid w:val="121E3713"/>
    <w:rsid w:val="123B1823"/>
    <w:rsid w:val="12450BAF"/>
    <w:rsid w:val="124F3FD1"/>
    <w:rsid w:val="12670DD1"/>
    <w:rsid w:val="126C323A"/>
    <w:rsid w:val="129D7E76"/>
    <w:rsid w:val="12A5120B"/>
    <w:rsid w:val="12A75D74"/>
    <w:rsid w:val="12A92791"/>
    <w:rsid w:val="13683A14"/>
    <w:rsid w:val="13A44F0B"/>
    <w:rsid w:val="13B239FC"/>
    <w:rsid w:val="13C158A8"/>
    <w:rsid w:val="13DC75A8"/>
    <w:rsid w:val="13E81A72"/>
    <w:rsid w:val="13F52C61"/>
    <w:rsid w:val="14042586"/>
    <w:rsid w:val="142C2C6B"/>
    <w:rsid w:val="14520BBC"/>
    <w:rsid w:val="14D469C7"/>
    <w:rsid w:val="14DB2C30"/>
    <w:rsid w:val="14DC0E23"/>
    <w:rsid w:val="152B3CD0"/>
    <w:rsid w:val="15367A96"/>
    <w:rsid w:val="15AC4A9C"/>
    <w:rsid w:val="15DA703F"/>
    <w:rsid w:val="161C68C4"/>
    <w:rsid w:val="163303D9"/>
    <w:rsid w:val="165215F4"/>
    <w:rsid w:val="165709F8"/>
    <w:rsid w:val="165E68B8"/>
    <w:rsid w:val="166A10D5"/>
    <w:rsid w:val="168D5B82"/>
    <w:rsid w:val="16B9124E"/>
    <w:rsid w:val="16BD430D"/>
    <w:rsid w:val="16C230B7"/>
    <w:rsid w:val="16D97918"/>
    <w:rsid w:val="16E63F2C"/>
    <w:rsid w:val="17000B89"/>
    <w:rsid w:val="174170B6"/>
    <w:rsid w:val="175C00C8"/>
    <w:rsid w:val="17736B2F"/>
    <w:rsid w:val="17D23DD7"/>
    <w:rsid w:val="17E45112"/>
    <w:rsid w:val="17F21D07"/>
    <w:rsid w:val="18182FA5"/>
    <w:rsid w:val="184A3E2A"/>
    <w:rsid w:val="184E1211"/>
    <w:rsid w:val="192505D5"/>
    <w:rsid w:val="19305586"/>
    <w:rsid w:val="194159AF"/>
    <w:rsid w:val="194D6D6B"/>
    <w:rsid w:val="195F49F3"/>
    <w:rsid w:val="196A2179"/>
    <w:rsid w:val="19967B64"/>
    <w:rsid w:val="19991559"/>
    <w:rsid w:val="19D406DA"/>
    <w:rsid w:val="19DC63DF"/>
    <w:rsid w:val="1A8A186A"/>
    <w:rsid w:val="1AC31A76"/>
    <w:rsid w:val="1ACA0A70"/>
    <w:rsid w:val="1B0D15D1"/>
    <w:rsid w:val="1B13156E"/>
    <w:rsid w:val="1B246C12"/>
    <w:rsid w:val="1BE42253"/>
    <w:rsid w:val="1C003141"/>
    <w:rsid w:val="1C16504C"/>
    <w:rsid w:val="1C3D26D4"/>
    <w:rsid w:val="1C574BC2"/>
    <w:rsid w:val="1C5A41DD"/>
    <w:rsid w:val="1C5D242E"/>
    <w:rsid w:val="1D557DBC"/>
    <w:rsid w:val="1D736FD5"/>
    <w:rsid w:val="1D9A2DD7"/>
    <w:rsid w:val="1DE71167"/>
    <w:rsid w:val="1DFB4C20"/>
    <w:rsid w:val="1E2471A4"/>
    <w:rsid w:val="1E2B49DB"/>
    <w:rsid w:val="1E2F2C1C"/>
    <w:rsid w:val="1E3D1E18"/>
    <w:rsid w:val="1E5352BE"/>
    <w:rsid w:val="1E6165B6"/>
    <w:rsid w:val="1E893715"/>
    <w:rsid w:val="1EB31C66"/>
    <w:rsid w:val="1F592F62"/>
    <w:rsid w:val="1F5A74E0"/>
    <w:rsid w:val="1FD415D8"/>
    <w:rsid w:val="1FF0448F"/>
    <w:rsid w:val="20142710"/>
    <w:rsid w:val="201954BC"/>
    <w:rsid w:val="206866A0"/>
    <w:rsid w:val="208A327C"/>
    <w:rsid w:val="20B30543"/>
    <w:rsid w:val="20BC2DAD"/>
    <w:rsid w:val="20C459C9"/>
    <w:rsid w:val="20E32684"/>
    <w:rsid w:val="20FD731C"/>
    <w:rsid w:val="20FE67E6"/>
    <w:rsid w:val="211060DA"/>
    <w:rsid w:val="21464C5F"/>
    <w:rsid w:val="2170325F"/>
    <w:rsid w:val="217515B7"/>
    <w:rsid w:val="2180316D"/>
    <w:rsid w:val="21D63406"/>
    <w:rsid w:val="21F12723"/>
    <w:rsid w:val="22455298"/>
    <w:rsid w:val="227A3E96"/>
    <w:rsid w:val="22AE7FBA"/>
    <w:rsid w:val="22C20677"/>
    <w:rsid w:val="230650F4"/>
    <w:rsid w:val="230F483A"/>
    <w:rsid w:val="231C4807"/>
    <w:rsid w:val="231E0FA0"/>
    <w:rsid w:val="23217D8A"/>
    <w:rsid w:val="23793872"/>
    <w:rsid w:val="238F4C93"/>
    <w:rsid w:val="23A135EE"/>
    <w:rsid w:val="23AC564C"/>
    <w:rsid w:val="23B05B68"/>
    <w:rsid w:val="23BF5003"/>
    <w:rsid w:val="23C55968"/>
    <w:rsid w:val="23E806CF"/>
    <w:rsid w:val="23FE7406"/>
    <w:rsid w:val="24112498"/>
    <w:rsid w:val="245911AF"/>
    <w:rsid w:val="247E6945"/>
    <w:rsid w:val="249E06DB"/>
    <w:rsid w:val="24E017CD"/>
    <w:rsid w:val="24EA50DD"/>
    <w:rsid w:val="24F1620A"/>
    <w:rsid w:val="25295B0C"/>
    <w:rsid w:val="253F19AA"/>
    <w:rsid w:val="25565033"/>
    <w:rsid w:val="256C2B48"/>
    <w:rsid w:val="257E77A0"/>
    <w:rsid w:val="25A509B2"/>
    <w:rsid w:val="25B00E3A"/>
    <w:rsid w:val="25DF1481"/>
    <w:rsid w:val="26646141"/>
    <w:rsid w:val="26B9038A"/>
    <w:rsid w:val="271B5CEC"/>
    <w:rsid w:val="27526BAA"/>
    <w:rsid w:val="275E1797"/>
    <w:rsid w:val="276614CB"/>
    <w:rsid w:val="276A0AF6"/>
    <w:rsid w:val="27935DB3"/>
    <w:rsid w:val="27DD5981"/>
    <w:rsid w:val="280C52A4"/>
    <w:rsid w:val="28176E43"/>
    <w:rsid w:val="281F7F99"/>
    <w:rsid w:val="28592EF1"/>
    <w:rsid w:val="285E2E4A"/>
    <w:rsid w:val="287953EB"/>
    <w:rsid w:val="28806DF0"/>
    <w:rsid w:val="28900BA9"/>
    <w:rsid w:val="28FA0E51"/>
    <w:rsid w:val="294E5EB7"/>
    <w:rsid w:val="29C744CF"/>
    <w:rsid w:val="2A0318CF"/>
    <w:rsid w:val="2A064835"/>
    <w:rsid w:val="2A3F11DE"/>
    <w:rsid w:val="2A821FA9"/>
    <w:rsid w:val="2A9B4A25"/>
    <w:rsid w:val="2AB54AE1"/>
    <w:rsid w:val="2AFE46AA"/>
    <w:rsid w:val="2B383D51"/>
    <w:rsid w:val="2B4C2697"/>
    <w:rsid w:val="2B5451DF"/>
    <w:rsid w:val="2B547374"/>
    <w:rsid w:val="2B5A1BA0"/>
    <w:rsid w:val="2B7D2315"/>
    <w:rsid w:val="2B8C63BF"/>
    <w:rsid w:val="2BB1038F"/>
    <w:rsid w:val="2BC2693B"/>
    <w:rsid w:val="2BD262B8"/>
    <w:rsid w:val="2BD31A64"/>
    <w:rsid w:val="2BF305EB"/>
    <w:rsid w:val="2C6401B5"/>
    <w:rsid w:val="2C640D7E"/>
    <w:rsid w:val="2CDF427D"/>
    <w:rsid w:val="2D064334"/>
    <w:rsid w:val="2D3357C2"/>
    <w:rsid w:val="2D6A1BB6"/>
    <w:rsid w:val="2D703FDF"/>
    <w:rsid w:val="2D9205F4"/>
    <w:rsid w:val="2DCD7FAF"/>
    <w:rsid w:val="2DF1284B"/>
    <w:rsid w:val="2E6D0E7F"/>
    <w:rsid w:val="2EB166DA"/>
    <w:rsid w:val="2ED365DA"/>
    <w:rsid w:val="2EE45CD1"/>
    <w:rsid w:val="2EF35CF5"/>
    <w:rsid w:val="2F115AC7"/>
    <w:rsid w:val="2F373202"/>
    <w:rsid w:val="2F4706D4"/>
    <w:rsid w:val="2F5A0DD1"/>
    <w:rsid w:val="2F8A1F4B"/>
    <w:rsid w:val="2FAA47B9"/>
    <w:rsid w:val="30655558"/>
    <w:rsid w:val="30753F5F"/>
    <w:rsid w:val="30B545AA"/>
    <w:rsid w:val="312447A0"/>
    <w:rsid w:val="314725D9"/>
    <w:rsid w:val="31743D12"/>
    <w:rsid w:val="31CD5062"/>
    <w:rsid w:val="31E65944"/>
    <w:rsid w:val="31EB0128"/>
    <w:rsid w:val="32756BFC"/>
    <w:rsid w:val="33A24BDF"/>
    <w:rsid w:val="33B769CC"/>
    <w:rsid w:val="34CE29F1"/>
    <w:rsid w:val="34D53238"/>
    <w:rsid w:val="35402119"/>
    <w:rsid w:val="355F7D17"/>
    <w:rsid w:val="35656C01"/>
    <w:rsid w:val="35933C9C"/>
    <w:rsid w:val="35FC7290"/>
    <w:rsid w:val="36707B23"/>
    <w:rsid w:val="36805626"/>
    <w:rsid w:val="36E47FB4"/>
    <w:rsid w:val="36F53640"/>
    <w:rsid w:val="37056AC8"/>
    <w:rsid w:val="373C15FF"/>
    <w:rsid w:val="3744252A"/>
    <w:rsid w:val="37A2268B"/>
    <w:rsid w:val="37C73F5F"/>
    <w:rsid w:val="382C2525"/>
    <w:rsid w:val="388762A5"/>
    <w:rsid w:val="38D964CE"/>
    <w:rsid w:val="38EE2589"/>
    <w:rsid w:val="38FD6CFE"/>
    <w:rsid w:val="390E0843"/>
    <w:rsid w:val="399A6D5A"/>
    <w:rsid w:val="39D92652"/>
    <w:rsid w:val="3A06009B"/>
    <w:rsid w:val="3A1472D4"/>
    <w:rsid w:val="3A353ED7"/>
    <w:rsid w:val="3A39635F"/>
    <w:rsid w:val="3A894481"/>
    <w:rsid w:val="3A9E5220"/>
    <w:rsid w:val="3ACC4674"/>
    <w:rsid w:val="3AF54968"/>
    <w:rsid w:val="3AF67BF5"/>
    <w:rsid w:val="3B0C109E"/>
    <w:rsid w:val="3B951ABA"/>
    <w:rsid w:val="3B982578"/>
    <w:rsid w:val="3BB03A6E"/>
    <w:rsid w:val="3BC0222D"/>
    <w:rsid w:val="3BCC2F36"/>
    <w:rsid w:val="3C581593"/>
    <w:rsid w:val="3C8214CE"/>
    <w:rsid w:val="3CBA4DF2"/>
    <w:rsid w:val="3D23441D"/>
    <w:rsid w:val="3D340B10"/>
    <w:rsid w:val="3D382A3C"/>
    <w:rsid w:val="3D5D4285"/>
    <w:rsid w:val="3D893630"/>
    <w:rsid w:val="3E0F7A97"/>
    <w:rsid w:val="3E4D7995"/>
    <w:rsid w:val="3E7552A2"/>
    <w:rsid w:val="3E9F17D9"/>
    <w:rsid w:val="3EAC2183"/>
    <w:rsid w:val="3EBD25D1"/>
    <w:rsid w:val="3EC46849"/>
    <w:rsid w:val="3ED2670F"/>
    <w:rsid w:val="3EDA7B13"/>
    <w:rsid w:val="3F2D2F76"/>
    <w:rsid w:val="3F6854DC"/>
    <w:rsid w:val="3FA54CF3"/>
    <w:rsid w:val="3FAA16E8"/>
    <w:rsid w:val="40686D05"/>
    <w:rsid w:val="406E346D"/>
    <w:rsid w:val="40751A37"/>
    <w:rsid w:val="407F2AFB"/>
    <w:rsid w:val="40B94622"/>
    <w:rsid w:val="40E56436"/>
    <w:rsid w:val="40F12CAD"/>
    <w:rsid w:val="41C9059B"/>
    <w:rsid w:val="41FA00D0"/>
    <w:rsid w:val="42580FAD"/>
    <w:rsid w:val="42A850C0"/>
    <w:rsid w:val="42C5190D"/>
    <w:rsid w:val="43085A9A"/>
    <w:rsid w:val="43423312"/>
    <w:rsid w:val="434C616C"/>
    <w:rsid w:val="435A4CE0"/>
    <w:rsid w:val="439B3058"/>
    <w:rsid w:val="43AA02EC"/>
    <w:rsid w:val="43E47436"/>
    <w:rsid w:val="44155C67"/>
    <w:rsid w:val="44676FC7"/>
    <w:rsid w:val="44AB5D0D"/>
    <w:rsid w:val="44C64B75"/>
    <w:rsid w:val="44F33DE8"/>
    <w:rsid w:val="45060930"/>
    <w:rsid w:val="45162398"/>
    <w:rsid w:val="452F1680"/>
    <w:rsid w:val="455D4AF3"/>
    <w:rsid w:val="45633339"/>
    <w:rsid w:val="458564BB"/>
    <w:rsid w:val="45917CDF"/>
    <w:rsid w:val="462C587B"/>
    <w:rsid w:val="462E1313"/>
    <w:rsid w:val="46775896"/>
    <w:rsid w:val="468E278E"/>
    <w:rsid w:val="46BC1005"/>
    <w:rsid w:val="46C34577"/>
    <w:rsid w:val="46E314B4"/>
    <w:rsid w:val="46E6370E"/>
    <w:rsid w:val="470D5511"/>
    <w:rsid w:val="47736C8F"/>
    <w:rsid w:val="47891CC0"/>
    <w:rsid w:val="478C5AFE"/>
    <w:rsid w:val="4799756D"/>
    <w:rsid w:val="47AD08E1"/>
    <w:rsid w:val="47D60F1E"/>
    <w:rsid w:val="47E14FD8"/>
    <w:rsid w:val="486663E5"/>
    <w:rsid w:val="486F2D6A"/>
    <w:rsid w:val="48762AED"/>
    <w:rsid w:val="491D31DE"/>
    <w:rsid w:val="49603D57"/>
    <w:rsid w:val="49666CE1"/>
    <w:rsid w:val="496C08F4"/>
    <w:rsid w:val="498A27AD"/>
    <w:rsid w:val="498B553A"/>
    <w:rsid w:val="49D81D4E"/>
    <w:rsid w:val="49F713F7"/>
    <w:rsid w:val="4A450A6D"/>
    <w:rsid w:val="4A643214"/>
    <w:rsid w:val="4A847609"/>
    <w:rsid w:val="4A8479EE"/>
    <w:rsid w:val="4A936085"/>
    <w:rsid w:val="4A9A1EE7"/>
    <w:rsid w:val="4ACA748C"/>
    <w:rsid w:val="4AE55D5C"/>
    <w:rsid w:val="4B1423E4"/>
    <w:rsid w:val="4B1E6129"/>
    <w:rsid w:val="4B2F257A"/>
    <w:rsid w:val="4B3A33D9"/>
    <w:rsid w:val="4B580B2A"/>
    <w:rsid w:val="4B7C2C4B"/>
    <w:rsid w:val="4BA006BE"/>
    <w:rsid w:val="4BCF4037"/>
    <w:rsid w:val="4BE324A0"/>
    <w:rsid w:val="4C3034E2"/>
    <w:rsid w:val="4C333065"/>
    <w:rsid w:val="4C9445E0"/>
    <w:rsid w:val="4C9F7E50"/>
    <w:rsid w:val="4D503A5A"/>
    <w:rsid w:val="4D8E0FA5"/>
    <w:rsid w:val="4DAE1D9D"/>
    <w:rsid w:val="4E391CE2"/>
    <w:rsid w:val="4E5A75D8"/>
    <w:rsid w:val="4EB04AE4"/>
    <w:rsid w:val="4EBA4566"/>
    <w:rsid w:val="4EBC742B"/>
    <w:rsid w:val="4EBD0135"/>
    <w:rsid w:val="4EC45138"/>
    <w:rsid w:val="4ED50F77"/>
    <w:rsid w:val="4F4676B3"/>
    <w:rsid w:val="4F5419D0"/>
    <w:rsid w:val="4F710190"/>
    <w:rsid w:val="4F787B4A"/>
    <w:rsid w:val="4FA076C9"/>
    <w:rsid w:val="4FC15AB0"/>
    <w:rsid w:val="4FE810B2"/>
    <w:rsid w:val="4FEE0AB0"/>
    <w:rsid w:val="503712C3"/>
    <w:rsid w:val="506B3BDE"/>
    <w:rsid w:val="508B6819"/>
    <w:rsid w:val="51013AD0"/>
    <w:rsid w:val="51065DF0"/>
    <w:rsid w:val="516C0B41"/>
    <w:rsid w:val="517B747C"/>
    <w:rsid w:val="51DA671A"/>
    <w:rsid w:val="522B3139"/>
    <w:rsid w:val="524B22B2"/>
    <w:rsid w:val="52C2375C"/>
    <w:rsid w:val="52EF122B"/>
    <w:rsid w:val="53162C32"/>
    <w:rsid w:val="53221710"/>
    <w:rsid w:val="533830F3"/>
    <w:rsid w:val="534A43F1"/>
    <w:rsid w:val="53516E6B"/>
    <w:rsid w:val="536D715A"/>
    <w:rsid w:val="538802AE"/>
    <w:rsid w:val="53AF3E35"/>
    <w:rsid w:val="53C42B4B"/>
    <w:rsid w:val="53D5282C"/>
    <w:rsid w:val="53E742FC"/>
    <w:rsid w:val="542D6815"/>
    <w:rsid w:val="54580D1C"/>
    <w:rsid w:val="54F416B3"/>
    <w:rsid w:val="54F9297A"/>
    <w:rsid w:val="54FC0FFB"/>
    <w:rsid w:val="55176933"/>
    <w:rsid w:val="553A3871"/>
    <w:rsid w:val="55447071"/>
    <w:rsid w:val="55A7121A"/>
    <w:rsid w:val="55CD2ECD"/>
    <w:rsid w:val="55E837F5"/>
    <w:rsid w:val="55E86ECF"/>
    <w:rsid w:val="565158A3"/>
    <w:rsid w:val="56771BC7"/>
    <w:rsid w:val="567F78C0"/>
    <w:rsid w:val="56CD78F5"/>
    <w:rsid w:val="56D50094"/>
    <w:rsid w:val="56DA7897"/>
    <w:rsid w:val="570E41C9"/>
    <w:rsid w:val="57153CF5"/>
    <w:rsid w:val="57442BF6"/>
    <w:rsid w:val="57617296"/>
    <w:rsid w:val="5762709E"/>
    <w:rsid w:val="578B7F80"/>
    <w:rsid w:val="57CA7389"/>
    <w:rsid w:val="57D00616"/>
    <w:rsid w:val="57F00E70"/>
    <w:rsid w:val="58025A23"/>
    <w:rsid w:val="581111F8"/>
    <w:rsid w:val="58254067"/>
    <w:rsid w:val="585A454E"/>
    <w:rsid w:val="58C83A07"/>
    <w:rsid w:val="58D07E8C"/>
    <w:rsid w:val="58E47C9D"/>
    <w:rsid w:val="58F2084D"/>
    <w:rsid w:val="591F3C70"/>
    <w:rsid w:val="592D7A55"/>
    <w:rsid w:val="59514407"/>
    <w:rsid w:val="59721430"/>
    <w:rsid w:val="59785AD8"/>
    <w:rsid w:val="59B60545"/>
    <w:rsid w:val="59DC2232"/>
    <w:rsid w:val="5A306832"/>
    <w:rsid w:val="5A3D29B1"/>
    <w:rsid w:val="5A506BCC"/>
    <w:rsid w:val="5A6B5BE7"/>
    <w:rsid w:val="5AA16047"/>
    <w:rsid w:val="5AB16798"/>
    <w:rsid w:val="5B103DA2"/>
    <w:rsid w:val="5B566161"/>
    <w:rsid w:val="5B6E7A31"/>
    <w:rsid w:val="5B762678"/>
    <w:rsid w:val="5B8A010C"/>
    <w:rsid w:val="5BEE62DE"/>
    <w:rsid w:val="5C1212EF"/>
    <w:rsid w:val="5C196E03"/>
    <w:rsid w:val="5C2A414B"/>
    <w:rsid w:val="5C49243F"/>
    <w:rsid w:val="5C546A39"/>
    <w:rsid w:val="5C6C657F"/>
    <w:rsid w:val="5D16498C"/>
    <w:rsid w:val="5D387537"/>
    <w:rsid w:val="5D3F67CB"/>
    <w:rsid w:val="5D4003CB"/>
    <w:rsid w:val="5D427C0C"/>
    <w:rsid w:val="5D587BD2"/>
    <w:rsid w:val="5DA10596"/>
    <w:rsid w:val="5DD60224"/>
    <w:rsid w:val="5DF612B1"/>
    <w:rsid w:val="5E4A376A"/>
    <w:rsid w:val="5E5454FD"/>
    <w:rsid w:val="5E95437A"/>
    <w:rsid w:val="5EFD014A"/>
    <w:rsid w:val="5F966266"/>
    <w:rsid w:val="603C26C5"/>
    <w:rsid w:val="604146E8"/>
    <w:rsid w:val="60720CE1"/>
    <w:rsid w:val="60A54DA0"/>
    <w:rsid w:val="60BF2365"/>
    <w:rsid w:val="60CE080D"/>
    <w:rsid w:val="60EB1333"/>
    <w:rsid w:val="60FF6911"/>
    <w:rsid w:val="610F73FC"/>
    <w:rsid w:val="61210257"/>
    <w:rsid w:val="61430DF7"/>
    <w:rsid w:val="616E09E5"/>
    <w:rsid w:val="61CC7275"/>
    <w:rsid w:val="61CE52B8"/>
    <w:rsid w:val="61CE6AB3"/>
    <w:rsid w:val="61D62E4A"/>
    <w:rsid w:val="62220A11"/>
    <w:rsid w:val="62401566"/>
    <w:rsid w:val="625F0A1F"/>
    <w:rsid w:val="632376F2"/>
    <w:rsid w:val="634966B7"/>
    <w:rsid w:val="635B3C49"/>
    <w:rsid w:val="63645397"/>
    <w:rsid w:val="636F15A5"/>
    <w:rsid w:val="63F543AD"/>
    <w:rsid w:val="640158BC"/>
    <w:rsid w:val="641E079B"/>
    <w:rsid w:val="648B54A3"/>
    <w:rsid w:val="64927550"/>
    <w:rsid w:val="64BD4E61"/>
    <w:rsid w:val="64E30823"/>
    <w:rsid w:val="651A11FD"/>
    <w:rsid w:val="65A416D5"/>
    <w:rsid w:val="65A779A1"/>
    <w:rsid w:val="66722E47"/>
    <w:rsid w:val="6696635E"/>
    <w:rsid w:val="669B3F41"/>
    <w:rsid w:val="66E77B3B"/>
    <w:rsid w:val="67071531"/>
    <w:rsid w:val="671168D4"/>
    <w:rsid w:val="677B41B8"/>
    <w:rsid w:val="6780383B"/>
    <w:rsid w:val="67825A99"/>
    <w:rsid w:val="67827859"/>
    <w:rsid w:val="67A24DFF"/>
    <w:rsid w:val="67DE5F91"/>
    <w:rsid w:val="67E47D0B"/>
    <w:rsid w:val="68211D9A"/>
    <w:rsid w:val="68282183"/>
    <w:rsid w:val="686927C7"/>
    <w:rsid w:val="68B91B9A"/>
    <w:rsid w:val="68E2551D"/>
    <w:rsid w:val="68FA4099"/>
    <w:rsid w:val="68FA5F02"/>
    <w:rsid w:val="694F3A5E"/>
    <w:rsid w:val="695E2587"/>
    <w:rsid w:val="6969566A"/>
    <w:rsid w:val="697417B6"/>
    <w:rsid w:val="69C72F50"/>
    <w:rsid w:val="69C935B6"/>
    <w:rsid w:val="6A047788"/>
    <w:rsid w:val="6A181B06"/>
    <w:rsid w:val="6A497FF7"/>
    <w:rsid w:val="6ABE4C69"/>
    <w:rsid w:val="6AC702E3"/>
    <w:rsid w:val="6AD22650"/>
    <w:rsid w:val="6B45441D"/>
    <w:rsid w:val="6B724008"/>
    <w:rsid w:val="6BD810BD"/>
    <w:rsid w:val="6C5A7557"/>
    <w:rsid w:val="6CAB2DD7"/>
    <w:rsid w:val="6CB471F3"/>
    <w:rsid w:val="6D122993"/>
    <w:rsid w:val="6D906BE5"/>
    <w:rsid w:val="6D9F0BE5"/>
    <w:rsid w:val="6DA50E56"/>
    <w:rsid w:val="6DFC2B7E"/>
    <w:rsid w:val="6E2D5C2A"/>
    <w:rsid w:val="6F1C0879"/>
    <w:rsid w:val="6F70290A"/>
    <w:rsid w:val="6F7A0C51"/>
    <w:rsid w:val="6F81487E"/>
    <w:rsid w:val="6F9334E7"/>
    <w:rsid w:val="6FB91A62"/>
    <w:rsid w:val="6FE5543D"/>
    <w:rsid w:val="70160330"/>
    <w:rsid w:val="70176FFD"/>
    <w:rsid w:val="7053650B"/>
    <w:rsid w:val="70851A43"/>
    <w:rsid w:val="70B827F1"/>
    <w:rsid w:val="70D9413F"/>
    <w:rsid w:val="71175496"/>
    <w:rsid w:val="71226BBC"/>
    <w:rsid w:val="71646BFB"/>
    <w:rsid w:val="7173701A"/>
    <w:rsid w:val="71745FA3"/>
    <w:rsid w:val="71780BE9"/>
    <w:rsid w:val="71EB2DF1"/>
    <w:rsid w:val="723F274B"/>
    <w:rsid w:val="724C1F5D"/>
    <w:rsid w:val="724E7B3B"/>
    <w:rsid w:val="727D7268"/>
    <w:rsid w:val="72917AA6"/>
    <w:rsid w:val="72BE66A5"/>
    <w:rsid w:val="72D939EF"/>
    <w:rsid w:val="72DE23D9"/>
    <w:rsid w:val="72DF5E19"/>
    <w:rsid w:val="72E32A5F"/>
    <w:rsid w:val="72E619B6"/>
    <w:rsid w:val="73515FDB"/>
    <w:rsid w:val="735B1B9E"/>
    <w:rsid w:val="736A5B38"/>
    <w:rsid w:val="736F081B"/>
    <w:rsid w:val="73904560"/>
    <w:rsid w:val="73AD4C83"/>
    <w:rsid w:val="73B73466"/>
    <w:rsid w:val="73D83805"/>
    <w:rsid w:val="740E7BC1"/>
    <w:rsid w:val="74185BD6"/>
    <w:rsid w:val="743F47BE"/>
    <w:rsid w:val="74517AC4"/>
    <w:rsid w:val="745D3101"/>
    <w:rsid w:val="7470727B"/>
    <w:rsid w:val="748B51E3"/>
    <w:rsid w:val="74CF6D2C"/>
    <w:rsid w:val="74D730FC"/>
    <w:rsid w:val="753F5398"/>
    <w:rsid w:val="753F66E5"/>
    <w:rsid w:val="7566059A"/>
    <w:rsid w:val="756F01CE"/>
    <w:rsid w:val="75765F64"/>
    <w:rsid w:val="75775DE7"/>
    <w:rsid w:val="75941616"/>
    <w:rsid w:val="75945E32"/>
    <w:rsid w:val="75985412"/>
    <w:rsid w:val="76034A86"/>
    <w:rsid w:val="76187D55"/>
    <w:rsid w:val="76661DF8"/>
    <w:rsid w:val="76755828"/>
    <w:rsid w:val="768253B3"/>
    <w:rsid w:val="768B3DF4"/>
    <w:rsid w:val="76D27F0E"/>
    <w:rsid w:val="76D533DF"/>
    <w:rsid w:val="76DA60E9"/>
    <w:rsid w:val="76EA7B2B"/>
    <w:rsid w:val="76FD03F6"/>
    <w:rsid w:val="77457E7F"/>
    <w:rsid w:val="77573265"/>
    <w:rsid w:val="776E0056"/>
    <w:rsid w:val="77F02C86"/>
    <w:rsid w:val="78367DC6"/>
    <w:rsid w:val="78453A82"/>
    <w:rsid w:val="786523C1"/>
    <w:rsid w:val="786A0094"/>
    <w:rsid w:val="78901FED"/>
    <w:rsid w:val="789A2964"/>
    <w:rsid w:val="78BC0F2F"/>
    <w:rsid w:val="79322D6B"/>
    <w:rsid w:val="798627F9"/>
    <w:rsid w:val="7999478C"/>
    <w:rsid w:val="799C1D30"/>
    <w:rsid w:val="799F0ADA"/>
    <w:rsid w:val="79A6673A"/>
    <w:rsid w:val="79A949E1"/>
    <w:rsid w:val="7A385BF2"/>
    <w:rsid w:val="7A9754CD"/>
    <w:rsid w:val="7A9F19F8"/>
    <w:rsid w:val="7ADB7FD7"/>
    <w:rsid w:val="7B0D1822"/>
    <w:rsid w:val="7B171992"/>
    <w:rsid w:val="7B200A8F"/>
    <w:rsid w:val="7B7B1AAE"/>
    <w:rsid w:val="7BBD3DF5"/>
    <w:rsid w:val="7BFC7675"/>
    <w:rsid w:val="7C404D0A"/>
    <w:rsid w:val="7C572975"/>
    <w:rsid w:val="7CBD06BF"/>
    <w:rsid w:val="7CED762D"/>
    <w:rsid w:val="7CFC42B0"/>
    <w:rsid w:val="7DA27EAC"/>
    <w:rsid w:val="7DC73C81"/>
    <w:rsid w:val="7DF928B6"/>
    <w:rsid w:val="7E005C69"/>
    <w:rsid w:val="7E2311BC"/>
    <w:rsid w:val="7E523DA7"/>
    <w:rsid w:val="7E7A47BD"/>
    <w:rsid w:val="7E9C44FC"/>
    <w:rsid w:val="7E9F5D6A"/>
    <w:rsid w:val="7EFA42AE"/>
    <w:rsid w:val="7F112ECC"/>
    <w:rsid w:val="7F161963"/>
    <w:rsid w:val="7FAD5AD5"/>
    <w:rsid w:val="7FB27C03"/>
    <w:rsid w:val="7FBA0681"/>
    <w:rsid w:val="7FE137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858" w:firstLineChars="200"/>
    </w:pPr>
    <w:rPr>
      <w:rFonts w:ascii="Times New Roman" w:hAnsi="Times New Roman" w:eastAsia="宋体" w:cs="Times New Roman"/>
      <w:kern w:val="2"/>
      <w:sz w:val="24"/>
      <w:szCs w:val="22"/>
      <w:lang w:val="en-US" w:eastAsia="zh-CN" w:bidi="ar-SA"/>
    </w:rPr>
  </w:style>
  <w:style w:type="paragraph" w:styleId="3">
    <w:name w:val="heading 1"/>
    <w:basedOn w:val="1"/>
    <w:next w:val="1"/>
    <w:link w:val="105"/>
    <w:qFormat/>
    <w:uiPriority w:val="0"/>
    <w:pPr>
      <w:keepNext/>
      <w:keepLines/>
      <w:numPr>
        <w:ilvl w:val="0"/>
        <w:numId w:val="1"/>
      </w:numPr>
      <w:spacing w:before="300" w:after="300"/>
      <w:ind w:left="0" w:firstLine="0" w:firstLineChars="0"/>
      <w:jc w:val="center"/>
      <w:outlineLvl w:val="0"/>
    </w:pPr>
    <w:rPr>
      <w:rFonts w:ascii="宋体" w:hAnsi="宋体"/>
      <w:b/>
      <w:bCs/>
      <w:spacing w:val="-20"/>
      <w:kern w:val="44"/>
      <w:sz w:val="32"/>
      <w:szCs w:val="32"/>
    </w:rPr>
  </w:style>
  <w:style w:type="paragraph" w:styleId="4">
    <w:name w:val="heading 2"/>
    <w:basedOn w:val="1"/>
    <w:next w:val="1"/>
    <w:link w:val="65"/>
    <w:qFormat/>
    <w:uiPriority w:val="0"/>
    <w:pPr>
      <w:keepNext/>
      <w:keepLines/>
      <w:numPr>
        <w:ilvl w:val="1"/>
        <w:numId w:val="1"/>
      </w:numPr>
      <w:ind w:left="0" w:firstLine="0" w:firstLineChars="0"/>
      <w:outlineLvl w:val="1"/>
    </w:pPr>
    <w:rPr>
      <w:rFonts w:ascii="宋体" w:hAnsi="宋体"/>
      <w:b/>
      <w:bCs/>
      <w:sz w:val="28"/>
      <w:szCs w:val="28"/>
    </w:rPr>
  </w:style>
  <w:style w:type="paragraph" w:styleId="5">
    <w:name w:val="heading 3"/>
    <w:basedOn w:val="1"/>
    <w:next w:val="1"/>
    <w:link w:val="73"/>
    <w:qFormat/>
    <w:uiPriority w:val="0"/>
    <w:pPr>
      <w:keepNext/>
      <w:keepLines/>
      <w:numPr>
        <w:ilvl w:val="2"/>
        <w:numId w:val="1"/>
      </w:numPr>
      <w:ind w:left="0" w:firstLine="658"/>
      <w:outlineLvl w:val="2"/>
    </w:pPr>
    <w:rPr>
      <w:rFonts w:ascii="宋体" w:hAnsi="宋体"/>
      <w:b/>
      <w:bCs/>
      <w:color w:val="000000"/>
      <w:kern w:val="0"/>
      <w:szCs w:val="28"/>
    </w:rPr>
  </w:style>
  <w:style w:type="paragraph" w:styleId="6">
    <w:name w:val="heading 4"/>
    <w:basedOn w:val="1"/>
    <w:next w:val="1"/>
    <w:link w:val="90"/>
    <w:qFormat/>
    <w:uiPriority w:val="0"/>
    <w:pPr>
      <w:keepNext/>
      <w:keepLines/>
      <w:spacing w:before="120" w:after="120"/>
      <w:ind w:left="918" w:hanging="708"/>
      <w:outlineLvl w:val="3"/>
    </w:pPr>
    <w:rPr>
      <w:rFonts w:ascii="Arial" w:hAnsi="Arial"/>
      <w:b/>
      <w:bCs/>
      <w:kern w:val="0"/>
      <w:sz w:val="28"/>
      <w:szCs w:val="28"/>
    </w:rPr>
  </w:style>
  <w:style w:type="paragraph" w:styleId="7">
    <w:name w:val="heading 5"/>
    <w:basedOn w:val="1"/>
    <w:next w:val="1"/>
    <w:link w:val="56"/>
    <w:qFormat/>
    <w:uiPriority w:val="0"/>
    <w:pPr>
      <w:tabs>
        <w:tab w:val="left" w:pos="1134"/>
      </w:tabs>
      <w:spacing w:before="280" w:after="290"/>
      <w:ind w:left="1560" w:hanging="992"/>
      <w:outlineLvl w:val="4"/>
    </w:pPr>
    <w:rPr>
      <w:b/>
      <w:bCs/>
      <w:kern w:val="0"/>
      <w:sz w:val="28"/>
      <w:szCs w:val="28"/>
    </w:rPr>
  </w:style>
  <w:style w:type="paragraph" w:styleId="8">
    <w:name w:val="heading 6"/>
    <w:basedOn w:val="1"/>
    <w:next w:val="1"/>
    <w:link w:val="104"/>
    <w:qFormat/>
    <w:uiPriority w:val="0"/>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9">
    <w:name w:val="heading 7"/>
    <w:basedOn w:val="1"/>
    <w:next w:val="1"/>
    <w:link w:val="106"/>
    <w:qFormat/>
    <w:uiPriority w:val="0"/>
    <w:pPr>
      <w:keepNext/>
      <w:widowControl/>
      <w:tabs>
        <w:tab w:val="left" w:pos="3600"/>
      </w:tabs>
      <w:spacing w:after="120"/>
      <w:outlineLvl w:val="6"/>
    </w:pPr>
    <w:rPr>
      <w:rFonts w:ascii="Arial Narrow" w:hAnsi="Arial Narrow"/>
      <w:b/>
      <w:bCs/>
      <w:iCs/>
      <w:kern w:val="0"/>
      <w:sz w:val="20"/>
      <w:szCs w:val="24"/>
      <w:lang w:eastAsia="en-US"/>
    </w:rPr>
  </w:style>
  <w:style w:type="paragraph" w:styleId="10">
    <w:name w:val="heading 8"/>
    <w:basedOn w:val="1"/>
    <w:next w:val="1"/>
    <w:link w:val="72"/>
    <w:qFormat/>
    <w:uiPriority w:val="0"/>
    <w:pPr>
      <w:keepNext/>
      <w:keepLines/>
      <w:spacing w:before="240" w:after="64" w:line="316" w:lineRule="auto"/>
      <w:outlineLvl w:val="7"/>
    </w:pPr>
    <w:rPr>
      <w:rFonts w:ascii="Arial" w:hAnsi="Arial" w:eastAsia="黑体"/>
      <w:kern w:val="0"/>
      <w:szCs w:val="24"/>
    </w:rPr>
  </w:style>
  <w:style w:type="paragraph" w:styleId="11">
    <w:name w:val="heading 9"/>
    <w:basedOn w:val="1"/>
    <w:next w:val="1"/>
    <w:link w:val="69"/>
    <w:qFormat/>
    <w:uiPriority w:val="0"/>
    <w:pPr>
      <w:keepNext/>
      <w:keepLines/>
      <w:spacing w:before="240" w:after="64" w:line="316" w:lineRule="auto"/>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5"/>
    <w:qFormat/>
    <w:uiPriority w:val="0"/>
    <w:pPr>
      <w:spacing w:line="240" w:lineRule="auto"/>
    </w:pPr>
  </w:style>
  <w:style w:type="paragraph" w:styleId="12">
    <w:name w:val="toc 7"/>
    <w:basedOn w:val="1"/>
    <w:next w:val="1"/>
    <w:qFormat/>
    <w:uiPriority w:val="0"/>
    <w:pPr>
      <w:ind w:left="2520" w:leftChars="1200"/>
    </w:pPr>
    <w:rPr>
      <w:szCs w:val="24"/>
    </w:rPr>
  </w:style>
  <w:style w:type="paragraph" w:styleId="13">
    <w:name w:val="index 8"/>
    <w:basedOn w:val="1"/>
    <w:next w:val="1"/>
    <w:qFormat/>
    <w:uiPriority w:val="0"/>
    <w:pPr>
      <w:ind w:left="1400" w:leftChars="1400"/>
    </w:pPr>
    <w:rPr>
      <w:szCs w:val="20"/>
    </w:rPr>
  </w:style>
  <w:style w:type="paragraph" w:styleId="14">
    <w:name w:val="Normal Indent"/>
    <w:basedOn w:val="1"/>
    <w:qFormat/>
    <w:uiPriority w:val="0"/>
    <w:pPr>
      <w:spacing w:after="180" w:line="309" w:lineRule="auto"/>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54"/>
    <w:qFormat/>
    <w:uiPriority w:val="0"/>
    <w:pPr>
      <w:shd w:val="clear" w:color="auto" w:fill="000080"/>
    </w:pPr>
    <w:rPr>
      <w:kern w:val="0"/>
      <w:sz w:val="18"/>
      <w:szCs w:val="18"/>
    </w:rPr>
  </w:style>
  <w:style w:type="paragraph" w:styleId="17">
    <w:name w:val="annotation text"/>
    <w:basedOn w:val="1"/>
    <w:link w:val="86"/>
    <w:qFormat/>
    <w:uiPriority w:val="0"/>
    <w:rPr>
      <w:kern w:val="0"/>
      <w:sz w:val="18"/>
      <w:szCs w:val="18"/>
    </w:rPr>
  </w:style>
  <w:style w:type="paragraph" w:styleId="18">
    <w:name w:val="Body Text 3"/>
    <w:basedOn w:val="1"/>
    <w:link w:val="110"/>
    <w:qFormat/>
    <w:uiPriority w:val="0"/>
    <w:pPr>
      <w:jc w:val="center"/>
    </w:pPr>
    <w:rPr>
      <w:rFonts w:eastAsia="黑体"/>
      <w:sz w:val="44"/>
      <w:szCs w:val="24"/>
    </w:rPr>
  </w:style>
  <w:style w:type="paragraph" w:styleId="19">
    <w:name w:val="Body Text Indent"/>
    <w:basedOn w:val="1"/>
    <w:link w:val="66"/>
    <w:qFormat/>
    <w:uiPriority w:val="0"/>
    <w:pPr>
      <w:spacing w:after="120"/>
      <w:ind w:left="420" w:leftChars="200"/>
    </w:pPr>
    <w:rPr>
      <w:kern w:val="0"/>
      <w:sz w:val="20"/>
      <w:szCs w:val="24"/>
    </w:rPr>
  </w:style>
  <w:style w:type="paragraph" w:styleId="20">
    <w:name w:val="Block Text"/>
    <w:basedOn w:val="1"/>
    <w:qFormat/>
    <w:uiPriority w:val="0"/>
    <w:pPr>
      <w:ind w:left="-540" w:leftChars="-257" w:right="-334" w:rightChars="-159" w:firstLine="540" w:firstLineChars="180"/>
    </w:pPr>
    <w:rPr>
      <w:sz w:val="30"/>
      <w:szCs w:val="24"/>
    </w:rPr>
  </w:style>
  <w:style w:type="paragraph" w:styleId="21">
    <w:name w:val="toc 5"/>
    <w:basedOn w:val="1"/>
    <w:next w:val="1"/>
    <w:qFormat/>
    <w:uiPriority w:val="0"/>
    <w:pPr>
      <w:ind w:left="1680" w:leftChars="800"/>
    </w:pPr>
    <w:rPr>
      <w:sz w:val="18"/>
      <w:szCs w:val="18"/>
    </w:rPr>
  </w:style>
  <w:style w:type="paragraph" w:styleId="22">
    <w:name w:val="toc 3"/>
    <w:basedOn w:val="1"/>
    <w:next w:val="1"/>
    <w:qFormat/>
    <w:uiPriority w:val="0"/>
    <w:pPr>
      <w:tabs>
        <w:tab w:val="left" w:pos="709"/>
        <w:tab w:val="left" w:pos="993"/>
        <w:tab w:val="right" w:leader="dot" w:pos="8364"/>
      </w:tabs>
      <w:ind w:left="360"/>
    </w:pPr>
    <w:rPr>
      <w:rFonts w:eastAsia="楷体_GB2312"/>
      <w:iCs/>
      <w:sz w:val="20"/>
      <w:szCs w:val="20"/>
    </w:rPr>
  </w:style>
  <w:style w:type="paragraph" w:styleId="23">
    <w:name w:val="Plain Text"/>
    <w:basedOn w:val="1"/>
    <w:link w:val="108"/>
    <w:qFormat/>
    <w:uiPriority w:val="0"/>
    <w:rPr>
      <w:rFonts w:ascii="宋体" w:hAnsi="Courier New"/>
      <w:kern w:val="0"/>
      <w:sz w:val="20"/>
      <w:szCs w:val="18"/>
    </w:rPr>
  </w:style>
  <w:style w:type="paragraph" w:styleId="24">
    <w:name w:val="toc 8"/>
    <w:basedOn w:val="1"/>
    <w:next w:val="1"/>
    <w:qFormat/>
    <w:uiPriority w:val="0"/>
    <w:pPr>
      <w:ind w:left="2940" w:leftChars="1400"/>
    </w:pPr>
    <w:rPr>
      <w:szCs w:val="24"/>
    </w:rPr>
  </w:style>
  <w:style w:type="paragraph" w:styleId="25">
    <w:name w:val="Date"/>
    <w:basedOn w:val="1"/>
    <w:next w:val="1"/>
    <w:link w:val="94"/>
    <w:qFormat/>
    <w:uiPriority w:val="0"/>
    <w:pPr>
      <w:ind w:left="100" w:leftChars="2500"/>
    </w:pPr>
    <w:rPr>
      <w:kern w:val="0"/>
      <w:szCs w:val="24"/>
    </w:rPr>
  </w:style>
  <w:style w:type="paragraph" w:styleId="26">
    <w:name w:val="Body Text Indent 2"/>
    <w:basedOn w:val="1"/>
    <w:link w:val="107"/>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112"/>
    <w:qFormat/>
    <w:uiPriority w:val="0"/>
    <w:pPr>
      <w:tabs>
        <w:tab w:val="center" w:pos="4153"/>
        <w:tab w:val="right" w:pos="8306"/>
      </w:tabs>
      <w:snapToGrid w:val="0"/>
    </w:pPr>
    <w:rPr>
      <w:kern w:val="0"/>
      <w:sz w:val="18"/>
      <w:szCs w:val="18"/>
    </w:rPr>
  </w:style>
  <w:style w:type="paragraph" w:styleId="29">
    <w:name w:val="header"/>
    <w:basedOn w:val="1"/>
    <w:link w:val="98"/>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tabs>
        <w:tab w:val="left" w:pos="709"/>
        <w:tab w:val="right" w:leader="dot" w:pos="8364"/>
      </w:tabs>
      <w:spacing w:line="400" w:lineRule="exact"/>
      <w:ind w:firstLine="658"/>
    </w:pPr>
    <w:rPr>
      <w:rFonts w:ascii="华文中宋" w:hAnsi="华文中宋" w:eastAsia="华文中宋"/>
      <w:bCs/>
      <w:caps/>
      <w:sz w:val="21"/>
      <w:szCs w:val="20"/>
    </w:rPr>
  </w:style>
  <w:style w:type="paragraph" w:styleId="31">
    <w:name w:val="toc 4"/>
    <w:basedOn w:val="1"/>
    <w:next w:val="1"/>
    <w:qFormat/>
    <w:uiPriority w:val="0"/>
    <w:pPr>
      <w:ind w:left="1260" w:leftChars="600"/>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semiHidden/>
    <w:qFormat/>
    <w:uiPriority w:val="0"/>
    <w:pPr>
      <w:snapToGrid w:val="0"/>
    </w:pPr>
    <w:rPr>
      <w:sz w:val="18"/>
      <w:szCs w:val="18"/>
    </w:rPr>
  </w:style>
  <w:style w:type="paragraph" w:styleId="34">
    <w:name w:val="toc 6"/>
    <w:basedOn w:val="1"/>
    <w:next w:val="1"/>
    <w:qFormat/>
    <w:uiPriority w:val="0"/>
    <w:pPr>
      <w:ind w:left="2100" w:leftChars="1000"/>
    </w:pPr>
    <w:rPr>
      <w:szCs w:val="24"/>
    </w:rPr>
  </w:style>
  <w:style w:type="paragraph" w:styleId="35">
    <w:name w:val="Body Text Indent 3"/>
    <w:basedOn w:val="1"/>
    <w:link w:val="89"/>
    <w:qFormat/>
    <w:uiPriority w:val="0"/>
    <w:pPr>
      <w:ind w:left="153" w:leftChars="85" w:firstLine="560"/>
    </w:pPr>
    <w:rPr>
      <w:rFonts w:ascii="宋体" w:hAnsi="宋体"/>
      <w:kern w:val="0"/>
      <w:sz w:val="28"/>
      <w:szCs w:val="28"/>
    </w:rPr>
  </w:style>
  <w:style w:type="paragraph" w:styleId="36">
    <w:name w:val="toc 2"/>
    <w:basedOn w:val="1"/>
    <w:next w:val="1"/>
    <w:qFormat/>
    <w:uiPriority w:val="39"/>
    <w:pPr>
      <w:tabs>
        <w:tab w:val="left" w:pos="620"/>
        <w:tab w:val="right" w:leader="dot" w:pos="8364"/>
      </w:tabs>
      <w:spacing w:line="300" w:lineRule="exact"/>
      <w:ind w:left="180" w:firstLine="658"/>
    </w:pPr>
    <w:rPr>
      <w:rFonts w:ascii="华文中宋" w:hAnsi="华文中宋" w:eastAsia="华文中宋"/>
      <w:smallCaps/>
      <w:sz w:val="21"/>
      <w:szCs w:val="20"/>
    </w:rPr>
  </w:style>
  <w:style w:type="paragraph" w:styleId="37">
    <w:name w:val="toc 9"/>
    <w:basedOn w:val="1"/>
    <w:next w:val="1"/>
    <w:qFormat/>
    <w:uiPriority w:val="0"/>
    <w:pPr>
      <w:ind w:left="3360" w:leftChars="1600"/>
    </w:pPr>
    <w:rPr>
      <w:szCs w:val="24"/>
    </w:rPr>
  </w:style>
  <w:style w:type="paragraph" w:styleId="38">
    <w:name w:val="Body Text 2"/>
    <w:basedOn w:val="1"/>
    <w:link w:val="103"/>
    <w:qFormat/>
    <w:uiPriority w:val="0"/>
    <w:pPr>
      <w:spacing w:after="120" w:line="480" w:lineRule="auto"/>
    </w:pPr>
    <w:rPr>
      <w:kern w:val="0"/>
      <w:sz w:val="18"/>
      <w:szCs w:val="18"/>
    </w:rPr>
  </w:style>
  <w:style w:type="paragraph" w:styleId="39">
    <w:name w:val="Normal (Web)"/>
    <w:basedOn w:val="1"/>
    <w:qFormat/>
    <w:uiPriority w:val="0"/>
    <w:pPr>
      <w:widowControl/>
      <w:spacing w:before="100" w:beforeAutospacing="1" w:after="100" w:afterAutospacing="1"/>
    </w:pPr>
    <w:rPr>
      <w:rFonts w:ascii="宋体" w:hAnsi="宋体"/>
      <w:color w:val="000000"/>
      <w:kern w:val="0"/>
      <w:szCs w:val="24"/>
    </w:rPr>
  </w:style>
  <w:style w:type="paragraph" w:styleId="40">
    <w:name w:val="annotation subject"/>
    <w:basedOn w:val="17"/>
    <w:next w:val="17"/>
    <w:semiHidden/>
    <w:qFormat/>
    <w:uiPriority w:val="0"/>
    <w:rPr>
      <w:rFonts w:ascii="Calibri" w:hAnsi="Calibri"/>
      <w:b/>
      <w:bCs/>
      <w:kern w:val="2"/>
      <w:sz w:val="21"/>
      <w:szCs w:val="22"/>
    </w:rPr>
  </w:style>
  <w:style w:type="paragraph" w:styleId="41">
    <w:name w:val="Body Text First Indent"/>
    <w:basedOn w:val="2"/>
    <w:link w:val="92"/>
    <w:qFormat/>
    <w:uiPriority w:val="0"/>
    <w:pPr>
      <w:ind w:firstLine="420" w:firstLineChars="100"/>
    </w:pPr>
    <w:rPr>
      <w:kern w:val="0"/>
      <w:sz w:val="18"/>
      <w:szCs w:val="18"/>
    </w:rPr>
  </w:style>
  <w:style w:type="paragraph" w:styleId="42">
    <w:name w:val="Body Text First Indent 2"/>
    <w:basedOn w:val="19"/>
    <w:unhideWhenUsed/>
    <w:qFormat/>
    <w:uiPriority w:val="99"/>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unhideWhenUsed/>
    <w:qFormat/>
    <w:uiPriority w:val="99"/>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styleId="51">
    <w:name w:val="footnote reference"/>
    <w:semiHidden/>
    <w:qFormat/>
    <w:uiPriority w:val="0"/>
    <w:rPr>
      <w:vertAlign w:val="superscript"/>
    </w:rPr>
  </w:style>
  <w:style w:type="paragraph" w:customStyle="1" w:styleId="52">
    <w:name w:val="标题 5（有编号）（绿盟科技）"/>
    <w:basedOn w:val="1"/>
    <w:next w:val="53"/>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5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4">
    <w:name w:val="文档结构图 字符"/>
    <w:link w:val="16"/>
    <w:qFormat/>
    <w:uiPriority w:val="0"/>
    <w:rPr>
      <w:rFonts w:eastAsia="宋体"/>
      <w:sz w:val="18"/>
      <w:szCs w:val="18"/>
      <w:lang w:bidi="ar-SA"/>
    </w:rPr>
  </w:style>
  <w:style w:type="character" w:customStyle="1" w:styleId="55">
    <w:name w:val="Char Char8"/>
    <w:qFormat/>
    <w:uiPriority w:val="0"/>
    <w:rPr>
      <w:rFonts w:hint="eastAsia" w:ascii="宋体" w:hAnsi="宋体" w:eastAsia="宋体"/>
      <w:kern w:val="2"/>
      <w:sz w:val="28"/>
      <w:szCs w:val="28"/>
    </w:rPr>
  </w:style>
  <w:style w:type="character" w:customStyle="1" w:styleId="56">
    <w:name w:val="标题 5 字符"/>
    <w:link w:val="7"/>
    <w:qFormat/>
    <w:uiPriority w:val="0"/>
    <w:rPr>
      <w:rFonts w:ascii="Calibri" w:hAnsi="Calibri"/>
      <w:b/>
      <w:bCs/>
      <w:sz w:val="28"/>
      <w:szCs w:val="28"/>
    </w:rPr>
  </w:style>
  <w:style w:type="character" w:customStyle="1" w:styleId="57">
    <w:name w:val="Char Char5"/>
    <w:qFormat/>
    <w:uiPriority w:val="0"/>
    <w:rPr>
      <w:kern w:val="2"/>
      <w:sz w:val="21"/>
      <w:szCs w:val="24"/>
    </w:rPr>
  </w:style>
  <w:style w:type="character" w:customStyle="1" w:styleId="58">
    <w:name w:val="列出段落 Char Char"/>
    <w:qFormat/>
    <w:uiPriority w:val="0"/>
    <w:rPr>
      <w:rFonts w:hint="default" w:ascii="Calibri" w:hAnsi="Calibri" w:cs="Calibri"/>
      <w:kern w:val="2"/>
      <w:sz w:val="21"/>
      <w:szCs w:val="22"/>
    </w:rPr>
  </w:style>
  <w:style w:type="character" w:customStyle="1" w:styleId="59">
    <w:name w:val="正文文本 Char Char"/>
    <w:qFormat/>
    <w:uiPriority w:val="0"/>
    <w:rPr>
      <w:kern w:val="2"/>
      <w:sz w:val="21"/>
      <w:szCs w:val="24"/>
    </w:rPr>
  </w:style>
  <w:style w:type="character" w:customStyle="1" w:styleId="60">
    <w:name w:val="Char Char11"/>
    <w:qFormat/>
    <w:uiPriority w:val="0"/>
    <w:rPr>
      <w:rFonts w:hint="default" w:ascii="Arial Narrow" w:hAnsi="Arial Narrow"/>
      <w:b/>
      <w:bCs/>
      <w:iCs/>
      <w:szCs w:val="24"/>
      <w:lang w:eastAsia="en-US"/>
    </w:rPr>
  </w:style>
  <w:style w:type="character" w:customStyle="1" w:styleId="61">
    <w:name w:val="标书（正文） Char Char"/>
    <w:qFormat/>
    <w:uiPriority w:val="0"/>
    <w:rPr>
      <w:rFonts w:hint="eastAsia" w:ascii="宋体" w:hAnsi="宋体" w:eastAsia="宋体"/>
      <w:b/>
      <w:kern w:val="10"/>
      <w:sz w:val="21"/>
      <w:szCs w:val="21"/>
      <w:lang w:val="en-US" w:eastAsia="zh-CN" w:bidi="ar-SA"/>
    </w:rPr>
  </w:style>
  <w:style w:type="character" w:customStyle="1" w:styleId="62">
    <w:name w:val="line2"/>
    <w:basedOn w:val="45"/>
    <w:qFormat/>
    <w:uiPriority w:val="0"/>
  </w:style>
  <w:style w:type="character" w:customStyle="1" w:styleId="63">
    <w:name w:val="纯文本 Char"/>
    <w:qFormat/>
    <w:uiPriority w:val="0"/>
    <w:rPr>
      <w:rFonts w:ascii="宋体" w:hAnsi="Courier New" w:eastAsia="宋体" w:cs="Courier New"/>
      <w:szCs w:val="21"/>
    </w:rPr>
  </w:style>
  <w:style w:type="character" w:customStyle="1" w:styleId="64">
    <w:name w:val="Char Char10"/>
    <w:qFormat/>
    <w:uiPriority w:val="0"/>
    <w:rPr>
      <w:kern w:val="2"/>
      <w:sz w:val="24"/>
      <w:szCs w:val="24"/>
    </w:rPr>
  </w:style>
  <w:style w:type="character" w:customStyle="1" w:styleId="65">
    <w:name w:val="标题 2 字符"/>
    <w:link w:val="4"/>
    <w:qFormat/>
    <w:uiPriority w:val="0"/>
    <w:rPr>
      <w:rFonts w:ascii="宋体" w:hAnsi="宋体"/>
      <w:b/>
      <w:bCs/>
      <w:kern w:val="2"/>
      <w:sz w:val="28"/>
      <w:szCs w:val="28"/>
    </w:rPr>
  </w:style>
  <w:style w:type="character" w:customStyle="1" w:styleId="66">
    <w:name w:val="正文文本缩进 字符"/>
    <w:link w:val="19"/>
    <w:qFormat/>
    <w:uiPriority w:val="0"/>
    <w:rPr>
      <w:rFonts w:eastAsia="宋体"/>
      <w:szCs w:val="24"/>
      <w:lang w:bidi="ar-SA"/>
    </w:rPr>
  </w:style>
  <w:style w:type="character" w:customStyle="1" w:styleId="67">
    <w:name w:val="批注框文本 字符"/>
    <w:link w:val="27"/>
    <w:qFormat/>
    <w:uiPriority w:val="0"/>
    <w:rPr>
      <w:rFonts w:eastAsia="宋体"/>
      <w:sz w:val="18"/>
      <w:szCs w:val="18"/>
      <w:lang w:bidi="ar-SA"/>
    </w:rPr>
  </w:style>
  <w:style w:type="character" w:customStyle="1" w:styleId="68">
    <w:name w:val="MM Topic 4 Char Char"/>
    <w:qFormat/>
    <w:uiPriority w:val="0"/>
    <w:rPr>
      <w:rFonts w:hint="default" w:ascii="Arial" w:hAnsi="Arial" w:cs="Arial"/>
      <w:b/>
      <w:bCs/>
      <w:kern w:val="2"/>
      <w:sz w:val="28"/>
      <w:szCs w:val="28"/>
    </w:rPr>
  </w:style>
  <w:style w:type="character" w:customStyle="1" w:styleId="69">
    <w:name w:val="标题 9 字符"/>
    <w:link w:val="11"/>
    <w:qFormat/>
    <w:uiPriority w:val="0"/>
    <w:rPr>
      <w:rFonts w:ascii="Arial" w:hAnsi="Arial" w:eastAsia="黑体"/>
      <w:szCs w:val="21"/>
      <w:lang w:bidi="ar-SA"/>
    </w:rPr>
  </w:style>
  <w:style w:type="character" w:customStyle="1" w:styleId="70">
    <w:name w:val="标书正文:  0.74 厘米 Char Char"/>
    <w:qFormat/>
    <w:uiPriority w:val="0"/>
    <w:rPr>
      <w:kern w:val="2"/>
      <w:sz w:val="24"/>
    </w:rPr>
  </w:style>
  <w:style w:type="character" w:customStyle="1" w:styleId="71">
    <w:name w:val="标题 3 Char Char Char"/>
    <w:qFormat/>
    <w:uiPriority w:val="0"/>
    <w:rPr>
      <w:rFonts w:eastAsia="宋体"/>
      <w:b/>
      <w:kern w:val="2"/>
      <w:sz w:val="32"/>
      <w:lang w:val="en-US" w:eastAsia="zh-CN" w:bidi="ar-SA"/>
    </w:rPr>
  </w:style>
  <w:style w:type="character" w:customStyle="1" w:styleId="72">
    <w:name w:val="标题 8 字符"/>
    <w:link w:val="10"/>
    <w:qFormat/>
    <w:uiPriority w:val="0"/>
    <w:rPr>
      <w:rFonts w:ascii="Arial" w:hAnsi="Arial" w:eastAsia="黑体"/>
      <w:sz w:val="24"/>
      <w:szCs w:val="24"/>
      <w:lang w:bidi="ar-SA"/>
    </w:rPr>
  </w:style>
  <w:style w:type="character" w:customStyle="1" w:styleId="73">
    <w:name w:val="标题 3 字符"/>
    <w:link w:val="5"/>
    <w:qFormat/>
    <w:uiPriority w:val="0"/>
    <w:rPr>
      <w:rFonts w:ascii="宋体" w:hAnsi="宋体"/>
      <w:b/>
      <w:bCs/>
      <w:color w:val="000000"/>
      <w:sz w:val="24"/>
      <w:szCs w:val="28"/>
    </w:rPr>
  </w:style>
  <w:style w:type="character" w:customStyle="1" w:styleId="74">
    <w:name w:val="副标题 字符"/>
    <w:link w:val="32"/>
    <w:qFormat/>
    <w:uiPriority w:val="0"/>
    <w:rPr>
      <w:rFonts w:ascii="Cambria" w:hAnsi="Cambria"/>
      <w:b/>
      <w:bCs/>
      <w:kern w:val="28"/>
      <w:sz w:val="32"/>
      <w:szCs w:val="32"/>
    </w:rPr>
  </w:style>
  <w:style w:type="character" w:customStyle="1" w:styleId="75">
    <w:name w:val="（符号）邀请函中一、"/>
    <w:qFormat/>
    <w:uiPriority w:val="0"/>
    <w:rPr>
      <w:rFonts w:ascii="黑体" w:hAnsi="黑体" w:eastAsia="黑体"/>
      <w:b/>
      <w:bCs/>
      <w:sz w:val="24"/>
    </w:rPr>
  </w:style>
  <w:style w:type="character" w:customStyle="1" w:styleId="76">
    <w:name w:val="tt Char"/>
    <w:qFormat/>
    <w:uiPriority w:val="0"/>
    <w:rPr>
      <w:rFonts w:hint="default" w:ascii="Arial" w:hAnsi="Arial" w:eastAsia="黑体" w:cs="Arial"/>
      <w:kern w:val="2"/>
      <w:sz w:val="21"/>
      <w:szCs w:val="21"/>
    </w:rPr>
  </w:style>
  <w:style w:type="character" w:customStyle="1" w:styleId="77">
    <w:name w:val="Char Char9"/>
    <w:qFormat/>
    <w:uiPriority w:val="0"/>
    <w:rPr>
      <w:kern w:val="2"/>
      <w:sz w:val="18"/>
      <w:szCs w:val="18"/>
    </w:rPr>
  </w:style>
  <w:style w:type="character" w:customStyle="1" w:styleId="78">
    <w:name w:val="MM Topic 3 Char Char"/>
    <w:qFormat/>
    <w:uiPriority w:val="0"/>
    <w:rPr>
      <w:rFonts w:hint="eastAsia" w:ascii="宋体" w:hAnsi="宋体" w:eastAsia="宋体"/>
      <w:b/>
      <w:bCs/>
      <w:color w:val="000000"/>
      <w:kern w:val="2"/>
      <w:sz w:val="28"/>
      <w:szCs w:val="28"/>
    </w:rPr>
  </w:style>
  <w:style w:type="character" w:customStyle="1" w:styleId="79">
    <w:name w:val="样式 小四2 Char Char"/>
    <w:qFormat/>
    <w:uiPriority w:val="0"/>
    <w:rPr>
      <w:rFonts w:hint="eastAsia" w:ascii="宋体" w:hAnsi="宋体" w:eastAsia="宋体"/>
      <w:kern w:val="2"/>
      <w:sz w:val="24"/>
      <w:szCs w:val="24"/>
    </w:rPr>
  </w:style>
  <w:style w:type="character" w:customStyle="1" w:styleId="80">
    <w:name w:val="Char Char7"/>
    <w:qFormat/>
    <w:uiPriority w:val="0"/>
    <w:rPr>
      <w:kern w:val="2"/>
      <w:sz w:val="18"/>
      <w:szCs w:val="18"/>
    </w:rPr>
  </w:style>
  <w:style w:type="character" w:customStyle="1" w:styleId="81">
    <w:name w:val="Char Char3"/>
    <w:qFormat/>
    <w:uiPriority w:val="0"/>
    <w:rPr>
      <w:b/>
      <w:bCs/>
      <w:kern w:val="2"/>
      <w:sz w:val="18"/>
      <w:szCs w:val="18"/>
    </w:rPr>
  </w:style>
  <w:style w:type="character" w:customStyle="1" w:styleId="82">
    <w:name w:val="apple-style-span"/>
    <w:basedOn w:val="45"/>
    <w:qFormat/>
    <w:uiPriority w:val="0"/>
  </w:style>
  <w:style w:type="character" w:customStyle="1" w:styleId="83">
    <w:name w:val="Char Char4"/>
    <w:qFormat/>
    <w:uiPriority w:val="0"/>
    <w:rPr>
      <w:kern w:val="2"/>
      <w:sz w:val="18"/>
      <w:szCs w:val="18"/>
    </w:rPr>
  </w:style>
  <w:style w:type="character" w:customStyle="1" w:styleId="84">
    <w:name w:val="副标题 Char1"/>
    <w:qFormat/>
    <w:uiPriority w:val="11"/>
    <w:rPr>
      <w:rFonts w:ascii="Cambria" w:hAnsi="Cambria" w:cs="Times New Roman"/>
      <w:b/>
      <w:bCs/>
      <w:kern w:val="28"/>
      <w:sz w:val="32"/>
      <w:szCs w:val="32"/>
    </w:rPr>
  </w:style>
  <w:style w:type="character" w:customStyle="1" w:styleId="85">
    <w:name w:val="small"/>
    <w:basedOn w:val="45"/>
    <w:qFormat/>
    <w:uiPriority w:val="0"/>
  </w:style>
  <w:style w:type="character" w:customStyle="1" w:styleId="86">
    <w:name w:val="批注文字 字符"/>
    <w:link w:val="17"/>
    <w:qFormat/>
    <w:uiPriority w:val="0"/>
    <w:rPr>
      <w:rFonts w:eastAsia="宋体"/>
      <w:sz w:val="18"/>
      <w:szCs w:val="18"/>
      <w:lang w:bidi="ar-SA"/>
    </w:rPr>
  </w:style>
  <w:style w:type="character" w:customStyle="1" w:styleId="87">
    <w:name w:val="Legal Level 1.1.1. Char"/>
    <w:qFormat/>
    <w:uiPriority w:val="0"/>
    <w:rPr>
      <w:rFonts w:hint="default" w:ascii="Arial" w:hAnsi="Arial" w:eastAsia="黑体" w:cs="Arial"/>
      <w:kern w:val="2"/>
      <w:sz w:val="24"/>
      <w:szCs w:val="24"/>
    </w:rPr>
  </w:style>
  <w:style w:type="character" w:customStyle="1" w:styleId="88">
    <w:name w:val="正文文本 Char"/>
    <w:basedOn w:val="45"/>
    <w:qFormat/>
    <w:uiPriority w:val="0"/>
  </w:style>
  <w:style w:type="character" w:customStyle="1" w:styleId="89">
    <w:name w:val="正文文本缩进 3 字符"/>
    <w:link w:val="35"/>
    <w:qFormat/>
    <w:uiPriority w:val="0"/>
    <w:rPr>
      <w:rFonts w:ascii="宋体" w:hAnsi="宋体" w:eastAsia="宋体"/>
      <w:sz w:val="28"/>
      <w:szCs w:val="28"/>
      <w:lang w:bidi="ar-SA"/>
    </w:rPr>
  </w:style>
  <w:style w:type="character" w:customStyle="1" w:styleId="90">
    <w:name w:val="标题 4 字符"/>
    <w:link w:val="6"/>
    <w:qFormat/>
    <w:uiPriority w:val="0"/>
    <w:rPr>
      <w:rFonts w:ascii="Arial" w:hAnsi="Arial"/>
      <w:b/>
      <w:bCs/>
      <w:sz w:val="28"/>
      <w:szCs w:val="28"/>
    </w:rPr>
  </w:style>
  <w:style w:type="character" w:customStyle="1" w:styleId="91">
    <w:name w:val="文章正文 Char Char"/>
    <w:qFormat/>
    <w:uiPriority w:val="0"/>
    <w:rPr>
      <w:rFonts w:hint="eastAsia" w:ascii="宋体" w:hAnsi="宋体" w:eastAsia="宋体"/>
      <w:kern w:val="2"/>
      <w:sz w:val="24"/>
      <w:szCs w:val="24"/>
      <w:lang w:val="en-US" w:eastAsia="zh-CN" w:bidi="ar-SA"/>
    </w:rPr>
  </w:style>
  <w:style w:type="character" w:customStyle="1" w:styleId="92">
    <w:name w:val="正文首行缩进 字符"/>
    <w:link w:val="41"/>
    <w:qFormat/>
    <w:uiPriority w:val="0"/>
    <w:rPr>
      <w:rFonts w:eastAsia="宋体"/>
      <w:sz w:val="18"/>
      <w:szCs w:val="18"/>
      <w:lang w:bidi="ar-SA"/>
    </w:rPr>
  </w:style>
  <w:style w:type="character" w:customStyle="1" w:styleId="93">
    <w:name w:val="正文文本 Char1"/>
    <w:qFormat/>
    <w:uiPriority w:val="0"/>
    <w:rPr>
      <w:rFonts w:ascii="Times New Roman" w:hAnsi="Times New Roman" w:eastAsia="宋体" w:cs="Times New Roman"/>
      <w:kern w:val="0"/>
      <w:sz w:val="18"/>
      <w:szCs w:val="18"/>
    </w:rPr>
  </w:style>
  <w:style w:type="character" w:customStyle="1" w:styleId="94">
    <w:name w:val="日期 字符"/>
    <w:link w:val="25"/>
    <w:qFormat/>
    <w:uiPriority w:val="0"/>
    <w:rPr>
      <w:rFonts w:eastAsia="宋体"/>
      <w:sz w:val="24"/>
      <w:szCs w:val="24"/>
      <w:lang w:bidi="ar-SA"/>
    </w:rPr>
  </w:style>
  <w:style w:type="character" w:customStyle="1" w:styleId="95">
    <w:name w:val="正文文本 字符"/>
    <w:basedOn w:val="45"/>
    <w:link w:val="2"/>
    <w:qFormat/>
    <w:uiPriority w:val="0"/>
    <w:rPr>
      <w:rFonts w:eastAsia="宋体"/>
    </w:rPr>
  </w:style>
  <w:style w:type="character" w:customStyle="1" w:styleId="96">
    <w:name w:val="CD正文 Char Char"/>
    <w:qFormat/>
    <w:uiPriority w:val="0"/>
    <w:rPr>
      <w:rFonts w:hint="eastAsia" w:ascii="宋体" w:hAnsi="宋体" w:eastAsia="宋体"/>
      <w:kern w:val="2"/>
      <w:sz w:val="30"/>
      <w:szCs w:val="28"/>
      <w:lang w:val="en-US" w:eastAsia="zh-CN" w:bidi="ar-SA"/>
    </w:rPr>
  </w:style>
  <w:style w:type="character" w:customStyle="1" w:styleId="97">
    <w:name w:val="Char Char2"/>
    <w:qFormat/>
    <w:uiPriority w:val="0"/>
    <w:rPr>
      <w:kern w:val="2"/>
      <w:sz w:val="18"/>
      <w:szCs w:val="18"/>
    </w:rPr>
  </w:style>
  <w:style w:type="character" w:customStyle="1" w:styleId="98">
    <w:name w:val="页眉 字符"/>
    <w:link w:val="29"/>
    <w:qFormat/>
    <w:uiPriority w:val="0"/>
    <w:rPr>
      <w:rFonts w:ascii="Calibri" w:hAnsi="Calibri" w:eastAsia="宋体"/>
      <w:sz w:val="18"/>
      <w:szCs w:val="18"/>
      <w:lang w:bidi="ar-SA"/>
    </w:rPr>
  </w:style>
  <w:style w:type="character" w:customStyle="1" w:styleId="99">
    <w:name w:val="标题 1 Char1"/>
    <w:qFormat/>
    <w:uiPriority w:val="0"/>
    <w:rPr>
      <w:b/>
      <w:bCs/>
      <w:kern w:val="44"/>
      <w:sz w:val="44"/>
      <w:szCs w:val="44"/>
    </w:rPr>
  </w:style>
  <w:style w:type="character" w:customStyle="1" w:styleId="100">
    <w:name w:val="表正文 Char1"/>
    <w:qFormat/>
    <w:uiPriority w:val="0"/>
    <w:rPr>
      <w:rFonts w:hint="eastAsia" w:ascii="宋体" w:hAnsi="宋体" w:eastAsia="宋体"/>
      <w:kern w:val="2"/>
      <w:sz w:val="21"/>
      <w:lang w:val="en-US" w:eastAsia="zh-CN" w:bidi="ar-SA"/>
    </w:rPr>
  </w:style>
  <w:style w:type="character" w:customStyle="1" w:styleId="101">
    <w:name w:val="彩色列表 - 强调文字颜色 1 Char"/>
    <w:link w:val="102"/>
    <w:qFormat/>
    <w:uiPriority w:val="0"/>
    <w:rPr>
      <w:rFonts w:ascii="Calibri" w:hAnsi="Calibri"/>
      <w:kern w:val="2"/>
      <w:sz w:val="21"/>
      <w:szCs w:val="22"/>
    </w:rPr>
  </w:style>
  <w:style w:type="paragraph" w:customStyle="1" w:styleId="102">
    <w:name w:val="彩色列表 - 强调文字颜色 12"/>
    <w:basedOn w:val="1"/>
    <w:link w:val="101"/>
    <w:qFormat/>
    <w:uiPriority w:val="0"/>
    <w:pPr>
      <w:ind w:firstLine="420"/>
    </w:pPr>
  </w:style>
  <w:style w:type="character" w:customStyle="1" w:styleId="103">
    <w:name w:val="正文文本 2 字符"/>
    <w:link w:val="38"/>
    <w:qFormat/>
    <w:uiPriority w:val="0"/>
    <w:rPr>
      <w:rFonts w:eastAsia="宋体"/>
      <w:sz w:val="18"/>
      <w:szCs w:val="18"/>
      <w:lang w:bidi="ar-SA"/>
    </w:rPr>
  </w:style>
  <w:style w:type="character" w:customStyle="1" w:styleId="104">
    <w:name w:val="标题 6 字符"/>
    <w:link w:val="8"/>
    <w:qFormat/>
    <w:uiPriority w:val="0"/>
    <w:rPr>
      <w:rFonts w:ascii="Arial" w:hAnsi="Arial"/>
      <w:b/>
      <w:bCs/>
      <w:sz w:val="28"/>
      <w:szCs w:val="18"/>
    </w:rPr>
  </w:style>
  <w:style w:type="character" w:customStyle="1" w:styleId="105">
    <w:name w:val="标题 1 字符"/>
    <w:link w:val="3"/>
    <w:qFormat/>
    <w:uiPriority w:val="0"/>
    <w:rPr>
      <w:rFonts w:ascii="宋体" w:hAnsi="宋体"/>
      <w:b/>
      <w:bCs/>
      <w:spacing w:val="-20"/>
      <w:kern w:val="44"/>
      <w:sz w:val="32"/>
      <w:szCs w:val="32"/>
    </w:rPr>
  </w:style>
  <w:style w:type="character" w:customStyle="1" w:styleId="106">
    <w:name w:val="标题 7 字符"/>
    <w:link w:val="9"/>
    <w:qFormat/>
    <w:uiPriority w:val="0"/>
    <w:rPr>
      <w:rFonts w:ascii="Arial Narrow" w:hAnsi="Arial Narrow" w:eastAsia="宋体"/>
      <w:b/>
      <w:bCs/>
      <w:iCs/>
      <w:szCs w:val="24"/>
      <w:lang w:eastAsia="en-US" w:bidi="ar-SA"/>
    </w:rPr>
  </w:style>
  <w:style w:type="character" w:customStyle="1" w:styleId="107">
    <w:name w:val="正文文本缩进 2 字符"/>
    <w:basedOn w:val="45"/>
    <w:link w:val="26"/>
    <w:qFormat/>
    <w:uiPriority w:val="0"/>
  </w:style>
  <w:style w:type="character" w:customStyle="1" w:styleId="108">
    <w:name w:val="纯文本 字符"/>
    <w:link w:val="23"/>
    <w:qFormat/>
    <w:uiPriority w:val="0"/>
    <w:rPr>
      <w:rFonts w:ascii="宋体" w:hAnsi="Courier New" w:eastAsia="宋体"/>
      <w:szCs w:val="18"/>
      <w:lang w:bidi="ar-SA"/>
    </w:rPr>
  </w:style>
  <w:style w:type="character" w:customStyle="1" w:styleId="109">
    <w:name w:val="Char Char Char"/>
    <w:qFormat/>
    <w:uiPriority w:val="0"/>
    <w:rPr>
      <w:rFonts w:hint="eastAsia" w:ascii="宋体" w:hAnsi="宋体" w:eastAsia="宋体"/>
      <w:kern w:val="2"/>
      <w:sz w:val="18"/>
      <w:szCs w:val="18"/>
      <w:lang w:val="en-US" w:eastAsia="zh-CN" w:bidi="ar-SA"/>
    </w:rPr>
  </w:style>
  <w:style w:type="character" w:customStyle="1" w:styleId="110">
    <w:name w:val="正文文本 3 字符"/>
    <w:link w:val="18"/>
    <w:qFormat/>
    <w:uiPriority w:val="0"/>
    <w:rPr>
      <w:rFonts w:eastAsia="黑体"/>
      <w:kern w:val="2"/>
      <w:sz w:val="44"/>
      <w:szCs w:val="24"/>
      <w:lang w:val="en-US" w:eastAsia="zh-CN" w:bidi="ar-SA"/>
    </w:rPr>
  </w:style>
  <w:style w:type="character" w:customStyle="1" w:styleId="111">
    <w:name w:val="Char Char6"/>
    <w:qFormat/>
    <w:uiPriority w:val="0"/>
    <w:rPr>
      <w:kern w:val="2"/>
      <w:sz w:val="21"/>
      <w:szCs w:val="24"/>
    </w:rPr>
  </w:style>
  <w:style w:type="character" w:customStyle="1" w:styleId="112">
    <w:name w:val="页脚 字符"/>
    <w:link w:val="28"/>
    <w:qFormat/>
    <w:uiPriority w:val="0"/>
    <w:rPr>
      <w:rFonts w:ascii="Calibri" w:hAnsi="Calibri" w:eastAsia="宋体"/>
      <w:sz w:val="18"/>
      <w:szCs w:val="18"/>
      <w:lang w:bidi="ar-SA"/>
    </w:rPr>
  </w:style>
  <w:style w:type="paragraph" w:customStyle="1" w:styleId="113">
    <w:name w:val="样式 右侧:  1 字符1"/>
    <w:basedOn w:val="1"/>
    <w:qFormat/>
    <w:uiPriority w:val="0"/>
    <w:pPr>
      <w:ind w:left="240" w:leftChars="100" w:right="240" w:rightChars="100"/>
    </w:pPr>
    <w:rPr>
      <w:rFonts w:eastAsia="仿宋_GB2312" w:cs="宋体"/>
      <w:sz w:val="28"/>
      <w:szCs w:val="20"/>
    </w:rPr>
  </w:style>
  <w:style w:type="paragraph" w:customStyle="1" w:styleId="114">
    <w:name w:val="MM Title"/>
    <w:basedOn w:val="1"/>
    <w:qFormat/>
    <w:uiPriority w:val="0"/>
    <w:pPr>
      <w:spacing w:before="240" w:after="60"/>
      <w:jc w:val="center"/>
      <w:outlineLvl w:val="0"/>
    </w:pPr>
    <w:rPr>
      <w:rFonts w:ascii="Arial" w:hAnsi="Arial" w:cs="Arial"/>
      <w:b/>
      <w:bCs/>
      <w:sz w:val="32"/>
      <w:szCs w:val="32"/>
    </w:rPr>
  </w:style>
  <w:style w:type="paragraph" w:customStyle="1" w:styleId="115">
    <w:name w:val="项目符号：一级"/>
    <w:basedOn w:val="116"/>
    <w:next w:val="116"/>
    <w:qFormat/>
    <w:uiPriority w:val="0"/>
  </w:style>
  <w:style w:type="paragraph" w:customStyle="1" w:styleId="116">
    <w:name w:val="正文格式"/>
    <w:basedOn w:val="1"/>
    <w:qFormat/>
    <w:uiPriority w:val="0"/>
    <w:pPr>
      <w:widowControl/>
      <w:adjustRightInd w:val="0"/>
      <w:snapToGrid w:val="0"/>
      <w:spacing w:beforeLines="25"/>
      <w:ind w:firstLine="480"/>
    </w:pPr>
    <w:rPr>
      <w:rFonts w:ascii="宋体" w:hAnsi="宋体"/>
      <w:bCs/>
      <w:color w:val="000000"/>
      <w:kern w:val="0"/>
      <w:szCs w:val="24"/>
    </w:rPr>
  </w:style>
  <w:style w:type="paragraph" w:customStyle="1" w:styleId="117">
    <w:name w:val="默认段落字体 Para Char Char Char1 Char"/>
    <w:basedOn w:val="1"/>
    <w:next w:val="1"/>
    <w:qFormat/>
    <w:uiPriority w:val="0"/>
    <w:pPr>
      <w:spacing w:line="240" w:lineRule="atLeast"/>
      <w:ind w:left="420" w:firstLine="420"/>
    </w:pPr>
    <w:rPr>
      <w:kern w:val="0"/>
      <w:szCs w:val="21"/>
    </w:rPr>
  </w:style>
  <w:style w:type="paragraph" w:customStyle="1" w:styleId="118">
    <w:name w:val="gb_master正文"/>
    <w:basedOn w:val="1"/>
    <w:qFormat/>
    <w:uiPriority w:val="0"/>
    <w:pPr>
      <w:ind w:firstLine="200"/>
    </w:pPr>
    <w:rPr>
      <w:szCs w:val="24"/>
    </w:rPr>
  </w:style>
  <w:style w:type="paragraph" w:customStyle="1" w:styleId="119">
    <w:name w:val="p0"/>
    <w:basedOn w:val="1"/>
    <w:qFormat/>
    <w:uiPriority w:val="0"/>
    <w:pPr>
      <w:widowControl/>
      <w:spacing w:before="100" w:beforeAutospacing="1" w:after="100" w:afterAutospacing="1"/>
    </w:pPr>
    <w:rPr>
      <w:rFonts w:ascii="宋体" w:hAnsi="宋体" w:cs="宋体"/>
      <w:kern w:val="0"/>
      <w:szCs w:val="24"/>
    </w:rPr>
  </w:style>
  <w:style w:type="paragraph" w:customStyle="1" w:styleId="120">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21">
    <w:name w:val="Char2 Char Char Char"/>
    <w:basedOn w:val="1"/>
    <w:qFormat/>
    <w:uiPriority w:val="0"/>
    <w:rPr>
      <w:rFonts w:ascii="仿宋_GB2312"/>
      <w:b/>
      <w:sz w:val="30"/>
      <w:szCs w:val="32"/>
    </w:rPr>
  </w:style>
  <w:style w:type="paragraph" w:customStyle="1" w:styleId="122">
    <w:name w:val="样式 样式 样式 标题 2 + 宋体 五号 非加粗 黑色 + 段前: 6 磅 段后: 0 磅 行距: 单倍行距 + 段前: 12..."/>
    <w:basedOn w:val="1"/>
    <w:qFormat/>
    <w:uiPriority w:val="0"/>
    <w:pPr>
      <w:keepNext/>
      <w:keepLines/>
      <w:tabs>
        <w:tab w:val="left" w:pos="1124"/>
      </w:tabs>
      <w:adjustRightInd w:val="0"/>
      <w:spacing w:before="240"/>
      <w:ind w:left="1124" w:hanging="420"/>
      <w:textAlignment w:val="baseline"/>
      <w:outlineLvl w:val="1"/>
    </w:pPr>
    <w:rPr>
      <w:rFonts w:ascii="宋体" w:hAnsi="宋体" w:cs="宋体"/>
      <w:color w:val="000000"/>
      <w:kern w:val="0"/>
      <w:szCs w:val="20"/>
    </w:rPr>
  </w:style>
  <w:style w:type="paragraph" w:customStyle="1" w:styleId="12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4"/>
    </w:rPr>
  </w:style>
  <w:style w:type="paragraph" w:customStyle="1" w:styleId="124">
    <w:name w:val="默认段落字体 Para Char"/>
    <w:basedOn w:val="1"/>
    <w:qFormat/>
    <w:uiPriority w:val="0"/>
    <w:rPr>
      <w:rFonts w:ascii="Tahoma" w:hAnsi="Tahoma"/>
      <w:szCs w:val="20"/>
    </w:rPr>
  </w:style>
  <w:style w:type="paragraph" w:customStyle="1" w:styleId="125">
    <w:name w:val="Char Char Char Char Char Char Char Char Char"/>
    <w:basedOn w:val="1"/>
    <w:qFormat/>
    <w:uiPriority w:val="0"/>
    <w:pPr>
      <w:widowControl/>
      <w:spacing w:after="160" w:line="240" w:lineRule="exact"/>
    </w:pPr>
    <w:rPr>
      <w:rFonts w:ascii="Verdana" w:hAnsi="Verdana" w:eastAsia="仿宋_GB2312"/>
      <w:kern w:val="0"/>
      <w:szCs w:val="20"/>
      <w:lang w:eastAsia="en-US"/>
    </w:rPr>
  </w:style>
  <w:style w:type="paragraph" w:customStyle="1" w:styleId="126">
    <w:name w:val="样式 行距: 1.5 倍行距 左  3.42 字符"/>
    <w:basedOn w:val="1"/>
    <w:qFormat/>
    <w:uiPriority w:val="0"/>
    <w:pPr>
      <w:ind w:left="200" w:leftChars="200" w:firstLine="200"/>
    </w:pPr>
    <w:rPr>
      <w:rFonts w:cs="宋体"/>
      <w:szCs w:val="20"/>
    </w:rPr>
  </w:style>
  <w:style w:type="paragraph" w:customStyle="1" w:styleId="127">
    <w:name w:val="样式 正文缩进 + (中文) 仿宋_GB2312 小四 Char"/>
    <w:basedOn w:val="14"/>
    <w:qFormat/>
    <w:uiPriority w:val="0"/>
    <w:pPr>
      <w:spacing w:after="0" w:line="360" w:lineRule="auto"/>
      <w:ind w:firstLine="480"/>
    </w:pPr>
    <w:rPr>
      <w:rFonts w:ascii="宋体" w:hAnsi="宋体"/>
      <w:szCs w:val="24"/>
    </w:rPr>
  </w:style>
  <w:style w:type="paragraph" w:customStyle="1" w:styleId="128">
    <w:name w:val="表格文字"/>
    <w:basedOn w:val="1"/>
    <w:qFormat/>
    <w:uiPriority w:val="0"/>
    <w:pPr>
      <w:spacing w:beforeLines="25"/>
    </w:pPr>
    <w:rPr>
      <w:rFonts w:ascii="Times New (W1)" w:hAnsi="Times New (W1)"/>
      <w:spacing w:val="10"/>
      <w:szCs w:val="24"/>
    </w:rPr>
  </w:style>
  <w:style w:type="paragraph" w:customStyle="1" w:styleId="129">
    <w:name w:val="CD正文"/>
    <w:basedOn w:val="130"/>
    <w:qFormat/>
    <w:uiPriority w:val="0"/>
  </w:style>
  <w:style w:type="paragraph" w:customStyle="1" w:styleId="130">
    <w:name w:val="文章正文"/>
    <w:basedOn w:val="1"/>
    <w:qFormat/>
    <w:uiPriority w:val="0"/>
    <w:pPr>
      <w:ind w:firstLine="420"/>
    </w:pPr>
    <w:rPr>
      <w:szCs w:val="24"/>
    </w:rPr>
  </w:style>
  <w:style w:type="paragraph" w:customStyle="1" w:styleId="131">
    <w:name w:val="标书正文:  0.74 厘米"/>
    <w:basedOn w:val="1"/>
    <w:qFormat/>
    <w:uiPriority w:val="0"/>
    <w:pPr>
      <w:snapToGrid w:val="0"/>
      <w:ind w:firstLine="420"/>
    </w:pPr>
    <w:rPr>
      <w:szCs w:val="18"/>
    </w:rPr>
  </w:style>
  <w:style w:type="paragraph" w:customStyle="1" w:styleId="132">
    <w:name w:val="默认段落字体 Para Char Char"/>
    <w:basedOn w:val="1"/>
    <w:qFormat/>
    <w:uiPriority w:val="0"/>
    <w:rPr>
      <w:szCs w:val="24"/>
    </w:rPr>
  </w:style>
  <w:style w:type="paragraph" w:customStyle="1" w:styleId="133">
    <w:name w:val="MM Topic 6"/>
    <w:basedOn w:val="8"/>
    <w:qFormat/>
    <w:uiPriority w:val="0"/>
    <w:pPr>
      <w:tabs>
        <w:tab w:val="left" w:pos="3260"/>
        <w:tab w:val="clear" w:pos="1702"/>
      </w:tabs>
      <w:ind w:left="0" w:firstLine="0"/>
    </w:pPr>
    <w:rPr>
      <w:rFonts w:eastAsia="黑体"/>
    </w:rPr>
  </w:style>
  <w:style w:type="paragraph" w:customStyle="1" w:styleId="134">
    <w:name w:val="Char1 Char Char Char"/>
    <w:basedOn w:val="1"/>
    <w:next w:val="1"/>
    <w:qFormat/>
    <w:uiPriority w:val="0"/>
    <w:pPr>
      <w:spacing w:line="240" w:lineRule="atLeast"/>
      <w:ind w:left="420" w:firstLine="420"/>
    </w:pPr>
    <w:rPr>
      <w:kern w:val="0"/>
      <w:szCs w:val="21"/>
    </w:rPr>
  </w:style>
  <w:style w:type="paragraph" w:customStyle="1" w:styleId="135">
    <w:name w:val="样式 首行缩进:  2 字符"/>
    <w:basedOn w:val="1"/>
    <w:qFormat/>
    <w:uiPriority w:val="0"/>
    <w:pPr>
      <w:spacing w:line="400" w:lineRule="exact"/>
      <w:ind w:firstLine="200"/>
    </w:pPr>
    <w:rPr>
      <w:rFonts w:cs="宋体"/>
      <w:szCs w:val="24"/>
    </w:rPr>
  </w:style>
  <w:style w:type="paragraph" w:customStyle="1" w:styleId="136">
    <w:name w:val="Char1"/>
    <w:basedOn w:val="1"/>
    <w:next w:val="1"/>
    <w:qFormat/>
    <w:uiPriority w:val="0"/>
    <w:pPr>
      <w:spacing w:line="240" w:lineRule="atLeast"/>
      <w:ind w:left="420" w:firstLine="420"/>
    </w:pPr>
    <w:rPr>
      <w:kern w:val="0"/>
      <w:szCs w:val="21"/>
    </w:rPr>
  </w:style>
  <w:style w:type="paragraph" w:customStyle="1" w:styleId="137">
    <w:name w:val="标题 5 + 首行缩进:  2 字符"/>
    <w:basedOn w:val="7"/>
    <w:next w:val="19"/>
    <w:qFormat/>
    <w:uiPriority w:val="0"/>
    <w:pPr>
      <w:tabs>
        <w:tab w:val="left" w:pos="992"/>
        <w:tab w:val="clear" w:pos="1134"/>
      </w:tabs>
      <w:snapToGrid w:val="0"/>
      <w:spacing w:beforeLines="50" w:afterLines="50"/>
      <w:ind w:left="3570" w:firstLine="482"/>
    </w:pPr>
    <w:rPr>
      <w:color w:val="000000"/>
      <w:szCs w:val="20"/>
    </w:rPr>
  </w:style>
  <w:style w:type="paragraph" w:customStyle="1" w:styleId="138">
    <w:name w:val="Char2 Char Char Char Char Char Char"/>
    <w:basedOn w:val="1"/>
    <w:qFormat/>
    <w:uiPriority w:val="0"/>
    <w:rPr>
      <w:rFonts w:ascii="仿宋_GB2312"/>
      <w:b/>
      <w:sz w:val="30"/>
      <w:szCs w:val="32"/>
    </w:rPr>
  </w:style>
  <w:style w:type="paragraph" w:customStyle="1" w:styleId="139">
    <w:name w:val="MM Topic 2"/>
    <w:basedOn w:val="4"/>
    <w:qFormat/>
    <w:uiPriority w:val="0"/>
    <w:pPr>
      <w:numPr>
        <w:numId w:val="0"/>
      </w:numPr>
      <w:tabs>
        <w:tab w:val="left" w:pos="992"/>
      </w:tabs>
    </w:pPr>
  </w:style>
  <w:style w:type="paragraph" w:customStyle="1" w:styleId="140">
    <w:name w:val="Style Style4 + First line:  2 ch Before:  0.5 line After:  0.5 li..."/>
    <w:basedOn w:val="1"/>
    <w:qFormat/>
    <w:uiPriority w:val="0"/>
    <w:pPr>
      <w:spacing w:beforeLines="50" w:line="276" w:lineRule="auto"/>
      <w:ind w:firstLine="480"/>
    </w:pPr>
    <w:rPr>
      <w:rFonts w:ascii="Arial" w:hAnsi="Arial"/>
      <w:szCs w:val="20"/>
    </w:rPr>
  </w:style>
  <w:style w:type="paragraph" w:customStyle="1" w:styleId="141">
    <w:name w:val="正文 首行缩进:  2 字符 Char Char"/>
    <w:basedOn w:val="1"/>
    <w:qFormat/>
    <w:uiPriority w:val="0"/>
    <w:pPr>
      <w:ind w:firstLine="480"/>
    </w:pPr>
    <w:rPr>
      <w:rFonts w:cs="宋体"/>
      <w:szCs w:val="20"/>
    </w:rPr>
  </w:style>
  <w:style w:type="paragraph" w:customStyle="1" w:styleId="142">
    <w:name w:val="MM Topic 8"/>
    <w:basedOn w:val="10"/>
    <w:qFormat/>
    <w:uiPriority w:val="0"/>
    <w:pPr>
      <w:tabs>
        <w:tab w:val="left" w:pos="4394"/>
      </w:tabs>
    </w:pPr>
  </w:style>
  <w:style w:type="paragraph" w:customStyle="1" w:styleId="143">
    <w:name w:val="Char1 Char Char Char Char Char Char"/>
    <w:basedOn w:val="1"/>
    <w:qFormat/>
    <w:uiPriority w:val="0"/>
    <w:rPr>
      <w:rFonts w:ascii="Tahoma" w:hAnsi="Tahoma"/>
      <w:szCs w:val="20"/>
    </w:rPr>
  </w:style>
  <w:style w:type="paragraph" w:customStyle="1" w:styleId="144">
    <w:name w:val="RFI Heading 3rd Level"/>
    <w:basedOn w:val="1"/>
    <w:qFormat/>
    <w:uiPriority w:val="0"/>
    <w:pPr>
      <w:widowControl/>
      <w:tabs>
        <w:tab w:val="left" w:pos="720"/>
      </w:tabs>
      <w:ind w:left="720" w:hanging="720"/>
    </w:pPr>
    <w:rPr>
      <w:rFonts w:ascii="Arial (W1)" w:hAnsi="Arial (W1)"/>
      <w:color w:val="000000"/>
      <w:kern w:val="0"/>
      <w:szCs w:val="24"/>
      <w:lang w:val="en-GB" w:eastAsia="en-US"/>
    </w:rPr>
  </w:style>
  <w:style w:type="paragraph" w:customStyle="1" w:styleId="145">
    <w:name w:val="样式 小四2"/>
    <w:basedOn w:val="1"/>
    <w:qFormat/>
    <w:uiPriority w:val="0"/>
    <w:rPr>
      <w:rFonts w:ascii="宋体" w:hAnsi="宋体"/>
      <w:szCs w:val="24"/>
    </w:rPr>
  </w:style>
  <w:style w:type="paragraph" w:customStyle="1" w:styleId="14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7">
    <w:name w:val="Char Char1"/>
    <w:basedOn w:val="1"/>
    <w:next w:val="1"/>
    <w:qFormat/>
    <w:uiPriority w:val="0"/>
    <w:pPr>
      <w:spacing w:line="240" w:lineRule="atLeast"/>
      <w:ind w:left="420" w:firstLine="420"/>
    </w:pPr>
    <w:rPr>
      <w:rFonts w:ascii="楷体_GB2312" w:hAnsi="宋体" w:eastAsia="楷体_GB2312"/>
      <w:bCs/>
      <w:color w:val="000000"/>
      <w:kern w:val="0"/>
      <w:sz w:val="28"/>
      <w:szCs w:val="28"/>
    </w:rPr>
  </w:style>
  <w:style w:type="paragraph" w:customStyle="1" w:styleId="148">
    <w:name w:val="1 Char"/>
    <w:basedOn w:val="1"/>
    <w:qFormat/>
    <w:uiPriority w:val="0"/>
    <w:pPr>
      <w:widowControl/>
      <w:spacing w:after="160" w:line="240" w:lineRule="exact"/>
    </w:pPr>
    <w:rPr>
      <w:rFonts w:ascii="Tahoma" w:hAnsi="Tahoma" w:eastAsia="Times New Roman"/>
      <w:kern w:val="0"/>
      <w:szCs w:val="24"/>
      <w:lang w:eastAsia="en-US"/>
    </w:rPr>
  </w:style>
  <w:style w:type="paragraph" w:customStyle="1" w:styleId="14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50">
    <w:name w:val="文章正文 Char Char1"/>
    <w:basedOn w:val="1"/>
    <w:qFormat/>
    <w:uiPriority w:val="0"/>
    <w:pPr>
      <w:ind w:firstLine="420"/>
    </w:pPr>
    <w:rPr>
      <w:szCs w:val="24"/>
    </w:rPr>
  </w:style>
  <w:style w:type="paragraph" w:customStyle="1" w:styleId="151">
    <w:name w:val="标题2-1"/>
    <w:basedOn w:val="1"/>
    <w:qFormat/>
    <w:uiPriority w:val="0"/>
    <w:pPr>
      <w:tabs>
        <w:tab w:val="left" w:pos="0"/>
      </w:tabs>
      <w:autoSpaceDE w:val="0"/>
      <w:autoSpaceDN w:val="0"/>
      <w:adjustRightInd w:val="0"/>
      <w:spacing w:beforeLines="50"/>
      <w:outlineLvl w:val="1"/>
    </w:pPr>
    <w:rPr>
      <w:rFonts w:ascii="Arial" w:hAnsi="宋体" w:cs="Arial"/>
      <w:b/>
      <w:bCs/>
      <w:color w:val="292929"/>
      <w:kern w:val="0"/>
      <w:sz w:val="28"/>
      <w:szCs w:val="28"/>
    </w:rPr>
  </w:style>
  <w:style w:type="paragraph" w:customStyle="1" w:styleId="1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3">
    <w:name w:val="图"/>
    <w:basedOn w:val="1"/>
    <w:qFormat/>
    <w:uiPriority w:val="0"/>
    <w:pPr>
      <w:widowControl/>
      <w:adjustRightInd w:val="0"/>
      <w:snapToGrid w:val="0"/>
      <w:jc w:val="center"/>
    </w:pPr>
    <w:rPr>
      <w:rFonts w:ascii="宋体" w:hAnsi="宋体"/>
      <w:bCs/>
      <w:szCs w:val="24"/>
    </w:rPr>
  </w:style>
  <w:style w:type="paragraph" w:customStyle="1" w:styleId="154">
    <w:name w:val="Char1 Char Char Char Char Char Char1"/>
    <w:basedOn w:val="1"/>
    <w:qFormat/>
    <w:uiPriority w:val="0"/>
    <w:rPr>
      <w:rFonts w:ascii="Tahoma" w:hAnsi="Tahoma"/>
      <w:szCs w:val="20"/>
    </w:rPr>
  </w:style>
  <w:style w:type="paragraph" w:customStyle="1" w:styleId="155">
    <w:name w:val="zw1"/>
    <w:basedOn w:val="1"/>
    <w:qFormat/>
    <w:uiPriority w:val="0"/>
    <w:pPr>
      <w:widowControl/>
      <w:ind w:firstLine="480"/>
    </w:pPr>
    <w:rPr>
      <w:kern w:val="0"/>
      <w:szCs w:val="20"/>
    </w:rPr>
  </w:style>
  <w:style w:type="paragraph" w:customStyle="1" w:styleId="156">
    <w:name w:val="Char Char Char Char Char Char Char"/>
    <w:basedOn w:val="1"/>
    <w:qFormat/>
    <w:uiPriority w:val="0"/>
    <w:pPr>
      <w:widowControl/>
      <w:snapToGrid w:val="0"/>
      <w:spacing w:line="240" w:lineRule="exact"/>
    </w:pPr>
    <w:rPr>
      <w:rFonts w:ascii="Verdana" w:hAnsi="Verdana"/>
      <w:kern w:val="0"/>
      <w:sz w:val="20"/>
      <w:szCs w:val="20"/>
      <w:lang w:eastAsia="en-US"/>
    </w:rPr>
  </w:style>
  <w:style w:type="paragraph" w:customStyle="1" w:styleId="157">
    <w:name w:val="MM Topic 1"/>
    <w:basedOn w:val="3"/>
    <w:qFormat/>
    <w:uiPriority w:val="0"/>
    <w:pPr>
      <w:tabs>
        <w:tab w:val="left" w:pos="425"/>
      </w:tabs>
    </w:pPr>
    <w:rPr>
      <w:sz w:val="44"/>
    </w:rPr>
  </w:style>
  <w:style w:type="paragraph" w:customStyle="1" w:styleId="1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pPr>
    <w:rPr>
      <w:rFonts w:ascii="Arial" w:hAnsi="Arial"/>
      <w:bCs w:val="0"/>
      <w:iCs/>
      <w:color w:val="000000"/>
    </w:rPr>
  </w:style>
  <w:style w:type="paragraph" w:customStyle="1" w:styleId="159">
    <w:name w:val="我的正文"/>
    <w:basedOn w:val="1"/>
    <w:qFormat/>
    <w:uiPriority w:val="0"/>
    <w:pPr>
      <w:ind w:firstLine="420"/>
    </w:pPr>
    <w:rPr>
      <w:rFonts w:ascii="宋体" w:hAnsi="宋体"/>
      <w:szCs w:val="24"/>
    </w:rPr>
  </w:style>
  <w:style w:type="paragraph" w:customStyle="1" w:styleId="160">
    <w:name w:val="MM Topic 7"/>
    <w:basedOn w:val="9"/>
    <w:qFormat/>
    <w:uiPriority w:val="0"/>
    <w:pPr>
      <w:keepLines/>
      <w:widowControl w:val="0"/>
      <w:tabs>
        <w:tab w:val="left" w:pos="3827"/>
        <w:tab w:val="clear" w:pos="3600"/>
      </w:tabs>
      <w:spacing w:before="240" w:after="64" w:line="316" w:lineRule="auto"/>
      <w:jc w:val="both"/>
    </w:pPr>
    <w:rPr>
      <w:rFonts w:ascii="Times New Roman" w:hAnsi="Times New Roman"/>
      <w:iCs w:val="0"/>
      <w:kern w:val="2"/>
      <w:sz w:val="24"/>
      <w:lang w:eastAsia="zh-CN"/>
    </w:rPr>
  </w:style>
  <w:style w:type="paragraph" w:customStyle="1" w:styleId="161">
    <w:name w:val="标书（正文）"/>
    <w:basedOn w:val="1"/>
    <w:qFormat/>
    <w:uiPriority w:val="0"/>
    <w:pPr>
      <w:ind w:firstLine="560"/>
    </w:pPr>
    <w:rPr>
      <w:rFonts w:ascii="宋体" w:hAnsi="宋体"/>
      <w:kern w:val="10"/>
      <w:sz w:val="28"/>
      <w:szCs w:val="28"/>
    </w:rPr>
  </w:style>
  <w:style w:type="paragraph" w:customStyle="1" w:styleId="162">
    <w:name w:val="样式 标题 3 + (西文) 仿宋_GB2312 (中文) 仿宋_GB2312 四号"/>
    <w:basedOn w:val="5"/>
    <w:qFormat/>
    <w:uiPriority w:val="0"/>
    <w:pPr>
      <w:numPr>
        <w:numId w:val="0"/>
      </w:numPr>
      <w:tabs>
        <w:tab w:val="left" w:pos="-1991"/>
      </w:tabs>
      <w:snapToGrid w:val="0"/>
      <w:spacing w:beforeLines="50" w:line="412" w:lineRule="auto"/>
      <w:ind w:right="180" w:rightChars="100"/>
    </w:pPr>
    <w:rPr>
      <w:rFonts w:ascii="仿宋_GB2312" w:hAnsi="仿宋_GB2312" w:eastAsia="仿宋_GB2312"/>
      <w:color w:val="auto"/>
    </w:rPr>
  </w:style>
  <w:style w:type="paragraph" w:customStyle="1" w:styleId="163">
    <w:name w:val="论文正文"/>
    <w:basedOn w:val="1"/>
    <w:qFormat/>
    <w:uiPriority w:val="0"/>
    <w:pPr>
      <w:ind w:firstLine="700" w:firstLineChars="250"/>
    </w:pPr>
    <w:rPr>
      <w:rFonts w:ascii="宋体" w:hAnsi="宋体"/>
      <w:bCs/>
      <w:sz w:val="28"/>
      <w:szCs w:val="28"/>
    </w:rPr>
  </w:style>
  <w:style w:type="paragraph" w:customStyle="1" w:styleId="164">
    <w:name w:val="样式1"/>
    <w:basedOn w:val="1"/>
    <w:qFormat/>
    <w:uiPriority w:val="0"/>
    <w:rPr>
      <w:rFonts w:eastAsia="隶书"/>
      <w:i/>
      <w:dstrike/>
      <w:sz w:val="28"/>
      <w:szCs w:val="18"/>
    </w:rPr>
  </w:style>
  <w:style w:type="paragraph" w:customStyle="1" w:styleId="165">
    <w:name w:val="表格"/>
    <w:basedOn w:val="1"/>
    <w:qFormat/>
    <w:uiPriority w:val="0"/>
    <w:pPr>
      <w:spacing w:line="400" w:lineRule="exact"/>
    </w:pPr>
    <w:rPr>
      <w:szCs w:val="24"/>
    </w:rPr>
  </w:style>
  <w:style w:type="paragraph" w:customStyle="1" w:styleId="166">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67">
    <w:name w:val="Char"/>
    <w:basedOn w:val="1"/>
    <w:next w:val="1"/>
    <w:qFormat/>
    <w:uiPriority w:val="0"/>
    <w:pPr>
      <w:spacing w:line="240" w:lineRule="atLeast"/>
      <w:ind w:left="420" w:firstLine="420"/>
    </w:pPr>
    <w:rPr>
      <w:kern w:val="0"/>
      <w:szCs w:val="21"/>
    </w:rPr>
  </w:style>
  <w:style w:type="paragraph" w:customStyle="1" w:styleId="168">
    <w:name w:val="Char Char Char Char Char Char Char Char Char Char Char Char Char"/>
    <w:basedOn w:val="16"/>
    <w:qFormat/>
    <w:uiPriority w:val="0"/>
    <w:rPr>
      <w:rFonts w:ascii="Tahoma" w:hAnsi="Tahoma"/>
      <w:sz w:val="24"/>
      <w:szCs w:val="24"/>
    </w:rPr>
  </w:style>
  <w:style w:type="paragraph" w:customStyle="1" w:styleId="169">
    <w:name w:val="MM Topic 3"/>
    <w:basedOn w:val="5"/>
    <w:qFormat/>
    <w:uiPriority w:val="0"/>
    <w:pPr>
      <w:numPr>
        <w:numId w:val="0"/>
      </w:numPr>
      <w:tabs>
        <w:tab w:val="left" w:pos="1418"/>
      </w:tabs>
    </w:pPr>
  </w:style>
  <w:style w:type="paragraph" w:customStyle="1" w:styleId="170">
    <w:name w:val="样式 仿宋_GB2312 小四 左侧:  0.63 厘米"/>
    <w:basedOn w:val="1"/>
    <w:qFormat/>
    <w:uiPriority w:val="0"/>
    <w:pPr>
      <w:spacing w:before="120" w:after="120"/>
      <w:ind w:left="357" w:firstLine="200"/>
    </w:pPr>
    <w:rPr>
      <w:rFonts w:ascii="仿宋_GB2312" w:hAnsi="仿宋_GB2312" w:eastAsia="仿宋_GB2312" w:cs="宋体"/>
      <w:szCs w:val="20"/>
    </w:rPr>
  </w:style>
  <w:style w:type="paragraph" w:customStyle="1" w:styleId="171">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Cs w:val="24"/>
    </w:rPr>
  </w:style>
  <w:style w:type="paragraph" w:customStyle="1" w:styleId="172">
    <w:name w:val="Char Char Char Char"/>
    <w:basedOn w:val="1"/>
    <w:qFormat/>
    <w:uiPriority w:val="0"/>
    <w:rPr>
      <w:rFonts w:ascii="Tahoma" w:hAnsi="Tahoma"/>
      <w:szCs w:val="20"/>
    </w:rPr>
  </w:style>
  <w:style w:type="paragraph" w:customStyle="1" w:styleId="173">
    <w:name w:val="Style8"/>
    <w:basedOn w:val="1"/>
    <w:qFormat/>
    <w:uiPriority w:val="0"/>
    <w:pPr>
      <w:tabs>
        <w:tab w:val="left" w:pos="1304"/>
      </w:tabs>
      <w:spacing w:beforeLines="50" w:line="276" w:lineRule="auto"/>
      <w:ind w:left="1304" w:hanging="397"/>
    </w:pPr>
    <w:rPr>
      <w:rFonts w:ascii="Arial" w:hAnsi="Arial"/>
      <w:szCs w:val="24"/>
    </w:rPr>
  </w:style>
  <w:style w:type="paragraph" w:customStyle="1" w:styleId="174">
    <w:name w:val="MM Topic 9"/>
    <w:basedOn w:val="11"/>
    <w:qFormat/>
    <w:uiPriority w:val="0"/>
    <w:pPr>
      <w:tabs>
        <w:tab w:val="left" w:pos="5102"/>
      </w:tabs>
    </w:pPr>
  </w:style>
  <w:style w:type="paragraph" w:customStyle="1" w:styleId="175">
    <w:name w:val="MM Topic 5"/>
    <w:basedOn w:val="7"/>
    <w:qFormat/>
    <w:uiPriority w:val="0"/>
    <w:pPr>
      <w:tabs>
        <w:tab w:val="left" w:pos="2551"/>
        <w:tab w:val="clear" w:pos="1134"/>
      </w:tabs>
      <w:ind w:left="0" w:firstLine="0"/>
    </w:pPr>
  </w:style>
  <w:style w:type="paragraph" w:customStyle="1" w:styleId="176">
    <w:name w:val="大纲正文"/>
    <w:basedOn w:val="1"/>
    <w:qFormat/>
    <w:uiPriority w:val="0"/>
    <w:pPr>
      <w:ind w:firstLine="480"/>
    </w:pPr>
    <w:rPr>
      <w:szCs w:val="20"/>
    </w:rPr>
  </w:style>
  <w:style w:type="paragraph" w:customStyle="1" w:styleId="177">
    <w:name w:val="MM Topic 4"/>
    <w:basedOn w:val="6"/>
    <w:qFormat/>
    <w:uiPriority w:val="0"/>
    <w:pPr>
      <w:tabs>
        <w:tab w:val="left" w:pos="1984"/>
      </w:tabs>
      <w:ind w:left="0" w:firstLine="0"/>
    </w:pPr>
  </w:style>
  <w:style w:type="paragraph" w:customStyle="1" w:styleId="1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9">
    <w:name w:val="样式 小四 首行缩进:  0.74 厘米"/>
    <w:basedOn w:val="1"/>
    <w:qFormat/>
    <w:uiPriority w:val="0"/>
    <w:pPr>
      <w:spacing w:before="100" w:beforeAutospacing="1" w:after="100" w:afterAutospacing="1" w:line="300" w:lineRule="auto"/>
      <w:ind w:firstLine="420" w:firstLineChars="175"/>
    </w:pPr>
    <w:rPr>
      <w:rFonts w:ascii="宋体" w:hAnsi="宋体"/>
      <w:szCs w:val="24"/>
    </w:rPr>
  </w:style>
  <w:style w:type="paragraph" w:customStyle="1" w:styleId="180">
    <w:name w:val="样式 标题 2H2第一章 标题 2Heading 2 HiddenHeading 2 CCBSheading 2h2..."/>
    <w:basedOn w:val="4"/>
    <w:qFormat/>
    <w:uiPriority w:val="0"/>
    <w:pPr>
      <w:tabs>
        <w:tab w:val="left" w:pos="-2493"/>
      </w:tabs>
    </w:pPr>
    <w:rPr>
      <w:szCs w:val="20"/>
    </w:rPr>
  </w:style>
  <w:style w:type="paragraph" w:customStyle="1" w:styleId="181">
    <w:name w:val="正文首行缩进两字符"/>
    <w:basedOn w:val="1"/>
    <w:qFormat/>
    <w:uiPriority w:val="0"/>
    <w:pPr>
      <w:ind w:firstLine="200"/>
    </w:pPr>
    <w:rPr>
      <w:szCs w:val="24"/>
    </w:rPr>
  </w:style>
  <w:style w:type="paragraph" w:customStyle="1" w:styleId="182">
    <w:name w:val="列出段落2"/>
    <w:basedOn w:val="1"/>
    <w:qFormat/>
    <w:uiPriority w:val="34"/>
    <w:pPr>
      <w:ind w:firstLine="420"/>
    </w:pPr>
  </w:style>
  <w:style w:type="paragraph" w:customStyle="1" w:styleId="183">
    <w:name w:val="列出段落1"/>
    <w:basedOn w:val="1"/>
    <w:qFormat/>
    <w:uiPriority w:val="0"/>
    <w:pPr>
      <w:ind w:firstLine="420"/>
    </w:pPr>
  </w:style>
  <w:style w:type="paragraph" w:customStyle="1" w:styleId="184">
    <w:name w:val="修订1"/>
    <w:hidden/>
    <w:qFormat/>
    <w:uiPriority w:val="0"/>
    <w:rPr>
      <w:rFonts w:ascii="Calibri" w:hAnsi="Calibri" w:eastAsia="宋体" w:cs="Times New Roman"/>
      <w:kern w:val="2"/>
      <w:sz w:val="21"/>
      <w:szCs w:val="22"/>
      <w:lang w:val="en-US" w:eastAsia="zh-CN" w:bidi="ar-SA"/>
    </w:rPr>
  </w:style>
  <w:style w:type="paragraph" w:customStyle="1" w:styleId="185">
    <w:name w:val="彩色列表 - 强调文字颜色 11"/>
    <w:basedOn w:val="1"/>
    <w:qFormat/>
    <w:uiPriority w:val="0"/>
    <w:pPr>
      <w:ind w:firstLine="420"/>
    </w:pPr>
  </w:style>
  <w:style w:type="paragraph" w:customStyle="1" w:styleId="186">
    <w:name w:val="List Paragraph1"/>
    <w:basedOn w:val="1"/>
    <w:qFormat/>
    <w:uiPriority w:val="0"/>
    <w:pPr>
      <w:ind w:firstLine="420"/>
    </w:pPr>
    <w:rPr>
      <w:szCs w:val="24"/>
    </w:rPr>
  </w:style>
  <w:style w:type="character" w:customStyle="1" w:styleId="187">
    <w:name w:val="font01"/>
    <w:basedOn w:val="45"/>
    <w:qFormat/>
    <w:uiPriority w:val="0"/>
    <w:rPr>
      <w:rFonts w:hint="eastAsia" w:ascii="宋体" w:hAnsi="宋体" w:eastAsia="宋体" w:cs="宋体"/>
      <w:color w:val="000000"/>
      <w:sz w:val="24"/>
      <w:szCs w:val="24"/>
      <w:u w:val="none"/>
    </w:rPr>
  </w:style>
  <w:style w:type="character" w:customStyle="1" w:styleId="188">
    <w:name w:val="font11"/>
    <w:basedOn w:val="45"/>
    <w:qFormat/>
    <w:uiPriority w:val="0"/>
    <w:rPr>
      <w:rFonts w:hint="eastAsia" w:ascii="宋体" w:hAnsi="宋体" w:eastAsia="宋体" w:cs="宋体"/>
      <w:color w:val="000000"/>
      <w:sz w:val="22"/>
      <w:szCs w:val="22"/>
      <w:u w:val="none"/>
    </w:rPr>
  </w:style>
  <w:style w:type="paragraph" w:customStyle="1" w:styleId="189">
    <w:name w:val="列出段落11"/>
    <w:basedOn w:val="1"/>
    <w:qFormat/>
    <w:uiPriority w:val="34"/>
    <w:pPr>
      <w:ind w:firstLine="420"/>
    </w:pPr>
  </w:style>
  <w:style w:type="paragraph" w:customStyle="1" w:styleId="190">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91">
    <w:name w:val="列出段落3"/>
    <w:basedOn w:val="1"/>
    <w:qFormat/>
    <w:uiPriority w:val="34"/>
    <w:pPr>
      <w:ind w:firstLine="420"/>
    </w:pPr>
  </w:style>
  <w:style w:type="table" w:customStyle="1" w:styleId="192">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3">
    <w:name w:val="_Style 1"/>
    <w:basedOn w:val="1"/>
    <w:qFormat/>
    <w:uiPriority w:val="0"/>
    <w:pPr>
      <w:ind w:firstLine="420"/>
    </w:pPr>
  </w:style>
  <w:style w:type="paragraph" w:customStyle="1" w:styleId="194">
    <w:name w:val="样式2"/>
    <w:basedOn w:val="1"/>
    <w:qFormat/>
    <w:uiPriority w:val="0"/>
    <w:pPr>
      <w:ind w:firstLine="200"/>
    </w:pPr>
    <w:rPr>
      <w:rFonts w:eastAsia="仿宋_GB2312"/>
    </w:rPr>
  </w:style>
  <w:style w:type="paragraph" w:customStyle="1" w:styleId="195">
    <w:name w:val="Default"/>
    <w:qFormat/>
    <w:uiPriority w:val="0"/>
    <w:pPr>
      <w:widowControl w:val="0"/>
      <w:autoSpaceDE w:val="0"/>
      <w:autoSpaceDN w:val="0"/>
      <w:adjustRightInd w:val="0"/>
      <w:spacing w:after="160" w:line="259" w:lineRule="auto"/>
    </w:pPr>
    <w:rPr>
      <w:rFonts w:ascii="宋体" w:hAnsi="Calibri" w:eastAsia="宋体" w:cs="宋体"/>
      <w:color w:val="000000"/>
      <w:sz w:val="24"/>
      <w:szCs w:val="24"/>
      <w:lang w:val="en-US" w:eastAsia="zh-CN" w:bidi="ar-SA"/>
    </w:rPr>
  </w:style>
  <w:style w:type="paragraph" w:customStyle="1" w:styleId="196">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9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图表文（硬梁包）"/>
    <w:qFormat/>
    <w:uiPriority w:val="0"/>
    <w:pPr>
      <w:spacing w:line="240" w:lineRule="atLeast"/>
      <w:jc w:val="center"/>
    </w:pPr>
    <w:rPr>
      <w:rFonts w:ascii="宋体" w:hAnsi="宋体" w:eastAsia="宋体" w:cs="宋体"/>
      <w:w w:val="90"/>
      <w:kern w:val="2"/>
      <w:sz w:val="21"/>
      <w:szCs w:val="21"/>
      <w:lang w:val="en-US" w:eastAsia="zh-CN" w:bidi="ar-SA"/>
    </w:rPr>
  </w:style>
  <w:style w:type="paragraph" w:customStyle="1" w:styleId="199">
    <w:name w:val="列表段落11"/>
    <w:basedOn w:val="1"/>
    <w:qFormat/>
    <w:uiPriority w:val="99"/>
    <w:pPr>
      <w:ind w:left="720"/>
      <w:contextualSpacing/>
    </w:pPr>
    <w:rPr>
      <w:rFonts w:ascii="Calibri" w:hAnsi="Calibri" w:eastAsia="宋体" w:cs="Times New Roman"/>
      <w:szCs w:val="22"/>
    </w:rPr>
  </w:style>
  <w:style w:type="character" w:customStyle="1" w:styleId="200">
    <w:name w:val="font31"/>
    <w:basedOn w:val="45"/>
    <w:qFormat/>
    <w:uiPriority w:val="0"/>
    <w:rPr>
      <w:rFonts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3"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041FF-EF2A-46E9-8ECE-EC2E20CFAC36}">
  <ds:schemaRefs/>
</ds:datastoreItem>
</file>

<file path=docProps/app.xml><?xml version="1.0" encoding="utf-8"?>
<Properties xmlns="http://schemas.openxmlformats.org/officeDocument/2006/extended-properties" xmlns:vt="http://schemas.openxmlformats.org/officeDocument/2006/docPropsVTypes">
  <Template>Normal</Template>
  <Pages>65</Pages>
  <Words>5363</Words>
  <Characters>30574</Characters>
  <Lines>254</Lines>
  <Paragraphs>71</Paragraphs>
  <TotalTime>9</TotalTime>
  <ScaleCrop>false</ScaleCrop>
  <LinksUpToDate>false</LinksUpToDate>
  <CharactersWithSpaces>35866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2016-12-15T08:05:00Z</dcterms:created>
  <dc:creator>hyf</dc:creator>
  <cp:lastModifiedBy>Admin</cp:lastModifiedBy>
  <cp:lastPrinted>2021-05-17T03:33:00Z</cp:lastPrinted>
  <dcterms:modified xsi:type="dcterms:W3CDTF">2021-06-16T08:18:32Z</dcterms:modified>
  <dc:title>招 标 文 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DE55C03238A143EE9355C6823BB39770</vt:lpwstr>
  </property>
</Properties>
</file>