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成都市龙泉驿区文化体育和旅游局龙泉驿区2021年公益性文艺演出服务采购项目（第三次）</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510112202100042</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lang w:eastAsia="zh-CN"/>
        </w:rPr>
        <w:t>成都市龙泉驿区文化体育和旅游局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五</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pStyle w:val="2"/>
        <w:rPr>
          <w:rFonts w:ascii="宋体" w:hAnsi="宋体"/>
          <w:b/>
          <w:bCs/>
          <w:color w:val="auto"/>
          <w:sz w:val="36"/>
          <w:szCs w:val="36"/>
          <w:highlight w:val="none"/>
        </w:rPr>
      </w:pPr>
    </w:p>
    <w:p>
      <w:pPr>
        <w:rPr>
          <w:rFonts w:ascii="宋体" w:hAnsi="宋体"/>
          <w:b/>
          <w:bCs/>
          <w:color w:val="auto"/>
          <w:sz w:val="36"/>
          <w:szCs w:val="36"/>
          <w:highlight w:val="none"/>
        </w:rPr>
      </w:pPr>
    </w:p>
    <w:p>
      <w:pPr>
        <w:pStyle w:val="2"/>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lang w:eastAsia="zh-CN"/>
        </w:rPr>
      </w:pPr>
      <w:bookmarkStart w:id="0" w:name="_Toc18037"/>
      <w:r>
        <w:rPr>
          <w:rFonts w:hint="eastAsia" w:ascii="宋体" w:hAnsi="宋体" w:eastAsia="宋体" w:cs="宋体"/>
          <w:b/>
          <w:bCs w:val="0"/>
          <w:color w:val="auto"/>
          <w:sz w:val="36"/>
          <w:szCs w:val="36"/>
          <w:lang w:eastAsia="zh-CN"/>
        </w:rPr>
        <w:t>“政采贷”业务介绍</w:t>
      </w:r>
      <w:bookmarkEnd w:id="0"/>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bookmarkStart w:id="1" w:name="_Toc27358"/>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lang w:eastAsia="zh-CN"/>
        </w:rPr>
        <w:t>、营造良好的营商环境</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eastAsia="zh-CN"/>
        </w:rPr>
        <w:t>《四川省财政厅关于推进四川省政府采购供应商信用融资工作的通知》（川财采﹝</w:t>
      </w:r>
      <w:r>
        <w:rPr>
          <w:rFonts w:hint="eastAsia" w:ascii="宋体" w:hAnsi="宋体" w:eastAsia="宋体" w:cs="宋体"/>
          <w:b w:val="0"/>
          <w:bCs w:val="0"/>
          <w:color w:val="auto"/>
          <w:sz w:val="24"/>
          <w:szCs w:val="24"/>
          <w:lang w:val="en-US" w:eastAsia="zh-CN"/>
        </w:rPr>
        <w:t>2018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123号</w:t>
      </w:r>
      <w:r>
        <w:rPr>
          <w:rFonts w:hint="eastAsia" w:ascii="宋体" w:hAnsi="宋体" w:eastAsia="宋体" w:cs="宋体"/>
          <w:b w:val="0"/>
          <w:bCs w:val="0"/>
          <w:color w:val="auto"/>
          <w:sz w:val="24"/>
          <w:szCs w:val="24"/>
          <w:lang w:eastAsia="zh-CN"/>
        </w:rPr>
        <w:t>）文件要求。有融资需求的供应商可根据四川政府采购网公示的银行及其“政采贷”产品，自行选择符合自身情况的“政采贷”银行及其产品，凭中标（成交）通知书向银行提出贷款意向申请。</w:t>
      </w:r>
      <w:bookmarkEnd w:id="1"/>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lang w:val="zh-CN" w:eastAsia="zh-CN"/>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lang w:eastAsia="zh-CN"/>
        </w:rPr>
      </w:pPr>
      <w:bookmarkStart w:id="2" w:name="_Toc5636"/>
      <w:r>
        <w:rPr>
          <w:rFonts w:hint="eastAsia" w:ascii="宋体" w:hAnsi="宋体" w:eastAsia="宋体" w:cs="宋体"/>
          <w:b/>
          <w:bCs w:val="0"/>
          <w:color w:val="auto"/>
          <w:sz w:val="32"/>
          <w:szCs w:val="32"/>
          <w:lang w:eastAsia="zh-CN"/>
        </w:rPr>
        <w:t>“蓉采贷”业务介绍</w:t>
      </w:r>
      <w:bookmarkEnd w:id="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028-86772083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_Toc31378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_Toc31378 \h </w:instrText>
      </w:r>
      <w:r>
        <w:fldChar w:fldCharType="separate"/>
      </w:r>
      <w:r>
        <w:t>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_Toc16220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_Toc16220 \h </w:instrText>
      </w:r>
      <w:r>
        <w:fldChar w:fldCharType="separate"/>
      </w:r>
      <w:r>
        <w:t>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_Toc27728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_Toc27728 \h </w:instrText>
      </w:r>
      <w:r>
        <w:fldChar w:fldCharType="separate"/>
      </w:r>
      <w:r>
        <w:t>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_Toc15216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_Toc15216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_Toc13385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_Toc13385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_Toc7805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_Toc7805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_Toc2901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_Toc1377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_Toc1377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_Toc19634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_Toc19634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_Toc12500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_Toc12500 \h </w:instrText>
      </w:r>
      <w:r>
        <w:fldChar w:fldCharType="separate"/>
      </w:r>
      <w:r>
        <w:t>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_Toc1760 \h </w:instrText>
      </w:r>
      <w:r>
        <w:fldChar w:fldCharType="separate"/>
      </w:r>
      <w:r>
        <w:t>13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_Toc31624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_Toc31624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_Toc12660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_Toc12660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_Toc11319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_Toc11319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_Toc22988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_Toc22988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_Toc23842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_Toc23842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_Toc15820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_Toc15820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_Toc28413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_Toc28413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_Toc26701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_Toc26701 \h </w:instrText>
      </w:r>
      <w:r>
        <w:fldChar w:fldCharType="separate"/>
      </w:r>
      <w:r>
        <w:t>26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_Toc611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_Toc611 \h </w:instrText>
      </w:r>
      <w:r>
        <w:fldChar w:fldCharType="separate"/>
      </w:r>
      <w:r>
        <w:t>26</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_Toc23552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_Toc23552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_Toc27069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_Toc27069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_Toc31292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3.2 </w:t>
      </w:r>
      <w:r>
        <w:rPr>
          <w:rFonts w:hint="eastAsia"/>
          <w:szCs w:val="24"/>
          <w:highlight w:val="none"/>
          <w:lang w:val="en-US" w:eastAsia="zh-CN"/>
        </w:rPr>
        <w:t>服务要求</w:t>
      </w:r>
      <w:r>
        <w:tab/>
      </w:r>
      <w:r>
        <w:fldChar w:fldCharType="begin"/>
      </w:r>
      <w:r>
        <w:instrText xml:space="preserve"> PAGEREF _Toc31292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_Toc16207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3.3 </w:t>
      </w:r>
      <w:r>
        <w:rPr>
          <w:rFonts w:hint="eastAsia"/>
          <w:szCs w:val="24"/>
          <w:highlight w:val="none"/>
        </w:rPr>
        <w:t>商务要求</w:t>
      </w:r>
      <w:r>
        <w:tab/>
      </w:r>
      <w:r>
        <w:fldChar w:fldCharType="begin"/>
      </w:r>
      <w:r>
        <w:instrText xml:space="preserve"> PAGEREF _Toc16207 \h </w:instrText>
      </w:r>
      <w:r>
        <w:fldChar w:fldCharType="separate"/>
      </w:r>
      <w:r>
        <w:t>31</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_Toc24916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_Toc24916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_Toc26810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_Toc26810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_Toc1690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_Toc1690 \h </w:instrText>
      </w:r>
      <w:r>
        <w:fldChar w:fldCharType="separate"/>
      </w:r>
      <w:r>
        <w:t>45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_Toc23408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_Toc23408 \h </w:instrText>
      </w:r>
      <w:r>
        <w:fldChar w:fldCharType="separate"/>
      </w:r>
      <w:r>
        <w:t>53</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_Toc12664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_Toc12664 \h </w:instrText>
      </w:r>
      <w:r>
        <w:fldChar w:fldCharType="separate"/>
      </w:r>
      <w:r>
        <w:t>54</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10" w:type="first"/>
          <w:footerReference r:id="rId9"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rPr>
          <w:color w:val="auto"/>
          <w:highlight w:val="none"/>
        </w:rPr>
      </w:pPr>
      <w:bookmarkStart w:id="3" w:name="_Toc31378"/>
      <w:r>
        <w:rPr>
          <w:rFonts w:hint="eastAsia"/>
          <w:color w:val="auto"/>
          <w:highlight w:val="none"/>
        </w:rPr>
        <w:t>竞争性磋商邀请</w:t>
      </w:r>
      <w:bookmarkEnd w:id="3"/>
    </w:p>
    <w:p>
      <w:pPr>
        <w:spacing w:line="360" w:lineRule="auto"/>
        <w:ind w:firstLine="482" w:firstLineChars="200"/>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成都市龙泉驿区文化体育和旅游局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成都市龙泉驿区文化体育和旅游局龙泉驿区2021年公益性文艺演出服务采购项目（第三次）</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510112202100042</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成都市龙泉驿区文化体育和旅游局龙泉驿区2021年公益性文艺演出服务采购项目（第三次）</w:t>
      </w:r>
      <w:r>
        <w:rPr>
          <w:rFonts w:hint="eastAsia" w:ascii="宋体" w:hAnsi="宋体"/>
          <w:b/>
          <w:color w:val="auto"/>
          <w:highlight w:val="none"/>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艺术创作和表演服务</w:t>
      </w:r>
      <w:r>
        <w:rPr>
          <w:rFonts w:hint="eastAsia" w:ascii="宋体" w:hAnsi="宋体"/>
          <w:color w:val="auto"/>
          <w:highlight w:val="none"/>
        </w:rPr>
        <w:t>；预算金额：</w:t>
      </w:r>
      <w:r>
        <w:rPr>
          <w:rFonts w:hint="eastAsia" w:ascii="宋体" w:hAnsi="宋体"/>
          <w:color w:val="auto"/>
          <w:highlight w:val="none"/>
          <w:lang w:val="en-US" w:eastAsia="zh-CN"/>
        </w:rPr>
        <w:t>50万元（其中包件1：</w:t>
      </w:r>
      <w:r>
        <w:rPr>
          <w:rFonts w:hint="eastAsia" w:asciiTheme="minorEastAsia" w:hAnsiTheme="minorEastAsia" w:eastAsiaTheme="minorEastAsia"/>
          <w:spacing w:val="-4"/>
          <w:kern w:val="0"/>
          <w:sz w:val="24"/>
        </w:rPr>
        <w:t>12.4</w:t>
      </w:r>
      <w:r>
        <w:rPr>
          <w:rFonts w:hint="eastAsia" w:asciiTheme="minorEastAsia" w:hAnsiTheme="minorEastAsia" w:eastAsiaTheme="minorEastAsia"/>
          <w:spacing w:val="-4"/>
          <w:kern w:val="0"/>
          <w:sz w:val="24"/>
          <w:lang w:val="en-US" w:eastAsia="zh-CN"/>
        </w:rPr>
        <w:t>万元；包件2：</w:t>
      </w:r>
      <w:r>
        <w:rPr>
          <w:rFonts w:hint="eastAsia" w:asciiTheme="minorEastAsia" w:hAnsiTheme="minorEastAsia" w:eastAsiaTheme="minorEastAsia"/>
          <w:spacing w:val="-4"/>
          <w:kern w:val="0"/>
          <w:sz w:val="24"/>
        </w:rPr>
        <w:t>25.6</w:t>
      </w:r>
      <w:r>
        <w:rPr>
          <w:rFonts w:hint="eastAsia" w:asciiTheme="minorEastAsia" w:hAnsiTheme="minorEastAsia" w:eastAsiaTheme="minorEastAsia"/>
          <w:spacing w:val="-4"/>
          <w:kern w:val="0"/>
          <w:sz w:val="24"/>
          <w:lang w:val="en-US" w:eastAsia="zh-CN"/>
        </w:rPr>
        <w:t>万元；包件3：12万元</w:t>
      </w:r>
      <w:r>
        <w:rPr>
          <w:rFonts w:hint="eastAsia" w:ascii="宋体" w:hAnsi="宋体"/>
          <w:color w:val="auto"/>
          <w:highlight w:val="none"/>
          <w:lang w:val="en-US" w:eastAsia="zh-CN"/>
        </w:rPr>
        <w:t>）</w:t>
      </w:r>
      <w:r>
        <w:rPr>
          <w:rFonts w:hint="eastAsia" w:ascii="宋体" w:hAnsi="宋体"/>
          <w:color w:val="auto"/>
          <w:highlight w:val="none"/>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供应商邀请方式</w:t>
      </w:r>
    </w:p>
    <w:p>
      <w:pPr>
        <w:spacing w:after="120" w:line="440" w:lineRule="exact"/>
        <w:ind w:firstLine="480" w:firstLineChars="200"/>
        <w:rPr>
          <w:color w:val="auto"/>
          <w:highlight w:val="none"/>
        </w:rPr>
      </w:pPr>
      <w:r>
        <w:rPr>
          <w:rFonts w:hint="eastAsia" w:ascii="宋体" w:hAnsi="宋体"/>
          <w:bCs/>
          <w:color w:val="auto"/>
          <w:highlight w:val="none"/>
        </w:rPr>
        <w:t>公告方式：本次竞争性磋商邀请在四川政府采购网（www.sczfcg.com）上以公告形式发布。</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供应商参加本次政府采购活动应具备的条件</w:t>
      </w:r>
    </w:p>
    <w:p>
      <w:pPr>
        <w:pStyle w:val="168"/>
        <w:numPr>
          <w:ilvl w:val="1"/>
          <w:numId w:val="7"/>
        </w:numPr>
        <w:tabs>
          <w:tab w:val="left" w:pos="1260"/>
          <w:tab w:val="clear" w:pos="1130"/>
        </w:tabs>
        <w:ind w:left="0" w:firstLine="630" w:firstLineChars="0"/>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具备《中华人民共和国政府采购法》第二十二条规定的条件：</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3、具有履行合同所必须的设备和专业技术能力；</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4、具有依法缴纳税收和社会保障资金的良好记录；</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5、参加本次政府采购活动前三年内，在经营活动中没有重大违法记录；</w:t>
      </w:r>
    </w:p>
    <w:p>
      <w:pPr>
        <w:pStyle w:val="168"/>
        <w:tabs>
          <w:tab w:val="left" w:pos="1260"/>
        </w:tabs>
        <w:ind w:left="630" w:firstLine="0" w:firstLineChars="0"/>
        <w:rPr>
          <w:rFonts w:hint="eastAsia" w:ascii="宋体" w:hAnsi="宋体" w:eastAsia="宋体" w:cs="宋体"/>
          <w:color w:val="auto"/>
          <w:sz w:val="24"/>
        </w:rPr>
      </w:pPr>
      <w:r>
        <w:rPr>
          <w:rFonts w:hint="eastAsia" w:ascii="宋体" w:hAnsi="宋体" w:eastAsia="宋体" w:cs="宋体"/>
          <w:color w:val="auto"/>
          <w:sz w:val="24"/>
        </w:rPr>
        <w:t>6、法律、行政法规规定的其他条件。</w:t>
      </w:r>
    </w:p>
    <w:p>
      <w:pPr>
        <w:pStyle w:val="168"/>
        <w:numPr>
          <w:ilvl w:val="1"/>
          <w:numId w:val="7"/>
        </w:numPr>
        <w:tabs>
          <w:tab w:val="left" w:pos="1260"/>
          <w:tab w:val="clear" w:pos="1130"/>
        </w:tabs>
        <w:ind w:left="0" w:firstLine="630" w:firstLineChars="0"/>
        <w:rPr>
          <w:rFonts w:hint="eastAsia" w:ascii="宋体" w:hAnsi="宋体" w:eastAsia="宋体" w:cs="宋体"/>
          <w:color w:val="auto"/>
          <w:sz w:val="24"/>
        </w:rPr>
      </w:pPr>
      <w:r>
        <w:rPr>
          <w:rFonts w:hint="eastAsia" w:ascii="宋体" w:hAnsi="宋体" w:eastAsia="宋体" w:cs="宋体"/>
          <w:color w:val="auto"/>
          <w:sz w:val="24"/>
        </w:rPr>
        <w:t>根据本项目的特殊要求，供应商还须具备的其它特定条件：</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未被列入经营异常名录；</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未被列入失信被执行人、重大税收违法案件当事人名单、政府采购严重违法失信行为记录名单； </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在行贿犯罪信息查询期限内，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及其现任法定代表人、主要负责人没有行贿犯罪记录； </w:t>
      </w:r>
    </w:p>
    <w:p>
      <w:pPr>
        <w:numPr>
          <w:ilvl w:val="0"/>
          <w:numId w:val="8"/>
        </w:numPr>
        <w:tabs>
          <w:tab w:val="left" w:pos="0"/>
          <w:tab w:val="clear" w:pos="420"/>
        </w:tabs>
        <w:spacing w:line="360" w:lineRule="auto"/>
        <w:ind w:left="5" w:leftChars="0" w:firstLine="71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本项目专门面向中小企业采购；（供应商为监狱企业、残疾人福利性单位的视同小型、微型企业）</w:t>
      </w:r>
    </w:p>
    <w:p>
      <w:pPr>
        <w:numPr>
          <w:ilvl w:val="0"/>
          <w:numId w:val="8"/>
        </w:numPr>
        <w:shd w:val="clear" w:color="auto" w:fill="FFFFFF"/>
        <w:tabs>
          <w:tab w:val="left" w:pos="0"/>
          <w:tab w:val="clear" w:pos="420"/>
        </w:tabs>
        <w:spacing w:line="560" w:lineRule="exact"/>
        <w:ind w:left="5" w:leftChars="0" w:firstLine="715" w:firstLineChars="0"/>
        <w:rPr>
          <w:rFonts w:hint="eastAsia" w:ascii="宋体" w:hAnsi="宋体" w:eastAsia="宋体" w:cs="宋体"/>
          <w:color w:val="auto"/>
          <w:sz w:val="24"/>
          <w:szCs w:val="24"/>
        </w:rPr>
      </w:pPr>
      <w:r>
        <w:rPr>
          <w:rFonts w:hint="eastAsia" w:ascii="宋体" w:hAnsi="宋体" w:eastAsia="宋体" w:cs="宋体"/>
          <w:color w:val="auto"/>
          <w:sz w:val="24"/>
          <w:szCs w:val="24"/>
        </w:rPr>
        <w:t>不属于其他国家相关法律法规规定的禁止参加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的供应商； </w:t>
      </w:r>
    </w:p>
    <w:p>
      <w:pPr>
        <w:pStyle w:val="168"/>
        <w:numPr>
          <w:ilvl w:val="0"/>
          <w:numId w:val="8"/>
        </w:numPr>
        <w:tabs>
          <w:tab w:val="left" w:pos="0"/>
          <w:tab w:val="left" w:pos="1260"/>
          <w:tab w:val="clear" w:pos="420"/>
        </w:tabs>
        <w:ind w:left="5" w:leftChars="0" w:firstLine="715" w:firstLineChars="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eastAsia="zh-CN"/>
        </w:rPr>
        <w:t>获取</w:t>
      </w:r>
      <w:r>
        <w:rPr>
          <w:rFonts w:hint="eastAsia" w:ascii="宋体" w:hAnsi="宋体" w:cs="宋体"/>
          <w:b/>
          <w:color w:val="auto"/>
          <w:highlight w:val="none"/>
        </w:rPr>
        <w:t>时间、地点</w:t>
      </w:r>
    </w:p>
    <w:p>
      <w:pPr>
        <w:widowControl w:val="0"/>
        <w:spacing w:line="480" w:lineRule="exact"/>
        <w:ind w:firstLine="494"/>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27</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6</w:t>
      </w:r>
      <w:r>
        <w:rPr>
          <w:rFonts w:hint="eastAsia" w:ascii="宋体" w:hAnsi="宋体"/>
          <w:color w:val="auto"/>
          <w:highlight w:val="none"/>
        </w:rPr>
        <w:t>月</w:t>
      </w:r>
      <w:r>
        <w:rPr>
          <w:rFonts w:hint="eastAsia" w:ascii="宋体" w:hAnsi="宋体"/>
          <w:color w:val="auto"/>
          <w:highlight w:val="none"/>
          <w:lang w:val="en-US" w:eastAsia="zh-CN"/>
        </w:rPr>
        <w:t>2</w:t>
      </w:r>
      <w:r>
        <w:rPr>
          <w:rFonts w:hint="eastAsia" w:ascii="宋体" w:hAnsi="宋体"/>
          <w:color w:val="auto"/>
          <w:highlight w:val="none"/>
        </w:rPr>
        <w:t>日（北京时间，法定公休日、法定节假日除外，每日09：00时至17：00时）。</w:t>
      </w:r>
    </w:p>
    <w:p>
      <w:pPr>
        <w:widowControl w:val="0"/>
        <w:spacing w:line="480" w:lineRule="exact"/>
        <w:ind w:firstLine="494"/>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widowControl w:val="0"/>
        <w:spacing w:line="480" w:lineRule="exact"/>
        <w:ind w:firstLine="494"/>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方式（两种方式2选1）：</w:t>
      </w:r>
    </w:p>
    <w:p>
      <w:pPr>
        <w:widowControl w:val="0"/>
        <w:numPr>
          <w:ilvl w:val="0"/>
          <w:numId w:val="9"/>
        </w:numPr>
        <w:spacing w:line="360" w:lineRule="auto"/>
        <w:ind w:firstLine="494"/>
        <w:rPr>
          <w:rFonts w:ascii="宋体" w:hAnsi="宋体"/>
          <w:b/>
          <w:bCs/>
          <w:color w:val="auto"/>
          <w:highlight w:val="none"/>
        </w:rPr>
      </w:pPr>
      <w:r>
        <w:rPr>
          <w:rFonts w:hint="eastAsia" w:ascii="宋体" w:hAnsi="宋体"/>
          <w:b/>
          <w:bCs/>
          <w:color w:val="auto"/>
          <w:highlight w:val="none"/>
        </w:rPr>
        <w:t>网上</w:t>
      </w:r>
      <w:r>
        <w:rPr>
          <w:rFonts w:hint="eastAsia" w:ascii="宋体" w:hAnsi="宋体"/>
          <w:b/>
          <w:bCs/>
          <w:color w:val="auto"/>
          <w:highlight w:val="none"/>
          <w:lang w:val="en-US" w:eastAsia="zh-CN"/>
        </w:rPr>
        <w:t>获取</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文件获取时间期内，在本公司官方网站www.scskgc.com在线</w:t>
      </w:r>
      <w:r>
        <w:rPr>
          <w:rFonts w:hint="eastAsia" w:ascii="宋体" w:hAnsi="宋体"/>
          <w:b/>
          <w:bCs/>
          <w:color w:val="auto"/>
          <w:highlight w:val="none"/>
          <w:lang w:eastAsia="zh-CN"/>
        </w:rPr>
        <w:t>获取</w:t>
      </w:r>
      <w:r>
        <w:rPr>
          <w:rFonts w:hint="eastAsia" w:ascii="宋体" w:hAnsi="宋体"/>
          <w:b/>
          <w:bCs/>
          <w:color w:val="auto"/>
          <w:highlight w:val="none"/>
        </w:rPr>
        <w:t>,具体</w:t>
      </w:r>
      <w:r>
        <w:rPr>
          <w:rFonts w:hint="eastAsia" w:ascii="宋体" w:hAnsi="宋体"/>
          <w:b/>
          <w:bCs/>
          <w:color w:val="auto"/>
          <w:highlight w:val="none"/>
          <w:lang w:eastAsia="zh-CN"/>
        </w:rPr>
        <w:t>获取</w:t>
      </w:r>
      <w:r>
        <w:rPr>
          <w:rFonts w:hint="eastAsia" w:ascii="宋体" w:hAnsi="宋体"/>
          <w:b/>
          <w:bCs/>
          <w:color w:val="auto"/>
          <w:highlight w:val="none"/>
        </w:rPr>
        <w:t>流程详请见网站的"供应商服务系统”，关于"供应商服务系统”的使用问题可以在www.scskgc.com下载操作手册。注册及网上报名咨询电话:028-61032618。</w:t>
      </w:r>
    </w:p>
    <w:p>
      <w:pPr>
        <w:spacing w:line="360" w:lineRule="auto"/>
        <w:ind w:firstLine="492"/>
        <w:rPr>
          <w:rFonts w:ascii="宋体" w:hAnsi="宋体"/>
          <w:b/>
          <w:bCs/>
          <w:color w:val="auto"/>
          <w:kern w:val="2"/>
          <w:highlight w:val="none"/>
        </w:rPr>
      </w:pPr>
      <w:r>
        <w:rPr>
          <w:rFonts w:hint="eastAsia" w:ascii="宋体" w:hAnsi="宋体"/>
          <w:b/>
          <w:bCs/>
          <w:color w:val="auto"/>
          <w:kern w:val="2"/>
          <w:highlight w:val="none"/>
        </w:rPr>
        <w:t>2、现场报名。</w:t>
      </w:r>
      <w:r>
        <w:rPr>
          <w:rFonts w:hint="eastAsia" w:ascii="宋体" w:hAnsi="宋体"/>
          <w:b/>
          <w:bCs/>
          <w:color w:val="auto"/>
          <w:highlight w:val="none"/>
        </w:rPr>
        <w:t>在本项目</w:t>
      </w:r>
      <w:r>
        <w:rPr>
          <w:rFonts w:hint="eastAsia" w:ascii="宋体" w:hAnsi="宋体"/>
          <w:b/>
          <w:color w:val="auto"/>
          <w:highlight w:val="none"/>
        </w:rPr>
        <w:t>磋商</w:t>
      </w:r>
      <w:r>
        <w:rPr>
          <w:rFonts w:hint="eastAsia" w:ascii="宋体" w:hAnsi="宋体"/>
          <w:b/>
          <w:bCs/>
          <w:color w:val="auto"/>
          <w:highlight w:val="none"/>
        </w:rPr>
        <w:t>文件获取时间期内，在成都市高新区天府三街288号大有智慧广场迈普大厦10楼1010室现场</w:t>
      </w:r>
      <w:r>
        <w:rPr>
          <w:rFonts w:hint="eastAsia" w:ascii="宋体" w:hAnsi="宋体"/>
          <w:b/>
          <w:bCs/>
          <w:color w:val="auto"/>
          <w:highlight w:val="none"/>
          <w:lang w:eastAsia="zh-CN"/>
        </w:rPr>
        <w:t>获取</w:t>
      </w:r>
      <w:r>
        <w:rPr>
          <w:rFonts w:hint="eastAsia" w:ascii="宋体" w:hAnsi="宋体"/>
          <w:b/>
          <w:bCs/>
          <w:color w:val="auto"/>
          <w:highlight w:val="none"/>
        </w:rPr>
        <w:t>。</w:t>
      </w:r>
      <w:r>
        <w:rPr>
          <w:rFonts w:hint="eastAsia" w:ascii="宋体" w:hAnsi="宋体"/>
          <w:b/>
          <w:bCs/>
          <w:color w:val="auto"/>
          <w:highlight w:val="none"/>
          <w:lang w:eastAsia="zh-CN"/>
        </w:rPr>
        <w:t>获取</w:t>
      </w:r>
      <w:r>
        <w:rPr>
          <w:rFonts w:hint="eastAsia" w:ascii="宋体" w:hAnsi="宋体"/>
          <w:b/>
          <w:color w:val="auto"/>
          <w:highlight w:val="none"/>
        </w:rPr>
        <w:t>磋商</w:t>
      </w:r>
      <w:r>
        <w:rPr>
          <w:rFonts w:hint="eastAsia" w:ascii="宋体" w:hAnsi="宋体"/>
          <w:b/>
          <w:bCs/>
          <w:color w:val="auto"/>
          <w:highlight w:val="none"/>
        </w:rPr>
        <w:t>文件时必须携带</w:t>
      </w:r>
      <w:r>
        <w:rPr>
          <w:rFonts w:hint="eastAsia" w:ascii="宋体" w:hAnsi="宋体"/>
          <w:color w:val="auto"/>
          <w:highlight w:val="none"/>
        </w:rPr>
        <w:t>：</w:t>
      </w:r>
      <w:r>
        <w:rPr>
          <w:rFonts w:hint="eastAsia" w:ascii="宋体" w:hAnsi="宋体"/>
          <w:b/>
          <w:bCs/>
          <w:color w:val="auto"/>
          <w:highlight w:val="none"/>
        </w:rPr>
        <w:t>1. 供应商为法人或者其他组织的提供加盖单位公章的介绍信原件和加盖单位公章的被介绍人身份证复印件（需注明项目名称及项目编号）；2.供应商为自然人的，只需提供本人身份证复印件。</w:t>
      </w:r>
    </w:p>
    <w:p>
      <w:pPr>
        <w:numPr>
          <w:ilvl w:val="0"/>
          <w:numId w:val="6"/>
        </w:numPr>
        <w:spacing w:line="360" w:lineRule="auto"/>
        <w:ind w:left="0" w:firstLine="482" w:firstLineChars="200"/>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6</w:t>
      </w:r>
      <w:r>
        <w:rPr>
          <w:rFonts w:hint="eastAsia" w:ascii="宋体" w:hAnsi="宋体" w:cs="宋体"/>
          <w:b/>
          <w:color w:val="auto"/>
          <w:highlight w:val="none"/>
        </w:rPr>
        <w:t>月</w:t>
      </w:r>
      <w:r>
        <w:rPr>
          <w:rFonts w:hint="eastAsia" w:ascii="宋体" w:hAnsi="宋体" w:cs="宋体"/>
          <w:b/>
          <w:color w:val="auto"/>
          <w:highlight w:val="none"/>
          <w:lang w:val="en-US" w:eastAsia="zh-CN"/>
        </w:rPr>
        <w:t>8</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numPr>
          <w:ilvl w:val="0"/>
          <w:numId w:val="6"/>
        </w:numPr>
        <w:spacing w:line="360" w:lineRule="auto"/>
        <w:ind w:left="0" w:firstLine="482" w:firstLineChars="200"/>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numPr>
          <w:ilvl w:val="0"/>
          <w:numId w:val="6"/>
        </w:numPr>
        <w:spacing w:line="360" w:lineRule="auto"/>
        <w:ind w:left="0" w:firstLine="482" w:firstLineChars="200"/>
        <w:rPr>
          <w:rFonts w:ascii="宋体" w:hAnsi="宋体"/>
          <w:b/>
          <w:color w:val="auto"/>
          <w:highlight w:val="none"/>
        </w:rPr>
      </w:pPr>
      <w:r>
        <w:rPr>
          <w:rFonts w:hint="eastAsia" w:ascii="宋体" w:hAnsi="宋体"/>
          <w:b/>
          <w:color w:val="auto"/>
          <w:highlight w:val="none"/>
        </w:rPr>
        <w:t>联系人及联系电话</w:t>
      </w:r>
    </w:p>
    <w:p>
      <w:pPr>
        <w:pStyle w:val="168"/>
        <w:ind w:firstLine="492"/>
        <w:rPr>
          <w:rFonts w:hint="eastAsia" w:ascii="宋体" w:hAnsi="宋体" w:cs="宋体"/>
          <w:bCs/>
          <w:color w:val="auto"/>
          <w:kern w:val="0"/>
          <w:sz w:val="24"/>
          <w:szCs w:val="24"/>
          <w:highlight w:val="none"/>
          <w:lang w:val="en-US" w:eastAsia="zh-CN" w:bidi="ar-SA"/>
        </w:rPr>
      </w:pPr>
      <w:bookmarkStart w:id="4" w:name="_Toc391885334"/>
      <w:bookmarkStart w:id="5" w:name="_Toc381263230"/>
      <w:bookmarkStart w:id="6" w:name="_Toc287623638"/>
      <w:r>
        <w:rPr>
          <w:rFonts w:hint="eastAsia" w:ascii="宋体" w:hAnsi="宋体" w:cs="宋体"/>
          <w:bCs/>
          <w:color w:val="auto"/>
          <w:kern w:val="0"/>
          <w:sz w:val="24"/>
          <w:szCs w:val="24"/>
          <w:highlight w:val="none"/>
          <w:lang w:val="en-US" w:eastAsia="zh-CN" w:bidi="ar-SA"/>
        </w:rPr>
        <w:t>采购人：成都市龙泉驿区文化体育和旅游局</w:t>
      </w:r>
    </w:p>
    <w:p>
      <w:pPr>
        <w:pStyle w:val="168"/>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地  址：成都市龙泉驿区文明东街11号</w:t>
      </w:r>
    </w:p>
    <w:p>
      <w:pPr>
        <w:pStyle w:val="168"/>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联系人：张老师</w:t>
      </w:r>
    </w:p>
    <w:p>
      <w:pPr>
        <w:pStyle w:val="168"/>
        <w:keepNext w:val="0"/>
        <w:keepLines w:val="0"/>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outlineLvl w:val="9"/>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联系电话：</w:t>
      </w:r>
      <w:r>
        <w:rPr>
          <w:rFonts w:hint="eastAsia" w:ascii="宋体" w:hAnsi="宋体" w:eastAsia="宋体" w:cs="宋体"/>
          <w:color w:val="auto"/>
          <w:kern w:val="0"/>
          <w:sz w:val="24"/>
          <w:szCs w:val="24"/>
          <w:highlight w:val="none"/>
          <w:lang w:val="zh-CN" w:eastAsia="zh-CN" w:bidi="ar-SA"/>
        </w:rPr>
        <w:t>028-84845114</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ind w:firstLine="480" w:firstLineChars="200"/>
        <w:jc w:val="left"/>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联 系 人：高老师</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ind w:firstLine="480" w:firstLineChars="200"/>
        <w:jc w:val="left"/>
        <w:rPr>
          <w:rFonts w:hAnsi="宋体" w:cs="宋体"/>
          <w:bCs/>
          <w:color w:val="auto"/>
          <w:sz w:val="24"/>
          <w:highlight w:val="none"/>
        </w:rPr>
      </w:pPr>
      <w:r>
        <w:rPr>
          <w:rFonts w:hint="eastAsia" w:hAnsi="宋体" w:cs="宋体"/>
          <w:bCs/>
          <w:color w:val="auto"/>
          <w:sz w:val="24"/>
          <w:highlight w:val="none"/>
        </w:rPr>
        <w:t>传 真：028-61032618</w:t>
      </w: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168"/>
        <w:adjustRightInd w:val="0"/>
        <w:snapToGrid w:val="0"/>
        <w:spacing w:line="500" w:lineRule="exact"/>
        <w:ind w:firstLine="560"/>
        <w:jc w:val="left"/>
        <w:rPr>
          <w:rFonts w:ascii="宋体" w:hAnsi="宋体" w:cs="宋体"/>
          <w:color w:val="auto"/>
          <w:kern w:val="0"/>
          <w:sz w:val="28"/>
          <w:szCs w:val="28"/>
          <w:highlight w:val="none"/>
        </w:rPr>
      </w:pPr>
    </w:p>
    <w:p>
      <w:pPr>
        <w:pStyle w:val="3"/>
        <w:rPr>
          <w:color w:val="auto"/>
          <w:highlight w:val="none"/>
        </w:rPr>
      </w:pPr>
      <w:bookmarkStart w:id="7" w:name="_Toc16220"/>
      <w:r>
        <w:rPr>
          <w:rFonts w:hint="eastAsia"/>
          <w:color w:val="auto"/>
          <w:highlight w:val="none"/>
        </w:rPr>
        <w:t>磋商供应商须知</w:t>
      </w:r>
      <w:bookmarkEnd w:id="4"/>
      <w:bookmarkEnd w:id="7"/>
    </w:p>
    <w:p>
      <w:pPr>
        <w:pStyle w:val="4"/>
        <w:rPr>
          <w:color w:val="auto"/>
          <w:highlight w:val="none"/>
        </w:rPr>
      </w:pPr>
      <w:bookmarkStart w:id="8" w:name="_Toc27728"/>
      <w:r>
        <w:rPr>
          <w:rFonts w:hint="eastAsia"/>
          <w:color w:val="auto"/>
          <w:highlight w:val="none"/>
        </w:rPr>
        <w:t>磋商供应商须知附表</w:t>
      </w:r>
      <w:bookmarkEnd w:id="8"/>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50万元</w:t>
            </w:r>
            <w:r>
              <w:rPr>
                <w:rFonts w:hint="eastAsia" w:ascii="宋体" w:hAnsi="宋体" w:eastAsia="宋体" w:cs="宋体"/>
                <w:color w:val="auto"/>
                <w:sz w:val="24"/>
                <w:highlight w:val="none"/>
                <w:lang w:val="en-US" w:eastAsia="zh-CN"/>
              </w:rPr>
              <w:t>（其中包件1：</w:t>
            </w:r>
            <w:r>
              <w:rPr>
                <w:rFonts w:hint="eastAsia" w:ascii="宋体" w:hAnsi="宋体" w:eastAsia="宋体" w:cs="宋体"/>
                <w:color w:val="auto"/>
                <w:sz w:val="24"/>
                <w:highlight w:val="none"/>
              </w:rPr>
              <w:t>12.4</w:t>
            </w:r>
            <w:r>
              <w:rPr>
                <w:rFonts w:hint="eastAsia" w:ascii="宋体" w:hAnsi="宋体" w:eastAsia="宋体" w:cs="宋体"/>
                <w:color w:val="auto"/>
                <w:sz w:val="24"/>
                <w:highlight w:val="none"/>
                <w:lang w:val="en-US" w:eastAsia="zh-CN"/>
              </w:rPr>
              <w:t>万元；包件2：</w:t>
            </w:r>
            <w:r>
              <w:rPr>
                <w:rFonts w:hint="eastAsia" w:ascii="宋体" w:hAnsi="宋体" w:eastAsia="宋体" w:cs="宋体"/>
                <w:color w:val="auto"/>
                <w:sz w:val="24"/>
                <w:highlight w:val="none"/>
              </w:rPr>
              <w:t>25.6</w:t>
            </w:r>
            <w:r>
              <w:rPr>
                <w:rFonts w:hint="eastAsia" w:ascii="宋体" w:hAnsi="宋体" w:eastAsia="宋体" w:cs="宋体"/>
                <w:color w:val="auto"/>
                <w:sz w:val="24"/>
                <w:highlight w:val="none"/>
                <w:lang w:val="en-US" w:eastAsia="zh-CN"/>
              </w:rPr>
              <w:t>万元；包件3：12万元）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22"/>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2"/>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经【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2"/>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82"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tcPr>
          <w:p>
            <w:pPr>
              <w:pStyle w:val="122"/>
              <w:spacing w:line="380" w:lineRule="exact"/>
              <w:jc w:val="center"/>
              <w:rPr>
                <w:color w:val="auto"/>
                <w:kern w:val="2"/>
                <w:highlight w:val="none"/>
              </w:rPr>
            </w:pPr>
          </w:p>
          <w:p>
            <w:pPr>
              <w:pStyle w:val="122"/>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2"/>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ind w:left="120" w:leftChars="50"/>
              <w:rPr>
                <w:color w:val="auto"/>
                <w:highlight w:val="none"/>
              </w:rPr>
            </w:pPr>
            <w:r>
              <w:rPr>
                <w:rFonts w:hint="eastAsia"/>
                <w:color w:val="auto"/>
                <w:highlight w:val="none"/>
              </w:rPr>
              <w:t>（1）资格性响应文件正本1份，副本2份；</w:t>
            </w:r>
          </w:p>
          <w:p>
            <w:pPr>
              <w:spacing w:line="360" w:lineRule="exact"/>
              <w:ind w:left="120" w:leftChars="50"/>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hAnsi="宋体" w:cs="宋体"/>
                <w:color w:val="auto"/>
                <w:highlight w:val="none"/>
                <w:lang w:val="en-US" w:eastAsia="zh-CN"/>
              </w:rPr>
              <w:t>各包</w:t>
            </w:r>
            <w:r>
              <w:rPr>
                <w:rFonts w:hint="eastAsia" w:hAnsi="宋体" w:cs="宋体"/>
                <w:color w:val="auto"/>
                <w:highlight w:val="none"/>
                <w:lang w:val="zh-CN"/>
              </w:rPr>
              <w:t>代理服务费参照国家计委《招标代理服务收费管理暂行办法》（计价格[2002]1980号）标准收取，</w:t>
            </w:r>
            <w:r>
              <w:rPr>
                <w:rFonts w:hint="eastAsia" w:ascii="宋体" w:hAnsi="宋体" w:cs="宋体"/>
                <w:color w:val="auto"/>
                <w:highlight w:val="none"/>
                <w:lang w:val="zh-CN"/>
              </w:rPr>
              <w:t>由</w:t>
            </w:r>
            <w:r>
              <w:rPr>
                <w:rFonts w:hint="eastAsia" w:ascii="宋体" w:hAnsi="宋体" w:cs="宋体"/>
                <w:color w:val="auto"/>
                <w:highlight w:val="none"/>
                <w:lang w:val="en-US" w:eastAsia="zh-CN"/>
              </w:rPr>
              <w:t>各包</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510112202100042</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sz w:val="24"/>
          <w:szCs w:val="24"/>
          <w:highlight w:val="none"/>
        </w:rPr>
      </w:pPr>
      <w:bookmarkStart w:id="9" w:name="_Toc15216"/>
      <w:r>
        <w:rPr>
          <w:rFonts w:hint="eastAsia"/>
          <w:color w:val="auto"/>
          <w:sz w:val="24"/>
          <w:szCs w:val="24"/>
          <w:highlight w:val="none"/>
        </w:rPr>
        <w:t>适用范围</w:t>
      </w:r>
      <w:bookmarkEnd w:id="5"/>
      <w:bookmarkEnd w:id="6"/>
      <w:bookmarkEnd w:id="9"/>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10" w:name="_Toc13385"/>
      <w:bookmarkStart w:id="11" w:name="_Toc287623639"/>
      <w:r>
        <w:rPr>
          <w:rFonts w:hint="eastAsia"/>
          <w:color w:val="auto"/>
          <w:sz w:val="24"/>
          <w:szCs w:val="24"/>
          <w:highlight w:val="none"/>
        </w:rPr>
        <w:t>定义</w:t>
      </w:r>
      <w:bookmarkEnd w:id="10"/>
      <w:bookmarkEnd w:id="11"/>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成都市龙泉驿区文化体育和旅游局</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w:t>
      </w:r>
      <w:r>
        <w:rPr>
          <w:rFonts w:hint="eastAsia" w:ascii="宋体" w:hAnsi="宋体" w:cs="宋体"/>
          <w:color w:val="auto"/>
          <w:highlight w:val="none"/>
          <w:lang w:eastAsia="zh-CN"/>
        </w:rPr>
        <w:t>获取</w:t>
      </w:r>
      <w:r>
        <w:rPr>
          <w:rFonts w:hint="eastAsia" w:ascii="宋体" w:hAnsi="宋体" w:cs="宋体"/>
          <w:color w:val="auto"/>
          <w:highlight w:val="none"/>
        </w:rPr>
        <w:t>了竞争性磋商文件拟参加磋商和向采购人提供货物及相应服务的供应商，“乙方”系指成交的供应商。</w:t>
      </w:r>
    </w:p>
    <w:p>
      <w:pPr>
        <w:pStyle w:val="4"/>
        <w:rPr>
          <w:color w:val="auto"/>
          <w:sz w:val="24"/>
          <w:szCs w:val="24"/>
          <w:highlight w:val="none"/>
        </w:rPr>
      </w:pPr>
      <w:bookmarkStart w:id="12" w:name="_Toc7805"/>
      <w:r>
        <w:rPr>
          <w:rFonts w:hint="eastAsia"/>
          <w:color w:val="auto"/>
          <w:sz w:val="24"/>
          <w:szCs w:val="24"/>
          <w:highlight w:val="none"/>
        </w:rPr>
        <w:t>合格供应商的条件（实质性要求）</w:t>
      </w:r>
      <w:bookmarkEnd w:id="12"/>
    </w:p>
    <w:p>
      <w:pPr>
        <w:numPr>
          <w:ilvl w:val="0"/>
          <w:numId w:val="13"/>
        </w:numPr>
        <w:spacing w:line="360" w:lineRule="auto"/>
        <w:ind w:firstLine="480" w:firstLineChars="200"/>
        <w:rPr>
          <w:rFonts w:ascii="宋体" w:hAnsi="宋体" w:cs="宋体"/>
          <w:color w:val="auto"/>
          <w:sz w:val="24"/>
          <w:szCs w:val="24"/>
          <w:highlight w:val="none"/>
        </w:rPr>
      </w:pPr>
      <w:bookmarkStart w:id="13" w:name="_Toc320698717"/>
      <w:r>
        <w:rPr>
          <w:rFonts w:hint="eastAsia" w:ascii="宋体" w:hAnsi="宋体" w:cs="宋体"/>
          <w:color w:val="auto"/>
          <w:sz w:val="24"/>
          <w:szCs w:val="24"/>
          <w:highlight w:val="none"/>
        </w:rPr>
        <w:t>本竞争性磋商文件规定的供应商资格条件；</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了竞争性磋商文件并登记备案；（由代理机构向磋商小组提供供应商</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磋商文件情况表）</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14" w:name="_Toc2901"/>
      <w:r>
        <w:rPr>
          <w:rFonts w:hint="eastAsia"/>
          <w:color w:val="auto"/>
          <w:sz w:val="24"/>
          <w:szCs w:val="24"/>
          <w:highlight w:val="none"/>
        </w:rPr>
        <w:t>拒绝参加本次采购活动的供应商</w:t>
      </w:r>
      <w:bookmarkEnd w:id="1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3"/>
    <w:p>
      <w:pPr>
        <w:pStyle w:val="4"/>
        <w:rPr>
          <w:color w:val="auto"/>
          <w:highlight w:val="none"/>
        </w:rPr>
      </w:pPr>
      <w:bookmarkStart w:id="15" w:name="_Toc1377"/>
      <w:bookmarkStart w:id="16" w:name="_Toc287623640"/>
      <w:r>
        <w:rPr>
          <w:rFonts w:hint="eastAsia"/>
          <w:color w:val="auto"/>
          <w:highlight w:val="none"/>
        </w:rPr>
        <w:t>充分、公平竞争保障措施（实质性要求）</w:t>
      </w:r>
      <w:bookmarkEnd w:id="15"/>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4"/>
        <w:rPr>
          <w:color w:val="auto"/>
          <w:highlight w:val="none"/>
        </w:rPr>
      </w:pPr>
      <w:bookmarkStart w:id="17" w:name="_Toc19634"/>
      <w:r>
        <w:rPr>
          <w:rFonts w:hint="eastAsia"/>
          <w:color w:val="auto"/>
          <w:highlight w:val="none"/>
        </w:rPr>
        <w:t>竞争性磋商采购费用</w:t>
      </w:r>
      <w:bookmarkEnd w:id="16"/>
      <w:bookmarkEnd w:id="17"/>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18" w:name="_Toc320698720"/>
      <w:bookmarkStart w:id="19" w:name="_Toc12500"/>
      <w:r>
        <w:rPr>
          <w:rFonts w:hint="eastAsia"/>
          <w:color w:val="auto"/>
          <w:highlight w:val="none"/>
        </w:rPr>
        <w:t>响应文件</w:t>
      </w:r>
      <w:bookmarkEnd w:id="18"/>
      <w:bookmarkEnd w:id="19"/>
    </w:p>
    <w:p>
      <w:pPr>
        <w:pStyle w:val="5"/>
        <w:ind w:firstLine="482"/>
        <w:rPr>
          <w:rFonts w:cs="宋体"/>
          <w:color w:val="auto"/>
          <w:szCs w:val="24"/>
          <w:highlight w:val="none"/>
        </w:rPr>
      </w:pPr>
      <w:bookmarkStart w:id="20" w:name="_Toc320698721"/>
      <w:r>
        <w:rPr>
          <w:rFonts w:hint="eastAsia" w:cs="宋体"/>
          <w:color w:val="auto"/>
          <w:szCs w:val="24"/>
          <w:highlight w:val="none"/>
        </w:rPr>
        <w:t>响应文件的语言</w:t>
      </w:r>
      <w:bookmarkEnd w:id="20"/>
      <w:r>
        <w:rPr>
          <w:rFonts w:hint="eastAsia" w:cs="宋体"/>
          <w:color w:val="auto"/>
          <w:szCs w:val="24"/>
          <w:highlight w:val="none"/>
        </w:rPr>
        <w:t>、计量单位</w:t>
      </w:r>
      <w:r>
        <w:rPr>
          <w:rFonts w:hint="eastAsia"/>
          <w:color w:val="auto"/>
          <w:highlight w:val="none"/>
        </w:rPr>
        <w:t>（实质性要求）</w:t>
      </w:r>
    </w:p>
    <w:p>
      <w:pPr>
        <w:widowControl w:val="0"/>
        <w:numPr>
          <w:ilvl w:val="0"/>
          <w:numId w:val="1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firstLine="482"/>
        <w:rPr>
          <w:rFonts w:cs="宋体"/>
          <w:color w:val="auto"/>
          <w:szCs w:val="24"/>
          <w:highlight w:val="none"/>
        </w:rPr>
      </w:pPr>
      <w:bookmarkStart w:id="21" w:name="_Toc320698722"/>
      <w:r>
        <w:rPr>
          <w:rFonts w:hint="eastAsia" w:cs="宋体"/>
          <w:color w:val="auto"/>
          <w:szCs w:val="24"/>
          <w:highlight w:val="none"/>
        </w:rPr>
        <w:t>报价货币</w:t>
      </w:r>
      <w:bookmarkEnd w:id="21"/>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22"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firstLine="482"/>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firstLine="482"/>
        <w:rPr>
          <w:rFonts w:cs="宋体"/>
          <w:color w:val="auto"/>
          <w:szCs w:val="24"/>
          <w:highlight w:val="none"/>
        </w:rPr>
      </w:pPr>
      <w:r>
        <w:rPr>
          <w:rFonts w:hint="eastAsia" w:cs="宋体"/>
          <w:color w:val="auto"/>
          <w:szCs w:val="24"/>
          <w:highlight w:val="none"/>
        </w:rPr>
        <w:t>联合体</w:t>
      </w:r>
      <w:bookmarkEnd w:id="22"/>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firstLine="482"/>
        <w:rPr>
          <w:rFonts w:cs="宋体"/>
          <w:color w:val="auto"/>
          <w:szCs w:val="24"/>
          <w:highlight w:val="none"/>
        </w:rPr>
      </w:pPr>
      <w:bookmarkStart w:id="23" w:name="_Toc320698724"/>
      <w:r>
        <w:rPr>
          <w:rFonts w:hint="eastAsia" w:cs="宋体"/>
          <w:color w:val="auto"/>
          <w:szCs w:val="24"/>
          <w:highlight w:val="none"/>
        </w:rPr>
        <w:t>响应文件的组成</w:t>
      </w:r>
      <w:bookmarkEnd w:id="23"/>
      <w:bookmarkStart w:id="24"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24"/>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8"/>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25" w:name="_Toc320698726"/>
      <w:r>
        <w:rPr>
          <w:rFonts w:hint="eastAsia" w:cs="宋体"/>
          <w:color w:val="auto"/>
          <w:szCs w:val="24"/>
          <w:highlight w:val="none"/>
        </w:rPr>
        <w:t>技术、服务性响应文件</w:t>
      </w:r>
      <w:bookmarkEnd w:id="25"/>
    </w:p>
    <w:p>
      <w:pPr>
        <w:pStyle w:val="2"/>
        <w:numPr>
          <w:ilvl w:val="0"/>
          <w:numId w:val="18"/>
        </w:numPr>
        <w:tabs>
          <w:tab w:val="left" w:pos="1134"/>
        </w:tabs>
        <w:spacing w:after="0" w:line="360" w:lineRule="auto"/>
        <w:ind w:firstLine="480" w:firstLineChars="200"/>
        <w:rPr>
          <w:rFonts w:ascii="宋体" w:hAnsi="宋体" w:cs="宋体"/>
          <w:bCs/>
          <w:color w:val="auto"/>
          <w:highlight w:val="none"/>
        </w:rPr>
      </w:pPr>
      <w:bookmarkStart w:id="26"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olor w:val="auto"/>
          <w:highlight w:val="none"/>
        </w:rPr>
        <w:t>服务</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服务方案；</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分项报价明细表；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2015】124号文要求的除外)的供应商在规定时间内提交最后报价，最后报价是供应商响应文件的有效组成部分。</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6"/>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6"/>
        <w:numPr>
          <w:ilvl w:val="0"/>
          <w:numId w:val="21"/>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6"/>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6"/>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2"/>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26"/>
    <w:p>
      <w:pPr>
        <w:pStyle w:val="5"/>
        <w:ind w:firstLine="482"/>
        <w:rPr>
          <w:rFonts w:cs="宋体"/>
          <w:color w:val="auto"/>
          <w:szCs w:val="24"/>
          <w:highlight w:val="none"/>
        </w:rPr>
      </w:pPr>
      <w:bookmarkStart w:id="27" w:name="_Toc320698728"/>
      <w:r>
        <w:rPr>
          <w:rFonts w:hint="eastAsia" w:cs="宋体"/>
          <w:color w:val="auto"/>
          <w:szCs w:val="24"/>
          <w:highlight w:val="none"/>
        </w:rPr>
        <w:t>响应文件有效期</w:t>
      </w:r>
      <w:bookmarkEnd w:id="27"/>
      <w:r>
        <w:rPr>
          <w:rFonts w:hint="eastAsia" w:cs="宋体"/>
          <w:color w:val="auto"/>
          <w:szCs w:val="24"/>
          <w:highlight w:val="none"/>
        </w:rPr>
        <w:t>（实质性要求）</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特殊情况下，采购人可于磋商有效期满之前要求磋商供应商同意延长有效期，要求与答复均应为书面形式。磋商供应商可以拒绝上述要求，其磋商保证金</w:t>
      </w:r>
      <w:r>
        <w:rPr>
          <w:rFonts w:hint="eastAsia" w:ascii="宋体" w:hAnsi="宋体" w:cs="宋体"/>
          <w:color w:val="auto"/>
          <w:spacing w:val="8"/>
          <w:highlight w:val="none"/>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firstLine="482"/>
        <w:rPr>
          <w:rFonts w:cs="宋体"/>
          <w:color w:val="auto"/>
          <w:szCs w:val="24"/>
          <w:highlight w:val="none"/>
        </w:rPr>
      </w:pPr>
      <w:bookmarkStart w:id="28" w:name="_Toc320698729"/>
      <w:r>
        <w:rPr>
          <w:rFonts w:hint="eastAsia" w:cs="宋体"/>
          <w:color w:val="auto"/>
          <w:szCs w:val="24"/>
          <w:highlight w:val="none"/>
        </w:rPr>
        <w:t>响应文件编制、签署</w:t>
      </w:r>
      <w:bookmarkEnd w:id="28"/>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firstLine="482"/>
        <w:rPr>
          <w:rFonts w:cs="宋体"/>
          <w:color w:val="auto"/>
          <w:szCs w:val="24"/>
          <w:highlight w:val="none"/>
        </w:rPr>
      </w:pPr>
      <w:bookmarkStart w:id="29" w:name="_Toc320698730"/>
      <w:r>
        <w:rPr>
          <w:rFonts w:hint="eastAsia" w:cs="宋体"/>
          <w:color w:val="auto"/>
          <w:szCs w:val="24"/>
          <w:highlight w:val="none"/>
        </w:rPr>
        <w:t>响应文件的包装、密封和标注</w:t>
      </w:r>
      <w:bookmarkEnd w:id="29"/>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firstLine="482"/>
        <w:rPr>
          <w:rFonts w:cs="宋体"/>
          <w:color w:val="auto"/>
          <w:szCs w:val="24"/>
          <w:highlight w:val="none"/>
        </w:rPr>
      </w:pPr>
      <w:bookmarkStart w:id="30" w:name="_Toc320698731"/>
      <w:r>
        <w:rPr>
          <w:rFonts w:hint="eastAsia" w:cs="宋体"/>
          <w:color w:val="auto"/>
          <w:szCs w:val="24"/>
          <w:highlight w:val="none"/>
        </w:rPr>
        <w:t>响应文件的递交</w:t>
      </w:r>
      <w:bookmarkEnd w:id="30"/>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firstLine="482"/>
        <w:rPr>
          <w:rFonts w:cs="宋体"/>
          <w:color w:val="auto"/>
          <w:szCs w:val="24"/>
          <w:highlight w:val="none"/>
        </w:rPr>
      </w:pPr>
      <w:bookmarkStart w:id="31" w:name="_Toc446487098"/>
      <w:r>
        <w:rPr>
          <w:rFonts w:hint="eastAsia" w:cs="宋体"/>
          <w:color w:val="auto"/>
          <w:szCs w:val="24"/>
          <w:highlight w:val="none"/>
        </w:rPr>
        <w:t>响应文件的补充、修改和撤回</w:t>
      </w:r>
      <w:bookmarkEnd w:id="31"/>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32" w:name="_Toc287623645"/>
      <w:bookmarkStart w:id="33" w:name="_Toc1760"/>
      <w:r>
        <w:rPr>
          <w:rFonts w:hint="eastAsia"/>
          <w:color w:val="auto"/>
          <w:highlight w:val="none"/>
        </w:rPr>
        <w:t>竞争性磋商程序</w:t>
      </w:r>
      <w:bookmarkEnd w:id="32"/>
      <w:bookmarkEnd w:id="33"/>
    </w:p>
    <w:p>
      <w:pPr>
        <w:pStyle w:val="5"/>
        <w:ind w:firstLine="482"/>
        <w:rPr>
          <w:rFonts w:cs="宋体"/>
          <w:color w:val="auto"/>
          <w:szCs w:val="24"/>
          <w:highlight w:val="none"/>
        </w:rPr>
      </w:pPr>
      <w:bookmarkStart w:id="34" w:name="_Toc320698735"/>
      <w:r>
        <w:rPr>
          <w:rFonts w:hint="eastAsia" w:cs="宋体"/>
          <w:color w:val="auto"/>
          <w:szCs w:val="24"/>
          <w:highlight w:val="none"/>
        </w:rPr>
        <w:t>供应商报名</w:t>
      </w:r>
      <w:bookmarkEnd w:id="3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各包</w:t>
      </w:r>
      <w:r>
        <w:rPr>
          <w:rFonts w:hint="eastAsia" w:ascii="宋体" w:hAnsi="宋体" w:cs="宋体"/>
          <w:color w:val="auto"/>
          <w:highlight w:val="none"/>
        </w:rPr>
        <w:t>参加报名的供应商不足三家的，本次竞争性磋商采购活动终止，并发布终止竞争性磋商公告。</w:t>
      </w:r>
    </w:p>
    <w:p>
      <w:pPr>
        <w:pStyle w:val="5"/>
        <w:ind w:firstLine="482"/>
        <w:rPr>
          <w:rFonts w:cs="宋体"/>
          <w:color w:val="auto"/>
          <w:szCs w:val="24"/>
          <w:highlight w:val="none"/>
        </w:rPr>
      </w:pPr>
      <w:bookmarkStart w:id="35" w:name="_Toc320698736"/>
      <w:r>
        <w:rPr>
          <w:rFonts w:hint="eastAsia" w:cs="宋体"/>
          <w:color w:val="auto"/>
          <w:szCs w:val="24"/>
          <w:highlight w:val="none"/>
        </w:rPr>
        <w:t>接收响应文件</w:t>
      </w:r>
      <w:bookmarkEnd w:id="3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各包</w:t>
      </w: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firstLine="482"/>
        <w:rPr>
          <w:rFonts w:cs="宋体"/>
          <w:color w:val="auto"/>
          <w:szCs w:val="24"/>
          <w:highlight w:val="none"/>
        </w:rPr>
      </w:pPr>
      <w:bookmarkStart w:id="36" w:name="_Toc287623646"/>
      <w:r>
        <w:rPr>
          <w:rFonts w:hint="eastAsia" w:cs="宋体"/>
          <w:color w:val="auto"/>
          <w:szCs w:val="24"/>
          <w:highlight w:val="none"/>
        </w:rPr>
        <w:t>开标</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firstLine="482"/>
        <w:rPr>
          <w:rFonts w:cs="宋体"/>
          <w:color w:val="auto"/>
          <w:szCs w:val="24"/>
          <w:highlight w:val="none"/>
        </w:rPr>
      </w:pPr>
      <w:r>
        <w:rPr>
          <w:rFonts w:hint="eastAsia" w:cs="宋体"/>
          <w:color w:val="auto"/>
          <w:szCs w:val="24"/>
          <w:highlight w:val="none"/>
        </w:rPr>
        <w:t>成立磋商小组</w:t>
      </w:r>
      <w:bookmarkEnd w:id="36"/>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firstLine="482"/>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lang w:val="en-US" w:eastAsia="zh-CN"/>
        </w:rPr>
        <w:t>各包</w:t>
      </w: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ascii="宋体" w:hAnsi="宋体" w:cs="宋体"/>
                <w:bCs/>
                <w:color w:val="auto"/>
                <w:highlight w:val="none"/>
              </w:rPr>
            </w:pPr>
            <w:r>
              <w:rPr>
                <w:rFonts w:hint="eastAsia" w:ascii="宋体" w:hAnsi="宋体"/>
                <w:color w:val="auto"/>
                <w:highlight w:val="none"/>
              </w:rPr>
              <w:t>（一）资格要求</w:t>
            </w:r>
            <w:r>
              <w:rPr>
                <w:rFonts w:hint="eastAsia" w:ascii="宋体" w:hAnsi="宋体" w:cs="宋体"/>
                <w:color w:val="auto"/>
                <w:highlight w:val="none"/>
              </w:rPr>
              <w:t>　</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法定代表人身份证明书原件（自然人参加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的不须提供身份证明书）及身份证复印件或护照复印件【注：（1）法定代表人身份证明书符合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法定代表人授权书原件及身份证复印件【注：（1）代理人身份证复印件（身份证两面均应复印，在有效期内）；（2）如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文件均由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法定代表人签字的或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12、本项目专门面向中小企业采购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rPr>
                <w:rFonts w:ascii="宋体" w:hAnsi="宋体" w:cs="宋体"/>
                <w:color w:val="auto"/>
                <w:highlight w:val="none"/>
              </w:rPr>
            </w:pPr>
            <w:r>
              <w:rPr>
                <w:rFonts w:hint="eastAsia" w:ascii="宋体" w:hAnsi="宋体" w:cs="宋体"/>
                <w:color w:val="auto"/>
                <w:highlight w:val="none"/>
              </w:rPr>
              <w:t>（二）资质要求</w:t>
            </w:r>
          </w:p>
        </w:tc>
        <w:tc>
          <w:tcPr>
            <w:tcW w:w="3915" w:type="dxa"/>
            <w:gridSpan w:val="2"/>
            <w:vAlign w:val="center"/>
          </w:tcPr>
          <w:p>
            <w:pPr>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firstLine="482"/>
        <w:rPr>
          <w:rFonts w:cs="宋体"/>
          <w:color w:val="auto"/>
          <w:szCs w:val="24"/>
          <w:highlight w:val="none"/>
        </w:rPr>
      </w:pPr>
      <w:r>
        <w:rPr>
          <w:rFonts w:hint="eastAsia" w:cs="宋体"/>
          <w:color w:val="auto"/>
          <w:szCs w:val="24"/>
          <w:highlight w:val="none"/>
        </w:rPr>
        <w:t>磋商</w:t>
      </w:r>
    </w:p>
    <w:p>
      <w:pPr>
        <w:pStyle w:val="4"/>
        <w:keepNext w:val="0"/>
        <w:keepLines w:val="0"/>
        <w:numPr>
          <w:ilvl w:val="0"/>
          <w:numId w:val="29"/>
        </w:numPr>
        <w:rPr>
          <w:b w:val="0"/>
          <w:color w:val="auto"/>
          <w:sz w:val="24"/>
          <w:szCs w:val="24"/>
          <w:highlight w:val="none"/>
        </w:rPr>
      </w:pPr>
      <w:bookmarkStart w:id="37" w:name="_Toc30664"/>
      <w:bookmarkStart w:id="38" w:name="_Toc11091"/>
      <w:bookmarkStart w:id="39" w:name="_Toc1186"/>
      <w:bookmarkStart w:id="40" w:name="_Toc24322"/>
      <w:bookmarkStart w:id="41" w:name="_Toc24086"/>
      <w:bookmarkStart w:id="42" w:name="_Toc16430"/>
      <w:bookmarkStart w:id="43" w:name="_Toc11240"/>
      <w:bookmarkStart w:id="44" w:name="_Toc6686"/>
      <w:bookmarkStart w:id="45" w:name="_Toc12948"/>
      <w:bookmarkStart w:id="46" w:name="_Toc21637"/>
      <w:bookmarkStart w:id="47" w:name="_Toc26653"/>
      <w:bookmarkStart w:id="48" w:name="_Toc5957"/>
      <w:bookmarkStart w:id="49" w:name="_Toc7480"/>
      <w:bookmarkStart w:id="50" w:name="_Toc8445"/>
      <w:bookmarkStart w:id="51" w:name="_Toc28704"/>
      <w:bookmarkStart w:id="52" w:name="_Toc9096"/>
      <w:bookmarkStart w:id="53" w:name="_Toc177"/>
      <w:bookmarkStart w:id="54" w:name="_Toc13463"/>
      <w:bookmarkStart w:id="55" w:name="_Toc43566521"/>
      <w:bookmarkStart w:id="56" w:name="_Toc20686"/>
      <w:bookmarkStart w:id="57" w:name="_Toc1823"/>
      <w:bookmarkStart w:id="58" w:name="_Toc23949"/>
      <w:bookmarkStart w:id="59" w:name="_Toc18863"/>
      <w:bookmarkStart w:id="60" w:name="_Toc12921"/>
      <w:bookmarkStart w:id="61" w:name="_Toc19824"/>
      <w:bookmarkStart w:id="62" w:name="_Toc30871"/>
      <w:bookmarkStart w:id="63" w:name="_Toc28211"/>
      <w:bookmarkStart w:id="64" w:name="_Toc25820"/>
      <w:bookmarkStart w:id="65" w:name="_Toc28961"/>
      <w:bookmarkStart w:id="66" w:name="_Toc23472"/>
      <w:bookmarkStart w:id="67" w:name="_Toc5653"/>
      <w:bookmarkStart w:id="68" w:name="_Toc18778"/>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4"/>
        <w:keepNext w:val="0"/>
        <w:keepLines w:val="0"/>
        <w:numPr>
          <w:ilvl w:val="0"/>
          <w:numId w:val="29"/>
        </w:numPr>
        <w:rPr>
          <w:b w:val="0"/>
          <w:color w:val="auto"/>
          <w:sz w:val="24"/>
          <w:szCs w:val="24"/>
          <w:highlight w:val="none"/>
        </w:rPr>
      </w:pPr>
      <w:bookmarkStart w:id="69" w:name="_Toc29643"/>
      <w:bookmarkStart w:id="70" w:name="_Toc19239"/>
      <w:bookmarkStart w:id="71" w:name="_Toc10664"/>
      <w:bookmarkStart w:id="72" w:name="_Toc8363"/>
      <w:bookmarkStart w:id="73" w:name="_Toc17010"/>
      <w:bookmarkStart w:id="74" w:name="_Toc43566522"/>
      <w:bookmarkStart w:id="75" w:name="_Toc22424"/>
      <w:bookmarkStart w:id="76" w:name="_Toc3073"/>
      <w:bookmarkStart w:id="77" w:name="_Toc4644"/>
      <w:bookmarkStart w:id="78" w:name="_Toc99"/>
      <w:bookmarkStart w:id="79" w:name="_Toc7651"/>
      <w:bookmarkStart w:id="80" w:name="_Toc5725"/>
      <w:bookmarkStart w:id="81" w:name="_Toc13670"/>
      <w:bookmarkStart w:id="82" w:name="_Toc16300"/>
      <w:bookmarkStart w:id="83" w:name="_Toc16950"/>
      <w:bookmarkStart w:id="84" w:name="_Toc19501"/>
      <w:bookmarkStart w:id="85" w:name="_Toc7100"/>
      <w:bookmarkStart w:id="86" w:name="_Toc16346"/>
      <w:bookmarkStart w:id="87" w:name="_Toc14644"/>
      <w:bookmarkStart w:id="88" w:name="_Toc28551"/>
      <w:bookmarkStart w:id="89" w:name="_Toc13414"/>
      <w:bookmarkStart w:id="90" w:name="_Toc18309"/>
      <w:bookmarkStart w:id="91" w:name="_Toc5547"/>
      <w:bookmarkStart w:id="92" w:name="_Toc20275"/>
      <w:bookmarkStart w:id="93" w:name="_Toc12027"/>
      <w:bookmarkStart w:id="94" w:name="_Toc1058"/>
      <w:bookmarkStart w:id="95" w:name="_Toc21274"/>
      <w:bookmarkStart w:id="96" w:name="_Toc5759"/>
      <w:bookmarkStart w:id="97" w:name="_Toc26144"/>
      <w:bookmarkStart w:id="98" w:name="_Toc14958"/>
      <w:bookmarkStart w:id="99" w:name="_Toc24798"/>
      <w:bookmarkStart w:id="100" w:name="_Toc28752"/>
      <w:r>
        <w:rPr>
          <w:rFonts w:hint="eastAsia"/>
          <w:b w:val="0"/>
          <w:color w:val="auto"/>
          <w:sz w:val="24"/>
          <w:szCs w:val="24"/>
          <w:highlight w:val="none"/>
        </w:rPr>
        <w:t>每轮磋商开始前，磋商小组应根据磋商文件的规定，并结合各供应商的响应文件拟定磋商内容。</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4"/>
        <w:keepNext w:val="0"/>
        <w:keepLines w:val="0"/>
        <w:numPr>
          <w:ilvl w:val="0"/>
          <w:numId w:val="29"/>
        </w:numPr>
        <w:rPr>
          <w:b w:val="0"/>
          <w:color w:val="auto"/>
          <w:sz w:val="24"/>
          <w:szCs w:val="24"/>
          <w:highlight w:val="none"/>
        </w:rPr>
      </w:pPr>
      <w:bookmarkStart w:id="101" w:name="_Toc2076"/>
      <w:bookmarkStart w:id="102" w:name="_Toc14027"/>
      <w:bookmarkStart w:id="103" w:name="_Toc9387"/>
      <w:bookmarkStart w:id="104" w:name="_Toc31379"/>
      <w:bookmarkStart w:id="105" w:name="_Toc1260"/>
      <w:bookmarkStart w:id="106" w:name="_Toc1515"/>
      <w:bookmarkStart w:id="107" w:name="_Toc7955"/>
      <w:bookmarkStart w:id="108" w:name="_Toc11261"/>
      <w:bookmarkStart w:id="109" w:name="_Toc12563"/>
      <w:bookmarkStart w:id="110" w:name="_Toc5655"/>
      <w:bookmarkStart w:id="111" w:name="_Toc1822"/>
      <w:bookmarkStart w:id="112" w:name="_Toc28031"/>
      <w:bookmarkStart w:id="113" w:name="_Toc29471"/>
      <w:bookmarkStart w:id="114" w:name="_Toc14318"/>
      <w:bookmarkStart w:id="115" w:name="_Toc3854"/>
      <w:bookmarkStart w:id="116" w:name="_Toc30727"/>
      <w:bookmarkStart w:id="117" w:name="_Toc8711"/>
      <w:bookmarkStart w:id="118" w:name="_Toc29139"/>
      <w:bookmarkStart w:id="119" w:name="_Toc3129"/>
      <w:bookmarkStart w:id="120" w:name="_Toc22981"/>
      <w:bookmarkStart w:id="121" w:name="_Toc17631"/>
      <w:bookmarkStart w:id="122" w:name="_Toc24429"/>
      <w:bookmarkStart w:id="123" w:name="_Toc22378"/>
      <w:bookmarkStart w:id="124" w:name="_Toc26003"/>
      <w:bookmarkStart w:id="125" w:name="_Toc12444"/>
      <w:bookmarkStart w:id="126" w:name="_Toc18130"/>
      <w:bookmarkStart w:id="127" w:name="_Toc12103"/>
      <w:bookmarkStart w:id="128" w:name="_Toc15259"/>
      <w:bookmarkStart w:id="129" w:name="_Toc7002"/>
      <w:bookmarkStart w:id="130" w:name="_Toc43566523"/>
      <w:bookmarkStart w:id="131" w:name="_Toc3093"/>
      <w:bookmarkStart w:id="132" w:name="_Toc32131"/>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4"/>
        <w:keepNext w:val="0"/>
        <w:keepLines w:val="0"/>
        <w:numPr>
          <w:ilvl w:val="0"/>
          <w:numId w:val="29"/>
        </w:numPr>
        <w:rPr>
          <w:b w:val="0"/>
          <w:color w:val="auto"/>
          <w:sz w:val="24"/>
          <w:szCs w:val="24"/>
          <w:highlight w:val="none"/>
        </w:rPr>
      </w:pPr>
      <w:bookmarkStart w:id="133" w:name="_Toc23880"/>
      <w:bookmarkStart w:id="134" w:name="_Toc15411"/>
      <w:bookmarkStart w:id="135" w:name="_Toc15692"/>
      <w:bookmarkStart w:id="136" w:name="_Toc20981"/>
      <w:bookmarkStart w:id="137" w:name="_Toc14179"/>
      <w:bookmarkStart w:id="138" w:name="_Toc30040"/>
      <w:bookmarkStart w:id="139" w:name="_Toc18133"/>
      <w:bookmarkStart w:id="140" w:name="_Toc15891"/>
      <w:bookmarkStart w:id="141" w:name="_Toc22086"/>
      <w:bookmarkStart w:id="142" w:name="_Toc19446"/>
      <w:bookmarkStart w:id="143" w:name="_Toc12380"/>
      <w:bookmarkStart w:id="144" w:name="_Toc30395"/>
      <w:bookmarkStart w:id="145" w:name="_Toc20339"/>
      <w:bookmarkStart w:id="146" w:name="_Toc20165"/>
      <w:bookmarkStart w:id="147" w:name="_Toc17886"/>
      <w:bookmarkStart w:id="148" w:name="_Toc25538"/>
      <w:bookmarkStart w:id="149" w:name="_Toc1947"/>
      <w:bookmarkStart w:id="150" w:name="_Toc24161"/>
      <w:bookmarkStart w:id="151" w:name="_Toc26943"/>
      <w:bookmarkStart w:id="152" w:name="_Toc43566524"/>
      <w:bookmarkStart w:id="153" w:name="_Toc5170"/>
      <w:bookmarkStart w:id="154" w:name="_Toc12026"/>
      <w:bookmarkStart w:id="155" w:name="_Toc20322"/>
      <w:bookmarkStart w:id="156" w:name="_Toc23230"/>
      <w:bookmarkStart w:id="157" w:name="_Toc4766"/>
      <w:bookmarkStart w:id="158" w:name="_Toc5480"/>
      <w:bookmarkStart w:id="159" w:name="_Toc9861"/>
      <w:bookmarkStart w:id="160" w:name="_Toc217"/>
      <w:bookmarkStart w:id="161" w:name="_Toc2802"/>
      <w:bookmarkStart w:id="162" w:name="_Toc15406"/>
      <w:bookmarkStart w:id="163" w:name="_Toc23382"/>
      <w:bookmarkStart w:id="164" w:name="_Toc14624"/>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4"/>
        <w:keepNext w:val="0"/>
        <w:keepLines w:val="0"/>
        <w:numPr>
          <w:ilvl w:val="0"/>
          <w:numId w:val="29"/>
        </w:numPr>
        <w:rPr>
          <w:b w:val="0"/>
          <w:color w:val="auto"/>
          <w:sz w:val="24"/>
          <w:szCs w:val="24"/>
          <w:highlight w:val="none"/>
        </w:rPr>
      </w:pPr>
      <w:bookmarkStart w:id="165" w:name="_Toc18549"/>
      <w:bookmarkStart w:id="166" w:name="_Toc31776"/>
      <w:bookmarkStart w:id="167" w:name="_Toc43566525"/>
      <w:bookmarkStart w:id="168" w:name="_Toc23403"/>
      <w:bookmarkStart w:id="169" w:name="_Toc18974"/>
      <w:bookmarkStart w:id="170" w:name="_Toc29632"/>
      <w:bookmarkStart w:id="171" w:name="_Toc15620"/>
      <w:bookmarkStart w:id="172" w:name="_Toc6250"/>
      <w:bookmarkStart w:id="173" w:name="_Toc16727"/>
      <w:bookmarkStart w:id="174" w:name="_Toc2784"/>
      <w:bookmarkStart w:id="175" w:name="_Toc25838"/>
      <w:bookmarkStart w:id="176" w:name="_Toc28864"/>
      <w:bookmarkStart w:id="177" w:name="_Toc7430"/>
      <w:bookmarkStart w:id="178" w:name="_Toc22337"/>
      <w:bookmarkStart w:id="179" w:name="_Toc7148"/>
      <w:bookmarkStart w:id="180" w:name="_Toc28989"/>
      <w:bookmarkStart w:id="181" w:name="_Toc7401"/>
      <w:bookmarkStart w:id="182" w:name="_Toc31030"/>
      <w:bookmarkStart w:id="183" w:name="_Toc19631"/>
      <w:bookmarkStart w:id="184" w:name="_Toc15795"/>
      <w:bookmarkStart w:id="185" w:name="_Toc17566"/>
      <w:bookmarkStart w:id="186" w:name="_Toc12219"/>
      <w:bookmarkStart w:id="187" w:name="_Toc22606"/>
      <w:bookmarkStart w:id="188" w:name="_Toc25226"/>
      <w:bookmarkStart w:id="189" w:name="_Toc5435"/>
      <w:bookmarkStart w:id="190" w:name="_Toc13764"/>
      <w:bookmarkStart w:id="191" w:name="_Toc11224"/>
      <w:bookmarkStart w:id="192" w:name="_Toc7936"/>
      <w:bookmarkStart w:id="193" w:name="_Toc26817"/>
      <w:bookmarkStart w:id="194" w:name="_Toc18506"/>
      <w:bookmarkStart w:id="195" w:name="_Toc29518"/>
      <w:bookmarkStart w:id="196" w:name="_Toc19144"/>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
        <w:keepNext w:val="0"/>
        <w:keepLines w:val="0"/>
        <w:numPr>
          <w:ilvl w:val="0"/>
          <w:numId w:val="29"/>
        </w:numPr>
        <w:rPr>
          <w:b w:val="0"/>
          <w:color w:val="auto"/>
          <w:sz w:val="24"/>
          <w:szCs w:val="24"/>
          <w:highlight w:val="none"/>
        </w:rPr>
      </w:pPr>
      <w:bookmarkStart w:id="197" w:name="_Toc18387"/>
      <w:bookmarkStart w:id="198" w:name="_Toc26127"/>
      <w:bookmarkStart w:id="199" w:name="_Toc685"/>
      <w:bookmarkStart w:id="200" w:name="_Toc6346"/>
      <w:bookmarkStart w:id="201" w:name="_Toc21676"/>
      <w:bookmarkStart w:id="202" w:name="_Toc9008"/>
      <w:bookmarkStart w:id="203" w:name="_Toc4343"/>
      <w:bookmarkStart w:id="204" w:name="_Toc23433"/>
      <w:bookmarkStart w:id="205" w:name="_Toc15180"/>
      <w:bookmarkStart w:id="206" w:name="_Toc1180"/>
      <w:bookmarkStart w:id="207" w:name="_Toc7926"/>
      <w:bookmarkStart w:id="208" w:name="_Toc14295"/>
      <w:bookmarkStart w:id="209" w:name="_Toc28606"/>
      <w:bookmarkStart w:id="210" w:name="_Toc4052"/>
      <w:bookmarkStart w:id="211" w:name="_Toc30181"/>
      <w:bookmarkStart w:id="212" w:name="_Toc4895"/>
      <w:bookmarkStart w:id="213" w:name="_Toc4947"/>
      <w:bookmarkStart w:id="214" w:name="_Toc12081"/>
      <w:bookmarkStart w:id="215" w:name="_Toc11494"/>
      <w:bookmarkStart w:id="216" w:name="_Toc10100"/>
      <w:bookmarkStart w:id="217" w:name="_Toc32216"/>
      <w:bookmarkStart w:id="218" w:name="_Toc3023"/>
      <w:bookmarkStart w:id="219" w:name="_Toc6692"/>
      <w:bookmarkStart w:id="220" w:name="_Toc5575"/>
      <w:bookmarkStart w:id="221" w:name="_Toc11758"/>
      <w:bookmarkStart w:id="222" w:name="_Toc22757"/>
      <w:bookmarkStart w:id="223" w:name="_Toc43566526"/>
      <w:bookmarkStart w:id="224" w:name="_Toc14008"/>
      <w:bookmarkStart w:id="225" w:name="_Toc7797"/>
      <w:bookmarkStart w:id="226" w:name="_Toc961"/>
      <w:bookmarkStart w:id="227" w:name="_Toc27402"/>
      <w:bookmarkStart w:id="228" w:name="_Toc13223"/>
      <w:r>
        <w:rPr>
          <w:rFonts w:hint="eastAsia"/>
          <w:b w:val="0"/>
          <w:color w:val="auto"/>
          <w:sz w:val="24"/>
          <w:szCs w:val="24"/>
          <w:highlight w:val="none"/>
        </w:rPr>
        <w:t>磋商过程中，磋商的任何一方不得透露与磋商有关的其他供应商的技术资料、价格和其他信息。</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4"/>
        <w:keepNext w:val="0"/>
        <w:keepLines w:val="0"/>
        <w:numPr>
          <w:ilvl w:val="0"/>
          <w:numId w:val="29"/>
        </w:numPr>
        <w:rPr>
          <w:b w:val="0"/>
          <w:color w:val="auto"/>
          <w:sz w:val="24"/>
          <w:szCs w:val="24"/>
          <w:highlight w:val="none"/>
        </w:rPr>
      </w:pPr>
      <w:bookmarkStart w:id="229" w:name="_Toc30367"/>
      <w:bookmarkStart w:id="230" w:name="_Toc9611"/>
      <w:bookmarkStart w:id="231" w:name="_Toc4662"/>
      <w:bookmarkStart w:id="232" w:name="_Toc20832"/>
      <w:bookmarkStart w:id="233" w:name="_Toc22105"/>
      <w:bookmarkStart w:id="234" w:name="_Toc15744"/>
      <w:bookmarkStart w:id="235" w:name="_Toc6585"/>
      <w:bookmarkStart w:id="236" w:name="_Toc26261"/>
      <w:bookmarkStart w:id="237" w:name="_Toc3944"/>
      <w:bookmarkStart w:id="238" w:name="_Toc9766"/>
      <w:bookmarkStart w:id="239" w:name="_Toc30506"/>
      <w:bookmarkStart w:id="240" w:name="_Toc23573"/>
      <w:bookmarkStart w:id="241" w:name="_Toc7697"/>
      <w:bookmarkStart w:id="242" w:name="_Toc31442"/>
      <w:bookmarkStart w:id="243" w:name="_Toc10212"/>
      <w:bookmarkStart w:id="244" w:name="_Toc19525"/>
      <w:bookmarkStart w:id="245" w:name="_Toc31972"/>
      <w:bookmarkStart w:id="246" w:name="_Toc9431"/>
      <w:bookmarkStart w:id="247" w:name="_Toc20680"/>
      <w:bookmarkStart w:id="248" w:name="_Toc43566527"/>
      <w:bookmarkStart w:id="249" w:name="_Toc30011"/>
      <w:bookmarkStart w:id="250" w:name="_Toc4331"/>
      <w:bookmarkStart w:id="251" w:name="_Toc8490"/>
      <w:bookmarkStart w:id="252" w:name="_Toc5251"/>
      <w:bookmarkStart w:id="253" w:name="_Toc4159"/>
      <w:bookmarkStart w:id="254" w:name="_Toc9842"/>
      <w:bookmarkStart w:id="255" w:name="_Toc25172"/>
      <w:bookmarkStart w:id="256" w:name="_Toc1340"/>
      <w:bookmarkStart w:id="257" w:name="_Toc18334"/>
      <w:bookmarkStart w:id="258" w:name="_Toc3164"/>
      <w:bookmarkStart w:id="259" w:name="_Toc16194"/>
      <w:bookmarkStart w:id="260" w:name="_Toc20292"/>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numPr>
          <w:ilvl w:val="0"/>
          <w:numId w:val="29"/>
        </w:numPr>
        <w:spacing w:line="360" w:lineRule="auto"/>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firstLine="482"/>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firstLine="482"/>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三、提交最后报价的供应商不足三家的(符合《财政部关于政府采购竞争性磋商采购方式管理暂行办法有关问题的补充通知》财库【2015】124号文要求的除外)；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firstLine="482"/>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keepNext w:val="0"/>
        <w:keepLines w:val="0"/>
        <w:pageBreakBefore w:val="0"/>
        <w:widowControl w:val="0"/>
        <w:numPr>
          <w:ilvl w:val="0"/>
          <w:numId w:val="30"/>
        </w:numPr>
        <w:tabs>
          <w:tab w:val="left" w:pos="1155"/>
        </w:tabs>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highlight w:val="none"/>
        </w:rPr>
      </w:pPr>
      <w:r>
        <w:rPr>
          <w:rFonts w:hint="eastAsia" w:ascii="宋体" w:hAnsi="宋体" w:cs="宋体"/>
          <w:b/>
          <w:color w:val="auto"/>
          <w:highlight w:val="none"/>
        </w:rPr>
        <w:t>评分标准</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eastAsia="宋体"/>
          <w:highlight w:val="none"/>
          <w:lang w:val="en-US" w:eastAsia="zh-CN"/>
        </w:rPr>
      </w:pPr>
      <w:r>
        <w:rPr>
          <w:rFonts w:hint="eastAsia" w:ascii="宋体" w:hAnsi="宋体" w:cs="宋体"/>
          <w:b/>
          <w:color w:val="auto"/>
          <w:highlight w:val="none"/>
          <w:lang w:val="en-US" w:eastAsia="zh-CN"/>
        </w:rPr>
        <w:t>包件1评分标准：</w:t>
      </w:r>
    </w:p>
    <w:tbl>
      <w:tblPr>
        <w:tblStyle w:val="44"/>
        <w:tblpPr w:leftFromText="180" w:rightFromText="180" w:vertAnchor="text" w:horzAnchor="page" w:tblpX="1057" w:tblpY="45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6958"/>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商务、服务要求</w:t>
            </w:r>
          </w:p>
        </w:tc>
        <w:tc>
          <w:tcPr>
            <w:tcW w:w="6958" w:type="dxa"/>
            <w:noWrap w:val="0"/>
            <w:tcMar>
              <w:top w:w="0" w:type="dxa"/>
              <w:left w:w="80" w:type="dxa"/>
              <w:bottom w:w="0" w:type="dxa"/>
              <w:right w:w="0" w:type="dxa"/>
            </w:tcMar>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供应商完全满足磋商文件要求的，得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分；其他则按以下原则计分：</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商务、服务条款响应得分=（供应商满足商务、服务要求条款的数量÷</w:t>
            </w:r>
            <w:r>
              <w:rPr>
                <w:rFonts w:hint="eastAsia" w:ascii="宋体" w:hAnsi="宋体" w:eastAsia="宋体" w:cs="宋体"/>
                <w:sz w:val="24"/>
                <w:szCs w:val="24"/>
                <w:highlight w:val="none"/>
                <w:lang w:val="en-US" w:eastAsia="zh-CN"/>
              </w:rPr>
              <w:t>磋商文件中</w:t>
            </w:r>
            <w:r>
              <w:rPr>
                <w:rFonts w:hint="eastAsia" w:ascii="宋体" w:hAnsi="宋体" w:eastAsia="宋体" w:cs="宋体"/>
                <w:sz w:val="24"/>
                <w:szCs w:val="24"/>
                <w:highlight w:val="none"/>
              </w:rPr>
              <w:t>商务、服务要求条款的总数量）×</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说明：以商务、服务条款偏离表为准。</w:t>
            </w:r>
            <w:r>
              <w:rPr>
                <w:rFonts w:hint="eastAsia" w:ascii="宋体" w:hAnsi="宋体" w:eastAsia="宋体" w:cs="宋体"/>
                <w:sz w:val="24"/>
                <w:szCs w:val="24"/>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szCs w:val="21"/>
              </w:rPr>
              <w:t>供应商</w:t>
            </w:r>
            <w:r>
              <w:rPr>
                <w:rFonts w:asciiTheme="minorEastAsia" w:hAnsiTheme="minorEastAsia" w:eastAsiaTheme="minorEastAsia"/>
                <w:szCs w:val="21"/>
              </w:rPr>
              <w:t>根据本项目实施需要提供</w:t>
            </w:r>
            <w:r>
              <w:rPr>
                <w:rFonts w:hint="eastAsia" w:asciiTheme="minorEastAsia" w:hAnsiTheme="minorEastAsia" w:eastAsiaTheme="minorEastAsia"/>
                <w:szCs w:val="21"/>
                <w:lang w:val="en-US" w:eastAsia="zh-CN"/>
              </w:rPr>
              <w:t>实施</w:t>
            </w:r>
            <w:r>
              <w:rPr>
                <w:rFonts w:hint="eastAsia" w:asciiTheme="minorEastAsia" w:hAnsiTheme="minorEastAsia" w:eastAsiaTheme="minorEastAsia"/>
                <w:szCs w:val="21"/>
              </w:rPr>
              <w:t>方案</w:t>
            </w:r>
            <w:r>
              <w:rPr>
                <w:rFonts w:asciiTheme="minorEastAsia" w:hAnsiTheme="minorEastAsia" w:eastAsiaTheme="minorEastAsia"/>
                <w:szCs w:val="21"/>
              </w:rPr>
              <w:t>，包含</w:t>
            </w:r>
            <w:r>
              <w:rPr>
                <w:rFonts w:hint="eastAsia" w:asciiTheme="minorEastAsia" w:hAnsiTheme="minorEastAsia" w:eastAsiaTheme="minorEastAsia"/>
                <w:szCs w:val="21"/>
              </w:rPr>
              <w:t>但</w:t>
            </w:r>
            <w:r>
              <w:rPr>
                <w:rFonts w:asciiTheme="minorEastAsia" w:hAnsiTheme="minorEastAsia" w:eastAsiaTheme="minorEastAsia"/>
                <w:szCs w:val="21"/>
              </w:rPr>
              <w:t>不限于</w:t>
            </w:r>
            <w:r>
              <w:rPr>
                <w:rFonts w:hint="eastAsia" w:asciiTheme="minorEastAsia" w:hAnsiTheme="minorEastAsia" w:eastAsiaTheme="minorEastAsia"/>
                <w:szCs w:val="21"/>
              </w:rPr>
              <w:t>①服务进度</w:t>
            </w:r>
            <w:r>
              <w:rPr>
                <w:rFonts w:asciiTheme="minorEastAsia" w:hAnsiTheme="minorEastAsia" w:eastAsiaTheme="minorEastAsia"/>
                <w:szCs w:val="21"/>
              </w:rPr>
              <w:t>计划；</w:t>
            </w:r>
            <w:r>
              <w:rPr>
                <w:rFonts w:hint="eastAsia" w:asciiTheme="minorEastAsia" w:hAnsiTheme="minorEastAsia" w:eastAsiaTheme="minorEastAsia"/>
                <w:szCs w:val="21"/>
              </w:rPr>
              <w:t>②每场次</w:t>
            </w:r>
            <w:r>
              <w:rPr>
                <w:rFonts w:asciiTheme="minorEastAsia" w:hAnsiTheme="minorEastAsia" w:eastAsiaTheme="minorEastAsia"/>
                <w:szCs w:val="21"/>
              </w:rPr>
              <w:t>演出或讲座内容</w:t>
            </w:r>
            <w:r>
              <w:rPr>
                <w:rFonts w:hint="eastAsia" w:asciiTheme="minorEastAsia" w:hAnsiTheme="minorEastAsia" w:eastAsiaTheme="minorEastAsia"/>
                <w:szCs w:val="21"/>
              </w:rPr>
              <w:t>初步</w:t>
            </w:r>
            <w:r>
              <w:rPr>
                <w:rFonts w:asciiTheme="minorEastAsia" w:hAnsiTheme="minorEastAsia" w:eastAsiaTheme="minorEastAsia"/>
                <w:szCs w:val="21"/>
              </w:rPr>
              <w:t>策划；</w:t>
            </w:r>
            <w:r>
              <w:rPr>
                <w:rFonts w:hint="eastAsia" w:asciiTheme="minorEastAsia" w:hAnsiTheme="minorEastAsia" w:eastAsiaTheme="minorEastAsia"/>
                <w:szCs w:val="21"/>
              </w:rPr>
              <w:t>③节目题材、创意亮点说明；④节目形式、数量、时长；⑤服务质量保障措施</w:t>
            </w:r>
            <w:r>
              <w:rPr>
                <w:rFonts w:asciiTheme="minorEastAsia" w:hAnsiTheme="minorEastAsia" w:eastAsiaTheme="minorEastAsia"/>
                <w:szCs w:val="21"/>
              </w:rPr>
              <w:t>。</w:t>
            </w:r>
            <w:r>
              <w:rPr>
                <w:rFonts w:hint="eastAsia" w:asciiTheme="minorEastAsia" w:hAnsiTheme="minorEastAsia" w:eastAsiaTheme="minorEastAsia"/>
                <w:szCs w:val="21"/>
              </w:rPr>
              <w:t>以上5项内容齐全，完全具备上述5项要点并且措施详尽、清晰、有条理，可实施性强且满足本项目需求的得25分；缺少1项或某1项不完整不合理或缺乏可操作性或不符合本项目实际情况的扣5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szCs w:val="21"/>
              </w:rPr>
              <w:t>供应商根据本项目安全保障方案，包含但不限于①演职人员的安全维护方案；②舞台安全检查方案。完全具备上述2项要点并且措施详尽、清晰、有条理，可实施性强且满足本项目需求的得6分；缺少1项或某1项不完整不合理或缺乏可操作性或不符合本项目实际情况的扣3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79" w:leftChars="33"/>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rPr>
            </w:pPr>
            <w:r>
              <w:rPr>
                <w:rFonts w:hint="eastAsia" w:asciiTheme="minorEastAsia" w:hAnsiTheme="minorEastAsia" w:eastAsiaTheme="minorEastAsia"/>
                <w:color w:val="000000"/>
                <w:szCs w:val="21"/>
              </w:rPr>
              <w:t>供应商投入本项目的人员：具备国家一级演员、二级演员、国家一级编导、二级编导、国家一级导演、二级导演等级证书或资质文件的，每有1人符合上述条件之一的得2分，最多得12分。（提供个人证书或资质复印件）</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供应商自2019年1月1日以来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每具有</w:t>
            </w:r>
            <w:r>
              <w:rPr>
                <w:rFonts w:hint="eastAsia" w:ascii="宋体" w:hAnsi="宋体" w:eastAsia="宋体" w:cs="宋体"/>
                <w:sz w:val="24"/>
                <w:szCs w:val="24"/>
                <w:highlight w:val="none"/>
                <w:lang w:val="en-US" w:eastAsia="zh-CN"/>
              </w:rPr>
              <w:t>一个</w:t>
            </w:r>
            <w:r>
              <w:rPr>
                <w:rFonts w:hint="eastAsia" w:ascii="宋体" w:hAnsi="宋体" w:eastAsia="宋体" w:cs="宋体"/>
                <w:sz w:val="24"/>
                <w:szCs w:val="24"/>
                <w:highlight w:val="none"/>
              </w:rPr>
              <w:t>类似项目业绩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分，本项最高得1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提供合同复印件或</w:t>
            </w:r>
            <w:r>
              <w:rPr>
                <w:rFonts w:hint="eastAsia" w:asciiTheme="minorEastAsia" w:hAnsiTheme="minorEastAsia" w:eastAsiaTheme="minorEastAsia"/>
                <w:color w:val="000000"/>
                <w:szCs w:val="21"/>
              </w:rPr>
              <w:t>或演出图片资料证明</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分；有一项细微偏差扣0.5分，直至该项分值扣完为止。</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不发达地区和少数民族地区</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如为不发达地区或少数民族地区的，得1分。（说明：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eastAsia="宋体" w:cs="宋体"/>
                <w:color w:val="auto"/>
                <w:sz w:val="24"/>
                <w:szCs w:val="24"/>
                <w:highlight w:val="none"/>
              </w:rPr>
              <w:t>）</w:t>
            </w:r>
          </w:p>
        </w:tc>
        <w:tc>
          <w:tcPr>
            <w:tcW w:w="670" w:type="dxa"/>
            <w:noWrap w:val="0"/>
            <w:vAlign w:val="center"/>
          </w:tcPr>
          <w:p>
            <w:pPr>
              <w:keepNext w:val="0"/>
              <w:keepLines w:val="0"/>
              <w:pageBreakBefore w:val="0"/>
              <w:widowControl/>
              <w:kinsoku/>
              <w:wordWrap/>
              <w:overflowPunct/>
              <w:topLinePunct w:val="0"/>
              <w:bidi w:val="0"/>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1分</w:t>
            </w:r>
          </w:p>
        </w:tc>
      </w:tr>
    </w:tbl>
    <w:p>
      <w:pPr>
        <w:pStyle w:val="2"/>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包件2评分标准：</w:t>
      </w:r>
    </w:p>
    <w:tbl>
      <w:tblPr>
        <w:tblStyle w:val="44"/>
        <w:tblpPr w:leftFromText="180" w:rightFromText="180" w:vertAnchor="text" w:horzAnchor="page" w:tblpX="1057" w:tblpY="45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6958"/>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商务、服务要求</w:t>
            </w:r>
          </w:p>
        </w:tc>
        <w:tc>
          <w:tcPr>
            <w:tcW w:w="6958" w:type="dxa"/>
            <w:noWrap w:val="0"/>
            <w:tcMar>
              <w:top w:w="0" w:type="dxa"/>
              <w:left w:w="80" w:type="dxa"/>
              <w:bottom w:w="0" w:type="dxa"/>
              <w:right w:w="0" w:type="dxa"/>
            </w:tcMar>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供应商完全满足磋商文件要求的，得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分；其他则按以下原则计分：</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商务、服务条款响应得分=（供应商满足商务、服务要求条款的数量÷</w:t>
            </w:r>
            <w:r>
              <w:rPr>
                <w:rFonts w:hint="eastAsia" w:ascii="宋体" w:hAnsi="宋体" w:eastAsia="宋体" w:cs="宋体"/>
                <w:sz w:val="24"/>
                <w:szCs w:val="24"/>
                <w:highlight w:val="none"/>
                <w:lang w:val="en-US" w:eastAsia="zh-CN"/>
              </w:rPr>
              <w:t>磋商文件中</w:t>
            </w:r>
            <w:r>
              <w:rPr>
                <w:rFonts w:hint="eastAsia" w:ascii="宋体" w:hAnsi="宋体" w:eastAsia="宋体" w:cs="宋体"/>
                <w:sz w:val="24"/>
                <w:szCs w:val="24"/>
                <w:highlight w:val="none"/>
              </w:rPr>
              <w:t>商务、服务要求条款的总数量）×</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说明：以商务、服务条款偏离表为准。</w:t>
            </w:r>
            <w:r>
              <w:rPr>
                <w:rFonts w:hint="eastAsia" w:ascii="宋体" w:hAnsi="宋体" w:eastAsia="宋体" w:cs="宋体"/>
                <w:sz w:val="24"/>
                <w:szCs w:val="24"/>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szCs w:val="21"/>
              </w:rPr>
              <w:t>供应商</w:t>
            </w:r>
            <w:r>
              <w:rPr>
                <w:rFonts w:asciiTheme="minorEastAsia" w:hAnsiTheme="minorEastAsia" w:eastAsiaTheme="minorEastAsia"/>
                <w:szCs w:val="21"/>
              </w:rPr>
              <w:t>根据本项目实施需要提供</w:t>
            </w:r>
            <w:r>
              <w:rPr>
                <w:rFonts w:hint="eastAsia" w:asciiTheme="minorEastAsia" w:hAnsiTheme="minorEastAsia" w:eastAsiaTheme="minorEastAsia"/>
                <w:szCs w:val="21"/>
                <w:lang w:val="en-US" w:eastAsia="zh-CN"/>
              </w:rPr>
              <w:t>实施</w:t>
            </w:r>
            <w:r>
              <w:rPr>
                <w:rFonts w:hint="eastAsia" w:asciiTheme="minorEastAsia" w:hAnsiTheme="minorEastAsia" w:eastAsiaTheme="minorEastAsia"/>
                <w:szCs w:val="21"/>
              </w:rPr>
              <w:t>方案</w:t>
            </w:r>
            <w:r>
              <w:rPr>
                <w:rFonts w:asciiTheme="minorEastAsia" w:hAnsiTheme="minorEastAsia" w:eastAsiaTheme="minorEastAsia"/>
                <w:szCs w:val="21"/>
              </w:rPr>
              <w:t>，</w:t>
            </w:r>
            <w:r>
              <w:rPr>
                <w:rFonts w:hint="eastAsia"/>
              </w:rPr>
              <w:t>包含但不限于①服务进度</w:t>
            </w:r>
            <w:r>
              <w:t>计划</w:t>
            </w:r>
            <w:r>
              <w:rPr>
                <w:rFonts w:hint="eastAsia"/>
              </w:rPr>
              <w:t>；②节目题材及创意两点说明；②节目形式、数量；③媒体宣传；④讲座实施方案；⑤服务质量保障措施等。完全具备上述5项要点，且方案内容设计能体现活动主旨、有条理、有针对性且有利于本项目实施，得30分。缺少1项或某1项不符合前述要求扣6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szCs w:val="21"/>
              </w:rPr>
              <w:t>供应商根据本项目安全保障方案，包含但不限于①演职人员的安全维护方案；②舞台安全检查方案。完全具备上述2项要点并且措施详尽、清晰、有条理，可实施性强且满足本项目需求的得6分；缺少1项或某1项不完整不合理或缺乏可操作性或不符合本项目实际情况的扣3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79" w:leftChars="33"/>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rPr>
            </w:pPr>
            <w:r>
              <w:rPr>
                <w:rFonts w:hint="eastAsia" w:asciiTheme="minorEastAsia" w:hAnsiTheme="minorEastAsia" w:eastAsiaTheme="minorEastAsia"/>
                <w:color w:val="000000"/>
                <w:szCs w:val="21"/>
              </w:rPr>
              <w:t>供应商投入本项目的人员：</w:t>
            </w:r>
            <w:r>
              <w:rPr>
                <w:rFonts w:hint="eastAsia"/>
                <w:color w:val="000000"/>
                <w:szCs w:val="21"/>
              </w:rPr>
              <w:t>具备国家一级演员、二级演员、国家一级编导、二级编导、国家一级导演、二级导演等级证书或资质文件，每有1人符合上述条件之一的得2分，最多得10分</w:t>
            </w:r>
            <w:r>
              <w:rPr>
                <w:rFonts w:hint="eastAsia" w:asciiTheme="minorEastAsia" w:hAnsiTheme="minorEastAsia" w:eastAsiaTheme="minorEastAsia"/>
                <w:color w:val="000000"/>
                <w:szCs w:val="21"/>
              </w:rPr>
              <w:t>。（提供个人证书或资质复印件）</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供应商自2019年1月1日以来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每具有</w:t>
            </w:r>
            <w:r>
              <w:rPr>
                <w:rFonts w:hint="eastAsia" w:ascii="宋体" w:hAnsi="宋体" w:eastAsia="宋体" w:cs="宋体"/>
                <w:sz w:val="24"/>
                <w:szCs w:val="24"/>
                <w:highlight w:val="none"/>
                <w:lang w:val="en-US" w:eastAsia="zh-CN"/>
              </w:rPr>
              <w:t>一个</w:t>
            </w:r>
            <w:r>
              <w:rPr>
                <w:rFonts w:hint="eastAsia" w:ascii="宋体" w:hAnsi="宋体" w:eastAsia="宋体" w:cs="宋体"/>
                <w:sz w:val="24"/>
                <w:szCs w:val="24"/>
                <w:highlight w:val="none"/>
              </w:rPr>
              <w:t>类似项目业绩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分，本项最高得1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提供合同复印件或</w:t>
            </w:r>
            <w:r>
              <w:rPr>
                <w:rFonts w:hint="eastAsia" w:asciiTheme="minorEastAsia" w:hAnsiTheme="minorEastAsia" w:eastAsiaTheme="minorEastAsia"/>
                <w:color w:val="000000"/>
                <w:szCs w:val="21"/>
              </w:rPr>
              <w:t>或演出图片资料证明</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分；有一项细微偏差扣0.5分，直至该项分值扣完为止。</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不发达地区和少数民族地区</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如为不发达地区或少数民族地区的，得1分。（说明：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eastAsia="宋体" w:cs="宋体"/>
                <w:color w:val="auto"/>
                <w:sz w:val="24"/>
                <w:szCs w:val="24"/>
                <w:highlight w:val="none"/>
              </w:rPr>
              <w:t>）</w:t>
            </w:r>
          </w:p>
        </w:tc>
        <w:tc>
          <w:tcPr>
            <w:tcW w:w="670"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1分</w:t>
            </w:r>
          </w:p>
        </w:tc>
      </w:tr>
    </w:tbl>
    <w:p>
      <w:pPr>
        <w:rPr>
          <w:rFonts w:hint="eastAsia"/>
          <w:b/>
          <w:bCs/>
          <w:highlight w:val="none"/>
          <w:lang w:val="en-US" w:eastAsia="zh-CN"/>
        </w:rPr>
      </w:pPr>
      <w:r>
        <w:rPr>
          <w:rFonts w:hint="eastAsia"/>
          <w:b/>
          <w:bCs/>
          <w:highlight w:val="none"/>
          <w:lang w:val="en-US" w:eastAsia="zh-CN"/>
        </w:rPr>
        <w:t>包件3评分标准：</w:t>
      </w:r>
    </w:p>
    <w:tbl>
      <w:tblPr>
        <w:tblStyle w:val="44"/>
        <w:tblpPr w:leftFromText="180" w:rightFromText="180" w:vertAnchor="text" w:horzAnchor="page" w:tblpX="1057" w:tblpY="450"/>
        <w:tblOverlap w:val="never"/>
        <w:tblW w:w="9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6958"/>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商务、服务要求</w:t>
            </w:r>
          </w:p>
        </w:tc>
        <w:tc>
          <w:tcPr>
            <w:tcW w:w="6958" w:type="dxa"/>
            <w:noWrap w:val="0"/>
            <w:tcMar>
              <w:top w:w="0" w:type="dxa"/>
              <w:left w:w="80" w:type="dxa"/>
              <w:bottom w:w="0" w:type="dxa"/>
              <w:right w:w="0" w:type="dxa"/>
            </w:tcMar>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供应商完全满足磋商文件要求的，得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分；其他则按以下原则计分：</w:t>
            </w:r>
          </w:p>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商务、服务条款响应得分=（供应商满足商务、服务要求条款的数量÷</w:t>
            </w:r>
            <w:r>
              <w:rPr>
                <w:rFonts w:hint="eastAsia" w:ascii="宋体" w:hAnsi="宋体" w:eastAsia="宋体" w:cs="宋体"/>
                <w:sz w:val="24"/>
                <w:szCs w:val="24"/>
                <w:highlight w:val="none"/>
                <w:lang w:val="en-US" w:eastAsia="zh-CN"/>
              </w:rPr>
              <w:t>磋商文件中</w:t>
            </w:r>
            <w:r>
              <w:rPr>
                <w:rFonts w:hint="eastAsia" w:ascii="宋体" w:hAnsi="宋体" w:eastAsia="宋体" w:cs="宋体"/>
                <w:sz w:val="24"/>
                <w:szCs w:val="24"/>
                <w:highlight w:val="none"/>
              </w:rPr>
              <w:t>商务、服务要求条款的总数量）×</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说明：以商务、服务条款偏离表为准。</w:t>
            </w:r>
            <w:r>
              <w:rPr>
                <w:rFonts w:hint="eastAsia" w:ascii="宋体" w:hAnsi="宋体" w:eastAsia="宋体" w:cs="宋体"/>
                <w:sz w:val="24"/>
                <w:szCs w:val="24"/>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color w:val="auto"/>
                <w:sz w:val="24"/>
                <w:szCs w:val="24"/>
                <w:highlight w:val="none"/>
                <w:lang w:eastAsia="zh-CN"/>
              </w:rPr>
            </w:pPr>
            <w:r>
              <w:rPr>
                <w:rFonts w:hint="eastAsia" w:asciiTheme="minorEastAsia" w:hAnsiTheme="minorEastAsia" w:eastAsiaTheme="minorEastAsia"/>
                <w:szCs w:val="21"/>
              </w:rPr>
              <w:t>供应商</w:t>
            </w:r>
            <w:r>
              <w:rPr>
                <w:rFonts w:asciiTheme="minorEastAsia" w:hAnsiTheme="minorEastAsia" w:eastAsiaTheme="minorEastAsia"/>
                <w:szCs w:val="21"/>
              </w:rPr>
              <w:t>根据本项目实施需要提供</w:t>
            </w:r>
            <w:r>
              <w:rPr>
                <w:rFonts w:hint="eastAsia" w:asciiTheme="minorEastAsia" w:hAnsiTheme="minorEastAsia" w:eastAsiaTheme="minorEastAsia"/>
                <w:szCs w:val="21"/>
                <w:lang w:val="en-US" w:eastAsia="zh-CN"/>
              </w:rPr>
              <w:t>实施</w:t>
            </w:r>
            <w:r>
              <w:rPr>
                <w:rFonts w:hint="eastAsia" w:asciiTheme="minorEastAsia" w:hAnsiTheme="minorEastAsia" w:eastAsiaTheme="minorEastAsia"/>
                <w:szCs w:val="21"/>
              </w:rPr>
              <w:t>方案</w:t>
            </w:r>
            <w:r>
              <w:rPr>
                <w:rFonts w:asciiTheme="minorEastAsia" w:hAnsiTheme="minorEastAsia" w:eastAsiaTheme="minorEastAsia"/>
                <w:szCs w:val="21"/>
              </w:rPr>
              <w:t>，包含</w:t>
            </w:r>
            <w:r>
              <w:rPr>
                <w:rFonts w:hint="eastAsia" w:asciiTheme="minorEastAsia" w:hAnsiTheme="minorEastAsia" w:eastAsiaTheme="minorEastAsia"/>
                <w:szCs w:val="21"/>
              </w:rPr>
              <w:t>但</w:t>
            </w:r>
            <w:r>
              <w:rPr>
                <w:rFonts w:asciiTheme="minorEastAsia" w:hAnsiTheme="minorEastAsia" w:eastAsiaTheme="minorEastAsia"/>
                <w:szCs w:val="21"/>
              </w:rPr>
              <w:t>不限于</w:t>
            </w:r>
            <w:r>
              <w:rPr>
                <w:rFonts w:hint="eastAsia"/>
              </w:rPr>
              <w:t>①节目围绕主题得5分，主题不突出不得分；②原创节目</w:t>
            </w:r>
            <w:r>
              <w:rPr>
                <w:rFonts w:hint="eastAsia"/>
                <w:lang w:val="en-US" w:eastAsia="zh-CN"/>
              </w:rPr>
              <w:t>在</w:t>
            </w:r>
            <w:r>
              <w:rPr>
                <w:rFonts w:hint="eastAsia"/>
              </w:rPr>
              <w:t>3个</w:t>
            </w:r>
            <w:r>
              <w:rPr>
                <w:rFonts w:hint="eastAsia"/>
                <w:lang w:val="en-US" w:eastAsia="zh-CN"/>
              </w:rPr>
              <w:t>的基础上</w:t>
            </w:r>
            <w:r>
              <w:rPr>
                <w:rFonts w:hint="eastAsia"/>
              </w:rPr>
              <w:t>，每增加一个得2分，最多得10分；③节目具有龙泉本地特色，得15分</w:t>
            </w:r>
            <w:r>
              <w:rPr>
                <w:rFonts w:hint="eastAsia"/>
                <w:highlight w:val="none"/>
                <w:lang w:eastAsia="zh-CN"/>
              </w:rPr>
              <w:t>。（</w:t>
            </w:r>
            <w:r>
              <w:rPr>
                <w:rFonts w:hint="eastAsia"/>
                <w:highlight w:val="none"/>
                <w:lang w:val="en-US" w:eastAsia="zh-CN"/>
              </w:rPr>
              <w:t>说明：</w:t>
            </w:r>
            <w:r>
              <w:rPr>
                <w:rFonts w:hint="eastAsia" w:asciiTheme="minorEastAsia" w:hAnsiTheme="minorEastAsia" w:eastAsiaTheme="minorEastAsia"/>
                <w:sz w:val="24"/>
                <w:highlight w:val="none"/>
              </w:rPr>
              <w:t>演出节目应以宣传习近平新时代中国特色社会主义思想和党的十九大精神、习近平总书记对四川及成都工作系列重要指示精神、中国梦、社会主义核心价值观、“三城三都”建设、喜迎大运、依法治市、廉洁成都、“文明餐桌·公筷公勺”行动、疫情防控等为主题</w:t>
            </w:r>
            <w:r>
              <w:rPr>
                <w:rFonts w:hint="eastAsia"/>
                <w:highlight w:val="none"/>
                <w:lang w:eastAsia="zh-CN"/>
              </w:rPr>
              <w:t>；</w:t>
            </w:r>
            <w:r>
              <w:rPr>
                <w:rFonts w:hint="eastAsia"/>
                <w:highlight w:val="none"/>
                <w:lang w:val="en-US" w:eastAsia="zh-CN"/>
              </w:rPr>
              <w:t>原创节目应提供相关证明材料；龙泉本地特色包括但不限于</w:t>
            </w:r>
            <w:r>
              <w:rPr>
                <w:rFonts w:hint="eastAsia"/>
                <w:highlight w:val="none"/>
              </w:rPr>
              <w:t>大运会场馆建设，龙泉桃花，龙泉客家文化等</w:t>
            </w:r>
            <w:r>
              <w:rPr>
                <w:rFonts w:hint="eastAsia"/>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before="78" w:beforeLines="25" w:after="78" w:afterLines="25" w:line="360" w:lineRule="auto"/>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szCs w:val="21"/>
              </w:rPr>
              <w:t>供应商根据本项目安全保障方案，包含但不限于①演职人员的安全维护方案；②舞台安全检查方案。完全具备上述2项要点并且措施详尽、清晰、有条理，可实施性强且满足本项目需求的得6分；缺少1项或某1项不完整不合理或缺乏可操作性或不符合本项目实际情况的扣3分，本项扣完为止，未提供的不得分。</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left="79" w:leftChars="33"/>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人员配置</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000000"/>
                <w:szCs w:val="21"/>
                <w:highlight w:val="none"/>
              </w:rPr>
              <w:t>供应商投入本项目的</w:t>
            </w:r>
            <w:r>
              <w:rPr>
                <w:rFonts w:hint="eastAsia" w:asciiTheme="minorEastAsia" w:hAnsiTheme="minorEastAsia" w:eastAsiaTheme="minorEastAsia"/>
                <w:color w:val="000000"/>
                <w:szCs w:val="21"/>
                <w:highlight w:val="none"/>
                <w:lang w:val="en-US" w:eastAsia="zh-CN"/>
              </w:rPr>
              <w:t>演员</w:t>
            </w:r>
            <w:r>
              <w:rPr>
                <w:rFonts w:hint="eastAsia" w:asciiTheme="minorEastAsia" w:hAnsiTheme="minorEastAsia" w:eastAsiaTheme="minorEastAsia"/>
                <w:color w:val="000000"/>
                <w:szCs w:val="21"/>
                <w:highlight w:val="none"/>
              </w:rPr>
              <w:t>：</w:t>
            </w:r>
            <w:r>
              <w:rPr>
                <w:rFonts w:hint="eastAsia"/>
                <w:color w:val="000000"/>
                <w:szCs w:val="21"/>
                <w:highlight w:val="none"/>
              </w:rPr>
              <w:t>①演员人数</w:t>
            </w:r>
            <w:r>
              <w:rPr>
                <w:rFonts w:hint="eastAsia"/>
                <w:color w:val="000000"/>
                <w:szCs w:val="21"/>
                <w:highlight w:val="none"/>
                <w:lang w:val="en-US" w:eastAsia="zh-CN"/>
              </w:rPr>
              <w:t>≥</w:t>
            </w:r>
            <w:r>
              <w:rPr>
                <w:rFonts w:hint="eastAsia"/>
                <w:color w:val="000000"/>
                <w:szCs w:val="21"/>
                <w:highlight w:val="none"/>
              </w:rPr>
              <w:t>30人的</w:t>
            </w:r>
            <w:r>
              <w:rPr>
                <w:rFonts w:hint="eastAsia"/>
                <w:color w:val="000000"/>
                <w:szCs w:val="21"/>
                <w:highlight w:val="none"/>
                <w:lang w:eastAsia="zh-CN"/>
              </w:rPr>
              <w:t>，</w:t>
            </w:r>
            <w:r>
              <w:rPr>
                <w:rFonts w:hint="eastAsia"/>
                <w:color w:val="000000"/>
                <w:szCs w:val="21"/>
                <w:highlight w:val="none"/>
                <w:lang w:val="en-US" w:eastAsia="zh-CN"/>
              </w:rPr>
              <w:t>得</w:t>
            </w:r>
            <w:r>
              <w:rPr>
                <w:rFonts w:hint="eastAsia"/>
                <w:color w:val="000000"/>
                <w:szCs w:val="21"/>
                <w:highlight w:val="none"/>
              </w:rPr>
              <w:t>5分；</w:t>
            </w:r>
            <w:r>
              <w:rPr>
                <w:color w:val="000000"/>
                <w:szCs w:val="21"/>
                <w:highlight w:val="none"/>
              </w:rPr>
              <w:t xml:space="preserve"> </w:t>
            </w:r>
            <w:r>
              <w:rPr>
                <w:rFonts w:hint="eastAsia" w:ascii="宋体" w:hAnsi="宋体" w:cs="宋体"/>
                <w:color w:val="000000"/>
                <w:szCs w:val="21"/>
                <w:highlight w:val="none"/>
              </w:rPr>
              <w:t>②</w:t>
            </w:r>
            <w:r>
              <w:rPr>
                <w:rFonts w:hint="eastAsia" w:ascii="宋体" w:hAnsi="宋体" w:cs="宋体"/>
                <w:color w:val="000000"/>
                <w:szCs w:val="21"/>
                <w:highlight w:val="none"/>
                <w:lang w:val="en-US" w:eastAsia="zh-CN"/>
              </w:rPr>
              <w:t>在满足人员数量的基础上，投入的人员中</w:t>
            </w:r>
            <w:r>
              <w:rPr>
                <w:rFonts w:hint="eastAsia" w:ascii="宋体" w:hAnsi="宋体" w:cs="宋体"/>
                <w:color w:val="000000"/>
                <w:szCs w:val="21"/>
                <w:highlight w:val="none"/>
              </w:rPr>
              <w:t>有5名</w:t>
            </w:r>
            <w:r>
              <w:rPr>
                <w:rFonts w:hint="eastAsia" w:ascii="宋体" w:hAnsi="宋体" w:cs="宋体"/>
                <w:color w:val="000000"/>
                <w:szCs w:val="21"/>
                <w:highlight w:val="none"/>
                <w:lang w:val="en-US" w:eastAsia="zh-CN"/>
              </w:rPr>
              <w:t>及</w:t>
            </w:r>
            <w:r>
              <w:rPr>
                <w:rFonts w:hint="eastAsia" w:ascii="宋体" w:hAnsi="宋体" w:cs="宋体"/>
                <w:color w:val="000000"/>
                <w:szCs w:val="21"/>
                <w:highlight w:val="none"/>
              </w:rPr>
              <w:t>以上正高级职称的专家为主创团队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得5分。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说明：提供人员配置清单和相关职称证书复印件</w:t>
            </w:r>
            <w:r>
              <w:rPr>
                <w:rFonts w:hint="eastAsia" w:ascii="宋体" w:hAnsi="宋体" w:cs="宋体"/>
                <w:color w:val="000000"/>
                <w:szCs w:val="21"/>
                <w:highlight w:val="none"/>
                <w:lang w:eastAsia="zh-CN"/>
              </w:rPr>
              <w:t>）</w:t>
            </w:r>
          </w:p>
        </w:tc>
        <w:tc>
          <w:tcPr>
            <w:tcW w:w="67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pPr>
              <w:keepNext w:val="0"/>
              <w:keepLines w:val="0"/>
              <w:pageBreakBefore w:val="0"/>
              <w:widowControl/>
              <w:kinsoku/>
              <w:wordWrap/>
              <w:overflowPunct/>
              <w:topLinePunct w:val="0"/>
              <w:bidi w:val="0"/>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6958" w:type="dxa"/>
            <w:noWrap w:val="0"/>
            <w:tcMar>
              <w:top w:w="0" w:type="dxa"/>
              <w:left w:w="80" w:type="dxa"/>
              <w:bottom w:w="0" w:type="dxa"/>
              <w:right w:w="0"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供应商自2019年1月1日以来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每具有</w:t>
            </w:r>
            <w:r>
              <w:rPr>
                <w:rFonts w:hint="eastAsia" w:ascii="宋体" w:hAnsi="宋体" w:eastAsia="宋体" w:cs="宋体"/>
                <w:sz w:val="24"/>
                <w:szCs w:val="24"/>
                <w:highlight w:val="none"/>
                <w:lang w:val="en-US" w:eastAsia="zh-CN"/>
              </w:rPr>
              <w:t>一个</w:t>
            </w:r>
            <w:r>
              <w:rPr>
                <w:rFonts w:hint="eastAsia" w:ascii="宋体" w:hAnsi="宋体" w:eastAsia="宋体" w:cs="宋体"/>
                <w:sz w:val="24"/>
                <w:szCs w:val="24"/>
                <w:highlight w:val="none"/>
              </w:rPr>
              <w:t>类似项目业绩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分，本项最高得1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rPr>
              <w:t>提供合同复印件或</w:t>
            </w:r>
            <w:r>
              <w:rPr>
                <w:rFonts w:hint="eastAsia" w:asciiTheme="minorEastAsia" w:hAnsiTheme="minorEastAsia" w:eastAsiaTheme="minorEastAsia"/>
                <w:color w:val="000000"/>
                <w:szCs w:val="21"/>
              </w:rPr>
              <w:t>或演出图片资料证明</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文件的规范性</w:t>
            </w:r>
          </w:p>
        </w:tc>
        <w:tc>
          <w:tcPr>
            <w:tcW w:w="6958" w:type="dxa"/>
            <w:noWrap w:val="0"/>
            <w:tcMar>
              <w:top w:w="0" w:type="dxa"/>
              <w:left w:w="8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文件制作规范，没有细微偏差情形的得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分；有一项细微偏差扣0.5分，直至该项分值扣完为止。</w:t>
            </w:r>
          </w:p>
        </w:tc>
        <w:tc>
          <w:tcPr>
            <w:tcW w:w="670"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color w:val="auto"/>
                <w:kern w:val="0"/>
                <w:sz w:val="24"/>
                <w:szCs w:val="24"/>
                <w:highlight w:val="none"/>
              </w:rPr>
            </w:pPr>
          </w:p>
        </w:tc>
        <w:tc>
          <w:tcPr>
            <w:tcW w:w="108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不发达地区和少数民族地区</w:t>
            </w:r>
          </w:p>
        </w:tc>
        <w:tc>
          <w:tcPr>
            <w:tcW w:w="695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如为不发达地区或少数民族地区的，得1分。（说明：</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营业执照注册地址为准</w:t>
            </w:r>
            <w:r>
              <w:rPr>
                <w:rFonts w:hint="eastAsia" w:ascii="宋体" w:hAnsi="宋体" w:eastAsia="宋体" w:cs="宋体"/>
                <w:color w:val="auto"/>
                <w:sz w:val="24"/>
                <w:szCs w:val="24"/>
                <w:highlight w:val="none"/>
              </w:rPr>
              <w:t>）</w:t>
            </w:r>
          </w:p>
        </w:tc>
        <w:tc>
          <w:tcPr>
            <w:tcW w:w="670" w:type="dxa"/>
            <w:noWrap w:val="0"/>
            <w:vAlign w:val="center"/>
          </w:tcPr>
          <w:p>
            <w:pPr>
              <w:keepNext w:val="0"/>
              <w:keepLines w:val="0"/>
              <w:pageBreakBefore w:val="0"/>
              <w:widowControl/>
              <w:kinsoku/>
              <w:wordWrap/>
              <w:overflowPunct/>
              <w:topLinePunct w:val="0"/>
              <w:bidi w:val="0"/>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1分</w:t>
            </w:r>
          </w:p>
        </w:tc>
      </w:tr>
    </w:tbl>
    <w:p>
      <w:pPr>
        <w:pStyle w:val="2"/>
        <w:rPr>
          <w:rFonts w:hint="default"/>
          <w:lang w:val="en-US" w:eastAsia="zh-CN"/>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firstLine="482"/>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2015】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61" w:name="_Toc287623648"/>
      <w:bookmarkStart w:id="262" w:name="_Toc31624"/>
      <w:r>
        <w:rPr>
          <w:rFonts w:hint="eastAsia"/>
          <w:color w:val="auto"/>
          <w:highlight w:val="none"/>
        </w:rPr>
        <w:t>确定成交供应商</w:t>
      </w:r>
      <w:bookmarkEnd w:id="261"/>
      <w:bookmarkEnd w:id="262"/>
    </w:p>
    <w:p>
      <w:pPr>
        <w:pStyle w:val="5"/>
        <w:ind w:firstLine="482"/>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w:t>
      </w:r>
      <w:r>
        <w:rPr>
          <w:rFonts w:hint="eastAsia" w:ascii="宋体" w:hAnsi="宋体" w:cs="宋体"/>
          <w:color w:val="auto"/>
          <w:highlight w:val="none"/>
          <w:lang w:val="en-US" w:eastAsia="zh-CN"/>
        </w:rPr>
        <w:t>各包</w:t>
      </w:r>
      <w:r>
        <w:rPr>
          <w:rFonts w:hint="eastAsia" w:ascii="宋体" w:hAnsi="宋体" w:cs="宋体"/>
          <w:color w:val="auto"/>
          <w:highlight w:val="none"/>
        </w:rPr>
        <w:t>按顺序确定成交供应商。</w:t>
      </w:r>
    </w:p>
    <w:p>
      <w:pPr>
        <w:pStyle w:val="5"/>
        <w:ind w:firstLine="482"/>
        <w:rPr>
          <w:rFonts w:cs="宋体"/>
          <w:color w:val="auto"/>
          <w:szCs w:val="24"/>
          <w:highlight w:val="none"/>
        </w:rPr>
      </w:pPr>
      <w:r>
        <w:rPr>
          <w:rFonts w:hint="eastAsia" w:cs="宋体"/>
          <w:color w:val="auto"/>
          <w:szCs w:val="24"/>
          <w:highlight w:val="none"/>
        </w:rPr>
        <w:t>定标程序</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1"/>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1"/>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63" w:name="_Toc287623649"/>
      <w:r>
        <w:rPr>
          <w:rFonts w:hint="eastAsia" w:ascii="宋体" w:hAnsi="宋体" w:cs="宋体"/>
          <w:color w:val="auto"/>
          <w:highlight w:val="none"/>
        </w:rPr>
        <w:t>成交候选供应商存在违法、违纪行为的；</w:t>
      </w:r>
    </w:p>
    <w:p>
      <w:pPr>
        <w:numPr>
          <w:ilvl w:val="1"/>
          <w:numId w:val="32"/>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64" w:name="_Toc12660"/>
      <w:r>
        <w:rPr>
          <w:rFonts w:hint="eastAsia"/>
          <w:color w:val="auto"/>
          <w:highlight w:val="none"/>
        </w:rPr>
        <w:t>成交</w:t>
      </w:r>
      <w:bookmarkEnd w:id="263"/>
      <w:r>
        <w:rPr>
          <w:rFonts w:hint="eastAsia"/>
          <w:color w:val="auto"/>
          <w:highlight w:val="none"/>
        </w:rPr>
        <w:t>结果</w:t>
      </w:r>
      <w:bookmarkEnd w:id="264"/>
    </w:p>
    <w:p>
      <w:pPr>
        <w:widowControl w:val="0"/>
        <w:numPr>
          <w:ilvl w:val="0"/>
          <w:numId w:val="33"/>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3"/>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65" w:name="_Toc405886181"/>
      <w:bookmarkStart w:id="266" w:name="_Toc11319"/>
      <w:r>
        <w:rPr>
          <w:rFonts w:hint="eastAsia"/>
          <w:color w:val="auto"/>
          <w:highlight w:val="none"/>
        </w:rPr>
        <w:t>询问、质疑</w:t>
      </w:r>
      <w:bookmarkEnd w:id="265"/>
      <w:r>
        <w:rPr>
          <w:rFonts w:hint="eastAsia"/>
          <w:color w:val="auto"/>
          <w:highlight w:val="none"/>
        </w:rPr>
        <w:t>和投诉</w:t>
      </w:r>
      <w:bookmarkEnd w:id="266"/>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4"/>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67" w:name="_Toc22988"/>
      <w:bookmarkStart w:id="268" w:name="_Toc287623650"/>
      <w:r>
        <w:rPr>
          <w:rFonts w:hint="eastAsia"/>
          <w:color w:val="auto"/>
          <w:highlight w:val="none"/>
        </w:rPr>
        <w:t>签订合同</w:t>
      </w:r>
      <w:bookmarkEnd w:id="267"/>
      <w:bookmarkEnd w:id="268"/>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5"/>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5"/>
        </w:numPr>
        <w:tabs>
          <w:tab w:val="left" w:pos="1134"/>
        </w:tabs>
        <w:snapToGrid w:val="0"/>
        <w:spacing w:line="360" w:lineRule="auto"/>
        <w:ind w:firstLine="480" w:firstLineChars="200"/>
        <w:rPr>
          <w:rFonts w:ascii="宋体" w:hAnsi="宋体" w:cs="宋体"/>
          <w:color w:val="auto"/>
          <w:highlight w:val="none"/>
        </w:rPr>
      </w:pPr>
      <w:bookmarkStart w:id="269"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69"/>
    <w:p>
      <w:pPr>
        <w:pStyle w:val="4"/>
        <w:rPr>
          <w:color w:val="auto"/>
          <w:highlight w:val="none"/>
        </w:rPr>
      </w:pPr>
      <w:bookmarkStart w:id="270" w:name="_Toc23842"/>
      <w:bookmarkStart w:id="271" w:name="_Toc217446070"/>
      <w:r>
        <w:rPr>
          <w:rFonts w:hint="eastAsia"/>
          <w:color w:val="auto"/>
          <w:highlight w:val="none"/>
        </w:rPr>
        <w:t>采购人增加合同的权利</w:t>
      </w:r>
      <w:bookmarkEnd w:id="270"/>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72" w:name="_Toc15820"/>
      <w:r>
        <w:rPr>
          <w:rFonts w:hint="eastAsia"/>
          <w:color w:val="auto"/>
          <w:highlight w:val="none"/>
        </w:rPr>
        <w:t>履行合同</w:t>
      </w:r>
      <w:bookmarkEnd w:id="272"/>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71"/>
    <w:p>
      <w:pPr>
        <w:pStyle w:val="4"/>
        <w:rPr>
          <w:color w:val="auto"/>
          <w:highlight w:val="none"/>
        </w:rPr>
      </w:pPr>
      <w:bookmarkStart w:id="273" w:name="_Toc28413"/>
      <w:r>
        <w:rPr>
          <w:rFonts w:hint="eastAsia"/>
          <w:color w:val="auto"/>
          <w:highlight w:val="none"/>
        </w:rPr>
        <w:t>竞争性磋商工作纪律及要求</w:t>
      </w:r>
      <w:bookmarkEnd w:id="273"/>
    </w:p>
    <w:p>
      <w:pPr>
        <w:pStyle w:val="5"/>
        <w:ind w:firstLine="482"/>
        <w:rPr>
          <w:rFonts w:cs="宋体"/>
          <w:color w:val="auto"/>
          <w:szCs w:val="24"/>
          <w:highlight w:val="none"/>
        </w:rPr>
      </w:pPr>
      <w:bookmarkStart w:id="274" w:name="_Toc421781446"/>
      <w:bookmarkStart w:id="275" w:name="_Toc320698748"/>
      <w:r>
        <w:rPr>
          <w:rFonts w:hint="eastAsia" w:cs="宋体"/>
          <w:color w:val="auto"/>
          <w:szCs w:val="24"/>
          <w:highlight w:val="none"/>
        </w:rPr>
        <w:t>采购人工作职责</w:t>
      </w:r>
      <w:bookmarkEnd w:id="27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75"/>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76" w:name="_Toc421781447"/>
      <w:bookmarkStart w:id="277" w:name="_Toc320698749"/>
      <w:r>
        <w:rPr>
          <w:rFonts w:hint="eastAsia" w:cs="宋体"/>
          <w:color w:val="auto"/>
          <w:szCs w:val="24"/>
          <w:highlight w:val="none"/>
        </w:rPr>
        <w:t>采购执行机构工作职责</w:t>
      </w:r>
      <w:bookmarkEnd w:id="276"/>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77"/>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78" w:name="_Toc421781448"/>
      <w:bookmarkStart w:id="279" w:name="_Toc320698750"/>
      <w:r>
        <w:rPr>
          <w:rFonts w:hint="eastAsia" w:cs="宋体"/>
          <w:color w:val="auto"/>
          <w:szCs w:val="24"/>
          <w:highlight w:val="none"/>
        </w:rPr>
        <w:t>磋商小组工作职责</w:t>
      </w:r>
      <w:bookmarkEnd w:id="278"/>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79"/>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firstLine="482"/>
        <w:rPr>
          <w:rFonts w:cs="宋体"/>
          <w:color w:val="auto"/>
          <w:szCs w:val="24"/>
          <w:highlight w:val="none"/>
        </w:rPr>
      </w:pPr>
      <w:bookmarkStart w:id="280" w:name="_Toc421781449"/>
      <w:bookmarkStart w:id="281" w:name="_Toc320698751"/>
      <w:r>
        <w:rPr>
          <w:rFonts w:hint="eastAsia" w:cs="宋体"/>
          <w:color w:val="auto"/>
          <w:szCs w:val="24"/>
          <w:highlight w:val="none"/>
        </w:rPr>
        <w:t>供应商职责</w:t>
      </w:r>
      <w:bookmarkEnd w:id="28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81"/>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82" w:name="_Toc26701"/>
      <w:r>
        <w:rPr>
          <w:rFonts w:hint="eastAsia"/>
          <w:color w:val="auto"/>
          <w:highlight w:val="none"/>
        </w:rPr>
        <w:t>回避</w:t>
      </w:r>
      <w:bookmarkEnd w:id="282"/>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83" w:name="_Toc611"/>
      <w:r>
        <w:rPr>
          <w:rFonts w:hint="eastAsia"/>
          <w:color w:val="auto"/>
          <w:highlight w:val="none"/>
        </w:rPr>
        <w:t>其他</w:t>
      </w:r>
      <w:bookmarkEnd w:id="283"/>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1"/>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color w:val="auto"/>
          <w:highlight w:val="none"/>
        </w:rPr>
      </w:pPr>
      <w:bookmarkStart w:id="284" w:name="_Toc23552"/>
      <w:r>
        <w:rPr>
          <w:rFonts w:hint="eastAsia"/>
          <w:color w:val="auto"/>
          <w:highlight w:val="none"/>
        </w:rPr>
        <w:t>项目技术、服务及其他要求</w:t>
      </w:r>
      <w:bookmarkEnd w:id="284"/>
    </w:p>
    <w:p>
      <w:pPr>
        <w:pStyle w:val="4"/>
        <w:rPr>
          <w:color w:val="auto"/>
          <w:sz w:val="24"/>
          <w:szCs w:val="24"/>
          <w:highlight w:val="none"/>
        </w:rPr>
      </w:pPr>
      <w:bookmarkStart w:id="285" w:name="_Toc27069"/>
      <w:bookmarkStart w:id="286" w:name="_Toc23195"/>
      <w:r>
        <w:rPr>
          <w:rFonts w:hint="eastAsia"/>
          <w:color w:val="auto"/>
          <w:sz w:val="24"/>
          <w:szCs w:val="24"/>
          <w:highlight w:val="none"/>
          <w:lang w:val="en-US" w:eastAsia="zh-CN"/>
        </w:rPr>
        <w:t>项目概况</w:t>
      </w:r>
      <w:bookmarkEnd w:id="285"/>
    </w:p>
    <w:p>
      <w:pPr>
        <w:spacing w:after="160" w:line="360" w:lineRule="auto"/>
        <w:ind w:firstLine="464" w:firstLineChars="200"/>
        <w:jc w:val="left"/>
        <w:rPr>
          <w:rFonts w:asciiTheme="minorEastAsia" w:hAnsiTheme="minorEastAsia" w:eastAsiaTheme="minorEastAsia"/>
          <w:spacing w:val="-4"/>
          <w:sz w:val="24"/>
        </w:rPr>
      </w:pPr>
      <w:r>
        <w:rPr>
          <w:rFonts w:hint="eastAsia" w:asciiTheme="minorEastAsia" w:hAnsiTheme="minorEastAsia" w:eastAsiaTheme="minorEastAsia"/>
          <w:spacing w:val="-4"/>
          <w:sz w:val="24"/>
        </w:rPr>
        <w:t>本项目共3个包</w:t>
      </w:r>
      <w:r>
        <w:rPr>
          <w:rFonts w:hint="eastAsia" w:asciiTheme="minorEastAsia" w:hAnsiTheme="minorEastAsia" w:eastAsiaTheme="minorEastAsia"/>
          <w:spacing w:val="-4"/>
          <w:sz w:val="24"/>
          <w:lang w:val="en-US" w:eastAsia="zh-CN"/>
        </w:rPr>
        <w:t>件，拟通过竞争性磋商，各包件确定一名供应商为本项目提供相关服务</w:t>
      </w:r>
      <w:r>
        <w:rPr>
          <w:rFonts w:hint="eastAsia" w:asciiTheme="minorEastAsia" w:hAnsiTheme="minorEastAsia" w:eastAsiaTheme="minorEastAsia"/>
          <w:spacing w:val="-4"/>
          <w:sz w:val="24"/>
          <w:lang w:eastAsia="zh-CN"/>
        </w:rPr>
        <w:t>，</w:t>
      </w:r>
      <w:r>
        <w:rPr>
          <w:rFonts w:hint="eastAsia" w:asciiTheme="minorEastAsia" w:hAnsiTheme="minorEastAsia" w:eastAsiaTheme="minorEastAsia"/>
          <w:spacing w:val="-4"/>
          <w:sz w:val="24"/>
          <w:lang w:val="en-US" w:eastAsia="zh-CN"/>
        </w:rPr>
        <w:t>具体分包情况如下</w:t>
      </w:r>
      <w:r>
        <w:rPr>
          <w:rFonts w:hint="eastAsia" w:asciiTheme="minorEastAsia" w:hAnsiTheme="minorEastAsia" w:eastAsiaTheme="minorEastAsia"/>
          <w:spacing w:val="-4"/>
          <w:sz w:val="24"/>
        </w:rPr>
        <w:t>：</w:t>
      </w:r>
    </w:p>
    <w:tbl>
      <w:tblPr>
        <w:tblStyle w:val="45"/>
        <w:tblW w:w="48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2" w:type="pct"/>
            <w:vAlign w:val="center"/>
          </w:tcPr>
          <w:p>
            <w:pPr>
              <w:spacing w:line="360" w:lineRule="auto"/>
              <w:jc w:val="center"/>
              <w:rPr>
                <w:rFonts w:hint="default" w:asciiTheme="minorEastAsia" w:hAnsiTheme="minorEastAsia" w:eastAsiaTheme="minorEastAsia"/>
                <w:b/>
                <w:bCs/>
                <w:spacing w:val="-4"/>
                <w:kern w:val="0"/>
                <w:sz w:val="24"/>
                <w:lang w:val="en-US" w:eastAsia="zh-CN"/>
              </w:rPr>
            </w:pPr>
            <w:r>
              <w:rPr>
                <w:rFonts w:hint="eastAsia" w:asciiTheme="minorEastAsia" w:hAnsiTheme="minorEastAsia" w:eastAsiaTheme="minorEastAsia"/>
                <w:b/>
                <w:bCs/>
                <w:spacing w:val="-4"/>
                <w:kern w:val="0"/>
                <w:sz w:val="24"/>
              </w:rPr>
              <w:t>包</w:t>
            </w:r>
            <w:r>
              <w:rPr>
                <w:rFonts w:hint="eastAsia" w:asciiTheme="minorEastAsia" w:hAnsiTheme="minorEastAsia" w:eastAsiaTheme="minorEastAsia"/>
                <w:b/>
                <w:bCs/>
                <w:spacing w:val="-4"/>
                <w:kern w:val="0"/>
                <w:sz w:val="24"/>
                <w:lang w:val="en-US" w:eastAsia="zh-CN"/>
              </w:rPr>
              <w:t>件号</w:t>
            </w:r>
          </w:p>
        </w:tc>
        <w:tc>
          <w:tcPr>
            <w:tcW w:w="4427" w:type="pct"/>
            <w:vAlign w:val="center"/>
          </w:tcPr>
          <w:p>
            <w:pPr>
              <w:spacing w:line="360" w:lineRule="auto"/>
              <w:jc w:val="center"/>
              <w:rPr>
                <w:rFonts w:asciiTheme="minorEastAsia" w:hAnsiTheme="minorEastAsia" w:eastAsiaTheme="minorEastAsia"/>
                <w:b/>
                <w:bCs/>
                <w:spacing w:val="-4"/>
                <w:kern w:val="0"/>
                <w:sz w:val="24"/>
              </w:rPr>
            </w:pPr>
            <w:r>
              <w:rPr>
                <w:rFonts w:hint="eastAsia" w:asciiTheme="minorEastAsia" w:hAnsiTheme="minorEastAsia" w:eastAsiaTheme="minorEastAsia"/>
                <w:b/>
                <w:bCs/>
                <w:spacing w:val="-4"/>
                <w:kern w:val="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2" w:type="pct"/>
            <w:vAlign w:val="center"/>
          </w:tcPr>
          <w:p>
            <w:pPr>
              <w:spacing w:line="360" w:lineRule="auto"/>
              <w:jc w:val="center"/>
              <w:rPr>
                <w:rFonts w:asciiTheme="minorEastAsia" w:hAnsiTheme="minorEastAsia" w:eastAsiaTheme="minorEastAsia"/>
                <w:spacing w:val="-4"/>
                <w:kern w:val="0"/>
                <w:sz w:val="24"/>
              </w:rPr>
            </w:pPr>
            <w:r>
              <w:rPr>
                <w:rFonts w:hint="eastAsia" w:asciiTheme="minorEastAsia" w:hAnsiTheme="minorEastAsia" w:eastAsiaTheme="minorEastAsia"/>
                <w:spacing w:val="-4"/>
                <w:kern w:val="0"/>
                <w:sz w:val="24"/>
              </w:rPr>
              <w:t>1</w:t>
            </w:r>
          </w:p>
        </w:tc>
        <w:tc>
          <w:tcPr>
            <w:tcW w:w="4427" w:type="pct"/>
            <w:vAlign w:val="center"/>
          </w:tcPr>
          <w:p>
            <w:pPr>
              <w:spacing w:line="360" w:lineRule="auto"/>
              <w:rPr>
                <w:rFonts w:asciiTheme="minorEastAsia" w:hAnsiTheme="minorEastAsia" w:eastAsiaTheme="minorEastAsia"/>
                <w:spacing w:val="-4"/>
                <w:kern w:val="0"/>
                <w:sz w:val="24"/>
              </w:rPr>
            </w:pPr>
            <w:r>
              <w:rPr>
                <w:rFonts w:hint="eastAsia" w:asciiTheme="minorEastAsia" w:hAnsiTheme="minorEastAsia" w:eastAsiaTheme="minorEastAsia"/>
                <w:spacing w:val="-4"/>
                <w:kern w:val="0"/>
                <w:sz w:val="24"/>
              </w:rPr>
              <w:t>2021年“月享艺术”精品演出到身边系列活动（川剧、京剧）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2" w:type="pct"/>
            <w:vAlign w:val="center"/>
          </w:tcPr>
          <w:p>
            <w:pPr>
              <w:spacing w:line="360" w:lineRule="auto"/>
              <w:jc w:val="center"/>
              <w:rPr>
                <w:rFonts w:asciiTheme="minorEastAsia" w:hAnsiTheme="minorEastAsia" w:eastAsiaTheme="minorEastAsia"/>
                <w:spacing w:val="-4"/>
                <w:kern w:val="0"/>
                <w:sz w:val="24"/>
              </w:rPr>
            </w:pPr>
            <w:r>
              <w:rPr>
                <w:rFonts w:hint="eastAsia" w:asciiTheme="minorEastAsia" w:hAnsiTheme="minorEastAsia" w:eastAsiaTheme="minorEastAsia"/>
                <w:spacing w:val="-4"/>
                <w:kern w:val="0"/>
                <w:sz w:val="24"/>
              </w:rPr>
              <w:t>2</w:t>
            </w:r>
          </w:p>
        </w:tc>
        <w:tc>
          <w:tcPr>
            <w:tcW w:w="4427" w:type="pct"/>
            <w:vAlign w:val="center"/>
          </w:tcPr>
          <w:p>
            <w:pPr>
              <w:spacing w:line="360" w:lineRule="auto"/>
              <w:jc w:val="both"/>
              <w:rPr>
                <w:rFonts w:asciiTheme="minorEastAsia" w:hAnsiTheme="minorEastAsia" w:eastAsiaTheme="minorEastAsia"/>
                <w:kern w:val="0"/>
                <w:sz w:val="24"/>
              </w:rPr>
            </w:pPr>
            <w:r>
              <w:rPr>
                <w:rFonts w:hint="eastAsia" w:asciiTheme="minorEastAsia" w:hAnsiTheme="minorEastAsia" w:eastAsiaTheme="minorEastAsia"/>
                <w:kern w:val="0"/>
                <w:sz w:val="24"/>
              </w:rPr>
              <w:t>2021年“月享艺术”精品演出到身边系列活动（音乐会与儿童剧）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72" w:type="pct"/>
            <w:vAlign w:val="center"/>
          </w:tcPr>
          <w:p>
            <w:pPr>
              <w:spacing w:line="360" w:lineRule="auto"/>
              <w:jc w:val="center"/>
              <w:rPr>
                <w:rFonts w:asciiTheme="minorEastAsia" w:hAnsiTheme="minorEastAsia" w:eastAsiaTheme="minorEastAsia"/>
                <w:spacing w:val="-4"/>
                <w:kern w:val="0"/>
                <w:sz w:val="24"/>
              </w:rPr>
            </w:pPr>
            <w:r>
              <w:rPr>
                <w:rFonts w:hint="eastAsia" w:asciiTheme="minorEastAsia" w:hAnsiTheme="minorEastAsia" w:eastAsiaTheme="minorEastAsia"/>
                <w:spacing w:val="-4"/>
                <w:kern w:val="0"/>
                <w:sz w:val="24"/>
              </w:rPr>
              <w:t>3</w:t>
            </w:r>
          </w:p>
        </w:tc>
        <w:tc>
          <w:tcPr>
            <w:tcW w:w="4427" w:type="pct"/>
            <w:vAlign w:val="center"/>
          </w:tcPr>
          <w:p>
            <w:pPr>
              <w:spacing w:line="360" w:lineRule="auto"/>
              <w:jc w:val="both"/>
              <w:rPr>
                <w:rFonts w:asciiTheme="minorEastAsia" w:hAnsiTheme="minorEastAsia" w:eastAsiaTheme="minorEastAsia"/>
                <w:kern w:val="0"/>
                <w:sz w:val="24"/>
              </w:rPr>
            </w:pPr>
            <w:r>
              <w:rPr>
                <w:rFonts w:hint="eastAsia" w:asciiTheme="minorEastAsia" w:hAnsiTheme="minorEastAsia" w:eastAsiaTheme="minorEastAsia"/>
                <w:kern w:val="0"/>
                <w:sz w:val="24"/>
              </w:rPr>
              <w:t>2021年走基层文化惠民演出</w:t>
            </w:r>
            <w:bookmarkStart w:id="367" w:name="_GoBack"/>
            <w:bookmarkEnd w:id="367"/>
          </w:p>
        </w:tc>
      </w:tr>
    </w:tbl>
    <w:p>
      <w:pPr>
        <w:pStyle w:val="4"/>
        <w:rPr>
          <w:color w:val="auto"/>
          <w:sz w:val="24"/>
          <w:szCs w:val="24"/>
          <w:highlight w:val="none"/>
        </w:rPr>
      </w:pPr>
      <w:bookmarkStart w:id="287" w:name="_Toc31292"/>
      <w:r>
        <w:rPr>
          <w:rFonts w:hint="eastAsia"/>
          <w:color w:val="auto"/>
          <w:sz w:val="24"/>
          <w:szCs w:val="24"/>
          <w:highlight w:val="none"/>
          <w:lang w:val="en-US" w:eastAsia="zh-CN"/>
        </w:rPr>
        <w:t>服务要求</w:t>
      </w:r>
      <w:bookmarkEnd w:id="287"/>
    </w:p>
    <w:p>
      <w:pPr>
        <w:pStyle w:val="5"/>
        <w:spacing w:before="0" w:after="0" w:line="415"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包件1：</w:t>
      </w:r>
      <w:r>
        <w:rPr>
          <w:rFonts w:hint="eastAsia" w:asciiTheme="minorEastAsia" w:hAnsiTheme="minorEastAsia" w:eastAsiaTheme="minorEastAsia"/>
          <w:sz w:val="24"/>
          <w:szCs w:val="24"/>
        </w:rPr>
        <w:t>2021年月享艺术”精品演出到身边系列活动（川剧、京剧）</w:t>
      </w:r>
      <w:r>
        <w:rPr>
          <w:rFonts w:hint="eastAsia" w:asciiTheme="minorEastAsia" w:hAnsiTheme="minorEastAsia" w:eastAsiaTheme="minorEastAsia"/>
          <w:sz w:val="24"/>
          <w:szCs w:val="24"/>
          <w:lang w:val="en-US" w:eastAsia="zh-CN"/>
        </w:rPr>
        <w:t>服务要求</w:t>
      </w:r>
    </w:p>
    <w:p>
      <w:pPr>
        <w:keepNext w:val="0"/>
        <w:keepLines w:val="0"/>
        <w:pageBreakBefore w:val="0"/>
        <w:widowControl/>
        <w:numPr>
          <w:ilvl w:val="0"/>
          <w:numId w:val="4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sz w:val="24"/>
        </w:rPr>
      </w:pPr>
      <w:r>
        <w:rPr>
          <w:rFonts w:hint="eastAsia" w:ascii="宋体" w:hAnsi="宋体" w:eastAsia="宋体" w:cs="宋体"/>
          <w:b/>
          <w:bCs/>
          <w:sz w:val="24"/>
        </w:rPr>
        <w:t>演出要求</w:t>
      </w:r>
    </w:p>
    <w:p>
      <w:pPr>
        <w:keepNext w:val="0"/>
        <w:keepLines w:val="0"/>
        <w:pageBreakBefore w:val="0"/>
        <w:widowControl/>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b/>
          <w:bCs/>
          <w:sz w:val="24"/>
        </w:rPr>
        <w:t>演出地点：</w:t>
      </w:r>
      <w:r>
        <w:rPr>
          <w:rFonts w:hint="eastAsia" w:ascii="宋体" w:hAnsi="宋体" w:eastAsia="宋体" w:cs="宋体"/>
          <w:bCs/>
          <w:sz w:val="24"/>
        </w:rPr>
        <w:t>每场次演出由</w:t>
      </w:r>
      <w:r>
        <w:rPr>
          <w:rFonts w:hint="eastAsia" w:ascii="宋体" w:hAnsi="宋体" w:eastAsia="宋体" w:cs="宋体"/>
          <w:sz w:val="24"/>
        </w:rPr>
        <w:t>成交人负责组织，</w:t>
      </w:r>
      <w:r>
        <w:rPr>
          <w:rFonts w:hint="eastAsia" w:ascii="宋体" w:hAnsi="宋体" w:eastAsia="宋体" w:cs="宋体"/>
          <w:bCs/>
          <w:sz w:val="24"/>
        </w:rPr>
        <w:t>采购人确定</w:t>
      </w:r>
      <w:r>
        <w:rPr>
          <w:rFonts w:hint="eastAsia" w:ascii="宋体" w:hAnsi="宋体" w:eastAsia="宋体" w:cs="宋体"/>
          <w:sz w:val="24"/>
        </w:rPr>
        <w:t>，在采购人预约或指定地点进行节目表演；</w:t>
      </w:r>
    </w:p>
    <w:p>
      <w:pPr>
        <w:keepNext w:val="0"/>
        <w:keepLines w:val="0"/>
        <w:pageBreakBefore w:val="0"/>
        <w:widowControl/>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sz w:val="24"/>
        </w:rPr>
      </w:pPr>
      <w:r>
        <w:rPr>
          <w:rFonts w:hint="eastAsia" w:ascii="宋体" w:hAnsi="宋体" w:eastAsia="宋体" w:cs="宋体"/>
          <w:b/>
          <w:bCs/>
          <w:sz w:val="24"/>
        </w:rPr>
        <w:t>演出场次：</w:t>
      </w:r>
      <w:r>
        <w:rPr>
          <w:rFonts w:hint="eastAsia" w:ascii="宋体" w:hAnsi="宋体" w:eastAsia="宋体" w:cs="宋体"/>
          <w:bCs/>
          <w:sz w:val="24"/>
        </w:rPr>
        <w:t>川剧2场，川剧艺术讲座1场，京剧1场，京剧艺术讲座1场。</w:t>
      </w:r>
    </w:p>
    <w:p>
      <w:pPr>
        <w:pStyle w:val="2"/>
        <w:keepNext w:val="0"/>
        <w:keepLines w:val="0"/>
        <w:pageBreakBefore w:val="0"/>
        <w:widowControl/>
        <w:numPr>
          <w:ilvl w:val="0"/>
          <w:numId w:val="43"/>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b/>
          <w:sz w:val="24"/>
        </w:rPr>
        <w:t>每场时间：</w:t>
      </w:r>
      <w:r>
        <w:rPr>
          <w:rFonts w:hint="eastAsia" w:ascii="宋体" w:hAnsi="宋体" w:eastAsia="宋体" w:cs="宋体"/>
          <w:sz w:val="24"/>
        </w:rPr>
        <w:t>川剧、京剧每场次演出时间不得低于90分钟；艺术讲座每场次时间不得低于60分钟；</w:t>
      </w:r>
    </w:p>
    <w:p>
      <w:pPr>
        <w:keepNext w:val="0"/>
        <w:keepLines w:val="0"/>
        <w:pageBreakBefore w:val="0"/>
        <w:widowControl/>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每场次演出前成交人至少提前5个工作日向采购人提供本场演出内容准确的节目单及对应的演员名单，采购人有权对节目内容作适当合理的调整要求。</w:t>
      </w:r>
    </w:p>
    <w:p>
      <w:pPr>
        <w:keepNext w:val="0"/>
        <w:keepLines w:val="0"/>
        <w:pageBreakBefore w:val="0"/>
        <w:widowControl/>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b/>
          <w:sz w:val="24"/>
        </w:rPr>
        <w:t>节目题材：</w:t>
      </w:r>
      <w:r>
        <w:rPr>
          <w:rFonts w:hint="eastAsia" w:ascii="宋体" w:hAnsi="宋体" w:eastAsia="宋体" w:cs="宋体"/>
          <w:sz w:val="24"/>
        </w:rPr>
        <w:t>演出节目应围绕社会主义核心价值观，反映人民幸福生活、历史文化、城市精神、地域特色等。</w:t>
      </w:r>
    </w:p>
    <w:p>
      <w:pPr>
        <w:pStyle w:val="2"/>
        <w:keepNext w:val="0"/>
        <w:keepLines w:val="0"/>
        <w:pageBreakBefore w:val="0"/>
        <w:widowControl/>
        <w:numPr>
          <w:ilvl w:val="0"/>
          <w:numId w:val="43"/>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b/>
          <w:sz w:val="24"/>
        </w:rPr>
        <w:t>原创要求：</w:t>
      </w:r>
      <w:r>
        <w:rPr>
          <w:rFonts w:hint="eastAsia" w:ascii="宋体" w:hAnsi="宋体" w:eastAsia="宋体" w:cs="宋体"/>
          <w:sz w:val="24"/>
        </w:rPr>
        <w:t>供应商必须具有创作能力和专业演职人员</w:t>
      </w:r>
      <w:r>
        <w:rPr>
          <w:rFonts w:hint="eastAsia" w:ascii="宋体" w:hAnsi="宋体" w:eastAsia="宋体" w:cs="宋体"/>
          <w:sz w:val="24"/>
          <w:lang w:eastAsia="zh-CN"/>
        </w:rPr>
        <w:t>。</w:t>
      </w:r>
    </w:p>
    <w:p>
      <w:pPr>
        <w:keepNext w:val="0"/>
        <w:keepLines w:val="0"/>
        <w:pageBreakBefore w:val="0"/>
        <w:widowControl/>
        <w:numPr>
          <w:ilvl w:val="0"/>
          <w:numId w:val="4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sz w:val="24"/>
        </w:rPr>
      </w:pPr>
      <w:r>
        <w:rPr>
          <w:rFonts w:hint="eastAsia" w:ascii="宋体" w:hAnsi="宋体" w:eastAsia="宋体" w:cs="宋体"/>
          <w:b/>
          <w:sz w:val="24"/>
        </w:rPr>
        <w:t>舞台要求</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供应商负责根据采购人指定的演出场所进行租赁，所需费用包含在本次报价中；</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供应商根据采购人要求或提供的标准格式制作演出活动所需的相关材料（如：舞台背景板、横幅、节目单等）；</w:t>
      </w:r>
    </w:p>
    <w:p>
      <w:pPr>
        <w:keepNext w:val="0"/>
        <w:keepLines w:val="0"/>
        <w:pageBreakBefore w:val="0"/>
        <w:widowControl/>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供应商提供保障演出所需可同时满足千人观看品质优良的音响设备清单</w:t>
      </w:r>
      <w:r>
        <w:rPr>
          <w:rFonts w:hint="eastAsia" w:ascii="宋体" w:hAnsi="宋体" w:eastAsia="宋体" w:cs="宋体"/>
          <w:b/>
          <w:bCs/>
          <w:sz w:val="24"/>
        </w:rPr>
        <w:t>（响应文件中列出设备清单）</w:t>
      </w:r>
      <w:r>
        <w:rPr>
          <w:rFonts w:hint="eastAsia" w:ascii="宋体" w:hAnsi="宋体" w:eastAsia="宋体" w:cs="宋体"/>
          <w:sz w:val="24"/>
        </w:rPr>
        <w:t>；</w:t>
      </w:r>
    </w:p>
    <w:p>
      <w:pPr>
        <w:pStyle w:val="2"/>
        <w:keepNext w:val="0"/>
        <w:keepLines w:val="0"/>
        <w:pageBreakBefore w:val="0"/>
        <w:widowControl/>
        <w:numPr>
          <w:ilvl w:val="0"/>
          <w:numId w:val="44"/>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供应商负责每场次演出的专业音响、灯光等设备的安装调试工作，保证演出的顺利进行。</w:t>
      </w:r>
    </w:p>
    <w:p>
      <w:pPr>
        <w:keepNext w:val="0"/>
        <w:keepLines w:val="0"/>
        <w:pageBreakBefore w:val="0"/>
        <w:widowControl/>
        <w:numPr>
          <w:ilvl w:val="0"/>
          <w:numId w:val="4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sz w:val="24"/>
        </w:rPr>
      </w:pPr>
      <w:r>
        <w:rPr>
          <w:rFonts w:hint="eastAsia" w:ascii="宋体" w:hAnsi="宋体" w:eastAsia="宋体" w:cs="宋体"/>
          <w:b/>
          <w:sz w:val="24"/>
        </w:rPr>
        <w:t>演出人员要求</w:t>
      </w:r>
      <w:r>
        <w:rPr>
          <w:rFonts w:hint="eastAsia" w:ascii="宋体" w:hAnsi="宋体" w:eastAsia="宋体" w:cs="宋体"/>
          <w:kern w:val="0"/>
          <w:szCs w:val="21"/>
        </w:rPr>
        <w:t>（说明：提供人员配置表）</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演出单位组织的演出队伍必须</w:t>
      </w:r>
      <w:r>
        <w:rPr>
          <w:rFonts w:hint="eastAsia" w:asciiTheme="minorEastAsia" w:hAnsiTheme="minorEastAsia" w:eastAsiaTheme="minorEastAsia"/>
          <w:sz w:val="24"/>
        </w:rPr>
        <w:t>是自己公司团队，不能外包，且受过艺术院校教育或受过专门艺术训练的专业演员组成</w:t>
      </w:r>
      <w:r>
        <w:rPr>
          <w:rFonts w:hint="eastAsia" w:asciiTheme="minorEastAsia" w:hAnsiTheme="minorEastAsia" w:eastAsiaTheme="minorEastAsia"/>
          <w:b/>
          <w:bCs/>
          <w:sz w:val="24"/>
        </w:rPr>
        <w:t>（需提供学历证书或其他证明受过专门艺术训练的材料）</w:t>
      </w:r>
      <w:r>
        <w:rPr>
          <w:rFonts w:hint="eastAsia" w:ascii="宋体" w:hAnsi="宋体" w:eastAsia="宋体" w:cs="宋体"/>
          <w:sz w:val="24"/>
        </w:rPr>
        <w:t>；</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供应商可根据采购人部分重要演出场次，确保能安排有国家级演员参加主要节目的演出；</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FF0000"/>
          <w:sz w:val="24"/>
        </w:rPr>
      </w:pPr>
      <w:r>
        <w:rPr>
          <w:rFonts w:hint="eastAsia" w:ascii="宋体" w:hAnsi="宋体" w:eastAsia="宋体" w:cs="宋体"/>
          <w:sz w:val="24"/>
        </w:rPr>
        <w:t xml:space="preserve">每场次演出参演人数不得低于15人（不包括：音响灯光师、主持人、后勤保障人员、领队及其他剧务人员等）；艺术讲座为每场演出配套项目，每场艺术讲座邀请1-2位相应演出的主要创作或演出人员作为主讲人； </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pacing w:val="-4"/>
          <w:sz w:val="24"/>
        </w:rPr>
      </w:pPr>
      <w:r>
        <w:rPr>
          <w:rFonts w:hint="eastAsia" w:ascii="宋体" w:hAnsi="宋体" w:eastAsia="宋体" w:cs="宋体"/>
          <w:spacing w:val="-4"/>
          <w:sz w:val="24"/>
        </w:rPr>
        <w:t>每场次演出需配备专业主持人至少１名、音响灯光师和剧务人员及后勤保障人员不少于5人</w:t>
      </w:r>
      <w:r>
        <w:rPr>
          <w:rFonts w:hint="eastAsia" w:ascii="宋体" w:hAnsi="宋体" w:eastAsia="宋体" w:cs="宋体"/>
          <w:spacing w:val="-4"/>
          <w:sz w:val="24"/>
          <w:lang w:eastAsia="zh-CN"/>
        </w:rPr>
        <w:t>。</w:t>
      </w:r>
      <w:r>
        <w:rPr>
          <w:rFonts w:hint="eastAsia" w:ascii="宋体" w:hAnsi="宋体" w:eastAsia="宋体" w:cs="宋体"/>
          <w:sz w:val="24"/>
        </w:rPr>
        <w:t xml:space="preserve"> </w:t>
      </w:r>
    </w:p>
    <w:p>
      <w:pPr>
        <w:keepNext w:val="0"/>
        <w:keepLines w:val="0"/>
        <w:pageBreakBefore w:val="0"/>
        <w:widowControl/>
        <w:numPr>
          <w:ilvl w:val="0"/>
          <w:numId w:val="4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sz w:val="24"/>
        </w:rPr>
      </w:pPr>
      <w:r>
        <w:rPr>
          <w:rFonts w:hint="eastAsia" w:ascii="宋体" w:hAnsi="宋体" w:eastAsia="宋体" w:cs="宋体"/>
          <w:b/>
          <w:sz w:val="24"/>
        </w:rPr>
        <w:t>影像资料要求</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供应商负责提供每场次现场演出视频；</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供应商负责提供每场次现场演出照片不少于5张；</w:t>
      </w:r>
    </w:p>
    <w:p>
      <w:pPr>
        <w:pStyle w:val="2"/>
        <w:keepNext w:val="0"/>
        <w:keepLines w:val="0"/>
        <w:pageBreakBefore w:val="0"/>
        <w:widowControl/>
        <w:numPr>
          <w:ilvl w:val="0"/>
          <w:numId w:val="46"/>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供应商在项目全部结束后需提供一份项目结案报告；</w:t>
      </w:r>
    </w:p>
    <w:p>
      <w:pPr>
        <w:pStyle w:val="2"/>
        <w:keepNext w:val="0"/>
        <w:keepLines w:val="0"/>
        <w:pageBreakBefore w:val="0"/>
        <w:widowControl/>
        <w:numPr>
          <w:ilvl w:val="0"/>
          <w:numId w:val="46"/>
        </w:numPr>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color w:val="auto"/>
          <w:sz w:val="24"/>
        </w:rPr>
      </w:pPr>
      <w:r>
        <w:rPr>
          <w:rFonts w:hint="eastAsia" w:ascii="宋体" w:hAnsi="宋体" w:eastAsia="宋体" w:cs="宋体"/>
          <w:color w:val="auto"/>
          <w:sz w:val="24"/>
        </w:rPr>
        <w:t>供应商在项目全部结束后需提供《群众意见回馈表》（不低于50份）</w:t>
      </w:r>
    </w:p>
    <w:p>
      <w:pPr>
        <w:keepNext w:val="0"/>
        <w:keepLines w:val="0"/>
        <w:pageBreakBefore w:val="0"/>
        <w:widowControl/>
        <w:numPr>
          <w:ilvl w:val="0"/>
          <w:numId w:val="4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sz w:val="24"/>
        </w:rPr>
      </w:pPr>
      <w:r>
        <w:rPr>
          <w:rFonts w:hint="eastAsia" w:ascii="宋体" w:hAnsi="宋体" w:eastAsia="宋体" w:cs="宋体"/>
          <w:b/>
          <w:sz w:val="24"/>
        </w:rPr>
        <w:t>其他服务要求</w:t>
      </w:r>
    </w:p>
    <w:p>
      <w:pPr>
        <w:pStyle w:val="2"/>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文艺演出服务内容健康，有利于社会和谐稳定。</w:t>
      </w:r>
    </w:p>
    <w:p>
      <w:pPr>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rPr>
      </w:pPr>
      <w:r>
        <w:rPr>
          <w:rFonts w:hint="eastAsia" w:ascii="宋体" w:hAnsi="宋体" w:eastAsia="宋体" w:cs="宋体"/>
          <w:sz w:val="24"/>
        </w:rPr>
        <w:t>供应商</w:t>
      </w:r>
      <w:r>
        <w:rPr>
          <w:rFonts w:hint="eastAsia" w:ascii="宋体" w:hAnsi="宋体" w:eastAsia="宋体" w:cs="宋体"/>
          <w:bCs/>
          <w:sz w:val="24"/>
        </w:rPr>
        <w:t>负责演出期间所产生的全体演职人员的交通、食宿、劳务等费用。</w:t>
      </w:r>
    </w:p>
    <w:p>
      <w:pPr>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rPr>
      </w:pPr>
      <w:r>
        <w:rPr>
          <w:rFonts w:hint="eastAsia" w:ascii="宋体" w:hAnsi="宋体" w:eastAsia="宋体" w:cs="宋体"/>
          <w:sz w:val="24"/>
        </w:rPr>
        <w:t>供应商</w:t>
      </w:r>
      <w:r>
        <w:rPr>
          <w:rFonts w:hint="eastAsia" w:ascii="宋体" w:hAnsi="宋体" w:eastAsia="宋体" w:cs="宋体"/>
          <w:bCs/>
          <w:sz w:val="24"/>
        </w:rPr>
        <w:t>负责每场次演出演职人员安全。</w:t>
      </w:r>
    </w:p>
    <w:p>
      <w:pPr>
        <w:pStyle w:val="5"/>
        <w:spacing w:before="0" w:after="0" w:line="415" w:lineRule="auto"/>
        <w:rPr>
          <w:rFonts w:asciiTheme="minorEastAsia" w:hAnsiTheme="minorEastAsia" w:eastAsiaTheme="minorEastAsia"/>
          <w:sz w:val="24"/>
          <w:szCs w:val="24"/>
        </w:rPr>
      </w:pPr>
      <w:r>
        <w:rPr>
          <w:rFonts w:hint="eastAsia"/>
          <w:lang w:val="en-US" w:eastAsia="zh-CN"/>
        </w:rPr>
        <w:t>包件2：</w:t>
      </w:r>
      <w:r>
        <w:rPr>
          <w:rFonts w:hint="eastAsia" w:asciiTheme="minorEastAsia" w:hAnsiTheme="minorEastAsia" w:eastAsiaTheme="minorEastAsia"/>
          <w:sz w:val="24"/>
          <w:szCs w:val="24"/>
        </w:rPr>
        <w:t>2021年“月享艺术”精品演出到身边系列活动（音乐会与儿童剧）</w:t>
      </w:r>
      <w:r>
        <w:rPr>
          <w:rFonts w:hint="eastAsia" w:asciiTheme="minorEastAsia" w:hAnsiTheme="minorEastAsia" w:eastAsiaTheme="minorEastAsia"/>
          <w:sz w:val="24"/>
          <w:szCs w:val="24"/>
          <w:lang w:val="en-US" w:eastAsia="zh-CN"/>
        </w:rPr>
        <w:t>服务要求</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sz w:val="24"/>
        </w:rPr>
      </w:pPr>
      <w:r>
        <w:rPr>
          <w:rFonts w:hint="eastAsia" w:ascii="宋体" w:hAnsi="宋体" w:eastAsia="宋体" w:cs="宋体"/>
          <w:b/>
          <w:sz w:val="24"/>
        </w:rPr>
        <w:t>项目内容</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组织国内或国外专业表演团队，编排出一场完整的音乐会，演出形式包括但不限于钢琴音乐会、民乐演奏会，交响音乐会等，音乐会节目内容要求富有正能量，具有较高的艺术水平。</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艺术讲座为音乐会配套项目，即每一场音乐会配套相关艺术讲座。艺术讲座内容要求艺术性强，通俗易懂，能有效提升公众的艺术鉴赏力。</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儿童剧节目要求内容积极健康、富有正能量，寓教于乐，喜闻乐见，具有较高的艺术水平。</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sz w:val="24"/>
        </w:rPr>
      </w:pPr>
      <w:r>
        <w:rPr>
          <w:rFonts w:hint="eastAsia" w:ascii="宋体" w:hAnsi="宋体" w:eastAsia="宋体" w:cs="宋体"/>
          <w:b/>
          <w:sz w:val="24"/>
        </w:rPr>
        <w:t>项目要求</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演出数量：主题音乐会1场，1场音乐会艺术讲座，儿童剧5场。</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演出及讲座地点：龙泉驿区行政区域内，根据采购方要求确定实际演出及讲座地点。</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演出时长：演出时长不少于90分钟（提供节目方案、人员配置）；</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讲座时长：讲座时长不少于60分钟，主讲人需为相应音乐会的主要创作或演出人员（提供讲座方案、人员配置）</w:t>
      </w:r>
      <w:r>
        <w:rPr>
          <w:rFonts w:hint="eastAsia" w:ascii="宋体" w:hAnsi="宋体" w:eastAsia="宋体" w:cs="宋体"/>
          <w:sz w:val="24"/>
          <w:lang w:eastAsia="zh-CN"/>
        </w:rPr>
        <w:t>；</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供应商负责舞台、音响、演出、宣传、根据采购人要求或提供的标准格式制作演出活动所需的相关材料（如：舞台背景板、横幅、节目单、门票制作等具体工作的实施）</w:t>
      </w:r>
      <w:r>
        <w:rPr>
          <w:rFonts w:hint="eastAsia" w:ascii="宋体" w:hAnsi="宋体" w:eastAsia="宋体" w:cs="宋体"/>
          <w:sz w:val="24"/>
          <w:lang w:eastAsia="zh-CN"/>
        </w:rPr>
        <w:t>；</w:t>
      </w:r>
    </w:p>
    <w:p>
      <w:pPr>
        <w:pStyle w:val="2"/>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rPr>
      </w:pPr>
      <w:r>
        <w:rPr>
          <w:rFonts w:hint="eastAsia" w:ascii="宋体" w:hAnsi="宋体" w:eastAsia="宋体" w:cs="宋体"/>
          <w:sz w:val="24"/>
        </w:rPr>
        <w:t>供应商负责根据采购人指定的演出场所进行租赁，所需费用包含在本次报价中</w:t>
      </w:r>
      <w:r>
        <w:rPr>
          <w:rFonts w:hint="eastAsia" w:ascii="宋体" w:hAnsi="宋体" w:eastAsia="宋体" w:cs="宋体"/>
          <w:sz w:val="24"/>
          <w:lang w:eastAsia="zh-CN"/>
        </w:rPr>
        <w:t>；</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w:t>
      </w:r>
      <w:r>
        <w:rPr>
          <w:rFonts w:hint="eastAsia" w:ascii="宋体" w:hAnsi="宋体" w:eastAsia="宋体" w:cs="宋体"/>
          <w:color w:val="auto"/>
          <w:sz w:val="24"/>
        </w:rPr>
        <w:t>应商在项目圆满结束后30日内，向采购主体提供《群众意见回馈表》（不低于50份）、现场演出及讲座活动的视频影像数据、相关媒体报导信息，</w:t>
      </w:r>
      <w:r>
        <w:rPr>
          <w:rFonts w:hint="eastAsia" w:ascii="宋体" w:hAnsi="宋体" w:eastAsia="宋体" w:cs="宋体"/>
          <w:sz w:val="24"/>
        </w:rPr>
        <w:t>与演出有关的其他信息数据，形成一份项目结案报告，作为采购主体组织项目验收的依据。</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sz w:val="24"/>
        </w:rPr>
      </w:pPr>
      <w:r>
        <w:rPr>
          <w:rFonts w:hint="eastAsia" w:ascii="宋体" w:hAnsi="宋体" w:eastAsia="宋体" w:cs="宋体"/>
          <w:b/>
          <w:sz w:val="24"/>
        </w:rPr>
        <w:t>演出人员要求</w:t>
      </w:r>
      <w:r>
        <w:rPr>
          <w:rFonts w:hint="eastAsia" w:ascii="宋体" w:hAnsi="宋体" w:eastAsia="宋体" w:cs="宋体"/>
          <w:kern w:val="0"/>
          <w:szCs w:val="21"/>
        </w:rPr>
        <w:t>（说明：提供人员配置表）</w:t>
      </w:r>
    </w:p>
    <w:p>
      <w:pPr>
        <w:keepNext w:val="0"/>
        <w:keepLines w:val="0"/>
        <w:pageBreakBefore w:val="0"/>
        <w:widowControl/>
        <w:numPr>
          <w:ilvl w:val="0"/>
          <w:numId w:val="5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每场次演出参演人数不得低于15人（不包括：音响灯光师、主持人、后勤保障人员、领队及其他剧务人员等）；音乐会艺术讲座邀请1-2位相应演出的主要创作或演出人员作为主讲人；</w:t>
      </w:r>
    </w:p>
    <w:p>
      <w:pPr>
        <w:keepNext w:val="0"/>
        <w:keepLines w:val="0"/>
        <w:pageBreakBefore w:val="0"/>
        <w:widowControl/>
        <w:numPr>
          <w:ilvl w:val="0"/>
          <w:numId w:val="5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pacing w:val="-4"/>
          <w:sz w:val="24"/>
        </w:rPr>
      </w:pPr>
      <w:r>
        <w:rPr>
          <w:rFonts w:hint="eastAsia" w:ascii="宋体" w:hAnsi="宋体" w:eastAsia="宋体" w:cs="宋体"/>
          <w:spacing w:val="-4"/>
          <w:sz w:val="24"/>
        </w:rPr>
        <w:t>每场次演出需配备专业主持人至少１名、音响灯光师和剧务人员及后勤保障人员不少于5人</w:t>
      </w:r>
      <w:r>
        <w:rPr>
          <w:rFonts w:hint="eastAsia" w:ascii="宋体" w:hAnsi="宋体" w:eastAsia="宋体" w:cs="宋体"/>
          <w:spacing w:val="-4"/>
          <w:sz w:val="24"/>
          <w:lang w:eastAsia="zh-CN"/>
        </w:rPr>
        <w:t>。</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sz w:val="24"/>
        </w:rPr>
      </w:pPr>
      <w:r>
        <w:rPr>
          <w:rFonts w:hint="eastAsia" w:ascii="宋体" w:hAnsi="宋体" w:eastAsia="宋体" w:cs="宋体"/>
          <w:b/>
          <w:sz w:val="24"/>
        </w:rPr>
        <w:t>其他要求</w:t>
      </w:r>
    </w:p>
    <w:p>
      <w:pPr>
        <w:pStyle w:val="2"/>
        <w:keepNext w:val="0"/>
        <w:keepLines w:val="0"/>
        <w:pageBreakBefore w:val="0"/>
        <w:widowControl/>
        <w:numPr>
          <w:ilvl w:val="0"/>
          <w:numId w:val="5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文艺演出服务内容健康，有利于社会和谐稳定。</w:t>
      </w:r>
    </w:p>
    <w:p>
      <w:pPr>
        <w:pStyle w:val="2"/>
        <w:keepNext w:val="0"/>
        <w:keepLines w:val="0"/>
        <w:pageBreakBefore w:val="0"/>
        <w:widowControl/>
        <w:numPr>
          <w:ilvl w:val="0"/>
          <w:numId w:val="5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供应商负责演出期间所产生的全体演职人员的交通、食宿、劳务等费用。</w:t>
      </w:r>
    </w:p>
    <w:p>
      <w:pPr>
        <w:pStyle w:val="2"/>
        <w:keepNext w:val="0"/>
        <w:keepLines w:val="0"/>
        <w:pageBreakBefore w:val="0"/>
        <w:widowControl/>
        <w:numPr>
          <w:ilvl w:val="0"/>
          <w:numId w:val="5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rPr>
      </w:pPr>
      <w:r>
        <w:rPr>
          <w:rFonts w:hint="eastAsia" w:ascii="宋体" w:hAnsi="宋体" w:eastAsia="宋体" w:cs="宋体"/>
          <w:sz w:val="24"/>
        </w:rPr>
        <w:t>供应商负责每场次演出演职人员安全。</w:t>
      </w:r>
    </w:p>
    <w:p>
      <w:pPr>
        <w:pStyle w:val="5"/>
        <w:spacing w:before="0" w:after="0" w:line="415" w:lineRule="auto"/>
      </w:pPr>
      <w:r>
        <w:rPr>
          <w:rFonts w:hint="eastAsia" w:asciiTheme="minorEastAsia" w:hAnsiTheme="minorEastAsia" w:eastAsiaTheme="minorEastAsia"/>
          <w:sz w:val="24"/>
          <w:szCs w:val="24"/>
          <w:lang w:val="en-US" w:eastAsia="zh-CN"/>
        </w:rPr>
        <w:t>包件3：</w:t>
      </w:r>
      <w:r>
        <w:rPr>
          <w:rFonts w:hint="eastAsia" w:asciiTheme="minorEastAsia" w:hAnsiTheme="minorEastAsia" w:eastAsiaTheme="minorEastAsia"/>
          <w:sz w:val="24"/>
          <w:szCs w:val="24"/>
        </w:rPr>
        <w:t>2021年</w:t>
      </w:r>
      <w:r>
        <w:rPr>
          <w:rFonts w:hint="eastAsia" w:asciiTheme="minorEastAsia" w:hAnsiTheme="minorEastAsia" w:eastAsiaTheme="minorEastAsia"/>
          <w:sz w:val="24"/>
        </w:rPr>
        <w:t>走基层文化惠民演出</w:t>
      </w:r>
      <w:r>
        <w:rPr>
          <w:rFonts w:hint="eastAsia" w:asciiTheme="minorEastAsia" w:hAnsiTheme="minorEastAsia" w:eastAsiaTheme="minorEastAsia"/>
          <w:sz w:val="24"/>
          <w:lang w:val="en-US" w:eastAsia="zh-CN"/>
        </w:rPr>
        <w:t>服务要求</w:t>
      </w:r>
    </w:p>
    <w:p>
      <w:pPr>
        <w:numPr>
          <w:ilvl w:val="0"/>
          <w:numId w:val="53"/>
        </w:numPr>
        <w:spacing w:line="360" w:lineRule="auto"/>
        <w:ind w:left="0" w:leftChars="0" w:firstLine="420" w:firstLineChars="0"/>
        <w:rPr>
          <w:rFonts w:asciiTheme="minorEastAsia" w:hAnsiTheme="minorEastAsia" w:eastAsiaTheme="minorEastAsia"/>
          <w:b/>
          <w:bCs/>
          <w:sz w:val="24"/>
        </w:rPr>
      </w:pPr>
      <w:r>
        <w:rPr>
          <w:rFonts w:hint="eastAsia" w:asciiTheme="minorEastAsia" w:hAnsiTheme="minorEastAsia" w:eastAsiaTheme="minorEastAsia"/>
          <w:b/>
          <w:bCs/>
          <w:sz w:val="24"/>
        </w:rPr>
        <w:t>演出</w:t>
      </w:r>
      <w:r>
        <w:rPr>
          <w:rFonts w:asciiTheme="minorEastAsia" w:hAnsiTheme="minorEastAsia" w:eastAsiaTheme="minorEastAsia"/>
          <w:b/>
          <w:bCs/>
          <w:sz w:val="24"/>
        </w:rPr>
        <w:t>要求</w:t>
      </w:r>
    </w:p>
    <w:p>
      <w:pPr>
        <w:numPr>
          <w:ilvl w:val="0"/>
          <w:numId w:val="5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bCs/>
          <w:sz w:val="24"/>
        </w:rPr>
        <w:t>演出地点：</w:t>
      </w:r>
      <w:r>
        <w:rPr>
          <w:rFonts w:hint="eastAsia" w:asciiTheme="minorEastAsia" w:hAnsiTheme="minorEastAsia" w:eastAsiaTheme="minorEastAsia"/>
          <w:bCs/>
          <w:sz w:val="24"/>
        </w:rPr>
        <w:t>每场次演出由</w:t>
      </w:r>
      <w:r>
        <w:rPr>
          <w:rFonts w:hint="eastAsia" w:asciiTheme="minorEastAsia" w:hAnsiTheme="minorEastAsia" w:eastAsiaTheme="minorEastAsia"/>
          <w:sz w:val="24"/>
        </w:rPr>
        <w:t>成交人负责组织，</w:t>
      </w:r>
      <w:r>
        <w:rPr>
          <w:rFonts w:hint="eastAsia" w:asciiTheme="minorEastAsia" w:hAnsiTheme="minorEastAsia" w:eastAsiaTheme="minorEastAsia"/>
          <w:bCs/>
          <w:sz w:val="24"/>
        </w:rPr>
        <w:t>采购人确定</w:t>
      </w:r>
      <w:r>
        <w:rPr>
          <w:rFonts w:hint="eastAsia" w:asciiTheme="minorEastAsia" w:hAnsiTheme="minorEastAsia" w:eastAsiaTheme="minorEastAsia"/>
          <w:sz w:val="24"/>
        </w:rPr>
        <w:t>，在采购人预约或指定地点进行节目表演；</w:t>
      </w:r>
    </w:p>
    <w:p>
      <w:pPr>
        <w:numPr>
          <w:ilvl w:val="0"/>
          <w:numId w:val="54"/>
        </w:numPr>
        <w:spacing w:line="360" w:lineRule="auto"/>
        <w:ind w:left="0" w:leftChars="0" w:firstLine="420" w:firstLineChars="0"/>
        <w:rPr>
          <w:rFonts w:asciiTheme="minorEastAsia" w:hAnsiTheme="minorEastAsia" w:eastAsiaTheme="minorEastAsia"/>
          <w:b/>
          <w:bCs/>
          <w:sz w:val="24"/>
        </w:rPr>
      </w:pPr>
      <w:r>
        <w:rPr>
          <w:rFonts w:hint="eastAsia" w:asciiTheme="minorEastAsia" w:hAnsiTheme="minorEastAsia" w:eastAsiaTheme="minorEastAsia"/>
          <w:b/>
          <w:bCs/>
          <w:sz w:val="24"/>
        </w:rPr>
        <w:t>演出场次：</w:t>
      </w:r>
      <w:r>
        <w:rPr>
          <w:rFonts w:hint="eastAsia" w:asciiTheme="minorEastAsia" w:hAnsiTheme="minorEastAsia" w:eastAsiaTheme="minorEastAsia"/>
          <w:bCs/>
          <w:sz w:val="24"/>
        </w:rPr>
        <w:t>2场综合性文艺演出</w:t>
      </w:r>
      <w:r>
        <w:rPr>
          <w:rFonts w:asciiTheme="minorEastAsia" w:hAnsiTheme="minorEastAsia" w:eastAsiaTheme="minorEastAsia"/>
          <w:b/>
          <w:bCs/>
          <w:sz w:val="24"/>
        </w:rPr>
        <w:t xml:space="preserve"> </w:t>
      </w:r>
    </w:p>
    <w:p>
      <w:pPr>
        <w:pStyle w:val="2"/>
        <w:numPr>
          <w:ilvl w:val="0"/>
          <w:numId w:val="54"/>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每场时间：</w:t>
      </w:r>
      <w:r>
        <w:rPr>
          <w:rFonts w:hint="eastAsia" w:asciiTheme="minorEastAsia" w:hAnsiTheme="minorEastAsia" w:eastAsiaTheme="minorEastAsia"/>
          <w:sz w:val="24"/>
        </w:rPr>
        <w:t>每场次时间不得低于80分钟；节目数量不少于11个。</w:t>
      </w:r>
    </w:p>
    <w:p>
      <w:pPr>
        <w:numPr>
          <w:ilvl w:val="0"/>
          <w:numId w:val="5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每场次演出前成交人至少提前5个工作日向采购人提供本场演出内容准确的节目单及对应的演员名单，采购人有权对节目内容作适当合理的调整要求。</w:t>
      </w:r>
    </w:p>
    <w:p>
      <w:pPr>
        <w:numPr>
          <w:ilvl w:val="0"/>
          <w:numId w:val="54"/>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节目题材：</w:t>
      </w:r>
      <w:r>
        <w:rPr>
          <w:rFonts w:hint="eastAsia" w:asciiTheme="minorEastAsia" w:hAnsiTheme="minorEastAsia" w:eastAsiaTheme="minorEastAsia"/>
          <w:sz w:val="24"/>
        </w:rPr>
        <w:t>演出节目应以宣传习近平新时代中国特色社会主义思想和党的十九大精神、习近平总书记对四川及成都工作系列重要指示精神、中国梦、社会主义核心价值观、“三城三都”建设、喜迎大运、依法治市、廉洁成都、“文明餐桌·公筷公勺”行动、疫情防控等为主题，紧扣高标准全面建成小康社会主线，进行节目创作和演出编排。节目形式不少于5种，包括但不限于魔术，歌曲，舞蹈，杂技，小品等。</w:t>
      </w:r>
    </w:p>
    <w:p>
      <w:pPr>
        <w:pStyle w:val="2"/>
        <w:numPr>
          <w:ilvl w:val="0"/>
          <w:numId w:val="54"/>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b/>
          <w:sz w:val="24"/>
        </w:rPr>
        <w:t>原创要求：</w:t>
      </w:r>
      <w:r>
        <w:rPr>
          <w:rFonts w:hint="eastAsia" w:asciiTheme="minorEastAsia" w:hAnsiTheme="minorEastAsia" w:eastAsiaTheme="minorEastAsia"/>
          <w:sz w:val="24"/>
        </w:rPr>
        <w:t>原创节目不少于3个。</w:t>
      </w:r>
      <w:r>
        <w:rPr>
          <w:rFonts w:asciiTheme="minorEastAsia" w:hAnsiTheme="minorEastAsia" w:eastAsiaTheme="minorEastAsia"/>
          <w:sz w:val="24"/>
        </w:rPr>
        <w:t xml:space="preserve"> </w:t>
      </w:r>
    </w:p>
    <w:p>
      <w:pPr>
        <w:numPr>
          <w:ilvl w:val="0"/>
          <w:numId w:val="53"/>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舞台要求：</w:t>
      </w:r>
    </w:p>
    <w:p>
      <w:pPr>
        <w:numPr>
          <w:ilvl w:val="0"/>
          <w:numId w:val="55"/>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供应商负责根据采购人指定的演出场所进行租赁，所需费用包含在本次报价中；</w:t>
      </w:r>
    </w:p>
    <w:p>
      <w:pPr>
        <w:numPr>
          <w:ilvl w:val="0"/>
          <w:numId w:val="55"/>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供应商根据采购人要求或提供的标准格式制作演出活动所需的相关材料（如：舞台背景板、横幅、节目单等）；</w:t>
      </w:r>
    </w:p>
    <w:p>
      <w:pPr>
        <w:numPr>
          <w:ilvl w:val="0"/>
          <w:numId w:val="55"/>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供应商提供保障演出所需可同时满足千人观看品质优良的音响设备清单</w:t>
      </w:r>
      <w:r>
        <w:rPr>
          <w:rFonts w:hint="eastAsia" w:asciiTheme="minorEastAsia" w:hAnsiTheme="minorEastAsia" w:eastAsiaTheme="minorEastAsia"/>
          <w:b/>
          <w:bCs/>
          <w:sz w:val="24"/>
        </w:rPr>
        <w:t>（响应文件中列出设备清单）</w:t>
      </w:r>
      <w:r>
        <w:rPr>
          <w:rFonts w:hint="eastAsia" w:asciiTheme="minorEastAsia" w:hAnsiTheme="minorEastAsia" w:eastAsiaTheme="minorEastAsia"/>
          <w:sz w:val="24"/>
        </w:rPr>
        <w:t>；</w:t>
      </w:r>
    </w:p>
    <w:p>
      <w:pPr>
        <w:pStyle w:val="2"/>
        <w:numPr>
          <w:ilvl w:val="0"/>
          <w:numId w:val="55"/>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供应商负责每场次演出的专业音响、灯光等设备的安装调试工作，保证演出的顺利进行</w:t>
      </w:r>
      <w:r>
        <w:rPr>
          <w:rFonts w:hint="eastAsia" w:asciiTheme="minorEastAsia" w:hAnsiTheme="minorEastAsia" w:eastAsiaTheme="minorEastAsia"/>
          <w:sz w:val="24"/>
          <w:lang w:eastAsia="zh-CN"/>
        </w:rPr>
        <w:t>；</w:t>
      </w:r>
    </w:p>
    <w:p>
      <w:pPr>
        <w:pStyle w:val="2"/>
        <w:numPr>
          <w:ilvl w:val="0"/>
          <w:numId w:val="55"/>
        </w:numPr>
        <w:spacing w:after="0"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供应商提供三个机位加摇臂机位。</w:t>
      </w:r>
    </w:p>
    <w:p>
      <w:pPr>
        <w:numPr>
          <w:ilvl w:val="0"/>
          <w:numId w:val="53"/>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演出人员要求：</w:t>
      </w:r>
      <w:r>
        <w:rPr>
          <w:rFonts w:hint="eastAsia" w:ascii="_5b8b_4f53" w:hAnsi="_5b8b_4f53" w:cs="宋体"/>
          <w:kern w:val="0"/>
          <w:szCs w:val="21"/>
        </w:rPr>
        <w:t>（说明：提供人员配置表）</w:t>
      </w:r>
    </w:p>
    <w:p>
      <w:pPr>
        <w:numPr>
          <w:ilvl w:val="0"/>
          <w:numId w:val="56"/>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演出单位组织的演出队伍必须是自己公司团队，不能外包，且受过艺术院校教育或受过专门艺术训练的专业演员组成</w:t>
      </w:r>
      <w:r>
        <w:rPr>
          <w:rFonts w:hint="eastAsia" w:asciiTheme="minorEastAsia" w:hAnsiTheme="minorEastAsia" w:eastAsiaTheme="minorEastAsia"/>
          <w:b/>
          <w:bCs/>
          <w:sz w:val="24"/>
        </w:rPr>
        <w:t>（需提供学历证书或其他证明受过专门艺术训练的材料）</w:t>
      </w:r>
      <w:r>
        <w:rPr>
          <w:rFonts w:hint="eastAsia" w:asciiTheme="minorEastAsia" w:hAnsiTheme="minorEastAsia" w:eastAsiaTheme="minorEastAsia"/>
          <w:sz w:val="24"/>
        </w:rPr>
        <w:t>；</w:t>
      </w:r>
    </w:p>
    <w:p>
      <w:pPr>
        <w:numPr>
          <w:ilvl w:val="0"/>
          <w:numId w:val="56"/>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有国家级或者省市级大型综合活动组织的经验。</w:t>
      </w:r>
    </w:p>
    <w:p>
      <w:pPr>
        <w:numPr>
          <w:ilvl w:val="0"/>
          <w:numId w:val="56"/>
        </w:numPr>
        <w:spacing w:line="360" w:lineRule="auto"/>
        <w:ind w:left="0" w:leftChars="0"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每场次演出参演人数不得低于30人（不包括：音响灯光师、主持人、后勤保障人员、领队及其他剧务人员等）；</w:t>
      </w:r>
      <w:r>
        <w:rPr>
          <w:rFonts w:asciiTheme="minorEastAsia" w:hAnsiTheme="minorEastAsia" w:eastAsiaTheme="minorEastAsia"/>
          <w:color w:val="auto"/>
          <w:sz w:val="24"/>
        </w:rPr>
        <w:t xml:space="preserve"> </w:t>
      </w:r>
    </w:p>
    <w:p>
      <w:pPr>
        <w:numPr>
          <w:ilvl w:val="0"/>
          <w:numId w:val="56"/>
        </w:numPr>
        <w:spacing w:line="360" w:lineRule="auto"/>
        <w:ind w:left="0" w:leftChars="0" w:firstLine="420" w:firstLineChars="0"/>
        <w:rPr>
          <w:rFonts w:asciiTheme="minorEastAsia" w:hAnsiTheme="minorEastAsia" w:eastAsiaTheme="minorEastAsia"/>
          <w:spacing w:val="-4"/>
          <w:sz w:val="24"/>
        </w:rPr>
      </w:pPr>
      <w:r>
        <w:rPr>
          <w:rFonts w:hint="eastAsia" w:asciiTheme="minorEastAsia" w:hAnsiTheme="minorEastAsia" w:eastAsiaTheme="minorEastAsia"/>
          <w:spacing w:val="-4"/>
          <w:sz w:val="24"/>
        </w:rPr>
        <w:t>每场次演出需配备专业主持人至少１名、音响灯光师和剧务人员及后勤保障人员不少于5人</w:t>
      </w:r>
      <w:r>
        <w:rPr>
          <w:rFonts w:hint="eastAsia" w:asciiTheme="minorEastAsia" w:hAnsiTheme="minorEastAsia" w:eastAsiaTheme="minorEastAsia"/>
          <w:spacing w:val="-4"/>
          <w:sz w:val="24"/>
          <w:lang w:eastAsia="zh-CN"/>
        </w:rPr>
        <w:t>。</w:t>
      </w:r>
      <w:r>
        <w:rPr>
          <w:rFonts w:asciiTheme="minorEastAsia" w:hAnsiTheme="minorEastAsia" w:eastAsiaTheme="minorEastAsia"/>
          <w:sz w:val="24"/>
        </w:rPr>
        <w:t xml:space="preserve"> </w:t>
      </w:r>
    </w:p>
    <w:p>
      <w:pPr>
        <w:numPr>
          <w:ilvl w:val="0"/>
          <w:numId w:val="53"/>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影像资料要求：</w:t>
      </w:r>
    </w:p>
    <w:p>
      <w:pPr>
        <w:numPr>
          <w:ilvl w:val="0"/>
          <w:numId w:val="57"/>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供应商负责提供每场次现场演出视频，视频必须高清有字幕；</w:t>
      </w:r>
    </w:p>
    <w:p>
      <w:pPr>
        <w:numPr>
          <w:ilvl w:val="0"/>
          <w:numId w:val="57"/>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供应商负责提供每场次现场演出照片不少于5张；</w:t>
      </w:r>
    </w:p>
    <w:p>
      <w:pPr>
        <w:pStyle w:val="2"/>
        <w:numPr>
          <w:ilvl w:val="0"/>
          <w:numId w:val="57"/>
        </w:numPr>
        <w:spacing w:after="0" w:line="360" w:lineRule="auto"/>
        <w:ind w:left="0" w:leftChars="0" w:firstLine="420" w:firstLineChars="0"/>
        <w:rPr>
          <w:rFonts w:hint="eastAsia" w:asciiTheme="minorEastAsia" w:hAnsiTheme="minorEastAsia" w:eastAsiaTheme="minorEastAsia"/>
          <w:sz w:val="24"/>
        </w:rPr>
      </w:pPr>
      <w:r>
        <w:rPr>
          <w:rFonts w:hint="eastAsia" w:asciiTheme="minorEastAsia" w:hAnsiTheme="minorEastAsia" w:eastAsiaTheme="minorEastAsia"/>
          <w:sz w:val="24"/>
        </w:rPr>
        <w:t>供应商在项目全部结束后需提供一份项目结案报告；</w:t>
      </w:r>
    </w:p>
    <w:p>
      <w:pPr>
        <w:pStyle w:val="2"/>
        <w:numPr>
          <w:ilvl w:val="0"/>
          <w:numId w:val="57"/>
        </w:numPr>
        <w:spacing w:after="0" w:line="360" w:lineRule="auto"/>
        <w:ind w:left="0" w:leftChars="0" w:firstLine="420" w:firstLineChars="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供应商在项目全部结束后需提供《群众意见回馈表》（不低于50份）</w:t>
      </w:r>
      <w:r>
        <w:rPr>
          <w:rFonts w:hint="eastAsia" w:asciiTheme="minorEastAsia" w:hAnsiTheme="minorEastAsia" w:eastAsiaTheme="minorEastAsia"/>
          <w:color w:val="auto"/>
          <w:sz w:val="24"/>
          <w:lang w:eastAsia="zh-CN"/>
        </w:rPr>
        <w:t>。</w:t>
      </w:r>
    </w:p>
    <w:p>
      <w:pPr>
        <w:numPr>
          <w:ilvl w:val="0"/>
          <w:numId w:val="53"/>
        </w:numPr>
        <w:spacing w:line="360" w:lineRule="auto"/>
        <w:ind w:left="0" w:leftChars="0" w:firstLine="420" w:firstLineChars="0"/>
        <w:rPr>
          <w:rFonts w:asciiTheme="minorEastAsia" w:hAnsiTheme="minorEastAsia" w:eastAsiaTheme="minorEastAsia"/>
          <w:b/>
          <w:sz w:val="24"/>
        </w:rPr>
      </w:pPr>
      <w:r>
        <w:rPr>
          <w:rFonts w:hint="eastAsia" w:asciiTheme="minorEastAsia" w:hAnsiTheme="minorEastAsia" w:eastAsiaTheme="minorEastAsia"/>
          <w:b/>
          <w:sz w:val="24"/>
        </w:rPr>
        <w:t>其他</w:t>
      </w:r>
      <w:r>
        <w:rPr>
          <w:rFonts w:asciiTheme="minorEastAsia" w:hAnsiTheme="minorEastAsia" w:eastAsiaTheme="minorEastAsia"/>
          <w:b/>
          <w:sz w:val="24"/>
        </w:rPr>
        <w:t>服务要求</w:t>
      </w:r>
    </w:p>
    <w:p>
      <w:pPr>
        <w:pStyle w:val="2"/>
        <w:numPr>
          <w:ilvl w:val="0"/>
          <w:numId w:val="58"/>
        </w:numPr>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文艺演出服务内容健康，有利于社会和谐稳定。</w:t>
      </w:r>
    </w:p>
    <w:p>
      <w:pPr>
        <w:numPr>
          <w:ilvl w:val="0"/>
          <w:numId w:val="58"/>
        </w:numPr>
        <w:spacing w:line="360" w:lineRule="auto"/>
        <w:ind w:left="0" w:leftChars="0" w:firstLine="420" w:firstLineChars="0"/>
        <w:rPr>
          <w:rFonts w:asciiTheme="minorEastAsia" w:hAnsiTheme="minorEastAsia" w:eastAsiaTheme="minorEastAsia"/>
          <w:bCs/>
          <w:sz w:val="24"/>
        </w:rPr>
      </w:pPr>
      <w:r>
        <w:rPr>
          <w:rFonts w:hint="eastAsia" w:asciiTheme="minorEastAsia" w:hAnsiTheme="minorEastAsia" w:eastAsiaTheme="minorEastAsia"/>
          <w:sz w:val="24"/>
        </w:rPr>
        <w:t>供应商</w:t>
      </w:r>
      <w:r>
        <w:rPr>
          <w:rFonts w:hint="eastAsia" w:asciiTheme="minorEastAsia" w:hAnsiTheme="minorEastAsia" w:eastAsiaTheme="minorEastAsia"/>
          <w:bCs/>
          <w:sz w:val="24"/>
        </w:rPr>
        <w:t>负责演出期间所产生的全体演职人员的交通、食宿、劳务等费用。</w:t>
      </w:r>
    </w:p>
    <w:p>
      <w:pPr>
        <w:numPr>
          <w:ilvl w:val="0"/>
          <w:numId w:val="58"/>
        </w:numPr>
        <w:spacing w:line="360" w:lineRule="auto"/>
        <w:ind w:left="0" w:leftChars="0" w:firstLine="420" w:firstLineChars="0"/>
        <w:rPr>
          <w:rFonts w:asciiTheme="minorEastAsia" w:hAnsiTheme="minorEastAsia" w:eastAsiaTheme="minorEastAsia"/>
          <w:sz w:val="24"/>
        </w:rPr>
      </w:pPr>
      <w:r>
        <w:rPr>
          <w:rFonts w:hint="eastAsia" w:asciiTheme="minorEastAsia" w:hAnsiTheme="minorEastAsia" w:eastAsiaTheme="minorEastAsia"/>
          <w:sz w:val="24"/>
        </w:rPr>
        <w:t>供应商</w:t>
      </w:r>
      <w:r>
        <w:rPr>
          <w:rFonts w:hint="eastAsia" w:asciiTheme="minorEastAsia" w:hAnsiTheme="minorEastAsia" w:eastAsiaTheme="minorEastAsia"/>
          <w:bCs/>
          <w:sz w:val="24"/>
        </w:rPr>
        <w:t>负责每场次演出演职人员安全。</w:t>
      </w:r>
    </w:p>
    <w:bookmarkEnd w:id="286"/>
    <w:p>
      <w:pPr>
        <w:pStyle w:val="4"/>
        <w:rPr>
          <w:color w:val="auto"/>
          <w:sz w:val="24"/>
          <w:szCs w:val="24"/>
          <w:highlight w:val="none"/>
        </w:rPr>
      </w:pPr>
      <w:bookmarkStart w:id="288" w:name="_Toc16207"/>
      <w:bookmarkStart w:id="289" w:name="_Toc26098"/>
      <w:r>
        <w:rPr>
          <w:rFonts w:hint="eastAsia"/>
          <w:color w:val="auto"/>
          <w:sz w:val="24"/>
          <w:szCs w:val="24"/>
          <w:highlight w:val="none"/>
        </w:rPr>
        <w:t>商务要求</w:t>
      </w:r>
      <w:bookmarkEnd w:id="288"/>
      <w:bookmarkEnd w:id="289"/>
    </w:p>
    <w:p>
      <w:pPr>
        <w:pStyle w:val="5"/>
        <w:bidi w:val="0"/>
        <w:ind w:left="0" w:leftChars="0" w:firstLine="482" w:firstLineChars="200"/>
        <w:rPr>
          <w:color w:val="auto"/>
          <w:highlight w:val="none"/>
        </w:rPr>
      </w:pPr>
      <w:r>
        <w:rPr>
          <w:rFonts w:hint="eastAsia"/>
          <w:color w:val="auto"/>
          <w:highlight w:val="none"/>
          <w:lang w:val="en-US" w:eastAsia="zh-CN"/>
        </w:rPr>
        <w:t>服务期限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合同签订后一年</w:t>
      </w:r>
      <w:r>
        <w:rPr>
          <w:rFonts w:ascii="宋体" w:hAnsi="宋体" w:cs="宋体"/>
          <w:sz w:val="24"/>
          <w:highlight w:val="none"/>
        </w:rPr>
        <w:t>。</w:t>
      </w:r>
    </w:p>
    <w:p>
      <w:pPr>
        <w:pStyle w:val="5"/>
        <w:bidi w:val="0"/>
        <w:ind w:left="0" w:leftChars="0" w:firstLine="482" w:firstLineChars="200"/>
        <w:rPr>
          <w:color w:val="auto"/>
          <w:highlight w:val="none"/>
        </w:rPr>
      </w:pPr>
      <w:r>
        <w:rPr>
          <w:rFonts w:hint="eastAsia"/>
          <w:color w:val="auto"/>
          <w:highlight w:val="none"/>
          <w:lang w:val="en-US" w:eastAsia="zh-CN"/>
        </w:rPr>
        <w:t>服务地点</w:t>
      </w:r>
    </w:p>
    <w:p>
      <w:pPr>
        <w:ind w:firstLine="480" w:firstLineChars="200"/>
      </w:pPr>
      <w:r>
        <w:rPr>
          <w:rFonts w:hAnsi="宋体"/>
          <w:bCs/>
          <w:sz w:val="24"/>
        </w:rPr>
        <w:t>成都市</w:t>
      </w:r>
      <w:r>
        <w:rPr>
          <w:rFonts w:hint="eastAsia" w:hAnsi="宋体"/>
          <w:bCs/>
          <w:sz w:val="24"/>
        </w:rPr>
        <w:t>龙泉驿区行政区域内，</w:t>
      </w:r>
      <w:r>
        <w:rPr>
          <w:rFonts w:hAnsi="宋体"/>
          <w:bCs/>
          <w:sz w:val="24"/>
        </w:rPr>
        <w:t>由</w:t>
      </w:r>
      <w:r>
        <w:rPr>
          <w:rFonts w:hint="eastAsia" w:hAnsi="宋体"/>
          <w:bCs/>
          <w:sz w:val="24"/>
        </w:rPr>
        <w:t>采购人预约或指定地点。</w:t>
      </w:r>
    </w:p>
    <w:p>
      <w:pPr>
        <w:pStyle w:val="5"/>
        <w:bidi w:val="0"/>
        <w:ind w:left="0" w:leftChars="0" w:firstLine="482" w:firstLineChars="200"/>
        <w:rPr>
          <w:color w:val="auto"/>
          <w:highlight w:val="none"/>
        </w:rPr>
      </w:pPr>
      <w:r>
        <w:rPr>
          <w:rFonts w:hint="eastAsia" w:ascii="宋体" w:hAnsi="宋体" w:eastAsia="宋体" w:cs="宋体"/>
          <w:color w:val="auto"/>
          <w:sz w:val="24"/>
          <w:szCs w:val="24"/>
          <w:highlight w:val="none"/>
          <w:lang w:bidi="ar-SA"/>
        </w:rPr>
        <w:t>付款</w:t>
      </w:r>
      <w:r>
        <w:rPr>
          <w:rFonts w:hint="eastAsia" w:cs="宋体"/>
          <w:color w:val="auto"/>
          <w:sz w:val="24"/>
          <w:szCs w:val="24"/>
          <w:highlight w:val="none"/>
          <w:lang w:val="en-US" w:eastAsia="zh-CN" w:bidi="ar-SA"/>
        </w:rPr>
        <w:t>方法和条件</w:t>
      </w:r>
    </w:p>
    <w:p>
      <w:pPr>
        <w:pStyle w:val="2"/>
        <w:spacing w:after="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eastAsia="zh-CN"/>
        </w:rPr>
        <w:t>付款方法：</w:t>
      </w:r>
      <w:r>
        <w:rPr>
          <w:rFonts w:hint="eastAsia" w:asciiTheme="minorEastAsia" w:hAnsiTheme="minorEastAsia" w:eastAsiaTheme="minorEastAsia"/>
          <w:bCs/>
          <w:sz w:val="24"/>
        </w:rPr>
        <w:t>所有演出场次结束</w:t>
      </w:r>
      <w:r>
        <w:rPr>
          <w:rFonts w:asciiTheme="minorEastAsia" w:hAnsiTheme="minorEastAsia" w:eastAsiaTheme="minorEastAsia"/>
          <w:bCs/>
          <w:sz w:val="24"/>
        </w:rPr>
        <w:t>并验收合格后</w:t>
      </w:r>
      <w:r>
        <w:rPr>
          <w:rFonts w:hint="eastAsia" w:asciiTheme="minorEastAsia" w:hAnsiTheme="minorEastAsia" w:eastAsiaTheme="minorEastAsia"/>
          <w:bCs/>
          <w:sz w:val="24"/>
        </w:rPr>
        <w:t>15个工作日</w:t>
      </w:r>
      <w:r>
        <w:rPr>
          <w:rFonts w:asciiTheme="minorEastAsia" w:hAnsiTheme="minorEastAsia" w:eastAsiaTheme="minorEastAsia"/>
          <w:bCs/>
          <w:sz w:val="24"/>
        </w:rPr>
        <w:t>内支付合同总</w:t>
      </w:r>
      <w:r>
        <w:rPr>
          <w:rFonts w:hint="eastAsia" w:asciiTheme="minorEastAsia" w:hAnsiTheme="minorEastAsia" w:eastAsiaTheme="minorEastAsia"/>
          <w:bCs/>
          <w:sz w:val="24"/>
        </w:rPr>
        <w:t>金额</w:t>
      </w:r>
      <w:r>
        <w:rPr>
          <w:rFonts w:asciiTheme="minorEastAsia" w:hAnsiTheme="minorEastAsia" w:eastAsiaTheme="minorEastAsia"/>
          <w:bCs/>
          <w:sz w:val="24"/>
        </w:rPr>
        <w:t>的</w:t>
      </w:r>
      <w:r>
        <w:rPr>
          <w:rFonts w:hint="eastAsia" w:asciiTheme="minorEastAsia" w:hAnsiTheme="minorEastAsia" w:eastAsiaTheme="minorEastAsia"/>
          <w:bCs/>
          <w:sz w:val="24"/>
        </w:rPr>
        <w:t>100</w:t>
      </w:r>
      <w:r>
        <w:rPr>
          <w:rFonts w:asciiTheme="minorEastAsia" w:hAnsiTheme="minorEastAsia" w:eastAsiaTheme="minorEastAsia"/>
          <w:bCs/>
          <w:sz w:val="24"/>
        </w:rPr>
        <w:t>%</w:t>
      </w:r>
      <w:r>
        <w:rPr>
          <w:rFonts w:hint="eastAsia" w:asciiTheme="minorEastAsia" w:hAnsiTheme="minorEastAsia" w:eastAsiaTheme="minorEastAsia"/>
          <w:bCs/>
          <w:sz w:val="24"/>
        </w:rPr>
        <w:t>。</w:t>
      </w:r>
    </w:p>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付款条件：款项的支付前提为采购人在收到成交人出具的正规发票后予以办理。</w:t>
      </w:r>
    </w:p>
    <w:p>
      <w:pPr>
        <w:pStyle w:val="2"/>
        <w:spacing w:after="0" w:line="360" w:lineRule="auto"/>
        <w:ind w:firstLine="480" w:firstLineChars="200"/>
        <w:rPr>
          <w:rFonts w:hAnsi="宋体"/>
          <w:bCs/>
          <w:sz w:val="24"/>
        </w:rPr>
      </w:pPr>
      <w:r>
        <w:rPr>
          <w:rFonts w:hint="eastAsia" w:asciiTheme="minorEastAsia" w:hAnsiTheme="minorEastAsia" w:eastAsiaTheme="minorEastAsia"/>
          <w:bCs/>
          <w:sz w:val="24"/>
        </w:rPr>
        <w:t>逾期支付责任：采购人不得以机构变动、人员更替、政策调整等为由延迟付款，不得将采购文件和合同中未规定的义务作为向供应商付款的条件。采购人逾期付款的，依据相关规定承担相关责任。</w:t>
      </w:r>
    </w:p>
    <w:p/>
    <w:p>
      <w:pPr>
        <w:pStyle w:val="5"/>
        <w:bidi w:val="0"/>
        <w:ind w:left="0" w:leftChars="0" w:firstLine="482" w:firstLineChars="200"/>
        <w:rPr>
          <w:rFonts w:ascii="宋体" w:hAnsi="宋体" w:cs="宋体"/>
          <w:b/>
          <w:bCs/>
          <w:color w:val="auto"/>
          <w:highlight w:val="none"/>
        </w:rPr>
      </w:pPr>
      <w:bookmarkStart w:id="290" w:name="_Toc21146"/>
      <w:r>
        <w:rPr>
          <w:rFonts w:hint="eastAsia" w:cs="宋体"/>
          <w:b/>
          <w:bCs/>
          <w:color w:val="auto"/>
          <w:highlight w:val="none"/>
          <w:lang w:val="en-US" w:eastAsia="zh-CN"/>
        </w:rPr>
        <w:t>验收要求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Ansi="宋体"/>
          <w:bCs/>
          <w:sz w:val="24"/>
        </w:rPr>
        <w:t>根据采购</w:t>
      </w:r>
      <w:r>
        <w:rPr>
          <w:rFonts w:hint="eastAsia" w:hAnsi="宋体"/>
          <w:bCs/>
          <w:sz w:val="24"/>
        </w:rPr>
        <w:t>文件</w:t>
      </w:r>
      <w:r>
        <w:rPr>
          <w:rFonts w:hAnsi="宋体"/>
          <w:bCs/>
          <w:sz w:val="24"/>
        </w:rPr>
        <w:t>要求、</w:t>
      </w:r>
      <w:r>
        <w:rPr>
          <w:rFonts w:hint="eastAsia" w:hAnsi="宋体"/>
          <w:bCs/>
          <w:sz w:val="24"/>
        </w:rPr>
        <w:t>应答</w:t>
      </w:r>
      <w:r>
        <w:rPr>
          <w:rFonts w:hAnsi="宋体"/>
          <w:bCs/>
          <w:sz w:val="24"/>
        </w:rPr>
        <w:t>文件响应及</w:t>
      </w:r>
      <w:r>
        <w:rPr>
          <w:rFonts w:hint="eastAsia" w:hAnsi="宋体"/>
          <w:bCs/>
          <w:sz w:val="24"/>
        </w:rPr>
        <w:t>国家</w:t>
      </w:r>
      <w:r>
        <w:rPr>
          <w:rFonts w:hAnsi="宋体"/>
          <w:bCs/>
          <w:sz w:val="24"/>
        </w:rPr>
        <w:t>和行业相关标准进行验收。</w:t>
      </w:r>
      <w:r>
        <w:rPr>
          <w:rFonts w:hint="eastAsia" w:hAnsi="宋体"/>
          <w:bCs/>
          <w:sz w:val="24"/>
          <w:lang w:val="en-US" w:eastAsia="zh-CN"/>
        </w:rPr>
        <w:t>其他未尽事宜</w:t>
      </w:r>
      <w:r>
        <w:rPr>
          <w:rFonts w:hint="eastAsia" w:ascii="宋体" w:hAnsi="宋体" w:cs="宋体"/>
          <w:color w:val="auto"/>
          <w:sz w:val="24"/>
          <w:szCs w:val="24"/>
          <w:highlight w:val="none"/>
          <w:lang w:val="en-US" w:eastAsia="zh-CN"/>
        </w:rPr>
        <w:t>按照《财政部关于进一步加强政府采购需求和履约验收管理的指导意见》（财库[2016]205号）</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rPr>
        <w:t>。</w:t>
      </w:r>
    </w:p>
    <w:p>
      <w:pPr>
        <w:pStyle w:val="5"/>
        <w:bidi w:val="0"/>
        <w:ind w:left="0" w:leftChars="0" w:firstLine="482" w:firstLineChars="200"/>
        <w:rPr>
          <w:rFonts w:ascii="宋体" w:hAnsi="宋体" w:cs="宋体"/>
          <w:b/>
          <w:bCs/>
          <w:color w:val="auto"/>
          <w:highlight w:val="none"/>
        </w:rPr>
      </w:pPr>
      <w:r>
        <w:rPr>
          <w:rFonts w:hint="eastAsia" w:ascii="宋体" w:hAnsi="宋体" w:cs="宋体"/>
          <w:b/>
          <w:bCs/>
          <w:color w:val="auto"/>
          <w:highlight w:val="none"/>
        </w:rPr>
        <w:t>最高限价</w:t>
      </w:r>
      <w:bookmarkEnd w:id="290"/>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color w:val="auto"/>
          <w:highlight w:val="none"/>
        </w:rPr>
      </w:pPr>
      <w:r>
        <w:rPr>
          <w:rFonts w:hint="eastAsia" w:ascii="宋体" w:hAnsi="宋体" w:eastAsia="宋体" w:cs="宋体"/>
          <w:b/>
          <w:color w:val="auto"/>
          <w:kern w:val="0"/>
          <w:sz w:val="24"/>
          <w:szCs w:val="24"/>
          <w:highlight w:val="none"/>
        </w:rPr>
        <w:t>★本项目</w:t>
      </w:r>
      <w:r>
        <w:rPr>
          <w:rFonts w:hint="eastAsia" w:ascii="宋体" w:hAnsi="宋体" w:cs="宋体"/>
          <w:b/>
          <w:color w:val="auto"/>
          <w:kern w:val="0"/>
          <w:sz w:val="24"/>
          <w:szCs w:val="24"/>
          <w:highlight w:val="none"/>
          <w:lang w:val="en-US" w:eastAsia="zh-CN"/>
        </w:rPr>
        <w:t>包件1最高限价</w:t>
      </w:r>
      <w:r>
        <w:rPr>
          <w:rFonts w:hint="eastAsia" w:ascii="宋体" w:hAnsi="宋体" w:eastAsia="宋体" w:cs="宋体"/>
          <w:b/>
          <w:color w:val="auto"/>
          <w:kern w:val="0"/>
          <w:sz w:val="24"/>
          <w:szCs w:val="24"/>
          <w:highlight w:val="none"/>
        </w:rPr>
        <w:t>12.4</w:t>
      </w:r>
      <w:r>
        <w:rPr>
          <w:rFonts w:hint="eastAsia" w:ascii="宋体" w:hAnsi="宋体" w:eastAsia="宋体" w:cs="宋体"/>
          <w:b/>
          <w:color w:val="auto"/>
          <w:kern w:val="0"/>
          <w:sz w:val="24"/>
          <w:szCs w:val="24"/>
          <w:highlight w:val="none"/>
          <w:lang w:val="en-US" w:eastAsia="zh-CN"/>
        </w:rPr>
        <w:t>万元；包件2最高限价</w:t>
      </w:r>
      <w:r>
        <w:rPr>
          <w:rFonts w:hint="eastAsia" w:ascii="宋体" w:hAnsi="宋体" w:eastAsia="宋体" w:cs="宋体"/>
          <w:b/>
          <w:color w:val="auto"/>
          <w:kern w:val="0"/>
          <w:sz w:val="24"/>
          <w:szCs w:val="24"/>
          <w:highlight w:val="none"/>
        </w:rPr>
        <w:t>25.6</w:t>
      </w:r>
      <w:r>
        <w:rPr>
          <w:rFonts w:hint="eastAsia" w:ascii="宋体" w:hAnsi="宋体" w:eastAsia="宋体" w:cs="宋体"/>
          <w:b/>
          <w:color w:val="auto"/>
          <w:kern w:val="0"/>
          <w:sz w:val="24"/>
          <w:szCs w:val="24"/>
          <w:highlight w:val="none"/>
          <w:lang w:val="en-US" w:eastAsia="zh-CN"/>
        </w:rPr>
        <w:t>万元；包件3最高限价12万元，各包报价高于对应包件最高限价的</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其</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文件将按无效</w:t>
      </w:r>
      <w:r>
        <w:rPr>
          <w:rFonts w:hint="eastAsia" w:ascii="宋体" w:hAnsi="宋体" w:eastAsia="宋体" w:cs="宋体"/>
          <w:b/>
          <w:color w:val="auto"/>
          <w:kern w:val="0"/>
          <w:sz w:val="24"/>
          <w:szCs w:val="24"/>
          <w:highlight w:val="none"/>
          <w:lang w:eastAsia="zh-CN"/>
        </w:rPr>
        <w:t>响应</w:t>
      </w:r>
      <w:r>
        <w:rPr>
          <w:rFonts w:hint="eastAsia" w:ascii="宋体" w:hAnsi="宋体" w:eastAsia="宋体" w:cs="宋体"/>
          <w:b/>
          <w:color w:val="auto"/>
          <w:kern w:val="0"/>
          <w:sz w:val="24"/>
          <w:szCs w:val="24"/>
          <w:highlight w:val="none"/>
        </w:rPr>
        <w:t>文件处理。</w:t>
      </w:r>
      <w:r>
        <w:rPr>
          <w:rFonts w:hint="eastAsia" w:ascii="宋体" w:hAnsi="宋体"/>
          <w:b/>
          <w:color w:val="auto"/>
          <w:sz w:val="28"/>
          <w:szCs w:val="28"/>
          <w:highlight w:val="none"/>
        </w:rPr>
        <w:t xml:space="preserve"> </w:t>
      </w:r>
    </w:p>
    <w:p>
      <w:pPr>
        <w:pStyle w:val="2"/>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注：本章及合同条款均属于磋商内容，在磋商过程中均可变更（含实质性变更）。</w:t>
      </w:r>
    </w:p>
    <w:p>
      <w:pPr>
        <w:pStyle w:val="2"/>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本章加★条款为采购项目实质性要求，不允许有负偏离。</w:t>
      </w:r>
    </w:p>
    <w:p>
      <w:pPr>
        <w:pStyle w:val="2"/>
        <w:spacing w:line="360" w:lineRule="auto"/>
        <w:ind w:firstLine="964" w:firstLineChars="400"/>
        <w:rPr>
          <w:rFonts w:hint="eastAsia" w:ascii="宋体" w:hAnsi="宋体" w:cs="宋体"/>
          <w:b/>
          <w:color w:val="auto"/>
          <w:highlight w:val="none"/>
        </w:rPr>
      </w:pPr>
      <w:r>
        <w:rPr>
          <w:rFonts w:hint="eastAsia" w:ascii="宋体" w:hAnsi="宋体" w:cs="宋体"/>
          <w:b/>
          <w:color w:val="auto"/>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
      <w:pPr>
        <w:pStyle w:val="3"/>
        <w:rPr>
          <w:color w:val="auto"/>
          <w:highlight w:val="none"/>
        </w:rPr>
      </w:pPr>
      <w:bookmarkStart w:id="291" w:name="_Toc238581781"/>
      <w:bookmarkStart w:id="292" w:name="_Toc24916"/>
      <w:r>
        <w:rPr>
          <w:rFonts w:hint="eastAsia"/>
          <w:color w:val="auto"/>
          <w:highlight w:val="none"/>
        </w:rPr>
        <w:t>响应</w:t>
      </w:r>
      <w:bookmarkEnd w:id="291"/>
      <w:r>
        <w:rPr>
          <w:rFonts w:hint="eastAsia"/>
          <w:color w:val="auto"/>
          <w:highlight w:val="none"/>
        </w:rPr>
        <w:t>文件格式</w:t>
      </w:r>
      <w:bookmarkEnd w:id="292"/>
    </w:p>
    <w:p>
      <w:pPr>
        <w:pStyle w:val="4"/>
        <w:rPr>
          <w:color w:val="auto"/>
          <w:highlight w:val="none"/>
        </w:rPr>
      </w:pPr>
      <w:bookmarkStart w:id="293" w:name="_Toc26810"/>
      <w:r>
        <w:rPr>
          <w:rFonts w:hint="eastAsia"/>
          <w:color w:val="auto"/>
          <w:highlight w:val="none"/>
        </w:rPr>
        <w:t>资格性响应文件格式</w:t>
      </w:r>
      <w:bookmarkEnd w:id="293"/>
    </w:p>
    <w:p>
      <w:pPr>
        <w:pStyle w:val="5"/>
        <w:ind w:firstLine="482"/>
        <w:rPr>
          <w:color w:val="auto"/>
          <w:highlight w:val="none"/>
        </w:rPr>
      </w:pPr>
      <w:bookmarkStart w:id="294" w:name="_Toc320698761"/>
      <w:r>
        <w:rPr>
          <w:rFonts w:hint="eastAsia"/>
          <w:color w:val="auto"/>
          <w:highlight w:val="none"/>
        </w:rPr>
        <w:t>资格性响应件密封包装最外层格式</w:t>
      </w:r>
      <w:bookmarkEnd w:id="294"/>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成都市龙泉驿区文化体育和旅游局龙泉驿区2021年公益性文艺演出服务采购项目（第三次）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bookmarkStart w:id="295" w:name="_Toc320698762"/>
      <w:r>
        <w:rPr>
          <w:rFonts w:hint="eastAsia"/>
          <w:color w:val="auto"/>
          <w:highlight w:val="none"/>
        </w:rPr>
        <w:t>资格性响应文件封面格式</w:t>
      </w:r>
      <w:bookmarkEnd w:id="295"/>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成都市龙泉驿区文化体育和旅游局龙泉驿区2021年公益性文艺演出服务采购项目（第三次）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59"/>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59"/>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59"/>
        </w:numPr>
        <w:spacing w:line="360" w:lineRule="auto"/>
        <w:ind w:firstLine="482" w:firstLineChars="20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59"/>
        </w:numPr>
        <w:spacing w:line="360" w:lineRule="auto"/>
        <w:ind w:left="5" w:firstLine="716" w:firstLineChars="297"/>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firstLine="482"/>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296" w:name="_Toc238581782"/>
      <w:bookmarkStart w:id="297" w:name="_Toc52184753"/>
      <w:bookmarkStart w:id="298" w:name="_Toc119295087"/>
      <w:bookmarkStart w:id="299" w:name="_Toc119296788"/>
      <w:bookmarkStart w:id="300" w:name="_Toc119203988"/>
      <w:bookmarkStart w:id="301" w:name="_Toc146903609"/>
      <w:r>
        <w:rPr>
          <w:rFonts w:hint="eastAsia" w:ascii="宋体" w:hAnsi="宋体"/>
          <w:color w:val="auto"/>
          <w:highlight w:val="none"/>
        </w:rPr>
        <w:t>致：</w:t>
      </w:r>
      <w:bookmarkEnd w:id="296"/>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02"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成都市龙泉驿区文化体育和旅游局龙泉驿区2021年公益性文艺演出服务采购项目（第三次）</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510112202100042</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60"/>
        </w:numPr>
        <w:spacing w:line="360" w:lineRule="auto"/>
        <w:ind w:left="0" w:firstLine="480" w:firstLineChars="200"/>
        <w:rPr>
          <w:rFonts w:ascii="宋体" w:hAnsi="宋体"/>
          <w:color w:val="auto"/>
          <w:highlight w:val="none"/>
        </w:rPr>
      </w:pPr>
      <w:bookmarkStart w:id="303" w:name="_Toc238581784"/>
      <w:r>
        <w:rPr>
          <w:rFonts w:hint="eastAsia" w:ascii="宋体" w:hAnsi="宋体"/>
          <w:color w:val="auto"/>
          <w:highlight w:val="none"/>
        </w:rPr>
        <w:t>供应商名称及概况：</w:t>
      </w:r>
      <w:bookmarkEnd w:id="303"/>
    </w:p>
    <w:p>
      <w:pPr>
        <w:numPr>
          <w:ilvl w:val="0"/>
          <w:numId w:val="61"/>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61"/>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61"/>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61"/>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60"/>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297"/>
    <w:bookmarkEnd w:id="298"/>
    <w:bookmarkEnd w:id="299"/>
    <w:bookmarkEnd w:id="300"/>
    <w:bookmarkEnd w:id="301"/>
    <w:bookmarkEnd w:id="302"/>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firstLine="482"/>
        <w:rPr>
          <w:color w:val="auto"/>
          <w:highlight w:val="none"/>
        </w:rPr>
      </w:pPr>
      <w:bookmarkStart w:id="304"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firstLine="482"/>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firstLine="482"/>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firstLine="482"/>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firstLine="482"/>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62"/>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62"/>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62"/>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规定的失信行为，将在磋商文件中全面如实反映。</w:t>
      </w:r>
    </w:p>
    <w:p>
      <w:pPr>
        <w:widowControl w:val="0"/>
        <w:numPr>
          <w:ilvl w:val="0"/>
          <w:numId w:val="62"/>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62"/>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62"/>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62"/>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62"/>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62"/>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sectPr>
          <w:pgSz w:w="11906" w:h="16838"/>
          <w:pgMar w:top="1440" w:right="1274" w:bottom="1440" w:left="1418" w:header="851" w:footer="992" w:gutter="0"/>
          <w:cols w:space="720" w:num="1"/>
          <w:docGrid w:type="lines" w:linePitch="312" w:charSpace="0"/>
        </w:sectPr>
      </w:pPr>
    </w:p>
    <w:p>
      <w:pPr>
        <w:pStyle w:val="5"/>
        <w:ind w:firstLine="482"/>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为万元，资产总额为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本项目采购标的对应的中小企业划分标准所属行业为其他未列明行业</w:t>
      </w:r>
      <w:r>
        <w:rPr>
          <w:rFonts w:hint="eastAsia" w:ascii="宋体" w:hAnsi="宋体" w:cs="宋体"/>
          <w:b/>
          <w:szCs w:val="24"/>
          <w:highlight w:val="none"/>
          <w:lang w:eastAsia="zh-CN"/>
        </w:rPr>
        <w:t>。</w:t>
      </w:r>
    </w:p>
    <w:p>
      <w:pPr>
        <w:pStyle w:val="5"/>
        <w:ind w:firstLine="482"/>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firstLine="482"/>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文件中附有法定代表人身份证复印件（身份证两面均应复印）或护照复印件（</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的法定代表人为外籍人士的，则提供护照复印件）时才能生效。</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firstLine="482"/>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成都市龙泉驿区文化体育和旅游局龙泉驿区2021年公益性文艺演出服务采购项目（第三次）</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510112202100042</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numPr>
          <w:ilvl w:val="0"/>
          <w:numId w:val="63"/>
        </w:numPr>
        <w:spacing w:line="360" w:lineRule="auto"/>
        <w:ind w:left="0" w:firstLine="482" w:firstLineChars="200"/>
        <w:rPr>
          <w:color w:val="auto"/>
          <w:highlight w:val="none"/>
        </w:rPr>
      </w:pPr>
      <w:r>
        <w:rPr>
          <w:rFonts w:hint="eastAsia" w:ascii="宋体" w:hAnsi="宋体"/>
          <w:b/>
          <w:color w:val="auto"/>
          <w:highlight w:val="none"/>
        </w:rPr>
        <w:br w:type="page"/>
      </w:r>
    </w:p>
    <w:p>
      <w:pPr>
        <w:pStyle w:val="4"/>
        <w:rPr>
          <w:color w:val="auto"/>
          <w:highlight w:val="none"/>
        </w:rPr>
      </w:pPr>
      <w:bookmarkStart w:id="305" w:name="_Toc1690"/>
      <w:bookmarkStart w:id="306" w:name="_Toc448403805"/>
      <w:r>
        <w:rPr>
          <w:rFonts w:hint="eastAsia"/>
          <w:color w:val="auto"/>
          <w:highlight w:val="none"/>
        </w:rPr>
        <w:t>技术、服务性响应文件格式</w:t>
      </w:r>
      <w:bookmarkEnd w:id="305"/>
      <w:bookmarkEnd w:id="306"/>
    </w:p>
    <w:p>
      <w:pPr>
        <w:pStyle w:val="5"/>
        <w:ind w:firstLine="482"/>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成都市龙泉驿区文化体育和旅游局龙泉驿区2021年公益性文艺演出服务采购项目（第三次）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firstLine="482"/>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成都市龙泉驿区文化体育和旅游局龙泉驿区2021年公益性文艺演出服务采购项目（第三次）</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510112202100042</w:t>
            </w:r>
          </w:p>
          <w:p>
            <w:pPr>
              <w:spacing w:line="360" w:lineRule="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spacing w:line="360" w:lineRule="auto"/>
              <w:rPr>
                <w:rFonts w:ascii="宋体" w:hAnsi="宋体"/>
                <w:color w:val="auto"/>
                <w:sz w:val="28"/>
                <w:szCs w:val="28"/>
                <w:highlight w:val="none"/>
              </w:rPr>
            </w:pP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firstLine="482"/>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成都市龙泉驿区文化体育和旅游局龙泉驿区2021年公益性文艺演出服务采购项目（第三次）</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510112202100042</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成都市龙泉驿区文化体育和旅游局龙泉驿区2021年公益性文艺演出服务采购项目（第三次）</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39"/>
        <w:numPr>
          <w:ilvl w:val="1"/>
          <w:numId w:val="64"/>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4"/>
    <w:p>
      <w:pPr>
        <w:pStyle w:val="5"/>
        <w:ind w:firstLine="482"/>
        <w:rPr>
          <w:color w:val="auto"/>
          <w:highlight w:val="none"/>
        </w:rPr>
      </w:pPr>
      <w:bookmarkStart w:id="307" w:name="_Toc320698766"/>
      <w:r>
        <w:rPr>
          <w:rFonts w:hint="eastAsia"/>
          <w:color w:val="auto"/>
          <w:highlight w:val="none"/>
        </w:rPr>
        <w:t>商务、服务条款偏离表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成都市龙泉驿区文化体育和旅游局龙泉驿区2021年公益性文艺演出服务采购项目（第三次）</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rFonts w:hint="eastAsia"/>
          <w:lang w:eastAsia="zh-CN"/>
        </w:rPr>
      </w:pP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竞争性磋商文件的商务、服务条款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响应文件的商务、服务条款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、服务条款响应与竞争性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7"/>
    <w:p>
      <w:pPr>
        <w:pStyle w:val="5"/>
        <w:ind w:firstLine="482"/>
        <w:rPr>
          <w:color w:val="auto"/>
          <w:highlight w:val="none"/>
        </w:rPr>
      </w:pPr>
      <w:bookmarkStart w:id="308" w:name="_Toc360696963"/>
      <w:bookmarkStart w:id="309" w:name="_Toc205604899"/>
      <w:bookmarkStart w:id="310" w:name="_Toc238273564"/>
      <w:bookmarkStart w:id="311" w:name="_Toc236285891"/>
      <w:r>
        <w:rPr>
          <w:rFonts w:hint="eastAsia"/>
          <w:color w:val="auto"/>
          <w:highlight w:val="none"/>
        </w:rPr>
        <w:t>服务方案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成都市龙泉驿区文化体育和旅游局龙泉驿区2021年公益性文艺演出服务采购项目（第三次）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olor w:val="auto"/>
          <w:sz w:val="24"/>
          <w:szCs w:val="24"/>
          <w:highlight w:val="none"/>
        </w:rPr>
      </w:pPr>
    </w:p>
    <w:p>
      <w:pPr>
        <w:pStyle w:val="66"/>
        <w:ind w:firstLine="480" w:firstLineChars="200"/>
        <w:jc w:val="left"/>
        <w:rPr>
          <w:rFonts w:ascii="宋体" w:hAnsi="宋体"/>
          <w:color w:val="auto"/>
          <w:sz w:val="24"/>
          <w:szCs w:val="24"/>
          <w:highlight w:val="none"/>
        </w:rPr>
      </w:pPr>
    </w:p>
    <w:p>
      <w:pPr>
        <w:pStyle w:val="5"/>
        <w:ind w:firstLine="482"/>
        <w:rPr>
          <w:color w:val="auto"/>
          <w:highlight w:val="none"/>
        </w:rPr>
      </w:pPr>
      <w:r>
        <w:rPr>
          <w:rFonts w:hint="eastAsia"/>
          <w:color w:val="auto"/>
          <w:highlight w:val="none"/>
        </w:rPr>
        <w:t>报价表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成都市龙泉驿区文化体育和旅游局龙泉驿区2021年公益性文艺演出服务采购项目（第三次）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color w:val="auto"/>
          <w:highlight w:val="none"/>
        </w:rPr>
      </w:pPr>
    </w:p>
    <w:tbl>
      <w:tblPr>
        <w:tblStyle w:val="4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08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240" w:firstLineChars="100"/>
              <w:jc w:val="left"/>
              <w:textAlignment w:val="auto"/>
              <w:rPr>
                <w:rFonts w:hint="eastAsia" w:ascii="宋体"/>
                <w:color w:val="auto"/>
                <w:szCs w:val="21"/>
                <w:highlight w:val="none"/>
              </w:rPr>
            </w:pPr>
            <w:r>
              <w:rPr>
                <w:rFonts w:hint="eastAsia" w:ascii="宋体"/>
                <w:color w:val="auto"/>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成都市龙泉驿区文化体育和旅游局龙泉驿区2021年公益性文艺演出服务采购项目（第三次）</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r>
              <w:rPr>
                <w:rFonts w:hint="eastAsia" w:ascii="宋体"/>
                <w:color w:val="auto"/>
                <w:szCs w:val="21"/>
                <w:highlight w:val="none"/>
                <w:lang w:val="en-US" w:eastAsia="zh-CN"/>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none"/>
                <w:lang w:val="en-US" w:eastAsia="zh-CN"/>
              </w:rPr>
              <w:t>元</w:t>
            </w:r>
          </w:p>
        </w:tc>
      </w:tr>
    </w:tbl>
    <w:p>
      <w:pPr>
        <w:pStyle w:val="2"/>
        <w:spacing w:after="0" w:line="360" w:lineRule="auto"/>
        <w:ind w:firstLine="482" w:firstLineChars="200"/>
        <w:rPr>
          <w:rFonts w:ascii="宋体" w:hAnsi="宋体"/>
          <w:b/>
          <w:color w:val="auto"/>
          <w:highlight w:val="none"/>
          <w:u w:val="single"/>
        </w:rPr>
      </w:pPr>
    </w:p>
    <w:p>
      <w:pPr>
        <w:pStyle w:val="2"/>
        <w:spacing w:after="0" w:line="360" w:lineRule="auto"/>
        <w:ind w:firstLine="482" w:firstLineChars="200"/>
        <w:rPr>
          <w:rFonts w:ascii="宋体" w:hAnsi="宋体"/>
          <w:b/>
          <w:color w:val="auto"/>
          <w:highlight w:val="none"/>
          <w:u w:val="single"/>
        </w:rPr>
      </w:pPr>
    </w:p>
    <w:p>
      <w:pPr>
        <w:ind w:firstLine="494"/>
        <w:rPr>
          <w:rFonts w:ascii="宋体" w:hAnsi="宋体"/>
          <w:b/>
          <w:color w:val="auto"/>
          <w:highlight w:val="none"/>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pStyle w:val="66"/>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olor w:val="auto"/>
          <w:kern w:val="0"/>
          <w:sz w:val="24"/>
          <w:szCs w:val="24"/>
          <w:highlight w:val="none"/>
        </w:rPr>
      </w:pPr>
    </w:p>
    <w:p>
      <w:pPr>
        <w:pStyle w:val="27"/>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20" w:firstLine="442" w:firstLineChars="200"/>
        <w:textAlignment w:val="auto"/>
        <w:rPr>
          <w:rFonts w:hint="default" w:ascii="宋体" w:hAnsi="宋体" w:eastAsia="宋体" w:cs="宋体"/>
          <w:color w:val="auto"/>
          <w:highlight w:val="none"/>
          <w:lang w:val="en-US" w:eastAsia="zh-CN"/>
        </w:rPr>
      </w:pPr>
      <w:r>
        <w:rPr>
          <w:rFonts w:hint="eastAsia" w:ascii="宋体" w:hAnsi="宋体"/>
          <w:b/>
          <w:color w:val="auto"/>
          <w:sz w:val="22"/>
          <w:szCs w:val="22"/>
          <w:highlight w:val="none"/>
        </w:rPr>
        <w:t>说明：</w:t>
      </w:r>
      <w:r>
        <w:rPr>
          <w:rFonts w:hint="eastAsia" w:ascii="宋体" w:hAnsi="宋体" w:cs="宋体"/>
          <w:color w:val="auto"/>
          <w:highlight w:val="none"/>
        </w:rPr>
        <w:t>报价为综合包干报价。</w:t>
      </w:r>
    </w:p>
    <w:p>
      <w:pPr>
        <w:pStyle w:val="2"/>
        <w:rPr>
          <w:rFonts w:ascii="宋体" w:hAnsi="宋体" w:cs="宋体"/>
          <w:color w:val="auto"/>
          <w:highlight w:val="none"/>
        </w:rPr>
      </w:pPr>
    </w:p>
    <w:p>
      <w:pPr>
        <w:rPr>
          <w:rFonts w:ascii="宋体" w:hAnsi="宋体" w:cs="宋体"/>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5"/>
        <w:ind w:firstLine="482"/>
        <w:rPr>
          <w:color w:val="auto"/>
          <w:highlight w:val="none"/>
        </w:rPr>
      </w:pPr>
      <w:r>
        <w:rPr>
          <w:rFonts w:hint="eastAsia"/>
          <w:color w:val="auto"/>
          <w:highlight w:val="none"/>
        </w:rPr>
        <w:t>分项报价明细表</w:t>
      </w:r>
    </w:p>
    <w:p>
      <w:pPr>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成都市龙泉驿区文化体育和旅游局龙泉驿区2021年公益性文艺演出服务采购项目（第三次）</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0" w:firstLineChars="200"/>
        <w:jc w:val="left"/>
        <w:rPr>
          <w:rFonts w:ascii="宋体" w:hAnsi="宋体" w:cs="宋体"/>
          <w:color w:val="auto"/>
          <w:sz w:val="24"/>
          <w:szCs w:val="24"/>
          <w:highlight w:val="none"/>
        </w:rPr>
      </w:pPr>
    </w:p>
    <w:p>
      <w:pPr>
        <w:pStyle w:val="66"/>
        <w:ind w:firstLine="480" w:firstLineChars="200"/>
        <w:jc w:val="left"/>
        <w:rPr>
          <w:rFonts w:ascii="宋体" w:hAnsi="宋体" w:cs="宋体"/>
          <w:color w:val="auto"/>
          <w:sz w:val="24"/>
          <w:szCs w:val="24"/>
          <w:highlight w:val="none"/>
        </w:rPr>
      </w:pPr>
    </w:p>
    <w:p>
      <w:pPr>
        <w:pStyle w:val="66"/>
        <w:ind w:firstLine="480" w:firstLineChars="200"/>
        <w:jc w:val="left"/>
        <w:rPr>
          <w:rFonts w:ascii="宋体" w:hAnsi="宋体" w:cs="宋体"/>
          <w:color w:val="auto"/>
          <w:sz w:val="24"/>
          <w:szCs w:val="24"/>
          <w:highlight w:val="none"/>
        </w:rPr>
      </w:pPr>
    </w:p>
    <w:p>
      <w:pPr>
        <w:rPr>
          <w:rFonts w:ascii="宋体" w:hAnsi="宋体" w:cs="宋体"/>
          <w:b/>
          <w:bCs/>
          <w:color w:val="auto"/>
          <w:highlight w:val="none"/>
          <w:lang w:bidi="ar"/>
        </w:rPr>
      </w:pPr>
      <w:r>
        <w:rPr>
          <w:rFonts w:hint="eastAsia" w:ascii="宋体" w:hAnsi="宋体" w:cs="宋体"/>
          <w:b/>
          <w:bCs/>
          <w:color w:val="auto"/>
          <w:highlight w:val="none"/>
        </w:rPr>
        <w:t>注：格式自拟，</w:t>
      </w:r>
      <w:r>
        <w:rPr>
          <w:rFonts w:ascii="宋体" w:hAnsi="宋体" w:cs="宋体"/>
          <w:b/>
          <w:bCs/>
          <w:color w:val="auto"/>
          <w:highlight w:val="none"/>
          <w:lang w:bidi="ar"/>
        </w:rPr>
        <w:t>“分项报价表”各分项报价合计应当与“</w:t>
      </w:r>
      <w:r>
        <w:rPr>
          <w:rFonts w:hint="eastAsia" w:ascii="宋体" w:hAnsi="宋体" w:cs="宋体"/>
          <w:b/>
          <w:bCs/>
          <w:color w:val="auto"/>
          <w:highlight w:val="none"/>
          <w:lang w:bidi="ar"/>
        </w:rPr>
        <w:t>报价表</w:t>
      </w:r>
      <w:r>
        <w:rPr>
          <w:rFonts w:ascii="宋体" w:hAnsi="宋体" w:cs="宋体"/>
          <w:b/>
          <w:bCs/>
          <w:color w:val="auto"/>
          <w:highlight w:val="none"/>
          <w:lang w:bidi="ar"/>
        </w:rPr>
        <w:t>”</w:t>
      </w:r>
      <w:r>
        <w:rPr>
          <w:rFonts w:hint="eastAsia" w:ascii="宋体" w:hAnsi="宋体" w:cs="宋体"/>
          <w:b/>
          <w:bCs/>
          <w:color w:val="auto"/>
          <w:highlight w:val="none"/>
          <w:lang w:bidi="ar"/>
        </w:rPr>
        <w:t>中</w:t>
      </w:r>
      <w:r>
        <w:rPr>
          <w:rFonts w:ascii="宋体" w:hAnsi="宋体" w:cs="宋体"/>
          <w:b/>
          <w:bCs/>
          <w:color w:val="auto"/>
          <w:highlight w:val="none"/>
          <w:lang w:bidi="ar"/>
        </w:rPr>
        <w:t>报价相等</w:t>
      </w:r>
      <w:r>
        <w:rPr>
          <w:rFonts w:hint="eastAsia" w:ascii="宋体" w:hAnsi="宋体" w:cs="宋体"/>
          <w:b/>
          <w:bCs/>
          <w:color w:val="auto"/>
          <w:highlight w:val="none"/>
          <w:lang w:bidi="ar"/>
        </w:rPr>
        <w:t>。</w:t>
      </w:r>
    </w:p>
    <w:p>
      <w:pPr>
        <w:pStyle w:val="2"/>
        <w:rPr>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firstLine="482"/>
        <w:rPr>
          <w:color w:val="auto"/>
          <w:highlight w:val="none"/>
        </w:rPr>
      </w:pPr>
      <w:bookmarkStart w:id="312"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成都市龙泉驿区文化体育和旅游局龙泉驿区2021年公益性文艺演出服务采购项目（第三次）</w:t>
      </w:r>
    </w:p>
    <w:p>
      <w:pPr>
        <w:spacing w:line="360" w:lineRule="auto"/>
        <w:ind w:firstLine="482" w:firstLineChars="200"/>
        <w:rPr>
          <w:rFonts w:hint="eastAsia" w:ascii="宋体" w:hAnsi="宋体" w:cs="宋体"/>
          <w:b/>
          <w:color w:val="auto"/>
          <w:highlight w:val="none"/>
          <w:u w:val="singl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rFonts w:hint="eastAsia"/>
          <w:lang w:eastAsia="zh-CN"/>
        </w:rPr>
      </w:pP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08"/>
    <w:bookmarkEnd w:id="312"/>
    <w:p>
      <w:pPr>
        <w:pStyle w:val="5"/>
        <w:ind w:firstLine="482"/>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13" w:name="_Toc23408"/>
      <w:r>
        <w:rPr>
          <w:rFonts w:hint="eastAsia"/>
          <w:color w:val="auto"/>
          <w:highlight w:val="none"/>
        </w:rPr>
        <w:t>最后报价（格式）</w:t>
      </w:r>
      <w:bookmarkEnd w:id="313"/>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成都市龙泉驿区文化体育和旅游局龙泉驿区2021年公益性文艺演出服务采购项目（第三次）</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510112202100042</w:t>
      </w:r>
    </w:p>
    <w:p>
      <w:pPr>
        <w:spacing w:line="360" w:lineRule="auto"/>
        <w:ind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包件号：</w:t>
      </w:r>
    </w:p>
    <w:p>
      <w:pPr>
        <w:pStyle w:val="2"/>
        <w:rPr>
          <w:rFonts w:hint="eastAsia"/>
          <w:lang w:eastAsia="zh-CN"/>
        </w:rPr>
      </w:pPr>
    </w:p>
    <w:p>
      <w:pPr>
        <w:pStyle w:val="2"/>
        <w:rPr>
          <w:color w:val="auto"/>
          <w:highlight w:val="none"/>
        </w:rPr>
      </w:pPr>
    </w:p>
    <w:tbl>
      <w:tblPr>
        <w:tblStyle w:val="4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87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240" w:firstLineChars="100"/>
              <w:jc w:val="left"/>
              <w:textAlignment w:val="auto"/>
              <w:rPr>
                <w:rFonts w:hint="eastAsia" w:ascii="宋体"/>
                <w:color w:val="auto"/>
                <w:szCs w:val="21"/>
                <w:highlight w:val="none"/>
              </w:rPr>
            </w:pPr>
            <w:r>
              <w:rPr>
                <w:rFonts w:hint="eastAsia" w:ascii="宋体"/>
                <w:color w:val="auto"/>
                <w:szCs w:val="21"/>
                <w:highlight w:val="none"/>
                <w:lang w:val="en-US" w:eastAsia="zh-CN"/>
              </w:rPr>
              <w:t>最后</w:t>
            </w:r>
            <w:r>
              <w:rPr>
                <w:rFonts w:hint="eastAsia" w:ascii="宋体"/>
                <w:color w:val="auto"/>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成都市龙泉驿区文化体育和旅游局龙泉驿区2021年公益性文艺演出服务采购项目（第三次）</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r>
              <w:rPr>
                <w:rFonts w:hint="eastAsia" w:ascii="宋体"/>
                <w:color w:val="auto"/>
                <w:szCs w:val="21"/>
                <w:highlight w:val="none"/>
                <w:lang w:val="en-US" w:eastAsia="zh-CN"/>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none"/>
                <w:lang w:val="en-US" w:eastAsia="zh-CN"/>
              </w:rPr>
              <w:t>元</w:t>
            </w:r>
          </w:p>
        </w:tc>
      </w:tr>
    </w:tbl>
    <w:p>
      <w:pPr>
        <w:widowControl w:val="0"/>
        <w:tabs>
          <w:tab w:val="left" w:pos="630"/>
          <w:tab w:val="left" w:pos="1854"/>
          <w:tab w:val="left" w:pos="7560"/>
        </w:tabs>
        <w:spacing w:line="360" w:lineRule="auto"/>
        <w:ind w:firstLine="548" w:firstLineChars="196"/>
        <w:jc w:val="both"/>
        <w:rPr>
          <w:rFonts w:ascii="宋体" w:hAnsi="宋体" w:cs="宋体"/>
          <w:color w:val="auto"/>
          <w:sz w:val="28"/>
          <w:szCs w:val="28"/>
          <w:highlight w:val="none"/>
          <w:lang w:val="zh-CN"/>
        </w:rPr>
      </w:pPr>
    </w:p>
    <w:p>
      <w:pPr>
        <w:pStyle w:val="2"/>
        <w:rPr>
          <w:rFonts w:ascii="宋体" w:hAnsi="宋体" w:cs="宋体"/>
          <w:color w:val="auto"/>
          <w:sz w:val="28"/>
          <w:szCs w:val="28"/>
          <w:highlight w:val="none"/>
          <w:lang w:val="zh-CN"/>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p>
    <w:p>
      <w:pPr>
        <w:pStyle w:val="2"/>
        <w:spacing w:after="0" w:line="360" w:lineRule="auto"/>
        <w:ind w:firstLine="480" w:firstLineChars="200"/>
        <w:rPr>
          <w:rFonts w:ascii="宋体" w:hAnsi="宋体" w:cs="宋体"/>
          <w:color w:val="auto"/>
          <w:highlight w:val="none"/>
        </w:rPr>
      </w:pPr>
    </w:p>
    <w:p>
      <w:pPr>
        <w:pStyle w:val="2"/>
        <w:spacing w:after="0" w:line="360" w:lineRule="auto"/>
        <w:ind w:firstLine="482" w:firstLineChars="200"/>
        <w:rPr>
          <w:rFonts w:ascii="宋体" w:hAnsi="宋体" w:cs="宋体"/>
          <w:b/>
          <w:color w:val="auto"/>
          <w:highlight w:val="none"/>
          <w:u w:val="single"/>
        </w:rPr>
      </w:pPr>
    </w:p>
    <w:p>
      <w:pPr>
        <w:pStyle w:val="2"/>
        <w:spacing w:after="0" w:line="360" w:lineRule="auto"/>
        <w:ind w:firstLine="482" w:firstLineChars="200"/>
        <w:rPr>
          <w:rFonts w:ascii="宋体" w:hAnsi="宋体" w:cs="宋体"/>
          <w:b/>
          <w:color w:val="auto"/>
          <w:highlight w:val="none"/>
          <w:u w:val="singl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6"/>
        <w:ind w:firstLine="482" w:firstLineChars="200"/>
        <w:jc w:val="left"/>
        <w:rPr>
          <w:rFonts w:ascii="宋体" w:hAnsi="宋体" w:cs="宋体"/>
          <w:b/>
          <w:color w:val="auto"/>
          <w:sz w:val="24"/>
          <w:szCs w:val="24"/>
          <w:highlight w:val="none"/>
        </w:rPr>
      </w:pPr>
    </w:p>
    <w:p>
      <w:pPr>
        <w:pStyle w:val="66"/>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说明：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6"/>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14" w:name="_Toc12664"/>
      <w:r>
        <w:rPr>
          <w:rFonts w:hint="eastAsia"/>
          <w:color w:val="auto"/>
          <w:highlight w:val="none"/>
        </w:rPr>
        <w:t>合同主要条款</w:t>
      </w:r>
      <w:bookmarkEnd w:id="314"/>
    </w:p>
    <w:bookmarkEnd w:id="309"/>
    <w:bookmarkEnd w:id="310"/>
    <w:bookmarkEnd w:id="311"/>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65"/>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65"/>
        </w:numPr>
        <w:spacing w:line="360" w:lineRule="auto"/>
        <w:ind w:left="0" w:firstLine="482" w:firstLineChars="200"/>
        <w:rPr>
          <w:rFonts w:ascii="宋体" w:hAnsi="宋体" w:cs="宋体"/>
          <w:b/>
          <w:color w:val="auto"/>
          <w:highlight w:val="none"/>
        </w:rPr>
      </w:pPr>
      <w:bookmarkStart w:id="315" w:name="_Toc185395249"/>
      <w:bookmarkStart w:id="316" w:name="_Toc286993786"/>
      <w:bookmarkStart w:id="317" w:name="_Toc232492928"/>
      <w:bookmarkStart w:id="318" w:name="_Toc239233914"/>
      <w:bookmarkStart w:id="319" w:name="_Toc225244852"/>
      <w:bookmarkStart w:id="320" w:name="_Toc241833903"/>
      <w:bookmarkStart w:id="321" w:name="_Toc211911348"/>
      <w:bookmarkStart w:id="322" w:name="_Toc225654644"/>
      <w:bookmarkStart w:id="323" w:name="_Toc282696226"/>
      <w:bookmarkStart w:id="324" w:name="_Toc237145406"/>
      <w:bookmarkStart w:id="325" w:name="_Toc247334841"/>
      <w:bookmarkStart w:id="326" w:name="_Toc238984975"/>
      <w:bookmarkStart w:id="327" w:name="_Toc211854449"/>
      <w:bookmarkStart w:id="328" w:name="_Toc212019594"/>
      <w:bookmarkStart w:id="329" w:name="_Toc239568418"/>
      <w:bookmarkStart w:id="330" w:name="_Toc251768862"/>
      <w:bookmarkStart w:id="331" w:name="_Toc283019214"/>
      <w:bookmarkStart w:id="332" w:name="_Toc225670751"/>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6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66"/>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numPr>
          <w:ilvl w:val="0"/>
          <w:numId w:val="65"/>
        </w:numPr>
        <w:spacing w:line="360" w:lineRule="auto"/>
        <w:ind w:left="0" w:firstLine="482" w:firstLineChars="200"/>
        <w:rPr>
          <w:rFonts w:ascii="宋体" w:hAnsi="宋体" w:cs="宋体"/>
          <w:b/>
          <w:color w:val="auto"/>
          <w:highlight w:val="none"/>
        </w:rPr>
      </w:pPr>
      <w:bookmarkStart w:id="333" w:name="_Toc239233919"/>
      <w:bookmarkStart w:id="334" w:name="_Toc251768867"/>
      <w:bookmarkStart w:id="335" w:name="_Toc241833908"/>
      <w:bookmarkStart w:id="336" w:name="_Toc212019599"/>
      <w:bookmarkStart w:id="337" w:name="_Toc239568423"/>
      <w:bookmarkStart w:id="338" w:name="_Toc225654649"/>
      <w:bookmarkStart w:id="339" w:name="_Toc225244857"/>
      <w:bookmarkStart w:id="340" w:name="_Toc232492933"/>
      <w:bookmarkStart w:id="341" w:name="_Toc225670756"/>
      <w:bookmarkStart w:id="342" w:name="_Toc237145411"/>
      <w:bookmarkStart w:id="343" w:name="_Toc211911353"/>
      <w:bookmarkStart w:id="344" w:name="_Toc238984980"/>
      <w:bookmarkStart w:id="345" w:name="_Toc286993792"/>
      <w:bookmarkStart w:id="346" w:name="_Toc247334846"/>
      <w:bookmarkStart w:id="347" w:name="_Toc185395254"/>
      <w:bookmarkStart w:id="348" w:name="_Toc211854454"/>
      <w:r>
        <w:rPr>
          <w:rFonts w:hint="eastAsia" w:ascii="宋体" w:hAnsi="宋体" w:cs="宋体"/>
          <w:b/>
          <w:color w:val="auto"/>
          <w:highlight w:val="none"/>
        </w:rPr>
        <w:t>解决合同纠纷的方式</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65"/>
        </w:numPr>
        <w:spacing w:line="360" w:lineRule="auto"/>
        <w:ind w:left="0" w:firstLine="482" w:firstLineChars="200"/>
        <w:rPr>
          <w:rFonts w:ascii="宋体" w:hAnsi="宋体" w:cs="宋体"/>
          <w:b/>
          <w:color w:val="auto"/>
          <w:highlight w:val="none"/>
        </w:rPr>
      </w:pPr>
      <w:bookmarkStart w:id="349" w:name="_Toc225670757"/>
      <w:bookmarkStart w:id="350" w:name="_Toc239233920"/>
      <w:bookmarkStart w:id="351" w:name="_Toc283019219"/>
      <w:bookmarkStart w:id="352" w:name="_Toc211911354"/>
      <w:bookmarkStart w:id="353" w:name="_Toc211854455"/>
      <w:bookmarkStart w:id="354" w:name="_Toc185395255"/>
      <w:bookmarkStart w:id="355" w:name="_Toc282696231"/>
      <w:bookmarkStart w:id="356" w:name="_Toc247334847"/>
      <w:bookmarkStart w:id="357" w:name="_Toc237145412"/>
      <w:bookmarkStart w:id="358" w:name="_Toc232492934"/>
      <w:bookmarkStart w:id="359" w:name="_Toc251768868"/>
      <w:bookmarkStart w:id="360" w:name="_Toc238984981"/>
      <w:bookmarkStart w:id="361" w:name="_Toc239568424"/>
      <w:bookmarkStart w:id="362" w:name="_Toc225244858"/>
      <w:bookmarkStart w:id="363" w:name="_Toc225654650"/>
      <w:bookmarkStart w:id="364" w:name="_Toc241833909"/>
      <w:bookmarkStart w:id="365" w:name="_Toc286993793"/>
      <w:bookmarkStart w:id="366" w:name="_Toc212019600"/>
      <w:r>
        <w:rPr>
          <w:rFonts w:hint="eastAsia" w:ascii="宋体" w:hAnsi="宋体" w:cs="宋体"/>
          <w:b/>
          <w:color w:val="auto"/>
          <w:highlight w:val="none"/>
        </w:rPr>
        <w:t>合同</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Fonts w:hint="eastAsia" w:ascii="宋体" w:hAnsi="宋体" w:cs="宋体"/>
          <w:b/>
          <w:color w:val="auto"/>
          <w:highlight w:val="none"/>
        </w:rPr>
        <w:t>生效及其他</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4"/>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65"/>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5"/>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5"/>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5b8b_4f53">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8D9C2"/>
    <w:multiLevelType w:val="singleLevel"/>
    <w:tmpl w:val="A248D9C2"/>
    <w:lvl w:ilvl="0" w:tentative="0">
      <w:start w:val="1"/>
      <w:numFmt w:val="chineseCounting"/>
      <w:suff w:val="nothing"/>
      <w:lvlText w:val="%1、"/>
      <w:lvlJc w:val="left"/>
      <w:pPr>
        <w:ind w:left="0" w:firstLine="420"/>
      </w:pPr>
      <w:rPr>
        <w:rFonts w:hint="eastAsia"/>
      </w:rPr>
    </w:lvl>
  </w:abstractNum>
  <w:abstractNum w:abstractNumId="1">
    <w:nsid w:val="B4981AEB"/>
    <w:multiLevelType w:val="singleLevel"/>
    <w:tmpl w:val="B4981AEB"/>
    <w:lvl w:ilvl="0" w:tentative="0">
      <w:start w:val="1"/>
      <w:numFmt w:val="chineseCounting"/>
      <w:suff w:val="nothing"/>
      <w:lvlText w:val="（%1）"/>
      <w:lvlJc w:val="left"/>
      <w:pPr>
        <w:ind w:left="0" w:firstLine="420"/>
      </w:pPr>
      <w:rPr>
        <w:rFonts w:hint="eastAsia"/>
      </w:rPr>
    </w:lvl>
  </w:abstractNum>
  <w:abstractNum w:abstractNumId="2">
    <w:nsid w:val="B93C3AF5"/>
    <w:multiLevelType w:val="singleLevel"/>
    <w:tmpl w:val="B93C3AF5"/>
    <w:lvl w:ilvl="0" w:tentative="0">
      <w:start w:val="1"/>
      <w:numFmt w:val="chineseCounting"/>
      <w:suff w:val="nothing"/>
      <w:lvlText w:val="（%1）"/>
      <w:lvlJc w:val="left"/>
      <w:pPr>
        <w:ind w:left="0" w:firstLine="420"/>
      </w:pPr>
      <w:rPr>
        <w:rFonts w:hint="eastAsia"/>
      </w:rPr>
    </w:lvl>
  </w:abstractNum>
  <w:abstractNum w:abstractNumId="3">
    <w:nsid w:val="BFB69743"/>
    <w:multiLevelType w:val="singleLevel"/>
    <w:tmpl w:val="BFB69743"/>
    <w:lvl w:ilvl="0" w:tentative="0">
      <w:start w:val="1"/>
      <w:numFmt w:val="chineseCounting"/>
      <w:suff w:val="nothing"/>
      <w:lvlText w:val="%1、"/>
      <w:lvlJc w:val="left"/>
      <w:pPr>
        <w:ind w:left="0" w:firstLine="420"/>
      </w:pPr>
      <w:rPr>
        <w:rFonts w:hint="eastAsia"/>
      </w:rPr>
    </w:lvl>
  </w:abstractNum>
  <w:abstractNum w:abstractNumId="4">
    <w:nsid w:val="BFFE6F32"/>
    <w:multiLevelType w:val="singleLevel"/>
    <w:tmpl w:val="BFFE6F32"/>
    <w:lvl w:ilvl="0" w:tentative="0">
      <w:start w:val="1"/>
      <w:numFmt w:val="chineseCounting"/>
      <w:suff w:val="nothing"/>
      <w:lvlText w:val="（%1）"/>
      <w:lvlJc w:val="left"/>
      <w:pPr>
        <w:ind w:left="0" w:firstLine="420"/>
      </w:pPr>
      <w:rPr>
        <w:rFonts w:hint="eastAsia"/>
      </w:rPr>
    </w:lvl>
  </w:abstractNum>
  <w:abstractNum w:abstractNumId="5">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6">
    <w:nsid w:val="CD930D9A"/>
    <w:multiLevelType w:val="singleLevel"/>
    <w:tmpl w:val="CD930D9A"/>
    <w:lvl w:ilvl="0" w:tentative="0">
      <w:start w:val="1"/>
      <w:numFmt w:val="chineseCounting"/>
      <w:suff w:val="nothing"/>
      <w:lvlText w:val="（%1）"/>
      <w:lvlJc w:val="left"/>
      <w:pPr>
        <w:ind w:left="0" w:firstLine="420"/>
      </w:pPr>
      <w:rPr>
        <w:rFonts w:hint="eastAsia"/>
      </w:rPr>
    </w:lvl>
  </w:abstractNum>
  <w:abstractNum w:abstractNumId="7">
    <w:nsid w:val="CDDE2A34"/>
    <w:multiLevelType w:val="singleLevel"/>
    <w:tmpl w:val="CDDE2A34"/>
    <w:lvl w:ilvl="0" w:tentative="0">
      <w:start w:val="1"/>
      <w:numFmt w:val="chineseCounting"/>
      <w:suff w:val="nothing"/>
      <w:lvlText w:val="（%1）"/>
      <w:lvlJc w:val="left"/>
      <w:pPr>
        <w:ind w:left="0" w:firstLine="420"/>
      </w:pPr>
      <w:rPr>
        <w:rFonts w:hint="eastAsia"/>
      </w:rPr>
    </w:lvl>
  </w:abstractNum>
  <w:abstractNum w:abstractNumId="8">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9">
    <w:nsid w:val="EC599E1A"/>
    <w:multiLevelType w:val="singleLevel"/>
    <w:tmpl w:val="EC599E1A"/>
    <w:lvl w:ilvl="0" w:tentative="0">
      <w:start w:val="1"/>
      <w:numFmt w:val="chineseCounting"/>
      <w:suff w:val="nothing"/>
      <w:lvlText w:val="（%1）"/>
      <w:lvlJc w:val="left"/>
      <w:pPr>
        <w:ind w:left="0" w:firstLine="420"/>
      </w:pPr>
      <w:rPr>
        <w:rFonts w:hint="eastAsia"/>
      </w:rPr>
    </w:lvl>
  </w:abstractNum>
  <w:abstractNum w:abstractNumId="10">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8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1">
    <w:nsid w:val="030745F5"/>
    <w:multiLevelType w:val="singleLevel"/>
    <w:tmpl w:val="030745F5"/>
    <w:lvl w:ilvl="0" w:tentative="0">
      <w:start w:val="1"/>
      <w:numFmt w:val="chineseCounting"/>
      <w:suff w:val="nothing"/>
      <w:lvlText w:val="%1、"/>
      <w:lvlJc w:val="left"/>
      <w:pPr>
        <w:ind w:left="0" w:firstLine="420"/>
      </w:pPr>
      <w:rPr>
        <w:rFonts w:hint="eastAsia"/>
      </w:rPr>
    </w:lvl>
  </w:abstractNum>
  <w:abstractNum w:abstractNumId="12">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A92227D"/>
    <w:multiLevelType w:val="multilevel"/>
    <w:tmpl w:val="0A92227D"/>
    <w:lvl w:ilvl="0" w:tentative="0">
      <w:start w:val="1"/>
      <w:numFmt w:val="bullet"/>
      <w:pStyle w:val="106"/>
      <w:lvlText w:val=""/>
      <w:lvlJc w:val="left"/>
      <w:pPr>
        <w:ind w:left="900" w:hanging="420"/>
      </w:pPr>
      <w:rPr>
        <w:rFonts w:hint="default" w:ascii="Wingdings" w:hAnsi="Wingdings"/>
      </w:rPr>
    </w:lvl>
    <w:lvl w:ilvl="1" w:tentative="0">
      <w:start w:val="1"/>
      <w:numFmt w:val="bullet"/>
      <w:pStyle w:val="105"/>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0BC9DCB2"/>
    <w:multiLevelType w:val="singleLevel"/>
    <w:tmpl w:val="0BC9DCB2"/>
    <w:lvl w:ilvl="0" w:tentative="0">
      <w:start w:val="1"/>
      <w:numFmt w:val="chineseCounting"/>
      <w:suff w:val="nothing"/>
      <w:lvlText w:val="（%1）"/>
      <w:lvlJc w:val="left"/>
      <w:pPr>
        <w:ind w:left="0" w:firstLine="420"/>
      </w:pPr>
      <w:rPr>
        <w:rFonts w:hint="eastAsia"/>
      </w:rPr>
    </w:lvl>
  </w:abstractNum>
  <w:abstractNum w:abstractNumId="15">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6">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0"/>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9">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0">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1">
    <w:nsid w:val="2D0ABEFC"/>
    <w:multiLevelType w:val="singleLevel"/>
    <w:tmpl w:val="2D0ABEFC"/>
    <w:lvl w:ilvl="0" w:tentative="0">
      <w:start w:val="1"/>
      <w:numFmt w:val="chineseCounting"/>
      <w:suff w:val="nothing"/>
      <w:lvlText w:val="（%1）"/>
      <w:lvlJc w:val="left"/>
      <w:pPr>
        <w:ind w:left="0" w:firstLine="420"/>
      </w:pPr>
      <w:rPr>
        <w:rFonts w:hint="eastAsia"/>
      </w:rPr>
    </w:lvl>
  </w:abstractNum>
  <w:abstractNum w:abstractNumId="22">
    <w:nsid w:val="2FC361DB"/>
    <w:multiLevelType w:val="singleLevel"/>
    <w:tmpl w:val="2FC361DB"/>
    <w:lvl w:ilvl="0" w:tentative="0">
      <w:start w:val="1"/>
      <w:numFmt w:val="chineseCounting"/>
      <w:suff w:val="nothing"/>
      <w:lvlText w:val="（%1）"/>
      <w:lvlJc w:val="left"/>
      <w:pPr>
        <w:ind w:left="0" w:firstLine="420"/>
      </w:pPr>
      <w:rPr>
        <w:rFonts w:hint="eastAsia"/>
      </w:rPr>
    </w:lvl>
  </w:abstractNum>
  <w:abstractNum w:abstractNumId="23">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6D12012"/>
    <w:multiLevelType w:val="singleLevel"/>
    <w:tmpl w:val="36D12012"/>
    <w:lvl w:ilvl="0" w:tentative="0">
      <w:start w:val="1"/>
      <w:numFmt w:val="chineseCounting"/>
      <w:suff w:val="nothing"/>
      <w:lvlText w:val="（%1）"/>
      <w:lvlJc w:val="left"/>
      <w:pPr>
        <w:ind w:left="0" w:firstLine="420"/>
      </w:pPr>
      <w:rPr>
        <w:rFonts w:hint="eastAsia"/>
      </w:rPr>
    </w:lvl>
  </w:abstractNum>
  <w:abstractNum w:abstractNumId="25">
    <w:nsid w:val="36D8930D"/>
    <w:multiLevelType w:val="singleLevel"/>
    <w:tmpl w:val="36D8930D"/>
    <w:lvl w:ilvl="0" w:tentative="0">
      <w:start w:val="1"/>
      <w:numFmt w:val="chineseCounting"/>
      <w:suff w:val="nothing"/>
      <w:lvlText w:val="（%1）"/>
      <w:lvlJc w:val="left"/>
      <w:pPr>
        <w:ind w:left="0" w:firstLine="420"/>
      </w:pPr>
      <w:rPr>
        <w:rFonts w:hint="eastAsia"/>
      </w:rPr>
    </w:lvl>
  </w:abstractNum>
  <w:abstractNum w:abstractNumId="26">
    <w:nsid w:val="3EEAE8A8"/>
    <w:multiLevelType w:val="singleLevel"/>
    <w:tmpl w:val="3EEAE8A8"/>
    <w:lvl w:ilvl="0" w:tentative="0">
      <w:start w:val="1"/>
      <w:numFmt w:val="chineseCounting"/>
      <w:suff w:val="nothing"/>
      <w:lvlText w:val="（%1）"/>
      <w:lvlJc w:val="left"/>
      <w:pPr>
        <w:ind w:left="0" w:firstLine="420"/>
      </w:pPr>
      <w:rPr>
        <w:rFonts w:hint="eastAsia"/>
      </w:rPr>
    </w:lvl>
  </w:abstractNum>
  <w:abstractNum w:abstractNumId="27">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54BD7D2"/>
    <w:multiLevelType w:val="singleLevel"/>
    <w:tmpl w:val="454BD7D2"/>
    <w:lvl w:ilvl="0" w:tentative="0">
      <w:start w:val="1"/>
      <w:numFmt w:val="chineseCounting"/>
      <w:suff w:val="nothing"/>
      <w:lvlText w:val="（%1）"/>
      <w:lvlJc w:val="left"/>
      <w:pPr>
        <w:ind w:left="0" w:firstLine="420"/>
      </w:pPr>
      <w:rPr>
        <w:rFonts w:hint="eastAsia"/>
      </w:rPr>
    </w:lvl>
  </w:abstractNum>
  <w:abstractNum w:abstractNumId="29">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0">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32">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3">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34">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35">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36">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37">
    <w:nsid w:val="58E72D27"/>
    <w:multiLevelType w:val="singleLevel"/>
    <w:tmpl w:val="58E72D27"/>
    <w:lvl w:ilvl="0" w:tentative="0">
      <w:start w:val="1"/>
      <w:numFmt w:val="decimal"/>
      <w:lvlText w:val="%1."/>
      <w:lvlJc w:val="left"/>
      <w:pPr>
        <w:ind w:left="425" w:hanging="425"/>
      </w:pPr>
      <w:rPr>
        <w:rFonts w:hint="default"/>
      </w:rPr>
    </w:lvl>
  </w:abstractNum>
  <w:abstractNum w:abstractNumId="38">
    <w:nsid w:val="58F5EE34"/>
    <w:multiLevelType w:val="singleLevel"/>
    <w:tmpl w:val="58F5EE34"/>
    <w:lvl w:ilvl="0" w:tentative="0">
      <w:start w:val="3"/>
      <w:numFmt w:val="chineseCounting"/>
      <w:suff w:val="nothing"/>
      <w:lvlText w:val="%1、"/>
      <w:lvlJc w:val="left"/>
    </w:lvl>
  </w:abstractNum>
  <w:abstractNum w:abstractNumId="39">
    <w:nsid w:val="59DEF6EB"/>
    <w:multiLevelType w:val="singleLevel"/>
    <w:tmpl w:val="59DEF6EB"/>
    <w:lvl w:ilvl="0" w:tentative="0">
      <w:start w:val="1"/>
      <w:numFmt w:val="chineseCounting"/>
      <w:suff w:val="nothing"/>
      <w:lvlText w:val="%1、"/>
      <w:lvlJc w:val="left"/>
    </w:lvl>
  </w:abstractNum>
  <w:abstractNum w:abstractNumId="40">
    <w:nsid w:val="5A1BBB23"/>
    <w:multiLevelType w:val="singleLevel"/>
    <w:tmpl w:val="5A1BBB23"/>
    <w:lvl w:ilvl="0" w:tentative="0">
      <w:start w:val="1"/>
      <w:numFmt w:val="chineseCounting"/>
      <w:suff w:val="nothing"/>
      <w:lvlText w:val="（%1）"/>
      <w:lvlJc w:val="left"/>
    </w:lvl>
  </w:abstractNum>
  <w:abstractNum w:abstractNumId="41">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42">
    <w:nsid w:val="5A1BCF5D"/>
    <w:multiLevelType w:val="singleLevel"/>
    <w:tmpl w:val="5A1BCF5D"/>
    <w:lvl w:ilvl="0" w:tentative="0">
      <w:start w:val="1"/>
      <w:numFmt w:val="decimal"/>
      <w:suff w:val="nothing"/>
      <w:lvlText w:val="%1、"/>
      <w:lvlJc w:val="left"/>
    </w:lvl>
  </w:abstractNum>
  <w:abstractNum w:abstractNumId="43">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44">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45">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46">
    <w:nsid w:val="5A1FB537"/>
    <w:multiLevelType w:val="singleLevel"/>
    <w:tmpl w:val="5A1FB537"/>
    <w:lvl w:ilvl="0" w:tentative="0">
      <w:start w:val="1"/>
      <w:numFmt w:val="decimal"/>
      <w:suff w:val="nothing"/>
      <w:lvlText w:val="%1、"/>
      <w:lvlJc w:val="left"/>
    </w:lvl>
  </w:abstractNum>
  <w:abstractNum w:abstractNumId="47">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48">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49">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50">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51">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52">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53">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54">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55">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56">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57">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58">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59">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60">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1">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62">
    <w:nsid w:val="675C6E2C"/>
    <w:multiLevelType w:val="singleLevel"/>
    <w:tmpl w:val="675C6E2C"/>
    <w:lvl w:ilvl="0" w:tentative="0">
      <w:start w:val="1"/>
      <w:numFmt w:val="chineseCounting"/>
      <w:suff w:val="nothing"/>
      <w:lvlText w:val="（%1）"/>
      <w:lvlJc w:val="left"/>
      <w:pPr>
        <w:ind w:left="0" w:firstLine="420"/>
      </w:pPr>
      <w:rPr>
        <w:rFonts w:hint="eastAsia"/>
      </w:rPr>
    </w:lvl>
  </w:abstractNum>
  <w:abstractNum w:abstractNumId="63">
    <w:nsid w:val="6FCB37F9"/>
    <w:multiLevelType w:val="singleLevel"/>
    <w:tmpl w:val="6FCB37F9"/>
    <w:lvl w:ilvl="0" w:tentative="0">
      <w:start w:val="1"/>
      <w:numFmt w:val="decimal"/>
      <w:suff w:val="nothing"/>
      <w:lvlText w:val="%1、"/>
      <w:lvlJc w:val="left"/>
    </w:lvl>
  </w:abstractNum>
  <w:abstractNum w:abstractNumId="64">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5">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0"/>
  </w:num>
  <w:num w:numId="2">
    <w:abstractNumId w:val="32"/>
  </w:num>
  <w:num w:numId="3">
    <w:abstractNumId w:val="16"/>
  </w:num>
  <w:num w:numId="4">
    <w:abstractNumId w:val="18"/>
  </w:num>
  <w:num w:numId="5">
    <w:abstractNumId w:val="13"/>
  </w:num>
  <w:num w:numId="6">
    <w:abstractNumId w:val="19"/>
  </w:num>
  <w:num w:numId="7">
    <w:abstractNumId w:val="30"/>
  </w:num>
  <w:num w:numId="8">
    <w:abstractNumId w:val="5"/>
  </w:num>
  <w:num w:numId="9">
    <w:abstractNumId w:val="63"/>
  </w:num>
  <w:num w:numId="10">
    <w:abstractNumId w:val="31"/>
  </w:num>
  <w:num w:numId="11">
    <w:abstractNumId w:val="40"/>
  </w:num>
  <w:num w:numId="12">
    <w:abstractNumId w:val="33"/>
  </w:num>
  <w:num w:numId="13">
    <w:abstractNumId w:val="34"/>
  </w:num>
  <w:num w:numId="14">
    <w:abstractNumId w:val="35"/>
  </w:num>
  <w:num w:numId="15">
    <w:abstractNumId w:val="43"/>
  </w:num>
  <w:num w:numId="16">
    <w:abstractNumId w:val="36"/>
  </w:num>
  <w:num w:numId="17">
    <w:abstractNumId w:val="53"/>
  </w:num>
  <w:num w:numId="18">
    <w:abstractNumId w:val="54"/>
  </w:num>
  <w:num w:numId="19">
    <w:abstractNumId w:val="52"/>
  </w:num>
  <w:num w:numId="20">
    <w:abstractNumId w:val="65"/>
  </w:num>
  <w:num w:numId="21">
    <w:abstractNumId w:val="29"/>
  </w:num>
  <w:num w:numId="22">
    <w:abstractNumId w:val="59"/>
  </w:num>
  <w:num w:numId="23">
    <w:abstractNumId w:val="41"/>
  </w:num>
  <w:num w:numId="24">
    <w:abstractNumId w:val="44"/>
  </w:num>
  <w:num w:numId="25">
    <w:abstractNumId w:val="42"/>
  </w:num>
  <w:num w:numId="26">
    <w:abstractNumId w:val="56"/>
  </w:num>
  <w:num w:numId="27">
    <w:abstractNumId w:val="57"/>
  </w:num>
  <w:num w:numId="28">
    <w:abstractNumId w:val="58"/>
  </w:num>
  <w:num w:numId="29">
    <w:abstractNumId w:val="8"/>
  </w:num>
  <w:num w:numId="30">
    <w:abstractNumId w:val="38"/>
  </w:num>
  <w:num w:numId="31">
    <w:abstractNumId w:val="45"/>
  </w:num>
  <w:num w:numId="32">
    <w:abstractNumId w:val="15"/>
  </w:num>
  <w:num w:numId="33">
    <w:abstractNumId w:val="46"/>
  </w:num>
  <w:num w:numId="34">
    <w:abstractNumId w:val="60"/>
  </w:num>
  <w:num w:numId="35">
    <w:abstractNumId w:val="47"/>
  </w:num>
  <w:num w:numId="36">
    <w:abstractNumId w:val="55"/>
  </w:num>
  <w:num w:numId="37">
    <w:abstractNumId w:val="48"/>
  </w:num>
  <w:num w:numId="38">
    <w:abstractNumId w:val="49"/>
  </w:num>
  <w:num w:numId="39">
    <w:abstractNumId w:val="50"/>
  </w:num>
  <w:num w:numId="40">
    <w:abstractNumId w:val="51"/>
  </w:num>
  <w:num w:numId="41">
    <w:abstractNumId w:val="61"/>
  </w:num>
  <w:num w:numId="42">
    <w:abstractNumId w:val="0"/>
  </w:num>
  <w:num w:numId="43">
    <w:abstractNumId w:val="7"/>
  </w:num>
  <w:num w:numId="44">
    <w:abstractNumId w:val="21"/>
  </w:num>
  <w:num w:numId="45">
    <w:abstractNumId w:val="26"/>
  </w:num>
  <w:num w:numId="46">
    <w:abstractNumId w:val="2"/>
  </w:num>
  <w:num w:numId="47">
    <w:abstractNumId w:val="9"/>
  </w:num>
  <w:num w:numId="48">
    <w:abstractNumId w:val="11"/>
  </w:num>
  <w:num w:numId="49">
    <w:abstractNumId w:val="62"/>
  </w:num>
  <w:num w:numId="50">
    <w:abstractNumId w:val="25"/>
  </w:num>
  <w:num w:numId="51">
    <w:abstractNumId w:val="4"/>
  </w:num>
  <w:num w:numId="52">
    <w:abstractNumId w:val="24"/>
  </w:num>
  <w:num w:numId="53">
    <w:abstractNumId w:val="3"/>
  </w:num>
  <w:num w:numId="54">
    <w:abstractNumId w:val="6"/>
  </w:num>
  <w:num w:numId="55">
    <w:abstractNumId w:val="1"/>
  </w:num>
  <w:num w:numId="56">
    <w:abstractNumId w:val="28"/>
  </w:num>
  <w:num w:numId="57">
    <w:abstractNumId w:val="22"/>
  </w:num>
  <w:num w:numId="58">
    <w:abstractNumId w:val="14"/>
  </w:num>
  <w:num w:numId="59">
    <w:abstractNumId w:val="37"/>
  </w:num>
  <w:num w:numId="60">
    <w:abstractNumId w:val="23"/>
  </w:num>
  <w:num w:numId="61">
    <w:abstractNumId w:val="64"/>
  </w:num>
  <w:num w:numId="62">
    <w:abstractNumId w:val="39"/>
  </w:num>
  <w:num w:numId="63">
    <w:abstractNumId w:val="12"/>
  </w:num>
  <w:num w:numId="64">
    <w:abstractNumId w:val="27"/>
  </w:num>
  <w:num w:numId="65">
    <w:abstractNumId w:val="20"/>
  </w:num>
  <w:num w:numId="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117B2"/>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35A56"/>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0533BA"/>
    <w:rsid w:val="01253502"/>
    <w:rsid w:val="013A34D2"/>
    <w:rsid w:val="017C4C4A"/>
    <w:rsid w:val="019845E5"/>
    <w:rsid w:val="01B0348D"/>
    <w:rsid w:val="01C1532E"/>
    <w:rsid w:val="01D9270F"/>
    <w:rsid w:val="01DC7096"/>
    <w:rsid w:val="01E2682C"/>
    <w:rsid w:val="020716AE"/>
    <w:rsid w:val="022D6B9B"/>
    <w:rsid w:val="02507A52"/>
    <w:rsid w:val="02596255"/>
    <w:rsid w:val="025E45AD"/>
    <w:rsid w:val="02632E79"/>
    <w:rsid w:val="02A04BBA"/>
    <w:rsid w:val="02B9172A"/>
    <w:rsid w:val="02DD68E2"/>
    <w:rsid w:val="02E9497F"/>
    <w:rsid w:val="03164D3E"/>
    <w:rsid w:val="03451B7A"/>
    <w:rsid w:val="03511D53"/>
    <w:rsid w:val="03A240C0"/>
    <w:rsid w:val="03E812EC"/>
    <w:rsid w:val="04346E96"/>
    <w:rsid w:val="045B7DE7"/>
    <w:rsid w:val="049A4A23"/>
    <w:rsid w:val="04CB1844"/>
    <w:rsid w:val="04EA6A74"/>
    <w:rsid w:val="050D16BA"/>
    <w:rsid w:val="055C340A"/>
    <w:rsid w:val="058013F8"/>
    <w:rsid w:val="058B3782"/>
    <w:rsid w:val="0591421E"/>
    <w:rsid w:val="059A1517"/>
    <w:rsid w:val="05E71667"/>
    <w:rsid w:val="06273AC5"/>
    <w:rsid w:val="068E2877"/>
    <w:rsid w:val="06C40031"/>
    <w:rsid w:val="06C55BEF"/>
    <w:rsid w:val="06CF3C7F"/>
    <w:rsid w:val="06E21332"/>
    <w:rsid w:val="07156F47"/>
    <w:rsid w:val="07310670"/>
    <w:rsid w:val="07487F64"/>
    <w:rsid w:val="074F1D72"/>
    <w:rsid w:val="07607573"/>
    <w:rsid w:val="07641B88"/>
    <w:rsid w:val="07856004"/>
    <w:rsid w:val="079C6C34"/>
    <w:rsid w:val="07C17285"/>
    <w:rsid w:val="07EB65E3"/>
    <w:rsid w:val="07FE3A66"/>
    <w:rsid w:val="082F71E8"/>
    <w:rsid w:val="084D34A3"/>
    <w:rsid w:val="08624F55"/>
    <w:rsid w:val="087D32AA"/>
    <w:rsid w:val="08947E10"/>
    <w:rsid w:val="089E3657"/>
    <w:rsid w:val="08AB3374"/>
    <w:rsid w:val="08B0644D"/>
    <w:rsid w:val="08C14A52"/>
    <w:rsid w:val="08DD3EDA"/>
    <w:rsid w:val="08E80A7C"/>
    <w:rsid w:val="08FD1694"/>
    <w:rsid w:val="08FF7646"/>
    <w:rsid w:val="09195F9B"/>
    <w:rsid w:val="09551105"/>
    <w:rsid w:val="09732BAA"/>
    <w:rsid w:val="099B7A84"/>
    <w:rsid w:val="09AB0222"/>
    <w:rsid w:val="09AD23BE"/>
    <w:rsid w:val="09CD7056"/>
    <w:rsid w:val="09D83573"/>
    <w:rsid w:val="0A39670A"/>
    <w:rsid w:val="0A744052"/>
    <w:rsid w:val="0A8254DA"/>
    <w:rsid w:val="0AA862B1"/>
    <w:rsid w:val="0AAF104A"/>
    <w:rsid w:val="0AAF3E31"/>
    <w:rsid w:val="0AED7139"/>
    <w:rsid w:val="0B151573"/>
    <w:rsid w:val="0B4A0AB1"/>
    <w:rsid w:val="0B6E3207"/>
    <w:rsid w:val="0B73301E"/>
    <w:rsid w:val="0BAC0F2F"/>
    <w:rsid w:val="0C106DAE"/>
    <w:rsid w:val="0C1959E9"/>
    <w:rsid w:val="0C220AE9"/>
    <w:rsid w:val="0C316499"/>
    <w:rsid w:val="0C643F71"/>
    <w:rsid w:val="0CA777FB"/>
    <w:rsid w:val="0CB25156"/>
    <w:rsid w:val="0CC90ECA"/>
    <w:rsid w:val="0CF95E06"/>
    <w:rsid w:val="0CF970C7"/>
    <w:rsid w:val="0D772A74"/>
    <w:rsid w:val="0D7D3D59"/>
    <w:rsid w:val="0D827683"/>
    <w:rsid w:val="0D8619FC"/>
    <w:rsid w:val="0DD724F6"/>
    <w:rsid w:val="0E0148DC"/>
    <w:rsid w:val="0E0A3926"/>
    <w:rsid w:val="0E1C168C"/>
    <w:rsid w:val="0E2F361C"/>
    <w:rsid w:val="0E3C5788"/>
    <w:rsid w:val="0E8A0397"/>
    <w:rsid w:val="0EA20E7A"/>
    <w:rsid w:val="0EAF3D7B"/>
    <w:rsid w:val="0ECB0ECB"/>
    <w:rsid w:val="0ED80953"/>
    <w:rsid w:val="0ED93C98"/>
    <w:rsid w:val="0EE47081"/>
    <w:rsid w:val="0EE923AC"/>
    <w:rsid w:val="0EF46447"/>
    <w:rsid w:val="0EFF300A"/>
    <w:rsid w:val="0F181FC8"/>
    <w:rsid w:val="0F333702"/>
    <w:rsid w:val="0F401705"/>
    <w:rsid w:val="0F691E46"/>
    <w:rsid w:val="0F6D0D24"/>
    <w:rsid w:val="0F806FED"/>
    <w:rsid w:val="0F8D0BE8"/>
    <w:rsid w:val="0F900FC5"/>
    <w:rsid w:val="0FA91797"/>
    <w:rsid w:val="0FB33A4E"/>
    <w:rsid w:val="10126394"/>
    <w:rsid w:val="104C2A9E"/>
    <w:rsid w:val="10FF7F0B"/>
    <w:rsid w:val="11085F6F"/>
    <w:rsid w:val="11097388"/>
    <w:rsid w:val="11686758"/>
    <w:rsid w:val="117B5CBE"/>
    <w:rsid w:val="118A1171"/>
    <w:rsid w:val="118D0BF7"/>
    <w:rsid w:val="11985EF8"/>
    <w:rsid w:val="11C8127F"/>
    <w:rsid w:val="11E44062"/>
    <w:rsid w:val="11EB42EE"/>
    <w:rsid w:val="11F95B44"/>
    <w:rsid w:val="122C300C"/>
    <w:rsid w:val="12345CE1"/>
    <w:rsid w:val="12443276"/>
    <w:rsid w:val="1252238F"/>
    <w:rsid w:val="12A254E6"/>
    <w:rsid w:val="12A94F39"/>
    <w:rsid w:val="12B10A4C"/>
    <w:rsid w:val="12DE1B3B"/>
    <w:rsid w:val="12E27BAC"/>
    <w:rsid w:val="12E76BDB"/>
    <w:rsid w:val="134D4C40"/>
    <w:rsid w:val="13575E34"/>
    <w:rsid w:val="136900C9"/>
    <w:rsid w:val="13722F5D"/>
    <w:rsid w:val="139765D8"/>
    <w:rsid w:val="13DC39F1"/>
    <w:rsid w:val="13F516F1"/>
    <w:rsid w:val="13FB2D0D"/>
    <w:rsid w:val="14305551"/>
    <w:rsid w:val="14386FD6"/>
    <w:rsid w:val="14432CB6"/>
    <w:rsid w:val="14565D4F"/>
    <w:rsid w:val="146035E6"/>
    <w:rsid w:val="14C115D5"/>
    <w:rsid w:val="14CD6141"/>
    <w:rsid w:val="14DD4386"/>
    <w:rsid w:val="150B47D4"/>
    <w:rsid w:val="1521731E"/>
    <w:rsid w:val="1545428F"/>
    <w:rsid w:val="156D64AB"/>
    <w:rsid w:val="1580785E"/>
    <w:rsid w:val="1592432C"/>
    <w:rsid w:val="15B86808"/>
    <w:rsid w:val="15D943E3"/>
    <w:rsid w:val="15F55D96"/>
    <w:rsid w:val="15F743BB"/>
    <w:rsid w:val="16011788"/>
    <w:rsid w:val="16145E18"/>
    <w:rsid w:val="161A2D22"/>
    <w:rsid w:val="1649375D"/>
    <w:rsid w:val="16612092"/>
    <w:rsid w:val="168122B3"/>
    <w:rsid w:val="16D400EF"/>
    <w:rsid w:val="16DD42E0"/>
    <w:rsid w:val="16F9234C"/>
    <w:rsid w:val="17115465"/>
    <w:rsid w:val="17884105"/>
    <w:rsid w:val="179405EF"/>
    <w:rsid w:val="17A70F3F"/>
    <w:rsid w:val="17C57951"/>
    <w:rsid w:val="17CB0F48"/>
    <w:rsid w:val="17D406F7"/>
    <w:rsid w:val="17D8322F"/>
    <w:rsid w:val="1816511F"/>
    <w:rsid w:val="184F35DE"/>
    <w:rsid w:val="1886755A"/>
    <w:rsid w:val="18983047"/>
    <w:rsid w:val="18A41337"/>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A86EDC"/>
    <w:rsid w:val="1ADE2C24"/>
    <w:rsid w:val="1AF6038F"/>
    <w:rsid w:val="1AFE7A29"/>
    <w:rsid w:val="1B604066"/>
    <w:rsid w:val="1B9B0BC6"/>
    <w:rsid w:val="1BAA591C"/>
    <w:rsid w:val="1BBA2302"/>
    <w:rsid w:val="1C020069"/>
    <w:rsid w:val="1C507121"/>
    <w:rsid w:val="1C7A32F9"/>
    <w:rsid w:val="1C9242A4"/>
    <w:rsid w:val="1CBE3649"/>
    <w:rsid w:val="1D9C0926"/>
    <w:rsid w:val="1DA710C8"/>
    <w:rsid w:val="1E1A3FF8"/>
    <w:rsid w:val="1E26654D"/>
    <w:rsid w:val="1E323109"/>
    <w:rsid w:val="1EA10F3E"/>
    <w:rsid w:val="1EB51DD8"/>
    <w:rsid w:val="1EC61F82"/>
    <w:rsid w:val="1EC93386"/>
    <w:rsid w:val="1EED0F1B"/>
    <w:rsid w:val="1F59427A"/>
    <w:rsid w:val="1F6406C1"/>
    <w:rsid w:val="1FC30DF6"/>
    <w:rsid w:val="1FD945B0"/>
    <w:rsid w:val="1FEF1FFA"/>
    <w:rsid w:val="20090507"/>
    <w:rsid w:val="20BB2E96"/>
    <w:rsid w:val="20DA6C2C"/>
    <w:rsid w:val="20DD668A"/>
    <w:rsid w:val="20E633FF"/>
    <w:rsid w:val="210D65EB"/>
    <w:rsid w:val="2119335A"/>
    <w:rsid w:val="211A5B8C"/>
    <w:rsid w:val="21254D1A"/>
    <w:rsid w:val="215A2EC4"/>
    <w:rsid w:val="217627D9"/>
    <w:rsid w:val="2179110E"/>
    <w:rsid w:val="21A0370E"/>
    <w:rsid w:val="21B1797A"/>
    <w:rsid w:val="21B814FB"/>
    <w:rsid w:val="21C52D02"/>
    <w:rsid w:val="21C52F88"/>
    <w:rsid w:val="220E3210"/>
    <w:rsid w:val="226E02A2"/>
    <w:rsid w:val="227B66FD"/>
    <w:rsid w:val="228D0852"/>
    <w:rsid w:val="229D03B1"/>
    <w:rsid w:val="22A355B8"/>
    <w:rsid w:val="22B00566"/>
    <w:rsid w:val="22C471DB"/>
    <w:rsid w:val="22D03D34"/>
    <w:rsid w:val="22D66746"/>
    <w:rsid w:val="22E808CF"/>
    <w:rsid w:val="22EB45A5"/>
    <w:rsid w:val="22FB0051"/>
    <w:rsid w:val="231F769B"/>
    <w:rsid w:val="23422E27"/>
    <w:rsid w:val="235201DB"/>
    <w:rsid w:val="2359393E"/>
    <w:rsid w:val="23BE0B86"/>
    <w:rsid w:val="248A3A7F"/>
    <w:rsid w:val="249F4236"/>
    <w:rsid w:val="24B05FCC"/>
    <w:rsid w:val="24C377D0"/>
    <w:rsid w:val="24CF636F"/>
    <w:rsid w:val="24D01574"/>
    <w:rsid w:val="24E52D6B"/>
    <w:rsid w:val="25251A25"/>
    <w:rsid w:val="25474606"/>
    <w:rsid w:val="256228E0"/>
    <w:rsid w:val="258F7DD5"/>
    <w:rsid w:val="25AC0E5C"/>
    <w:rsid w:val="25C908AF"/>
    <w:rsid w:val="25CE5311"/>
    <w:rsid w:val="25D3637D"/>
    <w:rsid w:val="25FA061E"/>
    <w:rsid w:val="261F0590"/>
    <w:rsid w:val="2644580B"/>
    <w:rsid w:val="264C2EC7"/>
    <w:rsid w:val="26966E13"/>
    <w:rsid w:val="26A419A9"/>
    <w:rsid w:val="26AC1452"/>
    <w:rsid w:val="26B4785C"/>
    <w:rsid w:val="26B94E95"/>
    <w:rsid w:val="26F11CDD"/>
    <w:rsid w:val="270123FB"/>
    <w:rsid w:val="27086393"/>
    <w:rsid w:val="270C20F8"/>
    <w:rsid w:val="27124CA5"/>
    <w:rsid w:val="27135815"/>
    <w:rsid w:val="271925EC"/>
    <w:rsid w:val="272E0FE5"/>
    <w:rsid w:val="273435F1"/>
    <w:rsid w:val="27A10A77"/>
    <w:rsid w:val="27B93768"/>
    <w:rsid w:val="27BA5F3E"/>
    <w:rsid w:val="27D95F36"/>
    <w:rsid w:val="285C72E1"/>
    <w:rsid w:val="285E1F2B"/>
    <w:rsid w:val="28932F3A"/>
    <w:rsid w:val="28B142D5"/>
    <w:rsid w:val="28BA0DD2"/>
    <w:rsid w:val="28C052EC"/>
    <w:rsid w:val="28C50201"/>
    <w:rsid w:val="28D1042F"/>
    <w:rsid w:val="290C77C3"/>
    <w:rsid w:val="290D3996"/>
    <w:rsid w:val="29136CF0"/>
    <w:rsid w:val="29777818"/>
    <w:rsid w:val="29A14680"/>
    <w:rsid w:val="29FF6391"/>
    <w:rsid w:val="2A224A43"/>
    <w:rsid w:val="2A2F63F2"/>
    <w:rsid w:val="2A4C44CF"/>
    <w:rsid w:val="2A541436"/>
    <w:rsid w:val="2ADD7D86"/>
    <w:rsid w:val="2B0459FF"/>
    <w:rsid w:val="2B0F2074"/>
    <w:rsid w:val="2B5258B1"/>
    <w:rsid w:val="2B8653EF"/>
    <w:rsid w:val="2BFE19D6"/>
    <w:rsid w:val="2C1B5789"/>
    <w:rsid w:val="2C3118DD"/>
    <w:rsid w:val="2C3562D8"/>
    <w:rsid w:val="2CB07001"/>
    <w:rsid w:val="2CB3280D"/>
    <w:rsid w:val="2CB922C1"/>
    <w:rsid w:val="2CD25725"/>
    <w:rsid w:val="2CF70F9E"/>
    <w:rsid w:val="2D124A1E"/>
    <w:rsid w:val="2D3373D5"/>
    <w:rsid w:val="2D39787B"/>
    <w:rsid w:val="2D3B78BA"/>
    <w:rsid w:val="2D4910C7"/>
    <w:rsid w:val="2D4A3339"/>
    <w:rsid w:val="2D9A0AB9"/>
    <w:rsid w:val="2DCD259E"/>
    <w:rsid w:val="2E090193"/>
    <w:rsid w:val="2E0A7E69"/>
    <w:rsid w:val="2E3A03E5"/>
    <w:rsid w:val="2E7608C5"/>
    <w:rsid w:val="2F154571"/>
    <w:rsid w:val="2F2F5279"/>
    <w:rsid w:val="2F314A30"/>
    <w:rsid w:val="2F385D1F"/>
    <w:rsid w:val="2F592C0A"/>
    <w:rsid w:val="2F6076E3"/>
    <w:rsid w:val="2F750B25"/>
    <w:rsid w:val="2F992B76"/>
    <w:rsid w:val="2F9F7149"/>
    <w:rsid w:val="2FD276BA"/>
    <w:rsid w:val="2FF61F3A"/>
    <w:rsid w:val="2FF76ADE"/>
    <w:rsid w:val="3012581E"/>
    <w:rsid w:val="30427DA1"/>
    <w:rsid w:val="30703AED"/>
    <w:rsid w:val="30D87142"/>
    <w:rsid w:val="30F90615"/>
    <w:rsid w:val="311427E1"/>
    <w:rsid w:val="31144F45"/>
    <w:rsid w:val="31263671"/>
    <w:rsid w:val="313D0673"/>
    <w:rsid w:val="320F7CDE"/>
    <w:rsid w:val="321F3DAE"/>
    <w:rsid w:val="324003D4"/>
    <w:rsid w:val="32571548"/>
    <w:rsid w:val="32BD5DCB"/>
    <w:rsid w:val="32C574EA"/>
    <w:rsid w:val="32DD612C"/>
    <w:rsid w:val="32DF1E88"/>
    <w:rsid w:val="32EC1396"/>
    <w:rsid w:val="33245E41"/>
    <w:rsid w:val="3331756A"/>
    <w:rsid w:val="33413B81"/>
    <w:rsid w:val="33460DBD"/>
    <w:rsid w:val="33690A64"/>
    <w:rsid w:val="3372638F"/>
    <w:rsid w:val="33C544C3"/>
    <w:rsid w:val="33D347BC"/>
    <w:rsid w:val="33EC666B"/>
    <w:rsid w:val="33F062D6"/>
    <w:rsid w:val="33F50D78"/>
    <w:rsid w:val="33FD4196"/>
    <w:rsid w:val="341E6368"/>
    <w:rsid w:val="342F4322"/>
    <w:rsid w:val="34552CFD"/>
    <w:rsid w:val="34662C2B"/>
    <w:rsid w:val="346E04E1"/>
    <w:rsid w:val="347F5322"/>
    <w:rsid w:val="348A4674"/>
    <w:rsid w:val="34994215"/>
    <w:rsid w:val="34C539E4"/>
    <w:rsid w:val="352422D0"/>
    <w:rsid w:val="35312EA4"/>
    <w:rsid w:val="353B001C"/>
    <w:rsid w:val="354B78A0"/>
    <w:rsid w:val="35593CAE"/>
    <w:rsid w:val="35C176A9"/>
    <w:rsid w:val="35DF2327"/>
    <w:rsid w:val="3607269A"/>
    <w:rsid w:val="3629503A"/>
    <w:rsid w:val="367B3297"/>
    <w:rsid w:val="368112AD"/>
    <w:rsid w:val="36821B27"/>
    <w:rsid w:val="36960637"/>
    <w:rsid w:val="36970D27"/>
    <w:rsid w:val="36E804BC"/>
    <w:rsid w:val="36ED7E3E"/>
    <w:rsid w:val="372B4C0C"/>
    <w:rsid w:val="37480859"/>
    <w:rsid w:val="37B51D2C"/>
    <w:rsid w:val="37B750BF"/>
    <w:rsid w:val="38A0322F"/>
    <w:rsid w:val="38B44C92"/>
    <w:rsid w:val="38E0066F"/>
    <w:rsid w:val="38F81F10"/>
    <w:rsid w:val="38FF1F77"/>
    <w:rsid w:val="39001EE9"/>
    <w:rsid w:val="39050C3E"/>
    <w:rsid w:val="391425B7"/>
    <w:rsid w:val="39226068"/>
    <w:rsid w:val="3925063D"/>
    <w:rsid w:val="39387926"/>
    <w:rsid w:val="39585C08"/>
    <w:rsid w:val="395E5DDB"/>
    <w:rsid w:val="3993401A"/>
    <w:rsid w:val="39975AFB"/>
    <w:rsid w:val="39A21DBC"/>
    <w:rsid w:val="3A233ECF"/>
    <w:rsid w:val="3A2D7BAB"/>
    <w:rsid w:val="3A4F2B4C"/>
    <w:rsid w:val="3A610625"/>
    <w:rsid w:val="3A764FDE"/>
    <w:rsid w:val="3A953982"/>
    <w:rsid w:val="3AAA1121"/>
    <w:rsid w:val="3AC37553"/>
    <w:rsid w:val="3ACD34EE"/>
    <w:rsid w:val="3B291E32"/>
    <w:rsid w:val="3B4C1448"/>
    <w:rsid w:val="3B550C57"/>
    <w:rsid w:val="3B5653C0"/>
    <w:rsid w:val="3B5D79A7"/>
    <w:rsid w:val="3B934208"/>
    <w:rsid w:val="3BBB63B0"/>
    <w:rsid w:val="3BEA6A4D"/>
    <w:rsid w:val="3BF975B9"/>
    <w:rsid w:val="3C0C324B"/>
    <w:rsid w:val="3C300073"/>
    <w:rsid w:val="3C347876"/>
    <w:rsid w:val="3C5077F0"/>
    <w:rsid w:val="3C6319A5"/>
    <w:rsid w:val="3C6A4416"/>
    <w:rsid w:val="3C6D28C0"/>
    <w:rsid w:val="3CA16B01"/>
    <w:rsid w:val="3CB16C19"/>
    <w:rsid w:val="3CBD5B21"/>
    <w:rsid w:val="3CCC585E"/>
    <w:rsid w:val="3CF306F7"/>
    <w:rsid w:val="3CF92AB7"/>
    <w:rsid w:val="3D0521B8"/>
    <w:rsid w:val="3D1F7B03"/>
    <w:rsid w:val="3D285535"/>
    <w:rsid w:val="3D4E048A"/>
    <w:rsid w:val="3DE72505"/>
    <w:rsid w:val="3DFF3F57"/>
    <w:rsid w:val="3E2E1195"/>
    <w:rsid w:val="3E3D5AF9"/>
    <w:rsid w:val="3EBE0637"/>
    <w:rsid w:val="3EDC43B2"/>
    <w:rsid w:val="3EF04D32"/>
    <w:rsid w:val="3F0424CF"/>
    <w:rsid w:val="3F4F0730"/>
    <w:rsid w:val="3F5564E5"/>
    <w:rsid w:val="3FBC76F3"/>
    <w:rsid w:val="3FC02FF0"/>
    <w:rsid w:val="3FCE7634"/>
    <w:rsid w:val="400D38CA"/>
    <w:rsid w:val="401D13AA"/>
    <w:rsid w:val="402446DA"/>
    <w:rsid w:val="4031155A"/>
    <w:rsid w:val="40526CB6"/>
    <w:rsid w:val="40594798"/>
    <w:rsid w:val="40E07E77"/>
    <w:rsid w:val="40F92E90"/>
    <w:rsid w:val="41155838"/>
    <w:rsid w:val="412D4B19"/>
    <w:rsid w:val="415E65C4"/>
    <w:rsid w:val="416D6101"/>
    <w:rsid w:val="418A3309"/>
    <w:rsid w:val="41BD03DB"/>
    <w:rsid w:val="41C14BA5"/>
    <w:rsid w:val="41DA7D36"/>
    <w:rsid w:val="42001452"/>
    <w:rsid w:val="42107036"/>
    <w:rsid w:val="422100AF"/>
    <w:rsid w:val="42296309"/>
    <w:rsid w:val="422A4B00"/>
    <w:rsid w:val="42484C51"/>
    <w:rsid w:val="424851D2"/>
    <w:rsid w:val="4249668B"/>
    <w:rsid w:val="425E7D14"/>
    <w:rsid w:val="42635FEF"/>
    <w:rsid w:val="426A2760"/>
    <w:rsid w:val="42DC6B49"/>
    <w:rsid w:val="42F913BC"/>
    <w:rsid w:val="42FE5587"/>
    <w:rsid w:val="43013DA1"/>
    <w:rsid w:val="434C0275"/>
    <w:rsid w:val="43642F5E"/>
    <w:rsid w:val="43BE37E1"/>
    <w:rsid w:val="43E9304A"/>
    <w:rsid w:val="43EA034A"/>
    <w:rsid w:val="44273C51"/>
    <w:rsid w:val="442A7435"/>
    <w:rsid w:val="444824FB"/>
    <w:rsid w:val="447C287E"/>
    <w:rsid w:val="44AA77F2"/>
    <w:rsid w:val="44AB3EBA"/>
    <w:rsid w:val="44B249B7"/>
    <w:rsid w:val="44B335CA"/>
    <w:rsid w:val="44B546E7"/>
    <w:rsid w:val="44D91FD9"/>
    <w:rsid w:val="44DE32E5"/>
    <w:rsid w:val="44FB2F62"/>
    <w:rsid w:val="451D414B"/>
    <w:rsid w:val="45407AD6"/>
    <w:rsid w:val="45553894"/>
    <w:rsid w:val="457D260A"/>
    <w:rsid w:val="45CA3A4E"/>
    <w:rsid w:val="46100733"/>
    <w:rsid w:val="467C3F8D"/>
    <w:rsid w:val="467C7DAD"/>
    <w:rsid w:val="467D324E"/>
    <w:rsid w:val="468E066B"/>
    <w:rsid w:val="469C5960"/>
    <w:rsid w:val="46A120C6"/>
    <w:rsid w:val="46B12D45"/>
    <w:rsid w:val="46EB204D"/>
    <w:rsid w:val="46FC4CEF"/>
    <w:rsid w:val="471B2B70"/>
    <w:rsid w:val="475964A8"/>
    <w:rsid w:val="47CE2905"/>
    <w:rsid w:val="47F83359"/>
    <w:rsid w:val="47FC25FC"/>
    <w:rsid w:val="48952A15"/>
    <w:rsid w:val="48967C88"/>
    <w:rsid w:val="489D7312"/>
    <w:rsid w:val="48A474BC"/>
    <w:rsid w:val="48B6678D"/>
    <w:rsid w:val="48C8208F"/>
    <w:rsid w:val="48CD54FC"/>
    <w:rsid w:val="490D6EF1"/>
    <w:rsid w:val="496C770C"/>
    <w:rsid w:val="49833086"/>
    <w:rsid w:val="49E70C75"/>
    <w:rsid w:val="4A06251A"/>
    <w:rsid w:val="4A113DC0"/>
    <w:rsid w:val="4A547916"/>
    <w:rsid w:val="4A563835"/>
    <w:rsid w:val="4A5A4578"/>
    <w:rsid w:val="4A9470AF"/>
    <w:rsid w:val="4ADB115E"/>
    <w:rsid w:val="4B0C4481"/>
    <w:rsid w:val="4B1D7FF9"/>
    <w:rsid w:val="4B3C1FE1"/>
    <w:rsid w:val="4B412FE7"/>
    <w:rsid w:val="4B50629D"/>
    <w:rsid w:val="4B5216F0"/>
    <w:rsid w:val="4B873C90"/>
    <w:rsid w:val="4BA82573"/>
    <w:rsid w:val="4BD319EC"/>
    <w:rsid w:val="4C0F3894"/>
    <w:rsid w:val="4C1603ED"/>
    <w:rsid w:val="4C5110C3"/>
    <w:rsid w:val="4C6E210E"/>
    <w:rsid w:val="4C7607DD"/>
    <w:rsid w:val="4C77450A"/>
    <w:rsid w:val="4C935296"/>
    <w:rsid w:val="4C9C05A8"/>
    <w:rsid w:val="4CA93DA4"/>
    <w:rsid w:val="4D02051A"/>
    <w:rsid w:val="4D105E89"/>
    <w:rsid w:val="4D39550D"/>
    <w:rsid w:val="4D7E343F"/>
    <w:rsid w:val="4D853B8B"/>
    <w:rsid w:val="4DA82B08"/>
    <w:rsid w:val="4DB552EA"/>
    <w:rsid w:val="4DEA4DFF"/>
    <w:rsid w:val="4DF90F86"/>
    <w:rsid w:val="4E34085A"/>
    <w:rsid w:val="4E4E41E8"/>
    <w:rsid w:val="4E52351E"/>
    <w:rsid w:val="4E6679FD"/>
    <w:rsid w:val="4E995F96"/>
    <w:rsid w:val="4EA03D50"/>
    <w:rsid w:val="4EB418A0"/>
    <w:rsid w:val="4EC7422C"/>
    <w:rsid w:val="4EFD309F"/>
    <w:rsid w:val="4F0F5F83"/>
    <w:rsid w:val="4F1730F8"/>
    <w:rsid w:val="4F767DE0"/>
    <w:rsid w:val="4FB71FA5"/>
    <w:rsid w:val="4FF22F51"/>
    <w:rsid w:val="50061349"/>
    <w:rsid w:val="502571C3"/>
    <w:rsid w:val="502C7252"/>
    <w:rsid w:val="50330BAD"/>
    <w:rsid w:val="503F2AAA"/>
    <w:rsid w:val="506D2822"/>
    <w:rsid w:val="506F7531"/>
    <w:rsid w:val="50AC380C"/>
    <w:rsid w:val="50C13ED4"/>
    <w:rsid w:val="50CD580A"/>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627D1"/>
    <w:rsid w:val="526E4E8E"/>
    <w:rsid w:val="52706486"/>
    <w:rsid w:val="527F35E6"/>
    <w:rsid w:val="52964727"/>
    <w:rsid w:val="52CC4D8D"/>
    <w:rsid w:val="52ED2480"/>
    <w:rsid w:val="52FA6AE0"/>
    <w:rsid w:val="53101841"/>
    <w:rsid w:val="53465512"/>
    <w:rsid w:val="53714E9B"/>
    <w:rsid w:val="5376019D"/>
    <w:rsid w:val="5397438F"/>
    <w:rsid w:val="539B6DCD"/>
    <w:rsid w:val="53A63F13"/>
    <w:rsid w:val="54106881"/>
    <w:rsid w:val="541B28DE"/>
    <w:rsid w:val="54361AD6"/>
    <w:rsid w:val="547C14C6"/>
    <w:rsid w:val="548F7C85"/>
    <w:rsid w:val="54A01754"/>
    <w:rsid w:val="54D37F7A"/>
    <w:rsid w:val="54D46F91"/>
    <w:rsid w:val="54F915DA"/>
    <w:rsid w:val="5522753E"/>
    <w:rsid w:val="556866BD"/>
    <w:rsid w:val="55783F05"/>
    <w:rsid w:val="557C67E2"/>
    <w:rsid w:val="557E31B0"/>
    <w:rsid w:val="55821F23"/>
    <w:rsid w:val="55953EBF"/>
    <w:rsid w:val="55EE36DE"/>
    <w:rsid w:val="55FD1528"/>
    <w:rsid w:val="5603491C"/>
    <w:rsid w:val="562567C7"/>
    <w:rsid w:val="56401B87"/>
    <w:rsid w:val="56733201"/>
    <w:rsid w:val="569C61A7"/>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DB67BC"/>
    <w:rsid w:val="58DC7FF8"/>
    <w:rsid w:val="58FC5A0D"/>
    <w:rsid w:val="59257BBA"/>
    <w:rsid w:val="59291040"/>
    <w:rsid w:val="595E18B4"/>
    <w:rsid w:val="596F6B90"/>
    <w:rsid w:val="59A37C3C"/>
    <w:rsid w:val="59A72AB3"/>
    <w:rsid w:val="59E859EC"/>
    <w:rsid w:val="5A01585A"/>
    <w:rsid w:val="5A064113"/>
    <w:rsid w:val="5A1B1406"/>
    <w:rsid w:val="5A4C6153"/>
    <w:rsid w:val="5A590DD3"/>
    <w:rsid w:val="5A5D7326"/>
    <w:rsid w:val="5AA92DA4"/>
    <w:rsid w:val="5ACA3EE7"/>
    <w:rsid w:val="5ADD2B57"/>
    <w:rsid w:val="5AEF78B5"/>
    <w:rsid w:val="5B0F40E8"/>
    <w:rsid w:val="5B18388D"/>
    <w:rsid w:val="5B2179CB"/>
    <w:rsid w:val="5B4C30C2"/>
    <w:rsid w:val="5B54540F"/>
    <w:rsid w:val="5B686D47"/>
    <w:rsid w:val="5B7331EF"/>
    <w:rsid w:val="5B9E283F"/>
    <w:rsid w:val="5BC421DF"/>
    <w:rsid w:val="5BD769EA"/>
    <w:rsid w:val="5BE82415"/>
    <w:rsid w:val="5C085AF9"/>
    <w:rsid w:val="5C222B39"/>
    <w:rsid w:val="5C783EF8"/>
    <w:rsid w:val="5C797997"/>
    <w:rsid w:val="5CB52BAD"/>
    <w:rsid w:val="5CB836EE"/>
    <w:rsid w:val="5CD65063"/>
    <w:rsid w:val="5CFE733E"/>
    <w:rsid w:val="5D133FCC"/>
    <w:rsid w:val="5D376CBC"/>
    <w:rsid w:val="5D941A06"/>
    <w:rsid w:val="5DBA7B73"/>
    <w:rsid w:val="5DC219E4"/>
    <w:rsid w:val="5DE07F60"/>
    <w:rsid w:val="5E215894"/>
    <w:rsid w:val="5E6A5417"/>
    <w:rsid w:val="5EA527EB"/>
    <w:rsid w:val="5EA8001D"/>
    <w:rsid w:val="5EB6537C"/>
    <w:rsid w:val="5F772BB7"/>
    <w:rsid w:val="5F7770CC"/>
    <w:rsid w:val="5F843B10"/>
    <w:rsid w:val="5F923324"/>
    <w:rsid w:val="5F9516DC"/>
    <w:rsid w:val="5FC02283"/>
    <w:rsid w:val="6009601C"/>
    <w:rsid w:val="601E45D8"/>
    <w:rsid w:val="601F2556"/>
    <w:rsid w:val="60595F1D"/>
    <w:rsid w:val="60C91D88"/>
    <w:rsid w:val="60C96A5B"/>
    <w:rsid w:val="60E33A8A"/>
    <w:rsid w:val="61BF22D5"/>
    <w:rsid w:val="61E3116A"/>
    <w:rsid w:val="6257385F"/>
    <w:rsid w:val="62661F44"/>
    <w:rsid w:val="62863DF4"/>
    <w:rsid w:val="62986E29"/>
    <w:rsid w:val="629D419A"/>
    <w:rsid w:val="62AB7395"/>
    <w:rsid w:val="62B32EC5"/>
    <w:rsid w:val="62C14349"/>
    <w:rsid w:val="62C16539"/>
    <w:rsid w:val="62DD7032"/>
    <w:rsid w:val="63160BC8"/>
    <w:rsid w:val="631B31EA"/>
    <w:rsid w:val="633E0BF6"/>
    <w:rsid w:val="636C77D3"/>
    <w:rsid w:val="63C952A8"/>
    <w:rsid w:val="63D80532"/>
    <w:rsid w:val="63E66104"/>
    <w:rsid w:val="64157661"/>
    <w:rsid w:val="64171B21"/>
    <w:rsid w:val="64254827"/>
    <w:rsid w:val="644F08D2"/>
    <w:rsid w:val="644F22F7"/>
    <w:rsid w:val="64560745"/>
    <w:rsid w:val="64B95B48"/>
    <w:rsid w:val="64ED2876"/>
    <w:rsid w:val="64F87F36"/>
    <w:rsid w:val="64FE57EB"/>
    <w:rsid w:val="6500669E"/>
    <w:rsid w:val="652B6960"/>
    <w:rsid w:val="652F4EAA"/>
    <w:rsid w:val="65536597"/>
    <w:rsid w:val="656C494A"/>
    <w:rsid w:val="65796515"/>
    <w:rsid w:val="659B2D80"/>
    <w:rsid w:val="65A51523"/>
    <w:rsid w:val="65EB1830"/>
    <w:rsid w:val="65F84382"/>
    <w:rsid w:val="660601A5"/>
    <w:rsid w:val="663D09F1"/>
    <w:rsid w:val="664F0C16"/>
    <w:rsid w:val="666D548D"/>
    <w:rsid w:val="667E5F7E"/>
    <w:rsid w:val="667F0710"/>
    <w:rsid w:val="6694281E"/>
    <w:rsid w:val="669E749A"/>
    <w:rsid w:val="66AF25D7"/>
    <w:rsid w:val="66FA1F77"/>
    <w:rsid w:val="67363882"/>
    <w:rsid w:val="674628E6"/>
    <w:rsid w:val="67511783"/>
    <w:rsid w:val="67646470"/>
    <w:rsid w:val="676573C8"/>
    <w:rsid w:val="6772226A"/>
    <w:rsid w:val="679D0397"/>
    <w:rsid w:val="67C95746"/>
    <w:rsid w:val="67E605BE"/>
    <w:rsid w:val="67F60E3F"/>
    <w:rsid w:val="67FD2B4E"/>
    <w:rsid w:val="680A3C32"/>
    <w:rsid w:val="682B4FCB"/>
    <w:rsid w:val="688658EC"/>
    <w:rsid w:val="68D02FF4"/>
    <w:rsid w:val="68EA2AA8"/>
    <w:rsid w:val="69033287"/>
    <w:rsid w:val="690925D1"/>
    <w:rsid w:val="693364CF"/>
    <w:rsid w:val="69871D5C"/>
    <w:rsid w:val="69914C31"/>
    <w:rsid w:val="6993308B"/>
    <w:rsid w:val="699F0A4B"/>
    <w:rsid w:val="69C03C0D"/>
    <w:rsid w:val="69C20B17"/>
    <w:rsid w:val="69C95365"/>
    <w:rsid w:val="69F04F3A"/>
    <w:rsid w:val="69F14065"/>
    <w:rsid w:val="6A090D04"/>
    <w:rsid w:val="6A120357"/>
    <w:rsid w:val="6A2479FA"/>
    <w:rsid w:val="6A4A15B1"/>
    <w:rsid w:val="6A7062A5"/>
    <w:rsid w:val="6A81457D"/>
    <w:rsid w:val="6A862DD0"/>
    <w:rsid w:val="6A932AB3"/>
    <w:rsid w:val="6ACE2F7D"/>
    <w:rsid w:val="6B074CBB"/>
    <w:rsid w:val="6B2E5607"/>
    <w:rsid w:val="6B572E41"/>
    <w:rsid w:val="6B6343EB"/>
    <w:rsid w:val="6B740145"/>
    <w:rsid w:val="6B746B02"/>
    <w:rsid w:val="6B782FC9"/>
    <w:rsid w:val="6BC2624C"/>
    <w:rsid w:val="6BD823E9"/>
    <w:rsid w:val="6BDF0D50"/>
    <w:rsid w:val="6BEA03C1"/>
    <w:rsid w:val="6C247095"/>
    <w:rsid w:val="6C482EED"/>
    <w:rsid w:val="6C503A37"/>
    <w:rsid w:val="6C82039E"/>
    <w:rsid w:val="6C852D49"/>
    <w:rsid w:val="6C8908D8"/>
    <w:rsid w:val="6C8F1565"/>
    <w:rsid w:val="6C995782"/>
    <w:rsid w:val="6CD90459"/>
    <w:rsid w:val="6D164AC1"/>
    <w:rsid w:val="6D4E48F3"/>
    <w:rsid w:val="6D857735"/>
    <w:rsid w:val="6D9B2DA9"/>
    <w:rsid w:val="6D9D3859"/>
    <w:rsid w:val="6DAA0F1E"/>
    <w:rsid w:val="6DEF3DE7"/>
    <w:rsid w:val="6DF219F0"/>
    <w:rsid w:val="6E200312"/>
    <w:rsid w:val="6E2F7E25"/>
    <w:rsid w:val="6E7A34C8"/>
    <w:rsid w:val="6E822806"/>
    <w:rsid w:val="6EE06260"/>
    <w:rsid w:val="6EEA4C6C"/>
    <w:rsid w:val="6F17521C"/>
    <w:rsid w:val="6F7D00B0"/>
    <w:rsid w:val="6F9C689E"/>
    <w:rsid w:val="6FAB66F6"/>
    <w:rsid w:val="6FD56CE4"/>
    <w:rsid w:val="6FD86C44"/>
    <w:rsid w:val="6FFB3BCE"/>
    <w:rsid w:val="6FFC5D64"/>
    <w:rsid w:val="70305B2F"/>
    <w:rsid w:val="70432C36"/>
    <w:rsid w:val="704A2680"/>
    <w:rsid w:val="70577091"/>
    <w:rsid w:val="709B272B"/>
    <w:rsid w:val="70BD07B0"/>
    <w:rsid w:val="70C0153A"/>
    <w:rsid w:val="70C9728E"/>
    <w:rsid w:val="70F75BAC"/>
    <w:rsid w:val="71291DF8"/>
    <w:rsid w:val="712B0DA0"/>
    <w:rsid w:val="712D43F2"/>
    <w:rsid w:val="715251DD"/>
    <w:rsid w:val="71842C09"/>
    <w:rsid w:val="71906A7F"/>
    <w:rsid w:val="71B2171A"/>
    <w:rsid w:val="71B51EDE"/>
    <w:rsid w:val="71E16922"/>
    <w:rsid w:val="72194DCA"/>
    <w:rsid w:val="7231134F"/>
    <w:rsid w:val="724B7FD3"/>
    <w:rsid w:val="72632151"/>
    <w:rsid w:val="729E2AD1"/>
    <w:rsid w:val="72A759E0"/>
    <w:rsid w:val="72BD364C"/>
    <w:rsid w:val="733A3AC2"/>
    <w:rsid w:val="734E4869"/>
    <w:rsid w:val="73983F11"/>
    <w:rsid w:val="740A6A4A"/>
    <w:rsid w:val="74123AF5"/>
    <w:rsid w:val="74193428"/>
    <w:rsid w:val="742522EA"/>
    <w:rsid w:val="742B43B3"/>
    <w:rsid w:val="7459417B"/>
    <w:rsid w:val="7471785E"/>
    <w:rsid w:val="74832C68"/>
    <w:rsid w:val="74E837F7"/>
    <w:rsid w:val="74F74698"/>
    <w:rsid w:val="75105DB9"/>
    <w:rsid w:val="75894D67"/>
    <w:rsid w:val="758F0B5D"/>
    <w:rsid w:val="75C31666"/>
    <w:rsid w:val="75C865CB"/>
    <w:rsid w:val="75DB6F21"/>
    <w:rsid w:val="75E95796"/>
    <w:rsid w:val="75FE1C50"/>
    <w:rsid w:val="760653F5"/>
    <w:rsid w:val="76382D09"/>
    <w:rsid w:val="767F371C"/>
    <w:rsid w:val="768250F6"/>
    <w:rsid w:val="76CE49B5"/>
    <w:rsid w:val="76CF0232"/>
    <w:rsid w:val="76E35D13"/>
    <w:rsid w:val="76E51098"/>
    <w:rsid w:val="76FC0BDC"/>
    <w:rsid w:val="77264EE6"/>
    <w:rsid w:val="7734127E"/>
    <w:rsid w:val="77384934"/>
    <w:rsid w:val="77400BCC"/>
    <w:rsid w:val="77685079"/>
    <w:rsid w:val="77780912"/>
    <w:rsid w:val="7785352B"/>
    <w:rsid w:val="77B75520"/>
    <w:rsid w:val="77BF49EB"/>
    <w:rsid w:val="77E97109"/>
    <w:rsid w:val="77E974BA"/>
    <w:rsid w:val="77FF0768"/>
    <w:rsid w:val="780920A2"/>
    <w:rsid w:val="781F41DD"/>
    <w:rsid w:val="782829F9"/>
    <w:rsid w:val="78381A5E"/>
    <w:rsid w:val="7855248D"/>
    <w:rsid w:val="788F2D63"/>
    <w:rsid w:val="789A28C7"/>
    <w:rsid w:val="78AB163D"/>
    <w:rsid w:val="78BF1A88"/>
    <w:rsid w:val="78DB705D"/>
    <w:rsid w:val="791075CB"/>
    <w:rsid w:val="791302D5"/>
    <w:rsid w:val="79241679"/>
    <w:rsid w:val="796419CB"/>
    <w:rsid w:val="79794F50"/>
    <w:rsid w:val="7984239D"/>
    <w:rsid w:val="79991EEA"/>
    <w:rsid w:val="79B92076"/>
    <w:rsid w:val="79C47176"/>
    <w:rsid w:val="79E978EB"/>
    <w:rsid w:val="79F0317F"/>
    <w:rsid w:val="7A341C88"/>
    <w:rsid w:val="7AAB1658"/>
    <w:rsid w:val="7AEB58E2"/>
    <w:rsid w:val="7B117C64"/>
    <w:rsid w:val="7B48105E"/>
    <w:rsid w:val="7B6B259F"/>
    <w:rsid w:val="7B980680"/>
    <w:rsid w:val="7BAD1212"/>
    <w:rsid w:val="7BF70CB6"/>
    <w:rsid w:val="7BF95732"/>
    <w:rsid w:val="7C11538B"/>
    <w:rsid w:val="7C220378"/>
    <w:rsid w:val="7C613D65"/>
    <w:rsid w:val="7C6723BD"/>
    <w:rsid w:val="7C8F4102"/>
    <w:rsid w:val="7C961098"/>
    <w:rsid w:val="7C9C0F16"/>
    <w:rsid w:val="7C9E7950"/>
    <w:rsid w:val="7CA201ED"/>
    <w:rsid w:val="7CAA2DAF"/>
    <w:rsid w:val="7CB510B4"/>
    <w:rsid w:val="7CE25225"/>
    <w:rsid w:val="7CE31DA8"/>
    <w:rsid w:val="7CF2390F"/>
    <w:rsid w:val="7D166575"/>
    <w:rsid w:val="7D230305"/>
    <w:rsid w:val="7D2462B5"/>
    <w:rsid w:val="7D4234C4"/>
    <w:rsid w:val="7D606AA6"/>
    <w:rsid w:val="7D6336D6"/>
    <w:rsid w:val="7D671C04"/>
    <w:rsid w:val="7D843919"/>
    <w:rsid w:val="7DBD7FEA"/>
    <w:rsid w:val="7E225C2D"/>
    <w:rsid w:val="7E297044"/>
    <w:rsid w:val="7E7B758A"/>
    <w:rsid w:val="7EB115E8"/>
    <w:rsid w:val="7EB44151"/>
    <w:rsid w:val="7EFD417D"/>
    <w:rsid w:val="7F480338"/>
    <w:rsid w:val="7F5401B9"/>
    <w:rsid w:val="7F6E2CB5"/>
    <w:rsid w:val="7F6F0485"/>
    <w:rsid w:val="7F6F7C74"/>
    <w:rsid w:val="7F736901"/>
    <w:rsid w:val="7F89110D"/>
    <w:rsid w:val="7FB336A4"/>
    <w:rsid w:val="7FD65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2"/>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6"/>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8"/>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4"/>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8"/>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6"/>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8"/>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5"/>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3"/>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1"/>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4"/>
    <w:unhideWhenUsed/>
    <w:qFormat/>
    <w:uiPriority w:val="99"/>
    <w:rPr>
      <w:rFonts w:ascii="宋体"/>
      <w:sz w:val="18"/>
      <w:szCs w:val="18"/>
    </w:rPr>
  </w:style>
  <w:style w:type="paragraph" w:styleId="17">
    <w:name w:val="annotation text"/>
    <w:basedOn w:val="1"/>
    <w:link w:val="56"/>
    <w:qFormat/>
    <w:uiPriority w:val="0"/>
    <w:pPr>
      <w:widowControl w:val="0"/>
    </w:pPr>
    <w:rPr>
      <w:kern w:val="2"/>
      <w:sz w:val="18"/>
      <w:szCs w:val="20"/>
    </w:rPr>
  </w:style>
  <w:style w:type="paragraph" w:styleId="18">
    <w:name w:val="Salutation"/>
    <w:basedOn w:val="1"/>
    <w:next w:val="1"/>
    <w:link w:val="82"/>
    <w:qFormat/>
    <w:uiPriority w:val="0"/>
    <w:pPr>
      <w:widowControl w:val="0"/>
      <w:jc w:val="both"/>
    </w:pPr>
    <w:rPr>
      <w:rFonts w:eastAsia="黑体"/>
      <w:kern w:val="2"/>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9"/>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0"/>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5"/>
    <w:qFormat/>
    <w:uiPriority w:val="0"/>
    <w:pPr>
      <w:ind w:left="100" w:leftChars="2500"/>
    </w:pPr>
  </w:style>
  <w:style w:type="paragraph" w:styleId="27">
    <w:name w:val="Body Text Indent 2"/>
    <w:basedOn w:val="1"/>
    <w:link w:val="93"/>
    <w:qFormat/>
    <w:uiPriority w:val="0"/>
    <w:pPr>
      <w:widowControl w:val="0"/>
      <w:ind w:firstLine="540" w:firstLineChars="257"/>
      <w:jc w:val="both"/>
    </w:pPr>
    <w:rPr>
      <w:kern w:val="2"/>
      <w:sz w:val="21"/>
    </w:rPr>
  </w:style>
  <w:style w:type="paragraph" w:styleId="28">
    <w:name w:val="Balloon Text"/>
    <w:basedOn w:val="1"/>
    <w:link w:val="87"/>
    <w:semiHidden/>
    <w:qFormat/>
    <w:uiPriority w:val="0"/>
    <w:rPr>
      <w:sz w:val="18"/>
      <w:szCs w:val="18"/>
    </w:rPr>
  </w:style>
  <w:style w:type="paragraph" w:styleId="29">
    <w:name w:val="footer"/>
    <w:basedOn w:val="1"/>
    <w:link w:val="72"/>
    <w:qFormat/>
    <w:uiPriority w:val="99"/>
    <w:pPr>
      <w:tabs>
        <w:tab w:val="center" w:pos="4153"/>
        <w:tab w:val="right" w:pos="8306"/>
      </w:tabs>
      <w:snapToGrid w:val="0"/>
    </w:pPr>
    <w:rPr>
      <w:sz w:val="18"/>
      <w:szCs w:val="18"/>
    </w:rPr>
  </w:style>
  <w:style w:type="paragraph" w:styleId="30">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7"/>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8"/>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99"/>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4"/>
    <w:qFormat/>
    <w:uiPriority w:val="0"/>
    <w:rPr>
      <w:b/>
    </w:rPr>
  </w:style>
  <w:style w:type="paragraph" w:styleId="42">
    <w:name w:val="Body Text First Indent"/>
    <w:basedOn w:val="2"/>
    <w:link w:val="80"/>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4">
    <w:name w:val="批注主题 Char"/>
    <w:link w:val="41"/>
    <w:qFormat/>
    <w:uiPriority w:val="0"/>
    <w:rPr>
      <w:b/>
      <w:kern w:val="2"/>
      <w:sz w:val="18"/>
    </w:rPr>
  </w:style>
  <w:style w:type="character" w:customStyle="1" w:styleId="55">
    <w:name w:val="标题 8 Char"/>
    <w:link w:val="10"/>
    <w:qFormat/>
    <w:uiPriority w:val="0"/>
    <w:rPr>
      <w:rFonts w:ascii="Arial" w:hAnsi="Arial" w:eastAsia="黑体"/>
      <w:kern w:val="2"/>
      <w:sz w:val="24"/>
    </w:rPr>
  </w:style>
  <w:style w:type="character" w:customStyle="1" w:styleId="56">
    <w:name w:val="批注文字 Char"/>
    <w:link w:val="17"/>
    <w:qFormat/>
    <w:uiPriority w:val="0"/>
    <w:rPr>
      <w:kern w:val="2"/>
      <w:sz w:val="18"/>
    </w:rPr>
  </w:style>
  <w:style w:type="character" w:customStyle="1" w:styleId="57">
    <w:name w:val="fontblank12"/>
    <w:basedOn w:val="47"/>
    <w:qFormat/>
    <w:uiPriority w:val="0"/>
  </w:style>
  <w:style w:type="character" w:customStyle="1" w:styleId="58">
    <w:name w:val="标书（正文） Char"/>
    <w:link w:val="59"/>
    <w:qFormat/>
    <w:uiPriority w:val="0"/>
    <w:rPr>
      <w:rFonts w:ascii="宋体" w:hAnsi="宋体"/>
      <w:b/>
      <w:kern w:val="10"/>
      <w:sz w:val="21"/>
    </w:rPr>
  </w:style>
  <w:style w:type="paragraph" w:customStyle="1" w:styleId="59">
    <w:name w:val="标书（正文）"/>
    <w:basedOn w:val="1"/>
    <w:link w:val="58"/>
    <w:qFormat/>
    <w:uiPriority w:val="0"/>
    <w:pPr>
      <w:widowControl w:val="0"/>
      <w:spacing w:line="360" w:lineRule="auto"/>
      <w:ind w:firstLine="560" w:firstLineChars="200"/>
      <w:jc w:val="both"/>
    </w:pPr>
    <w:rPr>
      <w:rFonts w:ascii="宋体" w:hAnsi="宋体"/>
      <w:b/>
      <w:kern w:val="10"/>
      <w:sz w:val="21"/>
      <w:szCs w:val="20"/>
    </w:rPr>
  </w:style>
  <w:style w:type="character" w:customStyle="1" w:styleId="60">
    <w:name w:val="Char Char4"/>
    <w:qFormat/>
    <w:uiPriority w:val="0"/>
    <w:rPr>
      <w:rFonts w:ascii="宋体" w:hAnsi="Courier New" w:eastAsia="宋体"/>
      <w:kern w:val="2"/>
      <w:sz w:val="21"/>
      <w:lang w:val="en-US" w:eastAsia="zh-CN"/>
    </w:rPr>
  </w:style>
  <w:style w:type="character" w:customStyle="1" w:styleId="61">
    <w:name w:val="textnormchn1"/>
    <w:basedOn w:val="47"/>
    <w:qFormat/>
    <w:uiPriority w:val="0"/>
  </w:style>
  <w:style w:type="character" w:customStyle="1" w:styleId="62">
    <w:name w:val="标题 1 Char"/>
    <w:link w:val="3"/>
    <w:qFormat/>
    <w:uiPriority w:val="0"/>
    <w:rPr>
      <w:rFonts w:ascii="宋体" w:hAnsi="宋体"/>
      <w:b/>
      <w:bCs/>
      <w:kern w:val="44"/>
      <w:sz w:val="32"/>
      <w:szCs w:val="32"/>
    </w:rPr>
  </w:style>
  <w:style w:type="character" w:customStyle="1" w:styleId="63">
    <w:name w:val="列出段落 Char"/>
    <w:link w:val="64"/>
    <w:qFormat/>
    <w:uiPriority w:val="0"/>
    <w:rPr>
      <w:sz w:val="24"/>
      <w:szCs w:val="24"/>
    </w:rPr>
  </w:style>
  <w:style w:type="paragraph" w:customStyle="1" w:styleId="64">
    <w:name w:val="列出段落1"/>
    <w:basedOn w:val="1"/>
    <w:link w:val="63"/>
    <w:qFormat/>
    <w:uiPriority w:val="0"/>
    <w:pPr>
      <w:ind w:firstLine="420" w:firstLineChars="200"/>
    </w:pPr>
  </w:style>
  <w:style w:type="character" w:customStyle="1" w:styleId="65">
    <w:name w:val="CD正文 Char"/>
    <w:link w:val="66"/>
    <w:qFormat/>
    <w:uiPriority w:val="0"/>
    <w:rPr>
      <w:kern w:val="2"/>
      <w:sz w:val="30"/>
      <w:szCs w:val="28"/>
    </w:rPr>
  </w:style>
  <w:style w:type="paragraph" w:customStyle="1" w:styleId="66">
    <w:name w:val="CD正文"/>
    <w:basedOn w:val="67"/>
    <w:link w:val="65"/>
    <w:qFormat/>
    <w:uiPriority w:val="0"/>
    <w:pPr>
      <w:ind w:firstLine="493"/>
    </w:pPr>
    <w:rPr>
      <w:sz w:val="30"/>
      <w:szCs w:val="28"/>
    </w:rPr>
  </w:style>
  <w:style w:type="paragraph" w:customStyle="1" w:styleId="67">
    <w:name w:val="文章正文"/>
    <w:basedOn w:val="1"/>
    <w:link w:val="76"/>
    <w:qFormat/>
    <w:uiPriority w:val="0"/>
    <w:pPr>
      <w:widowControl w:val="0"/>
      <w:spacing w:line="360" w:lineRule="auto"/>
      <w:ind w:firstLine="420"/>
      <w:jc w:val="both"/>
    </w:pPr>
    <w:rPr>
      <w:kern w:val="2"/>
    </w:rPr>
  </w:style>
  <w:style w:type="character" w:customStyle="1" w:styleId="68">
    <w:name w:val="正文文本 2 Char"/>
    <w:link w:val="38"/>
    <w:qFormat/>
    <w:uiPriority w:val="0"/>
    <w:rPr>
      <w:sz w:val="21"/>
      <w:szCs w:val="21"/>
    </w:rPr>
  </w:style>
  <w:style w:type="character" w:customStyle="1" w:styleId="69">
    <w:name w:val="（符号）三标题1.1 Char Char"/>
    <w:link w:val="70"/>
    <w:qFormat/>
    <w:uiPriority w:val="0"/>
    <w:rPr>
      <w:rFonts w:ascii="宋体" w:hAnsi="宋体"/>
      <w:kern w:val="2"/>
      <w:sz w:val="24"/>
      <w:szCs w:val="24"/>
    </w:rPr>
  </w:style>
  <w:style w:type="paragraph" w:customStyle="1" w:styleId="70">
    <w:name w:val="（符号）三标题1.1"/>
    <w:basedOn w:val="1"/>
    <w:link w:val="69"/>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1">
    <w:name w:val="grame"/>
    <w:basedOn w:val="47"/>
    <w:qFormat/>
    <w:uiPriority w:val="0"/>
  </w:style>
  <w:style w:type="character" w:customStyle="1" w:styleId="72">
    <w:name w:val="页脚 Char"/>
    <w:link w:val="29"/>
    <w:qFormat/>
    <w:uiPriority w:val="99"/>
    <w:rPr>
      <w:sz w:val="18"/>
      <w:szCs w:val="18"/>
    </w:rPr>
  </w:style>
  <w:style w:type="character" w:customStyle="1" w:styleId="73">
    <w:name w:val="keyword"/>
    <w:basedOn w:val="47"/>
    <w:qFormat/>
    <w:uiPriority w:val="0"/>
  </w:style>
  <w:style w:type="character" w:customStyle="1" w:styleId="74">
    <w:name w:val="文档结构图 Char"/>
    <w:link w:val="16"/>
    <w:semiHidden/>
    <w:qFormat/>
    <w:uiPriority w:val="99"/>
    <w:rPr>
      <w:rFonts w:ascii="宋体"/>
      <w:sz w:val="18"/>
      <w:szCs w:val="18"/>
    </w:rPr>
  </w:style>
  <w:style w:type="character" w:customStyle="1" w:styleId="75">
    <w:name w:val="日期 Char"/>
    <w:link w:val="26"/>
    <w:qFormat/>
    <w:uiPriority w:val="0"/>
    <w:rPr>
      <w:sz w:val="24"/>
      <w:szCs w:val="24"/>
    </w:rPr>
  </w:style>
  <w:style w:type="character" w:customStyle="1" w:styleId="76">
    <w:name w:val="文章正文 Char"/>
    <w:link w:val="67"/>
    <w:qFormat/>
    <w:uiPriority w:val="0"/>
    <w:rPr>
      <w:kern w:val="2"/>
      <w:sz w:val="24"/>
      <w:szCs w:val="24"/>
    </w:rPr>
  </w:style>
  <w:style w:type="character" w:customStyle="1" w:styleId="77">
    <w:name w:val="正文文本缩进 3 Char"/>
    <w:link w:val="35"/>
    <w:qFormat/>
    <w:uiPriority w:val="0"/>
    <w:rPr>
      <w:kern w:val="2"/>
      <w:sz w:val="16"/>
      <w:szCs w:val="16"/>
    </w:rPr>
  </w:style>
  <w:style w:type="character" w:customStyle="1" w:styleId="78">
    <w:name w:val="标题 7 Char"/>
    <w:link w:val="9"/>
    <w:qFormat/>
    <w:uiPriority w:val="0"/>
    <w:rPr>
      <w:rFonts w:ascii="Arial Narrow" w:hAnsi="Arial Narrow"/>
      <w:b/>
      <w:lang w:eastAsia="en-US"/>
    </w:rPr>
  </w:style>
  <w:style w:type="character" w:customStyle="1" w:styleId="79">
    <w:name w:val="正文文本缩进 Char"/>
    <w:link w:val="20"/>
    <w:qFormat/>
    <w:uiPriority w:val="0"/>
    <w:rPr>
      <w:rFonts w:ascii="宋体"/>
      <w:sz w:val="30"/>
      <w:szCs w:val="24"/>
    </w:rPr>
  </w:style>
  <w:style w:type="character" w:customStyle="1" w:styleId="80">
    <w:name w:val="正文首行缩进 Char"/>
    <w:link w:val="42"/>
    <w:qFormat/>
    <w:uiPriority w:val="0"/>
    <w:rPr>
      <w:rFonts w:ascii="宋体" w:hAnsi="宋体"/>
      <w:kern w:val="2"/>
      <w:sz w:val="21"/>
      <w:szCs w:val="24"/>
    </w:rPr>
  </w:style>
  <w:style w:type="character" w:customStyle="1" w:styleId="81">
    <w:name w:val="正文缩进 Char"/>
    <w:link w:val="14"/>
    <w:qFormat/>
    <w:uiPriority w:val="0"/>
    <w:rPr>
      <w:kern w:val="2"/>
      <w:sz w:val="21"/>
      <w:szCs w:val="24"/>
    </w:rPr>
  </w:style>
  <w:style w:type="character" w:customStyle="1" w:styleId="82">
    <w:name w:val="称呼 Char"/>
    <w:link w:val="18"/>
    <w:qFormat/>
    <w:uiPriority w:val="0"/>
    <w:rPr>
      <w:rFonts w:eastAsia="黑体"/>
      <w:kern w:val="2"/>
      <w:sz w:val="24"/>
    </w:rPr>
  </w:style>
  <w:style w:type="character" w:customStyle="1" w:styleId="83">
    <w:name w:val="标题 9 Char"/>
    <w:link w:val="11"/>
    <w:qFormat/>
    <w:uiPriority w:val="0"/>
    <w:rPr>
      <w:rFonts w:ascii="Arial" w:hAnsi="Arial" w:eastAsia="黑体"/>
      <w:kern w:val="2"/>
      <w:sz w:val="21"/>
    </w:rPr>
  </w:style>
  <w:style w:type="character" w:customStyle="1" w:styleId="84">
    <w:name w:val="正文文本 Char"/>
    <w:link w:val="2"/>
    <w:qFormat/>
    <w:uiPriority w:val="0"/>
    <w:rPr>
      <w:sz w:val="24"/>
      <w:szCs w:val="24"/>
    </w:rPr>
  </w:style>
  <w:style w:type="character" w:customStyle="1" w:styleId="85">
    <w:name w:val="Char Char40"/>
    <w:qFormat/>
    <w:uiPriority w:val="0"/>
    <w:rPr>
      <w:kern w:val="2"/>
      <w:sz w:val="24"/>
      <w:szCs w:val="24"/>
    </w:rPr>
  </w:style>
  <w:style w:type="character" w:customStyle="1" w:styleId="86">
    <w:name w:val="标题 6 Char"/>
    <w:link w:val="8"/>
    <w:qFormat/>
    <w:uiPriority w:val="0"/>
    <w:rPr>
      <w:rFonts w:ascii="Arial" w:hAnsi="Arial" w:eastAsia="黑体"/>
      <w:b/>
      <w:bCs/>
      <w:kern w:val="2"/>
      <w:sz w:val="24"/>
      <w:szCs w:val="24"/>
    </w:rPr>
  </w:style>
  <w:style w:type="character" w:customStyle="1" w:styleId="87">
    <w:name w:val="批注框文本 Char"/>
    <w:link w:val="28"/>
    <w:semiHidden/>
    <w:qFormat/>
    <w:uiPriority w:val="0"/>
    <w:rPr>
      <w:sz w:val="18"/>
      <w:szCs w:val="18"/>
    </w:rPr>
  </w:style>
  <w:style w:type="character" w:customStyle="1" w:styleId="88">
    <w:name w:val="标题 5 Char"/>
    <w:link w:val="7"/>
    <w:qFormat/>
    <w:uiPriority w:val="0"/>
    <w:rPr>
      <w:rFonts w:ascii="Times New Roman" w:hAnsi="Times New Roman"/>
      <w:b/>
      <w:bCs/>
      <w:sz w:val="28"/>
      <w:szCs w:val="28"/>
    </w:rPr>
  </w:style>
  <w:style w:type="character" w:customStyle="1" w:styleId="89">
    <w:name w:val="WW8Num9z0"/>
    <w:qFormat/>
    <w:uiPriority w:val="0"/>
    <w:rPr>
      <w:rFonts w:ascii="Wingdings" w:hAnsi="Wingdings"/>
    </w:rPr>
  </w:style>
  <w:style w:type="character" w:customStyle="1" w:styleId="90">
    <w:name w:val="magic-list1"/>
    <w:qFormat/>
    <w:uiPriority w:val="0"/>
    <w:rPr>
      <w:rFonts w:hint="default" w:ascii="ˎ̥" w:hAnsi="ˎ̥"/>
      <w:color w:val="000000"/>
      <w:sz w:val="20"/>
      <w:u w:val="none"/>
    </w:rPr>
  </w:style>
  <w:style w:type="character" w:customStyle="1" w:styleId="91">
    <w:name w:val="small"/>
    <w:basedOn w:val="47"/>
    <w:qFormat/>
    <w:uiPriority w:val="0"/>
  </w:style>
  <w:style w:type="character" w:customStyle="1" w:styleId="92">
    <w:name w:val="页眉 Char"/>
    <w:link w:val="30"/>
    <w:qFormat/>
    <w:uiPriority w:val="0"/>
    <w:rPr>
      <w:sz w:val="18"/>
      <w:szCs w:val="18"/>
    </w:rPr>
  </w:style>
  <w:style w:type="character" w:customStyle="1" w:styleId="93">
    <w:name w:val="正文文本缩进 2 Char"/>
    <w:link w:val="27"/>
    <w:qFormat/>
    <w:uiPriority w:val="0"/>
    <w:rPr>
      <w:kern w:val="2"/>
      <w:sz w:val="21"/>
      <w:szCs w:val="24"/>
    </w:rPr>
  </w:style>
  <w:style w:type="character" w:customStyle="1" w:styleId="94">
    <w:name w:val="标题 4 Char"/>
    <w:link w:val="6"/>
    <w:qFormat/>
    <w:uiPriority w:val="0"/>
    <w:rPr>
      <w:rFonts w:ascii="宋体" w:hAnsi="宋体"/>
      <w:b/>
      <w:bCs/>
      <w:sz w:val="28"/>
      <w:szCs w:val="28"/>
    </w:rPr>
  </w:style>
  <w:style w:type="character" w:customStyle="1" w:styleId="95">
    <w:name w:val="正文文本 3 Char"/>
    <w:link w:val="19"/>
    <w:qFormat/>
    <w:uiPriority w:val="0"/>
    <w:rPr>
      <w:sz w:val="16"/>
      <w:szCs w:val="16"/>
    </w:rPr>
  </w:style>
  <w:style w:type="character" w:customStyle="1" w:styleId="96">
    <w:name w:val="标题 2 Char"/>
    <w:link w:val="4"/>
    <w:qFormat/>
    <w:uiPriority w:val="0"/>
    <w:rPr>
      <w:rFonts w:ascii="宋体" w:hAnsi="宋体"/>
      <w:b/>
      <w:bCs/>
      <w:iCs/>
      <w:sz w:val="28"/>
      <w:szCs w:val="28"/>
    </w:rPr>
  </w:style>
  <w:style w:type="character" w:customStyle="1" w:styleId="97">
    <w:name w:val="纯文本 Char1"/>
    <w:unhideWhenUsed/>
    <w:qFormat/>
    <w:uiPriority w:val="99"/>
    <w:rPr>
      <w:rFonts w:hint="eastAsia" w:ascii="宋体" w:hAnsi="Tms Rmn" w:eastAsia="宋体"/>
      <w:sz w:val="21"/>
      <w:lang w:val="en-US" w:eastAsia="zh-CN"/>
    </w:rPr>
  </w:style>
  <w:style w:type="character" w:customStyle="1" w:styleId="98">
    <w:name w:val="标题 3 Char"/>
    <w:link w:val="5"/>
    <w:qFormat/>
    <w:uiPriority w:val="0"/>
    <w:rPr>
      <w:rFonts w:ascii="宋体" w:hAnsi="宋体"/>
      <w:b/>
      <w:bCs/>
      <w:color w:val="000000"/>
      <w:kern w:val="2"/>
      <w:sz w:val="24"/>
      <w:szCs w:val="28"/>
    </w:rPr>
  </w:style>
  <w:style w:type="character" w:customStyle="1" w:styleId="99">
    <w:name w:val="标题 Char"/>
    <w:link w:val="40"/>
    <w:qFormat/>
    <w:uiPriority w:val="0"/>
    <w:rPr>
      <w:rFonts w:ascii="Cambria" w:hAnsi="Cambria"/>
      <w:b/>
      <w:bCs/>
      <w:kern w:val="2"/>
      <w:sz w:val="32"/>
      <w:szCs w:val="32"/>
    </w:rPr>
  </w:style>
  <w:style w:type="character" w:customStyle="1" w:styleId="100">
    <w:name w:val="纯文本 Char"/>
    <w:link w:val="24"/>
    <w:qFormat/>
    <w:uiPriority w:val="0"/>
    <w:rPr>
      <w:rFonts w:ascii="宋体" w:hAnsi="Tms Rmn" w:cs="宋体"/>
      <w:sz w:val="21"/>
      <w:szCs w:val="21"/>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正文缩进 Char1"/>
    <w:qFormat/>
    <w:uiPriority w:val="0"/>
    <w:rPr>
      <w:kern w:val="2"/>
      <w:sz w:val="21"/>
      <w:szCs w:val="24"/>
    </w:rPr>
  </w:style>
  <w:style w:type="paragraph" w:customStyle="1" w:styleId="103">
    <w:name w:val="MM Topic 9"/>
    <w:basedOn w:val="11"/>
    <w:qFormat/>
    <w:uiPriority w:val="0"/>
    <w:pPr>
      <w:tabs>
        <w:tab w:val="left" w:pos="5102"/>
      </w:tabs>
    </w:pPr>
  </w:style>
  <w:style w:type="paragraph" w:customStyle="1" w:styleId="104">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5">
    <w:name w:val="强调2"/>
    <w:basedOn w:val="106"/>
    <w:qFormat/>
    <w:uiPriority w:val="0"/>
    <w:pPr>
      <w:numPr>
        <w:ilvl w:val="1"/>
      </w:numPr>
      <w:tabs>
        <w:tab w:val="left" w:pos="360"/>
        <w:tab w:val="left" w:pos="1918"/>
      </w:tabs>
      <w:ind w:left="1918"/>
    </w:pPr>
  </w:style>
  <w:style w:type="paragraph" w:customStyle="1" w:styleId="106">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7">
    <w:name w:val="Char Char Char Char"/>
    <w:basedOn w:val="1"/>
    <w:next w:val="1"/>
    <w:qFormat/>
    <w:uiPriority w:val="0"/>
    <w:pPr>
      <w:widowControl w:val="0"/>
      <w:spacing w:line="240" w:lineRule="atLeast"/>
      <w:ind w:left="420" w:firstLine="420"/>
    </w:pPr>
    <w:rPr>
      <w:sz w:val="21"/>
      <w:szCs w:val="21"/>
    </w:rPr>
  </w:style>
  <w:style w:type="paragraph" w:customStyle="1" w:styleId="108">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09">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0">
    <w:name w:val="默认段落字体 Para Char Char Char Char"/>
    <w:basedOn w:val="1"/>
    <w:qFormat/>
    <w:uiPriority w:val="0"/>
    <w:pPr>
      <w:widowControl w:val="0"/>
      <w:jc w:val="both"/>
    </w:pPr>
    <w:rPr>
      <w:kern w:val="2"/>
      <w:sz w:val="21"/>
    </w:rPr>
  </w:style>
  <w:style w:type="paragraph" w:customStyle="1" w:styleId="111">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2">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3">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4">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5">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6">
    <w:name w:val="MM Topic 6"/>
    <w:basedOn w:val="8"/>
    <w:qFormat/>
    <w:uiPriority w:val="0"/>
    <w:pPr>
      <w:numPr>
        <w:ilvl w:val="0"/>
        <w:numId w:val="0"/>
      </w:numPr>
      <w:tabs>
        <w:tab w:val="left" w:pos="3260"/>
      </w:tabs>
      <w:spacing w:line="317" w:lineRule="auto"/>
    </w:pPr>
    <w:rPr>
      <w:bCs w:val="0"/>
      <w:sz w:val="28"/>
      <w:szCs w:val="20"/>
    </w:rPr>
  </w:style>
  <w:style w:type="paragraph" w:customStyle="1" w:styleId="1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8">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19">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0">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11"/>
    <w:basedOn w:val="1"/>
    <w:next w:val="1"/>
    <w:qFormat/>
    <w:uiPriority w:val="0"/>
    <w:pPr>
      <w:widowControl w:val="0"/>
      <w:spacing w:line="240" w:lineRule="atLeast"/>
      <w:ind w:left="420" w:firstLine="420"/>
    </w:pPr>
    <w:rPr>
      <w:sz w:val="21"/>
      <w:szCs w:val="21"/>
    </w:rPr>
  </w:style>
  <w:style w:type="paragraph" w:customStyle="1" w:styleId="124">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5">
    <w:name w:val="默认段落字体 Para Char Char Char Char Char Char Char"/>
    <w:basedOn w:val="1"/>
    <w:qFormat/>
    <w:uiPriority w:val="0"/>
    <w:pPr>
      <w:widowControl w:val="0"/>
      <w:jc w:val="both"/>
    </w:pPr>
    <w:rPr>
      <w:rFonts w:ascii="Tahoma" w:hAnsi="Tahoma"/>
      <w:kern w:val="2"/>
      <w:szCs w:val="20"/>
    </w:rPr>
  </w:style>
  <w:style w:type="paragraph" w:customStyle="1" w:styleId="12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7">
    <w:name w:val="样式2"/>
    <w:basedOn w:val="1"/>
    <w:qFormat/>
    <w:uiPriority w:val="0"/>
    <w:pPr>
      <w:widowControl w:val="0"/>
      <w:adjustRightInd w:val="0"/>
      <w:spacing w:line="410" w:lineRule="atLeast"/>
      <w:jc w:val="both"/>
      <w:textAlignment w:val="baseline"/>
    </w:pPr>
    <w:rPr>
      <w:szCs w:val="20"/>
    </w:rPr>
  </w:style>
  <w:style w:type="paragraph" w:customStyle="1" w:styleId="128">
    <w:name w:val="列出段落11"/>
    <w:basedOn w:val="1"/>
    <w:qFormat/>
    <w:uiPriority w:val="34"/>
    <w:pPr>
      <w:ind w:firstLine="420" w:firstLineChars="200"/>
    </w:pPr>
    <w:rPr>
      <w:lang w:val="zh-CN"/>
    </w:rPr>
  </w:style>
  <w:style w:type="paragraph" w:customStyle="1" w:styleId="129">
    <w:name w:val="p4"/>
    <w:basedOn w:val="1"/>
    <w:qFormat/>
    <w:uiPriority w:val="0"/>
    <w:pPr>
      <w:spacing w:before="100" w:beforeAutospacing="1" w:after="100" w:afterAutospacing="1" w:line="360" w:lineRule="auto"/>
      <w:ind w:firstLine="360"/>
    </w:pPr>
    <w:rPr>
      <w:rFonts w:ascii="宋体" w:hAnsi="宋体"/>
    </w:rPr>
  </w:style>
  <w:style w:type="paragraph" w:customStyle="1" w:styleId="130">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1">
    <w:name w:val="默认段落字体 Para Char Char"/>
    <w:basedOn w:val="1"/>
    <w:qFormat/>
    <w:uiPriority w:val="0"/>
    <w:pPr>
      <w:widowControl w:val="0"/>
      <w:jc w:val="both"/>
    </w:pPr>
    <w:rPr>
      <w:kern w:val="2"/>
      <w:sz w:val="21"/>
      <w:szCs w:val="20"/>
    </w:rPr>
  </w:style>
  <w:style w:type="paragraph" w:customStyle="1" w:styleId="132">
    <w:name w:val="Char1 Char Char Char"/>
    <w:basedOn w:val="1"/>
    <w:next w:val="1"/>
    <w:qFormat/>
    <w:uiPriority w:val="0"/>
    <w:pPr>
      <w:widowControl w:val="0"/>
      <w:spacing w:line="240" w:lineRule="atLeast"/>
      <w:ind w:left="420" w:firstLine="420"/>
    </w:pPr>
    <w:rPr>
      <w:sz w:val="21"/>
      <w:szCs w:val="20"/>
    </w:rPr>
  </w:style>
  <w:style w:type="paragraph" w:customStyle="1" w:styleId="133">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4">
    <w:name w:val="1 Char"/>
    <w:basedOn w:val="1"/>
    <w:qFormat/>
    <w:uiPriority w:val="0"/>
    <w:pPr>
      <w:spacing w:after="160" w:line="240" w:lineRule="exact"/>
    </w:pPr>
    <w:rPr>
      <w:rFonts w:ascii="Tahoma" w:hAnsi="Tahoma" w:eastAsia="Times New Roman"/>
      <w:lang w:eastAsia="en-US"/>
    </w:rPr>
  </w:style>
  <w:style w:type="paragraph" w:customStyle="1" w:styleId="135">
    <w:name w:val="MM Topic 8"/>
    <w:basedOn w:val="10"/>
    <w:qFormat/>
    <w:uiPriority w:val="0"/>
    <w:pPr>
      <w:tabs>
        <w:tab w:val="left" w:pos="4394"/>
      </w:tabs>
    </w:pPr>
  </w:style>
  <w:style w:type="paragraph" w:customStyle="1" w:styleId="136">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8">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39">
    <w:name w:val="论文正文"/>
    <w:basedOn w:val="1"/>
    <w:qFormat/>
    <w:uiPriority w:val="0"/>
    <w:pPr>
      <w:widowControl w:val="0"/>
      <w:spacing w:line="300" w:lineRule="auto"/>
      <w:ind w:firstLine="200" w:firstLineChars="200"/>
      <w:jc w:val="both"/>
    </w:pPr>
    <w:rPr>
      <w:kern w:val="2"/>
    </w:rPr>
  </w:style>
  <w:style w:type="paragraph" w:customStyle="1" w:styleId="140">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1">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2">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3">
    <w:name w:val="正文段落"/>
    <w:basedOn w:val="1"/>
    <w:qFormat/>
    <w:uiPriority w:val="0"/>
    <w:pPr>
      <w:widowControl w:val="0"/>
      <w:spacing w:line="300" w:lineRule="auto"/>
      <w:ind w:firstLine="510"/>
      <w:jc w:val="both"/>
    </w:pPr>
    <w:rPr>
      <w:kern w:val="2"/>
      <w:szCs w:val="20"/>
    </w:rPr>
  </w:style>
  <w:style w:type="paragraph" w:customStyle="1" w:styleId="144">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5">
    <w:name w:val="Char1 Char Char Char Char Char Char"/>
    <w:basedOn w:val="1"/>
    <w:qFormat/>
    <w:uiPriority w:val="0"/>
    <w:pPr>
      <w:widowControl w:val="0"/>
      <w:jc w:val="both"/>
    </w:pPr>
    <w:rPr>
      <w:rFonts w:ascii="Tahoma" w:hAnsi="Tahoma"/>
      <w:kern w:val="2"/>
      <w:szCs w:val="20"/>
    </w:rPr>
  </w:style>
  <w:style w:type="paragraph" w:customStyle="1" w:styleId="146">
    <w:name w:val="文章正文 Char Char1"/>
    <w:basedOn w:val="1"/>
    <w:qFormat/>
    <w:uiPriority w:val="0"/>
    <w:pPr>
      <w:widowControl w:val="0"/>
      <w:spacing w:line="360" w:lineRule="auto"/>
      <w:ind w:firstLine="420"/>
      <w:jc w:val="both"/>
    </w:pPr>
    <w:rPr>
      <w:kern w:val="2"/>
      <w:szCs w:val="20"/>
    </w:rPr>
  </w:style>
  <w:style w:type="paragraph" w:customStyle="1" w:styleId="147">
    <w:name w:val="Char"/>
    <w:basedOn w:val="1"/>
    <w:next w:val="1"/>
    <w:qFormat/>
    <w:uiPriority w:val="0"/>
    <w:pPr>
      <w:widowControl w:val="0"/>
      <w:spacing w:line="240" w:lineRule="atLeast"/>
      <w:ind w:left="420" w:firstLine="420"/>
    </w:pPr>
    <w:rPr>
      <w:sz w:val="21"/>
      <w:szCs w:val="21"/>
    </w:rPr>
  </w:style>
  <w:style w:type="paragraph" w:customStyle="1" w:styleId="148">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49">
    <w:name w:val="文章正文 Char Char1 Char"/>
    <w:basedOn w:val="1"/>
    <w:qFormat/>
    <w:uiPriority w:val="0"/>
    <w:pPr>
      <w:widowControl w:val="0"/>
      <w:spacing w:line="360" w:lineRule="auto"/>
      <w:ind w:firstLine="420"/>
      <w:jc w:val="both"/>
    </w:pPr>
    <w:rPr>
      <w:kern w:val="2"/>
    </w:rPr>
  </w:style>
  <w:style w:type="paragraph" w:customStyle="1" w:styleId="150">
    <w:name w:val="正文 首行缩进:  2 字符 Char Char"/>
    <w:basedOn w:val="1"/>
    <w:qFormat/>
    <w:uiPriority w:val="0"/>
    <w:pPr>
      <w:widowControl w:val="0"/>
      <w:spacing w:line="360" w:lineRule="auto"/>
      <w:ind w:firstLine="480"/>
      <w:jc w:val="both"/>
    </w:pPr>
    <w:rPr>
      <w:kern w:val="2"/>
      <w:szCs w:val="20"/>
    </w:rPr>
  </w:style>
  <w:style w:type="paragraph" w:customStyle="1" w:styleId="151">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2">
    <w:name w:val="标题 2 + 楷体_GB2312"/>
    <w:basedOn w:val="1"/>
    <w:qFormat/>
    <w:uiPriority w:val="0"/>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Char12"/>
    <w:basedOn w:val="1"/>
    <w:qFormat/>
    <w:uiPriority w:val="0"/>
    <w:pPr>
      <w:spacing w:after="160" w:line="240" w:lineRule="exact"/>
    </w:pPr>
    <w:rPr>
      <w:rFonts w:ascii="Tahoma" w:hAnsi="Tahoma"/>
      <w:kern w:val="2"/>
      <w:lang w:eastAsia="en-US"/>
    </w:rPr>
  </w:style>
  <w:style w:type="paragraph" w:customStyle="1" w:styleId="155">
    <w:name w:val="p0"/>
    <w:basedOn w:val="1"/>
    <w:qFormat/>
    <w:uiPriority w:val="0"/>
    <w:pPr>
      <w:jc w:val="both"/>
    </w:pPr>
    <w:rPr>
      <w:sz w:val="21"/>
      <w:szCs w:val="20"/>
    </w:rPr>
  </w:style>
  <w:style w:type="paragraph" w:customStyle="1" w:styleId="156">
    <w:name w:val="gb_master正文"/>
    <w:basedOn w:val="1"/>
    <w:qFormat/>
    <w:uiPriority w:val="0"/>
    <w:pPr>
      <w:widowControl w:val="0"/>
      <w:ind w:firstLine="200" w:firstLineChars="200"/>
      <w:jc w:val="both"/>
    </w:pPr>
    <w:rPr>
      <w:kern w:val="2"/>
      <w:sz w:val="21"/>
    </w:rPr>
  </w:style>
  <w:style w:type="paragraph" w:customStyle="1" w:styleId="157">
    <w:name w:val="Char1"/>
    <w:basedOn w:val="1"/>
    <w:next w:val="1"/>
    <w:qFormat/>
    <w:uiPriority w:val="0"/>
    <w:pPr>
      <w:widowControl w:val="0"/>
      <w:spacing w:line="240" w:lineRule="atLeast"/>
      <w:ind w:left="420" w:firstLine="420"/>
    </w:pPr>
    <w:rPr>
      <w:sz w:val="21"/>
      <w:szCs w:val="21"/>
    </w:rPr>
  </w:style>
  <w:style w:type="paragraph" w:customStyle="1" w:styleId="158">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9">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1">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2">
    <w:name w:val="样式 正文缩进 + (中文) 仿宋_GB2312 小四 Char"/>
    <w:basedOn w:val="14"/>
    <w:qFormat/>
    <w:uiPriority w:val="0"/>
    <w:pPr>
      <w:ind w:firstLine="480"/>
    </w:pPr>
    <w:rPr>
      <w:rFonts w:ascii="宋体" w:hAnsi="宋体"/>
      <w:sz w:val="24"/>
      <w:szCs w:val="20"/>
    </w:rPr>
  </w:style>
  <w:style w:type="paragraph" w:customStyle="1" w:styleId="163">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4">
    <w:name w:val="Char2 Char Char Char Char Char Char"/>
    <w:basedOn w:val="1"/>
    <w:qFormat/>
    <w:uiPriority w:val="0"/>
    <w:pPr>
      <w:widowControl w:val="0"/>
      <w:jc w:val="both"/>
    </w:pPr>
    <w:rPr>
      <w:rFonts w:ascii="仿宋_GB2312"/>
      <w:b/>
      <w:kern w:val="2"/>
      <w:sz w:val="30"/>
      <w:szCs w:val="20"/>
    </w:rPr>
  </w:style>
  <w:style w:type="paragraph" w:customStyle="1" w:styleId="165">
    <w:name w:val="项目符号：一级"/>
    <w:basedOn w:val="160"/>
    <w:next w:val="160"/>
    <w:qFormat/>
    <w:uiPriority w:val="0"/>
    <w:pPr>
      <w:tabs>
        <w:tab w:val="left" w:pos="700"/>
      </w:tabs>
      <w:spacing w:beforeLines="0"/>
      <w:ind w:left="630" w:hanging="290" w:firstLineChars="0"/>
    </w:pPr>
  </w:style>
  <w:style w:type="paragraph" w:customStyle="1" w:styleId="166">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7">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8">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69">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0">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1">
    <w:name w:val="大纲正文"/>
    <w:basedOn w:val="1"/>
    <w:qFormat/>
    <w:uiPriority w:val="0"/>
    <w:pPr>
      <w:widowControl w:val="0"/>
      <w:spacing w:line="360" w:lineRule="auto"/>
      <w:ind w:firstLine="480" w:firstLineChars="200"/>
      <w:jc w:val="both"/>
    </w:pPr>
    <w:rPr>
      <w:kern w:val="2"/>
      <w:szCs w:val="20"/>
    </w:rPr>
  </w:style>
  <w:style w:type="paragraph" w:customStyle="1" w:styleId="172">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3">
    <w:name w:val="Char2"/>
    <w:basedOn w:val="1"/>
    <w:next w:val="1"/>
    <w:qFormat/>
    <w:uiPriority w:val="0"/>
    <w:pPr>
      <w:widowControl w:val="0"/>
      <w:spacing w:line="240" w:lineRule="atLeast"/>
      <w:ind w:left="420" w:firstLine="420"/>
    </w:pPr>
    <w:rPr>
      <w:kern w:val="2"/>
      <w:szCs w:val="20"/>
    </w:rPr>
  </w:style>
  <w:style w:type="paragraph" w:customStyle="1" w:styleId="174">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5">
    <w:name w:val="Char2 Char Char Char"/>
    <w:basedOn w:val="1"/>
    <w:qFormat/>
    <w:uiPriority w:val="0"/>
    <w:pPr>
      <w:widowControl w:val="0"/>
      <w:jc w:val="both"/>
    </w:pPr>
    <w:rPr>
      <w:rFonts w:ascii="仿宋_GB2312"/>
      <w:b/>
      <w:kern w:val="2"/>
      <w:sz w:val="30"/>
      <w:szCs w:val="20"/>
    </w:rPr>
  </w:style>
  <w:style w:type="paragraph" w:customStyle="1" w:styleId="176">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7">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8">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79">
    <w:name w:val="列出段落2"/>
    <w:basedOn w:val="1"/>
    <w:qFormat/>
    <w:uiPriority w:val="34"/>
    <w:pPr>
      <w:widowControl w:val="0"/>
      <w:ind w:firstLine="420" w:firstLineChars="200"/>
      <w:jc w:val="both"/>
    </w:pPr>
    <w:rPr>
      <w:rFonts w:eastAsia="方正仿宋"/>
      <w:kern w:val="2"/>
      <w:sz w:val="32"/>
    </w:rPr>
  </w:style>
  <w:style w:type="paragraph" w:customStyle="1" w:styleId="18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1">
    <w:name w:val="彩色列表 - 强调文字颜色 1 Char"/>
    <w:link w:val="182"/>
    <w:qFormat/>
    <w:uiPriority w:val="0"/>
    <w:rPr>
      <w:rFonts w:ascii="Calibri" w:hAnsi="Calibri"/>
      <w:kern w:val="2"/>
      <w:sz w:val="21"/>
      <w:szCs w:val="22"/>
    </w:rPr>
  </w:style>
  <w:style w:type="paragraph" w:customStyle="1" w:styleId="182">
    <w:name w:val="彩色列表 - 强调文字颜色 11"/>
    <w:basedOn w:val="1"/>
    <w:link w:val="181"/>
    <w:qFormat/>
    <w:uiPriority w:val="0"/>
    <w:pPr>
      <w:widowControl w:val="0"/>
      <w:ind w:firstLine="420" w:firstLineChars="200"/>
      <w:jc w:val="both"/>
    </w:pPr>
    <w:rPr>
      <w:rFonts w:ascii="Calibri" w:hAnsi="Calibri"/>
      <w:kern w:val="2"/>
      <w:sz w:val="21"/>
      <w:szCs w:val="22"/>
    </w:rPr>
  </w:style>
  <w:style w:type="character" w:customStyle="1" w:styleId="183">
    <w:name w:val="*正文 Char Char"/>
    <w:link w:val="184"/>
    <w:qFormat/>
    <w:locked/>
    <w:uiPriority w:val="99"/>
    <w:rPr>
      <w:rFonts w:ascii="宋体"/>
      <w:sz w:val="24"/>
    </w:rPr>
  </w:style>
  <w:style w:type="paragraph" w:customStyle="1" w:styleId="184">
    <w:name w:val="*正文"/>
    <w:basedOn w:val="1"/>
    <w:link w:val="183"/>
    <w:qFormat/>
    <w:uiPriority w:val="99"/>
    <w:pPr>
      <w:widowControl w:val="0"/>
      <w:spacing w:line="360" w:lineRule="auto"/>
      <w:ind w:firstLine="200" w:firstLineChars="200"/>
      <w:jc w:val="both"/>
    </w:pPr>
    <w:rPr>
      <w:rFonts w:ascii="宋体"/>
      <w:szCs w:val="20"/>
    </w:rPr>
  </w:style>
  <w:style w:type="paragraph" w:customStyle="1" w:styleId="185">
    <w:name w:val="_Style 1"/>
    <w:basedOn w:val="1"/>
    <w:qFormat/>
    <w:uiPriority w:val="0"/>
    <w:pPr>
      <w:ind w:firstLine="420" w:firstLineChars="200"/>
    </w:pPr>
  </w:style>
  <w:style w:type="paragraph" w:customStyle="1" w:styleId="186">
    <w:name w:val="彩色列表 - 强调文字颜色 12"/>
    <w:basedOn w:val="1"/>
    <w:qFormat/>
    <w:uiPriority w:val="0"/>
    <w:pPr>
      <w:ind w:firstLine="420" w:firstLineChars="200"/>
    </w:pPr>
  </w:style>
  <w:style w:type="character" w:customStyle="1" w:styleId="187">
    <w:name w:val="font21"/>
    <w:basedOn w:val="47"/>
    <w:qFormat/>
    <w:uiPriority w:val="0"/>
    <w:rPr>
      <w:rFonts w:hint="eastAsia" w:ascii="宋体" w:hAnsi="宋体" w:eastAsia="宋体" w:cs="宋体"/>
      <w:color w:val="000000"/>
      <w:sz w:val="20"/>
      <w:szCs w:val="20"/>
      <w:u w:val="none"/>
    </w:rPr>
  </w:style>
  <w:style w:type="character" w:customStyle="1" w:styleId="188">
    <w:name w:val="font31"/>
    <w:basedOn w:val="47"/>
    <w:qFormat/>
    <w:uiPriority w:val="0"/>
    <w:rPr>
      <w:rFonts w:ascii="Tahoma" w:hAnsi="Tahoma" w:eastAsia="Tahoma" w:cs="Tahoma"/>
      <w:color w:val="000000"/>
      <w:sz w:val="20"/>
      <w:szCs w:val="20"/>
      <w:u w:val="none"/>
    </w:rPr>
  </w:style>
  <w:style w:type="paragraph" w:customStyle="1" w:styleId="1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0">
    <w:name w:val="List Paragraph"/>
    <w:basedOn w:val="1"/>
    <w:qFormat/>
    <w:uiPriority w:val="34"/>
    <w:pPr>
      <w:spacing w:after="100" w:line="360" w:lineRule="auto"/>
      <w:ind w:firstLine="420" w:firstLineChars="200"/>
    </w:pPr>
    <w:rPr>
      <w:szCs w:val="22"/>
      <w:lang w:eastAsia="en-US" w:bidi="en-US"/>
    </w:rPr>
  </w:style>
  <w:style w:type="character" w:customStyle="1" w:styleId="191">
    <w:name w:val="font11"/>
    <w:basedOn w:val="47"/>
    <w:qFormat/>
    <w:uiPriority w:val="0"/>
    <w:rPr>
      <w:rFonts w:hint="eastAsia" w:ascii="宋体" w:hAnsi="宋体" w:eastAsia="宋体" w:cs="宋体"/>
      <w:color w:val="000000"/>
      <w:sz w:val="22"/>
      <w:szCs w:val="22"/>
      <w:u w:val="none"/>
    </w:rPr>
  </w:style>
  <w:style w:type="character" w:customStyle="1" w:styleId="192">
    <w:name w:val="font01"/>
    <w:basedOn w:val="47"/>
    <w:qFormat/>
    <w:uiPriority w:val="0"/>
    <w:rPr>
      <w:rFonts w:hint="default" w:ascii="Times New Roman" w:hAnsi="Times New Roman" w:cs="Times New Roman"/>
      <w:color w:val="000000"/>
      <w:sz w:val="22"/>
      <w:szCs w:val="22"/>
      <w:u w:val="none"/>
    </w:rPr>
  </w:style>
  <w:style w:type="paragraph" w:customStyle="1" w:styleId="19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1</TotalTime>
  <ScaleCrop>false</ScaleCrop>
  <LinksUpToDate>false</LinksUpToDate>
  <CharactersWithSpaces>28099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Admin</cp:lastModifiedBy>
  <cp:lastPrinted>2014-07-14T08:51:00Z</cp:lastPrinted>
  <dcterms:modified xsi:type="dcterms:W3CDTF">2021-05-25T05:46:49Z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F1D574A1AD194BB7B79EDB3EFF74FE23</vt:lpwstr>
  </property>
</Properties>
</file>