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 xml:space="preserve">中共成都市龙泉驿区委政法委员会工作用车租赁服务采购项目 </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510112202100069</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pacing w:val="20"/>
          <w:sz w:val="32"/>
          <w:szCs w:val="32"/>
          <w:highlight w:val="none"/>
          <w:lang w:eastAsia="zh-CN"/>
        </w:rPr>
        <w:t>中共成都市龙泉驿区委政法委员会</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r>
        <w:rPr>
          <w:rFonts w:hint="eastAsia" w:ascii="华文中宋" w:hAnsi="华文中宋" w:eastAsia="华文中宋"/>
          <w:color w:val="auto"/>
          <w:sz w:val="32"/>
          <w:szCs w:val="32"/>
          <w:highlight w:val="none"/>
          <w:lang w:val="en-US" w:eastAsia="zh-CN"/>
        </w:rPr>
        <w:t xml:space="preserve">  </w:t>
      </w: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年</w:t>
      </w:r>
      <w:r>
        <w:rPr>
          <w:rFonts w:hint="eastAsia" w:ascii="华文中宋" w:hAnsi="华文中宋" w:eastAsia="华文中宋"/>
          <w:bCs/>
          <w:color w:val="auto"/>
          <w:sz w:val="32"/>
          <w:szCs w:val="32"/>
          <w:highlight w:val="none"/>
          <w:lang w:val="en-US" w:eastAsia="zh-CN"/>
        </w:rPr>
        <w:t>五</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pStyle w:val="4"/>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lang w:eastAsia="zh-CN"/>
        </w:rPr>
      </w:pPr>
      <w:bookmarkStart w:id="0" w:name="_Toc779"/>
      <w:bookmarkStart w:id="1" w:name="_Toc9012"/>
      <w:r>
        <w:rPr>
          <w:rFonts w:hint="eastAsia" w:ascii="宋体" w:hAnsi="宋体" w:eastAsia="宋体" w:cs="宋体"/>
          <w:b/>
          <w:bCs w:val="0"/>
          <w:color w:val="auto"/>
          <w:sz w:val="36"/>
          <w:szCs w:val="36"/>
          <w:lang w:eastAsia="zh-CN"/>
        </w:rPr>
        <w:t>“政采贷”业务介绍</w:t>
      </w:r>
      <w:bookmarkEnd w:id="0"/>
      <w:bookmarkEnd w:id="1"/>
    </w:p>
    <w:p>
      <w:pPr>
        <w:pStyle w:val="4"/>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eastAsia="zh-CN"/>
        </w:rPr>
      </w:pPr>
      <w:bookmarkStart w:id="2" w:name="_Toc7667"/>
      <w:bookmarkStart w:id="3" w:name="_Toc17493"/>
      <w:r>
        <w:rPr>
          <w:rFonts w:hint="eastAsia" w:ascii="宋体" w:hAnsi="宋体" w:eastAsia="宋体" w:cs="宋体"/>
          <w:b w:val="0"/>
          <w:bCs w:val="0"/>
          <w:color w:val="auto"/>
          <w:sz w:val="24"/>
          <w:szCs w:val="24"/>
          <w:lang w:eastAsia="zh-CN"/>
        </w:rPr>
        <w:t>为</w:t>
      </w:r>
      <w:r>
        <w:rPr>
          <w:rFonts w:hint="eastAsia" w:ascii="宋体" w:hAnsi="宋体" w:eastAsia="宋体" w:cs="宋体"/>
          <w:b w:val="0"/>
          <w:bCs w:val="0"/>
          <w:color w:val="auto"/>
          <w:sz w:val="24"/>
          <w:szCs w:val="24"/>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lang w:eastAsia="zh-CN"/>
        </w:rPr>
        <w:t>、营造良好的营商环境</w:t>
      </w:r>
      <w:r>
        <w:rPr>
          <w:rFonts w:hint="eastAsia" w:ascii="宋体" w:hAnsi="宋体" w:eastAsia="宋体" w:cs="宋体"/>
          <w:b w:val="0"/>
          <w:bCs w:val="0"/>
          <w:color w:val="auto"/>
          <w:sz w:val="24"/>
          <w:szCs w:val="24"/>
        </w:rPr>
        <w:t>，根据</w:t>
      </w:r>
      <w:r>
        <w:rPr>
          <w:rFonts w:hint="eastAsia" w:ascii="宋体" w:hAnsi="宋体" w:eastAsia="宋体" w:cs="宋体"/>
          <w:b w:val="0"/>
          <w:bCs w:val="0"/>
          <w:color w:val="auto"/>
          <w:sz w:val="24"/>
          <w:szCs w:val="24"/>
          <w:lang w:eastAsia="zh-CN"/>
        </w:rPr>
        <w:t>《四川省财政厅关于推进四川省政府采购供应商信用融资工作的通知》（川财采﹝</w:t>
      </w:r>
      <w:r>
        <w:rPr>
          <w:rFonts w:hint="eastAsia" w:ascii="宋体" w:hAnsi="宋体" w:eastAsia="宋体" w:cs="宋体"/>
          <w:b w:val="0"/>
          <w:bCs w:val="0"/>
          <w:color w:val="auto"/>
          <w:sz w:val="24"/>
          <w:szCs w:val="24"/>
          <w:lang w:val="en-US" w:eastAsia="zh-CN"/>
        </w:rPr>
        <w:t>2018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123号</w:t>
      </w:r>
      <w:r>
        <w:rPr>
          <w:rFonts w:hint="eastAsia" w:ascii="宋体" w:hAnsi="宋体" w:eastAsia="宋体" w:cs="宋体"/>
          <w:b w:val="0"/>
          <w:bCs w:val="0"/>
          <w:color w:val="auto"/>
          <w:sz w:val="24"/>
          <w:szCs w:val="24"/>
          <w:lang w:eastAsia="zh-CN"/>
        </w:rPr>
        <w:t>）文件要求。有融资需求的供应商可根据四川政府采购网公示的银行及其“政采贷”产品，自行选择符合自身情况的“政采贷”银行及其产品，凭中标（成交）通知书向银行提出贷款意向申请。</w:t>
      </w:r>
      <w:bookmarkEnd w:id="2"/>
      <w:bookmarkEnd w:id="3"/>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lang w:val="zh-CN" w:eastAsia="zh-CN"/>
        </w:rPr>
      </w:pPr>
    </w:p>
    <w:p>
      <w:pPr>
        <w:rPr>
          <w:rFonts w:hint="eastAsia" w:ascii="宋体" w:hAnsi="宋体" w:eastAsia="宋体" w:cs="宋体"/>
          <w:b w:val="0"/>
          <w:bCs/>
          <w:color w:val="auto"/>
          <w:sz w:val="24"/>
          <w:szCs w:val="24"/>
          <w:lang w:val="zh-CN" w:eastAsia="zh-CN" w:bidi="ar-SA"/>
        </w:rPr>
      </w:pPr>
    </w:p>
    <w:p>
      <w:pPr>
        <w:pStyle w:val="4"/>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lang w:eastAsia="zh-CN"/>
        </w:rPr>
      </w:pPr>
      <w:bookmarkStart w:id="4" w:name="_Toc5414"/>
      <w:bookmarkStart w:id="5" w:name="_Toc3992"/>
      <w:r>
        <w:rPr>
          <w:rFonts w:hint="eastAsia" w:ascii="宋体" w:hAnsi="宋体" w:eastAsia="宋体" w:cs="宋体"/>
          <w:b/>
          <w:bCs w:val="0"/>
          <w:color w:val="auto"/>
          <w:sz w:val="32"/>
          <w:szCs w:val="32"/>
          <w:lang w:eastAsia="zh-CN"/>
        </w:rPr>
        <w:t>“蓉采贷”业务介绍</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银行名称</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联系部门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成都银行</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中小企业部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中国建设银行成都第六支行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交通银行四川省分行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中国农业银行成都天府新区分行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四川天府银行成都分行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浦发银行成都分行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上海银行成都分行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成都农村商业银行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中国民生银行成都分行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中国工商银行成都分行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中国邮政储蓄银行成都分行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招商银行成都分行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广发银行成都分行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东大街支部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重庆银行成都分行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小微企业银行部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渤海银行成都分行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028-86772083</w:t>
            </w:r>
          </w:p>
        </w:tc>
      </w:tr>
    </w:tbl>
    <w:p>
      <w:pPr>
        <w:pStyle w:val="3"/>
        <w:sectPr>
          <w:headerReference r:id="rId5" w:type="first"/>
          <w:headerReference r:id="rId3" w:type="default"/>
          <w:headerReference r:id="rId4" w:type="even"/>
          <w:footerReference r:id="rId6"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36"/>
        <w:tabs>
          <w:tab w:val="right" w:leader="dot" w:pos="9214"/>
        </w:tabs>
        <w:ind w:left="0" w:leftChars="0" w:firstLine="0" w:firstLineChars="0"/>
      </w:pP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r>
        <w:rPr>
          <w:rFonts w:hint="default" w:ascii="Times New Roman" w:hAnsi="Times New Roman" w:eastAsia="宋体" w:cs="Times New Roman"/>
          <w:b/>
          <w:bCs/>
          <w:i w:val="0"/>
          <w:caps/>
          <w:smallCaps w:val="0"/>
          <w:sz w:val="24"/>
          <w:szCs w:val="32"/>
          <w:lang w:val="en-US" w:eastAsia="zh-CN" w:bidi="ar-SA"/>
        </w:rPr>
        <w:fldChar w:fldCharType="begin"/>
      </w:r>
      <w:r>
        <w:rPr>
          <w:rFonts w:hint="default" w:ascii="Times New Roman" w:hAnsi="Times New Roman" w:eastAsia="宋体" w:cs="Times New Roman"/>
          <w:b/>
          <w:bCs/>
          <w:i w:val="0"/>
          <w:caps/>
          <w:smallCaps w:val="0"/>
          <w:sz w:val="24"/>
          <w:szCs w:val="32"/>
          <w:lang w:val="en-US" w:eastAsia="zh-CN" w:bidi="ar-SA"/>
        </w:rPr>
        <w:instrText xml:space="preserve"> HYPERLINK \l _Toc25254 </w:instrText>
      </w:r>
      <w:r>
        <w:rPr>
          <w:rFonts w:hint="default" w:ascii="Times New Roman" w:hAnsi="Times New Roman" w:eastAsia="宋体" w:cs="Times New Roman"/>
          <w:b/>
          <w:bCs/>
          <w:i w:val="0"/>
          <w:caps/>
          <w:smallCaps w:val="0"/>
          <w:sz w:val="24"/>
          <w:szCs w:val="32"/>
          <w:lang w:val="en-US" w:eastAsia="zh-CN" w:bidi="ar-SA"/>
        </w:rPr>
        <w:fldChar w:fldCharType="separate"/>
      </w:r>
      <w:r>
        <w:rPr>
          <w:rFonts w:hint="default" w:ascii="Times New Roman" w:hAnsi="Times New Roman" w:eastAsia="宋体" w:cs="Times New Roman"/>
          <w:b/>
          <w:bCs/>
          <w:i w:val="0"/>
          <w:caps/>
          <w:smallCaps w:val="0"/>
          <w:sz w:val="24"/>
          <w:szCs w:val="32"/>
          <w:lang w:val="en-US" w:eastAsia="zh-CN" w:bidi="ar-SA"/>
        </w:rPr>
        <w:t xml:space="preserve">第1章 </w:t>
      </w:r>
      <w:r>
        <w:rPr>
          <w:rFonts w:hint="eastAsia" w:ascii="Times New Roman" w:hAnsi="Times New Roman" w:eastAsia="宋体" w:cs="Times New Roman"/>
          <w:b/>
          <w:bCs/>
          <w:i w:val="0"/>
          <w:caps/>
          <w:smallCaps w:val="0"/>
          <w:sz w:val="24"/>
          <w:szCs w:val="32"/>
          <w:lang w:val="en-US" w:eastAsia="zh-CN" w:bidi="ar-SA"/>
        </w:rPr>
        <w:t>竞争性磋商邀请</w:t>
      </w:r>
      <w:r>
        <w:rPr>
          <w:rFonts w:hint="default" w:ascii="Times New Roman" w:hAnsi="Times New Roman" w:eastAsia="宋体" w:cs="Times New Roman"/>
          <w:b/>
          <w:bCs/>
          <w:i w:val="0"/>
          <w:caps/>
          <w:smallCaps w:val="0"/>
          <w:sz w:val="24"/>
          <w:szCs w:val="32"/>
          <w:lang w:val="en-US" w:eastAsia="zh-CN" w:bidi="ar-SA"/>
        </w:rPr>
        <w:tab/>
      </w:r>
      <w:r>
        <w:rPr>
          <w:rFonts w:hint="default" w:ascii="Times New Roman" w:hAnsi="Times New Roman" w:eastAsia="宋体" w:cs="Times New Roman"/>
          <w:b/>
          <w:bCs/>
          <w:i w:val="0"/>
          <w:caps/>
          <w:smallCaps w:val="0"/>
          <w:sz w:val="24"/>
          <w:szCs w:val="32"/>
          <w:lang w:val="en-US" w:eastAsia="zh-CN" w:bidi="ar-SA"/>
        </w:rPr>
        <w:fldChar w:fldCharType="begin"/>
      </w:r>
      <w:r>
        <w:rPr>
          <w:rFonts w:hint="default" w:ascii="Times New Roman" w:hAnsi="Times New Roman" w:eastAsia="宋体" w:cs="Times New Roman"/>
          <w:b/>
          <w:bCs/>
          <w:i w:val="0"/>
          <w:caps/>
          <w:smallCaps w:val="0"/>
          <w:sz w:val="24"/>
          <w:szCs w:val="32"/>
          <w:lang w:val="en-US" w:eastAsia="zh-CN" w:bidi="ar-SA"/>
        </w:rPr>
        <w:instrText xml:space="preserve"> PAGEREF _Toc25254 \h </w:instrText>
      </w:r>
      <w:r>
        <w:rPr>
          <w:rFonts w:hint="default" w:ascii="Times New Roman" w:hAnsi="Times New Roman" w:eastAsia="宋体" w:cs="Times New Roman"/>
          <w:b/>
          <w:bCs/>
          <w:i w:val="0"/>
          <w:caps/>
          <w:smallCaps w:val="0"/>
          <w:sz w:val="24"/>
          <w:szCs w:val="32"/>
          <w:lang w:val="en-US" w:eastAsia="zh-CN" w:bidi="ar-SA"/>
        </w:rPr>
        <w:fldChar w:fldCharType="separate"/>
      </w:r>
      <w:r>
        <w:rPr>
          <w:rFonts w:hint="default" w:ascii="Times New Roman" w:hAnsi="Times New Roman" w:eastAsia="宋体" w:cs="Times New Roman"/>
          <w:b/>
          <w:bCs/>
          <w:i w:val="0"/>
          <w:caps/>
          <w:smallCaps w:val="0"/>
          <w:sz w:val="24"/>
          <w:szCs w:val="32"/>
          <w:lang w:val="en-US" w:eastAsia="zh-CN" w:bidi="ar-SA"/>
        </w:rPr>
        <w:t>2</w:t>
      </w:r>
      <w:r>
        <w:rPr>
          <w:rFonts w:hint="default" w:ascii="Times New Roman" w:hAnsi="Times New Roman" w:eastAsia="宋体" w:cs="Times New Roman"/>
          <w:b/>
          <w:bCs/>
          <w:i w:val="0"/>
          <w:caps/>
          <w:smallCaps w:val="0"/>
          <w:sz w:val="24"/>
          <w:szCs w:val="32"/>
          <w:lang w:val="en-US" w:eastAsia="zh-CN" w:bidi="ar-SA"/>
        </w:rPr>
        <w:fldChar w:fldCharType="end"/>
      </w:r>
      <w:r>
        <w:rPr>
          <w:rFonts w:hint="default" w:ascii="Times New Roman" w:hAnsi="Times New Roman" w:eastAsia="宋体" w:cs="Times New Roman"/>
          <w:b/>
          <w:bCs/>
          <w:i w:val="0"/>
          <w:caps/>
          <w:smallCaps w:val="0"/>
          <w:sz w:val="24"/>
          <w:szCs w:val="32"/>
          <w:lang w:val="en-US" w:eastAsia="zh-CN" w:bidi="ar-SA"/>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_Toc3198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_Toc3198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_Toc4462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highlight w:val="none"/>
        </w:rPr>
        <w:t>磋商供应商须知附表</w:t>
      </w:r>
      <w:r>
        <w:tab/>
      </w:r>
      <w:r>
        <w:fldChar w:fldCharType="begin"/>
      </w:r>
      <w:r>
        <w:instrText xml:space="preserve"> PAGEREF _Toc4462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_Toc20650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szCs w:val="24"/>
          <w:highlight w:val="none"/>
        </w:rPr>
        <w:t>适用范围</w:t>
      </w:r>
      <w:r>
        <w:tab/>
      </w:r>
      <w:r>
        <w:fldChar w:fldCharType="begin"/>
      </w:r>
      <w:r>
        <w:instrText xml:space="preserve"> PAGEREF _Toc20650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_Toc26752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szCs w:val="24"/>
          <w:highlight w:val="none"/>
        </w:rPr>
        <w:t>定义</w:t>
      </w:r>
      <w:r>
        <w:tab/>
      </w:r>
      <w:r>
        <w:fldChar w:fldCharType="begin"/>
      </w:r>
      <w:r>
        <w:instrText xml:space="preserve"> PAGEREF _Toc26752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_Toc8524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szCs w:val="24"/>
          <w:highlight w:val="none"/>
        </w:rPr>
        <w:t>合格供应商的条件（实质性要求）</w:t>
      </w:r>
      <w:r>
        <w:tab/>
      </w:r>
      <w:r>
        <w:fldChar w:fldCharType="begin"/>
      </w:r>
      <w:r>
        <w:instrText xml:space="preserve"> PAGEREF _Toc8524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_Toc13103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szCs w:val="24"/>
          <w:highlight w:val="none"/>
        </w:rPr>
        <w:t>拒绝参加本次采购活动的供应商</w:t>
      </w:r>
      <w:r>
        <w:tab/>
      </w:r>
      <w:r>
        <w:fldChar w:fldCharType="begin"/>
      </w:r>
      <w:r>
        <w:instrText xml:space="preserve"> PAGEREF _Toc13103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_Toc20769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highlight w:val="none"/>
        </w:rPr>
        <w:t>充分、公平竞争保障措施（实质性要求）</w:t>
      </w:r>
      <w:r>
        <w:tab/>
      </w:r>
      <w:r>
        <w:fldChar w:fldCharType="begin"/>
      </w:r>
      <w:r>
        <w:instrText xml:space="preserve"> PAGEREF _Toc20769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_Toc9003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highlight w:val="none"/>
        </w:rPr>
        <w:t>竞争性磋商采购费用</w:t>
      </w:r>
      <w:r>
        <w:tab/>
      </w:r>
      <w:r>
        <w:fldChar w:fldCharType="begin"/>
      </w:r>
      <w:r>
        <w:instrText xml:space="preserve"> PAGEREF _Toc9003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_Toc30039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highlight w:val="none"/>
        </w:rPr>
        <w:t>响应文件</w:t>
      </w:r>
      <w:r>
        <w:tab/>
      </w:r>
      <w:r>
        <w:fldChar w:fldCharType="begin"/>
      </w:r>
      <w:r>
        <w:instrText xml:space="preserve"> PAGEREF _Toc30039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_Toc553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highlight w:val="none"/>
        </w:rPr>
        <w:t>竞争性磋商程序</w:t>
      </w:r>
      <w:r>
        <w:tab/>
      </w:r>
      <w:r>
        <w:fldChar w:fldCharType="begin"/>
      </w:r>
      <w:r>
        <w:instrText xml:space="preserve"> PAGEREF _Toc553 \h </w:instrText>
      </w:r>
      <w:r>
        <w:fldChar w:fldCharType="separate"/>
      </w:r>
      <w:r>
        <w:t>12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_Toc32037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确定成交供应商</w:t>
      </w:r>
      <w:r>
        <w:tab/>
      </w:r>
      <w:r>
        <w:fldChar w:fldCharType="begin"/>
      </w:r>
      <w:r>
        <w:instrText xml:space="preserve"> PAGEREF _Toc32037 \h </w:instrText>
      </w:r>
      <w:r>
        <w:fldChar w:fldCharType="separate"/>
      </w:r>
      <w:r>
        <w:t>19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_Toc25990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highlight w:val="none"/>
        </w:rPr>
        <w:t>成交结果</w:t>
      </w:r>
      <w:r>
        <w:tab/>
      </w:r>
      <w:r>
        <w:fldChar w:fldCharType="begin"/>
      </w:r>
      <w:r>
        <w:instrText xml:space="preserve"> PAGEREF _Toc25990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_Toc10068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highlight w:val="none"/>
        </w:rPr>
        <w:t>询问、质疑和投诉</w:t>
      </w:r>
      <w:r>
        <w:tab/>
      </w:r>
      <w:r>
        <w:fldChar w:fldCharType="begin"/>
      </w:r>
      <w:r>
        <w:instrText xml:space="preserve"> PAGEREF _Toc10068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_Toc7239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highlight w:val="none"/>
        </w:rPr>
        <w:t>签订合同</w:t>
      </w:r>
      <w:r>
        <w:tab/>
      </w:r>
      <w:r>
        <w:fldChar w:fldCharType="begin"/>
      </w:r>
      <w:r>
        <w:instrText xml:space="preserve"> PAGEREF _Toc7239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_Toc19655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highlight w:val="none"/>
        </w:rPr>
        <w:t>采购人增加合同的权利</w:t>
      </w:r>
      <w:r>
        <w:tab/>
      </w:r>
      <w:r>
        <w:fldChar w:fldCharType="begin"/>
      </w:r>
      <w:r>
        <w:instrText xml:space="preserve"> PAGEREF _Toc19655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_Toc4588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2.15 </w:t>
      </w:r>
      <w:r>
        <w:rPr>
          <w:rFonts w:hint="eastAsia"/>
          <w:highlight w:val="none"/>
        </w:rPr>
        <w:t>履行合同</w:t>
      </w:r>
      <w:r>
        <w:tab/>
      </w:r>
      <w:r>
        <w:fldChar w:fldCharType="begin"/>
      </w:r>
      <w:r>
        <w:instrText xml:space="preserve"> PAGEREF _Toc4588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_Toc28801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2.16 </w:t>
      </w:r>
      <w:r>
        <w:rPr>
          <w:rFonts w:hint="eastAsia"/>
          <w:highlight w:val="none"/>
        </w:rPr>
        <w:t>竞争性磋商工作纪律及要求</w:t>
      </w:r>
      <w:r>
        <w:tab/>
      </w:r>
      <w:r>
        <w:fldChar w:fldCharType="begin"/>
      </w:r>
      <w:r>
        <w:instrText xml:space="preserve"> PAGEREF _Toc28801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_Toc29924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2.17 </w:t>
      </w:r>
      <w:r>
        <w:rPr>
          <w:rFonts w:hint="eastAsia"/>
          <w:highlight w:val="none"/>
        </w:rPr>
        <w:t>回避</w:t>
      </w:r>
      <w:r>
        <w:tab/>
      </w:r>
      <w:r>
        <w:fldChar w:fldCharType="begin"/>
      </w:r>
      <w:r>
        <w:instrText xml:space="preserve"> PAGEREF _Toc29924 \h </w:instrText>
      </w:r>
      <w:r>
        <w:fldChar w:fldCharType="separate"/>
      </w:r>
      <w:r>
        <w:t>22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_Toc18631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2.18 </w:t>
      </w:r>
      <w:r>
        <w:rPr>
          <w:rFonts w:hint="eastAsia"/>
          <w:highlight w:val="none"/>
        </w:rPr>
        <w:t>其他</w:t>
      </w:r>
      <w:r>
        <w:tab/>
      </w:r>
      <w:r>
        <w:fldChar w:fldCharType="begin"/>
      </w:r>
      <w:r>
        <w:instrText xml:space="preserve"> PAGEREF _Toc18631 \h </w:instrText>
      </w:r>
      <w:r>
        <w:fldChar w:fldCharType="separate"/>
      </w:r>
      <w:r>
        <w:t>23</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_Toc9643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_Toc9643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_Toc21060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3.1 </w:t>
      </w:r>
      <w:r>
        <w:rPr>
          <w:rFonts w:hint="eastAsia"/>
          <w:szCs w:val="24"/>
          <w:highlight w:val="none"/>
          <w:lang w:val="en-US" w:eastAsia="zh-CN"/>
        </w:rPr>
        <w:t>项目概况</w:t>
      </w:r>
      <w:r>
        <w:tab/>
      </w:r>
      <w:r>
        <w:fldChar w:fldCharType="begin"/>
      </w:r>
      <w:r>
        <w:instrText xml:space="preserve"> PAGEREF _Toc21060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_Toc23517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3.2 </w:t>
      </w:r>
      <w:r>
        <w:rPr>
          <w:rFonts w:hint="eastAsia" w:ascii="宋体" w:hAnsi="宋体" w:eastAsia="宋体" w:cs="宋体"/>
          <w:szCs w:val="24"/>
          <w:highlight w:val="none"/>
          <w:lang w:val="en-US" w:eastAsia="zh-CN"/>
        </w:rPr>
        <w:t>服务内容</w:t>
      </w:r>
      <w:r>
        <w:tab/>
      </w:r>
      <w:r>
        <w:fldChar w:fldCharType="begin"/>
      </w:r>
      <w:r>
        <w:instrText xml:space="preserve"> PAGEREF _Toc23517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_Toc17754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3.3 </w:t>
      </w:r>
      <w:r>
        <w:rPr>
          <w:rFonts w:hint="eastAsia" w:cs="宋体"/>
          <w:szCs w:val="24"/>
          <w:lang w:val="en-US" w:eastAsia="zh-CN"/>
        </w:rPr>
        <w:t>车辆要求</w:t>
      </w:r>
      <w:r>
        <w:tab/>
      </w:r>
      <w:r>
        <w:fldChar w:fldCharType="begin"/>
      </w:r>
      <w:r>
        <w:instrText xml:space="preserve"> PAGEREF _Toc17754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_Toc6328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3.4 </w:t>
      </w:r>
      <w:r>
        <w:rPr>
          <w:rFonts w:hint="eastAsia" w:cs="宋体"/>
          <w:szCs w:val="24"/>
          <w:lang w:val="en-US" w:eastAsia="zh-CN"/>
        </w:rPr>
        <w:t>人员要求</w:t>
      </w:r>
      <w:r>
        <w:tab/>
      </w:r>
      <w:r>
        <w:fldChar w:fldCharType="begin"/>
      </w:r>
      <w:r>
        <w:instrText xml:space="preserve"> PAGEREF _Toc6328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_Toc18190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3.5 </w:t>
      </w:r>
      <w:r>
        <w:rPr>
          <w:rFonts w:hint="eastAsia" w:cs="宋体"/>
          <w:szCs w:val="24"/>
          <w:lang w:val="en-US" w:eastAsia="zh-CN"/>
        </w:rPr>
        <w:t>其他要求</w:t>
      </w:r>
      <w:r>
        <w:tab/>
      </w:r>
      <w:r>
        <w:fldChar w:fldCharType="begin"/>
      </w:r>
      <w:r>
        <w:instrText xml:space="preserve"> PAGEREF _Toc18190 \h </w:instrText>
      </w:r>
      <w:r>
        <w:fldChar w:fldCharType="separate"/>
      </w:r>
      <w:r>
        <w:t>25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_Toc31466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3.6 </w:t>
      </w:r>
      <w:r>
        <w:rPr>
          <w:rFonts w:hint="eastAsia" w:ascii="宋体" w:hAnsi="宋体" w:eastAsia="宋体" w:cs="宋体"/>
          <w:szCs w:val="24"/>
          <w:lang w:val="en-US" w:eastAsia="zh-CN"/>
        </w:rPr>
        <w:t>商务要求</w:t>
      </w:r>
      <w:r>
        <w:tab/>
      </w:r>
      <w:r>
        <w:fldChar w:fldCharType="begin"/>
      </w:r>
      <w:r>
        <w:instrText xml:space="preserve"> PAGEREF _Toc31466 \h </w:instrText>
      </w:r>
      <w:r>
        <w:fldChar w:fldCharType="separate"/>
      </w:r>
      <w:r>
        <w:t>26</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_Toc14890 </w:instrText>
      </w:r>
      <w:r>
        <w:rPr>
          <w:rFonts w:ascii="宋体" w:hAnsi="宋体"/>
          <w:bCs/>
          <w:szCs w:val="36"/>
          <w:highlight w:val="none"/>
        </w:rPr>
        <w:fldChar w:fldCharType="separate"/>
      </w:r>
      <w:r>
        <w:rPr>
          <w:rFonts w:hint="default" w:ascii="Times New Roman" w:hAnsi="Times New Roman" w:eastAsia="宋体"/>
          <w:i w:val="0"/>
          <w:szCs w:val="32"/>
        </w:rPr>
        <w:t xml:space="preserve">第4章 </w:t>
      </w:r>
      <w:r>
        <w:rPr>
          <w:rFonts w:hint="eastAsia"/>
          <w:highlight w:val="none"/>
        </w:rPr>
        <w:t>响应文件格式</w:t>
      </w:r>
      <w:r>
        <w:tab/>
      </w:r>
      <w:r>
        <w:fldChar w:fldCharType="begin"/>
      </w:r>
      <w:r>
        <w:instrText xml:space="preserve"> PAGEREF _Toc14890 \h </w:instrText>
      </w:r>
      <w:r>
        <w:fldChar w:fldCharType="separate"/>
      </w:r>
      <w:r>
        <w:t>28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_Toc26017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_Toc26017 \h </w:instrText>
      </w:r>
      <w:r>
        <w:fldChar w:fldCharType="separate"/>
      </w:r>
      <w:r>
        <w:t>28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_Toc31366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_Toc31366 \h </w:instrText>
      </w:r>
      <w:r>
        <w:fldChar w:fldCharType="separate"/>
      </w:r>
      <w:r>
        <w:t>40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_Toc15662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highlight w:val="none"/>
        </w:rPr>
        <w:t>最后报价（格式）</w:t>
      </w:r>
      <w:r>
        <w:tab/>
      </w:r>
      <w:r>
        <w:fldChar w:fldCharType="begin"/>
      </w:r>
      <w:r>
        <w:instrText xml:space="preserve"> PAGEREF _Toc15662 \h </w:instrText>
      </w:r>
      <w:r>
        <w:fldChar w:fldCharType="separate"/>
      </w:r>
      <w:r>
        <w:t>48</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_Toc23455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rPr>
        <w:t>合同主要条款</w:t>
      </w:r>
      <w:r>
        <w:tab/>
      </w:r>
      <w:r>
        <w:fldChar w:fldCharType="begin"/>
      </w:r>
      <w:r>
        <w:instrText xml:space="preserve"> PAGEREF _Toc23455 \h </w:instrText>
      </w:r>
      <w:r>
        <w:fldChar w:fldCharType="separate"/>
      </w:r>
      <w:r>
        <w:t>50</w:t>
      </w:r>
      <w: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8" w:type="first"/>
          <w:footerReference r:id="rId7"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3"/>
        <w:pageBreakBefore w:val="0"/>
        <w:kinsoku/>
        <w:wordWrap/>
        <w:overflowPunct/>
        <w:topLinePunct w:val="0"/>
        <w:bidi w:val="0"/>
        <w:snapToGrid/>
        <w:spacing w:line="460" w:lineRule="exact"/>
        <w:textAlignment w:val="auto"/>
        <w:rPr>
          <w:color w:val="auto"/>
          <w:highlight w:val="none"/>
        </w:rPr>
      </w:pPr>
      <w:bookmarkStart w:id="6" w:name="_Toc25254"/>
      <w:r>
        <w:rPr>
          <w:rFonts w:hint="eastAsia"/>
          <w:color w:val="auto"/>
          <w:highlight w:val="none"/>
        </w:rPr>
        <w:t>竞争性磋商邀请</w:t>
      </w:r>
      <w:bookmarkEnd w:id="6"/>
    </w:p>
    <w:p>
      <w:pPr>
        <w:keepNext w:val="0"/>
        <w:keepLines w:val="0"/>
        <w:pageBreakBefore w:val="0"/>
        <w:kinsoku/>
        <w:wordWrap/>
        <w:overflowPunct/>
        <w:topLinePunct w:val="0"/>
        <w:bidi w:val="0"/>
        <w:snapToGrid/>
        <w:spacing w:line="460" w:lineRule="exact"/>
        <w:ind w:firstLine="482" w:firstLineChars="200"/>
        <w:textAlignment w:val="auto"/>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中共成都市龙泉驿区委政法委员会</w:t>
      </w:r>
      <w:r>
        <w:rPr>
          <w:rFonts w:hint="eastAsia" w:ascii="宋体" w:hAnsi="宋体"/>
          <w:color w:val="auto"/>
          <w:highlight w:val="none"/>
        </w:rPr>
        <w:t>的委托，拟对</w:t>
      </w:r>
      <w:r>
        <w:rPr>
          <w:rFonts w:hint="eastAsia" w:ascii="宋体" w:hAnsi="宋体"/>
          <w:b/>
          <w:color w:val="auto"/>
          <w:highlight w:val="none"/>
          <w:u w:val="single"/>
          <w:lang w:eastAsia="zh-CN"/>
        </w:rPr>
        <w:t xml:space="preserve">中共成都市龙泉驿区委政法委员会工作用车租赁服务采购项目 </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510112202100069</w:t>
      </w:r>
      <w:r>
        <w:rPr>
          <w:rFonts w:hint="eastAsia" w:ascii="宋体" w:hAnsi="宋体"/>
          <w:b/>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lang w:eastAsia="zh-CN"/>
        </w:rPr>
        <w:t xml:space="preserve">中共成都市龙泉驿区委政法委员会工作用车租赁服务采购项目 </w:t>
      </w:r>
      <w:r>
        <w:rPr>
          <w:rFonts w:hint="eastAsia" w:ascii="宋体" w:hAnsi="宋体"/>
          <w:b/>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：财政性资金，预算品目：</w:t>
      </w:r>
      <w:r>
        <w:rPr>
          <w:rFonts w:hint="eastAsia" w:ascii="宋体" w:hAnsi="宋体"/>
          <w:color w:val="auto"/>
          <w:highlight w:val="none"/>
          <w:lang w:val="en-US" w:eastAsia="zh-CN"/>
        </w:rPr>
        <w:t>车辆及其他运输机械租赁服务</w:t>
      </w:r>
      <w:r>
        <w:rPr>
          <w:rFonts w:hint="eastAsia" w:ascii="宋体" w:hAnsi="宋体"/>
          <w:color w:val="auto"/>
          <w:highlight w:val="none"/>
        </w:rPr>
        <w:t>；预算金额：</w:t>
      </w:r>
      <w:r>
        <w:rPr>
          <w:rFonts w:hint="eastAsia" w:ascii="宋体" w:hAnsi="宋体"/>
          <w:color w:val="auto"/>
          <w:highlight w:val="none"/>
          <w:lang w:val="en-US" w:eastAsia="zh-CN"/>
        </w:rPr>
        <w:t>90万元/年</w:t>
      </w:r>
      <w:r>
        <w:rPr>
          <w:rFonts w:hint="eastAsia" w:ascii="宋体" w:hAnsi="宋体"/>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供应商邀请方式</w:t>
      </w:r>
    </w:p>
    <w:p>
      <w:pPr>
        <w:keepNext w:val="0"/>
        <w:keepLines w:val="0"/>
        <w:pageBreakBefore w:val="0"/>
        <w:kinsoku/>
        <w:wordWrap/>
        <w:overflowPunct/>
        <w:topLinePunct w:val="0"/>
        <w:bidi w:val="0"/>
        <w:snapToGrid/>
        <w:spacing w:after="120" w:line="460" w:lineRule="exact"/>
        <w:ind w:firstLine="480" w:firstLineChars="200"/>
        <w:textAlignment w:val="auto"/>
        <w:rPr>
          <w:color w:val="auto"/>
          <w:highlight w:val="none"/>
        </w:rPr>
      </w:pPr>
      <w:r>
        <w:rPr>
          <w:rFonts w:hint="eastAsia" w:ascii="宋体" w:hAnsi="宋体"/>
          <w:bCs/>
          <w:color w:val="auto"/>
          <w:highlight w:val="none"/>
        </w:rPr>
        <w:t>公告方式：本次竞争性磋商邀请在四川政府采购网（www.sczfcg.com）上以公告形式发布。</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供应商参加本次政府采购活动应具备的条件</w:t>
      </w:r>
    </w:p>
    <w:p>
      <w:pPr>
        <w:pStyle w:val="169"/>
        <w:keepNext w:val="0"/>
        <w:keepLines w:val="0"/>
        <w:pageBreakBefore w:val="0"/>
        <w:numPr>
          <w:ilvl w:val="1"/>
          <w:numId w:val="7"/>
        </w:numPr>
        <w:tabs>
          <w:tab w:val="left" w:pos="1260"/>
          <w:tab w:val="clear" w:pos="1130"/>
        </w:tabs>
        <w:kinsoku/>
        <w:wordWrap/>
        <w:overflowPunct/>
        <w:topLinePunct w:val="0"/>
        <w:bidi w:val="0"/>
        <w:snapToGrid/>
        <w:spacing w:line="460" w:lineRule="exact"/>
        <w:ind w:left="0" w:firstLine="630" w:firstLineChars="0"/>
        <w:textAlignment w:val="auto"/>
        <w:rPr>
          <w:rFonts w:hint="eastAsia" w:ascii="宋体" w:hAnsi="宋体" w:eastAsia="宋体" w:cs="宋体"/>
          <w:color w:val="auto"/>
          <w:sz w:val="24"/>
        </w:rPr>
      </w:pPr>
      <w:r>
        <w:rPr>
          <w:rFonts w:hint="eastAsia" w:ascii="宋体" w:hAnsi="宋体" w:eastAsia="宋体" w:cs="宋体"/>
          <w:color w:val="auto"/>
          <w:sz w:val="24"/>
        </w:rPr>
        <w:t>具备《中华人民共和国政府采购法》第二十二条规定的条件：</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3、具有履行合同所必须的设备和专业技术能力；</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4、具有依法缴纳税收和社会保障资金的良好记录；</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5、参加本次政府采购活动前三年内，在经营活动中没有重大违法记录；</w:t>
      </w:r>
    </w:p>
    <w:p>
      <w:pPr>
        <w:pStyle w:val="169"/>
        <w:keepNext w:val="0"/>
        <w:keepLines w:val="0"/>
        <w:pageBreakBefore w:val="0"/>
        <w:tabs>
          <w:tab w:val="left" w:pos="1260"/>
        </w:tabs>
        <w:kinsoku/>
        <w:wordWrap/>
        <w:overflowPunct/>
        <w:topLinePunct w:val="0"/>
        <w:autoSpaceDE/>
        <w:autoSpaceDN/>
        <w:bidi w:val="0"/>
        <w:adjustRightInd/>
        <w:snapToGrid/>
        <w:spacing w:line="460" w:lineRule="exact"/>
        <w:ind w:left="630" w:firstLine="0" w:firstLineChars="0"/>
        <w:textAlignment w:val="auto"/>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pPr>
        <w:pStyle w:val="169"/>
        <w:keepNext w:val="0"/>
        <w:keepLines w:val="0"/>
        <w:pageBreakBefore w:val="0"/>
        <w:numPr>
          <w:ilvl w:val="1"/>
          <w:numId w:val="7"/>
        </w:numPr>
        <w:tabs>
          <w:tab w:val="left" w:pos="1260"/>
          <w:tab w:val="clear" w:pos="1130"/>
        </w:tabs>
        <w:kinsoku/>
        <w:wordWrap/>
        <w:overflowPunct/>
        <w:topLinePunct w:val="0"/>
        <w:autoSpaceDE/>
        <w:autoSpaceDN/>
        <w:bidi w:val="0"/>
        <w:adjustRightInd/>
        <w:snapToGrid/>
        <w:spacing w:line="460" w:lineRule="exact"/>
        <w:ind w:left="0" w:firstLine="630" w:firstLineChars="0"/>
        <w:textAlignment w:val="auto"/>
        <w:rPr>
          <w:rFonts w:hint="eastAsia" w:ascii="宋体" w:hAnsi="宋体" w:eastAsia="宋体" w:cs="宋体"/>
          <w:color w:val="auto"/>
          <w:sz w:val="24"/>
        </w:rPr>
      </w:pPr>
      <w:r>
        <w:rPr>
          <w:rFonts w:hint="eastAsia" w:ascii="宋体" w:hAnsi="宋体" w:eastAsia="宋体" w:cs="宋体"/>
          <w:color w:val="auto"/>
          <w:sz w:val="24"/>
        </w:rPr>
        <w:t>根据本项目的特殊要求，供应商还须具备的其它特定条件：</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未被列入经营异常名录；</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未被列入失信被执行人、重大税收违法案件当事人名单、政府采购严重违法失信行为记录名单； </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在行贿犯罪信息查询期限内，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及其现任法定代表人、主要负责人没有行贿犯罪记录； </w:t>
      </w:r>
    </w:p>
    <w:p>
      <w:pPr>
        <w:keepNext w:val="0"/>
        <w:keepLines w:val="0"/>
        <w:pageBreakBefore w:val="0"/>
        <w:numPr>
          <w:ilvl w:val="0"/>
          <w:numId w:val="8"/>
        </w:numPr>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本项目专门面向中小企业采购；（供应商为监狱企业、残疾人福利性单位的视同小型、微型企业）</w:t>
      </w:r>
      <w:r>
        <w:rPr>
          <w:rFonts w:hint="eastAsia" w:ascii="宋体" w:hAnsi="宋体" w:cs="宋体"/>
          <w:color w:val="auto"/>
          <w:sz w:val="24"/>
          <w:szCs w:val="24"/>
          <w:lang w:val="en-US" w:eastAsia="zh-CN"/>
        </w:rPr>
        <w:t>；</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不属于其他国家相关法律法规规定的禁止参加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 xml:space="preserve">的供应商； </w:t>
      </w:r>
    </w:p>
    <w:p>
      <w:pPr>
        <w:pStyle w:val="169"/>
        <w:keepNext w:val="0"/>
        <w:keepLines w:val="0"/>
        <w:pageBreakBefore w:val="0"/>
        <w:numPr>
          <w:ilvl w:val="0"/>
          <w:numId w:val="8"/>
        </w:numPr>
        <w:tabs>
          <w:tab w:val="left" w:pos="0"/>
          <w:tab w:val="left" w:pos="126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本项目</w:t>
      </w:r>
      <w:r>
        <w:rPr>
          <w:rFonts w:hint="eastAsia" w:ascii="宋体" w:hAnsi="宋体" w:eastAsia="宋体" w:cs="宋体"/>
          <w:color w:val="auto"/>
          <w:kern w:val="2"/>
          <w:sz w:val="24"/>
          <w:highlight w:val="none"/>
          <w:lang w:val="en-US" w:eastAsia="zh-CN"/>
        </w:rPr>
        <w:t>不</w:t>
      </w:r>
      <w:r>
        <w:rPr>
          <w:rFonts w:hint="eastAsia" w:ascii="宋体" w:hAnsi="宋体" w:eastAsia="宋体" w:cs="宋体"/>
          <w:color w:val="auto"/>
          <w:kern w:val="2"/>
          <w:sz w:val="24"/>
          <w:highlight w:val="none"/>
        </w:rPr>
        <w:t>接受联合体</w:t>
      </w:r>
      <w:r>
        <w:rPr>
          <w:rFonts w:hint="eastAsia" w:ascii="宋体" w:hAnsi="宋体" w:eastAsia="宋体" w:cs="宋体"/>
          <w:color w:val="auto"/>
          <w:kern w:val="2"/>
          <w:sz w:val="24"/>
          <w:highlight w:val="none"/>
          <w:lang w:val="en-US" w:eastAsia="zh-CN"/>
        </w:rPr>
        <w:t>磋商</w:t>
      </w:r>
      <w:r>
        <w:rPr>
          <w:rFonts w:hint="eastAsia" w:ascii="宋体" w:hAnsi="宋体" w:eastAsia="宋体" w:cs="宋体"/>
          <w:color w:val="auto"/>
          <w:kern w:val="2"/>
          <w:sz w:val="24"/>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val="en-US" w:eastAsia="zh-CN"/>
        </w:rPr>
        <w:t>获取</w:t>
      </w:r>
      <w:r>
        <w:rPr>
          <w:rFonts w:hint="eastAsia" w:ascii="宋体" w:hAnsi="宋体" w:cs="宋体"/>
          <w:b/>
          <w:color w:val="auto"/>
          <w:highlight w:val="none"/>
        </w:rPr>
        <w:t>时间、地点</w:t>
      </w:r>
    </w:p>
    <w:p>
      <w:pPr>
        <w:keepNext w:val="0"/>
        <w:keepLines w:val="0"/>
        <w:pageBreakBefore w:val="0"/>
        <w:widowControl w:val="0"/>
        <w:kinsoku/>
        <w:wordWrap/>
        <w:overflowPunct/>
        <w:topLinePunct w:val="0"/>
        <w:bidi w:val="0"/>
        <w:snapToGrid/>
        <w:spacing w:line="46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5</w:t>
      </w:r>
      <w:r>
        <w:rPr>
          <w:rFonts w:hint="eastAsia" w:ascii="宋体" w:hAnsi="宋体"/>
          <w:color w:val="auto"/>
          <w:highlight w:val="none"/>
        </w:rPr>
        <w:t>月</w:t>
      </w:r>
      <w:r>
        <w:rPr>
          <w:rFonts w:hint="eastAsia" w:ascii="宋体" w:hAnsi="宋体"/>
          <w:color w:val="auto"/>
          <w:highlight w:val="none"/>
          <w:lang w:val="en-US" w:eastAsia="zh-CN"/>
        </w:rPr>
        <w:t>21</w:t>
      </w:r>
      <w:r>
        <w:rPr>
          <w:rFonts w:hint="eastAsia" w:ascii="宋体" w:hAnsi="宋体"/>
          <w:color w:val="auto"/>
          <w:highlight w:val="none"/>
        </w:rPr>
        <w:t>日至202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5</w:t>
      </w:r>
      <w:r>
        <w:rPr>
          <w:rFonts w:hint="eastAsia" w:ascii="宋体" w:hAnsi="宋体"/>
          <w:color w:val="auto"/>
          <w:highlight w:val="none"/>
        </w:rPr>
        <w:t>月</w:t>
      </w:r>
      <w:r>
        <w:rPr>
          <w:rFonts w:hint="eastAsia" w:ascii="宋体" w:hAnsi="宋体"/>
          <w:color w:val="auto"/>
          <w:highlight w:val="none"/>
          <w:lang w:val="en-US" w:eastAsia="zh-CN"/>
        </w:rPr>
        <w:t>27</w:t>
      </w:r>
      <w:r>
        <w:rPr>
          <w:rFonts w:hint="eastAsia" w:ascii="宋体" w:hAnsi="宋体"/>
          <w:color w:val="auto"/>
          <w:highlight w:val="none"/>
        </w:rPr>
        <w:t>日（北京时间，法定公休日、法定节假日除外，每日09：00时至17：00时）。</w:t>
      </w:r>
    </w:p>
    <w:p>
      <w:pPr>
        <w:keepNext w:val="0"/>
        <w:keepLines w:val="0"/>
        <w:pageBreakBefore w:val="0"/>
        <w:widowControl w:val="0"/>
        <w:kinsoku/>
        <w:wordWrap/>
        <w:overflowPunct/>
        <w:topLinePunct w:val="0"/>
        <w:bidi w:val="0"/>
        <w:snapToGrid/>
        <w:spacing w:line="46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免费获取</w:t>
      </w:r>
      <w:r>
        <w:rPr>
          <w:rFonts w:hint="eastAsia" w:ascii="宋体" w:hAnsi="宋体"/>
          <w:color w:val="auto"/>
          <w:highlight w:val="none"/>
        </w:rPr>
        <w:t>（磋商资格不能转让）。</w:t>
      </w:r>
    </w:p>
    <w:p>
      <w:pPr>
        <w:keepNext w:val="0"/>
        <w:keepLines w:val="0"/>
        <w:pageBreakBefore w:val="0"/>
        <w:widowControl w:val="0"/>
        <w:kinsoku/>
        <w:wordWrap/>
        <w:overflowPunct/>
        <w:topLinePunct w:val="0"/>
        <w:bidi w:val="0"/>
        <w:snapToGrid/>
        <w:spacing w:line="460" w:lineRule="exact"/>
        <w:ind w:firstLine="494"/>
        <w:textAlignment w:val="auto"/>
        <w:rPr>
          <w:rFonts w:ascii="宋体" w:hAnsi="宋体"/>
          <w:b/>
          <w:bCs/>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方式（两种</w:t>
      </w:r>
      <w:r>
        <w:rPr>
          <w:rFonts w:hint="eastAsia" w:ascii="宋体" w:hAnsi="宋体"/>
          <w:b/>
          <w:bCs/>
          <w:color w:val="auto"/>
          <w:highlight w:val="none"/>
          <w:lang w:val="en-US" w:eastAsia="zh-CN"/>
        </w:rPr>
        <w:t>获取</w:t>
      </w:r>
      <w:r>
        <w:rPr>
          <w:rFonts w:hint="eastAsia" w:ascii="宋体" w:hAnsi="宋体"/>
          <w:b/>
          <w:bCs/>
          <w:color w:val="auto"/>
          <w:highlight w:val="none"/>
        </w:rPr>
        <w:t>方式2选1）：</w:t>
      </w:r>
    </w:p>
    <w:p>
      <w:pPr>
        <w:keepNext w:val="0"/>
        <w:keepLines w:val="0"/>
        <w:pageBreakBefore w:val="0"/>
        <w:widowControl w:val="0"/>
        <w:numPr>
          <w:ilvl w:val="0"/>
          <w:numId w:val="9"/>
        </w:numPr>
        <w:kinsoku/>
        <w:wordWrap/>
        <w:overflowPunct/>
        <w:topLinePunct w:val="0"/>
        <w:bidi w:val="0"/>
        <w:snapToGrid/>
        <w:spacing w:line="460" w:lineRule="exact"/>
        <w:ind w:firstLine="494"/>
        <w:textAlignment w:val="auto"/>
        <w:rPr>
          <w:rFonts w:ascii="宋体" w:hAnsi="宋体"/>
          <w:b/>
          <w:bCs/>
          <w:color w:val="auto"/>
          <w:highlight w:val="none"/>
        </w:rPr>
      </w:pPr>
      <w:r>
        <w:rPr>
          <w:rFonts w:hint="eastAsia" w:ascii="宋体" w:hAnsi="宋体"/>
          <w:b/>
          <w:bCs/>
          <w:color w:val="auto"/>
          <w:highlight w:val="none"/>
        </w:rPr>
        <w:t>网上</w:t>
      </w:r>
      <w:r>
        <w:rPr>
          <w:rFonts w:hint="eastAsia" w:ascii="宋体" w:hAnsi="宋体"/>
          <w:b/>
          <w:bCs/>
          <w:color w:val="auto"/>
          <w:highlight w:val="none"/>
          <w:lang w:val="en-US" w:eastAsia="zh-CN"/>
        </w:rPr>
        <w:t>获取</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文件获取时间期内，在本公司官方网站www.scskgc.com在线</w:t>
      </w:r>
      <w:r>
        <w:rPr>
          <w:rFonts w:hint="eastAsia" w:ascii="宋体" w:hAnsi="宋体"/>
          <w:b/>
          <w:bCs/>
          <w:color w:val="auto"/>
          <w:highlight w:val="none"/>
          <w:lang w:val="en-US" w:eastAsia="zh-CN"/>
        </w:rPr>
        <w:t>获取</w:t>
      </w:r>
      <w:r>
        <w:rPr>
          <w:rFonts w:hint="eastAsia" w:ascii="宋体" w:hAnsi="宋体"/>
          <w:b/>
          <w:bCs/>
          <w:color w:val="auto"/>
          <w:highlight w:val="none"/>
        </w:rPr>
        <w:t>,具体购买流程详请见网站的"供应商服务系统”，关于"供应商服务系统”的使用问题可以在www.scskgc.com下载操作手册。注册及网上报名咨询电话:028-61032618。</w:t>
      </w:r>
    </w:p>
    <w:p>
      <w:pPr>
        <w:keepNext w:val="0"/>
        <w:keepLines w:val="0"/>
        <w:pageBreakBefore w:val="0"/>
        <w:kinsoku/>
        <w:wordWrap/>
        <w:overflowPunct/>
        <w:topLinePunct w:val="0"/>
        <w:bidi w:val="0"/>
        <w:snapToGrid/>
        <w:spacing w:line="460" w:lineRule="exact"/>
        <w:ind w:firstLine="492"/>
        <w:textAlignment w:val="auto"/>
        <w:rPr>
          <w:rFonts w:ascii="宋体" w:hAnsi="宋体"/>
          <w:b/>
          <w:bCs/>
          <w:color w:val="auto"/>
          <w:kern w:val="2"/>
          <w:highlight w:val="none"/>
        </w:rPr>
      </w:pPr>
      <w:r>
        <w:rPr>
          <w:rFonts w:hint="eastAsia" w:ascii="宋体" w:hAnsi="宋体"/>
          <w:b/>
          <w:bCs/>
          <w:color w:val="auto"/>
          <w:kern w:val="2"/>
          <w:highlight w:val="none"/>
        </w:rPr>
        <w:t>2、现场报名。</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文件获取时间期内，在成都市高新区天府三街288号大有智慧广场迈普大厦10楼1010室现场</w:t>
      </w:r>
      <w:r>
        <w:rPr>
          <w:rFonts w:hint="eastAsia" w:ascii="宋体" w:hAnsi="宋体"/>
          <w:b/>
          <w:bCs/>
          <w:color w:val="auto"/>
          <w:highlight w:val="none"/>
          <w:lang w:val="en-US" w:eastAsia="zh-CN"/>
        </w:rPr>
        <w:t>办理</w:t>
      </w:r>
      <w:r>
        <w:rPr>
          <w:rFonts w:hint="eastAsia" w:ascii="宋体" w:hAnsi="宋体"/>
          <w:b/>
          <w:bCs/>
          <w:color w:val="auto"/>
          <w:highlight w:val="none"/>
        </w:rPr>
        <w:t>。</w:t>
      </w:r>
      <w:r>
        <w:rPr>
          <w:rFonts w:hint="eastAsia" w:ascii="宋体" w:hAnsi="宋体"/>
          <w:b/>
          <w:bCs/>
          <w:color w:val="auto"/>
          <w:highlight w:val="none"/>
          <w:lang w:val="en-US" w:eastAsia="zh-CN"/>
        </w:rPr>
        <w:t>获取</w:t>
      </w:r>
      <w:r>
        <w:rPr>
          <w:rFonts w:hint="eastAsia" w:ascii="宋体" w:hAnsi="宋体"/>
          <w:b/>
          <w:color w:val="auto"/>
          <w:highlight w:val="none"/>
        </w:rPr>
        <w:t>磋商</w:t>
      </w:r>
      <w:r>
        <w:rPr>
          <w:rFonts w:hint="eastAsia" w:ascii="宋体" w:hAnsi="宋体"/>
          <w:b/>
          <w:bCs/>
          <w:color w:val="auto"/>
          <w:highlight w:val="none"/>
        </w:rPr>
        <w:t>文件时必须携带</w:t>
      </w:r>
      <w:r>
        <w:rPr>
          <w:rFonts w:hint="eastAsia" w:ascii="宋体" w:hAnsi="宋体"/>
          <w:color w:val="auto"/>
          <w:highlight w:val="none"/>
        </w:rPr>
        <w:t>：</w:t>
      </w:r>
      <w:r>
        <w:rPr>
          <w:rFonts w:hint="eastAsia" w:ascii="宋体" w:hAnsi="宋体"/>
          <w:b/>
          <w:bCs/>
          <w:color w:val="auto"/>
          <w:highlight w:val="none"/>
        </w:rPr>
        <w:t>1. 供应商为法人或者其他组织的提供加盖单位公章的介绍信原件和加盖单位公章的被介绍人身份证复印件（需注明项目名称及项目编号）；2.供应商为自然人的，只需提供本人身份证复印件。</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hint="eastAsia" w:ascii="宋体" w:hAnsi="宋体" w:cs="宋体"/>
          <w:b/>
          <w:color w:val="auto"/>
          <w:highlight w:val="none"/>
          <w:lang w:val="en-US" w:eastAsia="zh-CN"/>
        </w:rPr>
        <w:t>6</w:t>
      </w:r>
      <w:r>
        <w:rPr>
          <w:rFonts w:hint="eastAsia" w:ascii="宋体" w:hAnsi="宋体" w:cs="宋体"/>
          <w:b/>
          <w:color w:val="auto"/>
          <w:highlight w:val="none"/>
        </w:rPr>
        <w:t>月</w:t>
      </w:r>
      <w:r>
        <w:rPr>
          <w:rFonts w:hint="eastAsia" w:ascii="宋体" w:hAnsi="宋体" w:cs="宋体"/>
          <w:b/>
          <w:color w:val="auto"/>
          <w:highlight w:val="none"/>
          <w:lang w:val="en-US" w:eastAsia="zh-CN"/>
        </w:rPr>
        <w:t>1</w:t>
      </w:r>
      <w:r>
        <w:rPr>
          <w:rFonts w:hint="eastAsia" w:ascii="宋体" w:hAnsi="宋体" w:cs="宋体"/>
          <w:b/>
          <w:color w:val="auto"/>
          <w:highlight w:val="none"/>
        </w:rPr>
        <w:t>日10:30(北京时间)。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。本次磋商不接受以电子邮件、传真及邮寄方式递交的响应文件</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本项目评标室。</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联系人及联系电话</w:t>
      </w:r>
    </w:p>
    <w:p>
      <w:pPr>
        <w:pStyle w:val="20"/>
        <w:ind w:firstLineChars="0"/>
        <w:rPr>
          <w:rFonts w:hAnsi="宋体"/>
          <w:sz w:val="24"/>
          <w:lang w:val="zh-CN"/>
        </w:rPr>
      </w:pPr>
      <w:bookmarkStart w:id="7" w:name="_Toc391885334"/>
      <w:bookmarkStart w:id="8" w:name="_Toc287623638"/>
      <w:bookmarkStart w:id="9" w:name="_Toc381263230"/>
      <w:r>
        <w:rPr>
          <w:rFonts w:hint="eastAsia" w:hAnsi="宋体"/>
          <w:sz w:val="24"/>
        </w:rPr>
        <w:t>采 购 人：</w:t>
      </w:r>
      <w:r>
        <w:rPr>
          <w:rFonts w:hint="eastAsia" w:hAnsi="宋体"/>
          <w:sz w:val="24"/>
          <w:lang w:val="zh-CN"/>
        </w:rPr>
        <w:t>中共成都市龙泉驿区委政法委员会</w:t>
      </w:r>
    </w:p>
    <w:p>
      <w:pPr>
        <w:pStyle w:val="20"/>
        <w:ind w:firstLineChars="0"/>
        <w:rPr>
          <w:rFonts w:hAnsi="宋体"/>
          <w:sz w:val="24"/>
        </w:rPr>
      </w:pPr>
      <w:r>
        <w:rPr>
          <w:rFonts w:hint="eastAsia" w:hAnsi="宋体"/>
          <w:sz w:val="24"/>
        </w:rPr>
        <w:t>地 址：成都市龙泉驿区龙泉街办滨河南街21号</w:t>
      </w:r>
    </w:p>
    <w:p>
      <w:pPr>
        <w:pStyle w:val="20"/>
        <w:ind w:firstLineChars="0"/>
        <w:rPr>
          <w:rFonts w:hAnsi="宋体"/>
          <w:sz w:val="24"/>
          <w:highlight w:val="none"/>
        </w:rPr>
      </w:pPr>
      <w:r>
        <w:rPr>
          <w:rFonts w:hint="eastAsia" w:hAnsi="宋体"/>
          <w:sz w:val="24"/>
          <w:highlight w:val="none"/>
        </w:rPr>
        <w:t>联系人：</w:t>
      </w:r>
      <w:r>
        <w:rPr>
          <w:rFonts w:hint="eastAsia" w:hAnsi="宋体"/>
          <w:sz w:val="24"/>
          <w:highlight w:val="none"/>
          <w:lang w:val="en-US" w:eastAsia="zh-CN"/>
        </w:rPr>
        <w:t>尹</w:t>
      </w:r>
      <w:r>
        <w:rPr>
          <w:rFonts w:hint="eastAsia" w:hAnsi="宋体"/>
          <w:sz w:val="24"/>
          <w:highlight w:val="none"/>
        </w:rPr>
        <w:t>老师</w:t>
      </w:r>
    </w:p>
    <w:p>
      <w:pPr>
        <w:pStyle w:val="169"/>
        <w:ind w:firstLine="480"/>
        <w:rPr>
          <w:rFonts w:ascii="宋体" w:hAnsi="宋体"/>
          <w:kern w:val="0"/>
          <w:highlight w:val="none"/>
        </w:rPr>
      </w:pPr>
      <w:r>
        <w:rPr>
          <w:rFonts w:hint="eastAsia" w:ascii="宋体" w:hAnsi="宋体"/>
          <w:kern w:val="0"/>
          <w:sz w:val="24"/>
          <w:szCs w:val="24"/>
          <w:highlight w:val="none"/>
        </w:rPr>
        <w:t>联系电话：028- 84870856</w:t>
      </w:r>
    </w:p>
    <w:p>
      <w:pPr>
        <w:pStyle w:val="20"/>
        <w:keepNext w:val="0"/>
        <w:keepLines w:val="0"/>
        <w:pageBreakBefore w:val="0"/>
        <w:kinsoku/>
        <w:wordWrap/>
        <w:overflowPunct/>
        <w:topLinePunct w:val="0"/>
        <w:bidi w:val="0"/>
        <w:snapToGrid/>
        <w:spacing w:line="46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0"/>
        <w:keepNext w:val="0"/>
        <w:keepLines w:val="0"/>
        <w:pageBreakBefore w:val="0"/>
        <w:kinsoku/>
        <w:wordWrap/>
        <w:overflowPunct/>
        <w:topLinePunct w:val="0"/>
        <w:bidi w:val="0"/>
        <w:snapToGrid/>
        <w:spacing w:line="460" w:lineRule="exact"/>
        <w:ind w:firstLine="480" w:firstLineChars="200"/>
        <w:jc w:val="left"/>
        <w:textAlignment w:val="auto"/>
        <w:rPr>
          <w:rFonts w:hAnsi="宋体"/>
          <w:bCs/>
          <w:color w:val="auto"/>
          <w:sz w:val="24"/>
          <w:highlight w:val="none"/>
        </w:rPr>
      </w:pPr>
      <w:r>
        <w:rPr>
          <w:rFonts w:hint="eastAsia" w:hAnsi="宋体" w:cs="宋体"/>
          <w:bCs/>
          <w:color w:val="auto"/>
          <w:sz w:val="24"/>
          <w:highlight w:val="none"/>
        </w:rPr>
        <w:t>地 址：</w:t>
      </w:r>
      <w:r>
        <w:rPr>
          <w:rFonts w:hint="eastAsia" w:hAnsi="宋体"/>
          <w:bCs/>
          <w:color w:val="auto"/>
          <w:sz w:val="24"/>
          <w:highlight w:val="none"/>
        </w:rPr>
        <w:t>高新区天府三街288号大有智慧广场迈普大厦10楼1010室</w:t>
      </w:r>
    </w:p>
    <w:p>
      <w:pPr>
        <w:pStyle w:val="20"/>
        <w:keepNext w:val="0"/>
        <w:keepLines w:val="0"/>
        <w:pageBreakBefore w:val="0"/>
        <w:kinsoku/>
        <w:wordWrap/>
        <w:overflowPunct/>
        <w:topLinePunct w:val="0"/>
        <w:bidi w:val="0"/>
        <w:snapToGrid/>
        <w:spacing w:line="46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 系 人：高老师</w:t>
      </w:r>
    </w:p>
    <w:p>
      <w:pPr>
        <w:pStyle w:val="20"/>
        <w:keepNext w:val="0"/>
        <w:keepLines w:val="0"/>
        <w:pageBreakBefore w:val="0"/>
        <w:kinsoku/>
        <w:wordWrap/>
        <w:overflowPunct/>
        <w:topLinePunct w:val="0"/>
        <w:bidi w:val="0"/>
        <w:snapToGrid/>
        <w:spacing w:line="46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0"/>
        <w:pageBreakBefore w:val="0"/>
        <w:kinsoku/>
        <w:wordWrap/>
        <w:overflowPunct/>
        <w:topLinePunct w:val="0"/>
        <w:bidi w:val="0"/>
        <w:snapToGrid/>
        <w:spacing w:line="460" w:lineRule="exact"/>
        <w:ind w:firstLine="480" w:firstLineChars="200"/>
        <w:jc w:val="left"/>
        <w:textAlignment w:val="auto"/>
        <w:rPr>
          <w:rFonts w:hint="eastAsia" w:hAnsi="宋体" w:cs="宋体"/>
          <w:bCs/>
          <w:color w:val="auto"/>
          <w:sz w:val="24"/>
          <w:highlight w:val="none"/>
        </w:rPr>
      </w:pPr>
      <w:r>
        <w:rPr>
          <w:rFonts w:hint="eastAsia" w:hAnsi="宋体" w:cs="宋体"/>
          <w:bCs/>
          <w:color w:val="auto"/>
          <w:sz w:val="24"/>
          <w:highlight w:val="none"/>
        </w:rPr>
        <w:t>传 真：028-61032618</w:t>
      </w:r>
    </w:p>
    <w:p>
      <w:pPr>
        <w:pStyle w:val="20"/>
        <w:ind w:firstLine="480" w:firstLineChars="200"/>
        <w:jc w:val="left"/>
        <w:rPr>
          <w:rFonts w:hint="eastAsia" w:hAnsi="宋体" w:cs="宋体"/>
          <w:bCs/>
          <w:color w:val="auto"/>
          <w:sz w:val="24"/>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10" w:name="_Toc3198"/>
      <w:r>
        <w:rPr>
          <w:rFonts w:hint="eastAsia"/>
          <w:color w:val="auto"/>
          <w:highlight w:val="none"/>
        </w:rPr>
        <w:t>磋商供应商须知</w:t>
      </w:r>
      <w:bookmarkEnd w:id="7"/>
      <w:bookmarkEnd w:id="10"/>
    </w:p>
    <w:p>
      <w:pPr>
        <w:pStyle w:val="4"/>
        <w:rPr>
          <w:color w:val="auto"/>
          <w:highlight w:val="none"/>
        </w:rPr>
      </w:pPr>
      <w:bookmarkStart w:id="11" w:name="_Toc4462"/>
      <w:r>
        <w:rPr>
          <w:rFonts w:hint="eastAsia"/>
          <w:color w:val="auto"/>
          <w:highlight w:val="none"/>
        </w:rPr>
        <w:t>磋商供应商须知附表</w:t>
      </w:r>
      <w:bookmarkEnd w:id="11"/>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95"/>
        <w:gridCol w:w="167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6" w:hRule="exact"/>
          <w:tblHeader/>
          <w:jc w:val="center"/>
        </w:trPr>
        <w:tc>
          <w:tcPr>
            <w:tcW w:w="99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序号</w:t>
            </w:r>
          </w:p>
        </w:tc>
        <w:tc>
          <w:tcPr>
            <w:tcW w:w="167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vAlign w:val="center"/>
          </w:tcPr>
          <w:p>
            <w:pPr>
              <w:pStyle w:val="20"/>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int="eastAsia" w:hAnsi="宋体" w:cs="宋体"/>
                <w:color w:val="auto"/>
                <w:sz w:val="24"/>
                <w:highlight w:val="none"/>
                <w:lang w:val="en-US" w:eastAsia="zh-CN"/>
              </w:rPr>
              <w:t>90万元/年</w:t>
            </w:r>
            <w:r>
              <w:rPr>
                <w:rFonts w:hint="eastAsia" w:hAnsi="宋体" w:cs="宋体"/>
                <w:color w:val="auto"/>
                <w:sz w:val="24"/>
                <w:highlight w:val="none"/>
              </w:rPr>
              <w:t>，超过采购预算为无效磋商。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shd w:val="clear" w:color="auto" w:fill="auto"/>
            <w:vAlign w:val="center"/>
          </w:tcPr>
          <w:p>
            <w:pPr>
              <w:pStyle w:val="123"/>
              <w:spacing w:line="380" w:lineRule="exact"/>
              <w:jc w:val="both"/>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23"/>
              <w:spacing w:line="360" w:lineRule="auto"/>
              <w:jc w:val="both"/>
              <w:rPr>
                <w:color w:val="auto"/>
                <w:highlight w:val="none"/>
                <w:lang w:val="zh-CN"/>
              </w:rPr>
            </w:pPr>
          </w:p>
        </w:tc>
        <w:tc>
          <w:tcPr>
            <w:tcW w:w="7063" w:type="dxa"/>
            <w:shd w:val="clear" w:color="auto" w:fill="auto"/>
            <w:vAlign w:val="center"/>
          </w:tcPr>
          <w:p>
            <w:pPr>
              <w:spacing w:line="360" w:lineRule="auto"/>
              <w:rPr>
                <w:color w:val="auto"/>
                <w:highlight w:val="none"/>
                <w:lang w:val="zh-CN"/>
              </w:rPr>
            </w:pPr>
            <w:r>
              <w:rPr>
                <w:rFonts w:hint="eastAsia"/>
                <w:color w:val="auto"/>
                <w:highlight w:val="none"/>
                <w:lang w:val="en-US" w:eastAsia="zh-CN"/>
              </w:rPr>
              <w:t>严格按照《四川省公共资源交易领域严重失信联合惩戒实施办法》（川发改信用规【2019】405号）、《关于对政府采购领域严重违法失信主体开展联合惩戒的合作备案录》（发改财经【2018】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exact"/>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3"/>
              <w:spacing w:line="380" w:lineRule="exact"/>
              <w:rPr>
                <w:color w:val="auto"/>
                <w:highlight w:val="none"/>
              </w:rPr>
            </w:pPr>
            <w:r>
              <w:rPr>
                <w:rFonts w:hint="eastAsia"/>
                <w:color w:val="auto"/>
                <w:kern w:val="2"/>
                <w:highlight w:val="none"/>
              </w:rPr>
              <w:t>采购文件咨询</w:t>
            </w:r>
          </w:p>
        </w:tc>
        <w:tc>
          <w:tcPr>
            <w:tcW w:w="7063" w:type="dxa"/>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outlineLvl w:val="5"/>
              <w:rPr>
                <w:rFonts w:ascii="宋体" w:hAnsi="宋体" w:cs="宋体"/>
                <w:color w:val="auto"/>
                <w:highlight w:val="none"/>
              </w:rPr>
            </w:pPr>
            <w:r>
              <w:rPr>
                <w:rFonts w:hint="eastAsia" w:ascii="宋体" w:hAnsi="宋体" w:cs="宋体"/>
                <w:color w:val="auto"/>
                <w:highlight w:val="none"/>
              </w:rPr>
              <w:t>开标、</w:t>
            </w:r>
            <w:r>
              <w:rPr>
                <w:rFonts w:hint="eastAsia" w:ascii="宋体" w:hAnsi="宋体" w:cs="宋体"/>
                <w:color w:val="auto"/>
                <w:highlight w:val="none"/>
                <w:lang w:val="en-US" w:eastAsia="zh-CN"/>
              </w:rPr>
              <w:t>评审</w:t>
            </w:r>
            <w:r>
              <w:rPr>
                <w:rFonts w:hint="eastAsia" w:ascii="宋体" w:hAnsi="宋体" w:cs="宋体"/>
                <w:color w:val="auto"/>
                <w:highlight w:val="none"/>
              </w:rPr>
              <w:t>工作咨询</w:t>
            </w:r>
          </w:p>
        </w:tc>
        <w:tc>
          <w:tcPr>
            <w:tcW w:w="7063" w:type="dxa"/>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80" w:lineRule="exact"/>
              <w:rPr>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82"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tcPr>
          <w:p>
            <w:pPr>
              <w:pStyle w:val="123"/>
              <w:spacing w:line="380" w:lineRule="exact"/>
              <w:jc w:val="center"/>
              <w:rPr>
                <w:color w:val="auto"/>
                <w:kern w:val="2"/>
                <w:highlight w:val="none"/>
              </w:rPr>
            </w:pPr>
          </w:p>
          <w:p>
            <w:pPr>
              <w:pStyle w:val="123"/>
              <w:spacing w:line="380" w:lineRule="exact"/>
              <w:jc w:val="center"/>
              <w:rPr>
                <w:color w:val="auto"/>
                <w:highlight w:val="none"/>
              </w:rPr>
            </w:pPr>
            <w:r>
              <w:rPr>
                <w:rFonts w:hint="eastAsia"/>
                <w:color w:val="auto"/>
                <w:kern w:val="2"/>
                <w:highlight w:val="none"/>
              </w:rPr>
              <w:t>供应商询问、质疑</w:t>
            </w:r>
          </w:p>
        </w:tc>
        <w:tc>
          <w:tcPr>
            <w:tcW w:w="7063" w:type="dxa"/>
          </w:tcPr>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高</w:t>
            </w:r>
            <w:r>
              <w:rPr>
                <w:rFonts w:hint="eastAsia" w:ascii="宋体" w:hAnsi="宋体" w:cs="宋体"/>
                <w:color w:val="auto"/>
                <w:highlight w:val="none"/>
              </w:rPr>
              <w:t>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rPr>
              <w:t>61032618</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80" w:lineRule="exact"/>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r>
              <w:rPr>
                <w:rFonts w:hint="eastAsia" w:ascii="宋体" w:hAnsi="宋体" w:cs="宋体"/>
                <w:color w:val="auto"/>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3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3"/>
              <w:spacing w:line="380" w:lineRule="exact"/>
              <w:jc w:val="center"/>
              <w:rPr>
                <w:color w:val="auto"/>
                <w:highlight w:val="none"/>
              </w:rPr>
            </w:pPr>
            <w:r>
              <w:rPr>
                <w:rFonts w:hint="eastAsia"/>
                <w:color w:val="auto"/>
                <w:kern w:val="2"/>
                <w:highlight w:val="none"/>
              </w:rPr>
              <w:t>供应商投诉</w:t>
            </w:r>
          </w:p>
        </w:tc>
        <w:tc>
          <w:tcPr>
            <w:tcW w:w="7063" w:type="dxa"/>
            <w:vAlign w:val="center"/>
          </w:tcPr>
          <w:p>
            <w:pPr>
              <w:spacing w:line="380" w:lineRule="exact"/>
              <w:jc w:val="both"/>
              <w:rPr>
                <w:rFonts w:hint="eastAsia"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龙泉驿区</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 xml:space="preserve"> 028</w:t>
            </w:r>
            <w:r>
              <w:rPr>
                <w:rFonts w:hint="eastAsia" w:ascii="宋体" w:hAnsi="宋体" w:cs="宋体"/>
                <w:color w:val="auto"/>
                <w:highlight w:val="none"/>
              </w:rPr>
              <w:t>-</w:t>
            </w:r>
            <w:r>
              <w:rPr>
                <w:rFonts w:hint="eastAsia" w:ascii="宋体" w:hAnsi="宋体" w:cs="宋体"/>
                <w:color w:val="auto"/>
                <w:highlight w:val="none"/>
                <w:lang w:val="en-US" w:eastAsia="zh-CN"/>
              </w:rPr>
              <w:t>84636986。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开标时递交的资料</w:t>
            </w:r>
          </w:p>
        </w:tc>
        <w:tc>
          <w:tcPr>
            <w:tcW w:w="7063" w:type="dxa"/>
            <w:vAlign w:val="center"/>
          </w:tcPr>
          <w:p>
            <w:pPr>
              <w:spacing w:line="360" w:lineRule="exact"/>
              <w:ind w:left="120" w:leftChars="50"/>
              <w:rPr>
                <w:color w:val="auto"/>
                <w:highlight w:val="none"/>
              </w:rPr>
            </w:pPr>
            <w:r>
              <w:rPr>
                <w:rFonts w:hint="eastAsia"/>
                <w:color w:val="auto"/>
                <w:highlight w:val="none"/>
              </w:rPr>
              <w:t>（1）资格性响应文件正本1份，副本2份；</w:t>
            </w:r>
          </w:p>
          <w:p>
            <w:pPr>
              <w:spacing w:line="360" w:lineRule="exact"/>
              <w:ind w:left="120" w:leftChars="50"/>
              <w:rPr>
                <w:color w:val="auto"/>
                <w:highlight w:val="none"/>
              </w:rPr>
            </w:pPr>
            <w:r>
              <w:rPr>
                <w:rFonts w:hint="eastAsia"/>
                <w:color w:val="auto"/>
                <w:highlight w:val="none"/>
              </w:rPr>
              <w:t>（2）技术、服务性响应文件正本1份，副本2份；</w:t>
            </w:r>
          </w:p>
          <w:p>
            <w:pPr>
              <w:pStyle w:val="2"/>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exact"/>
              <w:ind w:firstLine="240" w:firstLineChars="100"/>
              <w:outlineLvl w:val="5"/>
              <w:rPr>
                <w:rFonts w:ascii="宋体" w:hAnsi="宋体" w:cs="宋体"/>
                <w:color w:val="auto"/>
                <w:highlight w:val="none"/>
                <w:lang w:val="zh-CN"/>
              </w:rPr>
            </w:pPr>
            <w:r>
              <w:rPr>
                <w:rFonts w:hint="eastAsia" w:ascii="Times New Roman" w:hAnsi="宋体" w:cs="宋体"/>
                <w:color w:val="auto"/>
                <w:highlight w:val="none"/>
                <w:lang w:val="zh-CN"/>
              </w:rPr>
              <w:t>代理服务费</w:t>
            </w:r>
            <w:r>
              <w:rPr>
                <w:rFonts w:hint="eastAsia" w:ascii="Times New Roman" w:hAnsi="宋体" w:cs="宋体"/>
                <w:color w:val="auto"/>
                <w:highlight w:val="none"/>
                <w:lang w:val="en-US" w:eastAsia="zh-CN"/>
              </w:rPr>
              <w:t>参照</w:t>
            </w:r>
            <w:r>
              <w:rPr>
                <w:rFonts w:hint="eastAsia" w:ascii="Times New Roman" w:hAnsi="宋体" w:cs="宋体"/>
                <w:color w:val="auto"/>
                <w:highlight w:val="none"/>
                <w:lang w:val="zh-CN"/>
              </w:rPr>
              <w:t>国家计委《招标代理服务收费管理暂行办法》（计价格[2002]1980号）标准</w:t>
            </w:r>
            <w:r>
              <w:rPr>
                <w:rFonts w:hint="eastAsia" w:hAnsi="宋体" w:cs="宋体"/>
                <w:color w:val="auto"/>
                <w:highlight w:val="none"/>
                <w:lang w:val="en-US" w:eastAsia="zh-CN"/>
              </w:rPr>
              <w:t>×服务年限下浮20%</w:t>
            </w:r>
            <w:r>
              <w:rPr>
                <w:rFonts w:hint="eastAsia" w:ascii="Times New Roman" w:hAnsi="宋体" w:cs="宋体"/>
                <w:color w:val="auto"/>
                <w:highlight w:val="none"/>
                <w:lang w:val="en-US" w:eastAsia="zh-CN"/>
              </w:rPr>
              <w:t>收取</w:t>
            </w:r>
            <w:r>
              <w:rPr>
                <w:rFonts w:hint="eastAsia" w:ascii="宋体" w:hAnsi="宋体" w:cs="宋体"/>
                <w:color w:val="auto"/>
                <w:highlight w:val="none"/>
                <w:lang w:val="zh-CN"/>
              </w:rPr>
              <w:t>，由</w:t>
            </w:r>
            <w:r>
              <w:rPr>
                <w:rFonts w:hint="eastAsia" w:hAnsi="宋体" w:cs="宋体"/>
                <w:color w:val="auto"/>
                <w:highlight w:val="none"/>
                <w:lang w:val="zh-CN"/>
              </w:rPr>
              <w:t>成交供应商</w:t>
            </w:r>
            <w:r>
              <w:rPr>
                <w:rFonts w:hint="eastAsia" w:ascii="宋体" w:hAnsi="宋体" w:cs="宋体"/>
                <w:color w:val="auto"/>
                <w:highlight w:val="none"/>
                <w:lang w:val="zh-CN"/>
              </w:rPr>
              <w:t>领取</w:t>
            </w:r>
            <w:r>
              <w:rPr>
                <w:rFonts w:hint="eastAsia" w:hAnsi="宋体" w:cs="宋体"/>
                <w:color w:val="auto"/>
                <w:highlight w:val="none"/>
                <w:lang w:val="zh-CN"/>
              </w:rPr>
              <w:t>成交</w:t>
            </w:r>
            <w:r>
              <w:rPr>
                <w:rFonts w:hint="eastAsia" w:ascii="宋体" w:hAnsi="宋体" w:cs="宋体"/>
                <w:color w:val="auto"/>
                <w:highlight w:val="none"/>
                <w:lang w:val="zh-CN"/>
              </w:rPr>
              <w:t>通知书</w:t>
            </w:r>
            <w:r>
              <w:rPr>
                <w:rFonts w:hint="eastAsia" w:ascii="宋体" w:hAnsi="宋体" w:cs="宋体"/>
                <w:color w:val="auto"/>
                <w:highlight w:val="none"/>
              </w:rPr>
              <w:t>前</w:t>
            </w:r>
            <w:r>
              <w:rPr>
                <w:rFonts w:hint="eastAsia" w:ascii="宋体" w:hAnsi="宋体" w:cs="宋体"/>
                <w:color w:val="auto"/>
                <w:highlight w:val="none"/>
                <w:lang w:val="zh-CN"/>
              </w:rPr>
              <w:t>支付。可采取现金支付或银行转账。银行转账相关信息如下：</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银行帐号：5100 1527 9080 5152 8329</w:t>
            </w:r>
          </w:p>
          <w:p>
            <w:pPr>
              <w:spacing w:line="360" w:lineRule="exact"/>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510112202100069</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vAlign w:val="center"/>
          </w:tcPr>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bl>
    <w:p>
      <w:pPr>
        <w:pStyle w:val="4"/>
        <w:rPr>
          <w:color w:val="auto"/>
          <w:sz w:val="24"/>
          <w:szCs w:val="24"/>
          <w:highlight w:val="none"/>
        </w:rPr>
      </w:pPr>
      <w:bookmarkStart w:id="12" w:name="_Toc20650"/>
      <w:r>
        <w:rPr>
          <w:rFonts w:hint="eastAsia"/>
          <w:color w:val="auto"/>
          <w:sz w:val="24"/>
          <w:szCs w:val="24"/>
          <w:highlight w:val="none"/>
        </w:rPr>
        <w:t>适用范围</w:t>
      </w:r>
      <w:bookmarkEnd w:id="8"/>
      <w:bookmarkEnd w:id="9"/>
      <w:bookmarkEnd w:id="12"/>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4"/>
        <w:rPr>
          <w:color w:val="auto"/>
          <w:sz w:val="24"/>
          <w:szCs w:val="24"/>
          <w:highlight w:val="none"/>
        </w:rPr>
      </w:pPr>
      <w:bookmarkStart w:id="13" w:name="_Toc26752"/>
      <w:bookmarkStart w:id="14" w:name="_Toc287623639"/>
      <w:r>
        <w:rPr>
          <w:rFonts w:hint="eastAsia"/>
          <w:color w:val="auto"/>
          <w:sz w:val="24"/>
          <w:szCs w:val="24"/>
          <w:highlight w:val="none"/>
        </w:rPr>
        <w:t>定义</w:t>
      </w:r>
      <w:bookmarkEnd w:id="13"/>
      <w:bookmarkEnd w:id="14"/>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中共成都市龙泉驿区委政法委员会</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4"/>
        <w:rPr>
          <w:color w:val="auto"/>
          <w:sz w:val="24"/>
          <w:szCs w:val="24"/>
          <w:highlight w:val="none"/>
        </w:rPr>
      </w:pPr>
      <w:bookmarkStart w:id="15" w:name="_Toc8524"/>
      <w:r>
        <w:rPr>
          <w:rFonts w:hint="eastAsia"/>
          <w:color w:val="auto"/>
          <w:sz w:val="24"/>
          <w:szCs w:val="24"/>
          <w:highlight w:val="none"/>
        </w:rPr>
        <w:t>合格供应商的条件（实质性要求）</w:t>
      </w:r>
      <w:bookmarkEnd w:id="15"/>
    </w:p>
    <w:p>
      <w:pPr>
        <w:numPr>
          <w:ilvl w:val="0"/>
          <w:numId w:val="13"/>
        </w:numPr>
        <w:spacing w:line="360" w:lineRule="auto"/>
        <w:ind w:firstLine="480" w:firstLineChars="200"/>
        <w:rPr>
          <w:rFonts w:ascii="宋体" w:hAnsi="宋体" w:cs="宋体"/>
          <w:color w:val="auto"/>
          <w:sz w:val="24"/>
          <w:szCs w:val="24"/>
          <w:highlight w:val="none"/>
        </w:rPr>
      </w:pPr>
      <w:bookmarkStart w:id="16" w:name="_Toc320698717"/>
      <w:r>
        <w:rPr>
          <w:rFonts w:hint="eastAsia" w:ascii="宋体" w:hAnsi="宋体" w:cs="宋体"/>
          <w:color w:val="auto"/>
          <w:sz w:val="24"/>
          <w:szCs w:val="24"/>
          <w:highlight w:val="none"/>
        </w:rPr>
        <w:t>本竞争性磋商文件规定的供应商资格条件；</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向采购代理机构购买了竞争性磋商文件并登记备案；（由代理机构向磋商小组提供供应商购买磋商文件情况表）</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4"/>
        <w:rPr>
          <w:color w:val="auto"/>
          <w:sz w:val="24"/>
          <w:szCs w:val="24"/>
          <w:highlight w:val="none"/>
        </w:rPr>
      </w:pPr>
      <w:bookmarkStart w:id="17" w:name="_Toc13103"/>
      <w:r>
        <w:rPr>
          <w:rFonts w:hint="eastAsia"/>
          <w:color w:val="auto"/>
          <w:sz w:val="24"/>
          <w:szCs w:val="24"/>
          <w:highlight w:val="none"/>
        </w:rPr>
        <w:t>拒绝参加本次采购活动的供应商</w:t>
      </w:r>
      <w:bookmarkEnd w:id="17"/>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  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本代理机构将通过“信用中国”网站（www.creditchina.gov.cn）、“中国政府采购网”（http://www.ccgp.gov.cn/）等渠道查询供应商在报名之日前的信用记录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16"/>
    <w:p>
      <w:pPr>
        <w:pStyle w:val="4"/>
        <w:rPr>
          <w:color w:val="auto"/>
          <w:highlight w:val="none"/>
        </w:rPr>
      </w:pPr>
      <w:bookmarkStart w:id="18" w:name="_Toc20769"/>
      <w:bookmarkStart w:id="19" w:name="_Toc287623640"/>
      <w:r>
        <w:rPr>
          <w:rFonts w:hint="eastAsia"/>
          <w:color w:val="auto"/>
          <w:highlight w:val="none"/>
        </w:rPr>
        <w:t>充分、公平竞争保障措施（实质性要求）</w:t>
      </w:r>
      <w:bookmarkEnd w:id="18"/>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w:t>
      </w:r>
      <w:r>
        <w:rPr>
          <w:rFonts w:hint="eastAsia" w:ascii="宋体" w:hAnsi="宋体" w:cs="宋体"/>
          <w:color w:val="auto"/>
          <w:highlight w:val="none"/>
          <w:lang w:val="en-US" w:eastAsia="zh-CN"/>
        </w:rPr>
        <w:t xml:space="preserve"> </w:t>
      </w:r>
      <w:r>
        <w:rPr>
          <w:rFonts w:hint="eastAsia" w:ascii="宋体" w:hAnsi="宋体" w:cs="宋体"/>
          <w:color w:val="auto"/>
          <w:highlight w:val="none"/>
        </w:rPr>
        <w:t>为无效处理。</w:t>
      </w:r>
    </w:p>
    <w:p>
      <w:pPr>
        <w:pStyle w:val="4"/>
        <w:rPr>
          <w:color w:val="auto"/>
          <w:highlight w:val="none"/>
        </w:rPr>
      </w:pPr>
      <w:bookmarkStart w:id="20" w:name="_Toc9003"/>
      <w:r>
        <w:rPr>
          <w:rFonts w:hint="eastAsia"/>
          <w:color w:val="auto"/>
          <w:highlight w:val="none"/>
        </w:rPr>
        <w:t>竞争性磋商采购费用</w:t>
      </w:r>
      <w:bookmarkEnd w:id="19"/>
      <w:bookmarkEnd w:id="20"/>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highlight w:val="none"/>
        </w:rPr>
      </w:pPr>
      <w:bookmarkStart w:id="21" w:name="_Toc30039"/>
      <w:bookmarkStart w:id="22" w:name="_Toc320698720"/>
      <w:r>
        <w:rPr>
          <w:rFonts w:hint="eastAsia"/>
          <w:color w:val="auto"/>
          <w:highlight w:val="none"/>
        </w:rPr>
        <w:t>响应文件</w:t>
      </w:r>
      <w:bookmarkEnd w:id="21"/>
      <w:bookmarkEnd w:id="22"/>
    </w:p>
    <w:p>
      <w:pPr>
        <w:pStyle w:val="5"/>
        <w:ind w:left="80" w:leftChars="0" w:firstLine="482" w:firstLineChars="0"/>
        <w:rPr>
          <w:rFonts w:cs="宋体"/>
          <w:color w:val="auto"/>
          <w:szCs w:val="24"/>
          <w:highlight w:val="none"/>
        </w:rPr>
      </w:pPr>
      <w:bookmarkStart w:id="23" w:name="_Toc320698721"/>
      <w:r>
        <w:rPr>
          <w:rFonts w:hint="eastAsia" w:cs="宋体"/>
          <w:color w:val="auto"/>
          <w:szCs w:val="24"/>
          <w:highlight w:val="none"/>
        </w:rPr>
        <w:t>响应文件的语言</w:t>
      </w:r>
      <w:bookmarkEnd w:id="23"/>
      <w:r>
        <w:rPr>
          <w:rFonts w:hint="eastAsia" w:cs="宋体"/>
          <w:color w:val="auto"/>
          <w:szCs w:val="24"/>
          <w:highlight w:val="none"/>
        </w:rPr>
        <w:t>、计量单位</w:t>
      </w:r>
      <w:r>
        <w:rPr>
          <w:rFonts w:hint="eastAsia"/>
          <w:color w:val="auto"/>
          <w:highlight w:val="none"/>
        </w:rPr>
        <w:t>（实质性要求）</w:t>
      </w:r>
    </w:p>
    <w:p>
      <w:pPr>
        <w:widowControl w:val="0"/>
        <w:numPr>
          <w:ilvl w:val="0"/>
          <w:numId w:val="1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ind w:left="80" w:leftChars="0" w:firstLine="482" w:firstLineChars="0"/>
        <w:rPr>
          <w:rFonts w:cs="宋体"/>
          <w:color w:val="auto"/>
          <w:szCs w:val="24"/>
          <w:highlight w:val="none"/>
        </w:rPr>
      </w:pPr>
      <w:bookmarkStart w:id="24" w:name="_Toc320698722"/>
      <w:r>
        <w:rPr>
          <w:rFonts w:hint="eastAsia" w:cs="宋体"/>
          <w:color w:val="auto"/>
          <w:szCs w:val="24"/>
          <w:highlight w:val="none"/>
        </w:rPr>
        <w:t>报价货币</w:t>
      </w:r>
      <w:bookmarkEnd w:id="24"/>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25"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ind w:left="80" w:leftChars="0" w:firstLine="482" w:firstLineChars="0"/>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ind w:left="80" w:leftChars="0" w:firstLine="482" w:firstLineChars="0"/>
        <w:rPr>
          <w:rFonts w:cs="宋体"/>
          <w:color w:val="auto"/>
          <w:szCs w:val="24"/>
          <w:highlight w:val="none"/>
        </w:rPr>
      </w:pPr>
      <w:r>
        <w:rPr>
          <w:rFonts w:hint="eastAsia" w:cs="宋体"/>
          <w:color w:val="auto"/>
          <w:szCs w:val="24"/>
          <w:highlight w:val="none"/>
        </w:rPr>
        <w:t>联合体</w:t>
      </w:r>
      <w:bookmarkEnd w:id="25"/>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ind w:left="80" w:leftChars="0" w:firstLine="482" w:firstLineChars="0"/>
        <w:rPr>
          <w:rFonts w:cs="宋体"/>
          <w:color w:val="auto"/>
          <w:szCs w:val="24"/>
          <w:highlight w:val="none"/>
        </w:rPr>
      </w:pPr>
      <w:bookmarkStart w:id="26" w:name="_Toc320698724"/>
      <w:r>
        <w:rPr>
          <w:rFonts w:hint="eastAsia" w:cs="宋体"/>
          <w:color w:val="auto"/>
          <w:szCs w:val="24"/>
          <w:highlight w:val="none"/>
        </w:rPr>
        <w:t>响应文件的组成</w:t>
      </w:r>
      <w:bookmarkEnd w:id="26"/>
      <w:bookmarkStart w:id="27"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27"/>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中小企业声明函</w:t>
      </w:r>
      <w:r>
        <w:rPr>
          <w:rFonts w:hint="eastAsia" w:ascii="宋体" w:hAnsi="宋体" w:cs="宋体"/>
          <w:color w:val="auto"/>
          <w:sz w:val="24"/>
          <w:szCs w:val="24"/>
          <w:highlight w:val="none"/>
          <w:lang w:eastAsia="zh-CN"/>
        </w:rPr>
        <w:t>；</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69"/>
        <w:numPr>
          <w:ilvl w:val="0"/>
          <w:numId w:val="17"/>
        </w:numPr>
        <w:tabs>
          <w:tab w:val="left" w:pos="1134"/>
        </w:tabs>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28" w:name="_Toc320698726"/>
      <w:r>
        <w:rPr>
          <w:rFonts w:hint="eastAsia" w:cs="宋体"/>
          <w:color w:val="auto"/>
          <w:szCs w:val="24"/>
          <w:highlight w:val="none"/>
        </w:rPr>
        <w:t>技术、服务性响应文件</w:t>
      </w:r>
      <w:bookmarkEnd w:id="28"/>
    </w:p>
    <w:p>
      <w:pPr>
        <w:pStyle w:val="2"/>
        <w:numPr>
          <w:ilvl w:val="0"/>
          <w:numId w:val="18"/>
        </w:numPr>
        <w:tabs>
          <w:tab w:val="left" w:pos="1134"/>
        </w:tabs>
        <w:spacing w:after="0" w:line="360" w:lineRule="auto"/>
        <w:ind w:firstLine="480" w:firstLineChars="200"/>
        <w:rPr>
          <w:rFonts w:ascii="宋体" w:hAnsi="宋体" w:cs="宋体"/>
          <w:bCs/>
          <w:color w:val="auto"/>
          <w:highlight w:val="none"/>
        </w:rPr>
      </w:pPr>
      <w:bookmarkStart w:id="29"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w:t>
      </w:r>
      <w:r>
        <w:rPr>
          <w:rFonts w:hint="eastAsia" w:ascii="宋体" w:hAnsi="宋体" w:cs="宋体"/>
          <w:color w:val="auto"/>
          <w:highlight w:val="none"/>
          <w:lang w:val="en-US" w:eastAsia="zh-CN"/>
        </w:rPr>
        <w:t>技术</w:t>
      </w:r>
      <w:r>
        <w:rPr>
          <w:rFonts w:hint="eastAsia" w:ascii="宋体" w:hAnsi="宋体" w:cs="宋体"/>
          <w:color w:val="auto"/>
          <w:highlight w:val="none"/>
        </w:rPr>
        <w:t>条款偏离表</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sz w:val="24"/>
          <w:szCs w:val="24"/>
          <w:lang w:val="en-US" w:eastAsia="zh-CN"/>
        </w:rPr>
        <w:t>服务</w:t>
      </w:r>
      <w:r>
        <w:rPr>
          <w:rFonts w:hint="eastAsia" w:ascii="宋体" w:hAnsi="宋体" w:eastAsia="宋体" w:cs="宋体"/>
          <w:sz w:val="24"/>
          <w:szCs w:val="24"/>
        </w:rPr>
        <w:t>方案</w:t>
      </w:r>
      <w:r>
        <w:rPr>
          <w:rFonts w:hint="eastAsia" w:ascii="宋体" w:hAnsi="宋体" w:cs="宋体"/>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业绩一览表；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采购方式管理暂行办法有关问题的补充通知》财库【2015】124号文要求的除外)的供应商在规定时间内提交最后报价，最后报价是供应商响应文件的有效组成部分。</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7"/>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87"/>
        <w:numPr>
          <w:ilvl w:val="0"/>
          <w:numId w:val="21"/>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87"/>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87"/>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83"/>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29"/>
    <w:p>
      <w:pPr>
        <w:pStyle w:val="5"/>
        <w:ind w:left="80" w:leftChars="0" w:firstLine="482" w:firstLineChars="0"/>
        <w:rPr>
          <w:rFonts w:cs="宋体"/>
          <w:color w:val="auto"/>
          <w:szCs w:val="24"/>
          <w:highlight w:val="none"/>
        </w:rPr>
      </w:pPr>
      <w:bookmarkStart w:id="30" w:name="_Toc320698728"/>
      <w:r>
        <w:rPr>
          <w:rFonts w:hint="eastAsia" w:cs="宋体"/>
          <w:color w:val="auto"/>
          <w:szCs w:val="24"/>
          <w:highlight w:val="none"/>
        </w:rPr>
        <w:t>响应文件有效期</w:t>
      </w:r>
      <w:bookmarkEnd w:id="30"/>
      <w:r>
        <w:rPr>
          <w:rFonts w:hint="eastAsia" w:cs="宋体"/>
          <w:color w:val="auto"/>
          <w:szCs w:val="24"/>
          <w:highlight w:val="none"/>
        </w:rPr>
        <w:t>（实质性要求）</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特殊情况下，采购人可于磋商有效期满之前要求磋商供应商同意延长有效期，要求与答复均应为书面形式。磋商供应商可以拒绝上述要求，其磋商保证金</w:t>
      </w:r>
      <w:r>
        <w:rPr>
          <w:rFonts w:hint="eastAsia" w:ascii="宋体" w:hAnsi="宋体" w:cs="宋体"/>
          <w:color w:val="auto"/>
          <w:spacing w:val="8"/>
          <w:highlight w:val="none"/>
        </w:rPr>
        <w:t>不被没收。</w:t>
      </w:r>
      <w:r>
        <w:rPr>
          <w:rFonts w:hint="eastAsia" w:ascii="宋体" w:hAnsi="宋体" w:cs="宋体"/>
          <w:color w:val="auto"/>
          <w:highlight w:val="none"/>
        </w:rPr>
        <w:t>拒绝延长磋商有效期的磋商供应商不得再参与该项目后续采购活动。同意延长磋商有效期的磋商供应商不能修改其响应文件，关于磋商保证金的有关规定在延长的磋商有效期内继续有效。</w:t>
      </w:r>
    </w:p>
    <w:p>
      <w:pPr>
        <w:pStyle w:val="5"/>
        <w:ind w:left="80" w:leftChars="0" w:firstLine="482" w:firstLineChars="0"/>
        <w:rPr>
          <w:rFonts w:cs="宋体"/>
          <w:color w:val="auto"/>
          <w:szCs w:val="24"/>
          <w:highlight w:val="none"/>
        </w:rPr>
      </w:pPr>
      <w:bookmarkStart w:id="31" w:name="_Toc320698729"/>
      <w:r>
        <w:rPr>
          <w:rFonts w:hint="eastAsia" w:cs="宋体"/>
          <w:color w:val="auto"/>
          <w:szCs w:val="24"/>
          <w:highlight w:val="none"/>
        </w:rPr>
        <w:t>响应文件编制、签署</w:t>
      </w:r>
      <w:bookmarkEnd w:id="31"/>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5"/>
        <w:ind w:left="80" w:leftChars="0" w:firstLine="482" w:firstLineChars="0"/>
        <w:rPr>
          <w:rFonts w:cs="宋体"/>
          <w:color w:val="auto"/>
          <w:szCs w:val="24"/>
          <w:highlight w:val="none"/>
        </w:rPr>
      </w:pPr>
      <w:bookmarkStart w:id="32" w:name="_Toc320698730"/>
      <w:r>
        <w:rPr>
          <w:rFonts w:hint="eastAsia" w:cs="宋体"/>
          <w:color w:val="auto"/>
          <w:szCs w:val="24"/>
          <w:highlight w:val="none"/>
        </w:rPr>
        <w:t>响应文件的包装、密封和标注</w:t>
      </w:r>
      <w:bookmarkEnd w:id="32"/>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名称、采购</w:t>
      </w:r>
      <w:r>
        <w:rPr>
          <w:rFonts w:hint="eastAsia" w:ascii="宋体" w:hAnsi="宋体" w:cs="宋体"/>
          <w:color w:val="auto"/>
          <w:highlight w:val="none"/>
        </w:rPr>
        <w:t>编号、项目名称、日期及包件号（如有分包）。</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5"/>
        <w:ind w:left="80" w:leftChars="0" w:firstLine="482" w:firstLineChars="0"/>
        <w:rPr>
          <w:rFonts w:cs="宋体"/>
          <w:color w:val="auto"/>
          <w:szCs w:val="24"/>
          <w:highlight w:val="none"/>
        </w:rPr>
      </w:pPr>
      <w:bookmarkStart w:id="33" w:name="_Toc320698731"/>
      <w:r>
        <w:rPr>
          <w:rFonts w:hint="eastAsia" w:cs="宋体"/>
          <w:color w:val="auto"/>
          <w:szCs w:val="24"/>
          <w:highlight w:val="none"/>
        </w:rPr>
        <w:t>响应文件的递交</w:t>
      </w:r>
      <w:bookmarkEnd w:id="33"/>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5"/>
        <w:ind w:left="80" w:leftChars="0" w:firstLine="482" w:firstLineChars="0"/>
        <w:rPr>
          <w:rFonts w:cs="宋体"/>
          <w:color w:val="auto"/>
          <w:szCs w:val="24"/>
          <w:highlight w:val="none"/>
        </w:rPr>
      </w:pPr>
      <w:bookmarkStart w:id="34" w:name="_Toc446487098"/>
      <w:r>
        <w:rPr>
          <w:rFonts w:hint="eastAsia" w:cs="宋体"/>
          <w:color w:val="auto"/>
          <w:szCs w:val="24"/>
          <w:highlight w:val="none"/>
        </w:rPr>
        <w:t>响应文件的补充、修改和撤回</w:t>
      </w:r>
      <w:bookmarkEnd w:id="34"/>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4"/>
        <w:rPr>
          <w:color w:val="auto"/>
          <w:highlight w:val="none"/>
        </w:rPr>
      </w:pPr>
      <w:bookmarkStart w:id="35" w:name="_Toc553"/>
      <w:bookmarkStart w:id="36" w:name="_Toc287623645"/>
      <w:r>
        <w:rPr>
          <w:rFonts w:hint="eastAsia"/>
          <w:color w:val="auto"/>
          <w:highlight w:val="none"/>
        </w:rPr>
        <w:t>竞争性磋商程序</w:t>
      </w:r>
      <w:bookmarkEnd w:id="35"/>
      <w:bookmarkEnd w:id="36"/>
    </w:p>
    <w:p>
      <w:pPr>
        <w:pStyle w:val="5"/>
        <w:ind w:left="80" w:leftChars="0" w:firstLine="482" w:firstLineChars="0"/>
        <w:rPr>
          <w:rFonts w:cs="宋体"/>
          <w:color w:val="auto"/>
          <w:szCs w:val="24"/>
          <w:highlight w:val="none"/>
        </w:rPr>
      </w:pPr>
      <w:bookmarkStart w:id="37" w:name="_Toc320698735"/>
      <w:r>
        <w:rPr>
          <w:rFonts w:hint="eastAsia" w:cs="宋体"/>
          <w:color w:val="auto"/>
          <w:szCs w:val="24"/>
          <w:highlight w:val="none"/>
        </w:rPr>
        <w:t>供应商报名</w:t>
      </w:r>
      <w:bookmarkEnd w:id="37"/>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参加报名的供应商不足三家的，本次竞争性磋商采购活动终止，并发布终止竞争性磋商公告。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38" w:name="_Toc320698736"/>
      <w:r>
        <w:rPr>
          <w:rFonts w:hint="eastAsia" w:cs="宋体"/>
          <w:color w:val="auto"/>
          <w:szCs w:val="24"/>
          <w:highlight w:val="none"/>
        </w:rPr>
        <w:t>接收响应文件</w:t>
      </w:r>
      <w:bookmarkEnd w:id="38"/>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39" w:name="_Toc287623646"/>
      <w:r>
        <w:rPr>
          <w:rFonts w:hint="eastAsia" w:cs="宋体"/>
          <w:color w:val="auto"/>
          <w:szCs w:val="24"/>
          <w:highlight w:val="none"/>
        </w:rPr>
        <w:t>开标</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5"/>
        <w:ind w:left="80" w:leftChars="0" w:firstLine="482" w:firstLineChars="0"/>
        <w:rPr>
          <w:rFonts w:cs="宋体"/>
          <w:color w:val="auto"/>
          <w:szCs w:val="24"/>
          <w:highlight w:val="none"/>
        </w:rPr>
      </w:pPr>
      <w:r>
        <w:rPr>
          <w:rFonts w:hint="eastAsia" w:cs="宋体"/>
          <w:color w:val="auto"/>
          <w:szCs w:val="24"/>
          <w:highlight w:val="none"/>
        </w:rPr>
        <w:t>成立磋商小组</w:t>
      </w:r>
      <w:bookmarkEnd w:id="39"/>
    </w:p>
    <w:p>
      <w:pPr>
        <w:pStyle w:val="24"/>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ind w:left="80" w:leftChars="0" w:firstLine="482" w:firstLineChars="0"/>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jc w:val="center"/>
              <w:rPr>
                <w:rFonts w:ascii="宋体" w:hAnsi="宋体" w:cs="宋体"/>
                <w:b/>
                <w:bCs/>
                <w:color w:val="auto"/>
                <w:highlight w:val="none"/>
              </w:rPr>
            </w:pPr>
            <w:r>
              <w:rPr>
                <w:rFonts w:hint="eastAsia" w:ascii="宋体" w:hAnsi="宋体" w:cs="宋体"/>
                <w:b/>
                <w:bCs/>
                <w:color w:val="auto"/>
                <w:highlight w:val="none"/>
              </w:rPr>
              <w:t>审查内容</w:t>
            </w:r>
          </w:p>
        </w:tc>
        <w:tc>
          <w:tcPr>
            <w:tcW w:w="4862" w:type="dxa"/>
            <w:vAlign w:val="center"/>
          </w:tcPr>
          <w:p>
            <w:pPr>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0" w:type="dxa"/>
            <w:vMerge w:val="restart"/>
            <w:vAlign w:val="center"/>
          </w:tcPr>
          <w:p>
            <w:pPr>
              <w:rPr>
                <w:rFonts w:ascii="宋体" w:hAnsi="宋体" w:cs="宋体"/>
                <w:bCs/>
                <w:color w:val="auto"/>
                <w:highlight w:val="none"/>
              </w:rPr>
            </w:pPr>
            <w:r>
              <w:rPr>
                <w:rFonts w:hint="eastAsia" w:ascii="宋体" w:hAnsi="宋体"/>
                <w:color w:val="auto"/>
                <w:highlight w:val="none"/>
              </w:rPr>
              <w:t>（一）资格要求</w:t>
            </w:r>
            <w:r>
              <w:rPr>
                <w:rFonts w:hint="eastAsia" w:ascii="宋体" w:hAnsi="宋体" w:cs="宋体"/>
                <w:color w:val="auto"/>
                <w:highlight w:val="none"/>
              </w:rPr>
              <w:t>　</w:t>
            </w: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1、具有独立承担民事责任的能力</w:t>
            </w:r>
          </w:p>
        </w:tc>
        <w:tc>
          <w:tcPr>
            <w:tcW w:w="4862" w:type="dxa"/>
            <w:vAlign w:val="center"/>
          </w:tcPr>
          <w:p>
            <w:pPr>
              <w:rPr>
                <w:rFonts w:ascii="宋体" w:hAnsi="宋体" w:cs="宋体"/>
                <w:bCs/>
                <w:color w:val="auto"/>
                <w:highlight w:val="none"/>
              </w:rPr>
            </w:pPr>
            <w:r>
              <w:rPr>
                <w:rFonts w:hint="eastAsia" w:ascii="宋体" w:hAnsi="宋体" w:cs="宋体"/>
                <w:bCs/>
                <w:color w:val="auto"/>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2、具有良好的商业信誉</w:t>
            </w:r>
          </w:p>
        </w:tc>
        <w:tc>
          <w:tcPr>
            <w:tcW w:w="4862" w:type="dxa"/>
            <w:vMerge w:val="restart"/>
            <w:vAlign w:val="center"/>
          </w:tcPr>
          <w:p>
            <w:pPr>
              <w:shd w:val="clear" w:color="auto" w:fill="FFFFFF"/>
              <w:rPr>
                <w:rFonts w:ascii="宋体" w:hAnsi="宋体"/>
                <w:color w:val="auto"/>
                <w:highlight w:val="none"/>
              </w:rPr>
            </w:pPr>
            <w:r>
              <w:rPr>
                <w:rFonts w:hint="eastAsia" w:ascii="宋体" w:hAnsi="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3、具有履行合同所必须的设备和专业技术能力</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4、参加政府采购活动前三年内，在经营活动中没有重大违法记录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5、在行贿犯罪信息查询期限内，供应商及其现任法定代表人、主要负责人无行贿犯罪记录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6、法律、行政法规规定的其他条件</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020" w:type="dxa"/>
            <w:vMerge w:val="continue"/>
            <w:vAlign w:val="center"/>
          </w:tcPr>
          <w:p>
            <w:pPr>
              <w:rPr>
                <w:rFonts w:ascii="宋体" w:hAnsi="宋体" w:cs="宋体"/>
                <w:bCs/>
                <w:color w:val="auto"/>
                <w:highlight w:val="none"/>
              </w:rPr>
            </w:pPr>
          </w:p>
        </w:tc>
        <w:tc>
          <w:tcPr>
            <w:tcW w:w="1321" w:type="dxa"/>
            <w:vMerge w:val="restart"/>
            <w:vAlign w:val="center"/>
          </w:tcPr>
          <w:p>
            <w:pPr>
              <w:rPr>
                <w:rFonts w:ascii="宋体" w:hAnsi="宋体" w:cs="宋体"/>
                <w:bCs/>
                <w:color w:val="auto"/>
                <w:highlight w:val="none"/>
              </w:rPr>
            </w:pPr>
            <w:r>
              <w:rPr>
                <w:rFonts w:hint="eastAsia" w:ascii="宋体" w:hAnsi="宋体"/>
                <w:color w:val="auto"/>
                <w:highlight w:val="none"/>
              </w:rPr>
              <w:t>7、有依法缴纳税收和社会保障资金的良好记录</w:t>
            </w:r>
          </w:p>
        </w:tc>
        <w:tc>
          <w:tcPr>
            <w:tcW w:w="2594" w:type="dxa"/>
            <w:vAlign w:val="center"/>
          </w:tcPr>
          <w:p>
            <w:pPr>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任意时段的缴纳社保的银行电子回单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社保部门出具的社保缴纳证明材料复印件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rPr>
                <w:rFonts w:ascii="宋体" w:hAnsi="宋体" w:cs="宋体"/>
                <w:bCs/>
                <w:color w:val="auto"/>
                <w:highlight w:val="none"/>
              </w:rPr>
            </w:pPr>
          </w:p>
        </w:tc>
        <w:tc>
          <w:tcPr>
            <w:tcW w:w="1321" w:type="dxa"/>
            <w:vMerge w:val="continue"/>
            <w:vAlign w:val="center"/>
          </w:tcPr>
          <w:p>
            <w:pPr>
              <w:rPr>
                <w:rFonts w:ascii="宋体" w:hAnsi="宋体"/>
                <w:color w:val="auto"/>
                <w:highlight w:val="none"/>
              </w:rPr>
            </w:pPr>
          </w:p>
        </w:tc>
        <w:tc>
          <w:tcPr>
            <w:tcW w:w="2594" w:type="dxa"/>
            <w:vAlign w:val="center"/>
          </w:tcPr>
          <w:p>
            <w:pPr>
              <w:rPr>
                <w:rFonts w:ascii="宋体" w:hAnsi="宋体"/>
                <w:color w:val="auto"/>
                <w:highlight w:val="none"/>
              </w:rPr>
            </w:pPr>
            <w:r>
              <w:rPr>
                <w:rFonts w:hint="eastAsia" w:ascii="宋体" w:hAnsi="宋体" w:cs="宋体"/>
                <w:bCs/>
                <w:color w:val="auto"/>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任意时段的缴纳税收的银行电子回单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税务部门出具的纳税证明</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完税证明的复印件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8、</w:t>
            </w:r>
            <w:r>
              <w:rPr>
                <w:rFonts w:hint="eastAsia" w:ascii="宋体" w:hAnsi="宋体" w:cs="宋体"/>
                <w:color w:val="auto"/>
                <w:highlight w:val="none"/>
              </w:rPr>
              <w:t>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9、法定代表人身份证明书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rPr>
              <w:t>法定代表人身份证明书原件（自然人参加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的不须提供身份证明书）及身份证复印件或护照复印件【注：（1）法定代表人身份证明书符合</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10、法定代表人授权委托书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rPr>
              <w:t>法定代表人授权书原件及身份证复印件【注：（1）代理人身份证复印件（身份证两面均应复印，在有效期内）；（2）如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文件均由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法定代表人签字的或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11、联合体磋商</w:t>
            </w:r>
          </w:p>
        </w:tc>
        <w:tc>
          <w:tcPr>
            <w:tcW w:w="4862" w:type="dxa"/>
            <w:vAlign w:val="center"/>
          </w:tcPr>
          <w:p>
            <w:pPr>
              <w:rPr>
                <w:rFonts w:ascii="宋体" w:hAnsi="宋体"/>
                <w:color w:val="auto"/>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12、本项目专门面向中小企业采购</w:t>
            </w:r>
          </w:p>
        </w:tc>
        <w:tc>
          <w:tcPr>
            <w:tcW w:w="4862" w:type="dxa"/>
            <w:vAlign w:val="center"/>
          </w:tcPr>
          <w:p>
            <w:pPr>
              <w:rPr>
                <w:rFonts w:hint="eastAsia" w:ascii="宋体" w:hAnsi="宋体"/>
                <w:color w:val="auto"/>
                <w:highlight w:val="none"/>
              </w:rPr>
            </w:pPr>
            <w:r>
              <w:rPr>
                <w:rFonts w:hint="eastAsia" w:ascii="宋体" w:hAnsi="宋体"/>
                <w:color w:val="auto"/>
                <w:highlight w:val="none"/>
                <w:lang w:val="en-US" w:eastAsia="zh-CN"/>
              </w:rPr>
              <w:t>提供中小企业声明函（注：</w:t>
            </w:r>
            <w:r>
              <w:rPr>
                <w:rFonts w:hint="eastAsia" w:ascii="宋体" w:hAnsi="宋体"/>
                <w:szCs w:val="24"/>
                <w:highlight w:val="none"/>
              </w:rPr>
              <w:t>供应商为监狱企业、残疾人福利性单位的视同小型、微型企业</w:t>
            </w:r>
            <w:r>
              <w:rPr>
                <w:rFonts w:hint="eastAsia" w:ascii="宋体" w:hAnsi="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rPr>
                <w:rFonts w:ascii="宋体" w:hAnsi="宋体" w:cs="宋体"/>
                <w:color w:val="auto"/>
                <w:highlight w:val="none"/>
              </w:rPr>
            </w:pPr>
            <w:r>
              <w:rPr>
                <w:rFonts w:hint="eastAsia" w:ascii="宋体" w:hAnsi="宋体" w:cs="宋体"/>
                <w:color w:val="auto"/>
                <w:highlight w:val="none"/>
              </w:rPr>
              <w:t>（二）资质要求</w:t>
            </w:r>
          </w:p>
        </w:tc>
        <w:tc>
          <w:tcPr>
            <w:tcW w:w="3915" w:type="dxa"/>
            <w:gridSpan w:val="2"/>
            <w:vAlign w:val="center"/>
          </w:tcPr>
          <w:p>
            <w:pPr>
              <w:spacing w:line="240" w:lineRule="auto"/>
              <w:ind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无</w:t>
            </w:r>
          </w:p>
        </w:tc>
        <w:tc>
          <w:tcPr>
            <w:tcW w:w="4862" w:type="dxa"/>
            <w:vAlign w:val="center"/>
          </w:tcPr>
          <w:p>
            <w:pPr>
              <w:spacing w:line="240" w:lineRule="auto"/>
              <w:ind w:firstLine="0" w:firstLineChars="0"/>
              <w:rPr>
                <w:rFonts w:hint="default" w:ascii="宋体" w:hAnsi="宋体" w:eastAsia="宋体"/>
                <w:color w:val="auto"/>
                <w:highlight w:val="none"/>
                <w:lang w:val="en-US" w:eastAsia="zh-CN"/>
              </w:rPr>
            </w:pPr>
            <w:r>
              <w:rPr>
                <w:rFonts w:hint="eastAsia" w:ascii="宋体" w:hAnsi="宋体" w:cs="宋体"/>
                <w:color w:val="auto"/>
                <w:kern w:val="0"/>
                <w:sz w:val="24"/>
                <w:szCs w:val="24"/>
                <w:highlight w:val="none"/>
                <w:lang w:val="en-US" w:eastAsia="zh-CN"/>
              </w:rPr>
              <w:t>无</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政府采购法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ind w:left="80" w:leftChars="0" w:firstLine="482" w:firstLineChars="0"/>
        <w:rPr>
          <w:rFonts w:cs="宋体"/>
          <w:color w:val="auto"/>
          <w:szCs w:val="24"/>
          <w:highlight w:val="none"/>
        </w:rPr>
      </w:pPr>
      <w:r>
        <w:rPr>
          <w:rFonts w:hint="eastAsia" w:cs="宋体"/>
          <w:color w:val="auto"/>
          <w:szCs w:val="24"/>
          <w:highlight w:val="none"/>
        </w:rPr>
        <w:t>磋商</w:t>
      </w:r>
    </w:p>
    <w:p>
      <w:pPr>
        <w:pStyle w:val="5"/>
        <w:keepNext w:val="0"/>
        <w:keepLines w:val="0"/>
        <w:numPr>
          <w:ilvl w:val="0"/>
          <w:numId w:val="29"/>
        </w:numPr>
        <w:tabs>
          <w:tab w:val="left" w:pos="426"/>
          <w:tab w:val="left" w:pos="567"/>
        </w:tabs>
        <w:outlineLvl w:val="2"/>
        <w:rPr>
          <w:b w:val="0"/>
          <w:color w:val="auto"/>
          <w:sz w:val="24"/>
          <w:szCs w:val="24"/>
          <w:highlight w:val="none"/>
        </w:rPr>
      </w:pPr>
      <w:bookmarkStart w:id="40" w:name="_Toc30664"/>
      <w:bookmarkStart w:id="41" w:name="_Toc13463"/>
      <w:bookmarkStart w:id="42" w:name="_Toc11240"/>
      <w:bookmarkStart w:id="43" w:name="_Toc1186"/>
      <w:bookmarkStart w:id="44" w:name="_Toc24086"/>
      <w:bookmarkStart w:id="45" w:name="_Toc177"/>
      <w:bookmarkStart w:id="46" w:name="_Toc9096"/>
      <w:bookmarkStart w:id="47" w:name="_Toc26653"/>
      <w:bookmarkStart w:id="48" w:name="_Toc20686"/>
      <w:bookmarkStart w:id="49" w:name="_Toc5957"/>
      <w:bookmarkStart w:id="50" w:name="_Toc12921"/>
      <w:bookmarkStart w:id="51" w:name="_Toc21637"/>
      <w:bookmarkStart w:id="52" w:name="_Toc28704"/>
      <w:bookmarkStart w:id="53" w:name="_Toc28961"/>
      <w:bookmarkStart w:id="54" w:name="_Toc30871"/>
      <w:bookmarkStart w:id="55" w:name="_Toc24322"/>
      <w:bookmarkStart w:id="56" w:name="_Toc7480"/>
      <w:bookmarkStart w:id="57" w:name="_Toc8445"/>
      <w:bookmarkStart w:id="58" w:name="_Toc6686"/>
      <w:bookmarkStart w:id="59" w:name="_Toc43566521"/>
      <w:bookmarkStart w:id="60" w:name="_Toc12948"/>
      <w:bookmarkStart w:id="61" w:name="_Toc18778"/>
      <w:bookmarkStart w:id="62" w:name="_Toc28211"/>
      <w:bookmarkStart w:id="63" w:name="_Toc16430"/>
      <w:bookmarkStart w:id="64" w:name="_Toc18863"/>
      <w:bookmarkStart w:id="65" w:name="_Toc23472"/>
      <w:bookmarkStart w:id="66" w:name="_Toc25820"/>
      <w:bookmarkStart w:id="67" w:name="_Toc234"/>
      <w:bookmarkStart w:id="68" w:name="_Toc1823"/>
      <w:bookmarkStart w:id="69" w:name="_Toc5653"/>
      <w:bookmarkStart w:id="70" w:name="_Toc19824"/>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5"/>
        <w:keepNext w:val="0"/>
        <w:keepLines w:val="0"/>
        <w:numPr>
          <w:ilvl w:val="0"/>
          <w:numId w:val="29"/>
        </w:numPr>
        <w:tabs>
          <w:tab w:val="left" w:pos="426"/>
          <w:tab w:val="left" w:pos="567"/>
        </w:tabs>
        <w:outlineLvl w:val="2"/>
        <w:rPr>
          <w:b w:val="0"/>
          <w:color w:val="auto"/>
          <w:sz w:val="24"/>
          <w:szCs w:val="24"/>
          <w:highlight w:val="none"/>
        </w:rPr>
      </w:pPr>
      <w:bookmarkStart w:id="71" w:name="_Toc10664"/>
      <w:bookmarkStart w:id="72" w:name="_Toc7651"/>
      <w:bookmarkStart w:id="73" w:name="_Toc5759"/>
      <w:bookmarkStart w:id="74" w:name="_Toc19501"/>
      <w:bookmarkStart w:id="75" w:name="_Toc5547"/>
      <w:bookmarkStart w:id="76" w:name="_Toc21274"/>
      <w:bookmarkStart w:id="77" w:name="_Toc22424"/>
      <w:bookmarkStart w:id="78" w:name="_Toc8363"/>
      <w:bookmarkStart w:id="79" w:name="_Toc13670"/>
      <w:bookmarkStart w:id="80" w:name="_Toc16300"/>
      <w:bookmarkStart w:id="81" w:name="_Toc1058"/>
      <w:bookmarkStart w:id="82" w:name="_Toc16346"/>
      <w:bookmarkStart w:id="83" w:name="_Toc26144"/>
      <w:bookmarkStart w:id="84" w:name="_Toc12027"/>
      <w:bookmarkStart w:id="85" w:name="_Toc43566522"/>
      <w:bookmarkStart w:id="86" w:name="_Toc20275"/>
      <w:bookmarkStart w:id="87" w:name="_Toc28752"/>
      <w:bookmarkStart w:id="88" w:name="_Toc28551"/>
      <w:bookmarkStart w:id="89" w:name="_Toc14958"/>
      <w:bookmarkStart w:id="90" w:name="_Toc19239"/>
      <w:bookmarkStart w:id="91" w:name="_Toc29643"/>
      <w:bookmarkStart w:id="92" w:name="_Toc24798"/>
      <w:bookmarkStart w:id="93" w:name="_Toc17010"/>
      <w:bookmarkStart w:id="94" w:name="_Toc14644"/>
      <w:bookmarkStart w:id="95" w:name="_Toc18309"/>
      <w:bookmarkStart w:id="96" w:name="_Toc16950"/>
      <w:bookmarkStart w:id="97" w:name="_Toc3073"/>
      <w:bookmarkStart w:id="98" w:name="_Toc5725"/>
      <w:bookmarkStart w:id="99" w:name="_Toc13414"/>
      <w:bookmarkStart w:id="100" w:name="_Toc11203"/>
      <w:bookmarkStart w:id="101" w:name="_Toc7100"/>
      <w:r>
        <w:rPr>
          <w:rFonts w:hint="eastAsia"/>
          <w:b w:val="0"/>
          <w:color w:val="auto"/>
          <w:sz w:val="24"/>
          <w:szCs w:val="24"/>
          <w:highlight w:val="none"/>
        </w:rPr>
        <w:t>每轮磋商开始前，磋商小组应根据磋商文件的规定，并结合各供应商的响应文件拟定磋商内容。</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5"/>
        <w:keepNext w:val="0"/>
        <w:keepLines w:val="0"/>
        <w:numPr>
          <w:ilvl w:val="0"/>
          <w:numId w:val="29"/>
        </w:numPr>
        <w:tabs>
          <w:tab w:val="left" w:pos="426"/>
          <w:tab w:val="left" w:pos="567"/>
        </w:tabs>
        <w:outlineLvl w:val="2"/>
        <w:rPr>
          <w:b w:val="0"/>
          <w:color w:val="auto"/>
          <w:sz w:val="24"/>
          <w:szCs w:val="24"/>
          <w:highlight w:val="none"/>
        </w:rPr>
      </w:pPr>
      <w:bookmarkStart w:id="102" w:name="_Toc12103"/>
      <w:bookmarkStart w:id="103" w:name="_Toc30727"/>
      <w:bookmarkStart w:id="104" w:name="_Toc7955"/>
      <w:bookmarkStart w:id="105" w:name="_Toc1515"/>
      <w:bookmarkStart w:id="106" w:name="_Toc18130"/>
      <w:bookmarkStart w:id="107" w:name="_Toc14318"/>
      <w:bookmarkStart w:id="108" w:name="_Toc22981"/>
      <w:bookmarkStart w:id="109" w:name="_Toc24429"/>
      <w:bookmarkStart w:id="110" w:name="_Toc12444"/>
      <w:bookmarkStart w:id="111" w:name="_Toc43566523"/>
      <w:bookmarkStart w:id="112" w:name="_Toc28031"/>
      <w:bookmarkStart w:id="113" w:name="_Toc29139"/>
      <w:bookmarkStart w:id="114" w:name="_Toc8711"/>
      <w:bookmarkStart w:id="115" w:name="_Toc14027"/>
      <w:bookmarkStart w:id="116" w:name="_Toc1822"/>
      <w:bookmarkStart w:id="117" w:name="_Toc31379"/>
      <w:bookmarkStart w:id="118" w:name="_Toc7002"/>
      <w:bookmarkStart w:id="119" w:name="_Toc15259"/>
      <w:bookmarkStart w:id="120" w:name="_Toc2076"/>
      <w:bookmarkStart w:id="121" w:name="_Toc26003"/>
      <w:bookmarkStart w:id="122" w:name="_Toc32131"/>
      <w:bookmarkStart w:id="123" w:name="_Toc5655"/>
      <w:bookmarkStart w:id="124" w:name="_Toc3129"/>
      <w:bookmarkStart w:id="125" w:name="_Toc9387"/>
      <w:bookmarkStart w:id="126" w:name="_Toc12563"/>
      <w:bookmarkStart w:id="127" w:name="_Toc11261"/>
      <w:bookmarkStart w:id="128" w:name="_Toc3854"/>
      <w:bookmarkStart w:id="129" w:name="_Toc3093"/>
      <w:bookmarkStart w:id="130" w:name="_Toc17631"/>
      <w:bookmarkStart w:id="131" w:name="_Toc31513"/>
      <w:bookmarkStart w:id="132" w:name="_Toc1260"/>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5"/>
        <w:keepNext w:val="0"/>
        <w:keepLines w:val="0"/>
        <w:numPr>
          <w:ilvl w:val="0"/>
          <w:numId w:val="29"/>
        </w:numPr>
        <w:tabs>
          <w:tab w:val="left" w:pos="426"/>
          <w:tab w:val="left" w:pos="567"/>
        </w:tabs>
        <w:outlineLvl w:val="2"/>
        <w:rPr>
          <w:b w:val="0"/>
          <w:color w:val="auto"/>
          <w:sz w:val="24"/>
          <w:szCs w:val="24"/>
          <w:highlight w:val="none"/>
        </w:rPr>
      </w:pPr>
      <w:bookmarkStart w:id="133" w:name="_Toc20981"/>
      <w:bookmarkStart w:id="134" w:name="_Toc5170"/>
      <w:bookmarkStart w:id="135" w:name="_Toc26943"/>
      <w:bookmarkStart w:id="136" w:name="_Toc25538"/>
      <w:bookmarkStart w:id="137" w:name="_Toc23382"/>
      <w:bookmarkStart w:id="138" w:name="_Toc217"/>
      <w:bookmarkStart w:id="139" w:name="_Toc2802"/>
      <w:bookmarkStart w:id="140" w:name="_Toc19446"/>
      <w:bookmarkStart w:id="141" w:name="_Toc1947"/>
      <w:bookmarkStart w:id="142" w:name="_Toc15406"/>
      <w:bookmarkStart w:id="143" w:name="_Toc12026"/>
      <w:bookmarkStart w:id="144" w:name="_Toc20322"/>
      <w:bookmarkStart w:id="145" w:name="_Toc43566524"/>
      <w:bookmarkStart w:id="146" w:name="_Toc14624"/>
      <w:bookmarkStart w:id="147" w:name="_Toc24161"/>
      <w:bookmarkStart w:id="148" w:name="_Toc30395"/>
      <w:bookmarkStart w:id="149" w:name="_Toc23880"/>
      <w:bookmarkStart w:id="150" w:name="_Toc15411"/>
      <w:bookmarkStart w:id="151" w:name="_Toc23230"/>
      <w:bookmarkStart w:id="152" w:name="_Toc17886"/>
      <w:bookmarkStart w:id="153" w:name="_Toc15891"/>
      <w:bookmarkStart w:id="154" w:name="_Toc18133"/>
      <w:bookmarkStart w:id="155" w:name="_Toc12380"/>
      <w:bookmarkStart w:id="156" w:name="_Toc23592"/>
      <w:bookmarkStart w:id="157" w:name="_Toc5480"/>
      <w:bookmarkStart w:id="158" w:name="_Toc20339"/>
      <w:bookmarkStart w:id="159" w:name="_Toc22086"/>
      <w:bookmarkStart w:id="160" w:name="_Toc30040"/>
      <w:bookmarkStart w:id="161" w:name="_Toc9861"/>
      <w:bookmarkStart w:id="162" w:name="_Toc15692"/>
      <w:bookmarkStart w:id="163" w:name="_Toc20165"/>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keepNext w:val="0"/>
        <w:keepLines w:val="0"/>
        <w:numPr>
          <w:ilvl w:val="0"/>
          <w:numId w:val="29"/>
        </w:numPr>
        <w:tabs>
          <w:tab w:val="left" w:pos="426"/>
          <w:tab w:val="left" w:pos="567"/>
        </w:tabs>
        <w:outlineLvl w:val="2"/>
        <w:rPr>
          <w:b w:val="0"/>
          <w:color w:val="auto"/>
          <w:sz w:val="24"/>
          <w:szCs w:val="24"/>
          <w:highlight w:val="none"/>
        </w:rPr>
      </w:pPr>
      <w:bookmarkStart w:id="164" w:name="_Toc16727"/>
      <w:bookmarkStart w:id="165" w:name="_Toc19631"/>
      <w:bookmarkStart w:id="166" w:name="_Toc29518"/>
      <w:bookmarkStart w:id="167" w:name="_Toc43566525"/>
      <w:bookmarkStart w:id="168" w:name="_Toc15795"/>
      <w:bookmarkStart w:id="169" w:name="_Toc11224"/>
      <w:bookmarkStart w:id="170" w:name="_Toc22337"/>
      <w:bookmarkStart w:id="171" w:name="_Toc18506"/>
      <w:bookmarkStart w:id="172" w:name="_Toc15620"/>
      <w:bookmarkStart w:id="173" w:name="_Toc19144"/>
      <w:bookmarkStart w:id="174" w:name="_Toc5435"/>
      <w:bookmarkStart w:id="175" w:name="_Toc18549"/>
      <w:bookmarkStart w:id="176" w:name="_Toc7148"/>
      <w:bookmarkStart w:id="177" w:name="_Toc2784"/>
      <w:bookmarkStart w:id="178" w:name="_Toc29632"/>
      <w:bookmarkStart w:id="179" w:name="_Toc18974"/>
      <w:bookmarkStart w:id="180" w:name="_Toc22606"/>
      <w:bookmarkStart w:id="181" w:name="_Toc6250"/>
      <w:bookmarkStart w:id="182" w:name="_Toc7430"/>
      <w:bookmarkStart w:id="183" w:name="_Toc7936"/>
      <w:bookmarkStart w:id="184" w:name="_Toc23403"/>
      <w:bookmarkStart w:id="185" w:name="_Toc31030"/>
      <w:bookmarkStart w:id="186" w:name="_Toc20410"/>
      <w:bookmarkStart w:id="187" w:name="_Toc25838"/>
      <w:bookmarkStart w:id="188" w:name="_Toc26817"/>
      <w:bookmarkStart w:id="189" w:name="_Toc12219"/>
      <w:bookmarkStart w:id="190" w:name="_Toc17566"/>
      <w:bookmarkStart w:id="191" w:name="_Toc13764"/>
      <w:bookmarkStart w:id="192" w:name="_Toc7401"/>
      <w:bookmarkStart w:id="193" w:name="_Toc31776"/>
      <w:bookmarkStart w:id="194" w:name="_Toc25226"/>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5"/>
        <w:keepNext w:val="0"/>
        <w:keepLines w:val="0"/>
        <w:numPr>
          <w:ilvl w:val="0"/>
          <w:numId w:val="29"/>
        </w:numPr>
        <w:tabs>
          <w:tab w:val="left" w:pos="426"/>
          <w:tab w:val="left" w:pos="567"/>
        </w:tabs>
        <w:outlineLvl w:val="2"/>
        <w:rPr>
          <w:b w:val="0"/>
          <w:color w:val="auto"/>
          <w:sz w:val="24"/>
          <w:szCs w:val="24"/>
          <w:highlight w:val="none"/>
        </w:rPr>
      </w:pPr>
      <w:bookmarkStart w:id="195" w:name="_Toc14295"/>
      <w:bookmarkStart w:id="196" w:name="_Toc11758"/>
      <w:bookmarkStart w:id="197" w:name="_Toc3023"/>
      <w:bookmarkStart w:id="198" w:name="_Toc15180"/>
      <w:bookmarkStart w:id="199" w:name="_Toc12081"/>
      <w:bookmarkStart w:id="200" w:name="_Toc4895"/>
      <w:bookmarkStart w:id="201" w:name="_Toc961"/>
      <w:bookmarkStart w:id="202" w:name="_Toc18387"/>
      <w:bookmarkStart w:id="203" w:name="_Toc26127"/>
      <w:bookmarkStart w:id="204" w:name="_Toc43566526"/>
      <w:bookmarkStart w:id="205" w:name="_Toc7926"/>
      <w:bookmarkStart w:id="206" w:name="_Toc6692"/>
      <w:bookmarkStart w:id="207" w:name="_Toc4052"/>
      <w:bookmarkStart w:id="208" w:name="_Toc10100"/>
      <w:bookmarkStart w:id="209" w:name="_Toc32216"/>
      <w:bookmarkStart w:id="210" w:name="_Toc11494"/>
      <w:bookmarkStart w:id="211" w:name="_Toc28606"/>
      <w:bookmarkStart w:id="212" w:name="_Toc4343"/>
      <w:bookmarkStart w:id="213" w:name="_Toc4947"/>
      <w:bookmarkStart w:id="214" w:name="_Toc13223"/>
      <w:bookmarkStart w:id="215" w:name="_Toc14008"/>
      <w:bookmarkStart w:id="216" w:name="_Toc22757"/>
      <w:bookmarkStart w:id="217" w:name="_Toc685"/>
      <w:bookmarkStart w:id="218" w:name="_Toc6346"/>
      <w:bookmarkStart w:id="219" w:name="_Toc9008"/>
      <w:bookmarkStart w:id="220" w:name="_Toc27402"/>
      <w:bookmarkStart w:id="221" w:name="_Toc25847"/>
      <w:bookmarkStart w:id="222" w:name="_Toc1180"/>
      <w:bookmarkStart w:id="223" w:name="_Toc30181"/>
      <w:bookmarkStart w:id="224" w:name="_Toc7797"/>
      <w:bookmarkStart w:id="225" w:name="_Toc5575"/>
      <w:r>
        <w:rPr>
          <w:rFonts w:hint="eastAsia"/>
          <w:b w:val="0"/>
          <w:color w:val="auto"/>
          <w:sz w:val="24"/>
          <w:szCs w:val="24"/>
          <w:highlight w:val="none"/>
        </w:rPr>
        <w:t>磋商过程中，磋商的任何一方不得透露与磋商有关的其他供应商的技术资料、价格和其他信息。</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pStyle w:val="5"/>
        <w:keepNext w:val="0"/>
        <w:keepLines w:val="0"/>
        <w:numPr>
          <w:ilvl w:val="0"/>
          <w:numId w:val="29"/>
        </w:numPr>
        <w:tabs>
          <w:tab w:val="left" w:pos="426"/>
          <w:tab w:val="left" w:pos="567"/>
        </w:tabs>
        <w:outlineLvl w:val="2"/>
        <w:rPr>
          <w:b w:val="0"/>
          <w:color w:val="auto"/>
          <w:sz w:val="24"/>
          <w:szCs w:val="24"/>
          <w:highlight w:val="none"/>
        </w:rPr>
      </w:pPr>
      <w:bookmarkStart w:id="226" w:name="_Toc22105"/>
      <w:bookmarkStart w:id="227" w:name="_Toc43566527"/>
      <w:bookmarkStart w:id="228" w:name="_Toc9842"/>
      <w:bookmarkStart w:id="229" w:name="_Toc4662"/>
      <w:bookmarkStart w:id="230" w:name="_Toc30011"/>
      <w:bookmarkStart w:id="231" w:name="_Toc15744"/>
      <w:bookmarkStart w:id="232" w:name="_Toc4331"/>
      <w:bookmarkStart w:id="233" w:name="_Toc30506"/>
      <w:bookmarkStart w:id="234" w:name="_Toc3944"/>
      <w:bookmarkStart w:id="235" w:name="_Toc7697"/>
      <w:bookmarkStart w:id="236" w:name="_Toc9431"/>
      <w:bookmarkStart w:id="237" w:name="_Toc10212"/>
      <w:bookmarkStart w:id="238" w:name="_Toc16194"/>
      <w:bookmarkStart w:id="239" w:name="_Toc4159"/>
      <w:bookmarkStart w:id="240" w:name="_Toc19525"/>
      <w:bookmarkStart w:id="241" w:name="_Toc1340"/>
      <w:bookmarkStart w:id="242" w:name="_Toc20292"/>
      <w:bookmarkStart w:id="243" w:name="_Toc25172"/>
      <w:bookmarkStart w:id="244" w:name="_Toc23573"/>
      <w:bookmarkStart w:id="245" w:name="_Toc5251"/>
      <w:bookmarkStart w:id="246" w:name="_Toc26261"/>
      <w:bookmarkStart w:id="247" w:name="_Toc6585"/>
      <w:bookmarkStart w:id="248" w:name="_Toc30938"/>
      <w:bookmarkStart w:id="249" w:name="_Toc18334"/>
      <w:bookmarkStart w:id="250" w:name="_Toc8490"/>
      <w:bookmarkStart w:id="251" w:name="_Toc20680"/>
      <w:bookmarkStart w:id="252" w:name="_Toc30367"/>
      <w:bookmarkStart w:id="253" w:name="_Toc9766"/>
      <w:bookmarkStart w:id="254" w:name="_Toc3164"/>
      <w:bookmarkStart w:id="255" w:name="_Toc31442"/>
      <w:bookmarkStart w:id="256" w:name="_Toc31972"/>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numPr>
          <w:ilvl w:val="0"/>
          <w:numId w:val="29"/>
        </w:numPr>
        <w:spacing w:line="360" w:lineRule="auto"/>
        <w:outlineLvl w:val="2"/>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ind w:left="80" w:leftChars="0" w:firstLine="482" w:firstLineChars="0"/>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5"/>
        <w:ind w:left="80" w:leftChars="0" w:firstLine="482" w:firstLineChars="0"/>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w:t>
      </w:r>
      <w:bookmarkStart w:id="366" w:name="_GoBack"/>
      <w:bookmarkEnd w:id="366"/>
      <w:r>
        <w:rPr>
          <w:rFonts w:hint="eastAsia" w:ascii="宋体" w:hAnsi="宋体" w:cs="宋体"/>
          <w:color w:val="auto"/>
          <w:highlight w:val="none"/>
        </w:rPr>
        <w:t>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四、经磋商小组评审，最后报价符合竞争性磋商文件要求的供应商不足三家的(符合《财政部关于政府采购竞争性磋商采购方式管理暂行办法有关问题的补充通知》财库【2015】124号文要求的除外)。</w:t>
      </w:r>
    </w:p>
    <w:p>
      <w:pPr>
        <w:pStyle w:val="5"/>
        <w:ind w:left="80" w:leftChars="0" w:firstLine="482" w:firstLineChars="0"/>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4"/>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widowControl w:val="0"/>
        <w:numPr>
          <w:ilvl w:val="0"/>
          <w:numId w:val="30"/>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评分标准</w:t>
      </w:r>
    </w:p>
    <w:tbl>
      <w:tblPr>
        <w:tblStyle w:val="44"/>
        <w:tblpPr w:leftFromText="180" w:rightFromText="180" w:vertAnchor="text" w:horzAnchor="page" w:tblpX="1057" w:tblpY="450"/>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085"/>
        <w:gridCol w:w="7048"/>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72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7048" w:type="dxa"/>
            <w:noWrap w:val="0"/>
            <w:tcMar>
              <w:top w:w="0" w:type="dxa"/>
              <w:left w:w="80" w:type="dxa"/>
              <w:bottom w:w="0" w:type="dxa"/>
              <w:right w:w="0" w:type="dxa"/>
            </w:tcMar>
            <w:vAlign w:val="top"/>
          </w:tcPr>
          <w:p>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72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技术类评委</w:t>
            </w:r>
          </w:p>
        </w:tc>
        <w:tc>
          <w:tcPr>
            <w:tcW w:w="1085" w:type="dxa"/>
            <w:vMerge w:val="restart"/>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p>
        </w:tc>
        <w:tc>
          <w:tcPr>
            <w:tcW w:w="7048" w:type="dxa"/>
            <w:noWrap w:val="0"/>
            <w:tcMar>
              <w:top w:w="0" w:type="dxa"/>
              <w:left w:w="80" w:type="dxa"/>
              <w:bottom w:w="0" w:type="dxa"/>
              <w:right w:w="0" w:type="dxa"/>
            </w:tcMar>
            <w:vAlign w:val="center"/>
          </w:tcPr>
          <w:p>
            <w:pPr>
              <w:pStyle w:val="201"/>
              <w:keepNext w:val="0"/>
              <w:keepLines w:val="0"/>
              <w:pageBreakBefore w:val="0"/>
              <w:widowControl w:val="0"/>
              <w:kinsoku/>
              <w:overflowPunct/>
              <w:bidi w:val="0"/>
              <w:adjustRightInd w:val="0"/>
              <w:snapToGrid w:val="0"/>
              <w:spacing w:line="360" w:lineRule="auto"/>
              <w:ind w:left="0" w:leftChars="0"/>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根据供应商针对本项目提供的服务方案（包含①内部管控制度②车辆维修、保养方案；③车辆清洁、美容方案；④服务人员配置方案；⑤文明服务方案；⑥安全管理方案；⑦服务质量保障方案；⑧用户投诉处理方案）进行评定。方案完整、详细、合理、完全贴合本项目实际的得16分；每有一项缺项扣2分；每有一处不合理/有偏差/有漏洞/与实际不符/过于简略/存在无关的内容的扣1分，扣完为止。</w:t>
            </w:r>
          </w:p>
        </w:tc>
        <w:tc>
          <w:tcPr>
            <w:tcW w:w="72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rPr>
            </w:pPr>
          </w:p>
        </w:tc>
        <w:tc>
          <w:tcPr>
            <w:tcW w:w="1085"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7048" w:type="dxa"/>
            <w:noWrap w:val="0"/>
            <w:tcMar>
              <w:top w:w="0" w:type="dxa"/>
              <w:left w:w="80" w:type="dxa"/>
              <w:bottom w:w="0" w:type="dxa"/>
              <w:right w:w="0" w:type="dxa"/>
            </w:tcMar>
            <w:vAlign w:val="center"/>
          </w:tcPr>
          <w:p>
            <w:pPr>
              <w:keepNext w:val="0"/>
              <w:keepLines w:val="0"/>
              <w:pageBreakBefore w:val="0"/>
              <w:numPr>
                <w:ilvl w:val="0"/>
                <w:numId w:val="0"/>
              </w:numPr>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根据供应商</w:t>
            </w:r>
            <w:r>
              <w:rPr>
                <w:rFonts w:hint="eastAsia" w:ascii="宋体" w:hAnsi="宋体" w:cs="宋体"/>
                <w:color w:val="auto"/>
                <w:kern w:val="0"/>
                <w:sz w:val="24"/>
                <w:szCs w:val="24"/>
                <w:highlight w:val="none"/>
                <w:lang w:val="en-US" w:eastAsia="zh-CN"/>
              </w:rPr>
              <w:t>针对本项目</w:t>
            </w:r>
            <w:r>
              <w:rPr>
                <w:rFonts w:hint="eastAsia" w:ascii="宋体" w:hAnsi="宋体" w:eastAsia="宋体" w:cs="宋体"/>
                <w:color w:val="auto"/>
                <w:kern w:val="0"/>
                <w:sz w:val="24"/>
                <w:szCs w:val="24"/>
                <w:highlight w:val="none"/>
              </w:rPr>
              <w:t>提供的服务措施和实施方案进行评分：制定了出车响应方案的，得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分；制定了驾驶员及服务人员管理方案的，得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分；制定了本地化服务方案并具备以下条件之一的，得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分：(1)承诺</w:t>
            </w:r>
            <w:r>
              <w:rPr>
                <w:rFonts w:hint="eastAsia" w:ascii="宋体" w:hAnsi="宋体" w:eastAsia="宋体" w:cs="宋体"/>
                <w:color w:val="auto"/>
                <w:kern w:val="0"/>
                <w:sz w:val="24"/>
                <w:szCs w:val="24"/>
                <w:highlight w:val="none"/>
                <w:lang w:val="en-US" w:eastAsia="zh-CN"/>
              </w:rPr>
              <w:t>成交后</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项目所在地</w:t>
            </w:r>
            <w:r>
              <w:rPr>
                <w:rFonts w:hint="eastAsia" w:ascii="宋体" w:hAnsi="宋体" w:eastAsia="宋体" w:cs="宋体"/>
                <w:color w:val="auto"/>
                <w:kern w:val="0"/>
                <w:sz w:val="24"/>
                <w:szCs w:val="24"/>
                <w:highlight w:val="none"/>
              </w:rPr>
              <w:t>开设固定营业门店的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项目所在地</w:t>
            </w:r>
            <w:r>
              <w:rPr>
                <w:rFonts w:hint="eastAsia" w:ascii="宋体" w:hAnsi="宋体" w:eastAsia="宋体" w:cs="宋体"/>
                <w:color w:val="auto"/>
                <w:kern w:val="0"/>
                <w:sz w:val="24"/>
                <w:szCs w:val="24"/>
                <w:highlight w:val="none"/>
              </w:rPr>
              <w:t>已开设营业门店的（提供</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营业门店清单。清单应附门店的房屋租赁合同或自有房屋证明材料、地址、负责人姓名、电话）。未制定前述方案的，不得分。</w:t>
            </w:r>
          </w:p>
        </w:tc>
        <w:tc>
          <w:tcPr>
            <w:tcW w:w="72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restart"/>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共同评审</w:t>
            </w:r>
          </w:p>
        </w:tc>
        <w:tc>
          <w:tcPr>
            <w:tcW w:w="1085" w:type="dxa"/>
            <w:vMerge w:val="restart"/>
            <w:noWrap w:val="0"/>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提供拟被租赁的自有车辆的车辆保险</w:t>
            </w: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第三者责任保险保额：30万元以下的，不得分；30万元≤保额＜50万元的，每1辆车得0.5分；50万元≤保额＜100万元的，每1辆车得1分；保额100万元及以上的，每1辆车得1.5分。本项最多得12分。</w:t>
            </w:r>
          </w:p>
          <w:p>
            <w:pPr>
              <w:pStyle w:val="2"/>
              <w:keepNext w:val="0"/>
              <w:keepLines w:val="0"/>
              <w:pageBreakBefore w:val="0"/>
              <w:kinsoku/>
              <w:wordWrap/>
              <w:overflowPunct/>
              <w:topLinePunct w:val="0"/>
              <w:bidi w:val="0"/>
              <w:snapToGrid/>
              <w:spacing w:line="360" w:lineRule="auto"/>
              <w:textAlignment w:val="auto"/>
              <w:rPr>
                <w:rFonts w:hint="eastAsia"/>
                <w:lang w:val="en-US" w:eastAsia="zh-CN"/>
              </w:rPr>
            </w:pPr>
            <w:r>
              <w:rPr>
                <w:rFonts w:hint="eastAsia" w:ascii="宋体" w:hAnsi="宋体" w:eastAsia="宋体" w:cs="宋体"/>
                <w:color w:val="auto"/>
                <w:sz w:val="24"/>
                <w:szCs w:val="24"/>
                <w:highlight w:val="none"/>
                <w:lang w:val="en-US" w:eastAsia="zh-CN"/>
              </w:rPr>
              <w:t>（说明：</w:t>
            </w:r>
            <w:r>
              <w:rPr>
                <w:rFonts w:hint="eastAsia" w:ascii="宋体" w:hAnsi="宋体" w:eastAsia="宋体" w:cs="宋体"/>
                <w:color w:val="auto"/>
                <w:kern w:val="0"/>
                <w:sz w:val="24"/>
                <w:szCs w:val="24"/>
                <w:highlight w:val="none"/>
              </w:rPr>
              <w:t>①提供</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自有车辆在保险合同有效期内的商业险保单复印件；②提供每辆车的行驶证复印件；③进口汽车、4.0升以上的越野车不计算在内。</w:t>
            </w:r>
            <w:r>
              <w:rPr>
                <w:rFonts w:hint="eastAsia" w:ascii="宋体" w:hAnsi="宋体" w:eastAsia="宋体" w:cs="宋体"/>
                <w:color w:val="auto"/>
                <w:sz w:val="24"/>
                <w:szCs w:val="24"/>
                <w:highlight w:val="none"/>
                <w:lang w:val="en-US" w:eastAsia="zh-CN"/>
              </w:rPr>
              <w:t>）</w:t>
            </w:r>
          </w:p>
        </w:tc>
        <w:tc>
          <w:tcPr>
            <w:tcW w:w="72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lang w:val="en-US" w:eastAsia="zh-CN"/>
              </w:rPr>
            </w:pPr>
          </w:p>
        </w:tc>
        <w:tc>
          <w:tcPr>
            <w:tcW w:w="108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cs="宋体"/>
                <w:color w:val="0D0D0D"/>
                <w:sz w:val="24"/>
                <w:lang w:val="en-US" w:eastAsia="zh-CN"/>
              </w:rPr>
            </w:pPr>
            <w:r>
              <w:rPr>
                <w:rFonts w:hint="eastAsia" w:ascii="宋体" w:hAnsi="宋体" w:eastAsia="宋体" w:cs="宋体"/>
                <w:color w:val="auto"/>
                <w:kern w:val="0"/>
                <w:sz w:val="24"/>
                <w:szCs w:val="24"/>
                <w:highlight w:val="none"/>
              </w:rPr>
              <w:t>车上人员责任险应全员（核载乘客数）购买，仅购买部分人员的该项不得分；车上人员责任险1万/人≤保额＜2万/人的,每1辆车得0.5分；2万/人≤保额＜5万/人的，每1辆车得1分；</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万/人≤保额＜</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万/人的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每1辆车得1.5分；保额10万元/人</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以上的，每1辆车得2分。本项最多得18分。</w:t>
            </w:r>
            <w:r>
              <w:rPr>
                <w:rFonts w:hint="eastAsia" w:ascii="宋体" w:hAnsi="宋体" w:eastAsia="宋体" w:cs="宋体"/>
                <w:color w:val="auto"/>
                <w:sz w:val="24"/>
                <w:szCs w:val="24"/>
                <w:highlight w:val="none"/>
                <w:lang w:val="en-US" w:eastAsia="zh-CN"/>
              </w:rPr>
              <w:t>（说明：</w:t>
            </w:r>
            <w:r>
              <w:rPr>
                <w:rFonts w:hint="eastAsia" w:ascii="宋体" w:hAnsi="宋体" w:eastAsia="宋体" w:cs="宋体"/>
                <w:color w:val="auto"/>
                <w:kern w:val="0"/>
                <w:sz w:val="24"/>
                <w:szCs w:val="24"/>
                <w:highlight w:val="none"/>
              </w:rPr>
              <w:t>①提供</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自有车辆在保险合同有效期内的商业险保单复印件；②提供每辆车的行驶证复印件；③进口汽车、4.0升以上的越野车不计算在内。</w:t>
            </w:r>
            <w:r>
              <w:rPr>
                <w:rFonts w:hint="eastAsia" w:ascii="宋体" w:hAnsi="宋体" w:eastAsia="宋体" w:cs="宋体"/>
                <w:color w:val="auto"/>
                <w:sz w:val="24"/>
                <w:szCs w:val="24"/>
                <w:highlight w:val="none"/>
                <w:lang w:val="en-US" w:eastAsia="zh-CN"/>
              </w:rPr>
              <w:t>）</w:t>
            </w:r>
          </w:p>
        </w:tc>
        <w:tc>
          <w:tcPr>
            <w:tcW w:w="72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cs="宋体"/>
                <w:color w:val="0D0D0D"/>
                <w:sz w:val="24"/>
                <w:lang w:val="en-US" w:eastAsia="zh-CN"/>
              </w:rPr>
            </w:pPr>
            <w:r>
              <w:rPr>
                <w:rFonts w:hint="eastAsia" w:ascii="宋体" w:hAnsi="宋体" w:eastAsia="宋体" w:cs="宋体"/>
                <w:color w:val="auto"/>
                <w:kern w:val="0"/>
                <w:sz w:val="24"/>
                <w:szCs w:val="24"/>
                <w:highlight w:val="none"/>
              </w:rPr>
              <w:t>18</w:t>
            </w:r>
            <w:r>
              <w:rPr>
                <w:rFonts w:hint="eastAsia" w:ascii="宋体" w:hAnsi="宋体" w:eastAsia="宋体" w:cs="宋体"/>
                <w:color w:val="auto"/>
                <w:kern w:val="0"/>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lang w:val="en-US" w:eastAsia="zh-CN"/>
              </w:rPr>
            </w:pPr>
          </w:p>
        </w:tc>
        <w:tc>
          <w:tcPr>
            <w:tcW w:w="1085" w:type="dxa"/>
            <w:noWrap w:val="0"/>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提供拟被租赁的自有车辆车龄构成</w:t>
            </w: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cs="宋体"/>
                <w:color w:val="0D0D0D"/>
                <w:sz w:val="24"/>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提供拟被租赁的自有车辆的购置时间为201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月1日（含）以后的自有车辆的情况：</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0辆（不含）及以下的，不得分；</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辆，得3分，</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辆的，得6分；</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辆-</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含</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辆的，得9分；</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1辆</w:t>
            </w:r>
            <w:r>
              <w:rPr>
                <w:rFonts w:hint="eastAsia" w:ascii="宋体" w:hAnsi="宋体" w:cs="宋体"/>
                <w:color w:val="auto"/>
                <w:kern w:val="0"/>
                <w:sz w:val="24"/>
                <w:szCs w:val="24"/>
                <w:highlight w:val="none"/>
                <w:lang w:val="en-US" w:eastAsia="zh-CN"/>
              </w:rPr>
              <w:t>及以上</w:t>
            </w:r>
            <w:r>
              <w:rPr>
                <w:rFonts w:hint="eastAsia" w:ascii="宋体" w:hAnsi="宋体" w:eastAsia="宋体" w:cs="宋体"/>
                <w:color w:val="auto"/>
                <w:kern w:val="0"/>
                <w:sz w:val="24"/>
                <w:szCs w:val="24"/>
                <w:highlight w:val="none"/>
              </w:rPr>
              <w:t>的，得12分。</w:t>
            </w:r>
            <w:r>
              <w:rPr>
                <w:rFonts w:hint="eastAsia" w:ascii="宋体" w:hAnsi="宋体" w:cs="宋体"/>
                <w:color w:val="auto"/>
                <w:kern w:val="0"/>
                <w:sz w:val="24"/>
                <w:szCs w:val="24"/>
                <w:highlight w:val="none"/>
                <w:lang w:val="en-US" w:eastAsia="zh-CN"/>
              </w:rPr>
              <w:t>车辆中每有1辆新能源车的，加1分，最多加4分。本项最多得16分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说明：</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val="en-US" w:eastAsia="zh-CN"/>
              </w:rPr>
              <w:t>车辆清单和</w:t>
            </w:r>
            <w:r>
              <w:rPr>
                <w:rFonts w:hint="eastAsia" w:ascii="宋体" w:hAnsi="宋体" w:eastAsia="宋体" w:cs="宋体"/>
                <w:color w:val="auto"/>
                <w:kern w:val="0"/>
                <w:sz w:val="24"/>
                <w:szCs w:val="24"/>
                <w:highlight w:val="none"/>
              </w:rPr>
              <w:t>每辆自有车辆的行驶证复印件；新能源汽车应提供新能源汽车登记证书复印件；进口汽车、4.0升以上的越野车不计算在内。</w:t>
            </w:r>
            <w:r>
              <w:rPr>
                <w:rFonts w:hint="eastAsia" w:ascii="宋体" w:hAnsi="宋体" w:eastAsia="宋体" w:cs="宋体"/>
                <w:color w:val="auto"/>
                <w:kern w:val="0"/>
                <w:sz w:val="24"/>
                <w:szCs w:val="24"/>
                <w:highlight w:val="none"/>
                <w:lang w:eastAsia="zh-CN"/>
              </w:rPr>
              <w:t>）</w:t>
            </w:r>
          </w:p>
        </w:tc>
        <w:tc>
          <w:tcPr>
            <w:tcW w:w="72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lang w:val="en-US" w:eastAsia="zh-CN"/>
              </w:rPr>
            </w:pPr>
          </w:p>
        </w:tc>
        <w:tc>
          <w:tcPr>
            <w:tcW w:w="1085" w:type="dxa"/>
            <w:noWrap w:val="0"/>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履约能力</w:t>
            </w:r>
          </w:p>
        </w:tc>
        <w:tc>
          <w:tcPr>
            <w:tcW w:w="7048" w:type="dxa"/>
            <w:noWrap w:val="0"/>
            <w:tcMar>
              <w:top w:w="0" w:type="dxa"/>
              <w:left w:w="80" w:type="dxa"/>
              <w:bottom w:w="0" w:type="dxa"/>
              <w:right w:w="0" w:type="dxa"/>
            </w:tcMar>
            <w:vAlign w:val="center"/>
          </w:tcPr>
          <w:p>
            <w:pPr>
              <w:pStyle w:val="43"/>
              <w:keepNext w:val="0"/>
              <w:keepLines w:val="0"/>
              <w:pageBreakBefore w:val="0"/>
              <w:shd w:val="clear" w:color="auto" w:fill="auto"/>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供应商2018年</w:t>
            </w:r>
            <w:r>
              <w:rPr>
                <w:rFonts w:hint="eastAsia" w:hAnsi="宋体" w:cs="宋体"/>
                <w:color w:val="auto"/>
                <w:kern w:val="0"/>
                <w:sz w:val="24"/>
                <w:szCs w:val="24"/>
                <w:highlight w:val="none"/>
                <w:lang w:val="en-US" w:eastAsia="zh-CN" w:bidi="ar-SA"/>
              </w:rPr>
              <w:t>1月1日</w:t>
            </w:r>
            <w:r>
              <w:rPr>
                <w:rFonts w:hint="eastAsia" w:ascii="宋体" w:hAnsi="宋体" w:eastAsia="宋体" w:cs="宋体"/>
                <w:color w:val="auto"/>
                <w:kern w:val="0"/>
                <w:sz w:val="24"/>
                <w:szCs w:val="24"/>
                <w:highlight w:val="none"/>
                <w:lang w:val="en-US" w:eastAsia="zh-CN" w:bidi="ar-SA"/>
              </w:rPr>
              <w:t>以来具有类似项目业绩的，一个得0.5分，最多得10分。（说明：提供合同复印件。）</w:t>
            </w:r>
          </w:p>
        </w:tc>
        <w:tc>
          <w:tcPr>
            <w:tcW w:w="720" w:type="dxa"/>
            <w:noWrap w:val="0"/>
            <w:vAlign w:val="center"/>
          </w:tcPr>
          <w:p>
            <w:pPr>
              <w:pStyle w:val="2"/>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lang w:val="en-US" w:eastAsia="zh-CN"/>
              </w:rPr>
            </w:pPr>
          </w:p>
        </w:tc>
        <w:tc>
          <w:tcPr>
            <w:tcW w:w="1085"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综合实力</w:t>
            </w:r>
          </w:p>
        </w:tc>
        <w:tc>
          <w:tcPr>
            <w:tcW w:w="7048" w:type="dxa"/>
            <w:noWrap w:val="0"/>
            <w:tcMar>
              <w:top w:w="0" w:type="dxa"/>
              <w:left w:w="80" w:type="dxa"/>
              <w:bottom w:w="0" w:type="dxa"/>
              <w:right w:w="0" w:type="dxa"/>
            </w:tcMar>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rPr>
              <w:t>有专业的车辆调度中心或车辆调度部门的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得3分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说明：提供相关证明材料</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w:t>
            </w:r>
          </w:p>
        </w:tc>
        <w:tc>
          <w:tcPr>
            <w:tcW w:w="720" w:type="dxa"/>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lang w:val="en-US" w:eastAsia="zh-CN"/>
              </w:rPr>
            </w:pPr>
          </w:p>
        </w:tc>
        <w:tc>
          <w:tcPr>
            <w:tcW w:w="1085"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7048" w:type="dxa"/>
            <w:noWrap w:val="0"/>
            <w:tcMar>
              <w:top w:w="0" w:type="dxa"/>
              <w:left w:w="80" w:type="dxa"/>
              <w:bottom w:w="0" w:type="dxa"/>
              <w:right w:w="0" w:type="dxa"/>
            </w:tcMar>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rPr>
              <w:t>具有车辆维修和维护保养设施的，得3分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说明：提供相关证明材料</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w:t>
            </w:r>
          </w:p>
        </w:tc>
        <w:tc>
          <w:tcPr>
            <w:tcW w:w="720" w:type="dxa"/>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3"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文件的规范性</w:t>
            </w: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文件制作规范，没有细微偏差情形的得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分；有一项细微偏差扣0.5分，直至该项分值扣完为止。</w:t>
            </w:r>
          </w:p>
        </w:tc>
        <w:tc>
          <w:tcPr>
            <w:tcW w:w="720" w:type="dxa"/>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p>
        </w:tc>
        <w:tc>
          <w:tcPr>
            <w:tcW w:w="108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不发达地区和少数民族地区</w:t>
            </w: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如为不发达地区或少数民族地区的，得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分。（说明：</w:t>
            </w: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营业执照注册地址为准</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w:t>
            </w:r>
          </w:p>
        </w:tc>
        <w:tc>
          <w:tcPr>
            <w:tcW w:w="720" w:type="dxa"/>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bl>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5"/>
        <w:ind w:left="80" w:leftChars="0" w:firstLine="482" w:firstLineChars="0"/>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应当根据综合评分情况，按照评审得分由高到低顺序推荐3名以上成交候选供应商(符合《财政部关于政府采购竞争性磋商采购方式管理暂行办法有关问题的补充通知》财库【2015】124号文要求的除外)，并编写评审报告。评审得分相同的，按照最后报价由低到高的顺序推荐。评审得分且最后报价相同的，按照技术指标优劣顺序推荐。</w:t>
      </w:r>
    </w:p>
    <w:p>
      <w:pPr>
        <w:pStyle w:val="4"/>
        <w:rPr>
          <w:color w:val="auto"/>
          <w:highlight w:val="none"/>
        </w:rPr>
      </w:pPr>
      <w:bookmarkStart w:id="257" w:name="_Toc32037"/>
      <w:bookmarkStart w:id="258" w:name="_Toc287623648"/>
      <w:r>
        <w:rPr>
          <w:rFonts w:hint="eastAsia"/>
          <w:color w:val="auto"/>
          <w:highlight w:val="none"/>
        </w:rPr>
        <w:t>确定成交供应商</w:t>
      </w:r>
      <w:bookmarkEnd w:id="257"/>
      <w:bookmarkEnd w:id="258"/>
    </w:p>
    <w:p>
      <w:pPr>
        <w:pStyle w:val="5"/>
        <w:ind w:left="80" w:leftChars="0" w:firstLine="482" w:firstLineChars="0"/>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本项目根据磋商小组推荐的成交候选人名单，按顺序确定成交供应商。</w:t>
      </w:r>
    </w:p>
    <w:p>
      <w:pPr>
        <w:pStyle w:val="5"/>
        <w:ind w:left="80" w:leftChars="0" w:firstLine="482" w:firstLineChars="0"/>
        <w:rPr>
          <w:rFonts w:cs="宋体"/>
          <w:color w:val="auto"/>
          <w:szCs w:val="24"/>
          <w:highlight w:val="none"/>
        </w:rPr>
      </w:pPr>
      <w:r>
        <w:rPr>
          <w:rFonts w:hint="eastAsia" w:cs="宋体"/>
          <w:color w:val="auto"/>
          <w:szCs w:val="24"/>
          <w:highlight w:val="none"/>
        </w:rPr>
        <w:t>定标程序</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1"/>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2"/>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59" w:name="_Toc287623649"/>
      <w:r>
        <w:rPr>
          <w:rFonts w:hint="eastAsia" w:ascii="宋体" w:hAnsi="宋体" w:cs="宋体"/>
          <w:color w:val="auto"/>
          <w:highlight w:val="none"/>
        </w:rPr>
        <w:t>成交候选供应商存在违法、违纪行为的；</w:t>
      </w:r>
    </w:p>
    <w:p>
      <w:pPr>
        <w:numPr>
          <w:ilvl w:val="1"/>
          <w:numId w:val="32"/>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highlight w:val="none"/>
        </w:rPr>
      </w:pPr>
      <w:bookmarkStart w:id="260" w:name="_Toc25990"/>
      <w:r>
        <w:rPr>
          <w:rFonts w:hint="eastAsia"/>
          <w:color w:val="auto"/>
          <w:highlight w:val="none"/>
        </w:rPr>
        <w:t>成交</w:t>
      </w:r>
      <w:bookmarkEnd w:id="259"/>
      <w:r>
        <w:rPr>
          <w:rFonts w:hint="eastAsia"/>
          <w:color w:val="auto"/>
          <w:highlight w:val="none"/>
        </w:rPr>
        <w:t>结果</w:t>
      </w:r>
      <w:bookmarkEnd w:id="260"/>
    </w:p>
    <w:p>
      <w:pPr>
        <w:widowControl w:val="0"/>
        <w:numPr>
          <w:ilvl w:val="0"/>
          <w:numId w:val="33"/>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3"/>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成交结果公告发布后，成交供应商应当按照公告规定及时领取成交通知书。需要交纳履约保证金的，应当及时向采购人交纳。</w:t>
      </w:r>
      <w:r>
        <w:rPr>
          <w:rFonts w:hint="eastAsia" w:ascii="宋体" w:hAnsi="宋体"/>
          <w:color w:val="auto"/>
          <w:highlight w:val="none"/>
        </w:rPr>
        <w:t>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4"/>
        <w:rPr>
          <w:color w:val="auto"/>
          <w:highlight w:val="none"/>
        </w:rPr>
      </w:pPr>
      <w:bookmarkStart w:id="261" w:name="_Toc405886181"/>
      <w:bookmarkStart w:id="262" w:name="_Toc10068"/>
      <w:r>
        <w:rPr>
          <w:rFonts w:hint="eastAsia"/>
          <w:color w:val="auto"/>
          <w:highlight w:val="none"/>
        </w:rPr>
        <w:t>询问、质疑</w:t>
      </w:r>
      <w:bookmarkEnd w:id="261"/>
      <w:r>
        <w:rPr>
          <w:rFonts w:hint="eastAsia"/>
          <w:color w:val="auto"/>
          <w:highlight w:val="none"/>
        </w:rPr>
        <w:t>和投诉</w:t>
      </w:r>
      <w:bookmarkEnd w:id="262"/>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cs="宋体"/>
          <w:bCs/>
          <w:color w:val="auto"/>
          <w:kern w:val="36"/>
          <w:sz w:val="24"/>
          <w:highlight w:val="none"/>
        </w:rPr>
        <w:t>&lt;中华人民共和国政府采购法实施条例&gt;等的若干规定</w:t>
      </w:r>
      <w:r>
        <w:rPr>
          <w:rFonts w:hint="eastAsia" w:ascii="宋体" w:hAnsi="宋体" w:cs="宋体"/>
          <w:color w:val="auto"/>
          <w:sz w:val="24"/>
          <w:highlight w:val="none"/>
        </w:rPr>
        <w:t>》的规定办理。</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遵守“实事求是”和“谨慎性”原则，不得进行虚假、恶意质疑，不得以质疑为手段获取不当得利、实现非法目的。</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供应商对采购人、代理机构的质疑答复不满意，或者采购人、代理机构未在规定期限内作出答复的，供应商可以在答复期满后15个工作日内向同级财政部门提起投诉。</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供应商在法定质疑期内一次性提出针对同一采购程序环节的质疑。</w:t>
      </w:r>
    </w:p>
    <w:p>
      <w:pPr>
        <w:pStyle w:val="4"/>
        <w:rPr>
          <w:color w:val="auto"/>
          <w:highlight w:val="none"/>
        </w:rPr>
      </w:pPr>
      <w:bookmarkStart w:id="263" w:name="_Toc287623650"/>
      <w:bookmarkStart w:id="264" w:name="_Toc7239"/>
      <w:r>
        <w:rPr>
          <w:rFonts w:hint="eastAsia"/>
          <w:color w:val="auto"/>
          <w:highlight w:val="none"/>
        </w:rPr>
        <w:t>签订合同</w:t>
      </w:r>
      <w:bookmarkEnd w:id="263"/>
      <w:bookmarkEnd w:id="264"/>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5"/>
        </w:numPr>
        <w:tabs>
          <w:tab w:val="left" w:pos="1134"/>
        </w:tabs>
        <w:snapToGrid w:val="0"/>
        <w:spacing w:line="360" w:lineRule="auto"/>
        <w:ind w:firstLine="480" w:firstLineChars="200"/>
        <w:rPr>
          <w:rFonts w:ascii="宋体" w:hAnsi="宋体" w:cs="宋体"/>
          <w:color w:val="auto"/>
          <w:highlight w:val="none"/>
        </w:rPr>
      </w:pPr>
      <w:bookmarkStart w:id="265"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265"/>
    <w:p>
      <w:pPr>
        <w:pStyle w:val="4"/>
        <w:rPr>
          <w:color w:val="auto"/>
          <w:highlight w:val="none"/>
        </w:rPr>
      </w:pPr>
      <w:bookmarkStart w:id="266" w:name="_Toc19655"/>
      <w:bookmarkStart w:id="267" w:name="_Toc217446070"/>
      <w:r>
        <w:rPr>
          <w:rFonts w:hint="eastAsia"/>
          <w:color w:val="auto"/>
          <w:highlight w:val="none"/>
        </w:rPr>
        <w:t>采购人增加合同的权利</w:t>
      </w:r>
      <w:bookmarkEnd w:id="266"/>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highlight w:val="none"/>
        </w:rPr>
      </w:pPr>
      <w:bookmarkStart w:id="268" w:name="_Toc4588"/>
      <w:r>
        <w:rPr>
          <w:rFonts w:hint="eastAsia"/>
          <w:color w:val="auto"/>
          <w:highlight w:val="none"/>
        </w:rPr>
        <w:t>履行合同</w:t>
      </w:r>
      <w:bookmarkEnd w:id="268"/>
    </w:p>
    <w:p>
      <w:pPr>
        <w:widowControl w:val="0"/>
        <w:numPr>
          <w:ilvl w:val="0"/>
          <w:numId w:val="3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val="en-US" w:eastAsia="zh-CN"/>
        </w:rPr>
        <w:t>中华人民共和国民法典</w:t>
      </w:r>
      <w:r>
        <w:rPr>
          <w:rFonts w:hint="eastAsia" w:ascii="宋体" w:hAnsi="宋体" w:cs="宋体"/>
          <w:color w:val="auto"/>
          <w:highlight w:val="none"/>
        </w:rPr>
        <w:t>》及合同条款的有关规定进行处理。</w:t>
      </w:r>
    </w:p>
    <w:bookmarkEnd w:id="267"/>
    <w:p>
      <w:pPr>
        <w:pStyle w:val="4"/>
        <w:rPr>
          <w:color w:val="auto"/>
          <w:highlight w:val="none"/>
        </w:rPr>
      </w:pPr>
      <w:bookmarkStart w:id="269" w:name="_Toc28801"/>
      <w:r>
        <w:rPr>
          <w:rFonts w:hint="eastAsia"/>
          <w:color w:val="auto"/>
          <w:highlight w:val="none"/>
        </w:rPr>
        <w:t>竞争性磋商工作纪律及要求</w:t>
      </w:r>
      <w:bookmarkEnd w:id="269"/>
    </w:p>
    <w:p>
      <w:pPr>
        <w:pStyle w:val="5"/>
        <w:ind w:left="80" w:leftChars="0" w:firstLine="482" w:firstLineChars="0"/>
        <w:rPr>
          <w:rFonts w:cs="宋体"/>
          <w:color w:val="auto"/>
          <w:szCs w:val="24"/>
          <w:highlight w:val="none"/>
        </w:rPr>
      </w:pPr>
      <w:bookmarkStart w:id="270" w:name="_Toc421781446"/>
      <w:bookmarkStart w:id="271" w:name="_Toc320698748"/>
      <w:r>
        <w:rPr>
          <w:rFonts w:hint="eastAsia" w:cs="宋体"/>
          <w:color w:val="auto"/>
          <w:szCs w:val="24"/>
          <w:highlight w:val="none"/>
        </w:rPr>
        <w:t>采购人工作职责</w:t>
      </w:r>
      <w:bookmarkEnd w:id="270"/>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271"/>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72" w:name="_Toc421781447"/>
      <w:bookmarkStart w:id="273" w:name="_Toc320698749"/>
      <w:r>
        <w:rPr>
          <w:rFonts w:hint="eastAsia" w:cs="宋体"/>
          <w:color w:val="auto"/>
          <w:szCs w:val="24"/>
          <w:highlight w:val="none"/>
        </w:rPr>
        <w:t>采购执行机构工作职责</w:t>
      </w:r>
      <w:bookmarkEnd w:id="272"/>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273"/>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74" w:name="_Toc421781448"/>
      <w:bookmarkStart w:id="275" w:name="_Toc320698750"/>
      <w:r>
        <w:rPr>
          <w:rFonts w:hint="eastAsia" w:cs="宋体"/>
          <w:color w:val="auto"/>
          <w:szCs w:val="24"/>
          <w:highlight w:val="none"/>
        </w:rPr>
        <w:t>磋商小组工作职责</w:t>
      </w:r>
      <w:bookmarkEnd w:id="274"/>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275"/>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76" w:name="_Toc421781449"/>
      <w:bookmarkStart w:id="277" w:name="_Toc320698751"/>
      <w:r>
        <w:rPr>
          <w:rFonts w:hint="eastAsia" w:cs="宋体"/>
          <w:color w:val="auto"/>
          <w:szCs w:val="24"/>
          <w:highlight w:val="none"/>
        </w:rPr>
        <w:t>供应商职责</w:t>
      </w:r>
      <w:bookmarkEnd w:id="276"/>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277"/>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highlight w:val="none"/>
        </w:rPr>
      </w:pPr>
      <w:bookmarkStart w:id="278" w:name="_Toc29924"/>
      <w:r>
        <w:rPr>
          <w:rFonts w:hint="eastAsia"/>
          <w:color w:val="auto"/>
          <w:highlight w:val="none"/>
        </w:rPr>
        <w:t>回避</w:t>
      </w:r>
      <w:bookmarkEnd w:id="278"/>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279" w:name="_Toc18631"/>
      <w:r>
        <w:rPr>
          <w:rFonts w:hint="eastAsia"/>
          <w:color w:val="auto"/>
          <w:highlight w:val="none"/>
        </w:rPr>
        <w:t>其他</w:t>
      </w:r>
      <w:bookmarkEnd w:id="279"/>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1"/>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280" w:name="_Toc9643"/>
      <w:r>
        <w:rPr>
          <w:rFonts w:hint="eastAsia"/>
          <w:color w:val="auto"/>
          <w:highlight w:val="none"/>
        </w:rPr>
        <w:t>项目技术、服务及其他要求</w:t>
      </w:r>
      <w:bookmarkEnd w:id="280"/>
    </w:p>
    <w:p>
      <w:pPr>
        <w:pStyle w:val="4"/>
        <w:pageBreakBefore w:val="0"/>
        <w:kinsoku/>
        <w:wordWrap/>
        <w:overflowPunct/>
        <w:topLinePunct w:val="0"/>
        <w:bidi w:val="0"/>
        <w:spacing w:line="420" w:lineRule="exact"/>
        <w:textAlignment w:val="auto"/>
        <w:rPr>
          <w:color w:val="auto"/>
          <w:sz w:val="24"/>
          <w:szCs w:val="24"/>
          <w:highlight w:val="none"/>
        </w:rPr>
      </w:pPr>
      <w:bookmarkStart w:id="281" w:name="_Toc21060"/>
      <w:bookmarkStart w:id="282" w:name="_Toc23195"/>
      <w:r>
        <w:rPr>
          <w:rFonts w:hint="eastAsia"/>
          <w:color w:val="auto"/>
          <w:sz w:val="24"/>
          <w:szCs w:val="24"/>
          <w:highlight w:val="none"/>
          <w:lang w:val="en-US" w:eastAsia="zh-CN"/>
        </w:rPr>
        <w:t>项目概况</w:t>
      </w:r>
      <w:bookmarkEnd w:id="281"/>
    </w:p>
    <w:p>
      <w:pPr>
        <w:pageBreakBefore w:val="0"/>
        <w:kinsoku/>
        <w:wordWrap/>
        <w:overflowPunct/>
        <w:topLinePunct w:val="0"/>
        <w:bidi w:val="0"/>
        <w:spacing w:after="163" w:line="420" w:lineRule="exact"/>
        <w:ind w:firstLine="480" w:firstLineChars="200"/>
        <w:textAlignment w:val="auto"/>
        <w:rPr>
          <w:rFonts w:hint="eastAsia"/>
          <w:color w:val="auto"/>
          <w:highlight w:val="none"/>
        </w:rPr>
      </w:pPr>
      <w:r>
        <w:rPr>
          <w:rFonts w:hint="default" w:ascii="宋体" w:hAnsi="宋体" w:eastAsia="宋体" w:cs="宋体"/>
          <w:color w:val="auto"/>
          <w:sz w:val="24"/>
          <w:szCs w:val="24"/>
          <w:highlight w:val="none"/>
          <w:lang w:val="en-US" w:eastAsia="zh-CN"/>
        </w:rPr>
        <w:t>为落实政府购买社会服务政策要求，依据国家相关规定和政府采购相关法律法规，</w:t>
      </w:r>
      <w:r>
        <w:rPr>
          <w:rFonts w:hint="eastAsia" w:ascii="宋体" w:hAnsi="宋体" w:eastAsia="宋体" w:cs="宋体"/>
          <w:color w:val="auto"/>
          <w:sz w:val="24"/>
          <w:szCs w:val="24"/>
          <w:highlight w:val="none"/>
          <w:lang w:val="en-US" w:eastAsia="zh-CN"/>
        </w:rPr>
        <w:t>本项目拟通过竞争性磋商采购</w:t>
      </w:r>
      <w:r>
        <w:rPr>
          <w:rFonts w:hint="default" w:ascii="宋体" w:hAnsi="宋体" w:eastAsia="宋体" w:cs="宋体"/>
          <w:color w:val="auto"/>
          <w:sz w:val="24"/>
          <w:szCs w:val="24"/>
          <w:highlight w:val="none"/>
          <w:lang w:val="en-US" w:eastAsia="zh-CN"/>
        </w:rPr>
        <w:t>方式确定</w:t>
      </w:r>
      <w:r>
        <w:rPr>
          <w:rFonts w:hint="eastAsia" w:ascii="宋体" w:hAnsi="宋体" w:eastAsia="宋体" w:cs="宋体"/>
          <w:color w:val="auto"/>
          <w:sz w:val="24"/>
          <w:szCs w:val="24"/>
          <w:highlight w:val="none"/>
          <w:lang w:val="en-US" w:eastAsia="zh-CN"/>
        </w:rPr>
        <w:t>一名供应商，为采购人提供工作</w:t>
      </w:r>
      <w:r>
        <w:rPr>
          <w:rFonts w:hint="default" w:ascii="宋体" w:hAnsi="宋体" w:eastAsia="宋体" w:cs="宋体"/>
          <w:color w:val="auto"/>
          <w:sz w:val="24"/>
          <w:szCs w:val="24"/>
          <w:highlight w:val="none"/>
          <w:lang w:val="en-US" w:eastAsia="zh-CN"/>
        </w:rPr>
        <w:t>出行车辆租赁服务，以满足日常</w:t>
      </w:r>
      <w:r>
        <w:rPr>
          <w:rFonts w:hint="eastAsia" w:ascii="宋体" w:hAnsi="宋体" w:eastAsia="宋体" w:cs="宋体"/>
          <w:color w:val="auto"/>
          <w:sz w:val="24"/>
          <w:szCs w:val="24"/>
          <w:highlight w:val="none"/>
          <w:lang w:val="en-US" w:eastAsia="zh-CN"/>
        </w:rPr>
        <w:t>工作</w:t>
      </w:r>
      <w:r>
        <w:rPr>
          <w:rFonts w:hint="default" w:ascii="宋体" w:hAnsi="宋体" w:eastAsia="宋体" w:cs="宋体"/>
          <w:color w:val="auto"/>
          <w:sz w:val="24"/>
          <w:szCs w:val="24"/>
          <w:highlight w:val="none"/>
          <w:lang w:val="en-US" w:eastAsia="zh-CN"/>
        </w:rPr>
        <w:t>出行需求。</w:t>
      </w:r>
    </w:p>
    <w:p>
      <w:pPr>
        <w:pStyle w:val="4"/>
        <w:pageBreakBefore w:val="0"/>
        <w:kinsoku/>
        <w:wordWrap/>
        <w:overflowPunct/>
        <w:topLinePunct w:val="0"/>
        <w:bidi w:val="0"/>
        <w:spacing w:line="420" w:lineRule="exact"/>
        <w:textAlignment w:val="auto"/>
        <w:rPr>
          <w:rFonts w:hint="eastAsia" w:ascii="宋体" w:hAnsi="宋体" w:eastAsia="宋体" w:cs="宋体"/>
          <w:color w:val="auto"/>
          <w:sz w:val="24"/>
          <w:szCs w:val="24"/>
          <w:lang w:val="en-US" w:eastAsia="zh-CN"/>
        </w:rPr>
      </w:pPr>
      <w:bookmarkStart w:id="283" w:name="_Toc23517"/>
      <w:r>
        <w:rPr>
          <w:rFonts w:hint="eastAsia" w:ascii="宋体" w:hAnsi="宋体" w:eastAsia="宋体" w:cs="宋体"/>
          <w:color w:val="auto"/>
          <w:sz w:val="24"/>
          <w:szCs w:val="24"/>
          <w:highlight w:val="none"/>
          <w:lang w:val="en-US" w:eastAsia="zh-CN"/>
        </w:rPr>
        <w:t>服务内容</w:t>
      </w:r>
      <w:bookmarkEnd w:id="282"/>
      <w:bookmarkEnd w:id="283"/>
      <w:bookmarkStart w:id="284" w:name="_Toc26098"/>
    </w:p>
    <w:p>
      <w:pPr>
        <w:pStyle w:val="5"/>
        <w:pageBreakBefore w:val="0"/>
        <w:kinsoku/>
        <w:wordWrap/>
        <w:overflowPunct/>
        <w:topLinePunct w:val="0"/>
        <w:bidi w:val="0"/>
        <w:spacing w:line="420" w:lineRule="exact"/>
        <w:ind w:left="0" w:leftChars="0" w:firstLine="482" w:firstLineChars="200"/>
        <w:textAlignment w:val="auto"/>
        <w:rPr>
          <w:rFonts w:hint="eastAsia"/>
        </w:rPr>
      </w:pPr>
      <w:r>
        <w:rPr>
          <w:rFonts w:hint="eastAsia"/>
          <w:lang w:val="en-US" w:eastAsia="zh-CN"/>
        </w:rPr>
        <w:t>车辆租赁模式</w:t>
      </w:r>
    </w:p>
    <w:p>
      <w:pPr>
        <w:keepNext w:val="0"/>
        <w:keepLines w:val="0"/>
        <w:pageBreakBefore w:val="0"/>
        <w:widowControl w:val="0"/>
        <w:numPr>
          <w:ilvl w:val="0"/>
          <w:numId w:val="42"/>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第一种：只提供车辆租赁采购人自行驾驶的服务；</w:t>
      </w:r>
    </w:p>
    <w:p>
      <w:pPr>
        <w:keepNext w:val="0"/>
        <w:keepLines w:val="0"/>
        <w:pageBreakBefore w:val="0"/>
        <w:widowControl w:val="0"/>
        <w:numPr>
          <w:ilvl w:val="0"/>
          <w:numId w:val="42"/>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第二种：需驾驶员的车辆租赁服务。</w:t>
      </w:r>
    </w:p>
    <w:p>
      <w:pPr>
        <w:pStyle w:val="5"/>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租赁车辆类型（包括但不限于）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含小型、中</w:t>
      </w:r>
      <w:r>
        <w:rPr>
          <w:rFonts w:hint="eastAsia" w:ascii="宋体" w:hAnsi="宋体" w:eastAsia="宋体" w:cs="宋体"/>
          <w:color w:val="auto"/>
          <w:sz w:val="24"/>
          <w:szCs w:val="24"/>
          <w:highlight w:val="none"/>
          <w:lang w:val="en-US" w:eastAsia="zh-CN"/>
        </w:rPr>
        <w:t>型</w:t>
      </w:r>
      <w:r>
        <w:rPr>
          <w:rFonts w:hint="default" w:ascii="宋体" w:hAnsi="宋体" w:eastAsia="宋体" w:cs="宋体"/>
          <w:color w:val="auto"/>
          <w:sz w:val="24"/>
          <w:szCs w:val="24"/>
          <w:highlight w:val="none"/>
          <w:lang w:val="en-US" w:eastAsia="zh-CN"/>
        </w:rPr>
        <w:t>、大型车辆租赁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具体数量以实际工作需要为准。</w:t>
      </w:r>
    </w:p>
    <w:p>
      <w:pPr>
        <w:pStyle w:val="4"/>
        <w:pageBreakBefore w:val="0"/>
        <w:kinsoku/>
        <w:wordWrap/>
        <w:overflowPunct/>
        <w:topLinePunct w:val="0"/>
        <w:bidi w:val="0"/>
        <w:spacing w:line="420" w:lineRule="exact"/>
        <w:textAlignment w:val="auto"/>
        <w:rPr>
          <w:rFonts w:hint="eastAsia" w:ascii="宋体" w:hAnsi="宋体" w:eastAsia="宋体" w:cs="宋体"/>
          <w:sz w:val="24"/>
          <w:szCs w:val="24"/>
          <w:lang w:val="en-US" w:eastAsia="zh-CN"/>
        </w:rPr>
      </w:pPr>
      <w:bookmarkStart w:id="285" w:name="_Toc17754"/>
      <w:r>
        <w:rPr>
          <w:rFonts w:hint="eastAsia" w:cs="宋体"/>
          <w:sz w:val="24"/>
          <w:szCs w:val="24"/>
          <w:lang w:val="en-US" w:eastAsia="zh-CN"/>
        </w:rPr>
        <w:t>车辆要求</w:t>
      </w:r>
      <w:bookmarkEnd w:id="285"/>
    </w:p>
    <w:p>
      <w:pPr>
        <w:pStyle w:val="5"/>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供应商投入本项目使用的所有车辆车龄均须在5年以内，车况良好</w:t>
      </w:r>
      <w:r>
        <w:rPr>
          <w:rFonts w:hint="default" w:ascii="宋体" w:hAnsi="宋体" w:eastAsia="宋体" w:cs="宋体"/>
          <w:b w:val="0"/>
          <w:bCs w:val="0"/>
          <w:color w:val="auto"/>
          <w:sz w:val="24"/>
          <w:szCs w:val="24"/>
          <w:highlight w:val="none"/>
          <w:lang w:val="en-US" w:eastAsia="zh-CN"/>
        </w:rPr>
        <w:t>各项设施设备及使用功能正常</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未发生过重大交通事故</w:t>
      </w:r>
      <w:r>
        <w:rPr>
          <w:rFonts w:hint="eastAsia" w:ascii="宋体" w:hAnsi="宋体" w:eastAsia="宋体" w:cs="宋体"/>
          <w:b w:val="0"/>
          <w:bCs w:val="0"/>
          <w:color w:val="auto"/>
          <w:sz w:val="24"/>
          <w:szCs w:val="24"/>
          <w:highlight w:val="none"/>
          <w:lang w:val="en-US" w:eastAsia="zh-CN"/>
        </w:rPr>
        <w:t>。车辆须证照齐全，提供上路行驶所需的各种证、照、年检标记、排放合格标记、税缴讫证（含交强险卡片、商业险卡片）及其他随车服务卡（单）、随车工具（脚架、灭火器）及备用轮胎等。不具备大型客车运输资质的供应商可租赁其他社会车辆。</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★供应商须承诺，成交后参与本项目服务的车辆必须与响应文件一致，服务车辆增减、更换须报采购人备案，供应商不得收取租赁车辆押金</w:t>
      </w:r>
      <w:r>
        <w:rPr>
          <w:rFonts w:hint="eastAsia" w:ascii="宋体" w:hAnsi="宋体" w:cs="宋体"/>
          <w:b w:val="0"/>
          <w:bCs w:val="0"/>
          <w:color w:val="auto"/>
          <w:sz w:val="24"/>
          <w:szCs w:val="24"/>
          <w:highlight w:val="none"/>
          <w:lang w:val="en-US" w:eastAsia="zh-CN"/>
        </w:rPr>
        <w:t>和服务车辆接送费用</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（提供承诺函）</w:t>
      </w:r>
    </w:p>
    <w:p>
      <w:pPr>
        <w:pStyle w:val="5"/>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供应商须为投入本项目使用的所有车辆购买车辆</w:t>
      </w:r>
      <w:r>
        <w:rPr>
          <w:rFonts w:hint="eastAsia" w:ascii="宋体" w:hAnsi="宋体" w:cs="宋体"/>
          <w:b w:val="0"/>
          <w:bCs w:val="0"/>
          <w:color w:val="auto"/>
          <w:sz w:val="24"/>
          <w:szCs w:val="24"/>
          <w:highlight w:val="none"/>
          <w:lang w:val="en-US" w:eastAsia="zh-CN"/>
        </w:rPr>
        <w:t>交强险。</w:t>
      </w:r>
      <w:r>
        <w:rPr>
          <w:rFonts w:hint="eastAsia" w:ascii="宋体" w:hAnsi="宋体" w:eastAsia="宋体" w:cs="宋体"/>
          <w:b/>
          <w:bCs/>
          <w:color w:val="auto"/>
          <w:sz w:val="24"/>
          <w:szCs w:val="24"/>
          <w:highlight w:val="none"/>
          <w:lang w:val="en-US" w:eastAsia="zh-CN"/>
        </w:rPr>
        <w:t>（提供承诺函）</w:t>
      </w:r>
    </w:p>
    <w:p>
      <w:pPr>
        <w:pStyle w:val="5"/>
        <w:pageBreakBefore w:val="0"/>
        <w:kinsoku/>
        <w:wordWrap/>
        <w:overflowPunct/>
        <w:topLinePunct w:val="0"/>
        <w:bidi w:val="0"/>
        <w:spacing w:line="420" w:lineRule="exact"/>
        <w:ind w:left="0" w:leftChars="0" w:firstLine="480" w:firstLineChars="200"/>
        <w:textAlignment w:val="auto"/>
        <w:rPr>
          <w:rFonts w:hint="eastAsia"/>
          <w:lang w:val="en-US" w:eastAsia="zh-CN"/>
        </w:rPr>
      </w:pPr>
      <w:r>
        <w:rPr>
          <w:rFonts w:hint="default" w:ascii="宋体" w:hAnsi="宋体" w:eastAsia="宋体" w:cs="宋体"/>
          <w:b w:val="0"/>
          <w:bCs w:val="0"/>
          <w:color w:val="auto"/>
          <w:sz w:val="24"/>
          <w:szCs w:val="24"/>
          <w:highlight w:val="none"/>
          <w:lang w:val="en-US" w:eastAsia="zh-CN"/>
        </w:rPr>
        <w:t>供应商为投入本项目使用的所有车辆购买</w:t>
      </w:r>
      <w:r>
        <w:rPr>
          <w:rFonts w:hint="eastAsia" w:ascii="宋体" w:hAnsi="宋体" w:cs="宋体"/>
          <w:b w:val="0"/>
          <w:bCs w:val="0"/>
          <w:color w:val="auto"/>
          <w:sz w:val="24"/>
          <w:szCs w:val="24"/>
          <w:highlight w:val="none"/>
          <w:lang w:val="en-US" w:eastAsia="zh-CN"/>
        </w:rPr>
        <w:t>商业险，</w:t>
      </w:r>
      <w:r>
        <w:rPr>
          <w:rFonts w:hint="default" w:ascii="宋体" w:hAnsi="宋体" w:eastAsia="宋体" w:cs="宋体"/>
          <w:b w:val="0"/>
          <w:bCs w:val="0"/>
          <w:color w:val="auto"/>
          <w:sz w:val="24"/>
          <w:szCs w:val="24"/>
          <w:highlight w:val="none"/>
          <w:lang w:val="en-US" w:eastAsia="zh-CN"/>
        </w:rPr>
        <w:t>商业险至少包括以下险种：车损险（按车辆实际价值全额投保）、车上人员责任险（包括司机和乘客）、第三者责任险、盗抢险（按车辆实际价值全额投保）、基本险不计免赔特约条款等，保险费用由供应商承担</w:t>
      </w:r>
      <w:r>
        <w:rPr>
          <w:rFonts w:hint="eastAsia" w:ascii="宋体" w:hAnsi="宋体" w:eastAsia="宋体" w:cs="宋体"/>
          <w:b w:val="0"/>
          <w:bCs w:val="0"/>
          <w:color w:val="auto"/>
          <w:sz w:val="24"/>
          <w:szCs w:val="24"/>
          <w:highlight w:val="none"/>
          <w:lang w:val="en-US" w:eastAsia="zh-CN"/>
        </w:rPr>
        <w:t>。</w:t>
      </w:r>
    </w:p>
    <w:p>
      <w:pPr>
        <w:pStyle w:val="4"/>
        <w:pageBreakBefore w:val="0"/>
        <w:kinsoku/>
        <w:wordWrap/>
        <w:overflowPunct/>
        <w:topLinePunct w:val="0"/>
        <w:bidi w:val="0"/>
        <w:spacing w:line="420" w:lineRule="exact"/>
        <w:textAlignment w:val="auto"/>
        <w:rPr>
          <w:rFonts w:hint="eastAsia" w:ascii="宋体" w:hAnsi="宋体" w:eastAsia="宋体" w:cs="宋体"/>
          <w:sz w:val="24"/>
          <w:szCs w:val="24"/>
          <w:lang w:val="en-US" w:eastAsia="zh-CN"/>
        </w:rPr>
      </w:pPr>
      <w:bookmarkStart w:id="286" w:name="_Toc6328"/>
      <w:r>
        <w:rPr>
          <w:rFonts w:hint="eastAsia" w:cs="宋体"/>
          <w:sz w:val="24"/>
          <w:szCs w:val="24"/>
          <w:lang w:val="en-US" w:eastAsia="zh-CN"/>
        </w:rPr>
        <w:t>人员要求</w:t>
      </w:r>
      <w:bookmarkEnd w:id="286"/>
    </w:p>
    <w:p>
      <w:pPr>
        <w:pStyle w:val="5"/>
        <w:pageBreakBefore w:val="0"/>
        <w:kinsoku/>
        <w:wordWrap/>
        <w:overflowPunct/>
        <w:topLinePunct w:val="0"/>
        <w:bidi w:val="0"/>
        <w:spacing w:line="420" w:lineRule="exact"/>
        <w:ind w:left="0" w:leftChars="0" w:firstLine="482" w:firstLineChars="200"/>
        <w:textAlignment w:val="auto"/>
        <w:rPr>
          <w:rFonts w:hint="eastAsia"/>
          <w:lang w:val="en-US" w:eastAsia="zh-CN"/>
        </w:rPr>
      </w:pPr>
      <w:r>
        <w:rPr>
          <w:rFonts w:hint="eastAsia"/>
          <w:lang w:val="en-US" w:eastAsia="zh-CN"/>
        </w:rPr>
        <w:t>驾驶人员要求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供应商提供的驾驶员须身体健康、品行端正，年龄在50岁以内，且驾龄在5年以上；驾驶人员持有《中华人民共和国机动车驾驶证》，具备大型客车运输的供应商须提供驾驶人员持有《中华人民共和国机动车驾驶证》和《中华人民共和国道路运输驾驶员从业资格证》</w:t>
      </w:r>
      <w:r>
        <w:rPr>
          <w:rFonts w:hint="eastAsia" w:ascii="宋体" w:hAnsi="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【提供</w:t>
      </w:r>
      <w:r>
        <w:rPr>
          <w:rFonts w:hint="eastAsia" w:ascii="宋体" w:hAnsi="宋体" w:cs="宋体"/>
          <w:b/>
          <w:bCs/>
          <w:color w:val="auto"/>
          <w:sz w:val="24"/>
          <w:szCs w:val="24"/>
          <w:highlight w:val="none"/>
          <w:lang w:val="en-US" w:eastAsia="zh-CN"/>
        </w:rPr>
        <w:t>至少</w:t>
      </w:r>
      <w:r>
        <w:rPr>
          <w:rFonts w:hint="eastAsia" w:ascii="宋体" w:hAnsi="宋体" w:eastAsia="宋体" w:cs="宋体"/>
          <w:b/>
          <w:bCs/>
          <w:color w:val="auto"/>
          <w:sz w:val="24"/>
          <w:szCs w:val="24"/>
          <w:highlight w:val="none"/>
          <w:lang w:val="en-US" w:eastAsia="zh-CN"/>
        </w:rPr>
        <w:t>6名驾驶人员(至少1名具备大型客车运输资格的驾驶员）相关证件复印件、劳动合同复印件及身份证复印件并加盖供应商公章。】</w:t>
      </w:r>
    </w:p>
    <w:p>
      <w:pPr>
        <w:pStyle w:val="5"/>
        <w:pageBreakBefore w:val="0"/>
        <w:kinsoku/>
        <w:wordWrap/>
        <w:overflowPunct/>
        <w:topLinePunct w:val="0"/>
        <w:bidi w:val="0"/>
        <w:spacing w:line="420" w:lineRule="exact"/>
        <w:ind w:left="0" w:leftChars="0" w:firstLine="482" w:firstLineChars="200"/>
        <w:textAlignment w:val="auto"/>
        <w:rPr>
          <w:rFonts w:hint="eastAsia"/>
          <w:lang w:val="en-US" w:eastAsia="zh-CN"/>
        </w:rPr>
      </w:pPr>
      <w:r>
        <w:rPr>
          <w:rFonts w:hint="eastAsia"/>
          <w:lang w:val="en-US" w:eastAsia="zh-CN"/>
        </w:rPr>
        <w:t>团队人员要求</w:t>
      </w:r>
    </w:p>
    <w:p>
      <w:pPr>
        <w:pStyle w:val="5"/>
        <w:pageBreakBefore w:val="0"/>
        <w:numPr>
          <w:ilvl w:val="2"/>
          <w:numId w:val="0"/>
        </w:numPr>
        <w:kinsoku/>
        <w:wordWrap/>
        <w:overflowPunct/>
        <w:topLinePunct w:val="0"/>
        <w:bidi w:val="0"/>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供应商应具有素质过硬、经验丰富、具备相应技术能力的管理、技术、服务团队。供应商须在龙泉驿拥有至少</w:t>
      </w:r>
      <w:r>
        <w:rPr>
          <w:rFonts w:hint="eastAsia"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人的管理、技术、服务团队（含至少</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名取得安全员资格证书的安全员）。</w:t>
      </w:r>
      <w:r>
        <w:rPr>
          <w:rFonts w:hint="eastAsia" w:ascii="宋体" w:hAnsi="宋体" w:eastAsia="宋体" w:cs="宋体"/>
          <w:b/>
          <w:bCs/>
          <w:color w:val="auto"/>
          <w:sz w:val="24"/>
          <w:szCs w:val="24"/>
          <w:highlight w:val="none"/>
          <w:lang w:val="en-US" w:eastAsia="zh-CN"/>
        </w:rPr>
        <w:t>提供人员资料（职务职位、专业技术能力情况，以及身份证、资格证书和劳动合同复印件等资料）</w:t>
      </w:r>
      <w:r>
        <w:rPr>
          <w:rFonts w:hint="eastAsia" w:ascii="宋体" w:hAnsi="宋体" w:eastAsia="宋体" w:cs="宋体"/>
          <w:b w:val="0"/>
          <w:bCs w:val="0"/>
          <w:color w:val="auto"/>
          <w:sz w:val="24"/>
          <w:szCs w:val="24"/>
          <w:highlight w:val="none"/>
          <w:lang w:val="en-US" w:eastAsia="zh-CN"/>
        </w:rPr>
        <w:t>，且更换相关人员须报采购人备案。</w:t>
      </w:r>
    </w:p>
    <w:p>
      <w:pPr>
        <w:pStyle w:val="4"/>
        <w:pageBreakBefore w:val="0"/>
        <w:kinsoku/>
        <w:wordWrap/>
        <w:overflowPunct/>
        <w:topLinePunct w:val="0"/>
        <w:bidi w:val="0"/>
        <w:spacing w:line="420" w:lineRule="exact"/>
        <w:textAlignment w:val="auto"/>
        <w:rPr>
          <w:rFonts w:hint="eastAsia" w:ascii="宋体" w:hAnsi="宋体" w:eastAsia="宋体" w:cs="宋体"/>
          <w:sz w:val="24"/>
          <w:szCs w:val="24"/>
          <w:lang w:val="en-US" w:eastAsia="zh-CN"/>
        </w:rPr>
      </w:pPr>
      <w:bookmarkStart w:id="287" w:name="_Toc18190"/>
      <w:r>
        <w:rPr>
          <w:rFonts w:hint="eastAsia" w:cs="宋体"/>
          <w:sz w:val="24"/>
          <w:szCs w:val="24"/>
          <w:lang w:val="en-US" w:eastAsia="zh-CN"/>
        </w:rPr>
        <w:t>其他要求</w:t>
      </w:r>
      <w:bookmarkEnd w:id="287"/>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供应商制定公务车辆租赁服务流程，最终服务流程基于响应文件的基础上与采购人协商后在合同中约定。</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供应商应自觉接受采购人的监督检查，有下列情况之一的，采购人有权要求其整改，未按要求整改或整改不到位，采购人有权单方面终止采购合同：</w:t>
      </w:r>
    </w:p>
    <w:p>
      <w:pPr>
        <w:keepNext w:val="0"/>
        <w:keepLines w:val="0"/>
        <w:pageBreakBefore w:val="0"/>
        <w:widowControl/>
        <w:numPr>
          <w:ilvl w:val="0"/>
          <w:numId w:val="43"/>
        </w:numPr>
        <w:suppressLineNumbers w:val="0"/>
        <w:kinsoku/>
        <w:wordWrap/>
        <w:overflowPunct/>
        <w:topLinePunct w:val="0"/>
        <w:autoSpaceDE/>
        <w:autoSpaceDN/>
        <w:bidi w:val="0"/>
        <w:spacing w:line="420" w:lineRule="exact"/>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擅自提高租车价格，增加收费项目，不履行磋商服务承诺的；</w:t>
      </w:r>
    </w:p>
    <w:p>
      <w:pPr>
        <w:keepNext w:val="0"/>
        <w:keepLines w:val="0"/>
        <w:pageBreakBefore w:val="0"/>
        <w:widowControl/>
        <w:numPr>
          <w:ilvl w:val="0"/>
          <w:numId w:val="43"/>
        </w:numPr>
        <w:suppressLineNumbers w:val="0"/>
        <w:kinsoku/>
        <w:wordWrap/>
        <w:overflowPunct/>
        <w:topLinePunct w:val="0"/>
        <w:autoSpaceDE/>
        <w:autoSpaceDN/>
        <w:bidi w:val="0"/>
        <w:spacing w:line="420" w:lineRule="exact"/>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未按采购要求提供驾驶员、购买保险或提供车辆不符合采购要求的；</w:t>
      </w:r>
    </w:p>
    <w:p>
      <w:pPr>
        <w:keepNext w:val="0"/>
        <w:keepLines w:val="0"/>
        <w:pageBreakBefore w:val="0"/>
        <w:widowControl/>
        <w:numPr>
          <w:ilvl w:val="0"/>
          <w:numId w:val="43"/>
        </w:numPr>
        <w:suppressLineNumbers w:val="0"/>
        <w:kinsoku/>
        <w:wordWrap/>
        <w:overflowPunct/>
        <w:topLinePunct w:val="0"/>
        <w:autoSpaceDE/>
        <w:autoSpaceDN/>
        <w:bidi w:val="0"/>
        <w:spacing w:line="420" w:lineRule="exact"/>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给予采购人所属用车单位或个人回扣、礼品，代为报销其它费用或虚开发票的；</w:t>
      </w:r>
    </w:p>
    <w:p>
      <w:pPr>
        <w:keepNext w:val="0"/>
        <w:keepLines w:val="0"/>
        <w:pageBreakBefore w:val="0"/>
        <w:widowControl/>
        <w:numPr>
          <w:ilvl w:val="0"/>
          <w:numId w:val="43"/>
        </w:numPr>
        <w:suppressLineNumbers w:val="0"/>
        <w:kinsoku/>
        <w:wordWrap/>
        <w:overflowPunct/>
        <w:topLinePunct w:val="0"/>
        <w:autoSpaceDE/>
        <w:autoSpaceDN/>
        <w:bidi w:val="0"/>
        <w:spacing w:line="420" w:lineRule="exact"/>
        <w:ind w:left="0" w:leftChars="0"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有其他违反采购文件、合同和《中华人民共和国政府采购法》规定行为的。</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供应商须认真执行国家的各项安全方针、政策，严格遵守《中华人民共和国道路交通安全法》、《中华人民共和国安全生产法》、《四川省生产经营单位安全生产责任规定》</w:t>
      </w:r>
      <w:r>
        <w:rPr>
          <w:rFonts w:hint="eastAsia" w:cs="宋体"/>
          <w:b w:val="0"/>
          <w:bCs w:val="0"/>
          <w:color w:val="auto"/>
          <w:sz w:val="24"/>
          <w:szCs w:val="24"/>
          <w:highlight w:val="none"/>
          <w:lang w:val="en-US" w:eastAsia="zh-CN"/>
        </w:rPr>
        <w:t>、《汽车租赁服务规范》</w:t>
      </w:r>
      <w:r>
        <w:rPr>
          <w:rFonts w:hint="eastAsia" w:ascii="宋体" w:hAnsi="宋体" w:eastAsia="宋体" w:cs="宋体"/>
          <w:b w:val="0"/>
          <w:bCs w:val="0"/>
          <w:color w:val="auto"/>
          <w:sz w:val="24"/>
          <w:szCs w:val="24"/>
          <w:highlight w:val="none"/>
          <w:lang w:val="en-US" w:eastAsia="zh-CN"/>
        </w:rPr>
        <w:t>和《四川省交通厅关于贯彻落实省政府办公厅四川省道路旅客运输驾驶员安全行为规范的通知》等法律、法规，保证公路客运交通安全，杜绝交通事故的发生。若承租的车辆发生保险事故时，由供应商负责索赔事宜，并承担相应法律责任。</w:t>
      </w:r>
    </w:p>
    <w:p>
      <w:pPr>
        <w:pageBreakBefore w:val="0"/>
        <w:kinsoku/>
        <w:wordWrap/>
        <w:overflowPunct/>
        <w:topLinePunct w:val="0"/>
        <w:bidi w:val="0"/>
        <w:spacing w:line="420" w:lineRule="exact"/>
        <w:textAlignment w:val="auto"/>
        <w:rPr>
          <w:rFonts w:hint="eastAsia"/>
          <w:lang w:val="en-US" w:eastAsia="zh-CN"/>
        </w:rPr>
      </w:pP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应承诺：所提供的租赁车辆及服务符合相关法律、法规的规定及相关的国家标准、行业标准。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提供承诺函</w:t>
      </w:r>
      <w:r>
        <w:rPr>
          <w:rFonts w:hint="eastAsia" w:ascii="宋体" w:hAnsi="宋体" w:eastAsia="宋体" w:cs="宋体"/>
          <w:b/>
          <w:bCs/>
          <w:color w:val="auto"/>
          <w:sz w:val="24"/>
          <w:szCs w:val="24"/>
          <w:highlight w:val="none"/>
        </w:rPr>
        <w:t>）</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rPr>
        <w:t>参加</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的供应商应取得交通运输行政部门关于从事汽车租赁或客车租赁的许可或备案</w:t>
      </w:r>
      <w:r>
        <w:rPr>
          <w:rFonts w:hint="eastAsia" w:ascii="宋体" w:hAnsi="宋体" w:eastAsia="宋体" w:cs="宋体"/>
          <w:b/>
          <w:bCs/>
          <w:color w:val="auto"/>
          <w:sz w:val="24"/>
          <w:szCs w:val="24"/>
          <w:highlight w:val="none"/>
        </w:rPr>
        <w:t>（提供相关证明材料复印件）</w:t>
      </w:r>
      <w:r>
        <w:rPr>
          <w:rFonts w:hint="eastAsia" w:ascii="宋体" w:hAnsi="宋体" w:eastAsia="宋体" w:cs="宋体"/>
          <w:color w:val="auto"/>
          <w:sz w:val="24"/>
          <w:szCs w:val="24"/>
          <w:highlight w:val="none"/>
        </w:rPr>
        <w:t>。</w:t>
      </w:r>
    </w:p>
    <w:p>
      <w:pPr>
        <w:pStyle w:val="5"/>
        <w:pageBreakBefore w:val="0"/>
        <w:kinsoku/>
        <w:wordWrap/>
        <w:overflowPunct/>
        <w:topLinePunct w:val="0"/>
        <w:bidi w:val="0"/>
        <w:spacing w:line="420" w:lineRule="exact"/>
        <w:ind w:left="0" w:leftChars="0" w:firstLine="480" w:firstLineChars="0"/>
        <w:textAlignment w:val="auto"/>
        <w:rPr>
          <w:rFonts w:hint="eastAsia"/>
          <w:b w:val="0"/>
          <w:bCs w:val="0"/>
          <w:color w:val="auto"/>
          <w:highlight w:val="none"/>
        </w:rPr>
      </w:pPr>
      <w:r>
        <w:rPr>
          <w:rFonts w:hint="eastAsia" w:ascii="宋体" w:hAnsi="宋体" w:eastAsia="宋体" w:cs="宋体"/>
          <w:b w:val="0"/>
          <w:bCs w:val="0"/>
          <w:color w:val="auto"/>
          <w:sz w:val="24"/>
          <w:szCs w:val="24"/>
          <w:highlight w:val="none"/>
          <w:lang w:val="en-US" w:eastAsia="zh-CN"/>
        </w:rPr>
        <w:t>★供应商需具有多个租车点位，且能在20分钟内将车辆送达</w:t>
      </w:r>
      <w:r>
        <w:rPr>
          <w:rFonts w:hint="eastAsia" w:ascii="宋体" w:hAnsi="宋体" w:cs="宋体"/>
          <w:b w:val="0"/>
          <w:bCs w:val="0"/>
          <w:color w:val="auto"/>
          <w:sz w:val="24"/>
          <w:szCs w:val="24"/>
          <w:highlight w:val="none"/>
          <w:lang w:val="en-US" w:eastAsia="zh-CN"/>
        </w:rPr>
        <w:t>采购人处</w:t>
      </w:r>
      <w:r>
        <w:rPr>
          <w:rFonts w:hint="eastAsia" w:ascii="宋体" w:hAnsi="宋体" w:eastAsia="宋体" w:cs="宋体"/>
          <w:b w:val="0"/>
          <w:bCs w:val="0"/>
          <w:color w:val="auto"/>
          <w:sz w:val="24"/>
          <w:szCs w:val="24"/>
          <w:highlight w:val="none"/>
          <w:lang w:val="en-US" w:eastAsia="zh-CN"/>
        </w:rPr>
        <w:t>，保障用车单位正常公务出行。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提供承诺函</w:t>
      </w:r>
      <w:r>
        <w:rPr>
          <w:rFonts w:hint="eastAsia" w:ascii="宋体" w:hAnsi="宋体" w:eastAsia="宋体" w:cs="宋体"/>
          <w:b/>
          <w:bCs/>
          <w:color w:val="auto"/>
          <w:sz w:val="24"/>
          <w:szCs w:val="24"/>
          <w:highlight w:val="none"/>
        </w:rPr>
        <w:t>）</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供应商应负责处理与服务人员之间的劳动争议，解决劳资纠纷，服务人员发生工伤、合同解除的补偿与赔偿等由供应商按照相关法律法规执行。合同期限内有服务人员离职应及时补充服务人员到岗。</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在提供服务期间，不限制服务车辆保险理赔次数</w:t>
      </w:r>
      <w:r>
        <w:rPr>
          <w:rFonts w:hint="eastAsia" w:ascii="宋体" w:hAnsi="宋体" w:eastAsia="宋体" w:cs="宋体"/>
          <w:b w:val="0"/>
          <w:bCs w:val="0"/>
          <w:color w:val="auto"/>
          <w:sz w:val="24"/>
          <w:szCs w:val="24"/>
          <w:highlight w:val="none"/>
          <w:lang w:val="en-US" w:eastAsia="zh-CN"/>
        </w:rPr>
        <w:t>。</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在提供服务期间，无论哪方责任，在次年均不收取保险递增费用以及车辆加速折旧费用</w:t>
      </w:r>
      <w:r>
        <w:rPr>
          <w:rFonts w:hint="eastAsia" w:ascii="宋体" w:hAnsi="宋体" w:eastAsia="宋体" w:cs="宋体"/>
          <w:b w:val="0"/>
          <w:bCs w:val="0"/>
          <w:color w:val="auto"/>
          <w:sz w:val="24"/>
          <w:szCs w:val="24"/>
          <w:highlight w:val="none"/>
          <w:lang w:val="en-US" w:eastAsia="zh-CN"/>
        </w:rPr>
        <w:t>。</w:t>
      </w:r>
    </w:p>
    <w:p>
      <w:pPr>
        <w:pStyle w:val="4"/>
        <w:pageBreakBefore w:val="0"/>
        <w:kinsoku/>
        <w:wordWrap/>
        <w:overflowPunct/>
        <w:topLinePunct w:val="0"/>
        <w:bidi w:val="0"/>
        <w:spacing w:line="420" w:lineRule="exact"/>
        <w:textAlignment w:val="auto"/>
        <w:rPr>
          <w:rFonts w:hint="eastAsia" w:ascii="宋体" w:hAnsi="宋体" w:eastAsia="宋体" w:cs="宋体"/>
          <w:sz w:val="24"/>
          <w:szCs w:val="24"/>
          <w:lang w:val="en-US" w:eastAsia="zh-CN"/>
        </w:rPr>
      </w:pPr>
      <w:bookmarkStart w:id="288" w:name="_Toc31466"/>
      <w:r>
        <w:rPr>
          <w:rFonts w:hint="eastAsia" w:ascii="宋体" w:hAnsi="宋体" w:eastAsia="宋体" w:cs="宋体"/>
          <w:sz w:val="24"/>
          <w:szCs w:val="24"/>
          <w:lang w:val="en-US" w:eastAsia="zh-CN"/>
        </w:rPr>
        <w:t>商务要求</w:t>
      </w:r>
      <w:bookmarkEnd w:id="288"/>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服务期限</w:t>
      </w:r>
    </w:p>
    <w:p>
      <w:pPr>
        <w:pStyle w:val="24"/>
        <w:pageBreakBefore w:val="0"/>
        <w:kinsoku/>
        <w:wordWrap/>
        <w:overflowPunct/>
        <w:topLinePunct w:val="0"/>
        <w:bidi w:val="0"/>
        <w:snapToGrid w:val="0"/>
        <w:spacing w:line="420" w:lineRule="exact"/>
        <w:ind w:firstLine="660" w:firstLineChars="275"/>
        <w:textAlignment w:val="auto"/>
        <w:rPr>
          <w:rFonts w:hint="default" w:ascii="宋体" w:hAnsi="宋体" w:eastAsia="宋体" w:cs="宋体"/>
          <w:bCs/>
          <w:sz w:val="24"/>
          <w:lang w:val="en-US" w:eastAsia="zh-CN"/>
        </w:rPr>
      </w:pPr>
      <w:r>
        <w:rPr>
          <w:rFonts w:hint="eastAsia" w:ascii="宋体" w:hAnsi="宋体" w:cs="宋体"/>
          <w:bCs/>
          <w:sz w:val="24"/>
        </w:rPr>
        <w:t>3年。</w:t>
      </w:r>
      <w:r>
        <w:rPr>
          <w:rFonts w:hint="eastAsia" w:hAnsi="宋体" w:cs="宋体"/>
          <w:bCs/>
          <w:sz w:val="24"/>
          <w:lang w:val="en-US" w:eastAsia="zh-CN"/>
        </w:rPr>
        <w:t>合同一年一签。</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付款方式</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default" w:ascii="宋体" w:hAnsi="宋体" w:eastAsia="宋体" w:cs="宋体"/>
          <w:b w:val="0"/>
          <w:bCs w:val="0"/>
          <w:color w:val="000000"/>
          <w:kern w:val="2"/>
          <w:sz w:val="24"/>
          <w:szCs w:val="24"/>
          <w:lang w:val="en-US" w:eastAsia="zh-CN" w:bidi="ar-SA"/>
        </w:rPr>
        <w:t>租赁费用按照月结方式进行支付，具体结算条款按照租赁合同执行。</w:t>
      </w:r>
      <w:r>
        <w:rPr>
          <w:rFonts w:hint="eastAsia" w:ascii="宋体" w:hAnsi="宋体" w:eastAsia="宋体" w:cs="宋体"/>
          <w:b w:val="0"/>
          <w:bCs w:val="0"/>
          <w:color w:val="000000"/>
          <w:kern w:val="2"/>
          <w:sz w:val="24"/>
          <w:szCs w:val="24"/>
          <w:lang w:val="en-US" w:eastAsia="zh-CN" w:bidi="ar-SA"/>
        </w:rPr>
        <w:t>采购人在收到供应商提供结算材料（合同中约定）并提供等额的正式发票后，支付租赁费用。采购人在预算范围内租赁及使用车辆。</w:t>
      </w:r>
    </w:p>
    <w:p>
      <w:pPr>
        <w:pStyle w:val="5"/>
        <w:pageBreakBefore w:val="0"/>
        <w:kinsoku/>
        <w:wordWrap/>
        <w:overflowPunct/>
        <w:topLinePunct w:val="0"/>
        <w:autoSpaceDE/>
        <w:autoSpaceDN/>
        <w:bidi w:val="0"/>
        <w:adjustRightInd/>
        <w:snapToGrid/>
        <w:spacing w:line="420" w:lineRule="exact"/>
        <w:ind w:left="0" w:leftChars="0" w:firstLine="480" w:firstLineChars="0"/>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 xml:space="preserve">验收方法和标准 </w:t>
      </w:r>
    </w:p>
    <w:bookmarkEnd w:id="284"/>
    <w:p>
      <w:pPr>
        <w:pageBreakBefore w:val="0"/>
        <w:widowControl w:val="0"/>
        <w:kinsoku/>
        <w:wordWrap/>
        <w:overflowPunct/>
        <w:topLinePunct w:val="0"/>
        <w:bidi w:val="0"/>
        <w:spacing w:line="420" w:lineRule="exact"/>
        <w:ind w:firstLine="480" w:firstLineChars="200"/>
        <w:textAlignment w:val="auto"/>
        <w:rPr>
          <w:rFonts w:hint="eastAsia"/>
          <w:color w:val="auto"/>
          <w:highlight w:val="none"/>
        </w:rPr>
      </w:pPr>
      <w:bookmarkStart w:id="289" w:name="_Toc21146"/>
      <w:r>
        <w:rPr>
          <w:rFonts w:hint="eastAsia" w:ascii="宋体" w:hAnsi="宋体" w:eastAsia="宋体" w:cs="宋体"/>
          <w:color w:val="auto"/>
          <w:sz w:val="24"/>
          <w:szCs w:val="28"/>
          <w:highlight w:val="none"/>
        </w:rPr>
        <w:t>按照《财政部关于进一步加强政府采购需求和履约验收管理的指导意见》（财库[2016]205号）执行。</w:t>
      </w:r>
    </w:p>
    <w:p>
      <w:pPr>
        <w:pStyle w:val="5"/>
        <w:pageBreakBefore w:val="0"/>
        <w:kinsoku/>
        <w:wordWrap/>
        <w:overflowPunct/>
        <w:topLinePunct w:val="0"/>
        <w:bidi w:val="0"/>
        <w:spacing w:line="420" w:lineRule="exact"/>
        <w:ind w:left="0" w:leftChars="0" w:firstLine="48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bookmarkEnd w:id="289"/>
    </w:p>
    <w:p>
      <w:pPr>
        <w:pageBreakBefore w:val="0"/>
        <w:tabs>
          <w:tab w:val="left" w:pos="0"/>
          <w:tab w:val="left" w:pos="585"/>
        </w:tabs>
        <w:kinsoku/>
        <w:wordWrap/>
        <w:overflowPunct/>
        <w:topLinePunct w:val="0"/>
        <w:autoSpaceDE/>
        <w:autoSpaceDN/>
        <w:bidi w:val="0"/>
        <w:adjustRightInd/>
        <w:snapToGrid/>
        <w:spacing w:line="420" w:lineRule="exact"/>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★本项目</w:t>
      </w:r>
      <w:r>
        <w:rPr>
          <w:rFonts w:hint="eastAsia" w:ascii="宋体" w:hAnsi="宋体" w:eastAsia="宋体" w:cs="宋体"/>
          <w:b/>
          <w:color w:val="auto"/>
          <w:kern w:val="0"/>
          <w:sz w:val="24"/>
          <w:szCs w:val="24"/>
          <w:highlight w:val="none"/>
          <w:lang w:val="en-US" w:eastAsia="zh-CN"/>
        </w:rPr>
        <w:t>最高限价</w:t>
      </w:r>
      <w:r>
        <w:rPr>
          <w:rFonts w:hint="eastAsia" w:ascii="宋体" w:hAnsi="宋体" w:cs="宋体"/>
          <w:b/>
          <w:color w:val="auto"/>
          <w:kern w:val="0"/>
          <w:sz w:val="24"/>
          <w:szCs w:val="24"/>
          <w:highlight w:val="none"/>
          <w:lang w:val="en-US" w:eastAsia="zh-CN"/>
        </w:rPr>
        <w:t>详见下表</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lang w:val="en-US" w:eastAsia="zh-CN"/>
        </w:rPr>
        <w:t>各类车型</w:t>
      </w:r>
      <w:r>
        <w:rPr>
          <w:rFonts w:hint="eastAsia" w:ascii="宋体" w:hAnsi="宋体" w:eastAsia="宋体" w:cs="宋体"/>
          <w:b/>
          <w:color w:val="auto"/>
          <w:kern w:val="0"/>
          <w:sz w:val="24"/>
          <w:szCs w:val="24"/>
          <w:highlight w:val="none"/>
          <w:lang w:eastAsia="zh-CN"/>
        </w:rPr>
        <w:t>基本租车费报</w:t>
      </w:r>
      <w:r>
        <w:rPr>
          <w:rFonts w:hint="eastAsia" w:ascii="宋体" w:hAnsi="宋体" w:eastAsia="宋体" w:cs="宋体"/>
          <w:b/>
          <w:color w:val="auto"/>
          <w:kern w:val="0"/>
          <w:sz w:val="24"/>
          <w:szCs w:val="24"/>
          <w:highlight w:val="none"/>
          <w:lang w:val="en-US" w:eastAsia="zh-CN"/>
        </w:rPr>
        <w:t>价</w:t>
      </w:r>
      <w:r>
        <w:rPr>
          <w:rFonts w:hint="eastAsia" w:ascii="宋体" w:hAnsi="宋体" w:eastAsia="宋体" w:cs="宋体"/>
          <w:b/>
          <w:color w:val="auto"/>
          <w:kern w:val="0"/>
          <w:sz w:val="24"/>
          <w:szCs w:val="24"/>
          <w:highlight w:val="none"/>
          <w:lang w:eastAsia="zh-CN"/>
        </w:rPr>
        <w:t>高于</w:t>
      </w:r>
      <w:r>
        <w:rPr>
          <w:rFonts w:hint="eastAsia" w:ascii="宋体" w:hAnsi="宋体" w:cs="宋体"/>
          <w:b/>
          <w:color w:val="auto"/>
          <w:kern w:val="0"/>
          <w:sz w:val="24"/>
          <w:szCs w:val="24"/>
          <w:highlight w:val="none"/>
          <w:lang w:val="en-US" w:eastAsia="zh-CN"/>
        </w:rPr>
        <w:t>其对应</w:t>
      </w:r>
      <w:r>
        <w:rPr>
          <w:rFonts w:hint="eastAsia" w:ascii="宋体" w:hAnsi="宋体" w:eastAsia="宋体" w:cs="宋体"/>
          <w:b/>
          <w:color w:val="auto"/>
          <w:kern w:val="0"/>
          <w:sz w:val="24"/>
          <w:szCs w:val="24"/>
          <w:highlight w:val="none"/>
          <w:lang w:eastAsia="zh-CN"/>
        </w:rPr>
        <w:t>最高限价</w:t>
      </w:r>
      <w:r>
        <w:rPr>
          <w:rFonts w:hint="eastAsia" w:ascii="宋体" w:hAnsi="宋体" w:eastAsia="宋体" w:cs="宋体"/>
          <w:b/>
          <w:color w:val="auto"/>
          <w:kern w:val="0"/>
          <w:sz w:val="24"/>
          <w:szCs w:val="24"/>
          <w:highlight w:val="none"/>
        </w:rPr>
        <w:t>的</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其</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文件将按无效</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文件处理。</w:t>
      </w:r>
      <w:r>
        <w:rPr>
          <w:rFonts w:hint="eastAsia" w:ascii="宋体" w:hAnsi="宋体" w:eastAsia="宋体" w:cs="宋体"/>
          <w:b/>
          <w:color w:val="auto"/>
          <w:sz w:val="24"/>
          <w:szCs w:val="24"/>
          <w:highlight w:val="none"/>
        </w:rPr>
        <w:t xml:space="preserve"> </w:t>
      </w:r>
    </w:p>
    <w:tbl>
      <w:tblPr>
        <w:tblStyle w:val="44"/>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5175"/>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车型</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基本租车费报价</w:t>
            </w:r>
            <w:r>
              <w:rPr>
                <w:rFonts w:hint="eastAsia" w:ascii="宋体" w:hAnsi="宋体" w:eastAsia="宋体" w:cs="宋体"/>
                <w:color w:val="auto"/>
                <w:sz w:val="21"/>
                <w:szCs w:val="21"/>
                <w:highlight w:val="none"/>
                <w:lang w:val="en-US" w:eastAsia="zh-CN"/>
              </w:rPr>
              <w:t>最高限价</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（按里程300公里/天）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一类：1.6升捷达等相当级别的轿车</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220</w:t>
            </w:r>
            <w:r>
              <w:rPr>
                <w:rFonts w:hint="eastAsia" w:ascii="宋体" w:hAnsi="宋体" w:eastAsia="宋体" w:cs="宋体"/>
                <w:color w:val="auto"/>
                <w:sz w:val="21"/>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二类：1.8升帕萨特等相当级别的轿车</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360</w:t>
            </w:r>
            <w:r>
              <w:rPr>
                <w:rFonts w:hint="eastAsia" w:ascii="宋体" w:hAnsi="宋体" w:eastAsia="宋体" w:cs="宋体"/>
                <w:color w:val="auto"/>
                <w:sz w:val="21"/>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三类：2.4升别克GL8等7-9座相当级别的商务车</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650</w:t>
            </w:r>
            <w:r>
              <w:rPr>
                <w:rFonts w:hint="eastAsia" w:ascii="宋体" w:hAnsi="宋体" w:eastAsia="宋体" w:cs="宋体"/>
                <w:color w:val="auto"/>
                <w:sz w:val="21"/>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四类：3.0升丰田普拉多等相当级别的越野车</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1500</w:t>
            </w:r>
            <w:r>
              <w:rPr>
                <w:rFonts w:hint="eastAsia" w:ascii="宋体" w:hAnsi="宋体" w:eastAsia="宋体" w:cs="宋体"/>
                <w:color w:val="auto"/>
                <w:sz w:val="21"/>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五类：10-12座金杯阁瑞斯等相当级别的其他客车</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1100</w:t>
            </w:r>
            <w:r>
              <w:rPr>
                <w:rFonts w:hint="eastAsia" w:ascii="宋体" w:hAnsi="宋体" w:eastAsia="宋体" w:cs="宋体"/>
                <w:color w:val="auto"/>
                <w:sz w:val="21"/>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六类：购置总价在5-10(含)万元新能源电动汽车</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160</w:t>
            </w:r>
            <w:r>
              <w:rPr>
                <w:rFonts w:hint="eastAsia" w:ascii="宋体" w:hAnsi="宋体" w:eastAsia="宋体" w:cs="宋体"/>
                <w:color w:val="auto"/>
                <w:sz w:val="21"/>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七类：购置总价在10-18(含)万元新能源电动汽车</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360</w:t>
            </w:r>
            <w:r>
              <w:rPr>
                <w:rFonts w:hint="eastAsia" w:ascii="宋体" w:hAnsi="宋体" w:eastAsia="宋体" w:cs="宋体"/>
                <w:color w:val="auto"/>
                <w:sz w:val="21"/>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八类：19-23座丰田柯斯达等相当级别车型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含驾驶员</w:t>
            </w:r>
            <w:r>
              <w:rPr>
                <w:rFonts w:hint="eastAsia" w:ascii="宋体" w:hAnsi="宋体" w:cs="宋体"/>
                <w:color w:val="auto"/>
                <w:sz w:val="21"/>
                <w:szCs w:val="21"/>
                <w:highlight w:val="none"/>
                <w:lang w:eastAsia="zh-CN"/>
              </w:rPr>
              <w:t>）</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1300</w:t>
            </w:r>
            <w:r>
              <w:rPr>
                <w:rFonts w:hint="eastAsia" w:ascii="宋体" w:hAnsi="宋体" w:eastAsia="宋体" w:cs="宋体"/>
                <w:color w:val="auto"/>
                <w:sz w:val="21"/>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九类：30-35座金旅、宇通等相当级别车型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含驾驶员</w:t>
            </w:r>
            <w:r>
              <w:rPr>
                <w:rFonts w:hint="eastAsia" w:ascii="宋体" w:hAnsi="宋体" w:cs="宋体"/>
                <w:color w:val="auto"/>
                <w:sz w:val="21"/>
                <w:szCs w:val="21"/>
                <w:highlight w:val="none"/>
                <w:lang w:eastAsia="zh-CN"/>
              </w:rPr>
              <w:t>）</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1500</w:t>
            </w:r>
            <w:r>
              <w:rPr>
                <w:rFonts w:hint="eastAsia" w:ascii="宋体" w:hAnsi="宋体" w:eastAsia="宋体" w:cs="宋体"/>
                <w:color w:val="auto"/>
                <w:sz w:val="21"/>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十类：39-49座金旅、宇通等相当级别车型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含驾驶员</w:t>
            </w:r>
            <w:r>
              <w:rPr>
                <w:rFonts w:hint="eastAsia" w:ascii="宋体" w:hAnsi="宋体" w:cs="宋体"/>
                <w:color w:val="auto"/>
                <w:sz w:val="21"/>
                <w:szCs w:val="21"/>
                <w:highlight w:val="none"/>
                <w:lang w:eastAsia="zh-CN"/>
              </w:rPr>
              <w:t>）</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1700</w:t>
            </w:r>
            <w:r>
              <w:rPr>
                <w:rFonts w:hint="eastAsia" w:ascii="宋体" w:hAnsi="宋体" w:eastAsia="宋体" w:cs="宋体"/>
                <w:color w:val="auto"/>
                <w:sz w:val="21"/>
                <w:szCs w:val="21"/>
                <w:highlight w:val="none"/>
              </w:rPr>
              <w:t>元/天</w:t>
            </w:r>
          </w:p>
        </w:tc>
      </w:tr>
    </w:tbl>
    <w:p>
      <w:pPr>
        <w:pStyle w:val="5"/>
        <w:pageBreakBefore w:val="0"/>
        <w:kinsoku/>
        <w:wordWrap/>
        <w:overflowPunct/>
        <w:topLinePunct w:val="0"/>
        <w:bidi w:val="0"/>
        <w:spacing w:line="360" w:lineRule="auto"/>
        <w:ind w:left="0" w:leftChars="0" w:firstLine="480" w:firstLineChars="0"/>
        <w:textAlignment w:val="auto"/>
        <w:rPr>
          <w:rFonts w:hint="eastAsia" w:ascii="宋体" w:hAnsi="宋体" w:eastAsia="宋体" w:cs="宋体"/>
          <w:bCs/>
          <w:color w:val="000000"/>
          <w:sz w:val="24"/>
        </w:rPr>
      </w:pPr>
      <w:r>
        <w:rPr>
          <w:rFonts w:hint="eastAsia" w:ascii="宋体" w:hAnsi="宋体" w:eastAsia="宋体" w:cs="宋体"/>
          <w:bCs/>
          <w:color w:val="000000"/>
          <w:sz w:val="24"/>
        </w:rPr>
        <w:t>未尽事宜由采购人及中标人在签订合同时协商解决。</w:t>
      </w:r>
    </w:p>
    <w:p>
      <w:pPr>
        <w:pStyle w:val="53"/>
        <w:rPr>
          <w:rFonts w:hint="eastAsia"/>
        </w:rPr>
      </w:pPr>
    </w:p>
    <w:p>
      <w:pPr>
        <w:pStyle w:val="2"/>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注：本章及合同条款均属于磋商内容，在磋商过程中均可变更（含实质性变更）。</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本章加★条款为采购项目实质性要求，不允许有负偏离。</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本章所列内容（含加★的）均可在磋商过程中进行响应。</w:t>
      </w:r>
    </w:p>
    <w:p>
      <w:pPr>
        <w:pStyle w:val="2"/>
        <w:rPr>
          <w:color w:val="auto"/>
          <w:highlight w:val="none"/>
        </w:rPr>
      </w:pPr>
    </w:p>
    <w:p>
      <w:pPr>
        <w:rPr>
          <w:color w:val="auto"/>
          <w:highlight w:val="none"/>
        </w:rPr>
      </w:pPr>
    </w:p>
    <w:p>
      <w:pPr>
        <w:pStyle w:val="2"/>
        <w:rPr>
          <w:color w:val="auto"/>
          <w:highlight w:val="none"/>
        </w:rPr>
      </w:pPr>
    </w:p>
    <w:p>
      <w:pPr>
        <w:sectPr>
          <w:pgSz w:w="11906" w:h="16838"/>
          <w:pgMar w:top="1440" w:right="1274" w:bottom="1440" w:left="1418" w:header="851" w:footer="992" w:gutter="0"/>
          <w:cols w:space="720" w:num="1"/>
          <w:docGrid w:type="lines" w:linePitch="312" w:charSpace="0"/>
        </w:sectPr>
      </w:pPr>
    </w:p>
    <w:p>
      <w:pPr>
        <w:pStyle w:val="3"/>
        <w:rPr>
          <w:rFonts w:hint="eastAsia"/>
          <w:color w:val="auto"/>
          <w:highlight w:val="none"/>
        </w:rPr>
      </w:pPr>
      <w:bookmarkStart w:id="290" w:name="_Toc238581781"/>
      <w:bookmarkStart w:id="291" w:name="_Toc14890"/>
      <w:r>
        <w:rPr>
          <w:rFonts w:hint="eastAsia"/>
          <w:color w:val="auto"/>
          <w:highlight w:val="none"/>
        </w:rPr>
        <w:t>响应</w:t>
      </w:r>
      <w:bookmarkEnd w:id="290"/>
      <w:r>
        <w:rPr>
          <w:rFonts w:hint="eastAsia"/>
          <w:color w:val="auto"/>
          <w:highlight w:val="none"/>
        </w:rPr>
        <w:t>文件格式</w:t>
      </w:r>
      <w:bookmarkEnd w:id="291"/>
    </w:p>
    <w:p>
      <w:pPr>
        <w:pStyle w:val="4"/>
        <w:rPr>
          <w:color w:val="auto"/>
          <w:highlight w:val="none"/>
        </w:rPr>
      </w:pPr>
      <w:bookmarkStart w:id="292" w:name="_Toc26017"/>
      <w:r>
        <w:rPr>
          <w:rFonts w:hint="eastAsia"/>
          <w:color w:val="auto"/>
          <w:highlight w:val="none"/>
        </w:rPr>
        <w:t>资格性响应文件格式</w:t>
      </w:r>
      <w:bookmarkEnd w:id="292"/>
    </w:p>
    <w:p>
      <w:pPr>
        <w:pStyle w:val="5"/>
        <w:ind w:left="80" w:leftChars="0" w:firstLine="482" w:firstLineChars="0"/>
        <w:rPr>
          <w:color w:val="auto"/>
          <w:highlight w:val="none"/>
        </w:rPr>
      </w:pPr>
      <w:bookmarkStart w:id="293" w:name="_Toc320698761"/>
      <w:r>
        <w:rPr>
          <w:rFonts w:hint="eastAsia"/>
          <w:color w:val="auto"/>
          <w:highlight w:val="none"/>
        </w:rPr>
        <w:t>资格性响应件密封包装最外层格式</w:t>
      </w:r>
      <w:bookmarkEnd w:id="293"/>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中共成都市龙泉驿区委政法委员会工作用车租赁服务采购项目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510112202100069</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bookmarkStart w:id="294" w:name="_Toc320698762"/>
      <w:r>
        <w:rPr>
          <w:rFonts w:hint="eastAsia"/>
          <w:color w:val="auto"/>
          <w:highlight w:val="none"/>
        </w:rPr>
        <w:t>资格性响应文件封面格式</w:t>
      </w:r>
      <w:bookmarkEnd w:id="294"/>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中共成都市龙泉驿区委政法委员会工作用车租赁服务采购项目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510112202100069</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ind w:left="1900" w:leftChars="150" w:hanging="1540" w:hangingChars="642"/>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240" w:firstLineChars="100"/>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44"/>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资格性响应文件正本一份、副本二份；（实质性要求）</w:t>
      </w:r>
    </w:p>
    <w:p>
      <w:pPr>
        <w:numPr>
          <w:ilvl w:val="0"/>
          <w:numId w:val="44"/>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资格性响应文件应单独密封包装，并于截止时间前送达指定地点；</w:t>
      </w:r>
    </w:p>
    <w:p>
      <w:pPr>
        <w:numPr>
          <w:ilvl w:val="0"/>
          <w:numId w:val="44"/>
        </w:numPr>
        <w:spacing w:line="360" w:lineRule="auto"/>
        <w:ind w:firstLine="482" w:firstLineChars="200"/>
        <w:rPr>
          <w:rFonts w:ascii="宋体" w:hAnsi="宋体"/>
          <w:color w:val="auto"/>
          <w:highlight w:val="none"/>
        </w:rPr>
      </w:pPr>
      <w:r>
        <w:rPr>
          <w:rFonts w:hint="eastAsia" w:ascii="宋体" w:hAnsi="宋体"/>
          <w:b/>
          <w:color w:val="auto"/>
          <w:highlight w:val="none"/>
        </w:rPr>
        <w:t>签字、盖章应符合竞争性磋商文件要求。（实质性要求）</w:t>
      </w:r>
    </w:p>
    <w:p>
      <w:pPr>
        <w:numPr>
          <w:ilvl w:val="0"/>
          <w:numId w:val="44"/>
        </w:numPr>
        <w:spacing w:line="360" w:lineRule="auto"/>
        <w:ind w:left="5" w:firstLine="716" w:firstLineChars="297"/>
        <w:rPr>
          <w:rFonts w:ascii="宋体" w:hAnsi="宋体"/>
          <w:color w:val="auto"/>
          <w:highlight w:val="none"/>
        </w:rPr>
      </w:pPr>
      <w:r>
        <w:rPr>
          <w:rFonts w:hint="eastAsia" w:ascii="宋体" w:hAnsi="宋体"/>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pStyle w:val="2"/>
        <w:spacing w:after="0" w:line="360" w:lineRule="auto"/>
        <w:rPr>
          <w:color w:val="auto"/>
          <w:highlight w:val="none"/>
        </w:rPr>
      </w:pPr>
    </w:p>
    <w:p>
      <w:pPr>
        <w:pStyle w:val="5"/>
        <w:ind w:left="80" w:leftChars="0" w:firstLine="482" w:firstLineChars="0"/>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295" w:name="_Toc238581782"/>
      <w:bookmarkStart w:id="296" w:name="_Toc119203988"/>
      <w:bookmarkStart w:id="297" w:name="_Toc146903609"/>
      <w:bookmarkStart w:id="298" w:name="_Toc119295087"/>
      <w:bookmarkStart w:id="299" w:name="_Toc119296788"/>
      <w:bookmarkStart w:id="300" w:name="_Toc52184753"/>
      <w:r>
        <w:rPr>
          <w:rFonts w:hint="eastAsia" w:ascii="宋体" w:hAnsi="宋体"/>
          <w:color w:val="auto"/>
          <w:highlight w:val="none"/>
        </w:rPr>
        <w:t>致：</w:t>
      </w:r>
      <w:bookmarkEnd w:id="295"/>
      <w:r>
        <w:rPr>
          <w:rFonts w:hint="eastAsia" w:ascii="宋体" w:hAnsi="宋体"/>
          <w:color w:val="auto"/>
          <w:highlight w:val="none"/>
        </w:rPr>
        <w:t>四川世科工程咨询有限公司</w:t>
      </w:r>
    </w:p>
    <w:p>
      <w:pPr>
        <w:pStyle w:val="27"/>
        <w:spacing w:line="360" w:lineRule="auto"/>
        <w:ind w:firstLine="480" w:firstLineChars="200"/>
        <w:jc w:val="left"/>
        <w:rPr>
          <w:rFonts w:ascii="宋体" w:hAnsi="宋体" w:cs="宋体"/>
          <w:color w:val="auto"/>
          <w:sz w:val="24"/>
          <w:highlight w:val="none"/>
        </w:rPr>
      </w:pPr>
      <w:bookmarkStart w:id="301"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 xml:space="preserve">中共成都市龙泉驿区委政法委员会工作用车租赁服务采购项目 </w:t>
      </w:r>
      <w:r>
        <w:rPr>
          <w:rFonts w:hint="eastAsia" w:ascii="宋体" w:hAnsi="宋体"/>
          <w:b/>
          <w:color w:val="auto"/>
          <w:sz w:val="24"/>
          <w:highlight w:val="none"/>
        </w:rPr>
        <w:t>（项目编号：</w:t>
      </w:r>
      <w:r>
        <w:rPr>
          <w:rFonts w:hint="eastAsia" w:ascii="宋体" w:hAnsi="宋体"/>
          <w:b/>
          <w:color w:val="auto"/>
          <w:sz w:val="24"/>
          <w:highlight w:val="none"/>
          <w:lang w:eastAsia="zh-CN"/>
        </w:rPr>
        <w:t>510112202100069</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45"/>
        </w:numPr>
        <w:spacing w:line="360" w:lineRule="auto"/>
        <w:ind w:left="0" w:firstLine="480" w:firstLineChars="200"/>
        <w:rPr>
          <w:rFonts w:ascii="宋体" w:hAnsi="宋体"/>
          <w:color w:val="auto"/>
          <w:highlight w:val="none"/>
        </w:rPr>
      </w:pPr>
      <w:bookmarkStart w:id="302" w:name="_Toc238581784"/>
      <w:r>
        <w:rPr>
          <w:rFonts w:hint="eastAsia" w:ascii="宋体" w:hAnsi="宋体"/>
          <w:color w:val="auto"/>
          <w:highlight w:val="none"/>
        </w:rPr>
        <w:t>供应商名称及概况：</w:t>
      </w:r>
      <w:bookmarkEnd w:id="302"/>
    </w:p>
    <w:p>
      <w:pPr>
        <w:numPr>
          <w:ilvl w:val="0"/>
          <w:numId w:val="46"/>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46"/>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46"/>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46"/>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45"/>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296"/>
    <w:bookmarkEnd w:id="297"/>
    <w:bookmarkEnd w:id="298"/>
    <w:bookmarkEnd w:id="299"/>
    <w:bookmarkEnd w:id="300"/>
    <w:bookmarkEnd w:id="301"/>
    <w:p>
      <w:pPr>
        <w:pStyle w:val="27"/>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5"/>
        <w:ind w:left="80" w:leftChars="0" w:firstLine="482" w:firstLineChars="0"/>
        <w:rPr>
          <w:color w:val="auto"/>
          <w:highlight w:val="none"/>
        </w:rPr>
      </w:pPr>
      <w:bookmarkStart w:id="303" w:name="_Toc320698765"/>
      <w:r>
        <w:rPr>
          <w:rFonts w:hint="eastAsia"/>
          <w:color w:val="auto"/>
          <w:highlight w:val="none"/>
        </w:rPr>
        <w:t>具有独立承担民事责任的能力证明材料</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ascii="宋体" w:hAnsi="宋体" w:cs="宋体"/>
          <w:bCs/>
          <w:color w:val="auto"/>
          <w:highlight w:val="none"/>
        </w:rPr>
      </w:pPr>
    </w:p>
    <w:p>
      <w:pPr>
        <w:rPr>
          <w:color w:val="auto"/>
          <w:highlight w:val="none"/>
        </w:rPr>
      </w:pPr>
    </w:p>
    <w:p>
      <w:pPr>
        <w:pStyle w:val="2"/>
        <w:rPr>
          <w:color w:val="auto"/>
          <w:highlight w:val="none"/>
        </w:rPr>
      </w:pPr>
    </w:p>
    <w:p>
      <w:pPr>
        <w:rPr>
          <w:color w:val="auto"/>
          <w:highlight w:val="none"/>
        </w:rPr>
      </w:pPr>
    </w:p>
    <w:p>
      <w:pPr>
        <w:pStyle w:val="5"/>
        <w:ind w:left="80" w:leftChars="0" w:firstLine="482" w:firstLineChars="0"/>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5"/>
        <w:ind w:left="80" w:leftChars="0" w:firstLine="482" w:firstLineChars="0"/>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47"/>
        </w:numPr>
        <w:spacing w:line="360" w:lineRule="auto"/>
        <w:ind w:firstLine="480" w:firstLineChars="200"/>
        <w:rPr>
          <w:rFonts w:ascii="宋体" w:hAnsi="宋体"/>
          <w:color w:val="auto"/>
          <w:highlight w:val="none"/>
        </w:rPr>
      </w:pPr>
      <w:r>
        <w:rPr>
          <w:rFonts w:hint="eastAsia" w:ascii="宋体" w:hAnsi="宋体"/>
          <w:color w:val="auto"/>
          <w:highlight w:val="none"/>
        </w:rPr>
        <w:t>我公司具有良好的商业信誉。</w:t>
      </w:r>
    </w:p>
    <w:p>
      <w:pPr>
        <w:pStyle w:val="2"/>
        <w:widowControl w:val="0"/>
        <w:numPr>
          <w:ilvl w:val="0"/>
          <w:numId w:val="47"/>
        </w:numPr>
        <w:spacing w:after="0" w:line="360" w:lineRule="auto"/>
        <w:ind w:firstLine="480" w:firstLineChars="200"/>
        <w:rPr>
          <w:color w:val="auto"/>
          <w:highlight w:val="none"/>
        </w:rPr>
      </w:pPr>
      <w:r>
        <w:rPr>
          <w:rFonts w:hint="eastAsia"/>
          <w:color w:val="auto"/>
          <w:highlight w:val="none"/>
        </w:rPr>
        <w:t>我公司具有履行合同所必须的设备和专业技术能力。</w:t>
      </w:r>
    </w:p>
    <w:p>
      <w:pPr>
        <w:widowControl w:val="0"/>
        <w:numPr>
          <w:ilvl w:val="0"/>
          <w:numId w:val="47"/>
        </w:numPr>
        <w:spacing w:line="360" w:lineRule="auto"/>
        <w:ind w:firstLine="480" w:firstLineChars="20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 组织的违法行为处以罚款或者没收财产2万元以上；对在经营活动中的违法行为处以罚款或者没收财产5万元以上。国务院有关部门规定的较大数额标准低于前 款规定的，从其规定。</w:t>
      </w:r>
      <w:r>
        <w:rPr>
          <w:rFonts w:hint="eastAsia" w:ascii="宋体" w:hAnsi="宋体"/>
          <w:color w:val="auto"/>
          <w:highlight w:val="none"/>
        </w:rPr>
        <w:t>）</w:t>
      </w:r>
    </w:p>
    <w:p>
      <w:pPr>
        <w:widowControl w:val="0"/>
        <w:numPr>
          <w:ilvl w:val="0"/>
          <w:numId w:val="47"/>
        </w:numPr>
        <w:spacing w:line="360" w:lineRule="auto"/>
        <w:ind w:firstLine="480" w:firstLineChars="20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47"/>
        </w:numPr>
        <w:spacing w:line="360" w:lineRule="auto"/>
        <w:ind w:firstLine="480" w:firstLineChars="20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47"/>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47"/>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47"/>
        </w:numPr>
        <w:spacing w:line="360" w:lineRule="auto"/>
        <w:ind w:firstLine="480" w:firstLineChars="20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47"/>
        </w:numPr>
        <w:spacing w:line="360" w:lineRule="auto"/>
        <w:ind w:firstLine="480" w:firstLineChars="20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《四川省公共资源交易领域严重失信联合惩戒实施办法》（川发改信用规【2019】405号）、《关于对政府采购领域严重违法失信主体开展联合惩戒的合作备案录》（发改财经【2018】1614号）</w:t>
      </w:r>
      <w:r>
        <w:rPr>
          <w:rFonts w:hint="eastAsia" w:ascii="宋体" w:hAnsi="宋体"/>
          <w:color w:val="auto"/>
          <w:highlight w:val="none"/>
        </w:rPr>
        <w:t>规定的失信行为，将在磋商文件中全面如实反映。</w:t>
      </w:r>
    </w:p>
    <w:p>
      <w:pPr>
        <w:widowControl w:val="0"/>
        <w:numPr>
          <w:ilvl w:val="0"/>
          <w:numId w:val="47"/>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47"/>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47"/>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47"/>
        </w:numPr>
        <w:spacing w:line="360" w:lineRule="auto"/>
        <w:ind w:firstLine="480" w:firstLineChars="20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
        <w:widowControl w:val="0"/>
        <w:numPr>
          <w:ilvl w:val="0"/>
          <w:numId w:val="47"/>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我公司参与本项目非联合体磋商。</w:t>
      </w:r>
    </w:p>
    <w:p>
      <w:pPr>
        <w:pStyle w:val="2"/>
        <w:widowControl w:val="0"/>
        <w:numPr>
          <w:ilvl w:val="0"/>
          <w:numId w:val="47"/>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sectPr>
          <w:pgSz w:w="11906" w:h="16838"/>
          <w:pgMar w:top="1440" w:right="1274" w:bottom="1440" w:left="1418" w:header="851" w:footer="992" w:gutter="0"/>
          <w:cols w:space="720" w:num="1"/>
          <w:docGrid w:type="lines" w:linePitch="312" w:charSpace="0"/>
        </w:sectPr>
      </w:pPr>
    </w:p>
    <w:p>
      <w:pPr>
        <w:pStyle w:val="5"/>
        <w:ind w:left="80" w:leftChars="0" w:firstLine="482" w:firstLineChars="0"/>
        <w:rPr>
          <w:rFonts w:hint="eastAsia" w:ascii="宋体" w:hAnsi="宋体" w:eastAsia="宋体" w:cs="Times New Roman"/>
          <w:color w:val="auto"/>
          <w:highlight w:val="none"/>
        </w:rPr>
      </w:pPr>
      <w:r>
        <w:rPr>
          <w:rFonts w:hint="eastAsia" w:cs="Times New Roman"/>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号）的规定，本公司（联合体）参加（单位名称）的（项目名称）采购活动，工 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cs="宋体"/>
          <w:i w:val="0"/>
          <w:iCs w:val="0"/>
          <w:color w:val="000000"/>
          <w:kern w:val="0"/>
          <w:sz w:val="24"/>
          <w:szCs w:val="24"/>
          <w:highlight w:val="none"/>
          <w:lang w:val="en-US" w:eastAsia="zh-CN" w:bidi="ar"/>
        </w:rPr>
        <w:t>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highlight w:val="none"/>
          <w:lang w:eastAsia="zh-CN"/>
        </w:rPr>
        <w:sectPr>
          <w:pgSz w:w="11906" w:h="16838"/>
          <w:pgMar w:top="1440" w:right="1274" w:bottom="1440" w:left="1418" w:header="851" w:footer="992" w:gutter="0"/>
          <w:cols w:space="720" w:num="1"/>
          <w:docGrid w:type="lines" w:linePitch="312" w:charSpace="0"/>
        </w:sectPr>
      </w:pPr>
      <w:r>
        <w:rPr>
          <w:rFonts w:hint="eastAsia" w:ascii="宋体" w:hAnsi="宋体" w:eastAsia="宋体" w:cs="宋体"/>
          <w:b/>
          <w:bCs/>
          <w:color w:val="000000"/>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本项目采购标的对应的中小企业划分标准所属行业为</w:t>
      </w:r>
      <w:r>
        <w:rPr>
          <w:rFonts w:hint="eastAsia" w:ascii="宋体" w:hAnsi="宋体" w:cs="宋体"/>
          <w:b/>
          <w:bCs/>
          <w:color w:val="000000"/>
          <w:kern w:val="0"/>
          <w:sz w:val="24"/>
          <w:szCs w:val="24"/>
          <w:highlight w:val="none"/>
          <w:lang w:val="en-US" w:eastAsia="zh-CN" w:bidi="ar"/>
        </w:rPr>
        <w:t>租赁和商务服务业</w:t>
      </w:r>
      <w:r>
        <w:rPr>
          <w:rFonts w:hint="eastAsia" w:ascii="宋体" w:hAnsi="宋体" w:cs="宋体"/>
          <w:b/>
          <w:szCs w:val="24"/>
          <w:highlight w:val="none"/>
          <w:lang w:eastAsia="zh-CN"/>
        </w:rPr>
        <w:t>。</w:t>
      </w:r>
    </w:p>
    <w:p>
      <w:pPr>
        <w:pStyle w:val="5"/>
        <w:ind w:left="80" w:leftChars="0" w:firstLine="482" w:firstLineChars="0"/>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spacing w:val="6"/>
          <w:szCs w:val="24"/>
          <w:highlight w:val="none"/>
        </w:rPr>
      </w:pPr>
      <w:r>
        <w:rPr>
          <w:rFonts w:hint="eastAsia" w:ascii="宋体" w:hAnsi="宋体"/>
          <w:b/>
          <w:spacing w:val="6"/>
          <w:szCs w:val="24"/>
          <w:highlight w:val="none"/>
        </w:rPr>
        <w:t>说明：</w:t>
      </w:r>
      <w:r>
        <w:rPr>
          <w:rFonts w:hint="eastAsia" w:ascii="宋体" w:hAnsi="宋体"/>
          <w:b/>
          <w:color w:val="auto"/>
          <w:spacing w:val="6"/>
          <w:highlight w:val="none"/>
        </w:rPr>
        <w:t>非残疾人福利性单位不提供此声明函</w:t>
      </w:r>
      <w:r>
        <w:rPr>
          <w:rFonts w:hint="eastAsia" w:ascii="宋体" w:hAnsi="宋体"/>
          <w:b/>
          <w:spacing w:val="6"/>
          <w:szCs w:val="24"/>
          <w:highlight w:val="none"/>
        </w:rPr>
        <w:t>。</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结果同时公告其《残疾人福利性单位声明函》，接受社会监督。供应商提供的《残疾人福利性单位声明函》与事实不符的，依照《政府采购法》第七十七条第一款的规定追究法律责任。</w:t>
      </w:r>
    </w:p>
    <w:p>
      <w:pPr>
        <w:pStyle w:val="2"/>
        <w:rPr>
          <w:rFonts w:hint="eastAsia" w:ascii="宋体" w:hAnsi="宋体"/>
          <w:b/>
          <w:spacing w:val="6"/>
          <w:szCs w:val="24"/>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5"/>
        <w:ind w:left="80" w:leftChars="0" w:firstLine="482" w:firstLineChars="0"/>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 xml:space="preserve">（供应商名称）    </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lang w:val="en-US" w:eastAsia="zh-CN"/>
        </w:rPr>
        <w:t>响应</w:t>
      </w:r>
      <w:r>
        <w:rPr>
          <w:rFonts w:hint="eastAsia" w:ascii="宋体" w:hAnsi="宋体" w:eastAsia="宋体" w:cs="宋体"/>
          <w:b/>
          <w:color w:val="auto"/>
          <w:sz w:val="24"/>
          <w:szCs w:val="24"/>
        </w:rPr>
        <w:t>文件中附有法定代表人身份证复印件（身份证两面均应复印）或护照复印件（</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的法定代表人为外籍人士的，则提供护照复印件）时才能生效。</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为自然人无须提供身份证明书，仅提供身份证复印件或护照复印件。</w:t>
      </w:r>
    </w:p>
    <w:p>
      <w:pPr>
        <w:spacing w:line="360" w:lineRule="auto"/>
        <w:ind w:firstLine="482" w:firstLineChars="200"/>
        <w:rPr>
          <w:color w:val="auto"/>
          <w:highlight w:val="none"/>
          <w:lang w:val="zh-CN"/>
        </w:rPr>
      </w:pPr>
      <w:r>
        <w:rPr>
          <w:rFonts w:hint="eastAsia" w:ascii="宋体" w:hAnsi="宋体"/>
          <w:b/>
          <w:color w:val="auto"/>
          <w:highlight w:val="none"/>
          <w:lang w:val="zh-CN"/>
        </w:rPr>
        <w:br w:type="page"/>
      </w:r>
    </w:p>
    <w:p>
      <w:pPr>
        <w:pStyle w:val="5"/>
        <w:ind w:left="80" w:leftChars="0" w:firstLine="482" w:firstLineChars="0"/>
        <w:rPr>
          <w:color w:val="auto"/>
          <w:highlight w:val="none"/>
        </w:rPr>
      </w:pPr>
      <w:r>
        <w:rPr>
          <w:rFonts w:hint="eastAsia"/>
          <w:color w:val="auto"/>
          <w:highlight w:val="none"/>
        </w:rPr>
        <w:t>法定代表人授权委托书（格式）</w:t>
      </w:r>
    </w:p>
    <w:p>
      <w:pPr>
        <w:spacing w:line="360" w:lineRule="auto"/>
        <w:ind w:firstLine="480" w:firstLineChars="200"/>
        <w:rPr>
          <w:rFonts w:ascii="宋体" w:hAnsi="宋体"/>
          <w:color w:val="auto"/>
          <w:highlight w:val="none"/>
        </w:rPr>
      </w:pPr>
      <w:r>
        <w:rPr>
          <w:rFonts w:hint="eastAsia" w:ascii="宋体" w:hAnsi="宋体"/>
          <w:color w:val="auto"/>
          <w:highlight w:val="none"/>
        </w:rPr>
        <w:t>四川世科工程咨询有限公司：</w:t>
      </w:r>
    </w:p>
    <w:p>
      <w:pPr>
        <w:spacing w:line="360" w:lineRule="auto"/>
        <w:ind w:firstLine="480" w:firstLineChars="200"/>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 xml:space="preserve">中共成都市龙泉驿区委政法委员会工作用车租赁服务采购项目 </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510112202100069</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spacing w:line="360" w:lineRule="auto"/>
        <w:ind w:firstLine="480" w:firstLineChars="200"/>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spacing w:line="360" w:lineRule="auto"/>
        <w:ind w:firstLine="480" w:firstLineChars="200"/>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ind w:firstLine="482" w:firstLineChars="200"/>
        <w:rPr>
          <w:rFonts w:ascii="宋体" w:hAnsi="宋体"/>
          <w:b/>
          <w:color w:val="auto"/>
          <w:highlight w:val="none"/>
        </w:rPr>
      </w:pPr>
    </w:p>
    <w:p>
      <w:pPr>
        <w:pStyle w:val="27"/>
        <w:spacing w:line="360" w:lineRule="auto"/>
        <w:ind w:left="0" w:leftChars="0" w:firstLine="366" w:firstLineChars="152"/>
        <w:rPr>
          <w:rFonts w:hint="eastAsia" w:ascii="宋体" w:hAnsi="宋体" w:eastAsia="宋体" w:cs="Times New Roman"/>
          <w:b/>
          <w:color w:val="auto"/>
          <w:sz w:val="24"/>
          <w:szCs w:val="32"/>
          <w:highlight w:val="none"/>
          <w:lang w:val="zh-CN"/>
        </w:rPr>
        <w:sectPr>
          <w:pgSz w:w="11906" w:h="16838"/>
          <w:pgMar w:top="1440" w:right="1274" w:bottom="1440" w:left="1418" w:header="851" w:footer="992" w:gutter="0"/>
          <w:cols w:space="720" w:num="1"/>
          <w:docGrid w:type="lines" w:linePitch="312" w:charSpace="0"/>
        </w:sect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pStyle w:val="4"/>
        <w:rPr>
          <w:color w:val="auto"/>
          <w:highlight w:val="none"/>
        </w:rPr>
      </w:pPr>
      <w:bookmarkStart w:id="304" w:name="_Toc31366"/>
      <w:bookmarkStart w:id="305" w:name="_Toc448403805"/>
      <w:r>
        <w:rPr>
          <w:rFonts w:hint="eastAsia"/>
          <w:color w:val="auto"/>
          <w:highlight w:val="none"/>
        </w:rPr>
        <w:t>技术、服务性响应文件格式</w:t>
      </w:r>
      <w:bookmarkEnd w:id="304"/>
      <w:bookmarkEnd w:id="305"/>
    </w:p>
    <w:p>
      <w:pPr>
        <w:pStyle w:val="5"/>
        <w:ind w:left="80" w:leftChars="0" w:firstLine="482" w:firstLineChars="0"/>
        <w:rPr>
          <w:color w:val="auto"/>
          <w:highlight w:val="none"/>
        </w:rPr>
      </w:pPr>
      <w:r>
        <w:rPr>
          <w:rFonts w:hint="eastAsia"/>
          <w:color w:val="auto"/>
          <w:highlight w:val="none"/>
        </w:rPr>
        <w:t>技术、服务性响应件密封包装最外层格式</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中共成都市龙泉驿区委政法委员会工作用车租赁服务采购项目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510112202100069</w:t>
            </w:r>
          </w:p>
          <w:p>
            <w:pPr>
              <w:pStyle w:val="2"/>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r>
        <w:rPr>
          <w:rFonts w:hint="eastAsia"/>
          <w:color w:val="auto"/>
          <w:highlight w:val="none"/>
        </w:rPr>
        <w:t>技术、服务性响应文件封面格式</w:t>
      </w:r>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中共成都市龙泉驿区委政法委员会工作用车租赁服务采购项目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510112202100069</w:t>
            </w:r>
          </w:p>
          <w:p>
            <w:pPr>
              <w:spacing w:line="360" w:lineRule="auto"/>
              <w:rPr>
                <w:rFonts w:ascii="宋体" w:hAnsi="宋体"/>
                <w:color w:val="auto"/>
                <w:sz w:val="28"/>
                <w:szCs w:val="28"/>
                <w:highlight w:val="none"/>
              </w:rPr>
            </w:pPr>
            <w:r>
              <w:rPr>
                <w:rFonts w:hint="eastAsia" w:ascii="宋体" w:hAnsi="宋体"/>
                <w:b/>
                <w:color w:val="auto"/>
                <w:sz w:val="28"/>
                <w:szCs w:val="28"/>
                <w:highlight w:val="none"/>
              </w:rPr>
              <w:t xml:space="preserve"> </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5"/>
        <w:ind w:left="80" w:leftChars="0" w:firstLine="482" w:firstLineChars="0"/>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 xml:space="preserve">中共成都市龙泉驿区委政法委员会工作用车租赁服务采购项目 </w:t>
      </w:r>
      <w:r>
        <w:rPr>
          <w:rFonts w:hint="eastAsia" w:ascii="宋体" w:hAnsi="宋体" w:cs="宋体"/>
          <w:color w:val="auto"/>
          <w:highlight w:val="none"/>
        </w:rPr>
        <w:t>（项目编号：</w:t>
      </w:r>
      <w:r>
        <w:rPr>
          <w:rFonts w:hint="eastAsia" w:ascii="宋体" w:hAnsi="宋体"/>
          <w:b/>
          <w:color w:val="auto"/>
          <w:highlight w:val="none"/>
          <w:u w:val="single"/>
          <w:lang w:eastAsia="zh-CN"/>
        </w:rPr>
        <w:t>510112202100069</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40"/>
        <w:numPr>
          <w:ilvl w:val="1"/>
          <w:numId w:val="48"/>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 xml:space="preserve">中共成都市龙泉驿区委政法委员会工作用车租赁服务采购项目 </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40"/>
        <w:numPr>
          <w:ilvl w:val="1"/>
          <w:numId w:val="48"/>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40"/>
        <w:numPr>
          <w:ilvl w:val="1"/>
          <w:numId w:val="48"/>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40"/>
        <w:numPr>
          <w:ilvl w:val="1"/>
          <w:numId w:val="48"/>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40"/>
        <w:numPr>
          <w:ilvl w:val="1"/>
          <w:numId w:val="48"/>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40"/>
        <w:numPr>
          <w:ilvl w:val="1"/>
          <w:numId w:val="48"/>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3"/>
    <w:p>
      <w:pPr>
        <w:pStyle w:val="5"/>
        <w:ind w:left="80" w:leftChars="0" w:firstLine="482" w:firstLineChars="0"/>
        <w:rPr>
          <w:color w:val="auto"/>
          <w:highlight w:val="none"/>
        </w:rPr>
      </w:pPr>
      <w:bookmarkStart w:id="306" w:name="_Toc320698766"/>
      <w:r>
        <w:rPr>
          <w:rFonts w:hint="eastAsia"/>
          <w:color w:val="auto"/>
          <w:highlight w:val="none"/>
        </w:rPr>
        <w:t>商务、</w:t>
      </w:r>
      <w:r>
        <w:rPr>
          <w:rFonts w:hint="eastAsia"/>
          <w:color w:val="auto"/>
          <w:highlight w:val="none"/>
          <w:lang w:val="en-US" w:eastAsia="zh-CN"/>
        </w:rPr>
        <w:t>技术</w:t>
      </w:r>
      <w:r>
        <w:rPr>
          <w:rFonts w:hint="eastAsia"/>
          <w:color w:val="auto"/>
          <w:highlight w:val="none"/>
        </w:rPr>
        <w:t>条款偏离表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 xml:space="preserve">中共成都市龙泉驿区委政法委员会工作用车租赁服务采购项目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510112202100069</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highlight w:val="none"/>
          <w:lang w:val="en-US" w:eastAsia="zh-CN"/>
        </w:rPr>
        <w:t>商务</w:t>
      </w:r>
      <w:r>
        <w:rPr>
          <w:rFonts w:hint="eastAsia" w:ascii="宋体" w:hAnsi="宋体"/>
          <w:highlight w:val="none"/>
        </w:rPr>
        <w:t>、</w:t>
      </w:r>
      <w:r>
        <w:rPr>
          <w:rFonts w:hint="eastAsia" w:ascii="宋体" w:hAnsi="宋体"/>
          <w:color w:val="auto"/>
          <w:highlight w:val="none"/>
          <w:lang w:val="en-US" w:eastAsia="zh-CN"/>
        </w:rPr>
        <w:t>技术</w:t>
      </w:r>
      <w:r>
        <w:rPr>
          <w:rFonts w:hint="eastAsia" w:ascii="宋体" w:hAnsi="宋体"/>
          <w:highlight w:val="none"/>
        </w:rPr>
        <w:t>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6"/>
    <w:p>
      <w:pPr>
        <w:pStyle w:val="5"/>
        <w:ind w:left="80" w:leftChars="0" w:firstLine="482" w:firstLineChars="0"/>
        <w:rPr>
          <w:color w:val="auto"/>
          <w:highlight w:val="none"/>
        </w:rPr>
      </w:pPr>
      <w:bookmarkStart w:id="307" w:name="_Toc360696963"/>
      <w:bookmarkStart w:id="308" w:name="_Toc205604899"/>
      <w:bookmarkStart w:id="309" w:name="_Toc236285891"/>
      <w:bookmarkStart w:id="310" w:name="_Toc238273564"/>
      <w:r>
        <w:rPr>
          <w:rFonts w:hint="eastAsia" w:cs="宋体"/>
          <w:sz w:val="24"/>
          <w:szCs w:val="24"/>
          <w:lang w:val="en-US" w:eastAsia="zh-CN"/>
        </w:rPr>
        <w:t>服务</w:t>
      </w:r>
      <w:r>
        <w:rPr>
          <w:rFonts w:hint="eastAsia" w:ascii="宋体" w:hAnsi="宋体" w:eastAsia="宋体" w:cs="宋体"/>
          <w:sz w:val="24"/>
          <w:szCs w:val="24"/>
        </w:rPr>
        <w:t>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 xml:space="preserve">中共成都市龙泉驿区委政法委员会工作用车租赁服务采购项目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510112202100069</w:t>
      </w: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firstLine="480" w:firstLineChars="200"/>
        <w:jc w:val="left"/>
        <w:rPr>
          <w:rFonts w:ascii="宋体" w:hAnsi="宋体"/>
          <w:color w:val="auto"/>
          <w:sz w:val="24"/>
          <w:szCs w:val="24"/>
          <w:highlight w:val="none"/>
        </w:rPr>
      </w:pPr>
    </w:p>
    <w:p>
      <w:pPr>
        <w:pStyle w:val="67"/>
        <w:ind w:firstLine="480" w:firstLineChars="200"/>
        <w:jc w:val="left"/>
        <w:rPr>
          <w:rFonts w:ascii="宋体" w:hAnsi="宋体"/>
          <w:color w:val="auto"/>
          <w:sz w:val="24"/>
          <w:szCs w:val="24"/>
          <w:highlight w:val="none"/>
        </w:rPr>
      </w:pPr>
    </w:p>
    <w:p>
      <w:pPr>
        <w:pStyle w:val="5"/>
        <w:ind w:left="80" w:leftChars="0" w:firstLine="482" w:firstLineChars="0"/>
        <w:rPr>
          <w:color w:val="auto"/>
          <w:highlight w:val="none"/>
        </w:rPr>
      </w:pPr>
      <w:r>
        <w:rPr>
          <w:rFonts w:hint="eastAsia"/>
          <w:color w:val="auto"/>
          <w:highlight w:val="none"/>
        </w:rPr>
        <w:t>报价表</w:t>
      </w:r>
    </w:p>
    <w:p>
      <w:pPr>
        <w:spacing w:line="360" w:lineRule="auto"/>
        <w:ind w:firstLine="480" w:firstLineChars="200"/>
        <w:rPr>
          <w:color w:val="auto"/>
          <w:highlight w:val="none"/>
        </w:rPr>
      </w:pP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 xml:space="preserve">中共成都市龙泉驿区委政法委员会工作用车租赁服务采购项目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510112202100069</w:t>
      </w:r>
    </w:p>
    <w:p>
      <w:pPr>
        <w:pStyle w:val="2"/>
        <w:rPr>
          <w:color w:val="auto"/>
          <w:highlight w:val="none"/>
        </w:rPr>
      </w:pPr>
    </w:p>
    <w:tbl>
      <w:tblPr>
        <w:tblStyle w:val="44"/>
        <w:tblW w:w="10106"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620"/>
        <w:gridCol w:w="2535"/>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车型</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基本租车费报价</w:t>
            </w:r>
            <w:r>
              <w:rPr>
                <w:rFonts w:hint="eastAsia" w:ascii="宋体" w:hAnsi="宋体" w:eastAsia="宋体" w:cs="宋体"/>
                <w:color w:val="auto"/>
                <w:sz w:val="21"/>
                <w:szCs w:val="21"/>
                <w:highlight w:val="none"/>
                <w:lang w:val="en-US" w:eastAsia="zh-CN"/>
              </w:rPr>
              <w:t>最高限价</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（按里程300公里/天）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基本租车费报价</w:t>
            </w:r>
            <w:r>
              <w:rPr>
                <w:rFonts w:hint="eastAsia" w:ascii="宋体" w:hAnsi="宋体" w:eastAsia="宋体" w:cs="宋体"/>
                <w:color w:val="auto"/>
                <w:sz w:val="21"/>
                <w:szCs w:val="21"/>
                <w:highlight w:val="none"/>
              </w:rPr>
              <w:t>（按里程300公里/天）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一类：1.6升捷达等相当级别的轿车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220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二类：1.8升帕萨特等相当级别的轿车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360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三类：2.4升别克GL8等7-9座相当级别的商务车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650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四类：3.0升丰田普拉多等相当级别的越野车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五类：10-12座金杯阁瑞斯等相当级别的其他客车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六类：购置总价在5-10(含)万元新能源电动汽车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160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七类：购置总价在10-18(含)万元新能源电动汽车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360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八类：19-23座丰田柯斯达等相当级别车型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含驾驶员</w:t>
            </w:r>
            <w:r>
              <w:rPr>
                <w:rFonts w:hint="eastAsia" w:ascii="宋体" w:hAnsi="宋体" w:cs="宋体"/>
                <w:color w:val="auto"/>
                <w:sz w:val="21"/>
                <w:szCs w:val="21"/>
                <w:highlight w:val="none"/>
                <w:lang w:eastAsia="zh-CN"/>
              </w:rPr>
              <w:t>）</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1300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九类：30-35座金旅、宇通等相当级别车型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含驾驶员</w:t>
            </w:r>
            <w:r>
              <w:rPr>
                <w:rFonts w:hint="eastAsia" w:ascii="宋体" w:hAnsi="宋体" w:cs="宋体"/>
                <w:color w:val="auto"/>
                <w:sz w:val="21"/>
                <w:szCs w:val="21"/>
                <w:highlight w:val="none"/>
                <w:lang w:eastAsia="zh-CN"/>
              </w:rPr>
              <w:t>）</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十类：39-49座金旅、宇通等相当级别车型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含驾驶员</w:t>
            </w:r>
            <w:r>
              <w:rPr>
                <w:rFonts w:hint="eastAsia" w:ascii="宋体" w:hAnsi="宋体" w:cs="宋体"/>
                <w:color w:val="auto"/>
                <w:sz w:val="21"/>
                <w:szCs w:val="21"/>
                <w:highlight w:val="none"/>
                <w:lang w:eastAsia="zh-CN"/>
              </w:rPr>
              <w:t>）</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8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报价（</w:t>
            </w:r>
            <w:r>
              <w:rPr>
                <w:rFonts w:hint="eastAsia" w:ascii="宋体" w:hAnsi="宋体" w:eastAsia="宋体" w:cs="宋体"/>
                <w:b/>
                <w:bCs/>
                <w:i w:val="0"/>
                <w:iCs w:val="0"/>
                <w:color w:val="auto"/>
                <w:sz w:val="24"/>
                <w:szCs w:val="24"/>
                <w:highlight w:val="none"/>
              </w:rPr>
              <w:t>基本租车费报价总和的算术平均值</w:t>
            </w:r>
            <w:r>
              <w:rPr>
                <w:rFonts w:hint="eastAsia" w:ascii="宋体" w:hAnsi="宋体" w:eastAsia="宋体" w:cs="宋体"/>
                <w:b/>
                <w:bCs/>
                <w:i w:val="0"/>
                <w:iCs w:val="0"/>
                <w:color w:val="auto"/>
                <w:sz w:val="21"/>
                <w:szCs w:val="21"/>
                <w:highlight w:val="none"/>
                <w:lang w:val="en-US" w:eastAsia="zh-CN"/>
              </w:rPr>
              <w:t>）</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bl>
    <w:p>
      <w:pPr>
        <w:ind w:firstLine="494"/>
        <w:rPr>
          <w:rFonts w:ascii="宋体" w:hAnsi="宋体"/>
          <w:b/>
          <w:color w:val="auto"/>
          <w:highlight w:val="none"/>
        </w:rPr>
      </w:pPr>
    </w:p>
    <w:p>
      <w:pPr>
        <w:ind w:firstLine="494"/>
        <w:rPr>
          <w:rFonts w:hint="eastAsia" w:ascii="宋体" w:hAnsi="宋体"/>
          <w:b/>
          <w:color w:val="auto"/>
          <w:highlight w:val="none"/>
          <w:lang w:val="en-US" w:eastAsia="zh-CN"/>
        </w:rPr>
      </w:pPr>
    </w:p>
    <w:p>
      <w:pPr>
        <w:ind w:firstLine="494"/>
        <w:rPr>
          <w:rFonts w:hint="eastAsia" w:ascii="宋体" w:hAnsi="宋体"/>
          <w:b/>
          <w:color w:val="auto"/>
          <w:highlight w:val="none"/>
          <w:lang w:val="en-US" w:eastAsia="zh-CN"/>
        </w:rPr>
      </w:pPr>
    </w:p>
    <w:p>
      <w:pPr>
        <w:ind w:firstLine="494"/>
        <w:rPr>
          <w:rFonts w:hint="eastAsia" w:ascii="宋体" w:hAnsi="宋体" w:eastAsia="宋体"/>
          <w:b/>
          <w:color w:val="auto"/>
          <w:highlight w:val="none"/>
          <w:u w:val="single"/>
          <w:lang w:eastAsia="zh-CN"/>
        </w:rPr>
      </w:pPr>
      <w:r>
        <w:rPr>
          <w:rFonts w:hint="eastAsia" w:ascii="宋体" w:hAnsi="宋体"/>
          <w:b/>
          <w:color w:val="auto"/>
          <w:highlight w:val="none"/>
        </w:rPr>
        <w:t>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 xml:space="preserve">      </w:t>
      </w: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Chars="0"/>
        <w:textAlignment w:val="auto"/>
        <w:rPr>
          <w:rFonts w:hint="eastAsia" w:ascii="宋体" w:hAnsi="宋体" w:eastAsia="宋体" w:cs="宋体"/>
          <w:color w:val="auto"/>
          <w:sz w:val="24"/>
          <w:szCs w:val="24"/>
          <w:highlight w:val="none"/>
        </w:rPr>
      </w:pPr>
      <w:r>
        <w:rPr>
          <w:rFonts w:hint="eastAsia" w:ascii="宋体" w:hAnsi="宋体"/>
          <w:b/>
          <w:color w:val="auto"/>
          <w:sz w:val="22"/>
          <w:szCs w:val="22"/>
          <w:highlight w:val="none"/>
        </w:rPr>
        <w:t>说明：</w:t>
      </w:r>
    </w:p>
    <w:p>
      <w:pPr>
        <w:pStyle w:val="27"/>
        <w:keepNext w:val="0"/>
        <w:keepLines w:val="0"/>
        <w:pageBreakBefore w:val="0"/>
        <w:widowControl w:val="0"/>
        <w:numPr>
          <w:ilvl w:val="0"/>
          <w:numId w:val="49"/>
        </w:numPr>
        <w:kinsoku/>
        <w:wordWrap/>
        <w:overflowPunct/>
        <w:topLinePunct w:val="0"/>
        <w:autoSpaceDE/>
        <w:autoSpaceDN/>
        <w:bidi w:val="0"/>
        <w:adjustRightInd w:val="0"/>
        <w:snapToGrid w:val="0"/>
        <w:spacing w:line="579" w:lineRule="exact"/>
        <w:ind w:left="5" w:leftChars="0" w:firstLine="475"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基本租车费报价是指在300公里以内的费用。</w:t>
      </w:r>
    </w:p>
    <w:p>
      <w:pPr>
        <w:pStyle w:val="27"/>
        <w:keepNext w:val="0"/>
        <w:keepLines w:val="0"/>
        <w:pageBreakBefore w:val="0"/>
        <w:widowControl w:val="0"/>
        <w:numPr>
          <w:ilvl w:val="0"/>
          <w:numId w:val="49"/>
        </w:numPr>
        <w:kinsoku/>
        <w:wordWrap/>
        <w:overflowPunct/>
        <w:topLinePunct w:val="0"/>
        <w:autoSpaceDE/>
        <w:autoSpaceDN/>
        <w:bidi w:val="0"/>
        <w:adjustRightInd w:val="0"/>
        <w:snapToGrid w:val="0"/>
        <w:spacing w:line="579" w:lineRule="exact"/>
        <w:ind w:left="5" w:leftChars="0" w:firstLine="475"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基本租车费是指在300公里以内的租车费用，包含维修、保养、救援、开票税金等费用，不包含第三方劳务（驾驶员）相关费用和燃油费、过路过桥费、泊车费费用。</w:t>
      </w:r>
    </w:p>
    <w:p>
      <w:pPr>
        <w:pStyle w:val="27"/>
        <w:keepNext w:val="0"/>
        <w:keepLines w:val="0"/>
        <w:pageBreakBefore w:val="0"/>
        <w:widowControl w:val="0"/>
        <w:numPr>
          <w:ilvl w:val="0"/>
          <w:numId w:val="49"/>
        </w:numPr>
        <w:kinsoku/>
        <w:wordWrap/>
        <w:overflowPunct/>
        <w:topLinePunct w:val="0"/>
        <w:autoSpaceDE/>
        <w:autoSpaceDN/>
        <w:bidi w:val="0"/>
        <w:adjustRightInd w:val="0"/>
        <w:snapToGrid w:val="0"/>
        <w:spacing w:line="579" w:lineRule="exact"/>
        <w:ind w:left="5" w:leftChars="0" w:firstLine="475"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报价是指所投车型基本租车费报价总和的算术平均值（即基本租车费报价总和除以车型总类数），报价仅用于计算报价评审，实际结算以每类车型的基本租车费报价为准。</w:t>
      </w:r>
    </w:p>
    <w:p>
      <w:pPr>
        <w:keepNext w:val="0"/>
        <w:keepLines w:val="0"/>
        <w:pageBreakBefore w:val="0"/>
        <w:widowControl w:val="0"/>
        <w:kinsoku/>
        <w:wordWrap/>
        <w:overflowPunct/>
        <w:topLinePunct w:val="0"/>
        <w:autoSpaceDE/>
        <w:autoSpaceDN/>
        <w:bidi w:val="0"/>
        <w:adjustRightInd/>
        <w:snapToGrid/>
        <w:spacing w:line="360" w:lineRule="auto"/>
        <w:ind w:left="420" w:firstLine="480" w:firstLineChars="200"/>
        <w:textAlignment w:val="auto"/>
        <w:rPr>
          <w:rFonts w:hint="default" w:ascii="宋体" w:hAnsi="宋体" w:eastAsia="宋体" w:cs="宋体"/>
          <w:color w:val="auto"/>
          <w:highlight w:val="none"/>
          <w:lang w:val="en-US" w:eastAsia="zh-CN"/>
        </w:rPr>
      </w:pPr>
    </w:p>
    <w:p>
      <w:pPr>
        <w:pStyle w:val="2"/>
        <w:rPr>
          <w:rFonts w:ascii="宋体" w:hAnsi="宋体" w:cs="宋体"/>
          <w:color w:val="auto"/>
          <w:highlight w:val="none"/>
        </w:rPr>
      </w:pPr>
    </w:p>
    <w:p>
      <w:pPr>
        <w:rPr>
          <w:rFonts w:ascii="宋体" w:hAnsi="宋体" w:cs="宋体"/>
          <w:color w:val="auto"/>
          <w:highlight w:val="none"/>
        </w:rPr>
      </w:pPr>
    </w:p>
    <w:p>
      <w:pPr>
        <w:pStyle w:val="2"/>
        <w:rPr>
          <w:color w:val="auto"/>
          <w:highlight w:val="none"/>
        </w:rPr>
      </w:pPr>
    </w:p>
    <w:p>
      <w:pPr>
        <w:widowControl w:val="0"/>
        <w:spacing w:line="360" w:lineRule="auto"/>
        <w:ind w:firstLine="480" w:firstLineChars="200"/>
        <w:rPr>
          <w:color w:val="auto"/>
          <w:highlight w:val="none"/>
        </w:rPr>
      </w:pPr>
      <w:r>
        <w:rPr>
          <w:rFonts w:hint="eastAsia" w:ascii="宋体" w:hAnsi="宋体" w:cs="宋体"/>
          <w:color w:val="auto"/>
          <w:highlight w:val="none"/>
        </w:rPr>
        <w:br w:type="page"/>
      </w:r>
    </w:p>
    <w:p>
      <w:pPr>
        <w:pStyle w:val="5"/>
        <w:ind w:left="80" w:leftChars="0" w:firstLine="482" w:firstLineChars="0"/>
        <w:rPr>
          <w:color w:val="auto"/>
          <w:highlight w:val="none"/>
        </w:rPr>
      </w:pPr>
      <w:bookmarkStart w:id="311" w:name="_Toc451340457"/>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 xml:space="preserve">中共成都市龙泉驿区委政法委员会工作用车租赁服务采购项目 </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510112202100069</w:t>
      </w: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年份</w:t>
            </w:r>
          </w:p>
        </w:tc>
        <w:tc>
          <w:tcPr>
            <w:tcW w:w="153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用户名称</w:t>
            </w:r>
          </w:p>
        </w:tc>
        <w:tc>
          <w:tcPr>
            <w:tcW w:w="1975"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1724"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完成时间</w:t>
            </w:r>
          </w:p>
        </w:tc>
        <w:tc>
          <w:tcPr>
            <w:tcW w:w="1435" w:type="dxa"/>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合同金额</w:t>
            </w: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sz w:val="28"/>
                <w:szCs w:val="28"/>
                <w:highlight w:val="none"/>
              </w:rPr>
            </w:pPr>
          </w:p>
        </w:tc>
        <w:tc>
          <w:tcPr>
            <w:tcW w:w="1533" w:type="dxa"/>
            <w:vAlign w:val="center"/>
          </w:tcPr>
          <w:p>
            <w:pPr>
              <w:spacing w:line="520" w:lineRule="exact"/>
              <w:rPr>
                <w:rFonts w:ascii="宋体" w:hAnsi="宋体" w:cs="宋体"/>
                <w:color w:val="auto"/>
                <w:sz w:val="28"/>
                <w:szCs w:val="28"/>
                <w:highlight w:val="none"/>
              </w:rPr>
            </w:pPr>
          </w:p>
        </w:tc>
        <w:tc>
          <w:tcPr>
            <w:tcW w:w="1975" w:type="dxa"/>
            <w:vAlign w:val="center"/>
          </w:tcPr>
          <w:p>
            <w:pPr>
              <w:spacing w:line="520" w:lineRule="exact"/>
              <w:rPr>
                <w:rFonts w:ascii="宋体" w:hAnsi="宋体" w:cs="宋体"/>
                <w:color w:val="auto"/>
                <w:sz w:val="28"/>
                <w:szCs w:val="28"/>
                <w:highlight w:val="none"/>
              </w:rPr>
            </w:pPr>
          </w:p>
        </w:tc>
        <w:tc>
          <w:tcPr>
            <w:tcW w:w="1724" w:type="dxa"/>
            <w:vAlign w:val="center"/>
          </w:tcPr>
          <w:p>
            <w:pPr>
              <w:spacing w:line="520" w:lineRule="exact"/>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注：以上业绩仅限于磋商人自己实施的，对于供应商不涉及的项目可不填写，如无业绩可不提供本页内容。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07"/>
    <w:bookmarkEnd w:id="311"/>
    <w:p>
      <w:pPr>
        <w:pStyle w:val="5"/>
        <w:ind w:left="80" w:leftChars="0" w:firstLine="482" w:firstLineChars="0"/>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4"/>
        <w:numPr>
          <w:ilvl w:val="1"/>
          <w:numId w:val="0"/>
        </w:numPr>
        <w:ind w:leftChars="0"/>
        <w:rPr>
          <w:color w:val="auto"/>
          <w:highlight w:val="none"/>
        </w:rPr>
      </w:pPr>
    </w:p>
    <w:p>
      <w:pPr>
        <w:pStyle w:val="4"/>
        <w:rPr>
          <w:color w:val="auto"/>
          <w:highlight w:val="none"/>
        </w:rPr>
      </w:pPr>
      <w:bookmarkStart w:id="312" w:name="_Toc15662"/>
      <w:r>
        <w:rPr>
          <w:rFonts w:hint="eastAsia"/>
          <w:color w:val="auto"/>
          <w:highlight w:val="none"/>
        </w:rPr>
        <w:t>最后报价（格式）</w:t>
      </w:r>
      <w:bookmarkEnd w:id="312"/>
    </w:p>
    <w:p>
      <w:pPr>
        <w:snapToGrid w:val="0"/>
        <w:spacing w:line="360" w:lineRule="auto"/>
        <w:ind w:firstLine="482" w:firstLineChars="200"/>
        <w:rPr>
          <w:rFonts w:hint="eastAsia" w:ascii="宋体" w:hAnsi="宋体"/>
          <w:b/>
          <w:color w:val="auto"/>
          <w:highlight w:val="none"/>
        </w:rPr>
      </w:pPr>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 xml:space="preserve">中共成都市龙泉驿区委政法委员会工作用车租赁服务采购项目 </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510112202100069</w:t>
      </w:r>
    </w:p>
    <w:p>
      <w:pPr>
        <w:pStyle w:val="2"/>
        <w:rPr>
          <w:rFonts w:hint="eastAsia"/>
          <w:lang w:eastAsia="zh-CN"/>
        </w:rPr>
      </w:pPr>
    </w:p>
    <w:tbl>
      <w:tblPr>
        <w:tblStyle w:val="44"/>
        <w:tblW w:w="10106"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620"/>
        <w:gridCol w:w="2535"/>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车型</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基本租车费报价</w:t>
            </w:r>
            <w:r>
              <w:rPr>
                <w:rFonts w:hint="eastAsia" w:ascii="宋体" w:hAnsi="宋体" w:eastAsia="宋体" w:cs="宋体"/>
                <w:color w:val="auto"/>
                <w:sz w:val="21"/>
                <w:szCs w:val="21"/>
                <w:highlight w:val="none"/>
                <w:lang w:val="en-US" w:eastAsia="zh-CN"/>
              </w:rPr>
              <w:t>最高限价</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（按里程300公里/天）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基本租车费报价</w:t>
            </w:r>
            <w:r>
              <w:rPr>
                <w:rFonts w:hint="eastAsia" w:ascii="宋体" w:hAnsi="宋体" w:eastAsia="宋体" w:cs="宋体"/>
                <w:color w:val="auto"/>
                <w:sz w:val="21"/>
                <w:szCs w:val="21"/>
                <w:highlight w:val="none"/>
              </w:rPr>
              <w:t>（按里程300公里/天）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一类：1.6升捷达等相当级别的轿车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220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二类：1.8升帕萨特等相当级别的轿车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360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三类：2.4升别克GL8等7-9座相当级别的商务车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650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四类：3.0升丰田普拉多等相当级别的越野车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五类：10-12座金杯阁瑞斯等相当级别的其他客车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六类：购置总价在5-10(含)万元新能源电动汽车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160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七类：购置总价在10-18(含)万元新能源电动汽车</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360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八类：19-23座丰田柯斯达等相当级别车型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含驾驶员</w:t>
            </w:r>
            <w:r>
              <w:rPr>
                <w:rFonts w:hint="eastAsia" w:ascii="宋体" w:hAnsi="宋体" w:cs="宋体"/>
                <w:color w:val="auto"/>
                <w:sz w:val="21"/>
                <w:szCs w:val="21"/>
                <w:highlight w:val="none"/>
                <w:lang w:eastAsia="zh-CN"/>
              </w:rPr>
              <w:t>）</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1300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九类：30-35座金旅、宇通等相当级别车型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含驾驶员</w:t>
            </w:r>
            <w:r>
              <w:rPr>
                <w:rFonts w:hint="eastAsia" w:ascii="宋体" w:hAnsi="宋体" w:cs="宋体"/>
                <w:color w:val="auto"/>
                <w:sz w:val="21"/>
                <w:szCs w:val="21"/>
                <w:highlight w:val="none"/>
                <w:lang w:eastAsia="zh-CN"/>
              </w:rPr>
              <w:t>）</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十类：39-49座金旅、宇通等相当级别车型</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含驾驶员</w:t>
            </w:r>
            <w:r>
              <w:rPr>
                <w:rFonts w:hint="eastAsia" w:ascii="宋体" w:hAnsi="宋体" w:cs="宋体"/>
                <w:color w:val="auto"/>
                <w:sz w:val="21"/>
                <w:szCs w:val="21"/>
                <w:highlight w:val="none"/>
                <w:lang w:eastAsia="zh-CN"/>
              </w:rPr>
              <w:t>）</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1700</w:t>
            </w:r>
            <w:r>
              <w:rPr>
                <w:rFonts w:hint="eastAsia" w:ascii="宋体" w:hAnsi="宋体" w:eastAsia="宋体" w:cs="宋体"/>
                <w:color w:val="auto"/>
                <w:sz w:val="21"/>
                <w:szCs w:val="21"/>
                <w:highlight w:val="none"/>
              </w:rPr>
              <w:t>元/天</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8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最后报价（</w:t>
            </w:r>
            <w:r>
              <w:rPr>
                <w:rFonts w:hint="eastAsia" w:ascii="宋体" w:hAnsi="宋体" w:eastAsia="宋体" w:cs="宋体"/>
                <w:b/>
                <w:bCs/>
                <w:i w:val="0"/>
                <w:iCs w:val="0"/>
                <w:color w:val="auto"/>
                <w:sz w:val="24"/>
                <w:szCs w:val="24"/>
                <w:highlight w:val="none"/>
              </w:rPr>
              <w:t>基本租车费报价总和的算术平均值</w:t>
            </w:r>
            <w:r>
              <w:rPr>
                <w:rFonts w:hint="eastAsia" w:ascii="宋体" w:hAnsi="宋体" w:eastAsia="宋体" w:cs="宋体"/>
                <w:b/>
                <w:bCs/>
                <w:i w:val="0"/>
                <w:iCs w:val="0"/>
                <w:color w:val="auto"/>
                <w:sz w:val="21"/>
                <w:szCs w:val="21"/>
                <w:highlight w:val="none"/>
                <w:lang w:val="en-US" w:eastAsia="zh-CN"/>
              </w:rPr>
              <w:t>）</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元/天</w:t>
            </w:r>
          </w:p>
        </w:tc>
      </w:tr>
    </w:tbl>
    <w:p>
      <w:pPr>
        <w:pStyle w:val="2"/>
        <w:rPr>
          <w:color w:val="auto"/>
          <w:highlight w:val="none"/>
        </w:rPr>
      </w:pPr>
    </w:p>
    <w:p>
      <w:pPr>
        <w:rPr>
          <w:color w:val="auto"/>
          <w:highlight w:val="none"/>
          <w:lang w:val="zh-CN"/>
        </w:rPr>
      </w:pPr>
    </w:p>
    <w:p>
      <w:pPr>
        <w:ind w:firstLine="494"/>
        <w:rPr>
          <w:rFonts w:ascii="宋体" w:hAnsi="宋体"/>
          <w:b/>
          <w:color w:val="auto"/>
          <w:highlight w:val="none"/>
          <w:u w:val="single"/>
        </w:rPr>
      </w:pPr>
      <w:r>
        <w:rPr>
          <w:rFonts w:hint="eastAsia" w:ascii="宋体" w:hAnsi="宋体"/>
          <w:b/>
          <w:color w:val="auto"/>
          <w:highlight w:val="none"/>
        </w:rPr>
        <w:t>最后报价（人民币大写）：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p>
    <w:p>
      <w:pPr>
        <w:pStyle w:val="2"/>
        <w:spacing w:after="0" w:line="360" w:lineRule="auto"/>
        <w:ind w:firstLine="480" w:firstLineChars="200"/>
        <w:rPr>
          <w:rFonts w:ascii="宋体" w:hAnsi="宋体" w:cs="宋体"/>
          <w:color w:val="auto"/>
          <w:highlight w:val="none"/>
        </w:rPr>
      </w:pPr>
    </w:p>
    <w:p>
      <w:pPr>
        <w:pStyle w:val="2"/>
        <w:spacing w:after="0" w:line="360" w:lineRule="auto"/>
        <w:ind w:firstLine="482" w:firstLineChars="200"/>
        <w:rPr>
          <w:rFonts w:ascii="宋体" w:hAnsi="宋体" w:cs="宋体"/>
          <w:b/>
          <w:color w:val="auto"/>
          <w:highlight w:val="none"/>
          <w:u w:val="single"/>
        </w:rPr>
      </w:pPr>
    </w:p>
    <w:p>
      <w:pPr>
        <w:pStyle w:val="2"/>
        <w:spacing w:after="0" w:line="360" w:lineRule="auto"/>
        <w:ind w:firstLine="482" w:firstLineChars="200"/>
        <w:rPr>
          <w:rFonts w:ascii="宋体" w:hAnsi="宋体" w:cs="宋体"/>
          <w:b/>
          <w:color w:val="auto"/>
          <w:highlight w:val="none"/>
          <w:u w:val="singl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firstLine="482" w:firstLineChars="200"/>
        <w:jc w:val="left"/>
        <w:rPr>
          <w:rFonts w:ascii="宋体" w:hAnsi="宋体" w:cs="宋体"/>
          <w:b/>
          <w:color w:val="auto"/>
          <w:sz w:val="24"/>
          <w:szCs w:val="24"/>
          <w:highlight w:val="none"/>
        </w:rPr>
      </w:pPr>
    </w:p>
    <w:p>
      <w:pPr>
        <w:pStyle w:val="67"/>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说明：供应商可不在响应文件中填写并提供此表。此表为磋商结束后，由供应商填写“最后报价”（表格由磋商小组提供），经供应商法定代表人或代理人签字后密封递交给四川世科工程咨询有限公司工作人员，由其收集齐后集中递交磋商小组。</w:t>
      </w:r>
    </w:p>
    <w:p>
      <w:pPr>
        <w:pStyle w:val="27"/>
        <w:keepNext w:val="0"/>
        <w:keepLines w:val="0"/>
        <w:pageBreakBefore w:val="0"/>
        <w:widowControl w:val="0"/>
        <w:numPr>
          <w:ilvl w:val="0"/>
          <w:numId w:val="50"/>
        </w:numPr>
        <w:kinsoku/>
        <w:wordWrap/>
        <w:overflowPunct/>
        <w:topLinePunct w:val="0"/>
        <w:autoSpaceDE/>
        <w:autoSpaceDN/>
        <w:bidi w:val="0"/>
        <w:adjustRightInd w:val="0"/>
        <w:snapToGrid w:val="0"/>
        <w:spacing w:line="579" w:lineRule="exact"/>
        <w:ind w:left="5" w:leftChars="0" w:firstLine="475"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基本租车费报价是指在300公里以内的费用。</w:t>
      </w:r>
    </w:p>
    <w:p>
      <w:pPr>
        <w:pStyle w:val="27"/>
        <w:keepNext w:val="0"/>
        <w:keepLines w:val="0"/>
        <w:pageBreakBefore w:val="0"/>
        <w:widowControl w:val="0"/>
        <w:numPr>
          <w:ilvl w:val="0"/>
          <w:numId w:val="50"/>
        </w:numPr>
        <w:kinsoku/>
        <w:wordWrap/>
        <w:overflowPunct/>
        <w:topLinePunct w:val="0"/>
        <w:autoSpaceDE/>
        <w:autoSpaceDN/>
        <w:bidi w:val="0"/>
        <w:adjustRightInd w:val="0"/>
        <w:snapToGrid w:val="0"/>
        <w:spacing w:line="579" w:lineRule="exact"/>
        <w:ind w:left="5" w:leftChars="0" w:firstLine="475"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基本租车费是指在300公里以内的租车费用，包含维修、保养、救援、开票税金等费用，不包含第三方劳务（驾驶员）相关费用和燃油费、过路过桥费、泊车费费用。</w:t>
      </w:r>
    </w:p>
    <w:p>
      <w:pPr>
        <w:pStyle w:val="27"/>
        <w:keepNext w:val="0"/>
        <w:keepLines w:val="0"/>
        <w:pageBreakBefore w:val="0"/>
        <w:widowControl w:val="0"/>
        <w:numPr>
          <w:ilvl w:val="0"/>
          <w:numId w:val="50"/>
        </w:numPr>
        <w:kinsoku/>
        <w:wordWrap/>
        <w:overflowPunct/>
        <w:topLinePunct w:val="0"/>
        <w:autoSpaceDE/>
        <w:autoSpaceDN/>
        <w:bidi w:val="0"/>
        <w:adjustRightInd w:val="0"/>
        <w:snapToGrid w:val="0"/>
        <w:spacing w:line="579" w:lineRule="exact"/>
        <w:ind w:left="5" w:leftChars="0" w:firstLine="475"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报价是指所投车型基本租车费报价总和的算术平均值（即基本租车费报价总和除以车型总类数），报价仅用于计算报价评审，实际结算以每类车型的基本租车费报价为准。</w:t>
      </w:r>
    </w:p>
    <w:p>
      <w:pPr>
        <w:pStyle w:val="67"/>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3"/>
        <w:rPr>
          <w:color w:val="auto"/>
          <w:highlight w:val="none"/>
        </w:rPr>
      </w:pPr>
      <w:bookmarkStart w:id="313" w:name="_Toc23455"/>
      <w:r>
        <w:rPr>
          <w:rFonts w:hint="eastAsia"/>
          <w:color w:val="auto"/>
          <w:highlight w:val="none"/>
        </w:rPr>
        <w:t>合同主要条款</w:t>
      </w:r>
      <w:bookmarkEnd w:id="313"/>
    </w:p>
    <w:bookmarkEnd w:id="308"/>
    <w:bookmarkEnd w:id="309"/>
    <w:bookmarkEnd w:id="310"/>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政府采购合同编号：XXXX。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签订地点：XXXX。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签订时间：XXXX年XX月XX日。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供应商（乙方）：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依据《中华人民共和国</w:t>
      </w:r>
      <w:r>
        <w:rPr>
          <w:rFonts w:hint="eastAsia" w:ascii="宋体" w:hAnsi="宋体" w:cs="宋体"/>
          <w:color w:val="auto"/>
          <w:highlight w:val="none"/>
          <w:lang w:val="en-US" w:eastAsia="zh-CN"/>
        </w:rPr>
        <w:t>民法典</w:t>
      </w:r>
      <w:r>
        <w:rPr>
          <w:rFonts w:hint="eastAsia" w:ascii="宋体" w:hAnsi="宋体" w:cs="宋体"/>
          <w:color w:val="auto"/>
          <w:highlight w:val="none"/>
        </w:rPr>
        <w:t xml:space="preserve">》、《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项目基本情况</w:t>
      </w:r>
    </w:p>
    <w:p>
      <w:pPr>
        <w:numPr>
          <w:ilvl w:val="0"/>
          <w:numId w:val="51"/>
        </w:numPr>
        <w:spacing w:line="360" w:lineRule="auto"/>
        <w:ind w:left="0" w:firstLine="482" w:firstLineChars="200"/>
        <w:rPr>
          <w:rFonts w:ascii="宋体" w:hAnsi="宋体" w:cs="宋体"/>
          <w:color w:val="auto"/>
          <w:highlight w:val="none"/>
        </w:rPr>
      </w:pPr>
      <w:r>
        <w:rPr>
          <w:rFonts w:hint="eastAsia" w:ascii="宋体" w:hAnsi="宋体" w:cs="宋体"/>
          <w:b/>
          <w:color w:val="auto"/>
          <w:highlight w:val="none"/>
        </w:rPr>
        <w:t>合同期限</w:t>
      </w:r>
    </w:p>
    <w:p>
      <w:pPr>
        <w:numPr>
          <w:ilvl w:val="0"/>
          <w:numId w:val="51"/>
        </w:numPr>
        <w:spacing w:line="360" w:lineRule="auto"/>
        <w:ind w:left="0" w:firstLine="482" w:firstLineChars="200"/>
        <w:rPr>
          <w:rFonts w:ascii="宋体" w:hAnsi="宋体" w:cs="宋体"/>
          <w:b/>
          <w:color w:val="auto"/>
          <w:highlight w:val="none"/>
        </w:rPr>
      </w:pPr>
      <w:bookmarkStart w:id="314" w:name="_Toc212019594"/>
      <w:bookmarkStart w:id="315" w:name="_Toc238984975"/>
      <w:bookmarkStart w:id="316" w:name="_Toc282696226"/>
      <w:bookmarkStart w:id="317" w:name="_Toc283019214"/>
      <w:bookmarkStart w:id="318" w:name="_Toc211911348"/>
      <w:bookmarkStart w:id="319" w:name="_Toc232492928"/>
      <w:bookmarkStart w:id="320" w:name="_Toc185395249"/>
      <w:bookmarkStart w:id="321" w:name="_Toc239568418"/>
      <w:bookmarkStart w:id="322" w:name="_Toc247334841"/>
      <w:bookmarkStart w:id="323" w:name="_Toc241833903"/>
      <w:bookmarkStart w:id="324" w:name="_Toc239233914"/>
      <w:bookmarkStart w:id="325" w:name="_Toc225654644"/>
      <w:bookmarkStart w:id="326" w:name="_Toc237145406"/>
      <w:bookmarkStart w:id="327" w:name="_Toc286993786"/>
      <w:bookmarkStart w:id="328" w:name="_Toc225670751"/>
      <w:bookmarkStart w:id="329" w:name="_Toc211854449"/>
      <w:bookmarkStart w:id="330" w:name="_Toc251768862"/>
      <w:bookmarkStart w:id="331" w:name="_Toc225244852"/>
      <w:r>
        <w:rPr>
          <w:rFonts w:hint="eastAsia" w:ascii="宋体" w:hAnsi="宋体" w:cs="宋体"/>
          <w:b/>
          <w:color w:val="auto"/>
          <w:highlight w:val="none"/>
        </w:rPr>
        <w:t>服务内容与质量标准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服务费用及支付方式</w:t>
      </w:r>
    </w:p>
    <w:p>
      <w:pPr>
        <w:numPr>
          <w:ilvl w:val="0"/>
          <w:numId w:val="52"/>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本项目服务费用由以下组成：</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2"/>
        </w:numPr>
        <w:tabs>
          <w:tab w:val="left" w:pos="780"/>
        </w:tabs>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 xml:space="preserve">服务费支付方式：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知识产权</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无产权瑕疵条款</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甲方的权利和义务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3、负责检查监督乙方管理工作的实施及制度的执行情况。</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4、根据本合同规定，按时向乙方支付应付服务费用。</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5、国家法律、法规所规定由甲方承担的其它责任。</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乙方的权利和义务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1、对本合同规定的委托服务范围内的项目享有管理权及服务义务。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2、根据本合同的规定向甲方收取相关服务费用，并有权在本项目管理范围内管理及合理使用。</w:t>
      </w:r>
    </w:p>
    <w:p>
      <w:pPr>
        <w:adjustRightInd w:val="0"/>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bCs/>
          <w:color w:val="auto"/>
          <w:highlight w:val="none"/>
        </w:rPr>
        <w:t>接受项目行业管理部门及政府有关部门的指导，接受甲方的监督。</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5、国家法律、法规所规定由乙方承担的其它责任。</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违约责任</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1、甲乙双方必须遵守本合同并执行合同中的各项规定，保证本合同的正常履行。</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不可抗力事件处理</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3、不可抗力事件延续XX天以上，双方应通过友好协商，确定是否继续履行合同。</w:t>
      </w:r>
    </w:p>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numPr>
          <w:ilvl w:val="0"/>
          <w:numId w:val="51"/>
        </w:numPr>
        <w:spacing w:line="360" w:lineRule="auto"/>
        <w:ind w:left="0" w:firstLine="482" w:firstLineChars="200"/>
        <w:rPr>
          <w:rFonts w:ascii="宋体" w:hAnsi="宋体" w:cs="宋体"/>
          <w:b/>
          <w:color w:val="auto"/>
          <w:highlight w:val="none"/>
        </w:rPr>
      </w:pPr>
      <w:bookmarkStart w:id="332" w:name="_Toc239233919"/>
      <w:bookmarkStart w:id="333" w:name="_Toc238984980"/>
      <w:bookmarkStart w:id="334" w:name="_Toc239568423"/>
      <w:bookmarkStart w:id="335" w:name="_Toc211911353"/>
      <w:bookmarkStart w:id="336" w:name="_Toc241833908"/>
      <w:bookmarkStart w:id="337" w:name="_Toc286993792"/>
      <w:bookmarkStart w:id="338" w:name="_Toc225654649"/>
      <w:bookmarkStart w:id="339" w:name="_Toc225244857"/>
      <w:bookmarkStart w:id="340" w:name="_Toc247334846"/>
      <w:bookmarkStart w:id="341" w:name="_Toc237145411"/>
      <w:bookmarkStart w:id="342" w:name="_Toc225670756"/>
      <w:bookmarkStart w:id="343" w:name="_Toc232492933"/>
      <w:bookmarkStart w:id="344" w:name="_Toc251768867"/>
      <w:bookmarkStart w:id="345" w:name="_Toc212019599"/>
      <w:bookmarkStart w:id="346" w:name="_Toc185395254"/>
      <w:bookmarkStart w:id="347" w:name="_Toc211854454"/>
      <w:r>
        <w:rPr>
          <w:rFonts w:hint="eastAsia" w:ascii="宋体" w:hAnsi="宋体" w:cs="宋体"/>
          <w:b/>
          <w:color w:val="auto"/>
          <w:highlight w:val="none"/>
        </w:rPr>
        <w:t>解决合同纠纷的方式</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1、在执行本合同中发生的或与本合同有关的争端，双方应通过友好协商解决，经协商在</w:t>
      </w:r>
      <w:r>
        <w:rPr>
          <w:rFonts w:hint="eastAsia" w:ascii="宋体" w:hAnsi="宋体" w:cs="宋体"/>
          <w:color w:val="auto"/>
          <w:highlight w:val="none"/>
          <w:u w:val="single"/>
        </w:rPr>
        <w:t xml:space="preserve">      </w:t>
      </w:r>
      <w:r>
        <w:rPr>
          <w:rFonts w:hint="eastAsia" w:ascii="宋体" w:hAnsi="宋体" w:cs="宋体"/>
          <w:color w:val="auto"/>
          <w:highlight w:val="none"/>
        </w:rPr>
        <w:t>天内不能达成协议时，应提交成都仲裁委员会仲裁。</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2、仲裁裁决应为最终决定，并对双方具有约束力。</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4、在仲裁期间，除正在进行仲裁部分外，合同其他部分继续执行。  </w:t>
      </w:r>
    </w:p>
    <w:p>
      <w:pPr>
        <w:numPr>
          <w:ilvl w:val="0"/>
          <w:numId w:val="51"/>
        </w:numPr>
        <w:spacing w:line="360" w:lineRule="auto"/>
        <w:ind w:left="0" w:firstLine="482" w:firstLineChars="200"/>
        <w:rPr>
          <w:rFonts w:ascii="宋体" w:hAnsi="宋体" w:cs="宋体"/>
          <w:b/>
          <w:color w:val="auto"/>
          <w:highlight w:val="none"/>
        </w:rPr>
      </w:pPr>
      <w:bookmarkStart w:id="348" w:name="_Toc241833909"/>
      <w:bookmarkStart w:id="349" w:name="_Toc232492934"/>
      <w:bookmarkStart w:id="350" w:name="_Toc247334847"/>
      <w:bookmarkStart w:id="351" w:name="_Toc225670757"/>
      <w:bookmarkStart w:id="352" w:name="_Toc283019219"/>
      <w:bookmarkStart w:id="353" w:name="_Toc185395255"/>
      <w:bookmarkStart w:id="354" w:name="_Toc238984981"/>
      <w:bookmarkStart w:id="355" w:name="_Toc225654650"/>
      <w:bookmarkStart w:id="356" w:name="_Toc282696231"/>
      <w:bookmarkStart w:id="357" w:name="_Toc225244858"/>
      <w:bookmarkStart w:id="358" w:name="_Toc239568424"/>
      <w:bookmarkStart w:id="359" w:name="_Toc251768868"/>
      <w:bookmarkStart w:id="360" w:name="_Toc212019600"/>
      <w:bookmarkStart w:id="361" w:name="_Toc211911354"/>
      <w:bookmarkStart w:id="362" w:name="_Toc237145412"/>
      <w:bookmarkStart w:id="363" w:name="_Toc286993793"/>
      <w:bookmarkStart w:id="364" w:name="_Toc211854455"/>
      <w:bookmarkStart w:id="365" w:name="_Toc239233920"/>
      <w:r>
        <w:rPr>
          <w:rFonts w:hint="eastAsia" w:ascii="宋体" w:hAnsi="宋体" w:cs="宋体"/>
          <w:b/>
          <w:color w:val="auto"/>
          <w:highlight w:val="none"/>
        </w:rPr>
        <w:t>合同</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Fonts w:hint="eastAsia" w:ascii="宋体" w:hAnsi="宋体" w:cs="宋体"/>
          <w:b/>
          <w:color w:val="auto"/>
          <w:highlight w:val="none"/>
        </w:rPr>
        <w:t>生效及其他</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1、合同经双方法定代表人或授权委托代理人签字并加盖单位公章后生效。</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pStyle w:val="65"/>
        <w:spacing w:line="360" w:lineRule="auto"/>
        <w:ind w:firstLine="480"/>
        <w:rPr>
          <w:rFonts w:ascii="宋体" w:hAnsi="宋体" w:cs="宋体"/>
          <w:color w:val="auto"/>
          <w:highlight w:val="none"/>
        </w:rPr>
      </w:pPr>
      <w:r>
        <w:rPr>
          <w:rFonts w:hint="eastAsia" w:ascii="宋体" w:hAnsi="宋体" w:cs="宋体"/>
          <w:color w:val="auto"/>
          <w:highlight w:val="none"/>
        </w:rPr>
        <w:t>3、本合同一式XX份，自双方签章之日起起效。甲方XX份，乙方XX份，政府采购代理机构XX份，同级财政部门备案XX份，具有同等法律效力。</w:t>
      </w:r>
    </w:p>
    <w:p>
      <w:pPr>
        <w:numPr>
          <w:ilvl w:val="0"/>
          <w:numId w:val="51"/>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附件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1、项目竞争性磋商文件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2、项目响应文件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3、成交通知书</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4、其他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   （盖章）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乙方：   （盖章）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法定代表人（授权代表）：           法定代表人（授权代表）：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                         地    址：</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账号：                             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    话：                         电    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                         传    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签约日期：XX年XX月XX日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签约日期：XX年XX月XX日</w:t>
      </w:r>
    </w:p>
    <w:p>
      <w:pPr>
        <w:pStyle w:val="156"/>
        <w:spacing w:line="360" w:lineRule="auto"/>
        <w:rPr>
          <w:rFonts w:ascii="宋体" w:hAnsi="宋体" w:cs="宋体"/>
          <w:color w:val="auto"/>
          <w:sz w:val="28"/>
          <w:szCs w:val="28"/>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FF5FB"/>
    <w:multiLevelType w:val="singleLevel"/>
    <w:tmpl w:val="8C8FF5FB"/>
    <w:lvl w:ilvl="0" w:tentative="0">
      <w:start w:val="1"/>
      <w:numFmt w:val="chineseCounting"/>
      <w:suff w:val="nothing"/>
      <w:lvlText w:val="%1、"/>
      <w:lvlJc w:val="left"/>
      <w:pPr>
        <w:ind w:left="0" w:firstLine="420"/>
      </w:pPr>
      <w:rPr>
        <w:rFonts w:hint="eastAsia"/>
      </w:rPr>
    </w:lvl>
  </w:abstractNum>
  <w:abstractNum w:abstractNumId="1">
    <w:nsid w:val="C47B4B3C"/>
    <w:multiLevelType w:val="singleLevel"/>
    <w:tmpl w:val="C47B4B3C"/>
    <w:lvl w:ilvl="0" w:tentative="0">
      <w:start w:val="1"/>
      <w:numFmt w:val="decimal"/>
      <w:lvlText w:val="%1、"/>
      <w:lvlJc w:val="left"/>
      <w:pPr>
        <w:tabs>
          <w:tab w:val="left" w:pos="420"/>
        </w:tabs>
        <w:ind w:left="425" w:leftChars="0" w:hanging="425" w:firstLineChars="0"/>
      </w:pPr>
      <w:rPr>
        <w:rFonts w:hint="default"/>
      </w:rPr>
    </w:lvl>
  </w:abstractNum>
  <w:abstractNum w:abstractNumId="2">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3">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93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4">
    <w:nsid w:val="077967F0"/>
    <w:multiLevelType w:val="singleLevel"/>
    <w:tmpl w:val="077967F0"/>
    <w:lvl w:ilvl="0" w:tentative="0">
      <w:start w:val="1"/>
      <w:numFmt w:val="decimal"/>
      <w:lvlText w:val="%1."/>
      <w:lvlJc w:val="left"/>
      <w:pPr>
        <w:ind w:left="425" w:hanging="425"/>
      </w:pPr>
      <w:rPr>
        <w:rFonts w:hint="default"/>
      </w:rPr>
    </w:lvl>
  </w:abstractNum>
  <w:abstractNum w:abstractNumId="5">
    <w:nsid w:val="0A92227D"/>
    <w:multiLevelType w:val="multilevel"/>
    <w:tmpl w:val="0A92227D"/>
    <w:lvl w:ilvl="0" w:tentative="0">
      <w:start w:val="1"/>
      <w:numFmt w:val="bullet"/>
      <w:pStyle w:val="107"/>
      <w:lvlText w:val=""/>
      <w:lvlJc w:val="left"/>
      <w:pPr>
        <w:ind w:left="900" w:hanging="420"/>
      </w:pPr>
      <w:rPr>
        <w:rFonts w:hint="default" w:ascii="Wingdings" w:hAnsi="Wingdings"/>
      </w:rPr>
    </w:lvl>
    <w:lvl w:ilvl="1" w:tentative="0">
      <w:start w:val="1"/>
      <w:numFmt w:val="bullet"/>
      <w:pStyle w:val="106"/>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7">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1"/>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0">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1">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2">
    <w:nsid w:val="33C9052D"/>
    <w:multiLevelType w:val="singleLevel"/>
    <w:tmpl w:val="33C9052D"/>
    <w:lvl w:ilvl="0" w:tentative="0">
      <w:start w:val="1"/>
      <w:numFmt w:val="chineseCounting"/>
      <w:suff w:val="nothing"/>
      <w:lvlText w:val="%1、"/>
      <w:lvlJc w:val="left"/>
      <w:pPr>
        <w:ind w:left="0" w:firstLine="420"/>
      </w:pPr>
      <w:rPr>
        <w:rFonts w:hint="eastAsia"/>
      </w:rPr>
    </w:lvl>
  </w:abstractNum>
  <w:abstractNum w:abstractNumId="13">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6">
    <w:nsid w:val="4DA5B2B7"/>
    <w:multiLevelType w:val="singleLevel"/>
    <w:tmpl w:val="4DA5B2B7"/>
    <w:lvl w:ilvl="0" w:tentative="0">
      <w:start w:val="1"/>
      <w:numFmt w:val="decimal"/>
      <w:lvlText w:val="%1."/>
      <w:lvlJc w:val="left"/>
      <w:pPr>
        <w:ind w:left="425" w:hanging="425"/>
      </w:pPr>
      <w:rPr>
        <w:rFonts w:hint="default"/>
      </w:rPr>
    </w:lvl>
  </w:abstractNum>
  <w:abstractNum w:abstractNumId="17">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19">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0">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21">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22">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23">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24">
    <w:nsid w:val="58E72D27"/>
    <w:multiLevelType w:val="singleLevel"/>
    <w:tmpl w:val="58E72D27"/>
    <w:lvl w:ilvl="0" w:tentative="0">
      <w:start w:val="1"/>
      <w:numFmt w:val="decimal"/>
      <w:lvlText w:val="%1."/>
      <w:lvlJc w:val="left"/>
      <w:pPr>
        <w:ind w:left="425" w:hanging="425"/>
      </w:pPr>
      <w:rPr>
        <w:rFonts w:hint="default"/>
      </w:rPr>
    </w:lvl>
  </w:abstractNum>
  <w:abstractNum w:abstractNumId="25">
    <w:nsid w:val="58F5EE34"/>
    <w:multiLevelType w:val="singleLevel"/>
    <w:tmpl w:val="58F5EE34"/>
    <w:lvl w:ilvl="0" w:tentative="0">
      <w:start w:val="3"/>
      <w:numFmt w:val="chineseCounting"/>
      <w:suff w:val="nothing"/>
      <w:lvlText w:val="%1、"/>
      <w:lvlJc w:val="left"/>
    </w:lvl>
  </w:abstractNum>
  <w:abstractNum w:abstractNumId="26">
    <w:nsid w:val="59DEF6EB"/>
    <w:multiLevelType w:val="singleLevel"/>
    <w:tmpl w:val="59DEF6EB"/>
    <w:lvl w:ilvl="0" w:tentative="0">
      <w:start w:val="1"/>
      <w:numFmt w:val="chineseCounting"/>
      <w:suff w:val="nothing"/>
      <w:lvlText w:val="%1、"/>
      <w:lvlJc w:val="left"/>
    </w:lvl>
  </w:abstractNum>
  <w:abstractNum w:abstractNumId="27">
    <w:nsid w:val="5A1BBB23"/>
    <w:multiLevelType w:val="singleLevel"/>
    <w:tmpl w:val="5A1BBB23"/>
    <w:lvl w:ilvl="0" w:tentative="0">
      <w:start w:val="1"/>
      <w:numFmt w:val="chineseCounting"/>
      <w:suff w:val="nothing"/>
      <w:lvlText w:val="（%1）"/>
      <w:lvlJc w:val="left"/>
    </w:lvl>
  </w:abstractNum>
  <w:abstractNum w:abstractNumId="28">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29">
    <w:nsid w:val="5A1BCF5D"/>
    <w:multiLevelType w:val="singleLevel"/>
    <w:tmpl w:val="5A1BCF5D"/>
    <w:lvl w:ilvl="0" w:tentative="0">
      <w:start w:val="1"/>
      <w:numFmt w:val="decimal"/>
      <w:suff w:val="nothing"/>
      <w:lvlText w:val="%1、"/>
      <w:lvlJc w:val="left"/>
    </w:lvl>
  </w:abstractNum>
  <w:abstractNum w:abstractNumId="30">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31">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32">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33">
    <w:nsid w:val="5A1FB537"/>
    <w:multiLevelType w:val="singleLevel"/>
    <w:tmpl w:val="5A1FB537"/>
    <w:lvl w:ilvl="0" w:tentative="0">
      <w:start w:val="1"/>
      <w:numFmt w:val="decimal"/>
      <w:suff w:val="nothing"/>
      <w:lvlText w:val="%1、"/>
      <w:lvlJc w:val="left"/>
    </w:lvl>
  </w:abstractNum>
  <w:abstractNum w:abstractNumId="34">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35">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36">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37">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38">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39">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40">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41">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42">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43">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44">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45">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6">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47">
    <w:nsid w:val="638064AA"/>
    <w:multiLevelType w:val="multilevel"/>
    <w:tmpl w:val="638064AA"/>
    <w:lvl w:ilvl="0" w:tentative="0">
      <w:start w:val="1"/>
      <w:numFmt w:val="japaneseCounting"/>
      <w:lvlText w:val="%1、"/>
      <w:lvlJc w:val="left"/>
      <w:pPr>
        <w:ind w:left="1856" w:hanging="1005"/>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49">
    <w:nsid w:val="6FCB37F9"/>
    <w:multiLevelType w:val="singleLevel"/>
    <w:tmpl w:val="6FCB37F9"/>
    <w:lvl w:ilvl="0" w:tentative="0">
      <w:start w:val="1"/>
      <w:numFmt w:val="decimal"/>
      <w:suff w:val="nothing"/>
      <w:lvlText w:val="%1、"/>
      <w:lvlJc w:val="left"/>
    </w:lvl>
  </w:abstractNum>
  <w:abstractNum w:abstractNumId="50">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1">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3"/>
  </w:num>
  <w:num w:numId="2">
    <w:abstractNumId w:val="19"/>
  </w:num>
  <w:num w:numId="3">
    <w:abstractNumId w:val="7"/>
  </w:num>
  <w:num w:numId="4">
    <w:abstractNumId w:val="9"/>
  </w:num>
  <w:num w:numId="5">
    <w:abstractNumId w:val="5"/>
  </w:num>
  <w:num w:numId="6">
    <w:abstractNumId w:val="10"/>
  </w:num>
  <w:num w:numId="7">
    <w:abstractNumId w:val="17"/>
  </w:num>
  <w:num w:numId="8">
    <w:abstractNumId w:val="1"/>
  </w:num>
  <w:num w:numId="9">
    <w:abstractNumId w:val="49"/>
  </w:num>
  <w:num w:numId="10">
    <w:abstractNumId w:val="18"/>
  </w:num>
  <w:num w:numId="11">
    <w:abstractNumId w:val="27"/>
  </w:num>
  <w:num w:numId="12">
    <w:abstractNumId w:val="20"/>
  </w:num>
  <w:num w:numId="13">
    <w:abstractNumId w:val="21"/>
  </w:num>
  <w:num w:numId="14">
    <w:abstractNumId w:val="22"/>
  </w:num>
  <w:num w:numId="15">
    <w:abstractNumId w:val="30"/>
  </w:num>
  <w:num w:numId="16">
    <w:abstractNumId w:val="23"/>
  </w:num>
  <w:num w:numId="17">
    <w:abstractNumId w:val="40"/>
  </w:num>
  <w:num w:numId="18">
    <w:abstractNumId w:val="41"/>
  </w:num>
  <w:num w:numId="19">
    <w:abstractNumId w:val="39"/>
  </w:num>
  <w:num w:numId="20">
    <w:abstractNumId w:val="51"/>
  </w:num>
  <w:num w:numId="21">
    <w:abstractNumId w:val="15"/>
  </w:num>
  <w:num w:numId="22">
    <w:abstractNumId w:val="46"/>
  </w:num>
  <w:num w:numId="23">
    <w:abstractNumId w:val="28"/>
  </w:num>
  <w:num w:numId="24">
    <w:abstractNumId w:val="31"/>
  </w:num>
  <w:num w:numId="25">
    <w:abstractNumId w:val="29"/>
  </w:num>
  <w:num w:numId="26">
    <w:abstractNumId w:val="43"/>
  </w:num>
  <w:num w:numId="27">
    <w:abstractNumId w:val="44"/>
  </w:num>
  <w:num w:numId="28">
    <w:abstractNumId w:val="45"/>
  </w:num>
  <w:num w:numId="29">
    <w:abstractNumId w:val="2"/>
  </w:num>
  <w:num w:numId="30">
    <w:abstractNumId w:val="25"/>
  </w:num>
  <w:num w:numId="31">
    <w:abstractNumId w:val="32"/>
  </w:num>
  <w:num w:numId="32">
    <w:abstractNumId w:val="6"/>
  </w:num>
  <w:num w:numId="33">
    <w:abstractNumId w:val="33"/>
  </w:num>
  <w:num w:numId="34">
    <w:abstractNumId w:val="47"/>
  </w:num>
  <w:num w:numId="35">
    <w:abstractNumId w:val="34"/>
  </w:num>
  <w:num w:numId="36">
    <w:abstractNumId w:val="42"/>
  </w:num>
  <w:num w:numId="37">
    <w:abstractNumId w:val="35"/>
  </w:num>
  <w:num w:numId="38">
    <w:abstractNumId w:val="36"/>
  </w:num>
  <w:num w:numId="39">
    <w:abstractNumId w:val="37"/>
  </w:num>
  <w:num w:numId="40">
    <w:abstractNumId w:val="38"/>
  </w:num>
  <w:num w:numId="41">
    <w:abstractNumId w:val="48"/>
  </w:num>
  <w:num w:numId="42">
    <w:abstractNumId w:val="0"/>
  </w:num>
  <w:num w:numId="43">
    <w:abstractNumId w:val="12"/>
  </w:num>
  <w:num w:numId="44">
    <w:abstractNumId w:val="24"/>
  </w:num>
  <w:num w:numId="45">
    <w:abstractNumId w:val="13"/>
  </w:num>
  <w:num w:numId="46">
    <w:abstractNumId w:val="50"/>
  </w:num>
  <w:num w:numId="47">
    <w:abstractNumId w:val="26"/>
  </w:num>
  <w:num w:numId="48">
    <w:abstractNumId w:val="14"/>
  </w:num>
  <w:num w:numId="49">
    <w:abstractNumId w:val="4"/>
  </w:num>
  <w:num w:numId="50">
    <w:abstractNumId w:val="16"/>
  </w:num>
  <w:num w:numId="51">
    <w:abstractNumId w:val="11"/>
  </w:num>
  <w:num w:numId="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444D2"/>
    <w:rsid w:val="0095488E"/>
    <w:rsid w:val="009579E0"/>
    <w:rsid w:val="0096206A"/>
    <w:rsid w:val="00965A80"/>
    <w:rsid w:val="00975A9C"/>
    <w:rsid w:val="009806C5"/>
    <w:rsid w:val="0098128A"/>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A5842"/>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253502"/>
    <w:rsid w:val="013A34D2"/>
    <w:rsid w:val="017C4C4A"/>
    <w:rsid w:val="019845E5"/>
    <w:rsid w:val="01B0348D"/>
    <w:rsid w:val="01C1532E"/>
    <w:rsid w:val="01DC7096"/>
    <w:rsid w:val="01E2682C"/>
    <w:rsid w:val="020716AE"/>
    <w:rsid w:val="02507A52"/>
    <w:rsid w:val="02596255"/>
    <w:rsid w:val="025E45AD"/>
    <w:rsid w:val="02632E79"/>
    <w:rsid w:val="02B9172A"/>
    <w:rsid w:val="02DD68E2"/>
    <w:rsid w:val="02E9497F"/>
    <w:rsid w:val="030C0571"/>
    <w:rsid w:val="03164D3E"/>
    <w:rsid w:val="03451B7A"/>
    <w:rsid w:val="03511D53"/>
    <w:rsid w:val="03766AE1"/>
    <w:rsid w:val="03A240C0"/>
    <w:rsid w:val="03E812EC"/>
    <w:rsid w:val="04346E96"/>
    <w:rsid w:val="043F1946"/>
    <w:rsid w:val="045B7DE7"/>
    <w:rsid w:val="049A4A23"/>
    <w:rsid w:val="04CB1844"/>
    <w:rsid w:val="04D70CB5"/>
    <w:rsid w:val="04EA6A74"/>
    <w:rsid w:val="050D16BA"/>
    <w:rsid w:val="054A171F"/>
    <w:rsid w:val="055C340A"/>
    <w:rsid w:val="05625D31"/>
    <w:rsid w:val="058013F8"/>
    <w:rsid w:val="058B3782"/>
    <w:rsid w:val="0591421E"/>
    <w:rsid w:val="059A1517"/>
    <w:rsid w:val="05E71667"/>
    <w:rsid w:val="06273AC5"/>
    <w:rsid w:val="06701CF1"/>
    <w:rsid w:val="068E2877"/>
    <w:rsid w:val="06C40031"/>
    <w:rsid w:val="06C55BEF"/>
    <w:rsid w:val="06CF3C7F"/>
    <w:rsid w:val="06E21332"/>
    <w:rsid w:val="07156F47"/>
    <w:rsid w:val="07310670"/>
    <w:rsid w:val="07487F64"/>
    <w:rsid w:val="074F1D72"/>
    <w:rsid w:val="07607573"/>
    <w:rsid w:val="07641B88"/>
    <w:rsid w:val="079C6C34"/>
    <w:rsid w:val="07C17285"/>
    <w:rsid w:val="07E464D4"/>
    <w:rsid w:val="07EB65E3"/>
    <w:rsid w:val="07F124E0"/>
    <w:rsid w:val="07FE3A66"/>
    <w:rsid w:val="082F71E8"/>
    <w:rsid w:val="084D34A3"/>
    <w:rsid w:val="08624F55"/>
    <w:rsid w:val="087D32AA"/>
    <w:rsid w:val="08947E10"/>
    <w:rsid w:val="089E3657"/>
    <w:rsid w:val="08AB3374"/>
    <w:rsid w:val="08B0644D"/>
    <w:rsid w:val="08C14A52"/>
    <w:rsid w:val="08C35B2B"/>
    <w:rsid w:val="08DD3EDA"/>
    <w:rsid w:val="08E80A7C"/>
    <w:rsid w:val="08FD1694"/>
    <w:rsid w:val="08FF7646"/>
    <w:rsid w:val="09195F9B"/>
    <w:rsid w:val="0938692D"/>
    <w:rsid w:val="09423CB2"/>
    <w:rsid w:val="09551105"/>
    <w:rsid w:val="09732BAA"/>
    <w:rsid w:val="09957E1A"/>
    <w:rsid w:val="099B7A84"/>
    <w:rsid w:val="09AB0222"/>
    <w:rsid w:val="09AD23BE"/>
    <w:rsid w:val="09B124FA"/>
    <w:rsid w:val="09CD7056"/>
    <w:rsid w:val="09D83573"/>
    <w:rsid w:val="0A14574B"/>
    <w:rsid w:val="0A39670A"/>
    <w:rsid w:val="0A744052"/>
    <w:rsid w:val="0A8254DA"/>
    <w:rsid w:val="0A9C41F4"/>
    <w:rsid w:val="0AA862B1"/>
    <w:rsid w:val="0AAF104A"/>
    <w:rsid w:val="0AAF3E31"/>
    <w:rsid w:val="0ADE6EA2"/>
    <w:rsid w:val="0AED7139"/>
    <w:rsid w:val="0B151573"/>
    <w:rsid w:val="0B4A0AB1"/>
    <w:rsid w:val="0B6E3207"/>
    <w:rsid w:val="0B73301E"/>
    <w:rsid w:val="0BAC0F2F"/>
    <w:rsid w:val="0C106DAE"/>
    <w:rsid w:val="0C1959E9"/>
    <w:rsid w:val="0C220AE9"/>
    <w:rsid w:val="0C316499"/>
    <w:rsid w:val="0C643F71"/>
    <w:rsid w:val="0C7F7977"/>
    <w:rsid w:val="0CA777FB"/>
    <w:rsid w:val="0CB25156"/>
    <w:rsid w:val="0CC90ECA"/>
    <w:rsid w:val="0CF95E06"/>
    <w:rsid w:val="0CF970C7"/>
    <w:rsid w:val="0D772A74"/>
    <w:rsid w:val="0D7D3D59"/>
    <w:rsid w:val="0D827683"/>
    <w:rsid w:val="0D8619FC"/>
    <w:rsid w:val="0DD724F6"/>
    <w:rsid w:val="0DE05730"/>
    <w:rsid w:val="0DFB07CE"/>
    <w:rsid w:val="0E0148DC"/>
    <w:rsid w:val="0E0A3926"/>
    <w:rsid w:val="0E1C168C"/>
    <w:rsid w:val="0E1C6CD1"/>
    <w:rsid w:val="0E2F361C"/>
    <w:rsid w:val="0E3C5788"/>
    <w:rsid w:val="0E8A0397"/>
    <w:rsid w:val="0EA20E7A"/>
    <w:rsid w:val="0EAF3D7B"/>
    <w:rsid w:val="0EB04E92"/>
    <w:rsid w:val="0ECB0ECB"/>
    <w:rsid w:val="0ED80953"/>
    <w:rsid w:val="0EE47081"/>
    <w:rsid w:val="0EE923AC"/>
    <w:rsid w:val="0EF46447"/>
    <w:rsid w:val="0EFF300A"/>
    <w:rsid w:val="0F181FC8"/>
    <w:rsid w:val="0F333702"/>
    <w:rsid w:val="0F401705"/>
    <w:rsid w:val="0F6D0D24"/>
    <w:rsid w:val="0F806FED"/>
    <w:rsid w:val="0F8D0BE8"/>
    <w:rsid w:val="0F900FC5"/>
    <w:rsid w:val="0FA91797"/>
    <w:rsid w:val="0FB33A4E"/>
    <w:rsid w:val="10126394"/>
    <w:rsid w:val="104C2A9E"/>
    <w:rsid w:val="107B4D2F"/>
    <w:rsid w:val="10F748EC"/>
    <w:rsid w:val="10FF7F0B"/>
    <w:rsid w:val="11085F6F"/>
    <w:rsid w:val="11097388"/>
    <w:rsid w:val="113B63CB"/>
    <w:rsid w:val="11686758"/>
    <w:rsid w:val="117B5CBE"/>
    <w:rsid w:val="118A1171"/>
    <w:rsid w:val="11985EF8"/>
    <w:rsid w:val="11C8127F"/>
    <w:rsid w:val="11E44062"/>
    <w:rsid w:val="11EB42EE"/>
    <w:rsid w:val="11F95B44"/>
    <w:rsid w:val="122C300C"/>
    <w:rsid w:val="12345CE1"/>
    <w:rsid w:val="12443276"/>
    <w:rsid w:val="1252238F"/>
    <w:rsid w:val="12A254E6"/>
    <w:rsid w:val="12A94F39"/>
    <w:rsid w:val="12B10A4C"/>
    <w:rsid w:val="12B130B4"/>
    <w:rsid w:val="12CF0A95"/>
    <w:rsid w:val="12DE1B3B"/>
    <w:rsid w:val="12E27BAC"/>
    <w:rsid w:val="12E76BDB"/>
    <w:rsid w:val="13133401"/>
    <w:rsid w:val="134D4C40"/>
    <w:rsid w:val="13575E34"/>
    <w:rsid w:val="136900C9"/>
    <w:rsid w:val="13722F5D"/>
    <w:rsid w:val="139765D8"/>
    <w:rsid w:val="13DC39F1"/>
    <w:rsid w:val="13E9682A"/>
    <w:rsid w:val="13F516F1"/>
    <w:rsid w:val="13FB2D0D"/>
    <w:rsid w:val="14052EBB"/>
    <w:rsid w:val="14305551"/>
    <w:rsid w:val="14386FD6"/>
    <w:rsid w:val="14432CB6"/>
    <w:rsid w:val="146035E6"/>
    <w:rsid w:val="14C115D5"/>
    <w:rsid w:val="14CD6141"/>
    <w:rsid w:val="14DD4386"/>
    <w:rsid w:val="150B47D4"/>
    <w:rsid w:val="1521731E"/>
    <w:rsid w:val="1545428F"/>
    <w:rsid w:val="15480EAF"/>
    <w:rsid w:val="156D64AB"/>
    <w:rsid w:val="1580785E"/>
    <w:rsid w:val="1592432C"/>
    <w:rsid w:val="15967133"/>
    <w:rsid w:val="15B86808"/>
    <w:rsid w:val="15D943E3"/>
    <w:rsid w:val="15F55D96"/>
    <w:rsid w:val="15F743BB"/>
    <w:rsid w:val="16011788"/>
    <w:rsid w:val="16145E18"/>
    <w:rsid w:val="161A2D22"/>
    <w:rsid w:val="162E6015"/>
    <w:rsid w:val="16300C8C"/>
    <w:rsid w:val="165D3CF8"/>
    <w:rsid w:val="16612092"/>
    <w:rsid w:val="168122B3"/>
    <w:rsid w:val="1688674A"/>
    <w:rsid w:val="16D400EF"/>
    <w:rsid w:val="16DD42E0"/>
    <w:rsid w:val="16F9234C"/>
    <w:rsid w:val="170F2880"/>
    <w:rsid w:val="17115465"/>
    <w:rsid w:val="17223771"/>
    <w:rsid w:val="17884105"/>
    <w:rsid w:val="179405EF"/>
    <w:rsid w:val="17A70F3F"/>
    <w:rsid w:val="17CB0F48"/>
    <w:rsid w:val="17D406F7"/>
    <w:rsid w:val="17D8322F"/>
    <w:rsid w:val="1816511F"/>
    <w:rsid w:val="184F35DE"/>
    <w:rsid w:val="187D529B"/>
    <w:rsid w:val="1886755A"/>
    <w:rsid w:val="18983047"/>
    <w:rsid w:val="18A41337"/>
    <w:rsid w:val="18B50E36"/>
    <w:rsid w:val="18C30DC2"/>
    <w:rsid w:val="18CF5CB8"/>
    <w:rsid w:val="18DC6978"/>
    <w:rsid w:val="18F6604F"/>
    <w:rsid w:val="1936128D"/>
    <w:rsid w:val="193B5CC8"/>
    <w:rsid w:val="19A9567A"/>
    <w:rsid w:val="19BF527F"/>
    <w:rsid w:val="19C92DE2"/>
    <w:rsid w:val="19F32656"/>
    <w:rsid w:val="19F46A76"/>
    <w:rsid w:val="1A2F2A0B"/>
    <w:rsid w:val="1A4030A6"/>
    <w:rsid w:val="1A956D0C"/>
    <w:rsid w:val="1AA73CED"/>
    <w:rsid w:val="1AB5503B"/>
    <w:rsid w:val="1AC2553A"/>
    <w:rsid w:val="1ADE2C24"/>
    <w:rsid w:val="1AF6038F"/>
    <w:rsid w:val="1AFE7A29"/>
    <w:rsid w:val="1B073922"/>
    <w:rsid w:val="1B604066"/>
    <w:rsid w:val="1B9B0BC6"/>
    <w:rsid w:val="1BBA2302"/>
    <w:rsid w:val="1C020069"/>
    <w:rsid w:val="1C507121"/>
    <w:rsid w:val="1C7A32F9"/>
    <w:rsid w:val="1C9242A4"/>
    <w:rsid w:val="1CBE3649"/>
    <w:rsid w:val="1CC33C80"/>
    <w:rsid w:val="1D9C0926"/>
    <w:rsid w:val="1DA710C8"/>
    <w:rsid w:val="1E1A3FF8"/>
    <w:rsid w:val="1E26654D"/>
    <w:rsid w:val="1E323109"/>
    <w:rsid w:val="1E555EE9"/>
    <w:rsid w:val="1EA10F3E"/>
    <w:rsid w:val="1EB51DD8"/>
    <w:rsid w:val="1EC61F82"/>
    <w:rsid w:val="1EC93386"/>
    <w:rsid w:val="1EED0F1B"/>
    <w:rsid w:val="1F280757"/>
    <w:rsid w:val="1F59427A"/>
    <w:rsid w:val="1F6406C1"/>
    <w:rsid w:val="1FD945B0"/>
    <w:rsid w:val="1FEF1FFA"/>
    <w:rsid w:val="20090507"/>
    <w:rsid w:val="20AF05BD"/>
    <w:rsid w:val="20BB2E96"/>
    <w:rsid w:val="20DA6C2C"/>
    <w:rsid w:val="20DD668A"/>
    <w:rsid w:val="20E633FF"/>
    <w:rsid w:val="210D65EB"/>
    <w:rsid w:val="2119335A"/>
    <w:rsid w:val="211A5B8C"/>
    <w:rsid w:val="21592782"/>
    <w:rsid w:val="215A2EC4"/>
    <w:rsid w:val="217627D9"/>
    <w:rsid w:val="21A0370E"/>
    <w:rsid w:val="21B1797A"/>
    <w:rsid w:val="21B814FB"/>
    <w:rsid w:val="21C52D02"/>
    <w:rsid w:val="21C52F88"/>
    <w:rsid w:val="220E3210"/>
    <w:rsid w:val="226E02A2"/>
    <w:rsid w:val="228D0852"/>
    <w:rsid w:val="229D03B1"/>
    <w:rsid w:val="22A355B8"/>
    <w:rsid w:val="22B00566"/>
    <w:rsid w:val="22C471DB"/>
    <w:rsid w:val="22D03D34"/>
    <w:rsid w:val="22D66746"/>
    <w:rsid w:val="231F769B"/>
    <w:rsid w:val="23422E27"/>
    <w:rsid w:val="235201DB"/>
    <w:rsid w:val="2359393E"/>
    <w:rsid w:val="238F1CC8"/>
    <w:rsid w:val="23BE0B86"/>
    <w:rsid w:val="243F1DE7"/>
    <w:rsid w:val="248A3A7F"/>
    <w:rsid w:val="249F4236"/>
    <w:rsid w:val="24C377D0"/>
    <w:rsid w:val="24D01574"/>
    <w:rsid w:val="24E52D6B"/>
    <w:rsid w:val="25046EA2"/>
    <w:rsid w:val="25251A25"/>
    <w:rsid w:val="25474606"/>
    <w:rsid w:val="256228E0"/>
    <w:rsid w:val="258F7DD5"/>
    <w:rsid w:val="25AC0E5C"/>
    <w:rsid w:val="25C25E13"/>
    <w:rsid w:val="25C908AF"/>
    <w:rsid w:val="25CE5311"/>
    <w:rsid w:val="25D3637D"/>
    <w:rsid w:val="25FA061E"/>
    <w:rsid w:val="260374EC"/>
    <w:rsid w:val="261F0590"/>
    <w:rsid w:val="2644580B"/>
    <w:rsid w:val="264C2EC7"/>
    <w:rsid w:val="26966E13"/>
    <w:rsid w:val="26A419A9"/>
    <w:rsid w:val="26AC1452"/>
    <w:rsid w:val="26B4785C"/>
    <w:rsid w:val="26B94E95"/>
    <w:rsid w:val="26DC0CB6"/>
    <w:rsid w:val="26F11CDD"/>
    <w:rsid w:val="26FA16D0"/>
    <w:rsid w:val="270123FB"/>
    <w:rsid w:val="27086393"/>
    <w:rsid w:val="270C20F8"/>
    <w:rsid w:val="27124CA5"/>
    <w:rsid w:val="27135815"/>
    <w:rsid w:val="271925EC"/>
    <w:rsid w:val="272E0FE5"/>
    <w:rsid w:val="273435F1"/>
    <w:rsid w:val="27752D78"/>
    <w:rsid w:val="27A10A77"/>
    <w:rsid w:val="27B93768"/>
    <w:rsid w:val="27D95F36"/>
    <w:rsid w:val="283322C9"/>
    <w:rsid w:val="285C72E1"/>
    <w:rsid w:val="285E1F2B"/>
    <w:rsid w:val="28932F3A"/>
    <w:rsid w:val="28B142D5"/>
    <w:rsid w:val="28BA0DD2"/>
    <w:rsid w:val="28C052EC"/>
    <w:rsid w:val="28C50201"/>
    <w:rsid w:val="28C608F6"/>
    <w:rsid w:val="28D1042F"/>
    <w:rsid w:val="28DD4BE9"/>
    <w:rsid w:val="290C77C3"/>
    <w:rsid w:val="290D3996"/>
    <w:rsid w:val="29136CF0"/>
    <w:rsid w:val="29777818"/>
    <w:rsid w:val="29C80887"/>
    <w:rsid w:val="29F64D34"/>
    <w:rsid w:val="29FF6391"/>
    <w:rsid w:val="2A2F63F2"/>
    <w:rsid w:val="2A474027"/>
    <w:rsid w:val="2A4C44CF"/>
    <w:rsid w:val="2A7A5071"/>
    <w:rsid w:val="2A911A4E"/>
    <w:rsid w:val="2ADD7D86"/>
    <w:rsid w:val="2B0459FF"/>
    <w:rsid w:val="2B0F2074"/>
    <w:rsid w:val="2B4116FF"/>
    <w:rsid w:val="2B5258B1"/>
    <w:rsid w:val="2B8653EF"/>
    <w:rsid w:val="2BFE19D6"/>
    <w:rsid w:val="2C1B5789"/>
    <w:rsid w:val="2C3118DD"/>
    <w:rsid w:val="2C3562D8"/>
    <w:rsid w:val="2C5A63C9"/>
    <w:rsid w:val="2CB07001"/>
    <w:rsid w:val="2CB3280D"/>
    <w:rsid w:val="2CB922C1"/>
    <w:rsid w:val="2CD25725"/>
    <w:rsid w:val="2CF70F9E"/>
    <w:rsid w:val="2D124A1E"/>
    <w:rsid w:val="2D323752"/>
    <w:rsid w:val="2D3373D5"/>
    <w:rsid w:val="2D39787B"/>
    <w:rsid w:val="2D3B78BA"/>
    <w:rsid w:val="2D4340BD"/>
    <w:rsid w:val="2D4910C7"/>
    <w:rsid w:val="2D4A3339"/>
    <w:rsid w:val="2D9A0AB9"/>
    <w:rsid w:val="2DCD259E"/>
    <w:rsid w:val="2DD97074"/>
    <w:rsid w:val="2E090193"/>
    <w:rsid w:val="2E0A7E69"/>
    <w:rsid w:val="2E3A03E5"/>
    <w:rsid w:val="2E5C26B6"/>
    <w:rsid w:val="2E7608C5"/>
    <w:rsid w:val="2EAD6E42"/>
    <w:rsid w:val="2F046F53"/>
    <w:rsid w:val="2F154571"/>
    <w:rsid w:val="2F2F5279"/>
    <w:rsid w:val="2F314A30"/>
    <w:rsid w:val="2F385D1F"/>
    <w:rsid w:val="2F592C0A"/>
    <w:rsid w:val="2F6076E3"/>
    <w:rsid w:val="2F992B76"/>
    <w:rsid w:val="2F9F7149"/>
    <w:rsid w:val="2FD276BA"/>
    <w:rsid w:val="2FF61F3A"/>
    <w:rsid w:val="2FF76ADE"/>
    <w:rsid w:val="3012581E"/>
    <w:rsid w:val="30427DA1"/>
    <w:rsid w:val="30703AED"/>
    <w:rsid w:val="30D87142"/>
    <w:rsid w:val="30F90615"/>
    <w:rsid w:val="311427E1"/>
    <w:rsid w:val="31144F45"/>
    <w:rsid w:val="311E12EC"/>
    <w:rsid w:val="31263671"/>
    <w:rsid w:val="313D0673"/>
    <w:rsid w:val="313D7621"/>
    <w:rsid w:val="32096628"/>
    <w:rsid w:val="320F7CDE"/>
    <w:rsid w:val="321F2F90"/>
    <w:rsid w:val="321F3DAE"/>
    <w:rsid w:val="324003D4"/>
    <w:rsid w:val="3256419C"/>
    <w:rsid w:val="32571548"/>
    <w:rsid w:val="32A07FFE"/>
    <w:rsid w:val="32BD5DCB"/>
    <w:rsid w:val="32C574EA"/>
    <w:rsid w:val="32DD612C"/>
    <w:rsid w:val="32DF1E88"/>
    <w:rsid w:val="32E45B7F"/>
    <w:rsid w:val="32EC1396"/>
    <w:rsid w:val="33155747"/>
    <w:rsid w:val="33245E41"/>
    <w:rsid w:val="3331756A"/>
    <w:rsid w:val="33413B81"/>
    <w:rsid w:val="33460DBD"/>
    <w:rsid w:val="33690A64"/>
    <w:rsid w:val="3372638F"/>
    <w:rsid w:val="33781C4C"/>
    <w:rsid w:val="33C544C3"/>
    <w:rsid w:val="33D347BC"/>
    <w:rsid w:val="33DA0657"/>
    <w:rsid w:val="33EC666B"/>
    <w:rsid w:val="33F062D6"/>
    <w:rsid w:val="33F37344"/>
    <w:rsid w:val="33F50D78"/>
    <w:rsid w:val="33FD4196"/>
    <w:rsid w:val="341E6368"/>
    <w:rsid w:val="342F4322"/>
    <w:rsid w:val="34552CFD"/>
    <w:rsid w:val="34662C2B"/>
    <w:rsid w:val="346E04E1"/>
    <w:rsid w:val="34994215"/>
    <w:rsid w:val="34C539E4"/>
    <w:rsid w:val="34FE35BC"/>
    <w:rsid w:val="352422D0"/>
    <w:rsid w:val="35270D48"/>
    <w:rsid w:val="35312EA4"/>
    <w:rsid w:val="353B001C"/>
    <w:rsid w:val="354B78A0"/>
    <w:rsid w:val="355043BB"/>
    <w:rsid w:val="35593CAE"/>
    <w:rsid w:val="358C70A8"/>
    <w:rsid w:val="35C176A9"/>
    <w:rsid w:val="35DF2327"/>
    <w:rsid w:val="3607269A"/>
    <w:rsid w:val="3629503A"/>
    <w:rsid w:val="367B3297"/>
    <w:rsid w:val="36960637"/>
    <w:rsid w:val="36970D27"/>
    <w:rsid w:val="36E804BC"/>
    <w:rsid w:val="36ED7E3E"/>
    <w:rsid w:val="372B4C0C"/>
    <w:rsid w:val="37480859"/>
    <w:rsid w:val="376D2BCC"/>
    <w:rsid w:val="37B750BF"/>
    <w:rsid w:val="37E54B0B"/>
    <w:rsid w:val="38A0322F"/>
    <w:rsid w:val="38B44C92"/>
    <w:rsid w:val="38E0066F"/>
    <w:rsid w:val="38F81F10"/>
    <w:rsid w:val="38FF1F77"/>
    <w:rsid w:val="39001EE9"/>
    <w:rsid w:val="39050C3E"/>
    <w:rsid w:val="391425B7"/>
    <w:rsid w:val="39226068"/>
    <w:rsid w:val="3925063D"/>
    <w:rsid w:val="39387926"/>
    <w:rsid w:val="39585C08"/>
    <w:rsid w:val="395E5DDB"/>
    <w:rsid w:val="39673DEE"/>
    <w:rsid w:val="3993401A"/>
    <w:rsid w:val="39975AFB"/>
    <w:rsid w:val="39A21DBC"/>
    <w:rsid w:val="3A233ECF"/>
    <w:rsid w:val="3A2D7BAB"/>
    <w:rsid w:val="3A4F2B4C"/>
    <w:rsid w:val="3A610625"/>
    <w:rsid w:val="3A684F39"/>
    <w:rsid w:val="3A764FDE"/>
    <w:rsid w:val="3A953982"/>
    <w:rsid w:val="3AC37553"/>
    <w:rsid w:val="3ACD34EE"/>
    <w:rsid w:val="3B291E32"/>
    <w:rsid w:val="3B4C1448"/>
    <w:rsid w:val="3B550C57"/>
    <w:rsid w:val="3B5653C0"/>
    <w:rsid w:val="3B5D79A7"/>
    <w:rsid w:val="3B934208"/>
    <w:rsid w:val="3BBB63B0"/>
    <w:rsid w:val="3BEA6A4D"/>
    <w:rsid w:val="3BF975B9"/>
    <w:rsid w:val="3C0C324B"/>
    <w:rsid w:val="3C11779A"/>
    <w:rsid w:val="3C300073"/>
    <w:rsid w:val="3C3263C3"/>
    <w:rsid w:val="3C347876"/>
    <w:rsid w:val="3C3D7350"/>
    <w:rsid w:val="3C5077F0"/>
    <w:rsid w:val="3C6319A5"/>
    <w:rsid w:val="3C6A4416"/>
    <w:rsid w:val="3C6D28C0"/>
    <w:rsid w:val="3CA16B01"/>
    <w:rsid w:val="3CA25450"/>
    <w:rsid w:val="3CB16C19"/>
    <w:rsid w:val="3CBD5B21"/>
    <w:rsid w:val="3CCA3030"/>
    <w:rsid w:val="3CCC585E"/>
    <w:rsid w:val="3CF306F7"/>
    <w:rsid w:val="3CF92AB7"/>
    <w:rsid w:val="3D0521B8"/>
    <w:rsid w:val="3D1F7B03"/>
    <w:rsid w:val="3D4E048A"/>
    <w:rsid w:val="3DE72505"/>
    <w:rsid w:val="3DFF3F57"/>
    <w:rsid w:val="3E2E1195"/>
    <w:rsid w:val="3E3D5AF9"/>
    <w:rsid w:val="3EBE0637"/>
    <w:rsid w:val="3EDC43B2"/>
    <w:rsid w:val="3EF04D32"/>
    <w:rsid w:val="3F0424CF"/>
    <w:rsid w:val="3F4F0730"/>
    <w:rsid w:val="3F5564E5"/>
    <w:rsid w:val="3F576913"/>
    <w:rsid w:val="3F874ABF"/>
    <w:rsid w:val="3FC02FF0"/>
    <w:rsid w:val="3FCE7634"/>
    <w:rsid w:val="40094869"/>
    <w:rsid w:val="400D38CA"/>
    <w:rsid w:val="401D13AA"/>
    <w:rsid w:val="402446DA"/>
    <w:rsid w:val="4031155A"/>
    <w:rsid w:val="40526CB6"/>
    <w:rsid w:val="40E07E77"/>
    <w:rsid w:val="40F92E90"/>
    <w:rsid w:val="41155838"/>
    <w:rsid w:val="412D4B19"/>
    <w:rsid w:val="416D6101"/>
    <w:rsid w:val="418A3309"/>
    <w:rsid w:val="419838B5"/>
    <w:rsid w:val="41BD03DB"/>
    <w:rsid w:val="41C14BA5"/>
    <w:rsid w:val="41DA7D36"/>
    <w:rsid w:val="42001452"/>
    <w:rsid w:val="42107036"/>
    <w:rsid w:val="422100AF"/>
    <w:rsid w:val="42296309"/>
    <w:rsid w:val="422A4B00"/>
    <w:rsid w:val="42484C51"/>
    <w:rsid w:val="424851D2"/>
    <w:rsid w:val="4249668B"/>
    <w:rsid w:val="425E7D14"/>
    <w:rsid w:val="42635FEF"/>
    <w:rsid w:val="426A2760"/>
    <w:rsid w:val="42DC6B49"/>
    <w:rsid w:val="42F913BC"/>
    <w:rsid w:val="42FE5587"/>
    <w:rsid w:val="434C0275"/>
    <w:rsid w:val="43642F5E"/>
    <w:rsid w:val="43BE37E1"/>
    <w:rsid w:val="43EA034A"/>
    <w:rsid w:val="44273C51"/>
    <w:rsid w:val="44443148"/>
    <w:rsid w:val="444824FB"/>
    <w:rsid w:val="44AA77F2"/>
    <w:rsid w:val="44AB3EBA"/>
    <w:rsid w:val="44AB6827"/>
    <w:rsid w:val="44B249B7"/>
    <w:rsid w:val="44B335CA"/>
    <w:rsid w:val="44B546E7"/>
    <w:rsid w:val="44D91FD9"/>
    <w:rsid w:val="44DE32E5"/>
    <w:rsid w:val="44FB2F62"/>
    <w:rsid w:val="451D414B"/>
    <w:rsid w:val="45407AD6"/>
    <w:rsid w:val="45553894"/>
    <w:rsid w:val="457D260A"/>
    <w:rsid w:val="45903BF5"/>
    <w:rsid w:val="46100733"/>
    <w:rsid w:val="46331463"/>
    <w:rsid w:val="467C7DAD"/>
    <w:rsid w:val="468E066B"/>
    <w:rsid w:val="469C5960"/>
    <w:rsid w:val="46A120C6"/>
    <w:rsid w:val="46B12D45"/>
    <w:rsid w:val="46C05E45"/>
    <w:rsid w:val="46EB204D"/>
    <w:rsid w:val="46FC4CEF"/>
    <w:rsid w:val="471B2B70"/>
    <w:rsid w:val="475964A8"/>
    <w:rsid w:val="47CE2905"/>
    <w:rsid w:val="47F83359"/>
    <w:rsid w:val="47FC25FC"/>
    <w:rsid w:val="488E64B7"/>
    <w:rsid w:val="48952A15"/>
    <w:rsid w:val="48967C88"/>
    <w:rsid w:val="489D7312"/>
    <w:rsid w:val="48A474BC"/>
    <w:rsid w:val="48A633B7"/>
    <w:rsid w:val="48B6678D"/>
    <w:rsid w:val="48C8208F"/>
    <w:rsid w:val="48CD54FC"/>
    <w:rsid w:val="490D6EF1"/>
    <w:rsid w:val="496A2326"/>
    <w:rsid w:val="496C770C"/>
    <w:rsid w:val="49833086"/>
    <w:rsid w:val="49E70C75"/>
    <w:rsid w:val="4A06251A"/>
    <w:rsid w:val="4A113DC0"/>
    <w:rsid w:val="4A2F2B46"/>
    <w:rsid w:val="4A547916"/>
    <w:rsid w:val="4A563835"/>
    <w:rsid w:val="4A5A4578"/>
    <w:rsid w:val="4A75653D"/>
    <w:rsid w:val="4A9470AF"/>
    <w:rsid w:val="4B0C4481"/>
    <w:rsid w:val="4B1D7FF9"/>
    <w:rsid w:val="4B3C1FE1"/>
    <w:rsid w:val="4B412FE7"/>
    <w:rsid w:val="4B50629D"/>
    <w:rsid w:val="4B5216F0"/>
    <w:rsid w:val="4B873C90"/>
    <w:rsid w:val="4BA82573"/>
    <w:rsid w:val="4BD319EC"/>
    <w:rsid w:val="4C0F3894"/>
    <w:rsid w:val="4C1603ED"/>
    <w:rsid w:val="4C265C32"/>
    <w:rsid w:val="4C5110C3"/>
    <w:rsid w:val="4C7607DD"/>
    <w:rsid w:val="4C77450A"/>
    <w:rsid w:val="4C935296"/>
    <w:rsid w:val="4C9C05A8"/>
    <w:rsid w:val="4CA93DA4"/>
    <w:rsid w:val="4D105E89"/>
    <w:rsid w:val="4D39550D"/>
    <w:rsid w:val="4D7E343F"/>
    <w:rsid w:val="4D853B8B"/>
    <w:rsid w:val="4DA82B08"/>
    <w:rsid w:val="4DB552EA"/>
    <w:rsid w:val="4DEA4DFF"/>
    <w:rsid w:val="4DF90F86"/>
    <w:rsid w:val="4E34085A"/>
    <w:rsid w:val="4E4E41E8"/>
    <w:rsid w:val="4E52351E"/>
    <w:rsid w:val="4E586CD5"/>
    <w:rsid w:val="4E6679FD"/>
    <w:rsid w:val="4E7E704C"/>
    <w:rsid w:val="4E995F96"/>
    <w:rsid w:val="4EAB3D0C"/>
    <w:rsid w:val="4EB418A0"/>
    <w:rsid w:val="4ECC738A"/>
    <w:rsid w:val="4F0F5F83"/>
    <w:rsid w:val="4F767DE0"/>
    <w:rsid w:val="4FB71FA5"/>
    <w:rsid w:val="4FE11B58"/>
    <w:rsid w:val="4FF22F51"/>
    <w:rsid w:val="50061349"/>
    <w:rsid w:val="502571C3"/>
    <w:rsid w:val="502C7252"/>
    <w:rsid w:val="50330BAD"/>
    <w:rsid w:val="503F2AAA"/>
    <w:rsid w:val="506D2822"/>
    <w:rsid w:val="506F7531"/>
    <w:rsid w:val="508101EA"/>
    <w:rsid w:val="50AC380C"/>
    <w:rsid w:val="50C13ED4"/>
    <w:rsid w:val="50CD580A"/>
    <w:rsid w:val="50E16CEE"/>
    <w:rsid w:val="51364EAB"/>
    <w:rsid w:val="5137695B"/>
    <w:rsid w:val="515D6CC8"/>
    <w:rsid w:val="518F40A5"/>
    <w:rsid w:val="51AD00C1"/>
    <w:rsid w:val="51DB0A7E"/>
    <w:rsid w:val="51EB6355"/>
    <w:rsid w:val="51F135EC"/>
    <w:rsid w:val="51F8067D"/>
    <w:rsid w:val="520D61E9"/>
    <w:rsid w:val="5236299C"/>
    <w:rsid w:val="52403723"/>
    <w:rsid w:val="52420C2A"/>
    <w:rsid w:val="524F1B93"/>
    <w:rsid w:val="525B7281"/>
    <w:rsid w:val="52630775"/>
    <w:rsid w:val="526627D1"/>
    <w:rsid w:val="526E4E8E"/>
    <w:rsid w:val="52706486"/>
    <w:rsid w:val="527F35E6"/>
    <w:rsid w:val="52964727"/>
    <w:rsid w:val="52ED2480"/>
    <w:rsid w:val="52FA6AE0"/>
    <w:rsid w:val="53101841"/>
    <w:rsid w:val="53465512"/>
    <w:rsid w:val="5376019D"/>
    <w:rsid w:val="5397438F"/>
    <w:rsid w:val="539B6DCD"/>
    <w:rsid w:val="54106881"/>
    <w:rsid w:val="541B28DE"/>
    <w:rsid w:val="54337620"/>
    <w:rsid w:val="54361AD6"/>
    <w:rsid w:val="543D7553"/>
    <w:rsid w:val="54771906"/>
    <w:rsid w:val="547C14C6"/>
    <w:rsid w:val="548F7C85"/>
    <w:rsid w:val="54A01754"/>
    <w:rsid w:val="54C35373"/>
    <w:rsid w:val="54D37F7A"/>
    <w:rsid w:val="54D46F91"/>
    <w:rsid w:val="54F915DA"/>
    <w:rsid w:val="5522753E"/>
    <w:rsid w:val="552E29AD"/>
    <w:rsid w:val="556866BD"/>
    <w:rsid w:val="55783F05"/>
    <w:rsid w:val="557E31B0"/>
    <w:rsid w:val="55821F23"/>
    <w:rsid w:val="558656D0"/>
    <w:rsid w:val="55953EBF"/>
    <w:rsid w:val="55A71EC6"/>
    <w:rsid w:val="55D95FFB"/>
    <w:rsid w:val="55FD1528"/>
    <w:rsid w:val="5603491C"/>
    <w:rsid w:val="56401B87"/>
    <w:rsid w:val="56733201"/>
    <w:rsid w:val="568D5773"/>
    <w:rsid w:val="569C61A7"/>
    <w:rsid w:val="56CD2B8A"/>
    <w:rsid w:val="56D3688C"/>
    <w:rsid w:val="56D400C1"/>
    <w:rsid w:val="56D95440"/>
    <w:rsid w:val="56FB7A14"/>
    <w:rsid w:val="570304E9"/>
    <w:rsid w:val="570E18BA"/>
    <w:rsid w:val="57151246"/>
    <w:rsid w:val="574C49B4"/>
    <w:rsid w:val="57C919EB"/>
    <w:rsid w:val="57E6237B"/>
    <w:rsid w:val="57EC51AE"/>
    <w:rsid w:val="58427D22"/>
    <w:rsid w:val="58551AFF"/>
    <w:rsid w:val="587A31A5"/>
    <w:rsid w:val="58A72E55"/>
    <w:rsid w:val="58CD3534"/>
    <w:rsid w:val="58DB67BC"/>
    <w:rsid w:val="58DC7FF8"/>
    <w:rsid w:val="58FC5A0D"/>
    <w:rsid w:val="59074E50"/>
    <w:rsid w:val="59257BBA"/>
    <w:rsid w:val="59291040"/>
    <w:rsid w:val="595E18B4"/>
    <w:rsid w:val="596F6B90"/>
    <w:rsid w:val="59960F0D"/>
    <w:rsid w:val="599D7DC6"/>
    <w:rsid w:val="59A37C3C"/>
    <w:rsid w:val="59A72AB3"/>
    <w:rsid w:val="59E17C1A"/>
    <w:rsid w:val="59E859EC"/>
    <w:rsid w:val="5A01585A"/>
    <w:rsid w:val="5A064113"/>
    <w:rsid w:val="5A1B1406"/>
    <w:rsid w:val="5A4C6153"/>
    <w:rsid w:val="5A4D351C"/>
    <w:rsid w:val="5A590DD3"/>
    <w:rsid w:val="5A5D7326"/>
    <w:rsid w:val="5A8D7A31"/>
    <w:rsid w:val="5AA92DA4"/>
    <w:rsid w:val="5ACA3EE7"/>
    <w:rsid w:val="5ACE7F27"/>
    <w:rsid w:val="5AEF78B5"/>
    <w:rsid w:val="5B0F40E8"/>
    <w:rsid w:val="5B18388D"/>
    <w:rsid w:val="5B2179CB"/>
    <w:rsid w:val="5B4C30C2"/>
    <w:rsid w:val="5B54540F"/>
    <w:rsid w:val="5B686D47"/>
    <w:rsid w:val="5B7331EF"/>
    <w:rsid w:val="5BBC63FA"/>
    <w:rsid w:val="5BC421DF"/>
    <w:rsid w:val="5BD769EA"/>
    <w:rsid w:val="5BE82415"/>
    <w:rsid w:val="5C085AF9"/>
    <w:rsid w:val="5C171659"/>
    <w:rsid w:val="5C222B39"/>
    <w:rsid w:val="5C724CD0"/>
    <w:rsid w:val="5C783EF8"/>
    <w:rsid w:val="5C797997"/>
    <w:rsid w:val="5CB52BAD"/>
    <w:rsid w:val="5CB836EE"/>
    <w:rsid w:val="5CD65063"/>
    <w:rsid w:val="5CFE733E"/>
    <w:rsid w:val="5D133FCC"/>
    <w:rsid w:val="5D1E6004"/>
    <w:rsid w:val="5D376CBC"/>
    <w:rsid w:val="5D941A06"/>
    <w:rsid w:val="5DBA7B73"/>
    <w:rsid w:val="5DC219E4"/>
    <w:rsid w:val="5DE07F60"/>
    <w:rsid w:val="5E215894"/>
    <w:rsid w:val="5E6A5417"/>
    <w:rsid w:val="5E9964FC"/>
    <w:rsid w:val="5EA527EB"/>
    <w:rsid w:val="5EA8001D"/>
    <w:rsid w:val="5EB6537C"/>
    <w:rsid w:val="5F772BB7"/>
    <w:rsid w:val="5F7770CC"/>
    <w:rsid w:val="5F843B10"/>
    <w:rsid w:val="5F923324"/>
    <w:rsid w:val="5F9516DC"/>
    <w:rsid w:val="5FC02283"/>
    <w:rsid w:val="6009601C"/>
    <w:rsid w:val="601E45D8"/>
    <w:rsid w:val="601F2556"/>
    <w:rsid w:val="60595F1D"/>
    <w:rsid w:val="60C91D88"/>
    <w:rsid w:val="60C96A5B"/>
    <w:rsid w:val="60E33A8A"/>
    <w:rsid w:val="60EC12B4"/>
    <w:rsid w:val="61576E4B"/>
    <w:rsid w:val="61BF22D5"/>
    <w:rsid w:val="61E3116A"/>
    <w:rsid w:val="6257385F"/>
    <w:rsid w:val="62661F44"/>
    <w:rsid w:val="62806004"/>
    <w:rsid w:val="62863DF4"/>
    <w:rsid w:val="62986E29"/>
    <w:rsid w:val="629D419A"/>
    <w:rsid w:val="62AB7395"/>
    <w:rsid w:val="62C14349"/>
    <w:rsid w:val="62C16539"/>
    <w:rsid w:val="62DD7032"/>
    <w:rsid w:val="631B31EA"/>
    <w:rsid w:val="633E0BF6"/>
    <w:rsid w:val="635B0ADD"/>
    <w:rsid w:val="636C77D3"/>
    <w:rsid w:val="63C952A8"/>
    <w:rsid w:val="63D622B5"/>
    <w:rsid w:val="63D80532"/>
    <w:rsid w:val="63E547B2"/>
    <w:rsid w:val="63E66104"/>
    <w:rsid w:val="64157661"/>
    <w:rsid w:val="64171B21"/>
    <w:rsid w:val="64254827"/>
    <w:rsid w:val="644F08D2"/>
    <w:rsid w:val="644F22F7"/>
    <w:rsid w:val="64560745"/>
    <w:rsid w:val="64B95B48"/>
    <w:rsid w:val="64E345D4"/>
    <w:rsid w:val="64ED2876"/>
    <w:rsid w:val="64F87F36"/>
    <w:rsid w:val="64FE57EB"/>
    <w:rsid w:val="6500669E"/>
    <w:rsid w:val="652B6960"/>
    <w:rsid w:val="652F4EAA"/>
    <w:rsid w:val="65536597"/>
    <w:rsid w:val="656C494A"/>
    <w:rsid w:val="659B2D80"/>
    <w:rsid w:val="65A51523"/>
    <w:rsid w:val="65F84382"/>
    <w:rsid w:val="660601A5"/>
    <w:rsid w:val="664F0C16"/>
    <w:rsid w:val="666D548D"/>
    <w:rsid w:val="667F0710"/>
    <w:rsid w:val="6694281E"/>
    <w:rsid w:val="669E749A"/>
    <w:rsid w:val="66A940F4"/>
    <w:rsid w:val="66AF25D7"/>
    <w:rsid w:val="66FA1F77"/>
    <w:rsid w:val="67363882"/>
    <w:rsid w:val="674628E6"/>
    <w:rsid w:val="67511783"/>
    <w:rsid w:val="67646470"/>
    <w:rsid w:val="676573C8"/>
    <w:rsid w:val="67947420"/>
    <w:rsid w:val="679D0397"/>
    <w:rsid w:val="67C95746"/>
    <w:rsid w:val="67E605BE"/>
    <w:rsid w:val="67F60E3F"/>
    <w:rsid w:val="67FD2B4E"/>
    <w:rsid w:val="680A3C32"/>
    <w:rsid w:val="68210723"/>
    <w:rsid w:val="682B4FCB"/>
    <w:rsid w:val="688658EC"/>
    <w:rsid w:val="68BA26EC"/>
    <w:rsid w:val="68CE53BB"/>
    <w:rsid w:val="68D02FF4"/>
    <w:rsid w:val="68EA2AA8"/>
    <w:rsid w:val="69033287"/>
    <w:rsid w:val="690925D1"/>
    <w:rsid w:val="69871D5C"/>
    <w:rsid w:val="69914C31"/>
    <w:rsid w:val="6993308B"/>
    <w:rsid w:val="699F0A4B"/>
    <w:rsid w:val="69C03C0D"/>
    <w:rsid w:val="69C20B17"/>
    <w:rsid w:val="69C95365"/>
    <w:rsid w:val="69F04F3A"/>
    <w:rsid w:val="6A090D04"/>
    <w:rsid w:val="6A120357"/>
    <w:rsid w:val="6A2479FA"/>
    <w:rsid w:val="6A4A15B1"/>
    <w:rsid w:val="6A6D5135"/>
    <w:rsid w:val="6A7062A5"/>
    <w:rsid w:val="6A81457D"/>
    <w:rsid w:val="6A862DD0"/>
    <w:rsid w:val="6A932AB3"/>
    <w:rsid w:val="6ACE2F7D"/>
    <w:rsid w:val="6B074CBB"/>
    <w:rsid w:val="6B2E5607"/>
    <w:rsid w:val="6B546867"/>
    <w:rsid w:val="6B572E41"/>
    <w:rsid w:val="6B58707C"/>
    <w:rsid w:val="6B6343EB"/>
    <w:rsid w:val="6B740145"/>
    <w:rsid w:val="6B746B02"/>
    <w:rsid w:val="6B782FC9"/>
    <w:rsid w:val="6BC2624C"/>
    <w:rsid w:val="6BD823E9"/>
    <w:rsid w:val="6BDF0D50"/>
    <w:rsid w:val="6BEA03C1"/>
    <w:rsid w:val="6C1063EA"/>
    <w:rsid w:val="6C180CD2"/>
    <w:rsid w:val="6C247095"/>
    <w:rsid w:val="6C482EED"/>
    <w:rsid w:val="6C82039E"/>
    <w:rsid w:val="6C852D49"/>
    <w:rsid w:val="6C8908D8"/>
    <w:rsid w:val="6C8F1565"/>
    <w:rsid w:val="6C995782"/>
    <w:rsid w:val="6C9D0FB1"/>
    <w:rsid w:val="6D0A4265"/>
    <w:rsid w:val="6D164AC1"/>
    <w:rsid w:val="6D1F5F98"/>
    <w:rsid w:val="6D4E48F3"/>
    <w:rsid w:val="6D857735"/>
    <w:rsid w:val="6D8B427F"/>
    <w:rsid w:val="6D9B2DA9"/>
    <w:rsid w:val="6D9D3859"/>
    <w:rsid w:val="6DAA0F1E"/>
    <w:rsid w:val="6DEF3DE7"/>
    <w:rsid w:val="6DF219F0"/>
    <w:rsid w:val="6E200312"/>
    <w:rsid w:val="6E263A16"/>
    <w:rsid w:val="6E2F7E25"/>
    <w:rsid w:val="6E351DC2"/>
    <w:rsid w:val="6E7A34C8"/>
    <w:rsid w:val="6E822806"/>
    <w:rsid w:val="6EE06260"/>
    <w:rsid w:val="6EEA4C6C"/>
    <w:rsid w:val="6F17521C"/>
    <w:rsid w:val="6F7D00B0"/>
    <w:rsid w:val="6F9C689E"/>
    <w:rsid w:val="6FAB66F6"/>
    <w:rsid w:val="6FB361BB"/>
    <w:rsid w:val="6FD86C44"/>
    <w:rsid w:val="6FFB3BCE"/>
    <w:rsid w:val="6FFC5D64"/>
    <w:rsid w:val="70305B2F"/>
    <w:rsid w:val="70432C36"/>
    <w:rsid w:val="704A2680"/>
    <w:rsid w:val="70577091"/>
    <w:rsid w:val="706E7AC8"/>
    <w:rsid w:val="709B272B"/>
    <w:rsid w:val="70BD07B0"/>
    <w:rsid w:val="70C0153A"/>
    <w:rsid w:val="70C9728E"/>
    <w:rsid w:val="71291DF8"/>
    <w:rsid w:val="712B0DA0"/>
    <w:rsid w:val="712D43F2"/>
    <w:rsid w:val="715251DD"/>
    <w:rsid w:val="717479DE"/>
    <w:rsid w:val="71842C09"/>
    <w:rsid w:val="71906A7F"/>
    <w:rsid w:val="71B2171A"/>
    <w:rsid w:val="71B51EDE"/>
    <w:rsid w:val="71C56127"/>
    <w:rsid w:val="71E16922"/>
    <w:rsid w:val="72194DCA"/>
    <w:rsid w:val="7231134F"/>
    <w:rsid w:val="724B7FD3"/>
    <w:rsid w:val="72632151"/>
    <w:rsid w:val="729E2AD1"/>
    <w:rsid w:val="72BD364C"/>
    <w:rsid w:val="72E12F64"/>
    <w:rsid w:val="733A3AC2"/>
    <w:rsid w:val="734E4869"/>
    <w:rsid w:val="73983F11"/>
    <w:rsid w:val="740A6A4A"/>
    <w:rsid w:val="74123AF5"/>
    <w:rsid w:val="74193428"/>
    <w:rsid w:val="742522EA"/>
    <w:rsid w:val="742B43B3"/>
    <w:rsid w:val="7459417B"/>
    <w:rsid w:val="7471785E"/>
    <w:rsid w:val="74832C68"/>
    <w:rsid w:val="74C154BC"/>
    <w:rsid w:val="74C17090"/>
    <w:rsid w:val="74E837F7"/>
    <w:rsid w:val="74F74698"/>
    <w:rsid w:val="75105DB9"/>
    <w:rsid w:val="755B7303"/>
    <w:rsid w:val="756A42EA"/>
    <w:rsid w:val="75894D67"/>
    <w:rsid w:val="758F0B5D"/>
    <w:rsid w:val="75C31666"/>
    <w:rsid w:val="75C865CB"/>
    <w:rsid w:val="75DB6F21"/>
    <w:rsid w:val="75E95796"/>
    <w:rsid w:val="75FE1C50"/>
    <w:rsid w:val="760653F5"/>
    <w:rsid w:val="76382D09"/>
    <w:rsid w:val="768250F6"/>
    <w:rsid w:val="76CE49B5"/>
    <w:rsid w:val="76CF0232"/>
    <w:rsid w:val="76D83568"/>
    <w:rsid w:val="76E35D13"/>
    <w:rsid w:val="76E51098"/>
    <w:rsid w:val="76FC0BDC"/>
    <w:rsid w:val="7734127E"/>
    <w:rsid w:val="77384934"/>
    <w:rsid w:val="77400BCC"/>
    <w:rsid w:val="77780912"/>
    <w:rsid w:val="7785352B"/>
    <w:rsid w:val="77B75520"/>
    <w:rsid w:val="77BF49EB"/>
    <w:rsid w:val="77E97109"/>
    <w:rsid w:val="77E974BA"/>
    <w:rsid w:val="77FF0768"/>
    <w:rsid w:val="780920A2"/>
    <w:rsid w:val="781D06DC"/>
    <w:rsid w:val="781F41DD"/>
    <w:rsid w:val="782829F9"/>
    <w:rsid w:val="78381A5E"/>
    <w:rsid w:val="7855248D"/>
    <w:rsid w:val="788F2D63"/>
    <w:rsid w:val="789A28C7"/>
    <w:rsid w:val="78A57199"/>
    <w:rsid w:val="78AB163D"/>
    <w:rsid w:val="78B404AE"/>
    <w:rsid w:val="78BF1A88"/>
    <w:rsid w:val="78DB705D"/>
    <w:rsid w:val="791075CB"/>
    <w:rsid w:val="791302D5"/>
    <w:rsid w:val="796419CB"/>
    <w:rsid w:val="79794F50"/>
    <w:rsid w:val="7984239D"/>
    <w:rsid w:val="79991EEA"/>
    <w:rsid w:val="79B92076"/>
    <w:rsid w:val="79C47176"/>
    <w:rsid w:val="79E978EB"/>
    <w:rsid w:val="79F0317F"/>
    <w:rsid w:val="7AAB1658"/>
    <w:rsid w:val="7AC52F60"/>
    <w:rsid w:val="7AEB58E2"/>
    <w:rsid w:val="7B117C64"/>
    <w:rsid w:val="7B48105E"/>
    <w:rsid w:val="7B6B259F"/>
    <w:rsid w:val="7B980680"/>
    <w:rsid w:val="7BAD1212"/>
    <w:rsid w:val="7BF70CB6"/>
    <w:rsid w:val="7BF95732"/>
    <w:rsid w:val="7C11538B"/>
    <w:rsid w:val="7C220378"/>
    <w:rsid w:val="7C613D65"/>
    <w:rsid w:val="7C6723BD"/>
    <w:rsid w:val="7C8F4102"/>
    <w:rsid w:val="7C961098"/>
    <w:rsid w:val="7C9C0F16"/>
    <w:rsid w:val="7C9E7950"/>
    <w:rsid w:val="7CAA2DAF"/>
    <w:rsid w:val="7CB510B4"/>
    <w:rsid w:val="7CE25225"/>
    <w:rsid w:val="7CE31DA8"/>
    <w:rsid w:val="7CF2390F"/>
    <w:rsid w:val="7D166575"/>
    <w:rsid w:val="7D230305"/>
    <w:rsid w:val="7D2462B5"/>
    <w:rsid w:val="7D252BEB"/>
    <w:rsid w:val="7D287BAE"/>
    <w:rsid w:val="7D4234C4"/>
    <w:rsid w:val="7D606AA6"/>
    <w:rsid w:val="7D6336D6"/>
    <w:rsid w:val="7D671C04"/>
    <w:rsid w:val="7D843919"/>
    <w:rsid w:val="7DBD7FEA"/>
    <w:rsid w:val="7E077300"/>
    <w:rsid w:val="7E225C2D"/>
    <w:rsid w:val="7E297044"/>
    <w:rsid w:val="7E7B758A"/>
    <w:rsid w:val="7EB115E8"/>
    <w:rsid w:val="7EB44151"/>
    <w:rsid w:val="7EFD417D"/>
    <w:rsid w:val="7F5401B9"/>
    <w:rsid w:val="7F6E2CB5"/>
    <w:rsid w:val="7F6F0485"/>
    <w:rsid w:val="7F6F7C74"/>
    <w:rsid w:val="7F736901"/>
    <w:rsid w:val="7F89110D"/>
    <w:rsid w:val="7FB336A4"/>
    <w:rsid w:val="7FBE2CAA"/>
    <w:rsid w:val="7FD657C5"/>
    <w:rsid w:val="7FF816EC"/>
    <w:rsid w:val="7FFA7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3"/>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97"/>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99"/>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5"/>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89"/>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87"/>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7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6"/>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84"/>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5"/>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Normal Indent"/>
    <w:basedOn w:val="1"/>
    <w:link w:val="82"/>
    <w:qFormat/>
    <w:uiPriority w:val="0"/>
    <w:pPr>
      <w:widowControl w:val="0"/>
      <w:spacing w:line="360" w:lineRule="auto"/>
      <w:ind w:firstLine="420" w:firstLineChars="200"/>
      <w:jc w:val="both"/>
    </w:pPr>
    <w:rPr>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5"/>
    <w:unhideWhenUsed/>
    <w:qFormat/>
    <w:uiPriority w:val="99"/>
    <w:rPr>
      <w:rFonts w:ascii="宋体"/>
      <w:sz w:val="18"/>
      <w:szCs w:val="18"/>
    </w:rPr>
  </w:style>
  <w:style w:type="paragraph" w:styleId="17">
    <w:name w:val="annotation text"/>
    <w:basedOn w:val="1"/>
    <w:link w:val="57"/>
    <w:qFormat/>
    <w:uiPriority w:val="0"/>
    <w:pPr>
      <w:widowControl w:val="0"/>
    </w:pPr>
    <w:rPr>
      <w:kern w:val="2"/>
      <w:sz w:val="18"/>
      <w:szCs w:val="20"/>
    </w:rPr>
  </w:style>
  <w:style w:type="paragraph" w:styleId="18">
    <w:name w:val="Salutation"/>
    <w:basedOn w:val="1"/>
    <w:next w:val="1"/>
    <w:link w:val="83"/>
    <w:qFormat/>
    <w:uiPriority w:val="0"/>
    <w:pPr>
      <w:widowControl w:val="0"/>
      <w:jc w:val="both"/>
    </w:pPr>
    <w:rPr>
      <w:rFonts w:eastAsia="黑体"/>
      <w:kern w:val="2"/>
      <w:szCs w:val="20"/>
    </w:rPr>
  </w:style>
  <w:style w:type="paragraph" w:styleId="19">
    <w:name w:val="Body Text 3"/>
    <w:basedOn w:val="1"/>
    <w:link w:val="96"/>
    <w:qFormat/>
    <w:uiPriority w:val="0"/>
    <w:pPr>
      <w:spacing w:after="120"/>
    </w:pPr>
    <w:rPr>
      <w:sz w:val="16"/>
      <w:szCs w:val="16"/>
    </w:rPr>
  </w:style>
  <w:style w:type="paragraph" w:styleId="20">
    <w:name w:val="Body Text Indent"/>
    <w:basedOn w:val="1"/>
    <w:link w:val="80"/>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toc 5"/>
    <w:basedOn w:val="1"/>
    <w:next w:val="1"/>
    <w:qFormat/>
    <w:uiPriority w:val="0"/>
    <w:pPr>
      <w:widowControl w:val="0"/>
      <w:ind w:left="720"/>
    </w:pPr>
    <w:rPr>
      <w:kern w:val="2"/>
      <w:sz w:val="18"/>
      <w:szCs w:val="20"/>
    </w:rPr>
  </w:style>
  <w:style w:type="paragraph" w:styleId="23">
    <w:name w:val="toc 3"/>
    <w:basedOn w:val="1"/>
    <w:next w:val="1"/>
    <w:qFormat/>
    <w:uiPriority w:val="0"/>
    <w:pPr>
      <w:widowControl w:val="0"/>
      <w:ind w:left="360"/>
    </w:pPr>
    <w:rPr>
      <w:i/>
      <w:kern w:val="2"/>
      <w:sz w:val="20"/>
      <w:szCs w:val="20"/>
    </w:rPr>
  </w:style>
  <w:style w:type="paragraph" w:styleId="24">
    <w:name w:val="Plain Text"/>
    <w:basedOn w:val="1"/>
    <w:link w:val="101"/>
    <w:qFormat/>
    <w:uiPriority w:val="0"/>
    <w:pPr>
      <w:widowControl w:val="0"/>
      <w:autoSpaceDE w:val="0"/>
      <w:autoSpaceDN w:val="0"/>
      <w:adjustRightInd w:val="0"/>
      <w:jc w:val="both"/>
    </w:pPr>
    <w:rPr>
      <w:rFonts w:ascii="宋体" w:hAnsi="Tms Rmn"/>
      <w:sz w:val="21"/>
      <w:szCs w:val="21"/>
    </w:rPr>
  </w:style>
  <w:style w:type="paragraph" w:styleId="25">
    <w:name w:val="toc 8"/>
    <w:basedOn w:val="1"/>
    <w:next w:val="1"/>
    <w:qFormat/>
    <w:uiPriority w:val="0"/>
    <w:pPr>
      <w:widowControl w:val="0"/>
      <w:ind w:left="1260"/>
    </w:pPr>
    <w:rPr>
      <w:kern w:val="2"/>
      <w:sz w:val="18"/>
      <w:szCs w:val="20"/>
    </w:rPr>
  </w:style>
  <w:style w:type="paragraph" w:styleId="26">
    <w:name w:val="Date"/>
    <w:basedOn w:val="1"/>
    <w:next w:val="1"/>
    <w:link w:val="76"/>
    <w:qFormat/>
    <w:uiPriority w:val="0"/>
    <w:pPr>
      <w:ind w:left="100" w:leftChars="2500"/>
    </w:pPr>
  </w:style>
  <w:style w:type="paragraph" w:styleId="27">
    <w:name w:val="Body Text Indent 2"/>
    <w:basedOn w:val="1"/>
    <w:link w:val="94"/>
    <w:qFormat/>
    <w:uiPriority w:val="0"/>
    <w:pPr>
      <w:widowControl w:val="0"/>
      <w:ind w:firstLine="540" w:firstLineChars="257"/>
      <w:jc w:val="both"/>
    </w:pPr>
    <w:rPr>
      <w:kern w:val="2"/>
      <w:sz w:val="21"/>
    </w:rPr>
  </w:style>
  <w:style w:type="paragraph" w:styleId="28">
    <w:name w:val="Balloon Text"/>
    <w:basedOn w:val="1"/>
    <w:link w:val="88"/>
    <w:semiHidden/>
    <w:qFormat/>
    <w:uiPriority w:val="0"/>
    <w:rPr>
      <w:sz w:val="18"/>
      <w:szCs w:val="18"/>
    </w:rPr>
  </w:style>
  <w:style w:type="paragraph" w:styleId="29">
    <w:name w:val="footer"/>
    <w:basedOn w:val="1"/>
    <w:link w:val="73"/>
    <w:qFormat/>
    <w:uiPriority w:val="99"/>
    <w:pPr>
      <w:tabs>
        <w:tab w:val="center" w:pos="4153"/>
        <w:tab w:val="right" w:pos="8306"/>
      </w:tabs>
      <w:snapToGrid w:val="0"/>
    </w:pPr>
    <w:rPr>
      <w:sz w:val="18"/>
      <w:szCs w:val="18"/>
    </w:rPr>
  </w:style>
  <w:style w:type="paragraph" w:styleId="30">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78"/>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69"/>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00"/>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55"/>
    <w:qFormat/>
    <w:uiPriority w:val="0"/>
    <w:rPr>
      <w:b/>
    </w:rPr>
  </w:style>
  <w:style w:type="paragraph" w:styleId="42">
    <w:name w:val="Body Text First Indent"/>
    <w:basedOn w:val="2"/>
    <w:link w:val="81"/>
    <w:qFormat/>
    <w:uiPriority w:val="0"/>
    <w:pPr>
      <w:widowControl w:val="0"/>
      <w:ind w:firstLine="420" w:firstLineChars="100"/>
      <w:jc w:val="both"/>
    </w:pPr>
    <w:rPr>
      <w:rFonts w:ascii="宋体" w:hAnsi="宋体"/>
      <w:kern w:val="2"/>
      <w:sz w:val="21"/>
    </w:rPr>
  </w:style>
  <w:style w:type="paragraph" w:styleId="43">
    <w:name w:val="Body Text First Indent 2"/>
    <w:basedOn w:val="20"/>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styleId="53">
    <w:name w:val="Quote"/>
    <w:basedOn w:val="1"/>
    <w:next w:val="1"/>
    <w:qFormat/>
    <w:uiPriority w:val="0"/>
    <w:pPr>
      <w:wordWrap w:val="0"/>
      <w:spacing w:before="200" w:after="160"/>
      <w:ind w:left="864" w:right="864"/>
      <w:jc w:val="center"/>
    </w:pPr>
    <w:rPr>
      <w:i/>
    </w:rPr>
  </w:style>
  <w:style w:type="paragraph" w:customStyle="1" w:styleId="54">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5">
    <w:name w:val="批注主题 Char"/>
    <w:link w:val="41"/>
    <w:qFormat/>
    <w:uiPriority w:val="0"/>
    <w:rPr>
      <w:b/>
      <w:kern w:val="2"/>
      <w:sz w:val="18"/>
    </w:rPr>
  </w:style>
  <w:style w:type="character" w:customStyle="1" w:styleId="56">
    <w:name w:val="标题 8 Char"/>
    <w:link w:val="10"/>
    <w:qFormat/>
    <w:uiPriority w:val="0"/>
    <w:rPr>
      <w:rFonts w:ascii="Arial" w:hAnsi="Arial" w:eastAsia="黑体"/>
      <w:kern w:val="2"/>
      <w:sz w:val="24"/>
    </w:rPr>
  </w:style>
  <w:style w:type="character" w:customStyle="1" w:styleId="57">
    <w:name w:val="批注文字 Char"/>
    <w:link w:val="17"/>
    <w:qFormat/>
    <w:uiPriority w:val="0"/>
    <w:rPr>
      <w:kern w:val="2"/>
      <w:sz w:val="18"/>
    </w:rPr>
  </w:style>
  <w:style w:type="character" w:customStyle="1" w:styleId="58">
    <w:name w:val="fontblank12"/>
    <w:basedOn w:val="47"/>
    <w:qFormat/>
    <w:uiPriority w:val="0"/>
  </w:style>
  <w:style w:type="character" w:customStyle="1" w:styleId="59">
    <w:name w:val="标书（正文） Char"/>
    <w:link w:val="60"/>
    <w:qFormat/>
    <w:uiPriority w:val="0"/>
    <w:rPr>
      <w:rFonts w:ascii="宋体" w:hAnsi="宋体"/>
      <w:b/>
      <w:kern w:val="10"/>
      <w:sz w:val="21"/>
    </w:rPr>
  </w:style>
  <w:style w:type="paragraph" w:customStyle="1" w:styleId="60">
    <w:name w:val="标书（正文）"/>
    <w:basedOn w:val="1"/>
    <w:link w:val="59"/>
    <w:qFormat/>
    <w:uiPriority w:val="0"/>
    <w:pPr>
      <w:widowControl w:val="0"/>
      <w:spacing w:line="360" w:lineRule="auto"/>
      <w:ind w:firstLine="560" w:firstLineChars="200"/>
      <w:jc w:val="both"/>
    </w:pPr>
    <w:rPr>
      <w:rFonts w:ascii="宋体" w:hAnsi="宋体"/>
      <w:b/>
      <w:kern w:val="10"/>
      <w:sz w:val="21"/>
      <w:szCs w:val="20"/>
    </w:rPr>
  </w:style>
  <w:style w:type="character" w:customStyle="1" w:styleId="61">
    <w:name w:val="Char Char4"/>
    <w:qFormat/>
    <w:uiPriority w:val="0"/>
    <w:rPr>
      <w:rFonts w:ascii="宋体" w:hAnsi="Courier New" w:eastAsia="宋体"/>
      <w:kern w:val="2"/>
      <w:sz w:val="21"/>
      <w:lang w:val="en-US" w:eastAsia="zh-CN"/>
    </w:rPr>
  </w:style>
  <w:style w:type="character" w:customStyle="1" w:styleId="62">
    <w:name w:val="textnormchn1"/>
    <w:basedOn w:val="47"/>
    <w:qFormat/>
    <w:uiPriority w:val="0"/>
  </w:style>
  <w:style w:type="character" w:customStyle="1" w:styleId="63">
    <w:name w:val="标题 1 Char"/>
    <w:link w:val="3"/>
    <w:qFormat/>
    <w:uiPriority w:val="0"/>
    <w:rPr>
      <w:rFonts w:ascii="宋体" w:hAnsi="宋体"/>
      <w:b/>
      <w:bCs/>
      <w:kern w:val="44"/>
      <w:sz w:val="32"/>
      <w:szCs w:val="32"/>
    </w:rPr>
  </w:style>
  <w:style w:type="character" w:customStyle="1" w:styleId="64">
    <w:name w:val="列出段落 Char"/>
    <w:link w:val="65"/>
    <w:qFormat/>
    <w:uiPriority w:val="0"/>
    <w:rPr>
      <w:sz w:val="24"/>
      <w:szCs w:val="24"/>
    </w:rPr>
  </w:style>
  <w:style w:type="paragraph" w:customStyle="1" w:styleId="65">
    <w:name w:val="列出段落1"/>
    <w:basedOn w:val="1"/>
    <w:link w:val="64"/>
    <w:qFormat/>
    <w:uiPriority w:val="0"/>
    <w:pPr>
      <w:ind w:firstLine="420" w:firstLineChars="200"/>
    </w:pPr>
  </w:style>
  <w:style w:type="character" w:customStyle="1" w:styleId="66">
    <w:name w:val="CD正文 Char"/>
    <w:link w:val="67"/>
    <w:qFormat/>
    <w:uiPriority w:val="0"/>
    <w:rPr>
      <w:kern w:val="2"/>
      <w:sz w:val="30"/>
      <w:szCs w:val="28"/>
    </w:rPr>
  </w:style>
  <w:style w:type="paragraph" w:customStyle="1" w:styleId="67">
    <w:name w:val="CD正文"/>
    <w:basedOn w:val="68"/>
    <w:link w:val="66"/>
    <w:qFormat/>
    <w:uiPriority w:val="0"/>
    <w:pPr>
      <w:ind w:firstLine="493"/>
    </w:pPr>
    <w:rPr>
      <w:sz w:val="30"/>
      <w:szCs w:val="28"/>
    </w:rPr>
  </w:style>
  <w:style w:type="paragraph" w:customStyle="1" w:styleId="68">
    <w:name w:val="文章正文"/>
    <w:basedOn w:val="1"/>
    <w:link w:val="77"/>
    <w:qFormat/>
    <w:uiPriority w:val="0"/>
    <w:pPr>
      <w:widowControl w:val="0"/>
      <w:spacing w:line="360" w:lineRule="auto"/>
      <w:ind w:firstLine="420"/>
      <w:jc w:val="both"/>
    </w:pPr>
    <w:rPr>
      <w:kern w:val="2"/>
    </w:rPr>
  </w:style>
  <w:style w:type="character" w:customStyle="1" w:styleId="69">
    <w:name w:val="正文文本 2 Char"/>
    <w:link w:val="38"/>
    <w:qFormat/>
    <w:uiPriority w:val="0"/>
    <w:rPr>
      <w:sz w:val="21"/>
      <w:szCs w:val="21"/>
    </w:rPr>
  </w:style>
  <w:style w:type="character" w:customStyle="1" w:styleId="70">
    <w:name w:val="（符号）三标题1.1 Char Char"/>
    <w:link w:val="71"/>
    <w:qFormat/>
    <w:uiPriority w:val="0"/>
    <w:rPr>
      <w:rFonts w:ascii="宋体" w:hAnsi="宋体"/>
      <w:kern w:val="2"/>
      <w:sz w:val="24"/>
      <w:szCs w:val="24"/>
    </w:rPr>
  </w:style>
  <w:style w:type="paragraph" w:customStyle="1" w:styleId="71">
    <w:name w:val="（符号）三标题1.1"/>
    <w:basedOn w:val="1"/>
    <w:link w:val="70"/>
    <w:qFormat/>
    <w:uiPriority w:val="0"/>
    <w:pPr>
      <w:widowControl w:val="0"/>
      <w:numPr>
        <w:ilvl w:val="1"/>
        <w:numId w:val="4"/>
      </w:numPr>
      <w:tabs>
        <w:tab w:val="left" w:pos="700"/>
        <w:tab w:val="left" w:pos="840"/>
      </w:tabs>
      <w:spacing w:line="500" w:lineRule="exact"/>
      <w:jc w:val="both"/>
    </w:pPr>
    <w:rPr>
      <w:rFonts w:ascii="宋体" w:hAnsi="宋体"/>
      <w:kern w:val="2"/>
    </w:rPr>
  </w:style>
  <w:style w:type="character" w:customStyle="1" w:styleId="72">
    <w:name w:val="grame"/>
    <w:basedOn w:val="47"/>
    <w:qFormat/>
    <w:uiPriority w:val="0"/>
  </w:style>
  <w:style w:type="character" w:customStyle="1" w:styleId="73">
    <w:name w:val="页脚 Char"/>
    <w:link w:val="29"/>
    <w:qFormat/>
    <w:uiPriority w:val="99"/>
    <w:rPr>
      <w:sz w:val="18"/>
      <w:szCs w:val="18"/>
    </w:rPr>
  </w:style>
  <w:style w:type="character" w:customStyle="1" w:styleId="74">
    <w:name w:val="keyword"/>
    <w:basedOn w:val="47"/>
    <w:qFormat/>
    <w:uiPriority w:val="0"/>
  </w:style>
  <w:style w:type="character" w:customStyle="1" w:styleId="75">
    <w:name w:val="文档结构图 Char"/>
    <w:link w:val="16"/>
    <w:semiHidden/>
    <w:qFormat/>
    <w:uiPriority w:val="99"/>
    <w:rPr>
      <w:rFonts w:ascii="宋体"/>
      <w:sz w:val="18"/>
      <w:szCs w:val="18"/>
    </w:rPr>
  </w:style>
  <w:style w:type="character" w:customStyle="1" w:styleId="76">
    <w:name w:val="日期 Char"/>
    <w:link w:val="26"/>
    <w:qFormat/>
    <w:uiPriority w:val="0"/>
    <w:rPr>
      <w:sz w:val="24"/>
      <w:szCs w:val="24"/>
    </w:rPr>
  </w:style>
  <w:style w:type="character" w:customStyle="1" w:styleId="77">
    <w:name w:val="文章正文 Char"/>
    <w:link w:val="68"/>
    <w:qFormat/>
    <w:uiPriority w:val="0"/>
    <w:rPr>
      <w:kern w:val="2"/>
      <w:sz w:val="24"/>
      <w:szCs w:val="24"/>
    </w:rPr>
  </w:style>
  <w:style w:type="character" w:customStyle="1" w:styleId="78">
    <w:name w:val="正文文本缩进 3 Char"/>
    <w:link w:val="35"/>
    <w:qFormat/>
    <w:uiPriority w:val="0"/>
    <w:rPr>
      <w:kern w:val="2"/>
      <w:sz w:val="16"/>
      <w:szCs w:val="16"/>
    </w:rPr>
  </w:style>
  <w:style w:type="character" w:customStyle="1" w:styleId="79">
    <w:name w:val="标题 7 Char"/>
    <w:link w:val="9"/>
    <w:qFormat/>
    <w:uiPriority w:val="0"/>
    <w:rPr>
      <w:rFonts w:ascii="Arial Narrow" w:hAnsi="Arial Narrow"/>
      <w:b/>
      <w:lang w:eastAsia="en-US"/>
    </w:rPr>
  </w:style>
  <w:style w:type="character" w:customStyle="1" w:styleId="80">
    <w:name w:val="正文文本缩进 Char"/>
    <w:link w:val="20"/>
    <w:qFormat/>
    <w:uiPriority w:val="0"/>
    <w:rPr>
      <w:rFonts w:ascii="宋体"/>
      <w:sz w:val="30"/>
      <w:szCs w:val="24"/>
    </w:rPr>
  </w:style>
  <w:style w:type="character" w:customStyle="1" w:styleId="81">
    <w:name w:val="正文首行缩进 Char"/>
    <w:link w:val="42"/>
    <w:qFormat/>
    <w:uiPriority w:val="0"/>
    <w:rPr>
      <w:rFonts w:ascii="宋体" w:hAnsi="宋体"/>
      <w:kern w:val="2"/>
      <w:sz w:val="21"/>
      <w:szCs w:val="24"/>
    </w:rPr>
  </w:style>
  <w:style w:type="character" w:customStyle="1" w:styleId="82">
    <w:name w:val="正文缩进 Char"/>
    <w:link w:val="14"/>
    <w:qFormat/>
    <w:uiPriority w:val="0"/>
    <w:rPr>
      <w:kern w:val="2"/>
      <w:sz w:val="21"/>
      <w:szCs w:val="24"/>
    </w:rPr>
  </w:style>
  <w:style w:type="character" w:customStyle="1" w:styleId="83">
    <w:name w:val="称呼 Char"/>
    <w:link w:val="18"/>
    <w:qFormat/>
    <w:uiPriority w:val="0"/>
    <w:rPr>
      <w:rFonts w:eastAsia="黑体"/>
      <w:kern w:val="2"/>
      <w:sz w:val="24"/>
    </w:rPr>
  </w:style>
  <w:style w:type="character" w:customStyle="1" w:styleId="84">
    <w:name w:val="标题 9 Char"/>
    <w:link w:val="11"/>
    <w:qFormat/>
    <w:uiPriority w:val="0"/>
    <w:rPr>
      <w:rFonts w:ascii="Arial" w:hAnsi="Arial" w:eastAsia="黑体"/>
      <w:kern w:val="2"/>
      <w:sz w:val="21"/>
    </w:rPr>
  </w:style>
  <w:style w:type="character" w:customStyle="1" w:styleId="85">
    <w:name w:val="正文文本 Char"/>
    <w:link w:val="2"/>
    <w:qFormat/>
    <w:uiPriority w:val="0"/>
    <w:rPr>
      <w:sz w:val="24"/>
      <w:szCs w:val="24"/>
    </w:rPr>
  </w:style>
  <w:style w:type="character" w:customStyle="1" w:styleId="86">
    <w:name w:val="Char Char40"/>
    <w:qFormat/>
    <w:uiPriority w:val="0"/>
    <w:rPr>
      <w:kern w:val="2"/>
      <w:sz w:val="24"/>
      <w:szCs w:val="24"/>
    </w:rPr>
  </w:style>
  <w:style w:type="character" w:customStyle="1" w:styleId="87">
    <w:name w:val="标题 6 Char"/>
    <w:link w:val="8"/>
    <w:qFormat/>
    <w:uiPriority w:val="0"/>
    <w:rPr>
      <w:rFonts w:ascii="Arial" w:hAnsi="Arial" w:eastAsia="黑体"/>
      <w:b/>
      <w:bCs/>
      <w:kern w:val="2"/>
      <w:sz w:val="24"/>
      <w:szCs w:val="24"/>
    </w:rPr>
  </w:style>
  <w:style w:type="character" w:customStyle="1" w:styleId="88">
    <w:name w:val="批注框文本 Char"/>
    <w:link w:val="28"/>
    <w:semiHidden/>
    <w:qFormat/>
    <w:uiPriority w:val="0"/>
    <w:rPr>
      <w:sz w:val="18"/>
      <w:szCs w:val="18"/>
    </w:rPr>
  </w:style>
  <w:style w:type="character" w:customStyle="1" w:styleId="89">
    <w:name w:val="标题 5 Char"/>
    <w:link w:val="7"/>
    <w:qFormat/>
    <w:uiPriority w:val="0"/>
    <w:rPr>
      <w:rFonts w:ascii="Times New Roman" w:hAnsi="Times New Roman"/>
      <w:b/>
      <w:bCs/>
      <w:sz w:val="28"/>
      <w:szCs w:val="28"/>
    </w:rPr>
  </w:style>
  <w:style w:type="character" w:customStyle="1" w:styleId="90">
    <w:name w:val="WW8Num9z0"/>
    <w:qFormat/>
    <w:uiPriority w:val="0"/>
    <w:rPr>
      <w:rFonts w:ascii="Wingdings" w:hAnsi="Wingdings"/>
    </w:rPr>
  </w:style>
  <w:style w:type="character" w:customStyle="1" w:styleId="91">
    <w:name w:val="magic-list1"/>
    <w:qFormat/>
    <w:uiPriority w:val="0"/>
    <w:rPr>
      <w:rFonts w:hint="default" w:ascii="ˎ̥" w:hAnsi="ˎ̥"/>
      <w:color w:val="000000"/>
      <w:sz w:val="20"/>
      <w:u w:val="none"/>
    </w:rPr>
  </w:style>
  <w:style w:type="character" w:customStyle="1" w:styleId="92">
    <w:name w:val="small"/>
    <w:basedOn w:val="47"/>
    <w:qFormat/>
    <w:uiPriority w:val="0"/>
  </w:style>
  <w:style w:type="character" w:customStyle="1" w:styleId="93">
    <w:name w:val="页眉 Char"/>
    <w:link w:val="30"/>
    <w:qFormat/>
    <w:uiPriority w:val="0"/>
    <w:rPr>
      <w:sz w:val="18"/>
      <w:szCs w:val="18"/>
    </w:rPr>
  </w:style>
  <w:style w:type="character" w:customStyle="1" w:styleId="94">
    <w:name w:val="正文文本缩进 2 Char"/>
    <w:link w:val="27"/>
    <w:qFormat/>
    <w:uiPriority w:val="0"/>
    <w:rPr>
      <w:kern w:val="2"/>
      <w:sz w:val="21"/>
      <w:szCs w:val="24"/>
    </w:rPr>
  </w:style>
  <w:style w:type="character" w:customStyle="1" w:styleId="95">
    <w:name w:val="标题 4 Char"/>
    <w:link w:val="6"/>
    <w:qFormat/>
    <w:uiPriority w:val="0"/>
    <w:rPr>
      <w:rFonts w:ascii="宋体" w:hAnsi="宋体"/>
      <w:b/>
      <w:bCs/>
      <w:sz w:val="28"/>
      <w:szCs w:val="28"/>
    </w:rPr>
  </w:style>
  <w:style w:type="character" w:customStyle="1" w:styleId="96">
    <w:name w:val="正文文本 3 Char"/>
    <w:link w:val="19"/>
    <w:qFormat/>
    <w:uiPriority w:val="0"/>
    <w:rPr>
      <w:sz w:val="16"/>
      <w:szCs w:val="16"/>
    </w:rPr>
  </w:style>
  <w:style w:type="character" w:customStyle="1" w:styleId="97">
    <w:name w:val="标题 2 Char"/>
    <w:link w:val="4"/>
    <w:qFormat/>
    <w:uiPriority w:val="0"/>
    <w:rPr>
      <w:rFonts w:ascii="宋体" w:hAnsi="宋体"/>
      <w:b/>
      <w:bCs/>
      <w:iCs/>
      <w:sz w:val="28"/>
      <w:szCs w:val="28"/>
    </w:rPr>
  </w:style>
  <w:style w:type="character" w:customStyle="1" w:styleId="98">
    <w:name w:val="纯文本 Char1"/>
    <w:unhideWhenUsed/>
    <w:qFormat/>
    <w:uiPriority w:val="99"/>
    <w:rPr>
      <w:rFonts w:hint="eastAsia" w:ascii="宋体" w:hAnsi="Tms Rmn" w:eastAsia="宋体"/>
      <w:sz w:val="21"/>
      <w:lang w:val="en-US" w:eastAsia="zh-CN"/>
    </w:rPr>
  </w:style>
  <w:style w:type="character" w:customStyle="1" w:styleId="99">
    <w:name w:val="标题 3 Char"/>
    <w:link w:val="5"/>
    <w:qFormat/>
    <w:uiPriority w:val="0"/>
    <w:rPr>
      <w:rFonts w:ascii="宋体" w:hAnsi="宋体"/>
      <w:b/>
      <w:bCs/>
      <w:color w:val="000000"/>
      <w:kern w:val="2"/>
      <w:sz w:val="24"/>
      <w:szCs w:val="28"/>
    </w:rPr>
  </w:style>
  <w:style w:type="character" w:customStyle="1" w:styleId="100">
    <w:name w:val="标题 Char"/>
    <w:link w:val="40"/>
    <w:qFormat/>
    <w:uiPriority w:val="0"/>
    <w:rPr>
      <w:rFonts w:ascii="Cambria" w:hAnsi="Cambria"/>
      <w:b/>
      <w:bCs/>
      <w:kern w:val="2"/>
      <w:sz w:val="32"/>
      <w:szCs w:val="32"/>
    </w:rPr>
  </w:style>
  <w:style w:type="character" w:customStyle="1" w:styleId="101">
    <w:name w:val="纯文本 Char"/>
    <w:link w:val="24"/>
    <w:qFormat/>
    <w:uiPriority w:val="0"/>
    <w:rPr>
      <w:rFonts w:ascii="宋体" w:hAnsi="Tms Rmn" w:cs="宋体"/>
      <w:sz w:val="21"/>
      <w:szCs w:val="21"/>
    </w:rPr>
  </w:style>
  <w:style w:type="character" w:customStyle="1" w:styleId="102">
    <w:name w:val="H4 Char"/>
    <w:qFormat/>
    <w:uiPriority w:val="0"/>
    <w:rPr>
      <w:rFonts w:ascii="Arial" w:hAnsi="Arial" w:eastAsia="宋体"/>
      <w:b/>
      <w:kern w:val="2"/>
      <w:sz w:val="28"/>
      <w:lang w:val="en-US" w:eastAsia="zh-CN"/>
    </w:rPr>
  </w:style>
  <w:style w:type="character" w:customStyle="1" w:styleId="103">
    <w:name w:val="正文缩进 Char1"/>
    <w:qFormat/>
    <w:uiPriority w:val="0"/>
    <w:rPr>
      <w:kern w:val="2"/>
      <w:sz w:val="21"/>
      <w:szCs w:val="24"/>
    </w:rPr>
  </w:style>
  <w:style w:type="paragraph" w:customStyle="1" w:styleId="104">
    <w:name w:val="MM Topic 9"/>
    <w:basedOn w:val="11"/>
    <w:qFormat/>
    <w:uiPriority w:val="0"/>
    <w:pPr>
      <w:tabs>
        <w:tab w:val="left" w:pos="5102"/>
      </w:tabs>
    </w:pPr>
  </w:style>
  <w:style w:type="paragraph" w:customStyle="1" w:styleId="105">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6">
    <w:name w:val="强调2"/>
    <w:basedOn w:val="107"/>
    <w:qFormat/>
    <w:uiPriority w:val="0"/>
    <w:pPr>
      <w:numPr>
        <w:ilvl w:val="1"/>
      </w:numPr>
      <w:tabs>
        <w:tab w:val="left" w:pos="360"/>
        <w:tab w:val="left" w:pos="1918"/>
      </w:tabs>
      <w:ind w:left="1918"/>
    </w:pPr>
  </w:style>
  <w:style w:type="paragraph" w:customStyle="1" w:styleId="107">
    <w:name w:val="强调1"/>
    <w:basedOn w:val="1"/>
    <w:qFormat/>
    <w:uiPriority w:val="0"/>
    <w:pPr>
      <w:widowControl w:val="0"/>
      <w:numPr>
        <w:ilvl w:val="0"/>
        <w:numId w:val="5"/>
      </w:numPr>
      <w:spacing w:line="360" w:lineRule="auto"/>
      <w:ind w:firstLine="0"/>
      <w:jc w:val="both"/>
    </w:pPr>
    <w:rPr>
      <w:rFonts w:ascii="楷体_GB2312" w:hAnsi="仿宋" w:eastAsia="楷体_GB2312"/>
      <w:kern w:val="2"/>
      <w:sz w:val="28"/>
      <w:szCs w:val="28"/>
    </w:rPr>
  </w:style>
  <w:style w:type="paragraph" w:customStyle="1" w:styleId="108">
    <w:name w:val="Char Char Char Char"/>
    <w:basedOn w:val="1"/>
    <w:next w:val="1"/>
    <w:qFormat/>
    <w:uiPriority w:val="0"/>
    <w:pPr>
      <w:widowControl w:val="0"/>
      <w:spacing w:line="240" w:lineRule="atLeast"/>
      <w:ind w:left="420" w:firstLine="420"/>
    </w:pPr>
    <w:rPr>
      <w:sz w:val="21"/>
      <w:szCs w:val="21"/>
    </w:rPr>
  </w:style>
  <w:style w:type="paragraph" w:customStyle="1" w:styleId="109">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0">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1">
    <w:name w:val="默认段落字体 Para Char Char Char Char"/>
    <w:basedOn w:val="1"/>
    <w:qFormat/>
    <w:uiPriority w:val="0"/>
    <w:pPr>
      <w:widowControl w:val="0"/>
      <w:jc w:val="both"/>
    </w:pPr>
    <w:rPr>
      <w:kern w:val="2"/>
      <w:sz w:val="21"/>
    </w:rPr>
  </w:style>
  <w:style w:type="paragraph" w:customStyle="1" w:styleId="112">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3">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1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5">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6">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17">
    <w:name w:val="MM Topic 6"/>
    <w:basedOn w:val="8"/>
    <w:qFormat/>
    <w:uiPriority w:val="0"/>
    <w:pPr>
      <w:numPr>
        <w:ilvl w:val="0"/>
        <w:numId w:val="0"/>
      </w:numPr>
      <w:tabs>
        <w:tab w:val="left" w:pos="3260"/>
      </w:tabs>
      <w:spacing w:line="317" w:lineRule="auto"/>
    </w:pPr>
    <w:rPr>
      <w:bCs w:val="0"/>
      <w:sz w:val="28"/>
      <w:szCs w:val="20"/>
    </w:rPr>
  </w:style>
  <w:style w:type="paragraph" w:customStyle="1" w:styleId="11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19">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0">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1">
    <w:name w:val="标题 5 + 首行缩进:  2 字符"/>
    <w:basedOn w:val="7"/>
    <w:next w:val="20"/>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4">
    <w:name w:val="Char11"/>
    <w:basedOn w:val="1"/>
    <w:next w:val="1"/>
    <w:qFormat/>
    <w:uiPriority w:val="0"/>
    <w:pPr>
      <w:widowControl w:val="0"/>
      <w:spacing w:line="240" w:lineRule="atLeast"/>
      <w:ind w:left="420" w:firstLine="420"/>
    </w:pPr>
    <w:rPr>
      <w:sz w:val="21"/>
      <w:szCs w:val="21"/>
    </w:rPr>
  </w:style>
  <w:style w:type="paragraph" w:customStyle="1" w:styleId="125">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6">
    <w:name w:val="默认段落字体 Para Char Char Char Char Char Char Char"/>
    <w:basedOn w:val="1"/>
    <w:qFormat/>
    <w:uiPriority w:val="0"/>
    <w:pPr>
      <w:widowControl w:val="0"/>
      <w:jc w:val="both"/>
    </w:pPr>
    <w:rPr>
      <w:rFonts w:ascii="Tahoma" w:hAnsi="Tahoma"/>
      <w:kern w:val="2"/>
      <w:szCs w:val="20"/>
    </w:rPr>
  </w:style>
  <w:style w:type="paragraph" w:customStyle="1" w:styleId="127">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28">
    <w:name w:val="样式2"/>
    <w:basedOn w:val="1"/>
    <w:qFormat/>
    <w:uiPriority w:val="0"/>
    <w:pPr>
      <w:widowControl w:val="0"/>
      <w:adjustRightInd w:val="0"/>
      <w:spacing w:line="410" w:lineRule="atLeast"/>
      <w:jc w:val="both"/>
      <w:textAlignment w:val="baseline"/>
    </w:pPr>
    <w:rPr>
      <w:szCs w:val="20"/>
    </w:rPr>
  </w:style>
  <w:style w:type="paragraph" w:customStyle="1" w:styleId="129">
    <w:name w:val="列出段落11"/>
    <w:basedOn w:val="1"/>
    <w:qFormat/>
    <w:uiPriority w:val="34"/>
    <w:pPr>
      <w:ind w:firstLine="420" w:firstLineChars="200"/>
    </w:pPr>
    <w:rPr>
      <w:lang w:val="zh-CN"/>
    </w:rPr>
  </w:style>
  <w:style w:type="paragraph" w:customStyle="1" w:styleId="130">
    <w:name w:val="p4"/>
    <w:basedOn w:val="1"/>
    <w:qFormat/>
    <w:uiPriority w:val="0"/>
    <w:pPr>
      <w:spacing w:before="100" w:beforeAutospacing="1" w:after="100" w:afterAutospacing="1" w:line="360" w:lineRule="auto"/>
      <w:ind w:firstLine="360"/>
    </w:pPr>
    <w:rPr>
      <w:rFonts w:ascii="宋体" w:hAnsi="宋体"/>
    </w:rPr>
  </w:style>
  <w:style w:type="paragraph" w:customStyle="1" w:styleId="131">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2">
    <w:name w:val="默认段落字体 Para Char Char"/>
    <w:basedOn w:val="1"/>
    <w:qFormat/>
    <w:uiPriority w:val="0"/>
    <w:pPr>
      <w:widowControl w:val="0"/>
      <w:jc w:val="both"/>
    </w:pPr>
    <w:rPr>
      <w:kern w:val="2"/>
      <w:sz w:val="21"/>
      <w:szCs w:val="20"/>
    </w:rPr>
  </w:style>
  <w:style w:type="paragraph" w:customStyle="1" w:styleId="133">
    <w:name w:val="Char1 Char Char Char"/>
    <w:basedOn w:val="1"/>
    <w:next w:val="1"/>
    <w:qFormat/>
    <w:uiPriority w:val="0"/>
    <w:pPr>
      <w:widowControl w:val="0"/>
      <w:spacing w:line="240" w:lineRule="atLeast"/>
      <w:ind w:left="420" w:firstLine="420"/>
    </w:pPr>
    <w:rPr>
      <w:sz w:val="21"/>
      <w:szCs w:val="20"/>
    </w:rPr>
  </w:style>
  <w:style w:type="paragraph" w:customStyle="1" w:styleId="134">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5">
    <w:name w:val="1 Char"/>
    <w:basedOn w:val="1"/>
    <w:qFormat/>
    <w:uiPriority w:val="0"/>
    <w:pPr>
      <w:spacing w:after="160" w:line="240" w:lineRule="exact"/>
    </w:pPr>
    <w:rPr>
      <w:rFonts w:ascii="Tahoma" w:hAnsi="Tahoma" w:eastAsia="Times New Roman"/>
      <w:lang w:eastAsia="en-US"/>
    </w:rPr>
  </w:style>
  <w:style w:type="paragraph" w:customStyle="1" w:styleId="136">
    <w:name w:val="MM Topic 8"/>
    <w:basedOn w:val="10"/>
    <w:qFormat/>
    <w:uiPriority w:val="0"/>
    <w:pPr>
      <w:tabs>
        <w:tab w:val="left" w:pos="4394"/>
      </w:tabs>
    </w:pPr>
  </w:style>
  <w:style w:type="paragraph" w:customStyle="1" w:styleId="137">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9">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40">
    <w:name w:val="论文正文"/>
    <w:basedOn w:val="1"/>
    <w:qFormat/>
    <w:uiPriority w:val="0"/>
    <w:pPr>
      <w:widowControl w:val="0"/>
      <w:spacing w:line="300" w:lineRule="auto"/>
      <w:ind w:firstLine="200" w:firstLineChars="200"/>
      <w:jc w:val="both"/>
    </w:pPr>
    <w:rPr>
      <w:kern w:val="2"/>
    </w:rPr>
  </w:style>
  <w:style w:type="paragraph" w:customStyle="1" w:styleId="141">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2">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3">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4">
    <w:name w:val="正文段落"/>
    <w:basedOn w:val="1"/>
    <w:qFormat/>
    <w:uiPriority w:val="0"/>
    <w:pPr>
      <w:widowControl w:val="0"/>
      <w:spacing w:line="300" w:lineRule="auto"/>
      <w:ind w:firstLine="510"/>
      <w:jc w:val="both"/>
    </w:pPr>
    <w:rPr>
      <w:kern w:val="2"/>
      <w:szCs w:val="20"/>
    </w:rPr>
  </w:style>
  <w:style w:type="paragraph" w:customStyle="1" w:styleId="145">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6">
    <w:name w:val="Char1 Char Char Char Char Char Char"/>
    <w:basedOn w:val="1"/>
    <w:qFormat/>
    <w:uiPriority w:val="0"/>
    <w:pPr>
      <w:widowControl w:val="0"/>
      <w:jc w:val="both"/>
    </w:pPr>
    <w:rPr>
      <w:rFonts w:ascii="Tahoma" w:hAnsi="Tahoma"/>
      <w:kern w:val="2"/>
      <w:szCs w:val="20"/>
    </w:rPr>
  </w:style>
  <w:style w:type="paragraph" w:customStyle="1" w:styleId="147">
    <w:name w:val="文章正文 Char Char1"/>
    <w:basedOn w:val="1"/>
    <w:qFormat/>
    <w:uiPriority w:val="0"/>
    <w:pPr>
      <w:widowControl w:val="0"/>
      <w:spacing w:line="360" w:lineRule="auto"/>
      <w:ind w:firstLine="420"/>
      <w:jc w:val="both"/>
    </w:pPr>
    <w:rPr>
      <w:kern w:val="2"/>
      <w:szCs w:val="20"/>
    </w:rPr>
  </w:style>
  <w:style w:type="paragraph" w:customStyle="1" w:styleId="148">
    <w:name w:val="Char"/>
    <w:basedOn w:val="1"/>
    <w:next w:val="1"/>
    <w:qFormat/>
    <w:uiPriority w:val="0"/>
    <w:pPr>
      <w:widowControl w:val="0"/>
      <w:spacing w:line="240" w:lineRule="atLeast"/>
      <w:ind w:left="420" w:firstLine="420"/>
    </w:pPr>
    <w:rPr>
      <w:sz w:val="21"/>
      <w:szCs w:val="21"/>
    </w:rPr>
  </w:style>
  <w:style w:type="paragraph" w:customStyle="1" w:styleId="149">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50">
    <w:name w:val="文章正文 Char Char1 Char"/>
    <w:basedOn w:val="1"/>
    <w:qFormat/>
    <w:uiPriority w:val="0"/>
    <w:pPr>
      <w:widowControl w:val="0"/>
      <w:spacing w:line="360" w:lineRule="auto"/>
      <w:ind w:firstLine="420"/>
      <w:jc w:val="both"/>
    </w:pPr>
    <w:rPr>
      <w:kern w:val="2"/>
    </w:rPr>
  </w:style>
  <w:style w:type="paragraph" w:customStyle="1" w:styleId="151">
    <w:name w:val="正文 首行缩进:  2 字符 Char Char"/>
    <w:basedOn w:val="1"/>
    <w:qFormat/>
    <w:uiPriority w:val="0"/>
    <w:pPr>
      <w:widowControl w:val="0"/>
      <w:spacing w:line="360" w:lineRule="auto"/>
      <w:ind w:firstLine="480"/>
      <w:jc w:val="both"/>
    </w:pPr>
    <w:rPr>
      <w:kern w:val="2"/>
      <w:szCs w:val="20"/>
    </w:rPr>
  </w:style>
  <w:style w:type="paragraph" w:customStyle="1" w:styleId="152">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3">
    <w:name w:val="标题 2 + 楷体_GB2312"/>
    <w:basedOn w:val="1"/>
    <w:qFormat/>
    <w:uiPriority w:val="0"/>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Char12"/>
    <w:basedOn w:val="1"/>
    <w:qFormat/>
    <w:uiPriority w:val="0"/>
    <w:pPr>
      <w:spacing w:after="160" w:line="240" w:lineRule="exact"/>
    </w:pPr>
    <w:rPr>
      <w:rFonts w:ascii="Tahoma" w:hAnsi="Tahoma"/>
      <w:kern w:val="2"/>
      <w:lang w:eastAsia="en-US"/>
    </w:rPr>
  </w:style>
  <w:style w:type="paragraph" w:customStyle="1" w:styleId="156">
    <w:name w:val="p0"/>
    <w:basedOn w:val="1"/>
    <w:qFormat/>
    <w:uiPriority w:val="0"/>
    <w:pPr>
      <w:jc w:val="both"/>
    </w:pPr>
    <w:rPr>
      <w:sz w:val="21"/>
      <w:szCs w:val="20"/>
    </w:rPr>
  </w:style>
  <w:style w:type="paragraph" w:customStyle="1" w:styleId="157">
    <w:name w:val="gb_master正文"/>
    <w:basedOn w:val="1"/>
    <w:qFormat/>
    <w:uiPriority w:val="0"/>
    <w:pPr>
      <w:widowControl w:val="0"/>
      <w:ind w:firstLine="200" w:firstLineChars="200"/>
      <w:jc w:val="both"/>
    </w:pPr>
    <w:rPr>
      <w:kern w:val="2"/>
      <w:sz w:val="21"/>
    </w:rPr>
  </w:style>
  <w:style w:type="paragraph" w:customStyle="1" w:styleId="158">
    <w:name w:val="Char1"/>
    <w:basedOn w:val="1"/>
    <w:next w:val="1"/>
    <w:qFormat/>
    <w:uiPriority w:val="0"/>
    <w:pPr>
      <w:widowControl w:val="0"/>
      <w:spacing w:line="240" w:lineRule="atLeast"/>
      <w:ind w:left="420" w:firstLine="420"/>
    </w:pPr>
    <w:rPr>
      <w:sz w:val="21"/>
      <w:szCs w:val="21"/>
    </w:rPr>
  </w:style>
  <w:style w:type="paragraph" w:customStyle="1" w:styleId="159">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1">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2">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3">
    <w:name w:val="样式 正文缩进 + (中文) 仿宋_GB2312 小四 Char"/>
    <w:basedOn w:val="14"/>
    <w:qFormat/>
    <w:uiPriority w:val="0"/>
    <w:pPr>
      <w:ind w:firstLine="480"/>
    </w:pPr>
    <w:rPr>
      <w:rFonts w:ascii="宋体" w:hAnsi="宋体"/>
      <w:sz w:val="24"/>
      <w:szCs w:val="20"/>
    </w:rPr>
  </w:style>
  <w:style w:type="paragraph" w:customStyle="1" w:styleId="164">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5">
    <w:name w:val="Char2 Char Char Char Char Char Char"/>
    <w:basedOn w:val="1"/>
    <w:qFormat/>
    <w:uiPriority w:val="0"/>
    <w:pPr>
      <w:widowControl w:val="0"/>
      <w:jc w:val="both"/>
    </w:pPr>
    <w:rPr>
      <w:rFonts w:ascii="仿宋_GB2312"/>
      <w:b/>
      <w:kern w:val="2"/>
      <w:sz w:val="30"/>
      <w:szCs w:val="20"/>
    </w:rPr>
  </w:style>
  <w:style w:type="paragraph" w:customStyle="1" w:styleId="166">
    <w:name w:val="项目符号：一级"/>
    <w:basedOn w:val="161"/>
    <w:next w:val="161"/>
    <w:qFormat/>
    <w:uiPriority w:val="0"/>
    <w:pPr>
      <w:tabs>
        <w:tab w:val="left" w:pos="700"/>
      </w:tabs>
      <w:spacing w:beforeLines="0"/>
      <w:ind w:left="630" w:hanging="290" w:firstLineChars="0"/>
    </w:pPr>
  </w:style>
  <w:style w:type="paragraph" w:customStyle="1" w:styleId="167">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68">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6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0">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1">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72">
    <w:name w:val="大纲正文"/>
    <w:basedOn w:val="1"/>
    <w:qFormat/>
    <w:uiPriority w:val="0"/>
    <w:pPr>
      <w:widowControl w:val="0"/>
      <w:spacing w:line="360" w:lineRule="auto"/>
      <w:ind w:firstLine="480" w:firstLineChars="200"/>
      <w:jc w:val="both"/>
    </w:pPr>
    <w:rPr>
      <w:kern w:val="2"/>
      <w:szCs w:val="20"/>
    </w:rPr>
  </w:style>
  <w:style w:type="paragraph" w:customStyle="1" w:styleId="173">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4">
    <w:name w:val="Char2"/>
    <w:basedOn w:val="1"/>
    <w:next w:val="1"/>
    <w:qFormat/>
    <w:uiPriority w:val="0"/>
    <w:pPr>
      <w:widowControl w:val="0"/>
      <w:spacing w:line="240" w:lineRule="atLeast"/>
      <w:ind w:left="420" w:firstLine="420"/>
    </w:pPr>
    <w:rPr>
      <w:kern w:val="2"/>
      <w:szCs w:val="20"/>
    </w:rPr>
  </w:style>
  <w:style w:type="paragraph" w:customStyle="1" w:styleId="175">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6">
    <w:name w:val="Char2 Char Char Char"/>
    <w:basedOn w:val="1"/>
    <w:qFormat/>
    <w:uiPriority w:val="0"/>
    <w:pPr>
      <w:widowControl w:val="0"/>
      <w:jc w:val="both"/>
    </w:pPr>
    <w:rPr>
      <w:rFonts w:ascii="仿宋_GB2312"/>
      <w:b/>
      <w:kern w:val="2"/>
      <w:sz w:val="30"/>
      <w:szCs w:val="20"/>
    </w:rPr>
  </w:style>
  <w:style w:type="paragraph" w:customStyle="1" w:styleId="177">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78">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79">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0">
    <w:name w:val="列出段落2"/>
    <w:basedOn w:val="1"/>
    <w:qFormat/>
    <w:uiPriority w:val="34"/>
    <w:pPr>
      <w:widowControl w:val="0"/>
      <w:ind w:firstLine="420" w:firstLineChars="200"/>
      <w:jc w:val="both"/>
    </w:pPr>
    <w:rPr>
      <w:rFonts w:eastAsia="方正仿宋"/>
      <w:kern w:val="2"/>
      <w:sz w:val="32"/>
    </w:rPr>
  </w:style>
  <w:style w:type="paragraph" w:customStyle="1" w:styleId="181">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2">
    <w:name w:val="彩色列表 - 强调文字颜色 1 Char"/>
    <w:link w:val="183"/>
    <w:qFormat/>
    <w:uiPriority w:val="0"/>
    <w:rPr>
      <w:rFonts w:ascii="Calibri" w:hAnsi="Calibri"/>
      <w:kern w:val="2"/>
      <w:sz w:val="21"/>
      <w:szCs w:val="22"/>
    </w:rPr>
  </w:style>
  <w:style w:type="paragraph" w:customStyle="1" w:styleId="183">
    <w:name w:val="彩色列表 - 强调文字颜色 11"/>
    <w:basedOn w:val="1"/>
    <w:link w:val="182"/>
    <w:qFormat/>
    <w:uiPriority w:val="0"/>
    <w:pPr>
      <w:widowControl w:val="0"/>
      <w:ind w:firstLine="420" w:firstLineChars="200"/>
      <w:jc w:val="both"/>
    </w:pPr>
    <w:rPr>
      <w:rFonts w:ascii="Calibri" w:hAnsi="Calibri"/>
      <w:kern w:val="2"/>
      <w:sz w:val="21"/>
      <w:szCs w:val="22"/>
    </w:rPr>
  </w:style>
  <w:style w:type="character" w:customStyle="1" w:styleId="184">
    <w:name w:val="*正文 Char Char"/>
    <w:link w:val="185"/>
    <w:qFormat/>
    <w:locked/>
    <w:uiPriority w:val="99"/>
    <w:rPr>
      <w:rFonts w:ascii="宋体"/>
      <w:sz w:val="24"/>
    </w:rPr>
  </w:style>
  <w:style w:type="paragraph" w:customStyle="1" w:styleId="185">
    <w:name w:val="*正文"/>
    <w:basedOn w:val="1"/>
    <w:link w:val="184"/>
    <w:qFormat/>
    <w:uiPriority w:val="99"/>
    <w:pPr>
      <w:widowControl w:val="0"/>
      <w:spacing w:line="360" w:lineRule="auto"/>
      <w:ind w:firstLine="200" w:firstLineChars="200"/>
      <w:jc w:val="both"/>
    </w:pPr>
    <w:rPr>
      <w:rFonts w:ascii="宋体"/>
      <w:szCs w:val="20"/>
    </w:rPr>
  </w:style>
  <w:style w:type="paragraph" w:customStyle="1" w:styleId="186">
    <w:name w:val="_Style 1"/>
    <w:basedOn w:val="1"/>
    <w:qFormat/>
    <w:uiPriority w:val="0"/>
    <w:pPr>
      <w:ind w:firstLine="420" w:firstLineChars="200"/>
    </w:pPr>
  </w:style>
  <w:style w:type="paragraph" w:customStyle="1" w:styleId="187">
    <w:name w:val="彩色列表 - 强调文字颜色 12"/>
    <w:basedOn w:val="1"/>
    <w:qFormat/>
    <w:uiPriority w:val="0"/>
    <w:pPr>
      <w:ind w:firstLine="420" w:firstLineChars="200"/>
    </w:pPr>
  </w:style>
  <w:style w:type="character" w:customStyle="1" w:styleId="188">
    <w:name w:val="font21"/>
    <w:basedOn w:val="47"/>
    <w:qFormat/>
    <w:uiPriority w:val="0"/>
    <w:rPr>
      <w:rFonts w:hint="eastAsia" w:ascii="宋体" w:hAnsi="宋体" w:eastAsia="宋体" w:cs="宋体"/>
      <w:color w:val="000000"/>
      <w:sz w:val="20"/>
      <w:szCs w:val="20"/>
      <w:u w:val="none"/>
    </w:rPr>
  </w:style>
  <w:style w:type="character" w:customStyle="1" w:styleId="189">
    <w:name w:val="font31"/>
    <w:basedOn w:val="47"/>
    <w:qFormat/>
    <w:uiPriority w:val="0"/>
    <w:rPr>
      <w:rFonts w:ascii="Tahoma" w:hAnsi="Tahoma" w:eastAsia="Tahoma" w:cs="Tahoma"/>
      <w:color w:val="000000"/>
      <w:sz w:val="20"/>
      <w:szCs w:val="20"/>
      <w:u w:val="none"/>
    </w:rPr>
  </w:style>
  <w:style w:type="paragraph" w:customStyle="1" w:styleId="19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1">
    <w:name w:val="List Paragraph"/>
    <w:basedOn w:val="1"/>
    <w:qFormat/>
    <w:uiPriority w:val="34"/>
    <w:pPr>
      <w:spacing w:after="100" w:line="360" w:lineRule="auto"/>
      <w:ind w:firstLine="420" w:firstLineChars="200"/>
    </w:pPr>
    <w:rPr>
      <w:szCs w:val="22"/>
      <w:lang w:eastAsia="en-US" w:bidi="en-US"/>
    </w:rPr>
  </w:style>
  <w:style w:type="character" w:customStyle="1" w:styleId="192">
    <w:name w:val="font11"/>
    <w:basedOn w:val="47"/>
    <w:qFormat/>
    <w:uiPriority w:val="0"/>
    <w:rPr>
      <w:rFonts w:hint="eastAsia" w:ascii="宋体" w:hAnsi="宋体" w:eastAsia="宋体" w:cs="宋体"/>
      <w:color w:val="000000"/>
      <w:sz w:val="22"/>
      <w:szCs w:val="22"/>
      <w:u w:val="none"/>
    </w:rPr>
  </w:style>
  <w:style w:type="character" w:customStyle="1" w:styleId="193">
    <w:name w:val="font01"/>
    <w:basedOn w:val="47"/>
    <w:qFormat/>
    <w:uiPriority w:val="0"/>
    <w:rPr>
      <w:rFonts w:hint="default" w:ascii="Times New Roman" w:hAnsi="Times New Roman" w:cs="Times New Roman"/>
      <w:color w:val="000000"/>
      <w:sz w:val="22"/>
      <w:szCs w:val="22"/>
      <w:u w:val="none"/>
    </w:rPr>
  </w:style>
  <w:style w:type="paragraph" w:customStyle="1" w:styleId="19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5">
    <w:name w:val="NormalCharacter"/>
    <w:qFormat/>
    <w:uiPriority w:val="0"/>
  </w:style>
  <w:style w:type="paragraph" w:customStyle="1" w:styleId="196">
    <w:name w:val="表格内容"/>
    <w:basedOn w:val="1"/>
    <w:qFormat/>
    <w:uiPriority w:val="0"/>
    <w:pPr>
      <w:spacing w:line="240" w:lineRule="auto"/>
    </w:pPr>
    <w:rPr>
      <w:rFonts w:ascii="Calibri" w:hAnsi="Calibri" w:eastAsia="仿宋"/>
      <w:sz w:val="21"/>
      <w:szCs w:val="22"/>
    </w:rPr>
  </w:style>
  <w:style w:type="paragraph" w:styleId="197">
    <w:name w:val="No Spacing"/>
    <w:qFormat/>
    <w:uiPriority w:val="1"/>
    <w:pPr>
      <w:widowControl w:val="0"/>
    </w:pPr>
    <w:rPr>
      <w:rFonts w:ascii="Calibri" w:hAnsi="Calibri" w:eastAsia="宋体" w:cs="Times New Roman"/>
      <w:kern w:val="2"/>
      <w:sz w:val="21"/>
      <w:szCs w:val="22"/>
      <w:lang w:val="en-US" w:eastAsia="zh-CN" w:bidi="ar-SA"/>
    </w:rPr>
  </w:style>
  <w:style w:type="paragraph" w:customStyle="1" w:styleId="198">
    <w:name w:val="闻政表"/>
    <w:basedOn w:val="1"/>
    <w:qFormat/>
    <w:uiPriority w:val="0"/>
    <w:pPr>
      <w:jc w:val="center"/>
    </w:pPr>
    <w:rPr>
      <w:rFonts w:ascii="Calibri" w:hAnsi="Calibri" w:eastAsia="仿宋_GB2312" w:cs="Times New Roman"/>
      <w:b/>
      <w:sz w:val="24"/>
    </w:rPr>
  </w:style>
  <w:style w:type="paragraph" w:customStyle="1" w:styleId="199">
    <w:name w:val="bullet"/>
    <w:basedOn w:val="1"/>
    <w:qFormat/>
    <w:uiPriority w:val="0"/>
    <w:pPr>
      <w:tabs>
        <w:tab w:val="left" w:pos="720"/>
      </w:tabs>
      <w:spacing w:after="0" w:line="240" w:lineRule="auto"/>
    </w:pPr>
    <w:rPr>
      <w:rFonts w:ascii="Times New Roman" w:hAnsi="Times New Roman"/>
    </w:rPr>
  </w:style>
  <w:style w:type="character" w:customStyle="1" w:styleId="200">
    <w:name w:val="font41"/>
    <w:qFormat/>
    <w:uiPriority w:val="0"/>
    <w:rPr>
      <w:rFonts w:hint="eastAsia" w:ascii="宋体" w:hAnsi="宋体" w:eastAsia="宋体" w:cs="宋体"/>
      <w:color w:val="000000"/>
      <w:sz w:val="21"/>
      <w:szCs w:val="21"/>
      <w:u w:val="none"/>
    </w:rPr>
  </w:style>
  <w:style w:type="paragraph" w:customStyle="1" w:styleId="201">
    <w:name w:val="12、表格内左对齐正文"/>
    <w:basedOn w:val="1"/>
    <w:qFormat/>
    <w:uiPriority w:val="0"/>
    <w:pPr>
      <w:tabs>
        <w:tab w:val="left" w:pos="0"/>
      </w:tabs>
      <w:wordWrap w:val="0"/>
      <w:topLinePunct/>
      <w:spacing w:line="360" w:lineRule="exact"/>
      <w:ind w:left="48" w:leftChars="20"/>
    </w:pPr>
    <w:rPr>
      <w:snapToGrid w:val="0"/>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4202</Words>
  <Characters>23953</Characters>
  <Lines>199</Lines>
  <Paragraphs>56</Paragraphs>
  <TotalTime>16</TotalTime>
  <ScaleCrop>false</ScaleCrop>
  <LinksUpToDate>false</LinksUpToDate>
  <CharactersWithSpaces>28099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王先生</cp:lastModifiedBy>
  <cp:lastPrinted>2014-07-14T08:51:00Z</cp:lastPrinted>
  <dcterms:modified xsi:type="dcterms:W3CDTF">2021-05-20T08:40:12Z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6904C525E4A149358074F88880DBD05B</vt:lpwstr>
  </property>
</Properties>
</file>