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0"/>
        <w:jc w:val="center"/>
        <w:rPr>
          <w:rFonts w:ascii="宋体" w:hAnsi="宋体"/>
          <w:spacing w:val="42"/>
          <w:szCs w:val="6"/>
        </w:rPr>
      </w:pPr>
    </w:p>
    <w:p>
      <w:pPr>
        <w:ind w:firstLine="660"/>
        <w:jc w:val="center"/>
        <w:rPr>
          <w:rFonts w:ascii="宋体" w:hAnsi="宋体"/>
          <w:spacing w:val="42"/>
          <w:szCs w:val="6"/>
        </w:rPr>
      </w:pPr>
    </w:p>
    <w:p>
      <w:pPr>
        <w:pStyle w:val="2"/>
        <w:ind w:firstLine="660"/>
        <w:rPr>
          <w:rFonts w:ascii="宋体" w:hAnsi="宋体"/>
          <w:spacing w:val="42"/>
          <w:szCs w:val="6"/>
        </w:rPr>
      </w:pPr>
    </w:p>
    <w:p>
      <w:pPr>
        <w:pStyle w:val="2"/>
        <w:ind w:firstLine="660"/>
        <w:rPr>
          <w:rFonts w:ascii="宋体" w:hAnsi="宋体"/>
          <w:spacing w:val="42"/>
          <w:szCs w:val="6"/>
        </w:rPr>
      </w:pPr>
    </w:p>
    <w:p>
      <w:pPr>
        <w:pStyle w:val="2"/>
        <w:ind w:firstLine="660"/>
        <w:rPr>
          <w:rFonts w:ascii="宋体" w:hAnsi="宋体"/>
          <w:spacing w:val="42"/>
          <w:szCs w:val="6"/>
        </w:rPr>
      </w:pPr>
    </w:p>
    <w:p>
      <w:pPr>
        <w:pStyle w:val="2"/>
        <w:ind w:firstLine="660"/>
        <w:rPr>
          <w:rFonts w:ascii="宋体" w:hAnsi="宋体"/>
          <w:spacing w:val="42"/>
          <w:szCs w:val="6"/>
        </w:rPr>
      </w:pPr>
    </w:p>
    <w:p>
      <w:pPr>
        <w:pStyle w:val="2"/>
        <w:ind w:firstLine="660"/>
        <w:rPr>
          <w:rFonts w:ascii="宋体" w:hAnsi="宋体"/>
          <w:spacing w:val="42"/>
          <w:szCs w:val="6"/>
        </w:rPr>
      </w:pPr>
    </w:p>
    <w:p>
      <w:pPr>
        <w:pStyle w:val="2"/>
        <w:ind w:firstLine="0" w:firstLineChars="0"/>
        <w:rPr>
          <w:rFonts w:ascii="宋体" w:hAnsi="宋体"/>
          <w:spacing w:val="42"/>
          <w:szCs w:val="6"/>
        </w:rPr>
      </w:pPr>
    </w:p>
    <w:p>
      <w:pPr>
        <w:pStyle w:val="2"/>
        <w:ind w:firstLine="660"/>
        <w:rPr>
          <w:rFonts w:ascii="宋体" w:hAnsi="宋体"/>
          <w:spacing w:val="42"/>
          <w:szCs w:val="6"/>
        </w:rPr>
      </w:pPr>
    </w:p>
    <w:p>
      <w:pPr>
        <w:ind w:firstLine="0" w:firstLineChars="0"/>
        <w:jc w:val="center"/>
        <w:rPr>
          <w:rFonts w:ascii="宋体" w:hAnsi="宋体"/>
          <w:spacing w:val="42"/>
          <w:sz w:val="130"/>
          <w:szCs w:val="130"/>
        </w:rPr>
      </w:pPr>
      <w:r>
        <w:rPr>
          <w:rFonts w:hint="eastAsia" w:ascii="宋体" w:hAnsi="宋体"/>
          <w:spacing w:val="42"/>
          <w:sz w:val="130"/>
          <w:szCs w:val="130"/>
        </w:rPr>
        <w:t>招 标 文 件</w:t>
      </w:r>
    </w:p>
    <w:p>
      <w:pPr>
        <w:ind w:firstLine="492"/>
        <w:jc w:val="center"/>
        <w:rPr>
          <w:rFonts w:ascii="宋体" w:hAnsi="宋体"/>
          <w:szCs w:val="18"/>
        </w:rPr>
      </w:pPr>
    </w:p>
    <w:p>
      <w:pPr>
        <w:ind w:firstLine="492"/>
        <w:jc w:val="center"/>
        <w:rPr>
          <w:rFonts w:ascii="宋体" w:hAnsi="宋体"/>
        </w:rPr>
      </w:pPr>
    </w:p>
    <w:p>
      <w:pPr>
        <w:ind w:firstLine="0" w:firstLineChars="0"/>
        <w:jc w:val="both"/>
        <w:rPr>
          <w:rFonts w:ascii="宋体" w:hAnsi="宋体"/>
        </w:rPr>
      </w:pPr>
    </w:p>
    <w:p>
      <w:pPr>
        <w:pStyle w:val="2"/>
        <w:ind w:firstLine="492"/>
        <w:rPr>
          <w:rFonts w:ascii="宋体" w:hAnsi="宋体"/>
        </w:rPr>
      </w:pPr>
    </w:p>
    <w:p>
      <w:pPr>
        <w:pStyle w:val="2"/>
        <w:ind w:firstLine="492"/>
        <w:rPr>
          <w:rFonts w:ascii="宋体" w:hAnsi="宋体"/>
        </w:rPr>
      </w:pPr>
    </w:p>
    <w:p>
      <w:pPr>
        <w:pStyle w:val="2"/>
        <w:ind w:firstLine="492"/>
        <w:rPr>
          <w:rFonts w:ascii="宋体" w:hAnsi="宋体"/>
        </w:rPr>
      </w:pPr>
    </w:p>
    <w:p>
      <w:pPr>
        <w:pStyle w:val="2"/>
        <w:ind w:firstLine="492"/>
        <w:rPr>
          <w:rFonts w:ascii="宋体" w:hAnsi="宋体"/>
        </w:rPr>
      </w:pPr>
    </w:p>
    <w:p>
      <w:pPr>
        <w:ind w:left="1630" w:hanging="1625" w:hangingChars="500"/>
        <w:rPr>
          <w:rFonts w:hint="eastAsia" w:ascii="宋体" w:hAnsi="宋体" w:eastAsia="宋体"/>
          <w:sz w:val="32"/>
          <w:szCs w:val="32"/>
          <w:lang w:eastAsia="zh-CN"/>
        </w:rPr>
      </w:pPr>
      <w:r>
        <w:rPr>
          <w:rFonts w:hint="eastAsia" w:ascii="宋体" w:hAnsi="宋体"/>
          <w:sz w:val="32"/>
          <w:szCs w:val="32"/>
        </w:rPr>
        <w:t>项目名称：</w:t>
      </w:r>
      <w:r>
        <w:rPr>
          <w:rFonts w:hint="eastAsia" w:ascii="宋体" w:hAnsi="宋体"/>
          <w:sz w:val="32"/>
          <w:szCs w:val="32"/>
          <w:lang w:eastAsia="zh-CN"/>
        </w:rPr>
        <w:t>成都市龙泉驿生态环境局成都市中心城区“6+1”区域智能大气环境监测管治服务采购项目（第二次）</w:t>
      </w:r>
    </w:p>
    <w:p>
      <w:pPr>
        <w:ind w:firstLine="0" w:firstLineChars="0"/>
        <w:rPr>
          <w:rFonts w:hint="eastAsia" w:ascii="宋体" w:hAnsi="宋体" w:eastAsia="宋体"/>
          <w:sz w:val="32"/>
          <w:szCs w:val="32"/>
          <w:lang w:eastAsia="zh-CN"/>
        </w:rPr>
      </w:pPr>
      <w:r>
        <w:rPr>
          <w:rFonts w:hint="eastAsia" w:ascii="宋体" w:hAnsi="宋体"/>
          <w:sz w:val="32"/>
          <w:szCs w:val="32"/>
        </w:rPr>
        <w:t>项目编号：</w:t>
      </w:r>
      <w:r>
        <w:rPr>
          <w:rFonts w:hint="eastAsia" w:ascii="宋体" w:hAnsi="宋体"/>
          <w:sz w:val="32"/>
          <w:szCs w:val="32"/>
          <w:highlight w:val="none"/>
          <w:lang w:eastAsia="zh-CN"/>
        </w:rPr>
        <w:t>510112202100362</w:t>
      </w:r>
    </w:p>
    <w:p>
      <w:pPr>
        <w:ind w:firstLine="0" w:firstLineChars="0"/>
        <w:rPr>
          <w:rFonts w:ascii="宋体" w:hAnsi="宋体"/>
          <w:spacing w:val="20"/>
          <w:sz w:val="32"/>
          <w:szCs w:val="32"/>
        </w:rPr>
      </w:pPr>
    </w:p>
    <w:p>
      <w:pPr>
        <w:ind w:firstLine="0" w:firstLineChars="0"/>
        <w:jc w:val="both"/>
        <w:rPr>
          <w:rFonts w:ascii="宋体" w:hAnsi="宋体"/>
          <w:kern w:val="24"/>
          <w:sz w:val="32"/>
          <w:szCs w:val="32"/>
        </w:rPr>
      </w:pPr>
    </w:p>
    <w:p>
      <w:pPr>
        <w:ind w:firstLine="0" w:firstLineChars="0"/>
        <w:jc w:val="center"/>
        <w:rPr>
          <w:rFonts w:ascii="宋体" w:hAnsi="宋体"/>
          <w:sz w:val="32"/>
          <w:szCs w:val="32"/>
        </w:rPr>
      </w:pPr>
      <w:r>
        <w:rPr>
          <w:rFonts w:hint="eastAsia" w:ascii="宋体" w:hAnsi="宋体"/>
          <w:sz w:val="32"/>
          <w:szCs w:val="32"/>
        </w:rPr>
        <w:t>中国·成都</w:t>
      </w:r>
    </w:p>
    <w:p>
      <w:pPr>
        <w:ind w:firstLine="0" w:firstLineChars="0"/>
        <w:jc w:val="center"/>
        <w:rPr>
          <w:rFonts w:hint="eastAsia" w:ascii="宋体" w:hAnsi="宋体"/>
          <w:sz w:val="32"/>
          <w:szCs w:val="32"/>
        </w:rPr>
      </w:pPr>
      <w:r>
        <w:rPr>
          <w:rFonts w:hint="eastAsia" w:ascii="宋体" w:hAnsi="宋体"/>
          <w:sz w:val="32"/>
          <w:szCs w:val="32"/>
        </w:rPr>
        <w:t xml:space="preserve">   四川世科工程咨询有限公司、成都市龙泉驿生态环境局  </w:t>
      </w:r>
    </w:p>
    <w:p>
      <w:pPr>
        <w:ind w:firstLine="0" w:firstLineChars="0"/>
        <w:jc w:val="center"/>
        <w:rPr>
          <w:rFonts w:ascii="宋体" w:hAnsi="宋体"/>
          <w:sz w:val="32"/>
          <w:szCs w:val="32"/>
        </w:rPr>
      </w:pPr>
      <w:r>
        <w:rPr>
          <w:rFonts w:hint="eastAsia" w:ascii="宋体" w:hAnsi="宋体"/>
          <w:sz w:val="32"/>
          <w:szCs w:val="32"/>
        </w:rPr>
        <w:t xml:space="preserve">共同编制  </w:t>
      </w:r>
    </w:p>
    <w:p>
      <w:pPr>
        <w:ind w:firstLine="0" w:firstLineChars="0"/>
        <w:jc w:val="center"/>
        <w:rPr>
          <w:rFonts w:ascii="宋体" w:hAnsi="宋体"/>
          <w:sz w:val="32"/>
          <w:szCs w:val="32"/>
        </w:rPr>
      </w:pPr>
      <w:r>
        <w:rPr>
          <w:rFonts w:hint="eastAsia" w:ascii="宋体" w:hAnsi="宋体"/>
          <w:sz w:val="32"/>
          <w:szCs w:val="32"/>
        </w:rPr>
        <w:t>二〇二一年</w:t>
      </w:r>
      <w:r>
        <w:rPr>
          <w:rFonts w:hint="eastAsia" w:ascii="宋体" w:hAnsi="宋体"/>
          <w:sz w:val="32"/>
          <w:szCs w:val="32"/>
          <w:lang w:val="en-US" w:eastAsia="zh-CN"/>
        </w:rPr>
        <w:t>十一</w:t>
      </w:r>
      <w:r>
        <w:rPr>
          <w:rFonts w:hint="eastAsia" w:ascii="宋体" w:hAnsi="宋体"/>
          <w:sz w:val="32"/>
          <w:szCs w:val="32"/>
        </w:rPr>
        <w:t>月</w:t>
      </w:r>
    </w:p>
    <w:p>
      <w:pPr>
        <w:pStyle w:val="5"/>
        <w:numPr>
          <w:ilvl w:val="1"/>
          <w:numId w:val="0"/>
        </w:numPr>
        <w:tabs>
          <w:tab w:val="left" w:pos="567"/>
        </w:tabs>
        <w:jc w:val="center"/>
        <w:rPr>
          <w:rFonts w:hint="eastAsia" w:cs="宋体"/>
          <w:bCs w:val="0"/>
          <w:sz w:val="36"/>
          <w:szCs w:val="36"/>
        </w:rPr>
      </w:pPr>
      <w:bookmarkStart w:id="0" w:name="_Toc380"/>
      <w:bookmarkStart w:id="1" w:name="_Toc32542"/>
      <w:bookmarkStart w:id="2" w:name="_Toc25342"/>
      <w:bookmarkStart w:id="3" w:name="_Toc148505181"/>
      <w:bookmarkStart w:id="4" w:name="_Toc101247312"/>
      <w:bookmarkStart w:id="5" w:name="_Toc101328520"/>
      <w:bookmarkStart w:id="6" w:name="_Toc101234248"/>
      <w:r>
        <w:rPr>
          <w:rFonts w:hint="eastAsia" w:cs="宋体"/>
          <w:bCs w:val="0"/>
          <w:sz w:val="36"/>
          <w:szCs w:val="36"/>
        </w:rPr>
        <w:t>“政采贷”业务介绍</w:t>
      </w:r>
      <w:bookmarkEnd w:id="0"/>
      <w:bookmarkEnd w:id="1"/>
      <w:bookmarkEnd w:id="2"/>
    </w:p>
    <w:p>
      <w:pPr>
        <w:pStyle w:val="5"/>
        <w:numPr>
          <w:ilvl w:val="1"/>
          <w:numId w:val="0"/>
        </w:numPr>
        <w:tabs>
          <w:tab w:val="left" w:pos="567"/>
        </w:tabs>
        <w:ind w:firstLine="490" w:firstLineChars="200"/>
        <w:rPr>
          <w:rFonts w:hint="eastAsia" w:cs="宋体"/>
          <w:b w:val="0"/>
          <w:bCs w:val="0"/>
          <w:sz w:val="24"/>
          <w:szCs w:val="24"/>
        </w:rPr>
      </w:pPr>
      <w:bookmarkStart w:id="7" w:name="_Toc24441"/>
      <w:bookmarkStart w:id="8" w:name="_Toc8684"/>
      <w:bookmarkStart w:id="9" w:name="_Toc13838"/>
      <w:r>
        <w:rPr>
          <w:rFonts w:hint="eastAsia" w:cs="宋体"/>
          <w:b w:val="0"/>
          <w:bCs w:val="0"/>
          <w:sz w:val="24"/>
          <w:szCs w:val="24"/>
        </w:rPr>
        <w:t>为助力解决政府采购中标、中标人资金不足、融资难、融资贵的困难，促进供应商依法诚信参加政府采购活动、营造良好的营商环境，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bookmarkEnd w:id="7"/>
      <w:bookmarkEnd w:id="8"/>
      <w:bookmarkEnd w:id="9"/>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2"/>
        <w:gridCol w:w="5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中国建设银行四川省分行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中国工商银行四川省分行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中国农业银行四川省分行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中国银行四川省分行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交通银行四川省分行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中国邮储银行四川省分行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华夏银行成都分行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民生银行成都分行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四川天府银行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兴业银行成都分行</w:t>
            </w:r>
          </w:p>
        </w:tc>
        <w:tc>
          <w:tcPr>
            <w:tcW w:w="5318" w:type="dxa"/>
            <w:noWrap w:val="0"/>
            <w:vAlign w:val="center"/>
          </w:tcPr>
          <w:p>
            <w:pPr>
              <w:ind w:firstLine="0" w:firstLineChars="0"/>
              <w:jc w:val="center"/>
              <w:rPr>
                <w:rFonts w:hint="eastAsia" w:ascii="宋体" w:hAnsi="宋体" w:cs="宋体"/>
                <w:bCs/>
                <w:szCs w:val="24"/>
                <w:lang w:val="zh-CN"/>
              </w:rPr>
            </w:pPr>
            <w:r>
              <w:rPr>
                <w:rFonts w:hint="eastAsia" w:ascii="宋体" w:hAnsi="宋体" w:cs="宋体"/>
                <w:bCs/>
                <w:szCs w:val="24"/>
                <w:lang w:val="zh-CN"/>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成都银行</w:t>
            </w:r>
          </w:p>
        </w:tc>
        <w:tc>
          <w:tcPr>
            <w:tcW w:w="5318" w:type="dxa"/>
            <w:noWrap w:val="0"/>
            <w:vAlign w:val="center"/>
          </w:tcPr>
          <w:p>
            <w:pPr>
              <w:ind w:firstLine="0" w:firstLineChars="0"/>
              <w:jc w:val="center"/>
              <w:rPr>
                <w:rFonts w:hint="eastAsia" w:ascii="宋体" w:hAnsi="宋体" w:cs="宋体"/>
                <w:bCs/>
                <w:szCs w:val="24"/>
                <w:lang w:val="zh-CN"/>
              </w:rPr>
            </w:pPr>
            <w:r>
              <w:rPr>
                <w:rFonts w:hint="eastAsia" w:ascii="宋体" w:hAnsi="宋体" w:cs="宋体"/>
                <w:bCs/>
                <w:szCs w:val="24"/>
                <w:lang w:val="zh-CN"/>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成都农村商业银行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ind w:firstLine="492"/>
              <w:jc w:val="both"/>
              <w:rPr>
                <w:rFonts w:hint="eastAsia" w:ascii="宋体" w:hAnsi="宋体" w:cs="宋体"/>
                <w:bCs/>
                <w:szCs w:val="24"/>
                <w:lang w:val="zh-CN"/>
              </w:rPr>
            </w:pPr>
            <w:r>
              <w:rPr>
                <w:rFonts w:hint="eastAsia" w:ascii="宋体" w:hAnsi="宋体" w:cs="宋体"/>
                <w:bCs/>
                <w:szCs w:val="24"/>
                <w:lang w:val="zh-CN"/>
              </w:rPr>
              <w:t>上海银行成都分行</w:t>
            </w:r>
          </w:p>
        </w:tc>
        <w:tc>
          <w:tcPr>
            <w:tcW w:w="5318" w:type="dxa"/>
            <w:noWrap w:val="0"/>
            <w:vAlign w:val="center"/>
          </w:tcPr>
          <w:p>
            <w:pPr>
              <w:ind w:firstLine="492"/>
              <w:jc w:val="center"/>
              <w:rPr>
                <w:rFonts w:hint="eastAsia" w:ascii="宋体" w:hAnsi="宋体" w:cs="宋体"/>
                <w:bCs/>
                <w:szCs w:val="24"/>
                <w:lang w:val="zh-CN"/>
              </w:rPr>
            </w:pPr>
            <w:r>
              <w:rPr>
                <w:rFonts w:hint="eastAsia" w:ascii="宋体" w:hAnsi="宋体" w:cs="宋体"/>
                <w:bCs/>
                <w:szCs w:val="24"/>
                <w:lang w:val="zh-CN"/>
              </w:rPr>
              <w:t>宜宾市商业银行股份有限公司</w:t>
            </w:r>
          </w:p>
        </w:tc>
      </w:tr>
    </w:tbl>
    <w:p>
      <w:pPr>
        <w:ind w:firstLine="0" w:firstLineChars="0"/>
        <w:rPr>
          <w:rFonts w:hint="eastAsia" w:ascii="宋体" w:hAnsi="宋体" w:cs="宋体"/>
          <w:bCs/>
          <w:szCs w:val="24"/>
          <w:lang w:val="zh-CN"/>
        </w:rPr>
      </w:pPr>
    </w:p>
    <w:p>
      <w:pPr>
        <w:pStyle w:val="2"/>
        <w:ind w:firstLine="492"/>
        <w:rPr>
          <w:rFonts w:hint="eastAsia" w:ascii="宋体" w:hAnsi="宋体" w:cs="宋体"/>
          <w:bCs/>
          <w:szCs w:val="24"/>
          <w:lang w:val="zh-CN"/>
        </w:rPr>
      </w:pPr>
    </w:p>
    <w:p>
      <w:pPr>
        <w:ind w:firstLine="492"/>
        <w:rPr>
          <w:rFonts w:hint="eastAsia" w:ascii="宋体" w:hAnsi="宋体" w:cs="宋体"/>
          <w:bCs/>
          <w:szCs w:val="24"/>
          <w:lang w:val="zh-CN"/>
        </w:rPr>
      </w:pPr>
    </w:p>
    <w:p>
      <w:pPr>
        <w:pStyle w:val="2"/>
        <w:ind w:firstLine="492"/>
        <w:rPr>
          <w:rFonts w:hint="eastAsia" w:ascii="宋体" w:hAnsi="宋体" w:cs="宋体"/>
          <w:bCs/>
          <w:szCs w:val="24"/>
          <w:lang w:val="zh-CN"/>
        </w:rPr>
      </w:pPr>
    </w:p>
    <w:p>
      <w:pPr>
        <w:ind w:firstLine="492"/>
        <w:rPr>
          <w:rFonts w:hint="eastAsia" w:ascii="宋体" w:hAnsi="宋体" w:cs="宋体"/>
          <w:bCs/>
          <w:szCs w:val="24"/>
          <w:lang w:val="zh-CN"/>
        </w:rPr>
      </w:pPr>
    </w:p>
    <w:p>
      <w:pPr>
        <w:pStyle w:val="2"/>
        <w:ind w:firstLine="492"/>
        <w:rPr>
          <w:rFonts w:hint="eastAsia" w:ascii="宋体" w:hAnsi="宋体" w:cs="宋体"/>
          <w:bCs/>
          <w:szCs w:val="24"/>
          <w:lang w:val="zh-CN"/>
        </w:rPr>
      </w:pPr>
    </w:p>
    <w:p>
      <w:pPr>
        <w:ind w:firstLine="492"/>
        <w:rPr>
          <w:rFonts w:hint="eastAsia" w:ascii="宋体" w:hAnsi="宋体" w:cs="宋体"/>
          <w:bCs/>
          <w:szCs w:val="24"/>
          <w:lang w:val="zh-CN"/>
        </w:rPr>
      </w:pPr>
    </w:p>
    <w:p>
      <w:pPr>
        <w:pStyle w:val="2"/>
        <w:ind w:firstLine="492"/>
        <w:rPr>
          <w:rFonts w:hint="eastAsia" w:ascii="宋体" w:hAnsi="宋体" w:cs="宋体"/>
          <w:bCs/>
          <w:szCs w:val="24"/>
          <w:lang w:val="zh-CN"/>
        </w:rPr>
      </w:pPr>
    </w:p>
    <w:p>
      <w:pPr>
        <w:ind w:firstLine="492"/>
        <w:rPr>
          <w:rFonts w:hint="eastAsia"/>
          <w:lang w:val="zh-CN"/>
        </w:rPr>
      </w:pPr>
    </w:p>
    <w:p>
      <w:pPr>
        <w:pStyle w:val="5"/>
        <w:numPr>
          <w:ilvl w:val="1"/>
          <w:numId w:val="0"/>
        </w:numPr>
        <w:tabs>
          <w:tab w:val="left" w:pos="567"/>
        </w:tabs>
        <w:ind w:firstLine="2925" w:firstLineChars="900"/>
        <w:jc w:val="both"/>
        <w:rPr>
          <w:rFonts w:hint="eastAsia" w:cs="宋体"/>
          <w:bCs w:val="0"/>
          <w:sz w:val="32"/>
          <w:szCs w:val="32"/>
        </w:rPr>
      </w:pPr>
      <w:bookmarkStart w:id="10" w:name="_Toc9061"/>
      <w:bookmarkStart w:id="11" w:name="_Toc6068"/>
      <w:bookmarkStart w:id="12" w:name="_Toc21363"/>
      <w:r>
        <w:rPr>
          <w:rFonts w:hint="eastAsia" w:cs="宋体"/>
          <w:bCs w:val="0"/>
          <w:sz w:val="32"/>
          <w:szCs w:val="32"/>
        </w:rPr>
        <w:t>“蓉采贷”业务介绍</w:t>
      </w:r>
      <w:bookmarkEnd w:id="10"/>
      <w:bookmarkEnd w:id="11"/>
      <w:bookmarkEnd w:id="12"/>
    </w:p>
    <w:p>
      <w:pPr>
        <w:snapToGrid w:val="0"/>
        <w:ind w:firstLine="492"/>
        <w:rPr>
          <w:rFonts w:hint="eastAsia" w:ascii="宋体" w:hAnsi="宋体" w:cs="宋体"/>
          <w:bCs/>
          <w:szCs w:val="24"/>
        </w:rPr>
      </w:pPr>
      <w:r>
        <w:rPr>
          <w:rFonts w:hint="eastAsia" w:ascii="宋体" w:hAnsi="宋体" w:cs="宋体"/>
          <w:bCs/>
          <w:szCs w:val="24"/>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snapToGrid w:val="0"/>
              <w:ind w:firstLine="492"/>
              <w:jc w:val="center"/>
              <w:rPr>
                <w:rFonts w:hint="eastAsia" w:ascii="宋体" w:hAnsi="宋体" w:cs="宋体"/>
                <w:bCs/>
                <w:szCs w:val="24"/>
              </w:rPr>
            </w:pPr>
            <w:r>
              <w:rPr>
                <w:rFonts w:hint="eastAsia" w:ascii="宋体" w:hAnsi="宋体" w:cs="宋体"/>
                <w:bCs/>
                <w:szCs w:val="24"/>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snapToGrid w:val="0"/>
              <w:ind w:firstLine="0" w:firstLineChars="0"/>
              <w:jc w:val="center"/>
              <w:rPr>
                <w:rFonts w:hint="eastAsia" w:ascii="宋体" w:hAnsi="宋体" w:cs="宋体"/>
                <w:bCs/>
                <w:szCs w:val="24"/>
              </w:rPr>
            </w:pPr>
            <w:r>
              <w:rPr>
                <w:rFonts w:hint="eastAsia" w:ascii="宋体" w:hAnsi="宋体" w:cs="宋体"/>
                <w:bCs/>
                <w:szCs w:val="24"/>
              </w:rPr>
              <w:t>银行名称</w:t>
            </w:r>
          </w:p>
        </w:tc>
        <w:tc>
          <w:tcPr>
            <w:tcW w:w="2808" w:type="dxa"/>
            <w:noWrap w:val="0"/>
            <w:vAlign w:val="center"/>
          </w:tcPr>
          <w:p>
            <w:pPr>
              <w:snapToGrid w:val="0"/>
              <w:ind w:firstLine="0" w:firstLineChars="0"/>
              <w:jc w:val="center"/>
              <w:rPr>
                <w:rFonts w:hint="eastAsia" w:ascii="宋体" w:hAnsi="宋体" w:cs="宋体"/>
                <w:bCs/>
                <w:szCs w:val="24"/>
              </w:rPr>
            </w:pPr>
            <w:r>
              <w:rPr>
                <w:rFonts w:hint="eastAsia" w:ascii="宋体" w:hAnsi="宋体" w:cs="宋体"/>
                <w:bCs/>
                <w:szCs w:val="24"/>
              </w:rPr>
              <w:t>联系部门</w:t>
            </w:r>
          </w:p>
        </w:tc>
        <w:tc>
          <w:tcPr>
            <w:tcW w:w="2226" w:type="dxa"/>
            <w:noWrap w:val="0"/>
            <w:vAlign w:val="center"/>
          </w:tcPr>
          <w:p>
            <w:pPr>
              <w:snapToGrid w:val="0"/>
              <w:ind w:firstLine="0" w:firstLineChars="0"/>
              <w:jc w:val="center"/>
              <w:rPr>
                <w:rFonts w:hint="eastAsia" w:ascii="宋体" w:hAnsi="宋体" w:cs="宋体"/>
                <w:bCs/>
                <w:szCs w:val="24"/>
              </w:rPr>
            </w:pPr>
            <w:r>
              <w:rPr>
                <w:rFonts w:hint="eastAsia" w:ascii="宋体" w:hAnsi="宋体" w:cs="宋体"/>
                <w:bCs/>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95" w:type="dxa"/>
            <w:noWrap w:val="0"/>
            <w:vAlign w:val="center"/>
          </w:tcPr>
          <w:p>
            <w:pPr>
              <w:snapToGrid w:val="0"/>
              <w:ind w:firstLine="0" w:firstLineChars="0"/>
              <w:jc w:val="both"/>
              <w:rPr>
                <w:rFonts w:hint="eastAsia" w:ascii="宋体" w:hAnsi="宋体" w:cs="宋体"/>
                <w:bCs/>
                <w:szCs w:val="24"/>
              </w:rPr>
            </w:pPr>
            <w:r>
              <w:rPr>
                <w:rFonts w:hint="eastAsia" w:ascii="宋体" w:hAnsi="宋体" w:cs="宋体"/>
                <w:bCs/>
                <w:szCs w:val="24"/>
              </w:rPr>
              <w:t>成都银行</w:t>
            </w:r>
          </w:p>
        </w:tc>
        <w:tc>
          <w:tcPr>
            <w:tcW w:w="2808" w:type="dxa"/>
            <w:noWrap w:val="0"/>
            <w:vAlign w:val="center"/>
          </w:tcPr>
          <w:p>
            <w:pPr>
              <w:snapToGrid w:val="0"/>
              <w:ind w:firstLine="0" w:firstLineChars="0"/>
              <w:jc w:val="center"/>
              <w:rPr>
                <w:rFonts w:hint="eastAsia" w:ascii="宋体" w:hAnsi="宋体" w:cs="宋体"/>
                <w:bCs/>
                <w:szCs w:val="24"/>
              </w:rPr>
            </w:pPr>
            <w:r>
              <w:rPr>
                <w:rFonts w:hint="eastAsia" w:ascii="宋体" w:hAnsi="宋体" w:cs="宋体"/>
                <w:bCs/>
                <w:szCs w:val="24"/>
              </w:rPr>
              <w:t>中小企业部</w:t>
            </w:r>
          </w:p>
        </w:tc>
        <w:tc>
          <w:tcPr>
            <w:tcW w:w="2226" w:type="dxa"/>
            <w:noWrap w:val="0"/>
            <w:vAlign w:val="center"/>
          </w:tcPr>
          <w:p>
            <w:pPr>
              <w:snapToGrid w:val="0"/>
              <w:ind w:firstLine="0" w:firstLineChars="0"/>
              <w:jc w:val="both"/>
              <w:rPr>
                <w:rFonts w:hint="eastAsia" w:ascii="宋体" w:hAnsi="宋体" w:cs="宋体"/>
                <w:bCs/>
                <w:szCs w:val="24"/>
              </w:rPr>
            </w:pPr>
            <w:r>
              <w:rPr>
                <w:rFonts w:hint="eastAsia" w:ascii="宋体" w:hAnsi="宋体" w:cs="宋体"/>
                <w:bCs/>
                <w:szCs w:val="24"/>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中国建设银行成都第六支行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小企业部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交通银行四川省分行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普惠金融事业部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中国农业银行成都天府新区分行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公司业务部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四川天府银行成都分行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普惠金融事业部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浦发银行成都分行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普惠金融部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上海银行成都分行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公司业务部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成都农村商业银行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公司金融部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中国民生银行成都分行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公司业务部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中国工商银行成都分行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普惠部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中国邮政储蓄银行成都分行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小企业金融部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中国银行四川省分行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普惠金融事业部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招商银行成都分行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小企业金融部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广发银行成都分行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东大街支部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重庆银行成都分行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小微企业银行部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渤海银行成都分行</w:t>
            </w:r>
          </w:p>
        </w:tc>
        <w:tc>
          <w:tcPr>
            <w:tcW w:w="2808" w:type="dxa"/>
            <w:noWrap w:val="0"/>
            <w:vAlign w:val="top"/>
          </w:tcPr>
          <w:p>
            <w:pPr>
              <w:snapToGrid w:val="0"/>
              <w:ind w:firstLine="0" w:firstLineChars="0"/>
              <w:jc w:val="center"/>
              <w:rPr>
                <w:rFonts w:hint="eastAsia" w:ascii="宋体" w:hAnsi="宋体" w:cs="宋体"/>
                <w:bCs/>
                <w:szCs w:val="24"/>
              </w:rPr>
            </w:pPr>
            <w:r>
              <w:rPr>
                <w:rFonts w:hint="eastAsia" w:ascii="宋体" w:hAnsi="宋体" w:cs="宋体"/>
                <w:bCs/>
                <w:szCs w:val="24"/>
              </w:rPr>
              <w:t>普惠金融事业部</w:t>
            </w:r>
          </w:p>
        </w:tc>
        <w:tc>
          <w:tcPr>
            <w:tcW w:w="2226" w:type="dxa"/>
            <w:noWrap w:val="0"/>
            <w:vAlign w:val="top"/>
          </w:tcPr>
          <w:p>
            <w:pPr>
              <w:snapToGrid w:val="0"/>
              <w:ind w:firstLine="0" w:firstLineChars="0"/>
              <w:jc w:val="both"/>
              <w:rPr>
                <w:rFonts w:hint="eastAsia" w:ascii="宋体" w:hAnsi="宋体" w:cs="宋体"/>
                <w:bCs/>
                <w:szCs w:val="24"/>
              </w:rPr>
            </w:pPr>
            <w:r>
              <w:rPr>
                <w:rFonts w:hint="eastAsia" w:ascii="宋体" w:hAnsi="宋体" w:cs="宋体"/>
                <w:bCs/>
                <w:szCs w:val="24"/>
              </w:rPr>
              <w:t>028-86772083</w:t>
            </w:r>
          </w:p>
        </w:tc>
      </w:tr>
    </w:tbl>
    <w:p>
      <w:pPr>
        <w:ind w:firstLine="735"/>
        <w:jc w:val="center"/>
        <w:rPr>
          <w:rFonts w:ascii="宋体" w:hAnsi="宋体"/>
          <w:b/>
          <w:sz w:val="36"/>
        </w:rPr>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992" w:gutter="0"/>
          <w:cols w:space="720" w:num="1"/>
          <w:docGrid w:type="linesAndChars" w:linePitch="312" w:charSpace="1228"/>
        </w:sectPr>
      </w:pPr>
    </w:p>
    <w:p>
      <w:pPr>
        <w:ind w:firstLine="723"/>
        <w:jc w:val="center"/>
        <w:rPr>
          <w:rFonts w:ascii="宋体" w:hAnsi="宋体"/>
          <w:b/>
          <w:sz w:val="36"/>
        </w:rPr>
      </w:pPr>
      <w:r>
        <w:rPr>
          <w:rFonts w:hint="eastAsia" w:ascii="宋体" w:hAnsi="宋体"/>
          <w:b/>
          <w:sz w:val="36"/>
        </w:rPr>
        <w:tab/>
      </w:r>
      <w:r>
        <w:rPr>
          <w:rFonts w:hint="eastAsia" w:ascii="宋体" w:hAnsi="宋体"/>
          <w:b/>
          <w:sz w:val="32"/>
          <w:szCs w:val="32"/>
        </w:rPr>
        <w:t>目 录</w:t>
      </w:r>
    </w:p>
    <w:p>
      <w:pPr>
        <w:pStyle w:val="36"/>
        <w:tabs>
          <w:tab w:val="right" w:leader="dot" w:pos="9214"/>
          <w:tab w:val="clear" w:pos="620"/>
          <w:tab w:val="clear" w:pos="8364"/>
        </w:tabs>
        <w:ind w:firstLine="420"/>
      </w:pPr>
      <w:r>
        <w:rPr>
          <w:rFonts w:hint="eastAsia" w:ascii="宋体" w:hAnsi="宋体" w:eastAsia="宋体"/>
        </w:rPr>
        <w:fldChar w:fldCharType="begin"/>
      </w:r>
      <w:r>
        <w:rPr>
          <w:rFonts w:hint="eastAsia" w:ascii="宋体" w:hAnsi="宋体" w:eastAsia="宋体"/>
        </w:rPr>
        <w:instrText xml:space="preserve">TOC \o "1-2" \h \u </w:instrText>
      </w:r>
      <w:r>
        <w:rPr>
          <w:rFonts w:hint="eastAsia" w:ascii="宋体" w:hAnsi="宋体" w:eastAsia="宋体"/>
        </w:rPr>
        <w:fldChar w:fldCharType="separate"/>
      </w:r>
    </w:p>
    <w:p>
      <w:pPr>
        <w:pStyle w:val="30"/>
        <w:tabs>
          <w:tab w:val="right" w:leader="dot" w:pos="9214"/>
          <w:tab w:val="clear" w:pos="709"/>
          <w:tab w:val="clear" w:pos="8364"/>
        </w:tabs>
        <w:ind w:firstLine="420"/>
      </w:pPr>
      <w:r>
        <w:rPr>
          <w:rFonts w:hint="eastAsia" w:ascii="宋体" w:hAnsi="宋体" w:eastAsia="宋体"/>
          <w:bCs w:val="0"/>
          <w:caps w:val="0"/>
          <w:smallCaps/>
        </w:rPr>
        <w:fldChar w:fldCharType="begin"/>
      </w:r>
      <w:r>
        <w:rPr>
          <w:rFonts w:hint="eastAsia" w:ascii="宋体" w:hAnsi="宋体" w:eastAsia="宋体"/>
          <w:bCs w:val="0"/>
          <w:caps w:val="0"/>
          <w:smallCaps/>
        </w:rPr>
        <w:instrText xml:space="preserve"> HYPERLINK \l _Toc3116 </w:instrText>
      </w:r>
      <w:r>
        <w:rPr>
          <w:rFonts w:hint="eastAsia" w:ascii="宋体" w:hAnsi="宋体" w:eastAsia="宋体"/>
          <w:bCs w:val="0"/>
          <w:caps w:val="0"/>
          <w:smallCaps/>
        </w:rPr>
        <w:fldChar w:fldCharType="separate"/>
      </w:r>
      <w:r>
        <w:rPr>
          <w:rFonts w:ascii="Times New Roman" w:hAnsi="Times New Roman" w:eastAsia="宋体"/>
          <w:szCs w:val="32"/>
        </w:rPr>
        <w:t xml:space="preserve">第1章 </w:t>
      </w:r>
      <w:r>
        <w:rPr>
          <w:rFonts w:hint="eastAsia"/>
        </w:rPr>
        <w:t>投标邀请</w:t>
      </w:r>
      <w:r>
        <w:tab/>
      </w:r>
      <w:r>
        <w:fldChar w:fldCharType="begin"/>
      </w:r>
      <w:r>
        <w:instrText xml:space="preserve"> PAGEREF _Toc3116 \h </w:instrText>
      </w:r>
      <w:r>
        <w:fldChar w:fldCharType="separate"/>
      </w:r>
      <w:r>
        <w:t>6</w:t>
      </w:r>
      <w:r>
        <w:fldChar w:fldCharType="end"/>
      </w:r>
      <w:r>
        <w:rPr>
          <w:rFonts w:hint="eastAsia" w:ascii="宋体" w:hAnsi="宋体" w:eastAsia="宋体"/>
          <w:bCs w:val="0"/>
          <w:caps w:val="0"/>
          <w:smallCaps/>
        </w:rPr>
        <w:fldChar w:fldCharType="end"/>
      </w:r>
    </w:p>
    <w:p>
      <w:pPr>
        <w:pStyle w:val="30"/>
        <w:tabs>
          <w:tab w:val="right" w:leader="dot" w:pos="9214"/>
          <w:tab w:val="clear" w:pos="709"/>
          <w:tab w:val="clear" w:pos="8364"/>
        </w:tabs>
        <w:ind w:firstLine="420"/>
      </w:pPr>
      <w:r>
        <w:rPr>
          <w:rFonts w:hint="eastAsia" w:ascii="宋体" w:hAnsi="宋体" w:eastAsia="宋体"/>
          <w:bCs w:val="0"/>
          <w:caps w:val="0"/>
          <w:smallCaps/>
        </w:rPr>
        <w:fldChar w:fldCharType="begin"/>
      </w:r>
      <w:r>
        <w:rPr>
          <w:rFonts w:hint="eastAsia" w:ascii="宋体" w:hAnsi="宋体" w:eastAsia="宋体"/>
          <w:bCs w:val="0"/>
          <w:caps w:val="0"/>
          <w:smallCaps/>
        </w:rPr>
        <w:instrText xml:space="preserve"> HYPERLINK \l _Toc2465 </w:instrText>
      </w:r>
      <w:r>
        <w:rPr>
          <w:rFonts w:hint="eastAsia" w:ascii="宋体" w:hAnsi="宋体" w:eastAsia="宋体"/>
          <w:bCs w:val="0"/>
          <w:caps w:val="0"/>
          <w:smallCaps/>
        </w:rPr>
        <w:fldChar w:fldCharType="separate"/>
      </w:r>
      <w:r>
        <w:rPr>
          <w:rFonts w:ascii="Times New Roman" w:hAnsi="Times New Roman" w:eastAsia="宋体"/>
          <w:szCs w:val="32"/>
        </w:rPr>
        <w:t xml:space="preserve">第2章 </w:t>
      </w:r>
      <w:r>
        <w:rPr>
          <w:rFonts w:hint="eastAsia"/>
        </w:rPr>
        <w:t>投标人须知</w:t>
      </w:r>
      <w:r>
        <w:tab/>
      </w:r>
      <w:r>
        <w:fldChar w:fldCharType="begin"/>
      </w:r>
      <w:r>
        <w:instrText xml:space="preserve"> PAGEREF _Toc2465 \h </w:instrText>
      </w:r>
      <w:r>
        <w:fldChar w:fldCharType="separate"/>
      </w:r>
      <w:r>
        <w:t>9</w:t>
      </w:r>
      <w:r>
        <w:fldChar w:fldCharType="end"/>
      </w:r>
      <w:r>
        <w:rPr>
          <w:rFonts w:hint="eastAsia" w:ascii="宋体" w:hAnsi="宋体" w:eastAsia="宋体"/>
          <w:bCs w:val="0"/>
          <w:caps w:val="0"/>
          <w:smallCaps/>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_Toc19285 </w:instrText>
      </w:r>
      <w:r>
        <w:rPr>
          <w:rFonts w:hint="eastAsia" w:ascii="宋体" w:hAnsi="宋体" w:eastAsia="宋体"/>
          <w:bCs/>
          <w:caps/>
          <w:smallCaps w:val="0"/>
        </w:rPr>
        <w:fldChar w:fldCharType="separate"/>
      </w:r>
      <w:r>
        <w:rPr>
          <w:rFonts w:ascii="Times New Roman" w:hAnsi="Times New Roman" w:eastAsia="宋体"/>
          <w:szCs w:val="28"/>
        </w:rPr>
        <w:t xml:space="preserve">2.1 </w:t>
      </w:r>
      <w:r>
        <w:rPr>
          <w:rFonts w:hint="eastAsia"/>
        </w:rPr>
        <w:t>投标人须知附表</w:t>
      </w:r>
      <w:r>
        <w:tab/>
      </w:r>
      <w:r>
        <w:fldChar w:fldCharType="begin"/>
      </w:r>
      <w:r>
        <w:instrText xml:space="preserve"> PAGEREF _Toc19285 \h </w:instrText>
      </w:r>
      <w:r>
        <w:fldChar w:fldCharType="separate"/>
      </w:r>
      <w:r>
        <w:t>9</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_Toc29616 </w:instrText>
      </w:r>
      <w:r>
        <w:rPr>
          <w:rFonts w:hint="eastAsia" w:ascii="宋体" w:hAnsi="宋体" w:eastAsia="宋体"/>
          <w:bCs/>
          <w:caps/>
          <w:smallCaps w:val="0"/>
        </w:rPr>
        <w:fldChar w:fldCharType="separate"/>
      </w:r>
      <w:r>
        <w:rPr>
          <w:rFonts w:ascii="Times New Roman" w:hAnsi="Times New Roman" w:eastAsia="宋体"/>
          <w:szCs w:val="28"/>
        </w:rPr>
        <w:t xml:space="preserve">2.2 </w:t>
      </w:r>
      <w:r>
        <w:rPr>
          <w:rFonts w:hint="eastAsia"/>
        </w:rPr>
        <w:t>总则</w:t>
      </w:r>
      <w:r>
        <w:tab/>
      </w:r>
      <w:r>
        <w:fldChar w:fldCharType="begin"/>
      </w:r>
      <w:r>
        <w:instrText xml:space="preserve"> PAGEREF _Toc29616 \h </w:instrText>
      </w:r>
      <w:r>
        <w:fldChar w:fldCharType="separate"/>
      </w:r>
      <w:r>
        <w:t>11</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_Toc7978 </w:instrText>
      </w:r>
      <w:r>
        <w:rPr>
          <w:rFonts w:hint="eastAsia" w:ascii="宋体" w:hAnsi="宋体" w:eastAsia="宋体"/>
          <w:bCs/>
          <w:caps/>
          <w:smallCaps w:val="0"/>
        </w:rPr>
        <w:fldChar w:fldCharType="separate"/>
      </w:r>
      <w:r>
        <w:rPr>
          <w:rFonts w:ascii="Times New Roman" w:hAnsi="Times New Roman" w:eastAsia="宋体"/>
          <w:szCs w:val="28"/>
        </w:rPr>
        <w:t xml:space="preserve">2.3 </w:t>
      </w:r>
      <w:r>
        <w:rPr>
          <w:rFonts w:hint="eastAsia"/>
        </w:rPr>
        <w:t>招标文件</w:t>
      </w:r>
      <w:r>
        <w:tab/>
      </w:r>
      <w:r>
        <w:fldChar w:fldCharType="begin"/>
      </w:r>
      <w:r>
        <w:instrText xml:space="preserve"> PAGEREF _Toc7978 \h </w:instrText>
      </w:r>
      <w:r>
        <w:fldChar w:fldCharType="separate"/>
      </w:r>
      <w:r>
        <w:t>13</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_Toc10312 </w:instrText>
      </w:r>
      <w:r>
        <w:rPr>
          <w:rFonts w:hint="eastAsia" w:ascii="宋体" w:hAnsi="宋体" w:eastAsia="宋体"/>
          <w:bCs/>
          <w:caps/>
          <w:smallCaps w:val="0"/>
        </w:rPr>
        <w:fldChar w:fldCharType="separate"/>
      </w:r>
      <w:r>
        <w:rPr>
          <w:rFonts w:ascii="Times New Roman" w:hAnsi="Times New Roman" w:eastAsia="宋体"/>
          <w:szCs w:val="28"/>
        </w:rPr>
        <w:t xml:space="preserve">2.4 </w:t>
      </w:r>
      <w:r>
        <w:rPr>
          <w:rFonts w:hint="eastAsia"/>
        </w:rPr>
        <w:t>投标文件</w:t>
      </w:r>
      <w:r>
        <w:tab/>
      </w:r>
      <w:r>
        <w:fldChar w:fldCharType="begin"/>
      </w:r>
      <w:r>
        <w:instrText xml:space="preserve"> PAGEREF _Toc10312 \h </w:instrText>
      </w:r>
      <w:r>
        <w:fldChar w:fldCharType="separate"/>
      </w:r>
      <w:r>
        <w:t>14</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_Toc16062 </w:instrText>
      </w:r>
      <w:r>
        <w:rPr>
          <w:rFonts w:hint="eastAsia" w:ascii="宋体" w:hAnsi="宋体" w:eastAsia="宋体"/>
          <w:bCs/>
          <w:caps/>
          <w:smallCaps w:val="0"/>
        </w:rPr>
        <w:fldChar w:fldCharType="separate"/>
      </w:r>
      <w:r>
        <w:rPr>
          <w:rFonts w:ascii="Times New Roman" w:hAnsi="Times New Roman" w:eastAsia="宋体"/>
          <w:szCs w:val="28"/>
        </w:rPr>
        <w:t xml:space="preserve">2.5 </w:t>
      </w:r>
      <w:r>
        <w:rPr>
          <w:rFonts w:hint="eastAsia"/>
        </w:rPr>
        <w:t>响应文件解密</w:t>
      </w:r>
      <w:r>
        <w:tab/>
      </w:r>
      <w:r>
        <w:fldChar w:fldCharType="begin"/>
      </w:r>
      <w:r>
        <w:instrText xml:space="preserve"> PAGEREF _Toc16062 \h </w:instrText>
      </w:r>
      <w:r>
        <w:fldChar w:fldCharType="separate"/>
      </w:r>
      <w:r>
        <w:t>18</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_Toc10395 </w:instrText>
      </w:r>
      <w:r>
        <w:rPr>
          <w:rFonts w:hint="eastAsia" w:ascii="宋体" w:hAnsi="宋体" w:eastAsia="宋体"/>
          <w:bCs/>
          <w:caps/>
          <w:smallCaps w:val="0"/>
        </w:rPr>
        <w:fldChar w:fldCharType="separate"/>
      </w:r>
      <w:r>
        <w:rPr>
          <w:rFonts w:ascii="Times New Roman" w:hAnsi="Times New Roman" w:eastAsia="宋体"/>
          <w:szCs w:val="28"/>
        </w:rPr>
        <w:t xml:space="preserve">2.6 </w:t>
      </w:r>
      <w:r>
        <w:rPr>
          <w:rFonts w:hint="eastAsia"/>
        </w:rPr>
        <w:t>开标及开标程序</w:t>
      </w:r>
      <w:r>
        <w:tab/>
      </w:r>
      <w:r>
        <w:fldChar w:fldCharType="begin"/>
      </w:r>
      <w:r>
        <w:instrText xml:space="preserve"> PAGEREF _Toc10395 \h </w:instrText>
      </w:r>
      <w:r>
        <w:fldChar w:fldCharType="separate"/>
      </w:r>
      <w:r>
        <w:t>19</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_Toc23355 </w:instrText>
      </w:r>
      <w:r>
        <w:rPr>
          <w:rFonts w:hint="eastAsia" w:ascii="宋体" w:hAnsi="宋体" w:eastAsia="宋体"/>
          <w:bCs/>
          <w:caps/>
          <w:smallCaps w:val="0"/>
        </w:rPr>
        <w:fldChar w:fldCharType="separate"/>
      </w:r>
      <w:r>
        <w:rPr>
          <w:rFonts w:ascii="Times New Roman" w:hAnsi="Times New Roman" w:eastAsia="宋体"/>
          <w:szCs w:val="28"/>
        </w:rPr>
        <w:t xml:space="preserve">2.7 </w:t>
      </w:r>
      <w:r>
        <w:rPr>
          <w:rFonts w:hint="eastAsia"/>
        </w:rPr>
        <w:t>签订及履行合同和验收</w:t>
      </w:r>
      <w:r>
        <w:tab/>
      </w:r>
      <w:r>
        <w:fldChar w:fldCharType="begin"/>
      </w:r>
      <w:r>
        <w:instrText xml:space="preserve"> PAGEREF _Toc23355 \h </w:instrText>
      </w:r>
      <w:r>
        <w:fldChar w:fldCharType="separate"/>
      </w:r>
      <w:r>
        <w:t>20</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_Toc19169 </w:instrText>
      </w:r>
      <w:r>
        <w:rPr>
          <w:rFonts w:hint="eastAsia" w:ascii="宋体" w:hAnsi="宋体" w:eastAsia="宋体"/>
          <w:bCs/>
          <w:caps/>
          <w:smallCaps w:val="0"/>
        </w:rPr>
        <w:fldChar w:fldCharType="separate"/>
      </w:r>
      <w:r>
        <w:rPr>
          <w:rFonts w:ascii="Times New Roman" w:hAnsi="Times New Roman" w:eastAsia="宋体"/>
          <w:szCs w:val="28"/>
        </w:rPr>
        <w:t xml:space="preserve">2.8 </w:t>
      </w:r>
      <w:r>
        <w:rPr>
          <w:rFonts w:hint="eastAsia"/>
        </w:rPr>
        <w:t>投标纪律要求</w:t>
      </w:r>
      <w:r>
        <w:tab/>
      </w:r>
      <w:r>
        <w:fldChar w:fldCharType="begin"/>
      </w:r>
      <w:r>
        <w:instrText xml:space="preserve"> PAGEREF _Toc19169 \h </w:instrText>
      </w:r>
      <w:r>
        <w:fldChar w:fldCharType="separate"/>
      </w:r>
      <w:r>
        <w:t>22</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_Toc7372 </w:instrText>
      </w:r>
      <w:r>
        <w:rPr>
          <w:rFonts w:hint="eastAsia" w:ascii="宋体" w:hAnsi="宋体" w:eastAsia="宋体"/>
          <w:bCs/>
          <w:caps/>
          <w:smallCaps w:val="0"/>
        </w:rPr>
        <w:fldChar w:fldCharType="separate"/>
      </w:r>
      <w:r>
        <w:rPr>
          <w:rFonts w:ascii="Times New Roman" w:hAnsi="Times New Roman" w:eastAsia="宋体"/>
          <w:szCs w:val="28"/>
        </w:rPr>
        <w:t xml:space="preserve">2.9 </w:t>
      </w:r>
      <w:r>
        <w:rPr>
          <w:rFonts w:hint="eastAsia"/>
        </w:rPr>
        <w:t>资金支付</w:t>
      </w:r>
      <w:r>
        <w:tab/>
      </w:r>
      <w:r>
        <w:fldChar w:fldCharType="begin"/>
      </w:r>
      <w:r>
        <w:instrText xml:space="preserve"> PAGEREF _Toc7372 \h </w:instrText>
      </w:r>
      <w:r>
        <w:fldChar w:fldCharType="separate"/>
      </w:r>
      <w:r>
        <w:t>23</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_Toc24107 </w:instrText>
      </w:r>
      <w:r>
        <w:rPr>
          <w:rFonts w:hint="eastAsia" w:ascii="宋体" w:hAnsi="宋体" w:eastAsia="宋体"/>
          <w:bCs/>
          <w:caps/>
          <w:smallCaps w:val="0"/>
        </w:rPr>
        <w:fldChar w:fldCharType="separate"/>
      </w:r>
      <w:r>
        <w:rPr>
          <w:rFonts w:ascii="Times New Roman" w:hAnsi="Times New Roman" w:eastAsia="宋体"/>
          <w:szCs w:val="28"/>
        </w:rPr>
        <w:t xml:space="preserve">2.10 </w:t>
      </w:r>
      <w:r>
        <w:rPr>
          <w:rFonts w:hint="eastAsia"/>
        </w:rPr>
        <w:t>询问、质疑和投诉</w:t>
      </w:r>
      <w:r>
        <w:tab/>
      </w:r>
      <w:r>
        <w:fldChar w:fldCharType="begin"/>
      </w:r>
      <w:r>
        <w:instrText xml:space="preserve"> PAGEREF _Toc24107 \h </w:instrText>
      </w:r>
      <w:r>
        <w:fldChar w:fldCharType="separate"/>
      </w:r>
      <w:r>
        <w:t>23</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_Toc26525 </w:instrText>
      </w:r>
      <w:r>
        <w:rPr>
          <w:rFonts w:hint="eastAsia" w:ascii="宋体" w:hAnsi="宋体" w:eastAsia="宋体"/>
          <w:bCs/>
          <w:caps/>
          <w:smallCaps w:val="0"/>
        </w:rPr>
        <w:fldChar w:fldCharType="separate"/>
      </w:r>
      <w:r>
        <w:rPr>
          <w:rFonts w:ascii="Times New Roman" w:hAnsi="Times New Roman" w:eastAsia="宋体"/>
          <w:szCs w:val="28"/>
        </w:rPr>
        <w:t xml:space="preserve">2.11 </w:t>
      </w:r>
      <w:r>
        <w:rPr>
          <w:rFonts w:hint="eastAsia"/>
        </w:rPr>
        <w:t>其他</w:t>
      </w:r>
      <w:r>
        <w:tab/>
      </w:r>
      <w:r>
        <w:fldChar w:fldCharType="begin"/>
      </w:r>
      <w:r>
        <w:instrText xml:space="preserve"> PAGEREF _Toc26525 \h </w:instrText>
      </w:r>
      <w:r>
        <w:fldChar w:fldCharType="separate"/>
      </w:r>
      <w:r>
        <w:t>24</w:t>
      </w:r>
      <w:r>
        <w:fldChar w:fldCharType="end"/>
      </w:r>
      <w:r>
        <w:rPr>
          <w:rFonts w:hint="eastAsia" w:ascii="宋体" w:hAnsi="宋体" w:eastAsia="宋体"/>
          <w:bCs/>
          <w:caps/>
          <w:smallCaps w:val="0"/>
        </w:rPr>
        <w:fldChar w:fldCharType="end"/>
      </w:r>
    </w:p>
    <w:p>
      <w:pPr>
        <w:pStyle w:val="30"/>
        <w:tabs>
          <w:tab w:val="right" w:leader="dot" w:pos="9214"/>
          <w:tab w:val="clear" w:pos="709"/>
          <w:tab w:val="clear" w:pos="8364"/>
        </w:tabs>
        <w:ind w:firstLine="420"/>
      </w:pPr>
      <w:r>
        <w:rPr>
          <w:rFonts w:hint="eastAsia" w:ascii="宋体" w:hAnsi="宋体" w:eastAsia="宋体"/>
          <w:bCs w:val="0"/>
          <w:caps w:val="0"/>
          <w:smallCaps/>
        </w:rPr>
        <w:fldChar w:fldCharType="begin"/>
      </w:r>
      <w:r>
        <w:rPr>
          <w:rFonts w:hint="eastAsia" w:ascii="宋体" w:hAnsi="宋体" w:eastAsia="宋体"/>
          <w:bCs w:val="0"/>
          <w:caps w:val="0"/>
          <w:smallCaps/>
        </w:rPr>
        <w:instrText xml:space="preserve"> HYPERLINK \l _Toc18886 </w:instrText>
      </w:r>
      <w:r>
        <w:rPr>
          <w:rFonts w:hint="eastAsia" w:ascii="宋体" w:hAnsi="宋体" w:eastAsia="宋体"/>
          <w:bCs w:val="0"/>
          <w:caps w:val="0"/>
          <w:smallCaps/>
        </w:rPr>
        <w:fldChar w:fldCharType="separate"/>
      </w:r>
      <w:r>
        <w:rPr>
          <w:rFonts w:ascii="Times New Roman" w:hAnsi="Times New Roman" w:eastAsia="宋体"/>
          <w:szCs w:val="32"/>
        </w:rPr>
        <w:t xml:space="preserve">第3章 </w:t>
      </w:r>
      <w:r>
        <w:rPr>
          <w:rFonts w:hint="eastAsia"/>
        </w:rPr>
        <w:t>投标文件格式</w:t>
      </w:r>
      <w:r>
        <w:tab/>
      </w:r>
      <w:r>
        <w:fldChar w:fldCharType="begin"/>
      </w:r>
      <w:r>
        <w:instrText xml:space="preserve"> PAGEREF _Toc18886 \h </w:instrText>
      </w:r>
      <w:r>
        <w:fldChar w:fldCharType="separate"/>
      </w:r>
      <w:r>
        <w:t>25</w:t>
      </w:r>
      <w:r>
        <w:fldChar w:fldCharType="end"/>
      </w:r>
      <w:r>
        <w:rPr>
          <w:rFonts w:hint="eastAsia" w:ascii="宋体" w:hAnsi="宋体" w:eastAsia="宋体"/>
          <w:bCs w:val="0"/>
          <w:caps w:val="0"/>
          <w:smallCaps/>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_Toc12861 </w:instrText>
      </w:r>
      <w:r>
        <w:rPr>
          <w:rFonts w:hint="eastAsia" w:ascii="宋体" w:hAnsi="宋体" w:eastAsia="宋体"/>
          <w:bCs/>
          <w:caps/>
          <w:smallCaps w:val="0"/>
        </w:rPr>
        <w:fldChar w:fldCharType="separate"/>
      </w:r>
      <w:r>
        <w:rPr>
          <w:rFonts w:ascii="Times New Roman" w:hAnsi="Times New Roman" w:eastAsia="宋体"/>
          <w:szCs w:val="28"/>
        </w:rPr>
        <w:t xml:space="preserve">3.1 </w:t>
      </w:r>
      <w:r>
        <w:rPr>
          <w:rFonts w:hint="eastAsia"/>
        </w:rPr>
        <w:t>投标函</w:t>
      </w:r>
      <w:r>
        <w:tab/>
      </w:r>
      <w:r>
        <w:fldChar w:fldCharType="begin"/>
      </w:r>
      <w:r>
        <w:instrText xml:space="preserve"> PAGEREF _Toc12861 \h </w:instrText>
      </w:r>
      <w:r>
        <w:fldChar w:fldCharType="separate"/>
      </w:r>
      <w:r>
        <w:t>26</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_Toc27829 </w:instrText>
      </w:r>
      <w:r>
        <w:rPr>
          <w:rFonts w:hint="eastAsia" w:ascii="宋体" w:hAnsi="宋体" w:eastAsia="宋体"/>
          <w:bCs/>
          <w:caps/>
          <w:smallCaps w:val="0"/>
        </w:rPr>
        <w:fldChar w:fldCharType="separate"/>
      </w:r>
      <w:r>
        <w:rPr>
          <w:rFonts w:ascii="Times New Roman" w:hAnsi="Times New Roman" w:eastAsia="宋体"/>
          <w:szCs w:val="28"/>
        </w:rPr>
        <w:t xml:space="preserve">3.2 </w:t>
      </w:r>
      <w:r>
        <w:rPr>
          <w:rFonts w:hint="eastAsia"/>
        </w:rPr>
        <w:t>具有独立承担民事责任的能力证明材料</w:t>
      </w:r>
      <w:r>
        <w:tab/>
      </w:r>
      <w:r>
        <w:fldChar w:fldCharType="begin"/>
      </w:r>
      <w:r>
        <w:instrText xml:space="preserve"> PAGEREF _Toc27829 \h </w:instrText>
      </w:r>
      <w:r>
        <w:fldChar w:fldCharType="separate"/>
      </w:r>
      <w:r>
        <w:t>27</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_Toc16289 </w:instrText>
      </w:r>
      <w:r>
        <w:rPr>
          <w:rFonts w:hint="eastAsia" w:ascii="宋体" w:hAnsi="宋体" w:eastAsia="宋体"/>
          <w:bCs/>
          <w:caps/>
          <w:smallCaps w:val="0"/>
        </w:rPr>
        <w:fldChar w:fldCharType="separate"/>
      </w:r>
      <w:r>
        <w:rPr>
          <w:rFonts w:ascii="Times New Roman" w:hAnsi="Times New Roman" w:eastAsia="宋体"/>
          <w:szCs w:val="28"/>
        </w:rPr>
        <w:t xml:space="preserve">3.3 </w:t>
      </w:r>
      <w:r>
        <w:rPr>
          <w:rFonts w:hint="eastAsia" w:cs="宋体"/>
          <w:szCs w:val="24"/>
        </w:rPr>
        <w:t>健全的财务会计制度的证明材料</w:t>
      </w:r>
      <w:r>
        <w:tab/>
      </w:r>
      <w:r>
        <w:fldChar w:fldCharType="begin"/>
      </w:r>
      <w:r>
        <w:instrText xml:space="preserve"> PAGEREF _Toc16289 \h </w:instrText>
      </w:r>
      <w:r>
        <w:fldChar w:fldCharType="separate"/>
      </w:r>
      <w:r>
        <w:t>28</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_Toc26131 </w:instrText>
      </w:r>
      <w:r>
        <w:rPr>
          <w:rFonts w:hint="eastAsia" w:ascii="宋体" w:hAnsi="宋体" w:eastAsia="宋体"/>
          <w:bCs/>
          <w:caps/>
          <w:smallCaps w:val="0"/>
        </w:rPr>
        <w:fldChar w:fldCharType="separate"/>
      </w:r>
      <w:r>
        <w:rPr>
          <w:rFonts w:ascii="Times New Roman" w:hAnsi="Times New Roman" w:eastAsia="宋体"/>
          <w:szCs w:val="28"/>
        </w:rPr>
        <w:t xml:space="preserve">3.4 </w:t>
      </w:r>
      <w:r>
        <w:rPr>
          <w:rFonts w:hint="eastAsia"/>
        </w:rPr>
        <w:t>投标人缴纳税收的证明材料</w:t>
      </w:r>
      <w:r>
        <w:tab/>
      </w:r>
      <w:r>
        <w:fldChar w:fldCharType="begin"/>
      </w:r>
      <w:r>
        <w:instrText xml:space="preserve"> PAGEREF _Toc26131 \h </w:instrText>
      </w:r>
      <w:r>
        <w:fldChar w:fldCharType="separate"/>
      </w:r>
      <w:r>
        <w:t>29</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_Toc25232 </w:instrText>
      </w:r>
      <w:r>
        <w:rPr>
          <w:rFonts w:hint="eastAsia" w:ascii="宋体" w:hAnsi="宋体" w:eastAsia="宋体"/>
          <w:bCs/>
          <w:caps/>
          <w:smallCaps w:val="0"/>
        </w:rPr>
        <w:fldChar w:fldCharType="separate"/>
      </w:r>
      <w:r>
        <w:rPr>
          <w:rFonts w:ascii="Times New Roman" w:hAnsi="Times New Roman" w:eastAsia="宋体"/>
          <w:szCs w:val="28"/>
        </w:rPr>
        <w:t xml:space="preserve">3.5 </w:t>
      </w:r>
      <w:r>
        <w:rPr>
          <w:rFonts w:hint="eastAsia"/>
        </w:rPr>
        <w:t>投标人缴纳社会保障资金的证明材料</w:t>
      </w:r>
      <w:r>
        <w:tab/>
      </w:r>
      <w:r>
        <w:fldChar w:fldCharType="begin"/>
      </w:r>
      <w:r>
        <w:instrText xml:space="preserve"> PAGEREF _Toc25232 \h </w:instrText>
      </w:r>
      <w:r>
        <w:fldChar w:fldCharType="separate"/>
      </w:r>
      <w:r>
        <w:t>30</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_Toc30033 </w:instrText>
      </w:r>
      <w:r>
        <w:rPr>
          <w:rFonts w:hint="eastAsia" w:ascii="宋体" w:hAnsi="宋体" w:eastAsia="宋体"/>
          <w:bCs/>
          <w:caps/>
          <w:smallCaps w:val="0"/>
        </w:rPr>
        <w:fldChar w:fldCharType="separate"/>
      </w:r>
      <w:r>
        <w:rPr>
          <w:rFonts w:ascii="Times New Roman" w:hAnsi="Times New Roman" w:eastAsia="宋体"/>
          <w:szCs w:val="28"/>
        </w:rPr>
        <w:t xml:space="preserve">3.6 </w:t>
      </w:r>
      <w:r>
        <w:rPr>
          <w:rFonts w:hint="eastAsia"/>
        </w:rPr>
        <w:t>承诺函</w:t>
      </w:r>
      <w:r>
        <w:tab/>
      </w:r>
      <w:r>
        <w:fldChar w:fldCharType="begin"/>
      </w:r>
      <w:r>
        <w:instrText xml:space="preserve"> PAGEREF _Toc30033 \h </w:instrText>
      </w:r>
      <w:r>
        <w:fldChar w:fldCharType="separate"/>
      </w:r>
      <w:r>
        <w:t>31</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_Toc23889 </w:instrText>
      </w:r>
      <w:r>
        <w:rPr>
          <w:rFonts w:hint="eastAsia" w:ascii="宋体" w:hAnsi="宋体" w:eastAsia="宋体"/>
          <w:bCs/>
          <w:caps/>
          <w:smallCaps w:val="0"/>
        </w:rPr>
        <w:fldChar w:fldCharType="separate"/>
      </w:r>
      <w:r>
        <w:rPr>
          <w:rFonts w:ascii="Times New Roman" w:hAnsi="Times New Roman" w:eastAsia="宋体"/>
          <w:szCs w:val="28"/>
        </w:rPr>
        <w:t xml:space="preserve">3.7 </w:t>
      </w:r>
      <w:r>
        <w:rPr>
          <w:rFonts w:hint="eastAsia"/>
        </w:rPr>
        <w:t>中小企业声明函</w:t>
      </w:r>
      <w:r>
        <w:tab/>
      </w:r>
      <w:r>
        <w:fldChar w:fldCharType="begin"/>
      </w:r>
      <w:r>
        <w:instrText xml:space="preserve"> PAGEREF _Toc23889 \h </w:instrText>
      </w:r>
      <w:r>
        <w:fldChar w:fldCharType="separate"/>
      </w:r>
      <w:r>
        <w:t>33</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_Toc22967 </w:instrText>
      </w:r>
      <w:r>
        <w:rPr>
          <w:rFonts w:hint="eastAsia" w:ascii="宋体" w:hAnsi="宋体" w:eastAsia="宋体"/>
          <w:bCs/>
          <w:caps/>
          <w:smallCaps w:val="0"/>
        </w:rPr>
        <w:fldChar w:fldCharType="separate"/>
      </w:r>
      <w:r>
        <w:rPr>
          <w:rFonts w:ascii="Times New Roman" w:hAnsi="Times New Roman" w:eastAsia="宋体"/>
          <w:szCs w:val="28"/>
        </w:rPr>
        <w:t xml:space="preserve">3.8 </w:t>
      </w:r>
      <w:r>
        <w:rPr>
          <w:rFonts w:hint="eastAsia"/>
        </w:rPr>
        <w:t>残疾人福利性单位</w:t>
      </w:r>
      <w:r>
        <w:rPr>
          <w:rFonts w:hint="eastAsia" w:ascii="宋体" w:hAnsi="宋体" w:cs="宋体"/>
        </w:rPr>
        <w:t>声明函</w:t>
      </w:r>
      <w:r>
        <w:tab/>
      </w:r>
      <w:r>
        <w:fldChar w:fldCharType="begin"/>
      </w:r>
      <w:r>
        <w:instrText xml:space="preserve"> PAGEREF _Toc22967 \h </w:instrText>
      </w:r>
      <w:r>
        <w:fldChar w:fldCharType="separate"/>
      </w:r>
      <w:r>
        <w:t>34</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_Toc18373 </w:instrText>
      </w:r>
      <w:r>
        <w:rPr>
          <w:rFonts w:hint="eastAsia" w:ascii="宋体" w:hAnsi="宋体" w:eastAsia="宋体"/>
          <w:bCs/>
          <w:caps/>
          <w:smallCaps w:val="0"/>
        </w:rPr>
        <w:fldChar w:fldCharType="separate"/>
      </w:r>
      <w:r>
        <w:rPr>
          <w:rFonts w:ascii="Times New Roman" w:hAnsi="Times New Roman" w:eastAsia="宋体"/>
          <w:szCs w:val="28"/>
        </w:rPr>
        <w:t xml:space="preserve">3.9 </w:t>
      </w:r>
      <w:r>
        <w:rPr>
          <w:rFonts w:hint="eastAsia"/>
        </w:rPr>
        <w:t>法定代表人身份证明书</w:t>
      </w:r>
      <w:r>
        <w:tab/>
      </w:r>
      <w:r>
        <w:fldChar w:fldCharType="begin"/>
      </w:r>
      <w:r>
        <w:instrText xml:space="preserve"> PAGEREF _Toc18373 \h </w:instrText>
      </w:r>
      <w:r>
        <w:fldChar w:fldCharType="separate"/>
      </w:r>
      <w:r>
        <w:t>35</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_Toc4748 </w:instrText>
      </w:r>
      <w:r>
        <w:rPr>
          <w:rFonts w:hint="eastAsia" w:ascii="宋体" w:hAnsi="宋体" w:eastAsia="宋体"/>
          <w:bCs/>
          <w:caps/>
          <w:smallCaps w:val="0"/>
        </w:rPr>
        <w:fldChar w:fldCharType="separate"/>
      </w:r>
      <w:r>
        <w:rPr>
          <w:rFonts w:ascii="Times New Roman" w:hAnsi="Times New Roman" w:eastAsia="宋体"/>
          <w:szCs w:val="28"/>
        </w:rPr>
        <w:t xml:space="preserve">3.10 </w:t>
      </w:r>
      <w:r>
        <w:rPr>
          <w:rFonts w:hint="eastAsia"/>
        </w:rPr>
        <w:t>法定代表人授权委托书</w:t>
      </w:r>
      <w:r>
        <w:tab/>
      </w:r>
      <w:r>
        <w:fldChar w:fldCharType="begin"/>
      </w:r>
      <w:r>
        <w:instrText xml:space="preserve"> PAGEREF _Toc4748 \h </w:instrText>
      </w:r>
      <w:r>
        <w:fldChar w:fldCharType="separate"/>
      </w:r>
      <w:r>
        <w:t>36</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_Toc30549 </w:instrText>
      </w:r>
      <w:r>
        <w:rPr>
          <w:rFonts w:hint="eastAsia" w:ascii="宋体" w:hAnsi="宋体" w:eastAsia="宋体"/>
          <w:bCs/>
          <w:caps/>
          <w:smallCaps w:val="0"/>
        </w:rPr>
        <w:fldChar w:fldCharType="separate"/>
      </w:r>
      <w:r>
        <w:rPr>
          <w:rFonts w:ascii="Times New Roman" w:hAnsi="Times New Roman" w:eastAsia="宋体"/>
          <w:szCs w:val="28"/>
        </w:rPr>
        <w:t xml:space="preserve">3.11 </w:t>
      </w:r>
      <w:r>
        <w:rPr>
          <w:rFonts w:hint="eastAsia"/>
        </w:rPr>
        <w:t>开标一览表</w:t>
      </w:r>
      <w:r>
        <w:tab/>
      </w:r>
      <w:r>
        <w:fldChar w:fldCharType="begin"/>
      </w:r>
      <w:r>
        <w:instrText xml:space="preserve"> PAGEREF _Toc30549 \h </w:instrText>
      </w:r>
      <w:r>
        <w:fldChar w:fldCharType="separate"/>
      </w:r>
      <w:r>
        <w:t>37</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_Toc11723 </w:instrText>
      </w:r>
      <w:r>
        <w:rPr>
          <w:rFonts w:hint="eastAsia" w:ascii="宋体" w:hAnsi="宋体" w:eastAsia="宋体"/>
          <w:bCs/>
          <w:caps/>
          <w:smallCaps w:val="0"/>
        </w:rPr>
        <w:fldChar w:fldCharType="separate"/>
      </w:r>
      <w:r>
        <w:rPr>
          <w:rFonts w:ascii="Times New Roman" w:hAnsi="Times New Roman" w:eastAsia="宋体"/>
          <w:szCs w:val="28"/>
        </w:rPr>
        <w:t xml:space="preserve">3.12 </w:t>
      </w:r>
      <w:r>
        <w:rPr>
          <w:rFonts w:hint="eastAsia"/>
        </w:rPr>
        <w:t>分项报价明细表</w:t>
      </w:r>
      <w:r>
        <w:tab/>
      </w:r>
      <w:r>
        <w:fldChar w:fldCharType="begin"/>
      </w:r>
      <w:r>
        <w:instrText xml:space="preserve"> PAGEREF _Toc11723 \h </w:instrText>
      </w:r>
      <w:r>
        <w:fldChar w:fldCharType="separate"/>
      </w:r>
      <w:r>
        <w:t>38</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_Toc32612 </w:instrText>
      </w:r>
      <w:r>
        <w:rPr>
          <w:rFonts w:hint="eastAsia" w:ascii="宋体" w:hAnsi="宋体" w:eastAsia="宋体"/>
          <w:bCs/>
          <w:caps/>
          <w:smallCaps w:val="0"/>
        </w:rPr>
        <w:fldChar w:fldCharType="separate"/>
      </w:r>
      <w:r>
        <w:rPr>
          <w:rFonts w:ascii="Times New Roman" w:hAnsi="Times New Roman" w:eastAsia="宋体"/>
          <w:szCs w:val="28"/>
        </w:rPr>
        <w:t xml:space="preserve">3.13 </w:t>
      </w:r>
      <w:r>
        <w:rPr>
          <w:rFonts w:hint="eastAsia"/>
        </w:rPr>
        <w:t>投标人基本情况表</w:t>
      </w:r>
      <w:r>
        <w:tab/>
      </w:r>
      <w:r>
        <w:fldChar w:fldCharType="begin"/>
      </w:r>
      <w:r>
        <w:instrText xml:space="preserve"> PAGEREF _Toc32612 \h </w:instrText>
      </w:r>
      <w:r>
        <w:fldChar w:fldCharType="separate"/>
      </w:r>
      <w:r>
        <w:t>39</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_Toc349 </w:instrText>
      </w:r>
      <w:r>
        <w:rPr>
          <w:rFonts w:hint="eastAsia" w:ascii="宋体" w:hAnsi="宋体" w:eastAsia="宋体"/>
          <w:bCs/>
          <w:caps/>
          <w:smallCaps w:val="0"/>
        </w:rPr>
        <w:fldChar w:fldCharType="separate"/>
      </w:r>
      <w:r>
        <w:rPr>
          <w:rFonts w:ascii="Times New Roman" w:hAnsi="Times New Roman" w:eastAsia="宋体"/>
          <w:szCs w:val="28"/>
        </w:rPr>
        <w:t xml:space="preserve">3.14 </w:t>
      </w:r>
      <w:r>
        <w:rPr>
          <w:rFonts w:hint="eastAsia"/>
        </w:rPr>
        <w:t>商务条款偏离表</w:t>
      </w:r>
      <w:r>
        <w:tab/>
      </w:r>
      <w:r>
        <w:fldChar w:fldCharType="begin"/>
      </w:r>
      <w:r>
        <w:instrText xml:space="preserve"> PAGEREF _Toc349 \h </w:instrText>
      </w:r>
      <w:r>
        <w:fldChar w:fldCharType="separate"/>
      </w:r>
      <w:r>
        <w:t>40</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_Toc22040 </w:instrText>
      </w:r>
      <w:r>
        <w:rPr>
          <w:rFonts w:hint="eastAsia" w:ascii="宋体" w:hAnsi="宋体" w:eastAsia="宋体"/>
          <w:bCs/>
          <w:caps/>
          <w:smallCaps w:val="0"/>
        </w:rPr>
        <w:fldChar w:fldCharType="separate"/>
      </w:r>
      <w:r>
        <w:rPr>
          <w:rFonts w:ascii="Times New Roman" w:hAnsi="Times New Roman" w:eastAsia="宋体"/>
          <w:szCs w:val="28"/>
        </w:rPr>
        <w:t xml:space="preserve">3.15 </w:t>
      </w:r>
      <w:r>
        <w:rPr>
          <w:rFonts w:hint="eastAsia"/>
        </w:rPr>
        <w:t>服务条款偏离表</w:t>
      </w:r>
      <w:r>
        <w:tab/>
      </w:r>
      <w:r>
        <w:fldChar w:fldCharType="begin"/>
      </w:r>
      <w:r>
        <w:instrText xml:space="preserve"> PAGEREF _Toc22040 \h </w:instrText>
      </w:r>
      <w:r>
        <w:fldChar w:fldCharType="separate"/>
      </w:r>
      <w:r>
        <w:t>41</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_Toc19235 </w:instrText>
      </w:r>
      <w:r>
        <w:rPr>
          <w:rFonts w:hint="eastAsia" w:ascii="宋体" w:hAnsi="宋体" w:eastAsia="宋体"/>
          <w:bCs/>
          <w:caps/>
          <w:smallCaps w:val="0"/>
        </w:rPr>
        <w:fldChar w:fldCharType="separate"/>
      </w:r>
      <w:r>
        <w:rPr>
          <w:rFonts w:ascii="Times New Roman" w:hAnsi="Times New Roman" w:eastAsia="宋体"/>
          <w:bCs/>
          <w:szCs w:val="28"/>
        </w:rPr>
        <w:t xml:space="preserve">3.16 </w:t>
      </w:r>
      <w:r>
        <w:rPr>
          <w:rFonts w:hint="eastAsia" w:ascii="宋体" w:hAnsi="宋体" w:eastAsia="宋体" w:cs="宋体"/>
          <w:bCs/>
        </w:rPr>
        <w:t>服务配套产品情况</w:t>
      </w:r>
      <w:r>
        <w:tab/>
      </w:r>
      <w:r>
        <w:fldChar w:fldCharType="begin"/>
      </w:r>
      <w:r>
        <w:instrText xml:space="preserve"> PAGEREF _Toc19235 \h </w:instrText>
      </w:r>
      <w:r>
        <w:fldChar w:fldCharType="separate"/>
      </w:r>
      <w:r>
        <w:t>42</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_Toc18624 </w:instrText>
      </w:r>
      <w:r>
        <w:rPr>
          <w:rFonts w:hint="eastAsia" w:ascii="宋体" w:hAnsi="宋体" w:eastAsia="宋体"/>
          <w:bCs/>
          <w:caps/>
          <w:smallCaps w:val="0"/>
        </w:rPr>
        <w:fldChar w:fldCharType="separate"/>
      </w:r>
      <w:r>
        <w:rPr>
          <w:rFonts w:ascii="Times New Roman" w:hAnsi="Times New Roman" w:eastAsia="宋体"/>
          <w:szCs w:val="28"/>
        </w:rPr>
        <w:t xml:space="preserve">3.17 </w:t>
      </w:r>
      <w:r>
        <w:rPr>
          <w:rFonts w:hint="eastAsia" w:ascii="宋体" w:hAnsi="宋体" w:eastAsia="宋体" w:cs="宋体"/>
        </w:rPr>
        <w:t>投标人本项目管理、技术、</w:t>
      </w:r>
      <w:r>
        <w:rPr>
          <w:rFonts w:hint="eastAsia" w:eastAsia="宋体" w:cs="宋体"/>
        </w:rPr>
        <w:t>其他</w:t>
      </w:r>
      <w:r>
        <w:rPr>
          <w:rFonts w:hint="eastAsia" w:ascii="宋体" w:hAnsi="宋体" w:eastAsia="宋体" w:cs="宋体"/>
        </w:rPr>
        <w:t>人员情况表</w:t>
      </w:r>
      <w:r>
        <w:tab/>
      </w:r>
      <w:r>
        <w:fldChar w:fldCharType="begin"/>
      </w:r>
      <w:r>
        <w:instrText xml:space="preserve"> PAGEREF _Toc18624 \h </w:instrText>
      </w:r>
      <w:r>
        <w:fldChar w:fldCharType="separate"/>
      </w:r>
      <w:r>
        <w:t>43</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_Toc22107 </w:instrText>
      </w:r>
      <w:r>
        <w:rPr>
          <w:rFonts w:hint="eastAsia" w:ascii="宋体" w:hAnsi="宋体" w:eastAsia="宋体"/>
          <w:bCs/>
          <w:caps/>
          <w:smallCaps w:val="0"/>
        </w:rPr>
        <w:fldChar w:fldCharType="separate"/>
      </w:r>
      <w:r>
        <w:rPr>
          <w:rFonts w:ascii="Times New Roman" w:hAnsi="Times New Roman" w:eastAsia="宋体"/>
          <w:szCs w:val="28"/>
        </w:rPr>
        <w:t xml:space="preserve">3.18 </w:t>
      </w:r>
      <w:r>
        <w:rPr>
          <w:rFonts w:hint="eastAsia"/>
        </w:rPr>
        <w:t>业绩一览表</w:t>
      </w:r>
      <w:r>
        <w:tab/>
      </w:r>
      <w:r>
        <w:fldChar w:fldCharType="begin"/>
      </w:r>
      <w:r>
        <w:instrText xml:space="preserve"> PAGEREF _Toc22107 \h </w:instrText>
      </w:r>
      <w:r>
        <w:fldChar w:fldCharType="separate"/>
      </w:r>
      <w:r>
        <w:t>44</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_Toc1062 </w:instrText>
      </w:r>
      <w:r>
        <w:rPr>
          <w:rFonts w:hint="eastAsia" w:ascii="宋体" w:hAnsi="宋体" w:eastAsia="宋体"/>
          <w:bCs/>
          <w:caps/>
          <w:smallCaps w:val="0"/>
        </w:rPr>
        <w:fldChar w:fldCharType="separate"/>
      </w:r>
      <w:r>
        <w:rPr>
          <w:rFonts w:ascii="Times New Roman" w:hAnsi="Times New Roman" w:eastAsia="宋体"/>
          <w:szCs w:val="28"/>
        </w:rPr>
        <w:t xml:space="preserve">3.19 </w:t>
      </w:r>
      <w:r>
        <w:rPr>
          <w:rFonts w:hint="eastAsia"/>
        </w:rPr>
        <w:t>服务方案</w:t>
      </w:r>
      <w:r>
        <w:tab/>
      </w:r>
      <w:r>
        <w:fldChar w:fldCharType="begin"/>
      </w:r>
      <w:r>
        <w:instrText xml:space="preserve"> PAGEREF _Toc1062 \h </w:instrText>
      </w:r>
      <w:r>
        <w:fldChar w:fldCharType="separate"/>
      </w:r>
      <w:r>
        <w:t>45</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_Toc31011 </w:instrText>
      </w:r>
      <w:r>
        <w:rPr>
          <w:rFonts w:hint="eastAsia" w:ascii="宋体" w:hAnsi="宋体" w:eastAsia="宋体"/>
          <w:bCs/>
          <w:caps/>
          <w:smallCaps w:val="0"/>
        </w:rPr>
        <w:fldChar w:fldCharType="separate"/>
      </w:r>
      <w:r>
        <w:rPr>
          <w:rFonts w:ascii="Times New Roman" w:hAnsi="Times New Roman" w:eastAsia="宋体"/>
          <w:szCs w:val="28"/>
        </w:rPr>
        <w:t xml:space="preserve">3.20 </w:t>
      </w:r>
      <w:r>
        <w:rPr>
          <w:rFonts w:hint="eastAsia"/>
        </w:rPr>
        <w:t>投标人认为需要提供的文件和资料</w:t>
      </w:r>
      <w:r>
        <w:tab/>
      </w:r>
      <w:r>
        <w:fldChar w:fldCharType="begin"/>
      </w:r>
      <w:r>
        <w:instrText xml:space="preserve"> PAGEREF _Toc31011 \h </w:instrText>
      </w:r>
      <w:r>
        <w:fldChar w:fldCharType="separate"/>
      </w:r>
      <w:r>
        <w:t>46</w:t>
      </w:r>
      <w:r>
        <w:fldChar w:fldCharType="end"/>
      </w:r>
      <w:r>
        <w:rPr>
          <w:rFonts w:hint="eastAsia" w:ascii="宋体" w:hAnsi="宋体" w:eastAsia="宋体"/>
          <w:bCs/>
          <w:caps/>
          <w:smallCaps w:val="0"/>
        </w:rPr>
        <w:fldChar w:fldCharType="end"/>
      </w:r>
    </w:p>
    <w:p>
      <w:pPr>
        <w:pStyle w:val="30"/>
        <w:tabs>
          <w:tab w:val="right" w:leader="dot" w:pos="9214"/>
          <w:tab w:val="clear" w:pos="709"/>
          <w:tab w:val="clear" w:pos="8364"/>
        </w:tabs>
        <w:ind w:firstLine="420"/>
      </w:pPr>
      <w:r>
        <w:rPr>
          <w:rFonts w:hint="eastAsia" w:ascii="宋体" w:hAnsi="宋体" w:eastAsia="宋体"/>
          <w:bCs w:val="0"/>
          <w:caps w:val="0"/>
          <w:smallCaps/>
        </w:rPr>
        <w:fldChar w:fldCharType="begin"/>
      </w:r>
      <w:r>
        <w:rPr>
          <w:rFonts w:hint="eastAsia" w:ascii="宋体" w:hAnsi="宋体" w:eastAsia="宋体"/>
          <w:bCs w:val="0"/>
          <w:caps w:val="0"/>
          <w:smallCaps/>
        </w:rPr>
        <w:instrText xml:space="preserve"> HYPERLINK \l _Toc22653 </w:instrText>
      </w:r>
      <w:r>
        <w:rPr>
          <w:rFonts w:hint="eastAsia" w:ascii="宋体" w:hAnsi="宋体" w:eastAsia="宋体"/>
          <w:bCs w:val="0"/>
          <w:caps w:val="0"/>
          <w:smallCaps/>
        </w:rPr>
        <w:fldChar w:fldCharType="separate"/>
      </w:r>
      <w:r>
        <w:rPr>
          <w:rFonts w:ascii="Times New Roman" w:hAnsi="Times New Roman" w:eastAsia="宋体"/>
          <w:szCs w:val="32"/>
        </w:rPr>
        <w:t xml:space="preserve">第4章 </w:t>
      </w:r>
      <w:r>
        <w:rPr>
          <w:rFonts w:hint="eastAsia"/>
        </w:rPr>
        <w:t>招标项目技术、商务及其他要求</w:t>
      </w:r>
      <w:r>
        <w:tab/>
      </w:r>
      <w:r>
        <w:fldChar w:fldCharType="begin"/>
      </w:r>
      <w:r>
        <w:instrText xml:space="preserve"> PAGEREF _Toc22653 \h </w:instrText>
      </w:r>
      <w:r>
        <w:fldChar w:fldCharType="separate"/>
      </w:r>
      <w:r>
        <w:t>47</w:t>
      </w:r>
      <w:r>
        <w:fldChar w:fldCharType="end"/>
      </w:r>
      <w:r>
        <w:rPr>
          <w:rFonts w:hint="eastAsia" w:ascii="宋体" w:hAnsi="宋体" w:eastAsia="宋体"/>
          <w:bCs w:val="0"/>
          <w:caps w:val="0"/>
          <w:smallCaps/>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_Toc4908 </w:instrText>
      </w:r>
      <w:r>
        <w:rPr>
          <w:rFonts w:hint="eastAsia" w:ascii="宋体" w:hAnsi="宋体" w:eastAsia="宋体"/>
          <w:bCs/>
          <w:caps/>
          <w:smallCaps w:val="0"/>
        </w:rPr>
        <w:fldChar w:fldCharType="separate"/>
      </w:r>
      <w:r>
        <w:rPr>
          <w:rFonts w:ascii="Times New Roman" w:hAnsi="Times New Roman" w:eastAsia="宋体"/>
          <w:szCs w:val="28"/>
        </w:rPr>
        <w:t xml:space="preserve">4.1 </w:t>
      </w:r>
      <w:r>
        <w:rPr>
          <w:rFonts w:hint="eastAsia"/>
          <w:szCs w:val="24"/>
        </w:rPr>
        <w:t>项目背景</w:t>
      </w:r>
      <w:r>
        <w:tab/>
      </w:r>
      <w:r>
        <w:fldChar w:fldCharType="begin"/>
      </w:r>
      <w:r>
        <w:instrText xml:space="preserve"> PAGEREF _Toc4908 \h </w:instrText>
      </w:r>
      <w:r>
        <w:fldChar w:fldCharType="separate"/>
      </w:r>
      <w:r>
        <w:t>47</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_Toc24025 </w:instrText>
      </w:r>
      <w:r>
        <w:rPr>
          <w:rFonts w:hint="eastAsia" w:ascii="宋体" w:hAnsi="宋体" w:eastAsia="宋体"/>
          <w:bCs/>
          <w:caps/>
          <w:smallCaps w:val="0"/>
        </w:rPr>
        <w:fldChar w:fldCharType="separate"/>
      </w:r>
      <w:r>
        <w:rPr>
          <w:rFonts w:ascii="Times New Roman" w:hAnsi="Times New Roman" w:eastAsia="宋体"/>
          <w:bCs/>
          <w:szCs w:val="28"/>
        </w:rPr>
        <w:t xml:space="preserve">4.2 </w:t>
      </w:r>
      <w:r>
        <w:rPr>
          <w:rFonts w:hint="eastAsia" w:ascii="宋体" w:hAnsi="宋体" w:eastAsia="宋体"/>
          <w:bCs/>
          <w:szCs w:val="24"/>
        </w:rPr>
        <w:t>项目现状</w:t>
      </w:r>
      <w:r>
        <w:tab/>
      </w:r>
      <w:r>
        <w:fldChar w:fldCharType="begin"/>
      </w:r>
      <w:r>
        <w:instrText xml:space="preserve"> PAGEREF _Toc24025 \h </w:instrText>
      </w:r>
      <w:r>
        <w:fldChar w:fldCharType="separate"/>
      </w:r>
      <w:r>
        <w:t>47</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_Toc16084 </w:instrText>
      </w:r>
      <w:r>
        <w:rPr>
          <w:rFonts w:hint="eastAsia" w:ascii="宋体" w:hAnsi="宋体" w:eastAsia="宋体"/>
          <w:bCs/>
          <w:caps/>
          <w:smallCaps w:val="0"/>
        </w:rPr>
        <w:fldChar w:fldCharType="separate"/>
      </w:r>
      <w:r>
        <w:rPr>
          <w:rFonts w:ascii="Times New Roman" w:hAnsi="Times New Roman" w:eastAsia="宋体"/>
          <w:bCs/>
          <w:szCs w:val="28"/>
        </w:rPr>
        <w:t xml:space="preserve">4.3 </w:t>
      </w:r>
      <w:r>
        <w:rPr>
          <w:rFonts w:hint="eastAsia" w:ascii="宋体" w:hAnsi="宋体" w:eastAsia="宋体"/>
          <w:bCs/>
          <w:szCs w:val="24"/>
        </w:rPr>
        <w:t>建设目的</w:t>
      </w:r>
      <w:r>
        <w:tab/>
      </w:r>
      <w:r>
        <w:fldChar w:fldCharType="begin"/>
      </w:r>
      <w:r>
        <w:instrText xml:space="preserve"> PAGEREF _Toc16084 \h </w:instrText>
      </w:r>
      <w:r>
        <w:fldChar w:fldCharType="separate"/>
      </w:r>
      <w:r>
        <w:t>49</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_Toc1360 </w:instrText>
      </w:r>
      <w:r>
        <w:rPr>
          <w:rFonts w:hint="eastAsia" w:ascii="宋体" w:hAnsi="宋体" w:eastAsia="宋体"/>
          <w:bCs/>
          <w:caps/>
          <w:smallCaps w:val="0"/>
        </w:rPr>
        <w:fldChar w:fldCharType="separate"/>
      </w:r>
      <w:r>
        <w:rPr>
          <w:rFonts w:ascii="Times New Roman" w:hAnsi="Times New Roman" w:eastAsia="宋体"/>
          <w:szCs w:val="28"/>
        </w:rPr>
        <w:t xml:space="preserve">4.4 </w:t>
      </w:r>
      <w:r>
        <w:rPr>
          <w:rFonts w:hint="eastAsia"/>
          <w:szCs w:val="24"/>
        </w:rPr>
        <w:t>服务内容</w:t>
      </w:r>
      <w:r>
        <w:tab/>
      </w:r>
      <w:r>
        <w:fldChar w:fldCharType="begin"/>
      </w:r>
      <w:r>
        <w:instrText xml:space="preserve"> PAGEREF _Toc1360 \h </w:instrText>
      </w:r>
      <w:r>
        <w:fldChar w:fldCharType="separate"/>
      </w:r>
      <w:r>
        <w:t>50</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_Toc12353 </w:instrText>
      </w:r>
      <w:r>
        <w:rPr>
          <w:rFonts w:hint="eastAsia" w:ascii="宋体" w:hAnsi="宋体" w:eastAsia="宋体"/>
          <w:bCs/>
          <w:caps/>
          <w:smallCaps w:val="0"/>
        </w:rPr>
        <w:fldChar w:fldCharType="separate"/>
      </w:r>
      <w:r>
        <w:rPr>
          <w:rFonts w:ascii="Times New Roman" w:hAnsi="Times New Roman" w:eastAsia="宋体"/>
          <w:szCs w:val="28"/>
        </w:rPr>
        <w:t xml:space="preserve">4.5 </w:t>
      </w:r>
      <w:r>
        <w:rPr>
          <w:rFonts w:hint="eastAsia" w:ascii="宋体" w:hAnsi="宋体" w:eastAsia="宋体" w:cs="宋体"/>
          <w:szCs w:val="24"/>
        </w:rPr>
        <w:t>运维服务及要求</w:t>
      </w:r>
      <w:r>
        <w:tab/>
      </w:r>
      <w:r>
        <w:fldChar w:fldCharType="begin"/>
      </w:r>
      <w:r>
        <w:instrText xml:space="preserve"> PAGEREF _Toc12353 \h </w:instrText>
      </w:r>
      <w:r>
        <w:fldChar w:fldCharType="separate"/>
      </w:r>
      <w:r>
        <w:t>60</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_Toc17460 </w:instrText>
      </w:r>
      <w:r>
        <w:rPr>
          <w:rFonts w:hint="eastAsia" w:ascii="宋体" w:hAnsi="宋体" w:eastAsia="宋体"/>
          <w:bCs/>
          <w:caps/>
          <w:smallCaps w:val="0"/>
        </w:rPr>
        <w:fldChar w:fldCharType="separate"/>
      </w:r>
      <w:r>
        <w:rPr>
          <w:rFonts w:ascii="Times New Roman" w:hAnsi="Times New Roman" w:eastAsia="宋体"/>
          <w:szCs w:val="28"/>
        </w:rPr>
        <w:t xml:space="preserve">4.6 </w:t>
      </w:r>
      <w:r>
        <w:rPr>
          <w:rFonts w:hint="eastAsia" w:ascii="宋体" w:hAnsi="宋体" w:eastAsia="宋体" w:cs="宋体"/>
          <w:szCs w:val="24"/>
        </w:rPr>
        <w:t>人员培训服务及要求</w:t>
      </w:r>
      <w:r>
        <w:tab/>
      </w:r>
      <w:r>
        <w:fldChar w:fldCharType="begin"/>
      </w:r>
      <w:r>
        <w:instrText xml:space="preserve"> PAGEREF _Toc17460 \h </w:instrText>
      </w:r>
      <w:r>
        <w:fldChar w:fldCharType="separate"/>
      </w:r>
      <w:r>
        <w:t>63</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_Toc23095 </w:instrText>
      </w:r>
      <w:r>
        <w:rPr>
          <w:rFonts w:hint="eastAsia" w:ascii="宋体" w:hAnsi="宋体" w:eastAsia="宋体"/>
          <w:bCs/>
          <w:caps/>
          <w:smallCaps w:val="0"/>
        </w:rPr>
        <w:fldChar w:fldCharType="separate"/>
      </w:r>
      <w:r>
        <w:rPr>
          <w:rFonts w:ascii="Times New Roman" w:hAnsi="Times New Roman" w:eastAsia="宋体"/>
          <w:szCs w:val="28"/>
        </w:rPr>
        <w:t xml:space="preserve">4.7 </w:t>
      </w:r>
      <w:r>
        <w:rPr>
          <w:rFonts w:hint="eastAsia" w:ascii="宋体" w:hAnsi="宋体" w:eastAsia="宋体" w:cs="宋体"/>
          <w:szCs w:val="24"/>
        </w:rPr>
        <w:t>商务要求</w:t>
      </w:r>
      <w:r>
        <w:tab/>
      </w:r>
      <w:r>
        <w:fldChar w:fldCharType="begin"/>
      </w:r>
      <w:r>
        <w:instrText xml:space="preserve"> PAGEREF _Toc23095 \h </w:instrText>
      </w:r>
      <w:r>
        <w:fldChar w:fldCharType="separate"/>
      </w:r>
      <w:r>
        <w:t>63</w:t>
      </w:r>
      <w:r>
        <w:fldChar w:fldCharType="end"/>
      </w:r>
      <w:r>
        <w:rPr>
          <w:rFonts w:hint="eastAsia" w:ascii="宋体" w:hAnsi="宋体" w:eastAsia="宋体"/>
          <w:bCs/>
          <w:caps/>
          <w:smallCaps w:val="0"/>
        </w:rPr>
        <w:fldChar w:fldCharType="end"/>
      </w:r>
    </w:p>
    <w:p>
      <w:pPr>
        <w:pStyle w:val="30"/>
        <w:tabs>
          <w:tab w:val="right" w:leader="dot" w:pos="9214"/>
          <w:tab w:val="clear" w:pos="709"/>
          <w:tab w:val="clear" w:pos="8364"/>
        </w:tabs>
        <w:ind w:firstLine="420"/>
      </w:pPr>
      <w:r>
        <w:rPr>
          <w:rFonts w:hint="eastAsia" w:ascii="宋体" w:hAnsi="宋体" w:eastAsia="宋体"/>
          <w:bCs w:val="0"/>
          <w:caps w:val="0"/>
          <w:smallCaps/>
        </w:rPr>
        <w:fldChar w:fldCharType="begin"/>
      </w:r>
      <w:r>
        <w:rPr>
          <w:rFonts w:hint="eastAsia" w:ascii="宋体" w:hAnsi="宋体" w:eastAsia="宋体"/>
          <w:bCs w:val="0"/>
          <w:caps w:val="0"/>
          <w:smallCaps/>
        </w:rPr>
        <w:instrText xml:space="preserve"> HYPERLINK \l _Toc12806 </w:instrText>
      </w:r>
      <w:r>
        <w:rPr>
          <w:rFonts w:hint="eastAsia" w:ascii="宋体" w:hAnsi="宋体" w:eastAsia="宋体"/>
          <w:bCs w:val="0"/>
          <w:caps w:val="0"/>
          <w:smallCaps/>
        </w:rPr>
        <w:fldChar w:fldCharType="separate"/>
      </w:r>
      <w:r>
        <w:rPr>
          <w:rFonts w:ascii="Times New Roman" w:hAnsi="Times New Roman" w:eastAsia="宋体"/>
          <w:szCs w:val="32"/>
        </w:rPr>
        <w:t xml:space="preserve">第5章 </w:t>
      </w:r>
      <w:r>
        <w:rPr>
          <w:rFonts w:hint="eastAsia"/>
        </w:rPr>
        <w:t>资格性审查</w:t>
      </w:r>
      <w:r>
        <w:tab/>
      </w:r>
      <w:r>
        <w:fldChar w:fldCharType="begin"/>
      </w:r>
      <w:r>
        <w:instrText xml:space="preserve"> PAGEREF _Toc12806 \h </w:instrText>
      </w:r>
      <w:r>
        <w:fldChar w:fldCharType="separate"/>
      </w:r>
      <w:r>
        <w:t>70</w:t>
      </w:r>
      <w:r>
        <w:fldChar w:fldCharType="end"/>
      </w:r>
      <w:r>
        <w:rPr>
          <w:rFonts w:hint="eastAsia" w:ascii="宋体" w:hAnsi="宋体" w:eastAsia="宋体"/>
          <w:bCs w:val="0"/>
          <w:caps w:val="0"/>
          <w:smallCaps/>
        </w:rPr>
        <w:fldChar w:fldCharType="end"/>
      </w:r>
    </w:p>
    <w:p>
      <w:pPr>
        <w:pStyle w:val="30"/>
        <w:tabs>
          <w:tab w:val="right" w:leader="dot" w:pos="9214"/>
          <w:tab w:val="clear" w:pos="709"/>
          <w:tab w:val="clear" w:pos="8364"/>
        </w:tabs>
        <w:ind w:firstLine="420"/>
      </w:pPr>
      <w:r>
        <w:rPr>
          <w:rFonts w:hint="eastAsia" w:ascii="宋体" w:hAnsi="宋体" w:eastAsia="宋体"/>
          <w:bCs w:val="0"/>
          <w:caps w:val="0"/>
          <w:smallCaps/>
        </w:rPr>
        <w:fldChar w:fldCharType="begin"/>
      </w:r>
      <w:r>
        <w:rPr>
          <w:rFonts w:hint="eastAsia" w:ascii="宋体" w:hAnsi="宋体" w:eastAsia="宋体"/>
          <w:bCs w:val="0"/>
          <w:caps w:val="0"/>
          <w:smallCaps/>
        </w:rPr>
        <w:instrText xml:space="preserve"> HYPERLINK \l _Toc28352 </w:instrText>
      </w:r>
      <w:r>
        <w:rPr>
          <w:rFonts w:hint="eastAsia" w:ascii="宋体" w:hAnsi="宋体" w:eastAsia="宋体"/>
          <w:bCs w:val="0"/>
          <w:caps w:val="0"/>
          <w:smallCaps/>
        </w:rPr>
        <w:fldChar w:fldCharType="separate"/>
      </w:r>
      <w:r>
        <w:rPr>
          <w:rFonts w:ascii="Times New Roman" w:hAnsi="Times New Roman" w:eastAsia="宋体"/>
          <w:szCs w:val="32"/>
        </w:rPr>
        <w:t xml:space="preserve">第6章 </w:t>
      </w:r>
      <w:r>
        <w:rPr>
          <w:rFonts w:hint="eastAsia"/>
        </w:rPr>
        <w:t>评标办法</w:t>
      </w:r>
      <w:r>
        <w:tab/>
      </w:r>
      <w:r>
        <w:fldChar w:fldCharType="begin"/>
      </w:r>
      <w:r>
        <w:instrText xml:space="preserve"> PAGEREF _Toc28352 \h </w:instrText>
      </w:r>
      <w:r>
        <w:fldChar w:fldCharType="separate"/>
      </w:r>
      <w:r>
        <w:t>74</w:t>
      </w:r>
      <w:r>
        <w:fldChar w:fldCharType="end"/>
      </w:r>
      <w:r>
        <w:rPr>
          <w:rFonts w:hint="eastAsia" w:ascii="宋体" w:hAnsi="宋体" w:eastAsia="宋体"/>
          <w:bCs w:val="0"/>
          <w:caps w:val="0"/>
          <w:smallCaps/>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_Toc30479 </w:instrText>
      </w:r>
      <w:r>
        <w:rPr>
          <w:rFonts w:hint="eastAsia" w:ascii="宋体" w:hAnsi="宋体" w:eastAsia="宋体"/>
          <w:bCs/>
          <w:caps/>
          <w:smallCaps w:val="0"/>
        </w:rPr>
        <w:fldChar w:fldCharType="separate"/>
      </w:r>
      <w:r>
        <w:rPr>
          <w:rFonts w:ascii="Times New Roman" w:hAnsi="Times New Roman" w:eastAsia="宋体"/>
          <w:szCs w:val="28"/>
        </w:rPr>
        <w:t xml:space="preserve">6.1 </w:t>
      </w:r>
      <w:r>
        <w:rPr>
          <w:rFonts w:hint="eastAsia"/>
        </w:rPr>
        <w:t>总则</w:t>
      </w:r>
      <w:r>
        <w:tab/>
      </w:r>
      <w:r>
        <w:fldChar w:fldCharType="begin"/>
      </w:r>
      <w:r>
        <w:instrText xml:space="preserve"> PAGEREF _Toc30479 \h </w:instrText>
      </w:r>
      <w:r>
        <w:fldChar w:fldCharType="separate"/>
      </w:r>
      <w:r>
        <w:t>74</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_Toc16858 </w:instrText>
      </w:r>
      <w:r>
        <w:rPr>
          <w:rFonts w:hint="eastAsia" w:ascii="宋体" w:hAnsi="宋体" w:eastAsia="宋体"/>
          <w:bCs/>
          <w:caps/>
          <w:smallCaps w:val="0"/>
        </w:rPr>
        <w:fldChar w:fldCharType="separate"/>
      </w:r>
      <w:r>
        <w:rPr>
          <w:rFonts w:ascii="Times New Roman" w:hAnsi="Times New Roman" w:eastAsia="宋体"/>
          <w:szCs w:val="28"/>
        </w:rPr>
        <w:t xml:space="preserve">6.2 </w:t>
      </w:r>
      <w:r>
        <w:rPr>
          <w:rFonts w:hint="eastAsia"/>
          <w:szCs w:val="24"/>
        </w:rPr>
        <w:t>评标方法</w:t>
      </w:r>
      <w:r>
        <w:tab/>
      </w:r>
      <w:r>
        <w:fldChar w:fldCharType="begin"/>
      </w:r>
      <w:r>
        <w:instrText xml:space="preserve"> PAGEREF _Toc16858 \h </w:instrText>
      </w:r>
      <w:r>
        <w:fldChar w:fldCharType="separate"/>
      </w:r>
      <w:r>
        <w:t>74</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_Toc6344 </w:instrText>
      </w:r>
      <w:r>
        <w:rPr>
          <w:rFonts w:hint="eastAsia" w:ascii="宋体" w:hAnsi="宋体" w:eastAsia="宋体"/>
          <w:bCs/>
          <w:caps/>
          <w:smallCaps w:val="0"/>
        </w:rPr>
        <w:fldChar w:fldCharType="separate"/>
      </w:r>
      <w:r>
        <w:rPr>
          <w:rFonts w:ascii="Times New Roman" w:hAnsi="Times New Roman" w:eastAsia="宋体"/>
          <w:szCs w:val="28"/>
        </w:rPr>
        <w:t xml:space="preserve">6.3 </w:t>
      </w:r>
      <w:r>
        <w:rPr>
          <w:rFonts w:hint="eastAsia"/>
        </w:rPr>
        <w:t>评标程序</w:t>
      </w:r>
      <w:r>
        <w:tab/>
      </w:r>
      <w:r>
        <w:fldChar w:fldCharType="begin"/>
      </w:r>
      <w:r>
        <w:instrText xml:space="preserve"> PAGEREF _Toc6344 \h </w:instrText>
      </w:r>
      <w:r>
        <w:fldChar w:fldCharType="separate"/>
      </w:r>
      <w:r>
        <w:t>75</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_Toc1730 </w:instrText>
      </w:r>
      <w:r>
        <w:rPr>
          <w:rFonts w:hint="eastAsia" w:ascii="宋体" w:hAnsi="宋体" w:eastAsia="宋体"/>
          <w:bCs/>
          <w:caps/>
          <w:smallCaps w:val="0"/>
        </w:rPr>
        <w:fldChar w:fldCharType="separate"/>
      </w:r>
      <w:r>
        <w:rPr>
          <w:rFonts w:ascii="Times New Roman" w:hAnsi="Times New Roman" w:eastAsia="宋体"/>
          <w:szCs w:val="28"/>
        </w:rPr>
        <w:t xml:space="preserve">6.4 </w:t>
      </w:r>
      <w:r>
        <w:rPr>
          <w:rFonts w:hint="eastAsia"/>
        </w:rPr>
        <w:t>评标争议处理规则</w:t>
      </w:r>
      <w:r>
        <w:tab/>
      </w:r>
      <w:r>
        <w:fldChar w:fldCharType="begin"/>
      </w:r>
      <w:r>
        <w:instrText xml:space="preserve"> PAGEREF _Toc1730 \h </w:instrText>
      </w:r>
      <w:r>
        <w:fldChar w:fldCharType="separate"/>
      </w:r>
      <w:r>
        <w:t>78</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_Toc23156 </w:instrText>
      </w:r>
      <w:r>
        <w:rPr>
          <w:rFonts w:hint="eastAsia" w:ascii="宋体" w:hAnsi="宋体" w:eastAsia="宋体"/>
          <w:bCs/>
          <w:caps/>
          <w:smallCaps w:val="0"/>
        </w:rPr>
        <w:fldChar w:fldCharType="separate"/>
      </w:r>
      <w:r>
        <w:rPr>
          <w:rFonts w:ascii="Times New Roman" w:hAnsi="Times New Roman" w:eastAsia="宋体"/>
          <w:szCs w:val="28"/>
        </w:rPr>
        <w:t xml:space="preserve">6.5 </w:t>
      </w:r>
      <w:r>
        <w:rPr>
          <w:rFonts w:hint="eastAsia"/>
        </w:rPr>
        <w:t>招标采购单位现场复核评标结果</w:t>
      </w:r>
      <w:r>
        <w:tab/>
      </w:r>
      <w:r>
        <w:fldChar w:fldCharType="begin"/>
      </w:r>
      <w:r>
        <w:instrText xml:space="preserve"> PAGEREF _Toc23156 \h </w:instrText>
      </w:r>
      <w:r>
        <w:fldChar w:fldCharType="separate"/>
      </w:r>
      <w:r>
        <w:t>78</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_Toc25768 </w:instrText>
      </w:r>
      <w:r>
        <w:rPr>
          <w:rFonts w:hint="eastAsia" w:ascii="宋体" w:hAnsi="宋体" w:eastAsia="宋体"/>
          <w:bCs/>
          <w:caps/>
          <w:smallCaps w:val="0"/>
        </w:rPr>
        <w:fldChar w:fldCharType="separate"/>
      </w:r>
      <w:r>
        <w:rPr>
          <w:rFonts w:ascii="Times New Roman" w:hAnsi="Times New Roman" w:eastAsia="宋体"/>
          <w:szCs w:val="28"/>
        </w:rPr>
        <w:t xml:space="preserve">6.6 </w:t>
      </w:r>
      <w:r>
        <w:rPr>
          <w:rFonts w:hint="eastAsia"/>
        </w:rPr>
        <w:t>评标细则及标准</w:t>
      </w:r>
      <w:r>
        <w:tab/>
      </w:r>
      <w:r>
        <w:fldChar w:fldCharType="begin"/>
      </w:r>
      <w:r>
        <w:instrText xml:space="preserve"> PAGEREF _Toc25768 \h </w:instrText>
      </w:r>
      <w:r>
        <w:fldChar w:fldCharType="separate"/>
      </w:r>
      <w:r>
        <w:t>79</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_Toc23453 </w:instrText>
      </w:r>
      <w:r>
        <w:rPr>
          <w:rFonts w:hint="eastAsia" w:ascii="宋体" w:hAnsi="宋体" w:eastAsia="宋体"/>
          <w:bCs/>
          <w:caps/>
          <w:smallCaps w:val="0"/>
        </w:rPr>
        <w:fldChar w:fldCharType="separate"/>
      </w:r>
      <w:r>
        <w:rPr>
          <w:rFonts w:ascii="Times New Roman" w:hAnsi="Times New Roman" w:eastAsia="宋体"/>
          <w:szCs w:val="28"/>
        </w:rPr>
        <w:t xml:space="preserve">6.7 </w:t>
      </w:r>
      <w:r>
        <w:rPr>
          <w:rFonts w:hint="eastAsia"/>
          <w:szCs w:val="24"/>
        </w:rPr>
        <w:t>本次政府采购活动中，出现下列情形之一的，予以废标：</w:t>
      </w:r>
      <w:r>
        <w:tab/>
      </w:r>
      <w:r>
        <w:fldChar w:fldCharType="begin"/>
      </w:r>
      <w:r>
        <w:instrText xml:space="preserve"> PAGEREF _Toc23453 \h </w:instrText>
      </w:r>
      <w:r>
        <w:fldChar w:fldCharType="separate"/>
      </w:r>
      <w:r>
        <w:t>85</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_Toc1471 </w:instrText>
      </w:r>
      <w:r>
        <w:rPr>
          <w:rFonts w:hint="eastAsia" w:ascii="宋体" w:hAnsi="宋体" w:eastAsia="宋体"/>
          <w:bCs/>
          <w:caps/>
          <w:smallCaps w:val="0"/>
        </w:rPr>
        <w:fldChar w:fldCharType="separate"/>
      </w:r>
      <w:r>
        <w:rPr>
          <w:rFonts w:ascii="Times New Roman" w:hAnsi="Times New Roman" w:eastAsia="宋体"/>
          <w:szCs w:val="28"/>
        </w:rPr>
        <w:t xml:space="preserve">6.8 </w:t>
      </w:r>
      <w:r>
        <w:rPr>
          <w:rFonts w:hint="eastAsia"/>
        </w:rPr>
        <w:t>定标</w:t>
      </w:r>
      <w:r>
        <w:tab/>
      </w:r>
      <w:r>
        <w:fldChar w:fldCharType="begin"/>
      </w:r>
      <w:r>
        <w:instrText xml:space="preserve"> PAGEREF _Toc1471 \h </w:instrText>
      </w:r>
      <w:r>
        <w:fldChar w:fldCharType="separate"/>
      </w:r>
      <w:r>
        <w:t>86</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_Toc11082 </w:instrText>
      </w:r>
      <w:r>
        <w:rPr>
          <w:rFonts w:hint="eastAsia" w:ascii="宋体" w:hAnsi="宋体" w:eastAsia="宋体"/>
          <w:bCs/>
          <w:caps/>
          <w:smallCaps w:val="0"/>
        </w:rPr>
        <w:fldChar w:fldCharType="separate"/>
      </w:r>
      <w:r>
        <w:rPr>
          <w:rFonts w:ascii="Times New Roman" w:hAnsi="Times New Roman" w:eastAsia="宋体"/>
          <w:szCs w:val="28"/>
        </w:rPr>
        <w:t xml:space="preserve">6.9 </w:t>
      </w:r>
      <w:r>
        <w:rPr>
          <w:rFonts w:hint="eastAsia"/>
        </w:rPr>
        <w:t>评标专家在政府采购活动中承担以下义务</w:t>
      </w:r>
      <w:r>
        <w:tab/>
      </w:r>
      <w:r>
        <w:fldChar w:fldCharType="begin"/>
      </w:r>
      <w:r>
        <w:instrText xml:space="preserve"> PAGEREF _Toc11082 \h </w:instrText>
      </w:r>
      <w:r>
        <w:fldChar w:fldCharType="separate"/>
      </w:r>
      <w:r>
        <w:t>86</w:t>
      </w:r>
      <w:r>
        <w:fldChar w:fldCharType="end"/>
      </w:r>
      <w:r>
        <w:rPr>
          <w:rFonts w:hint="eastAsia" w:ascii="宋体" w:hAnsi="宋体" w:eastAsia="宋体"/>
          <w:bCs/>
          <w:caps/>
          <w:smallCaps w:val="0"/>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_Toc7173 </w:instrText>
      </w:r>
      <w:r>
        <w:rPr>
          <w:rFonts w:hint="eastAsia" w:ascii="宋体" w:hAnsi="宋体" w:eastAsia="宋体"/>
          <w:bCs/>
          <w:caps/>
          <w:smallCaps w:val="0"/>
        </w:rPr>
        <w:fldChar w:fldCharType="separate"/>
      </w:r>
      <w:r>
        <w:rPr>
          <w:rFonts w:ascii="Times New Roman" w:hAnsi="Times New Roman" w:eastAsia="宋体"/>
          <w:szCs w:val="28"/>
        </w:rPr>
        <w:t xml:space="preserve">6.10 </w:t>
      </w:r>
      <w:r>
        <w:rPr>
          <w:rFonts w:hint="eastAsia"/>
        </w:rPr>
        <w:t>评审专家在政府采购活动中应当遵守以下工作纪律</w:t>
      </w:r>
      <w:r>
        <w:tab/>
      </w:r>
      <w:r>
        <w:fldChar w:fldCharType="begin"/>
      </w:r>
      <w:r>
        <w:instrText xml:space="preserve"> PAGEREF _Toc7173 \h </w:instrText>
      </w:r>
      <w:r>
        <w:fldChar w:fldCharType="separate"/>
      </w:r>
      <w:r>
        <w:t>86</w:t>
      </w:r>
      <w:r>
        <w:fldChar w:fldCharType="end"/>
      </w:r>
      <w:r>
        <w:rPr>
          <w:rFonts w:hint="eastAsia" w:ascii="宋体" w:hAnsi="宋体" w:eastAsia="宋体"/>
          <w:bCs/>
          <w:caps/>
          <w:smallCaps w:val="0"/>
        </w:rPr>
        <w:fldChar w:fldCharType="end"/>
      </w:r>
    </w:p>
    <w:p>
      <w:pPr>
        <w:pStyle w:val="30"/>
        <w:tabs>
          <w:tab w:val="right" w:leader="dot" w:pos="9214"/>
          <w:tab w:val="clear" w:pos="709"/>
          <w:tab w:val="clear" w:pos="8364"/>
        </w:tabs>
        <w:ind w:firstLine="420"/>
      </w:pPr>
      <w:r>
        <w:rPr>
          <w:rFonts w:hint="eastAsia" w:ascii="宋体" w:hAnsi="宋体" w:eastAsia="宋体"/>
          <w:bCs w:val="0"/>
          <w:caps w:val="0"/>
          <w:smallCaps/>
        </w:rPr>
        <w:fldChar w:fldCharType="begin"/>
      </w:r>
      <w:r>
        <w:rPr>
          <w:rFonts w:hint="eastAsia" w:ascii="宋体" w:hAnsi="宋体" w:eastAsia="宋体"/>
          <w:bCs w:val="0"/>
          <w:caps w:val="0"/>
          <w:smallCaps/>
        </w:rPr>
        <w:instrText xml:space="preserve"> HYPERLINK \l _Toc32304 </w:instrText>
      </w:r>
      <w:r>
        <w:rPr>
          <w:rFonts w:hint="eastAsia" w:ascii="宋体" w:hAnsi="宋体" w:eastAsia="宋体"/>
          <w:bCs w:val="0"/>
          <w:caps w:val="0"/>
          <w:smallCaps/>
        </w:rPr>
        <w:fldChar w:fldCharType="separate"/>
      </w:r>
      <w:r>
        <w:rPr>
          <w:rFonts w:ascii="Times New Roman" w:hAnsi="Times New Roman" w:eastAsia="宋体"/>
          <w:szCs w:val="32"/>
        </w:rPr>
        <w:t xml:space="preserve">第7章 </w:t>
      </w:r>
      <w:r>
        <w:rPr>
          <w:rFonts w:hint="eastAsia"/>
        </w:rPr>
        <w:t>政府采购合同</w:t>
      </w:r>
      <w:r>
        <w:tab/>
      </w:r>
      <w:r>
        <w:fldChar w:fldCharType="begin"/>
      </w:r>
      <w:r>
        <w:instrText xml:space="preserve"> PAGEREF _Toc32304 \h </w:instrText>
      </w:r>
      <w:r>
        <w:fldChar w:fldCharType="separate"/>
      </w:r>
      <w:r>
        <w:t>88</w:t>
      </w:r>
      <w:r>
        <w:fldChar w:fldCharType="end"/>
      </w:r>
      <w:r>
        <w:rPr>
          <w:rFonts w:hint="eastAsia" w:ascii="宋体" w:hAnsi="宋体" w:eastAsia="宋体"/>
          <w:bCs w:val="0"/>
          <w:caps w:val="0"/>
          <w:smallCaps/>
        </w:rPr>
        <w:fldChar w:fldCharType="end"/>
      </w:r>
    </w:p>
    <w:p>
      <w:pPr>
        <w:pStyle w:val="36"/>
        <w:tabs>
          <w:tab w:val="right" w:leader="dot" w:pos="9214"/>
          <w:tab w:val="clear" w:pos="620"/>
          <w:tab w:val="clear" w:pos="8364"/>
        </w:tabs>
        <w:ind w:firstLine="420"/>
      </w:pPr>
      <w:r>
        <w:rPr>
          <w:rFonts w:hint="eastAsia" w:ascii="宋体" w:hAnsi="宋体" w:eastAsia="宋体"/>
          <w:bCs/>
          <w:caps/>
          <w:smallCaps w:val="0"/>
        </w:rPr>
        <w:fldChar w:fldCharType="begin"/>
      </w:r>
      <w:r>
        <w:rPr>
          <w:rFonts w:hint="eastAsia" w:ascii="宋体" w:hAnsi="宋体" w:eastAsia="宋体"/>
          <w:bCs/>
          <w:caps/>
          <w:smallCaps w:val="0"/>
        </w:rPr>
        <w:instrText xml:space="preserve"> HYPERLINK \l _Toc28998 </w:instrText>
      </w:r>
      <w:r>
        <w:rPr>
          <w:rFonts w:hint="eastAsia" w:ascii="宋体" w:hAnsi="宋体" w:eastAsia="宋体"/>
          <w:bCs/>
          <w:caps/>
          <w:smallCaps w:val="0"/>
        </w:rPr>
        <w:fldChar w:fldCharType="separate"/>
      </w:r>
      <w:r>
        <w:rPr>
          <w:rFonts w:hint="eastAsia" w:ascii="宋体" w:hAnsi="宋体" w:cs="宋体"/>
          <w:bCs/>
          <w:szCs w:val="32"/>
        </w:rPr>
        <w:t>附件1：政府采购云平台使用介绍</w:t>
      </w:r>
      <w:r>
        <w:tab/>
      </w:r>
      <w:r>
        <w:fldChar w:fldCharType="begin"/>
      </w:r>
      <w:r>
        <w:instrText xml:space="preserve"> PAGEREF _Toc28998 \h </w:instrText>
      </w:r>
      <w:r>
        <w:fldChar w:fldCharType="separate"/>
      </w:r>
      <w:r>
        <w:t>91</w:t>
      </w:r>
      <w:r>
        <w:fldChar w:fldCharType="end"/>
      </w:r>
      <w:r>
        <w:rPr>
          <w:rFonts w:hint="eastAsia" w:ascii="宋体" w:hAnsi="宋体" w:eastAsia="宋体"/>
          <w:bCs/>
          <w:caps/>
          <w:smallCaps w:val="0"/>
        </w:rPr>
        <w:fldChar w:fldCharType="end"/>
      </w:r>
    </w:p>
    <w:p>
      <w:pPr>
        <w:pStyle w:val="36"/>
        <w:spacing w:line="240" w:lineRule="auto"/>
        <w:ind w:left="0" w:firstLine="0" w:firstLineChars="0"/>
        <w:rPr>
          <w:rFonts w:ascii="宋体" w:hAnsi="宋体" w:eastAsia="宋体"/>
          <w:bCs/>
          <w:caps/>
          <w:smallCaps w:val="0"/>
        </w:rPr>
      </w:pPr>
      <w:r>
        <w:rPr>
          <w:rFonts w:hint="eastAsia" w:ascii="宋体" w:hAnsi="宋体" w:eastAsia="宋体"/>
          <w:bCs/>
          <w:caps/>
          <w:smallCaps w:val="0"/>
        </w:rPr>
        <w:fldChar w:fldCharType="end"/>
      </w:r>
    </w:p>
    <w:p>
      <w:pPr>
        <w:ind w:firstLine="480"/>
        <w:rPr>
          <w:rFonts w:ascii="宋体" w:hAnsi="宋体"/>
          <w:bCs/>
          <w:caps/>
        </w:rPr>
      </w:pPr>
    </w:p>
    <w:p>
      <w:pPr>
        <w:pStyle w:val="2"/>
        <w:ind w:firstLine="480"/>
        <w:rPr>
          <w:rFonts w:ascii="宋体" w:hAnsi="宋体"/>
          <w:bCs/>
          <w:caps/>
        </w:rPr>
      </w:pPr>
    </w:p>
    <w:p>
      <w:pPr>
        <w:ind w:firstLine="480"/>
        <w:rPr>
          <w:rFonts w:ascii="宋体" w:hAnsi="宋体"/>
          <w:bCs/>
          <w:caps/>
        </w:rPr>
      </w:pPr>
    </w:p>
    <w:p>
      <w:pPr>
        <w:pStyle w:val="211"/>
        <w:ind w:firstLine="482"/>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10"/>
        <w:rPr>
          <w:rFonts w:ascii="宋体" w:hAnsi="宋体"/>
          <w:bCs/>
          <w:caps/>
        </w:rPr>
      </w:pPr>
    </w:p>
    <w:p>
      <w:pPr>
        <w:pStyle w:val="2"/>
        <w:ind w:firstLine="480"/>
      </w:pPr>
    </w:p>
    <w:p>
      <w:pPr>
        <w:pStyle w:val="4"/>
      </w:pPr>
      <w:bookmarkStart w:id="13" w:name="_Toc3116"/>
      <w:bookmarkStart w:id="14" w:name="_Toc28231"/>
      <w:bookmarkStart w:id="15" w:name="_Toc181610856"/>
      <w:bookmarkStart w:id="16" w:name="_Toc3763"/>
      <w:bookmarkStart w:id="17" w:name="_Toc204575871"/>
      <w:bookmarkStart w:id="18" w:name="_Toc181591102"/>
      <w:r>
        <w:rPr>
          <w:rFonts w:hint="eastAsia"/>
        </w:rPr>
        <w:t>投标邀请</w:t>
      </w:r>
      <w:bookmarkEnd w:id="13"/>
      <w:bookmarkEnd w:id="14"/>
      <w:bookmarkEnd w:id="15"/>
      <w:bookmarkEnd w:id="16"/>
      <w:bookmarkEnd w:id="17"/>
      <w:bookmarkEnd w:id="18"/>
    </w:p>
    <w:p>
      <w:pPr>
        <w:ind w:firstLine="480"/>
        <w:rPr>
          <w:rFonts w:ascii="宋体" w:hAnsi="宋体"/>
          <w:szCs w:val="24"/>
        </w:rPr>
      </w:pPr>
      <w:r>
        <w:rPr>
          <w:rFonts w:hint="eastAsia" w:ascii="宋体" w:hAnsi="宋体"/>
          <w:szCs w:val="24"/>
        </w:rPr>
        <w:t>四川世科工程咨询有限公司受</w:t>
      </w:r>
      <w:r>
        <w:rPr>
          <w:rFonts w:hint="eastAsia" w:ascii="宋体" w:hAnsi="宋体"/>
          <w:b/>
          <w:szCs w:val="24"/>
        </w:rPr>
        <w:t>成都市龙泉驿生态环境局</w:t>
      </w:r>
      <w:r>
        <w:rPr>
          <w:rFonts w:hint="eastAsia" w:ascii="宋体" w:hAnsi="宋体"/>
          <w:szCs w:val="24"/>
        </w:rPr>
        <w:t>委托，拟对</w:t>
      </w:r>
      <w:r>
        <w:rPr>
          <w:rFonts w:hint="eastAsia" w:ascii="宋体" w:hAnsi="宋体"/>
          <w:b/>
          <w:szCs w:val="24"/>
          <w:lang w:eastAsia="zh-CN"/>
        </w:rPr>
        <w:t>成都市龙泉驿生态环境局成都市中心城区“6+1”区域智能大气环境监测管治服务采购项目（第二次）</w:t>
      </w:r>
      <w:r>
        <w:rPr>
          <w:rFonts w:hint="eastAsia" w:ascii="宋体" w:hAnsi="宋体"/>
          <w:szCs w:val="24"/>
        </w:rPr>
        <w:t>进行国内公开招标，兹邀请符合本次招标要求的供应商参加投标。</w:t>
      </w:r>
    </w:p>
    <w:p>
      <w:pPr>
        <w:numPr>
          <w:ilvl w:val="0"/>
          <w:numId w:val="4"/>
        </w:numPr>
        <w:ind w:left="0" w:firstLine="482"/>
        <w:rPr>
          <w:rFonts w:ascii="宋体" w:hAnsi="宋体"/>
          <w:b/>
          <w:szCs w:val="24"/>
        </w:rPr>
      </w:pPr>
      <w:r>
        <w:rPr>
          <w:rFonts w:hint="eastAsia" w:ascii="宋体" w:hAnsi="宋体"/>
          <w:b/>
          <w:szCs w:val="24"/>
        </w:rPr>
        <w:t>项目编号：</w:t>
      </w:r>
      <w:r>
        <w:rPr>
          <w:rFonts w:hint="eastAsia" w:ascii="宋体" w:hAnsi="宋体"/>
          <w:b/>
          <w:szCs w:val="24"/>
          <w:lang w:eastAsia="zh-CN"/>
        </w:rPr>
        <w:t>510112202100362</w:t>
      </w:r>
    </w:p>
    <w:p>
      <w:pPr>
        <w:numPr>
          <w:ilvl w:val="0"/>
          <w:numId w:val="4"/>
        </w:numPr>
        <w:ind w:left="0" w:firstLine="482"/>
        <w:rPr>
          <w:rFonts w:ascii="宋体" w:hAnsi="宋体"/>
          <w:b/>
          <w:szCs w:val="24"/>
        </w:rPr>
      </w:pPr>
      <w:r>
        <w:rPr>
          <w:rFonts w:hint="eastAsia" w:ascii="宋体" w:hAnsi="宋体"/>
          <w:b/>
          <w:szCs w:val="24"/>
        </w:rPr>
        <w:t>招标项目：</w:t>
      </w:r>
      <w:r>
        <w:rPr>
          <w:rFonts w:hint="eastAsia" w:ascii="宋体" w:hAnsi="宋体"/>
          <w:b/>
          <w:szCs w:val="24"/>
          <w:lang w:eastAsia="zh-CN"/>
        </w:rPr>
        <w:t>成都市龙泉驿生态环境局成都市中心城区“6+1”区域智能大气环境监测管治服务采购项目（第二次）</w:t>
      </w:r>
    </w:p>
    <w:p>
      <w:pPr>
        <w:numPr>
          <w:ilvl w:val="0"/>
          <w:numId w:val="4"/>
        </w:numPr>
        <w:ind w:left="0" w:firstLine="482"/>
        <w:rPr>
          <w:rFonts w:ascii="宋体" w:hAnsi="宋体"/>
          <w:b/>
          <w:szCs w:val="24"/>
        </w:rPr>
      </w:pPr>
      <w:r>
        <w:rPr>
          <w:rFonts w:hint="eastAsia" w:ascii="宋体" w:hAnsi="宋体"/>
          <w:b/>
          <w:szCs w:val="24"/>
        </w:rPr>
        <w:t>资金来源及预算金额：</w:t>
      </w:r>
      <w:r>
        <w:rPr>
          <w:rFonts w:hint="eastAsia" w:ascii="宋体" w:hAnsi="宋体"/>
          <w:szCs w:val="24"/>
        </w:rPr>
        <w:t>财政性资</w:t>
      </w:r>
      <w:r>
        <w:rPr>
          <w:rFonts w:hint="eastAsia" w:ascii="宋体" w:hAnsi="宋体"/>
          <w:szCs w:val="24"/>
          <w:highlight w:val="none"/>
        </w:rPr>
        <w:t>金，预算品目：</w:t>
      </w:r>
      <w:r>
        <w:rPr>
          <w:rFonts w:hint="eastAsia" w:ascii="宋体" w:hAnsi="宋体"/>
          <w:szCs w:val="24"/>
          <w:highlight w:val="none"/>
          <w:lang w:val="en-US" w:eastAsia="zh-CN"/>
        </w:rPr>
        <w:t>空气污染治理服务</w:t>
      </w:r>
      <w:r>
        <w:rPr>
          <w:rFonts w:hint="eastAsia" w:ascii="宋体" w:hAnsi="宋体"/>
          <w:szCs w:val="24"/>
          <w:highlight w:val="none"/>
        </w:rPr>
        <w:t xml:space="preserve">；预算金额:   </w:t>
      </w:r>
      <w:r>
        <w:rPr>
          <w:rFonts w:hint="eastAsia" w:ascii="宋体" w:hAnsi="宋体"/>
          <w:szCs w:val="24"/>
          <w:highlight w:val="none"/>
          <w:lang w:val="en-US" w:eastAsia="zh-CN"/>
        </w:rPr>
        <w:t>1437.5</w:t>
      </w:r>
      <w:r>
        <w:rPr>
          <w:rFonts w:hint="eastAsia" w:ascii="宋体" w:hAnsi="宋体"/>
          <w:szCs w:val="24"/>
          <w:highlight w:val="none"/>
        </w:rPr>
        <w:t>万元/年。</w:t>
      </w:r>
    </w:p>
    <w:p>
      <w:pPr>
        <w:numPr>
          <w:ilvl w:val="0"/>
          <w:numId w:val="4"/>
        </w:numPr>
        <w:ind w:left="0" w:firstLine="482"/>
        <w:rPr>
          <w:rFonts w:ascii="宋体" w:hAnsi="宋体"/>
          <w:b/>
          <w:szCs w:val="24"/>
        </w:rPr>
      </w:pPr>
      <w:r>
        <w:rPr>
          <w:rFonts w:hint="eastAsia" w:ascii="宋体" w:hAnsi="宋体"/>
          <w:b/>
          <w:szCs w:val="24"/>
        </w:rPr>
        <w:t>招标项目简介</w:t>
      </w:r>
    </w:p>
    <w:p>
      <w:pPr>
        <w:ind w:firstLine="480"/>
        <w:rPr>
          <w:rFonts w:ascii="宋体" w:hAnsi="宋体"/>
          <w:szCs w:val="24"/>
        </w:rPr>
      </w:pPr>
      <w:r>
        <w:rPr>
          <w:rFonts w:hint="eastAsia" w:ascii="宋体" w:hAnsi="宋体"/>
          <w:bCs/>
          <w:szCs w:val="24"/>
          <w:lang w:eastAsia="zh-CN"/>
        </w:rPr>
        <w:t>成都市龙泉驿生态环境局成都市中心城区“6+1”区域智能大气环境监测管治服务采购项目（第二次）</w:t>
      </w:r>
      <w:r>
        <w:rPr>
          <w:rFonts w:hint="eastAsia" w:ascii="宋体" w:hAnsi="宋体"/>
          <w:szCs w:val="24"/>
        </w:rPr>
        <w:t>。</w:t>
      </w:r>
    </w:p>
    <w:p>
      <w:pPr>
        <w:ind w:firstLine="480"/>
        <w:rPr>
          <w:rFonts w:ascii="宋体" w:hAnsi="宋体"/>
          <w:szCs w:val="24"/>
        </w:rPr>
      </w:pPr>
      <w:r>
        <w:rPr>
          <w:rFonts w:hint="eastAsia" w:ascii="宋体" w:hAnsi="宋体"/>
          <w:szCs w:val="24"/>
        </w:rPr>
        <w:t>投标人必须对所有货物及服务内容进行投标，并响应招标文件的要求。详细的技术、商务及其他要求见第4章。</w:t>
      </w:r>
    </w:p>
    <w:p>
      <w:pPr>
        <w:numPr>
          <w:ilvl w:val="0"/>
          <w:numId w:val="4"/>
        </w:numPr>
        <w:ind w:left="0" w:firstLine="482"/>
        <w:rPr>
          <w:rFonts w:ascii="宋体" w:hAnsi="宋体"/>
          <w:b/>
          <w:szCs w:val="24"/>
        </w:rPr>
      </w:pPr>
      <w:r>
        <w:rPr>
          <w:rFonts w:hint="eastAsia" w:ascii="宋体" w:hAnsi="宋体"/>
          <w:b/>
          <w:szCs w:val="24"/>
        </w:rPr>
        <w:t>供应商参加本次政府采购活动应具备的条件</w:t>
      </w:r>
    </w:p>
    <w:p>
      <w:pPr>
        <w:pStyle w:val="144"/>
        <w:numPr>
          <w:ilvl w:val="1"/>
          <w:numId w:val="5"/>
        </w:numPr>
        <w:tabs>
          <w:tab w:val="left" w:pos="1260"/>
          <w:tab w:val="clear" w:pos="1130"/>
        </w:tabs>
        <w:ind w:left="0" w:firstLine="630" w:firstLineChars="0"/>
        <w:rPr>
          <w:rFonts w:hint="eastAsia" w:ascii="宋体" w:hAnsi="宋体" w:cs="宋体"/>
        </w:rPr>
      </w:pPr>
      <w:r>
        <w:rPr>
          <w:rFonts w:hint="eastAsia" w:ascii="宋体" w:hAnsi="宋体" w:cs="宋体"/>
        </w:rPr>
        <w:t>具备《中华人民共和国政府采购法》第二十二条规定的条件：</w:t>
      </w:r>
    </w:p>
    <w:p>
      <w:pPr>
        <w:pStyle w:val="144"/>
        <w:numPr>
          <w:ilvl w:val="0"/>
          <w:numId w:val="6"/>
        </w:numPr>
        <w:tabs>
          <w:tab w:val="left" w:pos="0"/>
          <w:tab w:val="left" w:pos="1260"/>
          <w:tab w:val="clear" w:pos="420"/>
        </w:tabs>
        <w:ind w:left="5" w:firstLine="715" w:firstLineChars="0"/>
        <w:rPr>
          <w:rFonts w:hint="eastAsia" w:ascii="宋体" w:hAnsi="宋体" w:cs="宋体"/>
        </w:rPr>
      </w:pPr>
      <w:r>
        <w:rPr>
          <w:rFonts w:hint="eastAsia" w:ascii="宋体" w:hAnsi="宋体" w:cs="宋体"/>
        </w:rPr>
        <w:t>具有独立承担民事责任的能力；</w:t>
      </w:r>
    </w:p>
    <w:p>
      <w:pPr>
        <w:pStyle w:val="144"/>
        <w:numPr>
          <w:ilvl w:val="0"/>
          <w:numId w:val="6"/>
        </w:numPr>
        <w:tabs>
          <w:tab w:val="left" w:pos="0"/>
          <w:tab w:val="left" w:pos="1260"/>
          <w:tab w:val="clear" w:pos="420"/>
        </w:tabs>
        <w:ind w:left="5" w:firstLine="715" w:firstLineChars="0"/>
        <w:rPr>
          <w:rFonts w:hint="eastAsia" w:ascii="宋体" w:hAnsi="宋体" w:cs="宋体"/>
        </w:rPr>
      </w:pPr>
      <w:r>
        <w:rPr>
          <w:rFonts w:hint="eastAsia" w:ascii="宋体" w:hAnsi="宋体" w:cs="宋体"/>
        </w:rPr>
        <w:t>具有良好的商业信誉和健全的财务会计制度；</w:t>
      </w:r>
    </w:p>
    <w:p>
      <w:pPr>
        <w:pStyle w:val="144"/>
        <w:numPr>
          <w:ilvl w:val="0"/>
          <w:numId w:val="6"/>
        </w:numPr>
        <w:tabs>
          <w:tab w:val="left" w:pos="0"/>
          <w:tab w:val="left" w:pos="1260"/>
          <w:tab w:val="clear" w:pos="420"/>
        </w:tabs>
        <w:ind w:left="5" w:firstLine="715" w:firstLineChars="0"/>
        <w:rPr>
          <w:rFonts w:hint="eastAsia" w:ascii="宋体" w:hAnsi="宋体" w:cs="宋体"/>
        </w:rPr>
      </w:pPr>
      <w:r>
        <w:rPr>
          <w:rFonts w:hint="eastAsia" w:ascii="宋体" w:hAnsi="宋体" w:cs="宋体"/>
        </w:rPr>
        <w:t>具有履行合同所必须的设备和专业技术能力；</w:t>
      </w:r>
    </w:p>
    <w:p>
      <w:pPr>
        <w:pStyle w:val="144"/>
        <w:numPr>
          <w:ilvl w:val="0"/>
          <w:numId w:val="6"/>
        </w:numPr>
        <w:tabs>
          <w:tab w:val="left" w:pos="0"/>
          <w:tab w:val="left" w:pos="1260"/>
          <w:tab w:val="clear" w:pos="420"/>
        </w:tabs>
        <w:ind w:left="5" w:firstLine="715" w:firstLineChars="0"/>
        <w:rPr>
          <w:rFonts w:hint="eastAsia" w:ascii="宋体" w:hAnsi="宋体" w:cs="宋体"/>
        </w:rPr>
      </w:pPr>
      <w:r>
        <w:rPr>
          <w:rFonts w:hint="eastAsia" w:ascii="宋体" w:hAnsi="宋体" w:cs="宋体"/>
        </w:rPr>
        <w:t>具有依法缴纳税收和社会保障资金的良好记录；</w:t>
      </w:r>
    </w:p>
    <w:p>
      <w:pPr>
        <w:pStyle w:val="144"/>
        <w:numPr>
          <w:ilvl w:val="0"/>
          <w:numId w:val="6"/>
        </w:numPr>
        <w:tabs>
          <w:tab w:val="left" w:pos="0"/>
          <w:tab w:val="left" w:pos="1260"/>
          <w:tab w:val="clear" w:pos="420"/>
        </w:tabs>
        <w:ind w:left="5" w:firstLine="715" w:firstLineChars="0"/>
        <w:rPr>
          <w:rFonts w:hint="eastAsia" w:ascii="宋体" w:hAnsi="宋体" w:cs="宋体"/>
        </w:rPr>
      </w:pPr>
      <w:r>
        <w:rPr>
          <w:rFonts w:hint="eastAsia" w:ascii="宋体" w:hAnsi="宋体" w:cs="宋体"/>
        </w:rPr>
        <w:t>参加本次政府采购活动前三年内，在经营活动中没有重大违法记录；</w:t>
      </w:r>
    </w:p>
    <w:p>
      <w:pPr>
        <w:pStyle w:val="144"/>
        <w:numPr>
          <w:ilvl w:val="0"/>
          <w:numId w:val="6"/>
        </w:numPr>
        <w:tabs>
          <w:tab w:val="left" w:pos="0"/>
          <w:tab w:val="left" w:pos="1260"/>
          <w:tab w:val="clear" w:pos="420"/>
        </w:tabs>
        <w:ind w:left="5" w:firstLine="715" w:firstLineChars="0"/>
        <w:rPr>
          <w:rFonts w:hint="eastAsia" w:ascii="宋体" w:hAnsi="宋体" w:cs="宋体"/>
        </w:rPr>
      </w:pPr>
      <w:r>
        <w:rPr>
          <w:rFonts w:hint="eastAsia" w:ascii="宋体" w:hAnsi="宋体" w:cs="宋体"/>
        </w:rPr>
        <w:t>法律、行政法规规定的其他条件。</w:t>
      </w:r>
    </w:p>
    <w:p>
      <w:pPr>
        <w:pStyle w:val="144"/>
        <w:numPr>
          <w:ilvl w:val="1"/>
          <w:numId w:val="5"/>
        </w:numPr>
        <w:tabs>
          <w:tab w:val="left" w:pos="1260"/>
          <w:tab w:val="clear" w:pos="1130"/>
        </w:tabs>
        <w:ind w:left="0" w:firstLine="630" w:firstLineChars="0"/>
        <w:rPr>
          <w:rFonts w:hint="eastAsia" w:ascii="宋体" w:hAnsi="宋体" w:cs="宋体"/>
        </w:rPr>
      </w:pPr>
      <w:r>
        <w:rPr>
          <w:rFonts w:hint="eastAsia" w:ascii="宋体" w:hAnsi="宋体" w:cs="宋体"/>
        </w:rPr>
        <w:t>根据本项目的特殊要求，供应商还必须具备以下特定条件：</w:t>
      </w:r>
    </w:p>
    <w:p>
      <w:pPr>
        <w:pStyle w:val="144"/>
        <w:numPr>
          <w:ilvl w:val="0"/>
          <w:numId w:val="7"/>
        </w:numPr>
        <w:tabs>
          <w:tab w:val="left" w:pos="0"/>
          <w:tab w:val="left" w:pos="1260"/>
          <w:tab w:val="clear" w:pos="420"/>
        </w:tabs>
        <w:ind w:left="5" w:firstLine="715" w:firstLineChars="0"/>
        <w:rPr>
          <w:rFonts w:hint="eastAsia" w:ascii="宋体" w:hAnsi="宋体" w:cs="宋体"/>
        </w:rPr>
      </w:pPr>
      <w:r>
        <w:rPr>
          <w:rFonts w:hint="eastAsia" w:ascii="宋体" w:hAnsi="宋体" w:cs="宋体"/>
        </w:rPr>
        <w:t>未被列入经营异常名录；</w:t>
      </w:r>
    </w:p>
    <w:p>
      <w:pPr>
        <w:pStyle w:val="144"/>
        <w:numPr>
          <w:ilvl w:val="0"/>
          <w:numId w:val="7"/>
        </w:numPr>
        <w:tabs>
          <w:tab w:val="left" w:pos="0"/>
          <w:tab w:val="left" w:pos="1260"/>
          <w:tab w:val="clear" w:pos="420"/>
        </w:tabs>
        <w:ind w:left="5" w:firstLine="715" w:firstLineChars="0"/>
        <w:rPr>
          <w:rFonts w:hint="eastAsia" w:ascii="宋体" w:hAnsi="宋体" w:cs="宋体"/>
        </w:rPr>
      </w:pPr>
      <w:r>
        <w:rPr>
          <w:rFonts w:hint="eastAsia" w:ascii="宋体" w:hAnsi="宋体" w:cs="宋体"/>
        </w:rPr>
        <w:t>未被列入失信被执行人、重大税收违法案件当事人名单、政府采购严重违法失信行为记录名单；</w:t>
      </w:r>
    </w:p>
    <w:p>
      <w:pPr>
        <w:pStyle w:val="144"/>
        <w:numPr>
          <w:ilvl w:val="0"/>
          <w:numId w:val="7"/>
        </w:numPr>
        <w:tabs>
          <w:tab w:val="left" w:pos="0"/>
          <w:tab w:val="left" w:pos="1260"/>
          <w:tab w:val="clear" w:pos="420"/>
        </w:tabs>
        <w:ind w:left="5" w:firstLine="715" w:firstLineChars="0"/>
        <w:rPr>
          <w:rFonts w:hint="eastAsia" w:ascii="宋体" w:hAnsi="宋体" w:cs="宋体"/>
        </w:rPr>
      </w:pPr>
      <w:r>
        <w:rPr>
          <w:rFonts w:hint="eastAsia" w:ascii="宋体" w:hAnsi="宋体" w:cs="宋体"/>
        </w:rPr>
        <w:t xml:space="preserve">在行贿犯罪信息查询期限内，供应商及其现任法定代表人、主要负责人没有行贿犯罪记录； </w:t>
      </w:r>
    </w:p>
    <w:p>
      <w:pPr>
        <w:pStyle w:val="144"/>
        <w:numPr>
          <w:ilvl w:val="0"/>
          <w:numId w:val="7"/>
        </w:numPr>
        <w:tabs>
          <w:tab w:val="left" w:pos="0"/>
          <w:tab w:val="left" w:pos="1260"/>
          <w:tab w:val="clear" w:pos="420"/>
        </w:tabs>
        <w:ind w:left="5" w:firstLine="715" w:firstLineChars="0"/>
        <w:rPr>
          <w:rFonts w:hint="eastAsia" w:ascii="宋体" w:hAnsi="宋体" w:cs="宋体"/>
          <w:highlight w:val="none"/>
        </w:rPr>
      </w:pPr>
      <w:r>
        <w:rPr>
          <w:rFonts w:hint="eastAsia" w:ascii="宋体" w:hAnsi="宋体" w:cs="宋体"/>
          <w:highlight w:val="none"/>
        </w:rPr>
        <w:t>本项目专门面向中小企业采购；</w:t>
      </w:r>
      <w:r>
        <w:rPr>
          <w:rFonts w:hint="eastAsia" w:ascii="宋体" w:hAnsi="宋体" w:eastAsia="宋体" w:cs="宋体"/>
          <w:color w:val="auto"/>
          <w:sz w:val="24"/>
          <w:szCs w:val="24"/>
          <w:highlight w:val="none"/>
        </w:rPr>
        <w:t xml:space="preserve">（供应商为监狱企业、残疾人福利性单位的视同小型、微型企业） </w:t>
      </w:r>
    </w:p>
    <w:p>
      <w:pPr>
        <w:pStyle w:val="144"/>
        <w:numPr>
          <w:ilvl w:val="0"/>
          <w:numId w:val="7"/>
        </w:numPr>
        <w:tabs>
          <w:tab w:val="left" w:pos="0"/>
          <w:tab w:val="left" w:pos="1260"/>
          <w:tab w:val="clear" w:pos="420"/>
        </w:tabs>
        <w:ind w:left="5" w:firstLine="715" w:firstLineChars="0"/>
        <w:rPr>
          <w:rFonts w:hint="eastAsia" w:ascii="宋体" w:hAnsi="宋体" w:cs="宋体"/>
        </w:rPr>
      </w:pPr>
      <w:r>
        <w:rPr>
          <w:rFonts w:hint="eastAsia" w:ascii="宋体" w:hAnsi="宋体" w:cs="宋体"/>
        </w:rPr>
        <w:t xml:space="preserve">不属于其他国家相关法律法规规定的禁止参加投标的供应商； </w:t>
      </w:r>
    </w:p>
    <w:p>
      <w:pPr>
        <w:pStyle w:val="144"/>
        <w:numPr>
          <w:ilvl w:val="0"/>
          <w:numId w:val="7"/>
        </w:numPr>
        <w:tabs>
          <w:tab w:val="left" w:pos="0"/>
          <w:tab w:val="left" w:pos="1260"/>
          <w:tab w:val="clear" w:pos="420"/>
        </w:tabs>
        <w:ind w:left="5" w:firstLine="715" w:firstLineChars="0"/>
        <w:rPr>
          <w:rFonts w:hint="eastAsia" w:ascii="宋体" w:hAnsi="宋体" w:cs="宋体"/>
        </w:rPr>
      </w:pPr>
      <w:r>
        <w:rPr>
          <w:rFonts w:hint="eastAsia" w:ascii="宋体" w:hAnsi="宋体" w:cs="宋体"/>
        </w:rPr>
        <w:t>本项目不接受联合体投标。</w:t>
      </w:r>
    </w:p>
    <w:p>
      <w:pPr>
        <w:numPr>
          <w:ilvl w:val="0"/>
          <w:numId w:val="4"/>
        </w:numPr>
        <w:ind w:left="0" w:firstLine="482"/>
        <w:rPr>
          <w:rFonts w:hint="eastAsia" w:ascii="宋体" w:hAnsi="宋体"/>
          <w:b/>
          <w:szCs w:val="24"/>
        </w:rPr>
      </w:pPr>
      <w:r>
        <w:rPr>
          <w:rFonts w:hint="eastAsia" w:ascii="宋体" w:hAnsi="宋体"/>
          <w:b/>
          <w:szCs w:val="24"/>
        </w:rPr>
        <w:t>招标文件获取时间</w:t>
      </w:r>
    </w:p>
    <w:p>
      <w:pPr>
        <w:spacing w:after="50" w:line="420" w:lineRule="exact"/>
        <w:ind w:firstLine="482"/>
        <w:rPr>
          <w:rFonts w:ascii="宋体" w:hAnsi="宋体" w:cs="宋体"/>
          <w:b/>
          <w:bCs/>
        </w:rPr>
      </w:pPr>
      <w:r>
        <w:rPr>
          <w:rFonts w:hint="eastAsia" w:ascii="宋体" w:hAnsi="宋体" w:cs="宋体"/>
          <w:b/>
          <w:bCs/>
        </w:rPr>
        <w:t>2021年</w:t>
      </w:r>
      <w:r>
        <w:rPr>
          <w:rFonts w:hint="eastAsia" w:ascii="宋体" w:hAnsi="宋体" w:cs="宋体"/>
          <w:b/>
          <w:bCs/>
          <w:lang w:val="en-US" w:eastAsia="zh-CN"/>
        </w:rPr>
        <w:t>12</w:t>
      </w:r>
      <w:r>
        <w:rPr>
          <w:rFonts w:hint="eastAsia" w:ascii="宋体" w:hAnsi="宋体" w:cs="宋体"/>
          <w:b/>
          <w:bCs/>
        </w:rPr>
        <w:t>月</w:t>
      </w:r>
      <w:r>
        <w:rPr>
          <w:rFonts w:hint="eastAsia" w:ascii="宋体" w:hAnsi="宋体" w:cs="宋体"/>
          <w:b/>
          <w:bCs/>
          <w:lang w:val="en-US" w:eastAsia="zh-CN"/>
        </w:rPr>
        <w:t>1</w:t>
      </w:r>
      <w:r>
        <w:rPr>
          <w:rFonts w:hint="eastAsia" w:ascii="宋体" w:hAnsi="宋体" w:cs="宋体"/>
          <w:b/>
          <w:bCs/>
        </w:rPr>
        <w:t>日至2021年</w:t>
      </w:r>
      <w:r>
        <w:rPr>
          <w:rFonts w:hint="eastAsia" w:ascii="宋体" w:hAnsi="宋体" w:cs="宋体"/>
          <w:b/>
          <w:bCs/>
          <w:lang w:val="en-US" w:eastAsia="zh-CN"/>
        </w:rPr>
        <w:t>12</w:t>
      </w:r>
      <w:r>
        <w:rPr>
          <w:rFonts w:hint="eastAsia" w:ascii="宋体" w:hAnsi="宋体" w:cs="宋体"/>
          <w:b/>
          <w:bCs/>
        </w:rPr>
        <w:t>月</w:t>
      </w:r>
      <w:r>
        <w:rPr>
          <w:rFonts w:hint="eastAsia" w:ascii="宋体" w:hAnsi="宋体" w:cs="宋体"/>
          <w:b/>
          <w:bCs/>
          <w:lang w:val="en-US" w:eastAsia="zh-CN"/>
        </w:rPr>
        <w:t>7</w:t>
      </w:r>
      <w:r>
        <w:rPr>
          <w:rFonts w:hint="eastAsia" w:ascii="宋体" w:hAnsi="宋体" w:cs="宋体"/>
          <w:b/>
          <w:bCs/>
        </w:rPr>
        <w:t>日</w:t>
      </w:r>
    </w:p>
    <w:p>
      <w:pPr>
        <w:numPr>
          <w:ilvl w:val="0"/>
          <w:numId w:val="4"/>
        </w:numPr>
        <w:ind w:left="0" w:firstLine="482"/>
      </w:pPr>
      <w:r>
        <w:rPr>
          <w:rFonts w:hint="eastAsia" w:ascii="宋体" w:hAnsi="宋体"/>
          <w:b/>
          <w:szCs w:val="24"/>
        </w:rPr>
        <w:t>招标文件获取方式</w:t>
      </w:r>
    </w:p>
    <w:p>
      <w:pPr>
        <w:spacing w:after="50" w:line="420" w:lineRule="exact"/>
        <w:ind w:firstLine="480"/>
        <w:rPr>
          <w:rFonts w:hint="eastAsia" w:ascii="宋体" w:hAnsi="宋体" w:cs="宋体"/>
        </w:rPr>
      </w:pPr>
      <w:r>
        <w:rPr>
          <w:rFonts w:hint="eastAsia" w:ascii="宋体" w:hAnsi="宋体" w:cs="宋体"/>
        </w:rPr>
        <w:t>招标文件获取方式：投标人从“政府采购云平台”获取采购文件（网址：</w:t>
      </w:r>
      <w:r>
        <w:rPr>
          <w:rFonts w:hint="eastAsia" w:ascii="宋体" w:hAnsi="宋体" w:cs="宋体"/>
        </w:rPr>
        <w:fldChar w:fldCharType="begin"/>
      </w:r>
      <w:r>
        <w:rPr>
          <w:rFonts w:hint="eastAsia" w:ascii="宋体" w:hAnsi="宋体" w:cs="宋体"/>
        </w:rPr>
        <w:instrText xml:space="preserve"> HYPERLINK "https://www.zcygov.cn）项目采购—获取采购文件—申请获取采购文件。_x0005_" </w:instrText>
      </w:r>
      <w:r>
        <w:rPr>
          <w:rFonts w:hint="eastAsia" w:ascii="宋体" w:hAnsi="宋体" w:cs="宋体"/>
        </w:rPr>
        <w:fldChar w:fldCharType="separate"/>
      </w:r>
      <w:r>
        <w:rPr>
          <w:rFonts w:hint="eastAsia" w:ascii="宋体" w:hAnsi="宋体" w:cs="宋体"/>
        </w:rPr>
        <w:t>https://www.zcygov.cn）。登录政府采购云平台—项目采购—获取采购文件—申请获取采购文件</w:t>
      </w:r>
      <w:r>
        <w:rPr>
          <w:rFonts w:hint="eastAsia" w:ascii="宋体" w:hAnsi="宋体" w:cs="宋体"/>
        </w:rPr>
        <w:fldChar w:fldCharType="end"/>
      </w:r>
      <w:r>
        <w:rPr>
          <w:rFonts w:hint="eastAsia" w:ascii="宋体" w:hAnsi="宋体" w:cs="宋体"/>
        </w:rPr>
        <w:t>。</w:t>
      </w:r>
    </w:p>
    <w:p>
      <w:pPr>
        <w:spacing w:after="50" w:line="420" w:lineRule="exact"/>
        <w:ind w:firstLine="480"/>
        <w:rPr>
          <w:rFonts w:hint="eastAsia" w:ascii="宋体" w:hAnsi="宋体" w:cs="宋体"/>
        </w:rPr>
      </w:pPr>
      <w:r>
        <w:rPr>
          <w:rFonts w:hint="eastAsia" w:ascii="宋体" w:hAnsi="宋体" w:cs="宋体"/>
        </w:rPr>
        <w:t>提示：</w:t>
      </w:r>
    </w:p>
    <w:p>
      <w:pPr>
        <w:spacing w:after="50" w:line="420" w:lineRule="exact"/>
        <w:ind w:firstLine="480"/>
        <w:rPr>
          <w:rFonts w:hint="eastAsia" w:ascii="宋体" w:hAnsi="宋体" w:cs="宋体"/>
        </w:rPr>
      </w:pPr>
      <w:r>
        <w:rPr>
          <w:rFonts w:hint="eastAsia" w:ascii="宋体" w:hAnsi="宋体" w:cs="宋体"/>
        </w:rPr>
        <w:t>（1）本项目招标文件免费获取。</w:t>
      </w:r>
    </w:p>
    <w:p>
      <w:pPr>
        <w:spacing w:after="50" w:line="420" w:lineRule="exact"/>
        <w:ind w:firstLine="480"/>
        <w:rPr>
          <w:rFonts w:hint="eastAsia" w:ascii="宋体" w:hAnsi="宋体" w:cs="宋体"/>
        </w:rPr>
      </w:pPr>
      <w:r>
        <w:rPr>
          <w:rFonts w:hint="eastAsia" w:ascii="宋体" w:hAnsi="宋体" w:cs="宋体"/>
        </w:rPr>
        <w:t>（2）投标人只有在“政府采购云平台”完成获取招标文件申请并下载招标文件后才视作依法参与本项目。如未在“政府采购云平台”内完成相关流程，引起的投标无效责任自负。</w:t>
      </w:r>
    </w:p>
    <w:p>
      <w:pPr>
        <w:spacing w:after="50" w:line="420" w:lineRule="exact"/>
        <w:ind w:firstLine="480"/>
        <w:rPr>
          <w:rFonts w:hint="eastAsia" w:ascii="宋体" w:hAnsi="宋体" w:cs="宋体"/>
        </w:rPr>
      </w:pPr>
      <w:r>
        <w:rPr>
          <w:rFonts w:hint="eastAsia" w:ascii="宋体" w:hAnsi="宋体" w:cs="宋体"/>
        </w:rPr>
        <w:t>（3）本项目为电子招标投标项目，投标人参与本项目全过程中凡涉及系统操作请详见《供应商政府采购项目电子交易操作指南》。（操作指南以政府采购云平台网站发布为准，获取方式详见：</w:t>
      </w:r>
      <w:r>
        <w:rPr>
          <w:rFonts w:hint="eastAsia" w:ascii="宋体" w:hAnsi="宋体" w:cs="宋体"/>
          <w:b/>
          <w:bCs/>
        </w:rPr>
        <w:t>附件1-政府采购云平台使用介绍</w:t>
      </w:r>
      <w:r>
        <w:rPr>
          <w:rFonts w:hint="eastAsia" w:ascii="宋体" w:hAnsi="宋体" w:cs="宋体"/>
        </w:rPr>
        <w:t>）</w:t>
      </w:r>
    </w:p>
    <w:p>
      <w:pPr>
        <w:numPr>
          <w:ilvl w:val="0"/>
          <w:numId w:val="4"/>
        </w:numPr>
        <w:ind w:left="0" w:firstLine="482"/>
        <w:rPr>
          <w:rFonts w:ascii="宋体" w:hAnsi="宋体"/>
          <w:b/>
          <w:szCs w:val="24"/>
        </w:rPr>
      </w:pPr>
      <w:r>
        <w:rPr>
          <w:rFonts w:hint="eastAsia" w:ascii="宋体" w:hAnsi="宋体"/>
          <w:b/>
          <w:szCs w:val="24"/>
        </w:rPr>
        <w:t>投标文件截止时间和开标时间</w:t>
      </w:r>
    </w:p>
    <w:p>
      <w:pPr>
        <w:pStyle w:val="19"/>
        <w:spacing w:after="156" w:afterLines="50" w:line="420" w:lineRule="exact"/>
        <w:ind w:left="480" w:firstLine="480"/>
        <w:rPr>
          <w:rFonts w:ascii="宋体" w:hAnsi="宋体" w:cs="宋体"/>
          <w:kern w:val="2"/>
          <w:sz w:val="24"/>
          <w:szCs w:val="22"/>
        </w:rPr>
      </w:pPr>
      <w:r>
        <w:rPr>
          <w:rFonts w:hint="eastAsia" w:ascii="宋体" w:hAnsi="宋体" w:cs="宋体"/>
          <w:kern w:val="2"/>
          <w:sz w:val="24"/>
          <w:szCs w:val="22"/>
        </w:rPr>
        <w:t>投标截止时间前，投标人应将加密的电子投标文件递交至“政府采购云平台”对应项目（包件）。本项目投标截止时间为：2021年</w:t>
      </w:r>
      <w:r>
        <w:rPr>
          <w:rFonts w:hint="eastAsia" w:ascii="宋体" w:hAnsi="宋体" w:cs="宋体"/>
          <w:kern w:val="2"/>
          <w:sz w:val="24"/>
          <w:szCs w:val="22"/>
          <w:lang w:val="en-US" w:eastAsia="zh-CN"/>
        </w:rPr>
        <w:t>12</w:t>
      </w:r>
      <w:r>
        <w:rPr>
          <w:rFonts w:ascii="宋体" w:hAnsi="宋体" w:cs="宋体"/>
          <w:kern w:val="2"/>
          <w:sz w:val="24"/>
          <w:szCs w:val="22"/>
        </w:rPr>
        <w:t>月</w:t>
      </w:r>
      <w:r>
        <w:rPr>
          <w:rFonts w:hint="eastAsia" w:ascii="宋体" w:hAnsi="宋体" w:cs="宋体"/>
          <w:kern w:val="2"/>
          <w:sz w:val="24"/>
          <w:szCs w:val="22"/>
          <w:lang w:val="en-US" w:eastAsia="zh-CN"/>
        </w:rPr>
        <w:t>21</w:t>
      </w:r>
      <w:r>
        <w:rPr>
          <w:rFonts w:ascii="宋体" w:hAnsi="宋体" w:cs="宋体"/>
          <w:kern w:val="2"/>
          <w:sz w:val="24"/>
          <w:szCs w:val="22"/>
        </w:rPr>
        <w:t>日1</w:t>
      </w:r>
      <w:r>
        <w:rPr>
          <w:rFonts w:hint="eastAsia" w:ascii="宋体" w:hAnsi="宋体" w:cs="宋体"/>
          <w:kern w:val="2"/>
          <w:sz w:val="24"/>
          <w:szCs w:val="22"/>
        </w:rPr>
        <w:t>0时30</w:t>
      </w:r>
      <w:r>
        <w:rPr>
          <w:rFonts w:ascii="宋体" w:hAnsi="宋体" w:cs="宋体"/>
          <w:kern w:val="2"/>
          <w:sz w:val="24"/>
          <w:szCs w:val="22"/>
        </w:rPr>
        <w:t>分（北京时间）</w:t>
      </w:r>
      <w:r>
        <w:rPr>
          <w:rFonts w:hint="eastAsia" w:ascii="宋体" w:hAnsi="宋体" w:cs="宋体"/>
          <w:kern w:val="2"/>
          <w:sz w:val="24"/>
          <w:szCs w:val="22"/>
        </w:rPr>
        <w:t>。</w:t>
      </w:r>
    </w:p>
    <w:p>
      <w:pPr>
        <w:numPr>
          <w:ilvl w:val="0"/>
          <w:numId w:val="4"/>
        </w:numPr>
        <w:ind w:left="0" w:firstLine="482"/>
        <w:rPr>
          <w:rFonts w:ascii="宋体" w:hAnsi="宋体"/>
          <w:b/>
          <w:szCs w:val="24"/>
        </w:rPr>
      </w:pPr>
      <w:r>
        <w:rPr>
          <w:rFonts w:hint="eastAsia" w:ascii="宋体" w:hAnsi="宋体"/>
          <w:b/>
          <w:szCs w:val="24"/>
        </w:rPr>
        <w:t>投标文件解密时间</w:t>
      </w:r>
      <w:bookmarkStart w:id="428" w:name="_GoBack"/>
      <w:bookmarkEnd w:id="428"/>
    </w:p>
    <w:p>
      <w:pPr>
        <w:pStyle w:val="2"/>
        <w:spacing w:line="360" w:lineRule="auto"/>
        <w:ind w:firstLine="480"/>
        <w:rPr>
          <w:rFonts w:hint="eastAsia" w:ascii="宋体" w:hAnsi="宋体" w:cs="宋体"/>
        </w:rPr>
      </w:pPr>
      <w:r>
        <w:rPr>
          <w:rFonts w:hint="eastAsia" w:ascii="宋体" w:hAnsi="宋体" w:cs="宋体"/>
        </w:rPr>
        <w:t>2021年</w:t>
      </w:r>
      <w:r>
        <w:rPr>
          <w:rFonts w:hint="eastAsia" w:ascii="宋体" w:hAnsi="宋体" w:cs="宋体"/>
          <w:lang w:val="en-US" w:eastAsia="zh-CN"/>
        </w:rPr>
        <w:t>12</w:t>
      </w:r>
      <w:r>
        <w:rPr>
          <w:rFonts w:ascii="宋体" w:hAnsi="宋体" w:cs="宋体"/>
        </w:rPr>
        <w:t>月</w:t>
      </w:r>
      <w:r>
        <w:rPr>
          <w:rFonts w:hint="eastAsia" w:ascii="宋体" w:hAnsi="宋体" w:cs="宋体"/>
          <w:lang w:val="en-US" w:eastAsia="zh-CN"/>
        </w:rPr>
        <w:t>21</w:t>
      </w:r>
      <w:r>
        <w:rPr>
          <w:rFonts w:ascii="宋体" w:hAnsi="宋体" w:cs="宋体"/>
        </w:rPr>
        <w:t>日1</w:t>
      </w:r>
      <w:r>
        <w:rPr>
          <w:rFonts w:hint="eastAsia" w:ascii="宋体" w:hAnsi="宋体" w:cs="宋体"/>
        </w:rPr>
        <w:t>0时31</w:t>
      </w:r>
      <w:r>
        <w:rPr>
          <w:rFonts w:ascii="宋体" w:hAnsi="宋体" w:cs="宋体"/>
        </w:rPr>
        <w:t>分</w:t>
      </w:r>
      <w:r>
        <w:rPr>
          <w:rFonts w:hint="eastAsia" w:ascii="宋体" w:hAnsi="宋体" w:cs="宋体"/>
        </w:rPr>
        <w:t>至11时30分</w:t>
      </w:r>
      <w:r>
        <w:rPr>
          <w:rFonts w:ascii="宋体" w:hAnsi="宋体" w:cs="宋体"/>
        </w:rPr>
        <w:t>（北京时间）</w:t>
      </w:r>
      <w:r>
        <w:rPr>
          <w:rFonts w:hint="eastAsia" w:ascii="宋体" w:hAnsi="宋体" w:cs="宋体"/>
        </w:rPr>
        <w:t>。</w:t>
      </w:r>
      <w:r>
        <w:rPr>
          <w:rFonts w:ascii="宋体" w:hAnsi="宋体" w:cs="宋体"/>
        </w:rPr>
        <w:t>错过开标解密时间的，由投标人自行承担不利后果</w:t>
      </w:r>
      <w:r>
        <w:rPr>
          <w:rFonts w:hint="eastAsia" w:ascii="宋体" w:hAnsi="宋体" w:cs="宋体"/>
        </w:rPr>
        <w:t>。</w:t>
      </w:r>
    </w:p>
    <w:p>
      <w:pPr>
        <w:numPr>
          <w:ilvl w:val="0"/>
          <w:numId w:val="4"/>
        </w:numPr>
        <w:ind w:left="0" w:firstLine="482"/>
        <w:rPr>
          <w:rFonts w:ascii="宋体" w:hAnsi="宋体"/>
          <w:b/>
          <w:szCs w:val="24"/>
        </w:rPr>
      </w:pPr>
      <w:r>
        <w:rPr>
          <w:rFonts w:hint="eastAsia" w:ascii="宋体" w:hAnsi="宋体"/>
          <w:b/>
          <w:szCs w:val="24"/>
        </w:rPr>
        <w:t>开标地点</w:t>
      </w:r>
    </w:p>
    <w:p>
      <w:pPr>
        <w:spacing w:after="50" w:line="420" w:lineRule="exact"/>
        <w:ind w:firstLine="487" w:firstLineChars="203"/>
        <w:rPr>
          <w:rFonts w:hint="eastAsia" w:ascii="宋体" w:hAnsi="宋体" w:cs="宋体"/>
          <w:szCs w:val="28"/>
        </w:rPr>
      </w:pPr>
      <w:r>
        <w:rPr>
          <w:rFonts w:hint="eastAsia" w:ascii="宋体" w:hAnsi="宋体" w:cs="宋体"/>
          <w:szCs w:val="28"/>
        </w:rPr>
        <w:t>（1）本项目为不见面开标项目。</w:t>
      </w:r>
    </w:p>
    <w:p>
      <w:pPr>
        <w:spacing w:after="50" w:line="420" w:lineRule="exact"/>
        <w:ind w:firstLine="487" w:firstLineChars="203"/>
        <w:rPr>
          <w:rFonts w:hint="eastAsia" w:ascii="宋体" w:hAnsi="宋体" w:cs="宋体"/>
          <w:szCs w:val="28"/>
        </w:rPr>
      </w:pPr>
      <w:r>
        <w:rPr>
          <w:rFonts w:hint="eastAsia" w:ascii="宋体" w:hAnsi="宋体" w:cs="宋体"/>
          <w:szCs w:val="28"/>
        </w:rPr>
        <w:t>（2）开标地点：政府采购云平台(https://www.zcygov.cn)</w:t>
      </w:r>
    </w:p>
    <w:p>
      <w:pPr>
        <w:spacing w:after="50" w:line="420" w:lineRule="exact"/>
        <w:ind w:firstLine="487" w:firstLineChars="203"/>
        <w:rPr>
          <w:rFonts w:hint="eastAsia" w:ascii="宋体" w:hAnsi="宋体" w:cs="宋体"/>
          <w:szCs w:val="28"/>
        </w:rPr>
      </w:pPr>
      <w:r>
        <w:rPr>
          <w:rFonts w:hint="eastAsia" w:ascii="宋体" w:hAnsi="宋体" w:cs="宋体"/>
          <w:szCs w:val="28"/>
        </w:rPr>
        <w:t>（3）本项目只接受投标人加密并递交至“政府采购云平台”的投标文件。</w:t>
      </w:r>
    </w:p>
    <w:p>
      <w:pPr>
        <w:numPr>
          <w:ilvl w:val="0"/>
          <w:numId w:val="4"/>
        </w:numPr>
        <w:ind w:left="0" w:firstLine="482"/>
        <w:rPr>
          <w:rFonts w:ascii="宋体" w:hAnsi="宋体"/>
          <w:b/>
          <w:szCs w:val="24"/>
        </w:rPr>
      </w:pPr>
      <w:r>
        <w:rPr>
          <w:rFonts w:hint="eastAsia" w:ascii="宋体" w:hAnsi="宋体"/>
          <w:b/>
          <w:szCs w:val="24"/>
        </w:rPr>
        <w:t>本投标邀请在“四川政府采购网”上以公告形式发布</w:t>
      </w:r>
    </w:p>
    <w:p>
      <w:pPr>
        <w:numPr>
          <w:ilvl w:val="0"/>
          <w:numId w:val="4"/>
        </w:numPr>
        <w:ind w:left="0" w:firstLine="482"/>
        <w:rPr>
          <w:rFonts w:ascii="宋体" w:hAnsi="宋体"/>
          <w:b/>
          <w:szCs w:val="24"/>
        </w:rPr>
      </w:pPr>
      <w:r>
        <w:rPr>
          <w:rFonts w:hint="eastAsia" w:ascii="宋体" w:hAnsi="宋体"/>
          <w:b/>
          <w:szCs w:val="24"/>
        </w:rPr>
        <w:t>联系方式</w:t>
      </w:r>
    </w:p>
    <w:p>
      <w:pPr>
        <w:pStyle w:val="144"/>
        <w:ind w:firstLine="480"/>
        <w:rPr>
          <w:rFonts w:hint="eastAsia" w:ascii="宋体" w:hAnsi="宋体" w:cs="宋体"/>
          <w:bCs/>
          <w:kern w:val="0"/>
        </w:rPr>
      </w:pPr>
      <w:r>
        <w:rPr>
          <w:rFonts w:hint="eastAsia" w:ascii="宋体" w:hAnsi="宋体" w:cs="宋体"/>
          <w:bCs/>
          <w:kern w:val="0"/>
        </w:rPr>
        <w:t>采购人：成都市龙泉驿生态环境局</w:t>
      </w:r>
    </w:p>
    <w:p>
      <w:pPr>
        <w:pStyle w:val="19"/>
        <w:ind w:left="0" w:leftChars="0" w:firstLine="480"/>
        <w:rPr>
          <w:rFonts w:hint="eastAsia" w:ascii="宋体" w:hAnsi="宋体" w:cs="宋体"/>
          <w:bCs/>
          <w:sz w:val="24"/>
        </w:rPr>
      </w:pPr>
      <w:r>
        <w:rPr>
          <w:rFonts w:hint="eastAsia" w:ascii="宋体" w:hAnsi="宋体" w:cs="宋体"/>
          <w:bCs/>
          <w:sz w:val="24"/>
        </w:rPr>
        <w:t>地 址：成都市龙泉驿区欧鹏大道188号</w:t>
      </w:r>
    </w:p>
    <w:p>
      <w:pPr>
        <w:pStyle w:val="19"/>
        <w:ind w:left="0" w:leftChars="0" w:firstLine="480"/>
        <w:rPr>
          <w:rFonts w:hint="eastAsia" w:ascii="宋体" w:hAnsi="宋体" w:cs="宋体"/>
          <w:sz w:val="24"/>
        </w:rPr>
      </w:pPr>
      <w:r>
        <w:rPr>
          <w:rFonts w:hint="eastAsia" w:ascii="宋体" w:hAnsi="宋体" w:cs="宋体"/>
          <w:sz w:val="24"/>
        </w:rPr>
        <w:t xml:space="preserve">联系人： </w:t>
      </w:r>
      <w:r>
        <w:rPr>
          <w:rFonts w:hint="eastAsia" w:ascii="宋体" w:hAnsi="宋体" w:cs="宋体"/>
          <w:bCs/>
          <w:sz w:val="24"/>
        </w:rPr>
        <w:t>周老师</w:t>
      </w:r>
    </w:p>
    <w:p>
      <w:pPr>
        <w:pStyle w:val="19"/>
        <w:ind w:left="0" w:leftChars="0" w:firstLine="480"/>
        <w:rPr>
          <w:rFonts w:hint="eastAsia" w:ascii="宋体" w:hAnsi="宋体" w:cs="宋体"/>
          <w:sz w:val="24"/>
        </w:rPr>
      </w:pPr>
      <w:r>
        <w:rPr>
          <w:rFonts w:hint="eastAsia" w:ascii="宋体" w:hAnsi="宋体" w:cs="宋体"/>
          <w:sz w:val="24"/>
        </w:rPr>
        <w:t>联系电话</w:t>
      </w:r>
      <w:r>
        <w:rPr>
          <w:rFonts w:hint="eastAsia" w:ascii="宋体" w:hAnsi="宋体" w:cs="宋体"/>
          <w:bCs/>
          <w:sz w:val="24"/>
        </w:rPr>
        <w:t>：028-84853079</w:t>
      </w:r>
    </w:p>
    <w:p>
      <w:pPr>
        <w:pStyle w:val="144"/>
        <w:ind w:firstLine="480"/>
        <w:rPr>
          <w:rFonts w:ascii="宋体" w:hAnsi="宋体"/>
          <w:kern w:val="0"/>
        </w:rPr>
      </w:pPr>
      <w:r>
        <w:rPr>
          <w:rFonts w:hint="eastAsia" w:ascii="宋体" w:hAnsi="宋体"/>
          <w:kern w:val="0"/>
        </w:rPr>
        <w:t xml:space="preserve">采购代理机构：四川世科工程咨询有限公司 </w:t>
      </w:r>
    </w:p>
    <w:p>
      <w:pPr>
        <w:pStyle w:val="144"/>
        <w:ind w:firstLine="480"/>
        <w:rPr>
          <w:rFonts w:ascii="宋体" w:hAnsi="宋体"/>
          <w:kern w:val="0"/>
        </w:rPr>
      </w:pPr>
      <w:r>
        <w:rPr>
          <w:rFonts w:hint="eastAsia" w:ascii="宋体" w:hAnsi="宋体"/>
          <w:kern w:val="0"/>
        </w:rPr>
        <w:t>地    址：成都市高新区天府三街288号大有智慧广场迈普大厦10楼1010室</w:t>
      </w:r>
    </w:p>
    <w:p>
      <w:pPr>
        <w:pStyle w:val="144"/>
        <w:ind w:firstLine="480"/>
        <w:rPr>
          <w:rFonts w:ascii="宋体" w:hAnsi="宋体"/>
          <w:kern w:val="0"/>
        </w:rPr>
      </w:pPr>
      <w:r>
        <w:rPr>
          <w:rFonts w:hint="eastAsia" w:ascii="宋体" w:hAnsi="宋体"/>
          <w:kern w:val="0"/>
        </w:rPr>
        <w:t>联 系 人：高老师</w:t>
      </w:r>
    </w:p>
    <w:p>
      <w:pPr>
        <w:pStyle w:val="144"/>
        <w:ind w:firstLine="480"/>
        <w:rPr>
          <w:rFonts w:ascii="宋体" w:hAnsi="宋体"/>
          <w:kern w:val="0"/>
        </w:rPr>
      </w:pPr>
      <w:r>
        <w:rPr>
          <w:rFonts w:hint="eastAsia" w:ascii="宋体" w:hAnsi="宋体"/>
          <w:kern w:val="0"/>
        </w:rPr>
        <w:t>联系电话：028-61032618</w:t>
      </w:r>
    </w:p>
    <w:p>
      <w:pPr>
        <w:pStyle w:val="144"/>
        <w:ind w:firstLine="480"/>
        <w:rPr>
          <w:rFonts w:hint="eastAsia" w:ascii="宋体" w:hAnsi="宋体"/>
          <w:kern w:val="0"/>
        </w:rPr>
      </w:pPr>
      <w:r>
        <w:rPr>
          <w:rFonts w:hint="eastAsia" w:ascii="宋体" w:hAnsi="宋体"/>
          <w:kern w:val="0"/>
        </w:rPr>
        <w:t>传    真：028-61032618</w:t>
      </w: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0" w:firstLineChars="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144"/>
        <w:spacing w:line="400" w:lineRule="exact"/>
        <w:ind w:firstLine="480"/>
        <w:rPr>
          <w:rFonts w:hint="eastAsia" w:ascii="宋体" w:hAnsi="宋体"/>
          <w:kern w:val="0"/>
        </w:rPr>
      </w:pPr>
    </w:p>
    <w:p>
      <w:pPr>
        <w:pStyle w:val="4"/>
      </w:pPr>
      <w:bookmarkStart w:id="19" w:name="_Toc2465"/>
      <w:bookmarkStart w:id="20" w:name="_Toc19869"/>
      <w:bookmarkStart w:id="21" w:name="_Toc32385"/>
      <w:r>
        <w:rPr>
          <w:rFonts w:hint="eastAsia"/>
        </w:rPr>
        <w:t>投标人须知</w:t>
      </w:r>
      <w:bookmarkEnd w:id="19"/>
      <w:bookmarkEnd w:id="20"/>
      <w:bookmarkEnd w:id="21"/>
    </w:p>
    <w:p>
      <w:pPr>
        <w:pStyle w:val="5"/>
      </w:pPr>
      <w:bookmarkStart w:id="22" w:name="_Toc213397010"/>
      <w:bookmarkStart w:id="23" w:name="_Toc217446032"/>
      <w:bookmarkStart w:id="24" w:name="_Toc213396760"/>
      <w:bookmarkStart w:id="25" w:name="_Toc19285"/>
      <w:bookmarkStart w:id="26" w:name="_Toc993"/>
      <w:bookmarkStart w:id="27" w:name="_Toc316462344"/>
      <w:bookmarkStart w:id="28" w:name="_Toc189727030"/>
      <w:bookmarkStart w:id="29" w:name="_Toc213496268"/>
      <w:bookmarkStart w:id="30" w:name="_Toc213396946"/>
      <w:bookmarkStart w:id="31" w:name="_Toc26018"/>
      <w:r>
        <w:rPr>
          <w:rFonts w:hint="eastAsia"/>
        </w:rPr>
        <w:t>投标人须知附表</w:t>
      </w:r>
      <w:bookmarkEnd w:id="22"/>
      <w:bookmarkEnd w:id="23"/>
      <w:bookmarkEnd w:id="24"/>
      <w:bookmarkEnd w:id="25"/>
      <w:bookmarkEnd w:id="26"/>
      <w:bookmarkEnd w:id="27"/>
      <w:bookmarkEnd w:id="28"/>
      <w:bookmarkEnd w:id="29"/>
      <w:bookmarkEnd w:id="30"/>
      <w:bookmarkEnd w:id="31"/>
    </w:p>
    <w:tbl>
      <w:tblPr>
        <w:tblStyle w:val="43"/>
        <w:tblW w:w="9864"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35"/>
        <w:gridCol w:w="2070"/>
        <w:gridCol w:w="705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6" w:hRule="exact"/>
          <w:jc w:val="center"/>
        </w:trPr>
        <w:tc>
          <w:tcPr>
            <w:tcW w:w="735" w:type="dxa"/>
            <w:noWrap w:val="0"/>
            <w:vAlign w:val="center"/>
          </w:tcPr>
          <w:p>
            <w:pPr>
              <w:snapToGrid w:val="0"/>
              <w:ind w:firstLine="0" w:firstLineChars="0"/>
              <w:jc w:val="center"/>
              <w:rPr>
                <w:rFonts w:ascii="宋体" w:hAnsi="宋体"/>
                <w:b/>
              </w:rPr>
            </w:pPr>
            <w:r>
              <w:rPr>
                <w:rFonts w:hint="eastAsia" w:ascii="宋体" w:hAnsi="宋体"/>
                <w:b/>
                <w:sz w:val="28"/>
                <w:szCs w:val="28"/>
                <w:lang w:val="zh-CN"/>
              </w:rPr>
              <w:t>序号</w:t>
            </w:r>
          </w:p>
        </w:tc>
        <w:tc>
          <w:tcPr>
            <w:tcW w:w="2070" w:type="dxa"/>
            <w:noWrap w:val="0"/>
            <w:vAlign w:val="center"/>
          </w:tcPr>
          <w:p>
            <w:pPr>
              <w:pStyle w:val="201"/>
              <w:spacing w:line="360" w:lineRule="auto"/>
              <w:jc w:val="center"/>
              <w:rPr>
                <w:b/>
                <w:lang w:val="zh-CN"/>
              </w:rPr>
            </w:pPr>
            <w:r>
              <w:rPr>
                <w:rFonts w:hint="eastAsia"/>
                <w:b/>
                <w:sz w:val="28"/>
                <w:szCs w:val="28"/>
                <w:lang w:val="zh-CN"/>
              </w:rPr>
              <w:t>应知事项</w:t>
            </w:r>
          </w:p>
        </w:tc>
        <w:tc>
          <w:tcPr>
            <w:tcW w:w="7059" w:type="dxa"/>
            <w:noWrap w:val="0"/>
            <w:vAlign w:val="center"/>
          </w:tcPr>
          <w:p>
            <w:pPr>
              <w:pStyle w:val="201"/>
              <w:spacing w:line="360" w:lineRule="auto"/>
              <w:jc w:val="center"/>
              <w:rPr>
                <w:b/>
                <w:lang w:val="zh-CN"/>
              </w:rPr>
            </w:pPr>
            <w:r>
              <w:rPr>
                <w:rFonts w:hint="eastAsia"/>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4" w:hRule="exact"/>
          <w:jc w:val="center"/>
        </w:trPr>
        <w:tc>
          <w:tcPr>
            <w:tcW w:w="735" w:type="dxa"/>
            <w:noWrap w:val="0"/>
            <w:vAlign w:val="center"/>
          </w:tcPr>
          <w:p>
            <w:pPr>
              <w:numPr>
                <w:ilvl w:val="0"/>
                <w:numId w:val="8"/>
              </w:numPr>
              <w:snapToGrid w:val="0"/>
              <w:ind w:left="0" w:firstLine="0" w:firstLineChars="0"/>
              <w:jc w:val="center"/>
              <w:rPr>
                <w:rFonts w:ascii="宋体" w:hAnsi="宋体"/>
              </w:rPr>
            </w:pPr>
          </w:p>
        </w:tc>
        <w:tc>
          <w:tcPr>
            <w:tcW w:w="2070" w:type="dxa"/>
            <w:noWrap w:val="0"/>
            <w:vAlign w:val="center"/>
          </w:tcPr>
          <w:p>
            <w:pPr>
              <w:pStyle w:val="201"/>
              <w:spacing w:line="360" w:lineRule="auto"/>
              <w:rPr>
                <w:lang w:val="zh-CN"/>
              </w:rPr>
            </w:pPr>
            <w:r>
              <w:rPr>
                <w:rFonts w:hint="eastAsia"/>
              </w:rPr>
              <w:t>采购预算（实质性要求）</w:t>
            </w:r>
          </w:p>
        </w:tc>
        <w:tc>
          <w:tcPr>
            <w:tcW w:w="7059" w:type="dxa"/>
            <w:noWrap w:val="0"/>
            <w:vAlign w:val="center"/>
          </w:tcPr>
          <w:p>
            <w:pPr>
              <w:pStyle w:val="201"/>
              <w:spacing w:line="360" w:lineRule="auto"/>
              <w:rPr>
                <w:rFonts w:hint="eastAsia"/>
                <w:b/>
                <w:lang w:val="zh-CN"/>
              </w:rPr>
            </w:pPr>
            <w:r>
              <w:rPr>
                <w:rFonts w:hint="eastAsia"/>
                <w:b/>
              </w:rPr>
              <w:t>本项目采购预算为：</w:t>
            </w:r>
            <w:r>
              <w:rPr>
                <w:rFonts w:hint="eastAsia" w:ascii="宋体" w:hAnsi="宋体"/>
                <w:b/>
                <w:bCs/>
                <w:szCs w:val="24"/>
                <w:highlight w:val="none"/>
                <w:lang w:val="en-US" w:eastAsia="zh-CN"/>
              </w:rPr>
              <w:t>1437.5</w:t>
            </w:r>
            <w:r>
              <w:rPr>
                <w:rFonts w:hint="eastAsia"/>
                <w:b/>
                <w:bCs/>
                <w:highlight w:val="none"/>
              </w:rPr>
              <w:t>万元/年</w:t>
            </w:r>
            <w:r>
              <w:rPr>
                <w:rFonts w:hint="eastAsia"/>
                <w:b/>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48" w:hRule="exact"/>
          <w:jc w:val="center"/>
        </w:trPr>
        <w:tc>
          <w:tcPr>
            <w:tcW w:w="735" w:type="dxa"/>
            <w:noWrap w:val="0"/>
            <w:vAlign w:val="center"/>
          </w:tcPr>
          <w:p>
            <w:pPr>
              <w:numPr>
                <w:ilvl w:val="0"/>
                <w:numId w:val="8"/>
              </w:numPr>
              <w:snapToGrid w:val="0"/>
              <w:ind w:left="0" w:firstLine="0" w:firstLineChars="0"/>
              <w:jc w:val="center"/>
              <w:rPr>
                <w:rFonts w:ascii="宋体" w:hAnsi="宋体"/>
              </w:rPr>
            </w:pPr>
          </w:p>
        </w:tc>
        <w:tc>
          <w:tcPr>
            <w:tcW w:w="2070" w:type="dxa"/>
            <w:noWrap w:val="0"/>
            <w:vAlign w:val="center"/>
          </w:tcPr>
          <w:p>
            <w:pPr>
              <w:ind w:firstLine="0" w:firstLineChars="0"/>
              <w:jc w:val="both"/>
              <w:rPr>
                <w:lang w:val="zh-CN"/>
              </w:rPr>
            </w:pPr>
            <w:r>
              <w:rPr>
                <w:rFonts w:hint="eastAsia" w:hAnsi="宋体" w:cs="宋体"/>
                <w:szCs w:val="24"/>
              </w:rPr>
              <w:t>低于成本价不正当竞争预防措施（实质性要求）</w:t>
            </w:r>
          </w:p>
        </w:tc>
        <w:tc>
          <w:tcPr>
            <w:tcW w:w="7059" w:type="dxa"/>
            <w:noWrap w:val="0"/>
            <w:vAlign w:val="center"/>
          </w:tcPr>
          <w:p>
            <w:pPr>
              <w:pStyle w:val="201"/>
              <w:spacing w:line="360" w:lineRule="auto"/>
              <w:jc w:val="both"/>
              <w:rPr>
                <w:kern w:val="2"/>
                <w:lang w:val="zh-CN"/>
              </w:rPr>
            </w:pPr>
            <w:r>
              <w:rPr>
                <w:kern w:val="2"/>
                <w:lang w:val="zh-CN"/>
              </w:rPr>
              <w:t>在评标过程中，评标委员会认为投标人的报价明显低于其他通过符合性审查投标人的报价，有可能影响产品质量或者不能诚信履约的，应当要求其在评标现场合理的时间内提供书面说明，必要时提交相关证明材料。</w:t>
            </w:r>
          </w:p>
          <w:p>
            <w:pPr>
              <w:pStyle w:val="201"/>
              <w:spacing w:line="360" w:lineRule="auto"/>
              <w:jc w:val="both"/>
              <w:rPr>
                <w:kern w:val="2"/>
                <w:lang w:val="zh-CN"/>
              </w:rPr>
            </w:pPr>
            <w:r>
              <w:rPr>
                <w:kern w:val="2"/>
                <w:lang w:val="zh-CN"/>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201"/>
              <w:spacing w:line="360" w:lineRule="auto"/>
              <w:jc w:val="both"/>
              <w:rPr>
                <w:kern w:val="2"/>
                <w:lang w:val="zh-CN"/>
              </w:rPr>
            </w:pPr>
            <w:r>
              <w:rPr>
                <w:kern w:val="2"/>
                <w:lang w:val="zh-CN"/>
              </w:rPr>
              <w:t>投标人提供书面说明后，评标委员会应当结合采购项目采购需求、专业实际情况、投标人财务状况报告、与其他投标人比较情况等就投标人书面说明进行审查评价。</w:t>
            </w:r>
          </w:p>
          <w:p>
            <w:pPr>
              <w:pStyle w:val="201"/>
              <w:spacing w:line="360" w:lineRule="auto"/>
              <w:jc w:val="both"/>
              <w:rPr>
                <w:kern w:val="2"/>
                <w:lang w:val="zh-CN"/>
              </w:rPr>
            </w:pPr>
            <w:r>
              <w:rPr>
                <w:kern w:val="2"/>
                <w:lang w:val="zh-CN"/>
              </w:rPr>
              <w:t>投标人拒绝或者变相拒绝提供有效书面说明或者书面说明不能证明其报价合理性的，评标委员会应当将其作为无效投标处理。</w:t>
            </w:r>
          </w:p>
          <w:p>
            <w:pPr>
              <w:pStyle w:val="39"/>
              <w:spacing w:beforeAutospacing="0" w:afterAutospacing="0"/>
              <w:ind w:firstLine="0" w:firstLineChars="0"/>
              <w:jc w:val="both"/>
              <w:rPr>
                <w:b/>
                <w:color w:val="auto"/>
                <w:lang w:val="zh-CN"/>
              </w:rPr>
            </w:pPr>
            <w:r>
              <w:rPr>
                <w:rFonts w:hint="eastAsia" w:cs="宋体"/>
                <w:b/>
                <w:bCs/>
              </w:rPr>
              <w:t>注：</w:t>
            </w:r>
            <w:r>
              <w:rPr>
                <w:rFonts w:hint="eastAsia" w:cs="宋体"/>
                <w:b/>
                <w:bCs/>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cs="宋体"/>
                <w:b/>
                <w:bCs/>
              </w:rPr>
              <w:t>30分钟，供应商已明确表示澄清、说明完毕的除外</w:t>
            </w:r>
            <w:r>
              <w:rPr>
                <w:rFonts w:hint="eastAsia" w:cs="宋体"/>
                <w:b/>
                <w:bCs/>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735" w:type="dxa"/>
            <w:noWrap w:val="0"/>
            <w:vAlign w:val="center"/>
          </w:tcPr>
          <w:p>
            <w:pPr>
              <w:numPr>
                <w:ilvl w:val="0"/>
                <w:numId w:val="8"/>
              </w:numPr>
              <w:snapToGrid w:val="0"/>
              <w:ind w:left="0" w:firstLine="0" w:firstLineChars="0"/>
              <w:jc w:val="center"/>
              <w:rPr>
                <w:rFonts w:ascii="宋体" w:hAnsi="宋体"/>
              </w:rPr>
            </w:pPr>
          </w:p>
        </w:tc>
        <w:tc>
          <w:tcPr>
            <w:tcW w:w="2070" w:type="dxa"/>
            <w:noWrap w:val="0"/>
            <w:vAlign w:val="center"/>
          </w:tcPr>
          <w:p>
            <w:pPr>
              <w:pStyle w:val="201"/>
              <w:spacing w:line="360" w:lineRule="auto"/>
              <w:jc w:val="both"/>
              <w:rPr>
                <w:kern w:val="2"/>
              </w:rPr>
            </w:pPr>
            <w:r>
              <w:rPr>
                <w:rFonts w:hint="eastAsia"/>
                <w:kern w:val="2"/>
                <w:lang w:val="zh-CN"/>
              </w:rPr>
              <w:t>失信企业</w:t>
            </w:r>
            <w:r>
              <w:rPr>
                <w:rFonts w:hint="eastAsia"/>
                <w:kern w:val="2"/>
              </w:rPr>
              <w:t>惩戒措施</w:t>
            </w:r>
          </w:p>
          <w:p>
            <w:pPr>
              <w:pStyle w:val="201"/>
              <w:spacing w:line="360" w:lineRule="auto"/>
              <w:jc w:val="both"/>
              <w:rPr>
                <w:lang w:val="zh-CN"/>
              </w:rPr>
            </w:pPr>
          </w:p>
        </w:tc>
        <w:tc>
          <w:tcPr>
            <w:tcW w:w="7059" w:type="dxa"/>
            <w:noWrap w:val="0"/>
            <w:vAlign w:val="center"/>
          </w:tcPr>
          <w:p>
            <w:pPr>
              <w:ind w:firstLine="0" w:firstLineChars="0"/>
              <w:rPr>
                <w:rFonts w:ascii="宋体" w:hAnsi="宋体" w:cs="宋体"/>
                <w:kern w:val="0"/>
                <w:szCs w:val="24"/>
                <w:lang w:val="zh-CN"/>
              </w:rPr>
            </w:pPr>
            <w:r>
              <w:rPr>
                <w:rFonts w:hint="eastAsia"/>
              </w:rPr>
              <w:t>严格按照《四川省公共资源交易领域严重失信联合惩戒实施办法》（川发改信用规〔2019〕405号）、《关于对政府采购领域严重违法失信主体开展联合惩戒的合作备案录》（发改财金〔2018〕1614号）等相关文件的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735" w:type="dxa"/>
            <w:tcBorders>
              <w:top w:val="single" w:color="auto" w:sz="8" w:space="0"/>
              <w:left w:val="single" w:color="auto" w:sz="18" w:space="0"/>
              <w:bottom w:val="single" w:color="auto" w:sz="8"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8" w:space="0"/>
              <w:left w:val="single" w:color="auto" w:sz="8" w:space="0"/>
              <w:bottom w:val="single" w:color="auto" w:sz="8" w:space="0"/>
              <w:right w:val="single" w:color="auto" w:sz="8" w:space="0"/>
            </w:tcBorders>
            <w:noWrap w:val="0"/>
            <w:vAlign w:val="center"/>
          </w:tcPr>
          <w:p>
            <w:pPr>
              <w:ind w:firstLine="0" w:firstLineChars="0"/>
              <w:jc w:val="center"/>
              <w:rPr>
                <w:lang w:val="zh-CN"/>
              </w:rPr>
            </w:pPr>
            <w:r>
              <w:rPr>
                <w:rFonts w:hint="eastAsia" w:ascii="宋体" w:hAnsi="宋体" w:cs="宋体"/>
                <w:kern w:val="0"/>
                <w:szCs w:val="24"/>
              </w:rPr>
              <w:t>评标情况公告</w:t>
            </w:r>
          </w:p>
        </w:tc>
        <w:tc>
          <w:tcPr>
            <w:tcW w:w="7059" w:type="dxa"/>
            <w:tcBorders>
              <w:top w:val="single" w:color="auto" w:sz="8" w:space="0"/>
              <w:left w:val="single" w:color="auto" w:sz="8" w:space="0"/>
              <w:bottom w:val="single" w:color="auto" w:sz="8" w:space="0"/>
              <w:right w:val="single" w:color="auto" w:sz="18" w:space="0"/>
            </w:tcBorders>
            <w:noWrap w:val="0"/>
            <w:vAlign w:val="center"/>
          </w:tcPr>
          <w:p>
            <w:pPr>
              <w:widowControl/>
              <w:ind w:firstLine="0" w:firstLineChars="0"/>
              <w:rPr>
                <w:rFonts w:ascii="宋体" w:hAnsi="宋体"/>
                <w:lang w:val="zh-CN"/>
              </w:rPr>
            </w:pPr>
            <w:r>
              <w:rPr>
                <w:rFonts w:hint="eastAsia" w:ascii="宋体" w:hAnsi="宋体" w:cs="宋体"/>
                <w:kern w:val="0"/>
                <w:szCs w:val="24"/>
              </w:rPr>
              <w:t>所有</w:t>
            </w:r>
            <w:r>
              <w:rPr>
                <w:rFonts w:hint="eastAsia" w:cs="宋体"/>
              </w:rPr>
              <w:t>投标人</w:t>
            </w:r>
            <w:r>
              <w:rPr>
                <w:rFonts w:hint="eastAsia" w:ascii="宋体" w:hAnsi="宋体" w:cs="宋体"/>
                <w:kern w:val="0"/>
                <w:szCs w:val="24"/>
              </w:rPr>
              <w:t>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9" w:hRule="atLeast"/>
          <w:jc w:val="center"/>
        </w:trPr>
        <w:tc>
          <w:tcPr>
            <w:tcW w:w="735" w:type="dxa"/>
            <w:tcBorders>
              <w:top w:val="single" w:color="auto" w:sz="8" w:space="0"/>
              <w:left w:val="single" w:color="auto" w:sz="18" w:space="0"/>
              <w:bottom w:val="single" w:color="auto" w:sz="8"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8" w:space="0"/>
              <w:left w:val="single" w:color="auto" w:sz="8" w:space="0"/>
              <w:bottom w:val="single" w:color="auto" w:sz="8" w:space="0"/>
              <w:right w:val="single" w:color="auto" w:sz="8" w:space="0"/>
            </w:tcBorders>
            <w:noWrap w:val="0"/>
            <w:vAlign w:val="center"/>
          </w:tcPr>
          <w:p>
            <w:pPr>
              <w:ind w:firstLine="0" w:firstLineChars="0"/>
              <w:jc w:val="center"/>
              <w:outlineLvl w:val="5"/>
              <w:rPr>
                <w:rFonts w:ascii="宋体" w:hAnsi="宋体" w:cs="宋体"/>
                <w:szCs w:val="24"/>
                <w:lang w:val="zh-CN"/>
              </w:rPr>
            </w:pPr>
            <w:r>
              <w:rPr>
                <w:rFonts w:hint="eastAsia" w:ascii="宋体" w:hAnsi="宋体" w:cs="宋体"/>
                <w:szCs w:val="24"/>
                <w:lang w:val="zh-CN"/>
              </w:rPr>
              <w:t>投标保证金</w:t>
            </w:r>
          </w:p>
        </w:tc>
        <w:tc>
          <w:tcPr>
            <w:tcW w:w="7059" w:type="dxa"/>
            <w:tcBorders>
              <w:top w:val="single" w:color="auto" w:sz="8" w:space="0"/>
              <w:left w:val="single" w:color="auto" w:sz="8" w:space="0"/>
              <w:bottom w:val="single" w:color="auto" w:sz="8" w:space="0"/>
              <w:right w:val="single" w:color="auto" w:sz="18" w:space="0"/>
            </w:tcBorders>
            <w:noWrap w:val="0"/>
            <w:vAlign w:val="center"/>
          </w:tcPr>
          <w:p>
            <w:pPr>
              <w:ind w:firstLine="0" w:firstLineChars="0"/>
              <w:outlineLvl w:val="5"/>
              <w:rPr>
                <w:rFonts w:ascii="宋体" w:hAnsi="宋体" w:cs="宋体"/>
                <w:szCs w:val="24"/>
                <w:lang w:val="zh-CN"/>
              </w:rPr>
            </w:pPr>
            <w:r>
              <w:rPr>
                <w:rFonts w:hint="eastAsia" w:ascii="宋体" w:hAnsi="宋体" w:cs="宋体"/>
                <w:szCs w:val="24"/>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735" w:type="dxa"/>
            <w:tcBorders>
              <w:top w:val="single" w:color="auto" w:sz="8" w:space="0"/>
              <w:left w:val="single" w:color="auto" w:sz="18" w:space="0"/>
              <w:bottom w:val="single" w:color="auto" w:sz="8"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8" w:space="0"/>
              <w:left w:val="single" w:color="auto" w:sz="8" w:space="0"/>
              <w:bottom w:val="single" w:color="auto" w:sz="8" w:space="0"/>
              <w:right w:val="single" w:color="auto" w:sz="8" w:space="0"/>
            </w:tcBorders>
            <w:noWrap w:val="0"/>
            <w:vAlign w:val="center"/>
          </w:tcPr>
          <w:p>
            <w:pPr>
              <w:ind w:firstLine="0" w:firstLineChars="0"/>
              <w:jc w:val="center"/>
              <w:outlineLvl w:val="5"/>
              <w:rPr>
                <w:rFonts w:ascii="宋体" w:hAnsi="宋体"/>
              </w:rPr>
            </w:pPr>
            <w:r>
              <w:rPr>
                <w:rFonts w:hint="eastAsia" w:ascii="宋体" w:hAnsi="宋体" w:cs="宋体"/>
                <w:szCs w:val="24"/>
                <w:lang w:val="zh-CN"/>
              </w:rPr>
              <w:t>履约保证金</w:t>
            </w:r>
          </w:p>
        </w:tc>
        <w:tc>
          <w:tcPr>
            <w:tcW w:w="7059" w:type="dxa"/>
            <w:tcBorders>
              <w:top w:val="single" w:color="auto" w:sz="8" w:space="0"/>
              <w:left w:val="single" w:color="auto" w:sz="8" w:space="0"/>
              <w:bottom w:val="single" w:color="auto" w:sz="8" w:space="0"/>
              <w:right w:val="single" w:color="auto" w:sz="18" w:space="0"/>
            </w:tcBorders>
            <w:noWrap w:val="0"/>
            <w:vAlign w:val="center"/>
          </w:tcPr>
          <w:p>
            <w:pPr>
              <w:ind w:firstLine="0" w:firstLineChars="0"/>
              <w:rPr>
                <w:rFonts w:ascii="宋体" w:hAnsi="宋体"/>
              </w:rPr>
            </w:pPr>
            <w:r>
              <w:rPr>
                <w:rFonts w:hint="eastAsia" w:ascii="宋体" w:hAnsi="宋体" w:cs="宋体"/>
                <w:szCs w:val="24"/>
              </w:rPr>
              <w:t>本项目无履约保证金</w:t>
            </w:r>
            <w:r>
              <w:rPr>
                <w:rFonts w:hint="eastAsia" w:ascii="宋体" w:hAnsi="宋体" w:cs="宋体"/>
                <w:kern w:val="1"/>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735" w:type="dxa"/>
            <w:tcBorders>
              <w:top w:val="single" w:color="auto" w:sz="8" w:space="0"/>
              <w:left w:val="single" w:color="auto" w:sz="18" w:space="0"/>
              <w:bottom w:val="single" w:color="auto" w:sz="4"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8" w:space="0"/>
              <w:left w:val="single" w:color="auto" w:sz="8" w:space="0"/>
              <w:bottom w:val="single" w:color="auto" w:sz="4" w:space="0"/>
              <w:right w:val="single" w:color="auto" w:sz="8" w:space="0"/>
            </w:tcBorders>
            <w:noWrap w:val="0"/>
            <w:vAlign w:val="center"/>
          </w:tcPr>
          <w:p>
            <w:pPr>
              <w:pStyle w:val="201"/>
              <w:spacing w:line="360" w:lineRule="auto"/>
              <w:jc w:val="center"/>
            </w:pPr>
            <w:r>
              <w:rPr>
                <w:rFonts w:hint="eastAsia"/>
                <w:kern w:val="2"/>
              </w:rPr>
              <w:t>采购文件咨询</w:t>
            </w:r>
          </w:p>
        </w:tc>
        <w:tc>
          <w:tcPr>
            <w:tcW w:w="7059" w:type="dxa"/>
            <w:tcBorders>
              <w:top w:val="single" w:color="auto" w:sz="8" w:space="0"/>
              <w:left w:val="single" w:color="auto" w:sz="8" w:space="0"/>
              <w:bottom w:val="single" w:color="auto" w:sz="4" w:space="0"/>
              <w:right w:val="single" w:color="auto" w:sz="18" w:space="0"/>
            </w:tcBorders>
            <w:noWrap w:val="0"/>
            <w:vAlign w:val="top"/>
          </w:tcPr>
          <w:p>
            <w:pPr>
              <w:ind w:firstLine="0" w:firstLineChars="0"/>
              <w:rPr>
                <w:rFonts w:ascii="宋体" w:hAnsi="宋体"/>
                <w:szCs w:val="24"/>
              </w:rPr>
            </w:pPr>
            <w:r>
              <w:rPr>
                <w:rFonts w:hint="eastAsia" w:ascii="宋体" w:hAnsi="宋体" w:cs="宋体"/>
                <w:szCs w:val="24"/>
              </w:rPr>
              <w:t>联系人：高老师</w:t>
            </w:r>
            <w:r>
              <w:rPr>
                <w:rFonts w:hint="eastAsia" w:ascii="宋体" w:hAnsi="宋体" w:cs="宋体"/>
                <w:szCs w:val="24"/>
                <w:lang w:val="zh-CN"/>
              </w:rPr>
              <w:t>。</w:t>
            </w:r>
            <w:r>
              <w:rPr>
                <w:rFonts w:hint="eastAsia" w:ascii="宋体" w:hAnsi="宋体" w:cs="宋体"/>
                <w:szCs w:val="24"/>
              </w:rPr>
              <w:t xml:space="preserve">       联系电话：028-61032618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9" w:hRule="atLeast"/>
          <w:jc w:val="center"/>
        </w:trPr>
        <w:tc>
          <w:tcPr>
            <w:tcW w:w="735" w:type="dxa"/>
            <w:tcBorders>
              <w:top w:val="single" w:color="auto" w:sz="4" w:space="0"/>
              <w:left w:val="single" w:color="auto" w:sz="18" w:space="0"/>
              <w:bottom w:val="single" w:color="auto" w:sz="4"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4" w:space="0"/>
              <w:left w:val="single" w:color="auto" w:sz="8" w:space="0"/>
              <w:bottom w:val="single" w:color="auto" w:sz="4" w:space="0"/>
              <w:right w:val="single" w:color="auto" w:sz="8" w:space="0"/>
            </w:tcBorders>
            <w:noWrap w:val="0"/>
            <w:vAlign w:val="center"/>
          </w:tcPr>
          <w:p>
            <w:pPr>
              <w:ind w:firstLine="0" w:firstLineChars="0"/>
              <w:jc w:val="center"/>
              <w:outlineLvl w:val="5"/>
              <w:rPr>
                <w:rFonts w:hint="eastAsia" w:ascii="宋体" w:hAnsi="宋体"/>
                <w:b/>
              </w:rPr>
            </w:pPr>
            <w:r>
              <w:rPr>
                <w:rFonts w:hint="eastAsia" w:ascii="宋体" w:hAnsi="宋体" w:cs="宋体"/>
                <w:szCs w:val="24"/>
              </w:rPr>
              <w:t>开标</w:t>
            </w:r>
            <w:r>
              <w:rPr>
                <w:rFonts w:hint="eastAsia"/>
                <w:b/>
                <w:color w:val="000000"/>
              </w:rPr>
              <w:t>及开标程序</w:t>
            </w:r>
          </w:p>
        </w:tc>
        <w:tc>
          <w:tcPr>
            <w:tcW w:w="7059" w:type="dxa"/>
            <w:tcBorders>
              <w:top w:val="single" w:color="auto" w:sz="4" w:space="0"/>
              <w:left w:val="single" w:color="auto" w:sz="8" w:space="0"/>
              <w:bottom w:val="single" w:color="auto" w:sz="4" w:space="0"/>
              <w:right w:val="single" w:color="auto" w:sz="18" w:space="0"/>
            </w:tcBorders>
            <w:noWrap w:val="0"/>
            <w:vAlign w:val="center"/>
          </w:tcPr>
          <w:p>
            <w:pPr>
              <w:snapToGrid w:val="0"/>
              <w:ind w:firstLine="482"/>
              <w:rPr>
                <w:rFonts w:ascii="宋体" w:hAnsi="宋体"/>
                <w:b/>
                <w:color w:val="000000"/>
              </w:rPr>
            </w:pPr>
            <w:r>
              <w:rPr>
                <w:rFonts w:hint="eastAsia" w:ascii="宋体" w:hAnsi="宋体"/>
                <w:b/>
                <w:color w:val="000000"/>
              </w:rPr>
              <w:t>投标文件解密：开启解密后，投标人应在系统提示的解密开始时间后</w:t>
            </w:r>
            <w:r>
              <w:rPr>
                <w:rFonts w:ascii="宋体" w:hAnsi="宋体"/>
                <w:b/>
                <w:color w:val="000000"/>
              </w:rPr>
              <w:t>60</w:t>
            </w:r>
            <w:r>
              <w:rPr>
                <w:rFonts w:hint="eastAsia" w:ascii="宋体" w:hAnsi="宋体"/>
                <w:b/>
                <w:color w:val="000000"/>
              </w:rPr>
              <w:t>分钟内 ，使用对投标文件进行加密的CA证书在线完成对投标人递交至政府采购云平台的投标文件的解密。</w:t>
            </w:r>
          </w:p>
          <w:p>
            <w:pPr>
              <w:snapToGrid w:val="0"/>
              <w:ind w:firstLine="482"/>
              <w:rPr>
                <w:rFonts w:ascii="宋体" w:hAnsi="宋体"/>
                <w:b/>
                <w:color w:val="000000"/>
              </w:rPr>
            </w:pPr>
            <w:r>
              <w:rPr>
                <w:rFonts w:hint="eastAsia" w:ascii="宋体" w:hAnsi="宋体"/>
                <w:b/>
                <w:color w:val="000000"/>
              </w:rPr>
              <w:t>投标人电脑终端等硬件设备和软件系统配置：投标人电脑终端等硬件设备和软件系统配置应符合开标大厅投标人电脑终端配置要求并运行正常，投标人承担因未尽职责产生的不利后果。</w:t>
            </w:r>
          </w:p>
          <w:p>
            <w:pPr>
              <w:ind w:firstLine="482"/>
              <w:outlineLvl w:val="5"/>
              <w:rPr>
                <w:rFonts w:ascii="宋体" w:hAnsi="宋体"/>
                <w:kern w:val="0"/>
              </w:rPr>
            </w:pPr>
            <w:r>
              <w:rPr>
                <w:rFonts w:hint="eastAsia" w:ascii="宋体" w:hAnsi="宋体"/>
                <w:b/>
                <w:color w:val="000000"/>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735" w:type="dxa"/>
            <w:tcBorders>
              <w:top w:val="single" w:color="auto" w:sz="4" w:space="0"/>
              <w:left w:val="single" w:color="auto" w:sz="18" w:space="0"/>
              <w:bottom w:val="single" w:color="auto" w:sz="4"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4" w:space="0"/>
              <w:left w:val="single" w:color="auto" w:sz="8" w:space="0"/>
              <w:bottom w:val="single" w:color="auto" w:sz="4" w:space="0"/>
              <w:right w:val="single" w:color="auto" w:sz="8" w:space="0"/>
            </w:tcBorders>
            <w:noWrap w:val="0"/>
            <w:vAlign w:val="center"/>
          </w:tcPr>
          <w:p>
            <w:pPr>
              <w:ind w:firstLine="0" w:firstLineChars="0"/>
              <w:jc w:val="center"/>
              <w:rPr>
                <w:rFonts w:ascii="宋体" w:hAnsi="宋体"/>
              </w:rPr>
            </w:pPr>
            <w:r>
              <w:rPr>
                <w:rFonts w:hint="eastAsia" w:ascii="宋体" w:hAnsi="宋体" w:cs="宋体"/>
                <w:szCs w:val="24"/>
              </w:rPr>
              <w:t>中标通知书领取</w:t>
            </w:r>
          </w:p>
        </w:tc>
        <w:tc>
          <w:tcPr>
            <w:tcW w:w="7059" w:type="dxa"/>
            <w:tcBorders>
              <w:top w:val="single" w:color="auto" w:sz="4" w:space="0"/>
              <w:left w:val="single" w:color="auto" w:sz="8" w:space="0"/>
              <w:bottom w:val="single" w:color="auto" w:sz="4" w:space="0"/>
              <w:right w:val="single" w:color="auto" w:sz="18" w:space="0"/>
            </w:tcBorders>
            <w:noWrap w:val="0"/>
            <w:vAlign w:val="center"/>
          </w:tcPr>
          <w:p>
            <w:pPr>
              <w:tabs>
                <w:tab w:val="left" w:pos="7665"/>
              </w:tabs>
              <w:ind w:firstLine="0" w:firstLineChars="0"/>
              <w:rPr>
                <w:rFonts w:ascii="宋体" w:hAnsi="宋体"/>
              </w:rPr>
            </w:pPr>
            <w:r>
              <w:rPr>
                <w:rFonts w:hint="eastAsia" w:ascii="宋体" w:hAnsi="宋体" w:cs="宋体"/>
                <w:szCs w:val="21"/>
                <w:lang w:val="zh-CN"/>
              </w:rPr>
              <w:t>在四川政府采购网公告中标结果同时发出中标通知书，中标供应商自行登录政府采购云平台下载中标通知书。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735" w:type="dxa"/>
            <w:tcBorders>
              <w:top w:val="single" w:color="auto" w:sz="4" w:space="0"/>
              <w:left w:val="single" w:color="auto" w:sz="18" w:space="0"/>
              <w:bottom w:val="single" w:color="auto" w:sz="4"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4" w:space="0"/>
              <w:left w:val="single" w:color="auto" w:sz="8" w:space="0"/>
              <w:bottom w:val="single" w:color="auto" w:sz="4" w:space="0"/>
              <w:right w:val="single" w:color="auto" w:sz="8" w:space="0"/>
            </w:tcBorders>
            <w:noWrap w:val="0"/>
            <w:vAlign w:val="top"/>
          </w:tcPr>
          <w:p>
            <w:pPr>
              <w:pStyle w:val="201"/>
              <w:spacing w:line="360" w:lineRule="auto"/>
              <w:jc w:val="center"/>
              <w:rPr>
                <w:kern w:val="2"/>
              </w:rPr>
            </w:pPr>
          </w:p>
          <w:p>
            <w:pPr>
              <w:pStyle w:val="201"/>
              <w:spacing w:line="360" w:lineRule="auto"/>
              <w:jc w:val="center"/>
            </w:pPr>
            <w:r>
              <w:rPr>
                <w:rFonts w:hint="eastAsia"/>
                <w:kern w:val="2"/>
              </w:rPr>
              <w:t>供应商询问、质疑</w:t>
            </w:r>
          </w:p>
        </w:tc>
        <w:tc>
          <w:tcPr>
            <w:tcW w:w="7059" w:type="dxa"/>
            <w:tcBorders>
              <w:top w:val="single" w:color="auto" w:sz="4" w:space="0"/>
              <w:left w:val="single" w:color="auto" w:sz="8" w:space="0"/>
              <w:bottom w:val="single" w:color="auto" w:sz="4" w:space="0"/>
              <w:right w:val="single" w:color="auto" w:sz="18" w:space="0"/>
            </w:tcBorders>
            <w:noWrap w:val="0"/>
            <w:vAlign w:val="top"/>
          </w:tcPr>
          <w:p>
            <w:pPr>
              <w:pStyle w:val="39"/>
              <w:numPr>
                <w:ilvl w:val="0"/>
                <w:numId w:val="9"/>
              </w:numPr>
              <w:spacing w:beforeAutospacing="0" w:afterAutospacing="0"/>
              <w:ind w:firstLine="0" w:firstLineChars="0"/>
              <w:jc w:val="both"/>
              <w:rPr>
                <w:rFonts w:cs="宋体"/>
                <w:color w:val="auto"/>
                <w:lang w:val="zh-CN"/>
              </w:rPr>
            </w:pPr>
            <w:r>
              <w:rPr>
                <w:rFonts w:hint="eastAsia" w:cs="宋体"/>
                <w:color w:val="auto"/>
              </w:rPr>
              <w:t>询问：根据委托代理协议约定，供应商询问由四川世科工程咨询有限公司</w:t>
            </w:r>
            <w:r>
              <w:rPr>
                <w:rFonts w:hint="eastAsia" w:cs="宋体"/>
                <w:color w:val="auto"/>
                <w:lang w:val="zh-CN"/>
              </w:rPr>
              <w:t>负责答复。</w:t>
            </w:r>
          </w:p>
          <w:p>
            <w:pPr>
              <w:pStyle w:val="39"/>
              <w:numPr>
                <w:ilvl w:val="0"/>
                <w:numId w:val="9"/>
              </w:numPr>
              <w:spacing w:beforeAutospacing="0" w:afterAutospacing="0"/>
              <w:ind w:firstLine="0" w:firstLineChars="0"/>
              <w:jc w:val="both"/>
              <w:rPr>
                <w:rFonts w:cs="宋体"/>
                <w:color w:val="auto"/>
                <w:lang w:val="zh-CN"/>
              </w:rPr>
            </w:pPr>
            <w:r>
              <w:rPr>
                <w:rFonts w:hint="eastAsia" w:cs="宋体"/>
                <w:color w:val="auto"/>
              </w:rPr>
              <w:t>质疑：根据委托代理协议约定，对于采购文件的质疑由四川世科工程咨询有限公司</w:t>
            </w:r>
            <w:r>
              <w:rPr>
                <w:rFonts w:hint="eastAsia" w:cs="宋体"/>
                <w:color w:val="auto"/>
                <w:lang w:val="zh-CN"/>
              </w:rPr>
              <w:t>负责答复；对于采购过程</w:t>
            </w:r>
            <w:r>
              <w:rPr>
                <w:rFonts w:hint="eastAsia" w:cs="宋体"/>
                <w:color w:val="auto"/>
              </w:rPr>
              <w:t>的质疑由四川世科工程咨询有限公司</w:t>
            </w:r>
            <w:r>
              <w:rPr>
                <w:rFonts w:hint="eastAsia" w:cs="宋体"/>
                <w:color w:val="auto"/>
                <w:lang w:val="zh-CN"/>
              </w:rPr>
              <w:t>负责答复；对于采购结果</w:t>
            </w:r>
            <w:r>
              <w:rPr>
                <w:rFonts w:hint="eastAsia" w:cs="宋体"/>
                <w:color w:val="auto"/>
              </w:rPr>
              <w:t>的质疑由四川世科工程咨询有限公司</w:t>
            </w:r>
            <w:r>
              <w:rPr>
                <w:rFonts w:hint="eastAsia" w:cs="宋体"/>
                <w:color w:val="auto"/>
                <w:lang w:val="zh-CN"/>
              </w:rPr>
              <w:t>负责答复</w:t>
            </w:r>
            <w:r>
              <w:rPr>
                <w:rFonts w:hint="eastAsia" w:cs="宋体"/>
                <w:color w:val="auto"/>
              </w:rPr>
              <w:t>。</w:t>
            </w:r>
          </w:p>
          <w:p>
            <w:pPr>
              <w:ind w:firstLine="0" w:firstLineChars="0"/>
              <w:rPr>
                <w:rFonts w:ascii="宋体" w:hAnsi="宋体" w:cs="宋体"/>
                <w:szCs w:val="24"/>
                <w:lang w:val="zh-CN"/>
              </w:rPr>
            </w:pPr>
            <w:r>
              <w:rPr>
                <w:rFonts w:hint="eastAsia" w:ascii="宋体" w:hAnsi="宋体" w:cs="宋体"/>
                <w:szCs w:val="24"/>
                <w:lang w:val="zh-CN"/>
              </w:rPr>
              <w:t>联系人：</w:t>
            </w:r>
            <w:r>
              <w:rPr>
                <w:rFonts w:hint="eastAsia" w:ascii="宋体" w:hAnsi="宋体" w:cs="宋体"/>
                <w:szCs w:val="24"/>
              </w:rPr>
              <w:t>高老师</w:t>
            </w:r>
            <w:r>
              <w:rPr>
                <w:rFonts w:hint="eastAsia" w:ascii="宋体" w:hAnsi="宋体" w:cs="宋体"/>
                <w:szCs w:val="24"/>
                <w:lang w:val="zh-CN"/>
              </w:rPr>
              <w:t>。</w:t>
            </w:r>
            <w:r>
              <w:rPr>
                <w:rFonts w:hint="eastAsia" w:ascii="宋体" w:hAnsi="宋体" w:cs="宋体"/>
                <w:szCs w:val="24"/>
              </w:rPr>
              <w:t xml:space="preserve">   </w:t>
            </w:r>
            <w:r>
              <w:rPr>
                <w:rFonts w:hint="eastAsia" w:ascii="宋体" w:hAnsi="宋体" w:cs="宋体"/>
                <w:szCs w:val="24"/>
                <w:lang w:val="zh-CN"/>
              </w:rPr>
              <w:t>联系电话：</w:t>
            </w:r>
            <w:r>
              <w:rPr>
                <w:rFonts w:hint="eastAsia" w:ascii="宋体" w:hAnsi="宋体" w:cs="宋体"/>
                <w:szCs w:val="24"/>
              </w:rPr>
              <w:t>028-61032618</w:t>
            </w:r>
          </w:p>
          <w:p>
            <w:pPr>
              <w:ind w:firstLine="0" w:firstLineChars="0"/>
              <w:rPr>
                <w:rFonts w:ascii="宋体" w:hAnsi="宋体" w:cs="宋体"/>
                <w:szCs w:val="24"/>
                <w:lang w:val="zh-CN"/>
              </w:rPr>
            </w:pPr>
            <w:r>
              <w:rPr>
                <w:rFonts w:hint="eastAsia" w:ascii="宋体" w:hAnsi="宋体" w:cs="宋体"/>
                <w:szCs w:val="24"/>
                <w:lang w:val="zh-CN"/>
              </w:rPr>
              <w:t>地址：</w:t>
            </w:r>
            <w:r>
              <w:rPr>
                <w:rFonts w:hint="eastAsia" w:ascii="宋体" w:hAnsi="宋体" w:cs="宋体"/>
                <w:szCs w:val="24"/>
              </w:rPr>
              <w:t>成都市高新区天府三街288号大有智慧广场迈普大厦10楼1010室</w:t>
            </w:r>
            <w:r>
              <w:rPr>
                <w:rFonts w:hint="eastAsia" w:ascii="宋体" w:hAnsi="宋体" w:cs="宋体"/>
                <w:szCs w:val="24"/>
                <w:lang w:val="zh-CN"/>
              </w:rPr>
              <w:t>。</w:t>
            </w:r>
          </w:p>
          <w:p>
            <w:pPr>
              <w:ind w:firstLine="0" w:firstLineChars="0"/>
              <w:rPr>
                <w:rFonts w:ascii="宋体" w:hAnsi="宋体" w:cs="宋体"/>
                <w:szCs w:val="24"/>
                <w:lang w:val="zh-CN"/>
              </w:rPr>
            </w:pPr>
            <w:r>
              <w:rPr>
                <w:rFonts w:hint="eastAsia" w:ascii="宋体" w:hAnsi="宋体" w:cs="宋体"/>
                <w:szCs w:val="24"/>
              </w:rPr>
              <w:t>邮编：610020</w:t>
            </w:r>
            <w:r>
              <w:rPr>
                <w:rFonts w:hint="eastAsia" w:ascii="宋体" w:hAnsi="宋体" w:cs="宋体"/>
                <w:szCs w:val="24"/>
                <w:lang w:val="zh-CN"/>
              </w:rPr>
              <w:t>。</w:t>
            </w:r>
          </w:p>
          <w:p>
            <w:pPr>
              <w:ind w:firstLine="0" w:firstLineChars="0"/>
              <w:rPr>
                <w:rFonts w:ascii="宋体" w:hAnsi="宋体"/>
              </w:rPr>
            </w:pPr>
            <w:r>
              <w:rPr>
                <w:rFonts w:hint="eastAsia" w:ascii="宋体" w:hAnsi="宋体" w:cs="宋体"/>
                <w:szCs w:val="24"/>
              </w:rPr>
              <w:t>注：根据《中华人民共和国政府采购法》的规定，供应商质疑不得超出采购文件、采购过程、采购结果的范围。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3" w:hRule="atLeast"/>
          <w:jc w:val="center"/>
        </w:trPr>
        <w:tc>
          <w:tcPr>
            <w:tcW w:w="735" w:type="dxa"/>
            <w:tcBorders>
              <w:top w:val="single" w:color="auto" w:sz="4" w:space="0"/>
              <w:left w:val="single" w:color="auto" w:sz="18" w:space="0"/>
              <w:bottom w:val="single" w:color="auto" w:sz="4"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4" w:space="0"/>
              <w:left w:val="single" w:color="auto" w:sz="8" w:space="0"/>
              <w:bottom w:val="single" w:color="auto" w:sz="4" w:space="0"/>
              <w:right w:val="single" w:color="auto" w:sz="8" w:space="0"/>
            </w:tcBorders>
            <w:noWrap w:val="0"/>
            <w:vAlign w:val="center"/>
          </w:tcPr>
          <w:p>
            <w:pPr>
              <w:pStyle w:val="201"/>
              <w:spacing w:line="360" w:lineRule="auto"/>
              <w:jc w:val="center"/>
            </w:pPr>
            <w:r>
              <w:rPr>
                <w:rFonts w:hint="eastAsia"/>
                <w:kern w:val="2"/>
              </w:rPr>
              <w:t>供应商投诉</w:t>
            </w:r>
          </w:p>
        </w:tc>
        <w:tc>
          <w:tcPr>
            <w:tcW w:w="7059" w:type="dxa"/>
            <w:tcBorders>
              <w:top w:val="single" w:color="auto" w:sz="4" w:space="0"/>
              <w:left w:val="single" w:color="auto" w:sz="8" w:space="0"/>
              <w:bottom w:val="single" w:color="auto" w:sz="4" w:space="0"/>
              <w:right w:val="single" w:color="auto" w:sz="18" w:space="0"/>
            </w:tcBorders>
            <w:noWrap w:val="0"/>
            <w:vAlign w:val="top"/>
          </w:tcPr>
          <w:p>
            <w:pPr>
              <w:ind w:firstLine="0" w:firstLineChars="0"/>
              <w:rPr>
                <w:rFonts w:ascii="宋体" w:hAnsi="宋体"/>
              </w:rPr>
            </w:pPr>
            <w:r>
              <w:rPr>
                <w:rFonts w:hint="eastAsia" w:ascii="宋体" w:hAnsi="宋体" w:cs="宋体"/>
                <w:szCs w:val="24"/>
              </w:rPr>
              <w:t>投诉受理单位：本采购项目同级财政部门</w:t>
            </w:r>
            <w:r>
              <w:rPr>
                <w:rFonts w:hint="eastAsia" w:ascii="宋体" w:hAnsi="宋体" w:cs="宋体"/>
              </w:rPr>
              <w:t>即龙泉驿区财政局</w:t>
            </w:r>
            <w:r>
              <w:rPr>
                <w:rFonts w:hint="eastAsia" w:ascii="宋体" w:hAnsi="宋体" w:cs="宋体"/>
                <w:szCs w:val="24"/>
                <w:lang w:val="zh-CN"/>
              </w:rPr>
              <w:t>。</w:t>
            </w:r>
            <w:r>
              <w:rPr>
                <w:rFonts w:hint="eastAsia" w:ascii="宋体" w:hAnsi="宋体" w:cs="宋体"/>
                <w:szCs w:val="24"/>
              </w:rPr>
              <w:t>电话：</w:t>
            </w:r>
            <w:r>
              <w:rPr>
                <w:rStyle w:val="74"/>
                <w:rFonts w:ascii="宋体" w:hAnsi="宋体"/>
                <w:kern w:val="0"/>
                <w:szCs w:val="21"/>
              </w:rPr>
              <w:t>028-</w:t>
            </w:r>
            <w:r>
              <w:rPr>
                <w:rStyle w:val="74"/>
                <w:rFonts w:hint="eastAsia" w:ascii="宋体" w:hAnsi="宋体"/>
                <w:kern w:val="0"/>
                <w:szCs w:val="21"/>
              </w:rPr>
              <w:t>84636986</w:t>
            </w:r>
            <w:r>
              <w:rPr>
                <w:rFonts w:hint="eastAsia" w:ascii="宋体" w:hAnsi="宋体" w:cs="宋体"/>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735" w:type="dxa"/>
            <w:tcBorders>
              <w:top w:val="single" w:color="auto" w:sz="4" w:space="0"/>
              <w:left w:val="single" w:color="auto" w:sz="18" w:space="0"/>
              <w:bottom w:val="single" w:color="auto" w:sz="4"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4" w:space="0"/>
              <w:left w:val="single" w:color="auto" w:sz="8" w:space="0"/>
              <w:bottom w:val="single" w:color="auto" w:sz="4" w:space="0"/>
              <w:right w:val="single" w:color="auto" w:sz="8" w:space="0"/>
            </w:tcBorders>
            <w:noWrap w:val="0"/>
            <w:vAlign w:val="center"/>
          </w:tcPr>
          <w:p>
            <w:pPr>
              <w:ind w:firstLine="0" w:firstLineChars="0"/>
              <w:jc w:val="center"/>
              <w:outlineLvl w:val="5"/>
              <w:rPr>
                <w:rFonts w:ascii="宋体" w:hAnsi="宋体"/>
              </w:rPr>
            </w:pPr>
            <w:r>
              <w:rPr>
                <w:rFonts w:hint="eastAsia" w:ascii="宋体" w:hAnsi="宋体" w:cs="宋体"/>
                <w:szCs w:val="24"/>
                <w:lang w:val="zh-CN"/>
              </w:rPr>
              <w:t>招标代理服务费</w:t>
            </w:r>
          </w:p>
        </w:tc>
        <w:tc>
          <w:tcPr>
            <w:tcW w:w="7059" w:type="dxa"/>
            <w:tcBorders>
              <w:top w:val="single" w:color="auto" w:sz="4" w:space="0"/>
              <w:left w:val="single" w:color="auto" w:sz="8" w:space="0"/>
              <w:bottom w:val="single" w:color="auto" w:sz="4" w:space="0"/>
              <w:right w:val="single" w:color="auto" w:sz="18" w:space="0"/>
            </w:tcBorders>
            <w:noWrap w:val="0"/>
            <w:vAlign w:val="center"/>
          </w:tcPr>
          <w:p>
            <w:pPr>
              <w:ind w:firstLine="0" w:firstLineChars="0"/>
              <w:outlineLvl w:val="5"/>
              <w:rPr>
                <w:rFonts w:ascii="宋体" w:hAnsi="宋体" w:cs="宋体"/>
                <w:szCs w:val="24"/>
                <w:lang w:val="zh-CN"/>
              </w:rPr>
            </w:pPr>
            <w:r>
              <w:rPr>
                <w:rFonts w:hint="eastAsia" w:hAnsi="宋体" w:cs="宋体"/>
              </w:rPr>
              <w:t>参照</w:t>
            </w:r>
            <w:r>
              <w:rPr>
                <w:rFonts w:hint="eastAsia" w:hAnsi="宋体" w:cs="宋体"/>
                <w:lang w:val="zh-CN"/>
              </w:rPr>
              <w:t>《国家计委关于印发〈招标代理服务费收费标准管理暂行办法〉的通知》（计价格[2002]1980号）</w:t>
            </w:r>
            <w:r>
              <w:rPr>
                <w:rFonts w:hint="eastAsia" w:hAnsi="宋体" w:cs="宋体"/>
              </w:rPr>
              <w:t>标准×服务年限收取</w:t>
            </w:r>
            <w:r>
              <w:rPr>
                <w:rFonts w:hint="eastAsia" w:ascii="宋体" w:hAnsi="宋体" w:cs="宋体"/>
                <w:szCs w:val="24"/>
                <w:lang w:val="zh-CN"/>
              </w:rPr>
              <w:t>，由中标人领取中标通知书前支付。可采取现金支付或银行转账。银行转账相关信息如下：</w:t>
            </w:r>
          </w:p>
          <w:p>
            <w:pPr>
              <w:ind w:firstLine="0" w:firstLineChars="0"/>
              <w:outlineLvl w:val="5"/>
              <w:rPr>
                <w:rFonts w:ascii="宋体" w:hAnsi="宋体" w:cs="宋体"/>
                <w:szCs w:val="24"/>
                <w:lang w:val="zh-CN"/>
              </w:rPr>
            </w:pPr>
            <w:r>
              <w:rPr>
                <w:rFonts w:hint="eastAsia" w:ascii="宋体" w:hAnsi="宋体" w:cs="宋体"/>
                <w:szCs w:val="24"/>
                <w:lang w:val="zh-CN"/>
              </w:rPr>
              <w:t>开户单位：四川世科工程咨询有限公司</w:t>
            </w:r>
          </w:p>
          <w:p>
            <w:pPr>
              <w:ind w:firstLine="0" w:firstLineChars="0"/>
              <w:outlineLvl w:val="5"/>
              <w:rPr>
                <w:rFonts w:ascii="宋体" w:hAnsi="宋体" w:cs="宋体"/>
                <w:szCs w:val="24"/>
                <w:lang w:val="zh-CN"/>
              </w:rPr>
            </w:pPr>
            <w:r>
              <w:rPr>
                <w:rFonts w:hint="eastAsia" w:ascii="宋体" w:hAnsi="宋体" w:cs="宋体"/>
                <w:szCs w:val="24"/>
                <w:lang w:val="zh-CN"/>
              </w:rPr>
              <w:t>开户银行：中国建设银行股份有限公司双流分行</w:t>
            </w:r>
          </w:p>
          <w:p>
            <w:pPr>
              <w:ind w:firstLine="0" w:firstLineChars="0"/>
              <w:outlineLvl w:val="5"/>
              <w:rPr>
                <w:rFonts w:ascii="宋体" w:hAnsi="宋体" w:cs="宋体"/>
                <w:szCs w:val="24"/>
                <w:lang w:val="zh-CN"/>
              </w:rPr>
            </w:pPr>
            <w:r>
              <w:rPr>
                <w:rFonts w:hint="eastAsia" w:ascii="宋体" w:hAnsi="宋体" w:cs="宋体"/>
                <w:szCs w:val="24"/>
                <w:lang w:val="zh-CN"/>
              </w:rPr>
              <w:t>银行</w:t>
            </w:r>
            <w:r>
              <w:rPr>
                <w:rFonts w:hint="eastAsia" w:ascii="宋体" w:hAnsi="宋体" w:cs="宋体"/>
                <w:szCs w:val="24"/>
              </w:rPr>
              <w:t>账</w:t>
            </w:r>
            <w:r>
              <w:rPr>
                <w:rFonts w:hint="eastAsia" w:ascii="宋体" w:hAnsi="宋体" w:cs="宋体"/>
                <w:szCs w:val="24"/>
                <w:lang w:val="zh-CN"/>
              </w:rPr>
              <w:t>号：5100 1527 9080 5152 8329</w:t>
            </w:r>
          </w:p>
          <w:p>
            <w:pPr>
              <w:ind w:firstLine="0" w:firstLineChars="0"/>
              <w:outlineLvl w:val="5"/>
              <w:rPr>
                <w:rFonts w:ascii="宋体" w:hAnsi="宋体"/>
              </w:rPr>
            </w:pPr>
            <w:r>
              <w:rPr>
                <w:rFonts w:hint="eastAsia" w:ascii="宋体" w:hAnsi="宋体" w:cs="宋体"/>
                <w:szCs w:val="24"/>
                <w:lang w:val="zh-CN"/>
              </w:rPr>
              <w:t>转账事由： 510112202100362项目成交服务费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735" w:type="dxa"/>
            <w:tcBorders>
              <w:top w:val="single" w:color="auto" w:sz="4" w:space="0"/>
              <w:left w:val="single" w:color="auto" w:sz="18" w:space="0"/>
              <w:bottom w:val="single" w:color="auto" w:sz="4" w:space="0"/>
              <w:right w:val="single" w:color="auto" w:sz="8" w:space="0"/>
            </w:tcBorders>
            <w:noWrap w:val="0"/>
            <w:vAlign w:val="center"/>
          </w:tcPr>
          <w:p>
            <w:pPr>
              <w:numPr>
                <w:ilvl w:val="0"/>
                <w:numId w:val="8"/>
              </w:numPr>
              <w:snapToGrid w:val="0"/>
              <w:ind w:left="0" w:firstLine="0" w:firstLineChars="0"/>
              <w:jc w:val="center"/>
              <w:rPr>
                <w:rFonts w:ascii="宋体" w:hAnsi="宋体"/>
              </w:rPr>
            </w:pPr>
            <w:bookmarkStart w:id="32" w:name="_Toc18174"/>
            <w:bookmarkStart w:id="33" w:name="_Toc23165"/>
          </w:p>
        </w:tc>
        <w:tc>
          <w:tcPr>
            <w:tcW w:w="2070" w:type="dxa"/>
            <w:tcBorders>
              <w:top w:val="single" w:color="auto" w:sz="4" w:space="0"/>
              <w:left w:val="single" w:color="auto" w:sz="8" w:space="0"/>
              <w:bottom w:val="single" w:color="auto" w:sz="4" w:space="0"/>
              <w:right w:val="single" w:color="auto" w:sz="8" w:space="0"/>
            </w:tcBorders>
            <w:noWrap w:val="0"/>
            <w:vAlign w:val="center"/>
          </w:tcPr>
          <w:p>
            <w:pPr>
              <w:ind w:firstLine="480"/>
              <w:outlineLvl w:val="5"/>
              <w:rPr>
                <w:rFonts w:hint="eastAsia" w:ascii="宋体" w:hAnsi="宋体" w:cs="宋体"/>
                <w:szCs w:val="24"/>
                <w:lang w:val="zh-CN"/>
              </w:rPr>
            </w:pPr>
            <w:r>
              <w:rPr>
                <w:rFonts w:hint="eastAsia" w:ascii="宋体" w:hAnsi="宋体" w:cs="宋体"/>
                <w:lang w:val="zh-CN"/>
              </w:rPr>
              <w:t>信用融资</w:t>
            </w:r>
          </w:p>
        </w:tc>
        <w:tc>
          <w:tcPr>
            <w:tcW w:w="7059" w:type="dxa"/>
            <w:tcBorders>
              <w:top w:val="single" w:color="auto" w:sz="4" w:space="0"/>
              <w:left w:val="single" w:color="auto" w:sz="8" w:space="0"/>
              <w:bottom w:val="single" w:color="auto" w:sz="4" w:space="0"/>
              <w:right w:val="single" w:color="auto" w:sz="18" w:space="0"/>
            </w:tcBorders>
            <w:noWrap w:val="0"/>
            <w:vAlign w:val="center"/>
          </w:tcPr>
          <w:p>
            <w:pPr>
              <w:ind w:firstLine="240" w:firstLineChars="100"/>
              <w:outlineLvl w:val="5"/>
              <w:rPr>
                <w:rFonts w:hint="eastAsia" w:ascii="宋体" w:hAnsi="宋体" w:cs="宋体"/>
                <w:szCs w:val="24"/>
                <w:lang w:val="zh-CN"/>
              </w:rPr>
            </w:pPr>
            <w:r>
              <w:rPr>
                <w:rFonts w:hint="eastAsia" w:ascii="宋体" w:hAnsi="宋体" w:cs="宋体"/>
                <w:szCs w:val="32"/>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735" w:type="dxa"/>
            <w:tcBorders>
              <w:top w:val="single" w:color="auto" w:sz="4" w:space="0"/>
              <w:left w:val="single" w:color="auto" w:sz="18" w:space="0"/>
              <w:bottom w:val="single" w:color="auto" w:sz="4" w:space="0"/>
              <w:right w:val="single" w:color="auto" w:sz="8" w:space="0"/>
            </w:tcBorders>
            <w:noWrap w:val="0"/>
            <w:vAlign w:val="center"/>
          </w:tcPr>
          <w:p>
            <w:pPr>
              <w:numPr>
                <w:ilvl w:val="0"/>
                <w:numId w:val="8"/>
              </w:numPr>
              <w:snapToGrid w:val="0"/>
              <w:ind w:left="0" w:firstLine="0" w:firstLineChars="0"/>
              <w:jc w:val="center"/>
              <w:rPr>
                <w:rFonts w:ascii="宋体" w:hAnsi="宋体"/>
              </w:rPr>
            </w:pPr>
          </w:p>
        </w:tc>
        <w:tc>
          <w:tcPr>
            <w:tcW w:w="2070" w:type="dxa"/>
            <w:tcBorders>
              <w:top w:val="single" w:color="auto" w:sz="4" w:space="0"/>
              <w:left w:val="single" w:color="auto" w:sz="8" w:space="0"/>
              <w:bottom w:val="single" w:color="auto" w:sz="4" w:space="0"/>
              <w:right w:val="single" w:color="auto" w:sz="8" w:space="0"/>
            </w:tcBorders>
            <w:noWrap w:val="0"/>
            <w:vAlign w:val="center"/>
          </w:tcPr>
          <w:p>
            <w:pPr>
              <w:pStyle w:val="201"/>
              <w:spacing w:line="360" w:lineRule="auto"/>
              <w:ind w:left="96"/>
              <w:jc w:val="center"/>
              <w:rPr>
                <w:rFonts w:hint="eastAsia"/>
                <w:kern w:val="2"/>
                <w:szCs w:val="32"/>
                <w:lang w:val="zh-CN"/>
              </w:rPr>
            </w:pPr>
            <w:r>
              <w:rPr>
                <w:rFonts w:hint="eastAsia"/>
                <w:kern w:val="2"/>
                <w:szCs w:val="32"/>
                <w:lang w:val="zh-CN"/>
              </w:rPr>
              <w:t>温馨提示</w:t>
            </w:r>
          </w:p>
        </w:tc>
        <w:tc>
          <w:tcPr>
            <w:tcW w:w="7059" w:type="dxa"/>
            <w:tcBorders>
              <w:top w:val="single" w:color="auto" w:sz="4" w:space="0"/>
              <w:left w:val="single" w:color="auto" w:sz="8" w:space="0"/>
              <w:bottom w:val="single" w:color="auto" w:sz="4" w:space="0"/>
              <w:right w:val="single" w:color="auto" w:sz="18" w:space="0"/>
            </w:tcBorders>
            <w:noWrap w:val="0"/>
            <w:vAlign w:val="center"/>
          </w:tcPr>
          <w:p>
            <w:pPr>
              <w:pStyle w:val="201"/>
              <w:numPr>
                <w:ilvl w:val="0"/>
                <w:numId w:val="10"/>
              </w:numPr>
              <w:spacing w:line="360" w:lineRule="auto"/>
              <w:rPr>
                <w:rFonts w:hint="eastAsia"/>
                <w:kern w:val="2"/>
                <w:szCs w:val="32"/>
                <w:lang w:val="zh-CN"/>
              </w:rPr>
            </w:pPr>
            <w:r>
              <w:rPr>
                <w:rFonts w:hint="eastAsia"/>
                <w:kern w:val="2"/>
                <w:szCs w:val="32"/>
                <w:lang w:val="zh-CN"/>
              </w:rPr>
              <w:t>供应商需准备全流程所必需的硬件设备包括电脑（版本 win7 64位及以上）、麦克风、摄像头、CA证书等。建议使用同一台电脑完成投标、评标相关事宜，推荐安装chrome浏览器，且解密CA必须和加密CA为同一把。</w:t>
            </w:r>
          </w:p>
          <w:p>
            <w:pPr>
              <w:pStyle w:val="201"/>
              <w:spacing w:line="360" w:lineRule="auto"/>
              <w:jc w:val="both"/>
              <w:rPr>
                <w:rFonts w:hint="eastAsia"/>
                <w:kern w:val="2"/>
                <w:szCs w:val="32"/>
                <w:lang w:val="zh-CN"/>
              </w:rPr>
            </w:pPr>
            <w:r>
              <w:rPr>
                <w:rFonts w:hint="eastAsia"/>
                <w:kern w:val="2"/>
                <w:szCs w:val="32"/>
                <w:lang w:val="zh-CN"/>
              </w:rPr>
              <w:t>2.政府采购云平台供应商注册地址：</w:t>
            </w:r>
          </w:p>
          <w:p>
            <w:pPr>
              <w:pStyle w:val="201"/>
              <w:spacing w:line="360" w:lineRule="auto"/>
              <w:jc w:val="both"/>
              <w:rPr>
                <w:rFonts w:hint="eastAsia"/>
                <w:kern w:val="2"/>
                <w:szCs w:val="32"/>
              </w:rPr>
            </w:pPr>
            <w:r>
              <w:rPr>
                <w:rFonts w:hint="eastAsia"/>
                <w:kern w:val="2"/>
                <w:szCs w:val="32"/>
                <w:lang w:val="zh-CN"/>
              </w:rPr>
              <w:t>https://middle.zcygov.cn/v-settle-front/registry?settleCategory=1&amp;entranceType=119&amp;utm=a0017.b1347.cl50.3.c0de9400b91b11eb870ad7da87d69c97</w:t>
            </w:r>
          </w:p>
        </w:tc>
      </w:tr>
    </w:tbl>
    <w:p>
      <w:pPr>
        <w:pStyle w:val="5"/>
      </w:pPr>
      <w:bookmarkStart w:id="34" w:name="_Toc29616"/>
      <w:r>
        <w:rPr>
          <w:rFonts w:hint="eastAsia"/>
        </w:rPr>
        <w:t>总则</w:t>
      </w:r>
      <w:bookmarkEnd w:id="32"/>
      <w:bookmarkEnd w:id="33"/>
      <w:bookmarkEnd w:id="34"/>
    </w:p>
    <w:p>
      <w:pPr>
        <w:pStyle w:val="6"/>
        <w:ind w:left="342" w:leftChars="0" w:firstLine="506" w:firstLineChars="0"/>
        <w:rPr>
          <w:color w:val="auto"/>
        </w:rPr>
      </w:pPr>
      <w:bookmarkStart w:id="35" w:name="_Toc26659"/>
      <w:r>
        <w:rPr>
          <w:rFonts w:hint="eastAsia"/>
          <w:color w:val="auto"/>
        </w:rPr>
        <w:t>适用范围</w:t>
      </w:r>
      <w:bookmarkEnd w:id="35"/>
    </w:p>
    <w:p>
      <w:pPr>
        <w:tabs>
          <w:tab w:val="left" w:pos="1134"/>
        </w:tabs>
        <w:ind w:firstLine="480"/>
        <w:rPr>
          <w:rFonts w:ascii="宋体" w:hAnsi="宋体" w:cs="宋体"/>
          <w:szCs w:val="24"/>
        </w:rPr>
      </w:pPr>
      <w:r>
        <w:rPr>
          <w:rFonts w:hint="eastAsia" w:ascii="宋体" w:hAnsi="宋体" w:cs="宋体"/>
          <w:szCs w:val="24"/>
        </w:rPr>
        <w:t xml:space="preserve">  本招标文件仅适用于本次公开招标所叙述的货物以及服务采购项目。</w:t>
      </w:r>
    </w:p>
    <w:p>
      <w:pPr>
        <w:pStyle w:val="6"/>
        <w:ind w:left="342" w:leftChars="0" w:firstLine="506" w:firstLineChars="0"/>
        <w:rPr>
          <w:color w:val="auto"/>
        </w:rPr>
      </w:pPr>
      <w:bookmarkStart w:id="36" w:name="_Toc31167"/>
      <w:r>
        <w:rPr>
          <w:rFonts w:hint="eastAsia"/>
          <w:color w:val="auto"/>
        </w:rPr>
        <w:t>有关定义</w:t>
      </w:r>
      <w:bookmarkEnd w:id="36"/>
    </w:p>
    <w:p>
      <w:pPr>
        <w:numPr>
          <w:ilvl w:val="0"/>
          <w:numId w:val="11"/>
        </w:numPr>
        <w:tabs>
          <w:tab w:val="left" w:pos="1134"/>
        </w:tabs>
        <w:ind w:firstLine="480"/>
        <w:rPr>
          <w:rFonts w:ascii="宋体" w:hAnsi="宋体" w:cs="宋体"/>
          <w:szCs w:val="24"/>
        </w:rPr>
      </w:pPr>
      <w:r>
        <w:rPr>
          <w:rFonts w:hint="eastAsia" w:ascii="宋体" w:hAnsi="宋体" w:cs="宋体"/>
          <w:szCs w:val="24"/>
        </w:rPr>
        <w:t>“采购人”和“甲方”系指依法进行政府采购的国家机关、事业单位、团体组织。本次招标的采购人是</w:t>
      </w:r>
      <w:r>
        <w:rPr>
          <w:rFonts w:hint="eastAsia" w:ascii="宋体" w:hAnsi="宋体" w:cs="宋体"/>
          <w:b/>
          <w:szCs w:val="24"/>
        </w:rPr>
        <w:t>成都市龙泉驿生态环境局</w:t>
      </w:r>
      <w:r>
        <w:rPr>
          <w:rFonts w:hint="eastAsia" w:ascii="宋体" w:hAnsi="宋体" w:cs="宋体"/>
          <w:szCs w:val="24"/>
        </w:rPr>
        <w:t>。</w:t>
      </w:r>
    </w:p>
    <w:p>
      <w:pPr>
        <w:numPr>
          <w:ilvl w:val="0"/>
          <w:numId w:val="11"/>
        </w:numPr>
        <w:tabs>
          <w:tab w:val="left" w:pos="1134"/>
        </w:tabs>
        <w:ind w:firstLine="480"/>
        <w:rPr>
          <w:rFonts w:ascii="宋体" w:hAnsi="宋体" w:cs="宋体"/>
          <w:szCs w:val="24"/>
        </w:rPr>
      </w:pPr>
      <w:r>
        <w:rPr>
          <w:rFonts w:hint="eastAsia" w:ascii="宋体" w:hAnsi="宋体" w:cs="宋体"/>
          <w:szCs w:val="24"/>
        </w:rPr>
        <w:t>“采购代理机构” 系指根据采购人的委托依法办理招标事宜的采购机构。本次招标的采购代理机构是</w:t>
      </w:r>
      <w:r>
        <w:rPr>
          <w:rFonts w:hint="eastAsia" w:ascii="宋体" w:hAnsi="宋体" w:cs="宋体"/>
          <w:b/>
          <w:bCs/>
          <w:szCs w:val="24"/>
        </w:rPr>
        <w:t>四川世科工程咨询有限公司</w:t>
      </w:r>
      <w:r>
        <w:rPr>
          <w:rFonts w:hint="eastAsia" w:ascii="宋体" w:hAnsi="宋体" w:cs="宋体"/>
          <w:szCs w:val="24"/>
        </w:rPr>
        <w:t>。</w:t>
      </w:r>
    </w:p>
    <w:p>
      <w:pPr>
        <w:numPr>
          <w:ilvl w:val="0"/>
          <w:numId w:val="11"/>
        </w:numPr>
        <w:tabs>
          <w:tab w:val="left" w:pos="1134"/>
        </w:tabs>
        <w:ind w:firstLine="480"/>
        <w:rPr>
          <w:rFonts w:ascii="宋体" w:hAnsi="宋体" w:cs="宋体"/>
          <w:szCs w:val="24"/>
        </w:rPr>
      </w:pPr>
      <w:r>
        <w:rPr>
          <w:rFonts w:hint="eastAsia" w:ascii="宋体" w:hAnsi="宋体" w:cs="宋体"/>
          <w:szCs w:val="24"/>
        </w:rPr>
        <w:t>“招标采购单位”系指“采购人”和“采购代理机构”的统称。</w:t>
      </w:r>
    </w:p>
    <w:p>
      <w:pPr>
        <w:numPr>
          <w:ilvl w:val="0"/>
          <w:numId w:val="11"/>
        </w:numPr>
        <w:tabs>
          <w:tab w:val="left" w:pos="1134"/>
        </w:tabs>
        <w:ind w:firstLine="480"/>
        <w:rPr>
          <w:rFonts w:ascii="宋体" w:hAnsi="宋体" w:cs="宋体"/>
          <w:szCs w:val="24"/>
        </w:rPr>
      </w:pPr>
      <w:r>
        <w:rPr>
          <w:rFonts w:hint="eastAsia" w:ascii="宋体" w:hAnsi="宋体" w:cs="宋体"/>
          <w:szCs w:val="24"/>
        </w:rPr>
        <w:t>“投标人”系指获取了招标文件拟参加投标和向采购人提供货物及服务的供应商，“乙方”系指中标的供应商。</w:t>
      </w:r>
    </w:p>
    <w:p>
      <w:pPr>
        <w:pStyle w:val="6"/>
        <w:ind w:left="342" w:leftChars="0" w:firstLine="506" w:firstLineChars="0"/>
        <w:rPr>
          <w:color w:val="auto"/>
        </w:rPr>
      </w:pPr>
      <w:bookmarkStart w:id="37" w:name="_Toc22451"/>
      <w:bookmarkStart w:id="38" w:name="_Toc183682344"/>
      <w:bookmarkStart w:id="39" w:name="_Toc217390843"/>
      <w:bookmarkStart w:id="40" w:name="_Toc183582207"/>
      <w:bookmarkStart w:id="41" w:name="_Toc217446036"/>
      <w:r>
        <w:rPr>
          <w:rFonts w:hint="eastAsia"/>
          <w:color w:val="auto"/>
        </w:rPr>
        <w:t>合格的投标人</w:t>
      </w:r>
      <w:bookmarkEnd w:id="37"/>
      <w:bookmarkEnd w:id="38"/>
      <w:bookmarkEnd w:id="39"/>
      <w:bookmarkEnd w:id="40"/>
      <w:bookmarkEnd w:id="41"/>
    </w:p>
    <w:p>
      <w:pPr>
        <w:tabs>
          <w:tab w:val="left" w:pos="7665"/>
        </w:tabs>
        <w:ind w:firstLine="480"/>
        <w:rPr>
          <w:rFonts w:ascii="宋体" w:hAnsi="宋体" w:cs="宋体"/>
          <w:szCs w:val="24"/>
        </w:rPr>
      </w:pPr>
      <w:r>
        <w:rPr>
          <w:rFonts w:hint="eastAsia" w:ascii="宋体" w:hAnsi="宋体" w:cs="宋体"/>
          <w:szCs w:val="24"/>
        </w:rPr>
        <w:t>合格的投标人应具备以下条件：</w:t>
      </w:r>
    </w:p>
    <w:p>
      <w:pPr>
        <w:numPr>
          <w:ilvl w:val="0"/>
          <w:numId w:val="12"/>
        </w:numPr>
        <w:tabs>
          <w:tab w:val="left" w:pos="1134"/>
        </w:tabs>
        <w:ind w:firstLine="480"/>
        <w:rPr>
          <w:rFonts w:ascii="宋体" w:hAnsi="宋体" w:cs="宋体"/>
          <w:szCs w:val="24"/>
        </w:rPr>
      </w:pPr>
      <w:r>
        <w:rPr>
          <w:rFonts w:hint="eastAsia" w:ascii="宋体" w:hAnsi="宋体" w:cs="宋体"/>
          <w:szCs w:val="24"/>
        </w:rPr>
        <w:t>本招标文件规定的供应商资格条件；</w:t>
      </w:r>
    </w:p>
    <w:p>
      <w:pPr>
        <w:numPr>
          <w:ilvl w:val="0"/>
          <w:numId w:val="12"/>
        </w:numPr>
        <w:tabs>
          <w:tab w:val="left" w:pos="1134"/>
        </w:tabs>
        <w:ind w:firstLine="480"/>
        <w:rPr>
          <w:rFonts w:ascii="宋体" w:hAnsi="宋体" w:cs="宋体"/>
          <w:szCs w:val="24"/>
        </w:rPr>
      </w:pPr>
      <w:r>
        <w:rPr>
          <w:rFonts w:hint="eastAsia" w:ascii="宋体" w:hAnsi="宋体" w:cs="宋体"/>
          <w:szCs w:val="24"/>
        </w:rPr>
        <w:t>从“政府采购云平台”完成获取采购文件的供应商；</w:t>
      </w:r>
    </w:p>
    <w:p>
      <w:pPr>
        <w:numPr>
          <w:ilvl w:val="0"/>
          <w:numId w:val="12"/>
        </w:numPr>
        <w:tabs>
          <w:tab w:val="left" w:pos="1134"/>
        </w:tabs>
        <w:ind w:firstLine="480"/>
        <w:rPr>
          <w:rFonts w:ascii="宋体" w:hAnsi="宋体" w:cs="宋体"/>
          <w:szCs w:val="24"/>
        </w:rPr>
      </w:pPr>
      <w:r>
        <w:rPr>
          <w:rFonts w:hint="eastAsia" w:ascii="宋体" w:hAnsi="宋体" w:cs="宋体"/>
          <w:szCs w:val="24"/>
        </w:rPr>
        <w:t>遵守国家有关的法律、法规、规章和其他政策制度；</w:t>
      </w:r>
    </w:p>
    <w:p>
      <w:pPr>
        <w:numPr>
          <w:ilvl w:val="0"/>
          <w:numId w:val="12"/>
        </w:numPr>
        <w:tabs>
          <w:tab w:val="left" w:pos="1134"/>
        </w:tabs>
        <w:ind w:firstLine="480"/>
        <w:rPr>
          <w:rFonts w:ascii="宋体" w:hAnsi="宋体" w:cs="宋体"/>
          <w:szCs w:val="24"/>
        </w:rPr>
      </w:pPr>
      <w:r>
        <w:rPr>
          <w:rFonts w:hint="eastAsia" w:ascii="宋体" w:hAnsi="宋体" w:cs="宋体"/>
          <w:szCs w:val="24"/>
        </w:rPr>
        <w:t>招标文件和法律、行政法规规定的其他条件。</w:t>
      </w:r>
    </w:p>
    <w:p>
      <w:pPr>
        <w:pStyle w:val="6"/>
        <w:ind w:left="342" w:leftChars="0" w:firstLine="506" w:firstLineChars="0"/>
        <w:rPr>
          <w:color w:val="auto"/>
        </w:rPr>
      </w:pPr>
      <w:bookmarkStart w:id="42" w:name="_Toc8079"/>
      <w:r>
        <w:rPr>
          <w:rFonts w:hint="eastAsia"/>
          <w:color w:val="auto"/>
        </w:rPr>
        <w:t>投标费用</w:t>
      </w:r>
      <w:bookmarkEnd w:id="42"/>
    </w:p>
    <w:p>
      <w:pPr>
        <w:ind w:firstLine="480"/>
      </w:pPr>
      <w:r>
        <w:rPr>
          <w:rFonts w:hint="eastAsia"/>
        </w:rPr>
        <w:t>投标人应自行承担参加投标的全部费用。不论投标的结果如何，招标采购单位均无义务和责任承担这些费用。</w:t>
      </w:r>
    </w:p>
    <w:p>
      <w:pPr>
        <w:pStyle w:val="6"/>
        <w:ind w:left="342" w:leftChars="0" w:firstLine="506" w:firstLineChars="0"/>
        <w:rPr>
          <w:color w:val="auto"/>
        </w:rPr>
      </w:pPr>
      <w:bookmarkStart w:id="43" w:name="_Toc15131"/>
      <w:r>
        <w:rPr>
          <w:rFonts w:hint="eastAsia"/>
          <w:color w:val="auto"/>
        </w:rPr>
        <w:t>充分、公平竞争保障措施</w:t>
      </w:r>
      <w:bookmarkEnd w:id="43"/>
    </w:p>
    <w:p>
      <w:pPr>
        <w:pStyle w:val="155"/>
        <w:spacing w:line="360" w:lineRule="auto"/>
        <w:ind w:firstLine="482" w:firstLineChars="200"/>
        <w:jc w:val="left"/>
        <w:rPr>
          <w:rFonts w:hAnsi="宋体" w:cs="宋体"/>
          <w:sz w:val="24"/>
          <w:szCs w:val="24"/>
        </w:rPr>
      </w:pPr>
      <w:r>
        <w:rPr>
          <w:rFonts w:hint="eastAsia" w:hAnsi="宋体" w:cs="宋体"/>
          <w:b/>
          <w:sz w:val="24"/>
          <w:szCs w:val="24"/>
        </w:rPr>
        <w:t>利害关系供应商处理。</w:t>
      </w:r>
      <w:r>
        <w:rPr>
          <w:rFonts w:hint="eastAsia" w:hAnsi="宋体" w:cs="宋体"/>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155"/>
        <w:spacing w:line="360" w:lineRule="auto"/>
        <w:ind w:firstLine="482" w:firstLineChars="200"/>
        <w:jc w:val="left"/>
        <w:rPr>
          <w:rFonts w:hAnsi="宋体" w:cs="宋体"/>
          <w:sz w:val="24"/>
          <w:szCs w:val="24"/>
        </w:rPr>
      </w:pPr>
      <w:r>
        <w:rPr>
          <w:rFonts w:hint="eastAsia" w:hAnsi="宋体" w:cs="宋体"/>
          <w:b/>
          <w:sz w:val="24"/>
          <w:szCs w:val="24"/>
        </w:rPr>
        <w:t>前期参与供应商处理。</w:t>
      </w:r>
      <w:r>
        <w:rPr>
          <w:rFonts w:hint="eastAsia" w:hAnsi="宋体" w:cs="宋体"/>
          <w:sz w:val="24"/>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55"/>
        <w:spacing w:line="360" w:lineRule="auto"/>
        <w:ind w:firstLine="482" w:firstLineChars="200"/>
        <w:jc w:val="left"/>
        <w:rPr>
          <w:rFonts w:hAnsi="宋体" w:cs="宋体"/>
          <w:sz w:val="24"/>
          <w:szCs w:val="24"/>
        </w:rPr>
      </w:pPr>
      <w:r>
        <w:rPr>
          <w:rFonts w:hint="eastAsia" w:hAnsi="宋体" w:cs="宋体"/>
          <w:b/>
          <w:sz w:val="24"/>
          <w:szCs w:val="24"/>
        </w:rPr>
        <w:t>利害关系代理人处理。</w:t>
      </w:r>
      <w:r>
        <w:rPr>
          <w:rFonts w:hint="eastAsia" w:hAnsi="宋体" w:cs="宋体"/>
          <w:sz w:val="24"/>
          <w:szCs w:val="24"/>
        </w:rPr>
        <w:t>2家以上的供应商不得在同一合同项下的采购项目中，同时委托同一个自然人、同一家庭的人员、同一单位的人员作为其代理人，否则，其投标文件作为无效处理。</w:t>
      </w:r>
    </w:p>
    <w:p>
      <w:pPr>
        <w:pStyle w:val="5"/>
      </w:pPr>
      <w:bookmarkStart w:id="44" w:name="_Toc217446039"/>
      <w:bookmarkStart w:id="45" w:name="_Toc28416"/>
      <w:bookmarkStart w:id="46" w:name="_Toc20257"/>
      <w:bookmarkStart w:id="47" w:name="_Toc183682347"/>
      <w:bookmarkStart w:id="48" w:name="_Toc183582210"/>
      <w:bookmarkStart w:id="49" w:name="_Toc7978"/>
      <w:r>
        <w:rPr>
          <w:rFonts w:hint="eastAsia"/>
        </w:rPr>
        <w:t>招标文件</w:t>
      </w:r>
      <w:bookmarkEnd w:id="44"/>
      <w:bookmarkEnd w:id="45"/>
      <w:bookmarkEnd w:id="46"/>
      <w:bookmarkEnd w:id="47"/>
      <w:bookmarkEnd w:id="48"/>
      <w:bookmarkEnd w:id="49"/>
    </w:p>
    <w:p>
      <w:pPr>
        <w:pStyle w:val="6"/>
        <w:ind w:left="342" w:leftChars="0" w:firstLine="506" w:firstLineChars="0"/>
        <w:rPr>
          <w:color w:val="auto"/>
        </w:rPr>
      </w:pPr>
      <w:bookmarkStart w:id="50" w:name="_Toc28521"/>
      <w:r>
        <w:rPr>
          <w:rFonts w:hint="eastAsia"/>
          <w:color w:val="auto"/>
        </w:rPr>
        <w:t>招标文件的构成</w:t>
      </w:r>
      <w:bookmarkEnd w:id="50"/>
    </w:p>
    <w:p>
      <w:pPr>
        <w:numPr>
          <w:ilvl w:val="0"/>
          <w:numId w:val="13"/>
        </w:numPr>
        <w:tabs>
          <w:tab w:val="left" w:pos="1134"/>
        </w:tabs>
        <w:ind w:firstLine="480"/>
        <w:rPr>
          <w:rFonts w:ascii="宋体" w:hAnsi="宋体" w:cs="宋体"/>
          <w:szCs w:val="24"/>
        </w:rPr>
      </w:pPr>
      <w:r>
        <w:rPr>
          <w:rFonts w:hint="eastAsia" w:ascii="宋体" w:hAnsi="宋体" w:cs="宋体"/>
          <w:szCs w:val="24"/>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4"/>
        </w:numPr>
        <w:tabs>
          <w:tab w:val="left" w:pos="1134"/>
        </w:tabs>
        <w:ind w:left="0" w:firstLine="480"/>
        <w:rPr>
          <w:rFonts w:ascii="宋体" w:hAnsi="宋体" w:cs="宋体"/>
          <w:szCs w:val="24"/>
        </w:rPr>
      </w:pPr>
      <w:r>
        <w:rPr>
          <w:rFonts w:hint="eastAsia" w:ascii="宋体" w:hAnsi="宋体" w:cs="宋体"/>
          <w:szCs w:val="24"/>
        </w:rPr>
        <w:t>投标邀请；</w:t>
      </w:r>
    </w:p>
    <w:p>
      <w:pPr>
        <w:numPr>
          <w:ilvl w:val="1"/>
          <w:numId w:val="14"/>
        </w:numPr>
        <w:tabs>
          <w:tab w:val="left" w:pos="1134"/>
        </w:tabs>
        <w:ind w:left="0" w:firstLine="480"/>
        <w:rPr>
          <w:rFonts w:ascii="宋体" w:hAnsi="宋体" w:cs="宋体"/>
          <w:szCs w:val="24"/>
        </w:rPr>
      </w:pPr>
      <w:r>
        <w:rPr>
          <w:rFonts w:hint="eastAsia" w:ascii="宋体" w:hAnsi="宋体" w:cs="宋体"/>
          <w:szCs w:val="24"/>
        </w:rPr>
        <w:t>投标人须知；</w:t>
      </w:r>
    </w:p>
    <w:p>
      <w:pPr>
        <w:numPr>
          <w:ilvl w:val="1"/>
          <w:numId w:val="14"/>
        </w:numPr>
        <w:tabs>
          <w:tab w:val="left" w:pos="1134"/>
        </w:tabs>
        <w:ind w:left="0" w:firstLine="480"/>
        <w:rPr>
          <w:rFonts w:ascii="宋体" w:hAnsi="宋体" w:cs="宋体"/>
          <w:szCs w:val="24"/>
        </w:rPr>
      </w:pPr>
      <w:r>
        <w:rPr>
          <w:rFonts w:hint="eastAsia" w:ascii="宋体" w:hAnsi="宋体" w:cs="宋体"/>
          <w:szCs w:val="24"/>
        </w:rPr>
        <w:t>投标文件格式；</w:t>
      </w:r>
    </w:p>
    <w:p>
      <w:pPr>
        <w:numPr>
          <w:ilvl w:val="1"/>
          <w:numId w:val="14"/>
        </w:numPr>
        <w:tabs>
          <w:tab w:val="left" w:pos="1134"/>
        </w:tabs>
        <w:ind w:left="0" w:firstLine="480"/>
        <w:rPr>
          <w:rFonts w:ascii="宋体" w:hAnsi="宋体" w:cs="宋体"/>
          <w:szCs w:val="24"/>
        </w:rPr>
      </w:pPr>
      <w:r>
        <w:rPr>
          <w:rFonts w:hint="eastAsia" w:ascii="宋体" w:hAnsi="宋体" w:cs="宋体"/>
          <w:szCs w:val="24"/>
        </w:rPr>
        <w:t>招标项目技术、商务及其他要求；</w:t>
      </w:r>
    </w:p>
    <w:p>
      <w:pPr>
        <w:numPr>
          <w:ilvl w:val="1"/>
          <w:numId w:val="14"/>
        </w:numPr>
        <w:tabs>
          <w:tab w:val="left" w:pos="1134"/>
        </w:tabs>
        <w:ind w:left="0" w:firstLine="480"/>
        <w:rPr>
          <w:rFonts w:ascii="宋体" w:hAnsi="宋体" w:cs="宋体"/>
          <w:szCs w:val="24"/>
        </w:rPr>
      </w:pPr>
      <w:r>
        <w:rPr>
          <w:rFonts w:hint="eastAsia" w:ascii="宋体" w:hAnsi="宋体" w:cs="宋体"/>
          <w:szCs w:val="24"/>
        </w:rPr>
        <w:t>资格性审查；</w:t>
      </w:r>
    </w:p>
    <w:p>
      <w:pPr>
        <w:numPr>
          <w:ilvl w:val="1"/>
          <w:numId w:val="14"/>
        </w:numPr>
        <w:tabs>
          <w:tab w:val="left" w:pos="1134"/>
        </w:tabs>
        <w:ind w:left="0" w:firstLine="480"/>
        <w:rPr>
          <w:rFonts w:ascii="宋体" w:hAnsi="宋体" w:cs="宋体"/>
          <w:szCs w:val="24"/>
        </w:rPr>
      </w:pPr>
      <w:r>
        <w:rPr>
          <w:rFonts w:hint="eastAsia" w:ascii="宋体" w:hAnsi="宋体" w:cs="宋体"/>
          <w:szCs w:val="24"/>
        </w:rPr>
        <w:t>评标办法；</w:t>
      </w:r>
    </w:p>
    <w:p>
      <w:pPr>
        <w:numPr>
          <w:ilvl w:val="1"/>
          <w:numId w:val="14"/>
        </w:numPr>
        <w:tabs>
          <w:tab w:val="left" w:pos="1134"/>
        </w:tabs>
        <w:ind w:left="0" w:firstLine="480"/>
        <w:rPr>
          <w:rFonts w:ascii="宋体" w:hAnsi="宋体" w:cs="宋体"/>
          <w:szCs w:val="24"/>
        </w:rPr>
      </w:pPr>
      <w:r>
        <w:rPr>
          <w:rFonts w:hint="eastAsia" w:ascii="宋体" w:hAnsi="宋体" w:cs="宋体"/>
          <w:szCs w:val="24"/>
        </w:rPr>
        <w:t>政府采购合同。</w:t>
      </w:r>
    </w:p>
    <w:p>
      <w:pPr>
        <w:numPr>
          <w:ilvl w:val="0"/>
          <w:numId w:val="13"/>
        </w:numPr>
        <w:tabs>
          <w:tab w:val="left" w:pos="1134"/>
        </w:tabs>
        <w:ind w:firstLine="480"/>
        <w:rPr>
          <w:rFonts w:ascii="宋体" w:hAnsi="宋体" w:cs="宋体"/>
          <w:szCs w:val="24"/>
        </w:rPr>
      </w:pPr>
      <w:r>
        <w:rPr>
          <w:rFonts w:hint="eastAsia" w:ascii="宋体" w:hAnsi="宋体" w:cs="宋体"/>
          <w:szCs w:val="24"/>
        </w:rPr>
        <w:t>投标人应认真阅读和充分理解招标文件中所有的事项、格式条款和规范要求。投标人没有对招标文件全面做出实质性响应所产生的风险由投标人承担。</w:t>
      </w:r>
    </w:p>
    <w:p>
      <w:pPr>
        <w:pStyle w:val="6"/>
        <w:ind w:left="342" w:leftChars="0" w:firstLine="506" w:firstLineChars="0"/>
        <w:rPr>
          <w:color w:val="auto"/>
        </w:rPr>
      </w:pPr>
      <w:bookmarkStart w:id="51" w:name="_Toc183682348"/>
      <w:bookmarkStart w:id="52" w:name="_Toc183582211"/>
      <w:bookmarkStart w:id="53" w:name="_Toc19159"/>
      <w:bookmarkStart w:id="54" w:name="_Toc217446040"/>
      <w:r>
        <w:rPr>
          <w:rFonts w:hint="eastAsia"/>
          <w:color w:val="auto"/>
        </w:rPr>
        <w:t>招标文件的澄清</w:t>
      </w:r>
      <w:bookmarkEnd w:id="51"/>
      <w:bookmarkEnd w:id="52"/>
      <w:r>
        <w:rPr>
          <w:rFonts w:hint="eastAsia"/>
          <w:color w:val="auto"/>
        </w:rPr>
        <w:t>和修改</w:t>
      </w:r>
      <w:bookmarkEnd w:id="53"/>
      <w:bookmarkEnd w:id="54"/>
    </w:p>
    <w:p>
      <w:pPr>
        <w:numPr>
          <w:ilvl w:val="0"/>
          <w:numId w:val="15"/>
        </w:numPr>
        <w:tabs>
          <w:tab w:val="left" w:pos="1134"/>
        </w:tabs>
        <w:ind w:firstLine="480"/>
        <w:rPr>
          <w:rFonts w:ascii="宋体" w:hAnsi="宋体" w:cs="宋体"/>
          <w:szCs w:val="24"/>
        </w:rPr>
      </w:pPr>
      <w:r>
        <w:rPr>
          <w:rFonts w:hint="eastAsia" w:ascii="宋体" w:hAnsi="宋体" w:cs="宋体"/>
          <w:szCs w:val="24"/>
        </w:rPr>
        <w:t>在投标截止时间前，招标采购单位无论出于何种原因，可以对招标文件进行澄清或者修改。</w:t>
      </w:r>
    </w:p>
    <w:p>
      <w:pPr>
        <w:numPr>
          <w:ilvl w:val="0"/>
          <w:numId w:val="15"/>
        </w:numPr>
        <w:tabs>
          <w:tab w:val="left" w:pos="1134"/>
        </w:tabs>
        <w:ind w:firstLine="480"/>
        <w:rPr>
          <w:rFonts w:ascii="宋体" w:hAnsi="宋体" w:cs="宋体"/>
          <w:szCs w:val="24"/>
        </w:rPr>
      </w:pPr>
      <w:r>
        <w:rPr>
          <w:rFonts w:hint="eastAsia" w:ascii="宋体" w:hAnsi="宋体" w:cs="宋体"/>
          <w:szCs w:val="24"/>
        </w:rPr>
        <w:t>澄清或者修改的内容，招标采购单位将在“四川政府采购网”上发布更正公告，同时通过政府采购云平台将澄清或者修改的内容告知所有在系统中成功获取招标文件的潜在投标人（投标人通过账号或CA证书登录云平台查看）。该澄清或者修改的内容为招标文件的组成部分。</w:t>
      </w:r>
    </w:p>
    <w:p>
      <w:pPr>
        <w:numPr>
          <w:ilvl w:val="0"/>
          <w:numId w:val="15"/>
        </w:numPr>
        <w:tabs>
          <w:tab w:val="left" w:pos="1134"/>
        </w:tabs>
        <w:ind w:firstLine="480"/>
        <w:rPr>
          <w:rFonts w:ascii="宋体" w:hAnsi="宋体" w:cs="宋体"/>
          <w:szCs w:val="24"/>
        </w:rPr>
      </w:pPr>
      <w:r>
        <w:rPr>
          <w:rFonts w:hint="eastAsia" w:ascii="宋体" w:hAnsi="宋体" w:cs="宋体"/>
          <w:szCs w:val="24"/>
        </w:rPr>
        <w:t>澄清或者修改的内容可能影响投标文件编制的，招标采购单位发布公告并通知供应商的时间，应当在投标截止时间至少15日前；不足上述时间的，应当顺延提交投标文件的截止时间。</w:t>
      </w:r>
    </w:p>
    <w:p>
      <w:pPr>
        <w:numPr>
          <w:ilvl w:val="0"/>
          <w:numId w:val="15"/>
        </w:numPr>
        <w:tabs>
          <w:tab w:val="left" w:pos="1134"/>
        </w:tabs>
        <w:ind w:firstLine="480"/>
        <w:rPr>
          <w:rFonts w:ascii="宋体" w:hAnsi="宋体" w:cs="宋体"/>
          <w:szCs w:val="24"/>
        </w:rPr>
      </w:pPr>
      <w:r>
        <w:rPr>
          <w:rFonts w:hint="eastAsia" w:ascii="宋体" w:hAnsi="宋体" w:cs="宋体"/>
          <w:szCs w:val="24"/>
        </w:rPr>
        <w:t>投标人认为需要对招标文件进行澄清或者修改的，可以以书面形式向招标采购单位构提出申请，但招标采购单位可以决定是否采纳投标人的申请事项。在规定的时间内未提出澄清或质疑的，将视为完全认同本招标文件的要求。</w:t>
      </w:r>
    </w:p>
    <w:p>
      <w:pPr>
        <w:numPr>
          <w:ilvl w:val="0"/>
          <w:numId w:val="15"/>
        </w:numPr>
        <w:tabs>
          <w:tab w:val="left" w:pos="1134"/>
        </w:tabs>
        <w:ind w:firstLine="480"/>
        <w:rPr>
          <w:rFonts w:ascii="宋体" w:hAnsi="宋体" w:cs="宋体"/>
          <w:szCs w:val="24"/>
        </w:rPr>
      </w:pPr>
      <w:r>
        <w:rPr>
          <w:rFonts w:hint="eastAsia" w:ascii="宋体" w:hAnsi="宋体" w:cs="宋体"/>
          <w:szCs w:val="24"/>
        </w:rPr>
        <w:t>招标文件中编制的内容前后有矛盾或不一致，有时间先后顺序的，以时间在后的修改、澄清或补正文件为准；没有时间先后顺序的，按有利于投标人的原则进行处理。</w:t>
      </w:r>
    </w:p>
    <w:p>
      <w:pPr>
        <w:numPr>
          <w:ilvl w:val="0"/>
          <w:numId w:val="15"/>
        </w:numPr>
        <w:tabs>
          <w:tab w:val="left" w:pos="1134"/>
        </w:tabs>
        <w:ind w:firstLine="480"/>
        <w:rPr>
          <w:rFonts w:ascii="宋体" w:hAnsi="宋体" w:cs="宋体"/>
          <w:szCs w:val="24"/>
        </w:rPr>
      </w:pPr>
      <w:r>
        <w:rPr>
          <w:rFonts w:hint="eastAsia" w:ascii="宋体" w:hAnsi="宋体" w:cs="宋体"/>
          <w:szCs w:val="24"/>
        </w:rPr>
        <w:t>在投标截止时间前，招标采购单位可以视采购具体情况，延长投标截止时间和开标时间，并在招标文件要求提交投标文件的截止时间三日前，将变更时间通知所有获取了招标文件的潜在供应商，同时在“四川政府采购网”上发布变更公告。</w:t>
      </w:r>
    </w:p>
    <w:p>
      <w:pPr>
        <w:pStyle w:val="5"/>
      </w:pPr>
      <w:bookmarkStart w:id="55" w:name="_Toc217446042"/>
      <w:bookmarkStart w:id="56" w:name="_Toc13275"/>
      <w:bookmarkStart w:id="57" w:name="_Toc183582214"/>
      <w:bookmarkStart w:id="58" w:name="_Toc30901"/>
      <w:bookmarkStart w:id="59" w:name="_Toc10312"/>
      <w:bookmarkStart w:id="60" w:name="_Toc183682351"/>
      <w:bookmarkStart w:id="61" w:name="_Toc89075876"/>
      <w:bookmarkStart w:id="62" w:name="_Toc77400780"/>
      <w:r>
        <w:rPr>
          <w:rFonts w:hint="eastAsia"/>
        </w:rPr>
        <w:t>投标文件</w:t>
      </w:r>
      <w:bookmarkEnd w:id="55"/>
      <w:bookmarkEnd w:id="56"/>
      <w:bookmarkEnd w:id="57"/>
      <w:bookmarkEnd w:id="58"/>
      <w:bookmarkEnd w:id="59"/>
      <w:bookmarkEnd w:id="60"/>
      <w:bookmarkEnd w:id="61"/>
      <w:bookmarkEnd w:id="62"/>
    </w:p>
    <w:p>
      <w:pPr>
        <w:pStyle w:val="6"/>
        <w:ind w:left="342" w:leftChars="0" w:firstLine="506" w:firstLineChars="0"/>
        <w:rPr>
          <w:rFonts w:cs="宋体"/>
          <w:color w:val="auto"/>
          <w:szCs w:val="24"/>
        </w:rPr>
      </w:pPr>
      <w:bookmarkStart w:id="63" w:name="_Toc217446043"/>
      <w:bookmarkStart w:id="64" w:name="_Toc183682352"/>
      <w:bookmarkStart w:id="65" w:name="_Toc183582215"/>
      <w:bookmarkStart w:id="66" w:name="_Toc17848"/>
      <w:r>
        <w:rPr>
          <w:rFonts w:hint="eastAsia" w:cs="宋体"/>
          <w:color w:val="auto"/>
          <w:szCs w:val="24"/>
        </w:rPr>
        <w:t>投标文件的语言</w:t>
      </w:r>
      <w:bookmarkEnd w:id="63"/>
      <w:bookmarkEnd w:id="64"/>
      <w:bookmarkEnd w:id="65"/>
      <w:bookmarkEnd w:id="66"/>
      <w:r>
        <w:rPr>
          <w:rFonts w:hint="eastAsia"/>
          <w:color w:val="auto"/>
        </w:rPr>
        <w:t>（实质性要求）</w:t>
      </w:r>
    </w:p>
    <w:p>
      <w:pPr>
        <w:numPr>
          <w:ilvl w:val="0"/>
          <w:numId w:val="16"/>
        </w:numPr>
        <w:tabs>
          <w:tab w:val="left" w:pos="1134"/>
        </w:tabs>
        <w:ind w:firstLine="480"/>
        <w:rPr>
          <w:rFonts w:ascii="宋体" w:hAnsi="宋体" w:cs="宋体"/>
          <w:szCs w:val="24"/>
        </w:rPr>
      </w:pPr>
      <w:r>
        <w:rPr>
          <w:rFonts w:hint="eastAsia" w:ascii="宋体" w:hAnsi="宋体" w:cs="宋体"/>
          <w:szCs w:val="24"/>
        </w:rPr>
        <w:t>投标人提交的投标文件以及投标人与招标采购单位就有关投标的所有来往书面文件均须使用中文，投标文件中所附或引用的外文资料，必须逐一对应翻译成中文并加盖投标人公章后附在相关外文资料后面，否则，所提供的外文资料将被视为无效材料。（说明：供应商的法定代表人为外籍人士的，则法定代表人的签字和护照除外）</w:t>
      </w:r>
    </w:p>
    <w:p>
      <w:pPr>
        <w:numPr>
          <w:ilvl w:val="0"/>
          <w:numId w:val="16"/>
        </w:numPr>
        <w:tabs>
          <w:tab w:val="left" w:pos="1134"/>
        </w:tabs>
        <w:ind w:firstLine="480"/>
        <w:rPr>
          <w:rFonts w:ascii="宋体" w:hAnsi="宋体" w:cs="宋体"/>
          <w:szCs w:val="24"/>
        </w:rPr>
      </w:pPr>
      <w:r>
        <w:rPr>
          <w:rFonts w:hint="eastAsia" w:ascii="宋体" w:hAnsi="宋体" w:cs="宋体"/>
          <w:szCs w:val="24"/>
        </w:rPr>
        <w:t xml:space="preserve">对不同文字文本投标文件的解释发生异议的，以中文文本为准。 </w:t>
      </w:r>
    </w:p>
    <w:p>
      <w:pPr>
        <w:pStyle w:val="6"/>
        <w:ind w:left="342" w:leftChars="0" w:firstLine="506" w:firstLineChars="0"/>
        <w:rPr>
          <w:rFonts w:cs="宋体"/>
          <w:color w:val="auto"/>
          <w:szCs w:val="24"/>
        </w:rPr>
      </w:pPr>
      <w:bookmarkStart w:id="67" w:name="_Toc183682353"/>
      <w:bookmarkStart w:id="68" w:name="_Toc183582216"/>
      <w:bookmarkStart w:id="69" w:name="_Toc20869"/>
      <w:bookmarkStart w:id="70" w:name="_Toc217446044"/>
      <w:r>
        <w:rPr>
          <w:rFonts w:hint="eastAsia" w:cs="宋体"/>
          <w:color w:val="auto"/>
          <w:szCs w:val="24"/>
        </w:rPr>
        <w:t>计量单位</w:t>
      </w:r>
      <w:bookmarkEnd w:id="67"/>
      <w:bookmarkEnd w:id="68"/>
      <w:bookmarkEnd w:id="69"/>
      <w:bookmarkEnd w:id="70"/>
      <w:r>
        <w:rPr>
          <w:rFonts w:hint="eastAsia"/>
          <w:color w:val="auto"/>
        </w:rPr>
        <w:t>（实质性要求）</w:t>
      </w:r>
    </w:p>
    <w:p>
      <w:pPr>
        <w:ind w:firstLine="480"/>
        <w:rPr>
          <w:rFonts w:ascii="宋体" w:hAnsi="宋体" w:cs="宋体"/>
          <w:szCs w:val="24"/>
        </w:rPr>
      </w:pPr>
      <w:r>
        <w:rPr>
          <w:rFonts w:hint="eastAsia" w:ascii="宋体" w:hAnsi="宋体" w:cs="宋体"/>
          <w:szCs w:val="24"/>
        </w:rPr>
        <w:t>除技术参数及要求中另有规定外，本采购项目的投标均采用国家法定的计量单位。</w:t>
      </w:r>
    </w:p>
    <w:p>
      <w:pPr>
        <w:pStyle w:val="6"/>
        <w:ind w:left="342" w:leftChars="0" w:firstLine="506" w:firstLineChars="0"/>
        <w:rPr>
          <w:rFonts w:cs="宋体"/>
          <w:color w:val="auto"/>
          <w:szCs w:val="24"/>
        </w:rPr>
      </w:pPr>
      <w:bookmarkStart w:id="71" w:name="_Toc217446045"/>
      <w:bookmarkStart w:id="72" w:name="_Toc13856"/>
      <w:r>
        <w:rPr>
          <w:rFonts w:hint="eastAsia" w:cs="宋体"/>
          <w:color w:val="auto"/>
          <w:szCs w:val="24"/>
        </w:rPr>
        <w:t>投标货币</w:t>
      </w:r>
      <w:bookmarkEnd w:id="71"/>
      <w:bookmarkEnd w:id="72"/>
      <w:r>
        <w:rPr>
          <w:rFonts w:hint="eastAsia"/>
          <w:color w:val="auto"/>
        </w:rPr>
        <w:t>（实质性要求）</w:t>
      </w:r>
    </w:p>
    <w:p>
      <w:pPr>
        <w:tabs>
          <w:tab w:val="left" w:pos="7665"/>
        </w:tabs>
        <w:ind w:firstLine="480"/>
        <w:rPr>
          <w:rFonts w:ascii="宋体" w:hAnsi="宋体" w:cs="宋体"/>
          <w:szCs w:val="24"/>
        </w:rPr>
      </w:pPr>
      <w:r>
        <w:rPr>
          <w:rFonts w:hint="eastAsia" w:ascii="宋体" w:hAnsi="宋体" w:cs="宋体"/>
          <w:szCs w:val="24"/>
        </w:rPr>
        <w:t>本次招标项目的投标均以人民币报价。</w:t>
      </w:r>
    </w:p>
    <w:p>
      <w:pPr>
        <w:pStyle w:val="6"/>
        <w:ind w:left="342" w:leftChars="0" w:firstLine="506" w:firstLineChars="0"/>
        <w:rPr>
          <w:rFonts w:cs="宋体"/>
          <w:color w:val="auto"/>
          <w:szCs w:val="24"/>
        </w:rPr>
      </w:pPr>
      <w:bookmarkStart w:id="73" w:name="_Toc19391"/>
      <w:bookmarkStart w:id="74" w:name="_Toc217446046"/>
      <w:r>
        <w:rPr>
          <w:rFonts w:hint="eastAsia" w:cs="宋体"/>
          <w:color w:val="auto"/>
          <w:szCs w:val="24"/>
        </w:rPr>
        <w:t>联合体投标</w:t>
      </w:r>
      <w:bookmarkEnd w:id="73"/>
      <w:bookmarkEnd w:id="74"/>
    </w:p>
    <w:p>
      <w:pPr>
        <w:tabs>
          <w:tab w:val="left" w:pos="1134"/>
        </w:tabs>
        <w:ind w:firstLine="480"/>
        <w:rPr>
          <w:rFonts w:ascii="宋体" w:hAnsi="宋体" w:cs="宋体"/>
          <w:szCs w:val="24"/>
        </w:rPr>
      </w:pPr>
      <w:r>
        <w:rPr>
          <w:rFonts w:hint="eastAsia" w:ascii="宋体" w:hAnsi="宋体" w:cs="宋体"/>
          <w:szCs w:val="24"/>
        </w:rPr>
        <w:t>本次政府采购活动</w:t>
      </w:r>
      <w:r>
        <w:rPr>
          <w:rFonts w:hint="eastAsia" w:ascii="宋体" w:hAnsi="宋体" w:cs="宋体"/>
          <w:b/>
          <w:szCs w:val="24"/>
        </w:rPr>
        <w:t>不接受</w:t>
      </w:r>
      <w:r>
        <w:rPr>
          <w:rFonts w:hint="eastAsia" w:ascii="宋体" w:hAnsi="宋体" w:cs="宋体"/>
          <w:szCs w:val="24"/>
        </w:rPr>
        <w:t>联合体投标。</w:t>
      </w:r>
    </w:p>
    <w:p>
      <w:pPr>
        <w:pStyle w:val="6"/>
        <w:ind w:left="342" w:leftChars="0" w:firstLine="506" w:firstLineChars="0"/>
        <w:rPr>
          <w:rFonts w:cs="宋体"/>
          <w:color w:val="auto"/>
          <w:szCs w:val="24"/>
        </w:rPr>
      </w:pPr>
      <w:bookmarkStart w:id="75" w:name="_Toc28227"/>
      <w:bookmarkStart w:id="76" w:name="_Toc217446047"/>
      <w:r>
        <w:rPr>
          <w:rFonts w:hint="eastAsia" w:cs="宋体"/>
          <w:color w:val="auto"/>
          <w:szCs w:val="24"/>
        </w:rPr>
        <w:t>知识产权</w:t>
      </w:r>
      <w:bookmarkEnd w:id="75"/>
      <w:bookmarkEnd w:id="76"/>
      <w:r>
        <w:rPr>
          <w:rFonts w:hint="eastAsia"/>
          <w:color w:val="auto"/>
        </w:rPr>
        <w:t>（实质性要求）</w:t>
      </w:r>
    </w:p>
    <w:p>
      <w:pPr>
        <w:numPr>
          <w:ilvl w:val="0"/>
          <w:numId w:val="17"/>
        </w:numPr>
        <w:tabs>
          <w:tab w:val="left" w:pos="1134"/>
        </w:tabs>
        <w:ind w:firstLine="480"/>
        <w:rPr>
          <w:rFonts w:ascii="宋体" w:hAnsi="宋体" w:cs="宋体"/>
          <w:szCs w:val="24"/>
        </w:rPr>
      </w:pPr>
      <w:r>
        <w:rPr>
          <w:rFonts w:hint="eastAsia" w:ascii="宋体" w:hAnsi="宋体" w:cs="宋体"/>
          <w:szCs w:val="24"/>
        </w:rPr>
        <w:t>投标人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ind w:firstLine="480"/>
        <w:rPr>
          <w:rFonts w:ascii="宋体" w:hAnsi="宋体" w:cs="宋体"/>
          <w:szCs w:val="24"/>
        </w:rPr>
      </w:pPr>
      <w:r>
        <w:rPr>
          <w:rFonts w:hint="eastAsia" w:ascii="宋体" w:hAnsi="宋体" w:cs="宋体"/>
          <w:szCs w:val="24"/>
        </w:rPr>
        <w:t>采购人享有本项目实施过程中产生的知识成果及知识产权。</w:t>
      </w:r>
    </w:p>
    <w:p>
      <w:pPr>
        <w:numPr>
          <w:ilvl w:val="0"/>
          <w:numId w:val="17"/>
        </w:numPr>
        <w:tabs>
          <w:tab w:val="left" w:pos="1134"/>
        </w:tabs>
        <w:ind w:firstLine="480"/>
        <w:rPr>
          <w:rFonts w:ascii="宋体" w:hAnsi="宋体" w:cs="宋体"/>
          <w:szCs w:val="24"/>
        </w:rPr>
      </w:pPr>
      <w:r>
        <w:rPr>
          <w:rFonts w:hint="eastAsia" w:ascii="宋体" w:hAnsi="宋体" w:cs="宋体"/>
          <w:szCs w:val="24"/>
        </w:rPr>
        <w:t>投标人如欲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ind w:firstLine="480"/>
        <w:rPr>
          <w:rFonts w:ascii="宋体" w:hAnsi="宋体" w:cs="宋体"/>
          <w:szCs w:val="24"/>
        </w:rPr>
      </w:pPr>
      <w:r>
        <w:rPr>
          <w:rFonts w:hint="eastAsia" w:ascii="宋体" w:hAnsi="宋体" w:cs="宋体"/>
          <w:szCs w:val="24"/>
        </w:rPr>
        <w:t xml:space="preserve">如采用投标人所不拥有的知识产权的产品，则在投标报价中必须包括合法获取该知识产权的相关费用。 </w:t>
      </w:r>
    </w:p>
    <w:p>
      <w:pPr>
        <w:pStyle w:val="6"/>
        <w:ind w:left="342" w:leftChars="0" w:firstLine="506" w:firstLineChars="0"/>
        <w:rPr>
          <w:rFonts w:cs="宋体"/>
          <w:color w:val="auto"/>
          <w:szCs w:val="24"/>
        </w:rPr>
      </w:pPr>
      <w:bookmarkStart w:id="77" w:name="_Toc183582217"/>
      <w:bookmarkStart w:id="78" w:name="_Toc183682354"/>
      <w:bookmarkStart w:id="79" w:name="_Toc4996"/>
      <w:bookmarkStart w:id="80" w:name="_Toc217446048"/>
      <w:r>
        <w:rPr>
          <w:rFonts w:hint="eastAsia" w:cs="宋体"/>
          <w:color w:val="auto"/>
          <w:szCs w:val="24"/>
        </w:rPr>
        <w:t>投标文件的组成</w:t>
      </w:r>
      <w:bookmarkEnd w:id="77"/>
      <w:bookmarkEnd w:id="78"/>
      <w:bookmarkEnd w:id="79"/>
      <w:bookmarkEnd w:id="80"/>
    </w:p>
    <w:p>
      <w:pPr>
        <w:ind w:firstLine="480"/>
        <w:rPr>
          <w:rFonts w:ascii="宋体" w:hAnsi="宋体" w:cs="宋体"/>
          <w:szCs w:val="24"/>
        </w:rPr>
      </w:pPr>
      <w:r>
        <w:rPr>
          <w:rFonts w:hint="eastAsia" w:ascii="宋体" w:hAnsi="宋体" w:cs="宋体"/>
          <w:szCs w:val="24"/>
        </w:rPr>
        <w:t>投标人应按照招标文件的规定和要求编制投标文件。投标文件分为资格性投标文件和技术、服务性投标文件。投标人拟在中标后将中标项目的非主体、非关键性工作交由他人完成的，应当在投标文件中载明。投标人编写的投标文件应包括下列部分：</w:t>
      </w:r>
    </w:p>
    <w:p>
      <w:pPr>
        <w:pStyle w:val="2"/>
        <w:spacing w:line="360" w:lineRule="auto"/>
        <w:ind w:firstLine="482"/>
        <w:rPr>
          <w:rFonts w:ascii="宋体" w:hAnsi="宋体" w:cs="宋体"/>
          <w:b/>
          <w:bCs/>
          <w:szCs w:val="24"/>
        </w:rPr>
      </w:pPr>
      <w:r>
        <w:rPr>
          <w:rFonts w:hint="eastAsia" w:ascii="宋体" w:hAnsi="宋体" w:cs="宋体"/>
          <w:b/>
          <w:bCs/>
          <w:szCs w:val="24"/>
        </w:rPr>
        <w:t>一、资格性投标文件：</w:t>
      </w:r>
    </w:p>
    <w:p>
      <w:pPr>
        <w:numPr>
          <w:ilvl w:val="0"/>
          <w:numId w:val="18"/>
        </w:numPr>
        <w:ind w:firstLine="480"/>
        <w:rPr>
          <w:rFonts w:ascii="宋体" w:hAnsi="宋体" w:cs="宋体"/>
          <w:szCs w:val="24"/>
        </w:rPr>
      </w:pPr>
      <w:bookmarkStart w:id="81" w:name="_Toc316291395"/>
      <w:bookmarkEnd w:id="81"/>
      <w:bookmarkStart w:id="82" w:name="_Toc316291396"/>
      <w:bookmarkEnd w:id="82"/>
      <w:bookmarkStart w:id="83" w:name="_Toc316292019"/>
      <w:bookmarkEnd w:id="83"/>
      <w:bookmarkStart w:id="84" w:name="_Toc316292020"/>
      <w:bookmarkEnd w:id="84"/>
      <w:bookmarkStart w:id="85" w:name="_Toc183682355"/>
      <w:bookmarkStart w:id="86" w:name="_Toc217446049"/>
      <w:bookmarkStart w:id="87" w:name="_Toc183582218"/>
      <w:r>
        <w:rPr>
          <w:rFonts w:hint="eastAsia" w:ascii="宋体" w:hAnsi="宋体" w:cs="宋体"/>
          <w:szCs w:val="24"/>
        </w:rPr>
        <w:t>投标函；</w:t>
      </w:r>
    </w:p>
    <w:p>
      <w:pPr>
        <w:numPr>
          <w:ilvl w:val="0"/>
          <w:numId w:val="18"/>
        </w:numPr>
        <w:ind w:firstLine="480"/>
        <w:rPr>
          <w:rFonts w:ascii="宋体" w:hAnsi="宋体" w:cs="宋体"/>
          <w:szCs w:val="24"/>
        </w:rPr>
      </w:pPr>
      <w:r>
        <w:rPr>
          <w:rFonts w:hint="eastAsia" w:ascii="宋体" w:hAnsi="宋体" w:cs="宋体"/>
          <w:szCs w:val="24"/>
        </w:rPr>
        <w:t>具有独立承担民事责任能力证明材料；</w:t>
      </w:r>
    </w:p>
    <w:p>
      <w:pPr>
        <w:numPr>
          <w:ilvl w:val="0"/>
          <w:numId w:val="18"/>
        </w:numPr>
        <w:ind w:firstLine="480"/>
        <w:rPr>
          <w:rFonts w:ascii="宋体" w:hAnsi="宋体" w:cs="宋体"/>
          <w:szCs w:val="24"/>
        </w:rPr>
      </w:pPr>
      <w:r>
        <w:rPr>
          <w:rFonts w:hint="eastAsia" w:ascii="宋体" w:hAnsi="宋体" w:cs="宋体"/>
          <w:szCs w:val="24"/>
        </w:rPr>
        <w:t>健全的财务会计制度的证明材料；</w:t>
      </w:r>
    </w:p>
    <w:p>
      <w:pPr>
        <w:numPr>
          <w:ilvl w:val="0"/>
          <w:numId w:val="18"/>
        </w:numPr>
        <w:ind w:firstLine="480"/>
        <w:rPr>
          <w:rFonts w:ascii="宋体" w:hAnsi="宋体" w:cs="宋体"/>
          <w:szCs w:val="24"/>
        </w:rPr>
      </w:pPr>
      <w:r>
        <w:rPr>
          <w:rFonts w:hint="eastAsia" w:ascii="宋体" w:hAnsi="宋体" w:cs="宋体"/>
          <w:szCs w:val="24"/>
        </w:rPr>
        <w:t>投标人缴纳税收的证明材料；</w:t>
      </w:r>
    </w:p>
    <w:p>
      <w:pPr>
        <w:numPr>
          <w:ilvl w:val="0"/>
          <w:numId w:val="18"/>
        </w:numPr>
        <w:ind w:firstLine="480"/>
        <w:rPr>
          <w:rFonts w:ascii="宋体" w:hAnsi="宋体" w:cs="宋体"/>
          <w:szCs w:val="24"/>
        </w:rPr>
      </w:pPr>
      <w:r>
        <w:rPr>
          <w:rFonts w:hint="eastAsia" w:ascii="宋体" w:hAnsi="宋体" w:cs="宋体"/>
          <w:szCs w:val="24"/>
        </w:rPr>
        <w:t>投标人缴纳社会保障资金的证明材料 ；</w:t>
      </w:r>
    </w:p>
    <w:p>
      <w:pPr>
        <w:numPr>
          <w:ilvl w:val="0"/>
          <w:numId w:val="18"/>
        </w:numPr>
        <w:ind w:firstLine="480"/>
        <w:rPr>
          <w:rFonts w:ascii="宋体" w:hAnsi="宋体" w:cs="宋体"/>
          <w:szCs w:val="24"/>
        </w:rPr>
      </w:pPr>
      <w:r>
        <w:rPr>
          <w:rFonts w:hint="eastAsia" w:ascii="宋体" w:hAnsi="宋体" w:cs="宋体"/>
          <w:szCs w:val="24"/>
        </w:rPr>
        <w:t>承诺函；</w:t>
      </w:r>
    </w:p>
    <w:p>
      <w:pPr>
        <w:numPr>
          <w:ilvl w:val="0"/>
          <w:numId w:val="18"/>
        </w:numPr>
        <w:ind w:firstLine="480"/>
        <w:rPr>
          <w:rFonts w:hint="eastAsia" w:ascii="宋体" w:hAnsi="宋体" w:cs="宋体"/>
          <w:szCs w:val="24"/>
        </w:rPr>
      </w:pPr>
      <w:r>
        <w:rPr>
          <w:rFonts w:hint="eastAsia" w:ascii="宋体" w:hAnsi="宋体" w:cs="宋体"/>
          <w:szCs w:val="24"/>
        </w:rPr>
        <w:t>中小企业声明函；</w:t>
      </w:r>
    </w:p>
    <w:p>
      <w:pPr>
        <w:numPr>
          <w:ilvl w:val="0"/>
          <w:numId w:val="18"/>
        </w:numPr>
        <w:ind w:firstLine="480"/>
        <w:rPr>
          <w:rFonts w:hint="eastAsia" w:ascii="宋体" w:hAnsi="宋体" w:cs="宋体"/>
          <w:szCs w:val="24"/>
        </w:rPr>
      </w:pPr>
      <w:r>
        <w:rPr>
          <w:rFonts w:hint="eastAsia" w:ascii="宋体" w:hAnsi="宋体" w:cs="宋体"/>
          <w:szCs w:val="24"/>
        </w:rPr>
        <w:t>残疾人福利性单位声明函；</w:t>
      </w:r>
    </w:p>
    <w:p>
      <w:pPr>
        <w:numPr>
          <w:ilvl w:val="0"/>
          <w:numId w:val="18"/>
        </w:numPr>
        <w:ind w:firstLine="480"/>
        <w:rPr>
          <w:rFonts w:ascii="宋体" w:hAnsi="宋体" w:cs="宋体"/>
          <w:szCs w:val="24"/>
        </w:rPr>
      </w:pPr>
      <w:r>
        <w:rPr>
          <w:rFonts w:hint="eastAsia" w:ascii="宋体" w:hAnsi="宋体" w:cs="宋体"/>
          <w:szCs w:val="24"/>
        </w:rPr>
        <w:t>法定代表人身份证明书；</w:t>
      </w:r>
    </w:p>
    <w:p>
      <w:pPr>
        <w:numPr>
          <w:ilvl w:val="0"/>
          <w:numId w:val="18"/>
        </w:numPr>
        <w:ind w:firstLine="480"/>
        <w:rPr>
          <w:rFonts w:ascii="宋体" w:hAnsi="宋体" w:cs="宋体"/>
          <w:szCs w:val="24"/>
        </w:rPr>
      </w:pPr>
      <w:r>
        <w:rPr>
          <w:rFonts w:hint="eastAsia" w:ascii="宋体" w:hAnsi="宋体" w:cs="宋体"/>
          <w:szCs w:val="24"/>
        </w:rPr>
        <w:t>法定代表人授权书原件；（投标文件均由供应商法定代表人签字的可不提供）</w:t>
      </w:r>
    </w:p>
    <w:p>
      <w:pPr>
        <w:numPr>
          <w:ilvl w:val="0"/>
          <w:numId w:val="18"/>
        </w:numPr>
        <w:spacing w:line="520" w:lineRule="exact"/>
        <w:ind w:firstLine="480"/>
      </w:pPr>
      <w:r>
        <w:rPr>
          <w:rFonts w:hint="eastAsia" w:ascii="宋体" w:hAnsi="宋体"/>
          <w:szCs w:val="24"/>
        </w:rPr>
        <w:t>采购人对法律、行政法规规定的其他条件无要求，投标人具有有效的营业执照或法人证书即可，可不提供其他证明材料。</w:t>
      </w:r>
    </w:p>
    <w:p>
      <w:pPr>
        <w:pStyle w:val="2"/>
        <w:spacing w:line="360" w:lineRule="auto"/>
        <w:ind w:firstLine="482"/>
        <w:rPr>
          <w:rFonts w:ascii="宋体" w:hAnsi="宋体" w:cs="宋体"/>
          <w:b/>
          <w:bCs/>
          <w:szCs w:val="24"/>
        </w:rPr>
      </w:pPr>
      <w:r>
        <w:rPr>
          <w:rFonts w:hint="eastAsia" w:ascii="宋体" w:hAnsi="宋体" w:cs="宋体"/>
          <w:b/>
          <w:bCs/>
          <w:szCs w:val="24"/>
        </w:rPr>
        <w:t>二、技术、服务性投标文件：</w:t>
      </w:r>
    </w:p>
    <w:p>
      <w:pPr>
        <w:numPr>
          <w:ilvl w:val="0"/>
          <w:numId w:val="19"/>
        </w:numPr>
        <w:ind w:firstLine="480"/>
        <w:rPr>
          <w:rFonts w:ascii="宋体" w:hAnsi="宋体" w:cs="宋体"/>
          <w:szCs w:val="24"/>
        </w:rPr>
      </w:pPr>
      <w:r>
        <w:rPr>
          <w:rFonts w:hint="eastAsia" w:ascii="宋体" w:hAnsi="宋体" w:cs="宋体"/>
          <w:szCs w:val="24"/>
        </w:rPr>
        <w:t>开标一览表；</w:t>
      </w:r>
    </w:p>
    <w:p>
      <w:pPr>
        <w:numPr>
          <w:ilvl w:val="0"/>
          <w:numId w:val="19"/>
        </w:numPr>
        <w:ind w:firstLine="480"/>
        <w:rPr>
          <w:rFonts w:ascii="宋体" w:hAnsi="宋体" w:cs="宋体"/>
          <w:szCs w:val="24"/>
        </w:rPr>
      </w:pPr>
      <w:r>
        <w:rPr>
          <w:rFonts w:hint="eastAsia" w:ascii="宋体" w:hAnsi="宋体" w:cs="宋体"/>
          <w:szCs w:val="24"/>
        </w:rPr>
        <w:t>分项报价明细表；</w:t>
      </w:r>
    </w:p>
    <w:p>
      <w:pPr>
        <w:numPr>
          <w:ilvl w:val="0"/>
          <w:numId w:val="19"/>
        </w:numPr>
        <w:ind w:firstLine="480"/>
        <w:rPr>
          <w:rFonts w:ascii="宋体" w:hAnsi="宋体" w:cs="宋体"/>
          <w:szCs w:val="24"/>
        </w:rPr>
      </w:pPr>
      <w:r>
        <w:rPr>
          <w:rFonts w:hint="eastAsia" w:ascii="宋体" w:hAnsi="宋体" w:cs="宋体"/>
          <w:szCs w:val="24"/>
        </w:rPr>
        <w:t>投标人基本情况表；</w:t>
      </w:r>
    </w:p>
    <w:p>
      <w:pPr>
        <w:numPr>
          <w:ilvl w:val="0"/>
          <w:numId w:val="19"/>
        </w:numPr>
        <w:ind w:firstLine="480"/>
        <w:rPr>
          <w:rFonts w:ascii="宋体" w:hAnsi="宋体" w:cs="宋体"/>
          <w:szCs w:val="24"/>
        </w:rPr>
      </w:pPr>
      <w:r>
        <w:rPr>
          <w:rFonts w:hint="eastAsia" w:ascii="宋体" w:hAnsi="宋体" w:cs="宋体"/>
          <w:szCs w:val="24"/>
        </w:rPr>
        <w:t>商务条款偏离表；</w:t>
      </w:r>
    </w:p>
    <w:p>
      <w:pPr>
        <w:numPr>
          <w:ilvl w:val="0"/>
          <w:numId w:val="19"/>
        </w:numPr>
        <w:ind w:firstLine="480"/>
        <w:rPr>
          <w:rFonts w:ascii="宋体" w:hAnsi="宋体" w:cs="宋体"/>
          <w:szCs w:val="24"/>
        </w:rPr>
      </w:pPr>
      <w:r>
        <w:rPr>
          <w:rFonts w:hint="eastAsia" w:ascii="宋体" w:hAnsi="宋体" w:cs="宋体"/>
          <w:szCs w:val="24"/>
        </w:rPr>
        <w:t>服务条款偏离表；</w:t>
      </w:r>
    </w:p>
    <w:p>
      <w:pPr>
        <w:numPr>
          <w:ilvl w:val="0"/>
          <w:numId w:val="19"/>
        </w:numPr>
        <w:ind w:firstLine="480"/>
        <w:rPr>
          <w:rFonts w:ascii="宋体" w:hAnsi="宋体" w:cs="宋体"/>
          <w:szCs w:val="24"/>
        </w:rPr>
      </w:pPr>
      <w:r>
        <w:rPr>
          <w:rFonts w:hint="eastAsia" w:ascii="宋体" w:hAnsi="宋体" w:cs="宋体"/>
          <w:szCs w:val="24"/>
        </w:rPr>
        <w:t>服务配套产品情况；</w:t>
      </w:r>
    </w:p>
    <w:p>
      <w:pPr>
        <w:numPr>
          <w:ilvl w:val="0"/>
          <w:numId w:val="19"/>
        </w:numPr>
        <w:ind w:firstLine="480"/>
        <w:rPr>
          <w:rFonts w:ascii="宋体" w:hAnsi="宋体" w:cs="宋体"/>
          <w:szCs w:val="24"/>
        </w:rPr>
      </w:pPr>
      <w:r>
        <w:rPr>
          <w:rFonts w:hint="eastAsia" w:ascii="宋体" w:hAnsi="宋体" w:cs="宋体"/>
        </w:rPr>
        <w:t>投标人本项目管理、技术、其他人员情况表；</w:t>
      </w:r>
    </w:p>
    <w:p>
      <w:pPr>
        <w:numPr>
          <w:ilvl w:val="0"/>
          <w:numId w:val="19"/>
        </w:numPr>
        <w:ind w:firstLine="480"/>
        <w:rPr>
          <w:rFonts w:ascii="宋体" w:hAnsi="宋体" w:cs="宋体"/>
          <w:szCs w:val="24"/>
        </w:rPr>
      </w:pPr>
      <w:r>
        <w:rPr>
          <w:rFonts w:hint="eastAsia" w:ascii="宋体" w:hAnsi="宋体" w:cs="宋体"/>
          <w:szCs w:val="24"/>
        </w:rPr>
        <w:t>业绩一览表；</w:t>
      </w:r>
    </w:p>
    <w:p>
      <w:pPr>
        <w:numPr>
          <w:ilvl w:val="0"/>
          <w:numId w:val="19"/>
        </w:numPr>
        <w:ind w:firstLine="480"/>
        <w:rPr>
          <w:rFonts w:ascii="宋体" w:hAnsi="宋体" w:cs="宋体"/>
          <w:szCs w:val="24"/>
        </w:rPr>
      </w:pPr>
      <w:r>
        <w:rPr>
          <w:rFonts w:hint="eastAsia" w:ascii="宋体" w:hAnsi="宋体" w:cs="宋体"/>
          <w:szCs w:val="24"/>
        </w:rPr>
        <w:t>服务方案；</w:t>
      </w:r>
    </w:p>
    <w:p>
      <w:pPr>
        <w:numPr>
          <w:ilvl w:val="0"/>
          <w:numId w:val="19"/>
        </w:numPr>
        <w:ind w:firstLine="480"/>
        <w:rPr>
          <w:rFonts w:ascii="宋体" w:hAnsi="宋体" w:cs="宋体"/>
          <w:szCs w:val="24"/>
        </w:rPr>
      </w:pPr>
      <w:r>
        <w:rPr>
          <w:rFonts w:hint="eastAsia" w:ascii="宋体" w:hAnsi="宋体" w:cs="宋体"/>
          <w:szCs w:val="24"/>
        </w:rPr>
        <w:t>其他投标人认为需要提供的文件和资料（如有）。</w:t>
      </w:r>
    </w:p>
    <w:p>
      <w:pPr>
        <w:pStyle w:val="6"/>
        <w:ind w:left="342" w:leftChars="0" w:firstLine="506" w:firstLineChars="0"/>
        <w:rPr>
          <w:rFonts w:cs="宋体"/>
          <w:color w:val="auto"/>
          <w:szCs w:val="24"/>
        </w:rPr>
      </w:pPr>
      <w:bookmarkStart w:id="88" w:name="_Toc6280"/>
      <w:r>
        <w:rPr>
          <w:rFonts w:hint="eastAsia" w:cs="宋体"/>
          <w:color w:val="auto"/>
          <w:szCs w:val="24"/>
        </w:rPr>
        <w:t>投标文件格式</w:t>
      </w:r>
      <w:bookmarkEnd w:id="85"/>
      <w:bookmarkEnd w:id="86"/>
      <w:bookmarkEnd w:id="87"/>
      <w:bookmarkEnd w:id="88"/>
      <w:r>
        <w:rPr>
          <w:rFonts w:hint="eastAsia" w:cs="宋体"/>
          <w:color w:val="auto"/>
          <w:szCs w:val="24"/>
        </w:rPr>
        <w:tab/>
      </w:r>
    </w:p>
    <w:p>
      <w:pPr>
        <w:numPr>
          <w:ilvl w:val="0"/>
          <w:numId w:val="20"/>
        </w:numPr>
        <w:tabs>
          <w:tab w:val="left" w:pos="1134"/>
        </w:tabs>
        <w:ind w:firstLine="480"/>
        <w:rPr>
          <w:rFonts w:ascii="宋体" w:hAnsi="宋体" w:cs="宋体"/>
          <w:szCs w:val="24"/>
        </w:rPr>
      </w:pPr>
      <w:r>
        <w:rPr>
          <w:rFonts w:hint="eastAsia" w:ascii="宋体" w:hAnsi="宋体" w:cs="宋体"/>
          <w:szCs w:val="24"/>
        </w:rPr>
        <w:t>投标人应按照招标文件第3章中提供的“投标文件格式”填写相关内容。</w:t>
      </w:r>
    </w:p>
    <w:p>
      <w:pPr>
        <w:numPr>
          <w:ilvl w:val="0"/>
          <w:numId w:val="20"/>
        </w:numPr>
        <w:tabs>
          <w:tab w:val="left" w:pos="1134"/>
        </w:tabs>
        <w:ind w:firstLine="480"/>
        <w:rPr>
          <w:rFonts w:ascii="宋体" w:hAnsi="宋体" w:cs="宋体"/>
          <w:szCs w:val="24"/>
        </w:rPr>
      </w:pPr>
      <w:r>
        <w:rPr>
          <w:rFonts w:hint="eastAsia" w:ascii="宋体" w:hAnsi="宋体" w:cs="宋体"/>
          <w:szCs w:val="24"/>
        </w:rPr>
        <w:t>对于没有格式要求的投标文件由投标人自行编写。</w:t>
      </w:r>
    </w:p>
    <w:p>
      <w:pPr>
        <w:pStyle w:val="6"/>
        <w:ind w:left="342" w:leftChars="0" w:firstLine="506" w:firstLineChars="0"/>
        <w:rPr>
          <w:rFonts w:cs="宋体"/>
          <w:color w:val="auto"/>
          <w:szCs w:val="24"/>
        </w:rPr>
      </w:pPr>
      <w:bookmarkStart w:id="89" w:name="_Toc6545"/>
      <w:r>
        <w:rPr>
          <w:rFonts w:hint="eastAsia" w:cs="宋体"/>
          <w:color w:val="auto"/>
          <w:szCs w:val="24"/>
        </w:rPr>
        <w:t>投标报价</w:t>
      </w:r>
      <w:bookmarkEnd w:id="89"/>
    </w:p>
    <w:p>
      <w:pPr>
        <w:numPr>
          <w:ilvl w:val="0"/>
          <w:numId w:val="21"/>
        </w:numPr>
        <w:tabs>
          <w:tab w:val="left" w:pos="1134"/>
        </w:tabs>
        <w:ind w:firstLine="480"/>
        <w:rPr>
          <w:rFonts w:ascii="宋体" w:hAnsi="宋体" w:cs="宋体"/>
          <w:szCs w:val="24"/>
        </w:rPr>
      </w:pPr>
      <w:r>
        <w:rPr>
          <w:rFonts w:hint="eastAsia" w:ascii="宋体" w:hAnsi="宋体" w:cs="宋体"/>
          <w:szCs w:val="24"/>
        </w:rPr>
        <w:t>投标人的报价是投标人响应招标项目要求的全部工作内容的价格体现，包括投标人完成本项目所需的一切费用。</w:t>
      </w:r>
    </w:p>
    <w:p>
      <w:pPr>
        <w:numPr>
          <w:ilvl w:val="0"/>
          <w:numId w:val="21"/>
        </w:numPr>
        <w:tabs>
          <w:tab w:val="left" w:pos="1134"/>
        </w:tabs>
        <w:ind w:firstLine="480"/>
        <w:rPr>
          <w:rFonts w:ascii="宋体" w:hAnsi="宋体" w:cs="宋体"/>
          <w:szCs w:val="24"/>
        </w:rPr>
      </w:pPr>
      <w:r>
        <w:rPr>
          <w:rFonts w:hint="eastAsia" w:ascii="宋体" w:hAnsi="宋体" w:cs="宋体"/>
          <w:szCs w:val="24"/>
        </w:rPr>
        <w:t>投标人每种货物及服务内容只允许有一个报价，并且在合同履行过程中是固定不变的，任何有选择或可调整的报价将不予接受，并按无效投标处理。</w:t>
      </w:r>
    </w:p>
    <w:p>
      <w:pPr>
        <w:numPr>
          <w:ilvl w:val="0"/>
          <w:numId w:val="21"/>
        </w:numPr>
        <w:tabs>
          <w:tab w:val="left" w:pos="1134"/>
        </w:tabs>
        <w:ind w:firstLine="480"/>
        <w:rPr>
          <w:rFonts w:ascii="宋体" w:hAnsi="宋体" w:cs="宋体"/>
          <w:szCs w:val="24"/>
        </w:rPr>
      </w:pPr>
      <w:r>
        <w:rPr>
          <w:rFonts w:hint="eastAsia" w:ascii="宋体" w:hAnsi="宋体" w:cs="宋体"/>
          <w:szCs w:val="24"/>
        </w:rPr>
        <w:t>投标文件报价出现前后不一致的，除招标文件另有规定外，按照下列规定修正：</w:t>
      </w:r>
    </w:p>
    <w:p>
      <w:pPr>
        <w:numPr>
          <w:ilvl w:val="0"/>
          <w:numId w:val="22"/>
        </w:numPr>
        <w:tabs>
          <w:tab w:val="left" w:pos="1134"/>
        </w:tabs>
        <w:ind w:firstLineChars="0"/>
        <w:rPr>
          <w:rFonts w:ascii="宋体" w:hAnsi="宋体" w:cs="宋体"/>
          <w:szCs w:val="24"/>
        </w:rPr>
      </w:pPr>
      <w:r>
        <w:rPr>
          <w:rFonts w:hint="eastAsia" w:ascii="宋体" w:hAnsi="宋体" w:cs="宋体"/>
          <w:szCs w:val="24"/>
        </w:rPr>
        <w:t>大写金额和小写金额不一致的，以大写金额为准；</w:t>
      </w:r>
    </w:p>
    <w:p>
      <w:pPr>
        <w:numPr>
          <w:ilvl w:val="0"/>
          <w:numId w:val="22"/>
        </w:numPr>
        <w:tabs>
          <w:tab w:val="left" w:pos="1134"/>
        </w:tabs>
        <w:ind w:firstLineChars="0"/>
        <w:rPr>
          <w:rFonts w:ascii="宋体" w:hAnsi="宋体"/>
          <w:szCs w:val="24"/>
        </w:rPr>
      </w:pPr>
      <w:r>
        <w:rPr>
          <w:rFonts w:hint="eastAsia" w:ascii="宋体" w:hAnsi="宋体"/>
          <w:szCs w:val="24"/>
        </w:rPr>
        <w:t>单价金额小数点或者百分比有明显错位的，以开标一览表的总价为准，并修改单价；</w:t>
      </w:r>
    </w:p>
    <w:p>
      <w:pPr>
        <w:numPr>
          <w:ilvl w:val="0"/>
          <w:numId w:val="22"/>
        </w:numPr>
        <w:tabs>
          <w:tab w:val="left" w:pos="1134"/>
        </w:tabs>
        <w:ind w:firstLineChars="0"/>
        <w:rPr>
          <w:rFonts w:ascii="宋体" w:hAnsi="宋体" w:cs="宋体"/>
          <w:szCs w:val="24"/>
        </w:rPr>
      </w:pPr>
      <w:r>
        <w:rPr>
          <w:rFonts w:hint="eastAsia" w:ascii="宋体" w:hAnsi="宋体" w:cs="宋体"/>
          <w:szCs w:val="24"/>
        </w:rPr>
        <w:t>总价金额与按单价汇总金额不一致的，以单价汇总金额计算结果为准；</w:t>
      </w:r>
    </w:p>
    <w:p>
      <w:pPr>
        <w:tabs>
          <w:tab w:val="left" w:pos="1134"/>
        </w:tabs>
        <w:ind w:firstLine="484" w:firstLineChars="202"/>
        <w:rPr>
          <w:rFonts w:ascii="宋体" w:hAnsi="宋体"/>
          <w:color w:val="000000"/>
          <w:sz w:val="28"/>
          <w:szCs w:val="28"/>
        </w:rPr>
      </w:pPr>
      <w:r>
        <w:rPr>
          <w:rFonts w:hint="eastAsia" w:ascii="宋体" w:hAnsi="宋体"/>
          <w:szCs w:val="24"/>
        </w:rPr>
        <w:t>同时出现两种以上不一致的，按照前款规定的顺序修正。</w:t>
      </w:r>
      <w:r>
        <w:rPr>
          <w:rFonts w:hint="eastAsia" w:cs="Arial"/>
          <w:color w:val="000000"/>
          <w:szCs w:val="24"/>
        </w:rPr>
        <w:t>修正后的报价经投标人以书面形式通过政府采购云平台进行确认，并加盖投标人（法定名称）电子签章，投标人逾时确认的，其投标无效。</w:t>
      </w:r>
      <w:r>
        <w:rPr>
          <w:rFonts w:hint="eastAsia" w:ascii="宋体" w:hAnsi="宋体"/>
          <w:color w:val="000000"/>
          <w:szCs w:val="24"/>
        </w:rPr>
        <w:t>如因断电、断网、系统故障或其他不可抗力等因素</w:t>
      </w:r>
      <w:r>
        <w:rPr>
          <w:rFonts w:hint="eastAsia" w:cs="Arial"/>
          <w:color w:val="000000"/>
          <w:szCs w:val="24"/>
        </w:rPr>
        <w:t>，导致系统无法使用的，由投标人按评标委员会的要求进行澄清或者说明。</w:t>
      </w:r>
    </w:p>
    <w:p>
      <w:pPr>
        <w:tabs>
          <w:tab w:val="left" w:pos="1134"/>
        </w:tabs>
        <w:ind w:firstLine="480"/>
      </w:pPr>
      <w:r>
        <w:rPr>
          <w:rFonts w:hint="eastAsia" w:ascii="宋体" w:hAnsi="宋体"/>
          <w:szCs w:val="24"/>
        </w:rPr>
        <w:t>出现本条第（三）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6"/>
        <w:tabs>
          <w:tab w:val="left" w:pos="851"/>
        </w:tabs>
        <w:ind w:left="342" w:leftChars="0" w:firstLine="506" w:firstLineChars="0"/>
        <w:rPr>
          <w:rFonts w:cs="宋体"/>
          <w:color w:val="auto"/>
          <w:szCs w:val="24"/>
        </w:rPr>
      </w:pPr>
      <w:bookmarkStart w:id="90" w:name="_Toc316291400"/>
      <w:bookmarkEnd w:id="90"/>
      <w:bookmarkStart w:id="91" w:name="_Toc316292024"/>
      <w:bookmarkEnd w:id="91"/>
      <w:bookmarkStart w:id="92" w:name="_Toc217446051"/>
      <w:bookmarkStart w:id="93" w:name="_Toc183682361"/>
      <w:bookmarkStart w:id="94" w:name="_Toc11141"/>
      <w:bookmarkStart w:id="95" w:name="_Toc183582224"/>
      <w:r>
        <w:rPr>
          <w:rFonts w:hint="eastAsia" w:cs="宋体"/>
          <w:color w:val="auto"/>
          <w:szCs w:val="24"/>
        </w:rPr>
        <w:t>投标有效期</w:t>
      </w:r>
      <w:bookmarkEnd w:id="92"/>
      <w:bookmarkEnd w:id="93"/>
      <w:bookmarkEnd w:id="94"/>
      <w:bookmarkEnd w:id="95"/>
    </w:p>
    <w:p>
      <w:pPr>
        <w:numPr>
          <w:ilvl w:val="0"/>
          <w:numId w:val="23"/>
        </w:numPr>
        <w:tabs>
          <w:tab w:val="left" w:pos="1134"/>
        </w:tabs>
        <w:ind w:firstLine="480"/>
        <w:rPr>
          <w:rFonts w:ascii="宋体" w:hAnsi="宋体" w:cs="宋体"/>
          <w:szCs w:val="24"/>
        </w:rPr>
      </w:pPr>
      <w:r>
        <w:rPr>
          <w:rFonts w:hint="eastAsia" w:ascii="宋体" w:hAnsi="宋体" w:cs="宋体"/>
          <w:szCs w:val="24"/>
        </w:rPr>
        <w:t>投标有效期为投标截止之日起</w:t>
      </w:r>
      <w:r>
        <w:rPr>
          <w:rFonts w:hint="eastAsia" w:ascii="宋体" w:hAnsi="宋体" w:cs="宋体"/>
          <w:szCs w:val="24"/>
          <w:u w:val="single"/>
        </w:rPr>
        <w:t>90</w:t>
      </w:r>
      <w:r>
        <w:rPr>
          <w:rFonts w:hint="eastAsia" w:ascii="宋体" w:hAnsi="宋体" w:cs="宋体"/>
          <w:szCs w:val="24"/>
        </w:rPr>
        <w:t>天。投标有效期短于此规定期限的或不作响应的，则其投标文件将按无效投标文件处理。</w:t>
      </w:r>
    </w:p>
    <w:p>
      <w:pPr>
        <w:numPr>
          <w:ilvl w:val="0"/>
          <w:numId w:val="23"/>
        </w:numPr>
        <w:tabs>
          <w:tab w:val="left" w:pos="1134"/>
        </w:tabs>
        <w:ind w:firstLine="480"/>
        <w:rPr>
          <w:rFonts w:ascii="宋体" w:hAnsi="宋体" w:cs="宋体"/>
          <w:szCs w:val="24"/>
        </w:rPr>
      </w:pPr>
      <w:r>
        <w:rPr>
          <w:rFonts w:hint="eastAsia" w:ascii="宋体" w:hAnsi="宋体" w:cs="宋体"/>
          <w:szCs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numPr>
          <w:ilvl w:val="0"/>
          <w:numId w:val="23"/>
        </w:numPr>
        <w:tabs>
          <w:tab w:val="left" w:pos="1134"/>
        </w:tabs>
        <w:ind w:firstLine="480"/>
        <w:rPr>
          <w:rFonts w:ascii="宋体" w:hAnsi="宋体" w:cs="宋体"/>
          <w:szCs w:val="24"/>
        </w:rPr>
      </w:pPr>
      <w:r>
        <w:rPr>
          <w:rFonts w:hint="eastAsia" w:ascii="宋体" w:hAnsi="宋体" w:cs="宋体"/>
          <w:szCs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tabs>
          <w:tab w:val="left" w:pos="851"/>
        </w:tabs>
        <w:ind w:left="342" w:leftChars="0" w:firstLine="506" w:firstLineChars="0"/>
        <w:rPr>
          <w:rFonts w:cs="宋体"/>
          <w:color w:val="auto"/>
          <w:szCs w:val="24"/>
        </w:rPr>
      </w:pPr>
      <w:bookmarkStart w:id="96" w:name="_Toc217446052"/>
      <w:bookmarkStart w:id="97" w:name="_Toc5624"/>
      <w:bookmarkStart w:id="98" w:name="_Toc183682362"/>
      <w:bookmarkStart w:id="99" w:name="_Toc183582225"/>
      <w:r>
        <w:rPr>
          <w:rFonts w:hint="eastAsia" w:cs="宋体"/>
          <w:color w:val="auto"/>
          <w:szCs w:val="24"/>
        </w:rPr>
        <w:t>投标文件的</w:t>
      </w:r>
      <w:bookmarkEnd w:id="96"/>
      <w:bookmarkEnd w:id="97"/>
      <w:bookmarkEnd w:id="98"/>
      <w:bookmarkEnd w:id="99"/>
      <w:r>
        <w:rPr>
          <w:rFonts w:hint="eastAsia"/>
        </w:rPr>
        <w:t>制作和签章、加密</w:t>
      </w:r>
    </w:p>
    <w:p>
      <w:pPr>
        <w:numPr>
          <w:ilvl w:val="0"/>
          <w:numId w:val="24"/>
        </w:numPr>
        <w:tabs>
          <w:tab w:val="left" w:pos="1134"/>
        </w:tabs>
        <w:ind w:firstLine="504" w:firstLineChars="0"/>
        <w:rPr>
          <w:rFonts w:hint="eastAsia" w:ascii="宋体" w:hAnsi="宋体" w:cs="宋体"/>
        </w:rPr>
      </w:pPr>
      <w:r>
        <w:rPr>
          <w:rFonts w:hint="eastAsia" w:ascii="宋体" w:hAnsi="宋体" w:cs="宋体"/>
        </w:rPr>
        <w:t xml:space="preserve"> 本项目实行电子投标。投标人应先安装“政采云投标客户端”。（政府采购云平台—CA管理—绑定CA—下载驱动—“政采云投标客户端”立即下载）。投标人应按招标文件要求，通过“政采云投标客户端”制作、加密并提交投标文件。</w:t>
      </w:r>
      <w:r>
        <w:rPr>
          <w:rFonts w:hint="eastAsia" w:ascii="宋体" w:hAnsi="宋体" w:cs="宋体"/>
          <w:b/>
          <w:bCs/>
        </w:rPr>
        <w:t>（实质性要求）</w:t>
      </w:r>
    </w:p>
    <w:p>
      <w:pPr>
        <w:numPr>
          <w:ilvl w:val="0"/>
          <w:numId w:val="24"/>
        </w:numPr>
        <w:tabs>
          <w:tab w:val="left" w:pos="1134"/>
        </w:tabs>
        <w:ind w:firstLine="504" w:firstLineChars="0"/>
        <w:rPr>
          <w:rFonts w:hint="eastAsia" w:ascii="宋体" w:hAnsi="宋体" w:cs="宋体"/>
          <w:b/>
          <w:bCs/>
        </w:rPr>
      </w:pPr>
      <w:r>
        <w:rPr>
          <w:rFonts w:hint="eastAsia" w:ascii="宋体" w:hAnsi="宋体" w:cs="宋体"/>
          <w:b/>
          <w:bCs/>
        </w:rPr>
        <w:t>投标文件每页均应加盖投标人（法定名称）电子签章，不得使用投标人专用章（如经济合同章、投标专用章等）或下属单位印章代替。（实质性要求）</w:t>
      </w:r>
    </w:p>
    <w:p>
      <w:pPr>
        <w:numPr>
          <w:ilvl w:val="0"/>
          <w:numId w:val="24"/>
        </w:numPr>
        <w:tabs>
          <w:tab w:val="left" w:pos="1134"/>
        </w:tabs>
        <w:ind w:firstLine="504" w:firstLineChars="0"/>
        <w:rPr>
          <w:rFonts w:hint="eastAsia" w:ascii="宋体" w:hAnsi="宋体" w:cs="宋体"/>
        </w:rPr>
      </w:pPr>
      <w:r>
        <w:rPr>
          <w:rFonts w:hint="eastAsia" w:ascii="宋体" w:hAnsi="宋体" w:cs="宋体"/>
        </w:rPr>
        <w:t xml:space="preserve"> 投标人应使用本企业CA数字证书对投标文件进行加密。</w:t>
      </w:r>
      <w:r>
        <w:rPr>
          <w:rFonts w:hint="eastAsia" w:ascii="宋体" w:hAnsi="宋体" w:cs="宋体"/>
          <w:b/>
          <w:bCs/>
        </w:rPr>
        <w:t>（实质性要求）</w:t>
      </w:r>
    </w:p>
    <w:p>
      <w:pPr>
        <w:numPr>
          <w:ilvl w:val="0"/>
          <w:numId w:val="24"/>
        </w:numPr>
        <w:tabs>
          <w:tab w:val="left" w:pos="1134"/>
        </w:tabs>
        <w:ind w:firstLine="504" w:firstLineChars="0"/>
        <w:rPr>
          <w:rFonts w:hint="eastAsia" w:ascii="宋体" w:hAnsi="宋体" w:cs="宋体"/>
        </w:rPr>
      </w:pPr>
      <w:r>
        <w:rPr>
          <w:rFonts w:hint="eastAsia" w:ascii="宋体" w:hAnsi="宋体" w:cs="宋体"/>
        </w:rPr>
        <w:t xml:space="preserve"> 招标文件若有修改，投标人根据修改后的招标文件制作或修改并递交投标文件。</w:t>
      </w:r>
    </w:p>
    <w:p>
      <w:pPr>
        <w:numPr>
          <w:ilvl w:val="0"/>
          <w:numId w:val="24"/>
        </w:numPr>
        <w:tabs>
          <w:tab w:val="left" w:pos="1134"/>
        </w:tabs>
        <w:ind w:firstLine="504" w:firstLineChars="0"/>
        <w:rPr>
          <w:rFonts w:hint="eastAsia" w:ascii="宋体" w:hAnsi="宋体" w:cs="宋体"/>
        </w:rPr>
      </w:pPr>
      <w:r>
        <w:rPr>
          <w:rFonts w:hint="eastAsia" w:ascii="宋体" w:hAnsi="宋体" w:cs="宋体"/>
        </w:rPr>
        <w:t xml:space="preserve">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pPr>
        <w:pStyle w:val="6"/>
        <w:ind w:left="342" w:leftChars="0" w:firstLine="506" w:firstLineChars="0"/>
        <w:rPr>
          <w:rFonts w:cs="宋体"/>
          <w:color w:val="auto"/>
          <w:szCs w:val="24"/>
        </w:rPr>
      </w:pPr>
      <w:bookmarkStart w:id="100" w:name="_Toc316475579"/>
      <w:bookmarkEnd w:id="100"/>
      <w:bookmarkStart w:id="101" w:name="_Toc316475577"/>
      <w:bookmarkEnd w:id="101"/>
      <w:bookmarkStart w:id="102" w:name="_Toc316475581"/>
      <w:bookmarkEnd w:id="102"/>
      <w:bookmarkStart w:id="103" w:name="_Toc316475580"/>
      <w:bookmarkEnd w:id="103"/>
      <w:bookmarkStart w:id="104" w:name="_Toc316475583"/>
      <w:bookmarkEnd w:id="104"/>
      <w:bookmarkStart w:id="105" w:name="_Toc316475582"/>
      <w:bookmarkEnd w:id="105"/>
      <w:bookmarkStart w:id="106" w:name="_Toc316475578"/>
      <w:bookmarkEnd w:id="106"/>
      <w:bookmarkStart w:id="107" w:name="_Toc183582227"/>
      <w:bookmarkStart w:id="108" w:name="_Toc183682364"/>
      <w:bookmarkStart w:id="109" w:name="_Toc12728"/>
      <w:bookmarkStart w:id="110" w:name="_Toc217446054"/>
      <w:r>
        <w:rPr>
          <w:rFonts w:hint="eastAsia" w:cs="宋体"/>
          <w:color w:val="auto"/>
          <w:szCs w:val="24"/>
        </w:rPr>
        <w:t>投标文件的</w:t>
      </w:r>
      <w:bookmarkEnd w:id="107"/>
      <w:bookmarkEnd w:id="108"/>
      <w:r>
        <w:rPr>
          <w:rFonts w:hint="eastAsia" w:cs="宋体"/>
          <w:color w:val="auto"/>
          <w:szCs w:val="24"/>
        </w:rPr>
        <w:t>递交</w:t>
      </w:r>
      <w:bookmarkEnd w:id="109"/>
      <w:bookmarkEnd w:id="110"/>
    </w:p>
    <w:p>
      <w:pPr>
        <w:numPr>
          <w:ilvl w:val="0"/>
          <w:numId w:val="25"/>
        </w:numPr>
        <w:tabs>
          <w:tab w:val="left" w:pos="1134"/>
        </w:tabs>
        <w:ind w:firstLine="480"/>
        <w:rPr>
          <w:rFonts w:hint="eastAsia" w:ascii="宋体" w:hAnsi="宋体" w:cs="宋体"/>
          <w:bCs/>
          <w:szCs w:val="24"/>
        </w:rPr>
      </w:pPr>
      <w:r>
        <w:rPr>
          <w:rFonts w:hint="eastAsia" w:ascii="宋体" w:hAnsi="宋体" w:cs="宋体"/>
          <w:bCs/>
          <w:szCs w:val="24"/>
        </w:rPr>
        <w:t>投标人应当在投标文件递交截止时间前，将生成的已加密的电子投标文件成功递交至“政府采购云平台”。</w:t>
      </w:r>
    </w:p>
    <w:p>
      <w:pPr>
        <w:numPr>
          <w:ilvl w:val="0"/>
          <w:numId w:val="25"/>
        </w:numPr>
        <w:tabs>
          <w:tab w:val="left" w:pos="1134"/>
        </w:tabs>
        <w:ind w:firstLine="480"/>
        <w:rPr>
          <w:rFonts w:hint="eastAsia" w:ascii="宋体" w:hAnsi="宋体" w:cs="宋体"/>
          <w:bCs/>
          <w:szCs w:val="24"/>
        </w:rPr>
      </w:pPr>
      <w:r>
        <w:rPr>
          <w:rFonts w:hint="eastAsia" w:ascii="宋体" w:hAnsi="宋体" w:cs="宋体"/>
          <w:bCs/>
          <w:szCs w:val="24"/>
        </w:rPr>
        <w:t>投标人应充分考虑递交文件的不可预见因素，在投标截止时间后将无法递交。</w:t>
      </w:r>
    </w:p>
    <w:p>
      <w:pPr>
        <w:pStyle w:val="6"/>
        <w:ind w:left="342" w:leftChars="0" w:firstLine="506" w:firstLineChars="0"/>
        <w:rPr>
          <w:rFonts w:cs="宋体"/>
          <w:color w:val="auto"/>
          <w:szCs w:val="24"/>
        </w:rPr>
      </w:pPr>
      <w:bookmarkStart w:id="111" w:name="_Toc316475586"/>
      <w:bookmarkEnd w:id="111"/>
      <w:bookmarkStart w:id="112" w:name="_Toc316475587"/>
      <w:bookmarkEnd w:id="112"/>
      <w:bookmarkStart w:id="113" w:name="_Toc183682365"/>
      <w:bookmarkStart w:id="114" w:name="_Toc183582228"/>
      <w:bookmarkStart w:id="115" w:name="_Toc217446055"/>
      <w:bookmarkStart w:id="116" w:name="_Toc12450"/>
      <w:r>
        <w:rPr>
          <w:rFonts w:hint="eastAsia" w:cs="宋体"/>
          <w:color w:val="auto"/>
          <w:szCs w:val="24"/>
        </w:rPr>
        <w:t>投标文件的修改和撤</w:t>
      </w:r>
      <w:bookmarkEnd w:id="113"/>
      <w:bookmarkEnd w:id="114"/>
      <w:r>
        <w:rPr>
          <w:rFonts w:hint="eastAsia" w:cs="宋体"/>
          <w:color w:val="auto"/>
          <w:szCs w:val="24"/>
        </w:rPr>
        <w:t>回</w:t>
      </w:r>
      <w:bookmarkEnd w:id="115"/>
      <w:bookmarkEnd w:id="116"/>
    </w:p>
    <w:p>
      <w:pPr>
        <w:numPr>
          <w:ilvl w:val="0"/>
          <w:numId w:val="26"/>
        </w:numPr>
        <w:tabs>
          <w:tab w:val="left" w:pos="1134"/>
        </w:tabs>
        <w:ind w:firstLine="480"/>
        <w:rPr>
          <w:rFonts w:hint="eastAsia" w:ascii="宋体" w:hAnsi="宋体" w:cs="宋体"/>
          <w:bCs/>
          <w:szCs w:val="24"/>
        </w:rPr>
      </w:pPr>
      <w:r>
        <w:rPr>
          <w:rFonts w:hint="eastAsia" w:ascii="宋体" w:hAnsi="宋体" w:cs="宋体"/>
          <w:bCs/>
          <w:szCs w:val="24"/>
        </w:rPr>
        <w:t>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ind w:firstLine="480"/>
        <w:rPr>
          <w:rFonts w:hint="eastAsia" w:ascii="宋体" w:hAnsi="宋体" w:cs="宋体"/>
          <w:bCs/>
          <w:szCs w:val="24"/>
        </w:rPr>
      </w:pPr>
      <w:r>
        <w:rPr>
          <w:rFonts w:hint="eastAsia" w:ascii="宋体" w:hAnsi="宋体" w:cs="宋体"/>
          <w:bCs/>
          <w:szCs w:val="24"/>
        </w:rPr>
        <w:t>投标截止时间后，投标人不得对其递交的投标文件做任何补充、修改。</w:t>
      </w:r>
    </w:p>
    <w:p>
      <w:pPr>
        <w:pStyle w:val="5"/>
      </w:pPr>
      <w:bookmarkStart w:id="117" w:name="_Toc16062"/>
      <w:bookmarkStart w:id="118" w:name="_Toc217446056"/>
      <w:bookmarkStart w:id="119" w:name="_Toc21163"/>
      <w:bookmarkStart w:id="120" w:name="_Toc3379"/>
      <w:bookmarkStart w:id="121" w:name="_Toc89075878"/>
      <w:bookmarkStart w:id="122" w:name="_Toc77400782"/>
      <w:bookmarkStart w:id="123" w:name="_Toc183582231"/>
      <w:bookmarkStart w:id="124" w:name="_Toc183682368"/>
      <w:r>
        <w:rPr>
          <w:rFonts w:hint="eastAsia"/>
        </w:rPr>
        <w:t>响应文件解密</w:t>
      </w:r>
      <w:bookmarkEnd w:id="117"/>
    </w:p>
    <w:p>
      <w:pPr>
        <w:spacing w:line="400" w:lineRule="exact"/>
        <w:ind w:firstLine="470" w:firstLineChars="196"/>
      </w:pPr>
      <w:r>
        <w:rPr>
          <w:rFonts w:hint="eastAsia" w:ascii="宋体" w:hAnsi="宋体" w:cs="宋体"/>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5"/>
      </w:pPr>
      <w:bookmarkStart w:id="125" w:name="_Toc10395"/>
      <w:r>
        <w:rPr>
          <w:rFonts w:hint="eastAsia"/>
        </w:rPr>
        <w:t>开标</w:t>
      </w:r>
      <w:bookmarkEnd w:id="118"/>
      <w:bookmarkEnd w:id="119"/>
      <w:bookmarkEnd w:id="120"/>
      <w:bookmarkEnd w:id="121"/>
      <w:bookmarkEnd w:id="122"/>
      <w:bookmarkEnd w:id="123"/>
      <w:bookmarkEnd w:id="124"/>
      <w:r>
        <w:rPr>
          <w:rFonts w:hint="eastAsia"/>
        </w:rPr>
        <w:t>及开标程序</w:t>
      </w:r>
      <w:bookmarkEnd w:id="125"/>
    </w:p>
    <w:p>
      <w:pPr>
        <w:pStyle w:val="6"/>
        <w:ind w:left="342" w:leftChars="0" w:firstLine="506" w:firstLineChars="0"/>
        <w:rPr>
          <w:rFonts w:hint="eastAsia" w:cs="宋体"/>
          <w:b w:val="0"/>
          <w:bCs w:val="0"/>
          <w:color w:val="auto"/>
          <w:szCs w:val="24"/>
        </w:rPr>
      </w:pPr>
      <w:r>
        <w:rPr>
          <w:rFonts w:hint="eastAsia" w:cs="宋体"/>
          <w:b w:val="0"/>
          <w:bCs w:val="0"/>
          <w:color w:val="auto"/>
          <w:szCs w:val="24"/>
        </w:rPr>
        <w:t>本项目为不见面开标项目。（递交电子投标文件的投标人不足3家的，不予开标。）</w:t>
      </w:r>
    </w:p>
    <w:p>
      <w:pPr>
        <w:pStyle w:val="6"/>
        <w:ind w:left="342" w:leftChars="0" w:firstLine="506" w:firstLineChars="0"/>
        <w:rPr>
          <w:rFonts w:hint="eastAsia" w:cs="宋体"/>
          <w:b w:val="0"/>
          <w:bCs w:val="0"/>
          <w:color w:val="auto"/>
          <w:szCs w:val="24"/>
        </w:rPr>
      </w:pPr>
      <w:r>
        <w:rPr>
          <w:rFonts w:hint="eastAsia" w:cs="宋体"/>
          <w:b w:val="0"/>
          <w:bCs w:val="0"/>
          <w:color w:val="auto"/>
          <w:szCs w:val="24"/>
        </w:rPr>
        <w:t>开标准备工作。投标人需在开标当日、投标截止时间前登录“政府采购云平台”，通过本项目“开标大厅”参与不见面开标。登录政府采购云平台—项目采购—开标评标—开标大厅（确保进入本项目开标大厅）。提示：投标人未按时登录不见面开标系统，错过开标解密时间的，由投标人自行承担不利后果。</w:t>
      </w:r>
    </w:p>
    <w:p>
      <w:pPr>
        <w:pStyle w:val="6"/>
        <w:ind w:left="342" w:leftChars="0" w:firstLine="506" w:firstLineChars="0"/>
        <w:rPr>
          <w:rFonts w:hint="eastAsia" w:cs="宋体"/>
          <w:b w:val="0"/>
          <w:bCs w:val="0"/>
          <w:color w:val="auto"/>
          <w:szCs w:val="24"/>
        </w:rPr>
      </w:pPr>
      <w:r>
        <w:rPr>
          <w:rFonts w:hint="eastAsia" w:cs="宋体"/>
          <w:b w:val="0"/>
          <w:bCs w:val="0"/>
          <w:color w:val="auto"/>
          <w:szCs w:val="24"/>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pStyle w:val="6"/>
        <w:ind w:left="342" w:leftChars="0" w:firstLine="506" w:firstLineChars="0"/>
        <w:rPr>
          <w:rFonts w:hint="eastAsia" w:cs="宋体"/>
          <w:b w:val="0"/>
          <w:bCs w:val="0"/>
          <w:color w:val="auto"/>
          <w:szCs w:val="24"/>
        </w:rPr>
      </w:pPr>
      <w:r>
        <w:rPr>
          <w:rFonts w:hint="eastAsia" w:cs="宋体"/>
          <w:b w:val="0"/>
          <w:bCs w:val="0"/>
          <w:color w:val="auto"/>
          <w:szCs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6"/>
        <w:ind w:left="342" w:leftChars="0" w:firstLine="506" w:firstLineChars="0"/>
        <w:rPr>
          <w:rFonts w:hint="eastAsia" w:cs="宋体"/>
          <w:b w:val="0"/>
          <w:bCs w:val="0"/>
          <w:color w:val="auto"/>
          <w:szCs w:val="24"/>
        </w:rPr>
      </w:pPr>
      <w:bookmarkStart w:id="126" w:name="_Toc308164807"/>
      <w:bookmarkStart w:id="127" w:name="_Toc217446058"/>
      <w:r>
        <w:rPr>
          <w:rFonts w:hint="eastAsia" w:cs="宋体"/>
          <w:b w:val="0"/>
          <w:bCs w:val="0"/>
          <w:color w:val="auto"/>
          <w:szCs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6"/>
        <w:ind w:left="342" w:leftChars="0" w:firstLine="506" w:firstLineChars="0"/>
        <w:rPr>
          <w:rFonts w:hint="eastAsia" w:cs="宋体"/>
          <w:b w:val="0"/>
          <w:bCs w:val="0"/>
          <w:color w:val="auto"/>
          <w:szCs w:val="24"/>
        </w:rPr>
      </w:pPr>
      <w:r>
        <w:rPr>
          <w:rFonts w:hint="eastAsia" w:cs="宋体"/>
          <w:b w:val="0"/>
          <w:bCs w:val="0"/>
          <w:color w:val="auto"/>
          <w:szCs w:val="24"/>
        </w:rPr>
        <w:t>因断电、断网、系统故障或其他不可抗力等因素导致不见面开标系统无法正常运行的，开标活动中止或延迟，待系统恢复正常后继续进行开标活动。</w:t>
      </w:r>
    </w:p>
    <w:p>
      <w:pPr>
        <w:pStyle w:val="6"/>
        <w:ind w:left="342" w:leftChars="0" w:firstLine="506" w:firstLineChars="0"/>
        <w:rPr>
          <w:rFonts w:hint="eastAsia" w:cs="宋体"/>
          <w:b w:val="0"/>
          <w:bCs w:val="0"/>
          <w:color w:val="auto"/>
          <w:szCs w:val="24"/>
        </w:rPr>
      </w:pPr>
      <w:r>
        <w:rPr>
          <w:rFonts w:hint="eastAsia" w:cs="宋体"/>
          <w:b w:val="0"/>
          <w:bCs w:val="0"/>
          <w:color w:val="auto"/>
          <w:szCs w:val="24"/>
        </w:rPr>
        <w:t>不见面开标过程中，各方主体均应遵守互联网有关规定，不得发表与交易活动无关的言论。</w:t>
      </w:r>
    </w:p>
    <w:bookmarkEnd w:id="126"/>
    <w:bookmarkEnd w:id="127"/>
    <w:p>
      <w:pPr>
        <w:pStyle w:val="6"/>
        <w:ind w:left="342" w:leftChars="0" w:firstLine="506" w:firstLineChars="0"/>
        <w:rPr>
          <w:rFonts w:cs="宋体"/>
          <w:color w:val="auto"/>
          <w:szCs w:val="24"/>
        </w:rPr>
      </w:pPr>
      <w:bookmarkStart w:id="128" w:name="_Toc4270"/>
      <w:r>
        <w:rPr>
          <w:rFonts w:hint="eastAsia" w:cs="宋体"/>
          <w:color w:val="auto"/>
          <w:szCs w:val="24"/>
        </w:rPr>
        <w:t>开评标过程存档</w:t>
      </w:r>
      <w:bookmarkEnd w:id="128"/>
    </w:p>
    <w:p>
      <w:pPr>
        <w:tabs>
          <w:tab w:val="left" w:pos="1134"/>
        </w:tabs>
        <w:ind w:firstLine="480"/>
        <w:rPr>
          <w:rFonts w:hint="eastAsia" w:ascii="宋体" w:hAnsi="宋体" w:cs="宋体"/>
          <w:szCs w:val="24"/>
        </w:rPr>
      </w:pPr>
      <w:r>
        <w:rPr>
          <w:rFonts w:hint="eastAsia" w:ascii="宋体" w:hAnsi="宋体" w:cs="宋体"/>
        </w:rPr>
        <w:t>开标和评标过程进行全过程电子监控，并将电子监控资料存储介质留存归档。</w:t>
      </w:r>
    </w:p>
    <w:p>
      <w:pPr>
        <w:pStyle w:val="6"/>
        <w:ind w:left="342" w:leftChars="0" w:firstLine="506" w:firstLineChars="0"/>
        <w:rPr>
          <w:rFonts w:cs="宋体"/>
          <w:color w:val="auto"/>
          <w:szCs w:val="24"/>
        </w:rPr>
      </w:pPr>
      <w:bookmarkStart w:id="129" w:name="_Toc15169"/>
      <w:r>
        <w:rPr>
          <w:rFonts w:hint="eastAsia" w:cs="宋体"/>
          <w:color w:val="auto"/>
          <w:szCs w:val="24"/>
        </w:rPr>
        <w:t>评标情况公告</w:t>
      </w:r>
      <w:bookmarkEnd w:id="129"/>
    </w:p>
    <w:p>
      <w:pPr>
        <w:ind w:firstLine="480"/>
        <w:rPr>
          <w:rFonts w:ascii="宋体" w:hAnsi="宋体" w:cs="宋体"/>
          <w:szCs w:val="24"/>
        </w:rPr>
      </w:pPr>
      <w:bookmarkStart w:id="130" w:name="_Toc183582238"/>
      <w:bookmarkStart w:id="131" w:name="_Toc183682375"/>
      <w:bookmarkStart w:id="132" w:name="_Toc217446063"/>
      <w:r>
        <w:rPr>
          <w:rFonts w:hint="eastAsia" w:ascii="宋体" w:hAnsi="宋体" w:cs="宋体"/>
          <w:szCs w:val="24"/>
        </w:rPr>
        <w:t>所有投标人投标文件资格性、符合性检查情况、采用综合评分法时的总得分和分项汇总得分情况、评标结果等将在四川政府采购网上采购结果公告栏中予以公告。</w:t>
      </w:r>
    </w:p>
    <w:p>
      <w:pPr>
        <w:pStyle w:val="6"/>
        <w:ind w:left="342" w:leftChars="0" w:firstLine="506" w:firstLineChars="0"/>
        <w:rPr>
          <w:rFonts w:cs="宋体"/>
          <w:color w:val="auto"/>
          <w:szCs w:val="24"/>
        </w:rPr>
      </w:pPr>
      <w:bookmarkStart w:id="133" w:name="_Toc7698"/>
      <w:r>
        <w:rPr>
          <w:rFonts w:hint="eastAsia" w:cs="宋体"/>
          <w:color w:val="auto"/>
          <w:szCs w:val="24"/>
        </w:rPr>
        <w:t>中标通知</w:t>
      </w:r>
      <w:bookmarkEnd w:id="130"/>
      <w:bookmarkEnd w:id="131"/>
      <w:r>
        <w:rPr>
          <w:rFonts w:hint="eastAsia" w:cs="宋体"/>
          <w:color w:val="auto"/>
          <w:szCs w:val="24"/>
        </w:rPr>
        <w:t>书</w:t>
      </w:r>
      <w:bookmarkEnd w:id="132"/>
      <w:bookmarkEnd w:id="133"/>
    </w:p>
    <w:p>
      <w:pPr>
        <w:widowControl/>
        <w:numPr>
          <w:ilvl w:val="0"/>
          <w:numId w:val="27"/>
        </w:numPr>
        <w:ind w:right="210" w:firstLineChars="0"/>
        <w:rPr>
          <w:rFonts w:ascii="宋体" w:hAnsi="宋体"/>
          <w:color w:val="000000"/>
          <w:szCs w:val="24"/>
        </w:rPr>
      </w:pPr>
      <w:r>
        <w:rPr>
          <w:rFonts w:hint="eastAsia" w:ascii="宋体" w:hAnsi="宋体"/>
          <w:color w:val="000000"/>
          <w:szCs w:val="24"/>
        </w:rPr>
        <w:t>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numPr>
          <w:ilvl w:val="0"/>
          <w:numId w:val="27"/>
        </w:numPr>
        <w:ind w:firstLineChars="0"/>
        <w:rPr>
          <w:rFonts w:ascii="宋体" w:hAnsi="宋体"/>
          <w:color w:val="000000"/>
          <w:szCs w:val="24"/>
        </w:rPr>
      </w:pPr>
      <w:r>
        <w:rPr>
          <w:rFonts w:hint="eastAsia" w:ascii="宋体" w:hAnsi="宋体"/>
          <w:color w:val="000000"/>
          <w:szCs w:val="24"/>
        </w:rPr>
        <w:t>中标通知书对采购人和中标人均具有法律效力。中标通知书发出后，采购人改变中标结果，或者中标人无正当理由放弃中标的，应当承担相应的法律责任。</w:t>
      </w:r>
    </w:p>
    <w:p>
      <w:pPr>
        <w:numPr>
          <w:ilvl w:val="0"/>
          <w:numId w:val="27"/>
        </w:numPr>
        <w:ind w:firstLineChars="0"/>
        <w:rPr>
          <w:rFonts w:ascii="宋体" w:hAnsi="宋体"/>
          <w:color w:val="000000"/>
          <w:szCs w:val="24"/>
        </w:rPr>
      </w:pPr>
      <w:r>
        <w:rPr>
          <w:rFonts w:hint="eastAsia" w:ascii="宋体" w:hAnsi="宋体"/>
          <w:color w:val="000000"/>
          <w:szCs w:val="24"/>
        </w:rPr>
        <w:t>中标公告在四川政府采购网上公告后，中标供应商自行登录政府采购云平台下载中标通知书。</w:t>
      </w:r>
    </w:p>
    <w:p>
      <w:pPr>
        <w:pStyle w:val="5"/>
      </w:pPr>
      <w:bookmarkStart w:id="134" w:name="_Toc10918"/>
      <w:bookmarkStart w:id="135" w:name="_Toc23355"/>
      <w:bookmarkStart w:id="136" w:name="_Toc217446064"/>
      <w:bookmarkStart w:id="137" w:name="_Toc5487"/>
      <w:bookmarkStart w:id="138" w:name="_Toc183582240"/>
      <w:bookmarkStart w:id="139" w:name="_Toc183682377"/>
      <w:r>
        <w:rPr>
          <w:rFonts w:hint="eastAsia"/>
        </w:rPr>
        <w:t>签订及履行合同和验收</w:t>
      </w:r>
      <w:bookmarkEnd w:id="134"/>
      <w:bookmarkEnd w:id="135"/>
      <w:bookmarkEnd w:id="136"/>
      <w:bookmarkEnd w:id="137"/>
    </w:p>
    <w:p>
      <w:pPr>
        <w:pStyle w:val="6"/>
        <w:ind w:left="342" w:leftChars="0" w:firstLine="506" w:firstLineChars="0"/>
        <w:rPr>
          <w:rFonts w:cs="宋体"/>
          <w:color w:val="auto"/>
          <w:szCs w:val="24"/>
        </w:rPr>
      </w:pPr>
      <w:bookmarkStart w:id="140" w:name="_Toc217446065"/>
      <w:bookmarkStart w:id="141" w:name="_Toc14747"/>
      <w:r>
        <w:rPr>
          <w:rFonts w:hint="eastAsia" w:cs="宋体"/>
          <w:color w:val="auto"/>
          <w:szCs w:val="24"/>
        </w:rPr>
        <w:t>签订合同</w:t>
      </w:r>
      <w:bookmarkEnd w:id="140"/>
      <w:bookmarkEnd w:id="141"/>
    </w:p>
    <w:p>
      <w:pPr>
        <w:numPr>
          <w:ilvl w:val="0"/>
          <w:numId w:val="28"/>
        </w:numPr>
        <w:tabs>
          <w:tab w:val="left" w:pos="1134"/>
        </w:tabs>
        <w:spacing w:after="200"/>
        <w:ind w:left="0" w:firstLine="484" w:firstLineChars="202"/>
        <w:rPr>
          <w:rFonts w:ascii="宋体" w:hAnsi="宋体"/>
          <w:color w:val="000000"/>
          <w:szCs w:val="24"/>
        </w:rPr>
      </w:pPr>
      <w:r>
        <w:rPr>
          <w:rFonts w:hint="eastAsia" w:ascii="宋体" w:hAnsi="宋体"/>
          <w:color w:val="000000"/>
          <w:szCs w:val="24"/>
        </w:rPr>
        <w:t>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numPr>
          <w:ilvl w:val="0"/>
          <w:numId w:val="28"/>
        </w:numPr>
        <w:tabs>
          <w:tab w:val="left" w:pos="1134"/>
        </w:tabs>
        <w:spacing w:after="200"/>
        <w:ind w:left="0" w:firstLine="484" w:firstLineChars="202"/>
        <w:rPr>
          <w:rFonts w:ascii="宋体" w:hAnsi="宋体"/>
          <w:color w:val="000000"/>
          <w:szCs w:val="24"/>
        </w:rPr>
      </w:pPr>
      <w:r>
        <w:rPr>
          <w:rFonts w:hint="eastAsia" w:ascii="宋体" w:hAnsi="宋体"/>
          <w:color w:val="000000"/>
          <w:szCs w:val="24"/>
        </w:rPr>
        <w:t>采购人不得向中标人提出任何不合理的要求，作为签订合同的条件，不得与中标人私下订立背离合同实质性内容的任何协议，所签订的合同不得对招标文件和中标人投标文件作实质性修改。</w:t>
      </w:r>
    </w:p>
    <w:p>
      <w:pPr>
        <w:numPr>
          <w:ilvl w:val="0"/>
          <w:numId w:val="28"/>
        </w:numPr>
        <w:tabs>
          <w:tab w:val="left" w:pos="1134"/>
        </w:tabs>
        <w:spacing w:after="200"/>
        <w:ind w:left="0" w:firstLine="484" w:firstLineChars="202"/>
        <w:rPr>
          <w:rFonts w:ascii="宋体" w:hAnsi="宋体"/>
          <w:color w:val="000000"/>
          <w:szCs w:val="24"/>
        </w:rPr>
      </w:pPr>
      <w:r>
        <w:rPr>
          <w:rFonts w:hint="eastAsia" w:ascii="宋体" w:hAnsi="宋体"/>
          <w:color w:val="000000"/>
          <w:szCs w:val="24"/>
        </w:rPr>
        <w:t>招标文件、投标文件、中标通知书等一切与本项目评标结果有关且经责任主体确认的资料均为合同的有效组成部分。</w:t>
      </w:r>
    </w:p>
    <w:p>
      <w:pPr>
        <w:numPr>
          <w:ilvl w:val="0"/>
          <w:numId w:val="28"/>
        </w:numPr>
        <w:tabs>
          <w:tab w:val="left" w:pos="1134"/>
        </w:tabs>
        <w:spacing w:after="200"/>
        <w:ind w:left="0" w:firstLine="484" w:firstLineChars="202"/>
        <w:rPr>
          <w:rFonts w:ascii="宋体" w:hAnsi="宋体"/>
          <w:color w:val="000000"/>
          <w:kern w:val="0"/>
          <w:szCs w:val="24"/>
        </w:rPr>
      </w:pPr>
      <w:r>
        <w:rPr>
          <w:rFonts w:hint="eastAsia" w:ascii="宋体" w:hAnsi="宋体"/>
          <w:color w:val="000000"/>
          <w:kern w:val="0"/>
          <w:szCs w:val="24"/>
        </w:rPr>
        <w:t>询问或者质疑事项可能影响中标、成交结果的，采购人应当暂停签订合同，已经签订合同的，应当中止履行合同。</w:t>
      </w:r>
    </w:p>
    <w:p>
      <w:pPr>
        <w:ind w:firstLine="480"/>
      </w:pPr>
    </w:p>
    <w:p>
      <w:pPr>
        <w:pStyle w:val="6"/>
        <w:ind w:left="342" w:leftChars="0" w:firstLine="506" w:firstLineChars="0"/>
        <w:rPr>
          <w:rFonts w:cs="宋体"/>
          <w:color w:val="auto"/>
          <w:szCs w:val="24"/>
        </w:rPr>
      </w:pPr>
      <w:bookmarkStart w:id="142" w:name="_Toc315871033"/>
      <w:bookmarkEnd w:id="142"/>
      <w:bookmarkStart w:id="143" w:name="_Toc217446066"/>
      <w:bookmarkStart w:id="144" w:name="_Toc12604"/>
      <w:r>
        <w:rPr>
          <w:rFonts w:hint="eastAsia" w:cs="宋体"/>
          <w:color w:val="auto"/>
          <w:szCs w:val="24"/>
        </w:rPr>
        <w:t>合同分包</w:t>
      </w:r>
      <w:bookmarkEnd w:id="143"/>
      <w:bookmarkEnd w:id="144"/>
      <w:r>
        <w:rPr>
          <w:rFonts w:hint="eastAsia" w:cs="宋体"/>
          <w:color w:val="auto"/>
          <w:szCs w:val="24"/>
        </w:rPr>
        <w:t>（实质性要求）</w:t>
      </w:r>
    </w:p>
    <w:p>
      <w:pPr>
        <w:pStyle w:val="201"/>
        <w:spacing w:line="360" w:lineRule="auto"/>
        <w:ind w:firstLine="480" w:firstLineChars="200"/>
        <w:rPr>
          <w:rFonts w:cs="Times New Roman"/>
          <w:color w:val="000000"/>
          <w:lang w:val="zh-CN"/>
        </w:rPr>
      </w:pPr>
      <w:r>
        <w:rPr>
          <w:rFonts w:hint="eastAsia" w:cs="Times New Roman"/>
          <w:color w:val="000000"/>
          <w:lang w:val="zh-CN"/>
        </w:rPr>
        <w:t>☑ 本</w:t>
      </w:r>
      <w:r>
        <w:rPr>
          <w:rFonts w:cs="Times New Roman"/>
          <w:color w:val="000000"/>
          <w:lang w:val="zh-CN"/>
        </w:rPr>
        <w:t>项目不允许分包</w:t>
      </w:r>
      <w:r>
        <w:rPr>
          <w:rFonts w:hint="eastAsia" w:cs="Times New Roman"/>
          <w:color w:val="000000"/>
          <w:lang w:val="zh-CN"/>
        </w:rPr>
        <w:t xml:space="preserve"> </w:t>
      </w:r>
    </w:p>
    <w:p>
      <w:pPr>
        <w:pStyle w:val="201"/>
        <w:spacing w:line="360" w:lineRule="auto"/>
        <w:ind w:firstLine="480" w:firstLineChars="200"/>
        <w:rPr>
          <w:rFonts w:cs="Times New Roman"/>
          <w:color w:val="000000"/>
          <w:lang w:val="zh-CN"/>
        </w:rPr>
      </w:pPr>
      <w:r>
        <w:rPr>
          <w:rFonts w:hint="eastAsia" w:cs="Times New Roman"/>
          <w:color w:val="000000"/>
          <w:lang w:val="zh-CN"/>
        </w:rPr>
        <w:t>□ 本</w:t>
      </w:r>
      <w:r>
        <w:rPr>
          <w:rFonts w:cs="Times New Roman"/>
          <w:color w:val="000000"/>
          <w:lang w:val="zh-CN"/>
        </w:rPr>
        <w:t>项目允许分包</w:t>
      </w:r>
      <w:r>
        <w:rPr>
          <w:rFonts w:hint="eastAsia" w:cs="Times New Roman"/>
          <w:color w:val="000000"/>
          <w:lang w:val="zh-CN"/>
        </w:rPr>
        <w:t>，</w:t>
      </w:r>
      <w:r>
        <w:rPr>
          <w:rFonts w:cs="Times New Roman"/>
          <w:color w:val="000000"/>
          <w:lang w:val="zh-CN"/>
        </w:rPr>
        <w:t>具体要求如下：</w:t>
      </w:r>
    </w:p>
    <w:p>
      <w:pPr>
        <w:pStyle w:val="201"/>
        <w:spacing w:line="360" w:lineRule="auto"/>
        <w:ind w:firstLine="480" w:firstLineChars="200"/>
        <w:rPr>
          <w:rFonts w:cs="Times New Roman"/>
          <w:color w:val="000000"/>
          <w:lang w:val="zh-CN"/>
        </w:rPr>
      </w:pPr>
      <w:r>
        <w:rPr>
          <w:rFonts w:hint="eastAsia" w:cs="Times New Roman"/>
          <w:color w:val="000000"/>
          <w:lang w:val="zh-CN"/>
        </w:rPr>
        <w:t>一、本项目XX、XX，中标人可以依法采取分包方式履行合同。</w:t>
      </w:r>
    </w:p>
    <w:p>
      <w:pPr>
        <w:pStyle w:val="201"/>
        <w:spacing w:line="360" w:lineRule="auto"/>
        <w:ind w:firstLine="480" w:firstLineChars="200"/>
        <w:rPr>
          <w:rFonts w:cs="Times New Roman"/>
          <w:color w:val="000000"/>
          <w:lang w:val="zh-CN"/>
        </w:rPr>
      </w:pPr>
      <w:r>
        <w:rPr>
          <w:rFonts w:hint="eastAsia" w:cs="Times New Roman"/>
          <w:color w:val="000000"/>
          <w:lang w:val="zh-CN"/>
        </w:rPr>
        <w:t>二、分包履行合同的部分应当为采购项目的非主体、非关键性工作， 不属于中标供应商的主要合同义务。</w:t>
      </w:r>
    </w:p>
    <w:p>
      <w:pPr>
        <w:pStyle w:val="201"/>
        <w:spacing w:line="360" w:lineRule="auto"/>
        <w:ind w:firstLine="480" w:firstLineChars="200"/>
        <w:rPr>
          <w:rFonts w:cs="Times New Roman"/>
          <w:color w:val="000000"/>
          <w:lang w:val="zh-CN"/>
        </w:rPr>
      </w:pPr>
      <w:r>
        <w:rPr>
          <w:rFonts w:hint="eastAsia" w:cs="Times New Roman"/>
          <w:color w:val="000000"/>
          <w:lang w:val="zh-CN"/>
        </w:rPr>
        <w:t>三、采购合同实行分包履行的，中标供应商就采购项目和分包项目向采购人负责，分包供应商就分包项目承担责任。</w:t>
      </w:r>
    </w:p>
    <w:p>
      <w:pPr>
        <w:pStyle w:val="201"/>
        <w:spacing w:line="360" w:lineRule="auto"/>
        <w:ind w:firstLine="480" w:firstLineChars="200"/>
        <w:rPr>
          <w:rFonts w:cs="Times New Roman"/>
          <w:color w:val="000000"/>
          <w:lang w:val="zh-CN"/>
        </w:rPr>
      </w:pPr>
      <w:r>
        <w:rPr>
          <w:rFonts w:hint="eastAsia" w:cs="Times New Roman"/>
          <w:color w:val="000000"/>
          <w:lang w:val="zh-CN"/>
        </w:rPr>
        <w:t>四、中小企业依据《政府采购促进中小企业发展管理办法》（财库</w:t>
      </w:r>
      <w:r>
        <w:rPr>
          <w:rFonts w:cs="Times New Roman"/>
          <w:color w:val="000000"/>
          <w:lang w:val="zh-CN"/>
        </w:rPr>
        <w:t xml:space="preserve">[2020]46 </w:t>
      </w:r>
      <w:r>
        <w:rPr>
          <w:rFonts w:hint="eastAsia" w:cs="Times New Roman"/>
          <w:color w:val="000000"/>
          <w:lang w:val="zh-CN"/>
        </w:rPr>
        <w:t>号）规定享受扶持政策获得政府采购合同的，小微企业、监狱企业、残疾人福利性单位，不得将合同分包给大中型企业，中型企业不得将合同分包给大型企业。</w:t>
      </w:r>
    </w:p>
    <w:p>
      <w:pPr>
        <w:pStyle w:val="6"/>
        <w:ind w:left="342" w:leftChars="0" w:firstLine="506" w:firstLineChars="0"/>
        <w:rPr>
          <w:rFonts w:cs="宋体"/>
          <w:color w:val="auto"/>
          <w:szCs w:val="24"/>
        </w:rPr>
      </w:pPr>
      <w:bookmarkStart w:id="145" w:name="_Toc21789"/>
      <w:bookmarkStart w:id="146" w:name="_Toc217446067"/>
      <w:r>
        <w:rPr>
          <w:rFonts w:hint="eastAsia" w:cs="宋体"/>
          <w:color w:val="auto"/>
          <w:szCs w:val="24"/>
        </w:rPr>
        <w:t>合同转包</w:t>
      </w:r>
      <w:bookmarkEnd w:id="145"/>
      <w:r>
        <w:rPr>
          <w:rFonts w:hint="eastAsia" w:cs="宋体"/>
          <w:color w:val="auto"/>
          <w:szCs w:val="24"/>
        </w:rPr>
        <w:t>（实质性要求）</w:t>
      </w:r>
    </w:p>
    <w:p>
      <w:pPr>
        <w:ind w:firstLine="480"/>
        <w:rPr>
          <w:rFonts w:ascii="宋体" w:hAnsi="宋体" w:cs="宋体"/>
          <w:color w:val="000000"/>
          <w:kern w:val="0"/>
          <w:szCs w:val="24"/>
        </w:rPr>
      </w:pPr>
      <w:r>
        <w:rPr>
          <w:rFonts w:hint="eastAsia" w:ascii="宋体" w:hAnsi="宋体"/>
          <w:color w:val="000000"/>
          <w:szCs w:val="24"/>
        </w:rPr>
        <w:t>一、严禁中标供应商将本项目转包。本项目所称转包，是指</w:t>
      </w:r>
      <w:r>
        <w:rPr>
          <w:rFonts w:hint="eastAsia" w:ascii="宋体" w:hAnsi="宋体" w:cs="宋体"/>
          <w:color w:val="000000"/>
          <w:kern w:val="0"/>
          <w:szCs w:val="24"/>
        </w:rPr>
        <w:t xml:space="preserve">将本项目转给他人或者将本项目全部肢解以后以分包的名义分别转给他人的行为。 </w:t>
      </w:r>
    </w:p>
    <w:p>
      <w:pPr>
        <w:ind w:firstLine="480"/>
        <w:rPr>
          <w:szCs w:val="24"/>
        </w:rPr>
      </w:pPr>
      <w:r>
        <w:rPr>
          <w:rFonts w:hint="eastAsia" w:ascii="宋体" w:hAnsi="宋体"/>
          <w:color w:val="000000"/>
          <w:szCs w:val="24"/>
        </w:rPr>
        <w:t>二、中标供应商转包的，视同拒绝履行政府采购合同，将依法追究法律责任。</w:t>
      </w:r>
    </w:p>
    <w:p>
      <w:pPr>
        <w:pStyle w:val="6"/>
        <w:ind w:left="342" w:leftChars="0" w:firstLine="506" w:firstLineChars="0"/>
        <w:rPr>
          <w:rFonts w:cs="宋体"/>
          <w:color w:val="auto"/>
          <w:szCs w:val="24"/>
        </w:rPr>
      </w:pPr>
      <w:bookmarkStart w:id="147" w:name="_Toc25501"/>
      <w:r>
        <w:rPr>
          <w:rFonts w:hint="eastAsia" w:cs="宋体"/>
          <w:color w:val="auto"/>
          <w:szCs w:val="24"/>
        </w:rPr>
        <w:t>采购人增加合同标的的权</w:t>
      </w:r>
      <w:bookmarkEnd w:id="146"/>
      <w:r>
        <w:rPr>
          <w:rFonts w:hint="eastAsia" w:cs="宋体"/>
          <w:color w:val="auto"/>
          <w:szCs w:val="24"/>
        </w:rPr>
        <w:t>利</w:t>
      </w:r>
      <w:bookmarkEnd w:id="147"/>
    </w:p>
    <w:p>
      <w:pPr>
        <w:ind w:firstLine="480"/>
        <w:rPr>
          <w:rFonts w:ascii="宋体" w:hAnsi="宋体" w:cs="宋体"/>
          <w:szCs w:val="24"/>
        </w:rPr>
      </w:pPr>
      <w:r>
        <w:rPr>
          <w:rFonts w:hint="eastAsia" w:ascii="宋体" w:hAnsi="宋体" w:cs="宋体"/>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ind w:left="342" w:leftChars="0" w:firstLine="506" w:firstLineChars="0"/>
        <w:rPr>
          <w:rFonts w:cs="宋体"/>
          <w:color w:val="auto"/>
          <w:szCs w:val="24"/>
        </w:rPr>
      </w:pPr>
      <w:bookmarkStart w:id="148" w:name="_Toc7487"/>
      <w:bookmarkStart w:id="149" w:name="_Toc217446069"/>
      <w:r>
        <w:rPr>
          <w:rFonts w:hint="eastAsia" w:cs="宋体"/>
          <w:color w:val="auto"/>
          <w:szCs w:val="24"/>
        </w:rPr>
        <w:t>合同公告</w:t>
      </w:r>
      <w:bookmarkEnd w:id="148"/>
    </w:p>
    <w:p>
      <w:pPr>
        <w:spacing w:line="400" w:lineRule="exact"/>
        <w:ind w:firstLine="480"/>
        <w:rPr>
          <w:rFonts w:hint="eastAsia" w:ascii="宋体" w:hAnsi="宋体" w:cs="宋体"/>
        </w:rPr>
      </w:pPr>
      <w:r>
        <w:rPr>
          <w:rFonts w:hint="eastAsia" w:ascii="宋体" w:hAnsi="宋体" w:cs="宋体"/>
        </w:rPr>
        <w:t>采购人应当自政府采购合同签订之日起2个工作日内，将政府采购合同在省级以上人民政府财政部门指定的媒体上公告（四川政府采购网），但政府采购合同中涉及国家秘密、商业秘密的内容除外。</w:t>
      </w:r>
    </w:p>
    <w:p>
      <w:pPr>
        <w:pStyle w:val="6"/>
        <w:ind w:left="342" w:leftChars="0" w:firstLine="506" w:firstLineChars="0"/>
        <w:rPr>
          <w:rFonts w:hint="eastAsia" w:cs="宋体"/>
          <w:color w:val="auto"/>
          <w:szCs w:val="24"/>
        </w:rPr>
      </w:pPr>
      <w:bookmarkStart w:id="150" w:name="_Toc13660"/>
      <w:r>
        <w:rPr>
          <w:rFonts w:hint="eastAsia" w:cs="宋体"/>
          <w:color w:val="auto"/>
          <w:szCs w:val="24"/>
        </w:rPr>
        <w:t>合同备案</w:t>
      </w:r>
      <w:bookmarkEnd w:id="150"/>
    </w:p>
    <w:p>
      <w:pPr>
        <w:spacing w:line="400" w:lineRule="exact"/>
        <w:ind w:firstLine="480"/>
        <w:rPr>
          <w:rFonts w:hint="eastAsia" w:ascii="宋体" w:hAnsi="宋体" w:cs="宋体"/>
        </w:rPr>
      </w:pPr>
      <w:r>
        <w:rPr>
          <w:rFonts w:hint="eastAsia" w:ascii="宋体" w:hAnsi="宋体" w:cs="宋体"/>
        </w:rPr>
        <w:t>采购人应当将政府采购合同副本自签订之日起七个工作日内通过政采云平台报同级财政部门备案。</w:t>
      </w:r>
    </w:p>
    <w:p>
      <w:pPr>
        <w:pStyle w:val="6"/>
        <w:ind w:left="342" w:leftChars="0" w:firstLine="506" w:firstLineChars="0"/>
        <w:rPr>
          <w:rFonts w:cs="宋体"/>
          <w:color w:val="auto"/>
          <w:szCs w:val="24"/>
        </w:rPr>
      </w:pPr>
      <w:bookmarkStart w:id="151" w:name="_Toc2121"/>
      <w:r>
        <w:rPr>
          <w:rFonts w:hint="eastAsia" w:cs="宋体"/>
          <w:color w:val="auto"/>
          <w:szCs w:val="24"/>
        </w:rPr>
        <w:t>履行合同</w:t>
      </w:r>
      <w:bookmarkEnd w:id="149"/>
      <w:bookmarkEnd w:id="151"/>
    </w:p>
    <w:p>
      <w:pPr>
        <w:numPr>
          <w:ilvl w:val="0"/>
          <w:numId w:val="29"/>
        </w:numPr>
        <w:tabs>
          <w:tab w:val="left" w:pos="1134"/>
        </w:tabs>
        <w:ind w:firstLine="480"/>
        <w:rPr>
          <w:rFonts w:ascii="宋体" w:hAnsi="宋体" w:cs="宋体"/>
          <w:szCs w:val="24"/>
        </w:rPr>
      </w:pPr>
      <w:r>
        <w:rPr>
          <w:rFonts w:hint="eastAsia" w:ascii="宋体" w:hAnsi="宋体" w:cs="宋体"/>
          <w:szCs w:val="24"/>
        </w:rPr>
        <w:t>合同一经签订，双方应严格履行合同规定的义务。</w:t>
      </w:r>
    </w:p>
    <w:p>
      <w:pPr>
        <w:numPr>
          <w:ilvl w:val="0"/>
          <w:numId w:val="29"/>
        </w:numPr>
        <w:tabs>
          <w:tab w:val="left" w:pos="1134"/>
        </w:tabs>
        <w:ind w:firstLine="480"/>
        <w:rPr>
          <w:rFonts w:ascii="宋体" w:hAnsi="宋体" w:cs="宋体"/>
          <w:szCs w:val="24"/>
        </w:rPr>
      </w:pPr>
      <w:r>
        <w:rPr>
          <w:rFonts w:hint="eastAsia" w:ascii="宋体" w:hAnsi="宋体" w:cs="宋体"/>
          <w:szCs w:val="24"/>
        </w:rPr>
        <w:t>在合同履行过程中，如发生合同纠纷，合同双方应按照《中华人民共和国民法典》及合同条款的有关规定进行处理。</w:t>
      </w:r>
    </w:p>
    <w:bookmarkEnd w:id="138"/>
    <w:bookmarkEnd w:id="139"/>
    <w:p>
      <w:pPr>
        <w:pStyle w:val="5"/>
      </w:pPr>
      <w:bookmarkStart w:id="152" w:name="_Toc19169"/>
      <w:bookmarkStart w:id="153" w:name="_Toc29524"/>
      <w:bookmarkStart w:id="154" w:name="_Toc5489"/>
      <w:bookmarkStart w:id="155" w:name="_Toc217446074"/>
      <w:bookmarkStart w:id="156" w:name="_Toc183582243"/>
      <w:bookmarkStart w:id="157" w:name="_Toc183682380"/>
      <w:r>
        <w:rPr>
          <w:rFonts w:hint="eastAsia"/>
        </w:rPr>
        <w:t>投标纪律要求</w:t>
      </w:r>
      <w:bookmarkEnd w:id="152"/>
      <w:bookmarkEnd w:id="153"/>
      <w:bookmarkEnd w:id="154"/>
      <w:bookmarkEnd w:id="155"/>
    </w:p>
    <w:p>
      <w:pPr>
        <w:pStyle w:val="6"/>
        <w:ind w:left="342" w:leftChars="0" w:firstLine="506" w:firstLineChars="0"/>
        <w:rPr>
          <w:rFonts w:cs="宋体"/>
          <w:color w:val="auto"/>
          <w:szCs w:val="24"/>
        </w:rPr>
      </w:pPr>
      <w:bookmarkStart w:id="158" w:name="_Toc5227"/>
      <w:bookmarkStart w:id="159" w:name="_Toc217446075"/>
      <w:r>
        <w:rPr>
          <w:rFonts w:hint="eastAsia" w:cs="宋体"/>
          <w:color w:val="auto"/>
          <w:szCs w:val="24"/>
        </w:rPr>
        <w:t>投标人不得具有的情形</w:t>
      </w:r>
      <w:bookmarkEnd w:id="158"/>
      <w:bookmarkEnd w:id="159"/>
    </w:p>
    <w:p>
      <w:pPr>
        <w:pStyle w:val="14"/>
        <w:spacing w:after="0" w:line="360" w:lineRule="auto"/>
        <w:ind w:firstLine="480"/>
        <w:rPr>
          <w:rFonts w:ascii="宋体" w:hAnsi="宋体" w:cs="宋体"/>
          <w:szCs w:val="24"/>
        </w:rPr>
      </w:pPr>
      <w:r>
        <w:rPr>
          <w:rFonts w:hint="eastAsia" w:ascii="宋体" w:hAnsi="宋体" w:cs="宋体"/>
          <w:szCs w:val="24"/>
        </w:rPr>
        <w:t>投标人参加投标不得有下列情形：</w:t>
      </w:r>
    </w:p>
    <w:p>
      <w:pPr>
        <w:numPr>
          <w:ilvl w:val="0"/>
          <w:numId w:val="30"/>
        </w:numPr>
        <w:tabs>
          <w:tab w:val="left" w:pos="1134"/>
        </w:tabs>
        <w:ind w:firstLine="480"/>
        <w:rPr>
          <w:rFonts w:ascii="宋体" w:hAnsi="宋体" w:cs="宋体"/>
          <w:szCs w:val="24"/>
        </w:rPr>
      </w:pPr>
      <w:r>
        <w:rPr>
          <w:rFonts w:hint="eastAsia" w:ascii="宋体" w:hAnsi="宋体" w:cs="宋体"/>
          <w:szCs w:val="24"/>
        </w:rPr>
        <w:t>提供虚假材料谋取中标；</w:t>
      </w:r>
    </w:p>
    <w:p>
      <w:pPr>
        <w:numPr>
          <w:ilvl w:val="0"/>
          <w:numId w:val="30"/>
        </w:numPr>
        <w:tabs>
          <w:tab w:val="left" w:pos="1134"/>
        </w:tabs>
        <w:ind w:firstLine="480"/>
        <w:rPr>
          <w:rFonts w:ascii="宋体" w:hAnsi="宋体" w:cs="宋体"/>
          <w:szCs w:val="24"/>
        </w:rPr>
      </w:pPr>
      <w:r>
        <w:rPr>
          <w:rFonts w:hint="eastAsia" w:ascii="宋体" w:hAnsi="宋体" w:cs="宋体"/>
          <w:szCs w:val="24"/>
        </w:rPr>
        <w:t>采取不正当手段诋毁、排挤其他投标人；</w:t>
      </w:r>
    </w:p>
    <w:p>
      <w:pPr>
        <w:numPr>
          <w:ilvl w:val="0"/>
          <w:numId w:val="30"/>
        </w:numPr>
        <w:tabs>
          <w:tab w:val="left" w:pos="1134"/>
        </w:tabs>
        <w:ind w:firstLine="480"/>
        <w:rPr>
          <w:rFonts w:ascii="宋体" w:hAnsi="宋体" w:cs="宋体"/>
          <w:szCs w:val="24"/>
        </w:rPr>
      </w:pPr>
      <w:r>
        <w:rPr>
          <w:rFonts w:hint="eastAsia" w:ascii="宋体" w:hAnsi="宋体" w:cs="宋体"/>
          <w:szCs w:val="24"/>
        </w:rPr>
        <w:t>与招标采购单位、其他投标人恶意串通；</w:t>
      </w:r>
    </w:p>
    <w:p>
      <w:pPr>
        <w:numPr>
          <w:ilvl w:val="0"/>
          <w:numId w:val="30"/>
        </w:numPr>
        <w:tabs>
          <w:tab w:val="left" w:pos="1134"/>
        </w:tabs>
        <w:ind w:firstLine="480"/>
        <w:rPr>
          <w:rFonts w:ascii="宋体" w:hAnsi="宋体" w:cs="宋体"/>
          <w:szCs w:val="24"/>
        </w:rPr>
      </w:pPr>
      <w:r>
        <w:rPr>
          <w:rFonts w:hint="eastAsia" w:ascii="宋体" w:hAnsi="宋体" w:cs="宋体"/>
          <w:szCs w:val="24"/>
        </w:rPr>
        <w:t>向招标采购单位、评标委员会成员行贿或者提供其他不正当利益；</w:t>
      </w:r>
    </w:p>
    <w:p>
      <w:pPr>
        <w:numPr>
          <w:ilvl w:val="0"/>
          <w:numId w:val="30"/>
        </w:numPr>
        <w:tabs>
          <w:tab w:val="left" w:pos="1134"/>
        </w:tabs>
        <w:ind w:firstLine="480"/>
        <w:rPr>
          <w:rFonts w:ascii="宋体" w:hAnsi="宋体" w:cs="宋体"/>
          <w:szCs w:val="24"/>
        </w:rPr>
      </w:pPr>
      <w:r>
        <w:rPr>
          <w:rFonts w:hint="eastAsia" w:ascii="宋体" w:hAnsi="宋体" w:cs="宋体"/>
          <w:szCs w:val="24"/>
        </w:rPr>
        <w:t>在招标过程中与招标采购单位进行协商谈判；</w:t>
      </w:r>
    </w:p>
    <w:p>
      <w:pPr>
        <w:numPr>
          <w:ilvl w:val="0"/>
          <w:numId w:val="30"/>
        </w:numPr>
        <w:tabs>
          <w:tab w:val="left" w:pos="1134"/>
        </w:tabs>
        <w:ind w:firstLine="480"/>
        <w:rPr>
          <w:rFonts w:ascii="宋体" w:hAnsi="宋体" w:cs="宋体"/>
          <w:szCs w:val="24"/>
        </w:rPr>
      </w:pPr>
      <w:r>
        <w:rPr>
          <w:rFonts w:hint="eastAsia" w:ascii="宋体" w:hAnsi="宋体" w:cs="宋体"/>
          <w:szCs w:val="24"/>
        </w:rPr>
        <w:t>中标或者成交后无正当理由拒不与采购人签订政府采购合同；</w:t>
      </w:r>
    </w:p>
    <w:p>
      <w:pPr>
        <w:numPr>
          <w:ilvl w:val="0"/>
          <w:numId w:val="30"/>
        </w:numPr>
        <w:tabs>
          <w:tab w:val="left" w:pos="1134"/>
        </w:tabs>
        <w:ind w:firstLine="480"/>
        <w:rPr>
          <w:rFonts w:ascii="宋体" w:hAnsi="宋体" w:cs="宋体"/>
          <w:szCs w:val="24"/>
        </w:rPr>
      </w:pPr>
      <w:r>
        <w:rPr>
          <w:rFonts w:hint="eastAsia" w:ascii="宋体" w:hAnsi="宋体" w:cs="宋体"/>
          <w:szCs w:val="24"/>
        </w:rPr>
        <w:t>未按照招标文件确定的事项签订政府采购合同；</w:t>
      </w:r>
    </w:p>
    <w:p>
      <w:pPr>
        <w:numPr>
          <w:ilvl w:val="0"/>
          <w:numId w:val="30"/>
        </w:numPr>
        <w:tabs>
          <w:tab w:val="left" w:pos="1134"/>
        </w:tabs>
        <w:ind w:firstLine="480"/>
        <w:rPr>
          <w:rFonts w:ascii="宋体" w:hAnsi="宋体" w:cs="宋体"/>
          <w:szCs w:val="24"/>
        </w:rPr>
      </w:pPr>
      <w:r>
        <w:rPr>
          <w:rFonts w:hint="eastAsia" w:ascii="宋体" w:hAnsi="宋体" w:cs="宋体"/>
          <w:szCs w:val="24"/>
        </w:rPr>
        <w:t>将政府采购合同转包或者违规分包；</w:t>
      </w:r>
    </w:p>
    <w:p>
      <w:pPr>
        <w:numPr>
          <w:ilvl w:val="0"/>
          <w:numId w:val="30"/>
        </w:numPr>
        <w:tabs>
          <w:tab w:val="left" w:pos="1134"/>
        </w:tabs>
        <w:ind w:firstLine="480"/>
        <w:rPr>
          <w:rFonts w:ascii="宋体" w:hAnsi="宋体" w:cs="宋体"/>
          <w:szCs w:val="24"/>
        </w:rPr>
      </w:pPr>
      <w:r>
        <w:rPr>
          <w:rFonts w:hint="eastAsia" w:ascii="宋体" w:hAnsi="宋体" w:cs="宋体"/>
          <w:szCs w:val="24"/>
        </w:rPr>
        <w:t>提供假冒伪劣产品；</w:t>
      </w:r>
    </w:p>
    <w:p>
      <w:pPr>
        <w:numPr>
          <w:ilvl w:val="0"/>
          <w:numId w:val="30"/>
        </w:numPr>
        <w:tabs>
          <w:tab w:val="left" w:pos="1134"/>
        </w:tabs>
        <w:ind w:firstLine="480"/>
        <w:rPr>
          <w:rFonts w:ascii="宋体" w:hAnsi="宋体" w:cs="宋体"/>
          <w:szCs w:val="24"/>
        </w:rPr>
      </w:pPr>
      <w:r>
        <w:rPr>
          <w:rFonts w:hint="eastAsia" w:ascii="宋体" w:hAnsi="宋体" w:cs="宋体"/>
          <w:szCs w:val="24"/>
        </w:rPr>
        <w:t>擅自变更、中止或者终止政府采购合同；</w:t>
      </w:r>
    </w:p>
    <w:p>
      <w:pPr>
        <w:numPr>
          <w:ilvl w:val="0"/>
          <w:numId w:val="30"/>
        </w:numPr>
        <w:tabs>
          <w:tab w:val="left" w:pos="1134"/>
        </w:tabs>
        <w:ind w:firstLine="480"/>
        <w:rPr>
          <w:rFonts w:ascii="宋体" w:hAnsi="宋体" w:cs="宋体"/>
          <w:szCs w:val="24"/>
        </w:rPr>
      </w:pPr>
      <w:r>
        <w:rPr>
          <w:rFonts w:hint="eastAsia" w:ascii="宋体" w:hAnsi="宋体" w:cs="宋体"/>
          <w:szCs w:val="24"/>
        </w:rPr>
        <w:t>拒绝有关部门的监督检查或者向监督检查部门提供虚假情况；</w:t>
      </w:r>
    </w:p>
    <w:p>
      <w:pPr>
        <w:numPr>
          <w:ilvl w:val="0"/>
          <w:numId w:val="30"/>
        </w:numPr>
        <w:tabs>
          <w:tab w:val="left" w:pos="1134"/>
        </w:tabs>
        <w:ind w:firstLine="480"/>
        <w:rPr>
          <w:rFonts w:ascii="宋体" w:hAnsi="宋体" w:cs="宋体"/>
          <w:szCs w:val="24"/>
        </w:rPr>
      </w:pPr>
      <w:r>
        <w:rPr>
          <w:rFonts w:hint="eastAsia" w:ascii="宋体" w:hAnsi="宋体" w:cs="宋体"/>
          <w:szCs w:val="24"/>
        </w:rPr>
        <w:t>法律法规规定的其他情形。</w:t>
      </w:r>
    </w:p>
    <w:p>
      <w:pPr>
        <w:pStyle w:val="14"/>
        <w:spacing w:after="0" w:line="360" w:lineRule="auto"/>
        <w:ind w:firstLine="480"/>
        <w:rPr>
          <w:rFonts w:ascii="宋体" w:hAnsi="宋体" w:cs="宋体"/>
          <w:szCs w:val="24"/>
        </w:rPr>
      </w:pPr>
      <w:r>
        <w:rPr>
          <w:rFonts w:hint="eastAsia" w:ascii="宋体" w:hAnsi="宋体" w:cs="宋体"/>
          <w:szCs w:val="24"/>
        </w:rPr>
        <w:t>投标人有上述情形的，按照规定追究法律责任，具备（一）-（十）条情形之一的，同时将取消中标资格或者认定中标无效。</w:t>
      </w:r>
    </w:p>
    <w:p>
      <w:pPr>
        <w:pStyle w:val="6"/>
        <w:ind w:left="342" w:leftChars="0" w:firstLine="506" w:firstLineChars="0"/>
        <w:rPr>
          <w:rFonts w:cs="宋体"/>
          <w:color w:val="auto"/>
          <w:szCs w:val="24"/>
        </w:rPr>
      </w:pPr>
      <w:bookmarkStart w:id="160" w:name="_Toc314574786"/>
      <w:bookmarkStart w:id="161" w:name="_Toc31344"/>
      <w:r>
        <w:rPr>
          <w:rFonts w:hint="eastAsia" w:cs="宋体"/>
          <w:color w:val="auto"/>
          <w:szCs w:val="24"/>
        </w:rPr>
        <w:t>保密</w:t>
      </w:r>
      <w:bookmarkEnd w:id="160"/>
      <w:bookmarkEnd w:id="161"/>
    </w:p>
    <w:p>
      <w:pPr>
        <w:pStyle w:val="14"/>
        <w:numPr>
          <w:ilvl w:val="0"/>
          <w:numId w:val="31"/>
        </w:numPr>
        <w:tabs>
          <w:tab w:val="left" w:pos="1134"/>
        </w:tabs>
        <w:spacing w:after="0" w:line="360" w:lineRule="auto"/>
        <w:ind w:firstLine="480"/>
        <w:rPr>
          <w:rFonts w:ascii="宋体" w:hAnsi="宋体" w:cs="宋体"/>
          <w:szCs w:val="24"/>
        </w:rPr>
      </w:pPr>
      <w:r>
        <w:rPr>
          <w:rFonts w:hint="eastAsia" w:ascii="宋体" w:hAnsi="宋体" w:cs="宋体"/>
          <w:szCs w:val="24"/>
        </w:rPr>
        <w:t>不得透露有关潜在投标人的任何情况。</w:t>
      </w:r>
    </w:p>
    <w:p>
      <w:pPr>
        <w:pStyle w:val="14"/>
        <w:numPr>
          <w:ilvl w:val="0"/>
          <w:numId w:val="31"/>
        </w:numPr>
        <w:tabs>
          <w:tab w:val="left" w:pos="1134"/>
        </w:tabs>
        <w:spacing w:after="0" w:line="360" w:lineRule="auto"/>
        <w:ind w:firstLine="480"/>
        <w:rPr>
          <w:rFonts w:ascii="宋体" w:hAnsi="宋体" w:cs="宋体"/>
          <w:szCs w:val="24"/>
        </w:rPr>
      </w:pPr>
      <w:r>
        <w:rPr>
          <w:rFonts w:hint="eastAsia" w:ascii="宋体" w:hAnsi="宋体" w:cs="宋体"/>
          <w:szCs w:val="24"/>
        </w:rPr>
        <w:t>有关投标文件的审查、澄清、评估和比较以及合同授予意向等情况都不得对外透露。</w:t>
      </w:r>
    </w:p>
    <w:p>
      <w:pPr>
        <w:pStyle w:val="6"/>
        <w:ind w:left="342" w:leftChars="0" w:firstLine="506" w:firstLineChars="0"/>
        <w:rPr>
          <w:rFonts w:cs="宋体"/>
          <w:color w:val="auto"/>
          <w:szCs w:val="24"/>
        </w:rPr>
      </w:pPr>
      <w:bookmarkStart w:id="162" w:name="_Toc11830"/>
      <w:r>
        <w:rPr>
          <w:rFonts w:hint="eastAsia" w:cs="宋体"/>
          <w:color w:val="auto"/>
          <w:szCs w:val="24"/>
        </w:rPr>
        <w:t>回避</w:t>
      </w:r>
      <w:bookmarkEnd w:id="162"/>
    </w:p>
    <w:p>
      <w:pPr>
        <w:pStyle w:val="39"/>
        <w:shd w:val="clear" w:color="auto" w:fill="FFFFFF"/>
        <w:spacing w:before="0" w:beforeAutospacing="0" w:after="0" w:afterAutospacing="0"/>
        <w:ind w:firstLine="480"/>
        <w:rPr>
          <w:rFonts w:cs="宋体"/>
          <w:color w:val="auto"/>
        </w:rPr>
      </w:pPr>
      <w:r>
        <w:rPr>
          <w:rFonts w:hint="eastAsia" w:cs="宋体"/>
          <w:color w:val="auto"/>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numPr>
          <w:ilvl w:val="0"/>
          <w:numId w:val="32"/>
        </w:numPr>
        <w:shd w:val="clear" w:color="auto" w:fill="FFFFFF"/>
        <w:spacing w:before="0" w:beforeAutospacing="0" w:after="0" w:afterAutospacing="0"/>
        <w:ind w:firstLine="480"/>
        <w:rPr>
          <w:rFonts w:cs="宋体"/>
          <w:color w:val="auto"/>
        </w:rPr>
      </w:pPr>
      <w:r>
        <w:rPr>
          <w:rFonts w:hint="eastAsia" w:cs="宋体"/>
          <w:color w:val="auto"/>
        </w:rPr>
        <w:t>参加采购活动前3年内与供应商存在劳动关系；</w:t>
      </w:r>
    </w:p>
    <w:p>
      <w:pPr>
        <w:pStyle w:val="39"/>
        <w:numPr>
          <w:ilvl w:val="0"/>
          <w:numId w:val="32"/>
        </w:numPr>
        <w:shd w:val="clear" w:color="auto" w:fill="FFFFFF"/>
        <w:spacing w:before="0" w:beforeAutospacing="0" w:after="0" w:afterAutospacing="0"/>
        <w:ind w:firstLine="480"/>
        <w:rPr>
          <w:rFonts w:cs="宋体"/>
          <w:color w:val="auto"/>
        </w:rPr>
      </w:pPr>
      <w:r>
        <w:rPr>
          <w:rFonts w:hint="eastAsia" w:cs="宋体"/>
          <w:color w:val="auto"/>
        </w:rPr>
        <w:t>参加采购活动前3年内担任供应商的董事、监事；</w:t>
      </w:r>
    </w:p>
    <w:p>
      <w:pPr>
        <w:pStyle w:val="39"/>
        <w:numPr>
          <w:ilvl w:val="0"/>
          <w:numId w:val="32"/>
        </w:numPr>
        <w:shd w:val="clear" w:color="auto" w:fill="FFFFFF"/>
        <w:spacing w:before="0" w:beforeAutospacing="0" w:after="0" w:afterAutospacing="0"/>
        <w:ind w:firstLine="480"/>
        <w:rPr>
          <w:rFonts w:cs="宋体"/>
          <w:color w:val="auto"/>
        </w:rPr>
      </w:pPr>
      <w:r>
        <w:rPr>
          <w:rFonts w:hint="eastAsia" w:cs="宋体"/>
          <w:color w:val="auto"/>
        </w:rPr>
        <w:t>参加采购活动前3年内是供应商的控股股东或者实际控制人；</w:t>
      </w:r>
    </w:p>
    <w:p>
      <w:pPr>
        <w:pStyle w:val="39"/>
        <w:numPr>
          <w:ilvl w:val="0"/>
          <w:numId w:val="32"/>
        </w:numPr>
        <w:shd w:val="clear" w:color="auto" w:fill="FFFFFF"/>
        <w:spacing w:before="0" w:beforeAutospacing="0" w:after="0" w:afterAutospacing="0"/>
        <w:ind w:firstLine="480"/>
        <w:rPr>
          <w:rFonts w:cs="宋体"/>
          <w:color w:val="auto"/>
        </w:rPr>
      </w:pPr>
      <w:r>
        <w:rPr>
          <w:rFonts w:hint="eastAsia" w:cs="宋体"/>
          <w:color w:val="auto"/>
        </w:rPr>
        <w:t>与供应商的法定代表人或者负责人有夫妻、直系血亲、三代以内旁系血亲或者近姻亲关系；</w:t>
      </w:r>
    </w:p>
    <w:p>
      <w:pPr>
        <w:pStyle w:val="39"/>
        <w:numPr>
          <w:ilvl w:val="0"/>
          <w:numId w:val="32"/>
        </w:numPr>
        <w:shd w:val="clear" w:color="auto" w:fill="FFFFFF"/>
        <w:tabs>
          <w:tab w:val="left" w:pos="709"/>
        </w:tabs>
        <w:spacing w:before="0" w:beforeAutospacing="0" w:after="0" w:afterAutospacing="0"/>
        <w:ind w:firstLine="480"/>
        <w:rPr>
          <w:rFonts w:cs="宋体"/>
          <w:color w:val="auto"/>
        </w:rPr>
      </w:pPr>
      <w:r>
        <w:rPr>
          <w:rFonts w:hint="eastAsia" w:cs="宋体"/>
          <w:color w:val="auto"/>
        </w:rPr>
        <w:t>与供应商有其他可能影响政府采购活动公平、公正进行的关系。</w:t>
      </w:r>
    </w:p>
    <w:p>
      <w:pPr>
        <w:pStyle w:val="39"/>
        <w:numPr>
          <w:ilvl w:val="0"/>
          <w:numId w:val="32"/>
        </w:numPr>
        <w:shd w:val="clear" w:color="auto" w:fill="FFFFFF"/>
        <w:spacing w:before="0" w:beforeAutospacing="0" w:after="0" w:afterAutospacing="0"/>
        <w:ind w:firstLine="480"/>
        <w:rPr>
          <w:rFonts w:cs="宋体"/>
          <w:color w:val="auto"/>
        </w:rPr>
      </w:pPr>
      <w:r>
        <w:rPr>
          <w:rFonts w:hint="eastAsia" w:cs="宋体"/>
          <w:color w:val="auto"/>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pPr>
      <w:bookmarkStart w:id="163" w:name="_Toc24794"/>
      <w:bookmarkStart w:id="164" w:name="_Toc7372"/>
      <w:bookmarkStart w:id="165" w:name="_Toc217446076"/>
      <w:bookmarkStart w:id="166" w:name="_Toc30038"/>
      <w:r>
        <w:rPr>
          <w:rFonts w:hint="eastAsia"/>
        </w:rPr>
        <w:t>资金支付</w:t>
      </w:r>
      <w:bookmarkEnd w:id="163"/>
      <w:bookmarkEnd w:id="164"/>
      <w:bookmarkEnd w:id="165"/>
      <w:bookmarkEnd w:id="166"/>
    </w:p>
    <w:p>
      <w:pPr>
        <w:pStyle w:val="35"/>
        <w:ind w:left="0" w:leftChars="0" w:firstLine="480"/>
        <w:rPr>
          <w:rFonts w:cs="宋体"/>
          <w:sz w:val="24"/>
          <w:szCs w:val="24"/>
        </w:rPr>
      </w:pPr>
      <w:bookmarkStart w:id="167" w:name="_Toc316292046"/>
      <w:r>
        <w:rPr>
          <w:rFonts w:hint="eastAsia" w:cs="宋体"/>
          <w:sz w:val="24"/>
          <w:szCs w:val="24"/>
        </w:rPr>
        <w:t>付款方式见第四章商务部分。</w:t>
      </w:r>
      <w:bookmarkEnd w:id="167"/>
    </w:p>
    <w:p>
      <w:pPr>
        <w:pStyle w:val="5"/>
      </w:pPr>
      <w:bookmarkStart w:id="168" w:name="_Toc24107"/>
      <w:bookmarkStart w:id="169" w:name="_Toc217446078"/>
      <w:bookmarkStart w:id="170" w:name="_Toc853"/>
      <w:bookmarkStart w:id="171" w:name="_Toc21829"/>
      <w:r>
        <w:rPr>
          <w:rFonts w:hint="eastAsia"/>
        </w:rPr>
        <w:t>询问、质疑和投诉</w:t>
      </w:r>
      <w:bookmarkEnd w:id="168"/>
      <w:bookmarkEnd w:id="169"/>
      <w:bookmarkEnd w:id="170"/>
      <w:bookmarkEnd w:id="171"/>
      <w:bookmarkStart w:id="172" w:name="_Toc217446079"/>
      <w:bookmarkEnd w:id="172"/>
    </w:p>
    <w:p>
      <w:pPr>
        <w:pStyle w:val="26"/>
        <w:numPr>
          <w:ilvl w:val="0"/>
          <w:numId w:val="33"/>
        </w:numPr>
        <w:tabs>
          <w:tab w:val="left" w:pos="1134"/>
        </w:tabs>
        <w:spacing w:after="0" w:line="360" w:lineRule="auto"/>
        <w:ind w:leftChars="0" w:firstLine="480"/>
        <w:rPr>
          <w:rFonts w:hint="eastAsia" w:ascii="宋体" w:hAnsi="宋体" w:cs="宋体"/>
          <w:szCs w:val="24"/>
        </w:rPr>
      </w:pPr>
      <w:r>
        <w:rPr>
          <w:rFonts w:hint="eastAsia" w:ascii="宋体" w:hAnsi="宋体" w:cs="宋体"/>
          <w:szCs w:val="24"/>
        </w:rPr>
        <w:t>询问、质疑、投诉的接收和处理严格按照</w:t>
      </w:r>
      <w:bookmarkEnd w:id="156"/>
      <w:bookmarkEnd w:id="157"/>
      <w:r>
        <w:rPr>
          <w:rFonts w:hint="eastAsia" w:ascii="宋体" w:hAnsi="宋体" w:cs="宋体"/>
          <w:szCs w:val="24"/>
        </w:rPr>
        <w:t>《中华人</w:t>
      </w:r>
      <w:r>
        <w:rPr>
          <w:rFonts w:hint="eastAsia" w:ascii="宋体" w:hAnsi="宋体" w:cs="宋体"/>
        </w:rPr>
        <w:t>民</w:t>
      </w:r>
      <w:r>
        <w:rPr>
          <w:rFonts w:hint="eastAsia" w:ascii="宋体" w:hAnsi="宋体" w:cs="宋体"/>
          <w:szCs w:val="24"/>
        </w:rPr>
        <w:t>共和国政府采购法》(主席令【2002】第68号)、《中华人</w:t>
      </w:r>
      <w:r>
        <w:rPr>
          <w:rFonts w:hint="eastAsia" w:ascii="宋体" w:hAnsi="宋体" w:cs="宋体"/>
        </w:rPr>
        <w:t>民</w:t>
      </w:r>
      <w:r>
        <w:rPr>
          <w:rFonts w:hint="eastAsia" w:ascii="宋体" w:hAnsi="宋体" w:cs="宋体"/>
          <w:szCs w:val="24"/>
        </w:rPr>
        <w:t>共和国政府采购法实施条例》(国务院令第658号)、《政府采购质疑和投诉办法》(财政部令第94号)</w:t>
      </w:r>
      <w:r>
        <w:rPr>
          <w:rFonts w:hint="eastAsia" w:ascii="宋体" w:hAnsi="宋体" w:cs="宋体"/>
        </w:rPr>
        <w:t>以及《关于贯彻落实</w:t>
      </w:r>
      <w:r>
        <w:rPr>
          <w:rFonts w:hint="eastAsia" w:ascii="宋体" w:hAnsi="宋体" w:cs="宋体"/>
          <w:bCs/>
          <w:kern w:val="36"/>
        </w:rPr>
        <w:t>&lt;中华人民共和国政府采购法实施条例&gt;等的若干规定</w:t>
      </w:r>
      <w:r>
        <w:rPr>
          <w:rFonts w:hint="eastAsia" w:ascii="宋体" w:hAnsi="宋体" w:cs="宋体"/>
        </w:rPr>
        <w:t>》的规定</w:t>
      </w:r>
      <w:r>
        <w:rPr>
          <w:rFonts w:hint="eastAsia" w:ascii="宋体" w:hAnsi="宋体" w:cs="宋体"/>
          <w:szCs w:val="24"/>
        </w:rPr>
        <w:t>办理。</w:t>
      </w:r>
    </w:p>
    <w:p>
      <w:pPr>
        <w:pStyle w:val="26"/>
        <w:numPr>
          <w:ilvl w:val="0"/>
          <w:numId w:val="33"/>
        </w:numPr>
        <w:tabs>
          <w:tab w:val="left" w:pos="1134"/>
        </w:tabs>
        <w:spacing w:after="0" w:line="360" w:lineRule="auto"/>
        <w:ind w:leftChars="0" w:firstLine="480"/>
        <w:rPr>
          <w:rFonts w:hint="eastAsia" w:ascii="宋体" w:hAnsi="宋体" w:cs="宋体"/>
          <w:szCs w:val="24"/>
        </w:rPr>
      </w:pPr>
      <w:r>
        <w:rPr>
          <w:rFonts w:hint="eastAsia" w:ascii="宋体" w:hAnsi="宋体" w:cs="宋体"/>
          <w:szCs w:val="24"/>
        </w:rPr>
        <w:t>供应商提出的询问，应当明确询问事项，如以书面形式提出的，应由供应商签字并加盖单位公章。</w:t>
      </w:r>
    </w:p>
    <w:p>
      <w:pPr>
        <w:pStyle w:val="26"/>
        <w:numPr>
          <w:ilvl w:val="0"/>
          <w:numId w:val="33"/>
        </w:numPr>
        <w:tabs>
          <w:tab w:val="left" w:pos="1134"/>
        </w:tabs>
        <w:spacing w:after="0" w:line="480" w:lineRule="exact"/>
        <w:ind w:leftChars="0" w:firstLine="480"/>
        <w:rPr>
          <w:rFonts w:hint="eastAsia" w:ascii="宋体" w:hAnsi="宋体" w:cs="宋体"/>
          <w:szCs w:val="24"/>
        </w:rPr>
      </w:pPr>
      <w:r>
        <w:rPr>
          <w:rFonts w:hint="eastAsia" w:ascii="宋体" w:hAnsi="宋体" w:cs="宋体"/>
        </w:rPr>
        <w:t>供应商认为采购文件、采购过程、中标或者成交结果使自己的权益受到损害的，可以在知道或者应知其权益受到损害之日起7个工作日内，以书面形式向采购人、采购代理机构提出质疑。</w:t>
      </w:r>
      <w:r>
        <w:rPr>
          <w:rFonts w:hint="eastAsia" w:ascii="宋体" w:hAnsi="宋体" w:cs="宋体"/>
          <w:szCs w:val="24"/>
        </w:rPr>
        <w:t>供应商应当在法定质疑期内一次性提出针对同一采购程序环节的质疑。</w:t>
      </w:r>
    </w:p>
    <w:p>
      <w:pPr>
        <w:pStyle w:val="26"/>
        <w:numPr>
          <w:ilvl w:val="0"/>
          <w:numId w:val="33"/>
        </w:numPr>
        <w:tabs>
          <w:tab w:val="left" w:pos="1134"/>
        </w:tabs>
        <w:spacing w:after="0" w:line="360" w:lineRule="auto"/>
        <w:ind w:leftChars="0" w:firstLine="480"/>
        <w:rPr>
          <w:rFonts w:hint="eastAsia" w:ascii="宋体" w:hAnsi="宋体" w:cs="宋体"/>
          <w:color w:val="000000"/>
          <w:szCs w:val="24"/>
        </w:rPr>
      </w:pPr>
      <w:r>
        <w:rPr>
          <w:rFonts w:hint="eastAsia" w:ascii="宋体" w:hAnsi="宋体" w:cs="宋体"/>
        </w:rPr>
        <w:t>供应商提出质疑应当提交质疑函和必要的证明材料。质疑函应当包括下列内容：</w:t>
      </w:r>
    </w:p>
    <w:p>
      <w:pPr>
        <w:ind w:firstLine="480"/>
        <w:rPr>
          <w:rFonts w:hint="eastAsia" w:ascii="宋体" w:hAnsi="宋体" w:cs="宋体"/>
        </w:rPr>
      </w:pPr>
      <w:r>
        <w:rPr>
          <w:rFonts w:hint="eastAsia" w:ascii="宋体" w:hAnsi="宋体" w:cs="宋体"/>
        </w:rPr>
        <w:t>（一）供应商的姓名或者名称、地址、邮编、联系人及联系电话；</w:t>
      </w:r>
    </w:p>
    <w:p>
      <w:pPr>
        <w:ind w:firstLine="480"/>
        <w:rPr>
          <w:rFonts w:hint="eastAsia" w:ascii="宋体" w:hAnsi="宋体" w:cs="宋体"/>
        </w:rPr>
      </w:pPr>
      <w:r>
        <w:rPr>
          <w:rFonts w:hint="eastAsia" w:ascii="宋体" w:hAnsi="宋体" w:cs="宋体"/>
        </w:rPr>
        <w:t>（二）质疑项目的名称、编号；</w:t>
      </w:r>
    </w:p>
    <w:p>
      <w:pPr>
        <w:ind w:firstLine="480"/>
        <w:rPr>
          <w:rFonts w:hint="eastAsia" w:ascii="宋体" w:hAnsi="宋体" w:cs="宋体"/>
        </w:rPr>
      </w:pPr>
      <w:r>
        <w:rPr>
          <w:rFonts w:hint="eastAsia" w:ascii="宋体" w:hAnsi="宋体" w:cs="宋体"/>
        </w:rPr>
        <w:t>（三）具体、明确的质疑事项和与质疑事项相关的请求；</w:t>
      </w:r>
    </w:p>
    <w:p>
      <w:pPr>
        <w:ind w:firstLine="480"/>
        <w:rPr>
          <w:rFonts w:hint="eastAsia" w:ascii="宋体" w:hAnsi="宋体" w:cs="宋体"/>
        </w:rPr>
      </w:pPr>
      <w:r>
        <w:rPr>
          <w:rFonts w:hint="eastAsia" w:ascii="宋体" w:hAnsi="宋体" w:cs="宋体"/>
        </w:rPr>
        <w:t>（四）事实依据；</w:t>
      </w:r>
    </w:p>
    <w:p>
      <w:pPr>
        <w:ind w:firstLine="480"/>
        <w:rPr>
          <w:rFonts w:hint="eastAsia" w:ascii="宋体" w:hAnsi="宋体" w:cs="宋体"/>
        </w:rPr>
      </w:pPr>
      <w:r>
        <w:rPr>
          <w:rFonts w:hint="eastAsia" w:ascii="宋体" w:hAnsi="宋体" w:cs="宋体"/>
        </w:rPr>
        <w:t>（五）必要的法律依据；</w:t>
      </w:r>
    </w:p>
    <w:p>
      <w:pPr>
        <w:ind w:firstLine="480"/>
        <w:rPr>
          <w:rFonts w:hint="eastAsia" w:ascii="宋体" w:hAnsi="宋体" w:cs="宋体"/>
          <w:color w:val="000000"/>
          <w:szCs w:val="24"/>
        </w:rPr>
      </w:pPr>
      <w:r>
        <w:rPr>
          <w:rFonts w:hint="eastAsia" w:ascii="宋体" w:hAnsi="宋体" w:cs="宋体"/>
        </w:rPr>
        <w:t>（六）提出质疑的日期。</w:t>
      </w:r>
    </w:p>
    <w:p>
      <w:pPr>
        <w:pStyle w:val="26"/>
        <w:numPr>
          <w:ilvl w:val="0"/>
          <w:numId w:val="33"/>
        </w:numPr>
        <w:tabs>
          <w:tab w:val="left" w:pos="1134"/>
        </w:tabs>
        <w:spacing w:after="0" w:line="480" w:lineRule="exact"/>
        <w:ind w:leftChars="0" w:firstLine="480"/>
        <w:rPr>
          <w:rFonts w:hint="eastAsia" w:ascii="宋体" w:hAnsi="宋体" w:cs="宋体"/>
          <w:color w:val="000000"/>
          <w:szCs w:val="24"/>
        </w:rPr>
      </w:pPr>
      <w:r>
        <w:rPr>
          <w:rFonts w:hint="eastAsia" w:ascii="宋体" w:hAnsi="宋体" w:cs="宋体"/>
          <w:color w:val="000000"/>
          <w:szCs w:val="24"/>
        </w:rPr>
        <w:t>供应商对采购人或代理机构的质疑答复不满意，或者采购人或代理机构未在规定期限内作出答复的，供应商可以在答复期满后15个工作日内向同级财政部门提起投诉。</w:t>
      </w:r>
    </w:p>
    <w:p>
      <w:pPr>
        <w:pStyle w:val="5"/>
        <w:spacing w:line="480" w:lineRule="exact"/>
      </w:pPr>
      <w:bookmarkStart w:id="173" w:name="_Toc17918"/>
      <w:bookmarkStart w:id="174" w:name="_Toc26525"/>
      <w:bookmarkStart w:id="175" w:name="_Toc16036"/>
      <w:r>
        <w:rPr>
          <w:rFonts w:hint="eastAsia"/>
        </w:rPr>
        <w:t>其他</w:t>
      </w:r>
      <w:bookmarkEnd w:id="173"/>
      <w:bookmarkEnd w:id="174"/>
      <w:bookmarkEnd w:id="175"/>
    </w:p>
    <w:p>
      <w:pPr>
        <w:spacing w:line="480" w:lineRule="exact"/>
        <w:ind w:firstLine="480"/>
        <w:rPr>
          <w:rFonts w:ascii="宋体" w:hAnsi="宋体" w:cs="宋体"/>
          <w:szCs w:val="24"/>
        </w:rPr>
      </w:pPr>
      <w:r>
        <w:rPr>
          <w:rFonts w:hint="eastAsia" w:ascii="宋体" w:hAnsi="宋体" w:cs="宋体"/>
          <w:szCs w:val="24"/>
        </w:rPr>
        <w:t>招标文件中所引相关法律制度规定，在政府采购中有变化的，按照变化后的相关法律制度规定执行。本章和第六章中“6.1总则、6.2评标方法、6.3评标程序”规定的内容条款，在本项目投标截止时间届满后，因相关法律制度规定的变化导致不符合相关法律制度规定的，直接按照变化后的相关法律制度规定执行，本招标文件不再做调整。</w:t>
      </w:r>
    </w:p>
    <w:p>
      <w:pPr>
        <w:ind w:firstLine="0" w:firstLineChars="0"/>
        <w:rPr>
          <w:rFonts w:hint="eastAsia" w:ascii="宋体" w:hAnsi="宋体" w:cs="宋体"/>
          <w:szCs w:val="24"/>
        </w:rPr>
      </w:pPr>
    </w:p>
    <w:p>
      <w:pPr>
        <w:pStyle w:val="4"/>
        <w:rPr>
          <w:rFonts w:hint="eastAsia"/>
        </w:rPr>
      </w:pPr>
      <w:bookmarkStart w:id="176" w:name="_Toc315871049"/>
      <w:bookmarkEnd w:id="176"/>
      <w:bookmarkStart w:id="177" w:name="_Toc315871050"/>
      <w:bookmarkEnd w:id="177"/>
      <w:bookmarkStart w:id="178" w:name="_Toc315871048"/>
      <w:bookmarkEnd w:id="178"/>
      <w:bookmarkStart w:id="179" w:name="_Toc316292049"/>
      <w:bookmarkEnd w:id="179"/>
      <w:bookmarkStart w:id="180" w:name="_Toc315871047"/>
      <w:bookmarkEnd w:id="180"/>
      <w:bookmarkStart w:id="181" w:name="_Toc315871046"/>
      <w:bookmarkEnd w:id="181"/>
      <w:bookmarkStart w:id="182" w:name="_Toc315871045"/>
      <w:bookmarkEnd w:id="182"/>
      <w:bookmarkStart w:id="183" w:name="_Toc316292051"/>
      <w:bookmarkEnd w:id="183"/>
      <w:bookmarkStart w:id="184" w:name="_Toc316292052"/>
      <w:bookmarkEnd w:id="184"/>
      <w:bookmarkStart w:id="185" w:name="_Toc316292050"/>
      <w:bookmarkEnd w:id="185"/>
      <w:bookmarkStart w:id="186" w:name="_Toc316292048"/>
      <w:bookmarkEnd w:id="186"/>
      <w:bookmarkStart w:id="187" w:name="_Toc28404"/>
      <w:bookmarkStart w:id="188" w:name="_Toc15124"/>
      <w:r>
        <w:br w:type="page"/>
      </w:r>
      <w:bookmarkStart w:id="189" w:name="_Toc18886"/>
      <w:r>
        <w:rPr>
          <w:rFonts w:hint="eastAsia"/>
        </w:rPr>
        <w:t>投标文件格式</w:t>
      </w:r>
      <w:bookmarkEnd w:id="187"/>
      <w:bookmarkEnd w:id="188"/>
      <w:bookmarkEnd w:id="189"/>
    </w:p>
    <w:p>
      <w:pPr>
        <w:ind w:firstLine="480"/>
      </w:pPr>
      <w:r>
        <w:rPr>
          <w:rFonts w:hint="eastAsia"/>
        </w:rPr>
        <w:t>一、本章所制投标文件格式，除格式中明确将该格式作为实质性要求的，一律不具有强制性。</w:t>
      </w:r>
    </w:p>
    <w:p>
      <w:pPr>
        <w:ind w:firstLine="480"/>
      </w:pPr>
      <w:r>
        <w:rPr>
          <w:rFonts w:hint="eastAsia"/>
        </w:rPr>
        <w:t>二、本章所制投标文件格式有关表格中的备注栏，由投标人根据自身投标情况作解释性说明，不作为必填项。</w:t>
      </w:r>
    </w:p>
    <w:p>
      <w:pPr>
        <w:ind w:firstLine="480"/>
      </w:pPr>
      <w:r>
        <w:rPr>
          <w:rFonts w:hint="eastAsia"/>
        </w:rPr>
        <w:t>三、本章所制投标文件格式中需要填写的相关内容事项，可能会与本采购项目无关，在不改变投标文件原义、不影响本项目采购需求的情况下，投标人可以不予填写，但应当注明。</w:t>
      </w:r>
    </w:p>
    <w:p>
      <w:pPr>
        <w:pStyle w:val="2"/>
        <w:ind w:firstLine="560"/>
        <w:rPr>
          <w:rFonts w:ascii="宋体" w:hAnsi="宋体"/>
          <w:sz w:val="28"/>
          <w:szCs w:val="28"/>
        </w:rPr>
      </w:pPr>
    </w:p>
    <w:p>
      <w:pPr>
        <w:pStyle w:val="2"/>
        <w:ind w:firstLine="0" w:firstLineChars="0"/>
        <w:rPr>
          <w:rFonts w:hint="eastAsia" w:ascii="宋体" w:hAnsi="宋体"/>
          <w:sz w:val="28"/>
          <w:szCs w:val="28"/>
        </w:rPr>
      </w:pPr>
    </w:p>
    <w:p>
      <w:pPr>
        <w:ind w:firstLine="560"/>
        <w:rPr>
          <w:rFonts w:hint="eastAsia" w:ascii="宋体" w:hAnsi="宋体"/>
          <w:sz w:val="28"/>
          <w:szCs w:val="28"/>
        </w:rPr>
      </w:pPr>
    </w:p>
    <w:p>
      <w:pPr>
        <w:pStyle w:val="2"/>
        <w:ind w:firstLine="560"/>
        <w:rPr>
          <w:rFonts w:hint="eastAsia" w:ascii="宋体" w:hAnsi="宋体"/>
          <w:sz w:val="28"/>
          <w:szCs w:val="28"/>
        </w:rPr>
      </w:pPr>
    </w:p>
    <w:p>
      <w:pPr>
        <w:ind w:firstLine="560"/>
        <w:rPr>
          <w:rFonts w:hint="eastAsia" w:ascii="宋体" w:hAnsi="宋体"/>
          <w:sz w:val="28"/>
          <w:szCs w:val="28"/>
        </w:rPr>
      </w:pPr>
    </w:p>
    <w:p>
      <w:pPr>
        <w:pStyle w:val="2"/>
        <w:ind w:firstLine="560"/>
        <w:rPr>
          <w:rFonts w:hint="eastAsia" w:ascii="宋体" w:hAnsi="宋体"/>
          <w:sz w:val="28"/>
          <w:szCs w:val="28"/>
        </w:rPr>
      </w:pPr>
    </w:p>
    <w:p>
      <w:pPr>
        <w:ind w:firstLine="560"/>
        <w:rPr>
          <w:rFonts w:hint="eastAsia" w:ascii="宋体" w:hAnsi="宋体"/>
          <w:sz w:val="28"/>
          <w:szCs w:val="28"/>
        </w:rPr>
      </w:pPr>
    </w:p>
    <w:p>
      <w:pPr>
        <w:pStyle w:val="2"/>
        <w:ind w:firstLine="480"/>
        <w:rPr>
          <w:rFonts w:hint="eastAsia"/>
        </w:rPr>
      </w:pPr>
    </w:p>
    <w:p>
      <w:pPr>
        <w:ind w:firstLine="560"/>
        <w:rPr>
          <w:rFonts w:hint="eastAsia" w:ascii="宋体" w:hAnsi="宋体"/>
          <w:sz w:val="28"/>
          <w:szCs w:val="28"/>
        </w:rPr>
      </w:pPr>
    </w:p>
    <w:p>
      <w:pPr>
        <w:pStyle w:val="2"/>
        <w:ind w:firstLine="560"/>
        <w:rPr>
          <w:rFonts w:hint="eastAsia" w:ascii="宋体" w:hAnsi="宋体"/>
          <w:sz w:val="28"/>
          <w:szCs w:val="28"/>
        </w:rPr>
      </w:pPr>
    </w:p>
    <w:p>
      <w:pPr>
        <w:ind w:firstLine="560"/>
        <w:rPr>
          <w:rFonts w:hint="eastAsia" w:ascii="宋体" w:hAnsi="宋体"/>
          <w:sz w:val="28"/>
          <w:szCs w:val="28"/>
        </w:rPr>
      </w:pPr>
    </w:p>
    <w:p>
      <w:pPr>
        <w:pStyle w:val="2"/>
        <w:ind w:firstLine="560"/>
        <w:rPr>
          <w:rFonts w:hint="eastAsia" w:ascii="宋体" w:hAnsi="宋体"/>
          <w:sz w:val="28"/>
          <w:szCs w:val="28"/>
        </w:rPr>
      </w:pPr>
    </w:p>
    <w:p>
      <w:pPr>
        <w:ind w:firstLine="560"/>
        <w:rPr>
          <w:rFonts w:hint="eastAsia" w:ascii="宋体" w:hAnsi="宋体"/>
          <w:sz w:val="28"/>
          <w:szCs w:val="28"/>
        </w:rPr>
      </w:pPr>
    </w:p>
    <w:p>
      <w:pPr>
        <w:pStyle w:val="2"/>
        <w:ind w:firstLine="480"/>
        <w:rPr>
          <w:rFonts w:hint="eastAsia"/>
        </w:rPr>
      </w:pPr>
    </w:p>
    <w:p>
      <w:pPr>
        <w:ind w:firstLine="480"/>
        <w:rPr>
          <w:rFonts w:hint="eastAsia"/>
        </w:rPr>
      </w:pPr>
    </w:p>
    <w:p>
      <w:pPr>
        <w:pStyle w:val="5"/>
        <w:ind w:left="-325"/>
      </w:pPr>
      <w:bookmarkStart w:id="190" w:name="_Toc12861"/>
      <w:bookmarkStart w:id="191" w:name="_Toc14132"/>
      <w:bookmarkStart w:id="192" w:name="_Toc217446082"/>
      <w:r>
        <w:rPr>
          <w:rFonts w:hint="eastAsia"/>
        </w:rPr>
        <w:t>投标函</w:t>
      </w:r>
      <w:bookmarkEnd w:id="190"/>
      <w:bookmarkEnd w:id="191"/>
    </w:p>
    <w:p>
      <w:pPr>
        <w:pStyle w:val="26"/>
        <w:spacing w:after="0" w:line="500" w:lineRule="exact"/>
        <w:ind w:left="0" w:leftChars="0" w:firstLine="0" w:firstLineChars="0"/>
        <w:jc w:val="both"/>
        <w:rPr>
          <w:rFonts w:ascii="宋体" w:hAnsi="宋体"/>
          <w:bCs/>
          <w:szCs w:val="24"/>
        </w:rPr>
      </w:pPr>
      <w:r>
        <w:rPr>
          <w:rFonts w:hint="eastAsia" w:ascii="宋体" w:hAnsi="宋体"/>
          <w:bCs/>
          <w:szCs w:val="24"/>
        </w:rPr>
        <w:t>四川世科工程咨询有限公司：</w:t>
      </w:r>
    </w:p>
    <w:p>
      <w:pPr>
        <w:pStyle w:val="26"/>
        <w:spacing w:after="0" w:line="360" w:lineRule="auto"/>
        <w:ind w:left="0" w:leftChars="0" w:firstLine="480"/>
        <w:rPr>
          <w:rFonts w:ascii="宋体" w:hAnsi="宋体"/>
          <w:bCs/>
          <w:szCs w:val="24"/>
        </w:rPr>
      </w:pPr>
      <w:r>
        <w:rPr>
          <w:rFonts w:hint="eastAsia" w:ascii="宋体" w:hAnsi="宋体"/>
          <w:bCs/>
          <w:szCs w:val="24"/>
        </w:rPr>
        <w:t>我方全面研究了“</w:t>
      </w:r>
      <w:r>
        <w:rPr>
          <w:rFonts w:hint="eastAsia" w:ascii="宋体" w:hAnsi="宋体"/>
          <w:b/>
          <w:szCs w:val="24"/>
          <w:u w:val="single"/>
          <w:lang w:eastAsia="zh-CN"/>
        </w:rPr>
        <w:t>成都市龙泉驿生态环境局成都市中心城区“6+1”区域智能大气环境监测管治服务采购项目（第二次）</w:t>
      </w:r>
      <w:r>
        <w:rPr>
          <w:rFonts w:hint="eastAsia" w:ascii="宋体" w:hAnsi="宋体"/>
          <w:b/>
          <w:bCs/>
          <w:szCs w:val="24"/>
          <w:u w:val="single"/>
        </w:rPr>
        <w:t>”（项目编号：</w:t>
      </w:r>
      <w:r>
        <w:rPr>
          <w:rFonts w:hint="eastAsia" w:ascii="宋体" w:hAnsi="宋体"/>
          <w:b/>
          <w:bCs/>
          <w:szCs w:val="24"/>
          <w:u w:val="single"/>
          <w:lang w:eastAsia="zh-CN"/>
        </w:rPr>
        <w:t>510112202100362</w:t>
      </w:r>
      <w:r>
        <w:rPr>
          <w:rFonts w:hint="eastAsia" w:ascii="宋体" w:hAnsi="宋体"/>
          <w:b/>
          <w:bCs/>
          <w:szCs w:val="24"/>
        </w:rPr>
        <w:t>）</w:t>
      </w:r>
      <w:r>
        <w:rPr>
          <w:rFonts w:hint="eastAsia" w:ascii="宋体" w:hAnsi="宋体"/>
          <w:bCs/>
          <w:szCs w:val="24"/>
        </w:rPr>
        <w:t>招标文件，决定参加贵单位组织的本项目的投标。我方授权</w:t>
      </w:r>
      <w:r>
        <w:rPr>
          <w:rFonts w:hint="eastAsia" w:ascii="宋体" w:hAnsi="宋体"/>
          <w:bCs/>
          <w:szCs w:val="24"/>
          <w:u w:val="single"/>
        </w:rPr>
        <w:t xml:space="preserve">       （姓名、职务）</w:t>
      </w:r>
      <w:r>
        <w:rPr>
          <w:rFonts w:hint="eastAsia" w:ascii="宋体" w:hAnsi="宋体"/>
          <w:bCs/>
          <w:szCs w:val="24"/>
        </w:rPr>
        <w:t xml:space="preserve">代表我方 </w:t>
      </w:r>
      <w:r>
        <w:rPr>
          <w:rFonts w:hint="eastAsia" w:ascii="宋体" w:hAnsi="宋体"/>
          <w:bCs/>
          <w:szCs w:val="24"/>
          <w:u w:val="single"/>
        </w:rPr>
        <w:t xml:space="preserve">     （投标人名称）</w:t>
      </w:r>
      <w:r>
        <w:rPr>
          <w:rFonts w:hint="eastAsia" w:ascii="宋体" w:hAnsi="宋体"/>
          <w:bCs/>
          <w:szCs w:val="24"/>
        </w:rPr>
        <w:t>全权处理本项目投标的有关事宜。</w:t>
      </w:r>
    </w:p>
    <w:p>
      <w:pPr>
        <w:numPr>
          <w:ilvl w:val="1"/>
          <w:numId w:val="34"/>
        </w:numPr>
        <w:tabs>
          <w:tab w:val="left" w:pos="1134"/>
        </w:tabs>
        <w:ind w:left="0" w:firstLine="480"/>
        <w:rPr>
          <w:rFonts w:ascii="宋体" w:hAnsi="宋体"/>
          <w:szCs w:val="24"/>
        </w:rPr>
      </w:pPr>
      <w:r>
        <w:rPr>
          <w:rFonts w:hint="eastAsia" w:ascii="宋体" w:hAnsi="宋体"/>
          <w:szCs w:val="24"/>
        </w:rPr>
        <w:t>我方自愿按照招标文件规定的各项要求向采购人提供所需货物及服务，</w:t>
      </w:r>
      <w:r>
        <w:rPr>
          <w:rFonts w:hint="eastAsia" w:ascii="宋体" w:hAnsi="宋体"/>
          <w:b/>
          <w:szCs w:val="24"/>
        </w:rPr>
        <w:t>投标报价以《开标一览表》为准</w:t>
      </w:r>
      <w:r>
        <w:rPr>
          <w:rFonts w:hint="eastAsia" w:ascii="宋体" w:hAnsi="宋体"/>
          <w:szCs w:val="24"/>
        </w:rPr>
        <w:t>。</w:t>
      </w:r>
    </w:p>
    <w:p>
      <w:pPr>
        <w:numPr>
          <w:ilvl w:val="1"/>
          <w:numId w:val="34"/>
        </w:numPr>
        <w:tabs>
          <w:tab w:val="left" w:pos="1134"/>
        </w:tabs>
        <w:ind w:left="0" w:firstLine="480"/>
        <w:rPr>
          <w:rFonts w:ascii="宋体" w:hAnsi="宋体"/>
          <w:szCs w:val="24"/>
        </w:rPr>
      </w:pPr>
      <w:r>
        <w:rPr>
          <w:rFonts w:hint="eastAsia" w:ascii="宋体" w:hAnsi="宋体"/>
          <w:szCs w:val="24"/>
        </w:rPr>
        <w:t>如果我方中标，我方将严格履行合同规定的责任和义务，否则将承担由此产生的一切责任。</w:t>
      </w:r>
    </w:p>
    <w:p>
      <w:pPr>
        <w:numPr>
          <w:ilvl w:val="1"/>
          <w:numId w:val="34"/>
        </w:numPr>
        <w:tabs>
          <w:tab w:val="left" w:pos="1134"/>
        </w:tabs>
        <w:ind w:left="0" w:firstLine="480"/>
        <w:rPr>
          <w:rFonts w:ascii="宋体" w:hAnsi="宋体"/>
          <w:szCs w:val="24"/>
        </w:rPr>
      </w:pPr>
      <w:r>
        <w:rPr>
          <w:rFonts w:hint="eastAsia" w:ascii="宋体" w:hAnsi="宋体"/>
          <w:szCs w:val="24"/>
        </w:rPr>
        <w:t>我方已知晓全部招标文件的内容，包括修改文件（如有）以及全部相关资料和有关附件，并对上述文件均无异议。</w:t>
      </w:r>
    </w:p>
    <w:p>
      <w:pPr>
        <w:numPr>
          <w:ilvl w:val="1"/>
          <w:numId w:val="34"/>
        </w:numPr>
        <w:tabs>
          <w:tab w:val="left" w:pos="1134"/>
        </w:tabs>
        <w:ind w:left="0" w:firstLine="480"/>
        <w:rPr>
          <w:rFonts w:ascii="宋体" w:hAnsi="宋体"/>
          <w:szCs w:val="24"/>
        </w:rPr>
      </w:pPr>
      <w:r>
        <w:rPr>
          <w:rFonts w:hint="eastAsia" w:ascii="宋体" w:hAnsi="宋体"/>
          <w:szCs w:val="24"/>
        </w:rPr>
        <w:t>我方同意本招标文件依据</w:t>
      </w:r>
      <w:r>
        <w:rPr>
          <w:rFonts w:hint="eastAsia"/>
        </w:rPr>
        <w:t>《四川省公共资源交易领域严重失信联合惩戒实施办法》（川发改信用规〔2019〕405号）、《关于对政府采购领域严重违法失信主体开展联合惩戒的合作备案录》（发改财金〔2018〕1614号）等相关文件</w:t>
      </w:r>
      <w:r>
        <w:rPr>
          <w:rFonts w:hint="eastAsia" w:ascii="宋体" w:hAnsi="宋体"/>
          <w:szCs w:val="24"/>
        </w:rPr>
        <w:t>对我方可能存在的失信行为进行的惩戒。</w:t>
      </w:r>
    </w:p>
    <w:p>
      <w:pPr>
        <w:numPr>
          <w:ilvl w:val="1"/>
          <w:numId w:val="34"/>
        </w:numPr>
        <w:tabs>
          <w:tab w:val="left" w:pos="1134"/>
        </w:tabs>
        <w:ind w:left="0" w:firstLine="480"/>
        <w:rPr>
          <w:rFonts w:ascii="宋体" w:hAnsi="宋体"/>
          <w:szCs w:val="24"/>
        </w:rPr>
      </w:pPr>
      <w:r>
        <w:rPr>
          <w:rFonts w:hint="eastAsia" w:ascii="宋体" w:hAnsi="宋体"/>
          <w:szCs w:val="24"/>
        </w:rPr>
        <w:t>投标有效期为从投标截止之日起90天。</w:t>
      </w:r>
    </w:p>
    <w:p>
      <w:pPr>
        <w:numPr>
          <w:ilvl w:val="1"/>
          <w:numId w:val="34"/>
        </w:numPr>
        <w:tabs>
          <w:tab w:val="left" w:pos="1134"/>
        </w:tabs>
        <w:ind w:left="0" w:firstLine="480"/>
        <w:rPr>
          <w:rFonts w:ascii="宋体" w:hAnsi="宋体"/>
          <w:szCs w:val="24"/>
        </w:rPr>
      </w:pPr>
      <w:r>
        <w:rPr>
          <w:rFonts w:hint="eastAsia" w:ascii="宋体" w:hAnsi="宋体"/>
          <w:szCs w:val="24"/>
        </w:rPr>
        <w:t>我方承诺一旦我公司成为本项目中标人，将按照招标文件的规定向四川世科工程咨询有限公司缴纳代理服务费。</w:t>
      </w:r>
    </w:p>
    <w:p>
      <w:pPr>
        <w:numPr>
          <w:ilvl w:val="1"/>
          <w:numId w:val="34"/>
        </w:numPr>
        <w:tabs>
          <w:tab w:val="left" w:pos="1134"/>
        </w:tabs>
        <w:ind w:left="0" w:firstLine="480"/>
        <w:rPr>
          <w:rFonts w:ascii="宋体" w:hAnsi="宋体"/>
          <w:szCs w:val="24"/>
        </w:rPr>
      </w:pPr>
      <w:r>
        <w:rPr>
          <w:rFonts w:hint="eastAsia" w:ascii="宋体" w:hAnsi="宋体"/>
          <w:szCs w:val="24"/>
        </w:rPr>
        <w:t>我方愿意提供贵方可能另外要求的，与投标有关的文件资料，并保证我方已提供和将要提供的文件资料是真实、准确的，并对此承担一切法律后果。</w:t>
      </w:r>
    </w:p>
    <w:p>
      <w:pPr>
        <w:numPr>
          <w:ilvl w:val="1"/>
          <w:numId w:val="34"/>
        </w:numPr>
        <w:tabs>
          <w:tab w:val="left" w:pos="1134"/>
        </w:tabs>
        <w:ind w:left="0" w:firstLine="480"/>
        <w:rPr>
          <w:rFonts w:ascii="宋体" w:hAnsi="宋体"/>
          <w:szCs w:val="24"/>
        </w:rPr>
      </w:pPr>
      <w:r>
        <w:rPr>
          <w:rFonts w:hint="eastAsia" w:ascii="宋体" w:hAnsi="宋体"/>
          <w:szCs w:val="24"/>
        </w:rPr>
        <w:t>我单位联系方式：</w:t>
      </w:r>
    </w:p>
    <w:p>
      <w:pPr>
        <w:pStyle w:val="26"/>
        <w:spacing w:after="0" w:line="360" w:lineRule="auto"/>
        <w:ind w:left="0" w:leftChars="0" w:firstLine="480"/>
        <w:rPr>
          <w:rFonts w:ascii="宋体" w:hAnsi="宋体"/>
          <w:szCs w:val="24"/>
          <w:u w:val="single"/>
        </w:rPr>
      </w:pPr>
      <w:r>
        <w:rPr>
          <w:rFonts w:hint="eastAsia" w:ascii="宋体" w:hAnsi="宋体"/>
          <w:szCs w:val="24"/>
        </w:rPr>
        <w:t>地址：</w:t>
      </w:r>
      <w:r>
        <w:rPr>
          <w:rFonts w:hint="eastAsia" w:ascii="宋体" w:hAnsi="宋体"/>
          <w:szCs w:val="24"/>
          <w:u w:val="single"/>
        </w:rPr>
        <w:t xml:space="preserve">                </w:t>
      </w:r>
      <w:r>
        <w:rPr>
          <w:rFonts w:hint="eastAsia" w:ascii="宋体" w:hAnsi="宋体"/>
          <w:szCs w:val="24"/>
        </w:rPr>
        <w:t>传真：</w:t>
      </w:r>
      <w:r>
        <w:rPr>
          <w:rFonts w:hint="eastAsia" w:ascii="宋体" w:hAnsi="宋体"/>
          <w:szCs w:val="24"/>
          <w:u w:val="single"/>
        </w:rPr>
        <w:t xml:space="preserve">          </w:t>
      </w:r>
      <w:r>
        <w:rPr>
          <w:rFonts w:hint="eastAsia" w:ascii="宋体" w:hAnsi="宋体"/>
          <w:szCs w:val="24"/>
        </w:rPr>
        <w:t>邮政编码：</w:t>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 xml:space="preserve">  </w:t>
      </w:r>
      <w:r>
        <w:rPr>
          <w:rFonts w:hint="eastAsia" w:ascii="宋体" w:hAnsi="宋体"/>
          <w:szCs w:val="24"/>
          <w:u w:val="single"/>
        </w:rPr>
        <w:tab/>
      </w:r>
      <w:r>
        <w:rPr>
          <w:rFonts w:hint="eastAsia" w:ascii="宋体" w:hAnsi="宋体"/>
          <w:szCs w:val="24"/>
          <w:u w:val="single"/>
        </w:rPr>
        <w:tab/>
      </w:r>
    </w:p>
    <w:p>
      <w:pPr>
        <w:pStyle w:val="26"/>
        <w:spacing w:after="0" w:line="360" w:lineRule="auto"/>
        <w:ind w:left="0" w:leftChars="0" w:firstLine="480"/>
        <w:rPr>
          <w:rFonts w:ascii="宋体" w:hAnsi="宋体"/>
          <w:bCs/>
          <w:szCs w:val="24"/>
        </w:rPr>
      </w:pPr>
      <w:r>
        <w:rPr>
          <w:rFonts w:hint="eastAsia" w:ascii="宋体" w:hAnsi="宋体"/>
          <w:bCs/>
          <w:szCs w:val="24"/>
        </w:rPr>
        <w:t>投标人名称：</w:t>
      </w:r>
      <w:r>
        <w:rPr>
          <w:rFonts w:hint="eastAsia" w:ascii="宋体" w:hAnsi="宋体"/>
          <w:bCs/>
          <w:szCs w:val="24"/>
          <w:u w:val="single"/>
        </w:rPr>
        <w:t xml:space="preserve">                       </w:t>
      </w:r>
      <w:r>
        <w:rPr>
          <w:rFonts w:hint="eastAsia" w:ascii="宋体" w:hAnsi="宋体"/>
          <w:bCs/>
          <w:szCs w:val="24"/>
        </w:rPr>
        <w:t>（加盖单位公章）</w:t>
      </w:r>
    </w:p>
    <w:p>
      <w:pPr>
        <w:pStyle w:val="26"/>
        <w:spacing w:after="0" w:line="360" w:lineRule="auto"/>
        <w:ind w:left="0" w:leftChars="0" w:firstLine="480"/>
        <w:rPr>
          <w:rFonts w:ascii="宋体" w:hAnsi="宋体"/>
          <w:bCs/>
          <w:szCs w:val="24"/>
        </w:rPr>
      </w:pPr>
      <w:r>
        <w:rPr>
          <w:rFonts w:hint="eastAsia" w:ascii="宋体" w:hAnsi="宋体"/>
          <w:bCs/>
          <w:szCs w:val="24"/>
        </w:rPr>
        <w:t>法定代表人或代理人：</w:t>
      </w:r>
      <w:r>
        <w:rPr>
          <w:rFonts w:hint="eastAsia" w:ascii="宋体" w:hAnsi="宋体"/>
          <w:bCs/>
          <w:szCs w:val="24"/>
          <w:u w:val="single"/>
        </w:rPr>
        <w:t xml:space="preserve">               </w:t>
      </w:r>
      <w:r>
        <w:rPr>
          <w:rFonts w:hint="eastAsia" w:ascii="宋体" w:hAnsi="宋体"/>
          <w:bCs/>
          <w:szCs w:val="24"/>
        </w:rPr>
        <w:t>（签字）</w:t>
      </w:r>
    </w:p>
    <w:p>
      <w:pPr>
        <w:spacing w:line="240" w:lineRule="auto"/>
        <w:ind w:firstLine="241" w:firstLineChars="100"/>
        <w:rPr>
          <w:rFonts w:hint="eastAsia" w:ascii="宋体" w:hAnsi="宋体"/>
          <w:b/>
          <w:szCs w:val="24"/>
        </w:rPr>
      </w:pPr>
    </w:p>
    <w:p>
      <w:pPr>
        <w:spacing w:line="240" w:lineRule="auto"/>
        <w:ind w:firstLine="0" w:firstLineChars="0"/>
      </w:pPr>
    </w:p>
    <w:p>
      <w:pPr>
        <w:pStyle w:val="2"/>
        <w:ind w:firstLine="480"/>
      </w:pPr>
    </w:p>
    <w:p>
      <w:pPr>
        <w:ind w:firstLine="480"/>
      </w:pPr>
    </w:p>
    <w:p>
      <w:pPr>
        <w:pStyle w:val="211"/>
        <w:ind w:firstLine="482"/>
      </w:pPr>
    </w:p>
    <w:p>
      <w:pPr>
        <w:pStyle w:val="5"/>
        <w:ind w:left="-325"/>
      </w:pPr>
      <w:bookmarkStart w:id="193" w:name="_Toc30172"/>
      <w:bookmarkStart w:id="194" w:name="_Toc27829"/>
      <w:r>
        <w:rPr>
          <w:rFonts w:hint="eastAsia"/>
        </w:rPr>
        <w:t>具有</w:t>
      </w:r>
      <w:bookmarkEnd w:id="193"/>
      <w:r>
        <w:rPr>
          <w:rFonts w:hint="eastAsia"/>
        </w:rPr>
        <w:t>独立承担民事责任的能力证明材料</w:t>
      </w:r>
      <w:bookmarkEnd w:id="194"/>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ind w:firstLine="560"/>
        <w:rPr>
          <w:rFonts w:ascii="宋体" w:hAnsi="宋体"/>
          <w:sz w:val="28"/>
          <w:szCs w:val="28"/>
        </w:rPr>
      </w:pPr>
    </w:p>
    <w:p>
      <w:pPr>
        <w:pStyle w:val="2"/>
        <w:ind w:firstLine="560"/>
        <w:rPr>
          <w:rFonts w:ascii="宋体" w:hAnsi="宋体"/>
          <w:sz w:val="28"/>
          <w:szCs w:val="28"/>
        </w:rPr>
      </w:pPr>
    </w:p>
    <w:p>
      <w:pPr>
        <w:ind w:firstLine="560"/>
        <w:rPr>
          <w:rFonts w:ascii="宋体" w:hAnsi="宋体"/>
          <w:sz w:val="28"/>
          <w:szCs w:val="28"/>
        </w:rPr>
      </w:pPr>
    </w:p>
    <w:p>
      <w:pPr>
        <w:pStyle w:val="2"/>
        <w:ind w:firstLine="480"/>
      </w:pPr>
    </w:p>
    <w:p>
      <w:pPr>
        <w:ind w:firstLine="480"/>
      </w:pPr>
    </w:p>
    <w:p>
      <w:pPr>
        <w:pStyle w:val="5"/>
        <w:ind w:left="-325"/>
      </w:pPr>
      <w:bookmarkStart w:id="195" w:name="_Toc16289"/>
      <w:bookmarkStart w:id="196" w:name="_Toc27818"/>
      <w:bookmarkStart w:id="197" w:name="_Toc26535"/>
      <w:r>
        <w:rPr>
          <w:rFonts w:hint="eastAsia" w:cs="宋体"/>
          <w:szCs w:val="24"/>
        </w:rPr>
        <w:t>健全的财务会计制度的证明材料</w:t>
      </w:r>
      <w:bookmarkEnd w:id="195"/>
    </w:p>
    <w:p>
      <w:pPr>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ind w:firstLine="480"/>
      </w:pPr>
    </w:p>
    <w:p>
      <w:pPr>
        <w:pStyle w:val="2"/>
        <w:ind w:firstLine="480"/>
      </w:pPr>
    </w:p>
    <w:p>
      <w:pPr>
        <w:ind w:firstLine="480"/>
      </w:pPr>
    </w:p>
    <w:p>
      <w:pPr>
        <w:pStyle w:val="2"/>
        <w:ind w:firstLine="480"/>
      </w:pPr>
    </w:p>
    <w:p>
      <w:pPr>
        <w:ind w:firstLine="480"/>
      </w:pPr>
    </w:p>
    <w:p>
      <w:pPr>
        <w:pStyle w:val="2"/>
        <w:ind w:firstLine="480"/>
      </w:pPr>
    </w:p>
    <w:p>
      <w:pPr>
        <w:pStyle w:val="2"/>
        <w:ind w:firstLine="480"/>
        <w:rPr>
          <w:rFonts w:ascii="宋体" w:hAnsi="宋体" w:cs="宋体"/>
          <w:szCs w:val="24"/>
        </w:rPr>
      </w:pPr>
    </w:p>
    <w:bookmarkEnd w:id="196"/>
    <w:p>
      <w:pPr>
        <w:pStyle w:val="5"/>
        <w:ind w:left="-325"/>
      </w:pPr>
      <w:bookmarkStart w:id="198" w:name="_Toc26131"/>
      <w:r>
        <w:rPr>
          <w:rFonts w:hint="eastAsia"/>
        </w:rPr>
        <w:t>投标人缴纳税收的证明材料</w:t>
      </w:r>
      <w:bookmarkEnd w:id="198"/>
    </w:p>
    <w:p>
      <w:pPr>
        <w:ind w:firstLine="480"/>
      </w:pPr>
    </w:p>
    <w:p>
      <w:pPr>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pStyle w:val="2"/>
        <w:ind w:firstLine="560"/>
        <w:rPr>
          <w:rFonts w:ascii="宋体" w:hAnsi="宋体" w:cs="宋体"/>
          <w:sz w:val="28"/>
          <w:szCs w:val="28"/>
          <w:shd w:val="clear" w:color="auto" w:fill="FFFFFF"/>
        </w:rPr>
      </w:pPr>
    </w:p>
    <w:p>
      <w:pPr>
        <w:ind w:firstLine="480"/>
      </w:pPr>
    </w:p>
    <w:p>
      <w:pPr>
        <w:pStyle w:val="2"/>
        <w:ind w:firstLine="560"/>
        <w:rPr>
          <w:rFonts w:ascii="宋体" w:hAnsi="宋体" w:cs="宋体"/>
          <w:sz w:val="28"/>
          <w:szCs w:val="28"/>
          <w:shd w:val="clear" w:color="auto" w:fill="FFFFFF"/>
        </w:rPr>
      </w:pPr>
    </w:p>
    <w:p>
      <w:pPr>
        <w:ind w:firstLine="480"/>
      </w:pPr>
    </w:p>
    <w:p>
      <w:pPr>
        <w:pStyle w:val="2"/>
        <w:ind w:firstLine="480"/>
      </w:pPr>
    </w:p>
    <w:p>
      <w:pPr>
        <w:ind w:firstLine="480"/>
      </w:pPr>
    </w:p>
    <w:p>
      <w:pPr>
        <w:pStyle w:val="2"/>
        <w:ind w:firstLine="560"/>
        <w:rPr>
          <w:rFonts w:ascii="宋体" w:hAnsi="宋体" w:cs="宋体"/>
          <w:sz w:val="28"/>
          <w:szCs w:val="28"/>
          <w:shd w:val="clear" w:color="auto" w:fill="FFFFFF"/>
        </w:rPr>
      </w:pPr>
    </w:p>
    <w:p>
      <w:pPr>
        <w:ind w:firstLine="560"/>
        <w:rPr>
          <w:rFonts w:ascii="宋体" w:hAnsi="宋体" w:cs="宋体"/>
          <w:sz w:val="28"/>
          <w:szCs w:val="28"/>
          <w:shd w:val="clear" w:color="auto" w:fill="FFFFFF"/>
        </w:rPr>
      </w:pPr>
    </w:p>
    <w:p>
      <w:pPr>
        <w:pStyle w:val="2"/>
        <w:ind w:firstLine="480"/>
      </w:pPr>
    </w:p>
    <w:p>
      <w:pPr>
        <w:pStyle w:val="2"/>
        <w:ind w:firstLine="560"/>
        <w:rPr>
          <w:rFonts w:ascii="宋体" w:hAnsi="宋体" w:cs="宋体"/>
          <w:sz w:val="28"/>
          <w:szCs w:val="28"/>
          <w:shd w:val="clear" w:color="auto" w:fill="FFFFFF"/>
        </w:rPr>
      </w:pPr>
    </w:p>
    <w:p>
      <w:pPr>
        <w:pStyle w:val="5"/>
        <w:ind w:left="-325"/>
      </w:pPr>
      <w:r>
        <w:rPr>
          <w:rFonts w:hint="eastAsia"/>
        </w:rPr>
        <w:t xml:space="preserve"> </w:t>
      </w:r>
      <w:bookmarkStart w:id="199" w:name="_Toc25232"/>
      <w:bookmarkStart w:id="200" w:name="_Toc21408"/>
      <w:r>
        <w:rPr>
          <w:rFonts w:hint="eastAsia"/>
        </w:rPr>
        <w:t>投标人缴纳社会保障资金的证明材料</w:t>
      </w:r>
      <w:bookmarkEnd w:id="199"/>
      <w:bookmarkEnd w:id="200"/>
    </w:p>
    <w:p>
      <w:pPr>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pStyle w:val="2"/>
        <w:ind w:firstLine="560"/>
        <w:rPr>
          <w:rFonts w:ascii="宋体" w:hAnsi="宋体"/>
          <w:sz w:val="28"/>
          <w:szCs w:val="28"/>
        </w:rPr>
      </w:pPr>
    </w:p>
    <w:p>
      <w:pPr>
        <w:ind w:firstLine="480"/>
      </w:pPr>
    </w:p>
    <w:p>
      <w:pPr>
        <w:ind w:firstLine="480"/>
      </w:pPr>
    </w:p>
    <w:p>
      <w:pPr>
        <w:ind w:firstLine="480"/>
      </w:pPr>
    </w:p>
    <w:p>
      <w:pPr>
        <w:ind w:firstLine="480"/>
      </w:pPr>
      <w:r>
        <w:rPr>
          <w:rFonts w:hint="eastAsia"/>
        </w:rPr>
        <w:br w:type="page"/>
      </w:r>
    </w:p>
    <w:bookmarkEnd w:id="197"/>
    <w:p>
      <w:pPr>
        <w:pStyle w:val="5"/>
        <w:ind w:left="-325"/>
      </w:pPr>
      <w:bookmarkStart w:id="201" w:name="_Toc20876"/>
      <w:bookmarkStart w:id="202" w:name="_Toc30033"/>
      <w:bookmarkStart w:id="203" w:name="_Toc16526"/>
      <w:r>
        <w:rPr>
          <w:rFonts w:hint="eastAsia"/>
        </w:rPr>
        <w:t>承诺</w:t>
      </w:r>
      <w:bookmarkEnd w:id="201"/>
      <w:r>
        <w:rPr>
          <w:rFonts w:hint="eastAsia"/>
        </w:rPr>
        <w:t>函</w:t>
      </w:r>
      <w:bookmarkEnd w:id="202"/>
    </w:p>
    <w:p>
      <w:pPr>
        <w:ind w:firstLine="0" w:firstLineChars="0"/>
        <w:rPr>
          <w:rFonts w:ascii="宋体" w:hAnsi="宋体"/>
          <w:szCs w:val="24"/>
        </w:rPr>
      </w:pPr>
      <w:r>
        <w:rPr>
          <w:rFonts w:hint="eastAsia" w:ascii="宋体" w:hAnsi="宋体"/>
          <w:b/>
          <w:bCs/>
          <w:szCs w:val="24"/>
        </w:rPr>
        <w:t>四川世科工程咨询有限公司：</w:t>
      </w:r>
    </w:p>
    <w:p>
      <w:pPr>
        <w:ind w:firstLine="480"/>
        <w:rPr>
          <w:rFonts w:ascii="宋体" w:hAnsi="宋体"/>
          <w:szCs w:val="24"/>
        </w:rPr>
      </w:pPr>
      <w:r>
        <w:rPr>
          <w:rFonts w:hint="eastAsia" w:ascii="宋体" w:hAnsi="宋体"/>
          <w:szCs w:val="24"/>
        </w:rPr>
        <w:t>我公司作为本次采购项目的投标人，根据招标文件的要求，在此郑重承诺：</w:t>
      </w:r>
    </w:p>
    <w:p>
      <w:pPr>
        <w:numPr>
          <w:ilvl w:val="0"/>
          <w:numId w:val="35"/>
        </w:numPr>
        <w:ind w:firstLine="480"/>
        <w:rPr>
          <w:rFonts w:ascii="宋体" w:hAnsi="宋体"/>
          <w:szCs w:val="24"/>
        </w:rPr>
      </w:pPr>
      <w:r>
        <w:rPr>
          <w:rFonts w:hint="eastAsia" w:ascii="宋体" w:hAnsi="宋体"/>
          <w:szCs w:val="24"/>
        </w:rPr>
        <w:t>我公司具有良好的商业信誉。</w:t>
      </w:r>
    </w:p>
    <w:p>
      <w:pPr>
        <w:pStyle w:val="2"/>
        <w:numPr>
          <w:ilvl w:val="0"/>
          <w:numId w:val="35"/>
        </w:numPr>
        <w:spacing w:line="360" w:lineRule="auto"/>
        <w:ind w:firstLine="480"/>
      </w:pPr>
      <w:r>
        <w:rPr>
          <w:rFonts w:hint="eastAsia"/>
        </w:rPr>
        <w:t>我公司具有履行合同所必须的设备和专业技术能力。</w:t>
      </w:r>
    </w:p>
    <w:p>
      <w:pPr>
        <w:pStyle w:val="2"/>
        <w:numPr>
          <w:ilvl w:val="0"/>
          <w:numId w:val="35"/>
        </w:numPr>
        <w:spacing w:line="360" w:lineRule="auto"/>
        <w:ind w:firstLine="480"/>
        <w:rPr>
          <w:rFonts w:ascii="宋体" w:hAnsi="宋体"/>
          <w:szCs w:val="24"/>
        </w:rPr>
      </w:pPr>
      <w:r>
        <w:rPr>
          <w:rFonts w:hint="eastAsia" w:ascii="宋体" w:hAnsi="宋体"/>
          <w:szCs w:val="24"/>
        </w:rPr>
        <w:t>我公司参加政府采购活动前三年内（成立不足三年的，从成立之日起算），在经营活动中无重大违法记录。（</w:t>
      </w:r>
      <w:r>
        <w:rPr>
          <w:rFonts w:hint="eastAsia" w:ascii="宋体" w:hAnsi="宋体" w:cs="宋体"/>
          <w:szCs w:val="24"/>
        </w:rPr>
        <w:t>重大违法记录是指投标人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组织的违法行为处以罚款或者没收财产2万元以上；对在经营活动中的违法行为 处以罚款或者没收财产5万元以上。国务院有关部门规定的较大数额标准低于前款规定的，从其规定。)</w:t>
      </w:r>
    </w:p>
    <w:p>
      <w:pPr>
        <w:numPr>
          <w:ilvl w:val="0"/>
          <w:numId w:val="35"/>
        </w:numPr>
        <w:ind w:firstLine="480"/>
        <w:rPr>
          <w:rFonts w:ascii="宋体" w:hAnsi="宋体"/>
          <w:szCs w:val="24"/>
        </w:rPr>
      </w:pPr>
      <w:r>
        <w:rPr>
          <w:rFonts w:hint="eastAsia" w:ascii="宋体" w:hAnsi="宋体"/>
          <w:szCs w:val="24"/>
        </w:rPr>
        <w:t>我公司及我公司法定代表人或主要负责人</w:t>
      </w:r>
      <w:r>
        <w:rPr>
          <w:rFonts w:hint="eastAsia" w:ascii="宋体" w:hAnsi="宋体" w:cs="宋体"/>
          <w:szCs w:val="24"/>
        </w:rPr>
        <w:t>不具有行贿犯罪记录</w:t>
      </w:r>
      <w:r>
        <w:rPr>
          <w:rFonts w:hint="eastAsia" w:ascii="宋体" w:hAnsi="宋体"/>
          <w:szCs w:val="24"/>
        </w:rPr>
        <w:t>。</w:t>
      </w:r>
    </w:p>
    <w:p>
      <w:pPr>
        <w:numPr>
          <w:ilvl w:val="0"/>
          <w:numId w:val="35"/>
        </w:numPr>
        <w:spacing w:line="500" w:lineRule="exact"/>
        <w:ind w:firstLine="480"/>
        <w:rPr>
          <w:rFonts w:hint="eastAsia" w:ascii="宋体" w:hAnsi="宋体"/>
          <w:szCs w:val="24"/>
        </w:rPr>
      </w:pPr>
      <w:r>
        <w:rPr>
          <w:rFonts w:hint="eastAsia" w:ascii="宋体" w:hAnsi="宋体"/>
          <w:szCs w:val="24"/>
        </w:rPr>
        <w:t>我公司未被列入经营异常名录。</w:t>
      </w:r>
    </w:p>
    <w:p>
      <w:pPr>
        <w:numPr>
          <w:ilvl w:val="0"/>
          <w:numId w:val="35"/>
        </w:numPr>
        <w:spacing w:line="500" w:lineRule="exact"/>
        <w:ind w:firstLine="480"/>
        <w:rPr>
          <w:rFonts w:hint="eastAsia" w:ascii="宋体" w:hAnsi="宋体"/>
          <w:szCs w:val="24"/>
        </w:rPr>
      </w:pPr>
      <w:r>
        <w:rPr>
          <w:rFonts w:hint="eastAsia" w:ascii="宋体" w:hAnsi="宋体"/>
          <w:szCs w:val="24"/>
        </w:rPr>
        <w:t>我公司未被列入失信被执行人、重大税收违法案件当事人名单、政府采购严重违法失信行为记录名单。</w:t>
      </w:r>
    </w:p>
    <w:p>
      <w:pPr>
        <w:numPr>
          <w:ilvl w:val="0"/>
          <w:numId w:val="35"/>
        </w:numPr>
        <w:ind w:firstLine="480"/>
      </w:pPr>
      <w: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numPr>
          <w:ilvl w:val="0"/>
          <w:numId w:val="35"/>
        </w:numPr>
        <w:ind w:firstLine="480"/>
        <w:rPr>
          <w:rFonts w:ascii="宋体" w:hAnsi="宋体"/>
          <w:szCs w:val="24"/>
        </w:rPr>
      </w:pPr>
      <w:r>
        <w:rPr>
          <w:rFonts w:hint="eastAsia" w:ascii="宋体" w:hAnsi="宋体"/>
          <w:szCs w:val="24"/>
        </w:rPr>
        <w:t>参加本次采购活动，我公司不存在和其他投标人在同一合同项下的采购项目中，同时委托同一个自然人、同一家庭的人员、同一单位的人员作为代理人的行为。</w:t>
      </w:r>
    </w:p>
    <w:p>
      <w:pPr>
        <w:numPr>
          <w:ilvl w:val="0"/>
          <w:numId w:val="35"/>
        </w:numPr>
        <w:ind w:firstLine="480"/>
        <w:rPr>
          <w:rFonts w:ascii="宋体" w:hAnsi="宋体"/>
          <w:szCs w:val="24"/>
        </w:rPr>
      </w:pPr>
      <w:r>
        <w:rPr>
          <w:rFonts w:hint="eastAsia" w:ascii="宋体" w:hAnsi="宋体"/>
          <w:szCs w:val="24"/>
        </w:rPr>
        <w:t>参加本次采购活动，我公司不存在与单位负责人为同一人或者存在直接控股、管理关系的其他投标人参与同一合同项下的政府采购活动的行为。</w:t>
      </w:r>
    </w:p>
    <w:p>
      <w:pPr>
        <w:numPr>
          <w:ilvl w:val="0"/>
          <w:numId w:val="35"/>
        </w:numPr>
        <w:ind w:firstLine="480"/>
        <w:rPr>
          <w:rFonts w:ascii="宋体" w:hAnsi="宋体"/>
          <w:szCs w:val="24"/>
        </w:rPr>
      </w:pPr>
      <w:r>
        <w:rPr>
          <w:rFonts w:hint="eastAsia" w:ascii="宋体" w:hAnsi="宋体"/>
          <w:szCs w:val="24"/>
        </w:rPr>
        <w:t>我公司没有为本项目提供过整体设计、规范编制或者项目管理、监理、检测等服务。</w:t>
      </w:r>
    </w:p>
    <w:p>
      <w:pPr>
        <w:numPr>
          <w:ilvl w:val="0"/>
          <w:numId w:val="35"/>
        </w:numPr>
        <w:ind w:firstLine="480"/>
        <w:rPr>
          <w:rFonts w:ascii="宋体" w:hAnsi="宋体"/>
        </w:rPr>
      </w:pPr>
      <w:r>
        <w:rPr>
          <w:rFonts w:hint="eastAsia" w:ascii="宋体" w:hAnsi="宋体"/>
        </w:rPr>
        <w:t>我公司如果有</w:t>
      </w:r>
      <w:r>
        <w:rPr>
          <w:rFonts w:hint="eastAsia"/>
        </w:rPr>
        <w:t>《四川省公共资源交易领域严重失信联合惩戒实施办法》（川发改信用规〔2019〕405号）、《关于对政府采购领域严重违法失信主体开展联合惩戒的合作备案录》（发改财金〔2018〕1614号）</w:t>
      </w:r>
      <w:r>
        <w:rPr>
          <w:rFonts w:hint="eastAsia" w:ascii="宋体" w:hAnsi="宋体"/>
        </w:rPr>
        <w:t>规定的失信行为，将在投标文件中全面如实反映。</w:t>
      </w:r>
    </w:p>
    <w:p>
      <w:pPr>
        <w:numPr>
          <w:ilvl w:val="0"/>
          <w:numId w:val="35"/>
        </w:numPr>
        <w:ind w:firstLine="480"/>
        <w:rPr>
          <w:rFonts w:ascii="宋体" w:hAnsi="宋体"/>
          <w:szCs w:val="24"/>
        </w:rPr>
      </w:pPr>
      <w:r>
        <w:rPr>
          <w:rFonts w:hint="eastAsia" w:ascii="宋体" w:hAnsi="宋体"/>
          <w:szCs w:val="24"/>
        </w:rPr>
        <w:t>我公司在本项目使用的任何产品和服务（包括部分使用）时，不会产生因第三方提出侵犯其专利权、商标权或其它知识产权而引起的法律和经济纠纷，如因专利权、商标权或其它知识产权而引起法律和经济纠纷，由我公司承担所有相关责任。</w:t>
      </w:r>
    </w:p>
    <w:p>
      <w:pPr>
        <w:numPr>
          <w:ilvl w:val="0"/>
          <w:numId w:val="35"/>
        </w:numPr>
        <w:ind w:firstLine="480"/>
        <w:rPr>
          <w:rFonts w:ascii="宋体" w:hAnsi="宋体"/>
          <w:szCs w:val="24"/>
        </w:rPr>
      </w:pPr>
      <w:r>
        <w:rPr>
          <w:rFonts w:hint="eastAsia" w:ascii="宋体" w:hAnsi="宋体"/>
          <w:szCs w:val="24"/>
        </w:rPr>
        <w:t>采购人享有本项目实施过程中产生的知识成果及知识产权。</w:t>
      </w:r>
    </w:p>
    <w:p>
      <w:pPr>
        <w:numPr>
          <w:ilvl w:val="0"/>
          <w:numId w:val="35"/>
        </w:numPr>
        <w:ind w:firstLine="480"/>
        <w:rPr>
          <w:rFonts w:ascii="宋体" w:hAnsi="宋体"/>
          <w:szCs w:val="24"/>
        </w:rPr>
      </w:pPr>
      <w:r>
        <w:rPr>
          <w:rFonts w:hint="eastAsia" w:ascii="宋体" w:hAnsi="宋体"/>
          <w:szCs w:val="24"/>
        </w:rPr>
        <w:t>我公司如欲在项目实施过程中采用自有知识成果，将在投标文件中声明，并提供相关知识产权证明文件。使用该知识成果后，我公司将提供开发接口和开发手册等技术文档，并提供无限期技术支持，采购人享有永久使用权（含采购人委托第三方在该项目后续开发的使用权）。</w:t>
      </w:r>
    </w:p>
    <w:p>
      <w:pPr>
        <w:numPr>
          <w:ilvl w:val="0"/>
          <w:numId w:val="35"/>
        </w:numPr>
        <w:ind w:firstLine="480"/>
      </w:pPr>
      <w:r>
        <w:rPr>
          <w:rFonts w:hint="eastAsia" w:ascii="宋体" w:hAnsi="宋体"/>
          <w:szCs w:val="24"/>
        </w:rPr>
        <w:t xml:space="preserve">如采用我公司所不拥有的知识产权的产品，则在投标报价中已包括合法获取该知识产权的相关费用。 </w:t>
      </w:r>
    </w:p>
    <w:p>
      <w:pPr>
        <w:pStyle w:val="2"/>
        <w:numPr>
          <w:ilvl w:val="0"/>
          <w:numId w:val="35"/>
        </w:numPr>
        <w:spacing w:line="360" w:lineRule="auto"/>
        <w:ind w:firstLine="480"/>
        <w:rPr>
          <w:rFonts w:ascii="宋体" w:hAnsi="宋体"/>
          <w:szCs w:val="24"/>
        </w:rPr>
      </w:pPr>
      <w:r>
        <w:rPr>
          <w:rFonts w:hint="eastAsia" w:ascii="宋体" w:hAnsi="宋体" w:cs="宋体"/>
        </w:rPr>
        <w:t>我公司不属于其他国家相关法律法规规定的禁止参加投标的供应商。</w:t>
      </w:r>
    </w:p>
    <w:p>
      <w:pPr>
        <w:pStyle w:val="2"/>
        <w:numPr>
          <w:ilvl w:val="0"/>
          <w:numId w:val="35"/>
        </w:numPr>
        <w:spacing w:line="360" w:lineRule="auto"/>
        <w:ind w:firstLine="480"/>
        <w:rPr>
          <w:rFonts w:ascii="宋体" w:hAnsi="宋体"/>
          <w:szCs w:val="24"/>
        </w:rPr>
      </w:pPr>
      <w:r>
        <w:rPr>
          <w:rFonts w:hint="eastAsia" w:ascii="宋体" w:hAnsi="宋体"/>
          <w:szCs w:val="24"/>
        </w:rPr>
        <w:t>我公司符合法律、行政法规规定的其他条件。</w:t>
      </w:r>
    </w:p>
    <w:p>
      <w:pPr>
        <w:ind w:firstLine="480"/>
        <w:rPr>
          <w:rFonts w:ascii="宋体" w:hAnsi="宋体"/>
          <w:szCs w:val="24"/>
        </w:rPr>
      </w:pPr>
      <w:r>
        <w:rPr>
          <w:rFonts w:hint="eastAsia" w:ascii="宋体" w:hAnsi="宋体"/>
          <w:szCs w:val="24"/>
        </w:rPr>
        <w:t>如违反以上承诺，本公司愿承担一切法律责任。</w:t>
      </w:r>
    </w:p>
    <w:p>
      <w:pPr>
        <w:pStyle w:val="2"/>
        <w:spacing w:line="360" w:lineRule="auto"/>
        <w:ind w:firstLine="480"/>
        <w:rPr>
          <w:szCs w:val="24"/>
        </w:rPr>
      </w:pPr>
    </w:p>
    <w:p>
      <w:pPr>
        <w:pStyle w:val="26"/>
        <w:spacing w:after="0" w:line="360" w:lineRule="auto"/>
        <w:ind w:left="0" w:leftChars="0" w:firstLine="480"/>
        <w:rPr>
          <w:rFonts w:ascii="宋体" w:hAnsi="宋体"/>
          <w:bCs/>
          <w:szCs w:val="24"/>
        </w:rPr>
      </w:pPr>
      <w:r>
        <w:rPr>
          <w:rFonts w:hint="eastAsia" w:ascii="宋体" w:hAnsi="宋体"/>
          <w:bCs/>
          <w:szCs w:val="24"/>
        </w:rPr>
        <w:t>投标人名称：</w:t>
      </w:r>
      <w:r>
        <w:rPr>
          <w:rFonts w:hint="eastAsia" w:ascii="宋体" w:hAnsi="宋体"/>
          <w:bCs/>
          <w:szCs w:val="24"/>
          <w:u w:val="single"/>
        </w:rPr>
        <w:t xml:space="preserve">                       </w:t>
      </w:r>
      <w:r>
        <w:rPr>
          <w:rFonts w:hint="eastAsia" w:ascii="宋体" w:hAnsi="宋体"/>
          <w:bCs/>
          <w:szCs w:val="24"/>
        </w:rPr>
        <w:t>（加盖单位公章）</w:t>
      </w:r>
    </w:p>
    <w:p>
      <w:pPr>
        <w:pStyle w:val="26"/>
        <w:spacing w:after="0" w:line="360" w:lineRule="auto"/>
        <w:ind w:left="0" w:leftChars="0" w:firstLine="480"/>
        <w:rPr>
          <w:rFonts w:ascii="宋体" w:hAnsi="宋体"/>
          <w:bCs/>
          <w:szCs w:val="24"/>
        </w:rPr>
      </w:pPr>
      <w:r>
        <w:rPr>
          <w:rFonts w:hint="eastAsia" w:ascii="宋体" w:hAnsi="宋体"/>
          <w:bCs/>
          <w:szCs w:val="24"/>
        </w:rPr>
        <w:t>法定代表人或代理人：</w:t>
      </w:r>
      <w:r>
        <w:rPr>
          <w:rFonts w:hint="eastAsia" w:ascii="宋体" w:hAnsi="宋体"/>
          <w:bCs/>
          <w:szCs w:val="24"/>
          <w:u w:val="single"/>
        </w:rPr>
        <w:t xml:space="preserve">               </w:t>
      </w:r>
      <w:r>
        <w:rPr>
          <w:rFonts w:hint="eastAsia" w:ascii="宋体" w:hAnsi="宋体"/>
          <w:bCs/>
          <w:szCs w:val="24"/>
        </w:rPr>
        <w:t>（签字）</w:t>
      </w:r>
    </w:p>
    <w:p>
      <w:pPr>
        <w:pStyle w:val="26"/>
        <w:spacing w:after="0" w:line="360" w:lineRule="auto"/>
        <w:ind w:left="0" w:leftChars="0" w:firstLine="480"/>
        <w:rPr>
          <w:rFonts w:ascii="宋体" w:hAnsi="宋体"/>
          <w:szCs w:val="24"/>
        </w:rPr>
      </w:pPr>
      <w:r>
        <w:rPr>
          <w:rFonts w:ascii="宋体" w:hAnsi="宋体"/>
          <w:szCs w:val="24"/>
        </w:rPr>
        <w:t>日期：</w:t>
      </w:r>
      <w:r>
        <w:rPr>
          <w:rFonts w:hint="eastAsia" w:ascii="宋体" w:hAnsi="宋体"/>
          <w:szCs w:val="24"/>
          <w:u w:val="single"/>
        </w:rPr>
        <w:t xml:space="preserve">      </w:t>
      </w:r>
      <w:r>
        <w:rPr>
          <w:rFonts w:ascii="宋体" w:hAnsi="宋体"/>
          <w:szCs w:val="24"/>
        </w:rPr>
        <w:t>年</w:t>
      </w:r>
      <w:r>
        <w:rPr>
          <w:rFonts w:hint="eastAsia" w:ascii="宋体" w:hAnsi="宋体"/>
          <w:szCs w:val="24"/>
          <w:u w:val="single"/>
        </w:rPr>
        <w:t xml:space="preserve">      </w:t>
      </w:r>
      <w:r>
        <w:rPr>
          <w:rFonts w:ascii="宋体" w:hAnsi="宋体"/>
          <w:szCs w:val="24"/>
        </w:rPr>
        <w:t>月</w:t>
      </w:r>
      <w:r>
        <w:rPr>
          <w:rFonts w:hint="eastAsia" w:ascii="宋体" w:hAnsi="宋体"/>
          <w:szCs w:val="24"/>
          <w:u w:val="single"/>
        </w:rPr>
        <w:t xml:space="preserve">      </w:t>
      </w:r>
      <w:r>
        <w:rPr>
          <w:rFonts w:ascii="宋体" w:hAnsi="宋体"/>
          <w:szCs w:val="24"/>
        </w:rPr>
        <w:t>日</w:t>
      </w:r>
    </w:p>
    <w:p>
      <w:pPr>
        <w:pStyle w:val="26"/>
        <w:spacing w:after="0" w:line="360" w:lineRule="auto"/>
        <w:ind w:left="0" w:leftChars="0" w:firstLine="480"/>
        <w:rPr>
          <w:rFonts w:ascii="宋体" w:hAnsi="宋体"/>
          <w:szCs w:val="24"/>
        </w:rPr>
      </w:pPr>
    </w:p>
    <w:p>
      <w:pPr>
        <w:pStyle w:val="26"/>
        <w:spacing w:after="0" w:line="360" w:lineRule="auto"/>
        <w:ind w:left="0" w:leftChars="0" w:firstLine="480"/>
        <w:rPr>
          <w:rFonts w:ascii="宋体" w:hAnsi="宋体"/>
          <w:szCs w:val="24"/>
        </w:rPr>
      </w:pPr>
    </w:p>
    <w:p>
      <w:pPr>
        <w:pStyle w:val="26"/>
        <w:spacing w:after="0" w:line="360" w:lineRule="auto"/>
        <w:ind w:left="0" w:leftChars="0" w:firstLine="480"/>
        <w:rPr>
          <w:rFonts w:ascii="宋体" w:hAnsi="宋体"/>
          <w:szCs w:val="24"/>
        </w:rPr>
      </w:pPr>
    </w:p>
    <w:p>
      <w:pPr>
        <w:pStyle w:val="26"/>
        <w:spacing w:after="0" w:line="360" w:lineRule="auto"/>
        <w:ind w:left="0" w:leftChars="0" w:firstLine="480"/>
        <w:rPr>
          <w:rFonts w:ascii="宋体" w:hAnsi="宋体"/>
          <w:szCs w:val="24"/>
        </w:rPr>
      </w:pPr>
    </w:p>
    <w:p>
      <w:pPr>
        <w:pStyle w:val="26"/>
        <w:spacing w:after="0" w:line="360" w:lineRule="auto"/>
        <w:ind w:left="0" w:leftChars="0" w:firstLine="480"/>
        <w:rPr>
          <w:rFonts w:ascii="宋体" w:hAnsi="宋体"/>
          <w:szCs w:val="24"/>
        </w:rPr>
      </w:pPr>
    </w:p>
    <w:p>
      <w:pPr>
        <w:pStyle w:val="26"/>
        <w:spacing w:after="0" w:line="360" w:lineRule="auto"/>
        <w:ind w:left="0" w:leftChars="0" w:firstLine="480"/>
        <w:rPr>
          <w:rFonts w:ascii="宋体" w:hAnsi="宋体"/>
          <w:szCs w:val="24"/>
        </w:rPr>
      </w:pPr>
    </w:p>
    <w:p>
      <w:pPr>
        <w:pStyle w:val="26"/>
        <w:spacing w:after="0" w:line="360" w:lineRule="auto"/>
        <w:ind w:left="0" w:leftChars="0" w:firstLine="480"/>
        <w:rPr>
          <w:rFonts w:ascii="宋体" w:hAnsi="宋体"/>
          <w:szCs w:val="24"/>
        </w:rPr>
      </w:pPr>
    </w:p>
    <w:p>
      <w:pPr>
        <w:pStyle w:val="5"/>
        <w:ind w:left="-325"/>
        <w:rPr>
          <w:rFonts w:hint="eastAsia"/>
        </w:rPr>
      </w:pPr>
      <w:bookmarkStart w:id="204" w:name="_Toc23889"/>
      <w:r>
        <w:rPr>
          <w:rFonts w:hint="eastAsia"/>
        </w:rPr>
        <w:t>中小企业声明函</w:t>
      </w:r>
      <w:bookmarkEnd w:id="204"/>
    </w:p>
    <w:p>
      <w:pPr>
        <w:widowControl/>
        <w:ind w:firstLine="480"/>
        <w:rPr>
          <w:rFonts w:hint="eastAsia" w:ascii="宋体" w:hAnsi="宋体" w:cs="宋体"/>
          <w:szCs w:val="24"/>
        </w:rPr>
      </w:pPr>
      <w:r>
        <w:rPr>
          <w:rFonts w:hint="eastAsia" w:ascii="宋体" w:hAnsi="宋体" w:cs="宋体"/>
          <w:color w:val="000000"/>
          <w:kern w:val="0"/>
          <w:szCs w:val="24"/>
          <w:lang w:bidi="ar"/>
        </w:rPr>
        <w:t xml:space="preserve">本公司郑重声明，根据《政府采购促进中小企业发展管理办法》（财库﹝2020﹞46 号）的规定，本公司参加 </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（单位名称）的</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（项目名称）采购活动，工程的施工单位全部为符合政策要求的中小企业（或者：服务全部由符合政策要求的中小企业承接）。相关企业的具体情况如下：</w:t>
      </w:r>
    </w:p>
    <w:p>
      <w:pPr>
        <w:widowControl/>
        <w:ind w:firstLine="480"/>
        <w:rPr>
          <w:rFonts w:hint="eastAsia" w:ascii="宋体" w:hAnsi="宋体" w:cs="宋体"/>
          <w:szCs w:val="24"/>
        </w:rPr>
      </w:pPr>
      <w:r>
        <w:rPr>
          <w:rFonts w:hint="eastAsia" w:ascii="宋体" w:hAnsi="宋体" w:cs="宋体"/>
          <w:color w:val="000000"/>
          <w:kern w:val="0"/>
          <w:szCs w:val="24"/>
          <w:lang w:bidi="ar"/>
        </w:rPr>
        <w:t xml:space="preserve">1. </w:t>
      </w:r>
      <w:r>
        <w:rPr>
          <w:rFonts w:hint="eastAsia" w:ascii="宋体" w:hAnsi="宋体" w:cs="宋体"/>
          <w:color w:val="000000"/>
          <w:kern w:val="0"/>
          <w:szCs w:val="24"/>
          <w:u w:val="single"/>
          <w:lang w:bidi="ar"/>
        </w:rPr>
        <w:t xml:space="preserve">         （标的名称）</w:t>
      </w:r>
      <w:r>
        <w:rPr>
          <w:rFonts w:hint="eastAsia" w:ascii="宋体" w:hAnsi="宋体" w:cs="宋体"/>
          <w:color w:val="000000"/>
          <w:kern w:val="0"/>
          <w:szCs w:val="24"/>
          <w:lang w:bidi="ar"/>
        </w:rPr>
        <w:t xml:space="preserve"> ，属于</w:t>
      </w:r>
      <w:r>
        <w:rPr>
          <w:rFonts w:hint="eastAsia" w:ascii="宋体" w:hAnsi="宋体" w:cs="宋体"/>
          <w:color w:val="000000"/>
          <w:kern w:val="0"/>
          <w:szCs w:val="24"/>
          <w:u w:val="single"/>
          <w:lang w:bidi="ar"/>
        </w:rPr>
        <w:t xml:space="preserve">         （采购文件中明确的所属行业）</w:t>
      </w:r>
      <w:r>
        <w:rPr>
          <w:rFonts w:hint="eastAsia" w:ascii="宋体" w:hAnsi="宋体" w:cs="宋体"/>
          <w:color w:val="000000"/>
          <w:kern w:val="0"/>
          <w:szCs w:val="24"/>
          <w:lang w:bidi="ar"/>
        </w:rPr>
        <w:t>；承建（承接）企业为</w:t>
      </w:r>
      <w:r>
        <w:rPr>
          <w:rFonts w:hint="eastAsia" w:ascii="宋体" w:hAnsi="宋体" w:cs="宋体"/>
          <w:color w:val="000000"/>
          <w:kern w:val="0"/>
          <w:szCs w:val="24"/>
          <w:u w:val="single"/>
          <w:lang w:bidi="ar"/>
        </w:rPr>
        <w:t xml:space="preserve">         （企业名称</w:t>
      </w:r>
      <w:r>
        <w:rPr>
          <w:rFonts w:hint="eastAsia" w:ascii="宋体" w:hAnsi="宋体" w:cs="宋体"/>
          <w:color w:val="000000"/>
          <w:kern w:val="0"/>
          <w:szCs w:val="24"/>
          <w:lang w:bidi="ar"/>
        </w:rPr>
        <w:t>），从业人员</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人，营业收入为</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万元，资产总额为</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万元，属于</w:t>
      </w:r>
      <w:r>
        <w:rPr>
          <w:rFonts w:hint="eastAsia" w:ascii="宋体" w:hAnsi="宋体" w:cs="宋体"/>
          <w:color w:val="000000"/>
          <w:kern w:val="0"/>
          <w:szCs w:val="24"/>
          <w:u w:val="single"/>
          <w:lang w:bidi="ar"/>
        </w:rPr>
        <w:t xml:space="preserve">         （中型企业、小型企业、微型企业）</w:t>
      </w:r>
      <w:r>
        <w:rPr>
          <w:rFonts w:hint="eastAsia" w:ascii="宋体" w:hAnsi="宋体" w:cs="宋体"/>
          <w:color w:val="000000"/>
          <w:kern w:val="0"/>
          <w:szCs w:val="24"/>
          <w:lang w:bidi="ar"/>
        </w:rPr>
        <w:t xml:space="preserve">； </w:t>
      </w:r>
    </w:p>
    <w:p>
      <w:pPr>
        <w:widowControl/>
        <w:ind w:firstLine="480"/>
        <w:rPr>
          <w:rFonts w:hint="eastAsia" w:ascii="宋体" w:hAnsi="宋体" w:cs="宋体"/>
          <w:szCs w:val="24"/>
        </w:rPr>
      </w:pPr>
      <w:r>
        <w:rPr>
          <w:rFonts w:hint="eastAsia" w:ascii="宋体" w:hAnsi="宋体" w:cs="宋体"/>
          <w:color w:val="000000"/>
          <w:kern w:val="0"/>
          <w:szCs w:val="24"/>
          <w:lang w:bidi="ar"/>
        </w:rPr>
        <w:t xml:space="preserve">2. </w:t>
      </w:r>
      <w:r>
        <w:rPr>
          <w:rFonts w:hint="eastAsia" w:ascii="宋体" w:hAnsi="宋体" w:cs="宋体"/>
          <w:color w:val="000000"/>
          <w:kern w:val="0"/>
          <w:szCs w:val="24"/>
          <w:u w:val="single"/>
          <w:lang w:bidi="ar"/>
        </w:rPr>
        <w:t xml:space="preserve">         （标的名称）</w:t>
      </w:r>
      <w:r>
        <w:rPr>
          <w:rFonts w:hint="eastAsia" w:ascii="宋体" w:hAnsi="宋体" w:cs="宋体"/>
          <w:color w:val="000000"/>
          <w:kern w:val="0"/>
          <w:szCs w:val="24"/>
          <w:lang w:bidi="ar"/>
        </w:rPr>
        <w:t xml:space="preserve"> ，属于</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（采购文件中明确的所属行业）；承建（承接）企业为</w:t>
      </w:r>
      <w:r>
        <w:rPr>
          <w:rFonts w:hint="eastAsia" w:ascii="宋体" w:hAnsi="宋体" w:cs="宋体"/>
          <w:color w:val="000000"/>
          <w:kern w:val="0"/>
          <w:szCs w:val="24"/>
          <w:u w:val="single"/>
          <w:lang w:bidi="ar"/>
        </w:rPr>
        <w:t xml:space="preserve">         （企业名称）</w:t>
      </w:r>
      <w:r>
        <w:rPr>
          <w:rFonts w:hint="eastAsia" w:ascii="宋体" w:hAnsi="宋体" w:cs="宋体"/>
          <w:color w:val="000000"/>
          <w:kern w:val="0"/>
          <w:szCs w:val="24"/>
          <w:lang w:bidi="ar"/>
        </w:rPr>
        <w:t>，从业人员</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人，营业收入为</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万元，资产总额为</w:t>
      </w:r>
      <w:r>
        <w:rPr>
          <w:rFonts w:hint="eastAsia" w:ascii="宋体" w:hAnsi="宋体" w:cs="宋体"/>
          <w:color w:val="000000"/>
          <w:kern w:val="0"/>
          <w:szCs w:val="24"/>
          <w:u w:val="single"/>
          <w:lang w:bidi="ar"/>
        </w:rPr>
        <w:t xml:space="preserve">         </w:t>
      </w:r>
      <w:r>
        <w:rPr>
          <w:rFonts w:hint="eastAsia" w:ascii="宋体" w:hAnsi="宋体" w:cs="宋体"/>
          <w:color w:val="000000"/>
          <w:kern w:val="0"/>
          <w:szCs w:val="24"/>
          <w:lang w:bidi="ar"/>
        </w:rPr>
        <w:t>万元，属于</w:t>
      </w:r>
      <w:r>
        <w:rPr>
          <w:rFonts w:hint="eastAsia" w:ascii="宋体" w:hAnsi="宋体" w:cs="宋体"/>
          <w:color w:val="000000"/>
          <w:kern w:val="0"/>
          <w:szCs w:val="24"/>
          <w:u w:val="single"/>
          <w:lang w:bidi="ar"/>
        </w:rPr>
        <w:t xml:space="preserve">         （中型企业、小型企业、微型企业</w:t>
      </w:r>
      <w:r>
        <w:rPr>
          <w:rFonts w:hint="eastAsia" w:ascii="宋体" w:hAnsi="宋体" w:cs="宋体"/>
          <w:color w:val="000000"/>
          <w:kern w:val="0"/>
          <w:szCs w:val="24"/>
          <w:lang w:bidi="ar"/>
        </w:rPr>
        <w:t xml:space="preserve">）； </w:t>
      </w:r>
    </w:p>
    <w:p>
      <w:pPr>
        <w:widowControl/>
        <w:ind w:firstLine="480"/>
        <w:rPr>
          <w:rFonts w:hint="eastAsia" w:ascii="宋体" w:hAnsi="宋体" w:cs="宋体"/>
          <w:szCs w:val="24"/>
        </w:rPr>
      </w:pPr>
      <w:r>
        <w:rPr>
          <w:rFonts w:hint="eastAsia" w:ascii="宋体" w:hAnsi="宋体" w:cs="宋体"/>
          <w:color w:val="000000"/>
          <w:kern w:val="0"/>
          <w:szCs w:val="24"/>
          <w:lang w:bidi="ar"/>
        </w:rPr>
        <w:t>……</w:t>
      </w:r>
    </w:p>
    <w:p>
      <w:pPr>
        <w:widowControl/>
        <w:ind w:firstLine="480"/>
        <w:rPr>
          <w:rFonts w:hint="eastAsia" w:ascii="宋体" w:hAnsi="宋体" w:cs="宋体"/>
          <w:szCs w:val="24"/>
        </w:rPr>
      </w:pPr>
      <w:r>
        <w:rPr>
          <w:rFonts w:hint="eastAsia" w:ascii="宋体" w:hAnsi="宋体" w:cs="宋体"/>
          <w:color w:val="000000"/>
          <w:kern w:val="0"/>
          <w:szCs w:val="24"/>
          <w:lang w:bidi="ar"/>
        </w:rPr>
        <w:t>以上企业，不属于大企业的分支机构，不存在控股股东为大企业的情形，也不存在与大企业的负责人为同一人的情形。</w:t>
      </w:r>
    </w:p>
    <w:p>
      <w:pPr>
        <w:widowControl/>
        <w:ind w:firstLine="480"/>
        <w:rPr>
          <w:rFonts w:hint="eastAsia" w:ascii="宋体" w:hAnsi="宋体" w:cs="宋体"/>
          <w:szCs w:val="24"/>
        </w:rPr>
      </w:pPr>
      <w:r>
        <w:rPr>
          <w:rFonts w:hint="eastAsia" w:ascii="宋体" w:hAnsi="宋体" w:cs="宋体"/>
          <w:color w:val="000000"/>
          <w:kern w:val="0"/>
          <w:szCs w:val="24"/>
          <w:lang w:bidi="ar"/>
        </w:rPr>
        <w:t xml:space="preserve">本企业对上述声明内容的真实性负责。如有虚假，将依法承担相应责任。 </w:t>
      </w:r>
    </w:p>
    <w:p>
      <w:pPr>
        <w:widowControl/>
        <w:ind w:firstLine="480"/>
        <w:jc w:val="center"/>
        <w:rPr>
          <w:rFonts w:hint="eastAsia" w:ascii="宋体" w:hAnsi="宋体" w:cs="宋体"/>
          <w:color w:val="000000"/>
          <w:kern w:val="0"/>
          <w:szCs w:val="24"/>
          <w:lang w:bidi="ar"/>
        </w:rPr>
      </w:pPr>
    </w:p>
    <w:p>
      <w:pPr>
        <w:widowControl/>
        <w:ind w:firstLine="480"/>
        <w:jc w:val="center"/>
        <w:rPr>
          <w:rFonts w:hint="eastAsia" w:ascii="宋体" w:hAnsi="宋体" w:cs="宋体"/>
          <w:szCs w:val="24"/>
        </w:rPr>
      </w:pPr>
      <w:r>
        <w:rPr>
          <w:rFonts w:hint="eastAsia" w:ascii="宋体" w:hAnsi="宋体" w:cs="宋体"/>
          <w:color w:val="000000"/>
          <w:kern w:val="0"/>
          <w:szCs w:val="24"/>
          <w:lang w:bidi="ar"/>
        </w:rPr>
        <w:t xml:space="preserve">企业名称（盖章）： </w:t>
      </w:r>
    </w:p>
    <w:p>
      <w:pPr>
        <w:widowControl/>
        <w:ind w:firstLine="3600" w:firstLineChars="1500"/>
        <w:jc w:val="both"/>
        <w:rPr>
          <w:rFonts w:hint="eastAsia" w:ascii="宋体" w:hAnsi="宋体" w:cs="宋体"/>
          <w:szCs w:val="24"/>
        </w:rPr>
      </w:pPr>
      <w:r>
        <w:rPr>
          <w:rFonts w:hint="eastAsia" w:ascii="宋体" w:hAnsi="宋体" w:cs="宋体"/>
          <w:color w:val="000000"/>
          <w:kern w:val="0"/>
          <w:szCs w:val="24"/>
          <w:lang w:bidi="ar"/>
        </w:rPr>
        <w:t xml:space="preserve">日 期： </w:t>
      </w:r>
    </w:p>
    <w:p>
      <w:pPr>
        <w:widowControl/>
        <w:ind w:firstLine="482"/>
        <w:rPr>
          <w:rFonts w:hint="eastAsia" w:ascii="宋体" w:hAnsi="宋体" w:cs="宋体"/>
          <w:b/>
          <w:bCs/>
          <w:szCs w:val="24"/>
        </w:rPr>
      </w:pPr>
      <w:r>
        <w:rPr>
          <w:rFonts w:hint="eastAsia" w:ascii="宋体" w:hAnsi="宋体" w:cs="宋体"/>
          <w:b/>
          <w:bCs/>
          <w:color w:val="000000"/>
          <w:kern w:val="0"/>
          <w:szCs w:val="24"/>
          <w:lang w:bidi="ar"/>
        </w:rPr>
        <w:t>从业人员、营业收入、资产总额填报上一年度数据，无上一年度数据的新成立企业可不填报。</w:t>
      </w:r>
    </w:p>
    <w:p>
      <w:pPr>
        <w:widowControl/>
        <w:ind w:firstLine="482"/>
        <w:rPr>
          <w:rFonts w:hint="eastAsia" w:ascii="宋体" w:hAnsi="宋体" w:cs="宋体"/>
          <w:b/>
          <w:bCs/>
          <w:color w:val="000000"/>
          <w:kern w:val="0"/>
          <w:szCs w:val="24"/>
          <w:lang w:bidi="ar"/>
        </w:rPr>
      </w:pPr>
      <w:r>
        <w:rPr>
          <w:rFonts w:hint="eastAsia" w:ascii="宋体" w:hAnsi="宋体" w:cs="宋体"/>
          <w:b/>
          <w:bCs/>
          <w:color w:val="000000"/>
          <w:kern w:val="0"/>
          <w:szCs w:val="24"/>
          <w:lang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投标、中标资格，有权终止合同，并报政府采购监管部门。</w:t>
      </w:r>
    </w:p>
    <w:p>
      <w:pPr>
        <w:widowControl/>
        <w:ind w:firstLine="482"/>
        <w:rPr>
          <w:rFonts w:hint="eastAsia"/>
          <w:highlight w:val="none"/>
        </w:rPr>
        <w:sectPr>
          <w:pgSz w:w="11906" w:h="16838"/>
          <w:pgMar w:top="1440" w:right="1274" w:bottom="1440" w:left="1418" w:header="851" w:footer="992" w:gutter="0"/>
          <w:cols w:space="720" w:num="1"/>
          <w:docGrid w:type="lines" w:linePitch="312" w:charSpace="0"/>
        </w:sectPr>
      </w:pPr>
      <w:r>
        <w:rPr>
          <w:rFonts w:hint="eastAsia" w:ascii="宋体" w:hAnsi="宋体" w:cs="宋体"/>
          <w:b/>
          <w:bCs/>
          <w:color w:val="000000"/>
          <w:kern w:val="0"/>
          <w:szCs w:val="24"/>
          <w:highlight w:val="none"/>
          <w:lang w:bidi="ar"/>
        </w:rPr>
        <w:t>本项目采购标的对应的中小企业划分标准所属行业为：其他未列明行业。[依据国务院批准的中小企业划分标准（工信部联企业〔2011〕300号）：从业人员300人以下的为中小微型企业。其中，从业人员100人及以上的为中型企业；从业人员10人及以上的为小型企业；从业人员10人以下的为微型企业。]</w:t>
      </w:r>
    </w:p>
    <w:p>
      <w:pPr>
        <w:pStyle w:val="5"/>
        <w:ind w:left="-325"/>
      </w:pPr>
      <w:bookmarkStart w:id="205" w:name="_Toc22967"/>
      <w:r>
        <w:rPr>
          <w:rFonts w:hint="eastAsia"/>
        </w:rPr>
        <w:t>残疾人福利性单位</w:t>
      </w:r>
      <w:r>
        <w:rPr>
          <w:rFonts w:hint="eastAsia" w:cs="宋体"/>
        </w:rPr>
        <w:t>声明函</w:t>
      </w:r>
      <w:bookmarkEnd w:id="205"/>
    </w:p>
    <w:p>
      <w:pPr>
        <w:ind w:firstLine="506"/>
        <w:jc w:val="center"/>
        <w:rPr>
          <w:rFonts w:ascii="宋体" w:hAnsi="宋体" w:cs="宋体"/>
          <w:b/>
        </w:rPr>
      </w:pPr>
      <w:r>
        <w:rPr>
          <w:rFonts w:hint="eastAsia" w:ascii="宋体" w:hAnsi="宋体" w:cs="宋体"/>
          <w:b/>
        </w:rPr>
        <w:t>残疾人福利性单位声明函</w:t>
      </w:r>
    </w:p>
    <w:p>
      <w:pPr>
        <w:pStyle w:val="2"/>
        <w:ind w:firstLine="504"/>
      </w:pPr>
    </w:p>
    <w:p>
      <w:pPr>
        <w:ind w:firstLine="528"/>
        <w:rPr>
          <w:rFonts w:ascii="宋体" w:hAnsi="宋体" w:cs="宋体"/>
          <w:spacing w:val="6"/>
        </w:rPr>
      </w:pPr>
      <w:r>
        <w:rPr>
          <w:rFonts w:hint="eastAsia" w:ascii="宋体" w:hAnsi="宋体" w:cs="宋体"/>
          <w:spacing w:val="6"/>
        </w:rPr>
        <w:t>本单位郑重声明，根据《财政部 民政部 中国残疾人联合会关于促进残疾人就业政府采购政策的通知》（财库〔2017〕141号）的规定，本单位参加</w:t>
      </w:r>
      <w:r>
        <w:rPr>
          <w:rFonts w:hint="eastAsia" w:ascii="宋体" w:hAnsi="宋体" w:cs="宋体"/>
          <w:spacing w:val="6"/>
          <w:u w:val="single"/>
        </w:rPr>
        <w:t xml:space="preserve">         </w:t>
      </w:r>
      <w:r>
        <w:rPr>
          <w:rFonts w:hint="eastAsia" w:ascii="宋体" w:hAnsi="宋体" w:cs="宋体"/>
          <w:spacing w:val="6"/>
        </w:rPr>
        <w:t>单位的</w:t>
      </w:r>
      <w:r>
        <w:rPr>
          <w:rFonts w:hint="eastAsia" w:ascii="宋体" w:hAnsi="宋体" w:cs="宋体"/>
          <w:spacing w:val="6"/>
          <w:u w:val="single"/>
        </w:rPr>
        <w:t xml:space="preserve">         </w:t>
      </w:r>
      <w:r>
        <w:rPr>
          <w:rFonts w:hint="eastAsia" w:ascii="宋体" w:hAnsi="宋体" w:cs="宋体"/>
          <w:spacing w:val="6"/>
        </w:rPr>
        <w:t>项目采购活动提供</w:t>
      </w:r>
      <w:r>
        <w:rPr>
          <w:rFonts w:hint="eastAsia" w:ascii="宋体" w:hAnsi="宋体" w:cs="宋体"/>
          <w:spacing w:val="6"/>
          <w:u w:val="single"/>
        </w:rPr>
        <w:t xml:space="preserve">                  </w:t>
      </w:r>
      <w:r>
        <w:rPr>
          <w:rFonts w:hint="eastAsia" w:ascii="宋体" w:hAnsi="宋体" w:cs="宋体"/>
          <w:spacing w:val="6"/>
        </w:rPr>
        <w:t>（请填写：本单位或XX单位）制造的货物，该单位为符合条件的残疾人福利性单位，不包括使用非残疾人福利性单位注册商标的货物。</w:t>
      </w:r>
    </w:p>
    <w:p>
      <w:pPr>
        <w:ind w:firstLine="528"/>
        <w:rPr>
          <w:rFonts w:ascii="宋体" w:hAnsi="宋体" w:cs="宋体"/>
          <w:spacing w:val="6"/>
        </w:rPr>
      </w:pPr>
      <w:r>
        <w:rPr>
          <w:rFonts w:hint="eastAsia" w:ascii="宋体" w:hAnsi="宋体" w:cs="宋体"/>
          <w:spacing w:val="6"/>
        </w:rPr>
        <w:t>本单位对上述声明的真实性负责。如有虚假，将依法承担相应责任。</w:t>
      </w:r>
    </w:p>
    <w:p>
      <w:pPr>
        <w:ind w:firstLine="528"/>
        <w:rPr>
          <w:rFonts w:ascii="宋体" w:hAnsi="宋体" w:cs="宋体"/>
          <w:spacing w:val="6"/>
        </w:rPr>
      </w:pPr>
    </w:p>
    <w:p>
      <w:pPr>
        <w:ind w:firstLine="528"/>
        <w:rPr>
          <w:rFonts w:ascii="宋体" w:hAnsi="宋体" w:cs="宋体"/>
          <w:spacing w:val="6"/>
        </w:rPr>
      </w:pPr>
    </w:p>
    <w:p>
      <w:pPr>
        <w:ind w:firstLine="528"/>
        <w:rPr>
          <w:rFonts w:ascii="宋体" w:hAnsi="宋体" w:cs="宋体"/>
          <w:spacing w:val="6"/>
        </w:rPr>
      </w:pPr>
    </w:p>
    <w:p>
      <w:pPr>
        <w:ind w:firstLine="528"/>
        <w:rPr>
          <w:rFonts w:ascii="宋体" w:hAnsi="宋体" w:cs="宋体"/>
          <w:spacing w:val="6"/>
        </w:rPr>
      </w:pPr>
    </w:p>
    <w:p>
      <w:pPr>
        <w:ind w:firstLine="528"/>
        <w:rPr>
          <w:rFonts w:ascii="宋体" w:hAnsi="宋体" w:cs="宋体"/>
          <w:spacing w:val="6"/>
        </w:rPr>
      </w:pPr>
    </w:p>
    <w:p>
      <w:pPr>
        <w:ind w:firstLine="528"/>
        <w:rPr>
          <w:rFonts w:ascii="宋体" w:hAnsi="宋体" w:cs="宋体"/>
          <w:spacing w:val="6"/>
        </w:rPr>
      </w:pPr>
    </w:p>
    <w:p>
      <w:pPr>
        <w:tabs>
          <w:tab w:val="left" w:pos="3969"/>
        </w:tabs>
        <w:ind w:right="-58" w:firstLine="528"/>
        <w:rPr>
          <w:rFonts w:ascii="宋体" w:hAnsi="宋体" w:cs="宋体"/>
          <w:spacing w:val="6"/>
        </w:rPr>
      </w:pPr>
      <w:r>
        <w:rPr>
          <w:rFonts w:hint="eastAsia" w:ascii="宋体" w:hAnsi="宋体" w:cs="宋体"/>
          <w:spacing w:val="6"/>
        </w:rPr>
        <w:t>供应商名称：</w:t>
      </w:r>
      <w:r>
        <w:rPr>
          <w:rFonts w:hint="eastAsia" w:ascii="宋体" w:hAnsi="宋体" w:cs="宋体"/>
          <w:spacing w:val="6"/>
          <w:u w:val="single"/>
        </w:rPr>
        <w:t xml:space="preserve">            </w:t>
      </w:r>
      <w:r>
        <w:rPr>
          <w:rFonts w:hint="eastAsia" w:ascii="宋体" w:hAnsi="宋体" w:cs="宋体"/>
          <w:spacing w:val="6"/>
        </w:rPr>
        <w:t>（加盖单位公章）</w:t>
      </w:r>
    </w:p>
    <w:p>
      <w:pPr>
        <w:ind w:right="560" w:firstLine="504"/>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tabs>
          <w:tab w:val="left" w:pos="3969"/>
        </w:tabs>
        <w:ind w:right="-58" w:firstLine="528"/>
        <w:rPr>
          <w:rFonts w:ascii="宋体" w:hAnsi="宋体" w:cs="宋体"/>
          <w:spacing w:val="6"/>
        </w:rPr>
      </w:pPr>
    </w:p>
    <w:p>
      <w:pPr>
        <w:spacing w:line="520" w:lineRule="exact"/>
        <w:ind w:firstLine="561" w:firstLineChars="0"/>
        <w:jc w:val="both"/>
        <w:rPr>
          <w:rFonts w:hint="eastAsia" w:ascii="宋体" w:hAnsi="宋体"/>
          <w:b/>
          <w:spacing w:val="6"/>
          <w:szCs w:val="24"/>
        </w:rPr>
      </w:pPr>
      <w:r>
        <w:rPr>
          <w:rFonts w:hint="eastAsia" w:ascii="宋体" w:hAnsi="宋体"/>
          <w:b/>
          <w:spacing w:val="6"/>
          <w:szCs w:val="24"/>
        </w:rPr>
        <w:t>说明：非残疾人福利性单位不提供此声明函。中标供应商为残疾人福利性单位的，采购人或者其委托的采购代理机构应当随中标结果同时公告其《残疾人福利性单位声明函》，接受社会监督。供应商提供的《残疾人福利性单位声明函》与事实不符的，依照《中华人民共和国政府采购法》第七十七条第一款的规定追究法律责任。</w:t>
      </w:r>
    </w:p>
    <w:p>
      <w:pPr>
        <w:pStyle w:val="211"/>
        <w:ind w:firstLine="506"/>
        <w:rPr>
          <w:rFonts w:hint="eastAsia"/>
        </w:rPr>
      </w:pPr>
    </w:p>
    <w:p>
      <w:pPr>
        <w:pStyle w:val="2"/>
        <w:ind w:firstLine="504"/>
      </w:pPr>
    </w:p>
    <w:p>
      <w:pPr>
        <w:pStyle w:val="5"/>
        <w:ind w:left="-325"/>
      </w:pPr>
      <w:bookmarkStart w:id="206" w:name="_Toc18373"/>
      <w:r>
        <w:rPr>
          <w:rFonts w:hint="eastAsia"/>
        </w:rPr>
        <w:t>法定代表人身份证明书</w:t>
      </w:r>
      <w:bookmarkEnd w:id="203"/>
      <w:bookmarkEnd w:id="206"/>
    </w:p>
    <w:p>
      <w:pPr>
        <w:tabs>
          <w:tab w:val="left" w:pos="6300"/>
        </w:tabs>
        <w:ind w:firstLine="584"/>
        <w:rPr>
          <w:rFonts w:ascii="宋体" w:hAnsi="宋体"/>
          <w:sz w:val="28"/>
          <w:u w:val="single"/>
          <w:lang w:val="zh-CN"/>
        </w:rPr>
      </w:pPr>
    </w:p>
    <w:p>
      <w:pPr>
        <w:tabs>
          <w:tab w:val="left" w:pos="6300"/>
        </w:tabs>
        <w:ind w:firstLine="504"/>
        <w:rPr>
          <w:rFonts w:ascii="宋体" w:hAnsi="宋体"/>
          <w:szCs w:val="24"/>
          <w:lang w:val="zh-CN"/>
        </w:rPr>
      </w:pPr>
      <w:r>
        <w:rPr>
          <w:rFonts w:hint="eastAsia" w:ascii="宋体" w:hAnsi="宋体"/>
          <w:szCs w:val="24"/>
          <w:u w:val="single"/>
          <w:lang w:val="zh-CN"/>
        </w:rPr>
        <w:t xml:space="preserve">   （法定代表人姓名）         </w:t>
      </w:r>
      <w:r>
        <w:rPr>
          <w:rFonts w:hint="eastAsia" w:ascii="宋体" w:hAnsi="宋体"/>
          <w:szCs w:val="24"/>
          <w:lang w:val="zh-CN"/>
        </w:rPr>
        <w:t>在</w:t>
      </w:r>
      <w:r>
        <w:rPr>
          <w:rFonts w:hint="eastAsia" w:ascii="宋体" w:hAnsi="宋体"/>
          <w:szCs w:val="24"/>
          <w:u w:val="single"/>
          <w:lang w:val="zh-CN"/>
        </w:rPr>
        <w:t xml:space="preserve">          （投标人名称）  </w:t>
      </w:r>
      <w:r>
        <w:rPr>
          <w:rFonts w:hint="eastAsia" w:ascii="宋体" w:hAnsi="宋体"/>
          <w:szCs w:val="24"/>
          <w:lang w:val="zh-CN"/>
        </w:rPr>
        <w:t>处 任</w:t>
      </w:r>
      <w:r>
        <w:rPr>
          <w:rFonts w:hint="eastAsia" w:ascii="宋体" w:hAnsi="宋体"/>
          <w:szCs w:val="24"/>
          <w:u w:val="single"/>
          <w:lang w:val="zh-CN"/>
        </w:rPr>
        <w:t xml:space="preserve">         （职务名称）        </w:t>
      </w:r>
      <w:r>
        <w:rPr>
          <w:rFonts w:hint="eastAsia" w:ascii="宋体" w:hAnsi="宋体"/>
          <w:szCs w:val="24"/>
          <w:lang w:val="zh-CN"/>
        </w:rPr>
        <w:t>职务，是</w:t>
      </w:r>
      <w:r>
        <w:rPr>
          <w:rFonts w:hint="eastAsia" w:ascii="宋体" w:hAnsi="宋体"/>
          <w:szCs w:val="24"/>
          <w:u w:val="single"/>
          <w:lang w:val="zh-CN"/>
        </w:rPr>
        <w:t xml:space="preserve">      （投标人名称）    </w:t>
      </w:r>
      <w:r>
        <w:rPr>
          <w:rFonts w:hint="eastAsia" w:ascii="宋体" w:hAnsi="宋体"/>
          <w:szCs w:val="24"/>
          <w:lang w:val="zh-CN"/>
        </w:rPr>
        <w:t>的法定代表人。</w:t>
      </w:r>
    </w:p>
    <w:p>
      <w:pPr>
        <w:tabs>
          <w:tab w:val="left" w:pos="6300"/>
        </w:tabs>
        <w:ind w:firstLine="504"/>
        <w:rPr>
          <w:rFonts w:ascii="宋体" w:hAnsi="宋体"/>
          <w:szCs w:val="24"/>
          <w:lang w:val="zh-CN"/>
        </w:rPr>
      </w:pPr>
    </w:p>
    <w:p>
      <w:pPr>
        <w:tabs>
          <w:tab w:val="left" w:pos="6300"/>
        </w:tabs>
        <w:ind w:firstLine="504"/>
        <w:rPr>
          <w:rFonts w:ascii="宋体" w:hAnsi="宋体"/>
          <w:szCs w:val="24"/>
          <w:lang w:val="zh-CN"/>
        </w:rPr>
      </w:pPr>
    </w:p>
    <w:p>
      <w:pPr>
        <w:tabs>
          <w:tab w:val="left" w:pos="6300"/>
        </w:tabs>
        <w:ind w:firstLine="504"/>
        <w:rPr>
          <w:rFonts w:ascii="宋体" w:hAnsi="宋体"/>
          <w:szCs w:val="24"/>
          <w:lang w:val="zh-CN"/>
        </w:rPr>
      </w:pPr>
    </w:p>
    <w:p>
      <w:pPr>
        <w:tabs>
          <w:tab w:val="left" w:pos="6300"/>
        </w:tabs>
        <w:ind w:firstLine="504"/>
        <w:rPr>
          <w:rFonts w:ascii="宋体" w:hAnsi="宋体"/>
          <w:szCs w:val="24"/>
          <w:lang w:val="zh-CN"/>
        </w:rPr>
      </w:pPr>
      <w:r>
        <w:rPr>
          <w:rFonts w:hint="eastAsia" w:ascii="宋体" w:hAnsi="宋体"/>
          <w:szCs w:val="24"/>
          <w:lang w:val="zh-CN"/>
        </w:rPr>
        <w:t>特此证明。</w:t>
      </w:r>
    </w:p>
    <w:p>
      <w:pPr>
        <w:tabs>
          <w:tab w:val="left" w:pos="6300"/>
        </w:tabs>
        <w:ind w:firstLine="504"/>
        <w:rPr>
          <w:rFonts w:ascii="宋体" w:hAnsi="宋体"/>
          <w:szCs w:val="24"/>
          <w:lang w:val="zh-CN"/>
        </w:rPr>
      </w:pPr>
    </w:p>
    <w:p>
      <w:pPr>
        <w:tabs>
          <w:tab w:val="left" w:pos="6300"/>
        </w:tabs>
        <w:ind w:firstLine="504"/>
        <w:rPr>
          <w:rFonts w:ascii="宋体" w:hAnsi="宋体"/>
          <w:szCs w:val="24"/>
          <w:lang w:val="zh-CN"/>
        </w:rPr>
      </w:pPr>
    </w:p>
    <w:p>
      <w:pPr>
        <w:tabs>
          <w:tab w:val="left" w:pos="6300"/>
        </w:tabs>
        <w:ind w:firstLine="504"/>
        <w:rPr>
          <w:rFonts w:ascii="宋体" w:hAnsi="宋体"/>
          <w:szCs w:val="24"/>
          <w:lang w:val="zh-CN"/>
        </w:rPr>
      </w:pPr>
    </w:p>
    <w:p>
      <w:pPr>
        <w:tabs>
          <w:tab w:val="left" w:pos="6300"/>
        </w:tabs>
        <w:ind w:firstLine="504"/>
        <w:rPr>
          <w:rFonts w:ascii="宋体" w:hAnsi="宋体"/>
          <w:szCs w:val="24"/>
          <w:lang w:val="zh-CN"/>
        </w:rPr>
      </w:pPr>
    </w:p>
    <w:p>
      <w:pPr>
        <w:ind w:firstLine="504"/>
        <w:rPr>
          <w:rFonts w:ascii="宋体" w:hAnsi="宋体"/>
          <w:szCs w:val="24"/>
          <w:lang w:val="zh-CN"/>
        </w:rPr>
      </w:pPr>
      <w:r>
        <w:rPr>
          <w:rFonts w:hint="eastAsia" w:ascii="宋体" w:hAnsi="宋体"/>
          <w:szCs w:val="24"/>
          <w:lang w:val="zh-CN"/>
        </w:rPr>
        <w:t>投标人名称：</w:t>
      </w:r>
      <w:r>
        <w:rPr>
          <w:rFonts w:hint="eastAsia" w:ascii="宋体" w:hAnsi="宋体"/>
          <w:bCs/>
          <w:szCs w:val="24"/>
          <w:u w:val="single"/>
        </w:rPr>
        <w:t xml:space="preserve">                       </w:t>
      </w:r>
      <w:r>
        <w:rPr>
          <w:rFonts w:hint="eastAsia" w:ascii="宋体" w:hAnsi="宋体"/>
          <w:szCs w:val="24"/>
          <w:lang w:val="zh-CN"/>
        </w:rPr>
        <w:t>（加盖单位公章）</w:t>
      </w:r>
    </w:p>
    <w:p>
      <w:pPr>
        <w:pStyle w:val="26"/>
        <w:spacing w:after="0" w:line="360" w:lineRule="auto"/>
        <w:ind w:left="0" w:leftChars="0" w:firstLine="504"/>
        <w:rPr>
          <w:rFonts w:ascii="宋体" w:hAnsi="宋体"/>
          <w:szCs w:val="24"/>
        </w:rPr>
      </w:pPr>
      <w:r>
        <w:rPr>
          <w:rFonts w:ascii="宋体" w:hAnsi="宋体"/>
          <w:szCs w:val="24"/>
        </w:rPr>
        <w:t>日期：</w:t>
      </w:r>
      <w:r>
        <w:rPr>
          <w:rFonts w:hint="eastAsia" w:ascii="宋体" w:hAnsi="宋体"/>
          <w:szCs w:val="24"/>
          <w:u w:val="single"/>
        </w:rPr>
        <w:t xml:space="preserve">      </w:t>
      </w:r>
      <w:r>
        <w:rPr>
          <w:rFonts w:ascii="宋体" w:hAnsi="宋体"/>
          <w:szCs w:val="24"/>
        </w:rPr>
        <w:t>年</w:t>
      </w:r>
      <w:r>
        <w:rPr>
          <w:rFonts w:hint="eastAsia" w:ascii="宋体" w:hAnsi="宋体"/>
          <w:szCs w:val="24"/>
          <w:u w:val="single"/>
        </w:rPr>
        <w:t xml:space="preserve">      </w:t>
      </w:r>
      <w:r>
        <w:rPr>
          <w:rFonts w:ascii="宋体" w:hAnsi="宋体"/>
          <w:szCs w:val="24"/>
        </w:rPr>
        <w:t>月</w:t>
      </w:r>
      <w:r>
        <w:rPr>
          <w:rFonts w:hint="eastAsia" w:ascii="宋体" w:hAnsi="宋体"/>
          <w:szCs w:val="24"/>
          <w:u w:val="single"/>
        </w:rPr>
        <w:t xml:space="preserve">      </w:t>
      </w:r>
      <w:r>
        <w:rPr>
          <w:rFonts w:ascii="宋体" w:hAnsi="宋体"/>
          <w:szCs w:val="24"/>
        </w:rPr>
        <w:t>日</w:t>
      </w:r>
    </w:p>
    <w:p>
      <w:pPr>
        <w:pStyle w:val="2"/>
        <w:ind w:firstLine="504"/>
      </w:pPr>
    </w:p>
    <w:p>
      <w:pPr>
        <w:ind w:firstLine="506"/>
        <w:rPr>
          <w:rFonts w:hint="eastAsia" w:ascii="宋体" w:hAnsi="宋体" w:cs="宋体"/>
          <w:b/>
          <w:szCs w:val="24"/>
        </w:rPr>
      </w:pPr>
      <w:r>
        <w:rPr>
          <w:rFonts w:hint="eastAsia" w:ascii="宋体" w:hAnsi="宋体"/>
          <w:b/>
          <w:szCs w:val="24"/>
        </w:rPr>
        <w:t>注：后附法定代表人身份证复印件（身份证两面均应复印）或护照复印件（</w:t>
      </w:r>
      <w:r>
        <w:rPr>
          <w:rFonts w:hint="eastAsia" w:ascii="宋体" w:hAnsi="宋体" w:cs="宋体"/>
          <w:b/>
          <w:szCs w:val="24"/>
        </w:rPr>
        <w:t>投标人</w:t>
      </w:r>
      <w:r>
        <w:rPr>
          <w:rFonts w:hint="eastAsia" w:ascii="宋体" w:hAnsi="宋体"/>
          <w:b/>
          <w:szCs w:val="24"/>
        </w:rPr>
        <w:t>的法定代表人为外籍人士的，则提供护照复印件），复印件加盖单位公章。</w:t>
      </w:r>
      <w:r>
        <w:rPr>
          <w:rFonts w:hint="eastAsia" w:ascii="宋体" w:hAnsi="宋体" w:cs="宋体"/>
          <w:b/>
          <w:szCs w:val="24"/>
        </w:rPr>
        <w:t>投标人为自然人无须提供身份证明书，仅提供身份证复印件或护照复印件。</w:t>
      </w:r>
    </w:p>
    <w:p>
      <w:pPr>
        <w:pStyle w:val="14"/>
        <w:spacing w:after="0" w:line="360" w:lineRule="auto"/>
        <w:ind w:firstLine="506"/>
        <w:rPr>
          <w:rFonts w:ascii="宋体" w:hAnsi="宋体"/>
          <w:b/>
          <w:szCs w:val="24"/>
        </w:rPr>
      </w:pPr>
    </w:p>
    <w:p>
      <w:pPr>
        <w:pStyle w:val="14"/>
        <w:spacing w:after="0" w:line="360" w:lineRule="auto"/>
        <w:ind w:firstLine="506"/>
        <w:rPr>
          <w:rFonts w:ascii="宋体" w:hAnsi="宋体"/>
          <w:b/>
          <w:szCs w:val="24"/>
        </w:rPr>
      </w:pPr>
    </w:p>
    <w:p>
      <w:pPr>
        <w:pStyle w:val="14"/>
        <w:spacing w:after="0" w:line="360" w:lineRule="auto"/>
        <w:ind w:firstLine="506"/>
        <w:rPr>
          <w:rFonts w:ascii="宋体" w:hAnsi="宋体"/>
          <w:b/>
          <w:szCs w:val="24"/>
        </w:rPr>
      </w:pPr>
      <w:r>
        <w:rPr>
          <w:rFonts w:hint="eastAsia" w:ascii="宋体" w:hAnsi="宋体"/>
          <w:b/>
          <w:szCs w:val="24"/>
        </w:rPr>
        <w:br w:type="page"/>
      </w:r>
    </w:p>
    <w:p>
      <w:pPr>
        <w:pStyle w:val="5"/>
        <w:ind w:left="-325"/>
      </w:pPr>
      <w:bookmarkStart w:id="207" w:name="_Toc30122"/>
      <w:bookmarkStart w:id="208" w:name="_Toc4748"/>
      <w:r>
        <w:rPr>
          <w:rFonts w:hint="eastAsia"/>
        </w:rPr>
        <w:t>法定代表人授权委托书</w:t>
      </w:r>
      <w:bookmarkEnd w:id="207"/>
      <w:bookmarkEnd w:id="208"/>
    </w:p>
    <w:p>
      <w:pPr>
        <w:ind w:firstLine="504"/>
      </w:pPr>
    </w:p>
    <w:p>
      <w:pPr>
        <w:ind w:firstLine="0" w:firstLineChars="0"/>
        <w:rPr>
          <w:rFonts w:ascii="宋体" w:hAnsi="宋体"/>
          <w:szCs w:val="24"/>
        </w:rPr>
      </w:pPr>
      <w:r>
        <w:rPr>
          <w:rFonts w:hint="eastAsia" w:ascii="宋体" w:hAnsi="宋体"/>
          <w:szCs w:val="24"/>
        </w:rPr>
        <w:t>四川世科工程咨询有限公司：</w:t>
      </w:r>
    </w:p>
    <w:p>
      <w:pPr>
        <w:ind w:firstLine="504"/>
        <w:rPr>
          <w:rFonts w:ascii="宋体" w:hAnsi="宋体"/>
          <w:szCs w:val="24"/>
        </w:rPr>
      </w:pPr>
      <w:r>
        <w:rPr>
          <w:rFonts w:hint="eastAsia" w:ascii="宋体" w:hAnsi="宋体"/>
          <w:szCs w:val="24"/>
          <w:u w:val="single"/>
        </w:rPr>
        <w:t xml:space="preserve">        （投标人名称）</w:t>
      </w:r>
      <w:r>
        <w:rPr>
          <w:rFonts w:hint="eastAsia" w:ascii="宋体" w:hAnsi="宋体"/>
          <w:szCs w:val="24"/>
        </w:rPr>
        <w:t>法定代表人____________ 授权委托___________</w:t>
      </w:r>
      <w:r>
        <w:rPr>
          <w:rFonts w:hint="eastAsia" w:ascii="宋体" w:hAnsi="宋体"/>
          <w:szCs w:val="24"/>
          <w:u w:val="single"/>
        </w:rPr>
        <w:t xml:space="preserve"> </w:t>
      </w:r>
      <w:r>
        <w:rPr>
          <w:rFonts w:hint="eastAsia" w:ascii="宋体" w:hAnsi="宋体"/>
          <w:szCs w:val="24"/>
        </w:rPr>
        <w:t>为我的代理人，参加贵单位组织的</w:t>
      </w:r>
      <w:r>
        <w:rPr>
          <w:rFonts w:hint="eastAsia" w:ascii="宋体" w:hAnsi="宋体"/>
          <w:b/>
          <w:szCs w:val="24"/>
          <w:u w:val="single"/>
          <w:lang w:eastAsia="zh-CN"/>
        </w:rPr>
        <w:t>成都市龙泉驿生态环境局成都市中心城区“6+1”区域智能大气环境监测管治服务采购项目（第二次）</w:t>
      </w:r>
      <w:r>
        <w:rPr>
          <w:rFonts w:hint="eastAsia" w:ascii="宋体" w:hAnsi="宋体"/>
          <w:b/>
          <w:szCs w:val="24"/>
        </w:rPr>
        <w:t>（项目编号：</w:t>
      </w:r>
      <w:r>
        <w:rPr>
          <w:rFonts w:hint="eastAsia" w:ascii="宋体" w:hAnsi="宋体" w:cs="宋体"/>
          <w:b/>
          <w:kern w:val="0"/>
          <w:szCs w:val="24"/>
          <w:u w:val="single"/>
          <w:lang w:eastAsia="zh-CN"/>
        </w:rPr>
        <w:t>510112202100362</w:t>
      </w:r>
      <w:r>
        <w:rPr>
          <w:rFonts w:hint="eastAsia" w:ascii="宋体" w:hAnsi="宋体"/>
          <w:b/>
          <w:szCs w:val="24"/>
        </w:rPr>
        <w:t>）</w:t>
      </w:r>
      <w:r>
        <w:rPr>
          <w:rFonts w:hint="eastAsia" w:ascii="宋体" w:hAnsi="宋体"/>
          <w:szCs w:val="24"/>
        </w:rPr>
        <w:t>的投标。代理人在本次招标中所签署的一切文件和处理的一切有关事宜，我公司均予承认，所产生的法律后果均由我单位承担。</w:t>
      </w:r>
    </w:p>
    <w:p>
      <w:pPr>
        <w:ind w:firstLine="504"/>
        <w:rPr>
          <w:rFonts w:ascii="宋体" w:hAnsi="宋体"/>
          <w:szCs w:val="24"/>
        </w:rPr>
      </w:pPr>
      <w:r>
        <w:rPr>
          <w:rFonts w:hint="eastAsia" w:ascii="宋体" w:hAnsi="宋体"/>
          <w:szCs w:val="24"/>
        </w:rPr>
        <w:t>代理人无转委托权，本授权书自</w:t>
      </w:r>
      <w:r>
        <w:rPr>
          <w:rFonts w:hint="eastAsia" w:ascii="宋体" w:hAnsi="宋体"/>
          <w:szCs w:val="24"/>
          <w:u w:val="single"/>
        </w:rPr>
        <w:t xml:space="preserve">   </w:t>
      </w:r>
      <w:r>
        <w:rPr>
          <w:rFonts w:hint="eastAsia" w:ascii="宋体" w:hAnsi="宋体"/>
          <w:szCs w:val="24"/>
        </w:rPr>
        <w:t>年</w:t>
      </w:r>
      <w:r>
        <w:rPr>
          <w:rFonts w:hint="eastAsia" w:ascii="宋体" w:hAnsi="宋体"/>
          <w:szCs w:val="24"/>
          <w:u w:val="single"/>
        </w:rPr>
        <w:t xml:space="preserve">  </w:t>
      </w:r>
      <w:r>
        <w:rPr>
          <w:rFonts w:hint="eastAsia" w:ascii="宋体" w:hAnsi="宋体"/>
          <w:szCs w:val="24"/>
        </w:rPr>
        <w:t>月</w:t>
      </w:r>
      <w:r>
        <w:rPr>
          <w:rFonts w:hint="eastAsia" w:ascii="宋体" w:hAnsi="宋体"/>
          <w:szCs w:val="24"/>
          <w:u w:val="single"/>
        </w:rPr>
        <w:t xml:space="preserve">  </w:t>
      </w:r>
      <w:r>
        <w:rPr>
          <w:rFonts w:hint="eastAsia" w:ascii="宋体" w:hAnsi="宋体"/>
          <w:szCs w:val="24"/>
        </w:rPr>
        <w:t>日签字生效，特此声明。</w:t>
      </w:r>
    </w:p>
    <w:p>
      <w:pPr>
        <w:pStyle w:val="23"/>
        <w:ind w:firstLine="504"/>
        <w:rPr>
          <w:rFonts w:hAnsi="宋体"/>
          <w:sz w:val="24"/>
          <w:szCs w:val="24"/>
        </w:rPr>
      </w:pPr>
    </w:p>
    <w:p>
      <w:pPr>
        <w:ind w:firstLine="504"/>
        <w:rPr>
          <w:rFonts w:ascii="宋体" w:hAnsi="宋体"/>
          <w:szCs w:val="24"/>
        </w:rPr>
      </w:pPr>
      <w:r>
        <w:rPr>
          <w:rFonts w:hint="eastAsia" w:ascii="宋体" w:hAnsi="宋体"/>
          <w:szCs w:val="24"/>
        </w:rPr>
        <w:t>法定代表人：</w:t>
      </w:r>
      <w:r>
        <w:rPr>
          <w:rFonts w:hint="eastAsia" w:ascii="宋体" w:hAnsi="宋体"/>
          <w:bCs/>
          <w:szCs w:val="24"/>
          <w:u w:val="single"/>
        </w:rPr>
        <w:t xml:space="preserve">               </w:t>
      </w:r>
      <w:r>
        <w:rPr>
          <w:rFonts w:hint="eastAsia" w:ascii="宋体" w:hAnsi="宋体"/>
          <w:szCs w:val="24"/>
        </w:rPr>
        <w:t>（签字或盖法定代表人印章）</w:t>
      </w:r>
    </w:p>
    <w:p>
      <w:pPr>
        <w:ind w:firstLine="504"/>
        <w:rPr>
          <w:rFonts w:ascii="宋体" w:hAnsi="宋体"/>
          <w:szCs w:val="24"/>
        </w:rPr>
      </w:pPr>
    </w:p>
    <w:p>
      <w:pPr>
        <w:pStyle w:val="23"/>
        <w:ind w:firstLine="504"/>
        <w:rPr>
          <w:rFonts w:hAnsi="宋体"/>
          <w:sz w:val="24"/>
          <w:szCs w:val="24"/>
        </w:rPr>
      </w:pPr>
      <w:r>
        <w:rPr>
          <w:rFonts w:hint="eastAsia" w:hAnsi="宋体"/>
          <w:sz w:val="24"/>
          <w:szCs w:val="24"/>
        </w:rPr>
        <w:t>代理人：</w:t>
      </w:r>
      <w:r>
        <w:rPr>
          <w:rFonts w:hint="eastAsia" w:hAnsi="宋体"/>
          <w:bCs/>
          <w:sz w:val="24"/>
          <w:szCs w:val="24"/>
          <w:u w:val="single"/>
        </w:rPr>
        <w:t xml:space="preserve">               </w:t>
      </w:r>
      <w:r>
        <w:rPr>
          <w:rFonts w:hint="eastAsia" w:hAnsi="宋体"/>
          <w:sz w:val="24"/>
          <w:szCs w:val="24"/>
        </w:rPr>
        <w:t>（签字）</w:t>
      </w:r>
    </w:p>
    <w:p>
      <w:pPr>
        <w:ind w:firstLine="504"/>
        <w:rPr>
          <w:rFonts w:ascii="宋体" w:hAnsi="宋体"/>
          <w:szCs w:val="24"/>
        </w:rPr>
      </w:pPr>
    </w:p>
    <w:p>
      <w:pPr>
        <w:ind w:firstLine="504"/>
        <w:rPr>
          <w:rFonts w:ascii="宋体" w:hAnsi="宋体"/>
          <w:szCs w:val="24"/>
        </w:rPr>
      </w:pPr>
      <w:r>
        <w:rPr>
          <w:rFonts w:hint="eastAsia" w:ascii="宋体" w:hAnsi="宋体"/>
          <w:szCs w:val="24"/>
        </w:rPr>
        <w:t>投标人名称：</w:t>
      </w:r>
      <w:r>
        <w:rPr>
          <w:rFonts w:hint="eastAsia" w:ascii="宋体" w:hAnsi="宋体"/>
          <w:bCs/>
          <w:szCs w:val="24"/>
          <w:u w:val="single"/>
        </w:rPr>
        <w:t xml:space="preserve">                       </w:t>
      </w:r>
      <w:r>
        <w:rPr>
          <w:rFonts w:hint="eastAsia" w:ascii="宋体" w:hAnsi="宋体"/>
          <w:szCs w:val="24"/>
        </w:rPr>
        <w:t>（加盖单位公章）</w:t>
      </w:r>
    </w:p>
    <w:p>
      <w:pPr>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6"/>
        <w:spacing w:after="0" w:line="360" w:lineRule="auto"/>
        <w:ind w:left="0" w:leftChars="0" w:firstLine="506"/>
        <w:rPr>
          <w:rFonts w:ascii="宋体" w:hAnsi="宋体"/>
          <w:b/>
          <w:szCs w:val="24"/>
        </w:rPr>
      </w:pPr>
      <w:r>
        <w:rPr>
          <w:rFonts w:hint="eastAsia" w:ascii="宋体" w:hAnsi="宋体"/>
          <w:b/>
          <w:szCs w:val="24"/>
          <w:lang w:val="zh-CN"/>
        </w:rPr>
        <w:t>注：</w:t>
      </w:r>
      <w:r>
        <w:rPr>
          <w:rFonts w:hint="eastAsia" w:ascii="宋体" w:hAnsi="宋体"/>
          <w:b/>
          <w:szCs w:val="24"/>
        </w:rPr>
        <w:t>1、后</w:t>
      </w:r>
      <w:r>
        <w:rPr>
          <w:rFonts w:ascii="宋体" w:hAnsi="宋体"/>
          <w:b/>
          <w:szCs w:val="24"/>
          <w:lang w:val="zh-CN"/>
        </w:rPr>
        <w:t>附代理人身份证复印件（身份证</w:t>
      </w:r>
      <w:r>
        <w:rPr>
          <w:rFonts w:hint="eastAsia" w:ascii="宋体" w:hAnsi="宋体"/>
          <w:b/>
          <w:szCs w:val="24"/>
          <w:lang w:val="zh-CN"/>
        </w:rPr>
        <w:t>两面均应复印</w:t>
      </w:r>
      <w:r>
        <w:rPr>
          <w:rFonts w:ascii="宋体" w:hAnsi="宋体"/>
          <w:b/>
          <w:szCs w:val="24"/>
          <w:lang w:val="zh-CN"/>
        </w:rPr>
        <w:t>）</w:t>
      </w:r>
      <w:r>
        <w:rPr>
          <w:rFonts w:hint="eastAsia" w:ascii="宋体" w:hAnsi="宋体"/>
          <w:b/>
          <w:szCs w:val="24"/>
          <w:lang w:val="zh-CN"/>
        </w:rPr>
        <w:t>并</w:t>
      </w:r>
      <w:r>
        <w:rPr>
          <w:rFonts w:hint="eastAsia" w:ascii="宋体" w:hAnsi="宋体"/>
          <w:b/>
          <w:szCs w:val="24"/>
        </w:rPr>
        <w:t>加盖单位公章</w:t>
      </w:r>
      <w:r>
        <w:rPr>
          <w:rFonts w:ascii="宋体" w:hAnsi="宋体"/>
          <w:b/>
          <w:szCs w:val="24"/>
        </w:rPr>
        <w:t>。</w:t>
      </w:r>
    </w:p>
    <w:p>
      <w:pPr>
        <w:pStyle w:val="26"/>
        <w:spacing w:after="0" w:line="360" w:lineRule="auto"/>
        <w:ind w:left="0" w:leftChars="0" w:firstLine="506"/>
        <w:rPr>
          <w:rFonts w:ascii="宋体" w:hAnsi="宋体"/>
          <w:b/>
          <w:szCs w:val="24"/>
        </w:rPr>
      </w:pPr>
      <w:r>
        <w:rPr>
          <w:rFonts w:hint="eastAsia" w:ascii="宋体" w:hAnsi="宋体"/>
          <w:b/>
          <w:szCs w:val="24"/>
          <w:lang w:val="zh-CN"/>
        </w:rPr>
        <w:t>2、</w:t>
      </w:r>
      <w:r>
        <w:rPr>
          <w:rFonts w:hint="eastAsia" w:ascii="宋体" w:hAnsi="宋体" w:cs="宋体"/>
          <w:b/>
          <w:szCs w:val="24"/>
        </w:rPr>
        <w:t>投标人</w:t>
      </w:r>
      <w:r>
        <w:rPr>
          <w:rFonts w:hint="eastAsia" w:ascii="宋体" w:hAnsi="宋体"/>
          <w:b/>
          <w:szCs w:val="24"/>
        </w:rPr>
        <w:t>的投标文件均由</w:t>
      </w:r>
      <w:r>
        <w:rPr>
          <w:rFonts w:hint="eastAsia" w:ascii="宋体" w:hAnsi="宋体" w:cs="宋体"/>
          <w:b/>
          <w:szCs w:val="24"/>
        </w:rPr>
        <w:t>投标人</w:t>
      </w:r>
      <w:r>
        <w:rPr>
          <w:rFonts w:hint="eastAsia" w:ascii="宋体" w:hAnsi="宋体"/>
          <w:b/>
          <w:szCs w:val="24"/>
        </w:rPr>
        <w:t>法定代表人签字的，可不提供该附件的内容。</w:t>
      </w:r>
    </w:p>
    <w:p>
      <w:pPr>
        <w:pStyle w:val="26"/>
        <w:spacing w:after="0" w:line="360" w:lineRule="auto"/>
        <w:ind w:left="0" w:leftChars="0" w:firstLine="506"/>
        <w:rPr>
          <w:rFonts w:ascii="宋体" w:hAnsi="宋体"/>
          <w:b/>
          <w:szCs w:val="24"/>
        </w:rPr>
      </w:pPr>
    </w:p>
    <w:p>
      <w:pPr>
        <w:pStyle w:val="26"/>
        <w:spacing w:after="0" w:line="360" w:lineRule="auto"/>
        <w:ind w:left="0" w:leftChars="0" w:firstLine="506"/>
        <w:rPr>
          <w:rFonts w:ascii="宋体" w:hAnsi="宋体"/>
          <w:b/>
          <w:szCs w:val="24"/>
        </w:rPr>
      </w:pPr>
    </w:p>
    <w:p>
      <w:pPr>
        <w:pStyle w:val="26"/>
        <w:spacing w:after="0" w:line="360" w:lineRule="auto"/>
        <w:ind w:left="0" w:leftChars="0" w:firstLine="506"/>
        <w:rPr>
          <w:rFonts w:ascii="宋体" w:hAnsi="宋体"/>
          <w:b/>
          <w:szCs w:val="24"/>
        </w:rPr>
      </w:pPr>
    </w:p>
    <w:p>
      <w:pPr>
        <w:pStyle w:val="26"/>
        <w:spacing w:after="0" w:line="360" w:lineRule="auto"/>
        <w:ind w:left="0" w:leftChars="0" w:firstLine="506"/>
        <w:rPr>
          <w:rFonts w:ascii="宋体" w:hAnsi="宋体"/>
          <w:b/>
          <w:szCs w:val="24"/>
        </w:rPr>
      </w:pPr>
    </w:p>
    <w:p>
      <w:pPr>
        <w:pStyle w:val="26"/>
        <w:spacing w:after="0" w:line="360" w:lineRule="auto"/>
        <w:ind w:left="0" w:leftChars="0" w:firstLine="506"/>
        <w:rPr>
          <w:rFonts w:ascii="宋体" w:hAnsi="宋体"/>
          <w:b/>
          <w:szCs w:val="24"/>
        </w:rPr>
      </w:pPr>
    </w:p>
    <w:bookmarkEnd w:id="192"/>
    <w:p>
      <w:pPr>
        <w:pStyle w:val="5"/>
        <w:ind w:left="-325"/>
        <w:rPr>
          <w:rFonts w:hint="eastAsia"/>
        </w:rPr>
      </w:pPr>
      <w:bookmarkStart w:id="209" w:name="_Toc30549"/>
      <w:bookmarkStart w:id="210" w:name="_Toc8633"/>
      <w:bookmarkStart w:id="211" w:name="_Toc265494342"/>
      <w:bookmarkStart w:id="212" w:name="_Toc231030275"/>
      <w:bookmarkStart w:id="213" w:name="_Toc229802674"/>
      <w:bookmarkStart w:id="214" w:name="_Toc237145395"/>
      <w:bookmarkStart w:id="215" w:name="_Toc240367172"/>
      <w:bookmarkStart w:id="216" w:name="_Toc239846734"/>
      <w:bookmarkStart w:id="217" w:name="_Toc314574804"/>
      <w:bookmarkStart w:id="218" w:name="_Toc17556"/>
      <w:bookmarkStart w:id="219" w:name="_Toc239849853"/>
      <w:bookmarkStart w:id="220" w:name="_Toc240865266"/>
      <w:bookmarkStart w:id="221" w:name="_Toc351709662"/>
      <w:r>
        <w:rPr>
          <w:rFonts w:hint="eastAsia"/>
        </w:rPr>
        <w:t>开标一览表</w:t>
      </w:r>
      <w:bookmarkEnd w:id="209"/>
      <w:bookmarkEnd w:id="210"/>
    </w:p>
    <w:p>
      <w:pPr>
        <w:ind w:firstLine="506"/>
        <w:rPr>
          <w:rFonts w:hint="eastAsia" w:eastAsia="宋体"/>
          <w:b/>
          <w:bCs/>
          <w:u w:val="single"/>
          <w:lang w:eastAsia="zh-CN"/>
        </w:rPr>
      </w:pPr>
      <w:bookmarkStart w:id="222" w:name="_Toc5012"/>
      <w:r>
        <w:rPr>
          <w:rFonts w:hint="eastAsia"/>
          <w:b/>
          <w:bCs/>
        </w:rPr>
        <w:t>项目名称</w:t>
      </w:r>
      <w:r>
        <w:rPr>
          <w:rFonts w:hint="eastAsia"/>
        </w:rPr>
        <w:t>：</w:t>
      </w:r>
      <w:bookmarkEnd w:id="222"/>
      <w:r>
        <w:rPr>
          <w:rFonts w:hint="eastAsia" w:ascii="宋体" w:hAnsi="宋体"/>
          <w:b/>
          <w:szCs w:val="24"/>
          <w:u w:val="single"/>
          <w:lang w:eastAsia="zh-CN"/>
        </w:rPr>
        <w:t>成都市龙泉驿生态环境局成都市中心城区“6+1”区域智能大气环境监测管治服务采购项目（第二次）</w:t>
      </w:r>
    </w:p>
    <w:p>
      <w:pPr>
        <w:snapToGrid w:val="0"/>
        <w:ind w:firstLine="506"/>
        <w:rPr>
          <w:rFonts w:hint="eastAsia" w:ascii="宋体" w:hAnsi="宋体" w:eastAsia="宋体"/>
          <w:b/>
          <w:szCs w:val="24"/>
          <w:u w:val="single"/>
          <w:lang w:eastAsia="zh-CN"/>
        </w:rPr>
      </w:pPr>
      <w:r>
        <w:rPr>
          <w:rFonts w:hint="eastAsia" w:ascii="宋体" w:hAnsi="宋体"/>
          <w:b/>
          <w:szCs w:val="24"/>
        </w:rPr>
        <w:t>项目编号：</w:t>
      </w:r>
      <w:r>
        <w:rPr>
          <w:rFonts w:hint="eastAsia" w:ascii="宋体" w:hAnsi="宋体"/>
          <w:b/>
          <w:szCs w:val="24"/>
          <w:u w:val="single"/>
          <w:lang w:eastAsia="zh-CN"/>
        </w:rPr>
        <w:t>510112202100362</w:t>
      </w:r>
    </w:p>
    <w:p>
      <w:pPr>
        <w:pStyle w:val="2"/>
        <w:ind w:firstLine="504"/>
      </w:pPr>
    </w:p>
    <w:tbl>
      <w:tblPr>
        <w:tblStyle w:val="43"/>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533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16" w:type="dxa"/>
            <w:noWrap w:val="0"/>
            <w:vAlign w:val="center"/>
          </w:tcPr>
          <w:p>
            <w:pPr>
              <w:spacing w:line="240" w:lineRule="auto"/>
              <w:ind w:firstLine="0" w:firstLineChars="0"/>
              <w:jc w:val="center"/>
              <w:rPr>
                <w:rFonts w:ascii="宋体" w:hAnsi="宋体" w:cs="宋体"/>
                <w:b/>
                <w:szCs w:val="24"/>
              </w:rPr>
            </w:pPr>
            <w:r>
              <w:rPr>
                <w:rFonts w:hint="eastAsia" w:ascii="宋体" w:hAnsi="宋体" w:cs="宋体"/>
                <w:b/>
                <w:szCs w:val="24"/>
              </w:rPr>
              <w:t>序号</w:t>
            </w:r>
          </w:p>
        </w:tc>
        <w:tc>
          <w:tcPr>
            <w:tcW w:w="5335" w:type="dxa"/>
            <w:noWrap w:val="0"/>
            <w:vAlign w:val="center"/>
          </w:tcPr>
          <w:p>
            <w:pPr>
              <w:spacing w:line="240" w:lineRule="auto"/>
              <w:ind w:firstLine="0" w:firstLineChars="0"/>
              <w:jc w:val="center"/>
              <w:rPr>
                <w:rFonts w:ascii="宋体" w:hAnsi="宋体" w:cs="宋体"/>
                <w:b/>
                <w:szCs w:val="24"/>
              </w:rPr>
            </w:pPr>
            <w:r>
              <w:rPr>
                <w:rFonts w:hint="eastAsia" w:ascii="宋体" w:hAnsi="宋体" w:cs="宋体"/>
                <w:b/>
                <w:szCs w:val="24"/>
              </w:rPr>
              <w:t>名称</w:t>
            </w:r>
          </w:p>
        </w:tc>
        <w:tc>
          <w:tcPr>
            <w:tcW w:w="2420" w:type="dxa"/>
            <w:noWrap w:val="0"/>
            <w:vAlign w:val="center"/>
          </w:tcPr>
          <w:p>
            <w:pPr>
              <w:spacing w:line="240" w:lineRule="auto"/>
              <w:ind w:firstLine="0" w:firstLineChars="0"/>
              <w:jc w:val="center"/>
              <w:rPr>
                <w:rFonts w:ascii="宋体" w:hAnsi="宋体" w:cs="宋体"/>
                <w:b/>
                <w:szCs w:val="24"/>
              </w:rPr>
            </w:pPr>
            <w:r>
              <w:rPr>
                <w:rFonts w:hint="eastAsia" w:ascii="宋体" w:hAnsi="宋体"/>
                <w:b/>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016" w:type="dxa"/>
            <w:noWrap w:val="0"/>
            <w:vAlign w:val="center"/>
          </w:tcPr>
          <w:p>
            <w:pPr>
              <w:spacing w:line="240" w:lineRule="auto"/>
              <w:ind w:firstLine="0" w:firstLineChars="0"/>
              <w:jc w:val="center"/>
              <w:rPr>
                <w:rFonts w:hint="eastAsia" w:ascii="宋体" w:hAnsi="宋体" w:cs="宋体"/>
                <w:b/>
                <w:szCs w:val="24"/>
              </w:rPr>
            </w:pPr>
          </w:p>
          <w:p>
            <w:pPr>
              <w:spacing w:line="240" w:lineRule="auto"/>
              <w:ind w:firstLine="0" w:firstLineChars="0"/>
              <w:jc w:val="center"/>
              <w:rPr>
                <w:rFonts w:hint="eastAsia" w:ascii="宋体" w:hAnsi="宋体" w:cs="宋体"/>
                <w:b/>
                <w:szCs w:val="24"/>
              </w:rPr>
            </w:pPr>
            <w:r>
              <w:rPr>
                <w:rFonts w:hint="eastAsia" w:ascii="宋体" w:hAnsi="宋体" w:cs="宋体"/>
                <w:b/>
                <w:szCs w:val="24"/>
              </w:rPr>
              <w:t>1</w:t>
            </w:r>
          </w:p>
          <w:p>
            <w:pPr>
              <w:spacing w:line="240" w:lineRule="auto"/>
              <w:ind w:firstLine="0" w:firstLineChars="0"/>
              <w:jc w:val="center"/>
              <w:rPr>
                <w:rFonts w:hint="eastAsia" w:ascii="宋体" w:hAnsi="宋体" w:cs="宋体"/>
                <w:b/>
                <w:szCs w:val="24"/>
              </w:rPr>
            </w:pPr>
          </w:p>
        </w:tc>
        <w:tc>
          <w:tcPr>
            <w:tcW w:w="5335" w:type="dxa"/>
            <w:noWrap w:val="0"/>
            <w:vAlign w:val="center"/>
          </w:tcPr>
          <w:p>
            <w:pPr>
              <w:widowControl/>
              <w:ind w:firstLine="0" w:firstLineChars="0"/>
              <w:jc w:val="both"/>
              <w:textAlignment w:val="center"/>
              <w:rPr>
                <w:rFonts w:hint="eastAsia" w:ascii="宋体" w:hAnsi="宋体" w:eastAsia="宋体" w:cs="宋体"/>
                <w:snapToGrid w:val="0"/>
                <w:szCs w:val="24"/>
                <w:lang w:eastAsia="zh-CN"/>
              </w:rPr>
            </w:pPr>
            <w:r>
              <w:rPr>
                <w:rFonts w:hint="eastAsia" w:ascii="宋体" w:hAnsi="宋体"/>
                <w:bCs/>
                <w:szCs w:val="24"/>
                <w:lang w:eastAsia="zh-CN"/>
              </w:rPr>
              <w:t>成都市龙泉驿生态环境局成都市中心城区“6+1”区域智能大气环境监测管治服务采购项目（第二次）</w:t>
            </w:r>
          </w:p>
        </w:tc>
        <w:tc>
          <w:tcPr>
            <w:tcW w:w="2420" w:type="dxa"/>
            <w:noWrap w:val="0"/>
            <w:vAlign w:val="center"/>
          </w:tcPr>
          <w:p>
            <w:pPr>
              <w:widowControl/>
              <w:spacing w:line="240" w:lineRule="auto"/>
              <w:ind w:firstLine="0" w:firstLineChars="0"/>
              <w:jc w:val="center"/>
              <w:textAlignment w:val="center"/>
              <w:rPr>
                <w:rFonts w:ascii="宋体" w:hAnsi="宋体" w:cs="宋体"/>
                <w:snapToGrid w:val="0"/>
                <w:u w:val="single"/>
              </w:rPr>
            </w:pPr>
            <w:r>
              <w:rPr>
                <w:rFonts w:hint="eastAsia" w:ascii="宋体" w:hAnsi="宋体" w:cs="宋体"/>
                <w:snapToGrid w:val="0"/>
                <w:szCs w:val="24"/>
                <w:u w:val="single"/>
              </w:rPr>
              <w:t xml:space="preserve">        </w:t>
            </w:r>
            <w:r>
              <w:rPr>
                <w:rFonts w:hint="eastAsia" w:ascii="宋体" w:hAnsi="宋体" w:cs="宋体"/>
                <w:snapToGrid w:val="0"/>
                <w:szCs w:val="24"/>
              </w:rPr>
              <w:t>元/年</w:t>
            </w:r>
          </w:p>
        </w:tc>
      </w:tr>
    </w:tbl>
    <w:p>
      <w:pPr>
        <w:pStyle w:val="2"/>
        <w:spacing w:line="360" w:lineRule="auto"/>
        <w:ind w:firstLine="506"/>
        <w:rPr>
          <w:rFonts w:ascii="宋体" w:hAnsi="宋体"/>
          <w:b/>
          <w:u w:val="single"/>
        </w:rPr>
      </w:pPr>
    </w:p>
    <w:p>
      <w:pPr>
        <w:ind w:firstLine="506"/>
        <w:rPr>
          <w:rFonts w:ascii="宋体" w:hAnsi="宋体"/>
          <w:b/>
        </w:rPr>
      </w:pPr>
    </w:p>
    <w:p>
      <w:pPr>
        <w:ind w:firstLine="506"/>
        <w:rPr>
          <w:rFonts w:hint="eastAsia" w:ascii="宋体" w:hAnsi="宋体"/>
          <w:b/>
          <w:u w:val="single"/>
        </w:rPr>
      </w:pPr>
      <w:r>
        <w:rPr>
          <w:rFonts w:hint="eastAsia" w:ascii="宋体" w:hAnsi="宋体"/>
          <w:b/>
        </w:rPr>
        <w:t>投标报价（人民币大写）：</w:t>
      </w:r>
      <w:r>
        <w:rPr>
          <w:rFonts w:hint="eastAsia" w:ascii="宋体" w:hAnsi="宋体"/>
          <w:b/>
          <w:u w:val="single"/>
        </w:rPr>
        <w:t xml:space="preserve"> </w:t>
      </w:r>
      <w:r>
        <w:rPr>
          <w:rFonts w:hint="eastAsia" w:ascii="宋体" w:hAnsi="宋体"/>
          <w:b/>
          <w:u w:val="single"/>
        </w:rPr>
        <w:tab/>
      </w:r>
      <w:r>
        <w:rPr>
          <w:rFonts w:hint="eastAsia" w:ascii="宋体" w:hAnsi="宋体"/>
          <w:b/>
          <w:u w:val="single"/>
        </w:rPr>
        <w:tab/>
      </w:r>
      <w:r>
        <w:rPr>
          <w:rFonts w:hint="eastAsia" w:ascii="宋体" w:hAnsi="宋体"/>
          <w:b/>
          <w:u w:val="single"/>
        </w:rPr>
        <w:tab/>
      </w:r>
      <w:r>
        <w:rPr>
          <w:rFonts w:hint="eastAsia" w:ascii="宋体" w:hAnsi="宋体"/>
          <w:b/>
          <w:u w:val="single"/>
        </w:rPr>
        <w:tab/>
      </w:r>
      <w:r>
        <w:rPr>
          <w:rFonts w:hint="eastAsia" w:ascii="宋体" w:hAnsi="宋体"/>
          <w:b/>
          <w:u w:val="single"/>
        </w:rPr>
        <w:tab/>
      </w:r>
      <w:r>
        <w:rPr>
          <w:rFonts w:hint="eastAsia" w:ascii="宋体" w:hAnsi="宋体"/>
          <w:b/>
          <w:u w:val="single"/>
        </w:rPr>
        <w:tab/>
      </w:r>
      <w:r>
        <w:rPr>
          <w:rFonts w:hint="eastAsia" w:ascii="宋体" w:hAnsi="宋体"/>
          <w:b/>
          <w:u w:val="single"/>
        </w:rPr>
        <w:tab/>
      </w:r>
      <w:r>
        <w:rPr>
          <w:rFonts w:hint="eastAsia" w:ascii="宋体" w:hAnsi="宋体"/>
          <w:b/>
          <w:u w:val="single"/>
        </w:rPr>
        <w:t xml:space="preserve">      （每年）</w:t>
      </w:r>
    </w:p>
    <w:p>
      <w:pPr>
        <w:pStyle w:val="204"/>
        <w:ind w:firstLine="504"/>
      </w:pPr>
    </w:p>
    <w:p>
      <w:pPr>
        <w:ind w:firstLine="504"/>
        <w:rPr>
          <w:rFonts w:ascii="宋体" w:hAnsi="宋体"/>
        </w:rPr>
      </w:pPr>
      <w:r>
        <w:rPr>
          <w:rFonts w:hint="eastAsia" w:ascii="宋体" w:hAnsi="宋体"/>
        </w:rPr>
        <w:t>供应商名称：</w:t>
      </w:r>
      <w:r>
        <w:rPr>
          <w:rFonts w:hint="eastAsia" w:ascii="宋体" w:hAnsi="宋体"/>
          <w:u w:val="single"/>
        </w:rPr>
        <w:t xml:space="preserve">                      </w:t>
      </w:r>
      <w:r>
        <w:rPr>
          <w:rFonts w:hint="eastAsia" w:ascii="宋体" w:hAnsi="宋体"/>
        </w:rPr>
        <w:t>（加盖单位公章）</w:t>
      </w:r>
    </w:p>
    <w:p>
      <w:pPr>
        <w:ind w:firstLine="504"/>
        <w:rPr>
          <w:rFonts w:ascii="宋体" w:hAnsi="宋体"/>
        </w:rPr>
      </w:pPr>
      <w:r>
        <w:rPr>
          <w:rFonts w:hint="eastAsia" w:ascii="宋体" w:hAnsi="宋体"/>
        </w:rPr>
        <w:t>法定代表人或代理人：</w:t>
      </w:r>
      <w:r>
        <w:rPr>
          <w:rFonts w:hint="eastAsia" w:ascii="宋体" w:hAnsi="宋体"/>
          <w:u w:val="single"/>
        </w:rPr>
        <w:t xml:space="preserve">           </w:t>
      </w:r>
      <w:r>
        <w:rPr>
          <w:rFonts w:hint="eastAsia" w:ascii="宋体" w:hAnsi="宋体"/>
        </w:rPr>
        <w:t>（签字）</w:t>
      </w:r>
    </w:p>
    <w:p>
      <w:pPr>
        <w:ind w:right="560" w:firstLine="504"/>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204"/>
        <w:ind w:firstLine="506"/>
        <w:rPr>
          <w:rFonts w:hint="eastAsia" w:ascii="宋体" w:hAnsi="宋体"/>
          <w:b/>
          <w:bCs/>
        </w:rPr>
      </w:pPr>
    </w:p>
    <w:p>
      <w:pPr>
        <w:pStyle w:val="14"/>
        <w:adjustRightInd w:val="0"/>
        <w:snapToGrid w:val="0"/>
        <w:spacing w:line="360" w:lineRule="auto"/>
        <w:ind w:firstLine="506"/>
        <w:rPr>
          <w:rFonts w:hint="eastAsia" w:ascii="宋体" w:hAnsi="宋体" w:cs="宋体"/>
          <w:szCs w:val="24"/>
        </w:rPr>
      </w:pPr>
      <w:r>
        <w:rPr>
          <w:rFonts w:hint="eastAsia" w:ascii="宋体" w:hAnsi="宋体"/>
          <w:b/>
          <w:bCs/>
          <w:szCs w:val="24"/>
        </w:rPr>
        <w:t>说明：</w:t>
      </w:r>
      <w:r>
        <w:rPr>
          <w:rFonts w:hint="eastAsia" w:ascii="宋体" w:hAnsi="宋体" w:cs="宋体"/>
          <w:szCs w:val="24"/>
        </w:rPr>
        <w:t>本项目为政府购买服务项目，采购人向投标人购买智能化监测和运营服务，投标人为项目提供数据和功能服务，所需要建设的硬件及相关设施由投标人自行负责建设，所涉及的费用自行在报价中进行考虑。</w:t>
      </w:r>
      <w:r>
        <w:rPr>
          <w:rFonts w:hint="eastAsia" w:ascii="宋体" w:hAnsi="宋体"/>
          <w:szCs w:val="24"/>
        </w:rPr>
        <w:t>投标报价为综合报价，包含人工费、设备费、运输安装费、服务分、管理费、保险、税金等所有费用。</w:t>
      </w:r>
    </w:p>
    <w:p>
      <w:pPr>
        <w:pStyle w:val="204"/>
        <w:ind w:firstLine="506"/>
        <w:rPr>
          <w:rFonts w:hint="eastAsia" w:ascii="宋体" w:hAnsi="宋体"/>
          <w:b/>
          <w:bCs/>
        </w:rPr>
      </w:pPr>
    </w:p>
    <w:p>
      <w:pPr>
        <w:pStyle w:val="204"/>
        <w:ind w:firstLine="506"/>
        <w:rPr>
          <w:rFonts w:hint="eastAsia" w:ascii="宋体" w:hAnsi="宋体"/>
          <w:b/>
          <w:bCs/>
        </w:rPr>
      </w:pPr>
    </w:p>
    <w:p>
      <w:pPr>
        <w:pStyle w:val="204"/>
        <w:ind w:firstLine="506"/>
        <w:rPr>
          <w:rFonts w:hint="eastAsia" w:ascii="宋体" w:hAnsi="宋体"/>
          <w:b/>
          <w:bCs/>
        </w:rPr>
      </w:pPr>
    </w:p>
    <w:p>
      <w:pPr>
        <w:pStyle w:val="204"/>
        <w:ind w:firstLine="506"/>
        <w:rPr>
          <w:rFonts w:hint="eastAsia" w:ascii="宋体" w:hAnsi="宋体"/>
          <w:b/>
          <w:bCs/>
        </w:rPr>
      </w:pPr>
    </w:p>
    <w:p>
      <w:pPr>
        <w:pStyle w:val="204"/>
        <w:ind w:firstLine="506"/>
        <w:rPr>
          <w:rFonts w:hint="eastAsia" w:ascii="宋体" w:hAnsi="宋体"/>
          <w:b/>
          <w:bCs/>
        </w:rPr>
      </w:pPr>
    </w:p>
    <w:p>
      <w:pPr>
        <w:pStyle w:val="204"/>
        <w:ind w:firstLine="506"/>
        <w:rPr>
          <w:rFonts w:hint="eastAsia" w:ascii="宋体" w:hAnsi="宋体"/>
          <w:b/>
          <w:bCs/>
        </w:rPr>
      </w:pPr>
    </w:p>
    <w:bookmarkEnd w:id="211"/>
    <w:bookmarkEnd w:id="212"/>
    <w:bookmarkEnd w:id="213"/>
    <w:bookmarkEnd w:id="214"/>
    <w:bookmarkEnd w:id="215"/>
    <w:bookmarkEnd w:id="216"/>
    <w:bookmarkEnd w:id="217"/>
    <w:bookmarkEnd w:id="218"/>
    <w:bookmarkEnd w:id="219"/>
    <w:bookmarkEnd w:id="220"/>
    <w:bookmarkEnd w:id="221"/>
    <w:p>
      <w:pPr>
        <w:pStyle w:val="5"/>
        <w:ind w:left="-325"/>
      </w:pPr>
      <w:bookmarkStart w:id="223" w:name="_Toc11723"/>
      <w:bookmarkStart w:id="224" w:name="_Toc302997926"/>
      <w:bookmarkStart w:id="225" w:name="_Toc15436"/>
      <w:bookmarkStart w:id="226" w:name="_Toc220299393"/>
      <w:bookmarkStart w:id="227" w:name="_Toc263753605"/>
      <w:bookmarkStart w:id="228" w:name="_Toc263768870"/>
      <w:bookmarkStart w:id="229" w:name="_Toc217446083"/>
      <w:r>
        <w:rPr>
          <w:rFonts w:hint="eastAsia"/>
        </w:rPr>
        <w:t>分项报价明细表</w:t>
      </w:r>
      <w:bookmarkEnd w:id="223"/>
    </w:p>
    <w:p>
      <w:pPr>
        <w:ind w:firstLine="506"/>
        <w:rPr>
          <w:rFonts w:hint="eastAsia" w:ascii="宋体" w:hAnsi="宋体" w:eastAsia="宋体" w:cs="宋体"/>
          <w:b/>
          <w:bCs/>
          <w:u w:val="single"/>
          <w:lang w:eastAsia="zh-CN"/>
        </w:rPr>
      </w:pPr>
      <w:r>
        <w:rPr>
          <w:rFonts w:hint="eastAsia" w:ascii="宋体" w:hAnsi="宋体" w:cs="宋体"/>
          <w:b/>
          <w:bCs/>
        </w:rPr>
        <w:t>项目名称</w:t>
      </w:r>
      <w:r>
        <w:rPr>
          <w:rFonts w:hint="eastAsia" w:ascii="宋体" w:hAnsi="宋体" w:cs="宋体"/>
        </w:rPr>
        <w:t>：</w:t>
      </w:r>
      <w:r>
        <w:rPr>
          <w:rFonts w:hint="eastAsia" w:ascii="宋体" w:hAnsi="宋体" w:cs="宋体"/>
          <w:b/>
          <w:szCs w:val="24"/>
          <w:u w:val="single"/>
          <w:lang w:eastAsia="zh-CN"/>
        </w:rPr>
        <w:t>成都市龙泉驿生态环境局成都市中心城区“6+1”区域智能大气环境监测管治服务采购项目（第二次）</w:t>
      </w:r>
    </w:p>
    <w:p>
      <w:pPr>
        <w:snapToGrid w:val="0"/>
        <w:ind w:firstLine="506"/>
        <w:rPr>
          <w:rFonts w:hint="eastAsia" w:ascii="宋体" w:hAnsi="宋体" w:eastAsia="宋体" w:cs="宋体"/>
          <w:b/>
          <w:szCs w:val="24"/>
          <w:u w:val="single"/>
          <w:lang w:eastAsia="zh-CN"/>
        </w:rPr>
      </w:pPr>
      <w:r>
        <w:rPr>
          <w:rFonts w:hint="eastAsia" w:ascii="宋体" w:hAnsi="宋体" w:cs="宋体"/>
          <w:b/>
          <w:szCs w:val="24"/>
        </w:rPr>
        <w:t>项目编号：</w:t>
      </w:r>
      <w:r>
        <w:rPr>
          <w:rFonts w:hint="eastAsia" w:ascii="宋体" w:hAnsi="宋体" w:cs="宋体"/>
          <w:b/>
          <w:szCs w:val="24"/>
          <w:u w:val="single"/>
          <w:lang w:eastAsia="zh-CN"/>
        </w:rPr>
        <w:t>510112202100362</w:t>
      </w:r>
    </w:p>
    <w:p>
      <w:pPr>
        <w:ind w:firstLine="504"/>
      </w:pPr>
    </w:p>
    <w:p>
      <w:pPr>
        <w:pStyle w:val="2"/>
        <w:ind w:firstLine="504"/>
      </w:pPr>
    </w:p>
    <w:p>
      <w:pPr>
        <w:ind w:firstLine="504"/>
      </w:pPr>
    </w:p>
    <w:p>
      <w:pPr>
        <w:pStyle w:val="2"/>
        <w:ind w:firstLine="504"/>
      </w:pPr>
    </w:p>
    <w:p>
      <w:pPr>
        <w:ind w:firstLine="504"/>
      </w:pPr>
    </w:p>
    <w:p>
      <w:pPr>
        <w:pStyle w:val="2"/>
        <w:ind w:firstLine="504"/>
      </w:pPr>
    </w:p>
    <w:p>
      <w:pPr>
        <w:ind w:firstLine="504"/>
      </w:pPr>
    </w:p>
    <w:p>
      <w:pPr>
        <w:pStyle w:val="2"/>
        <w:ind w:firstLine="504"/>
      </w:pPr>
    </w:p>
    <w:p>
      <w:pPr>
        <w:ind w:firstLine="504"/>
      </w:pPr>
    </w:p>
    <w:p>
      <w:pPr>
        <w:pStyle w:val="2"/>
        <w:ind w:firstLine="504"/>
      </w:pPr>
    </w:p>
    <w:p>
      <w:pPr>
        <w:ind w:firstLine="504"/>
      </w:pPr>
    </w:p>
    <w:p>
      <w:pPr>
        <w:pStyle w:val="2"/>
        <w:ind w:firstLine="504"/>
      </w:pPr>
    </w:p>
    <w:p>
      <w:pPr>
        <w:ind w:firstLine="504"/>
      </w:pPr>
    </w:p>
    <w:p>
      <w:pPr>
        <w:pStyle w:val="2"/>
        <w:ind w:firstLine="504"/>
      </w:pPr>
    </w:p>
    <w:p>
      <w:pPr>
        <w:ind w:firstLine="504"/>
      </w:pPr>
    </w:p>
    <w:p>
      <w:pPr>
        <w:pStyle w:val="2"/>
        <w:ind w:firstLine="504"/>
      </w:pPr>
    </w:p>
    <w:p>
      <w:pPr>
        <w:ind w:firstLine="504"/>
      </w:pPr>
    </w:p>
    <w:p>
      <w:pPr>
        <w:pStyle w:val="2"/>
        <w:ind w:firstLine="504"/>
      </w:pPr>
    </w:p>
    <w:p>
      <w:pPr>
        <w:ind w:firstLine="504"/>
      </w:pPr>
    </w:p>
    <w:p>
      <w:pPr>
        <w:ind w:firstLine="504"/>
        <w:rPr>
          <w:rFonts w:ascii="宋体" w:hAnsi="宋体"/>
        </w:rPr>
      </w:pPr>
      <w:r>
        <w:rPr>
          <w:rFonts w:hint="eastAsia" w:ascii="宋体" w:hAnsi="宋体"/>
        </w:rPr>
        <w:t>供应商名称：</w:t>
      </w:r>
      <w:r>
        <w:rPr>
          <w:rFonts w:hint="eastAsia" w:ascii="宋体" w:hAnsi="宋体"/>
          <w:u w:val="single"/>
        </w:rPr>
        <w:t xml:space="preserve">                      </w:t>
      </w:r>
      <w:r>
        <w:rPr>
          <w:rFonts w:hint="eastAsia" w:ascii="宋体" w:hAnsi="宋体"/>
        </w:rPr>
        <w:t>（加盖单位公章）</w:t>
      </w:r>
    </w:p>
    <w:p>
      <w:pPr>
        <w:ind w:firstLine="504"/>
        <w:rPr>
          <w:rFonts w:ascii="宋体" w:hAnsi="宋体"/>
        </w:rPr>
      </w:pPr>
      <w:r>
        <w:rPr>
          <w:rFonts w:hint="eastAsia" w:ascii="宋体" w:hAnsi="宋体"/>
        </w:rPr>
        <w:t>法定代表人或代理人：</w:t>
      </w:r>
      <w:r>
        <w:rPr>
          <w:rFonts w:hint="eastAsia" w:ascii="宋体" w:hAnsi="宋体"/>
          <w:u w:val="single"/>
        </w:rPr>
        <w:t xml:space="preserve">           </w:t>
      </w:r>
      <w:r>
        <w:rPr>
          <w:rFonts w:hint="eastAsia" w:ascii="宋体" w:hAnsi="宋体"/>
        </w:rPr>
        <w:t>（签字）</w:t>
      </w:r>
    </w:p>
    <w:p>
      <w:pPr>
        <w:ind w:right="560" w:firstLine="504"/>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2"/>
        <w:ind w:firstLine="504"/>
        <w:rPr>
          <w:rFonts w:hint="eastAsia"/>
        </w:rPr>
      </w:pPr>
    </w:p>
    <w:p>
      <w:pPr>
        <w:pStyle w:val="2"/>
        <w:widowControl/>
        <w:spacing w:line="360" w:lineRule="auto"/>
        <w:ind w:firstLine="504"/>
      </w:pPr>
      <w:r>
        <w:rPr>
          <w:rFonts w:hint="eastAsia"/>
        </w:rPr>
        <w:t>注：格式自拟，投标人应列出报价的详细组成，各分项报价合计应当与开标一览表中投标报价相等。</w:t>
      </w:r>
    </w:p>
    <w:p>
      <w:pPr>
        <w:ind w:firstLine="504"/>
      </w:pPr>
    </w:p>
    <w:p>
      <w:pPr>
        <w:pStyle w:val="5"/>
        <w:ind w:left="-325"/>
      </w:pPr>
      <w:bookmarkStart w:id="230" w:name="_Toc32612"/>
      <w:r>
        <w:rPr>
          <w:rFonts w:hint="eastAsia"/>
        </w:rPr>
        <w:t>投标人基本情况表</w:t>
      </w:r>
      <w:bookmarkEnd w:id="224"/>
      <w:bookmarkEnd w:id="225"/>
      <w:bookmarkEnd w:id="230"/>
    </w:p>
    <w:tbl>
      <w:tblPr>
        <w:tblStyle w:val="43"/>
        <w:tblW w:w="9525" w:type="dxa"/>
        <w:tblInd w:w="-10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25"/>
        <w:gridCol w:w="1020"/>
        <w:gridCol w:w="1067"/>
        <w:gridCol w:w="1248"/>
        <w:gridCol w:w="8"/>
        <w:gridCol w:w="1318"/>
        <w:gridCol w:w="694"/>
        <w:gridCol w:w="478"/>
        <w:gridCol w:w="19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投标人名称</w:t>
            </w:r>
          </w:p>
        </w:tc>
        <w:tc>
          <w:tcPr>
            <w:tcW w:w="7800" w:type="dxa"/>
            <w:gridSpan w:val="8"/>
            <w:noWrap w:val="0"/>
            <w:vAlign w:val="center"/>
          </w:tcPr>
          <w:p>
            <w:pPr>
              <w:autoSpaceDE w:val="0"/>
              <w:autoSpaceDN w:val="0"/>
              <w:adjustRightInd w:val="0"/>
              <w:ind w:firstLine="0" w:firstLineChars="0"/>
              <w:jc w:val="center"/>
              <w:rPr>
                <w:rFonts w:ascii="宋体" w:hAnsi="宋体"/>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注册地址</w:t>
            </w:r>
          </w:p>
        </w:tc>
        <w:tc>
          <w:tcPr>
            <w:tcW w:w="3343" w:type="dxa"/>
            <w:gridSpan w:val="4"/>
            <w:noWrap w:val="0"/>
            <w:vAlign w:val="center"/>
          </w:tcPr>
          <w:p>
            <w:pPr>
              <w:autoSpaceDE w:val="0"/>
              <w:autoSpaceDN w:val="0"/>
              <w:adjustRightInd w:val="0"/>
              <w:ind w:firstLine="0" w:firstLineChars="0"/>
              <w:jc w:val="center"/>
              <w:rPr>
                <w:rFonts w:ascii="宋体" w:hAnsi="宋体"/>
                <w:kern w:val="0"/>
                <w:szCs w:val="24"/>
              </w:rPr>
            </w:pPr>
          </w:p>
        </w:tc>
        <w:tc>
          <w:tcPr>
            <w:tcW w:w="1318"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邮政编码</w:t>
            </w:r>
          </w:p>
        </w:tc>
        <w:tc>
          <w:tcPr>
            <w:tcW w:w="3139" w:type="dxa"/>
            <w:gridSpan w:val="3"/>
            <w:noWrap w:val="0"/>
            <w:vAlign w:val="center"/>
          </w:tcPr>
          <w:p>
            <w:pPr>
              <w:autoSpaceDE w:val="0"/>
              <w:autoSpaceDN w:val="0"/>
              <w:adjustRightInd w:val="0"/>
              <w:ind w:firstLine="0" w:firstLineChars="0"/>
              <w:jc w:val="center"/>
              <w:rPr>
                <w:rFonts w:ascii="宋体" w:hAnsi="宋体"/>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25" w:type="dxa"/>
            <w:vMerge w:val="restart"/>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联系方式</w:t>
            </w:r>
          </w:p>
        </w:tc>
        <w:tc>
          <w:tcPr>
            <w:tcW w:w="1020"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联系人</w:t>
            </w:r>
          </w:p>
        </w:tc>
        <w:tc>
          <w:tcPr>
            <w:tcW w:w="2315"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1326" w:type="dxa"/>
            <w:gridSpan w:val="2"/>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电话</w:t>
            </w:r>
          </w:p>
        </w:tc>
        <w:tc>
          <w:tcPr>
            <w:tcW w:w="3139" w:type="dxa"/>
            <w:gridSpan w:val="3"/>
            <w:noWrap w:val="0"/>
            <w:vAlign w:val="center"/>
          </w:tcPr>
          <w:p>
            <w:pPr>
              <w:autoSpaceDE w:val="0"/>
              <w:autoSpaceDN w:val="0"/>
              <w:adjustRightInd w:val="0"/>
              <w:ind w:firstLine="0" w:firstLineChars="0"/>
              <w:jc w:val="center"/>
              <w:rPr>
                <w:rFonts w:ascii="宋体" w:hAnsi="宋体"/>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25" w:type="dxa"/>
            <w:vMerge w:val="continue"/>
            <w:noWrap w:val="0"/>
            <w:vAlign w:val="center"/>
          </w:tcPr>
          <w:p>
            <w:pPr>
              <w:autoSpaceDE w:val="0"/>
              <w:autoSpaceDN w:val="0"/>
              <w:adjustRightInd w:val="0"/>
              <w:ind w:firstLine="0" w:firstLineChars="0"/>
              <w:jc w:val="center"/>
              <w:rPr>
                <w:rFonts w:ascii="宋体" w:hAnsi="宋体"/>
                <w:kern w:val="0"/>
                <w:szCs w:val="24"/>
              </w:rPr>
            </w:pPr>
          </w:p>
        </w:tc>
        <w:tc>
          <w:tcPr>
            <w:tcW w:w="1020"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传真</w:t>
            </w:r>
          </w:p>
        </w:tc>
        <w:tc>
          <w:tcPr>
            <w:tcW w:w="2315"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1326" w:type="dxa"/>
            <w:gridSpan w:val="2"/>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网址</w:t>
            </w:r>
          </w:p>
        </w:tc>
        <w:tc>
          <w:tcPr>
            <w:tcW w:w="3139" w:type="dxa"/>
            <w:gridSpan w:val="3"/>
            <w:noWrap w:val="0"/>
            <w:vAlign w:val="center"/>
          </w:tcPr>
          <w:p>
            <w:pPr>
              <w:autoSpaceDE w:val="0"/>
              <w:autoSpaceDN w:val="0"/>
              <w:adjustRightInd w:val="0"/>
              <w:ind w:firstLine="0" w:firstLineChars="0"/>
              <w:jc w:val="center"/>
              <w:rPr>
                <w:rFonts w:ascii="宋体" w:hAnsi="宋体"/>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单位性质</w:t>
            </w:r>
          </w:p>
        </w:tc>
        <w:tc>
          <w:tcPr>
            <w:tcW w:w="7800" w:type="dxa"/>
            <w:gridSpan w:val="8"/>
            <w:noWrap w:val="0"/>
            <w:vAlign w:val="center"/>
          </w:tcPr>
          <w:p>
            <w:pPr>
              <w:autoSpaceDE w:val="0"/>
              <w:autoSpaceDN w:val="0"/>
              <w:adjustRightInd w:val="0"/>
              <w:ind w:firstLine="0" w:firstLineChars="0"/>
              <w:jc w:val="center"/>
              <w:rPr>
                <w:rFonts w:ascii="宋体" w:hAnsi="宋体"/>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法定代表人</w:t>
            </w:r>
          </w:p>
        </w:tc>
        <w:tc>
          <w:tcPr>
            <w:tcW w:w="1020"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姓名</w:t>
            </w:r>
          </w:p>
        </w:tc>
        <w:tc>
          <w:tcPr>
            <w:tcW w:w="1067" w:type="dxa"/>
            <w:noWrap w:val="0"/>
            <w:vAlign w:val="center"/>
          </w:tcPr>
          <w:p>
            <w:pPr>
              <w:autoSpaceDE w:val="0"/>
              <w:autoSpaceDN w:val="0"/>
              <w:adjustRightInd w:val="0"/>
              <w:ind w:firstLine="0" w:firstLineChars="0"/>
              <w:jc w:val="center"/>
              <w:rPr>
                <w:rFonts w:ascii="宋体" w:hAnsi="宋体"/>
                <w:kern w:val="0"/>
                <w:szCs w:val="24"/>
              </w:rPr>
            </w:pPr>
          </w:p>
        </w:tc>
        <w:tc>
          <w:tcPr>
            <w:tcW w:w="1248"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技术职称</w:t>
            </w:r>
          </w:p>
        </w:tc>
        <w:tc>
          <w:tcPr>
            <w:tcW w:w="1326"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1172" w:type="dxa"/>
            <w:gridSpan w:val="2"/>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电话</w:t>
            </w:r>
          </w:p>
        </w:tc>
        <w:tc>
          <w:tcPr>
            <w:tcW w:w="1967" w:type="dxa"/>
            <w:noWrap w:val="0"/>
            <w:vAlign w:val="center"/>
          </w:tcPr>
          <w:p>
            <w:pPr>
              <w:autoSpaceDE w:val="0"/>
              <w:autoSpaceDN w:val="0"/>
              <w:adjustRightInd w:val="0"/>
              <w:ind w:firstLine="0" w:firstLineChars="0"/>
              <w:jc w:val="center"/>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trPr>
        <w:tc>
          <w:tcPr>
            <w:tcW w:w="1725" w:type="dxa"/>
            <w:tcBorders>
              <w:bottom w:val="single" w:color="auto" w:sz="4" w:space="0"/>
            </w:tcBorders>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技术负责人</w:t>
            </w:r>
          </w:p>
        </w:tc>
        <w:tc>
          <w:tcPr>
            <w:tcW w:w="1020" w:type="dxa"/>
            <w:tcBorders>
              <w:bottom w:val="single" w:color="auto" w:sz="4" w:space="0"/>
            </w:tcBorders>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姓名</w:t>
            </w:r>
          </w:p>
        </w:tc>
        <w:tc>
          <w:tcPr>
            <w:tcW w:w="1067" w:type="dxa"/>
            <w:tcBorders>
              <w:bottom w:val="single" w:color="auto" w:sz="4" w:space="0"/>
            </w:tcBorders>
            <w:noWrap w:val="0"/>
            <w:vAlign w:val="center"/>
          </w:tcPr>
          <w:p>
            <w:pPr>
              <w:autoSpaceDE w:val="0"/>
              <w:autoSpaceDN w:val="0"/>
              <w:adjustRightInd w:val="0"/>
              <w:ind w:firstLine="0" w:firstLineChars="0"/>
              <w:jc w:val="center"/>
              <w:rPr>
                <w:rFonts w:ascii="宋体" w:hAnsi="宋体"/>
                <w:kern w:val="0"/>
                <w:szCs w:val="24"/>
              </w:rPr>
            </w:pPr>
          </w:p>
        </w:tc>
        <w:tc>
          <w:tcPr>
            <w:tcW w:w="1248" w:type="dxa"/>
            <w:tcBorders>
              <w:bottom w:val="single" w:color="auto" w:sz="4" w:space="0"/>
            </w:tcBorders>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技术职称</w:t>
            </w:r>
          </w:p>
        </w:tc>
        <w:tc>
          <w:tcPr>
            <w:tcW w:w="1326" w:type="dxa"/>
            <w:gridSpan w:val="2"/>
            <w:tcBorders>
              <w:bottom w:val="single" w:color="auto" w:sz="4" w:space="0"/>
            </w:tcBorders>
            <w:noWrap w:val="0"/>
            <w:vAlign w:val="center"/>
          </w:tcPr>
          <w:p>
            <w:pPr>
              <w:autoSpaceDE w:val="0"/>
              <w:autoSpaceDN w:val="0"/>
              <w:adjustRightInd w:val="0"/>
              <w:ind w:firstLine="0" w:firstLineChars="0"/>
              <w:jc w:val="center"/>
              <w:rPr>
                <w:rFonts w:ascii="宋体" w:hAnsi="宋体"/>
                <w:kern w:val="0"/>
                <w:szCs w:val="24"/>
              </w:rPr>
            </w:pPr>
          </w:p>
        </w:tc>
        <w:tc>
          <w:tcPr>
            <w:tcW w:w="1172" w:type="dxa"/>
            <w:gridSpan w:val="2"/>
            <w:tcBorders>
              <w:bottom w:val="single" w:color="auto" w:sz="4" w:space="0"/>
            </w:tcBorders>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电话</w:t>
            </w:r>
          </w:p>
        </w:tc>
        <w:tc>
          <w:tcPr>
            <w:tcW w:w="1967" w:type="dxa"/>
            <w:tcBorders>
              <w:bottom w:val="single" w:color="auto" w:sz="4" w:space="0"/>
            </w:tcBorders>
            <w:noWrap w:val="0"/>
            <w:vAlign w:val="center"/>
          </w:tcPr>
          <w:p>
            <w:pPr>
              <w:autoSpaceDE w:val="0"/>
              <w:autoSpaceDN w:val="0"/>
              <w:adjustRightInd w:val="0"/>
              <w:ind w:firstLine="0" w:firstLineChars="0"/>
              <w:jc w:val="center"/>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rPr>
        <w:tc>
          <w:tcPr>
            <w:tcW w:w="1725" w:type="dxa"/>
            <w:tcBorders>
              <w:top w:val="single" w:color="auto" w:sz="4" w:space="0"/>
            </w:tcBorders>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财务负责人</w:t>
            </w:r>
          </w:p>
        </w:tc>
        <w:tc>
          <w:tcPr>
            <w:tcW w:w="1020" w:type="dxa"/>
            <w:tcBorders>
              <w:top w:val="single" w:color="auto" w:sz="4" w:space="0"/>
            </w:tcBorders>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姓名</w:t>
            </w:r>
          </w:p>
        </w:tc>
        <w:tc>
          <w:tcPr>
            <w:tcW w:w="1067" w:type="dxa"/>
            <w:tcBorders>
              <w:top w:val="single" w:color="auto" w:sz="4" w:space="0"/>
            </w:tcBorders>
            <w:noWrap w:val="0"/>
            <w:vAlign w:val="center"/>
          </w:tcPr>
          <w:p>
            <w:pPr>
              <w:autoSpaceDE w:val="0"/>
              <w:autoSpaceDN w:val="0"/>
              <w:adjustRightInd w:val="0"/>
              <w:ind w:firstLine="0" w:firstLineChars="0"/>
              <w:jc w:val="center"/>
              <w:rPr>
                <w:rFonts w:ascii="宋体" w:hAnsi="宋体"/>
                <w:kern w:val="0"/>
                <w:szCs w:val="24"/>
              </w:rPr>
            </w:pPr>
          </w:p>
        </w:tc>
        <w:tc>
          <w:tcPr>
            <w:tcW w:w="1248" w:type="dxa"/>
            <w:tcBorders>
              <w:top w:val="single" w:color="auto" w:sz="4" w:space="0"/>
            </w:tcBorders>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技术职称</w:t>
            </w:r>
          </w:p>
        </w:tc>
        <w:tc>
          <w:tcPr>
            <w:tcW w:w="1326" w:type="dxa"/>
            <w:gridSpan w:val="2"/>
            <w:tcBorders>
              <w:top w:val="single" w:color="auto" w:sz="4" w:space="0"/>
            </w:tcBorders>
            <w:noWrap w:val="0"/>
            <w:vAlign w:val="center"/>
          </w:tcPr>
          <w:p>
            <w:pPr>
              <w:autoSpaceDE w:val="0"/>
              <w:autoSpaceDN w:val="0"/>
              <w:adjustRightInd w:val="0"/>
              <w:ind w:firstLine="0" w:firstLineChars="0"/>
              <w:jc w:val="center"/>
              <w:rPr>
                <w:rFonts w:ascii="宋体" w:hAnsi="宋体"/>
                <w:kern w:val="0"/>
                <w:szCs w:val="24"/>
              </w:rPr>
            </w:pPr>
          </w:p>
        </w:tc>
        <w:tc>
          <w:tcPr>
            <w:tcW w:w="1172" w:type="dxa"/>
            <w:gridSpan w:val="2"/>
            <w:tcBorders>
              <w:top w:val="single" w:color="auto" w:sz="4" w:space="0"/>
            </w:tcBorders>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电话</w:t>
            </w:r>
          </w:p>
        </w:tc>
        <w:tc>
          <w:tcPr>
            <w:tcW w:w="1967" w:type="dxa"/>
            <w:tcBorders>
              <w:top w:val="single" w:color="auto" w:sz="4" w:space="0"/>
            </w:tcBorders>
            <w:noWrap w:val="0"/>
            <w:vAlign w:val="center"/>
          </w:tcPr>
          <w:p>
            <w:pPr>
              <w:autoSpaceDE w:val="0"/>
              <w:autoSpaceDN w:val="0"/>
              <w:adjustRightInd w:val="0"/>
              <w:ind w:firstLine="0" w:firstLineChars="0"/>
              <w:jc w:val="center"/>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成立时间</w:t>
            </w:r>
          </w:p>
        </w:tc>
        <w:tc>
          <w:tcPr>
            <w:tcW w:w="2087"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5713" w:type="dxa"/>
            <w:gridSpan w:val="6"/>
            <w:noWrap w:val="0"/>
            <w:vAlign w:val="center"/>
          </w:tcPr>
          <w:p>
            <w:pPr>
              <w:autoSpaceDE w:val="0"/>
              <w:autoSpaceDN w:val="0"/>
              <w:adjustRightInd w:val="0"/>
              <w:ind w:firstLine="0" w:firstLineChars="0"/>
              <w:rPr>
                <w:rFonts w:ascii="宋体" w:hAnsi="宋体"/>
                <w:kern w:val="0"/>
                <w:szCs w:val="24"/>
              </w:rPr>
            </w:pPr>
            <w:r>
              <w:rPr>
                <w:rFonts w:hint="eastAsia" w:ascii="宋体" w:hAnsi="宋体"/>
                <w:kern w:val="0"/>
                <w:szCs w:val="24"/>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企业资质等级</w:t>
            </w:r>
          </w:p>
        </w:tc>
        <w:tc>
          <w:tcPr>
            <w:tcW w:w="2087"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1248" w:type="dxa"/>
            <w:vMerge w:val="restart"/>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其中</w:t>
            </w:r>
          </w:p>
        </w:tc>
        <w:tc>
          <w:tcPr>
            <w:tcW w:w="2020" w:type="dxa"/>
            <w:gridSpan w:val="3"/>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项目经理</w:t>
            </w:r>
          </w:p>
        </w:tc>
        <w:tc>
          <w:tcPr>
            <w:tcW w:w="2445" w:type="dxa"/>
            <w:gridSpan w:val="2"/>
            <w:noWrap w:val="0"/>
            <w:vAlign w:val="center"/>
          </w:tcPr>
          <w:p>
            <w:pPr>
              <w:autoSpaceDE w:val="0"/>
              <w:autoSpaceDN w:val="0"/>
              <w:adjustRightInd w:val="0"/>
              <w:ind w:firstLine="0" w:firstLineChars="0"/>
              <w:jc w:val="center"/>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营业执照号</w:t>
            </w:r>
          </w:p>
        </w:tc>
        <w:tc>
          <w:tcPr>
            <w:tcW w:w="2087"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1248" w:type="dxa"/>
            <w:vMerge w:val="continue"/>
            <w:noWrap w:val="0"/>
            <w:vAlign w:val="center"/>
          </w:tcPr>
          <w:p>
            <w:pPr>
              <w:autoSpaceDE w:val="0"/>
              <w:autoSpaceDN w:val="0"/>
              <w:adjustRightInd w:val="0"/>
              <w:ind w:firstLine="0" w:firstLineChars="0"/>
              <w:jc w:val="center"/>
              <w:rPr>
                <w:rFonts w:ascii="宋体" w:hAnsi="宋体"/>
                <w:kern w:val="0"/>
                <w:szCs w:val="24"/>
              </w:rPr>
            </w:pPr>
          </w:p>
        </w:tc>
        <w:tc>
          <w:tcPr>
            <w:tcW w:w="2020" w:type="dxa"/>
            <w:gridSpan w:val="3"/>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高级职称人员</w:t>
            </w:r>
          </w:p>
        </w:tc>
        <w:tc>
          <w:tcPr>
            <w:tcW w:w="2445" w:type="dxa"/>
            <w:gridSpan w:val="2"/>
            <w:noWrap w:val="0"/>
            <w:vAlign w:val="center"/>
          </w:tcPr>
          <w:p>
            <w:pPr>
              <w:autoSpaceDE w:val="0"/>
              <w:autoSpaceDN w:val="0"/>
              <w:adjustRightInd w:val="0"/>
              <w:ind w:firstLine="0" w:firstLineChars="0"/>
              <w:jc w:val="center"/>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注册资金</w:t>
            </w:r>
          </w:p>
        </w:tc>
        <w:tc>
          <w:tcPr>
            <w:tcW w:w="2087"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1248" w:type="dxa"/>
            <w:vMerge w:val="continue"/>
            <w:noWrap w:val="0"/>
            <w:vAlign w:val="center"/>
          </w:tcPr>
          <w:p>
            <w:pPr>
              <w:autoSpaceDE w:val="0"/>
              <w:autoSpaceDN w:val="0"/>
              <w:adjustRightInd w:val="0"/>
              <w:ind w:firstLine="0" w:firstLineChars="0"/>
              <w:jc w:val="center"/>
              <w:rPr>
                <w:rFonts w:ascii="宋体" w:hAnsi="宋体"/>
                <w:kern w:val="0"/>
                <w:szCs w:val="24"/>
              </w:rPr>
            </w:pPr>
          </w:p>
        </w:tc>
        <w:tc>
          <w:tcPr>
            <w:tcW w:w="2020" w:type="dxa"/>
            <w:gridSpan w:val="3"/>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中级职称人员</w:t>
            </w:r>
          </w:p>
        </w:tc>
        <w:tc>
          <w:tcPr>
            <w:tcW w:w="2445" w:type="dxa"/>
            <w:gridSpan w:val="2"/>
            <w:noWrap w:val="0"/>
            <w:vAlign w:val="center"/>
          </w:tcPr>
          <w:p>
            <w:pPr>
              <w:autoSpaceDE w:val="0"/>
              <w:autoSpaceDN w:val="0"/>
              <w:adjustRightInd w:val="0"/>
              <w:ind w:firstLine="0" w:firstLineChars="0"/>
              <w:jc w:val="center"/>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开户银行</w:t>
            </w:r>
          </w:p>
        </w:tc>
        <w:tc>
          <w:tcPr>
            <w:tcW w:w="2087"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1248" w:type="dxa"/>
            <w:vMerge w:val="continue"/>
            <w:noWrap w:val="0"/>
            <w:vAlign w:val="center"/>
          </w:tcPr>
          <w:p>
            <w:pPr>
              <w:autoSpaceDE w:val="0"/>
              <w:autoSpaceDN w:val="0"/>
              <w:adjustRightInd w:val="0"/>
              <w:ind w:firstLine="0" w:firstLineChars="0"/>
              <w:jc w:val="center"/>
              <w:rPr>
                <w:rFonts w:ascii="宋体" w:hAnsi="宋体"/>
                <w:kern w:val="0"/>
                <w:szCs w:val="24"/>
              </w:rPr>
            </w:pPr>
          </w:p>
        </w:tc>
        <w:tc>
          <w:tcPr>
            <w:tcW w:w="2020" w:type="dxa"/>
            <w:gridSpan w:val="3"/>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初级职称人员</w:t>
            </w:r>
          </w:p>
        </w:tc>
        <w:tc>
          <w:tcPr>
            <w:tcW w:w="2445" w:type="dxa"/>
            <w:gridSpan w:val="2"/>
            <w:noWrap w:val="0"/>
            <w:vAlign w:val="center"/>
          </w:tcPr>
          <w:p>
            <w:pPr>
              <w:autoSpaceDE w:val="0"/>
              <w:autoSpaceDN w:val="0"/>
              <w:adjustRightInd w:val="0"/>
              <w:ind w:firstLine="0" w:firstLineChars="0"/>
              <w:jc w:val="center"/>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账号</w:t>
            </w:r>
          </w:p>
        </w:tc>
        <w:tc>
          <w:tcPr>
            <w:tcW w:w="2087" w:type="dxa"/>
            <w:gridSpan w:val="2"/>
            <w:noWrap w:val="0"/>
            <w:vAlign w:val="center"/>
          </w:tcPr>
          <w:p>
            <w:pPr>
              <w:autoSpaceDE w:val="0"/>
              <w:autoSpaceDN w:val="0"/>
              <w:adjustRightInd w:val="0"/>
              <w:ind w:firstLine="0" w:firstLineChars="0"/>
              <w:jc w:val="center"/>
              <w:rPr>
                <w:rFonts w:ascii="宋体" w:hAnsi="宋体"/>
                <w:kern w:val="0"/>
                <w:szCs w:val="24"/>
              </w:rPr>
            </w:pPr>
          </w:p>
        </w:tc>
        <w:tc>
          <w:tcPr>
            <w:tcW w:w="1248" w:type="dxa"/>
            <w:vMerge w:val="continue"/>
            <w:noWrap w:val="0"/>
            <w:vAlign w:val="center"/>
          </w:tcPr>
          <w:p>
            <w:pPr>
              <w:autoSpaceDE w:val="0"/>
              <w:autoSpaceDN w:val="0"/>
              <w:adjustRightInd w:val="0"/>
              <w:ind w:firstLine="0" w:firstLineChars="0"/>
              <w:jc w:val="center"/>
              <w:rPr>
                <w:rFonts w:ascii="宋体" w:hAnsi="宋体"/>
                <w:kern w:val="0"/>
                <w:szCs w:val="24"/>
              </w:rPr>
            </w:pPr>
          </w:p>
        </w:tc>
        <w:tc>
          <w:tcPr>
            <w:tcW w:w="2020" w:type="dxa"/>
            <w:gridSpan w:val="3"/>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技工</w:t>
            </w:r>
          </w:p>
        </w:tc>
        <w:tc>
          <w:tcPr>
            <w:tcW w:w="2445" w:type="dxa"/>
            <w:gridSpan w:val="2"/>
            <w:noWrap w:val="0"/>
            <w:vAlign w:val="center"/>
          </w:tcPr>
          <w:p>
            <w:pPr>
              <w:autoSpaceDE w:val="0"/>
              <w:autoSpaceDN w:val="0"/>
              <w:adjustRightInd w:val="0"/>
              <w:ind w:firstLine="0" w:firstLineChars="0"/>
              <w:jc w:val="center"/>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1725" w:type="dxa"/>
            <w:noWrap w:val="0"/>
            <w:vAlign w:val="center"/>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经营范围</w:t>
            </w:r>
          </w:p>
        </w:tc>
        <w:tc>
          <w:tcPr>
            <w:tcW w:w="7800" w:type="dxa"/>
            <w:gridSpan w:val="8"/>
            <w:noWrap w:val="0"/>
            <w:vAlign w:val="center"/>
          </w:tcPr>
          <w:p>
            <w:pPr>
              <w:autoSpaceDE w:val="0"/>
              <w:autoSpaceDN w:val="0"/>
              <w:adjustRightInd w:val="0"/>
              <w:ind w:firstLine="0" w:firstLineChars="0"/>
              <w:rPr>
                <w:rFonts w:ascii="宋体" w:hAnsi="宋体"/>
                <w:bCs/>
                <w:kern w:val="0"/>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25" w:type="dxa"/>
            <w:noWrap w:val="0"/>
            <w:vAlign w:val="top"/>
          </w:tcPr>
          <w:p>
            <w:pPr>
              <w:autoSpaceDE w:val="0"/>
              <w:autoSpaceDN w:val="0"/>
              <w:adjustRightInd w:val="0"/>
              <w:ind w:firstLine="0" w:firstLineChars="0"/>
              <w:jc w:val="center"/>
              <w:rPr>
                <w:rFonts w:ascii="宋体" w:hAnsi="宋体"/>
                <w:kern w:val="0"/>
                <w:szCs w:val="24"/>
              </w:rPr>
            </w:pPr>
            <w:r>
              <w:rPr>
                <w:rFonts w:hint="eastAsia" w:ascii="宋体" w:hAnsi="宋体"/>
                <w:kern w:val="0"/>
                <w:szCs w:val="24"/>
              </w:rPr>
              <w:t>备注</w:t>
            </w:r>
          </w:p>
        </w:tc>
        <w:tc>
          <w:tcPr>
            <w:tcW w:w="7800" w:type="dxa"/>
            <w:gridSpan w:val="8"/>
            <w:noWrap w:val="0"/>
            <w:vAlign w:val="top"/>
          </w:tcPr>
          <w:p>
            <w:pPr>
              <w:autoSpaceDE w:val="0"/>
              <w:autoSpaceDN w:val="0"/>
              <w:adjustRightInd w:val="0"/>
              <w:ind w:firstLine="0" w:firstLineChars="0"/>
              <w:rPr>
                <w:rFonts w:ascii="宋体" w:hAnsi="宋体"/>
                <w:kern w:val="0"/>
                <w:szCs w:val="24"/>
              </w:rPr>
            </w:pPr>
          </w:p>
        </w:tc>
      </w:tr>
    </w:tbl>
    <w:p>
      <w:pPr>
        <w:adjustRightInd w:val="0"/>
        <w:spacing w:line="400" w:lineRule="exact"/>
        <w:ind w:firstLine="584"/>
        <w:rPr>
          <w:rFonts w:ascii="宋体" w:hAnsi="宋体"/>
          <w:bCs/>
          <w:sz w:val="28"/>
          <w:szCs w:val="28"/>
        </w:rPr>
      </w:pPr>
    </w:p>
    <w:p>
      <w:pPr>
        <w:pStyle w:val="26"/>
        <w:spacing w:after="0" w:line="360" w:lineRule="auto"/>
        <w:ind w:left="0" w:leftChars="0" w:firstLine="504"/>
        <w:rPr>
          <w:rFonts w:ascii="宋体" w:hAnsi="宋体"/>
          <w:bCs/>
          <w:szCs w:val="24"/>
        </w:rPr>
      </w:pPr>
      <w:r>
        <w:rPr>
          <w:rFonts w:hint="eastAsia" w:ascii="宋体" w:hAnsi="宋体"/>
          <w:bCs/>
          <w:szCs w:val="24"/>
        </w:rPr>
        <w:t>投标人名称：</w:t>
      </w:r>
      <w:r>
        <w:rPr>
          <w:rFonts w:hint="eastAsia" w:ascii="宋体" w:hAnsi="宋体"/>
          <w:bCs/>
          <w:szCs w:val="24"/>
          <w:u w:val="single"/>
        </w:rPr>
        <w:t xml:space="preserve">                       </w:t>
      </w:r>
      <w:r>
        <w:rPr>
          <w:rFonts w:hint="eastAsia" w:ascii="宋体" w:hAnsi="宋体"/>
          <w:bCs/>
          <w:szCs w:val="24"/>
        </w:rPr>
        <w:t>（加盖单位公章）</w:t>
      </w:r>
    </w:p>
    <w:p>
      <w:pPr>
        <w:pStyle w:val="26"/>
        <w:spacing w:after="0" w:line="360" w:lineRule="auto"/>
        <w:ind w:left="0" w:leftChars="0" w:firstLine="504"/>
        <w:rPr>
          <w:rFonts w:ascii="宋体" w:hAnsi="宋体"/>
          <w:bCs/>
          <w:szCs w:val="24"/>
        </w:rPr>
      </w:pPr>
      <w:r>
        <w:rPr>
          <w:rFonts w:hint="eastAsia" w:ascii="宋体" w:hAnsi="宋体"/>
          <w:bCs/>
          <w:szCs w:val="24"/>
        </w:rPr>
        <w:t>法定代表人或代理人：</w:t>
      </w:r>
      <w:r>
        <w:rPr>
          <w:rFonts w:hint="eastAsia" w:ascii="宋体" w:hAnsi="宋体"/>
          <w:bCs/>
          <w:szCs w:val="24"/>
          <w:u w:val="single"/>
        </w:rPr>
        <w:t xml:space="preserve">               </w:t>
      </w:r>
      <w:r>
        <w:rPr>
          <w:rFonts w:hint="eastAsia" w:ascii="宋体" w:hAnsi="宋体"/>
          <w:bCs/>
          <w:szCs w:val="24"/>
        </w:rPr>
        <w:t>（签字）</w:t>
      </w:r>
    </w:p>
    <w:p>
      <w:pPr>
        <w:adjustRightInd w:val="0"/>
        <w:ind w:firstLine="504"/>
        <w:rPr>
          <w:rFonts w:ascii="宋体" w:hAnsi="宋体"/>
          <w:szCs w:val="24"/>
        </w:rPr>
      </w:pPr>
      <w:r>
        <w:rPr>
          <w:rFonts w:ascii="宋体" w:hAnsi="宋体"/>
          <w:szCs w:val="24"/>
        </w:rPr>
        <w:t>日期：</w:t>
      </w:r>
      <w:r>
        <w:rPr>
          <w:rFonts w:hint="eastAsia" w:ascii="宋体" w:hAnsi="宋体"/>
          <w:szCs w:val="24"/>
          <w:u w:val="single"/>
        </w:rPr>
        <w:t xml:space="preserve">      </w:t>
      </w:r>
      <w:r>
        <w:rPr>
          <w:rFonts w:ascii="宋体" w:hAnsi="宋体"/>
          <w:szCs w:val="24"/>
        </w:rPr>
        <w:t>年</w:t>
      </w:r>
      <w:r>
        <w:rPr>
          <w:rFonts w:hint="eastAsia" w:ascii="宋体" w:hAnsi="宋体"/>
          <w:szCs w:val="24"/>
          <w:u w:val="single"/>
        </w:rPr>
        <w:t xml:space="preserve">      </w:t>
      </w:r>
      <w:r>
        <w:rPr>
          <w:rFonts w:ascii="宋体" w:hAnsi="宋体"/>
          <w:szCs w:val="24"/>
        </w:rPr>
        <w:t>月</w:t>
      </w:r>
      <w:r>
        <w:rPr>
          <w:rFonts w:hint="eastAsia" w:ascii="宋体" w:hAnsi="宋体"/>
          <w:szCs w:val="24"/>
          <w:u w:val="single"/>
        </w:rPr>
        <w:t xml:space="preserve">      </w:t>
      </w:r>
      <w:r>
        <w:rPr>
          <w:rFonts w:ascii="宋体" w:hAnsi="宋体"/>
          <w:szCs w:val="24"/>
        </w:rPr>
        <w:t>日</w:t>
      </w:r>
    </w:p>
    <w:p>
      <w:pPr>
        <w:spacing w:line="240" w:lineRule="auto"/>
        <w:ind w:firstLine="0" w:firstLineChars="0"/>
        <w:rPr>
          <w:szCs w:val="24"/>
        </w:rPr>
      </w:pPr>
    </w:p>
    <w:p>
      <w:pPr>
        <w:spacing w:line="240" w:lineRule="auto"/>
        <w:ind w:firstLine="251" w:firstLineChars="100"/>
        <w:rPr>
          <w:rFonts w:hint="eastAsia" w:ascii="宋体" w:hAnsi="宋体"/>
          <w:b/>
          <w:szCs w:val="24"/>
        </w:rPr>
      </w:pPr>
      <w:r>
        <w:rPr>
          <w:rFonts w:hint="eastAsia"/>
          <w:szCs w:val="24"/>
        </w:rPr>
        <w:t>注：对于投标人不涉及的项，可不填写。</w:t>
      </w:r>
      <w:bookmarkEnd w:id="226"/>
      <w:bookmarkEnd w:id="227"/>
      <w:bookmarkEnd w:id="228"/>
    </w:p>
    <w:p>
      <w:pPr>
        <w:spacing w:line="240" w:lineRule="auto"/>
        <w:ind w:firstLine="0" w:firstLineChars="0"/>
        <w:rPr>
          <w:szCs w:val="24"/>
        </w:rPr>
      </w:pPr>
    </w:p>
    <w:p>
      <w:pPr>
        <w:pStyle w:val="2"/>
        <w:ind w:firstLine="504"/>
      </w:pPr>
    </w:p>
    <w:p>
      <w:pPr>
        <w:pStyle w:val="2"/>
        <w:ind w:firstLine="504"/>
      </w:pPr>
    </w:p>
    <w:p>
      <w:pPr>
        <w:ind w:firstLine="504"/>
      </w:pPr>
    </w:p>
    <w:p>
      <w:pPr>
        <w:pStyle w:val="2"/>
        <w:ind w:firstLine="504"/>
      </w:pPr>
    </w:p>
    <w:p>
      <w:pPr>
        <w:pStyle w:val="5"/>
        <w:ind w:left="-325"/>
      </w:pPr>
      <w:bookmarkStart w:id="231" w:name="_Toc349"/>
      <w:bookmarkStart w:id="232" w:name="_Toc17866"/>
      <w:bookmarkStart w:id="233" w:name="_Toc263768877"/>
      <w:bookmarkStart w:id="234" w:name="_Toc302997928"/>
      <w:bookmarkStart w:id="235" w:name="_Toc263753619"/>
      <w:r>
        <w:rPr>
          <w:rFonts w:hint="eastAsia"/>
        </w:rPr>
        <w:t>商务条款偏离表</w:t>
      </w:r>
      <w:bookmarkEnd w:id="231"/>
      <w:bookmarkEnd w:id="232"/>
    </w:p>
    <w:p>
      <w:pPr>
        <w:ind w:firstLine="506"/>
        <w:rPr>
          <w:rFonts w:hint="eastAsia" w:ascii="宋体" w:hAnsi="宋体" w:eastAsia="宋体"/>
          <w:b/>
          <w:szCs w:val="24"/>
          <w:lang w:eastAsia="zh-CN"/>
        </w:rPr>
      </w:pPr>
      <w:r>
        <w:rPr>
          <w:rFonts w:hint="eastAsia" w:ascii="宋体" w:hAnsi="宋体"/>
          <w:b/>
          <w:szCs w:val="24"/>
        </w:rPr>
        <w:t>项目名称：</w:t>
      </w:r>
      <w:r>
        <w:rPr>
          <w:rFonts w:hint="eastAsia" w:ascii="宋体" w:hAnsi="宋体"/>
          <w:b/>
          <w:szCs w:val="24"/>
          <w:u w:val="single"/>
          <w:lang w:eastAsia="zh-CN"/>
        </w:rPr>
        <w:t>成都市龙泉驿生态环境局成都市中心城区“6+1”区域智能大气环境监测管治服务采购项目（第二次）</w:t>
      </w:r>
    </w:p>
    <w:p>
      <w:pPr>
        <w:pStyle w:val="14"/>
        <w:tabs>
          <w:tab w:val="left" w:pos="7560"/>
        </w:tabs>
        <w:spacing w:after="0" w:line="360" w:lineRule="auto"/>
        <w:ind w:firstLine="506"/>
        <w:rPr>
          <w:rFonts w:hint="eastAsia" w:ascii="宋体" w:hAnsi="宋体" w:eastAsia="宋体"/>
          <w:b/>
          <w:szCs w:val="24"/>
          <w:u w:val="single"/>
          <w:lang w:eastAsia="zh-CN"/>
        </w:rPr>
      </w:pPr>
      <w:r>
        <w:rPr>
          <w:rFonts w:hint="eastAsia" w:ascii="宋体" w:hAnsi="宋体"/>
          <w:b/>
          <w:szCs w:val="24"/>
        </w:rPr>
        <w:t>项目编号：</w:t>
      </w:r>
      <w:r>
        <w:rPr>
          <w:rFonts w:hint="eastAsia" w:ascii="宋体" w:hAnsi="宋体"/>
          <w:b/>
          <w:szCs w:val="24"/>
          <w:u w:val="single"/>
          <w:lang w:eastAsia="zh-CN"/>
        </w:rPr>
        <w:t>510112202100362</w:t>
      </w:r>
    </w:p>
    <w:tbl>
      <w:tblPr>
        <w:tblStyle w:val="43"/>
        <w:tblW w:w="86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409"/>
        <w:gridCol w:w="2611"/>
        <w:gridCol w:w="2492"/>
        <w:gridCol w:w="1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2" w:hRule="exact"/>
          <w:jc w:val="center"/>
        </w:trPr>
        <w:tc>
          <w:tcPr>
            <w:tcW w:w="859" w:type="dxa"/>
            <w:tcBorders>
              <w:top w:val="single" w:color="auto" w:sz="8" w:space="0"/>
              <w:left w:val="single" w:color="auto" w:sz="8" w:space="0"/>
              <w:bottom w:val="single" w:color="auto" w:sz="4" w:space="0"/>
              <w:right w:val="single" w:color="auto" w:sz="4" w:space="0"/>
            </w:tcBorders>
            <w:noWrap w:val="0"/>
            <w:vAlign w:val="center"/>
          </w:tcPr>
          <w:p>
            <w:pPr>
              <w:ind w:firstLine="0" w:firstLineChars="0"/>
              <w:jc w:val="center"/>
              <w:rPr>
                <w:rFonts w:ascii="宋体" w:hAnsi="宋体"/>
                <w:szCs w:val="24"/>
              </w:rPr>
            </w:pPr>
            <w:r>
              <w:rPr>
                <w:rFonts w:hint="eastAsia" w:ascii="宋体" w:hAnsi="宋体"/>
                <w:b/>
                <w:szCs w:val="24"/>
              </w:rPr>
              <w:t xml:space="preserve"> </w:t>
            </w:r>
            <w:r>
              <w:rPr>
                <w:rFonts w:hint="eastAsia" w:ascii="宋体" w:hAnsi="宋体"/>
                <w:szCs w:val="24"/>
              </w:rPr>
              <w:t>序号</w:t>
            </w:r>
          </w:p>
        </w:tc>
        <w:tc>
          <w:tcPr>
            <w:tcW w:w="1409" w:type="dxa"/>
            <w:tcBorders>
              <w:top w:val="single" w:color="auto" w:sz="8" w:space="0"/>
              <w:left w:val="single" w:color="auto" w:sz="4" w:space="0"/>
              <w:bottom w:val="single" w:color="auto" w:sz="4" w:space="0"/>
              <w:right w:val="single" w:color="auto" w:sz="4" w:space="0"/>
            </w:tcBorders>
            <w:noWrap w:val="0"/>
            <w:vAlign w:val="center"/>
          </w:tcPr>
          <w:p>
            <w:pPr>
              <w:ind w:firstLine="0" w:firstLineChars="0"/>
              <w:jc w:val="center"/>
              <w:rPr>
                <w:rFonts w:ascii="宋体" w:hAnsi="宋体"/>
                <w:szCs w:val="24"/>
              </w:rPr>
            </w:pPr>
            <w:r>
              <w:rPr>
                <w:rFonts w:hint="eastAsia" w:ascii="宋体" w:hAnsi="宋体"/>
                <w:szCs w:val="24"/>
              </w:rPr>
              <w:t>招标文件条目号</w:t>
            </w:r>
          </w:p>
        </w:tc>
        <w:tc>
          <w:tcPr>
            <w:tcW w:w="2611" w:type="dxa"/>
            <w:tcBorders>
              <w:top w:val="single" w:color="auto" w:sz="8" w:space="0"/>
              <w:left w:val="single" w:color="auto" w:sz="4" w:space="0"/>
              <w:bottom w:val="single" w:color="auto" w:sz="4" w:space="0"/>
              <w:right w:val="single" w:color="auto" w:sz="4" w:space="0"/>
            </w:tcBorders>
            <w:noWrap w:val="0"/>
            <w:vAlign w:val="center"/>
          </w:tcPr>
          <w:p>
            <w:pPr>
              <w:ind w:firstLine="0" w:firstLineChars="0"/>
              <w:jc w:val="center"/>
              <w:rPr>
                <w:rFonts w:ascii="宋体" w:hAnsi="宋体"/>
                <w:szCs w:val="24"/>
              </w:rPr>
            </w:pPr>
            <w:r>
              <w:rPr>
                <w:rFonts w:hint="eastAsia" w:ascii="宋体" w:hAnsi="宋体"/>
                <w:szCs w:val="24"/>
              </w:rPr>
              <w:t>招标文件的商务条款</w:t>
            </w:r>
          </w:p>
        </w:tc>
        <w:tc>
          <w:tcPr>
            <w:tcW w:w="2492" w:type="dxa"/>
            <w:tcBorders>
              <w:top w:val="single" w:color="auto" w:sz="8" w:space="0"/>
              <w:left w:val="single" w:color="auto" w:sz="4" w:space="0"/>
              <w:bottom w:val="single" w:color="auto" w:sz="4" w:space="0"/>
              <w:right w:val="single" w:color="auto" w:sz="4" w:space="0"/>
            </w:tcBorders>
            <w:noWrap w:val="0"/>
            <w:vAlign w:val="center"/>
          </w:tcPr>
          <w:p>
            <w:pPr>
              <w:ind w:firstLine="0" w:firstLineChars="0"/>
              <w:jc w:val="center"/>
              <w:rPr>
                <w:rFonts w:ascii="宋体" w:hAnsi="宋体"/>
                <w:szCs w:val="24"/>
              </w:rPr>
            </w:pPr>
            <w:r>
              <w:rPr>
                <w:rFonts w:hint="eastAsia" w:ascii="宋体" w:hAnsi="宋体"/>
                <w:szCs w:val="24"/>
              </w:rPr>
              <w:t>投标文件的商务条款</w:t>
            </w:r>
          </w:p>
        </w:tc>
        <w:tc>
          <w:tcPr>
            <w:tcW w:w="1276" w:type="dxa"/>
            <w:tcBorders>
              <w:top w:val="single" w:color="auto" w:sz="8" w:space="0"/>
              <w:left w:val="single" w:color="auto" w:sz="4" w:space="0"/>
              <w:bottom w:val="single" w:color="auto" w:sz="4" w:space="0"/>
              <w:right w:val="single" w:color="auto" w:sz="8" w:space="0"/>
            </w:tcBorders>
            <w:noWrap w:val="0"/>
            <w:vAlign w:val="center"/>
          </w:tcPr>
          <w:p>
            <w:pPr>
              <w:ind w:firstLine="0" w:firstLineChars="0"/>
              <w:jc w:val="center"/>
              <w:rPr>
                <w:rFonts w:ascii="宋体" w:hAnsi="宋体"/>
                <w:szCs w:val="24"/>
              </w:rPr>
            </w:pPr>
            <w:r>
              <w:rPr>
                <w:rFonts w:hint="eastAsia" w:ascii="宋体" w:hAnsi="宋体"/>
                <w:szCs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859"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140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611"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49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276"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859"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140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611"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49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276"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859"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140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611"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49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276"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859"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140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611"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49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276"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859"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140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611"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49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276"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859"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140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611"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49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276"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bl>
    <w:p>
      <w:pPr>
        <w:pStyle w:val="2"/>
        <w:widowControl/>
        <w:spacing w:line="360" w:lineRule="auto"/>
        <w:ind w:firstLine="504"/>
        <w:rPr>
          <w:rFonts w:ascii="宋体" w:hAnsi="宋体"/>
          <w:szCs w:val="24"/>
        </w:rPr>
      </w:pPr>
      <w:r>
        <w:rPr>
          <w:rFonts w:hint="eastAsia" w:ascii="宋体" w:hAnsi="宋体"/>
          <w:szCs w:val="18"/>
        </w:rPr>
        <w:t xml:space="preserve"> </w:t>
      </w:r>
      <w:r>
        <w:rPr>
          <w:rFonts w:hint="eastAsia" w:ascii="宋体" w:hAnsi="宋体"/>
          <w:szCs w:val="24"/>
        </w:rPr>
        <w:t>说明：1、本表只填写投标文件中与招标文件有偏离（包括正偏离和负偏离）的内容，投标文件中商务条款响应与招标文件要求完全一致的，可以不用在此表中列出。</w:t>
      </w:r>
    </w:p>
    <w:p>
      <w:pPr>
        <w:pStyle w:val="2"/>
        <w:widowControl/>
        <w:spacing w:line="360" w:lineRule="auto"/>
        <w:ind w:firstLine="504"/>
        <w:rPr>
          <w:rFonts w:ascii="宋体" w:hAnsi="宋体"/>
          <w:szCs w:val="24"/>
        </w:rPr>
      </w:pPr>
      <w:r>
        <w:rPr>
          <w:rFonts w:hint="eastAsia" w:ascii="宋体" w:hAnsi="宋体"/>
          <w:szCs w:val="24"/>
        </w:rPr>
        <w:t>2、投标人不得虚假填写，否则一切责任由投标人承担。</w:t>
      </w:r>
    </w:p>
    <w:p>
      <w:pPr>
        <w:pStyle w:val="26"/>
        <w:spacing w:after="0" w:line="360" w:lineRule="auto"/>
        <w:ind w:left="0" w:leftChars="0" w:firstLine="504"/>
        <w:rPr>
          <w:rFonts w:hint="eastAsia" w:ascii="宋体" w:hAnsi="宋体"/>
          <w:bCs/>
          <w:szCs w:val="24"/>
        </w:rPr>
      </w:pPr>
    </w:p>
    <w:p>
      <w:pPr>
        <w:pStyle w:val="26"/>
        <w:spacing w:after="0" w:line="360" w:lineRule="auto"/>
        <w:ind w:left="0" w:leftChars="0" w:firstLine="504"/>
        <w:rPr>
          <w:rFonts w:ascii="宋体" w:hAnsi="宋体"/>
          <w:bCs/>
          <w:szCs w:val="24"/>
        </w:rPr>
      </w:pPr>
      <w:r>
        <w:rPr>
          <w:rFonts w:hint="eastAsia" w:ascii="宋体" w:hAnsi="宋体"/>
          <w:bCs/>
          <w:szCs w:val="24"/>
        </w:rPr>
        <w:t>投标人名称：</w:t>
      </w:r>
      <w:r>
        <w:rPr>
          <w:rFonts w:hint="eastAsia" w:ascii="宋体" w:hAnsi="宋体"/>
          <w:bCs/>
          <w:szCs w:val="24"/>
          <w:u w:val="single"/>
        </w:rPr>
        <w:t xml:space="preserve">                       </w:t>
      </w:r>
      <w:r>
        <w:rPr>
          <w:rFonts w:hint="eastAsia" w:ascii="宋体" w:hAnsi="宋体"/>
          <w:bCs/>
          <w:szCs w:val="24"/>
        </w:rPr>
        <w:t>（加盖单位公章）</w:t>
      </w:r>
    </w:p>
    <w:p>
      <w:pPr>
        <w:pStyle w:val="26"/>
        <w:spacing w:after="0" w:line="360" w:lineRule="auto"/>
        <w:ind w:left="0" w:leftChars="0" w:firstLine="504"/>
        <w:rPr>
          <w:rFonts w:ascii="宋体" w:hAnsi="宋体"/>
          <w:bCs/>
          <w:szCs w:val="24"/>
        </w:rPr>
      </w:pPr>
      <w:r>
        <w:rPr>
          <w:rFonts w:hint="eastAsia" w:ascii="宋体" w:hAnsi="宋体"/>
          <w:bCs/>
          <w:szCs w:val="24"/>
        </w:rPr>
        <w:t>法定代表人或代理人：</w:t>
      </w:r>
      <w:r>
        <w:rPr>
          <w:rFonts w:hint="eastAsia" w:ascii="宋体" w:hAnsi="宋体"/>
          <w:bCs/>
          <w:szCs w:val="24"/>
          <w:u w:val="single"/>
        </w:rPr>
        <w:t xml:space="preserve">               </w:t>
      </w:r>
      <w:r>
        <w:rPr>
          <w:rFonts w:hint="eastAsia" w:ascii="宋体" w:hAnsi="宋体"/>
          <w:bCs/>
          <w:szCs w:val="24"/>
        </w:rPr>
        <w:t>（签字）</w:t>
      </w:r>
    </w:p>
    <w:p>
      <w:pPr>
        <w:adjustRightInd w:val="0"/>
        <w:ind w:firstLine="504"/>
        <w:rPr>
          <w:rFonts w:ascii="宋体" w:hAnsi="宋体"/>
          <w:szCs w:val="24"/>
        </w:rPr>
      </w:pPr>
      <w:r>
        <w:rPr>
          <w:rFonts w:ascii="宋体" w:hAnsi="宋体"/>
          <w:szCs w:val="24"/>
        </w:rPr>
        <w:t>日期：</w:t>
      </w:r>
      <w:r>
        <w:rPr>
          <w:rFonts w:hint="eastAsia" w:ascii="宋体" w:hAnsi="宋体"/>
          <w:szCs w:val="24"/>
          <w:u w:val="single"/>
        </w:rPr>
        <w:t xml:space="preserve">      </w:t>
      </w:r>
      <w:r>
        <w:rPr>
          <w:rFonts w:ascii="宋体" w:hAnsi="宋体"/>
          <w:szCs w:val="24"/>
        </w:rPr>
        <w:t>年</w:t>
      </w:r>
      <w:r>
        <w:rPr>
          <w:rFonts w:hint="eastAsia" w:ascii="宋体" w:hAnsi="宋体"/>
          <w:szCs w:val="24"/>
          <w:u w:val="single"/>
        </w:rPr>
        <w:t xml:space="preserve">      </w:t>
      </w:r>
      <w:r>
        <w:rPr>
          <w:rFonts w:ascii="宋体" w:hAnsi="宋体"/>
          <w:szCs w:val="24"/>
        </w:rPr>
        <w:t>月</w:t>
      </w:r>
      <w:r>
        <w:rPr>
          <w:rFonts w:hint="eastAsia" w:ascii="宋体" w:hAnsi="宋体"/>
          <w:szCs w:val="24"/>
          <w:u w:val="single"/>
        </w:rPr>
        <w:t xml:space="preserve">      </w:t>
      </w:r>
      <w:r>
        <w:rPr>
          <w:rFonts w:ascii="宋体" w:hAnsi="宋体"/>
          <w:szCs w:val="24"/>
        </w:rPr>
        <w:t>日</w:t>
      </w:r>
    </w:p>
    <w:p>
      <w:pPr>
        <w:spacing w:line="240" w:lineRule="auto"/>
        <w:ind w:firstLine="504"/>
      </w:pPr>
    </w:p>
    <w:p>
      <w:pPr>
        <w:ind w:firstLine="504"/>
      </w:pPr>
    </w:p>
    <w:p>
      <w:pPr>
        <w:pStyle w:val="5"/>
        <w:ind w:left="-325"/>
      </w:pPr>
      <w:bookmarkStart w:id="236" w:name="_Toc22040"/>
      <w:bookmarkStart w:id="237" w:name="_Toc4083"/>
      <w:r>
        <w:rPr>
          <w:rFonts w:hint="eastAsia"/>
        </w:rPr>
        <w:t>服务条款偏离表</w:t>
      </w:r>
      <w:bookmarkEnd w:id="236"/>
      <w:bookmarkEnd w:id="237"/>
    </w:p>
    <w:p>
      <w:pPr>
        <w:snapToGrid w:val="0"/>
        <w:spacing w:line="500" w:lineRule="exact"/>
        <w:ind w:right="-745" w:rightChars="-297" w:firstLine="506"/>
        <w:rPr>
          <w:rFonts w:hint="eastAsia" w:ascii="宋体" w:hAnsi="宋体" w:eastAsia="宋体"/>
          <w:b/>
          <w:szCs w:val="24"/>
          <w:lang w:eastAsia="zh-CN"/>
        </w:rPr>
      </w:pPr>
      <w:r>
        <w:rPr>
          <w:rFonts w:hint="eastAsia" w:ascii="宋体" w:hAnsi="宋体"/>
          <w:b/>
          <w:szCs w:val="24"/>
        </w:rPr>
        <w:t>项目名称：</w:t>
      </w:r>
      <w:r>
        <w:rPr>
          <w:rFonts w:hint="eastAsia" w:ascii="宋体" w:hAnsi="宋体"/>
          <w:b/>
          <w:szCs w:val="24"/>
          <w:u w:val="single"/>
          <w:lang w:eastAsia="zh-CN"/>
        </w:rPr>
        <w:t>成都市龙泉驿生态环境局成都市中心城区“6+1”区域智能大气环境监测管治服务采购项目（第二次）</w:t>
      </w:r>
    </w:p>
    <w:p>
      <w:pPr>
        <w:pStyle w:val="14"/>
        <w:tabs>
          <w:tab w:val="left" w:pos="7560"/>
        </w:tabs>
        <w:spacing w:after="0" w:line="500" w:lineRule="exact"/>
        <w:ind w:firstLine="506"/>
        <w:rPr>
          <w:rFonts w:hint="eastAsia" w:eastAsia="宋体"/>
          <w:lang w:eastAsia="zh-CN"/>
        </w:rPr>
      </w:pPr>
      <w:r>
        <w:rPr>
          <w:rFonts w:hint="eastAsia" w:ascii="宋体" w:hAnsi="宋体"/>
          <w:b/>
          <w:szCs w:val="24"/>
        </w:rPr>
        <w:t>项目编号：</w:t>
      </w:r>
      <w:r>
        <w:rPr>
          <w:rFonts w:hint="eastAsia" w:ascii="宋体" w:hAnsi="宋体"/>
          <w:b/>
          <w:szCs w:val="24"/>
          <w:u w:val="single"/>
          <w:lang w:eastAsia="zh-CN"/>
        </w:rPr>
        <w:t>510112202100362</w:t>
      </w:r>
    </w:p>
    <w:p>
      <w:pPr>
        <w:pStyle w:val="2"/>
        <w:ind w:firstLine="504"/>
      </w:pPr>
    </w:p>
    <w:tbl>
      <w:tblPr>
        <w:tblStyle w:val="43"/>
        <w:tblW w:w="79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2966"/>
        <w:gridCol w:w="2552"/>
        <w:gridCol w:w="1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1048" w:type="dxa"/>
            <w:tcBorders>
              <w:top w:val="single" w:color="auto" w:sz="8" w:space="0"/>
              <w:left w:val="single" w:color="auto" w:sz="8" w:space="0"/>
              <w:bottom w:val="single" w:color="auto" w:sz="4" w:space="0"/>
              <w:right w:val="single" w:color="auto" w:sz="4" w:space="0"/>
            </w:tcBorders>
            <w:noWrap w:val="0"/>
            <w:vAlign w:val="center"/>
          </w:tcPr>
          <w:p>
            <w:pPr>
              <w:ind w:firstLine="0" w:firstLineChars="0"/>
              <w:jc w:val="center"/>
              <w:rPr>
                <w:rFonts w:ascii="宋体" w:hAnsi="宋体"/>
                <w:szCs w:val="24"/>
              </w:rPr>
            </w:pPr>
            <w:r>
              <w:rPr>
                <w:rFonts w:hint="eastAsia" w:ascii="宋体" w:hAnsi="宋体"/>
                <w:szCs w:val="24"/>
              </w:rPr>
              <w:t>序号</w:t>
            </w:r>
          </w:p>
        </w:tc>
        <w:tc>
          <w:tcPr>
            <w:tcW w:w="2966" w:type="dxa"/>
            <w:tcBorders>
              <w:top w:val="single" w:color="auto" w:sz="8" w:space="0"/>
              <w:left w:val="single" w:color="auto" w:sz="4" w:space="0"/>
              <w:bottom w:val="single" w:color="auto" w:sz="4" w:space="0"/>
              <w:right w:val="single" w:color="auto" w:sz="4" w:space="0"/>
            </w:tcBorders>
            <w:noWrap w:val="0"/>
            <w:vAlign w:val="center"/>
          </w:tcPr>
          <w:p>
            <w:pPr>
              <w:ind w:firstLine="0" w:firstLineChars="0"/>
              <w:jc w:val="center"/>
              <w:rPr>
                <w:rFonts w:ascii="宋体" w:hAnsi="宋体"/>
                <w:szCs w:val="24"/>
              </w:rPr>
            </w:pPr>
            <w:r>
              <w:rPr>
                <w:rFonts w:hint="eastAsia" w:ascii="宋体" w:hAnsi="宋体"/>
                <w:szCs w:val="24"/>
              </w:rPr>
              <w:t>招标文件的服务条款</w:t>
            </w:r>
          </w:p>
        </w:tc>
        <w:tc>
          <w:tcPr>
            <w:tcW w:w="2552" w:type="dxa"/>
            <w:tcBorders>
              <w:top w:val="single" w:color="auto" w:sz="8" w:space="0"/>
              <w:left w:val="single" w:color="auto" w:sz="4" w:space="0"/>
              <w:bottom w:val="single" w:color="auto" w:sz="4" w:space="0"/>
              <w:right w:val="single" w:color="auto" w:sz="4" w:space="0"/>
            </w:tcBorders>
            <w:noWrap w:val="0"/>
            <w:vAlign w:val="center"/>
          </w:tcPr>
          <w:p>
            <w:pPr>
              <w:ind w:firstLine="0" w:firstLineChars="0"/>
              <w:jc w:val="center"/>
              <w:rPr>
                <w:rFonts w:ascii="宋体" w:hAnsi="宋体"/>
                <w:szCs w:val="24"/>
              </w:rPr>
            </w:pPr>
            <w:r>
              <w:rPr>
                <w:rFonts w:hint="eastAsia" w:ascii="宋体" w:hAnsi="宋体"/>
                <w:szCs w:val="24"/>
              </w:rPr>
              <w:t>投标文件的服务条款</w:t>
            </w:r>
          </w:p>
        </w:tc>
        <w:tc>
          <w:tcPr>
            <w:tcW w:w="1379" w:type="dxa"/>
            <w:tcBorders>
              <w:top w:val="single" w:color="auto" w:sz="8" w:space="0"/>
              <w:left w:val="single" w:color="auto" w:sz="4" w:space="0"/>
              <w:bottom w:val="single" w:color="auto" w:sz="4" w:space="0"/>
              <w:right w:val="single" w:color="auto" w:sz="8" w:space="0"/>
            </w:tcBorders>
            <w:noWrap w:val="0"/>
            <w:vAlign w:val="center"/>
          </w:tcPr>
          <w:p>
            <w:pPr>
              <w:ind w:firstLine="0" w:firstLineChars="0"/>
              <w:jc w:val="center"/>
              <w:rPr>
                <w:rFonts w:ascii="宋体" w:hAnsi="宋体"/>
                <w:szCs w:val="24"/>
              </w:rPr>
            </w:pPr>
            <w:r>
              <w:rPr>
                <w:rFonts w:hint="eastAsia" w:ascii="宋体" w:hAnsi="宋体"/>
                <w:szCs w:val="24"/>
              </w:rPr>
              <w:t>是否偏离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048"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379"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048"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379"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1048"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379"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048"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379"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1048"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379"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1048" w:type="dxa"/>
            <w:tcBorders>
              <w:top w:val="single" w:color="auto" w:sz="4" w:space="0"/>
              <w:left w:val="single" w:color="auto" w:sz="8" w:space="0"/>
              <w:bottom w:val="single" w:color="auto" w:sz="4" w:space="0"/>
              <w:right w:val="single" w:color="auto" w:sz="4" w:space="0"/>
            </w:tcBorders>
            <w:noWrap w:val="0"/>
            <w:vAlign w:val="top"/>
          </w:tcPr>
          <w:p>
            <w:pPr>
              <w:ind w:firstLine="0" w:firstLineChars="0"/>
              <w:rPr>
                <w:rFonts w:ascii="宋体" w:hAnsi="宋体"/>
                <w:szCs w:val="24"/>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ascii="宋体" w:hAnsi="宋体"/>
                <w:szCs w:val="24"/>
              </w:rPr>
            </w:pPr>
          </w:p>
        </w:tc>
        <w:tc>
          <w:tcPr>
            <w:tcW w:w="1379" w:type="dxa"/>
            <w:tcBorders>
              <w:top w:val="single" w:color="auto" w:sz="4" w:space="0"/>
              <w:left w:val="single" w:color="auto" w:sz="4" w:space="0"/>
              <w:bottom w:val="single" w:color="auto" w:sz="4" w:space="0"/>
              <w:right w:val="single" w:color="auto" w:sz="8" w:space="0"/>
            </w:tcBorders>
            <w:noWrap w:val="0"/>
            <w:vAlign w:val="top"/>
          </w:tcPr>
          <w:p>
            <w:pPr>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1048" w:type="dxa"/>
            <w:tcBorders>
              <w:top w:val="single" w:color="auto" w:sz="4" w:space="0"/>
              <w:left w:val="single" w:color="auto" w:sz="8" w:space="0"/>
              <w:bottom w:val="single" w:color="auto" w:sz="8" w:space="0"/>
              <w:right w:val="single" w:color="auto" w:sz="4" w:space="0"/>
            </w:tcBorders>
            <w:noWrap w:val="0"/>
            <w:vAlign w:val="top"/>
          </w:tcPr>
          <w:p>
            <w:pPr>
              <w:ind w:firstLine="0" w:firstLineChars="0"/>
              <w:rPr>
                <w:rFonts w:ascii="宋体" w:hAnsi="宋体"/>
                <w:szCs w:val="24"/>
              </w:rPr>
            </w:pPr>
          </w:p>
        </w:tc>
        <w:tc>
          <w:tcPr>
            <w:tcW w:w="2966" w:type="dxa"/>
            <w:tcBorders>
              <w:top w:val="single" w:color="auto" w:sz="4" w:space="0"/>
              <w:left w:val="single" w:color="auto" w:sz="4" w:space="0"/>
              <w:bottom w:val="single" w:color="auto" w:sz="8" w:space="0"/>
              <w:right w:val="single" w:color="auto" w:sz="4" w:space="0"/>
            </w:tcBorders>
            <w:noWrap w:val="0"/>
            <w:vAlign w:val="top"/>
          </w:tcPr>
          <w:p>
            <w:pPr>
              <w:ind w:firstLine="0" w:firstLineChars="0"/>
              <w:rPr>
                <w:rFonts w:ascii="宋体" w:hAnsi="宋体"/>
                <w:szCs w:val="24"/>
              </w:rPr>
            </w:pPr>
          </w:p>
        </w:tc>
        <w:tc>
          <w:tcPr>
            <w:tcW w:w="2552" w:type="dxa"/>
            <w:tcBorders>
              <w:top w:val="single" w:color="auto" w:sz="4" w:space="0"/>
              <w:left w:val="single" w:color="auto" w:sz="4" w:space="0"/>
              <w:bottom w:val="single" w:color="auto" w:sz="8" w:space="0"/>
              <w:right w:val="single" w:color="auto" w:sz="4" w:space="0"/>
            </w:tcBorders>
            <w:noWrap w:val="0"/>
            <w:vAlign w:val="top"/>
          </w:tcPr>
          <w:p>
            <w:pPr>
              <w:ind w:firstLine="0" w:firstLineChars="0"/>
              <w:rPr>
                <w:rFonts w:ascii="宋体" w:hAnsi="宋体"/>
                <w:szCs w:val="24"/>
              </w:rPr>
            </w:pPr>
          </w:p>
        </w:tc>
        <w:tc>
          <w:tcPr>
            <w:tcW w:w="1379" w:type="dxa"/>
            <w:tcBorders>
              <w:top w:val="single" w:color="auto" w:sz="4" w:space="0"/>
              <w:left w:val="single" w:color="auto" w:sz="4" w:space="0"/>
              <w:bottom w:val="single" w:color="auto" w:sz="8" w:space="0"/>
              <w:right w:val="single" w:color="auto" w:sz="8" w:space="0"/>
            </w:tcBorders>
            <w:noWrap w:val="0"/>
            <w:vAlign w:val="top"/>
          </w:tcPr>
          <w:p>
            <w:pPr>
              <w:ind w:firstLine="0" w:firstLineChars="0"/>
              <w:rPr>
                <w:rFonts w:ascii="宋体" w:hAnsi="宋体"/>
                <w:szCs w:val="24"/>
              </w:rPr>
            </w:pPr>
          </w:p>
        </w:tc>
      </w:tr>
    </w:tbl>
    <w:p>
      <w:pPr>
        <w:pStyle w:val="2"/>
        <w:widowControl/>
        <w:spacing w:line="40" w:lineRule="atLeast"/>
        <w:ind w:firstLine="504"/>
        <w:rPr>
          <w:rFonts w:ascii="宋体" w:hAnsi="宋体"/>
          <w:szCs w:val="18"/>
        </w:rPr>
      </w:pPr>
      <w:r>
        <w:rPr>
          <w:rFonts w:hint="eastAsia" w:ascii="宋体" w:hAnsi="宋体"/>
          <w:szCs w:val="18"/>
        </w:rPr>
        <w:t xml:space="preserve"> 说明：1、本表只填写投标文件中与招标文件有偏离（包括正偏离和负偏离）的内容，投标文件中</w:t>
      </w:r>
      <w:r>
        <w:rPr>
          <w:rFonts w:hint="eastAsia" w:ascii="宋体" w:hAnsi="宋体"/>
          <w:szCs w:val="24"/>
        </w:rPr>
        <w:t>服务</w:t>
      </w:r>
      <w:r>
        <w:rPr>
          <w:rFonts w:hint="eastAsia" w:ascii="宋体" w:hAnsi="宋体"/>
          <w:szCs w:val="18"/>
        </w:rPr>
        <w:t>条款响应与招标文件要求完全一致的，可以不用在此表中列出。</w:t>
      </w:r>
    </w:p>
    <w:p>
      <w:pPr>
        <w:pStyle w:val="2"/>
        <w:widowControl/>
        <w:spacing w:line="40" w:lineRule="atLeast"/>
        <w:ind w:firstLine="1004" w:firstLineChars="400"/>
        <w:rPr>
          <w:rFonts w:ascii="宋体" w:hAnsi="宋体"/>
          <w:szCs w:val="18"/>
        </w:rPr>
      </w:pPr>
      <w:r>
        <w:rPr>
          <w:rFonts w:hint="eastAsia" w:ascii="宋体" w:hAnsi="宋体"/>
          <w:szCs w:val="18"/>
        </w:rPr>
        <w:t>2、投标人不得虚假填写，否则一切责任由投标人承担。</w:t>
      </w:r>
    </w:p>
    <w:p>
      <w:pPr>
        <w:pStyle w:val="2"/>
        <w:ind w:firstLine="504"/>
      </w:pPr>
    </w:p>
    <w:p>
      <w:pPr>
        <w:ind w:firstLine="504"/>
      </w:pPr>
    </w:p>
    <w:p>
      <w:pPr>
        <w:pStyle w:val="26"/>
        <w:spacing w:after="0" w:line="360" w:lineRule="auto"/>
        <w:ind w:left="0" w:leftChars="0" w:firstLine="504"/>
        <w:rPr>
          <w:rFonts w:ascii="宋体" w:hAnsi="宋体"/>
          <w:bCs/>
          <w:szCs w:val="24"/>
        </w:rPr>
      </w:pPr>
      <w:r>
        <w:rPr>
          <w:rFonts w:hint="eastAsia" w:ascii="宋体" w:hAnsi="宋体"/>
          <w:bCs/>
          <w:szCs w:val="24"/>
        </w:rPr>
        <w:t>投标人名称：</w:t>
      </w:r>
      <w:r>
        <w:rPr>
          <w:rFonts w:hint="eastAsia" w:ascii="宋体" w:hAnsi="宋体"/>
          <w:bCs/>
          <w:szCs w:val="24"/>
          <w:u w:val="single"/>
        </w:rPr>
        <w:t xml:space="preserve">                       </w:t>
      </w:r>
      <w:r>
        <w:rPr>
          <w:rFonts w:hint="eastAsia" w:ascii="宋体" w:hAnsi="宋体"/>
          <w:bCs/>
          <w:szCs w:val="24"/>
        </w:rPr>
        <w:t>（加盖单位公章）</w:t>
      </w:r>
    </w:p>
    <w:p>
      <w:pPr>
        <w:pStyle w:val="26"/>
        <w:spacing w:after="0" w:line="360" w:lineRule="auto"/>
        <w:ind w:left="0" w:leftChars="0" w:firstLine="504"/>
        <w:rPr>
          <w:rFonts w:ascii="宋体" w:hAnsi="宋体"/>
          <w:bCs/>
          <w:szCs w:val="24"/>
        </w:rPr>
      </w:pPr>
      <w:r>
        <w:rPr>
          <w:rFonts w:hint="eastAsia" w:ascii="宋体" w:hAnsi="宋体"/>
          <w:bCs/>
          <w:szCs w:val="24"/>
        </w:rPr>
        <w:t>法定代表人或代理人：</w:t>
      </w:r>
      <w:r>
        <w:rPr>
          <w:rFonts w:hint="eastAsia" w:ascii="宋体" w:hAnsi="宋体"/>
          <w:bCs/>
          <w:szCs w:val="24"/>
          <w:u w:val="single"/>
        </w:rPr>
        <w:t xml:space="preserve">               </w:t>
      </w:r>
      <w:r>
        <w:rPr>
          <w:rFonts w:hint="eastAsia" w:ascii="宋体" w:hAnsi="宋体"/>
          <w:bCs/>
          <w:szCs w:val="24"/>
        </w:rPr>
        <w:t>（签字）</w:t>
      </w:r>
    </w:p>
    <w:p>
      <w:pPr>
        <w:adjustRightInd w:val="0"/>
        <w:ind w:firstLine="504"/>
        <w:rPr>
          <w:rFonts w:ascii="宋体" w:hAnsi="宋体"/>
          <w:szCs w:val="24"/>
        </w:rPr>
      </w:pPr>
      <w:r>
        <w:rPr>
          <w:rFonts w:ascii="宋体" w:hAnsi="宋体"/>
          <w:szCs w:val="24"/>
        </w:rPr>
        <w:t>日期：</w:t>
      </w:r>
      <w:r>
        <w:rPr>
          <w:rFonts w:hint="eastAsia" w:ascii="宋体" w:hAnsi="宋体"/>
          <w:szCs w:val="24"/>
          <w:u w:val="single"/>
        </w:rPr>
        <w:t xml:space="preserve">      </w:t>
      </w:r>
      <w:r>
        <w:rPr>
          <w:rFonts w:ascii="宋体" w:hAnsi="宋体"/>
          <w:szCs w:val="24"/>
        </w:rPr>
        <w:t>年</w:t>
      </w:r>
      <w:r>
        <w:rPr>
          <w:rFonts w:hint="eastAsia" w:ascii="宋体" w:hAnsi="宋体"/>
          <w:szCs w:val="24"/>
          <w:u w:val="single"/>
        </w:rPr>
        <w:t xml:space="preserve">      </w:t>
      </w:r>
      <w:r>
        <w:rPr>
          <w:rFonts w:ascii="宋体" w:hAnsi="宋体"/>
          <w:szCs w:val="24"/>
        </w:rPr>
        <w:t>月</w:t>
      </w:r>
      <w:r>
        <w:rPr>
          <w:rFonts w:hint="eastAsia" w:ascii="宋体" w:hAnsi="宋体"/>
          <w:szCs w:val="24"/>
          <w:u w:val="single"/>
        </w:rPr>
        <w:t xml:space="preserve">      </w:t>
      </w:r>
      <w:r>
        <w:rPr>
          <w:rFonts w:ascii="宋体" w:hAnsi="宋体"/>
          <w:szCs w:val="24"/>
        </w:rPr>
        <w:t>日</w:t>
      </w:r>
    </w:p>
    <w:p>
      <w:pPr>
        <w:pStyle w:val="2"/>
        <w:ind w:firstLine="504"/>
      </w:pPr>
    </w:p>
    <w:p>
      <w:pPr>
        <w:pStyle w:val="5"/>
        <w:ind w:left="-325"/>
        <w:rPr>
          <w:rFonts w:hint="eastAsia" w:cs="宋体"/>
          <w:sz w:val="24"/>
        </w:rPr>
      </w:pPr>
      <w:bookmarkStart w:id="238" w:name="_Toc19235"/>
      <w:bookmarkStart w:id="239" w:name="_Toc24188"/>
      <w:r>
        <w:rPr>
          <w:rFonts w:hint="eastAsia" w:cs="宋体"/>
          <w:sz w:val="24"/>
        </w:rPr>
        <w:t>服务配套产品情况</w:t>
      </w:r>
      <w:bookmarkEnd w:id="238"/>
    </w:p>
    <w:p>
      <w:pPr>
        <w:ind w:firstLine="506"/>
        <w:rPr>
          <w:rFonts w:hint="eastAsia" w:ascii="宋体" w:hAnsi="宋体" w:cs="宋体"/>
          <w:b/>
          <w:bCs/>
        </w:rPr>
      </w:pPr>
    </w:p>
    <w:p>
      <w:pPr>
        <w:pStyle w:val="2"/>
        <w:ind w:firstLine="506"/>
        <w:rPr>
          <w:rFonts w:hint="eastAsia" w:ascii="宋体" w:hAnsi="宋体" w:cs="宋体"/>
          <w:b/>
          <w:bCs/>
        </w:rPr>
      </w:pPr>
    </w:p>
    <w:p>
      <w:pPr>
        <w:pStyle w:val="3"/>
        <w:rPr>
          <w:rFonts w:hint="eastAsia" w:ascii="宋体" w:hAnsi="宋体" w:eastAsia="宋体" w:cs="宋体"/>
          <w:b/>
          <w:bCs/>
        </w:rPr>
      </w:pPr>
    </w:p>
    <w:p>
      <w:pPr>
        <w:ind w:firstLine="506"/>
        <w:rPr>
          <w:rFonts w:hint="eastAsia" w:ascii="宋体" w:hAnsi="宋体" w:cs="宋体"/>
          <w:b/>
          <w:bCs/>
        </w:rPr>
      </w:pPr>
    </w:p>
    <w:p>
      <w:pPr>
        <w:pStyle w:val="2"/>
        <w:ind w:firstLine="506"/>
        <w:rPr>
          <w:rFonts w:hint="eastAsia" w:ascii="宋体" w:hAnsi="宋体" w:cs="宋体"/>
          <w:b/>
          <w:bCs/>
        </w:rPr>
      </w:pPr>
    </w:p>
    <w:p>
      <w:pPr>
        <w:pStyle w:val="3"/>
        <w:rPr>
          <w:rFonts w:hint="eastAsia" w:ascii="宋体" w:hAnsi="宋体" w:eastAsia="宋体" w:cs="宋体"/>
          <w:b/>
          <w:bCs/>
        </w:rPr>
      </w:pPr>
    </w:p>
    <w:p>
      <w:pPr>
        <w:ind w:firstLine="506"/>
        <w:rPr>
          <w:rFonts w:hint="eastAsia" w:ascii="宋体" w:hAnsi="宋体" w:cs="宋体"/>
          <w:b/>
          <w:bCs/>
        </w:rPr>
      </w:pPr>
    </w:p>
    <w:p>
      <w:pPr>
        <w:pStyle w:val="2"/>
        <w:ind w:firstLine="506"/>
        <w:rPr>
          <w:rFonts w:hint="eastAsia" w:ascii="宋体" w:hAnsi="宋体" w:cs="宋体"/>
          <w:b/>
          <w:bCs/>
        </w:rPr>
      </w:pPr>
    </w:p>
    <w:p>
      <w:pPr>
        <w:pStyle w:val="3"/>
        <w:rPr>
          <w:rFonts w:hint="eastAsia" w:ascii="宋体" w:hAnsi="宋体" w:eastAsia="宋体" w:cs="宋体"/>
          <w:b/>
          <w:bCs/>
        </w:rPr>
      </w:pPr>
    </w:p>
    <w:p>
      <w:pPr>
        <w:ind w:firstLine="506"/>
        <w:rPr>
          <w:rFonts w:hint="eastAsia" w:ascii="宋体" w:hAnsi="宋体" w:cs="宋体"/>
          <w:b/>
          <w:bCs/>
        </w:rPr>
      </w:pPr>
    </w:p>
    <w:p>
      <w:pPr>
        <w:pStyle w:val="2"/>
        <w:ind w:firstLine="506"/>
        <w:rPr>
          <w:rFonts w:hint="eastAsia" w:ascii="宋体" w:hAnsi="宋体" w:cs="宋体"/>
          <w:b/>
          <w:bCs/>
        </w:rPr>
      </w:pPr>
    </w:p>
    <w:p>
      <w:pPr>
        <w:pStyle w:val="3"/>
        <w:rPr>
          <w:rFonts w:hint="eastAsia" w:ascii="宋体" w:hAnsi="宋体" w:eastAsia="宋体" w:cs="宋体"/>
          <w:b/>
          <w:bCs/>
        </w:rPr>
      </w:pPr>
    </w:p>
    <w:p>
      <w:pPr>
        <w:ind w:firstLine="506"/>
        <w:rPr>
          <w:rFonts w:hint="eastAsia" w:ascii="宋体" w:hAnsi="宋体" w:cs="宋体"/>
          <w:b/>
          <w:bCs/>
        </w:rPr>
      </w:pPr>
    </w:p>
    <w:p>
      <w:pPr>
        <w:pStyle w:val="2"/>
        <w:ind w:firstLine="506"/>
        <w:rPr>
          <w:rFonts w:hint="eastAsia" w:ascii="宋体" w:hAnsi="宋体" w:cs="宋体"/>
          <w:b/>
          <w:bCs/>
        </w:rPr>
      </w:pPr>
    </w:p>
    <w:p>
      <w:pPr>
        <w:pStyle w:val="3"/>
        <w:rPr>
          <w:rFonts w:hint="eastAsia" w:ascii="宋体" w:hAnsi="宋体" w:eastAsia="宋体" w:cs="宋体"/>
          <w:b/>
          <w:bCs/>
        </w:rPr>
      </w:pPr>
    </w:p>
    <w:p>
      <w:pPr>
        <w:ind w:firstLine="506"/>
        <w:rPr>
          <w:rFonts w:hint="eastAsia" w:ascii="宋体" w:hAnsi="宋体" w:cs="宋体"/>
          <w:b/>
          <w:bCs/>
        </w:rPr>
      </w:pPr>
    </w:p>
    <w:p>
      <w:pPr>
        <w:pStyle w:val="2"/>
        <w:ind w:firstLine="506"/>
        <w:rPr>
          <w:rFonts w:hint="eastAsia" w:ascii="宋体" w:hAnsi="宋体" w:cs="宋体"/>
          <w:b/>
          <w:bCs/>
        </w:rPr>
      </w:pPr>
    </w:p>
    <w:p>
      <w:pPr>
        <w:pStyle w:val="3"/>
        <w:rPr>
          <w:rFonts w:hint="eastAsia" w:ascii="宋体" w:hAnsi="宋体" w:eastAsia="宋体" w:cs="宋体"/>
          <w:b/>
          <w:bCs/>
        </w:rPr>
      </w:pPr>
    </w:p>
    <w:p>
      <w:pPr>
        <w:ind w:firstLine="506"/>
        <w:rPr>
          <w:rFonts w:hint="eastAsia" w:ascii="宋体" w:hAnsi="宋体" w:cs="宋体"/>
          <w:b/>
          <w:bCs/>
        </w:rPr>
      </w:pPr>
    </w:p>
    <w:p>
      <w:pPr>
        <w:pStyle w:val="2"/>
        <w:ind w:firstLine="506"/>
        <w:rPr>
          <w:rFonts w:hint="eastAsia" w:ascii="宋体" w:hAnsi="宋体" w:cs="宋体"/>
          <w:b/>
          <w:bCs/>
        </w:rPr>
      </w:pPr>
    </w:p>
    <w:p>
      <w:pPr>
        <w:pStyle w:val="3"/>
        <w:spacing w:line="360" w:lineRule="auto"/>
        <w:ind w:left="0" w:right="862" w:firstLine="496" w:firstLineChars="198"/>
        <w:rPr>
          <w:rFonts w:hint="eastAsia" w:ascii="宋体" w:hAnsi="宋体" w:eastAsia="宋体" w:cs="宋体"/>
          <w:b/>
          <w:bCs/>
        </w:rPr>
      </w:pPr>
      <w:r>
        <w:rPr>
          <w:rFonts w:hint="eastAsia" w:ascii="宋体" w:hAnsi="宋体" w:eastAsia="宋体" w:cs="宋体"/>
          <w:szCs w:val="24"/>
        </w:rPr>
        <w:t>注：提供拟投入设备的相关参数说明（如：品牌、制造商、技术参数、响应说明、产品彩页（若有）等。</w:t>
      </w:r>
    </w:p>
    <w:p>
      <w:pPr>
        <w:ind w:firstLine="506"/>
        <w:rPr>
          <w:rFonts w:hint="eastAsia" w:ascii="宋体" w:hAnsi="宋体" w:cs="宋体"/>
          <w:b/>
          <w:bCs/>
        </w:rPr>
      </w:pPr>
    </w:p>
    <w:p>
      <w:pPr>
        <w:pStyle w:val="2"/>
        <w:ind w:firstLine="506"/>
        <w:rPr>
          <w:rFonts w:hint="eastAsia" w:ascii="宋体" w:hAnsi="宋体" w:cs="宋体"/>
          <w:b/>
          <w:bCs/>
        </w:rPr>
      </w:pPr>
    </w:p>
    <w:p>
      <w:pPr>
        <w:pStyle w:val="3"/>
        <w:rPr>
          <w:rFonts w:hint="eastAsia" w:ascii="宋体" w:hAnsi="宋体" w:eastAsia="宋体" w:cs="宋体"/>
          <w:b/>
          <w:bCs/>
        </w:rPr>
      </w:pPr>
    </w:p>
    <w:p>
      <w:pPr>
        <w:ind w:firstLine="504"/>
        <w:rPr>
          <w:rFonts w:hint="eastAsia"/>
        </w:rPr>
      </w:pPr>
    </w:p>
    <w:p>
      <w:pPr>
        <w:pStyle w:val="5"/>
        <w:ind w:left="-325"/>
      </w:pPr>
      <w:bookmarkStart w:id="240" w:name="_Toc18624"/>
      <w:r>
        <w:rPr>
          <w:rFonts w:hint="eastAsia" w:cs="宋体"/>
          <w:sz w:val="24"/>
        </w:rPr>
        <w:t>投标人本项目管理、技术、其他人员情况表</w:t>
      </w:r>
      <w:bookmarkEnd w:id="240"/>
    </w:p>
    <w:p>
      <w:pPr>
        <w:ind w:firstLine="504"/>
        <w:rPr>
          <w:rFonts w:hint="eastAsia" w:ascii="宋体" w:hAnsi="宋体" w:cs="宋体"/>
        </w:rPr>
      </w:pPr>
    </w:p>
    <w:p>
      <w:pPr>
        <w:snapToGrid w:val="0"/>
        <w:spacing w:line="500" w:lineRule="exact"/>
        <w:ind w:right="-745" w:rightChars="-297" w:firstLine="506"/>
        <w:rPr>
          <w:rFonts w:hint="eastAsia" w:ascii="宋体" w:hAnsi="宋体" w:eastAsia="宋体"/>
          <w:b/>
          <w:szCs w:val="24"/>
          <w:lang w:eastAsia="zh-CN"/>
        </w:rPr>
      </w:pPr>
      <w:r>
        <w:rPr>
          <w:rFonts w:hint="eastAsia" w:ascii="宋体" w:hAnsi="宋体"/>
          <w:b/>
          <w:szCs w:val="24"/>
        </w:rPr>
        <w:t>项目名称：</w:t>
      </w:r>
      <w:r>
        <w:rPr>
          <w:rFonts w:hint="eastAsia" w:ascii="宋体" w:hAnsi="宋体"/>
          <w:b/>
          <w:szCs w:val="24"/>
          <w:u w:val="single"/>
          <w:lang w:eastAsia="zh-CN"/>
        </w:rPr>
        <w:t>成都市龙泉驿生态环境局成都市中心城区“6+1”区域智能大气环境监测管治服务采购项目（第二次）</w:t>
      </w:r>
    </w:p>
    <w:p>
      <w:pPr>
        <w:pStyle w:val="14"/>
        <w:tabs>
          <w:tab w:val="left" w:pos="7560"/>
        </w:tabs>
        <w:spacing w:after="0" w:line="500" w:lineRule="exact"/>
        <w:ind w:firstLine="506"/>
        <w:rPr>
          <w:rFonts w:hint="eastAsia" w:eastAsia="宋体"/>
          <w:lang w:eastAsia="zh-CN"/>
        </w:rPr>
      </w:pPr>
      <w:r>
        <w:rPr>
          <w:rFonts w:hint="eastAsia" w:ascii="宋体" w:hAnsi="宋体"/>
          <w:b/>
          <w:szCs w:val="24"/>
        </w:rPr>
        <w:t>项目编号：</w:t>
      </w:r>
      <w:r>
        <w:rPr>
          <w:rFonts w:hint="eastAsia" w:ascii="宋体" w:hAnsi="宋体"/>
          <w:b/>
          <w:szCs w:val="24"/>
          <w:u w:val="single"/>
          <w:lang w:eastAsia="zh-CN"/>
        </w:rPr>
        <w:t>510112202100362</w:t>
      </w:r>
    </w:p>
    <w:p>
      <w:pPr>
        <w:pStyle w:val="41"/>
        <w:ind w:firstLine="252"/>
        <w:rPr>
          <w:rFonts w:hint="eastAsia" w:ascii="宋体" w:hAnsi="宋体" w:cs="宋体"/>
          <w:sz w:val="24"/>
        </w:rPr>
      </w:pPr>
    </w:p>
    <w:tbl>
      <w:tblPr>
        <w:tblStyle w:val="43"/>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79" w:type="dxa"/>
            <w:vMerge w:val="restart"/>
            <w:noWrap w:val="0"/>
            <w:vAlign w:val="center"/>
          </w:tcPr>
          <w:p>
            <w:pPr>
              <w:widowControl/>
              <w:spacing w:line="360" w:lineRule="atLeast"/>
              <w:ind w:firstLine="0" w:firstLineChars="0"/>
              <w:jc w:val="center"/>
              <w:rPr>
                <w:rFonts w:ascii="宋体" w:hAnsi="宋体" w:cs="宋体"/>
              </w:rPr>
            </w:pPr>
            <w:r>
              <w:rPr>
                <w:rFonts w:hint="eastAsia" w:ascii="宋体" w:hAnsi="宋体" w:cs="宋体"/>
              </w:rPr>
              <w:t>类别</w:t>
            </w:r>
          </w:p>
        </w:tc>
        <w:tc>
          <w:tcPr>
            <w:tcW w:w="807" w:type="dxa"/>
            <w:vMerge w:val="restart"/>
            <w:noWrap w:val="0"/>
            <w:vAlign w:val="center"/>
          </w:tcPr>
          <w:p>
            <w:pPr>
              <w:widowControl/>
              <w:spacing w:line="360" w:lineRule="atLeast"/>
              <w:ind w:firstLine="0" w:firstLineChars="0"/>
              <w:rPr>
                <w:rFonts w:ascii="宋体" w:hAnsi="宋体" w:cs="宋体"/>
              </w:rPr>
            </w:pPr>
            <w:r>
              <w:rPr>
                <w:rFonts w:hint="eastAsia" w:ascii="宋体" w:hAnsi="宋体" w:cs="宋体"/>
              </w:rPr>
              <w:t>职务</w:t>
            </w:r>
          </w:p>
        </w:tc>
        <w:tc>
          <w:tcPr>
            <w:tcW w:w="807" w:type="dxa"/>
            <w:vMerge w:val="restart"/>
            <w:noWrap w:val="0"/>
            <w:vAlign w:val="center"/>
          </w:tcPr>
          <w:p>
            <w:pPr>
              <w:widowControl/>
              <w:spacing w:line="360" w:lineRule="atLeast"/>
              <w:ind w:firstLine="0" w:firstLineChars="0"/>
              <w:rPr>
                <w:rFonts w:ascii="宋体" w:hAnsi="宋体" w:cs="宋体"/>
              </w:rPr>
            </w:pPr>
            <w:r>
              <w:rPr>
                <w:rFonts w:hint="eastAsia" w:ascii="宋体" w:hAnsi="宋体" w:cs="宋体"/>
              </w:rPr>
              <w:t>姓名</w:t>
            </w:r>
          </w:p>
        </w:tc>
        <w:tc>
          <w:tcPr>
            <w:tcW w:w="807" w:type="dxa"/>
            <w:vMerge w:val="restart"/>
            <w:noWrap w:val="0"/>
            <w:vAlign w:val="center"/>
          </w:tcPr>
          <w:p>
            <w:pPr>
              <w:widowControl/>
              <w:spacing w:line="360" w:lineRule="atLeast"/>
              <w:ind w:firstLine="0" w:firstLineChars="0"/>
              <w:rPr>
                <w:rFonts w:ascii="宋体" w:hAnsi="宋体" w:cs="宋体"/>
              </w:rPr>
            </w:pPr>
            <w:r>
              <w:rPr>
                <w:rFonts w:hint="eastAsia" w:ascii="宋体" w:hAnsi="宋体" w:cs="宋体"/>
              </w:rPr>
              <w:t>职称</w:t>
            </w:r>
          </w:p>
        </w:tc>
        <w:tc>
          <w:tcPr>
            <w:tcW w:w="807" w:type="dxa"/>
            <w:vMerge w:val="restart"/>
            <w:noWrap w:val="0"/>
            <w:vAlign w:val="center"/>
          </w:tcPr>
          <w:p>
            <w:pPr>
              <w:widowControl/>
              <w:spacing w:line="360" w:lineRule="atLeast"/>
              <w:ind w:firstLine="0" w:firstLineChars="0"/>
              <w:rPr>
                <w:rFonts w:ascii="宋体" w:hAnsi="宋体" w:cs="宋体"/>
              </w:rPr>
            </w:pPr>
            <w:r>
              <w:rPr>
                <w:rFonts w:hint="eastAsia" w:ascii="宋体" w:hAnsi="宋体" w:cs="宋体"/>
              </w:rPr>
              <w:t>常住地</w:t>
            </w:r>
          </w:p>
        </w:tc>
        <w:tc>
          <w:tcPr>
            <w:tcW w:w="3390" w:type="dxa"/>
            <w:gridSpan w:val="4"/>
            <w:noWrap w:val="0"/>
            <w:vAlign w:val="center"/>
          </w:tcPr>
          <w:p>
            <w:pPr>
              <w:widowControl/>
              <w:spacing w:line="360" w:lineRule="atLeast"/>
              <w:ind w:firstLine="0" w:firstLineChars="0"/>
              <w:rPr>
                <w:rFonts w:ascii="宋体" w:hAnsi="宋体" w:cs="宋体"/>
              </w:rPr>
            </w:pPr>
            <w:r>
              <w:rPr>
                <w:rFonts w:hint="eastAsia" w:ascii="宋体" w:hAnsi="宋体" w:cs="宋体"/>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79" w:type="dxa"/>
            <w:vMerge w:val="continue"/>
            <w:noWrap w:val="0"/>
            <w:vAlign w:val="center"/>
          </w:tcPr>
          <w:p>
            <w:pPr>
              <w:ind w:firstLine="0" w:firstLineChars="0"/>
              <w:jc w:val="center"/>
              <w:rPr>
                <w:rFonts w:ascii="宋体" w:hAnsi="宋体" w:cs="宋体"/>
              </w:rPr>
            </w:pPr>
          </w:p>
        </w:tc>
        <w:tc>
          <w:tcPr>
            <w:tcW w:w="807" w:type="dxa"/>
            <w:vMerge w:val="continue"/>
            <w:noWrap w:val="0"/>
            <w:vAlign w:val="center"/>
          </w:tcPr>
          <w:p>
            <w:pPr>
              <w:ind w:firstLine="0" w:firstLineChars="0"/>
              <w:rPr>
                <w:rFonts w:ascii="宋体" w:hAnsi="宋体" w:cs="宋体"/>
              </w:rPr>
            </w:pPr>
          </w:p>
        </w:tc>
        <w:tc>
          <w:tcPr>
            <w:tcW w:w="807" w:type="dxa"/>
            <w:vMerge w:val="continue"/>
            <w:noWrap w:val="0"/>
            <w:vAlign w:val="center"/>
          </w:tcPr>
          <w:p>
            <w:pPr>
              <w:ind w:firstLine="0" w:firstLineChars="0"/>
              <w:rPr>
                <w:rFonts w:ascii="宋体" w:hAnsi="宋体" w:cs="宋体"/>
              </w:rPr>
            </w:pPr>
          </w:p>
        </w:tc>
        <w:tc>
          <w:tcPr>
            <w:tcW w:w="807" w:type="dxa"/>
            <w:vMerge w:val="continue"/>
            <w:noWrap w:val="0"/>
            <w:vAlign w:val="center"/>
          </w:tcPr>
          <w:p>
            <w:pPr>
              <w:ind w:firstLine="0" w:firstLineChars="0"/>
              <w:rPr>
                <w:rFonts w:ascii="宋体" w:hAnsi="宋体" w:cs="宋体"/>
              </w:rPr>
            </w:pPr>
          </w:p>
        </w:tc>
        <w:tc>
          <w:tcPr>
            <w:tcW w:w="807" w:type="dxa"/>
            <w:vMerge w:val="continue"/>
            <w:noWrap w:val="0"/>
            <w:vAlign w:val="center"/>
          </w:tcPr>
          <w:p>
            <w:pPr>
              <w:ind w:firstLine="0" w:firstLineChars="0"/>
              <w:rPr>
                <w:rFonts w:ascii="宋体" w:hAnsi="宋体" w:cs="宋体"/>
              </w:rPr>
            </w:pPr>
          </w:p>
        </w:tc>
        <w:tc>
          <w:tcPr>
            <w:tcW w:w="851" w:type="dxa"/>
            <w:noWrap w:val="0"/>
            <w:vAlign w:val="center"/>
          </w:tcPr>
          <w:p>
            <w:pPr>
              <w:widowControl/>
              <w:spacing w:line="360" w:lineRule="atLeast"/>
              <w:ind w:firstLine="0" w:firstLineChars="0"/>
              <w:rPr>
                <w:rFonts w:ascii="宋体" w:hAnsi="宋体" w:cs="宋体"/>
              </w:rPr>
            </w:pPr>
            <w:r>
              <w:rPr>
                <w:rFonts w:hint="eastAsia" w:ascii="宋体" w:hAnsi="宋体" w:cs="宋体"/>
              </w:rPr>
              <w:t>证书</w:t>
            </w:r>
          </w:p>
          <w:p>
            <w:pPr>
              <w:widowControl/>
              <w:spacing w:line="360" w:lineRule="atLeast"/>
              <w:ind w:firstLine="0" w:firstLineChars="0"/>
              <w:rPr>
                <w:rFonts w:ascii="宋体" w:hAnsi="宋体" w:cs="宋体"/>
              </w:rPr>
            </w:pPr>
            <w:r>
              <w:rPr>
                <w:rFonts w:hint="eastAsia" w:ascii="宋体" w:hAnsi="宋体" w:cs="宋体"/>
              </w:rPr>
              <w:t>名称</w:t>
            </w:r>
          </w:p>
        </w:tc>
        <w:tc>
          <w:tcPr>
            <w:tcW w:w="960" w:type="dxa"/>
            <w:noWrap w:val="0"/>
            <w:vAlign w:val="center"/>
          </w:tcPr>
          <w:p>
            <w:pPr>
              <w:widowControl/>
              <w:spacing w:line="360" w:lineRule="atLeast"/>
              <w:ind w:firstLine="0" w:firstLineChars="0"/>
              <w:rPr>
                <w:rFonts w:ascii="宋体" w:hAnsi="宋体" w:cs="宋体"/>
              </w:rPr>
            </w:pPr>
            <w:r>
              <w:rPr>
                <w:rFonts w:hint="eastAsia" w:ascii="宋体" w:hAnsi="宋体" w:cs="宋体"/>
              </w:rPr>
              <w:t>级别</w:t>
            </w:r>
          </w:p>
        </w:tc>
        <w:tc>
          <w:tcPr>
            <w:tcW w:w="847" w:type="dxa"/>
            <w:noWrap w:val="0"/>
            <w:vAlign w:val="center"/>
          </w:tcPr>
          <w:p>
            <w:pPr>
              <w:widowControl/>
              <w:spacing w:line="360" w:lineRule="atLeast"/>
              <w:ind w:firstLine="0" w:firstLineChars="0"/>
              <w:rPr>
                <w:rFonts w:ascii="宋体" w:hAnsi="宋体" w:cs="宋体"/>
              </w:rPr>
            </w:pPr>
            <w:r>
              <w:rPr>
                <w:rFonts w:hint="eastAsia" w:ascii="宋体" w:hAnsi="宋体" w:cs="宋体"/>
              </w:rPr>
              <w:t>证号</w:t>
            </w:r>
          </w:p>
        </w:tc>
        <w:tc>
          <w:tcPr>
            <w:tcW w:w="732" w:type="dxa"/>
            <w:noWrap w:val="0"/>
            <w:vAlign w:val="center"/>
          </w:tcPr>
          <w:p>
            <w:pPr>
              <w:widowControl/>
              <w:spacing w:line="360" w:lineRule="atLeast"/>
              <w:ind w:firstLine="0" w:firstLineChars="0"/>
              <w:rPr>
                <w:rFonts w:ascii="宋体" w:hAnsi="宋体" w:cs="宋体"/>
              </w:rPr>
            </w:pPr>
            <w:r>
              <w:rPr>
                <w:rFonts w:hint="eastAsia" w:ascii="宋体" w:hAnsi="宋体" w:cs="宋体"/>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79" w:type="dxa"/>
            <w:vMerge w:val="restart"/>
            <w:noWrap w:val="0"/>
            <w:vAlign w:val="top"/>
          </w:tcPr>
          <w:p>
            <w:pPr>
              <w:widowControl/>
              <w:spacing w:line="360" w:lineRule="atLeast"/>
              <w:ind w:firstLine="0" w:firstLineChars="0"/>
              <w:jc w:val="center"/>
              <w:rPr>
                <w:rFonts w:hint="eastAsia" w:ascii="宋体" w:hAnsi="宋体" w:cs="宋体"/>
              </w:rPr>
            </w:pPr>
          </w:p>
          <w:p>
            <w:pPr>
              <w:widowControl/>
              <w:spacing w:line="360" w:lineRule="atLeast"/>
              <w:ind w:firstLine="0" w:firstLineChars="0"/>
              <w:jc w:val="center"/>
              <w:rPr>
                <w:rFonts w:ascii="宋体" w:hAnsi="宋体" w:cs="宋体"/>
              </w:rPr>
            </w:pPr>
            <w:r>
              <w:rPr>
                <w:rFonts w:hint="eastAsia" w:ascii="宋体" w:hAnsi="宋体" w:cs="宋体"/>
              </w:rPr>
              <w:t>管理</w:t>
            </w:r>
          </w:p>
          <w:p>
            <w:pPr>
              <w:widowControl/>
              <w:spacing w:line="360" w:lineRule="atLeast"/>
              <w:ind w:firstLine="0" w:firstLineChars="0"/>
              <w:jc w:val="center"/>
              <w:rPr>
                <w:rFonts w:ascii="宋体" w:hAnsi="宋体" w:cs="宋体"/>
              </w:rPr>
            </w:pPr>
            <w:r>
              <w:rPr>
                <w:rFonts w:hint="eastAsia" w:ascii="宋体" w:hAnsi="宋体" w:cs="宋体"/>
              </w:rPr>
              <w:t>人员</w:t>
            </w: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51" w:type="dxa"/>
            <w:noWrap w:val="0"/>
            <w:vAlign w:val="top"/>
          </w:tcPr>
          <w:p>
            <w:pPr>
              <w:widowControl/>
              <w:spacing w:line="360" w:lineRule="atLeast"/>
              <w:ind w:firstLine="0" w:firstLineChars="0"/>
              <w:rPr>
                <w:rFonts w:ascii="宋体" w:hAnsi="宋体" w:cs="宋体"/>
              </w:rPr>
            </w:pPr>
          </w:p>
        </w:tc>
        <w:tc>
          <w:tcPr>
            <w:tcW w:w="960" w:type="dxa"/>
            <w:noWrap w:val="0"/>
            <w:vAlign w:val="top"/>
          </w:tcPr>
          <w:p>
            <w:pPr>
              <w:widowControl/>
              <w:spacing w:line="360" w:lineRule="atLeast"/>
              <w:ind w:firstLine="0" w:firstLineChars="0"/>
              <w:rPr>
                <w:rFonts w:ascii="宋体" w:hAnsi="宋体" w:cs="宋体"/>
              </w:rPr>
            </w:pPr>
          </w:p>
        </w:tc>
        <w:tc>
          <w:tcPr>
            <w:tcW w:w="847" w:type="dxa"/>
            <w:noWrap w:val="0"/>
            <w:vAlign w:val="top"/>
          </w:tcPr>
          <w:p>
            <w:pPr>
              <w:widowControl/>
              <w:spacing w:line="360" w:lineRule="atLeast"/>
              <w:ind w:firstLine="0" w:firstLineChars="0"/>
              <w:rPr>
                <w:rFonts w:ascii="宋体" w:hAnsi="宋体" w:cs="宋体"/>
              </w:rPr>
            </w:pPr>
          </w:p>
        </w:tc>
        <w:tc>
          <w:tcPr>
            <w:tcW w:w="732" w:type="dxa"/>
            <w:noWrap w:val="0"/>
            <w:vAlign w:val="top"/>
          </w:tcPr>
          <w:p>
            <w:pPr>
              <w:widowControl/>
              <w:spacing w:line="360" w:lineRule="atLeas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79" w:type="dxa"/>
            <w:vMerge w:val="continue"/>
            <w:noWrap w:val="0"/>
            <w:vAlign w:val="top"/>
          </w:tcPr>
          <w:p>
            <w:pPr>
              <w:ind w:firstLine="0" w:firstLineChars="0"/>
              <w:jc w:val="center"/>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51" w:type="dxa"/>
            <w:noWrap w:val="0"/>
            <w:vAlign w:val="top"/>
          </w:tcPr>
          <w:p>
            <w:pPr>
              <w:widowControl/>
              <w:spacing w:line="360" w:lineRule="atLeast"/>
              <w:ind w:firstLine="0" w:firstLineChars="0"/>
              <w:rPr>
                <w:rFonts w:ascii="宋体" w:hAnsi="宋体" w:cs="宋体"/>
              </w:rPr>
            </w:pPr>
          </w:p>
        </w:tc>
        <w:tc>
          <w:tcPr>
            <w:tcW w:w="960" w:type="dxa"/>
            <w:noWrap w:val="0"/>
            <w:vAlign w:val="top"/>
          </w:tcPr>
          <w:p>
            <w:pPr>
              <w:widowControl/>
              <w:spacing w:line="360" w:lineRule="atLeast"/>
              <w:ind w:firstLine="0" w:firstLineChars="0"/>
              <w:rPr>
                <w:rFonts w:ascii="宋体" w:hAnsi="宋体" w:cs="宋体"/>
              </w:rPr>
            </w:pPr>
          </w:p>
        </w:tc>
        <w:tc>
          <w:tcPr>
            <w:tcW w:w="847" w:type="dxa"/>
            <w:noWrap w:val="0"/>
            <w:vAlign w:val="top"/>
          </w:tcPr>
          <w:p>
            <w:pPr>
              <w:widowControl/>
              <w:spacing w:line="360" w:lineRule="atLeast"/>
              <w:ind w:firstLine="0" w:firstLineChars="0"/>
              <w:rPr>
                <w:rFonts w:ascii="宋体" w:hAnsi="宋体" w:cs="宋体"/>
              </w:rPr>
            </w:pPr>
          </w:p>
        </w:tc>
        <w:tc>
          <w:tcPr>
            <w:tcW w:w="732" w:type="dxa"/>
            <w:noWrap w:val="0"/>
            <w:vAlign w:val="top"/>
          </w:tcPr>
          <w:p>
            <w:pPr>
              <w:widowControl/>
              <w:spacing w:line="360" w:lineRule="atLeas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79" w:type="dxa"/>
            <w:vMerge w:val="continue"/>
            <w:noWrap w:val="0"/>
            <w:vAlign w:val="top"/>
          </w:tcPr>
          <w:p>
            <w:pPr>
              <w:ind w:firstLine="0" w:firstLineChars="0"/>
              <w:jc w:val="center"/>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51" w:type="dxa"/>
            <w:noWrap w:val="0"/>
            <w:vAlign w:val="top"/>
          </w:tcPr>
          <w:p>
            <w:pPr>
              <w:widowControl/>
              <w:spacing w:line="360" w:lineRule="atLeast"/>
              <w:ind w:firstLine="0" w:firstLineChars="0"/>
              <w:rPr>
                <w:rFonts w:ascii="宋体" w:hAnsi="宋体" w:cs="宋体"/>
              </w:rPr>
            </w:pPr>
          </w:p>
        </w:tc>
        <w:tc>
          <w:tcPr>
            <w:tcW w:w="960" w:type="dxa"/>
            <w:noWrap w:val="0"/>
            <w:vAlign w:val="top"/>
          </w:tcPr>
          <w:p>
            <w:pPr>
              <w:widowControl/>
              <w:spacing w:line="360" w:lineRule="atLeast"/>
              <w:ind w:firstLine="0" w:firstLineChars="0"/>
              <w:rPr>
                <w:rFonts w:ascii="宋体" w:hAnsi="宋体" w:cs="宋体"/>
              </w:rPr>
            </w:pPr>
          </w:p>
        </w:tc>
        <w:tc>
          <w:tcPr>
            <w:tcW w:w="847" w:type="dxa"/>
            <w:noWrap w:val="0"/>
            <w:vAlign w:val="top"/>
          </w:tcPr>
          <w:p>
            <w:pPr>
              <w:widowControl/>
              <w:spacing w:line="360" w:lineRule="atLeast"/>
              <w:ind w:firstLine="0" w:firstLineChars="0"/>
              <w:rPr>
                <w:rFonts w:ascii="宋体" w:hAnsi="宋体" w:cs="宋体"/>
              </w:rPr>
            </w:pPr>
          </w:p>
        </w:tc>
        <w:tc>
          <w:tcPr>
            <w:tcW w:w="732" w:type="dxa"/>
            <w:noWrap w:val="0"/>
            <w:vAlign w:val="top"/>
          </w:tcPr>
          <w:p>
            <w:pPr>
              <w:widowControl/>
              <w:spacing w:line="360" w:lineRule="atLeas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79" w:type="dxa"/>
            <w:vMerge w:val="restart"/>
            <w:noWrap w:val="0"/>
            <w:vAlign w:val="top"/>
          </w:tcPr>
          <w:p>
            <w:pPr>
              <w:widowControl/>
              <w:spacing w:line="360" w:lineRule="atLeast"/>
              <w:ind w:firstLine="0" w:firstLineChars="0"/>
              <w:jc w:val="center"/>
              <w:rPr>
                <w:rFonts w:hint="eastAsia" w:ascii="宋体" w:hAnsi="宋体" w:cs="宋体"/>
              </w:rPr>
            </w:pPr>
          </w:p>
          <w:p>
            <w:pPr>
              <w:widowControl/>
              <w:spacing w:line="360" w:lineRule="atLeast"/>
              <w:ind w:firstLine="0" w:firstLineChars="0"/>
              <w:jc w:val="center"/>
              <w:rPr>
                <w:rFonts w:ascii="宋体" w:hAnsi="宋体" w:cs="宋体"/>
              </w:rPr>
            </w:pPr>
            <w:r>
              <w:rPr>
                <w:rFonts w:hint="eastAsia" w:ascii="宋体" w:hAnsi="宋体" w:cs="宋体"/>
              </w:rPr>
              <w:t>技术</w:t>
            </w:r>
          </w:p>
          <w:p>
            <w:pPr>
              <w:widowControl/>
              <w:spacing w:line="360" w:lineRule="atLeast"/>
              <w:ind w:firstLine="0" w:firstLineChars="0"/>
              <w:jc w:val="center"/>
              <w:rPr>
                <w:rFonts w:ascii="宋体" w:hAnsi="宋体" w:cs="宋体"/>
              </w:rPr>
            </w:pPr>
            <w:r>
              <w:rPr>
                <w:rFonts w:hint="eastAsia" w:ascii="宋体" w:hAnsi="宋体" w:cs="宋体"/>
              </w:rPr>
              <w:t>人员</w:t>
            </w: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51" w:type="dxa"/>
            <w:noWrap w:val="0"/>
            <w:vAlign w:val="top"/>
          </w:tcPr>
          <w:p>
            <w:pPr>
              <w:widowControl/>
              <w:spacing w:line="360" w:lineRule="atLeast"/>
              <w:ind w:firstLine="0" w:firstLineChars="0"/>
              <w:rPr>
                <w:rFonts w:ascii="宋体" w:hAnsi="宋体" w:cs="宋体"/>
              </w:rPr>
            </w:pPr>
          </w:p>
        </w:tc>
        <w:tc>
          <w:tcPr>
            <w:tcW w:w="960" w:type="dxa"/>
            <w:noWrap w:val="0"/>
            <w:vAlign w:val="top"/>
          </w:tcPr>
          <w:p>
            <w:pPr>
              <w:widowControl/>
              <w:spacing w:line="360" w:lineRule="atLeast"/>
              <w:ind w:firstLine="0" w:firstLineChars="0"/>
              <w:rPr>
                <w:rFonts w:ascii="宋体" w:hAnsi="宋体" w:cs="宋体"/>
              </w:rPr>
            </w:pPr>
          </w:p>
        </w:tc>
        <w:tc>
          <w:tcPr>
            <w:tcW w:w="847" w:type="dxa"/>
            <w:noWrap w:val="0"/>
            <w:vAlign w:val="top"/>
          </w:tcPr>
          <w:p>
            <w:pPr>
              <w:widowControl/>
              <w:spacing w:line="360" w:lineRule="atLeast"/>
              <w:ind w:firstLine="0" w:firstLineChars="0"/>
              <w:rPr>
                <w:rFonts w:ascii="宋体" w:hAnsi="宋体" w:cs="宋体"/>
              </w:rPr>
            </w:pPr>
          </w:p>
        </w:tc>
        <w:tc>
          <w:tcPr>
            <w:tcW w:w="732" w:type="dxa"/>
            <w:noWrap w:val="0"/>
            <w:vAlign w:val="top"/>
          </w:tcPr>
          <w:p>
            <w:pPr>
              <w:widowControl/>
              <w:spacing w:line="360" w:lineRule="atLeas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79" w:type="dxa"/>
            <w:vMerge w:val="continue"/>
            <w:noWrap w:val="0"/>
            <w:vAlign w:val="top"/>
          </w:tcPr>
          <w:p>
            <w:pPr>
              <w:ind w:firstLine="0" w:firstLineChars="0"/>
              <w:jc w:val="center"/>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51" w:type="dxa"/>
            <w:noWrap w:val="0"/>
            <w:vAlign w:val="top"/>
          </w:tcPr>
          <w:p>
            <w:pPr>
              <w:widowControl/>
              <w:spacing w:line="360" w:lineRule="atLeast"/>
              <w:ind w:firstLine="0" w:firstLineChars="0"/>
              <w:rPr>
                <w:rFonts w:ascii="宋体" w:hAnsi="宋体" w:cs="宋体"/>
              </w:rPr>
            </w:pPr>
          </w:p>
        </w:tc>
        <w:tc>
          <w:tcPr>
            <w:tcW w:w="960" w:type="dxa"/>
            <w:noWrap w:val="0"/>
            <w:vAlign w:val="top"/>
          </w:tcPr>
          <w:p>
            <w:pPr>
              <w:widowControl/>
              <w:spacing w:line="360" w:lineRule="atLeast"/>
              <w:ind w:firstLine="0" w:firstLineChars="0"/>
              <w:rPr>
                <w:rFonts w:ascii="宋体" w:hAnsi="宋体" w:cs="宋体"/>
              </w:rPr>
            </w:pPr>
          </w:p>
        </w:tc>
        <w:tc>
          <w:tcPr>
            <w:tcW w:w="847" w:type="dxa"/>
            <w:noWrap w:val="0"/>
            <w:vAlign w:val="top"/>
          </w:tcPr>
          <w:p>
            <w:pPr>
              <w:widowControl/>
              <w:spacing w:line="360" w:lineRule="atLeast"/>
              <w:ind w:firstLine="0" w:firstLineChars="0"/>
              <w:rPr>
                <w:rFonts w:ascii="宋体" w:hAnsi="宋体" w:cs="宋体"/>
              </w:rPr>
            </w:pPr>
          </w:p>
        </w:tc>
        <w:tc>
          <w:tcPr>
            <w:tcW w:w="732" w:type="dxa"/>
            <w:noWrap w:val="0"/>
            <w:vAlign w:val="top"/>
          </w:tcPr>
          <w:p>
            <w:pPr>
              <w:widowControl/>
              <w:spacing w:line="360" w:lineRule="atLeas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79" w:type="dxa"/>
            <w:vMerge w:val="continue"/>
            <w:noWrap w:val="0"/>
            <w:vAlign w:val="top"/>
          </w:tcPr>
          <w:p>
            <w:pPr>
              <w:ind w:firstLine="0" w:firstLineChars="0"/>
              <w:jc w:val="center"/>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51" w:type="dxa"/>
            <w:noWrap w:val="0"/>
            <w:vAlign w:val="top"/>
          </w:tcPr>
          <w:p>
            <w:pPr>
              <w:widowControl/>
              <w:spacing w:line="360" w:lineRule="atLeast"/>
              <w:ind w:firstLine="0" w:firstLineChars="0"/>
              <w:rPr>
                <w:rFonts w:ascii="宋体" w:hAnsi="宋体" w:cs="宋体"/>
              </w:rPr>
            </w:pPr>
          </w:p>
        </w:tc>
        <w:tc>
          <w:tcPr>
            <w:tcW w:w="960" w:type="dxa"/>
            <w:noWrap w:val="0"/>
            <w:vAlign w:val="top"/>
          </w:tcPr>
          <w:p>
            <w:pPr>
              <w:widowControl/>
              <w:spacing w:line="360" w:lineRule="atLeast"/>
              <w:ind w:firstLine="0" w:firstLineChars="0"/>
              <w:rPr>
                <w:rFonts w:ascii="宋体" w:hAnsi="宋体" w:cs="宋体"/>
              </w:rPr>
            </w:pPr>
          </w:p>
        </w:tc>
        <w:tc>
          <w:tcPr>
            <w:tcW w:w="847" w:type="dxa"/>
            <w:noWrap w:val="0"/>
            <w:vAlign w:val="top"/>
          </w:tcPr>
          <w:p>
            <w:pPr>
              <w:widowControl/>
              <w:spacing w:line="360" w:lineRule="atLeast"/>
              <w:ind w:firstLine="0" w:firstLineChars="0"/>
              <w:rPr>
                <w:rFonts w:ascii="宋体" w:hAnsi="宋体" w:cs="宋体"/>
              </w:rPr>
            </w:pPr>
          </w:p>
        </w:tc>
        <w:tc>
          <w:tcPr>
            <w:tcW w:w="732" w:type="dxa"/>
            <w:noWrap w:val="0"/>
            <w:vAlign w:val="top"/>
          </w:tcPr>
          <w:p>
            <w:pPr>
              <w:widowControl/>
              <w:spacing w:line="360" w:lineRule="atLeas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179" w:type="dxa"/>
            <w:vMerge w:val="restart"/>
            <w:noWrap w:val="0"/>
            <w:vAlign w:val="top"/>
          </w:tcPr>
          <w:p>
            <w:pPr>
              <w:widowControl/>
              <w:spacing w:line="360" w:lineRule="atLeast"/>
              <w:ind w:firstLine="0" w:firstLineChars="0"/>
              <w:jc w:val="center"/>
              <w:rPr>
                <w:rFonts w:hint="eastAsia" w:ascii="宋体" w:hAnsi="宋体" w:cs="宋体"/>
              </w:rPr>
            </w:pPr>
          </w:p>
          <w:p>
            <w:pPr>
              <w:widowControl/>
              <w:spacing w:line="360" w:lineRule="atLeast"/>
              <w:ind w:firstLine="0" w:firstLineChars="0"/>
              <w:jc w:val="center"/>
              <w:rPr>
                <w:rFonts w:hint="eastAsia" w:ascii="宋体" w:hAnsi="宋体" w:cs="宋体"/>
              </w:rPr>
            </w:pPr>
            <w:r>
              <w:rPr>
                <w:rFonts w:hint="eastAsia" w:ascii="宋体" w:hAnsi="宋体" w:cs="宋体"/>
              </w:rPr>
              <w:t>其他</w:t>
            </w:r>
          </w:p>
          <w:p>
            <w:pPr>
              <w:widowControl/>
              <w:spacing w:line="360" w:lineRule="atLeast"/>
              <w:ind w:firstLine="0" w:firstLineChars="0"/>
              <w:jc w:val="center"/>
              <w:rPr>
                <w:rFonts w:ascii="宋体" w:hAnsi="宋体" w:cs="宋体"/>
              </w:rPr>
            </w:pPr>
            <w:r>
              <w:rPr>
                <w:rFonts w:hint="eastAsia" w:ascii="宋体" w:hAnsi="宋体" w:cs="宋体"/>
              </w:rPr>
              <w:t>人员</w:t>
            </w: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51" w:type="dxa"/>
            <w:noWrap w:val="0"/>
            <w:vAlign w:val="top"/>
          </w:tcPr>
          <w:p>
            <w:pPr>
              <w:widowControl/>
              <w:spacing w:line="360" w:lineRule="atLeast"/>
              <w:ind w:firstLine="0" w:firstLineChars="0"/>
              <w:rPr>
                <w:rFonts w:ascii="宋体" w:hAnsi="宋体" w:cs="宋体"/>
              </w:rPr>
            </w:pPr>
          </w:p>
        </w:tc>
        <w:tc>
          <w:tcPr>
            <w:tcW w:w="960" w:type="dxa"/>
            <w:noWrap w:val="0"/>
            <w:vAlign w:val="top"/>
          </w:tcPr>
          <w:p>
            <w:pPr>
              <w:widowControl/>
              <w:spacing w:line="360" w:lineRule="atLeast"/>
              <w:ind w:firstLine="0" w:firstLineChars="0"/>
              <w:rPr>
                <w:rFonts w:ascii="宋体" w:hAnsi="宋体" w:cs="宋体"/>
              </w:rPr>
            </w:pPr>
          </w:p>
        </w:tc>
        <w:tc>
          <w:tcPr>
            <w:tcW w:w="847" w:type="dxa"/>
            <w:noWrap w:val="0"/>
            <w:vAlign w:val="top"/>
          </w:tcPr>
          <w:p>
            <w:pPr>
              <w:widowControl/>
              <w:spacing w:line="360" w:lineRule="atLeast"/>
              <w:ind w:firstLine="0" w:firstLineChars="0"/>
              <w:rPr>
                <w:rFonts w:ascii="宋体" w:hAnsi="宋体" w:cs="宋体"/>
              </w:rPr>
            </w:pPr>
          </w:p>
        </w:tc>
        <w:tc>
          <w:tcPr>
            <w:tcW w:w="732" w:type="dxa"/>
            <w:noWrap w:val="0"/>
            <w:vAlign w:val="top"/>
          </w:tcPr>
          <w:p>
            <w:pPr>
              <w:widowControl/>
              <w:spacing w:line="360" w:lineRule="atLeas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179" w:type="dxa"/>
            <w:vMerge w:val="continue"/>
            <w:tcBorders>
              <w:bottom w:val="single" w:color="auto" w:sz="4" w:space="0"/>
            </w:tcBorders>
            <w:noWrap w:val="0"/>
            <w:vAlign w:val="top"/>
          </w:tcPr>
          <w:p>
            <w:pPr>
              <w:ind w:firstLine="0" w:firstLineChars="0"/>
              <w:rPr>
                <w:rFonts w:ascii="宋体" w:hAnsi="宋体" w:cs="宋体"/>
              </w:rPr>
            </w:pPr>
          </w:p>
        </w:tc>
        <w:tc>
          <w:tcPr>
            <w:tcW w:w="807" w:type="dxa"/>
            <w:tcBorders>
              <w:bottom w:val="single" w:color="auto" w:sz="4" w:space="0"/>
            </w:tcBorders>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07" w:type="dxa"/>
            <w:noWrap w:val="0"/>
            <w:vAlign w:val="top"/>
          </w:tcPr>
          <w:p>
            <w:pPr>
              <w:widowControl/>
              <w:spacing w:line="360" w:lineRule="atLeast"/>
              <w:ind w:firstLine="0" w:firstLineChars="0"/>
              <w:rPr>
                <w:rFonts w:ascii="宋体" w:hAnsi="宋体" w:cs="宋体"/>
              </w:rPr>
            </w:pPr>
          </w:p>
        </w:tc>
        <w:tc>
          <w:tcPr>
            <w:tcW w:w="851" w:type="dxa"/>
            <w:noWrap w:val="0"/>
            <w:vAlign w:val="top"/>
          </w:tcPr>
          <w:p>
            <w:pPr>
              <w:widowControl/>
              <w:spacing w:line="360" w:lineRule="atLeast"/>
              <w:ind w:firstLine="0" w:firstLineChars="0"/>
              <w:rPr>
                <w:rFonts w:ascii="宋体" w:hAnsi="宋体" w:cs="宋体"/>
              </w:rPr>
            </w:pPr>
          </w:p>
        </w:tc>
        <w:tc>
          <w:tcPr>
            <w:tcW w:w="960" w:type="dxa"/>
            <w:noWrap w:val="0"/>
            <w:vAlign w:val="top"/>
          </w:tcPr>
          <w:p>
            <w:pPr>
              <w:widowControl/>
              <w:spacing w:line="360" w:lineRule="atLeast"/>
              <w:ind w:firstLine="0" w:firstLineChars="0"/>
              <w:rPr>
                <w:rFonts w:ascii="宋体" w:hAnsi="宋体" w:cs="宋体"/>
              </w:rPr>
            </w:pPr>
          </w:p>
        </w:tc>
        <w:tc>
          <w:tcPr>
            <w:tcW w:w="847" w:type="dxa"/>
            <w:noWrap w:val="0"/>
            <w:vAlign w:val="top"/>
          </w:tcPr>
          <w:p>
            <w:pPr>
              <w:widowControl/>
              <w:spacing w:line="360" w:lineRule="atLeast"/>
              <w:ind w:firstLine="0" w:firstLineChars="0"/>
              <w:rPr>
                <w:rFonts w:ascii="宋体" w:hAnsi="宋体" w:cs="宋体"/>
              </w:rPr>
            </w:pPr>
          </w:p>
        </w:tc>
        <w:tc>
          <w:tcPr>
            <w:tcW w:w="732" w:type="dxa"/>
            <w:noWrap w:val="0"/>
            <w:vAlign w:val="top"/>
          </w:tcPr>
          <w:p>
            <w:pPr>
              <w:widowControl/>
              <w:spacing w:line="360" w:lineRule="atLeast"/>
              <w:ind w:firstLine="0" w:firstLineChars="0"/>
              <w:rPr>
                <w:rFonts w:ascii="宋体" w:hAnsi="宋体" w:cs="宋体"/>
              </w:rPr>
            </w:pPr>
          </w:p>
        </w:tc>
      </w:tr>
    </w:tbl>
    <w:p>
      <w:pPr>
        <w:pStyle w:val="41"/>
        <w:ind w:firstLine="252"/>
        <w:rPr>
          <w:rFonts w:hint="eastAsia" w:ascii="宋体" w:hAnsi="宋体" w:cs="宋体"/>
          <w:sz w:val="24"/>
        </w:rPr>
      </w:pPr>
    </w:p>
    <w:p>
      <w:pPr>
        <w:pStyle w:val="41"/>
        <w:ind w:firstLine="252"/>
        <w:rPr>
          <w:rFonts w:hint="eastAsia" w:ascii="宋体" w:hAnsi="宋体" w:cs="宋体"/>
          <w:sz w:val="24"/>
        </w:rPr>
      </w:pPr>
    </w:p>
    <w:p>
      <w:pPr>
        <w:pStyle w:val="41"/>
        <w:ind w:firstLine="252"/>
        <w:rPr>
          <w:rFonts w:hint="eastAsia" w:ascii="宋体" w:hAnsi="宋体" w:cs="宋体"/>
          <w:sz w:val="24"/>
        </w:rPr>
      </w:pPr>
    </w:p>
    <w:p>
      <w:pPr>
        <w:pStyle w:val="41"/>
        <w:ind w:firstLine="252"/>
        <w:rPr>
          <w:rFonts w:hint="eastAsia" w:ascii="宋体" w:hAnsi="宋体" w:cs="宋体"/>
          <w:sz w:val="24"/>
        </w:rPr>
      </w:pPr>
    </w:p>
    <w:p>
      <w:pPr>
        <w:pStyle w:val="41"/>
        <w:ind w:firstLine="252"/>
        <w:rPr>
          <w:rFonts w:hint="eastAsia" w:ascii="宋体" w:hAnsi="宋体" w:cs="宋体"/>
          <w:sz w:val="24"/>
        </w:rPr>
      </w:pPr>
    </w:p>
    <w:p>
      <w:pPr>
        <w:pStyle w:val="26"/>
        <w:spacing w:after="0" w:line="360" w:lineRule="auto"/>
        <w:ind w:left="0" w:leftChars="0" w:firstLine="504"/>
        <w:rPr>
          <w:rFonts w:ascii="宋体" w:hAnsi="宋体"/>
          <w:bCs/>
          <w:szCs w:val="24"/>
        </w:rPr>
      </w:pPr>
      <w:r>
        <w:rPr>
          <w:rFonts w:hint="eastAsia" w:ascii="宋体" w:hAnsi="宋体"/>
          <w:bCs/>
          <w:szCs w:val="24"/>
        </w:rPr>
        <w:t>投标人名称：</w:t>
      </w:r>
      <w:r>
        <w:rPr>
          <w:rFonts w:hint="eastAsia" w:ascii="宋体" w:hAnsi="宋体"/>
          <w:bCs/>
          <w:szCs w:val="24"/>
          <w:u w:val="single"/>
        </w:rPr>
        <w:t xml:space="preserve">                       </w:t>
      </w:r>
      <w:r>
        <w:rPr>
          <w:rFonts w:hint="eastAsia" w:ascii="宋体" w:hAnsi="宋体"/>
          <w:bCs/>
          <w:szCs w:val="24"/>
        </w:rPr>
        <w:t>（加盖单位公章）</w:t>
      </w:r>
    </w:p>
    <w:p>
      <w:pPr>
        <w:pStyle w:val="26"/>
        <w:spacing w:after="0" w:line="360" w:lineRule="auto"/>
        <w:ind w:left="0" w:leftChars="0" w:firstLine="504"/>
        <w:rPr>
          <w:rFonts w:ascii="宋体" w:hAnsi="宋体"/>
          <w:bCs/>
          <w:szCs w:val="24"/>
        </w:rPr>
      </w:pPr>
      <w:r>
        <w:rPr>
          <w:rFonts w:hint="eastAsia" w:ascii="宋体" w:hAnsi="宋体"/>
          <w:bCs/>
          <w:szCs w:val="24"/>
        </w:rPr>
        <w:t>法定代表人或代理人：</w:t>
      </w:r>
      <w:r>
        <w:rPr>
          <w:rFonts w:hint="eastAsia" w:ascii="宋体" w:hAnsi="宋体"/>
          <w:bCs/>
          <w:szCs w:val="24"/>
          <w:u w:val="single"/>
        </w:rPr>
        <w:t xml:space="preserve">               </w:t>
      </w:r>
      <w:r>
        <w:rPr>
          <w:rFonts w:hint="eastAsia" w:ascii="宋体" w:hAnsi="宋体"/>
          <w:bCs/>
          <w:szCs w:val="24"/>
        </w:rPr>
        <w:t>（签字）</w:t>
      </w:r>
    </w:p>
    <w:p>
      <w:pPr>
        <w:adjustRightInd w:val="0"/>
        <w:ind w:firstLine="504"/>
        <w:rPr>
          <w:rFonts w:ascii="宋体" w:hAnsi="宋体"/>
          <w:szCs w:val="24"/>
        </w:rPr>
      </w:pPr>
      <w:r>
        <w:rPr>
          <w:rFonts w:ascii="宋体" w:hAnsi="宋体"/>
          <w:szCs w:val="24"/>
        </w:rPr>
        <w:t>日期：</w:t>
      </w:r>
      <w:r>
        <w:rPr>
          <w:rFonts w:hint="eastAsia" w:ascii="宋体" w:hAnsi="宋体"/>
          <w:szCs w:val="24"/>
          <w:u w:val="single"/>
        </w:rPr>
        <w:t xml:space="preserve">      </w:t>
      </w:r>
      <w:r>
        <w:rPr>
          <w:rFonts w:ascii="宋体" w:hAnsi="宋体"/>
          <w:szCs w:val="24"/>
        </w:rPr>
        <w:t>年</w:t>
      </w:r>
      <w:r>
        <w:rPr>
          <w:rFonts w:hint="eastAsia" w:ascii="宋体" w:hAnsi="宋体"/>
          <w:szCs w:val="24"/>
          <w:u w:val="single"/>
        </w:rPr>
        <w:t xml:space="preserve">      </w:t>
      </w:r>
      <w:r>
        <w:rPr>
          <w:rFonts w:ascii="宋体" w:hAnsi="宋体"/>
          <w:szCs w:val="24"/>
        </w:rPr>
        <w:t>月</w:t>
      </w:r>
      <w:r>
        <w:rPr>
          <w:rFonts w:hint="eastAsia" w:ascii="宋体" w:hAnsi="宋体"/>
          <w:szCs w:val="24"/>
          <w:u w:val="single"/>
        </w:rPr>
        <w:t xml:space="preserve">      </w:t>
      </w:r>
      <w:r>
        <w:rPr>
          <w:rFonts w:ascii="宋体" w:hAnsi="宋体"/>
          <w:szCs w:val="24"/>
        </w:rPr>
        <w:t>日</w:t>
      </w:r>
    </w:p>
    <w:p>
      <w:pPr>
        <w:pStyle w:val="41"/>
        <w:ind w:firstLine="252"/>
        <w:rPr>
          <w:rFonts w:hint="eastAsia" w:ascii="宋体" w:hAnsi="宋体" w:cs="宋体"/>
          <w:sz w:val="24"/>
        </w:rPr>
      </w:pPr>
    </w:p>
    <w:p>
      <w:pPr>
        <w:pStyle w:val="41"/>
        <w:ind w:firstLine="252"/>
        <w:rPr>
          <w:rFonts w:hint="eastAsia" w:ascii="宋体" w:hAnsi="宋体" w:cs="宋体"/>
          <w:sz w:val="24"/>
        </w:rPr>
      </w:pPr>
    </w:p>
    <w:p>
      <w:pPr>
        <w:pStyle w:val="41"/>
        <w:ind w:firstLine="252"/>
        <w:rPr>
          <w:rFonts w:hint="eastAsia" w:ascii="宋体" w:hAnsi="宋体" w:cs="宋体"/>
          <w:sz w:val="24"/>
        </w:rPr>
      </w:pPr>
    </w:p>
    <w:p>
      <w:pPr>
        <w:pStyle w:val="41"/>
        <w:ind w:firstLine="252"/>
        <w:rPr>
          <w:rFonts w:hint="eastAsia" w:ascii="宋体" w:hAnsi="宋体" w:cs="宋体"/>
          <w:sz w:val="24"/>
        </w:rPr>
      </w:pPr>
    </w:p>
    <w:p>
      <w:pPr>
        <w:pStyle w:val="41"/>
        <w:ind w:firstLine="252"/>
        <w:rPr>
          <w:rFonts w:hint="eastAsia" w:ascii="宋体" w:hAnsi="宋体" w:cs="宋体"/>
          <w:sz w:val="24"/>
        </w:rPr>
      </w:pPr>
    </w:p>
    <w:p>
      <w:pPr>
        <w:pStyle w:val="5"/>
        <w:ind w:left="-325"/>
      </w:pPr>
      <w:bookmarkStart w:id="241" w:name="_Toc22107"/>
      <w:r>
        <w:rPr>
          <w:rFonts w:hint="eastAsia"/>
        </w:rPr>
        <w:t>业绩一览表</w:t>
      </w:r>
      <w:bookmarkEnd w:id="239"/>
      <w:bookmarkEnd w:id="241"/>
    </w:p>
    <w:p>
      <w:pPr>
        <w:snapToGrid w:val="0"/>
        <w:ind w:firstLine="506"/>
        <w:rPr>
          <w:rFonts w:hint="eastAsia" w:ascii="宋体" w:hAnsi="宋体" w:eastAsia="宋体"/>
          <w:b/>
          <w:szCs w:val="24"/>
          <w:lang w:eastAsia="zh-CN"/>
        </w:rPr>
      </w:pPr>
      <w:r>
        <w:rPr>
          <w:rFonts w:hint="eastAsia" w:ascii="宋体" w:hAnsi="宋体"/>
          <w:b/>
          <w:szCs w:val="24"/>
        </w:rPr>
        <w:t>项目名称：</w:t>
      </w:r>
      <w:r>
        <w:rPr>
          <w:rFonts w:hint="eastAsia" w:ascii="宋体" w:hAnsi="宋体"/>
          <w:b/>
          <w:szCs w:val="24"/>
          <w:u w:val="single"/>
          <w:lang w:eastAsia="zh-CN"/>
        </w:rPr>
        <w:t>成都市龙泉驿生态环境局成都市中心城区“6+1”区域智能大气环境监测管治服务采购项目（第二次）</w:t>
      </w:r>
    </w:p>
    <w:p>
      <w:pPr>
        <w:pStyle w:val="14"/>
        <w:tabs>
          <w:tab w:val="left" w:pos="7560"/>
        </w:tabs>
        <w:spacing w:after="0" w:line="360" w:lineRule="auto"/>
        <w:ind w:firstLine="506"/>
        <w:rPr>
          <w:rFonts w:hint="eastAsia" w:eastAsia="宋体"/>
          <w:szCs w:val="24"/>
          <w:lang w:eastAsia="zh-CN"/>
        </w:rPr>
      </w:pPr>
      <w:r>
        <w:rPr>
          <w:rFonts w:hint="eastAsia" w:ascii="宋体" w:hAnsi="宋体"/>
          <w:b/>
          <w:szCs w:val="24"/>
        </w:rPr>
        <w:t>项目编号：</w:t>
      </w:r>
      <w:r>
        <w:rPr>
          <w:rFonts w:hint="eastAsia" w:ascii="宋体" w:hAnsi="宋体"/>
          <w:b/>
          <w:szCs w:val="24"/>
          <w:u w:val="single"/>
          <w:lang w:eastAsia="zh-CN"/>
        </w:rPr>
        <w:t>510112202100362</w:t>
      </w:r>
    </w:p>
    <w:p>
      <w:pPr>
        <w:ind w:firstLine="504"/>
        <w:rPr>
          <w:szCs w:val="24"/>
        </w:rPr>
      </w:pPr>
    </w:p>
    <w:tbl>
      <w:tblPr>
        <w:tblStyle w:val="43"/>
        <w:tblW w:w="848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17"/>
        <w:gridCol w:w="1802"/>
        <w:gridCol w:w="2075"/>
        <w:gridCol w:w="1352"/>
        <w:gridCol w:w="1352"/>
        <w:gridCol w:w="12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tcBorders>
              <w:top w:val="single" w:color="auto" w:sz="4" w:space="0"/>
            </w:tcBorders>
            <w:noWrap w:val="0"/>
            <w:vAlign w:val="center"/>
          </w:tcPr>
          <w:p>
            <w:pPr>
              <w:spacing w:line="240" w:lineRule="auto"/>
              <w:ind w:firstLine="0" w:firstLineChars="0"/>
              <w:outlineLvl w:val="5"/>
              <w:rPr>
                <w:rFonts w:ascii="宋体" w:hAnsi="宋体" w:cs="宋体"/>
                <w:b/>
                <w:szCs w:val="24"/>
              </w:rPr>
            </w:pPr>
            <w:r>
              <w:rPr>
                <w:rFonts w:hint="eastAsia" w:ascii="宋体" w:hAnsi="宋体" w:cs="宋体"/>
                <w:b/>
                <w:szCs w:val="24"/>
              </w:rPr>
              <w:t>年份</w:t>
            </w:r>
          </w:p>
        </w:tc>
        <w:tc>
          <w:tcPr>
            <w:tcW w:w="1802" w:type="dxa"/>
            <w:noWrap w:val="0"/>
            <w:vAlign w:val="center"/>
          </w:tcPr>
          <w:p>
            <w:pPr>
              <w:spacing w:line="240" w:lineRule="auto"/>
              <w:ind w:firstLine="0" w:firstLineChars="0"/>
              <w:outlineLvl w:val="5"/>
              <w:rPr>
                <w:rFonts w:ascii="宋体" w:hAnsi="宋体" w:cs="宋体"/>
                <w:b/>
                <w:szCs w:val="24"/>
              </w:rPr>
            </w:pPr>
            <w:r>
              <w:rPr>
                <w:rFonts w:hint="eastAsia" w:ascii="宋体" w:hAnsi="宋体" w:cs="宋体"/>
                <w:b/>
                <w:szCs w:val="24"/>
              </w:rPr>
              <w:t>用户名称</w:t>
            </w:r>
          </w:p>
        </w:tc>
        <w:tc>
          <w:tcPr>
            <w:tcW w:w="2075" w:type="dxa"/>
            <w:noWrap w:val="0"/>
            <w:vAlign w:val="center"/>
          </w:tcPr>
          <w:p>
            <w:pPr>
              <w:spacing w:line="240" w:lineRule="auto"/>
              <w:ind w:firstLine="0" w:firstLineChars="0"/>
              <w:outlineLvl w:val="5"/>
              <w:rPr>
                <w:rFonts w:ascii="宋体" w:hAnsi="宋体" w:cs="宋体"/>
                <w:b/>
                <w:szCs w:val="24"/>
              </w:rPr>
            </w:pPr>
            <w:r>
              <w:rPr>
                <w:rFonts w:hint="eastAsia" w:ascii="宋体" w:hAnsi="宋体" w:cs="宋体"/>
                <w:b/>
                <w:szCs w:val="24"/>
              </w:rPr>
              <w:t>项目名称</w:t>
            </w:r>
          </w:p>
        </w:tc>
        <w:tc>
          <w:tcPr>
            <w:tcW w:w="1352" w:type="dxa"/>
            <w:noWrap w:val="0"/>
            <w:vAlign w:val="center"/>
          </w:tcPr>
          <w:p>
            <w:pPr>
              <w:spacing w:line="240" w:lineRule="auto"/>
              <w:ind w:firstLine="0" w:firstLineChars="0"/>
              <w:outlineLvl w:val="5"/>
              <w:rPr>
                <w:rFonts w:ascii="宋体" w:hAnsi="宋体" w:cs="宋体"/>
                <w:b/>
                <w:szCs w:val="24"/>
              </w:rPr>
            </w:pPr>
            <w:r>
              <w:rPr>
                <w:rFonts w:hint="eastAsia" w:ascii="宋体" w:hAnsi="宋体" w:cs="宋体"/>
                <w:b/>
                <w:szCs w:val="24"/>
              </w:rPr>
              <w:t>完成时间</w:t>
            </w:r>
          </w:p>
        </w:tc>
        <w:tc>
          <w:tcPr>
            <w:tcW w:w="1352" w:type="dxa"/>
            <w:noWrap w:val="0"/>
            <w:vAlign w:val="center"/>
          </w:tcPr>
          <w:p>
            <w:pPr>
              <w:spacing w:line="240" w:lineRule="auto"/>
              <w:ind w:firstLine="0" w:firstLineChars="0"/>
              <w:outlineLvl w:val="5"/>
              <w:rPr>
                <w:rFonts w:ascii="宋体" w:hAnsi="宋体" w:cs="宋体"/>
                <w:b/>
                <w:szCs w:val="24"/>
              </w:rPr>
            </w:pPr>
            <w:r>
              <w:rPr>
                <w:rFonts w:hint="eastAsia" w:ascii="宋体" w:hAnsi="宋体" w:cs="宋体"/>
                <w:b/>
                <w:szCs w:val="24"/>
              </w:rPr>
              <w:t>合同金额</w:t>
            </w: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b/>
                <w:szCs w:val="24"/>
              </w:rPr>
            </w:pPr>
            <w:r>
              <w:rPr>
                <w:rFonts w:hint="eastAsia" w:ascii="宋体" w:hAnsi="宋体" w:cs="宋体"/>
                <w:b/>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noWrap w:val="0"/>
            <w:vAlign w:val="center"/>
          </w:tcPr>
          <w:p>
            <w:pPr>
              <w:spacing w:line="240" w:lineRule="auto"/>
              <w:ind w:firstLine="0" w:firstLineChars="0"/>
              <w:outlineLvl w:val="5"/>
              <w:rPr>
                <w:rFonts w:ascii="宋体" w:hAnsi="宋体" w:cs="宋体"/>
                <w:szCs w:val="24"/>
              </w:rPr>
            </w:pPr>
          </w:p>
        </w:tc>
        <w:tc>
          <w:tcPr>
            <w:tcW w:w="1802" w:type="dxa"/>
            <w:noWrap w:val="0"/>
            <w:vAlign w:val="center"/>
          </w:tcPr>
          <w:p>
            <w:pPr>
              <w:spacing w:line="240" w:lineRule="auto"/>
              <w:ind w:firstLine="0" w:firstLineChars="0"/>
              <w:outlineLvl w:val="5"/>
              <w:rPr>
                <w:rFonts w:ascii="宋体" w:hAnsi="宋体" w:cs="宋体"/>
                <w:szCs w:val="24"/>
              </w:rPr>
            </w:pPr>
          </w:p>
        </w:tc>
        <w:tc>
          <w:tcPr>
            <w:tcW w:w="2075"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noWrap w:val="0"/>
            <w:vAlign w:val="center"/>
          </w:tcPr>
          <w:p>
            <w:pPr>
              <w:spacing w:line="240" w:lineRule="auto"/>
              <w:ind w:firstLine="0" w:firstLineChars="0"/>
              <w:outlineLvl w:val="5"/>
              <w:rPr>
                <w:rFonts w:ascii="宋体" w:hAnsi="宋体" w:cs="宋体"/>
                <w:szCs w:val="24"/>
              </w:rPr>
            </w:pPr>
          </w:p>
        </w:tc>
        <w:tc>
          <w:tcPr>
            <w:tcW w:w="1802" w:type="dxa"/>
            <w:noWrap w:val="0"/>
            <w:vAlign w:val="center"/>
          </w:tcPr>
          <w:p>
            <w:pPr>
              <w:spacing w:line="240" w:lineRule="auto"/>
              <w:ind w:firstLine="0" w:firstLineChars="0"/>
              <w:outlineLvl w:val="5"/>
              <w:rPr>
                <w:rFonts w:ascii="宋体" w:hAnsi="宋体" w:cs="宋体"/>
                <w:szCs w:val="24"/>
              </w:rPr>
            </w:pPr>
          </w:p>
        </w:tc>
        <w:tc>
          <w:tcPr>
            <w:tcW w:w="2075"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noWrap w:val="0"/>
            <w:vAlign w:val="center"/>
          </w:tcPr>
          <w:p>
            <w:pPr>
              <w:spacing w:line="240" w:lineRule="auto"/>
              <w:ind w:firstLine="0" w:firstLineChars="0"/>
              <w:outlineLvl w:val="5"/>
              <w:rPr>
                <w:rFonts w:ascii="宋体" w:hAnsi="宋体" w:cs="宋体"/>
                <w:szCs w:val="24"/>
              </w:rPr>
            </w:pPr>
          </w:p>
        </w:tc>
        <w:tc>
          <w:tcPr>
            <w:tcW w:w="1802" w:type="dxa"/>
            <w:noWrap w:val="0"/>
            <w:vAlign w:val="center"/>
          </w:tcPr>
          <w:p>
            <w:pPr>
              <w:spacing w:line="240" w:lineRule="auto"/>
              <w:ind w:firstLine="0" w:firstLineChars="0"/>
              <w:outlineLvl w:val="5"/>
              <w:rPr>
                <w:rFonts w:ascii="宋体" w:hAnsi="宋体" w:cs="宋体"/>
                <w:szCs w:val="24"/>
              </w:rPr>
            </w:pPr>
          </w:p>
        </w:tc>
        <w:tc>
          <w:tcPr>
            <w:tcW w:w="2075"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noWrap w:val="0"/>
            <w:vAlign w:val="center"/>
          </w:tcPr>
          <w:p>
            <w:pPr>
              <w:spacing w:line="240" w:lineRule="auto"/>
              <w:ind w:firstLine="0" w:firstLineChars="0"/>
              <w:outlineLvl w:val="5"/>
              <w:rPr>
                <w:rFonts w:ascii="宋体" w:hAnsi="宋体" w:cs="宋体"/>
                <w:szCs w:val="24"/>
              </w:rPr>
            </w:pPr>
          </w:p>
        </w:tc>
        <w:tc>
          <w:tcPr>
            <w:tcW w:w="1802" w:type="dxa"/>
            <w:tcBorders>
              <w:right w:val="single" w:color="auto" w:sz="4" w:space="0"/>
            </w:tcBorders>
            <w:noWrap w:val="0"/>
            <w:vAlign w:val="center"/>
          </w:tcPr>
          <w:p>
            <w:pPr>
              <w:spacing w:line="240" w:lineRule="auto"/>
              <w:ind w:firstLine="0" w:firstLineChars="0"/>
              <w:outlineLvl w:val="5"/>
              <w:rPr>
                <w:rFonts w:ascii="宋体" w:hAnsi="宋体" w:cs="宋体"/>
                <w:szCs w:val="24"/>
              </w:rPr>
            </w:pPr>
          </w:p>
        </w:tc>
        <w:tc>
          <w:tcPr>
            <w:tcW w:w="2075"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tcBorders>
              <w:right w:val="single" w:color="auto" w:sz="4" w:space="0"/>
            </w:tcBorders>
            <w:noWrap w:val="0"/>
            <w:vAlign w:val="center"/>
          </w:tcPr>
          <w:p>
            <w:pPr>
              <w:spacing w:line="240" w:lineRule="auto"/>
              <w:ind w:firstLine="0" w:firstLineChars="0"/>
              <w:outlineLvl w:val="5"/>
              <w:rPr>
                <w:rFonts w:ascii="宋体" w:hAnsi="宋体" w:cs="宋体"/>
                <w:szCs w:val="24"/>
              </w:rPr>
            </w:pPr>
          </w:p>
        </w:tc>
        <w:tc>
          <w:tcPr>
            <w:tcW w:w="1802" w:type="dxa"/>
            <w:tcBorders>
              <w:left w:val="single" w:color="auto" w:sz="4" w:space="0"/>
              <w:right w:val="single" w:color="auto" w:sz="4" w:space="0"/>
            </w:tcBorders>
            <w:noWrap w:val="0"/>
            <w:vAlign w:val="center"/>
          </w:tcPr>
          <w:p>
            <w:pPr>
              <w:spacing w:line="240" w:lineRule="auto"/>
              <w:ind w:firstLine="0" w:firstLineChars="0"/>
              <w:outlineLvl w:val="5"/>
              <w:rPr>
                <w:rFonts w:ascii="宋体" w:hAnsi="宋体" w:cs="宋体"/>
                <w:szCs w:val="24"/>
              </w:rPr>
            </w:pPr>
          </w:p>
        </w:tc>
        <w:tc>
          <w:tcPr>
            <w:tcW w:w="2075" w:type="dxa"/>
            <w:tcBorders>
              <w:left w:val="single" w:color="auto" w:sz="4" w:space="0"/>
              <w:right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tcBorders>
              <w:left w:val="single" w:color="auto" w:sz="4" w:space="0"/>
              <w:right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tcBorders>
              <w:left w:val="single" w:color="auto" w:sz="4" w:space="0"/>
              <w:right w:val="single" w:color="auto" w:sz="4" w:space="0"/>
            </w:tcBorders>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noWrap w:val="0"/>
            <w:vAlign w:val="center"/>
          </w:tcPr>
          <w:p>
            <w:pPr>
              <w:spacing w:line="240" w:lineRule="auto"/>
              <w:ind w:firstLine="0" w:firstLineChars="0"/>
              <w:outlineLvl w:val="5"/>
              <w:rPr>
                <w:rFonts w:ascii="宋体" w:hAnsi="宋体" w:cs="宋体"/>
                <w:szCs w:val="24"/>
              </w:rPr>
            </w:pPr>
          </w:p>
        </w:tc>
        <w:tc>
          <w:tcPr>
            <w:tcW w:w="1802" w:type="dxa"/>
            <w:noWrap w:val="0"/>
            <w:vAlign w:val="center"/>
          </w:tcPr>
          <w:p>
            <w:pPr>
              <w:spacing w:line="240" w:lineRule="auto"/>
              <w:ind w:firstLine="0" w:firstLineChars="0"/>
              <w:outlineLvl w:val="5"/>
              <w:rPr>
                <w:rFonts w:ascii="宋体" w:hAnsi="宋体" w:cs="宋体"/>
                <w:szCs w:val="24"/>
              </w:rPr>
            </w:pPr>
          </w:p>
        </w:tc>
        <w:tc>
          <w:tcPr>
            <w:tcW w:w="2075"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noWrap w:val="0"/>
            <w:vAlign w:val="center"/>
          </w:tcPr>
          <w:p>
            <w:pPr>
              <w:spacing w:line="240" w:lineRule="auto"/>
              <w:ind w:firstLine="0" w:firstLineChars="0"/>
              <w:outlineLvl w:val="5"/>
              <w:rPr>
                <w:rFonts w:ascii="宋体" w:hAnsi="宋体" w:cs="宋体"/>
                <w:szCs w:val="24"/>
              </w:rPr>
            </w:pPr>
          </w:p>
        </w:tc>
        <w:tc>
          <w:tcPr>
            <w:tcW w:w="1802" w:type="dxa"/>
            <w:noWrap w:val="0"/>
            <w:vAlign w:val="center"/>
          </w:tcPr>
          <w:p>
            <w:pPr>
              <w:spacing w:line="240" w:lineRule="auto"/>
              <w:ind w:firstLine="0" w:firstLineChars="0"/>
              <w:outlineLvl w:val="5"/>
              <w:rPr>
                <w:rFonts w:ascii="宋体" w:hAnsi="宋体" w:cs="宋体"/>
                <w:szCs w:val="24"/>
              </w:rPr>
            </w:pPr>
          </w:p>
        </w:tc>
        <w:tc>
          <w:tcPr>
            <w:tcW w:w="2075"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17" w:type="dxa"/>
            <w:noWrap w:val="0"/>
            <w:vAlign w:val="center"/>
          </w:tcPr>
          <w:p>
            <w:pPr>
              <w:spacing w:line="240" w:lineRule="auto"/>
              <w:ind w:firstLine="0" w:firstLineChars="0"/>
              <w:outlineLvl w:val="5"/>
              <w:rPr>
                <w:rFonts w:ascii="宋体" w:hAnsi="宋体" w:cs="宋体"/>
                <w:szCs w:val="24"/>
              </w:rPr>
            </w:pPr>
          </w:p>
        </w:tc>
        <w:tc>
          <w:tcPr>
            <w:tcW w:w="1802" w:type="dxa"/>
            <w:noWrap w:val="0"/>
            <w:vAlign w:val="center"/>
          </w:tcPr>
          <w:p>
            <w:pPr>
              <w:spacing w:line="240" w:lineRule="auto"/>
              <w:ind w:firstLine="0" w:firstLineChars="0"/>
              <w:outlineLvl w:val="5"/>
              <w:rPr>
                <w:rFonts w:ascii="宋体" w:hAnsi="宋体" w:cs="宋体"/>
                <w:szCs w:val="24"/>
              </w:rPr>
            </w:pPr>
          </w:p>
        </w:tc>
        <w:tc>
          <w:tcPr>
            <w:tcW w:w="2075"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352" w:type="dxa"/>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617" w:type="dxa"/>
            <w:tcBorders>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802" w:type="dxa"/>
            <w:tcBorders>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2075" w:type="dxa"/>
            <w:tcBorders>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tcBorders>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tcBorders>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284" w:type="dxa"/>
            <w:tcBorders>
              <w:left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617"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802"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2075"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284" w:type="dxa"/>
            <w:tcBorders>
              <w:top w:val="single" w:color="auto" w:sz="4" w:space="0"/>
              <w:left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617"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802"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2075"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352" w:type="dxa"/>
            <w:tcBorders>
              <w:top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c>
          <w:tcPr>
            <w:tcW w:w="1284" w:type="dxa"/>
            <w:tcBorders>
              <w:top w:val="single" w:color="auto" w:sz="4" w:space="0"/>
              <w:left w:val="single" w:color="auto" w:sz="4" w:space="0"/>
              <w:bottom w:val="single" w:color="auto" w:sz="4" w:space="0"/>
            </w:tcBorders>
            <w:noWrap w:val="0"/>
            <w:vAlign w:val="center"/>
          </w:tcPr>
          <w:p>
            <w:pPr>
              <w:spacing w:line="240" w:lineRule="auto"/>
              <w:ind w:firstLine="0" w:firstLineChars="0"/>
              <w:outlineLvl w:val="5"/>
              <w:rPr>
                <w:rFonts w:ascii="宋体" w:hAnsi="宋体" w:cs="宋体"/>
                <w:szCs w:val="24"/>
              </w:rPr>
            </w:pPr>
          </w:p>
        </w:tc>
      </w:tr>
    </w:tbl>
    <w:p>
      <w:pPr>
        <w:pStyle w:val="2"/>
        <w:spacing w:line="360" w:lineRule="auto"/>
        <w:ind w:firstLine="504"/>
        <w:rPr>
          <w:szCs w:val="24"/>
        </w:rPr>
      </w:pPr>
      <w:bookmarkStart w:id="242" w:name="_Toc12974"/>
      <w:bookmarkStart w:id="243" w:name="_Toc4615"/>
      <w:bookmarkStart w:id="244" w:name="_Toc30185"/>
      <w:bookmarkStart w:id="245" w:name="_Toc3145"/>
      <w:bookmarkStart w:id="246" w:name="_Toc858"/>
      <w:r>
        <w:rPr>
          <w:rFonts w:hint="eastAsia" w:ascii="宋体" w:hAnsi="宋体" w:cs="宋体"/>
          <w:szCs w:val="24"/>
        </w:rPr>
        <w:t>说明：以上业绩仅限投标人自己实施的。</w:t>
      </w:r>
      <w:bookmarkEnd w:id="242"/>
      <w:bookmarkEnd w:id="243"/>
      <w:bookmarkEnd w:id="244"/>
      <w:bookmarkEnd w:id="245"/>
      <w:bookmarkEnd w:id="246"/>
      <w:r>
        <w:rPr>
          <w:rFonts w:hint="eastAsia"/>
          <w:szCs w:val="24"/>
        </w:rPr>
        <w:t>对于投标人不涉及的项，可不填写，如无业绩，可不提供本页内容。</w:t>
      </w:r>
    </w:p>
    <w:p>
      <w:pPr>
        <w:pStyle w:val="26"/>
        <w:spacing w:after="0" w:line="360" w:lineRule="auto"/>
        <w:ind w:left="0" w:leftChars="0" w:firstLine="504"/>
        <w:rPr>
          <w:rFonts w:ascii="宋体" w:hAnsi="宋体"/>
          <w:bCs/>
          <w:szCs w:val="24"/>
        </w:rPr>
      </w:pPr>
    </w:p>
    <w:p>
      <w:pPr>
        <w:pStyle w:val="26"/>
        <w:spacing w:after="0" w:line="360" w:lineRule="auto"/>
        <w:ind w:left="0" w:leftChars="0" w:firstLine="504"/>
        <w:rPr>
          <w:rFonts w:ascii="宋体" w:hAnsi="宋体"/>
          <w:bCs/>
          <w:szCs w:val="24"/>
        </w:rPr>
      </w:pPr>
      <w:r>
        <w:rPr>
          <w:rFonts w:hint="eastAsia" w:ascii="宋体" w:hAnsi="宋体"/>
          <w:bCs/>
          <w:szCs w:val="24"/>
        </w:rPr>
        <w:t>投标人名称：</w:t>
      </w:r>
      <w:r>
        <w:rPr>
          <w:rFonts w:hint="eastAsia" w:ascii="宋体" w:hAnsi="宋体"/>
          <w:bCs/>
          <w:szCs w:val="24"/>
          <w:u w:val="single"/>
        </w:rPr>
        <w:t xml:space="preserve">                       </w:t>
      </w:r>
      <w:r>
        <w:rPr>
          <w:rFonts w:hint="eastAsia" w:ascii="宋体" w:hAnsi="宋体"/>
          <w:bCs/>
          <w:szCs w:val="24"/>
        </w:rPr>
        <w:t>（加盖单位公章）</w:t>
      </w:r>
    </w:p>
    <w:p>
      <w:pPr>
        <w:pStyle w:val="26"/>
        <w:spacing w:after="0" w:line="360" w:lineRule="auto"/>
        <w:ind w:left="0" w:leftChars="0" w:firstLine="504"/>
        <w:rPr>
          <w:rFonts w:ascii="宋体" w:hAnsi="宋体"/>
          <w:bCs/>
          <w:szCs w:val="24"/>
        </w:rPr>
      </w:pPr>
      <w:r>
        <w:rPr>
          <w:rFonts w:hint="eastAsia" w:ascii="宋体" w:hAnsi="宋体"/>
          <w:bCs/>
          <w:szCs w:val="24"/>
        </w:rPr>
        <w:t>法定代表人或代理人：</w:t>
      </w:r>
      <w:r>
        <w:rPr>
          <w:rFonts w:hint="eastAsia" w:ascii="宋体" w:hAnsi="宋体"/>
          <w:bCs/>
          <w:szCs w:val="24"/>
          <w:u w:val="single"/>
        </w:rPr>
        <w:t xml:space="preserve">               </w:t>
      </w:r>
      <w:r>
        <w:rPr>
          <w:rFonts w:hint="eastAsia" w:ascii="宋体" w:hAnsi="宋体"/>
          <w:bCs/>
          <w:szCs w:val="24"/>
        </w:rPr>
        <w:t>（签字）</w:t>
      </w:r>
    </w:p>
    <w:p>
      <w:pPr>
        <w:adjustRightInd w:val="0"/>
        <w:ind w:firstLine="504"/>
        <w:rPr>
          <w:rFonts w:ascii="宋体" w:hAnsi="宋体"/>
          <w:szCs w:val="24"/>
        </w:rPr>
      </w:pPr>
      <w:r>
        <w:rPr>
          <w:rFonts w:ascii="宋体" w:hAnsi="宋体"/>
          <w:szCs w:val="24"/>
        </w:rPr>
        <w:t>日期：</w:t>
      </w:r>
      <w:r>
        <w:rPr>
          <w:rFonts w:hint="eastAsia" w:ascii="宋体" w:hAnsi="宋体"/>
          <w:szCs w:val="24"/>
          <w:u w:val="single"/>
        </w:rPr>
        <w:t xml:space="preserve">      </w:t>
      </w:r>
      <w:r>
        <w:rPr>
          <w:rFonts w:ascii="宋体" w:hAnsi="宋体"/>
          <w:szCs w:val="24"/>
        </w:rPr>
        <w:t>年</w:t>
      </w:r>
      <w:r>
        <w:rPr>
          <w:rFonts w:hint="eastAsia" w:ascii="宋体" w:hAnsi="宋体"/>
          <w:szCs w:val="24"/>
          <w:u w:val="single"/>
        </w:rPr>
        <w:t xml:space="preserve">      </w:t>
      </w:r>
      <w:r>
        <w:rPr>
          <w:rFonts w:ascii="宋体" w:hAnsi="宋体"/>
          <w:szCs w:val="24"/>
        </w:rPr>
        <w:t>月</w:t>
      </w:r>
      <w:r>
        <w:rPr>
          <w:rFonts w:hint="eastAsia" w:ascii="宋体" w:hAnsi="宋体"/>
          <w:szCs w:val="24"/>
          <w:u w:val="single"/>
        </w:rPr>
        <w:t xml:space="preserve">      </w:t>
      </w:r>
      <w:r>
        <w:rPr>
          <w:rFonts w:ascii="宋体" w:hAnsi="宋体"/>
          <w:szCs w:val="24"/>
        </w:rPr>
        <w:t>日</w:t>
      </w:r>
    </w:p>
    <w:p>
      <w:pPr>
        <w:spacing w:line="240" w:lineRule="auto"/>
        <w:ind w:firstLine="504"/>
      </w:pPr>
    </w:p>
    <w:bookmarkEnd w:id="233"/>
    <w:bookmarkEnd w:id="234"/>
    <w:bookmarkEnd w:id="235"/>
    <w:p>
      <w:pPr>
        <w:pStyle w:val="2"/>
        <w:ind w:firstLine="504"/>
      </w:pPr>
    </w:p>
    <w:p>
      <w:pPr>
        <w:pStyle w:val="2"/>
        <w:ind w:firstLine="504"/>
      </w:pPr>
    </w:p>
    <w:p>
      <w:pPr>
        <w:pStyle w:val="5"/>
        <w:ind w:left="-325"/>
      </w:pPr>
      <w:bookmarkStart w:id="247" w:name="_Toc1062"/>
      <w:r>
        <w:rPr>
          <w:rFonts w:hint="eastAsia"/>
        </w:rPr>
        <w:t>服务方案</w:t>
      </w:r>
      <w:bookmarkEnd w:id="247"/>
    </w:p>
    <w:p>
      <w:pPr>
        <w:snapToGrid w:val="0"/>
        <w:ind w:firstLine="506"/>
        <w:rPr>
          <w:rFonts w:hint="eastAsia" w:ascii="宋体" w:hAnsi="宋体" w:eastAsia="宋体"/>
          <w:b/>
          <w:szCs w:val="24"/>
          <w:lang w:eastAsia="zh-CN"/>
        </w:rPr>
      </w:pPr>
      <w:r>
        <w:rPr>
          <w:rFonts w:hint="eastAsia" w:ascii="宋体" w:hAnsi="宋体"/>
          <w:b/>
          <w:szCs w:val="24"/>
        </w:rPr>
        <w:t>项目名称：</w:t>
      </w:r>
      <w:r>
        <w:rPr>
          <w:rFonts w:hint="eastAsia" w:ascii="宋体" w:hAnsi="宋体"/>
          <w:b/>
          <w:szCs w:val="24"/>
          <w:u w:val="single"/>
          <w:lang w:eastAsia="zh-CN"/>
        </w:rPr>
        <w:t>成都市龙泉驿生态环境局成都市中心城区“6+1”区域智能大气环境监测管治服务采购项目（第二次）</w:t>
      </w:r>
    </w:p>
    <w:p>
      <w:pPr>
        <w:pStyle w:val="14"/>
        <w:tabs>
          <w:tab w:val="left" w:pos="7560"/>
        </w:tabs>
        <w:spacing w:after="0" w:line="360" w:lineRule="auto"/>
        <w:ind w:firstLine="506"/>
        <w:rPr>
          <w:rFonts w:hint="eastAsia" w:ascii="宋体" w:hAnsi="宋体" w:eastAsia="宋体"/>
          <w:b/>
          <w:szCs w:val="24"/>
          <w:u w:val="single"/>
          <w:lang w:eastAsia="zh-CN"/>
        </w:rPr>
      </w:pPr>
      <w:r>
        <w:rPr>
          <w:rFonts w:hint="eastAsia" w:ascii="宋体" w:hAnsi="宋体"/>
          <w:b/>
          <w:szCs w:val="24"/>
        </w:rPr>
        <w:t>项目编号：</w:t>
      </w:r>
      <w:r>
        <w:rPr>
          <w:rFonts w:hint="eastAsia" w:ascii="宋体" w:hAnsi="宋体"/>
          <w:b/>
          <w:szCs w:val="24"/>
          <w:u w:val="single"/>
          <w:lang w:eastAsia="zh-CN"/>
        </w:rPr>
        <w:t>510112202100362</w:t>
      </w:r>
    </w:p>
    <w:p>
      <w:pPr>
        <w:pStyle w:val="2"/>
        <w:spacing w:line="360" w:lineRule="auto"/>
        <w:ind w:firstLine="506"/>
        <w:rPr>
          <w:szCs w:val="24"/>
        </w:rPr>
      </w:pPr>
      <w:r>
        <w:rPr>
          <w:rFonts w:hint="eastAsia" w:ascii="宋体" w:hAnsi="宋体"/>
          <w:b/>
          <w:szCs w:val="24"/>
          <w:u w:val="single"/>
        </w:rPr>
        <w:t xml:space="preserve">         </w:t>
      </w:r>
      <w:bookmarkEnd w:id="229"/>
    </w:p>
    <w:p>
      <w:pPr>
        <w:pStyle w:val="14"/>
        <w:tabs>
          <w:tab w:val="left" w:pos="7560"/>
        </w:tabs>
        <w:spacing w:after="0" w:line="360" w:lineRule="auto"/>
        <w:ind w:firstLine="506"/>
        <w:rPr>
          <w:rFonts w:ascii="宋体" w:hAnsi="宋体"/>
          <w:b/>
          <w:szCs w:val="24"/>
        </w:rPr>
      </w:pPr>
    </w:p>
    <w:p>
      <w:pPr>
        <w:ind w:firstLine="504"/>
        <w:rPr>
          <w:rFonts w:ascii="宋体" w:hAnsi="宋体"/>
          <w:bCs/>
          <w:szCs w:val="24"/>
        </w:rPr>
      </w:pPr>
      <w:bookmarkStart w:id="248" w:name="_Toc316475719"/>
    </w:p>
    <w:p>
      <w:pPr>
        <w:pStyle w:val="2"/>
        <w:spacing w:line="360" w:lineRule="auto"/>
        <w:ind w:firstLine="504"/>
        <w:rPr>
          <w:rFonts w:ascii="宋体" w:hAnsi="宋体"/>
          <w:bCs/>
          <w:szCs w:val="24"/>
        </w:rPr>
      </w:pPr>
    </w:p>
    <w:p>
      <w:pPr>
        <w:pStyle w:val="2"/>
        <w:spacing w:line="360" w:lineRule="auto"/>
        <w:ind w:firstLine="504"/>
        <w:rPr>
          <w:rFonts w:ascii="宋体" w:hAnsi="宋体"/>
          <w:bCs/>
          <w:szCs w:val="24"/>
        </w:rPr>
      </w:pPr>
    </w:p>
    <w:p>
      <w:pPr>
        <w:pStyle w:val="2"/>
        <w:spacing w:line="360" w:lineRule="auto"/>
        <w:ind w:firstLine="504"/>
        <w:rPr>
          <w:rFonts w:ascii="宋体" w:hAnsi="宋体"/>
          <w:bCs/>
          <w:szCs w:val="24"/>
        </w:rPr>
      </w:pPr>
    </w:p>
    <w:p>
      <w:pPr>
        <w:pStyle w:val="2"/>
        <w:spacing w:line="360" w:lineRule="auto"/>
        <w:ind w:firstLine="504"/>
        <w:rPr>
          <w:rFonts w:ascii="宋体" w:hAnsi="宋体"/>
          <w:bCs/>
          <w:szCs w:val="24"/>
        </w:rPr>
      </w:pPr>
    </w:p>
    <w:p>
      <w:pPr>
        <w:pStyle w:val="2"/>
        <w:spacing w:line="360" w:lineRule="auto"/>
        <w:ind w:firstLine="504"/>
        <w:rPr>
          <w:rFonts w:ascii="宋体" w:hAnsi="宋体"/>
          <w:bCs/>
          <w:szCs w:val="24"/>
        </w:rPr>
      </w:pPr>
    </w:p>
    <w:p>
      <w:pPr>
        <w:pStyle w:val="2"/>
        <w:spacing w:line="360" w:lineRule="auto"/>
        <w:ind w:firstLine="504"/>
        <w:rPr>
          <w:rFonts w:ascii="宋体" w:hAnsi="宋体"/>
          <w:bCs/>
          <w:szCs w:val="24"/>
        </w:rPr>
      </w:pPr>
    </w:p>
    <w:p>
      <w:pPr>
        <w:pStyle w:val="2"/>
        <w:spacing w:line="360" w:lineRule="auto"/>
        <w:ind w:firstLine="504"/>
        <w:rPr>
          <w:rFonts w:ascii="宋体" w:hAnsi="宋体"/>
          <w:bCs/>
          <w:szCs w:val="24"/>
        </w:rPr>
      </w:pPr>
    </w:p>
    <w:p>
      <w:pPr>
        <w:pStyle w:val="2"/>
        <w:spacing w:line="360" w:lineRule="auto"/>
        <w:ind w:firstLine="504"/>
        <w:rPr>
          <w:rFonts w:ascii="宋体" w:hAnsi="宋体"/>
          <w:bCs/>
          <w:szCs w:val="24"/>
        </w:rPr>
      </w:pPr>
    </w:p>
    <w:p>
      <w:pPr>
        <w:pStyle w:val="2"/>
        <w:spacing w:line="360" w:lineRule="auto"/>
        <w:ind w:firstLine="504"/>
        <w:rPr>
          <w:rFonts w:ascii="宋体" w:hAnsi="宋体"/>
          <w:bCs/>
          <w:szCs w:val="24"/>
        </w:rPr>
      </w:pPr>
    </w:p>
    <w:bookmarkEnd w:id="248"/>
    <w:p>
      <w:pPr>
        <w:ind w:firstLine="504"/>
        <w:rPr>
          <w:rFonts w:ascii="宋体" w:hAnsi="宋体"/>
          <w:bCs/>
          <w:szCs w:val="24"/>
        </w:rPr>
      </w:pPr>
    </w:p>
    <w:p>
      <w:pPr>
        <w:pStyle w:val="2"/>
        <w:spacing w:line="360" w:lineRule="auto"/>
        <w:ind w:firstLine="504"/>
        <w:rPr>
          <w:szCs w:val="24"/>
        </w:rPr>
      </w:pPr>
    </w:p>
    <w:p>
      <w:pPr>
        <w:pStyle w:val="26"/>
        <w:spacing w:after="0" w:line="360" w:lineRule="auto"/>
        <w:ind w:left="0" w:leftChars="0" w:firstLine="504"/>
        <w:rPr>
          <w:rFonts w:ascii="宋体" w:hAnsi="宋体"/>
          <w:bCs/>
          <w:szCs w:val="24"/>
        </w:rPr>
      </w:pPr>
      <w:r>
        <w:rPr>
          <w:rFonts w:hint="eastAsia" w:ascii="宋体" w:hAnsi="宋体"/>
          <w:bCs/>
          <w:szCs w:val="24"/>
        </w:rPr>
        <w:t>投标人名称：</w:t>
      </w:r>
      <w:r>
        <w:rPr>
          <w:rFonts w:hint="eastAsia" w:ascii="宋体" w:hAnsi="宋体"/>
          <w:bCs/>
          <w:szCs w:val="24"/>
          <w:u w:val="single"/>
        </w:rPr>
        <w:t xml:space="preserve">                       </w:t>
      </w:r>
      <w:r>
        <w:rPr>
          <w:rFonts w:hint="eastAsia" w:ascii="宋体" w:hAnsi="宋体"/>
          <w:bCs/>
          <w:szCs w:val="24"/>
        </w:rPr>
        <w:t>（加盖单位公章）</w:t>
      </w:r>
    </w:p>
    <w:p>
      <w:pPr>
        <w:pStyle w:val="26"/>
        <w:spacing w:after="0" w:line="360" w:lineRule="auto"/>
        <w:ind w:left="0" w:leftChars="0" w:firstLine="504"/>
        <w:rPr>
          <w:rFonts w:ascii="宋体" w:hAnsi="宋体"/>
          <w:bCs/>
          <w:szCs w:val="24"/>
        </w:rPr>
      </w:pPr>
      <w:r>
        <w:rPr>
          <w:rFonts w:hint="eastAsia" w:ascii="宋体" w:hAnsi="宋体"/>
          <w:bCs/>
          <w:szCs w:val="24"/>
        </w:rPr>
        <w:t>法定代表人或代理人：</w:t>
      </w:r>
      <w:r>
        <w:rPr>
          <w:rFonts w:hint="eastAsia" w:ascii="宋体" w:hAnsi="宋体"/>
          <w:bCs/>
          <w:szCs w:val="24"/>
          <w:u w:val="single"/>
        </w:rPr>
        <w:t xml:space="preserve">               </w:t>
      </w:r>
      <w:r>
        <w:rPr>
          <w:rFonts w:hint="eastAsia" w:ascii="宋体" w:hAnsi="宋体"/>
          <w:bCs/>
          <w:szCs w:val="24"/>
        </w:rPr>
        <w:t>（签字）</w:t>
      </w:r>
    </w:p>
    <w:p>
      <w:pPr>
        <w:adjustRightInd w:val="0"/>
        <w:ind w:firstLine="504"/>
        <w:rPr>
          <w:rFonts w:ascii="宋体" w:hAnsi="宋体"/>
          <w:szCs w:val="24"/>
        </w:rPr>
      </w:pPr>
      <w:r>
        <w:rPr>
          <w:rFonts w:ascii="宋体" w:hAnsi="宋体"/>
          <w:szCs w:val="24"/>
        </w:rPr>
        <w:t>日期：</w:t>
      </w:r>
      <w:r>
        <w:rPr>
          <w:rFonts w:hint="eastAsia" w:ascii="宋体" w:hAnsi="宋体"/>
          <w:szCs w:val="24"/>
          <w:u w:val="single"/>
        </w:rPr>
        <w:t xml:space="preserve">      </w:t>
      </w:r>
      <w:r>
        <w:rPr>
          <w:rFonts w:ascii="宋体" w:hAnsi="宋体"/>
          <w:szCs w:val="24"/>
        </w:rPr>
        <w:t>年</w:t>
      </w:r>
      <w:r>
        <w:rPr>
          <w:rFonts w:hint="eastAsia" w:ascii="宋体" w:hAnsi="宋体"/>
          <w:szCs w:val="24"/>
          <w:u w:val="single"/>
        </w:rPr>
        <w:t xml:space="preserve">      </w:t>
      </w:r>
      <w:r>
        <w:rPr>
          <w:rFonts w:ascii="宋体" w:hAnsi="宋体"/>
          <w:szCs w:val="24"/>
        </w:rPr>
        <w:t>月</w:t>
      </w:r>
      <w:r>
        <w:rPr>
          <w:rFonts w:hint="eastAsia" w:ascii="宋体" w:hAnsi="宋体"/>
          <w:szCs w:val="24"/>
          <w:u w:val="single"/>
        </w:rPr>
        <w:t xml:space="preserve">      </w:t>
      </w:r>
      <w:r>
        <w:rPr>
          <w:rFonts w:ascii="宋体" w:hAnsi="宋体"/>
          <w:szCs w:val="24"/>
        </w:rPr>
        <w:t>日</w:t>
      </w: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04"/>
        <w:rPr>
          <w:rFonts w:ascii="宋体" w:hAnsi="宋体"/>
          <w:szCs w:val="24"/>
        </w:rPr>
      </w:pPr>
    </w:p>
    <w:p>
      <w:pPr>
        <w:pStyle w:val="2"/>
        <w:ind w:firstLine="530"/>
        <w:rPr>
          <w:rFonts w:hint="eastAsia" w:ascii="宋体" w:hAnsi="宋体"/>
          <w:b/>
          <w:spacing w:val="6"/>
          <w:szCs w:val="24"/>
        </w:rPr>
      </w:pPr>
    </w:p>
    <w:p>
      <w:pPr>
        <w:pStyle w:val="5"/>
        <w:ind w:left="-325"/>
        <w:rPr>
          <w:rFonts w:cs="宋体"/>
          <w:szCs w:val="24"/>
        </w:rPr>
      </w:pPr>
      <w:bookmarkStart w:id="249" w:name="_Toc31011"/>
      <w:r>
        <w:rPr>
          <w:rFonts w:hint="eastAsia"/>
        </w:rPr>
        <w:t>投标人认为需要提供的文件和资料</w:t>
      </w:r>
      <w:bookmarkEnd w:id="249"/>
    </w:p>
    <w:p>
      <w:pPr>
        <w:ind w:firstLine="504"/>
      </w:pPr>
    </w:p>
    <w:p>
      <w:pPr>
        <w:pStyle w:val="2"/>
        <w:ind w:firstLine="504"/>
      </w:pPr>
    </w:p>
    <w:p>
      <w:pPr>
        <w:pStyle w:val="210"/>
      </w:pPr>
    </w:p>
    <w:p>
      <w:pPr>
        <w:pStyle w:val="210"/>
      </w:pPr>
    </w:p>
    <w:p>
      <w:pPr>
        <w:pStyle w:val="2"/>
        <w:ind w:firstLine="504"/>
      </w:pPr>
    </w:p>
    <w:p>
      <w:pPr>
        <w:pStyle w:val="2"/>
        <w:ind w:firstLine="504"/>
      </w:pPr>
    </w:p>
    <w:p>
      <w:pPr>
        <w:pStyle w:val="2"/>
        <w:ind w:firstLine="506"/>
        <w:rPr>
          <w:b/>
          <w:bCs/>
        </w:rPr>
      </w:pPr>
    </w:p>
    <w:p>
      <w:pPr>
        <w:pStyle w:val="2"/>
        <w:ind w:firstLine="506"/>
        <w:rPr>
          <w:rFonts w:hint="eastAsia"/>
          <w:b/>
          <w:bCs/>
        </w:rPr>
      </w:pPr>
      <w:r>
        <w:rPr>
          <w:rFonts w:hint="eastAsia"/>
          <w:b/>
          <w:bCs/>
        </w:rPr>
        <w:t>注：</w:t>
      </w:r>
      <w:r>
        <w:rPr>
          <w:rFonts w:hint="eastAsia"/>
          <w:b/>
          <w:bCs/>
          <w:sz w:val="21"/>
        </w:rPr>
        <w:t>如投标人</w:t>
      </w:r>
      <w:r>
        <w:rPr>
          <w:rFonts w:hint="eastAsia"/>
          <w:b/>
          <w:bCs/>
        </w:rPr>
        <w:t>没有认为需要提供的文件和资料可不提供。</w:t>
      </w:r>
    </w:p>
    <w:p>
      <w:pPr>
        <w:ind w:firstLine="506"/>
        <w:rPr>
          <w:rFonts w:hint="eastAsia"/>
          <w:b/>
          <w:bCs/>
        </w:rPr>
      </w:pPr>
    </w:p>
    <w:p>
      <w:pPr>
        <w:pStyle w:val="211"/>
        <w:ind w:firstLine="506"/>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10"/>
        <w:rPr>
          <w:rFonts w:hint="eastAsia"/>
          <w:b/>
          <w:bCs/>
        </w:rPr>
      </w:pPr>
    </w:p>
    <w:p>
      <w:pPr>
        <w:pStyle w:val="2"/>
        <w:ind w:firstLine="0" w:firstLineChars="0"/>
        <w:rPr>
          <w:b/>
          <w:bCs/>
        </w:rPr>
      </w:pPr>
    </w:p>
    <w:p>
      <w:pPr>
        <w:pStyle w:val="4"/>
      </w:pPr>
      <w:bookmarkStart w:id="250" w:name="_Toc22653"/>
      <w:bookmarkStart w:id="251" w:name="_Toc20595"/>
      <w:bookmarkStart w:id="252" w:name="_Toc217446093"/>
      <w:bookmarkStart w:id="253" w:name="_Toc32203"/>
      <w:bookmarkStart w:id="254" w:name="_Toc316292231"/>
      <w:bookmarkStart w:id="255" w:name="_Toc321382057"/>
      <w:r>
        <w:rPr>
          <w:rFonts w:hint="eastAsia"/>
        </w:rPr>
        <w:t>招标项目技术、商务及其他要求</w:t>
      </w:r>
      <w:bookmarkEnd w:id="250"/>
      <w:bookmarkEnd w:id="251"/>
      <w:bookmarkEnd w:id="252"/>
      <w:bookmarkEnd w:id="253"/>
    </w:p>
    <w:p>
      <w:pPr>
        <w:pStyle w:val="5"/>
        <w:tabs>
          <w:tab w:val="left" w:pos="426"/>
          <w:tab w:val="left" w:pos="567"/>
        </w:tabs>
        <w:rPr>
          <w:sz w:val="24"/>
          <w:szCs w:val="24"/>
        </w:rPr>
      </w:pPr>
      <w:bookmarkStart w:id="256" w:name="_Toc18710"/>
      <w:bookmarkStart w:id="257" w:name="_Toc4908"/>
      <w:bookmarkStart w:id="258" w:name="_Toc23195"/>
      <w:r>
        <w:rPr>
          <w:rFonts w:hint="eastAsia"/>
          <w:sz w:val="24"/>
          <w:szCs w:val="24"/>
        </w:rPr>
        <w:t>项目</w:t>
      </w:r>
      <w:bookmarkEnd w:id="256"/>
      <w:r>
        <w:rPr>
          <w:rFonts w:hint="eastAsia"/>
          <w:sz w:val="24"/>
          <w:szCs w:val="24"/>
        </w:rPr>
        <w:t>背景</w:t>
      </w:r>
      <w:bookmarkEnd w:id="257"/>
    </w:p>
    <w:p>
      <w:pPr>
        <w:adjustRightInd w:val="0"/>
        <w:snapToGrid w:val="0"/>
        <w:ind w:firstLine="504"/>
        <w:rPr>
          <w:rFonts w:hint="eastAsia" w:ascii="宋体" w:hAnsi="宋体" w:cs="宋体"/>
          <w:szCs w:val="24"/>
        </w:rPr>
      </w:pPr>
      <w:r>
        <w:rPr>
          <w:rFonts w:hint="eastAsia" w:ascii="宋体" w:hAnsi="宋体" w:cs="宋体"/>
          <w:szCs w:val="24"/>
        </w:rPr>
        <w:t>国务院</w:t>
      </w:r>
      <w:r>
        <w:rPr>
          <w:rFonts w:hint="eastAsia" w:ascii="宋体" w:hAnsi="宋体" w:cs="宋体"/>
          <w:szCs w:val="24"/>
          <w:lang w:val="en-US" w:eastAsia="zh-CN"/>
        </w:rPr>
        <w:t>自</w:t>
      </w:r>
      <w:r>
        <w:rPr>
          <w:rFonts w:hint="eastAsia" w:ascii="宋体" w:hAnsi="宋体" w:cs="宋体"/>
          <w:szCs w:val="24"/>
        </w:rPr>
        <w:t>2015年5月5日正式发布《关于加快推进生态文明建设的意见》，</w:t>
      </w:r>
      <w:r>
        <w:rPr>
          <w:rFonts w:hint="eastAsia" w:ascii="宋体" w:hAnsi="宋体" w:cs="宋体"/>
          <w:szCs w:val="24"/>
          <w:lang w:val="en-US" w:eastAsia="zh-CN"/>
        </w:rPr>
        <w:t>其中</w:t>
      </w:r>
      <w:r>
        <w:rPr>
          <w:rFonts w:hint="eastAsia" w:ascii="宋体" w:hAnsi="宋体" w:cs="宋体"/>
          <w:szCs w:val="24"/>
        </w:rPr>
        <w:t>明确提出：到2020年，资源节约型和环境友好型社会建设取得重大进展，主体功能区布局基本形成，经济发展质量和效益显著提高，生态文明主流价值观在全社会得到推行，生态文明建设水平与全面建成小康社会目标相适应。</w:t>
      </w:r>
    </w:p>
    <w:p>
      <w:pPr>
        <w:adjustRightInd w:val="0"/>
        <w:snapToGrid w:val="0"/>
        <w:ind w:firstLine="504"/>
        <w:rPr>
          <w:rFonts w:hint="eastAsia" w:ascii="宋体" w:hAnsi="宋体" w:cs="宋体"/>
          <w:szCs w:val="24"/>
        </w:rPr>
      </w:pPr>
      <w:r>
        <w:rPr>
          <w:rFonts w:hint="eastAsia" w:ascii="宋体" w:hAnsi="宋体" w:cs="宋体"/>
          <w:szCs w:val="24"/>
        </w:rPr>
        <w:t>2016年12月6日成都市</w:t>
      </w:r>
      <w:r>
        <w:rPr>
          <w:rFonts w:hint="eastAsia" w:ascii="宋体" w:hAnsi="宋体" w:cs="宋体"/>
          <w:szCs w:val="24"/>
          <w:lang w:val="en-US" w:eastAsia="zh-CN"/>
        </w:rPr>
        <w:t>政府</w:t>
      </w:r>
      <w:r>
        <w:rPr>
          <w:rFonts w:hint="eastAsia" w:ascii="宋体" w:hAnsi="宋体" w:cs="宋体"/>
          <w:szCs w:val="24"/>
        </w:rPr>
        <w:t>发布《成都市加快推进生态文明建设实施方案》，明确提出：加强生态建设与保护、推进重点污染物减排、全面推进污染防治及健全科学决策机制和考核问责机制。</w:t>
      </w:r>
    </w:p>
    <w:p>
      <w:pPr>
        <w:adjustRightInd w:val="0"/>
        <w:snapToGrid w:val="0"/>
        <w:ind w:firstLine="504"/>
        <w:rPr>
          <w:rFonts w:hint="eastAsia" w:ascii="宋体" w:hAnsi="宋体" w:cs="宋体"/>
          <w:szCs w:val="24"/>
        </w:rPr>
      </w:pPr>
      <w:r>
        <w:rPr>
          <w:rFonts w:hint="eastAsia" w:ascii="宋体" w:hAnsi="宋体" w:cs="宋体"/>
          <w:szCs w:val="24"/>
        </w:rPr>
        <w:t>2018年6月国家生态环境部制定了《禁止环保“一刀切”工作意见》，严格禁止地方政府在环境治理工作中采取“一律关停”“先停再说”等敷衍应对做法，坚决避免集中停工停业停产等简单粗暴行为，为污染防治这一系统工程提出了新的要求。</w:t>
      </w:r>
    </w:p>
    <w:p>
      <w:pPr>
        <w:adjustRightInd w:val="0"/>
        <w:snapToGrid w:val="0"/>
        <w:ind w:firstLine="504"/>
        <w:rPr>
          <w:rFonts w:hint="eastAsia" w:ascii="宋体" w:hAnsi="宋体" w:cs="宋体"/>
          <w:szCs w:val="24"/>
        </w:rPr>
      </w:pPr>
      <w:r>
        <w:rPr>
          <w:rFonts w:hint="eastAsia" w:ascii="宋体" w:hAnsi="宋体" w:cs="宋体"/>
          <w:szCs w:val="24"/>
        </w:rPr>
        <w:t>2020年3月，中共中央办公厅国务院办公厅印发《关于构建现代环境治理体系的指导意见》，对健全环境治理监管体系提出更加科学和高标准的要求。</w:t>
      </w:r>
    </w:p>
    <w:p>
      <w:pPr>
        <w:adjustRightInd w:val="0"/>
        <w:snapToGrid w:val="0"/>
        <w:ind w:firstLine="504"/>
        <w:rPr>
          <w:rFonts w:hint="eastAsia" w:ascii="宋体" w:hAnsi="宋体" w:cs="宋体"/>
          <w:szCs w:val="24"/>
        </w:rPr>
      </w:pPr>
      <w:r>
        <w:rPr>
          <w:rFonts w:hint="eastAsia" w:ascii="宋体" w:hAnsi="宋体" w:cs="宋体"/>
          <w:szCs w:val="24"/>
          <w:lang w:val="en-US" w:eastAsia="zh-CN"/>
        </w:rPr>
        <w:t>而</w:t>
      </w:r>
      <w:r>
        <w:rPr>
          <w:rFonts w:hint="eastAsia" w:ascii="宋体" w:hAnsi="宋体" w:cs="宋体"/>
          <w:szCs w:val="24"/>
        </w:rPr>
        <w:t>随着《成都市“十四五”生态环境保护规划》逐步出台，2030年“碳达峰”，2060年“碳中和”目标确立。成都市作为国家中心城市需全面打好污染防治攻坚战、健全环境治理体系、加强城市系统治理、做推动产业和能源结构的低碳转型的排头兵。</w:t>
      </w:r>
    </w:p>
    <w:p>
      <w:pPr>
        <w:adjustRightInd w:val="0"/>
        <w:snapToGrid w:val="0"/>
        <w:ind w:firstLine="504"/>
        <w:rPr>
          <w:rFonts w:hint="eastAsia" w:ascii="宋体" w:hAnsi="宋体" w:cs="宋体"/>
          <w:szCs w:val="24"/>
        </w:rPr>
      </w:pPr>
      <w:r>
        <w:rPr>
          <w:rFonts w:hint="eastAsia" w:ascii="宋体" w:hAnsi="宋体" w:cs="宋体"/>
          <w:szCs w:val="24"/>
        </w:rPr>
        <w:t>其中成都市中心城区“6+1”区域作为成都市三环路外的中心城区，</w:t>
      </w:r>
      <w:r>
        <w:rPr>
          <w:rFonts w:hint="eastAsia" w:ascii="宋体" w:hAnsi="宋体" w:cs="宋体"/>
          <w:szCs w:val="24"/>
          <w:lang w:val="en-US" w:eastAsia="zh-CN"/>
        </w:rPr>
        <w:t>范围</w:t>
      </w:r>
      <w:r>
        <w:rPr>
          <w:rFonts w:hint="eastAsia" w:ascii="宋体" w:hAnsi="宋体" w:cs="宋体"/>
          <w:szCs w:val="24"/>
        </w:rPr>
        <w:t>广，</w:t>
      </w:r>
      <w:r>
        <w:rPr>
          <w:rFonts w:hint="eastAsia" w:ascii="宋体" w:hAnsi="宋体" w:cs="宋体"/>
          <w:szCs w:val="24"/>
          <w:lang w:val="en-US" w:eastAsia="zh-CN"/>
        </w:rPr>
        <w:t>面积大，产业</w:t>
      </w:r>
      <w:r>
        <w:rPr>
          <w:rFonts w:hint="eastAsia" w:ascii="宋体" w:hAnsi="宋体" w:cs="宋体"/>
          <w:szCs w:val="24"/>
        </w:rPr>
        <w:t>结构复杂</w:t>
      </w:r>
      <w:r>
        <w:rPr>
          <w:rFonts w:hint="eastAsia" w:ascii="宋体" w:hAnsi="宋体" w:cs="宋体"/>
          <w:szCs w:val="24"/>
          <w:lang w:val="en-US" w:eastAsia="zh-CN"/>
        </w:rPr>
        <w:t>且</w:t>
      </w:r>
      <w:r>
        <w:rPr>
          <w:rFonts w:hint="eastAsia" w:ascii="宋体" w:hAnsi="宋体" w:cs="宋体"/>
          <w:szCs w:val="24"/>
        </w:rPr>
        <w:t>历史遗留问题多，更应采取智能化</w:t>
      </w:r>
      <w:r>
        <w:rPr>
          <w:rFonts w:hint="eastAsia" w:ascii="宋体" w:hAnsi="宋体" w:cs="宋体"/>
          <w:szCs w:val="24"/>
          <w:lang w:val="en-US" w:eastAsia="zh-CN"/>
        </w:rPr>
        <w:t>监测管治</w:t>
      </w:r>
      <w:r>
        <w:rPr>
          <w:rFonts w:hint="eastAsia" w:ascii="宋体" w:hAnsi="宋体" w:cs="宋体"/>
          <w:szCs w:val="24"/>
        </w:rPr>
        <w:t>手段对大气环境进行全面</w:t>
      </w:r>
      <w:r>
        <w:rPr>
          <w:rFonts w:hint="eastAsia" w:ascii="宋体" w:hAnsi="宋体" w:cs="宋体"/>
          <w:szCs w:val="24"/>
          <w:lang w:val="en-US" w:eastAsia="zh-CN"/>
        </w:rPr>
        <w:t>掌握</w:t>
      </w:r>
      <w:r>
        <w:rPr>
          <w:rFonts w:hint="eastAsia" w:ascii="宋体" w:hAnsi="宋体" w:cs="宋体"/>
          <w:szCs w:val="24"/>
        </w:rPr>
        <w:t>，</w:t>
      </w:r>
      <w:r>
        <w:rPr>
          <w:rFonts w:hint="eastAsia" w:ascii="宋体" w:hAnsi="宋体" w:cs="宋体"/>
          <w:szCs w:val="24"/>
          <w:lang w:val="en-US" w:eastAsia="zh-CN"/>
        </w:rPr>
        <w:t>本案</w:t>
      </w:r>
      <w:r>
        <w:rPr>
          <w:rFonts w:hint="eastAsia" w:ascii="宋体" w:hAnsi="宋体" w:cs="宋体"/>
          <w:szCs w:val="24"/>
        </w:rPr>
        <w:t>以智能化监测管治为抓手，</w:t>
      </w:r>
      <w:r>
        <w:rPr>
          <w:rFonts w:hint="eastAsia" w:ascii="宋体" w:hAnsi="宋体" w:cs="宋体"/>
          <w:szCs w:val="24"/>
          <w:lang w:val="en-US" w:eastAsia="zh-CN"/>
        </w:rPr>
        <w:t>着力解决区域内颗粒物及臭氧的管治工作</w:t>
      </w:r>
      <w:r>
        <w:rPr>
          <w:rFonts w:hint="eastAsia" w:ascii="宋体" w:hAnsi="宋体" w:cs="宋体"/>
          <w:szCs w:val="24"/>
        </w:rPr>
        <w:t>，推进精准、科学、依法、系统治污，协同推进减污降碳是实现碳达峰远期目标的坚实基础。</w:t>
      </w:r>
    </w:p>
    <w:p>
      <w:pPr>
        <w:pStyle w:val="5"/>
        <w:tabs>
          <w:tab w:val="left" w:pos="426"/>
          <w:tab w:val="left" w:pos="567"/>
        </w:tabs>
        <w:spacing w:line="460" w:lineRule="exact"/>
        <w:rPr>
          <w:sz w:val="24"/>
          <w:szCs w:val="24"/>
        </w:rPr>
      </w:pPr>
      <w:bookmarkStart w:id="259" w:name="_Toc24025"/>
      <w:bookmarkStart w:id="260" w:name="_Toc9279"/>
      <w:r>
        <w:rPr>
          <w:rFonts w:hint="eastAsia"/>
          <w:sz w:val="24"/>
          <w:szCs w:val="24"/>
        </w:rPr>
        <w:t>项目现状</w:t>
      </w:r>
      <w:bookmarkEnd w:id="259"/>
    </w:p>
    <w:p>
      <w:pPr>
        <w:pStyle w:val="6"/>
        <w:adjustRightInd w:val="0"/>
        <w:snapToGrid w:val="0"/>
        <w:ind w:left="247" w:leftChars="0" w:firstLine="506" w:firstLineChars="0"/>
        <w:rPr>
          <w:rFonts w:hint="eastAsia" w:cs="宋体"/>
          <w:szCs w:val="24"/>
        </w:rPr>
      </w:pPr>
      <w:r>
        <w:rPr>
          <w:rFonts w:hint="eastAsia" w:cs="宋体"/>
          <w:szCs w:val="24"/>
          <w:lang w:val="en-US" w:eastAsia="zh-CN"/>
        </w:rPr>
        <w:t>已</w:t>
      </w:r>
      <w:r>
        <w:rPr>
          <w:rFonts w:hint="eastAsia" w:cs="宋体"/>
          <w:szCs w:val="24"/>
        </w:rPr>
        <w:t>有系统</w:t>
      </w:r>
    </w:p>
    <w:p>
      <w:pPr>
        <w:pStyle w:val="2"/>
        <w:adjustRightInd w:val="0"/>
        <w:snapToGrid w:val="0"/>
        <w:spacing w:line="360" w:lineRule="auto"/>
        <w:ind w:firstLine="504"/>
        <w:rPr>
          <w:rFonts w:hint="eastAsia" w:ascii="宋体" w:hAnsi="宋体" w:cs="宋体"/>
          <w:szCs w:val="24"/>
        </w:rPr>
      </w:pPr>
      <w:r>
        <w:rPr>
          <w:rFonts w:hint="eastAsia" w:ascii="宋体" w:hAnsi="宋体" w:cs="宋体"/>
          <w:szCs w:val="24"/>
        </w:rPr>
        <w:t>因</w:t>
      </w:r>
      <w:r>
        <w:rPr>
          <w:rFonts w:hint="eastAsia" w:ascii="宋体" w:hAnsi="宋体" w:cs="宋体"/>
          <w:szCs w:val="24"/>
          <w:highlight w:val="none"/>
        </w:rPr>
        <w:t>本项目立足于成都市中心城区中指定“6+</w:t>
      </w:r>
      <w:r>
        <w:rPr>
          <w:rFonts w:ascii="宋体" w:hAnsi="宋体" w:cs="宋体"/>
          <w:szCs w:val="24"/>
          <w:highlight w:val="none"/>
        </w:rPr>
        <w:t>1</w:t>
      </w:r>
      <w:r>
        <w:rPr>
          <w:rFonts w:hint="eastAsia" w:ascii="宋体" w:hAnsi="宋体" w:cs="宋体"/>
          <w:szCs w:val="24"/>
          <w:highlight w:val="none"/>
        </w:rPr>
        <w:t>”区域提供智能化大气环境管治服务，现有成都市生态环境局下发系统为：</w:t>
      </w:r>
    </w:p>
    <w:tbl>
      <w:tblPr>
        <w:tblStyle w:val="43"/>
        <w:tblW w:w="5106"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854"/>
        <w:gridCol w:w="799"/>
        <w:gridCol w:w="800"/>
        <w:gridCol w:w="4915"/>
        <w:gridCol w:w="13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noWrap w:val="0"/>
            <w:vAlign w:val="center"/>
          </w:tcPr>
          <w:p>
            <w:pPr>
              <w:adjustRightInd w:val="0"/>
              <w:snapToGrid w:val="0"/>
              <w:ind w:firstLine="0" w:firstLineChars="0"/>
              <w:jc w:val="center"/>
              <w:rPr>
                <w:rFonts w:hint="eastAsia" w:ascii="宋体" w:hAnsi="宋体" w:cs="宋体"/>
                <w:b/>
                <w:bCs/>
                <w:sz w:val="21"/>
                <w:szCs w:val="21"/>
              </w:rPr>
            </w:pPr>
            <w:r>
              <w:rPr>
                <w:rFonts w:hint="eastAsia" w:ascii="宋体" w:hAnsi="宋体" w:cs="宋体"/>
                <w:b/>
                <w:bCs/>
                <w:sz w:val="21"/>
                <w:szCs w:val="21"/>
              </w:rPr>
              <w:t>序号</w:t>
            </w:r>
          </w:p>
        </w:tc>
        <w:tc>
          <w:tcPr>
            <w:tcW w:w="854" w:type="dxa"/>
            <w:noWrap w:val="0"/>
            <w:vAlign w:val="center"/>
          </w:tcPr>
          <w:p>
            <w:pPr>
              <w:adjustRightInd w:val="0"/>
              <w:snapToGrid w:val="0"/>
              <w:ind w:firstLine="0" w:firstLineChars="0"/>
              <w:jc w:val="center"/>
              <w:rPr>
                <w:rFonts w:hint="eastAsia" w:ascii="宋体" w:hAnsi="宋体" w:cs="宋体"/>
                <w:b/>
                <w:bCs/>
                <w:sz w:val="21"/>
                <w:szCs w:val="21"/>
              </w:rPr>
            </w:pPr>
            <w:r>
              <w:rPr>
                <w:rFonts w:hint="eastAsia" w:ascii="宋体" w:hAnsi="宋体" w:cs="宋体"/>
                <w:b/>
                <w:bCs/>
                <w:sz w:val="21"/>
                <w:szCs w:val="21"/>
              </w:rPr>
              <w:t>系统名称</w:t>
            </w:r>
          </w:p>
        </w:tc>
        <w:tc>
          <w:tcPr>
            <w:tcW w:w="799" w:type="dxa"/>
            <w:noWrap w:val="0"/>
            <w:vAlign w:val="center"/>
          </w:tcPr>
          <w:p>
            <w:pPr>
              <w:adjustRightInd w:val="0"/>
              <w:snapToGrid w:val="0"/>
              <w:ind w:firstLine="0" w:firstLineChars="0"/>
              <w:jc w:val="center"/>
              <w:rPr>
                <w:rFonts w:hint="eastAsia" w:ascii="宋体" w:hAnsi="宋体" w:cs="宋体"/>
                <w:b/>
                <w:bCs/>
                <w:sz w:val="21"/>
                <w:szCs w:val="21"/>
              </w:rPr>
            </w:pPr>
            <w:r>
              <w:rPr>
                <w:rFonts w:hint="eastAsia" w:ascii="宋体" w:hAnsi="宋体" w:cs="宋体"/>
                <w:b/>
                <w:bCs/>
                <w:sz w:val="21"/>
                <w:szCs w:val="21"/>
              </w:rPr>
              <w:t>投运时间</w:t>
            </w:r>
          </w:p>
        </w:tc>
        <w:tc>
          <w:tcPr>
            <w:tcW w:w="800" w:type="dxa"/>
            <w:noWrap w:val="0"/>
            <w:vAlign w:val="center"/>
          </w:tcPr>
          <w:p>
            <w:pPr>
              <w:adjustRightInd w:val="0"/>
              <w:snapToGrid w:val="0"/>
              <w:ind w:firstLine="0" w:firstLineChars="0"/>
              <w:jc w:val="center"/>
              <w:rPr>
                <w:rFonts w:hint="eastAsia" w:ascii="宋体" w:hAnsi="宋体" w:cs="宋体"/>
                <w:b/>
                <w:bCs/>
                <w:sz w:val="21"/>
                <w:szCs w:val="21"/>
              </w:rPr>
            </w:pPr>
            <w:r>
              <w:rPr>
                <w:rFonts w:hint="eastAsia" w:ascii="宋体" w:hAnsi="宋体" w:cs="宋体"/>
                <w:b/>
                <w:bCs/>
                <w:sz w:val="21"/>
                <w:szCs w:val="21"/>
              </w:rPr>
              <w:t>使用情况</w:t>
            </w:r>
          </w:p>
        </w:tc>
        <w:tc>
          <w:tcPr>
            <w:tcW w:w="4915" w:type="dxa"/>
            <w:noWrap w:val="0"/>
            <w:vAlign w:val="center"/>
          </w:tcPr>
          <w:p>
            <w:pPr>
              <w:adjustRightInd w:val="0"/>
              <w:snapToGrid w:val="0"/>
              <w:ind w:firstLine="0" w:firstLineChars="0"/>
              <w:jc w:val="center"/>
              <w:rPr>
                <w:rFonts w:hint="eastAsia" w:ascii="宋体" w:hAnsi="宋体" w:cs="宋体"/>
                <w:b/>
                <w:bCs/>
                <w:sz w:val="21"/>
                <w:szCs w:val="21"/>
              </w:rPr>
            </w:pPr>
            <w:r>
              <w:rPr>
                <w:rFonts w:hint="eastAsia" w:ascii="宋体" w:hAnsi="宋体" w:cs="宋体"/>
                <w:b/>
                <w:bCs/>
                <w:sz w:val="21"/>
                <w:szCs w:val="21"/>
              </w:rPr>
              <w:t>系统描述</w:t>
            </w:r>
          </w:p>
        </w:tc>
        <w:tc>
          <w:tcPr>
            <w:tcW w:w="1318" w:type="dxa"/>
            <w:noWrap w:val="0"/>
            <w:vAlign w:val="center"/>
          </w:tcPr>
          <w:p>
            <w:pPr>
              <w:adjustRightInd w:val="0"/>
              <w:snapToGrid w:val="0"/>
              <w:ind w:firstLine="0" w:firstLineChars="0"/>
              <w:jc w:val="center"/>
              <w:rPr>
                <w:rFonts w:hint="eastAsia" w:ascii="宋体" w:hAnsi="宋体" w:cs="宋体"/>
                <w:b/>
                <w:bCs/>
                <w:sz w:val="21"/>
                <w:szCs w:val="21"/>
              </w:rPr>
            </w:pPr>
            <w:r>
              <w:rPr>
                <w:rFonts w:hint="eastAsia" w:ascii="宋体" w:hAnsi="宋体" w:cs="宋体"/>
                <w:b/>
                <w:bCs/>
                <w:sz w:val="21"/>
                <w:szCs w:val="21"/>
              </w:rPr>
              <w:t>与本项目关系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1</w:t>
            </w:r>
          </w:p>
        </w:tc>
        <w:tc>
          <w:tcPr>
            <w:tcW w:w="854" w:type="dxa"/>
            <w:noWrap w:val="0"/>
            <w:vAlign w:val="center"/>
          </w:tcPr>
          <w:p>
            <w:pPr>
              <w:adjustRightInd w:val="0"/>
              <w:snapToGrid w:val="0"/>
              <w:ind w:firstLine="0" w:firstLineChars="0"/>
              <w:rPr>
                <w:rFonts w:hint="eastAsia" w:ascii="宋体" w:hAnsi="宋体" w:eastAsia="宋体" w:cs="宋体"/>
                <w:szCs w:val="24"/>
                <w:lang w:val="en-US" w:eastAsia="zh-CN"/>
              </w:rPr>
            </w:pPr>
            <w:r>
              <w:rPr>
                <w:rFonts w:hint="eastAsia" w:ascii="宋体" w:hAnsi="宋体" w:cs="宋体"/>
                <w:szCs w:val="24"/>
              </w:rPr>
              <w:t>成都市环境数据中心</w:t>
            </w:r>
            <w:r>
              <w:rPr>
                <w:rFonts w:hint="eastAsia" w:ascii="宋体" w:hAnsi="宋体" w:cs="宋体"/>
                <w:szCs w:val="24"/>
                <w:lang w:val="en-US" w:eastAsia="zh-CN"/>
              </w:rPr>
              <w:t>系统</w:t>
            </w:r>
          </w:p>
        </w:tc>
        <w:tc>
          <w:tcPr>
            <w:tcW w:w="799"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2016年5月</w:t>
            </w:r>
          </w:p>
        </w:tc>
        <w:tc>
          <w:tcPr>
            <w:tcW w:w="800"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在用</w:t>
            </w:r>
          </w:p>
        </w:tc>
        <w:tc>
          <w:tcPr>
            <w:tcW w:w="4915"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本系统是成都市生态环境局的数据资源中心，统一管理全局所有业务数据，是全局数据交换的枢纽，对内和对外提供统一数据共享服务。数据中心包括全市环境质量数据、污染源数据、环保管理数据以及其他环境相关数据。平台统一搜集、存储、管理维护和发布数据，对数据收集情况进行监控值守保障数据服务质量。成都市环境数据中心主要功能包括：1、数据管理，对全市环境质量数据、污染源数据、环保管理数据以及其他环境相关数据的管理；2、数据接入管理，平台统一搜集、存储、管理维护和发布数据；3、数据值守管理，对数据收集情况进行监控值守保障数据服务质量；4、数据库管理；5、资源目录管理；6、数据统计分析；7、数据交换管理。</w:t>
            </w:r>
          </w:p>
        </w:tc>
        <w:tc>
          <w:tcPr>
            <w:tcW w:w="1318"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有关（规范编制过程中参照现有数据对接流程及接口命名规范）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noWrap w:val="0"/>
            <w:vAlign w:val="center"/>
          </w:tcPr>
          <w:p>
            <w:pPr>
              <w:adjustRightInd w:val="0"/>
              <w:snapToGrid w:val="0"/>
              <w:ind w:firstLine="0" w:firstLineChars="0"/>
              <w:rPr>
                <w:rFonts w:hint="eastAsia" w:ascii="宋体" w:hAnsi="宋体" w:cs="宋体"/>
                <w:color w:val="000000"/>
                <w:szCs w:val="24"/>
              </w:rPr>
            </w:pPr>
            <w:r>
              <w:rPr>
                <w:rFonts w:hint="eastAsia" w:ascii="宋体" w:hAnsi="宋体" w:cs="宋体"/>
                <w:color w:val="000000"/>
                <w:szCs w:val="24"/>
              </w:rPr>
              <w:t>2</w:t>
            </w:r>
          </w:p>
        </w:tc>
        <w:tc>
          <w:tcPr>
            <w:tcW w:w="854"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成都市数智环境大气系统（一期）</w:t>
            </w:r>
          </w:p>
        </w:tc>
        <w:tc>
          <w:tcPr>
            <w:tcW w:w="799"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2019年10月</w:t>
            </w:r>
          </w:p>
        </w:tc>
        <w:tc>
          <w:tcPr>
            <w:tcW w:w="800"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在用</w:t>
            </w:r>
          </w:p>
        </w:tc>
        <w:tc>
          <w:tcPr>
            <w:tcW w:w="4915"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含首页大屏、全景指挥平台、现状分析平台、科学分析平台、精准管控平台、在线调度平台、考核评估平台、区县乡镇平台等内容。本期建设目标侧重以日常管控和重污染天气应对为两条主线，汇聚科学研判和决策分析所需要的基础结构化数据，提供必要的数据管理、管控和查询共享服务；在对数据量化分析、科学预测的基础上提出改善环境质量目标和措施，从而实现科技治霾和精准管控；打通市-区县-乡镇三级，建立区县分中心、乡镇分中心和市级部门平台，实现跨部门、跨层级的管控与调度；设计基础的考核指标，对各技部门与单位在日常管控（科研发现、违法违规）和重污染天气应对中的表现进行综合评估。</w:t>
            </w:r>
          </w:p>
        </w:tc>
        <w:tc>
          <w:tcPr>
            <w:tcW w:w="1318" w:type="dxa"/>
            <w:noWrap w:val="0"/>
            <w:vAlign w:val="center"/>
          </w:tcPr>
          <w:p>
            <w:pPr>
              <w:adjustRightInd w:val="0"/>
              <w:snapToGrid w:val="0"/>
              <w:ind w:firstLine="0" w:firstLineChars="0"/>
              <w:rPr>
                <w:rFonts w:hint="eastAsia" w:ascii="宋体" w:hAnsi="宋体" w:cs="宋体"/>
                <w:szCs w:val="24"/>
              </w:rPr>
            </w:pPr>
            <w:r>
              <w:rPr>
                <w:rFonts w:hint="eastAsia" w:ascii="宋体" w:hAnsi="宋体" w:cs="宋体"/>
                <w:szCs w:val="24"/>
              </w:rPr>
              <w:t>有关（规范编制过程中参照现有数据对接流程及接口命名规范）</w:t>
            </w:r>
          </w:p>
        </w:tc>
      </w:tr>
    </w:tbl>
    <w:p>
      <w:pPr>
        <w:pStyle w:val="6"/>
        <w:adjustRightInd w:val="0"/>
        <w:snapToGrid w:val="0"/>
        <w:ind w:left="247" w:leftChars="0" w:firstLine="506" w:firstLineChars="0"/>
        <w:rPr>
          <w:rFonts w:hint="eastAsia" w:cs="宋体"/>
          <w:szCs w:val="24"/>
        </w:rPr>
      </w:pPr>
      <w:r>
        <w:rPr>
          <w:rFonts w:hint="eastAsia" w:cs="宋体"/>
          <w:szCs w:val="24"/>
          <w:lang w:val="en-US" w:eastAsia="zh-CN"/>
        </w:rPr>
        <w:t>系统</w:t>
      </w:r>
      <w:r>
        <w:rPr>
          <w:rFonts w:hint="eastAsia" w:cs="宋体"/>
          <w:szCs w:val="24"/>
        </w:rPr>
        <w:t>现状</w:t>
      </w:r>
    </w:p>
    <w:p>
      <w:pPr>
        <w:pStyle w:val="3"/>
        <w:adjustRightInd w:val="0"/>
        <w:snapToGrid w:val="0"/>
        <w:spacing w:before="0" w:after="0" w:line="360" w:lineRule="auto"/>
        <w:ind w:left="0" w:right="0" w:firstLine="502" w:firstLineChars="200"/>
        <w:rPr>
          <w:rFonts w:hint="eastAsia" w:ascii="宋体" w:hAnsi="宋体" w:eastAsia="宋体" w:cs="宋体"/>
          <w:kern w:val="2"/>
          <w:szCs w:val="24"/>
        </w:rPr>
      </w:pPr>
      <w:r>
        <w:rPr>
          <w:rFonts w:hint="eastAsia" w:ascii="宋体" w:hAnsi="宋体" w:eastAsia="宋体" w:cs="宋体"/>
          <w:kern w:val="2"/>
          <w:szCs w:val="24"/>
        </w:rPr>
        <w:t>由于现有国发系统及市发系统多数仍属于环境信息化系统，仅用于环境数据的管理、统计及展示，</w:t>
      </w:r>
      <w:r>
        <w:rPr>
          <w:rFonts w:hint="eastAsia" w:ascii="宋体" w:hAnsi="宋体" w:eastAsia="宋体" w:cs="宋体"/>
          <w:kern w:val="2"/>
          <w:szCs w:val="24"/>
          <w:lang w:val="en-US" w:eastAsia="zh-CN"/>
        </w:rPr>
        <w:t>未能对</w:t>
      </w:r>
      <w:r>
        <w:rPr>
          <w:rFonts w:hint="eastAsia" w:ascii="宋体" w:hAnsi="宋体" w:eastAsia="宋体" w:cs="宋体"/>
          <w:kern w:val="2"/>
          <w:szCs w:val="24"/>
        </w:rPr>
        <w:t>成都市内各区市县的实际大气污染管治工作中给予</w:t>
      </w:r>
      <w:r>
        <w:rPr>
          <w:rFonts w:hint="eastAsia" w:ascii="宋体" w:hAnsi="宋体" w:eastAsia="宋体" w:cs="宋体"/>
          <w:kern w:val="2"/>
          <w:szCs w:val="24"/>
          <w:lang w:val="en-US" w:eastAsia="zh-CN"/>
        </w:rPr>
        <w:t>有效</w:t>
      </w:r>
      <w:r>
        <w:rPr>
          <w:rFonts w:hint="eastAsia" w:ascii="宋体" w:hAnsi="宋体" w:eastAsia="宋体" w:cs="宋体"/>
          <w:kern w:val="2"/>
          <w:szCs w:val="24"/>
        </w:rPr>
        <w:t>支持。</w:t>
      </w:r>
    </w:p>
    <w:p>
      <w:pPr>
        <w:pStyle w:val="3"/>
        <w:adjustRightInd w:val="0"/>
        <w:snapToGrid w:val="0"/>
        <w:spacing w:before="0" w:after="0" w:line="360" w:lineRule="auto"/>
        <w:ind w:left="0" w:right="0" w:firstLine="502" w:firstLineChars="200"/>
        <w:rPr>
          <w:rFonts w:hint="eastAsia" w:ascii="宋体" w:hAnsi="宋体" w:eastAsia="宋体" w:cs="宋体"/>
          <w:kern w:val="2"/>
          <w:szCs w:val="24"/>
        </w:rPr>
      </w:pPr>
      <w:r>
        <w:rPr>
          <w:rFonts w:hint="eastAsia" w:ascii="宋体" w:hAnsi="宋体" w:eastAsia="宋体" w:cs="宋体"/>
          <w:kern w:val="2"/>
          <w:szCs w:val="24"/>
        </w:rPr>
        <w:t>目前针对成都市</w:t>
      </w:r>
      <w:r>
        <w:rPr>
          <w:rFonts w:hint="eastAsia" w:ascii="宋体" w:hAnsi="宋体" w:eastAsia="宋体" w:cs="宋体"/>
          <w:kern w:val="2"/>
          <w:szCs w:val="24"/>
          <w:lang w:val="en-US" w:eastAsia="zh-CN"/>
        </w:rPr>
        <w:t>主城区外部</w:t>
      </w:r>
      <w:r>
        <w:rPr>
          <w:rFonts w:hint="eastAsia" w:ascii="宋体" w:hAnsi="宋体" w:eastAsia="宋体" w:cs="宋体"/>
          <w:kern w:val="2"/>
          <w:szCs w:val="24"/>
        </w:rPr>
        <w:t>区域仍未实现小尺度网格化空气信息监测，无法掌握全域第一手空气质量信息异动。同时还未实现小尺度污染精准溯源，现今仍主要依靠相关人员线下摸查，以成本和效率两方面来看，目前方式不可持续，亟待智能化革新。同时缺少从线上污染预警至线下执法反馈的完整大气污染管治体系，需配合系统移动终端建设，补足现场执行人员通过手机端接收、查询、上报信息的需求。</w:t>
      </w:r>
    </w:p>
    <w:p>
      <w:pPr>
        <w:pStyle w:val="5"/>
        <w:tabs>
          <w:tab w:val="left" w:pos="426"/>
          <w:tab w:val="left" w:pos="567"/>
        </w:tabs>
        <w:spacing w:line="460" w:lineRule="exact"/>
        <w:rPr>
          <w:sz w:val="24"/>
          <w:szCs w:val="24"/>
        </w:rPr>
      </w:pPr>
      <w:bookmarkStart w:id="261" w:name="_Toc16084"/>
      <w:r>
        <w:rPr>
          <w:rFonts w:hint="eastAsia"/>
          <w:sz w:val="24"/>
          <w:szCs w:val="24"/>
        </w:rPr>
        <w:t>建设目的</w:t>
      </w:r>
      <w:bookmarkEnd w:id="261"/>
    </w:p>
    <w:p>
      <w:pPr>
        <w:pStyle w:val="6"/>
        <w:ind w:left="247" w:leftChars="0" w:firstLine="496" w:firstLineChars="0"/>
        <w:rPr>
          <w:rFonts w:hint="eastAsia" w:cs="宋体"/>
          <w:szCs w:val="24"/>
        </w:rPr>
      </w:pPr>
      <w:r>
        <w:rPr>
          <w:rFonts w:hint="eastAsia" w:cs="宋体"/>
          <w:szCs w:val="24"/>
        </w:rPr>
        <w:t>贯彻“十四五”生态环境保护规划</w:t>
      </w:r>
    </w:p>
    <w:p>
      <w:pPr>
        <w:adjustRightInd w:val="0"/>
        <w:snapToGrid w:val="0"/>
        <w:ind w:firstLine="504"/>
        <w:rPr>
          <w:rFonts w:hint="eastAsia" w:ascii="宋体" w:hAnsi="宋体" w:cs="宋体"/>
          <w:szCs w:val="24"/>
        </w:rPr>
      </w:pPr>
      <w:r>
        <w:rPr>
          <w:rFonts w:hint="eastAsia" w:ascii="宋体" w:hAnsi="宋体" w:cs="宋体"/>
          <w:szCs w:val="24"/>
        </w:rPr>
        <w:t>随着碳中和、碳达峰将成为我国“十四五”污染防治攻坚战的主攻目标，以智能化手段实现碳排放的精确监测与管控需求被提上日程。通过小尺度</w:t>
      </w:r>
      <w:r>
        <w:rPr>
          <w:rFonts w:hint="eastAsia" w:ascii="宋体" w:hAnsi="宋体" w:cs="宋体"/>
          <w:szCs w:val="24"/>
          <w:lang w:val="en-US" w:eastAsia="zh-CN"/>
        </w:rPr>
        <w:t>网格化空气质量监测及</w:t>
      </w:r>
      <w:r>
        <w:rPr>
          <w:rFonts w:hint="eastAsia" w:ascii="宋体" w:hAnsi="宋体" w:cs="宋体"/>
          <w:szCs w:val="24"/>
        </w:rPr>
        <w:t>污染精准溯源，可将排放责任追溯到生产企业或涉污主体本身，落实主体责任，使碳排放交易监管和实现提供可能。</w:t>
      </w:r>
    </w:p>
    <w:p>
      <w:pPr>
        <w:pStyle w:val="6"/>
        <w:ind w:left="247" w:leftChars="0" w:firstLine="496" w:firstLineChars="0"/>
        <w:rPr>
          <w:rFonts w:hint="eastAsia"/>
        </w:rPr>
      </w:pPr>
      <w:r>
        <w:rPr>
          <w:rFonts w:hint="eastAsia"/>
          <w:lang w:val="en-US" w:eastAsia="zh-CN"/>
        </w:rPr>
        <w:t>积极对接国家战略</w:t>
      </w:r>
    </w:p>
    <w:p>
      <w:pPr>
        <w:adjustRightInd w:val="0"/>
        <w:snapToGrid w:val="0"/>
        <w:ind w:firstLine="504"/>
        <w:rPr>
          <w:rFonts w:hint="eastAsia"/>
        </w:rPr>
      </w:pPr>
      <w:r>
        <w:rPr>
          <w:rFonts w:hint="eastAsia" w:ascii="宋体" w:hAnsi="宋体" w:cs="宋体"/>
          <w:szCs w:val="24"/>
        </w:rPr>
        <w:t>党的十九届四中全会强调，坚持和完善中国特色社会主义制度，推进国家治理体系和治理能力现代化，是全党的一项重大战略任务。生态环境部已正式启动“千里眼计划”，其中明确要求有条件的地方研究通过地面监测微站和移动式监测设备（车载式或便携式）等科技手段，综合运用互联网技术和大数据理念，探索构建“热点网格+地面监测微站+移动式监测设备”的工作模式，细化执法监管区域，精密监控PM</w:t>
      </w:r>
      <w:r>
        <w:rPr>
          <w:rFonts w:hint="eastAsia" w:ascii="宋体" w:hAnsi="宋体" w:cs="宋体"/>
          <w:szCs w:val="24"/>
          <w:lang w:val="en-US" w:eastAsia="zh-CN"/>
        </w:rPr>
        <w:t>2.5</w:t>
      </w:r>
      <w:r>
        <w:rPr>
          <w:rFonts w:hint="eastAsia" w:ascii="宋体" w:hAnsi="宋体" w:cs="宋体"/>
          <w:szCs w:val="24"/>
        </w:rPr>
        <w:t>等污染物质的浓度变化和异常时段，进一步提升热点网格日常监管和执法检查的针对性和精准性，提高大气污染治理体系和治理能力现代化水平，坚决打赢蓝天保卫战。</w:t>
      </w:r>
    </w:p>
    <w:p>
      <w:pPr>
        <w:pStyle w:val="6"/>
        <w:ind w:left="247" w:leftChars="0" w:firstLine="496" w:firstLineChars="0"/>
        <w:rPr>
          <w:rFonts w:hint="eastAsia" w:cs="宋体"/>
          <w:szCs w:val="24"/>
        </w:rPr>
      </w:pPr>
      <w:r>
        <w:rPr>
          <w:rFonts w:hint="eastAsia" w:cs="宋体"/>
          <w:szCs w:val="24"/>
          <w:lang w:val="en-US" w:eastAsia="zh-CN"/>
        </w:rPr>
        <w:t>拓展大气环境</w:t>
      </w:r>
      <w:r>
        <w:rPr>
          <w:rFonts w:hint="eastAsia" w:cs="宋体"/>
          <w:szCs w:val="24"/>
        </w:rPr>
        <w:t>监测治理手段</w:t>
      </w:r>
    </w:p>
    <w:p>
      <w:pPr>
        <w:adjustRightInd w:val="0"/>
        <w:snapToGrid w:val="0"/>
        <w:ind w:firstLine="504"/>
        <w:rPr>
          <w:rFonts w:hint="eastAsia" w:ascii="宋体" w:hAnsi="宋体" w:cs="宋体"/>
          <w:szCs w:val="24"/>
        </w:rPr>
      </w:pPr>
      <w:r>
        <w:rPr>
          <w:rFonts w:hint="eastAsia" w:ascii="宋体" w:hAnsi="宋体" w:cs="宋体"/>
          <w:szCs w:val="24"/>
        </w:rPr>
        <w:t>通过运用物联网、人工智能、云计算等技术，结合“固定站+移动站+热点网格”的监测方式，创新生态环境监测治理手段，提供每平方公里、每小时高精度大气环境数据并基于核心算法自动判断污染成因及性质，及时推送相关职能部门。</w:t>
      </w:r>
    </w:p>
    <w:p>
      <w:pPr>
        <w:pStyle w:val="6"/>
        <w:ind w:left="247" w:leftChars="0" w:firstLine="496" w:firstLineChars="0"/>
        <w:rPr>
          <w:rFonts w:hint="eastAsia" w:cs="宋体"/>
          <w:szCs w:val="24"/>
        </w:rPr>
      </w:pPr>
      <w:r>
        <w:rPr>
          <w:rFonts w:hint="eastAsia" w:cs="宋体"/>
          <w:szCs w:val="24"/>
        </w:rPr>
        <w:t>提高科学决策水平</w:t>
      </w:r>
    </w:p>
    <w:p>
      <w:pPr>
        <w:adjustRightInd w:val="0"/>
        <w:snapToGrid w:val="0"/>
        <w:ind w:firstLine="504"/>
        <w:rPr>
          <w:rFonts w:hint="eastAsia" w:ascii="宋体" w:hAnsi="宋体" w:cs="宋体"/>
          <w:szCs w:val="24"/>
        </w:rPr>
      </w:pPr>
      <w:r>
        <w:rPr>
          <w:rFonts w:hint="eastAsia" w:ascii="宋体" w:hAnsi="宋体" w:cs="宋体"/>
          <w:szCs w:val="24"/>
        </w:rPr>
        <w:t>打造国内领先、从“信息化”升级成“智能化”的环境管治平台，建立新型生态环境智能监测治理决策体系，全面、实时、科学分析各行业污染源及占比，为精准执法和精确管控提供数据依据与科学支撑，有效降低环境治理的经济代价，助力智慧城市生态治理，促进高质量发展。</w:t>
      </w:r>
    </w:p>
    <w:p>
      <w:pPr>
        <w:pStyle w:val="5"/>
        <w:tabs>
          <w:tab w:val="left" w:pos="426"/>
          <w:tab w:val="left" w:pos="567"/>
        </w:tabs>
        <w:rPr>
          <w:rFonts w:ascii="方正仿宋_GBK" w:hAnsi="方正仿宋简体" w:eastAsia="方正仿宋_GBK"/>
          <w:sz w:val="24"/>
          <w:szCs w:val="24"/>
        </w:rPr>
      </w:pPr>
      <w:bookmarkStart w:id="262" w:name="_Toc1360"/>
      <w:r>
        <w:rPr>
          <w:rFonts w:hint="eastAsia"/>
          <w:sz w:val="24"/>
          <w:szCs w:val="24"/>
        </w:rPr>
        <w:t>服务</w:t>
      </w:r>
      <w:bookmarkEnd w:id="258"/>
      <w:bookmarkEnd w:id="260"/>
      <w:bookmarkStart w:id="263" w:name="_Toc26098"/>
      <w:r>
        <w:rPr>
          <w:rFonts w:hint="eastAsia"/>
          <w:sz w:val="24"/>
          <w:szCs w:val="24"/>
        </w:rPr>
        <w:t>内容</w:t>
      </w:r>
      <w:bookmarkEnd w:id="262"/>
    </w:p>
    <w:p>
      <w:pPr>
        <w:adjustRightInd w:val="0"/>
        <w:snapToGrid w:val="0"/>
        <w:ind w:firstLine="504"/>
        <w:rPr>
          <w:rFonts w:hint="eastAsia" w:ascii="宋体" w:hAnsi="宋体" w:cs="宋体"/>
          <w:color w:val="auto"/>
          <w:szCs w:val="24"/>
          <w:highlight w:val="none"/>
        </w:rPr>
      </w:pPr>
      <w:r>
        <w:rPr>
          <w:rFonts w:hint="eastAsia" w:ascii="宋体" w:hAnsi="宋体" w:cs="宋体"/>
          <w:szCs w:val="24"/>
        </w:rPr>
        <w:t>本项目立足于“精准治气、科技治气、依法治气”，采购人通过向投标人采购服务的模式，要求投标人提供具有全国技术先进性，区别于传统环保信息化的成都市中心城区“6+1”区域</w:t>
      </w:r>
      <w:r>
        <w:rPr>
          <w:rFonts w:hint="eastAsia" w:ascii="宋体" w:hAnsi="宋体" w:cs="宋体"/>
          <w:szCs w:val="24"/>
          <w:vertAlign w:val="superscript"/>
          <w:lang w:val="en-US" w:eastAsia="zh-CN"/>
        </w:rPr>
        <w:t>1</w:t>
      </w:r>
      <w:r>
        <w:rPr>
          <w:rFonts w:hint="eastAsia" w:ascii="宋体" w:hAnsi="宋体" w:cs="宋体"/>
          <w:szCs w:val="24"/>
          <w:highlight w:val="none"/>
        </w:rPr>
        <w:t>智能化空气质量监测和大气污染管治服务</w:t>
      </w:r>
      <w:r>
        <w:rPr>
          <w:rFonts w:hint="eastAsia" w:ascii="宋体" w:hAnsi="宋体" w:cs="宋体"/>
          <w:szCs w:val="24"/>
        </w:rPr>
        <w:t>，将成都市中心城区中“6+</w:t>
      </w:r>
      <w:r>
        <w:rPr>
          <w:rFonts w:ascii="宋体" w:hAnsi="宋体" w:cs="宋体"/>
          <w:szCs w:val="24"/>
        </w:rPr>
        <w:t>1</w:t>
      </w:r>
      <w:r>
        <w:rPr>
          <w:rFonts w:hint="eastAsia" w:ascii="宋体" w:hAnsi="宋体" w:cs="宋体"/>
          <w:szCs w:val="24"/>
        </w:rPr>
        <w:t>”区域</w:t>
      </w:r>
      <w:r>
        <w:rPr>
          <w:rFonts w:hint="eastAsia" w:ascii="宋体" w:hAnsi="宋体" w:cs="宋体"/>
          <w:szCs w:val="24"/>
          <w:highlight w:val="none"/>
        </w:rPr>
        <w:t>里</w:t>
      </w:r>
      <w:r>
        <w:rPr>
          <w:rFonts w:hint="eastAsia" w:ascii="宋体" w:hAnsi="宋体" w:cs="宋体"/>
          <w:color w:val="auto"/>
          <w:szCs w:val="24"/>
          <w:highlight w:val="none"/>
        </w:rPr>
        <w:t>共2621平方千米</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不包含龙泉驿区管治面积</w:t>
      </w:r>
      <w:r>
        <w:rPr>
          <w:rFonts w:hint="eastAsia" w:ascii="宋体" w:hAnsi="宋体" w:cs="宋体"/>
          <w:color w:val="auto"/>
          <w:szCs w:val="24"/>
          <w:highlight w:val="none"/>
          <w:lang w:eastAsia="zh-CN"/>
        </w:rPr>
        <w:t>）</w:t>
      </w:r>
      <w:r>
        <w:rPr>
          <w:rFonts w:hint="eastAsia" w:ascii="宋体" w:hAnsi="宋体" w:cs="宋体"/>
          <w:color w:val="auto"/>
          <w:szCs w:val="24"/>
          <w:highlight w:val="none"/>
        </w:rPr>
        <w:t>的</w:t>
      </w:r>
      <w:r>
        <w:rPr>
          <w:rFonts w:hint="eastAsia" w:ascii="宋体" w:hAnsi="宋体" w:cs="宋体"/>
          <w:color w:val="auto"/>
          <w:szCs w:val="24"/>
          <w:highlight w:val="none"/>
          <w:lang w:val="en-US" w:eastAsia="zh-CN"/>
        </w:rPr>
        <w:t>目标</w:t>
      </w:r>
      <w:r>
        <w:rPr>
          <w:rFonts w:hint="eastAsia" w:ascii="宋体" w:hAnsi="宋体" w:cs="宋体"/>
          <w:color w:val="auto"/>
          <w:szCs w:val="24"/>
          <w:highlight w:val="none"/>
        </w:rPr>
        <w:t>管治区域分为2km*2km大小网格进行监测和精细化管理，避免“一刀切”。投标人应根据智能化大气监测管治系统的需求提供移动式空气质量监测设备</w:t>
      </w:r>
      <w:r>
        <w:rPr>
          <w:rFonts w:hint="eastAsia" w:ascii="宋体" w:hAnsi="宋体" w:cs="宋体"/>
          <w:color w:val="auto"/>
          <w:szCs w:val="24"/>
          <w:highlight w:val="none"/>
          <w:lang w:val="en-US" w:eastAsia="zh-CN"/>
        </w:rPr>
        <w:t>100</w:t>
      </w:r>
      <w:r>
        <w:rPr>
          <w:rFonts w:hint="eastAsia" w:ascii="宋体" w:hAnsi="宋体" w:cs="宋体"/>
          <w:color w:val="auto"/>
          <w:szCs w:val="24"/>
          <w:highlight w:val="none"/>
        </w:rPr>
        <w:t>台</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且</w:t>
      </w:r>
      <w:r>
        <w:rPr>
          <w:rFonts w:hint="eastAsia" w:ascii="宋体" w:hAnsi="宋体" w:cs="宋体"/>
          <w:color w:val="auto"/>
          <w:szCs w:val="24"/>
          <w:highlight w:val="none"/>
        </w:rPr>
        <w:t>保证每日</w:t>
      </w:r>
      <w:r>
        <w:rPr>
          <w:rFonts w:hint="eastAsia" w:ascii="宋体" w:hAnsi="宋体" w:cs="宋体"/>
          <w:color w:val="auto"/>
          <w:szCs w:val="24"/>
          <w:highlight w:val="none"/>
          <w:lang w:val="en-US" w:eastAsia="zh-CN"/>
        </w:rPr>
        <w:t>至少</w:t>
      </w:r>
      <w:r>
        <w:rPr>
          <w:rFonts w:hint="eastAsia" w:ascii="宋体" w:hAnsi="宋体" w:cs="宋体"/>
          <w:color w:val="auto"/>
          <w:szCs w:val="24"/>
          <w:highlight w:val="none"/>
        </w:rPr>
        <w:t>有60台设备在线，用于加密管辖区内空气质量监测网，消除监测盲区。同时投标人在采购人指定的地点部署系统平台展示终端，供采购人日常大气监测使用。</w:t>
      </w:r>
    </w:p>
    <w:p>
      <w:pPr>
        <w:pStyle w:val="3"/>
        <w:adjustRightInd w:val="0"/>
        <w:snapToGrid w:val="0"/>
        <w:spacing w:before="0" w:after="0" w:line="360" w:lineRule="auto"/>
        <w:ind w:left="0" w:right="0" w:firstLine="502" w:firstLineChars="200"/>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注：</w:t>
      </w:r>
      <w:r>
        <w:rPr>
          <w:rFonts w:hint="eastAsia" w:ascii="宋体" w:hAnsi="宋体" w:eastAsia="宋体" w:cs="宋体"/>
          <w:color w:val="auto"/>
          <w:kern w:val="2"/>
          <w:szCs w:val="24"/>
          <w:highlight w:val="none"/>
          <w:lang w:val="en-US" w:eastAsia="zh-CN"/>
        </w:rPr>
        <w:t>1.</w:t>
      </w:r>
      <w:r>
        <w:rPr>
          <w:rFonts w:hint="eastAsia" w:ascii="宋体" w:hAnsi="宋体" w:eastAsia="宋体" w:cs="宋体"/>
          <w:color w:val="auto"/>
          <w:kern w:val="2"/>
          <w:szCs w:val="24"/>
          <w:highlight w:val="none"/>
        </w:rPr>
        <w:t>成都市中心城区“6+1”区域指成都市环域</w:t>
      </w:r>
      <w:r>
        <w:rPr>
          <w:rFonts w:hint="eastAsia" w:ascii="宋体" w:hAnsi="宋体" w:eastAsia="宋体" w:cs="宋体"/>
          <w:color w:val="auto"/>
          <w:kern w:val="2"/>
          <w:szCs w:val="24"/>
          <w:highlight w:val="none"/>
          <w:lang w:val="en-US" w:eastAsia="zh-CN"/>
        </w:rPr>
        <w:t>[</w:t>
      </w:r>
      <w:r>
        <w:rPr>
          <w:rFonts w:hint="eastAsia" w:ascii="宋体" w:hAnsi="宋体" w:eastAsia="宋体" w:cs="宋体"/>
          <w:color w:val="auto"/>
          <w:kern w:val="2"/>
          <w:szCs w:val="24"/>
          <w:highlight w:val="none"/>
        </w:rPr>
        <w:t>包括：龙泉驿区</w:t>
      </w:r>
      <w:r>
        <w:rPr>
          <w:rFonts w:hint="eastAsia" w:ascii="宋体" w:hAnsi="宋体" w:eastAsia="宋体" w:cs="宋体"/>
          <w:color w:val="auto"/>
          <w:kern w:val="2"/>
          <w:szCs w:val="24"/>
          <w:highlight w:val="none"/>
          <w:lang w:eastAsia="zh-CN"/>
        </w:rPr>
        <w:t>（</w:t>
      </w:r>
      <w:r>
        <w:rPr>
          <w:rFonts w:hint="eastAsia" w:ascii="宋体" w:hAnsi="宋体" w:eastAsia="宋体" w:cs="宋体"/>
          <w:color w:val="auto"/>
          <w:kern w:val="2"/>
          <w:szCs w:val="24"/>
          <w:highlight w:val="none"/>
          <w:lang w:val="en-US" w:eastAsia="zh-CN"/>
        </w:rPr>
        <w:t>“</w:t>
      </w:r>
      <w:r>
        <w:rPr>
          <w:rFonts w:hint="eastAsia" w:ascii="宋体" w:hAnsi="宋体" w:eastAsia="宋体" w:cs="宋体"/>
          <w:color w:val="auto"/>
          <w:kern w:val="2"/>
          <w:szCs w:val="24"/>
          <w:highlight w:val="none"/>
        </w:rPr>
        <w:t xml:space="preserve">成都经开区（龙泉驿区）大气智能大数据监管中心服务项目 </w:t>
      </w:r>
      <w:r>
        <w:rPr>
          <w:rFonts w:hint="eastAsia" w:ascii="宋体" w:hAnsi="宋体" w:eastAsia="宋体" w:cs="宋体"/>
          <w:color w:val="auto"/>
          <w:kern w:val="2"/>
          <w:szCs w:val="24"/>
          <w:highlight w:val="none"/>
          <w:lang w:val="en-US" w:eastAsia="zh-CN"/>
        </w:rPr>
        <w:t>”已另行招标，不在本项目服务范围内。</w:t>
      </w:r>
      <w:r>
        <w:rPr>
          <w:rFonts w:hint="eastAsia" w:ascii="宋体" w:hAnsi="宋体" w:eastAsia="宋体" w:cs="宋体"/>
          <w:color w:val="auto"/>
          <w:kern w:val="2"/>
          <w:szCs w:val="24"/>
          <w:highlight w:val="none"/>
          <w:lang w:eastAsia="zh-CN"/>
        </w:rPr>
        <w:t>）</w:t>
      </w:r>
      <w:r>
        <w:rPr>
          <w:rFonts w:hint="eastAsia" w:ascii="宋体" w:hAnsi="宋体" w:eastAsia="宋体" w:cs="宋体"/>
          <w:color w:val="auto"/>
          <w:kern w:val="2"/>
          <w:szCs w:val="24"/>
          <w:highlight w:val="none"/>
        </w:rPr>
        <w:t>、温江区、双流区、新都区、郫都区、青白江区和天府新区的主要</w:t>
      </w:r>
      <w:r>
        <w:rPr>
          <w:rFonts w:hint="eastAsia" w:ascii="宋体" w:hAnsi="宋体" w:eastAsia="宋体" w:cs="宋体"/>
          <w:color w:val="auto"/>
          <w:kern w:val="2"/>
          <w:szCs w:val="24"/>
          <w:highlight w:val="none"/>
          <w:lang w:eastAsia="zh-CN"/>
        </w:rPr>
        <w:t>目标区域</w:t>
      </w:r>
      <w:r>
        <w:rPr>
          <w:rFonts w:hint="eastAsia" w:ascii="宋体" w:hAnsi="宋体" w:eastAsia="宋体" w:cs="宋体"/>
          <w:color w:val="auto"/>
          <w:kern w:val="2"/>
          <w:szCs w:val="24"/>
          <w:highlight w:val="none"/>
          <w:lang w:val="en-US" w:eastAsia="zh-CN"/>
        </w:rPr>
        <w:t>]</w:t>
      </w:r>
      <w:r>
        <w:rPr>
          <w:rFonts w:hint="eastAsia" w:ascii="宋体" w:hAnsi="宋体" w:eastAsia="宋体" w:cs="宋体"/>
          <w:color w:val="auto"/>
          <w:kern w:val="2"/>
          <w:szCs w:val="24"/>
          <w:highlight w:val="none"/>
        </w:rPr>
        <w:t>。以下涉及此名词含义均相同。</w:t>
      </w:r>
    </w:p>
    <w:p>
      <w:pPr>
        <w:ind w:firstLine="1004" w:firstLineChars="400"/>
        <w:rPr>
          <w:rFonts w:hint="eastAsia" w:eastAsia="宋体"/>
          <w:highlight w:val="yellow"/>
          <w:lang w:val="en-US" w:eastAsia="zh-CN"/>
        </w:rPr>
      </w:pPr>
      <w:r>
        <w:rPr>
          <w:rFonts w:hint="eastAsia"/>
          <w:highlight w:val="none"/>
          <w:lang w:val="en-US" w:eastAsia="zh-CN"/>
        </w:rPr>
        <w:t>2</w:t>
      </w:r>
      <w:r>
        <w:rPr>
          <w:rFonts w:hint="eastAsia" w:ascii="宋体" w:hAnsi="宋体" w:eastAsia="宋体" w:cs="宋体"/>
          <w:color w:val="auto"/>
          <w:kern w:val="2"/>
          <w:szCs w:val="24"/>
          <w:lang w:val="en-US" w:eastAsia="zh-CN"/>
        </w:rPr>
        <w:t>.</w:t>
      </w:r>
      <w:r>
        <w:rPr>
          <w:rFonts w:hint="eastAsia"/>
          <w:highlight w:val="none"/>
        </w:rPr>
        <w:t>移动设备在24小时内在线时间超过4小时则认定为当天在线</w:t>
      </w:r>
      <w:r>
        <w:rPr>
          <w:rFonts w:hint="eastAsia"/>
          <w:highlight w:val="none"/>
          <w:lang w:val="en-US" w:eastAsia="zh-CN"/>
        </w:rPr>
        <w:t>工作</w:t>
      </w:r>
    </w:p>
    <w:p>
      <w:pPr>
        <w:ind w:firstLine="504"/>
        <w:rPr>
          <w:rFonts w:hint="eastAsia" w:eastAsia="宋体"/>
          <w:lang w:eastAsia="zh-CN"/>
        </w:rPr>
      </w:pPr>
      <w:r>
        <w:rPr>
          <w:rFonts w:hint="eastAsia"/>
        </w:rPr>
        <w:t>为实现智能化服务落地，要求投标人所提供的标的中需要至少包含4大模块，分别为：网格化监测服务、污染溯源服务、数据分析服务及调度响应服务</w:t>
      </w:r>
      <w:r>
        <w:rPr>
          <w:rFonts w:hint="eastAsia"/>
          <w:lang w:eastAsia="zh-CN"/>
        </w:rPr>
        <w:t>。</w:t>
      </w:r>
    </w:p>
    <w:p>
      <w:pPr>
        <w:pStyle w:val="6"/>
        <w:adjustRightInd w:val="0"/>
        <w:snapToGrid w:val="0"/>
        <w:ind w:left="247" w:leftChars="0" w:firstLine="506" w:firstLineChars="0"/>
        <w:rPr>
          <w:rFonts w:hint="eastAsia" w:cs="宋体"/>
          <w:szCs w:val="24"/>
        </w:rPr>
      </w:pPr>
      <w:r>
        <w:rPr>
          <w:rFonts w:hint="eastAsia" w:cs="宋体"/>
          <w:szCs w:val="24"/>
        </w:rPr>
        <w:t>数据服务</w:t>
      </w:r>
    </w:p>
    <w:p>
      <w:pPr>
        <w:adjustRightInd w:val="0"/>
        <w:snapToGrid w:val="0"/>
        <w:ind w:firstLine="504"/>
        <w:rPr>
          <w:rFonts w:hint="eastAsia" w:ascii="宋体" w:hAnsi="宋体" w:cs="宋体"/>
          <w:szCs w:val="24"/>
        </w:rPr>
      </w:pPr>
      <w:r>
        <w:rPr>
          <w:rFonts w:hint="eastAsia" w:ascii="宋体" w:hAnsi="宋体" w:cs="宋体"/>
          <w:szCs w:val="24"/>
        </w:rPr>
        <w:t>根据本项目对数据采集设备的要求，投标人提供的数据总量不得低于下表标准：</w:t>
      </w:r>
    </w:p>
    <w:tbl>
      <w:tblPr>
        <w:tblStyle w:val="43"/>
        <w:tblW w:w="495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419"/>
        <w:gridCol w:w="2173"/>
        <w:gridCol w:w="1570"/>
        <w:gridCol w:w="1132"/>
        <w:gridCol w:w="11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63" w:type="dxa"/>
            <w:noWrap w:val="0"/>
            <w:vAlign w:val="center"/>
          </w:tcPr>
          <w:p>
            <w:pPr>
              <w:adjustRightInd w:val="0"/>
              <w:snapToGrid w:val="0"/>
              <w:ind w:firstLine="0" w:firstLineChars="0"/>
              <w:jc w:val="center"/>
              <w:rPr>
                <w:rFonts w:hint="eastAsia" w:ascii="宋体" w:hAnsi="宋体" w:cs="宋体"/>
                <w:b/>
                <w:bCs/>
                <w:szCs w:val="24"/>
              </w:rPr>
            </w:pPr>
            <w:r>
              <w:rPr>
                <w:rFonts w:hint="eastAsia" w:ascii="宋体" w:hAnsi="宋体" w:cs="宋体"/>
                <w:b/>
                <w:bCs/>
                <w:szCs w:val="24"/>
              </w:rPr>
              <w:t>序号</w:t>
            </w:r>
          </w:p>
        </w:tc>
        <w:tc>
          <w:tcPr>
            <w:tcW w:w="2420" w:type="dxa"/>
            <w:noWrap w:val="0"/>
            <w:vAlign w:val="center"/>
          </w:tcPr>
          <w:p>
            <w:pPr>
              <w:adjustRightInd w:val="0"/>
              <w:snapToGrid w:val="0"/>
              <w:ind w:firstLine="0" w:firstLineChars="0"/>
              <w:jc w:val="center"/>
              <w:rPr>
                <w:rFonts w:hint="eastAsia" w:ascii="宋体" w:hAnsi="宋体" w:cs="宋体"/>
                <w:b/>
                <w:bCs/>
                <w:szCs w:val="24"/>
              </w:rPr>
            </w:pPr>
            <w:r>
              <w:rPr>
                <w:rFonts w:hint="eastAsia" w:ascii="宋体" w:hAnsi="宋体" w:cs="宋体"/>
                <w:b/>
                <w:bCs/>
                <w:szCs w:val="24"/>
              </w:rPr>
              <w:t>数据类型</w:t>
            </w:r>
          </w:p>
        </w:tc>
        <w:tc>
          <w:tcPr>
            <w:tcW w:w="2173" w:type="dxa"/>
            <w:noWrap w:val="0"/>
            <w:vAlign w:val="center"/>
          </w:tcPr>
          <w:p>
            <w:pPr>
              <w:adjustRightInd w:val="0"/>
              <w:snapToGrid w:val="0"/>
              <w:ind w:firstLine="0" w:firstLineChars="0"/>
              <w:jc w:val="center"/>
              <w:rPr>
                <w:rFonts w:hint="eastAsia" w:ascii="宋体" w:hAnsi="宋体" w:cs="宋体"/>
                <w:b/>
                <w:bCs/>
                <w:szCs w:val="24"/>
              </w:rPr>
            </w:pPr>
            <w:r>
              <w:rPr>
                <w:rFonts w:hint="eastAsia" w:ascii="宋体" w:hAnsi="宋体" w:cs="宋体"/>
                <w:b/>
                <w:bCs/>
                <w:szCs w:val="24"/>
              </w:rPr>
              <w:t>计算公式</w:t>
            </w:r>
          </w:p>
        </w:tc>
        <w:tc>
          <w:tcPr>
            <w:tcW w:w="1570" w:type="dxa"/>
            <w:noWrap w:val="0"/>
            <w:vAlign w:val="center"/>
          </w:tcPr>
          <w:p>
            <w:pPr>
              <w:adjustRightInd w:val="0"/>
              <w:snapToGrid w:val="0"/>
              <w:ind w:firstLine="0" w:firstLineChars="0"/>
              <w:jc w:val="center"/>
              <w:rPr>
                <w:rFonts w:hint="eastAsia" w:ascii="宋体" w:hAnsi="宋体" w:cs="宋体"/>
                <w:b/>
                <w:bCs/>
                <w:szCs w:val="24"/>
              </w:rPr>
            </w:pPr>
            <w:r>
              <w:rPr>
                <w:rFonts w:hint="eastAsia" w:ascii="宋体" w:hAnsi="宋体" w:cs="宋体"/>
                <w:b/>
                <w:bCs/>
                <w:szCs w:val="24"/>
              </w:rPr>
              <w:t>数据总量</w:t>
            </w:r>
          </w:p>
          <w:p>
            <w:pPr>
              <w:adjustRightInd w:val="0"/>
              <w:snapToGrid w:val="0"/>
              <w:ind w:firstLine="0" w:firstLineChars="0"/>
              <w:jc w:val="center"/>
              <w:rPr>
                <w:rFonts w:hint="eastAsia" w:ascii="宋体" w:hAnsi="宋体" w:cs="宋体"/>
                <w:b/>
                <w:bCs/>
                <w:szCs w:val="24"/>
              </w:rPr>
            </w:pPr>
            <w:r>
              <w:rPr>
                <w:rFonts w:hint="eastAsia" w:ascii="宋体" w:hAnsi="宋体" w:cs="宋体"/>
                <w:b/>
                <w:bCs/>
                <w:szCs w:val="24"/>
              </w:rPr>
              <w:t>（条）</w:t>
            </w:r>
          </w:p>
        </w:tc>
        <w:tc>
          <w:tcPr>
            <w:tcW w:w="1132"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b/>
                <w:bCs/>
                <w:szCs w:val="24"/>
              </w:rPr>
              <w:t>有效数据比例</w:t>
            </w:r>
          </w:p>
        </w:tc>
        <w:tc>
          <w:tcPr>
            <w:tcW w:w="1148" w:type="dxa"/>
            <w:noWrap w:val="0"/>
            <w:vAlign w:val="center"/>
          </w:tcPr>
          <w:p>
            <w:pPr>
              <w:adjustRightInd w:val="0"/>
              <w:snapToGrid w:val="0"/>
              <w:ind w:firstLine="0" w:firstLineChars="0"/>
              <w:jc w:val="center"/>
              <w:rPr>
                <w:rFonts w:hint="eastAsia" w:ascii="宋体" w:hAnsi="宋体" w:cs="宋体"/>
                <w:b/>
                <w:bCs/>
                <w:szCs w:val="24"/>
              </w:rPr>
            </w:pPr>
            <w:r>
              <w:rPr>
                <w:rFonts w:hint="eastAsia" w:ascii="宋体" w:hAnsi="宋体" w:cs="宋体"/>
                <w:b/>
                <w:bCs/>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1</w:t>
            </w:r>
          </w:p>
        </w:tc>
        <w:tc>
          <w:tcPr>
            <w:tcW w:w="2420"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网格空气质量指数（空气</w:t>
            </w:r>
            <w:r>
              <w:rPr>
                <w:rFonts w:hint="eastAsia" w:ascii="宋体" w:hAnsi="宋体" w:cs="宋体"/>
                <w:szCs w:val="24"/>
                <w:lang w:val="en-US" w:eastAsia="zh-CN"/>
              </w:rPr>
              <w:t>质量</w:t>
            </w:r>
            <w:r>
              <w:rPr>
                <w:rFonts w:hint="eastAsia" w:ascii="宋体" w:hAnsi="宋体" w:cs="宋体"/>
                <w:szCs w:val="24"/>
              </w:rPr>
              <w:t>6+1参数）</w:t>
            </w:r>
          </w:p>
        </w:tc>
        <w:tc>
          <w:tcPr>
            <w:tcW w:w="2173"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（6+1）参数*“2km*2km”网格数*24小时*365天*3年</w:t>
            </w:r>
          </w:p>
        </w:tc>
        <w:tc>
          <w:tcPr>
            <w:tcW w:w="1570"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110000000</w:t>
            </w:r>
          </w:p>
        </w:tc>
        <w:tc>
          <w:tcPr>
            <w:tcW w:w="1132"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不低于90%</w:t>
            </w:r>
          </w:p>
        </w:tc>
        <w:tc>
          <w:tcPr>
            <w:tcW w:w="1148"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小时级数据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2</w:t>
            </w:r>
          </w:p>
        </w:tc>
        <w:tc>
          <w:tcPr>
            <w:tcW w:w="2420"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移动监测站点空气质量指数（空气</w:t>
            </w:r>
            <w:r>
              <w:rPr>
                <w:rFonts w:hint="eastAsia" w:ascii="宋体" w:hAnsi="宋体" w:cs="宋体"/>
                <w:szCs w:val="24"/>
                <w:lang w:val="en-US" w:eastAsia="zh-CN"/>
              </w:rPr>
              <w:t>质量</w:t>
            </w:r>
            <w:r>
              <w:rPr>
                <w:rFonts w:hint="eastAsia" w:ascii="宋体" w:hAnsi="宋体" w:cs="宋体"/>
                <w:szCs w:val="24"/>
              </w:rPr>
              <w:t>6+1参数）</w:t>
            </w:r>
          </w:p>
        </w:tc>
        <w:tc>
          <w:tcPr>
            <w:tcW w:w="2173"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（6+1）参数*</w:t>
            </w:r>
            <w:r>
              <w:rPr>
                <w:rFonts w:hint="eastAsia" w:ascii="宋体" w:hAnsi="宋体" w:cs="宋体"/>
                <w:szCs w:val="24"/>
                <w:lang w:val="en-US" w:eastAsia="zh-CN"/>
              </w:rPr>
              <w:t>6</w:t>
            </w:r>
            <w:r>
              <w:rPr>
                <w:rFonts w:hint="eastAsia" w:ascii="宋体" w:hAnsi="宋体" w:cs="宋体"/>
                <w:szCs w:val="24"/>
              </w:rPr>
              <w:t>0设备*60分钟*4小时*365天*3年</w:t>
            </w:r>
          </w:p>
        </w:tc>
        <w:tc>
          <w:tcPr>
            <w:tcW w:w="1570"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1</w:t>
            </w:r>
            <w:r>
              <w:rPr>
                <w:rFonts w:hint="eastAsia" w:ascii="宋体" w:hAnsi="宋体" w:cs="宋体"/>
                <w:szCs w:val="24"/>
                <w:lang w:val="en-US" w:eastAsia="zh-CN"/>
              </w:rPr>
              <w:t>1</w:t>
            </w:r>
            <w:r>
              <w:rPr>
                <w:rFonts w:hint="eastAsia" w:ascii="宋体" w:hAnsi="宋体" w:cs="宋体"/>
                <w:szCs w:val="24"/>
              </w:rPr>
              <w:t>0000000</w:t>
            </w:r>
          </w:p>
        </w:tc>
        <w:tc>
          <w:tcPr>
            <w:tcW w:w="1132"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不低于90%</w:t>
            </w:r>
          </w:p>
        </w:tc>
        <w:tc>
          <w:tcPr>
            <w:tcW w:w="1148"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分钟级数据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3</w:t>
            </w:r>
          </w:p>
        </w:tc>
        <w:tc>
          <w:tcPr>
            <w:tcW w:w="2420"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全域空气质量预测（空气</w:t>
            </w:r>
            <w:r>
              <w:rPr>
                <w:rFonts w:hint="eastAsia" w:ascii="宋体" w:hAnsi="宋体" w:cs="宋体"/>
                <w:szCs w:val="24"/>
                <w:lang w:val="en-US" w:eastAsia="zh-CN"/>
              </w:rPr>
              <w:t>质量</w:t>
            </w:r>
            <w:r>
              <w:rPr>
                <w:rFonts w:hint="eastAsia" w:ascii="宋体" w:hAnsi="宋体" w:cs="宋体"/>
                <w:szCs w:val="24"/>
              </w:rPr>
              <w:t>6+1参数）</w:t>
            </w:r>
          </w:p>
        </w:tc>
        <w:tc>
          <w:tcPr>
            <w:tcW w:w="2173"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成都市二圏</w:t>
            </w:r>
            <w:r>
              <w:rPr>
                <w:rFonts w:hint="eastAsia" w:ascii="宋体" w:hAnsi="宋体" w:cs="宋体"/>
                <w:szCs w:val="24"/>
                <w:lang w:eastAsia="zh-CN"/>
              </w:rPr>
              <w:t>目标区域</w:t>
            </w:r>
            <w:r>
              <w:rPr>
                <w:rFonts w:hint="eastAsia" w:ascii="宋体" w:hAnsi="宋体" w:cs="宋体"/>
                <w:szCs w:val="24"/>
                <w:lang w:val="en-US" w:eastAsia="zh-CN"/>
              </w:rPr>
              <w:t>6</w:t>
            </w:r>
            <w:r>
              <w:rPr>
                <w:rFonts w:hint="eastAsia" w:ascii="宋体" w:hAnsi="宋体" w:cs="宋体"/>
                <w:szCs w:val="24"/>
              </w:rPr>
              <w:t>*（6+1）参数*2天*365天*3年</w:t>
            </w:r>
          </w:p>
        </w:tc>
        <w:tc>
          <w:tcPr>
            <w:tcW w:w="1570"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lang w:val="en-US" w:eastAsia="zh-CN"/>
              </w:rPr>
              <w:t>9</w:t>
            </w:r>
            <w:r>
              <w:rPr>
                <w:rFonts w:hint="eastAsia" w:ascii="宋体" w:hAnsi="宋体" w:cs="宋体"/>
                <w:szCs w:val="24"/>
              </w:rPr>
              <w:t>0000</w:t>
            </w:r>
          </w:p>
        </w:tc>
        <w:tc>
          <w:tcPr>
            <w:tcW w:w="1132"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不低于90%</w:t>
            </w:r>
          </w:p>
        </w:tc>
        <w:tc>
          <w:tcPr>
            <w:tcW w:w="1148" w:type="dxa"/>
            <w:noWrap w:val="0"/>
            <w:vAlign w:val="center"/>
          </w:tcPr>
          <w:p>
            <w:pPr>
              <w:adjustRightInd w:val="0"/>
              <w:snapToGrid w:val="0"/>
              <w:ind w:firstLine="0" w:firstLineChars="0"/>
              <w:jc w:val="center"/>
              <w:rPr>
                <w:rFonts w:hint="eastAsia" w:ascii="宋体" w:hAnsi="宋体" w:cs="宋体"/>
                <w:szCs w:val="24"/>
              </w:rPr>
            </w:pPr>
            <w:r>
              <w:rPr>
                <w:rFonts w:hint="eastAsia" w:ascii="宋体" w:hAnsi="宋体" w:cs="宋体"/>
                <w:szCs w:val="24"/>
              </w:rPr>
              <w:t>未来2天预测</w:t>
            </w:r>
          </w:p>
        </w:tc>
      </w:tr>
    </w:tbl>
    <w:p>
      <w:pPr>
        <w:ind w:firstLine="504"/>
        <w:rPr>
          <w:rFonts w:hint="eastAsia" w:ascii="宋体" w:hAnsi="宋体" w:cs="宋体"/>
          <w:szCs w:val="24"/>
        </w:rPr>
      </w:pPr>
      <w:r>
        <w:rPr>
          <w:rFonts w:hint="eastAsia" w:ascii="宋体" w:hAnsi="宋体" w:cs="宋体"/>
          <w:szCs w:val="24"/>
        </w:rPr>
        <w:t>注：有效数据比例指由于设备故障、服务器维护，外部数据端口异常等不可抗力造成的缺失、乱码、异常的数据量在数据总量中占比不超过10%</w:t>
      </w:r>
    </w:p>
    <w:p>
      <w:pPr>
        <w:pStyle w:val="3"/>
        <w:adjustRightInd w:val="0"/>
        <w:snapToGrid w:val="0"/>
        <w:spacing w:before="0" w:after="0" w:line="360" w:lineRule="auto"/>
        <w:ind w:left="0" w:right="0" w:firstLine="502" w:firstLineChars="200"/>
        <w:rPr>
          <w:rFonts w:hint="eastAsia" w:ascii="宋体" w:hAnsi="宋体" w:eastAsia="宋体" w:cs="宋体"/>
          <w:b/>
          <w:kern w:val="2"/>
          <w:szCs w:val="24"/>
        </w:rPr>
      </w:pPr>
      <w:r>
        <w:rPr>
          <w:rFonts w:hint="eastAsia" w:ascii="宋体" w:hAnsi="宋体" w:eastAsia="宋体" w:cs="宋体"/>
          <w:b/>
          <w:kern w:val="2"/>
          <w:szCs w:val="24"/>
        </w:rPr>
        <w:t>注:”AQI”为空气质量指数是报告每日空气质量的参数。描述了空气清洁或者污染的程度，以及对健康的影响。AQI中参与评价的污染物为二氧化硫（SO</w:t>
      </w:r>
      <w:r>
        <w:rPr>
          <w:rFonts w:hint="eastAsia" w:ascii="宋体" w:hAnsi="宋体" w:eastAsia="宋体" w:cs="宋体"/>
          <w:b/>
          <w:kern w:val="2"/>
          <w:szCs w:val="24"/>
          <w:vertAlign w:val="subscript"/>
        </w:rPr>
        <w:t>2</w:t>
      </w:r>
      <w:r>
        <w:rPr>
          <w:rFonts w:hint="eastAsia" w:ascii="宋体" w:hAnsi="宋体" w:eastAsia="宋体" w:cs="宋体"/>
          <w:b/>
          <w:kern w:val="2"/>
          <w:szCs w:val="24"/>
        </w:rPr>
        <w:t>）、二氧化氮(NO</w:t>
      </w:r>
      <w:r>
        <w:rPr>
          <w:rFonts w:hint="eastAsia" w:ascii="宋体" w:hAnsi="宋体" w:eastAsia="宋体" w:cs="宋体"/>
          <w:b/>
          <w:kern w:val="2"/>
          <w:szCs w:val="24"/>
          <w:vertAlign w:val="subscript"/>
        </w:rPr>
        <w:t>2</w:t>
      </w:r>
      <w:r>
        <w:rPr>
          <w:rFonts w:hint="eastAsia" w:ascii="宋体" w:hAnsi="宋体" w:eastAsia="宋体" w:cs="宋体"/>
          <w:b/>
          <w:kern w:val="2"/>
          <w:szCs w:val="24"/>
        </w:rPr>
        <w:t>)、PM</w:t>
      </w:r>
      <w:r>
        <w:rPr>
          <w:rFonts w:hint="eastAsia" w:ascii="宋体" w:hAnsi="宋体" w:eastAsia="宋体" w:cs="宋体"/>
          <w:b/>
          <w:kern w:val="2"/>
          <w:szCs w:val="24"/>
          <w:vertAlign w:val="subscript"/>
        </w:rPr>
        <w:t>10</w:t>
      </w:r>
      <w:r>
        <w:rPr>
          <w:rFonts w:hint="eastAsia" w:ascii="宋体" w:hAnsi="宋体" w:eastAsia="宋体" w:cs="宋体"/>
          <w:b/>
          <w:kern w:val="2"/>
          <w:szCs w:val="24"/>
        </w:rPr>
        <w:t>、PM</w:t>
      </w:r>
      <w:r>
        <w:rPr>
          <w:rFonts w:hint="eastAsia" w:ascii="宋体" w:hAnsi="宋体" w:eastAsia="宋体" w:cs="宋体"/>
          <w:b/>
          <w:kern w:val="2"/>
          <w:szCs w:val="24"/>
          <w:vertAlign w:val="subscript"/>
        </w:rPr>
        <w:t>2.5</w:t>
      </w:r>
      <w:r>
        <w:rPr>
          <w:rFonts w:hint="eastAsia" w:ascii="宋体" w:hAnsi="宋体" w:eastAsia="宋体" w:cs="宋体"/>
          <w:b/>
          <w:kern w:val="2"/>
          <w:szCs w:val="24"/>
        </w:rPr>
        <w:t>、臭氧（O</w:t>
      </w:r>
      <w:r>
        <w:rPr>
          <w:rFonts w:hint="eastAsia" w:ascii="宋体" w:hAnsi="宋体" w:eastAsia="宋体" w:cs="宋体"/>
          <w:b/>
          <w:kern w:val="2"/>
          <w:szCs w:val="24"/>
          <w:vertAlign w:val="subscript"/>
        </w:rPr>
        <w:t>3</w:t>
      </w:r>
      <w:r>
        <w:rPr>
          <w:rFonts w:hint="eastAsia" w:ascii="宋体" w:hAnsi="宋体" w:eastAsia="宋体" w:cs="宋体"/>
          <w:b/>
          <w:kern w:val="2"/>
          <w:szCs w:val="24"/>
        </w:rPr>
        <w:t>）和一氧化碳（CO），且PM</w:t>
      </w:r>
      <w:r>
        <w:rPr>
          <w:rFonts w:hint="eastAsia" w:ascii="宋体" w:hAnsi="宋体" w:eastAsia="宋体" w:cs="宋体"/>
          <w:b/>
          <w:kern w:val="2"/>
          <w:szCs w:val="24"/>
          <w:vertAlign w:val="subscript"/>
        </w:rPr>
        <w:t>2.5</w:t>
      </w:r>
      <w:r>
        <w:rPr>
          <w:rFonts w:hint="eastAsia" w:ascii="宋体" w:hAnsi="宋体" w:eastAsia="宋体" w:cs="宋体"/>
          <w:b/>
          <w:kern w:val="2"/>
          <w:szCs w:val="24"/>
        </w:rPr>
        <w:t>、PM</w:t>
      </w:r>
      <w:r>
        <w:rPr>
          <w:rFonts w:hint="eastAsia" w:ascii="宋体" w:hAnsi="宋体" w:eastAsia="宋体" w:cs="宋体"/>
          <w:b/>
          <w:kern w:val="2"/>
          <w:szCs w:val="24"/>
          <w:vertAlign w:val="subscript"/>
        </w:rPr>
        <w:t>10</w:t>
      </w:r>
      <w:r>
        <w:rPr>
          <w:rFonts w:hint="eastAsia" w:ascii="宋体" w:hAnsi="宋体" w:eastAsia="宋体" w:cs="宋体"/>
          <w:b/>
          <w:kern w:val="2"/>
          <w:szCs w:val="24"/>
        </w:rPr>
        <w:t>、SO</w:t>
      </w:r>
      <w:r>
        <w:rPr>
          <w:rFonts w:hint="eastAsia" w:ascii="宋体" w:hAnsi="宋体" w:eastAsia="宋体" w:cs="宋体"/>
          <w:b/>
          <w:kern w:val="2"/>
          <w:szCs w:val="24"/>
          <w:vertAlign w:val="subscript"/>
        </w:rPr>
        <w:t>2</w:t>
      </w:r>
      <w:r>
        <w:rPr>
          <w:rFonts w:hint="eastAsia" w:ascii="宋体" w:hAnsi="宋体" w:eastAsia="宋体" w:cs="宋体"/>
          <w:b/>
          <w:kern w:val="2"/>
          <w:szCs w:val="24"/>
        </w:rPr>
        <w:t>、NO</w:t>
      </w:r>
      <w:r>
        <w:rPr>
          <w:rFonts w:hint="eastAsia" w:ascii="宋体" w:hAnsi="宋体" w:eastAsia="宋体" w:cs="宋体"/>
          <w:b/>
          <w:kern w:val="2"/>
          <w:szCs w:val="24"/>
          <w:vertAlign w:val="subscript"/>
        </w:rPr>
        <w:t>2</w:t>
      </w:r>
      <w:r>
        <w:rPr>
          <w:rFonts w:hint="eastAsia" w:ascii="宋体" w:hAnsi="宋体" w:eastAsia="宋体" w:cs="宋体"/>
          <w:b/>
          <w:kern w:val="2"/>
          <w:szCs w:val="24"/>
        </w:rPr>
        <w:t>、CO、O</w:t>
      </w:r>
      <w:r>
        <w:rPr>
          <w:rFonts w:hint="eastAsia" w:ascii="宋体" w:hAnsi="宋体" w:eastAsia="宋体" w:cs="宋体"/>
          <w:b/>
          <w:kern w:val="2"/>
          <w:szCs w:val="24"/>
          <w:vertAlign w:val="subscript"/>
        </w:rPr>
        <w:t>3</w:t>
      </w:r>
      <w:r>
        <w:rPr>
          <w:rFonts w:hint="eastAsia" w:ascii="宋体" w:hAnsi="宋体" w:eastAsia="宋体" w:cs="宋体"/>
          <w:b/>
          <w:kern w:val="2"/>
          <w:szCs w:val="24"/>
        </w:rPr>
        <w:t>和AQI合称为空气质量“6+1”参数。</w:t>
      </w:r>
    </w:p>
    <w:p>
      <w:pPr>
        <w:pStyle w:val="6"/>
        <w:adjustRightInd w:val="0"/>
        <w:snapToGrid w:val="0"/>
        <w:ind w:left="247" w:leftChars="0" w:firstLine="506" w:firstLineChars="0"/>
        <w:rPr>
          <w:rFonts w:hint="eastAsia" w:cs="宋体"/>
          <w:szCs w:val="24"/>
        </w:rPr>
      </w:pPr>
      <w:r>
        <w:rPr>
          <w:rFonts w:hint="eastAsia" w:cs="宋体"/>
          <w:szCs w:val="24"/>
        </w:rPr>
        <w:t>服务配套设备提供及要求</w:t>
      </w:r>
    </w:p>
    <w:p>
      <w:pPr>
        <w:adjustRightInd w:val="0"/>
        <w:snapToGrid w:val="0"/>
        <w:ind w:firstLine="504"/>
        <w:rPr>
          <w:rFonts w:hint="eastAsia" w:ascii="宋体" w:hAnsi="宋体" w:cs="宋体"/>
          <w:szCs w:val="24"/>
        </w:rPr>
      </w:pPr>
      <w:r>
        <w:rPr>
          <w:rFonts w:hint="eastAsia" w:ascii="宋体" w:hAnsi="宋体" w:cs="宋体"/>
          <w:szCs w:val="24"/>
        </w:rPr>
        <w:t>为达到采购人数据服务和智能化大气监测管制服务要求，投标人将在目标区域部署</w:t>
      </w:r>
      <w:r>
        <w:rPr>
          <w:rFonts w:hint="eastAsia" w:ascii="宋体" w:hAnsi="宋体" w:cs="宋体"/>
          <w:szCs w:val="24"/>
          <w:lang w:val="en-US" w:eastAsia="zh-CN"/>
        </w:rPr>
        <w:t>100</w:t>
      </w:r>
      <w:r>
        <w:rPr>
          <w:rFonts w:hint="eastAsia" w:ascii="宋体" w:hAnsi="宋体" w:cs="宋体"/>
          <w:szCs w:val="24"/>
        </w:rPr>
        <w:t>台移动式空气质量监测设备（保证60台设备</w:t>
      </w:r>
      <w:r>
        <w:rPr>
          <w:rFonts w:hint="eastAsia" w:ascii="宋体" w:hAnsi="宋体" w:cs="宋体"/>
          <w:szCs w:val="24"/>
          <w:highlight w:val="none"/>
          <w:lang w:val="en-US" w:eastAsia="zh-CN"/>
        </w:rPr>
        <w:t>每日</w:t>
      </w:r>
      <w:r>
        <w:rPr>
          <w:rFonts w:hint="eastAsia" w:ascii="宋体" w:hAnsi="宋体" w:cs="宋体"/>
          <w:szCs w:val="24"/>
        </w:rPr>
        <w:t>在线），且提供给采购人使用的移动式空气质量监测设备满足如下要求（投标人应在其投标文件中提供拟投入设备的相关参数说明（如：品牌、制造商、技术参数、响应说明、产品彩页（若有）等）：</w:t>
      </w:r>
    </w:p>
    <w:p>
      <w:pPr>
        <w:pStyle w:val="6"/>
        <w:numPr>
          <w:ilvl w:val="0"/>
          <w:numId w:val="36"/>
        </w:numPr>
        <w:adjustRightInd w:val="0"/>
        <w:snapToGrid w:val="0"/>
        <w:ind w:firstLineChars="0"/>
        <w:rPr>
          <w:rFonts w:hint="eastAsia" w:cs="宋体"/>
          <w:szCs w:val="24"/>
        </w:rPr>
      </w:pPr>
      <w:r>
        <w:rPr>
          <w:rFonts w:hint="eastAsia" w:cs="宋体"/>
          <w:szCs w:val="24"/>
        </w:rPr>
        <w:t>移动式空气质量监测设备</w:t>
      </w:r>
    </w:p>
    <w:p>
      <w:pPr>
        <w:pStyle w:val="7"/>
        <w:numPr>
          <w:ilvl w:val="0"/>
          <w:numId w:val="37"/>
        </w:numPr>
        <w:adjustRightInd w:val="0"/>
        <w:snapToGrid w:val="0"/>
        <w:ind w:firstLineChars="0"/>
        <w:rPr>
          <w:rFonts w:hint="eastAsia" w:ascii="宋体" w:hAnsi="宋体" w:cs="宋体"/>
          <w:sz w:val="24"/>
          <w:szCs w:val="24"/>
        </w:rPr>
      </w:pPr>
      <w:r>
        <w:rPr>
          <w:rFonts w:hint="eastAsia" w:ascii="宋体" w:hAnsi="宋体" w:cs="宋体"/>
          <w:sz w:val="24"/>
          <w:szCs w:val="24"/>
        </w:rPr>
        <w:t>移动式空气质量监测设备技术参数</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适用范围：连续监测大气六项指标：PM</w:t>
      </w:r>
      <w:r>
        <w:rPr>
          <w:rFonts w:hint="eastAsia" w:ascii="宋体" w:hAnsi="宋体" w:cs="宋体"/>
          <w:szCs w:val="24"/>
          <w:vertAlign w:val="subscript"/>
        </w:rPr>
        <w:t>2.5</w:t>
      </w:r>
      <w:r>
        <w:rPr>
          <w:rFonts w:hint="eastAsia" w:ascii="宋体" w:hAnsi="宋体" w:cs="宋体"/>
          <w:szCs w:val="24"/>
        </w:rPr>
        <w:t>、PM</w:t>
      </w:r>
      <w:r>
        <w:rPr>
          <w:rFonts w:hint="eastAsia" w:ascii="宋体" w:hAnsi="宋体" w:cs="宋体"/>
          <w:szCs w:val="24"/>
          <w:vertAlign w:val="subscript"/>
        </w:rPr>
        <w:t>10</w:t>
      </w:r>
      <w:r>
        <w:rPr>
          <w:rFonts w:hint="eastAsia" w:ascii="宋体" w:hAnsi="宋体" w:cs="宋体"/>
          <w:szCs w:val="24"/>
        </w:rPr>
        <w:t>、SO</w:t>
      </w:r>
      <w:r>
        <w:rPr>
          <w:rFonts w:hint="eastAsia" w:ascii="宋体" w:hAnsi="宋体" w:cs="宋体"/>
          <w:szCs w:val="24"/>
          <w:vertAlign w:val="subscript"/>
        </w:rPr>
        <w:t>2</w:t>
      </w:r>
      <w:r>
        <w:rPr>
          <w:rFonts w:hint="eastAsia" w:ascii="宋体" w:hAnsi="宋体" w:cs="宋体"/>
          <w:szCs w:val="24"/>
        </w:rPr>
        <w:t>、NO</w:t>
      </w:r>
      <w:r>
        <w:rPr>
          <w:rFonts w:hint="eastAsia" w:ascii="宋体" w:hAnsi="宋体" w:cs="宋体"/>
          <w:szCs w:val="24"/>
          <w:vertAlign w:val="subscript"/>
        </w:rPr>
        <w:t>2</w:t>
      </w:r>
      <w:r>
        <w:rPr>
          <w:rFonts w:hint="eastAsia" w:ascii="宋体" w:hAnsi="宋体" w:cs="宋体"/>
          <w:szCs w:val="24"/>
        </w:rPr>
        <w:t>、CO、O</w:t>
      </w:r>
      <w:r>
        <w:rPr>
          <w:rFonts w:hint="eastAsia" w:ascii="宋体" w:hAnsi="宋体" w:cs="宋体"/>
          <w:szCs w:val="24"/>
          <w:vertAlign w:val="subscript"/>
        </w:rPr>
        <w:t>3</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工作温度：-20℃~+50℃</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工作湿度：15%~90%（无凝结）</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定位精度：＜10m</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最大采样密度：3次/秒</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上送通讯协议：GPRS、4G、NBIoT、wifi、有线</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测量范围：</w:t>
      </w:r>
    </w:p>
    <w:p>
      <w:p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SO</w:t>
      </w:r>
      <w:r>
        <w:rPr>
          <w:rFonts w:hint="eastAsia" w:ascii="宋体" w:hAnsi="宋体" w:cs="宋体"/>
          <w:szCs w:val="24"/>
          <w:vertAlign w:val="subscript"/>
        </w:rPr>
        <w:t>2</w:t>
      </w:r>
      <w:r>
        <w:rPr>
          <w:rFonts w:hint="eastAsia" w:ascii="宋体" w:hAnsi="宋体" w:cs="宋体"/>
          <w:szCs w:val="24"/>
        </w:rPr>
        <w:t>、NO</w:t>
      </w:r>
      <w:r>
        <w:rPr>
          <w:rFonts w:hint="eastAsia" w:ascii="宋体" w:hAnsi="宋体" w:cs="宋体"/>
          <w:szCs w:val="24"/>
          <w:vertAlign w:val="subscript"/>
        </w:rPr>
        <w:t>2</w:t>
      </w:r>
      <w:r>
        <w:rPr>
          <w:rFonts w:hint="eastAsia" w:ascii="宋体" w:hAnsi="宋体" w:cs="宋体"/>
          <w:szCs w:val="24"/>
        </w:rPr>
        <w:t>、O</w:t>
      </w:r>
      <w:r>
        <w:rPr>
          <w:rFonts w:hint="eastAsia" w:ascii="宋体" w:hAnsi="宋体" w:cs="宋体"/>
          <w:szCs w:val="24"/>
          <w:vertAlign w:val="subscript"/>
        </w:rPr>
        <w:t>3</w:t>
      </w:r>
      <w:r>
        <w:rPr>
          <w:rFonts w:hint="eastAsia" w:ascii="宋体" w:hAnsi="宋体" w:cs="宋体"/>
          <w:szCs w:val="24"/>
        </w:rPr>
        <w:t>测量范围：(0-600)ppb，最小显示单位0.1ppb或0.1µg/m</w:t>
      </w:r>
      <w:r>
        <w:rPr>
          <w:rFonts w:hint="eastAsia" w:ascii="宋体" w:hAnsi="宋体" w:cs="宋体"/>
          <w:szCs w:val="24"/>
          <w:vertAlign w:val="superscript"/>
        </w:rPr>
        <w:t>3</w:t>
      </w:r>
    </w:p>
    <w:p>
      <w:p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CO测量范围：(0-60)ppm，最小显示单位0.1ppm或0.1mg/m</w:t>
      </w:r>
      <w:r>
        <w:rPr>
          <w:rFonts w:hint="eastAsia" w:ascii="宋体" w:hAnsi="宋体" w:cs="宋体"/>
          <w:szCs w:val="24"/>
          <w:vertAlign w:val="superscript"/>
        </w:rPr>
        <w:t>3</w:t>
      </w:r>
    </w:p>
    <w:p>
      <w:p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PM</w:t>
      </w:r>
      <w:r>
        <w:rPr>
          <w:rFonts w:hint="eastAsia" w:ascii="宋体" w:hAnsi="宋体" w:cs="宋体"/>
          <w:szCs w:val="24"/>
          <w:vertAlign w:val="subscript"/>
        </w:rPr>
        <w:t>10</w:t>
      </w:r>
      <w:r>
        <w:rPr>
          <w:rFonts w:hint="eastAsia" w:ascii="宋体" w:hAnsi="宋体" w:cs="宋体"/>
          <w:szCs w:val="24"/>
        </w:rPr>
        <w:t>、PM</w:t>
      </w:r>
      <w:r>
        <w:rPr>
          <w:rFonts w:hint="eastAsia" w:ascii="宋体" w:hAnsi="宋体" w:cs="宋体"/>
          <w:szCs w:val="24"/>
          <w:vertAlign w:val="subscript"/>
        </w:rPr>
        <w:t>2.5</w:t>
      </w:r>
      <w:r>
        <w:rPr>
          <w:rFonts w:hint="eastAsia" w:ascii="宋体" w:hAnsi="宋体" w:cs="宋体"/>
          <w:szCs w:val="24"/>
        </w:rPr>
        <w:t>测量范围：(0-500)µg/m</w:t>
      </w:r>
      <w:r>
        <w:rPr>
          <w:rFonts w:hint="eastAsia" w:ascii="宋体" w:hAnsi="宋体" w:cs="宋体"/>
          <w:szCs w:val="24"/>
          <w:vertAlign w:val="superscript"/>
        </w:rPr>
        <w:t>3</w:t>
      </w:r>
      <w:r>
        <w:rPr>
          <w:rFonts w:hint="eastAsia" w:ascii="宋体" w:hAnsi="宋体" w:cs="宋体"/>
          <w:szCs w:val="24"/>
        </w:rPr>
        <w:t>，最小显示单位1µg/m</w:t>
      </w:r>
      <w:r>
        <w:rPr>
          <w:rFonts w:hint="eastAsia" w:ascii="宋体" w:hAnsi="宋体" w:cs="宋体"/>
          <w:szCs w:val="24"/>
          <w:vertAlign w:val="superscript"/>
        </w:rPr>
        <w:t>3</w:t>
      </w:r>
      <w:r>
        <w:rPr>
          <w:rFonts w:hint="eastAsia" w:ascii="宋体" w:hAnsi="宋体" w:cs="宋体"/>
          <w:szCs w:val="24"/>
        </w:rPr>
        <w:t>。</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示值误差：SO</w:t>
      </w:r>
      <w:r>
        <w:rPr>
          <w:rFonts w:hint="eastAsia" w:ascii="宋体" w:hAnsi="宋体" w:cs="宋体"/>
          <w:szCs w:val="24"/>
          <w:vertAlign w:val="subscript"/>
        </w:rPr>
        <w:t>2</w:t>
      </w:r>
      <w:r>
        <w:rPr>
          <w:rFonts w:hint="eastAsia" w:ascii="宋体" w:hAnsi="宋体" w:cs="宋体"/>
          <w:szCs w:val="24"/>
        </w:rPr>
        <w:t>、NO</w:t>
      </w:r>
      <w:r>
        <w:rPr>
          <w:rFonts w:hint="eastAsia" w:ascii="宋体" w:hAnsi="宋体" w:cs="宋体"/>
          <w:szCs w:val="24"/>
          <w:vertAlign w:val="subscript"/>
        </w:rPr>
        <w:t>2</w:t>
      </w:r>
      <w:r>
        <w:rPr>
          <w:rFonts w:hint="eastAsia" w:ascii="宋体" w:hAnsi="宋体" w:cs="宋体"/>
          <w:szCs w:val="24"/>
        </w:rPr>
        <w:t>、O</w:t>
      </w:r>
      <w:r>
        <w:rPr>
          <w:rFonts w:hint="eastAsia" w:ascii="宋体" w:hAnsi="宋体" w:cs="宋体"/>
          <w:szCs w:val="24"/>
          <w:vertAlign w:val="subscript"/>
        </w:rPr>
        <w:t>3</w:t>
      </w:r>
      <w:r>
        <w:rPr>
          <w:rFonts w:hint="eastAsia" w:ascii="宋体" w:hAnsi="宋体" w:cs="宋体"/>
          <w:szCs w:val="24"/>
        </w:rPr>
        <w:t>、CO分析仪器示值误差：≤±10%FS</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重复性：SO</w:t>
      </w:r>
      <w:r>
        <w:rPr>
          <w:rFonts w:hint="eastAsia" w:ascii="宋体" w:hAnsi="宋体" w:cs="宋体"/>
          <w:szCs w:val="24"/>
          <w:vertAlign w:val="subscript"/>
        </w:rPr>
        <w:t>2</w:t>
      </w:r>
      <w:r>
        <w:rPr>
          <w:rFonts w:hint="eastAsia" w:ascii="宋体" w:hAnsi="宋体" w:cs="宋体"/>
          <w:szCs w:val="24"/>
        </w:rPr>
        <w:t>、NO</w:t>
      </w:r>
      <w:r>
        <w:rPr>
          <w:rFonts w:hint="eastAsia" w:ascii="宋体" w:hAnsi="宋体" w:cs="宋体"/>
          <w:szCs w:val="24"/>
          <w:vertAlign w:val="subscript"/>
        </w:rPr>
        <w:t>2</w:t>
      </w:r>
      <w:r>
        <w:rPr>
          <w:rFonts w:hint="eastAsia" w:ascii="宋体" w:hAnsi="宋体" w:cs="宋体"/>
          <w:szCs w:val="24"/>
        </w:rPr>
        <w:t>、O</w:t>
      </w:r>
      <w:r>
        <w:rPr>
          <w:rFonts w:hint="eastAsia" w:ascii="宋体" w:hAnsi="宋体" w:cs="宋体"/>
          <w:szCs w:val="24"/>
          <w:vertAlign w:val="subscript"/>
        </w:rPr>
        <w:t>3</w:t>
      </w:r>
      <w:r>
        <w:rPr>
          <w:rFonts w:hint="eastAsia" w:ascii="宋体" w:hAnsi="宋体" w:cs="宋体"/>
          <w:szCs w:val="24"/>
        </w:rPr>
        <w:t>、CO分析仪器重复性：≤5%</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示值稳定性SO</w:t>
      </w:r>
      <w:r>
        <w:rPr>
          <w:rFonts w:hint="eastAsia" w:ascii="宋体" w:hAnsi="宋体" w:cs="宋体"/>
          <w:szCs w:val="24"/>
          <w:vertAlign w:val="subscript"/>
        </w:rPr>
        <w:t>2</w:t>
      </w:r>
      <w:r>
        <w:rPr>
          <w:rFonts w:hint="eastAsia" w:ascii="宋体" w:hAnsi="宋体" w:cs="宋体"/>
          <w:szCs w:val="24"/>
        </w:rPr>
        <w:t>、NO</w:t>
      </w:r>
      <w:r>
        <w:rPr>
          <w:rFonts w:hint="eastAsia" w:ascii="宋体" w:hAnsi="宋体" w:cs="宋体"/>
          <w:szCs w:val="24"/>
          <w:vertAlign w:val="subscript"/>
        </w:rPr>
        <w:t>2</w:t>
      </w:r>
      <w:r>
        <w:rPr>
          <w:rFonts w:hint="eastAsia" w:ascii="宋体" w:hAnsi="宋体" w:cs="宋体"/>
          <w:szCs w:val="24"/>
        </w:rPr>
        <w:t>、O</w:t>
      </w:r>
      <w:r>
        <w:rPr>
          <w:rFonts w:hint="eastAsia" w:ascii="宋体" w:hAnsi="宋体" w:cs="宋体"/>
          <w:szCs w:val="24"/>
          <w:vertAlign w:val="subscript"/>
        </w:rPr>
        <w:t>3</w:t>
      </w:r>
      <w:r>
        <w:rPr>
          <w:rFonts w:hint="eastAsia" w:ascii="宋体" w:hAnsi="宋体" w:cs="宋体"/>
          <w:szCs w:val="24"/>
        </w:rPr>
        <w:t>、CO分析仪器示值稳定性：≤10%</w:t>
      </w:r>
    </w:p>
    <w:p>
      <w:pPr>
        <w:numPr>
          <w:ilvl w:val="0"/>
          <w:numId w:val="38"/>
        </w:numPr>
        <w:tabs>
          <w:tab w:val="left" w:pos="0"/>
        </w:tabs>
        <w:adjustRightInd w:val="0"/>
        <w:snapToGrid w:val="0"/>
        <w:ind w:left="12" w:leftChars="5" w:firstLine="481" w:firstLineChars="192"/>
        <w:rPr>
          <w:rFonts w:hint="eastAsia" w:ascii="宋体" w:hAnsi="宋体" w:cs="宋体"/>
          <w:szCs w:val="24"/>
        </w:rPr>
      </w:pPr>
      <w:r>
        <w:rPr>
          <w:rFonts w:hint="eastAsia" w:ascii="宋体" w:hAnsi="宋体" w:cs="宋体"/>
          <w:szCs w:val="24"/>
        </w:rPr>
        <w:t>响应时间SO</w:t>
      </w:r>
      <w:r>
        <w:rPr>
          <w:rFonts w:hint="eastAsia" w:ascii="宋体" w:hAnsi="宋体" w:cs="宋体"/>
          <w:szCs w:val="24"/>
          <w:vertAlign w:val="subscript"/>
        </w:rPr>
        <w:t>2</w:t>
      </w:r>
      <w:r>
        <w:rPr>
          <w:rFonts w:hint="eastAsia" w:ascii="宋体" w:hAnsi="宋体" w:cs="宋体"/>
          <w:szCs w:val="24"/>
        </w:rPr>
        <w:t>、NO</w:t>
      </w:r>
      <w:r>
        <w:rPr>
          <w:rFonts w:hint="eastAsia" w:ascii="宋体" w:hAnsi="宋体" w:cs="宋体"/>
          <w:szCs w:val="24"/>
          <w:vertAlign w:val="subscript"/>
        </w:rPr>
        <w:t>2</w:t>
      </w:r>
      <w:r>
        <w:rPr>
          <w:rFonts w:hint="eastAsia" w:ascii="宋体" w:hAnsi="宋体" w:cs="宋体"/>
          <w:szCs w:val="24"/>
        </w:rPr>
        <w:t>、O</w:t>
      </w:r>
      <w:r>
        <w:rPr>
          <w:rFonts w:hint="eastAsia" w:ascii="宋体" w:hAnsi="宋体" w:cs="宋体"/>
          <w:szCs w:val="24"/>
          <w:vertAlign w:val="subscript"/>
        </w:rPr>
        <w:t>3</w:t>
      </w:r>
      <w:r>
        <w:rPr>
          <w:rFonts w:hint="eastAsia" w:ascii="宋体" w:hAnsi="宋体" w:cs="宋体"/>
          <w:szCs w:val="24"/>
        </w:rPr>
        <w:t>、CO分析仪器响应时间：≤120s</w:t>
      </w:r>
    </w:p>
    <w:p>
      <w:pPr>
        <w:pStyle w:val="7"/>
        <w:numPr>
          <w:ilvl w:val="0"/>
          <w:numId w:val="37"/>
        </w:numPr>
        <w:adjustRightInd w:val="0"/>
        <w:snapToGrid w:val="0"/>
        <w:ind w:firstLineChars="0"/>
        <w:rPr>
          <w:rFonts w:ascii="宋体" w:hAnsi="宋体" w:cs="宋体"/>
          <w:sz w:val="24"/>
          <w:szCs w:val="24"/>
        </w:rPr>
      </w:pPr>
      <w:r>
        <w:rPr>
          <w:rFonts w:hint="eastAsia" w:ascii="宋体" w:hAnsi="宋体" w:cs="宋体"/>
          <w:sz w:val="24"/>
          <w:szCs w:val="24"/>
        </w:rPr>
        <w:t>移动式空气质量监测设备要求</w:t>
      </w:r>
    </w:p>
    <w:p>
      <w:pPr>
        <w:numPr>
          <w:ilvl w:val="0"/>
          <w:numId w:val="38"/>
        </w:numPr>
        <w:tabs>
          <w:tab w:val="left" w:pos="0"/>
        </w:tabs>
        <w:adjustRightInd w:val="0"/>
        <w:snapToGrid w:val="0"/>
        <w:ind w:left="12" w:leftChars="5" w:firstLine="481" w:firstLineChars="192"/>
        <w:rPr>
          <w:rFonts w:ascii="宋体" w:hAnsi="宋体" w:cs="宋体"/>
          <w:szCs w:val="24"/>
        </w:rPr>
      </w:pPr>
      <w:r>
        <w:rPr>
          <w:rFonts w:hint="eastAsia" w:ascii="宋体" w:hAnsi="宋体" w:cs="宋体"/>
          <w:szCs w:val="24"/>
        </w:rPr>
        <w:t>支持车载式采集空气质量六参数。</w:t>
      </w:r>
    </w:p>
    <w:p>
      <w:pPr>
        <w:numPr>
          <w:ilvl w:val="0"/>
          <w:numId w:val="38"/>
        </w:numPr>
        <w:tabs>
          <w:tab w:val="left" w:pos="0"/>
        </w:tabs>
        <w:adjustRightInd w:val="0"/>
        <w:snapToGrid w:val="0"/>
        <w:ind w:left="12" w:leftChars="5" w:firstLine="481" w:firstLineChars="192"/>
        <w:rPr>
          <w:rFonts w:ascii="宋体" w:hAnsi="宋体" w:cs="宋体"/>
          <w:szCs w:val="24"/>
        </w:rPr>
      </w:pPr>
      <w:r>
        <w:rPr>
          <w:rFonts w:hint="eastAsia" w:ascii="宋体" w:hAnsi="宋体" w:cs="宋体"/>
          <w:szCs w:val="24"/>
        </w:rPr>
        <w:t>系统内置温湿度传感器，可进行温湿度对数据影响的自动修正。</w:t>
      </w:r>
    </w:p>
    <w:p>
      <w:pPr>
        <w:numPr>
          <w:ilvl w:val="0"/>
          <w:numId w:val="38"/>
        </w:numPr>
        <w:tabs>
          <w:tab w:val="left" w:pos="0"/>
        </w:tabs>
        <w:adjustRightInd w:val="0"/>
        <w:snapToGrid w:val="0"/>
        <w:ind w:left="12" w:leftChars="5" w:firstLine="481" w:firstLineChars="192"/>
        <w:rPr>
          <w:rFonts w:ascii="宋体" w:hAnsi="宋体" w:cs="宋体"/>
          <w:szCs w:val="24"/>
        </w:rPr>
      </w:pPr>
      <w:r>
        <w:rPr>
          <w:rFonts w:hint="eastAsia" w:ascii="宋体" w:hAnsi="宋体" w:cs="宋体"/>
          <w:szCs w:val="24"/>
        </w:rPr>
        <w:t>一体化设计，采用铝合金材质外壳封装，坚固、防尘、防锈、防潮，适合各种恶劣工况。</w:t>
      </w:r>
    </w:p>
    <w:p>
      <w:pPr>
        <w:numPr>
          <w:ilvl w:val="0"/>
          <w:numId w:val="38"/>
        </w:numPr>
        <w:tabs>
          <w:tab w:val="left" w:pos="0"/>
        </w:tabs>
        <w:adjustRightInd w:val="0"/>
        <w:snapToGrid w:val="0"/>
        <w:ind w:left="12" w:leftChars="5" w:firstLine="481" w:firstLineChars="192"/>
        <w:rPr>
          <w:rFonts w:ascii="宋体" w:hAnsi="宋体" w:cs="宋体"/>
          <w:szCs w:val="24"/>
        </w:rPr>
      </w:pPr>
      <w:r>
        <w:rPr>
          <w:rFonts w:hint="eastAsia" w:ascii="宋体" w:hAnsi="宋体" w:cs="宋体"/>
          <w:szCs w:val="24"/>
        </w:rPr>
        <w:t>通信方式：支持4G无线网络。</w:t>
      </w:r>
    </w:p>
    <w:p>
      <w:pPr>
        <w:numPr>
          <w:ilvl w:val="0"/>
          <w:numId w:val="38"/>
        </w:numPr>
        <w:tabs>
          <w:tab w:val="left" w:pos="0"/>
        </w:tabs>
        <w:adjustRightInd w:val="0"/>
        <w:snapToGrid w:val="0"/>
        <w:ind w:left="12" w:leftChars="5" w:firstLine="481" w:firstLineChars="192"/>
        <w:rPr>
          <w:rFonts w:ascii="宋体" w:hAnsi="宋体" w:cs="宋体"/>
          <w:szCs w:val="24"/>
        </w:rPr>
      </w:pPr>
      <w:r>
        <w:rPr>
          <w:rFonts w:hint="eastAsia" w:ascii="宋体" w:hAnsi="宋体" w:cs="宋体"/>
          <w:szCs w:val="24"/>
        </w:rPr>
        <w:t>市电、车载电源等多种供电模式。</w:t>
      </w:r>
    </w:p>
    <w:p>
      <w:pPr>
        <w:numPr>
          <w:ilvl w:val="0"/>
          <w:numId w:val="38"/>
        </w:numPr>
        <w:tabs>
          <w:tab w:val="left" w:pos="0"/>
        </w:tabs>
        <w:adjustRightInd w:val="0"/>
        <w:snapToGrid w:val="0"/>
        <w:ind w:left="12" w:leftChars="5" w:firstLine="481" w:firstLineChars="192"/>
        <w:rPr>
          <w:rFonts w:ascii="宋体" w:hAnsi="宋体" w:cs="宋体"/>
          <w:szCs w:val="24"/>
        </w:rPr>
      </w:pPr>
      <w:r>
        <w:rPr>
          <w:rFonts w:hint="eastAsia" w:ascii="宋体" w:hAnsi="宋体" w:cs="宋体"/>
          <w:szCs w:val="24"/>
        </w:rPr>
        <w:t>传感器采用模块化处理，易维护更换。</w:t>
      </w:r>
    </w:p>
    <w:p>
      <w:pPr>
        <w:numPr>
          <w:ilvl w:val="0"/>
          <w:numId w:val="38"/>
        </w:numPr>
        <w:tabs>
          <w:tab w:val="left" w:pos="0"/>
        </w:tabs>
        <w:adjustRightInd w:val="0"/>
        <w:snapToGrid w:val="0"/>
        <w:ind w:left="12" w:leftChars="5" w:firstLine="481" w:firstLineChars="192"/>
        <w:rPr>
          <w:rFonts w:ascii="宋体" w:hAnsi="宋体" w:cs="宋体"/>
          <w:szCs w:val="24"/>
        </w:rPr>
      </w:pPr>
      <w:r>
        <w:rPr>
          <w:rFonts w:hint="eastAsia" w:ascii="宋体" w:hAnsi="宋体" w:cs="宋体"/>
          <w:szCs w:val="24"/>
        </w:rPr>
        <w:t>加装定位功能。</w:t>
      </w:r>
    </w:p>
    <w:p>
      <w:pPr>
        <w:numPr>
          <w:ilvl w:val="0"/>
          <w:numId w:val="38"/>
        </w:numPr>
        <w:tabs>
          <w:tab w:val="left" w:pos="0"/>
        </w:tabs>
        <w:adjustRightInd w:val="0"/>
        <w:snapToGrid w:val="0"/>
        <w:ind w:left="12" w:leftChars="5" w:firstLine="481" w:firstLineChars="192"/>
        <w:rPr>
          <w:rFonts w:ascii="宋体" w:hAnsi="宋体" w:cs="宋体"/>
          <w:szCs w:val="24"/>
        </w:rPr>
      </w:pPr>
      <w:r>
        <w:rPr>
          <w:rFonts w:hint="eastAsia" w:ascii="宋体" w:hAnsi="宋体" w:cs="宋体"/>
          <w:szCs w:val="24"/>
        </w:rPr>
        <w:t>吸入式采样，采样周期达到10秒级。</w:t>
      </w:r>
    </w:p>
    <w:p>
      <w:pPr>
        <w:pStyle w:val="6"/>
        <w:numPr>
          <w:ilvl w:val="0"/>
          <w:numId w:val="36"/>
        </w:numPr>
        <w:adjustRightInd w:val="0"/>
        <w:snapToGrid w:val="0"/>
        <w:ind w:firstLineChars="0"/>
        <w:rPr>
          <w:rFonts w:hint="eastAsia" w:cs="宋体"/>
          <w:szCs w:val="24"/>
        </w:rPr>
      </w:pPr>
      <w:r>
        <w:rPr>
          <w:rFonts w:hint="eastAsia" w:cs="宋体"/>
          <w:szCs w:val="24"/>
        </w:rPr>
        <w:t>监测点布设规划</w:t>
      </w:r>
    </w:p>
    <w:p>
      <w:pPr>
        <w:adjustRightInd w:val="0"/>
        <w:snapToGrid w:val="0"/>
        <w:ind w:firstLine="504"/>
        <w:rPr>
          <w:rFonts w:hint="eastAsia" w:ascii="宋体" w:hAnsi="宋体" w:cs="宋体"/>
          <w:szCs w:val="24"/>
        </w:rPr>
      </w:pPr>
      <w:r>
        <w:rPr>
          <w:rFonts w:hint="eastAsia" w:ascii="宋体" w:hAnsi="宋体" w:cs="宋体"/>
          <w:szCs w:val="24"/>
        </w:rPr>
        <w:t>依据《环境空气质量监测点位布设技术规范（试行）》及《大气PM2.5网格化监测点位铺设技术指南（试行）》等相关规定，在前期区域内已布设应用的空气子站和微站的基础上，投标人需结合重点监测范围、主要城市道路、主要空气传输通道、智能化平台应用等需求，自行考察布设移动式空气质量监测设备，并出具相关布设方案。</w:t>
      </w:r>
    </w:p>
    <w:p>
      <w:pPr>
        <w:pStyle w:val="6"/>
        <w:adjustRightInd w:val="0"/>
        <w:snapToGrid w:val="0"/>
        <w:ind w:left="247" w:leftChars="0" w:firstLine="506" w:firstLineChars="0"/>
        <w:rPr>
          <w:rFonts w:hint="eastAsia"/>
        </w:rPr>
      </w:pPr>
      <w:r>
        <w:rPr>
          <w:rFonts w:hint="eastAsia"/>
          <w:lang w:val="en-US" w:eastAsia="zh-CN"/>
        </w:rPr>
        <w:t>功能服务及要求</w:t>
      </w:r>
    </w:p>
    <w:p>
      <w:pPr>
        <w:pStyle w:val="6"/>
        <w:numPr>
          <w:ilvl w:val="0"/>
          <w:numId w:val="39"/>
        </w:numPr>
        <w:adjustRightInd w:val="0"/>
        <w:snapToGrid w:val="0"/>
        <w:ind w:firstLineChars="0"/>
        <w:rPr>
          <w:rFonts w:hint="eastAsia" w:cs="宋体"/>
          <w:szCs w:val="24"/>
        </w:rPr>
      </w:pPr>
      <w:r>
        <w:rPr>
          <w:rFonts w:hint="eastAsia" w:cs="宋体"/>
          <w:szCs w:val="24"/>
        </w:rPr>
        <w:t>空气质量显示</w:t>
      </w:r>
    </w:p>
    <w:p>
      <w:pPr>
        <w:pStyle w:val="139"/>
        <w:adjustRightInd w:val="0"/>
        <w:snapToGrid w:val="0"/>
        <w:ind w:firstLine="506"/>
        <w:rPr>
          <w:rFonts w:hint="eastAsia" w:ascii="宋体" w:hAnsi="宋体" w:cs="宋体"/>
          <w:b/>
          <w:szCs w:val="24"/>
        </w:rPr>
      </w:pPr>
      <w:r>
        <w:rPr>
          <w:rFonts w:hint="eastAsia" w:ascii="宋体" w:hAnsi="宋体" w:cs="宋体"/>
          <w:b/>
          <w:szCs w:val="24"/>
        </w:rPr>
        <w:t>整体技术要求</w:t>
      </w:r>
    </w:p>
    <w:p>
      <w:pPr>
        <w:adjustRightInd w:val="0"/>
        <w:snapToGrid w:val="0"/>
        <w:ind w:firstLine="504"/>
        <w:rPr>
          <w:rFonts w:hint="eastAsia" w:ascii="宋体" w:hAnsi="宋体" w:cs="宋体"/>
          <w:szCs w:val="24"/>
          <w:highlight w:val="none"/>
        </w:rPr>
      </w:pPr>
      <w:r>
        <w:rPr>
          <w:rFonts w:hint="eastAsia" w:ascii="宋体" w:hAnsi="宋体" w:cs="宋体"/>
          <w:szCs w:val="24"/>
        </w:rPr>
        <w:t>要求系统同时展示“固定监测+移动监测”动静结合的立体监测网络，涵盖空气</w:t>
      </w:r>
      <w:r>
        <w:rPr>
          <w:rFonts w:hint="eastAsia" w:ascii="宋体" w:hAnsi="宋体" w:cs="宋体"/>
          <w:szCs w:val="24"/>
          <w:highlight w:val="none"/>
        </w:rPr>
        <w:t>质量6+1参数，并预留数据扩展接口，支持第三方数据实时接入。</w:t>
      </w:r>
    </w:p>
    <w:p>
      <w:pPr>
        <w:pStyle w:val="139"/>
        <w:numPr>
          <w:ilvl w:val="0"/>
          <w:numId w:val="40"/>
        </w:numPr>
        <w:adjustRightInd w:val="0"/>
        <w:snapToGrid w:val="0"/>
        <w:ind w:firstLineChars="0"/>
        <w:rPr>
          <w:rFonts w:hint="eastAsia" w:ascii="宋体" w:hAnsi="宋体" w:cs="宋体"/>
          <w:b/>
          <w:szCs w:val="24"/>
          <w:highlight w:val="none"/>
        </w:rPr>
      </w:pPr>
      <w:r>
        <w:rPr>
          <w:rFonts w:hint="eastAsia" w:ascii="宋体" w:hAnsi="宋体" w:cs="宋体"/>
          <w:b/>
          <w:szCs w:val="24"/>
          <w:highlight w:val="none"/>
        </w:rPr>
        <w:t>固定监测站点全域概览</w:t>
      </w:r>
    </w:p>
    <w:p>
      <w:pPr>
        <w:numPr>
          <w:ilvl w:val="0"/>
          <w:numId w:val="38"/>
        </w:numPr>
        <w:adjustRightInd w:val="0"/>
        <w:snapToGrid w:val="0"/>
        <w:ind w:left="0" w:firstLine="504"/>
        <w:rPr>
          <w:rFonts w:hint="eastAsia" w:ascii="宋体" w:hAnsi="宋体" w:cs="宋体"/>
          <w:b/>
          <w:szCs w:val="24"/>
          <w:highlight w:val="none"/>
        </w:rPr>
      </w:pPr>
      <w:r>
        <w:rPr>
          <w:rFonts w:hint="eastAsia" w:ascii="宋体" w:hAnsi="宋体" w:cs="宋体"/>
          <w:szCs w:val="24"/>
          <w:highlight w:val="none"/>
        </w:rPr>
        <w:t>要求在地图上展示成都市</w:t>
      </w:r>
      <w:r>
        <w:rPr>
          <w:rFonts w:hint="eastAsia" w:ascii="宋体" w:hAnsi="宋体" w:cs="宋体"/>
          <w:szCs w:val="24"/>
          <w:highlight w:val="none"/>
          <w:lang w:eastAsia="zh-CN"/>
        </w:rPr>
        <w:t>“</w:t>
      </w:r>
      <w:r>
        <w:rPr>
          <w:rFonts w:hint="eastAsia" w:ascii="宋体" w:hAnsi="宋体" w:cs="宋体"/>
          <w:szCs w:val="24"/>
          <w:highlight w:val="none"/>
          <w:lang w:val="en-US" w:eastAsia="zh-CN"/>
        </w:rPr>
        <w:t>6+1</w:t>
      </w:r>
      <w:r>
        <w:rPr>
          <w:rFonts w:hint="eastAsia" w:ascii="宋体" w:hAnsi="宋体" w:cs="宋体"/>
          <w:szCs w:val="24"/>
          <w:highlight w:val="none"/>
          <w:lang w:eastAsia="zh-CN"/>
        </w:rPr>
        <w:t>”</w:t>
      </w:r>
      <w:r>
        <w:rPr>
          <w:rFonts w:hint="eastAsia" w:ascii="宋体" w:hAnsi="宋体" w:cs="宋体"/>
          <w:szCs w:val="24"/>
          <w:highlight w:val="none"/>
          <w:lang w:val="en-US" w:eastAsia="zh-CN"/>
        </w:rPr>
        <w:t>目标区域</w:t>
      </w:r>
      <w:r>
        <w:rPr>
          <w:rFonts w:hint="eastAsia" w:ascii="宋体" w:hAnsi="宋体" w:cs="宋体"/>
          <w:szCs w:val="24"/>
          <w:highlight w:val="none"/>
        </w:rPr>
        <w:t>不同类型空气质量站点监测的各类污染物浓度，包括</w:t>
      </w:r>
      <w:r>
        <w:rPr>
          <w:rFonts w:hint="eastAsia" w:ascii="宋体" w:hAnsi="宋体" w:cs="宋体"/>
          <w:szCs w:val="24"/>
          <w:highlight w:val="none"/>
          <w:lang w:val="en-US" w:eastAsia="zh-CN"/>
        </w:rPr>
        <w:t>但不限于</w:t>
      </w:r>
      <w:r>
        <w:rPr>
          <w:rFonts w:hint="eastAsia" w:ascii="宋体" w:hAnsi="宋体" w:cs="宋体"/>
          <w:szCs w:val="24"/>
          <w:highlight w:val="none"/>
        </w:rPr>
        <w:t>国控站点、省控站点。其监测数据包括空气质量6+1参数污染等级、首要污染物，并能根据空气质量6+1参数对站点进行排名。同时可在地图上按监测指标（空气质量6+1参数）等筛选查看关注的指标。</w:t>
      </w:r>
    </w:p>
    <w:p>
      <w:pPr>
        <w:numPr>
          <w:ilvl w:val="0"/>
          <w:numId w:val="38"/>
        </w:numPr>
        <w:adjustRightInd w:val="0"/>
        <w:snapToGrid w:val="0"/>
        <w:ind w:left="0" w:firstLine="504"/>
        <w:rPr>
          <w:rFonts w:hint="eastAsia" w:ascii="宋体" w:hAnsi="宋体" w:cs="宋体"/>
          <w:szCs w:val="24"/>
          <w:highlight w:val="none"/>
        </w:rPr>
      </w:pPr>
      <w:r>
        <w:rPr>
          <w:rFonts w:hint="eastAsia" w:ascii="宋体" w:hAnsi="宋体" w:cs="宋体"/>
          <w:szCs w:val="24"/>
          <w:highlight w:val="none"/>
        </w:rPr>
        <w:t>系统同时支持气象站点和气象数据在地图上展示。</w:t>
      </w:r>
    </w:p>
    <w:p>
      <w:pPr>
        <w:numPr>
          <w:ilvl w:val="0"/>
          <w:numId w:val="38"/>
        </w:numPr>
        <w:adjustRightInd w:val="0"/>
        <w:snapToGrid w:val="0"/>
        <w:ind w:left="0" w:firstLine="504"/>
        <w:rPr>
          <w:rFonts w:hint="eastAsia" w:ascii="宋体" w:hAnsi="宋体" w:cs="宋体"/>
          <w:szCs w:val="24"/>
          <w:highlight w:val="none"/>
        </w:rPr>
      </w:pPr>
      <w:r>
        <w:rPr>
          <w:rFonts w:hint="eastAsia" w:ascii="宋体" w:hAnsi="宋体" w:cs="宋体"/>
          <w:szCs w:val="24"/>
          <w:highlight w:val="none"/>
        </w:rPr>
        <w:t>要求对单个站点进行详情展示，包括站点名称、站点编号、设备状态（是否正常、ID、更新时间）、当前时刻站点空气质量监测详情以及空气质量监测指标变化曲线（支持1小时均值、1天均值查询），并可对不同监测指标间同一时刻内进行数据对比。</w:t>
      </w:r>
    </w:p>
    <w:p>
      <w:pPr>
        <w:numPr>
          <w:ilvl w:val="0"/>
          <w:numId w:val="38"/>
        </w:numPr>
        <w:adjustRightInd w:val="0"/>
        <w:snapToGrid w:val="0"/>
        <w:ind w:left="0" w:firstLine="504"/>
        <w:rPr>
          <w:rFonts w:hint="eastAsia" w:ascii="宋体" w:hAnsi="宋体" w:cs="宋体"/>
          <w:szCs w:val="24"/>
          <w:highlight w:val="none"/>
        </w:rPr>
      </w:pPr>
      <w:r>
        <w:rPr>
          <w:rFonts w:hint="eastAsia" w:ascii="宋体" w:hAnsi="宋体" w:cs="宋体"/>
          <w:szCs w:val="24"/>
          <w:highlight w:val="none"/>
        </w:rPr>
        <w:t>要求提供</w:t>
      </w:r>
      <w:r>
        <w:rPr>
          <w:rFonts w:hint="eastAsia" w:ascii="宋体" w:hAnsi="宋体" w:cs="宋体"/>
          <w:szCs w:val="24"/>
          <w:highlight w:val="none"/>
          <w:lang w:val="en-US" w:eastAsia="zh-CN"/>
        </w:rPr>
        <w:t>但不限于</w:t>
      </w:r>
      <w:r>
        <w:rPr>
          <w:rFonts w:hint="eastAsia" w:ascii="宋体" w:hAnsi="宋体" w:cs="宋体"/>
          <w:szCs w:val="24"/>
          <w:highlight w:val="none"/>
        </w:rPr>
        <w:t>国控站点、省控站点空气质量监测历史数据查询功能，并支持功能服务上线后查询以时刻为单位任意时间段的数据，以及天/时切换、时间线滚动数据播放。</w:t>
      </w:r>
    </w:p>
    <w:p>
      <w:pPr>
        <w:pStyle w:val="139"/>
        <w:numPr>
          <w:ilvl w:val="0"/>
          <w:numId w:val="40"/>
        </w:numPr>
        <w:adjustRightInd w:val="0"/>
        <w:snapToGrid w:val="0"/>
        <w:ind w:firstLineChars="0"/>
        <w:rPr>
          <w:rFonts w:hint="eastAsia" w:ascii="宋体" w:hAnsi="宋体" w:cs="宋体"/>
          <w:b/>
          <w:bCs/>
          <w:szCs w:val="24"/>
          <w:highlight w:val="none"/>
        </w:rPr>
      </w:pPr>
      <w:r>
        <w:rPr>
          <w:rFonts w:hint="eastAsia" w:ascii="宋体" w:hAnsi="宋体" w:cs="宋体"/>
          <w:b/>
          <w:bCs/>
          <w:szCs w:val="24"/>
          <w:highlight w:val="none"/>
        </w:rPr>
        <w:t>移动监测全域概览</w:t>
      </w:r>
    </w:p>
    <w:p>
      <w:pPr>
        <w:numPr>
          <w:ilvl w:val="0"/>
          <w:numId w:val="38"/>
        </w:numPr>
        <w:adjustRightInd w:val="0"/>
        <w:snapToGrid w:val="0"/>
        <w:ind w:left="0" w:firstLine="504"/>
        <w:rPr>
          <w:rFonts w:hint="eastAsia" w:ascii="宋体" w:hAnsi="宋体" w:cs="宋体"/>
          <w:szCs w:val="24"/>
          <w:highlight w:val="none"/>
        </w:rPr>
      </w:pPr>
      <w:r>
        <w:rPr>
          <w:rFonts w:hint="eastAsia" w:ascii="宋体" w:hAnsi="宋体" w:cs="宋体"/>
          <w:szCs w:val="24"/>
          <w:highlight w:val="none"/>
        </w:rPr>
        <w:t>要求接入实时车载移动监测设备数据，在地图上可按车辆信息进行实时展示选择。</w:t>
      </w:r>
    </w:p>
    <w:p>
      <w:pPr>
        <w:numPr>
          <w:ilvl w:val="0"/>
          <w:numId w:val="38"/>
        </w:numPr>
        <w:adjustRightInd w:val="0"/>
        <w:snapToGrid w:val="0"/>
        <w:ind w:left="0" w:firstLine="504"/>
        <w:rPr>
          <w:rFonts w:hint="eastAsia" w:ascii="宋体" w:hAnsi="宋体" w:cs="宋体"/>
          <w:szCs w:val="24"/>
        </w:rPr>
      </w:pPr>
      <w:r>
        <w:rPr>
          <w:rFonts w:hint="eastAsia" w:ascii="宋体" w:hAnsi="宋体" w:cs="宋体"/>
          <w:szCs w:val="24"/>
        </w:rPr>
        <w:t>要求可利用核心算法对车载监测的空气质量</w:t>
      </w:r>
      <w:r>
        <w:rPr>
          <w:rFonts w:hint="eastAsia" w:ascii="宋体" w:hAnsi="宋体" w:cs="宋体"/>
          <w:szCs w:val="24"/>
          <w:lang w:val="en-US" w:eastAsia="zh-CN"/>
        </w:rPr>
        <w:t>6</w:t>
      </w:r>
      <w:r>
        <w:rPr>
          <w:rFonts w:hint="eastAsia" w:ascii="宋体" w:hAnsi="宋体" w:cs="宋体"/>
          <w:szCs w:val="24"/>
        </w:rPr>
        <w:t>参数（PM2.5、PM10、SO2、NO2、CO、O3）以固定站所测数据为标准进行移动校对。</w:t>
      </w:r>
    </w:p>
    <w:p>
      <w:pPr>
        <w:numPr>
          <w:ilvl w:val="0"/>
          <w:numId w:val="38"/>
        </w:numPr>
        <w:adjustRightInd w:val="0"/>
        <w:snapToGrid w:val="0"/>
        <w:ind w:left="0" w:firstLine="504"/>
        <w:rPr>
          <w:rFonts w:hint="eastAsia" w:ascii="宋体" w:hAnsi="宋体" w:cs="宋体"/>
          <w:szCs w:val="24"/>
        </w:rPr>
      </w:pPr>
      <w:r>
        <w:rPr>
          <w:rFonts w:hint="eastAsia" w:ascii="宋体" w:hAnsi="宋体" w:cs="宋体"/>
          <w:szCs w:val="24"/>
        </w:rPr>
        <w:t>要求可实时接入车载移动设备，并对车辆当前状态（车辆名称、车辆编号、监测污染物名称与浓度值）进行数据展示，并支持成都市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不同类型空气质量站点监测的各类污染物浓度状态查看。</w:t>
      </w:r>
    </w:p>
    <w:p>
      <w:pPr>
        <w:numPr>
          <w:ilvl w:val="0"/>
          <w:numId w:val="38"/>
        </w:numPr>
        <w:adjustRightInd w:val="0"/>
        <w:snapToGrid w:val="0"/>
        <w:ind w:left="0" w:firstLine="504"/>
        <w:rPr>
          <w:rFonts w:hint="eastAsia" w:ascii="宋体" w:hAnsi="宋体" w:cs="宋体"/>
          <w:szCs w:val="24"/>
        </w:rPr>
      </w:pPr>
      <w:r>
        <w:rPr>
          <w:rFonts w:hint="eastAsia" w:ascii="宋体" w:hAnsi="宋体" w:cs="宋体"/>
          <w:szCs w:val="24"/>
        </w:rPr>
        <w:t>要求支持车载移动设备历史数据回溯（可选择任意时刻及多部车辆），并且提供轨迹播放速度切换。</w:t>
      </w:r>
    </w:p>
    <w:p>
      <w:pPr>
        <w:pStyle w:val="139"/>
        <w:numPr>
          <w:ilvl w:val="0"/>
          <w:numId w:val="40"/>
        </w:numPr>
        <w:adjustRightInd w:val="0"/>
        <w:snapToGrid w:val="0"/>
        <w:ind w:firstLineChars="0"/>
        <w:rPr>
          <w:rFonts w:hint="eastAsia" w:ascii="宋体" w:hAnsi="宋体" w:cs="宋体"/>
          <w:b/>
          <w:szCs w:val="24"/>
        </w:rPr>
      </w:pPr>
      <w:r>
        <w:rPr>
          <w:rFonts w:hint="eastAsia" w:ascii="宋体" w:hAnsi="宋体" w:cs="宋体"/>
          <w:b/>
          <w:szCs w:val="24"/>
        </w:rPr>
        <w:t>实时混合监测全域概览</w:t>
      </w:r>
    </w:p>
    <w:p>
      <w:pPr>
        <w:numPr>
          <w:ilvl w:val="0"/>
          <w:numId w:val="38"/>
        </w:numPr>
        <w:adjustRightInd w:val="0"/>
        <w:snapToGrid w:val="0"/>
        <w:ind w:left="0" w:firstLine="504"/>
        <w:rPr>
          <w:rFonts w:hint="eastAsia" w:ascii="宋体" w:hAnsi="宋体" w:cs="宋体"/>
          <w:szCs w:val="24"/>
        </w:rPr>
      </w:pPr>
      <w:r>
        <w:rPr>
          <w:rFonts w:hint="eastAsia" w:ascii="宋体" w:hAnsi="宋体" w:cs="宋体"/>
          <w:szCs w:val="24"/>
        </w:rPr>
        <w:t>要求可实时接入车载移动设备，并对车辆当前状态（车辆名称、车辆编号、监测污染物名称与浓度值）进行数据展示。</w:t>
      </w:r>
    </w:p>
    <w:p>
      <w:pPr>
        <w:numPr>
          <w:ilvl w:val="0"/>
          <w:numId w:val="38"/>
        </w:numPr>
        <w:adjustRightInd w:val="0"/>
        <w:snapToGrid w:val="0"/>
        <w:ind w:left="0" w:firstLine="504"/>
        <w:rPr>
          <w:rFonts w:hint="eastAsia" w:ascii="宋体" w:hAnsi="宋体" w:cs="宋体"/>
          <w:szCs w:val="24"/>
        </w:rPr>
      </w:pPr>
      <w:r>
        <w:rPr>
          <w:rFonts w:hint="eastAsia" w:ascii="宋体" w:hAnsi="宋体" w:cs="宋体"/>
          <w:szCs w:val="24"/>
        </w:rPr>
        <w:t>可同时支持气象站点和气象数据在地图上进行展示。</w:t>
      </w:r>
    </w:p>
    <w:p>
      <w:pPr>
        <w:pStyle w:val="6"/>
        <w:numPr>
          <w:ilvl w:val="0"/>
          <w:numId w:val="39"/>
        </w:numPr>
        <w:adjustRightInd w:val="0"/>
        <w:snapToGrid w:val="0"/>
        <w:ind w:firstLineChars="0"/>
        <w:rPr>
          <w:rFonts w:hint="eastAsia" w:cs="宋体"/>
          <w:szCs w:val="24"/>
        </w:rPr>
      </w:pPr>
      <w:r>
        <w:rPr>
          <w:rFonts w:hint="eastAsia" w:cs="宋体"/>
          <w:szCs w:val="24"/>
        </w:rPr>
        <w:t>全域空气质量精确分析</w:t>
      </w:r>
    </w:p>
    <w:p>
      <w:pPr>
        <w:pStyle w:val="139"/>
        <w:numPr>
          <w:ilvl w:val="0"/>
          <w:numId w:val="41"/>
        </w:numPr>
        <w:adjustRightInd w:val="0"/>
        <w:snapToGrid w:val="0"/>
        <w:ind w:firstLineChars="0"/>
        <w:rPr>
          <w:rFonts w:hint="eastAsia" w:ascii="宋体" w:hAnsi="宋体" w:cs="宋体"/>
          <w:b/>
          <w:szCs w:val="24"/>
        </w:rPr>
      </w:pPr>
      <w:r>
        <w:rPr>
          <w:rFonts w:hint="eastAsia" w:ascii="宋体" w:hAnsi="宋体" w:cs="宋体"/>
          <w:b/>
          <w:szCs w:val="24"/>
        </w:rPr>
        <w:t>整体技术要求</w:t>
      </w:r>
    </w:p>
    <w:p>
      <w:pPr>
        <w:numPr>
          <w:ilvl w:val="0"/>
          <w:numId w:val="38"/>
        </w:numPr>
        <w:adjustRightInd w:val="0"/>
        <w:snapToGrid w:val="0"/>
        <w:ind w:left="0" w:firstLine="496" w:firstLineChars="198"/>
        <w:rPr>
          <w:rFonts w:hint="eastAsia" w:ascii="宋体" w:hAnsi="宋体" w:cs="宋体"/>
          <w:szCs w:val="24"/>
        </w:rPr>
      </w:pPr>
      <w:r>
        <w:rPr>
          <w:rFonts w:hint="eastAsia" w:ascii="宋体" w:hAnsi="宋体" w:cs="宋体"/>
          <w:szCs w:val="24"/>
        </w:rPr>
        <w:t>要求此项功能基于固定和移动监测站的覆盖进行成都市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的监测网格的空气质量6+1参数感知（2km</w:t>
      </w:r>
      <w:r>
        <w:rPr>
          <w:rFonts w:hint="eastAsia" w:ascii="Segoe UI Emoji" w:hAnsi="Segoe UI Emoji" w:cs="Segoe UI Emoji"/>
          <w:szCs w:val="24"/>
        </w:rPr>
        <w:t>×</w:t>
      </w:r>
      <w:r>
        <w:rPr>
          <w:rFonts w:hint="eastAsia" w:ascii="宋体" w:hAnsi="宋体" w:cs="宋体"/>
          <w:szCs w:val="24"/>
        </w:rPr>
        <w:t>2km空间颗粒度，1小时时间细粒度，未来可持续扩展精度）。在无监测站点覆盖的情况下对该网格空气质量6+1参数进行推算（即空间推断），准确度不低于</w:t>
      </w:r>
      <w:r>
        <w:rPr>
          <w:rFonts w:hint="eastAsia" w:ascii="宋体" w:hAnsi="宋体" w:cs="宋体"/>
          <w:szCs w:val="24"/>
          <w:lang w:val="en-US" w:eastAsia="zh-CN"/>
        </w:rPr>
        <w:t>7</w:t>
      </w:r>
      <w:r>
        <w:rPr>
          <w:rFonts w:hint="eastAsia" w:ascii="宋体" w:hAnsi="宋体" w:cs="宋体"/>
          <w:szCs w:val="24"/>
        </w:rPr>
        <w:t>0%。</w:t>
      </w:r>
    </w:p>
    <w:p>
      <w:pPr>
        <w:numPr>
          <w:ilvl w:val="0"/>
          <w:numId w:val="38"/>
        </w:numPr>
        <w:adjustRightInd w:val="0"/>
        <w:snapToGrid w:val="0"/>
        <w:ind w:left="0" w:firstLine="504"/>
        <w:rPr>
          <w:rFonts w:hint="eastAsia" w:ascii="宋体" w:hAnsi="宋体" w:cs="宋体"/>
          <w:szCs w:val="24"/>
        </w:rPr>
      </w:pPr>
      <w:r>
        <w:rPr>
          <w:rFonts w:hint="eastAsia" w:ascii="宋体" w:hAnsi="宋体" w:cs="宋体"/>
          <w:szCs w:val="24"/>
        </w:rPr>
        <w:t>要求3年服务期间提供全域网格推断数据总量不低于1.1亿条。</w:t>
      </w:r>
    </w:p>
    <w:p>
      <w:pPr>
        <w:numPr>
          <w:ilvl w:val="0"/>
          <w:numId w:val="38"/>
        </w:numPr>
        <w:adjustRightInd w:val="0"/>
        <w:snapToGrid w:val="0"/>
        <w:ind w:left="0" w:firstLine="504"/>
        <w:rPr>
          <w:rFonts w:hint="eastAsia" w:ascii="宋体" w:hAnsi="宋体" w:cs="宋体"/>
          <w:szCs w:val="24"/>
        </w:rPr>
      </w:pPr>
      <w:r>
        <w:rPr>
          <w:rFonts w:hint="eastAsia" w:ascii="宋体" w:hAnsi="宋体" w:cs="宋体"/>
          <w:szCs w:val="24"/>
        </w:rPr>
        <w:t>要求可提供全域网格空气质量6+1参数时空分布的动态视频（每小时为一帧）。</w:t>
      </w:r>
    </w:p>
    <w:p>
      <w:pPr>
        <w:pStyle w:val="139"/>
        <w:numPr>
          <w:ilvl w:val="0"/>
          <w:numId w:val="42"/>
        </w:numPr>
        <w:adjustRightInd w:val="0"/>
        <w:snapToGrid w:val="0"/>
        <w:ind w:left="0" w:leftChars="0" w:firstLine="420" w:firstLineChars="0"/>
        <w:rPr>
          <w:rFonts w:hint="eastAsia" w:ascii="宋体" w:hAnsi="宋体" w:cs="宋体"/>
          <w:b/>
          <w:bCs/>
          <w:szCs w:val="24"/>
        </w:rPr>
      </w:pPr>
      <w:r>
        <w:rPr>
          <w:rFonts w:hint="eastAsia" w:ascii="宋体" w:hAnsi="宋体" w:cs="宋体"/>
          <w:b/>
          <w:bCs/>
          <w:szCs w:val="24"/>
        </w:rPr>
        <w:t>污染空间推断分析</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要求能够按照时间顺序可视化播放展示成都市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全域网格化（颗粒度2km</w:t>
      </w:r>
      <w:r>
        <w:rPr>
          <w:rFonts w:hint="eastAsia" w:ascii="Segoe UI Emoji" w:hAnsi="Segoe UI Emoji" w:cs="Segoe UI Emoji"/>
          <w:szCs w:val="24"/>
        </w:rPr>
        <w:t>×</w:t>
      </w:r>
      <w:r>
        <w:rPr>
          <w:rFonts w:hint="eastAsia" w:ascii="宋体" w:hAnsi="宋体" w:cs="宋体"/>
          <w:szCs w:val="24"/>
        </w:rPr>
        <w:t>2km，1小时）空气质量6+1参数变化，实现全面域、无死角大气污染源在线监测，并且可以根据时段选择任意历史数据的动态滚动播放（逐天、逐小时、时间间隔1小时）以及可在地图上按监测指标（空气质量6+1参数）等筛选查看对应网格变化。</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要求可支持对每个网格进行详情查看，包括此网格内气象特征、地理信息、基础特征、污染源特征等基础信息查看，并可对6+1参数小时级数据进行最近24小时变化趋势对比。</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要求可在地图上进行网格化信息展示，并且空间分辨率达到2kmx2km，未来支持更高精度扩展。</w:t>
      </w:r>
    </w:p>
    <w:p>
      <w:pPr>
        <w:pStyle w:val="139"/>
        <w:numPr>
          <w:ilvl w:val="0"/>
          <w:numId w:val="42"/>
        </w:numPr>
        <w:adjustRightInd w:val="0"/>
        <w:snapToGrid w:val="0"/>
        <w:ind w:left="0" w:leftChars="0" w:firstLine="420" w:firstLineChars="0"/>
        <w:rPr>
          <w:rFonts w:hint="eastAsia" w:ascii="宋体" w:hAnsi="宋体" w:cs="宋体"/>
          <w:b/>
          <w:bCs/>
          <w:szCs w:val="24"/>
        </w:rPr>
      </w:pPr>
      <w:r>
        <w:rPr>
          <w:rFonts w:hint="eastAsia" w:ascii="宋体" w:hAnsi="宋体" w:cs="宋体"/>
          <w:b/>
          <w:bCs/>
          <w:szCs w:val="24"/>
        </w:rPr>
        <w:t>多源数据融合展示</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要求集成成都市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的网格化气象数据（包括温度、湿度、气压、风速、降水量），并以动态可视化（网格化数据、时间间隔1小时）的方式进行滚动数据展示。</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要求接入成都市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绿地、水域、海拔分布等地理信息数据，工厂、餐饮、工地等基础信息分布数据，并以可视化（网格化数据）方式进行展示。</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要求可在地图上进行网格化信息展示，并且空间分辨率达到2km</w:t>
      </w:r>
      <w:r>
        <w:rPr>
          <w:rFonts w:hint="eastAsia" w:ascii="Segoe UI Emoji" w:hAnsi="Segoe UI Emoji" w:cs="Segoe UI Emoji"/>
          <w:szCs w:val="24"/>
        </w:rPr>
        <w:t>×</w:t>
      </w:r>
      <w:r>
        <w:rPr>
          <w:rFonts w:hint="eastAsia" w:ascii="宋体" w:hAnsi="宋体" w:cs="宋体"/>
          <w:szCs w:val="24"/>
        </w:rPr>
        <w:t>2km，未来支持更高精度扩展。</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要求功能具备智能化数据融合能力。能够对职能部门现场执法、有效管控提供数据支撑，并根据现场反馈数据开展自主学习。</w:t>
      </w:r>
    </w:p>
    <w:p>
      <w:pPr>
        <w:pStyle w:val="139"/>
        <w:numPr>
          <w:ilvl w:val="0"/>
          <w:numId w:val="42"/>
        </w:numPr>
        <w:adjustRightInd w:val="0"/>
        <w:snapToGrid w:val="0"/>
        <w:ind w:left="0" w:leftChars="0" w:firstLine="420" w:firstLineChars="0"/>
        <w:rPr>
          <w:rFonts w:hint="eastAsia" w:ascii="宋体" w:hAnsi="宋体" w:cs="宋体"/>
          <w:b/>
          <w:bCs/>
          <w:szCs w:val="24"/>
        </w:rPr>
      </w:pPr>
      <w:r>
        <w:rPr>
          <w:rFonts w:hint="eastAsia" w:ascii="宋体" w:hAnsi="宋体" w:cs="宋体"/>
          <w:b/>
          <w:bCs/>
          <w:szCs w:val="24"/>
        </w:rPr>
        <w:t>污染空间推断精度评价</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要求对全域空间推断效果（每小时）进行综合评价分析，并且支持评价累计数值统计及评价分段数值统计（支持任意时间段选择）。</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要求可对空间推断效果（每小时）进行数值分析，包括空气质量6+1参数，并同时支持任意时间段选择。</w:t>
      </w:r>
    </w:p>
    <w:p>
      <w:pPr>
        <w:pStyle w:val="6"/>
        <w:numPr>
          <w:ilvl w:val="0"/>
          <w:numId w:val="39"/>
        </w:numPr>
        <w:adjustRightInd w:val="0"/>
        <w:snapToGrid w:val="0"/>
        <w:ind w:firstLineChars="0"/>
        <w:rPr>
          <w:rFonts w:hint="eastAsia" w:cs="宋体"/>
          <w:szCs w:val="24"/>
        </w:rPr>
      </w:pPr>
      <w:r>
        <w:rPr>
          <w:rFonts w:hint="eastAsia" w:cs="宋体"/>
          <w:szCs w:val="24"/>
        </w:rPr>
        <w:t>空气质量预测</w:t>
      </w:r>
    </w:p>
    <w:p>
      <w:pPr>
        <w:adjustRightInd w:val="0"/>
        <w:snapToGrid w:val="0"/>
        <w:ind w:firstLine="506"/>
        <w:rPr>
          <w:rFonts w:hint="eastAsia" w:ascii="宋体" w:hAnsi="宋体" w:cs="宋体"/>
          <w:b/>
          <w:szCs w:val="24"/>
        </w:rPr>
      </w:pPr>
      <w:r>
        <w:rPr>
          <w:rFonts w:hint="eastAsia" w:ascii="宋体" w:hAnsi="宋体" w:cs="宋体"/>
          <w:b/>
          <w:szCs w:val="24"/>
        </w:rPr>
        <w:t>整体技术要求</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要求可实现成都市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的空气质量进行未来两天逐日空气质量数值预测（预测准确率不低于</w:t>
      </w:r>
      <w:r>
        <w:rPr>
          <w:rFonts w:hint="eastAsia" w:ascii="宋体" w:hAnsi="宋体" w:cs="宋体"/>
          <w:szCs w:val="24"/>
          <w:lang w:val="en-US" w:eastAsia="zh-CN"/>
        </w:rPr>
        <w:t>65</w:t>
      </w:r>
      <w:r>
        <w:rPr>
          <w:rFonts w:hint="eastAsia" w:ascii="宋体" w:hAnsi="宋体" w:cs="宋体"/>
          <w:szCs w:val="24"/>
        </w:rPr>
        <w:t>%）。</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要求根据达到上述准确度的预测服务为成都市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的短时空气质量调控提供数据支撑和辅助决策。</w:t>
      </w:r>
    </w:p>
    <w:p>
      <w:pPr>
        <w:pStyle w:val="139"/>
        <w:numPr>
          <w:ilvl w:val="0"/>
          <w:numId w:val="44"/>
        </w:numPr>
        <w:adjustRightInd w:val="0"/>
        <w:snapToGrid w:val="0"/>
        <w:ind w:firstLineChars="0"/>
        <w:rPr>
          <w:rFonts w:hint="eastAsia" w:ascii="宋体" w:hAnsi="宋体" w:cs="宋体"/>
          <w:b/>
          <w:bCs/>
          <w:szCs w:val="24"/>
        </w:rPr>
      </w:pPr>
      <w:r>
        <w:rPr>
          <w:rFonts w:hint="eastAsia" w:ascii="宋体" w:hAnsi="宋体" w:cs="宋体"/>
          <w:b/>
          <w:bCs/>
          <w:szCs w:val="24"/>
        </w:rPr>
        <w:t>多维度空气质量预测</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要求能够对全域空气质量在未来两天的范围中进行逐日预测，预测内容为空气质量6+1参数，并将空气质量等级及首要污染物同步发布，同时支持历史预测数据及空气质量预测趋势的查询。</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要求能够对辖区内每个2km</w:t>
      </w:r>
      <w:r>
        <w:rPr>
          <w:rFonts w:hint="eastAsia" w:ascii="Segoe UI Emoji" w:hAnsi="Segoe UI Emoji" w:cs="Segoe UI Emoji"/>
          <w:szCs w:val="24"/>
        </w:rPr>
        <w:t>×</w:t>
      </w:r>
      <w:r>
        <w:rPr>
          <w:rFonts w:hint="eastAsia" w:ascii="宋体" w:hAnsi="宋体" w:cs="宋体"/>
          <w:szCs w:val="24"/>
        </w:rPr>
        <w:t>2km网格的空气质量数据进行未来2小时内短时预测，并将空气质量等级及首要污染物同步发布，同时将网格预测空气质量进行全域可视化展示，支持网格层面历史预测数据及准确率趋势查询。</w:t>
      </w:r>
    </w:p>
    <w:p>
      <w:pPr>
        <w:pStyle w:val="139"/>
        <w:numPr>
          <w:ilvl w:val="0"/>
          <w:numId w:val="44"/>
        </w:numPr>
        <w:adjustRightInd w:val="0"/>
        <w:snapToGrid w:val="0"/>
        <w:ind w:firstLineChars="0"/>
        <w:rPr>
          <w:rFonts w:hint="eastAsia" w:ascii="宋体" w:hAnsi="宋体" w:cs="宋体"/>
          <w:b/>
          <w:bCs/>
          <w:szCs w:val="24"/>
        </w:rPr>
      </w:pPr>
      <w:r>
        <w:rPr>
          <w:rFonts w:hint="eastAsia" w:ascii="宋体" w:hAnsi="宋体" w:cs="宋体"/>
          <w:b/>
          <w:bCs/>
          <w:szCs w:val="24"/>
        </w:rPr>
        <w:t>空气质量预测精度评价</w:t>
      </w:r>
    </w:p>
    <w:p>
      <w:pPr>
        <w:numPr>
          <w:ilvl w:val="0"/>
          <w:numId w:val="43"/>
        </w:numPr>
        <w:adjustRightInd w:val="0"/>
        <w:snapToGrid w:val="0"/>
        <w:ind w:firstLine="504"/>
        <w:rPr>
          <w:rFonts w:hint="eastAsia" w:ascii="宋体" w:hAnsi="宋体" w:cs="宋体"/>
          <w:szCs w:val="24"/>
        </w:rPr>
      </w:pPr>
      <w:r>
        <w:rPr>
          <w:rFonts w:hint="eastAsia" w:ascii="宋体" w:hAnsi="宋体" w:cs="宋体"/>
          <w:szCs w:val="24"/>
        </w:rPr>
        <w:t>要求分别对全域预测效果进行综合评价分析，并且支持累计准确率统计及分时段准确率统计（支持任意时间段选择）。</w:t>
      </w:r>
    </w:p>
    <w:p>
      <w:pPr>
        <w:pStyle w:val="6"/>
        <w:numPr>
          <w:ilvl w:val="0"/>
          <w:numId w:val="39"/>
        </w:numPr>
        <w:adjustRightInd w:val="0"/>
        <w:snapToGrid w:val="0"/>
        <w:ind w:firstLineChars="0"/>
        <w:rPr>
          <w:rFonts w:hint="eastAsia" w:cs="宋体"/>
          <w:szCs w:val="24"/>
        </w:rPr>
      </w:pPr>
      <w:r>
        <w:rPr>
          <w:rFonts w:hint="eastAsia" w:cs="宋体"/>
          <w:szCs w:val="24"/>
        </w:rPr>
        <w:t>污染溯源分析</w:t>
      </w:r>
    </w:p>
    <w:p>
      <w:pPr>
        <w:adjustRightInd w:val="0"/>
        <w:snapToGrid w:val="0"/>
        <w:ind w:firstLine="506"/>
        <w:rPr>
          <w:rFonts w:hint="eastAsia" w:ascii="宋体" w:hAnsi="宋体" w:cs="宋体"/>
          <w:b/>
          <w:szCs w:val="24"/>
        </w:rPr>
      </w:pPr>
      <w:r>
        <w:rPr>
          <w:rFonts w:hint="eastAsia" w:ascii="宋体" w:hAnsi="宋体" w:cs="宋体"/>
          <w:b/>
          <w:szCs w:val="24"/>
        </w:rPr>
        <w:t>整体技术要求</w:t>
      </w:r>
    </w:p>
    <w:p>
      <w:pPr>
        <w:numPr>
          <w:ilvl w:val="0"/>
          <w:numId w:val="43"/>
        </w:numPr>
        <w:ind w:firstLine="504"/>
        <w:rPr>
          <w:rFonts w:hint="eastAsia" w:ascii="宋体" w:hAnsi="宋体" w:cs="宋体"/>
          <w:szCs w:val="24"/>
        </w:rPr>
      </w:pPr>
      <w:r>
        <w:rPr>
          <w:rFonts w:hint="eastAsia" w:ascii="宋体" w:hAnsi="宋体" w:cs="宋体"/>
          <w:szCs w:val="24"/>
        </w:rPr>
        <w:t>要求可按用户设定时段（任意月份、季度、年度），对成都市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内</w:t>
      </w:r>
      <w:r>
        <w:rPr>
          <w:rFonts w:hint="eastAsia" w:ascii="宋体" w:hAnsi="宋体" w:cs="宋体"/>
          <w:szCs w:val="24"/>
          <w:lang w:val="en-US" w:eastAsia="zh-CN"/>
        </w:rPr>
        <w:t>的</w:t>
      </w:r>
      <w:r>
        <w:rPr>
          <w:rFonts w:hint="eastAsia" w:ascii="宋体" w:hAnsi="宋体" w:cs="宋体"/>
          <w:szCs w:val="24"/>
        </w:rPr>
        <w:t>污染</w:t>
      </w:r>
      <w:r>
        <w:rPr>
          <w:rFonts w:hint="eastAsia" w:ascii="宋体" w:hAnsi="宋体" w:cs="宋体"/>
          <w:szCs w:val="24"/>
          <w:lang w:val="en-US" w:eastAsia="zh-CN"/>
        </w:rPr>
        <w:t>进行统计分析，</w:t>
      </w:r>
      <w:r>
        <w:rPr>
          <w:rFonts w:hint="eastAsia" w:ascii="宋体" w:hAnsi="宋体" w:cs="宋体"/>
          <w:szCs w:val="24"/>
        </w:rPr>
        <w:t>以协助相关部门确定大气调控重点和优先级。</w:t>
      </w:r>
    </w:p>
    <w:p>
      <w:pPr>
        <w:numPr>
          <w:ilvl w:val="0"/>
          <w:numId w:val="43"/>
        </w:numPr>
        <w:ind w:firstLine="504"/>
        <w:rPr>
          <w:rFonts w:hint="eastAsia" w:ascii="宋体" w:hAnsi="宋体" w:cs="宋体"/>
          <w:szCs w:val="24"/>
        </w:rPr>
      </w:pPr>
      <w:r>
        <w:rPr>
          <w:rFonts w:hint="eastAsia" w:ascii="宋体" w:hAnsi="宋体" w:cs="宋体"/>
          <w:szCs w:val="24"/>
        </w:rPr>
        <w:t>要求可在成都市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内抓取局部污染事件，并基于污染源大数据平台进行局部污染判定，以及污染行业与疑似污染源的自动化识别。污染事件和污染源判定的准确率可随数据的累积而阶段性提升。</w:t>
      </w:r>
    </w:p>
    <w:p>
      <w:pPr>
        <w:numPr>
          <w:ilvl w:val="0"/>
          <w:numId w:val="43"/>
        </w:numPr>
        <w:ind w:firstLine="504"/>
        <w:rPr>
          <w:rFonts w:hint="eastAsia" w:ascii="宋体" w:hAnsi="宋体" w:cs="宋体"/>
          <w:szCs w:val="24"/>
        </w:rPr>
      </w:pPr>
      <w:r>
        <w:rPr>
          <w:rFonts w:hint="eastAsia" w:ascii="宋体" w:hAnsi="宋体" w:cs="宋体"/>
          <w:szCs w:val="24"/>
        </w:rPr>
        <w:t>可根据用户需求，对污染事件的性质、等级、严重程度进行配置，形成有效可推送事件。可对历史污染事件进行挖掘，识别成都市</w:t>
      </w:r>
      <w:r>
        <w:rPr>
          <w:rFonts w:hint="eastAsia" w:ascii="宋体" w:hAnsi="宋体" w:cs="宋体"/>
          <w:szCs w:val="24"/>
          <w:lang w:eastAsia="zh-CN"/>
        </w:rPr>
        <w:t>“</w:t>
      </w:r>
      <w:r>
        <w:rPr>
          <w:rFonts w:hint="eastAsia" w:ascii="宋体" w:hAnsi="宋体" w:cs="宋体"/>
          <w:szCs w:val="24"/>
          <w:lang w:val="en-US" w:eastAsia="zh-CN"/>
        </w:rPr>
        <w:t>6+1</w:t>
      </w:r>
      <w:r>
        <w:rPr>
          <w:rFonts w:hint="eastAsia" w:ascii="宋体" w:hAnsi="宋体" w:cs="宋体"/>
          <w:szCs w:val="24"/>
          <w:lang w:eastAsia="zh-CN"/>
        </w:rPr>
        <w:t>”</w:t>
      </w:r>
      <w:r>
        <w:rPr>
          <w:rFonts w:hint="eastAsia" w:ascii="宋体" w:hAnsi="宋体" w:cs="宋体"/>
          <w:szCs w:val="24"/>
          <w:lang w:val="en-US" w:eastAsia="zh-CN"/>
        </w:rPr>
        <w:t>目标区域</w:t>
      </w:r>
      <w:r>
        <w:rPr>
          <w:rFonts w:hint="eastAsia" w:ascii="宋体" w:hAnsi="宋体" w:cs="宋体"/>
          <w:szCs w:val="24"/>
        </w:rPr>
        <w:t>内污染频发地点，以及频发污染源和高贡献污染源。</w:t>
      </w:r>
    </w:p>
    <w:p>
      <w:pPr>
        <w:pStyle w:val="2"/>
        <w:rPr>
          <w:rFonts w:hint="eastAsia"/>
        </w:rPr>
      </w:pPr>
    </w:p>
    <w:p>
      <w:pPr>
        <w:pStyle w:val="139"/>
        <w:numPr>
          <w:ilvl w:val="0"/>
          <w:numId w:val="45"/>
        </w:numPr>
        <w:adjustRightInd w:val="0"/>
        <w:snapToGrid w:val="0"/>
        <w:ind w:firstLineChars="0"/>
        <w:rPr>
          <w:rFonts w:hint="eastAsia" w:ascii="宋体" w:hAnsi="宋体" w:cs="宋体"/>
          <w:b/>
          <w:bCs/>
          <w:szCs w:val="24"/>
        </w:rPr>
      </w:pPr>
      <w:r>
        <w:rPr>
          <w:rFonts w:hint="eastAsia" w:ascii="宋体" w:hAnsi="宋体" w:cs="宋体"/>
          <w:b/>
          <w:bCs/>
          <w:szCs w:val="24"/>
        </w:rPr>
        <w:t>全域整体污染成因分析</w:t>
      </w:r>
    </w:p>
    <w:p>
      <w:pPr>
        <w:numPr>
          <w:ilvl w:val="0"/>
          <w:numId w:val="43"/>
        </w:numPr>
        <w:ind w:firstLine="504"/>
        <w:rPr>
          <w:rFonts w:hint="eastAsia" w:ascii="宋体" w:hAnsi="宋体" w:cs="宋体"/>
          <w:szCs w:val="24"/>
        </w:rPr>
      </w:pPr>
      <w:r>
        <w:rPr>
          <w:rFonts w:hint="eastAsia" w:ascii="宋体" w:hAnsi="宋体" w:cs="宋体"/>
          <w:szCs w:val="24"/>
        </w:rPr>
        <w:t>要求展示任意日期成都市</w:t>
      </w:r>
      <w:r>
        <w:rPr>
          <w:rFonts w:hint="eastAsia" w:ascii="宋体" w:hAnsi="宋体" w:cs="宋体"/>
          <w:szCs w:val="24"/>
          <w:lang w:eastAsia="zh-CN"/>
        </w:rPr>
        <w:t>“6+1”目标区域</w:t>
      </w:r>
      <w:r>
        <w:rPr>
          <w:rFonts w:hint="eastAsia" w:ascii="宋体" w:hAnsi="宋体" w:cs="宋体"/>
          <w:szCs w:val="24"/>
        </w:rPr>
        <w:t>空气质量动态热力视频（包含空气质量6+1参数，2km</w:t>
      </w:r>
      <w:r>
        <w:rPr>
          <w:rFonts w:hint="eastAsia" w:ascii="Segoe UI Emoji" w:hAnsi="Segoe UI Emoji" w:cs="Segoe UI Emoji"/>
          <w:szCs w:val="24"/>
        </w:rPr>
        <w:t>×</w:t>
      </w:r>
      <w:r>
        <w:rPr>
          <w:rFonts w:hint="eastAsia" w:ascii="宋体" w:hAnsi="宋体" w:cs="宋体"/>
          <w:szCs w:val="24"/>
        </w:rPr>
        <w:t>2km网格化，小时级）、及当日气象参数变化趋势。</w:t>
      </w:r>
    </w:p>
    <w:p>
      <w:pPr>
        <w:numPr>
          <w:ilvl w:val="0"/>
          <w:numId w:val="43"/>
        </w:numPr>
        <w:ind w:firstLine="504"/>
        <w:rPr>
          <w:rFonts w:hint="eastAsia" w:ascii="宋体" w:hAnsi="宋体" w:cs="宋体"/>
          <w:szCs w:val="24"/>
        </w:rPr>
      </w:pPr>
      <w:r>
        <w:rPr>
          <w:rFonts w:hint="eastAsia" w:ascii="宋体" w:hAnsi="宋体" w:cs="宋体"/>
          <w:szCs w:val="24"/>
        </w:rPr>
        <w:t>要求提供历史空气质量（6+1参数）的动态热力视频（2km</w:t>
      </w:r>
      <w:r>
        <w:rPr>
          <w:rFonts w:hint="eastAsia" w:ascii="Segoe UI Emoji" w:hAnsi="Segoe UI Emoji" w:cs="Segoe UI Emoji"/>
          <w:szCs w:val="24"/>
        </w:rPr>
        <w:t>×</w:t>
      </w:r>
      <w:r>
        <w:rPr>
          <w:rFonts w:hint="eastAsia" w:ascii="宋体" w:hAnsi="宋体" w:cs="宋体"/>
          <w:szCs w:val="24"/>
        </w:rPr>
        <w:t>2km 网格化，小时级）。</w:t>
      </w:r>
    </w:p>
    <w:p>
      <w:pPr>
        <w:pStyle w:val="139"/>
        <w:numPr>
          <w:ilvl w:val="0"/>
          <w:numId w:val="45"/>
        </w:numPr>
        <w:adjustRightInd w:val="0"/>
        <w:snapToGrid w:val="0"/>
        <w:ind w:firstLineChars="0"/>
        <w:rPr>
          <w:rFonts w:hint="eastAsia" w:ascii="宋体" w:hAnsi="宋体" w:cs="宋体"/>
          <w:szCs w:val="24"/>
        </w:rPr>
      </w:pPr>
      <w:r>
        <w:rPr>
          <w:rFonts w:hint="eastAsia" w:ascii="宋体" w:hAnsi="宋体" w:cs="宋体"/>
          <w:b/>
          <w:bCs/>
          <w:szCs w:val="24"/>
        </w:rPr>
        <w:t>局部污染成因分析</w:t>
      </w:r>
    </w:p>
    <w:p>
      <w:pPr>
        <w:numPr>
          <w:ilvl w:val="0"/>
          <w:numId w:val="43"/>
        </w:numPr>
        <w:ind w:firstLine="504"/>
        <w:rPr>
          <w:rFonts w:hint="eastAsia" w:ascii="宋体" w:hAnsi="宋体" w:cs="宋体"/>
          <w:szCs w:val="24"/>
        </w:rPr>
      </w:pPr>
      <w:r>
        <w:rPr>
          <w:rFonts w:hint="eastAsia" w:ascii="宋体" w:hAnsi="宋体" w:cs="宋体"/>
          <w:szCs w:val="24"/>
        </w:rPr>
        <w:t>要求可记录并展现局部污染案例的相关信息，包括但不限于发生时间、主要污染物等。</w:t>
      </w:r>
    </w:p>
    <w:p>
      <w:pPr>
        <w:numPr>
          <w:ilvl w:val="0"/>
          <w:numId w:val="43"/>
        </w:numPr>
        <w:ind w:firstLine="504"/>
        <w:rPr>
          <w:rFonts w:hint="eastAsia" w:ascii="宋体" w:hAnsi="宋体" w:cs="宋体"/>
          <w:szCs w:val="24"/>
        </w:rPr>
      </w:pPr>
      <w:r>
        <w:rPr>
          <w:rFonts w:hint="eastAsia" w:ascii="宋体" w:hAnsi="宋体" w:cs="宋体"/>
          <w:szCs w:val="24"/>
        </w:rPr>
        <w:t>要求在成都市</w:t>
      </w:r>
      <w:r>
        <w:rPr>
          <w:rFonts w:hint="eastAsia" w:ascii="宋体" w:hAnsi="宋体" w:cs="宋体"/>
          <w:szCs w:val="24"/>
          <w:lang w:eastAsia="zh-CN"/>
        </w:rPr>
        <w:t>“6+1”目标区域</w:t>
      </w:r>
      <w:r>
        <w:rPr>
          <w:rFonts w:hint="eastAsia" w:ascii="宋体" w:hAnsi="宋体" w:cs="宋体"/>
          <w:szCs w:val="24"/>
        </w:rPr>
        <w:t>内提供局部污染事件信息（包括但不限于时间、坐标、主要污染物），提供疑似污染源清单并推送相关职能部门。</w:t>
      </w:r>
    </w:p>
    <w:p>
      <w:pPr>
        <w:numPr>
          <w:ilvl w:val="0"/>
          <w:numId w:val="43"/>
        </w:numPr>
        <w:ind w:firstLine="504"/>
        <w:rPr>
          <w:rFonts w:hint="eastAsia" w:ascii="宋体" w:hAnsi="宋体" w:cs="宋体"/>
          <w:szCs w:val="24"/>
        </w:rPr>
      </w:pPr>
      <w:r>
        <w:rPr>
          <w:rFonts w:hint="eastAsia" w:ascii="宋体" w:hAnsi="宋体" w:cs="宋体"/>
          <w:szCs w:val="24"/>
        </w:rPr>
        <w:t>要求可根据溯源分析结果将污染事件与污染源进行归档处理。</w:t>
      </w:r>
    </w:p>
    <w:p>
      <w:pPr>
        <w:pStyle w:val="6"/>
        <w:numPr>
          <w:ilvl w:val="0"/>
          <w:numId w:val="39"/>
        </w:numPr>
        <w:adjustRightInd w:val="0"/>
        <w:snapToGrid w:val="0"/>
        <w:ind w:firstLineChars="0"/>
        <w:rPr>
          <w:rFonts w:hint="eastAsia" w:cs="宋体"/>
          <w:szCs w:val="24"/>
        </w:rPr>
      </w:pPr>
      <w:r>
        <w:rPr>
          <w:rFonts w:hint="eastAsia" w:cs="宋体"/>
          <w:szCs w:val="24"/>
        </w:rPr>
        <w:t>空气污染事件告警</w:t>
      </w:r>
    </w:p>
    <w:p>
      <w:pPr>
        <w:adjustRightInd w:val="0"/>
        <w:snapToGrid w:val="0"/>
        <w:ind w:firstLine="506"/>
        <w:rPr>
          <w:rFonts w:hint="eastAsia" w:ascii="宋体" w:hAnsi="宋体" w:cs="宋体"/>
          <w:b/>
          <w:szCs w:val="24"/>
        </w:rPr>
      </w:pPr>
      <w:r>
        <w:rPr>
          <w:rFonts w:hint="eastAsia" w:ascii="宋体" w:hAnsi="宋体" w:cs="宋体"/>
          <w:b/>
          <w:szCs w:val="24"/>
        </w:rPr>
        <w:t>整体技术要求</w:t>
      </w:r>
    </w:p>
    <w:p>
      <w:pPr>
        <w:numPr>
          <w:ilvl w:val="0"/>
          <w:numId w:val="43"/>
        </w:numPr>
        <w:ind w:firstLine="504"/>
        <w:rPr>
          <w:rFonts w:hint="eastAsia" w:ascii="宋体" w:hAnsi="宋体" w:cs="宋体"/>
          <w:szCs w:val="24"/>
        </w:rPr>
      </w:pPr>
      <w:r>
        <w:rPr>
          <w:rFonts w:hint="eastAsia" w:ascii="宋体" w:hAnsi="宋体" w:cs="宋体"/>
          <w:szCs w:val="24"/>
        </w:rPr>
        <w:t>要求可根据用户自定义标准和规则进行局部（网格）和整体（全域）污染事件推送配置，可自动化识别网格污染事件并进行告警，推送至相关职能部门第一时间展开线下排查和执法。</w:t>
      </w:r>
    </w:p>
    <w:p>
      <w:pPr>
        <w:numPr>
          <w:ilvl w:val="0"/>
          <w:numId w:val="43"/>
        </w:numPr>
        <w:ind w:firstLine="504"/>
        <w:rPr>
          <w:rFonts w:hint="eastAsia" w:ascii="宋体" w:hAnsi="宋体" w:cs="宋体"/>
          <w:szCs w:val="24"/>
        </w:rPr>
      </w:pPr>
      <w:r>
        <w:rPr>
          <w:rFonts w:hint="eastAsia" w:ascii="宋体" w:hAnsi="宋体" w:cs="宋体"/>
          <w:szCs w:val="24"/>
        </w:rPr>
        <w:t>要求可基于成都市</w:t>
      </w:r>
      <w:r>
        <w:rPr>
          <w:rFonts w:hint="eastAsia" w:ascii="宋体" w:hAnsi="宋体" w:cs="宋体"/>
          <w:szCs w:val="24"/>
          <w:lang w:eastAsia="zh-CN"/>
        </w:rPr>
        <w:t>“6+1”目标区域</w:t>
      </w:r>
      <w:r>
        <w:rPr>
          <w:rFonts w:hint="eastAsia" w:ascii="宋体" w:hAnsi="宋体" w:cs="宋体"/>
          <w:szCs w:val="24"/>
        </w:rPr>
        <w:t>小时级网格化空气质量数据以及小尺度溯源算法对网格污染事件推送疑似污染源的名称和坐标。</w:t>
      </w:r>
    </w:p>
    <w:p>
      <w:pPr>
        <w:numPr>
          <w:ilvl w:val="0"/>
          <w:numId w:val="43"/>
        </w:numPr>
        <w:ind w:firstLine="504"/>
        <w:rPr>
          <w:rFonts w:hint="eastAsia" w:ascii="宋体" w:hAnsi="宋体" w:cs="宋体"/>
          <w:szCs w:val="24"/>
        </w:rPr>
      </w:pPr>
      <w:r>
        <w:rPr>
          <w:rFonts w:hint="eastAsia" w:ascii="宋体" w:hAnsi="宋体" w:cs="宋体"/>
          <w:szCs w:val="24"/>
        </w:rPr>
        <w:t>可适应用户自定义触发规则和推送规则并支持推送信息的现场验证。可基于现场验证的反馈信息进行算法的自学习，从而阶段性提高污染事件和污染源推送的准确率。</w:t>
      </w:r>
    </w:p>
    <w:p>
      <w:pPr>
        <w:pStyle w:val="139"/>
        <w:numPr>
          <w:ilvl w:val="0"/>
          <w:numId w:val="46"/>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多层级事件告警</w:t>
      </w:r>
    </w:p>
    <w:p>
      <w:pPr>
        <w:pStyle w:val="139"/>
        <w:tabs>
          <w:tab w:val="left" w:pos="0"/>
        </w:tabs>
        <w:adjustRightInd w:val="0"/>
        <w:snapToGrid w:val="0"/>
        <w:ind w:firstLine="504"/>
        <w:rPr>
          <w:rFonts w:hint="eastAsia" w:ascii="宋体" w:hAnsi="宋体" w:cs="宋体"/>
          <w:szCs w:val="24"/>
        </w:rPr>
      </w:pPr>
      <w:r>
        <w:rPr>
          <w:rFonts w:hint="eastAsia" w:ascii="宋体" w:hAnsi="宋体" w:cs="宋体"/>
          <w:szCs w:val="24"/>
        </w:rPr>
        <w:t>要求可在对成都市</w:t>
      </w:r>
      <w:r>
        <w:rPr>
          <w:rFonts w:hint="eastAsia" w:ascii="宋体" w:hAnsi="宋体" w:cs="宋体"/>
          <w:szCs w:val="24"/>
          <w:lang w:eastAsia="zh-CN"/>
        </w:rPr>
        <w:t>“6+1”目标区域</w:t>
      </w:r>
      <w:r>
        <w:rPr>
          <w:rFonts w:hint="eastAsia" w:ascii="宋体" w:hAnsi="宋体" w:cs="宋体"/>
          <w:szCs w:val="24"/>
        </w:rPr>
        <w:t>全域整体空气污染事件进行告警的同时，对成都市</w:t>
      </w:r>
      <w:r>
        <w:rPr>
          <w:rFonts w:hint="eastAsia" w:ascii="宋体" w:hAnsi="宋体" w:cs="宋体"/>
          <w:szCs w:val="24"/>
          <w:lang w:eastAsia="zh-CN"/>
        </w:rPr>
        <w:t>“6+1”目标区域</w:t>
      </w:r>
      <w:r>
        <w:rPr>
          <w:rFonts w:hint="eastAsia" w:ascii="宋体" w:hAnsi="宋体" w:cs="宋体"/>
          <w:szCs w:val="24"/>
        </w:rPr>
        <w:t>各网格及</w:t>
      </w:r>
      <w:r>
        <w:rPr>
          <w:rFonts w:hint="eastAsia" w:ascii="宋体" w:hAnsi="宋体" w:cs="宋体"/>
          <w:szCs w:val="24"/>
          <w:lang w:val="en-US" w:eastAsia="zh-CN"/>
        </w:rPr>
        <w:t>各国控、省控站点</w:t>
      </w:r>
      <w:r>
        <w:rPr>
          <w:rFonts w:hint="eastAsia" w:ascii="宋体" w:hAnsi="宋体" w:cs="宋体"/>
          <w:szCs w:val="24"/>
        </w:rPr>
        <w:t>进行污染事件告警，内容包括但不限于事件发生时间、事件地点、首要污染物。事件触发规则可在后台操作界面按照用户需求灵活设置。</w:t>
      </w:r>
    </w:p>
    <w:p>
      <w:pPr>
        <w:pStyle w:val="139"/>
        <w:numPr>
          <w:ilvl w:val="0"/>
          <w:numId w:val="46"/>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污染事件历史数据查询</w:t>
      </w:r>
    </w:p>
    <w:p>
      <w:pPr>
        <w:pStyle w:val="139"/>
        <w:tabs>
          <w:tab w:val="left" w:pos="0"/>
        </w:tabs>
        <w:adjustRightInd w:val="0"/>
        <w:snapToGrid w:val="0"/>
        <w:ind w:firstLine="504"/>
        <w:rPr>
          <w:rFonts w:hint="eastAsia" w:ascii="宋体" w:hAnsi="宋体" w:cs="宋体"/>
          <w:szCs w:val="24"/>
        </w:rPr>
      </w:pPr>
      <w:r>
        <w:rPr>
          <w:rFonts w:hint="eastAsia" w:ascii="宋体" w:hAnsi="宋体" w:cs="宋体"/>
          <w:szCs w:val="24"/>
        </w:rPr>
        <w:t>要求可从污染发生时间、污染类型、首要污染物等条件对历史告警事件进行查询。</w:t>
      </w:r>
    </w:p>
    <w:p>
      <w:pPr>
        <w:pStyle w:val="139"/>
        <w:numPr>
          <w:ilvl w:val="0"/>
          <w:numId w:val="46"/>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告警联动响应</w:t>
      </w:r>
    </w:p>
    <w:p>
      <w:pPr>
        <w:pStyle w:val="139"/>
        <w:tabs>
          <w:tab w:val="left" w:pos="0"/>
        </w:tabs>
        <w:adjustRightInd w:val="0"/>
        <w:snapToGrid w:val="0"/>
        <w:ind w:firstLine="504"/>
        <w:rPr>
          <w:rFonts w:hint="eastAsia" w:ascii="宋体" w:hAnsi="宋体" w:cs="宋体"/>
          <w:szCs w:val="24"/>
        </w:rPr>
      </w:pPr>
      <w:r>
        <w:rPr>
          <w:rFonts w:hint="eastAsia" w:ascii="宋体" w:hAnsi="宋体" w:cs="宋体"/>
          <w:szCs w:val="24"/>
        </w:rPr>
        <w:t>要求可与成都市</w:t>
      </w:r>
      <w:r>
        <w:rPr>
          <w:rFonts w:hint="eastAsia" w:ascii="宋体" w:hAnsi="宋体" w:cs="宋体"/>
          <w:szCs w:val="24"/>
          <w:lang w:eastAsia="zh-CN"/>
        </w:rPr>
        <w:t>“6+1”目标区域</w:t>
      </w:r>
      <w:r>
        <w:rPr>
          <w:rFonts w:hint="eastAsia" w:ascii="宋体" w:hAnsi="宋体" w:cs="宋体"/>
          <w:szCs w:val="24"/>
        </w:rPr>
        <w:t>内各相关职能部门联网。联动交通、住建、城管、环保等相关职能部门，第一时间将告警信息推送给正确的职能部门，实现自动化联动响应。</w:t>
      </w:r>
    </w:p>
    <w:p>
      <w:pPr>
        <w:pStyle w:val="6"/>
        <w:numPr>
          <w:ilvl w:val="0"/>
          <w:numId w:val="39"/>
        </w:numPr>
        <w:adjustRightInd w:val="0"/>
        <w:snapToGrid w:val="0"/>
        <w:ind w:firstLineChars="0"/>
        <w:rPr>
          <w:rFonts w:hint="eastAsia" w:cs="宋体"/>
          <w:szCs w:val="24"/>
        </w:rPr>
      </w:pPr>
      <w:r>
        <w:rPr>
          <w:rFonts w:hint="eastAsia" w:cs="宋体"/>
          <w:szCs w:val="24"/>
        </w:rPr>
        <w:t>决策支持</w:t>
      </w:r>
    </w:p>
    <w:p>
      <w:pPr>
        <w:adjustRightInd w:val="0"/>
        <w:snapToGrid w:val="0"/>
        <w:ind w:firstLine="506"/>
        <w:rPr>
          <w:rFonts w:hint="eastAsia" w:ascii="宋体" w:hAnsi="宋体" w:cs="宋体"/>
          <w:b/>
          <w:szCs w:val="24"/>
        </w:rPr>
      </w:pPr>
      <w:r>
        <w:rPr>
          <w:rFonts w:hint="eastAsia" w:ascii="宋体" w:hAnsi="宋体" w:cs="宋体"/>
          <w:b/>
          <w:szCs w:val="24"/>
        </w:rPr>
        <w:t>整体技术要求</w:t>
      </w:r>
    </w:p>
    <w:p>
      <w:pPr>
        <w:numPr>
          <w:ilvl w:val="0"/>
          <w:numId w:val="43"/>
        </w:numPr>
        <w:ind w:firstLine="504"/>
        <w:rPr>
          <w:rFonts w:hint="eastAsia" w:ascii="宋体" w:hAnsi="宋体" w:cs="宋体"/>
          <w:szCs w:val="24"/>
        </w:rPr>
      </w:pPr>
      <w:r>
        <w:rPr>
          <w:rFonts w:hint="eastAsia" w:ascii="宋体" w:hAnsi="宋体" w:cs="宋体"/>
          <w:szCs w:val="24"/>
        </w:rPr>
        <w:t>项目能够为政府执法人员线下调度响应提供决策支持，提供首要污染物、污染源定位、相关污染行业等污染事件信息，并通过移动终端支持现场排查结果的反馈，并可进行反馈结果的展示、统计、存储和算法应用。</w:t>
      </w:r>
    </w:p>
    <w:p>
      <w:pPr>
        <w:numPr>
          <w:ilvl w:val="0"/>
          <w:numId w:val="43"/>
        </w:numPr>
        <w:ind w:firstLine="504"/>
        <w:rPr>
          <w:rFonts w:hint="eastAsia" w:ascii="宋体" w:hAnsi="宋体" w:cs="宋体"/>
          <w:szCs w:val="24"/>
        </w:rPr>
      </w:pPr>
      <w:r>
        <w:rPr>
          <w:rFonts w:hint="eastAsia" w:ascii="宋体" w:hAnsi="宋体" w:cs="宋体"/>
          <w:szCs w:val="24"/>
        </w:rPr>
        <w:t>项目支持针对国控站周边重点区域的污染源排查，根据排查时限、行政优先级、政府调度力度等约束进行排查区域划分、污染源推送和排查人员的优化调度决策。</w:t>
      </w:r>
    </w:p>
    <w:p>
      <w:pPr>
        <w:numPr>
          <w:ilvl w:val="0"/>
          <w:numId w:val="43"/>
        </w:numPr>
        <w:ind w:firstLine="504"/>
        <w:rPr>
          <w:rFonts w:ascii="宋体" w:hAnsi="宋体" w:cs="宋体"/>
          <w:szCs w:val="24"/>
        </w:rPr>
      </w:pPr>
      <w:r>
        <w:rPr>
          <w:rFonts w:hint="eastAsia" w:ascii="宋体" w:hAnsi="宋体" w:cs="宋体"/>
          <w:szCs w:val="24"/>
        </w:rPr>
        <w:t>项目能够支持</w:t>
      </w:r>
      <w:r>
        <w:rPr>
          <w:rFonts w:hint="eastAsia"/>
        </w:rPr>
        <w:t>数据可视化辅助决策研判，包含但不仅限于扬尘分布可视化、运渣车轨迹点</w:t>
      </w:r>
      <w:r>
        <w:rPr>
          <w:rFonts w:hint="eastAsia" w:ascii="宋体" w:hAnsi="宋体" w:cs="宋体"/>
          <w:szCs w:val="24"/>
        </w:rPr>
        <w:t>等决策。</w:t>
      </w:r>
    </w:p>
    <w:p>
      <w:pPr>
        <w:numPr>
          <w:ilvl w:val="0"/>
          <w:numId w:val="43"/>
        </w:numPr>
        <w:ind w:firstLine="504"/>
        <w:rPr>
          <w:rFonts w:hint="eastAsia" w:ascii="宋体" w:hAnsi="宋体" w:cs="宋体"/>
          <w:szCs w:val="24"/>
        </w:rPr>
      </w:pPr>
      <w:r>
        <w:rPr>
          <w:rFonts w:hint="eastAsia" w:ascii="宋体" w:hAnsi="宋体" w:cs="宋体"/>
          <w:szCs w:val="24"/>
        </w:rPr>
        <w:t>可构建人工智能学习框架，对污染案例及执法反馈进行闭环学习，逐步提高污染研判精度。</w:t>
      </w:r>
    </w:p>
    <w:p>
      <w:pPr>
        <w:pStyle w:val="6"/>
        <w:numPr>
          <w:ilvl w:val="0"/>
          <w:numId w:val="39"/>
        </w:numPr>
        <w:adjustRightInd w:val="0"/>
        <w:snapToGrid w:val="0"/>
        <w:ind w:firstLineChars="0"/>
        <w:rPr>
          <w:rFonts w:hint="eastAsia" w:cs="宋体"/>
          <w:szCs w:val="24"/>
        </w:rPr>
      </w:pPr>
      <w:r>
        <w:rPr>
          <w:rFonts w:hint="eastAsia" w:cs="宋体"/>
          <w:szCs w:val="24"/>
        </w:rPr>
        <w:t>多维度数据统计</w:t>
      </w:r>
    </w:p>
    <w:p>
      <w:pPr>
        <w:adjustRightInd w:val="0"/>
        <w:snapToGrid w:val="0"/>
        <w:ind w:firstLine="506"/>
        <w:rPr>
          <w:rFonts w:hint="eastAsia" w:ascii="宋体" w:hAnsi="宋体" w:cs="宋体"/>
          <w:b/>
          <w:szCs w:val="24"/>
        </w:rPr>
      </w:pPr>
      <w:r>
        <w:rPr>
          <w:rFonts w:hint="eastAsia" w:ascii="宋体" w:hAnsi="宋体" w:cs="宋体"/>
          <w:b/>
          <w:szCs w:val="24"/>
        </w:rPr>
        <w:t>整体技术要求</w:t>
      </w:r>
    </w:p>
    <w:p>
      <w:pPr>
        <w:numPr>
          <w:ilvl w:val="0"/>
          <w:numId w:val="43"/>
        </w:numPr>
        <w:ind w:firstLine="504"/>
        <w:rPr>
          <w:rFonts w:hint="eastAsia" w:ascii="宋体" w:hAnsi="宋体" w:cs="宋体"/>
          <w:szCs w:val="24"/>
        </w:rPr>
      </w:pPr>
      <w:r>
        <w:rPr>
          <w:rFonts w:hint="eastAsia" w:ascii="宋体" w:hAnsi="宋体" w:cs="宋体"/>
          <w:szCs w:val="24"/>
        </w:rPr>
        <w:t>要求能够导出全域全网格6+1类空气质量参数报表。</w:t>
      </w:r>
    </w:p>
    <w:p>
      <w:pPr>
        <w:numPr>
          <w:ilvl w:val="0"/>
          <w:numId w:val="43"/>
        </w:numPr>
        <w:ind w:firstLine="504"/>
        <w:rPr>
          <w:rFonts w:hint="eastAsia" w:ascii="宋体" w:hAnsi="宋体" w:cs="宋体"/>
          <w:szCs w:val="24"/>
        </w:rPr>
      </w:pPr>
      <w:r>
        <w:rPr>
          <w:rFonts w:hint="eastAsia" w:ascii="宋体" w:hAnsi="宋体" w:cs="宋体"/>
          <w:szCs w:val="24"/>
        </w:rPr>
        <w:t>要求可支持多种数据统计模式，一类基于监测站点数据进行统计、一类基于全域全网格推断数据进行统计，并且提供日历空气质量动态视频统计及数值日历展示。</w:t>
      </w:r>
    </w:p>
    <w:p>
      <w:pPr>
        <w:numPr>
          <w:ilvl w:val="0"/>
          <w:numId w:val="43"/>
        </w:numPr>
        <w:ind w:firstLine="504"/>
        <w:rPr>
          <w:rFonts w:hint="eastAsia" w:ascii="宋体" w:hAnsi="宋体" w:cs="宋体"/>
          <w:szCs w:val="24"/>
        </w:rPr>
      </w:pPr>
      <w:r>
        <w:rPr>
          <w:rFonts w:hint="eastAsia" w:ascii="宋体" w:hAnsi="宋体" w:cs="宋体"/>
          <w:szCs w:val="24"/>
        </w:rPr>
        <w:t>要求功能上线后提出新型空气质量统计模式，并论证新型模式与传统模式（基于国家标准站点数据平均）的区别及科学性。</w:t>
      </w:r>
    </w:p>
    <w:p>
      <w:pPr>
        <w:pStyle w:val="139"/>
        <w:numPr>
          <w:ilvl w:val="0"/>
          <w:numId w:val="47"/>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空气质量数据统计</w:t>
      </w:r>
    </w:p>
    <w:p>
      <w:pPr>
        <w:numPr>
          <w:ilvl w:val="0"/>
          <w:numId w:val="43"/>
        </w:numPr>
        <w:ind w:firstLine="504"/>
        <w:rPr>
          <w:rFonts w:hint="eastAsia" w:ascii="宋体" w:hAnsi="宋体" w:cs="宋体"/>
          <w:szCs w:val="24"/>
        </w:rPr>
      </w:pPr>
      <w:r>
        <w:rPr>
          <w:rFonts w:hint="eastAsia" w:ascii="宋体" w:hAnsi="宋体" w:cs="宋体"/>
          <w:szCs w:val="24"/>
        </w:rPr>
        <w:t>结合全域全网格空气质量推断预测模型，要求可按年度、月度的统计周期对空气质量的月均数据及日均数据（空气质量6+1参数）进行统计，提供各空气质量等级分布占比（基于全域网格统计），以及优良/污染天数与空气质量6+1参数的同环比分析（支持对比区域监测站点及任意网格对比）。</w:t>
      </w:r>
    </w:p>
    <w:p>
      <w:pPr>
        <w:numPr>
          <w:ilvl w:val="0"/>
          <w:numId w:val="43"/>
        </w:numPr>
        <w:ind w:firstLine="504"/>
        <w:rPr>
          <w:rFonts w:hint="eastAsia" w:ascii="宋体" w:hAnsi="宋体" w:cs="宋体"/>
          <w:szCs w:val="24"/>
        </w:rPr>
      </w:pPr>
      <w:r>
        <w:rPr>
          <w:rFonts w:hint="eastAsia" w:ascii="宋体" w:hAnsi="宋体" w:cs="宋体"/>
          <w:szCs w:val="24"/>
        </w:rPr>
        <w:t>要求可对成都市</w:t>
      </w:r>
      <w:r>
        <w:rPr>
          <w:rFonts w:hint="eastAsia" w:ascii="宋体" w:hAnsi="宋体" w:cs="宋体"/>
          <w:szCs w:val="24"/>
          <w:lang w:eastAsia="zh-CN"/>
        </w:rPr>
        <w:t>“6+1”</w:t>
      </w:r>
      <w:r>
        <w:rPr>
          <w:rFonts w:hint="eastAsia" w:ascii="宋体" w:hAnsi="宋体" w:cs="宋体"/>
          <w:szCs w:val="24"/>
          <w:lang w:val="en-US" w:eastAsia="zh-CN"/>
        </w:rPr>
        <w:t>目标</w:t>
      </w:r>
      <w:r>
        <w:rPr>
          <w:rFonts w:hint="eastAsia" w:ascii="宋体" w:hAnsi="宋体" w:cs="宋体"/>
          <w:szCs w:val="24"/>
          <w:lang w:eastAsia="zh-CN"/>
        </w:rPr>
        <w:t>区域</w:t>
      </w:r>
      <w:r>
        <w:rPr>
          <w:rFonts w:hint="eastAsia" w:ascii="宋体" w:hAnsi="宋体" w:cs="宋体"/>
          <w:szCs w:val="24"/>
        </w:rPr>
        <w:t>全域整体、各区、各网格空气质量数据（空气质量6+1参数）进行分类信息统计，并提供成都市</w:t>
      </w:r>
      <w:r>
        <w:rPr>
          <w:rFonts w:hint="eastAsia" w:ascii="宋体" w:hAnsi="宋体" w:cs="宋体"/>
          <w:szCs w:val="24"/>
          <w:lang w:eastAsia="zh-CN"/>
        </w:rPr>
        <w:t>“6+1”</w:t>
      </w:r>
      <w:r>
        <w:rPr>
          <w:rFonts w:hint="eastAsia" w:ascii="宋体" w:hAnsi="宋体" w:cs="宋体"/>
          <w:szCs w:val="24"/>
          <w:lang w:val="en-US" w:eastAsia="zh-CN"/>
        </w:rPr>
        <w:t>目标</w:t>
      </w:r>
      <w:r>
        <w:rPr>
          <w:rFonts w:hint="eastAsia" w:ascii="宋体" w:hAnsi="宋体" w:cs="宋体"/>
          <w:szCs w:val="24"/>
          <w:lang w:eastAsia="zh-CN"/>
        </w:rPr>
        <w:t>区域</w:t>
      </w:r>
      <w:r>
        <w:rPr>
          <w:rFonts w:hint="eastAsia" w:ascii="宋体" w:hAnsi="宋体" w:cs="宋体"/>
          <w:szCs w:val="24"/>
        </w:rPr>
        <w:t>全域整体、各区、各网格间的快捷切换功能。</w:t>
      </w:r>
    </w:p>
    <w:p>
      <w:pPr>
        <w:numPr>
          <w:ilvl w:val="0"/>
          <w:numId w:val="43"/>
        </w:numPr>
        <w:ind w:firstLine="504"/>
        <w:rPr>
          <w:rFonts w:hint="eastAsia" w:ascii="宋体" w:hAnsi="宋体" w:cs="宋体"/>
          <w:szCs w:val="24"/>
        </w:rPr>
      </w:pPr>
      <w:r>
        <w:rPr>
          <w:rFonts w:hint="eastAsia" w:ascii="宋体" w:hAnsi="宋体" w:cs="宋体"/>
          <w:szCs w:val="24"/>
        </w:rPr>
        <w:t>要求提供3年以上数据存储，可按照任意时间点（小时）筛选查询统计数据的功能。</w:t>
      </w:r>
    </w:p>
    <w:p>
      <w:pPr>
        <w:pStyle w:val="139"/>
        <w:numPr>
          <w:ilvl w:val="0"/>
          <w:numId w:val="47"/>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各层级空气质量排名分析</w:t>
      </w:r>
    </w:p>
    <w:p>
      <w:pPr>
        <w:numPr>
          <w:ilvl w:val="0"/>
          <w:numId w:val="43"/>
        </w:numPr>
        <w:ind w:firstLine="504"/>
        <w:rPr>
          <w:rFonts w:hint="eastAsia" w:ascii="宋体" w:hAnsi="宋体" w:cs="宋体"/>
          <w:szCs w:val="24"/>
        </w:rPr>
      </w:pPr>
      <w:r>
        <w:rPr>
          <w:rFonts w:hint="eastAsia" w:ascii="宋体" w:hAnsi="宋体" w:cs="宋体"/>
          <w:szCs w:val="24"/>
        </w:rPr>
        <w:t>要求可对成都市</w:t>
      </w:r>
      <w:r>
        <w:rPr>
          <w:rFonts w:hint="eastAsia" w:ascii="宋体" w:hAnsi="宋体" w:cs="宋体"/>
          <w:szCs w:val="24"/>
          <w:lang w:eastAsia="zh-CN"/>
        </w:rPr>
        <w:t>“6+1”</w:t>
      </w:r>
      <w:r>
        <w:rPr>
          <w:rFonts w:hint="eastAsia" w:ascii="宋体" w:hAnsi="宋体" w:cs="宋体"/>
          <w:szCs w:val="24"/>
          <w:lang w:val="en-US" w:eastAsia="zh-CN"/>
        </w:rPr>
        <w:t>目标</w:t>
      </w:r>
      <w:r>
        <w:rPr>
          <w:rFonts w:hint="eastAsia" w:ascii="宋体" w:hAnsi="宋体" w:cs="宋体"/>
          <w:szCs w:val="24"/>
          <w:lang w:eastAsia="zh-CN"/>
        </w:rPr>
        <w:t>区域</w:t>
      </w:r>
      <w:r>
        <w:rPr>
          <w:rFonts w:hint="eastAsia" w:ascii="宋体" w:hAnsi="宋体" w:cs="宋体"/>
          <w:szCs w:val="24"/>
        </w:rPr>
        <w:t>内网格按照空气质量6+1参数指标进行空气质量数据及空气达标天数的排名分析，同时要求提供历史数据查询及网格筛选功能。</w:t>
      </w:r>
    </w:p>
    <w:p>
      <w:pPr>
        <w:numPr>
          <w:ilvl w:val="0"/>
          <w:numId w:val="43"/>
        </w:numPr>
        <w:ind w:firstLine="504"/>
        <w:rPr>
          <w:rFonts w:hint="eastAsia" w:ascii="宋体" w:hAnsi="宋体" w:cs="宋体"/>
          <w:szCs w:val="24"/>
        </w:rPr>
      </w:pPr>
      <w:r>
        <w:rPr>
          <w:rFonts w:hint="eastAsia" w:ascii="宋体" w:hAnsi="宋体" w:cs="宋体"/>
          <w:szCs w:val="24"/>
        </w:rPr>
        <w:t>要求可对成都市</w:t>
      </w:r>
      <w:r>
        <w:rPr>
          <w:rFonts w:hint="eastAsia" w:ascii="宋体" w:hAnsi="宋体" w:cs="宋体"/>
          <w:szCs w:val="24"/>
          <w:lang w:eastAsia="zh-CN"/>
        </w:rPr>
        <w:t>“6+1”</w:t>
      </w:r>
      <w:r>
        <w:rPr>
          <w:rFonts w:hint="eastAsia" w:ascii="宋体" w:hAnsi="宋体" w:cs="宋体"/>
          <w:szCs w:val="24"/>
          <w:lang w:val="en-US" w:eastAsia="zh-CN"/>
        </w:rPr>
        <w:t>目标</w:t>
      </w:r>
      <w:r>
        <w:rPr>
          <w:rFonts w:hint="eastAsia" w:ascii="宋体" w:hAnsi="宋体" w:cs="宋体"/>
          <w:szCs w:val="24"/>
          <w:lang w:eastAsia="zh-CN"/>
        </w:rPr>
        <w:t>区域</w:t>
      </w:r>
      <w:r>
        <w:rPr>
          <w:rFonts w:hint="eastAsia" w:ascii="宋体" w:hAnsi="宋体" w:cs="宋体"/>
          <w:szCs w:val="24"/>
        </w:rPr>
        <w:t>各</w:t>
      </w:r>
      <w:r>
        <w:rPr>
          <w:rFonts w:hint="eastAsia" w:ascii="宋体" w:hAnsi="宋体" w:cs="宋体"/>
          <w:szCs w:val="24"/>
          <w:lang w:val="en-US" w:eastAsia="zh-CN"/>
        </w:rPr>
        <w:t>国控、省控</w:t>
      </w:r>
      <w:r>
        <w:rPr>
          <w:rFonts w:hint="eastAsia" w:ascii="宋体" w:hAnsi="宋体" w:cs="宋体"/>
          <w:szCs w:val="24"/>
        </w:rPr>
        <w:t>站点按照空气质量6+1参数指标进行空气质量数据空气达标天数的排名分析，同时要求提供历史数据查询及网格筛选功能。</w:t>
      </w:r>
    </w:p>
    <w:p>
      <w:pPr>
        <w:pStyle w:val="139"/>
        <w:numPr>
          <w:ilvl w:val="0"/>
          <w:numId w:val="47"/>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监测站点数据统计</w:t>
      </w:r>
    </w:p>
    <w:p>
      <w:pPr>
        <w:numPr>
          <w:ilvl w:val="0"/>
          <w:numId w:val="43"/>
        </w:numPr>
        <w:ind w:firstLine="504"/>
        <w:rPr>
          <w:rFonts w:hint="eastAsia" w:ascii="宋体" w:hAnsi="宋体" w:cs="宋体"/>
          <w:szCs w:val="24"/>
        </w:rPr>
      </w:pPr>
      <w:r>
        <w:rPr>
          <w:rFonts w:hint="eastAsia" w:ascii="宋体" w:hAnsi="宋体" w:cs="宋体"/>
          <w:szCs w:val="24"/>
        </w:rPr>
        <w:t>要求对所接入的国控、省控空气质量监测站进行差异性数据进行归档统计，包括但不限于成都市</w:t>
      </w:r>
      <w:r>
        <w:rPr>
          <w:rFonts w:hint="eastAsia" w:ascii="宋体" w:hAnsi="宋体" w:cs="宋体"/>
          <w:szCs w:val="24"/>
          <w:lang w:eastAsia="zh-CN"/>
        </w:rPr>
        <w:t>“6+1”</w:t>
      </w:r>
      <w:r>
        <w:rPr>
          <w:rFonts w:hint="eastAsia" w:ascii="宋体" w:hAnsi="宋体" w:cs="宋体"/>
          <w:szCs w:val="24"/>
          <w:lang w:val="en-US" w:eastAsia="zh-CN"/>
        </w:rPr>
        <w:t>目标区域</w:t>
      </w:r>
      <w:r>
        <w:rPr>
          <w:rFonts w:hint="eastAsia" w:ascii="宋体" w:hAnsi="宋体" w:cs="宋体"/>
          <w:szCs w:val="24"/>
        </w:rPr>
        <w:t>内国控站点、省控站点。</w:t>
      </w:r>
    </w:p>
    <w:p>
      <w:pPr>
        <w:numPr>
          <w:ilvl w:val="0"/>
          <w:numId w:val="43"/>
        </w:numPr>
        <w:ind w:firstLine="504"/>
        <w:rPr>
          <w:rFonts w:hint="eastAsia" w:ascii="宋体" w:hAnsi="宋体" w:cs="宋体"/>
          <w:szCs w:val="24"/>
        </w:rPr>
      </w:pPr>
      <w:r>
        <w:rPr>
          <w:rFonts w:hint="eastAsia" w:ascii="宋体" w:hAnsi="宋体" w:cs="宋体"/>
          <w:szCs w:val="24"/>
        </w:rPr>
        <w:t>要求可对各类监测站点</w:t>
      </w:r>
      <w:r>
        <w:rPr>
          <w:rFonts w:hint="eastAsia" w:ascii="宋体" w:hAnsi="宋体" w:cs="宋体"/>
          <w:szCs w:val="24"/>
          <w:lang w:val="en-US" w:eastAsia="zh-CN"/>
        </w:rPr>
        <w:t>的</w:t>
      </w:r>
      <w:r>
        <w:rPr>
          <w:rFonts w:hint="eastAsia" w:ascii="宋体" w:hAnsi="宋体" w:cs="宋体"/>
          <w:szCs w:val="24"/>
        </w:rPr>
        <w:t>监测数据（空气质量6+1参数、</w:t>
      </w:r>
      <w:r>
        <w:rPr>
          <w:rFonts w:hint="eastAsia" w:ascii="宋体" w:hAnsi="宋体" w:cs="宋体"/>
          <w:szCs w:val="24"/>
          <w:lang w:val="en-US" w:eastAsia="zh-CN"/>
        </w:rPr>
        <w:t>气象参数</w:t>
      </w:r>
      <w:r>
        <w:rPr>
          <w:rFonts w:hint="eastAsia" w:ascii="宋体" w:hAnsi="宋体" w:cs="宋体"/>
          <w:szCs w:val="24"/>
        </w:rPr>
        <w:t>）进行统计，并提供监测数据按时间点（小时）筛选查询功能。</w:t>
      </w:r>
    </w:p>
    <w:p>
      <w:pPr>
        <w:pStyle w:val="139"/>
        <w:numPr>
          <w:ilvl w:val="0"/>
          <w:numId w:val="47"/>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告警事件数据统计</w:t>
      </w:r>
    </w:p>
    <w:p>
      <w:pPr>
        <w:numPr>
          <w:ilvl w:val="0"/>
          <w:numId w:val="43"/>
        </w:numPr>
        <w:ind w:firstLine="504"/>
        <w:rPr>
          <w:rFonts w:hint="eastAsia" w:ascii="宋体" w:hAnsi="宋体" w:cs="宋体"/>
          <w:szCs w:val="24"/>
        </w:rPr>
      </w:pPr>
      <w:r>
        <w:rPr>
          <w:rFonts w:hint="eastAsia" w:ascii="宋体" w:hAnsi="宋体" w:cs="宋体"/>
          <w:szCs w:val="24"/>
        </w:rPr>
        <w:t>要求功能可支持智能化告警事件分级分类统计，按照目标时间段提供各类型事件告警的数量、类型占比等方面的分析结果。</w:t>
      </w:r>
    </w:p>
    <w:p>
      <w:pPr>
        <w:numPr>
          <w:ilvl w:val="0"/>
          <w:numId w:val="43"/>
        </w:numPr>
        <w:ind w:firstLine="504"/>
        <w:rPr>
          <w:rFonts w:hint="eastAsia" w:ascii="宋体" w:hAnsi="宋体" w:cs="宋体"/>
          <w:szCs w:val="24"/>
        </w:rPr>
      </w:pPr>
      <w:r>
        <w:rPr>
          <w:rFonts w:hint="eastAsia" w:ascii="宋体" w:hAnsi="宋体" w:cs="宋体"/>
          <w:szCs w:val="24"/>
        </w:rPr>
        <w:t>要求可支持通过事件类型、发生时间、污染指标等条件对事件告警数据进行快捷筛选与查询。</w:t>
      </w:r>
    </w:p>
    <w:p>
      <w:pPr>
        <w:pStyle w:val="139"/>
        <w:numPr>
          <w:ilvl w:val="0"/>
          <w:numId w:val="47"/>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消息推送数据统计</w:t>
      </w:r>
    </w:p>
    <w:p>
      <w:pPr>
        <w:numPr>
          <w:ilvl w:val="0"/>
          <w:numId w:val="43"/>
        </w:numPr>
        <w:ind w:firstLine="504"/>
        <w:rPr>
          <w:rFonts w:hint="eastAsia" w:ascii="宋体" w:hAnsi="宋体" w:cs="宋体"/>
          <w:szCs w:val="24"/>
        </w:rPr>
      </w:pPr>
      <w:r>
        <w:rPr>
          <w:rFonts w:hint="eastAsia" w:ascii="宋体" w:hAnsi="宋体" w:cs="宋体"/>
          <w:szCs w:val="24"/>
        </w:rPr>
        <w:t>要求可对所推送的信息进行集中统计，根据消息推送的不同渠道进行推送信息展示（如推送时间、推送对象、消息类型等），并对消息推送数量、类型分布等方面进行数据分析。</w:t>
      </w:r>
    </w:p>
    <w:p>
      <w:pPr>
        <w:pStyle w:val="6"/>
        <w:numPr>
          <w:ilvl w:val="0"/>
          <w:numId w:val="39"/>
        </w:numPr>
        <w:adjustRightInd w:val="0"/>
        <w:snapToGrid w:val="0"/>
        <w:ind w:firstLineChars="0"/>
        <w:rPr>
          <w:rFonts w:hint="eastAsia" w:cs="宋体"/>
          <w:szCs w:val="24"/>
        </w:rPr>
      </w:pPr>
      <w:r>
        <w:rPr>
          <w:rFonts w:hint="eastAsia" w:cs="宋体"/>
          <w:szCs w:val="24"/>
        </w:rPr>
        <w:t>后台管理服务</w:t>
      </w:r>
    </w:p>
    <w:p>
      <w:pPr>
        <w:adjustRightInd w:val="0"/>
        <w:snapToGrid w:val="0"/>
        <w:ind w:firstLine="506"/>
        <w:rPr>
          <w:rFonts w:hint="eastAsia" w:ascii="宋体" w:hAnsi="宋体" w:cs="宋体"/>
          <w:b/>
          <w:szCs w:val="24"/>
        </w:rPr>
      </w:pPr>
      <w:r>
        <w:rPr>
          <w:rFonts w:hint="eastAsia" w:ascii="宋体" w:hAnsi="宋体" w:cs="宋体"/>
          <w:b/>
          <w:szCs w:val="24"/>
        </w:rPr>
        <w:t>整体技术要求</w:t>
      </w:r>
    </w:p>
    <w:p>
      <w:pPr>
        <w:numPr>
          <w:ilvl w:val="0"/>
          <w:numId w:val="43"/>
        </w:numPr>
        <w:ind w:firstLine="504"/>
        <w:rPr>
          <w:rFonts w:hint="eastAsia" w:ascii="宋体" w:hAnsi="宋体" w:cs="宋体"/>
          <w:szCs w:val="24"/>
        </w:rPr>
      </w:pPr>
      <w:r>
        <w:rPr>
          <w:rFonts w:hint="eastAsia" w:ascii="宋体" w:hAnsi="宋体" w:cs="宋体"/>
          <w:szCs w:val="24"/>
        </w:rPr>
        <w:t>要求功能可支持自定义事件消息推送规则配置（包括推送人员、触发规则、信息内容等），并可根据不同规则配置触发人员层级。</w:t>
      </w:r>
    </w:p>
    <w:p>
      <w:pPr>
        <w:numPr>
          <w:ilvl w:val="0"/>
          <w:numId w:val="43"/>
        </w:numPr>
        <w:ind w:firstLine="504"/>
        <w:rPr>
          <w:rFonts w:hint="eastAsia" w:ascii="宋体" w:hAnsi="宋体" w:cs="宋体"/>
          <w:szCs w:val="24"/>
        </w:rPr>
      </w:pPr>
      <w:r>
        <w:rPr>
          <w:rFonts w:hint="eastAsia" w:ascii="宋体" w:hAnsi="宋体" w:cs="宋体"/>
          <w:szCs w:val="24"/>
        </w:rPr>
        <w:t>要求可根据用户自定义配置内容实现自动响应。</w:t>
      </w:r>
    </w:p>
    <w:p>
      <w:pPr>
        <w:pStyle w:val="139"/>
        <w:numPr>
          <w:ilvl w:val="0"/>
          <w:numId w:val="48"/>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监测网格管理</w:t>
      </w:r>
    </w:p>
    <w:p>
      <w:pPr>
        <w:numPr>
          <w:ilvl w:val="0"/>
          <w:numId w:val="43"/>
        </w:numPr>
        <w:ind w:firstLine="504"/>
        <w:rPr>
          <w:rFonts w:hint="eastAsia" w:ascii="宋体" w:hAnsi="宋体" w:cs="宋体"/>
          <w:szCs w:val="24"/>
        </w:rPr>
      </w:pPr>
      <w:r>
        <w:rPr>
          <w:rFonts w:hint="eastAsia" w:ascii="宋体" w:hAnsi="宋体" w:cs="宋体"/>
          <w:szCs w:val="24"/>
        </w:rPr>
        <w:t>支持以列表+图示模式展示成都市</w:t>
      </w:r>
      <w:r>
        <w:rPr>
          <w:rFonts w:hint="eastAsia" w:ascii="宋体" w:hAnsi="宋体" w:cs="宋体"/>
          <w:szCs w:val="24"/>
          <w:lang w:eastAsia="zh-CN"/>
        </w:rPr>
        <w:t>“6+1”目标区域</w:t>
      </w:r>
      <w:r>
        <w:rPr>
          <w:rFonts w:hint="eastAsia" w:ascii="宋体" w:hAnsi="宋体" w:cs="宋体"/>
          <w:szCs w:val="24"/>
        </w:rPr>
        <w:t>全部网格，展示网格编号、网格行列号、中心经纬度、位置描述、标签、备注及操作修改记录等网格基本信息。</w:t>
      </w:r>
    </w:p>
    <w:p>
      <w:pPr>
        <w:numPr>
          <w:ilvl w:val="0"/>
          <w:numId w:val="43"/>
        </w:numPr>
        <w:ind w:firstLine="504"/>
        <w:rPr>
          <w:rFonts w:hint="eastAsia" w:ascii="宋体" w:hAnsi="宋体" w:cs="宋体"/>
          <w:szCs w:val="24"/>
        </w:rPr>
      </w:pPr>
      <w:r>
        <w:rPr>
          <w:rFonts w:hint="eastAsia" w:ascii="宋体" w:hAnsi="宋体" w:cs="宋体"/>
          <w:szCs w:val="24"/>
        </w:rPr>
        <w:t>支持通过网格编号，中心经纬度，位置描述，标签、备注及操作修改记录等指标查询特定网格。</w:t>
      </w:r>
    </w:p>
    <w:p>
      <w:pPr>
        <w:pStyle w:val="139"/>
        <w:numPr>
          <w:ilvl w:val="0"/>
          <w:numId w:val="48"/>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监测站点管理</w:t>
      </w:r>
    </w:p>
    <w:p>
      <w:pPr>
        <w:numPr>
          <w:ilvl w:val="0"/>
          <w:numId w:val="43"/>
        </w:numPr>
        <w:ind w:firstLine="504"/>
        <w:rPr>
          <w:rFonts w:hint="eastAsia" w:ascii="宋体" w:hAnsi="宋体" w:cs="宋体"/>
          <w:szCs w:val="24"/>
        </w:rPr>
      </w:pPr>
      <w:r>
        <w:rPr>
          <w:rFonts w:hint="eastAsia" w:ascii="宋体" w:hAnsi="宋体" w:cs="宋体"/>
          <w:szCs w:val="24"/>
        </w:rPr>
        <w:t>接入监测站点管理</w:t>
      </w:r>
    </w:p>
    <w:p>
      <w:pPr>
        <w:ind w:firstLine="504"/>
        <w:rPr>
          <w:rFonts w:hint="eastAsia" w:ascii="宋体" w:hAnsi="宋体" w:cs="宋体"/>
          <w:szCs w:val="24"/>
        </w:rPr>
      </w:pPr>
      <w:r>
        <w:rPr>
          <w:rFonts w:hint="eastAsia" w:ascii="宋体" w:hAnsi="宋体" w:cs="宋体"/>
          <w:szCs w:val="24"/>
        </w:rPr>
        <w:t>依据国控站点、省控站点类型，呈现各站点基础信息，包括站点编号、所在网格编号、接入时间、标签、位置描述、备注及操作修改记录等；支持各站点标签、位置描述、备注等信息进行新增或编辑操作。</w:t>
      </w:r>
    </w:p>
    <w:p>
      <w:pPr>
        <w:numPr>
          <w:ilvl w:val="0"/>
          <w:numId w:val="43"/>
        </w:numPr>
        <w:ind w:firstLine="504"/>
        <w:rPr>
          <w:rFonts w:hint="eastAsia" w:ascii="宋体" w:hAnsi="宋体" w:cs="宋体"/>
          <w:szCs w:val="24"/>
        </w:rPr>
      </w:pPr>
      <w:r>
        <w:rPr>
          <w:rFonts w:hint="eastAsia" w:ascii="宋体" w:hAnsi="宋体" w:cs="宋体"/>
          <w:szCs w:val="24"/>
        </w:rPr>
        <w:t>自建监测站点</w:t>
      </w:r>
    </w:p>
    <w:p>
      <w:pPr>
        <w:ind w:firstLine="504"/>
        <w:rPr>
          <w:rFonts w:hint="eastAsia" w:ascii="宋体" w:hAnsi="宋体" w:cs="宋体"/>
          <w:szCs w:val="24"/>
        </w:rPr>
      </w:pPr>
      <w:r>
        <w:rPr>
          <w:rFonts w:hint="eastAsia" w:ascii="宋体" w:hAnsi="宋体" w:cs="宋体"/>
          <w:szCs w:val="24"/>
        </w:rPr>
        <w:t>呈现投标人自主建设站点（移动式）的基础信息，包括站点编号、站点名称、设备类型、关联车辆牌号、接入时间、备注及操作修改记录等；支持对各站点车辆类型、车辆牌号、备注等信息进行新增或编辑操作；支持对站点设备进行远程质检。</w:t>
      </w:r>
    </w:p>
    <w:p>
      <w:pPr>
        <w:pStyle w:val="139"/>
        <w:numPr>
          <w:ilvl w:val="0"/>
          <w:numId w:val="48"/>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尺度标签管理</w:t>
      </w:r>
    </w:p>
    <w:p>
      <w:pPr>
        <w:numPr>
          <w:ilvl w:val="0"/>
          <w:numId w:val="43"/>
        </w:numPr>
        <w:ind w:firstLine="504"/>
        <w:rPr>
          <w:rFonts w:hint="eastAsia" w:ascii="宋体" w:hAnsi="宋体" w:cs="宋体"/>
          <w:szCs w:val="24"/>
        </w:rPr>
      </w:pPr>
      <w:r>
        <w:rPr>
          <w:rFonts w:hint="eastAsia" w:ascii="宋体" w:hAnsi="宋体" w:cs="宋体"/>
          <w:szCs w:val="24"/>
        </w:rPr>
        <w:t>区域标签</w:t>
      </w:r>
    </w:p>
    <w:p>
      <w:pPr>
        <w:pStyle w:val="139"/>
        <w:adjustRightInd w:val="0"/>
        <w:snapToGrid w:val="0"/>
        <w:ind w:firstLine="504"/>
        <w:rPr>
          <w:rFonts w:hint="eastAsia" w:ascii="宋体" w:hAnsi="宋体" w:cs="宋体"/>
          <w:szCs w:val="24"/>
        </w:rPr>
      </w:pPr>
      <w:r>
        <w:rPr>
          <w:rFonts w:hint="eastAsia" w:ascii="宋体" w:hAnsi="宋体" w:cs="宋体"/>
          <w:szCs w:val="24"/>
        </w:rPr>
        <w:t>支持以列表+图示模式配置由多个网格单元构成的区域（即区域为网格合集）。支持多种区域类型划分（如行政区域类型、自定义区域类型等），并对每种区域类型下具体区域编号、名称、包含网格数量、位置描述、备注及操作修改记录等信息编辑与显示。</w:t>
      </w:r>
    </w:p>
    <w:p>
      <w:pPr>
        <w:numPr>
          <w:ilvl w:val="0"/>
          <w:numId w:val="43"/>
        </w:numPr>
        <w:ind w:firstLine="504"/>
        <w:rPr>
          <w:rFonts w:hint="eastAsia" w:ascii="宋体" w:hAnsi="宋体" w:cs="宋体"/>
          <w:szCs w:val="24"/>
        </w:rPr>
      </w:pPr>
      <w:r>
        <w:rPr>
          <w:rFonts w:hint="eastAsia" w:ascii="宋体" w:hAnsi="宋体" w:cs="宋体"/>
          <w:szCs w:val="24"/>
        </w:rPr>
        <w:t>站点标签</w:t>
      </w:r>
    </w:p>
    <w:p>
      <w:pPr>
        <w:pStyle w:val="139"/>
        <w:adjustRightInd w:val="0"/>
        <w:snapToGrid w:val="0"/>
        <w:ind w:firstLine="504"/>
        <w:rPr>
          <w:rFonts w:hint="eastAsia" w:ascii="宋体" w:hAnsi="宋体" w:cs="宋体"/>
          <w:szCs w:val="24"/>
        </w:rPr>
      </w:pPr>
      <w:r>
        <w:rPr>
          <w:rFonts w:hint="eastAsia" w:ascii="宋体" w:hAnsi="宋体" w:cs="宋体"/>
          <w:szCs w:val="24"/>
        </w:rPr>
        <w:t>支持以列表+图示模式对接入的各个站点进行站点标签配置（如城市评价站点、重点观察站点等）呈现，并同步显示最新操作修改记录。</w:t>
      </w:r>
    </w:p>
    <w:p>
      <w:pPr>
        <w:pStyle w:val="139"/>
        <w:numPr>
          <w:ilvl w:val="0"/>
          <w:numId w:val="48"/>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事件规则配置</w:t>
      </w:r>
    </w:p>
    <w:p>
      <w:pPr>
        <w:pStyle w:val="139"/>
        <w:adjustRightInd w:val="0"/>
        <w:snapToGrid w:val="0"/>
        <w:ind w:firstLine="504"/>
        <w:rPr>
          <w:rFonts w:hint="eastAsia" w:ascii="宋体" w:hAnsi="宋体" w:cs="宋体"/>
          <w:szCs w:val="24"/>
        </w:rPr>
      </w:pPr>
      <w:r>
        <w:rPr>
          <w:rFonts w:hint="eastAsia" w:ascii="宋体" w:hAnsi="宋体" w:cs="宋体"/>
          <w:szCs w:val="24"/>
        </w:rPr>
        <w:t>可支持不同类型事件规则及事件等级的定义与配置。包括但不限于事件</w:t>
      </w:r>
      <w:r>
        <w:rPr>
          <w:rFonts w:hint="eastAsia" w:ascii="宋体" w:hAnsi="宋体" w:cs="宋体"/>
          <w:szCs w:val="24"/>
          <w:lang w:val="en-US" w:eastAsia="zh-CN"/>
        </w:rPr>
        <w:t>规则</w:t>
      </w:r>
      <w:r>
        <w:rPr>
          <w:rFonts w:hint="eastAsia" w:ascii="宋体" w:hAnsi="宋体" w:cs="宋体"/>
          <w:szCs w:val="24"/>
        </w:rPr>
        <w:t>名称、触发规则、事件类型等。支持对事件等级进行管理配置，并呈现不同事件等级已经关联的事件规则类型。</w:t>
      </w:r>
    </w:p>
    <w:p>
      <w:pPr>
        <w:pStyle w:val="139"/>
        <w:numPr>
          <w:ilvl w:val="0"/>
          <w:numId w:val="48"/>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消息推送管理</w:t>
      </w:r>
    </w:p>
    <w:p>
      <w:pPr>
        <w:numPr>
          <w:ilvl w:val="0"/>
          <w:numId w:val="43"/>
        </w:numPr>
        <w:ind w:firstLine="504"/>
        <w:rPr>
          <w:rFonts w:hint="eastAsia" w:ascii="宋体" w:hAnsi="宋体" w:cs="宋体"/>
          <w:szCs w:val="24"/>
        </w:rPr>
      </w:pPr>
      <w:r>
        <w:rPr>
          <w:rFonts w:hint="eastAsia" w:ascii="宋体" w:hAnsi="宋体" w:cs="宋体"/>
          <w:szCs w:val="24"/>
        </w:rPr>
        <w:t>支持触发式消息规则配置，支持对消息推送触发规则、推送内容、推送对象进行配置，支持对已推送信息详细查询呈现。</w:t>
      </w:r>
    </w:p>
    <w:p>
      <w:pPr>
        <w:numPr>
          <w:ilvl w:val="0"/>
          <w:numId w:val="43"/>
        </w:numPr>
        <w:ind w:firstLine="504"/>
        <w:rPr>
          <w:rFonts w:hint="eastAsia" w:ascii="宋体" w:hAnsi="宋体" w:cs="宋体"/>
          <w:szCs w:val="24"/>
        </w:rPr>
      </w:pPr>
      <w:r>
        <w:rPr>
          <w:rFonts w:hint="eastAsia" w:ascii="宋体" w:hAnsi="宋体" w:cs="宋体"/>
          <w:szCs w:val="24"/>
        </w:rPr>
        <w:t>针对差异化信息，支持对推送对象进行划分。</w:t>
      </w:r>
    </w:p>
    <w:p>
      <w:pPr>
        <w:numPr>
          <w:ilvl w:val="0"/>
          <w:numId w:val="43"/>
        </w:numPr>
        <w:ind w:firstLine="504"/>
        <w:rPr>
          <w:rFonts w:hint="eastAsia" w:ascii="宋体" w:hAnsi="宋体" w:cs="宋体"/>
          <w:szCs w:val="24"/>
        </w:rPr>
      </w:pPr>
      <w:r>
        <w:rPr>
          <w:rFonts w:hint="eastAsia" w:ascii="宋体" w:hAnsi="宋体" w:cs="宋体"/>
          <w:szCs w:val="24"/>
        </w:rPr>
        <w:t>支持推送等级管理。支持对消息推送等级进行管理配置，并呈现不同推送等级已经关联的推送规则类型。</w:t>
      </w:r>
    </w:p>
    <w:p>
      <w:pPr>
        <w:pStyle w:val="139"/>
        <w:numPr>
          <w:ilvl w:val="0"/>
          <w:numId w:val="48"/>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账号权限管理</w:t>
      </w:r>
    </w:p>
    <w:p>
      <w:pPr>
        <w:pStyle w:val="139"/>
        <w:adjustRightInd w:val="0"/>
        <w:snapToGrid w:val="0"/>
        <w:ind w:firstLine="504"/>
        <w:rPr>
          <w:rFonts w:hint="eastAsia" w:ascii="宋体" w:hAnsi="宋体" w:cs="宋体"/>
          <w:szCs w:val="24"/>
        </w:rPr>
      </w:pPr>
      <w:r>
        <w:rPr>
          <w:rFonts w:hint="eastAsia" w:ascii="宋体" w:hAnsi="宋体" w:cs="宋体"/>
          <w:szCs w:val="24"/>
        </w:rPr>
        <w:t>可支持用户名和密码认证方式实现登录控制，每个账号都与唯一的用户相对应。可支持对不同账户按不同权限划分，并提供完整的帐号权限分配现状记录以方便查询到指定用户的权限。</w:t>
      </w:r>
    </w:p>
    <w:p>
      <w:pPr>
        <w:pStyle w:val="139"/>
        <w:numPr>
          <w:ilvl w:val="0"/>
          <w:numId w:val="48"/>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基础信息管理</w:t>
      </w:r>
    </w:p>
    <w:p>
      <w:pPr>
        <w:pStyle w:val="139"/>
        <w:adjustRightInd w:val="0"/>
        <w:snapToGrid w:val="0"/>
        <w:ind w:firstLine="504"/>
        <w:rPr>
          <w:rFonts w:hint="eastAsia" w:ascii="宋体" w:hAnsi="宋体" w:cs="宋体"/>
          <w:szCs w:val="24"/>
        </w:rPr>
      </w:pPr>
      <w:r>
        <w:rPr>
          <w:rFonts w:hint="eastAsia" w:ascii="宋体" w:hAnsi="宋体" w:cs="宋体"/>
          <w:szCs w:val="24"/>
        </w:rPr>
        <w:t>支持对污染源信息如工厂信息（企业名称、法人信息、所属区域、行业、重点污染物，排放状态等）进行新增与编辑与查询操作。</w:t>
      </w:r>
    </w:p>
    <w:p>
      <w:pPr>
        <w:pStyle w:val="139"/>
        <w:numPr>
          <w:ilvl w:val="0"/>
          <w:numId w:val="48"/>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操作日志</w:t>
      </w:r>
    </w:p>
    <w:p>
      <w:pPr>
        <w:pStyle w:val="139"/>
        <w:adjustRightInd w:val="0"/>
        <w:snapToGrid w:val="0"/>
        <w:ind w:firstLine="504"/>
        <w:rPr>
          <w:rFonts w:hint="eastAsia" w:ascii="宋体" w:hAnsi="宋体" w:cs="宋体"/>
          <w:szCs w:val="24"/>
        </w:rPr>
      </w:pPr>
      <w:r>
        <w:rPr>
          <w:rFonts w:hint="eastAsia" w:ascii="宋体" w:hAnsi="宋体" w:cs="宋体"/>
          <w:szCs w:val="24"/>
        </w:rPr>
        <w:t>支持对客户端管理后台各类增删改操作进行记录，内容包括操作时间、操作人、操作描述等。</w:t>
      </w:r>
    </w:p>
    <w:p>
      <w:pPr>
        <w:pStyle w:val="6"/>
        <w:numPr>
          <w:ilvl w:val="0"/>
          <w:numId w:val="39"/>
        </w:numPr>
        <w:adjustRightInd w:val="0"/>
        <w:snapToGrid w:val="0"/>
        <w:ind w:firstLineChars="0"/>
        <w:rPr>
          <w:rFonts w:hint="eastAsia" w:cs="宋体"/>
          <w:szCs w:val="24"/>
        </w:rPr>
      </w:pPr>
      <w:r>
        <w:rPr>
          <w:rFonts w:hint="eastAsia" w:cs="宋体"/>
          <w:szCs w:val="24"/>
        </w:rPr>
        <w:t>移动端服务提供</w:t>
      </w:r>
    </w:p>
    <w:p>
      <w:pPr>
        <w:pStyle w:val="139"/>
        <w:numPr>
          <w:ilvl w:val="0"/>
          <w:numId w:val="49"/>
        </w:numPr>
        <w:tabs>
          <w:tab w:val="left" w:pos="1417"/>
        </w:tabs>
        <w:adjustRightInd w:val="0"/>
        <w:snapToGrid w:val="0"/>
        <w:ind w:firstLineChars="0"/>
        <w:rPr>
          <w:rFonts w:hint="eastAsia" w:ascii="宋体" w:hAnsi="宋体" w:cs="宋体"/>
          <w:b/>
          <w:bCs/>
          <w:szCs w:val="24"/>
        </w:rPr>
      </w:pPr>
      <w:bookmarkStart w:id="264" w:name="_Toc12353"/>
      <w:r>
        <w:rPr>
          <w:rFonts w:hint="eastAsia" w:ascii="宋体" w:hAnsi="宋体" w:cs="宋体"/>
          <w:b/>
          <w:szCs w:val="24"/>
        </w:rPr>
        <w:t>成都市</w:t>
      </w:r>
      <w:r>
        <w:rPr>
          <w:rFonts w:hint="eastAsia" w:ascii="宋体" w:hAnsi="宋体" w:cs="宋体"/>
          <w:b/>
          <w:szCs w:val="24"/>
          <w:lang w:eastAsia="zh-CN"/>
        </w:rPr>
        <w:t>“6+1”目标区域</w:t>
      </w:r>
      <w:r>
        <w:rPr>
          <w:rFonts w:hint="eastAsia" w:ascii="宋体" w:hAnsi="宋体" w:cs="宋体"/>
          <w:b/>
          <w:bCs/>
          <w:szCs w:val="24"/>
        </w:rPr>
        <w:t>生态环境监测网络概览</w:t>
      </w:r>
    </w:p>
    <w:p>
      <w:pPr>
        <w:pStyle w:val="139"/>
        <w:adjustRightInd w:val="0"/>
        <w:snapToGrid w:val="0"/>
        <w:ind w:firstLine="504"/>
        <w:rPr>
          <w:rFonts w:hint="eastAsia" w:ascii="宋体" w:hAnsi="宋体" w:cs="宋体"/>
          <w:szCs w:val="24"/>
        </w:rPr>
      </w:pPr>
      <w:r>
        <w:rPr>
          <w:rFonts w:hint="eastAsia" w:ascii="宋体" w:hAnsi="宋体" w:cs="宋体"/>
          <w:szCs w:val="24"/>
        </w:rPr>
        <w:t>要求并直观显示以下内容：</w:t>
      </w:r>
    </w:p>
    <w:p>
      <w:pPr>
        <w:numPr>
          <w:ilvl w:val="0"/>
          <w:numId w:val="43"/>
        </w:numPr>
        <w:ind w:firstLine="504"/>
        <w:rPr>
          <w:rFonts w:hint="eastAsia" w:ascii="宋体" w:hAnsi="宋体" w:cs="宋体"/>
          <w:szCs w:val="24"/>
        </w:rPr>
      </w:pPr>
      <w:r>
        <w:rPr>
          <w:rFonts w:hint="eastAsia" w:ascii="宋体" w:hAnsi="宋体" w:cs="宋体"/>
          <w:szCs w:val="24"/>
        </w:rPr>
        <w:t>监测站点</w:t>
      </w:r>
    </w:p>
    <w:p>
      <w:pPr>
        <w:pStyle w:val="139"/>
        <w:adjustRightInd w:val="0"/>
        <w:snapToGrid w:val="0"/>
        <w:ind w:firstLine="504"/>
        <w:rPr>
          <w:rFonts w:hint="eastAsia" w:ascii="宋体" w:hAnsi="宋体" w:eastAsia="宋体" w:cs="宋体"/>
          <w:szCs w:val="24"/>
          <w:lang w:eastAsia="zh-CN"/>
        </w:rPr>
      </w:pPr>
      <w:r>
        <w:rPr>
          <w:rFonts w:hint="eastAsia" w:ascii="宋体" w:hAnsi="宋体" w:cs="宋体"/>
          <w:szCs w:val="24"/>
        </w:rPr>
        <w:t>要求能够结合地图展示成都市</w:t>
      </w:r>
      <w:r>
        <w:rPr>
          <w:rFonts w:hint="eastAsia" w:ascii="宋体" w:hAnsi="宋体" w:cs="宋体"/>
          <w:szCs w:val="24"/>
          <w:lang w:eastAsia="zh-CN"/>
        </w:rPr>
        <w:t>“6+1”目标区域</w:t>
      </w:r>
      <w:r>
        <w:rPr>
          <w:rFonts w:hint="eastAsia" w:ascii="宋体" w:hAnsi="宋体" w:cs="宋体"/>
          <w:szCs w:val="24"/>
        </w:rPr>
        <w:t>不同类型空气质量监测站点监测的各类污染物浓度，包括固定式站点（国控站点、省控站点）和移动式站点（公交车监测站点、出租车监测站点）</w:t>
      </w:r>
      <w:r>
        <w:rPr>
          <w:rFonts w:hint="eastAsia" w:ascii="宋体" w:hAnsi="宋体" w:cs="宋体"/>
          <w:szCs w:val="24"/>
          <w:lang w:eastAsia="zh-CN"/>
        </w:rPr>
        <w:t>。</w:t>
      </w:r>
    </w:p>
    <w:p>
      <w:pPr>
        <w:numPr>
          <w:ilvl w:val="0"/>
          <w:numId w:val="43"/>
        </w:numPr>
        <w:ind w:firstLine="504"/>
        <w:rPr>
          <w:rFonts w:hint="eastAsia" w:ascii="宋体" w:hAnsi="宋体" w:cs="宋体"/>
          <w:szCs w:val="24"/>
        </w:rPr>
      </w:pPr>
      <w:r>
        <w:rPr>
          <w:rFonts w:hint="eastAsia" w:ascii="宋体" w:hAnsi="宋体" w:cs="宋体"/>
          <w:szCs w:val="24"/>
        </w:rPr>
        <w:t>空气质量推断</w:t>
      </w:r>
    </w:p>
    <w:p>
      <w:pPr>
        <w:pStyle w:val="139"/>
        <w:adjustRightInd w:val="0"/>
        <w:snapToGrid w:val="0"/>
        <w:ind w:firstLine="504"/>
        <w:rPr>
          <w:rFonts w:ascii="宋体" w:hAnsi="宋体" w:cs="宋体"/>
          <w:szCs w:val="24"/>
        </w:rPr>
      </w:pPr>
      <w:r>
        <w:rPr>
          <w:rFonts w:hint="eastAsia" w:ascii="宋体" w:hAnsi="宋体" w:cs="宋体"/>
          <w:szCs w:val="24"/>
        </w:rPr>
        <w:t>要求能够结合地图展示成都市“6+1”</w:t>
      </w:r>
      <w:r>
        <w:rPr>
          <w:rFonts w:hint="eastAsia" w:ascii="宋体" w:hAnsi="宋体" w:cs="宋体"/>
          <w:szCs w:val="24"/>
          <w:lang w:val="en-US" w:eastAsia="zh-CN"/>
        </w:rPr>
        <w:t>目标</w:t>
      </w:r>
      <w:r>
        <w:rPr>
          <w:rFonts w:hint="eastAsia" w:ascii="宋体" w:hAnsi="宋体" w:cs="宋体"/>
          <w:szCs w:val="24"/>
        </w:rPr>
        <w:t>区域空间分辨率2km×2km，时间分辨率1小时下包含空气污染6+1参数的网格空气质量推断结果及相应网格基础特征（工厂数量、餐饮数量）、气象特征（温度、湿度、风向等）等信息。</w:t>
      </w:r>
    </w:p>
    <w:p>
      <w:pPr>
        <w:pStyle w:val="139"/>
        <w:numPr>
          <w:ilvl w:val="0"/>
          <w:numId w:val="49"/>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网格详情查看</w:t>
      </w:r>
    </w:p>
    <w:p>
      <w:pPr>
        <w:pStyle w:val="139"/>
        <w:adjustRightInd w:val="0"/>
        <w:snapToGrid w:val="0"/>
        <w:ind w:firstLine="504"/>
        <w:rPr>
          <w:rFonts w:hint="eastAsia" w:ascii="宋体" w:hAnsi="宋体" w:cs="宋体"/>
          <w:szCs w:val="24"/>
        </w:rPr>
      </w:pPr>
      <w:r>
        <w:rPr>
          <w:rFonts w:hint="eastAsia" w:ascii="宋体" w:hAnsi="宋体" w:cs="宋体"/>
          <w:szCs w:val="24"/>
        </w:rPr>
        <w:t>要求支持查看移动终端用户所在网格或其它网格基本信息（位置描述、标签特征、企业数量、餐饮数量等）、气象信息（温度、湿度、风向等）、空气质量信息（污染指标、污染程度、首要污染物）、空气质量历史变化趋势。</w:t>
      </w:r>
    </w:p>
    <w:p>
      <w:pPr>
        <w:pStyle w:val="139"/>
        <w:numPr>
          <w:ilvl w:val="0"/>
          <w:numId w:val="49"/>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环境监察反馈</w:t>
      </w:r>
    </w:p>
    <w:p>
      <w:pPr>
        <w:pStyle w:val="139"/>
        <w:adjustRightInd w:val="0"/>
        <w:snapToGrid w:val="0"/>
        <w:ind w:firstLine="504"/>
        <w:rPr>
          <w:rFonts w:hint="eastAsia" w:ascii="宋体" w:hAnsi="宋体" w:cs="宋体"/>
          <w:szCs w:val="24"/>
        </w:rPr>
      </w:pPr>
      <w:r>
        <w:rPr>
          <w:rFonts w:hint="eastAsia" w:ascii="宋体" w:hAnsi="宋体" w:cs="宋体"/>
          <w:szCs w:val="24"/>
        </w:rPr>
        <w:t>要求支持用户在移动终端对污染监察网格数据上传反馈，支持用户上传所在或其它网格实测监测空气质量指标（空气污染6+1参数）、现场取证照片及相关描述或备注信息。</w:t>
      </w:r>
    </w:p>
    <w:p>
      <w:pPr>
        <w:pStyle w:val="139"/>
        <w:numPr>
          <w:ilvl w:val="0"/>
          <w:numId w:val="49"/>
        </w:numPr>
        <w:tabs>
          <w:tab w:val="left" w:pos="1417"/>
        </w:tabs>
        <w:adjustRightInd w:val="0"/>
        <w:snapToGrid w:val="0"/>
        <w:ind w:firstLineChars="0"/>
        <w:rPr>
          <w:rFonts w:hint="eastAsia" w:ascii="宋体" w:hAnsi="宋体" w:cs="宋体"/>
          <w:b/>
          <w:bCs/>
          <w:szCs w:val="24"/>
        </w:rPr>
      </w:pPr>
      <w:r>
        <w:rPr>
          <w:rFonts w:hint="eastAsia" w:ascii="宋体" w:hAnsi="宋体" w:cs="宋体"/>
          <w:b/>
          <w:bCs/>
          <w:szCs w:val="24"/>
        </w:rPr>
        <w:t>事件消息提醒</w:t>
      </w:r>
    </w:p>
    <w:p>
      <w:pPr>
        <w:pStyle w:val="139"/>
        <w:adjustRightInd w:val="0"/>
        <w:snapToGrid w:val="0"/>
        <w:ind w:firstLine="504"/>
        <w:rPr>
          <w:rFonts w:hint="eastAsia" w:ascii="宋体" w:hAnsi="宋体" w:cs="宋体"/>
          <w:szCs w:val="24"/>
        </w:rPr>
      </w:pPr>
      <w:r>
        <w:rPr>
          <w:rFonts w:hint="eastAsia" w:ascii="宋体" w:hAnsi="宋体" w:cs="宋体"/>
          <w:szCs w:val="24"/>
        </w:rPr>
        <w:t>要求并直观显示以下内容：</w:t>
      </w:r>
    </w:p>
    <w:p>
      <w:pPr>
        <w:numPr>
          <w:ilvl w:val="0"/>
          <w:numId w:val="43"/>
        </w:numPr>
        <w:ind w:firstLine="504"/>
        <w:rPr>
          <w:rFonts w:hint="eastAsia" w:ascii="宋体" w:hAnsi="宋体" w:cs="宋体"/>
          <w:szCs w:val="24"/>
        </w:rPr>
      </w:pPr>
      <w:r>
        <w:rPr>
          <w:rFonts w:hint="eastAsia" w:ascii="宋体" w:hAnsi="宋体" w:cs="宋体"/>
          <w:szCs w:val="24"/>
        </w:rPr>
        <w:t>支持按不同权限等级分层级推送成都市</w:t>
      </w:r>
      <w:r>
        <w:rPr>
          <w:rFonts w:hint="eastAsia" w:ascii="宋体" w:hAnsi="宋体" w:cs="宋体"/>
          <w:szCs w:val="24"/>
          <w:lang w:eastAsia="zh-CN"/>
        </w:rPr>
        <w:t>“6+1”</w:t>
      </w:r>
      <w:r>
        <w:rPr>
          <w:rFonts w:hint="eastAsia" w:ascii="宋体" w:hAnsi="宋体" w:cs="宋体"/>
          <w:szCs w:val="24"/>
          <w:lang w:val="en-US" w:eastAsia="zh-CN"/>
        </w:rPr>
        <w:t>目标</w:t>
      </w:r>
      <w:r>
        <w:rPr>
          <w:rFonts w:hint="eastAsia" w:ascii="宋体" w:hAnsi="宋体" w:cs="宋体"/>
          <w:szCs w:val="24"/>
          <w:lang w:eastAsia="zh-CN"/>
        </w:rPr>
        <w:t>区域</w:t>
      </w:r>
      <w:r>
        <w:rPr>
          <w:rFonts w:hint="eastAsia" w:ascii="宋体" w:hAnsi="宋体" w:cs="宋体"/>
          <w:szCs w:val="24"/>
        </w:rPr>
        <w:t>大气环境告警信息，推送内容涵盖告警时间、污染等级、首要污染物、污染指标等。</w:t>
      </w:r>
    </w:p>
    <w:p>
      <w:pPr>
        <w:numPr>
          <w:ilvl w:val="0"/>
          <w:numId w:val="43"/>
        </w:numPr>
        <w:ind w:firstLine="504"/>
        <w:rPr>
          <w:rFonts w:hint="eastAsia" w:ascii="宋体" w:hAnsi="宋体" w:cs="宋体"/>
          <w:szCs w:val="24"/>
        </w:rPr>
      </w:pPr>
      <w:r>
        <w:rPr>
          <w:rFonts w:hint="eastAsia" w:ascii="宋体" w:hAnsi="宋体" w:cs="宋体"/>
          <w:szCs w:val="24"/>
        </w:rPr>
        <w:t>按照月度展示目标月度所发布的告警时间、告警级别等相关信息，统计出全年度各月份发布的不同告警类型及相应累计天数告警并定时推送。</w:t>
      </w:r>
    </w:p>
    <w:p>
      <w:pPr>
        <w:pStyle w:val="5"/>
        <w:adjustRightInd w:val="0"/>
        <w:snapToGrid w:val="0"/>
        <w:ind w:firstLine="502" w:firstLineChars="200"/>
        <w:rPr>
          <w:rFonts w:hint="eastAsia" w:cs="宋体"/>
          <w:sz w:val="24"/>
          <w:szCs w:val="24"/>
        </w:rPr>
      </w:pPr>
      <w:r>
        <w:rPr>
          <w:rFonts w:hint="eastAsia" w:cs="宋体"/>
          <w:sz w:val="24"/>
          <w:szCs w:val="24"/>
        </w:rPr>
        <w:t>运维服务及要求</w:t>
      </w:r>
      <w:bookmarkEnd w:id="264"/>
    </w:p>
    <w:p>
      <w:pPr>
        <w:adjustRightInd w:val="0"/>
        <w:snapToGrid w:val="0"/>
        <w:ind w:firstLine="416" w:firstLineChars="166"/>
        <w:rPr>
          <w:rFonts w:hint="eastAsia" w:ascii="宋体" w:hAnsi="宋体" w:cs="宋体"/>
          <w:szCs w:val="24"/>
        </w:rPr>
      </w:pPr>
      <w:r>
        <w:rPr>
          <w:rFonts w:hint="eastAsia" w:ascii="宋体" w:hAnsi="宋体" w:cs="宋体"/>
          <w:szCs w:val="24"/>
        </w:rPr>
        <w:t>★投标人应遵守生态环境部、中国环境监测总站、四川省生态环境厅、成都市生态环境局的最新规定。</w:t>
      </w:r>
      <w:r>
        <w:rPr>
          <w:rFonts w:hint="eastAsia" w:ascii="宋体" w:hAnsi="宋体" w:cs="宋体"/>
          <w:b/>
          <w:bCs/>
          <w:szCs w:val="24"/>
        </w:rPr>
        <w:t>（提供承诺函原件，加盖投标人公章。）</w:t>
      </w:r>
    </w:p>
    <w:p>
      <w:pPr>
        <w:adjustRightInd w:val="0"/>
        <w:snapToGrid w:val="0"/>
        <w:ind w:firstLine="416" w:firstLineChars="166"/>
        <w:rPr>
          <w:rFonts w:hint="eastAsia" w:ascii="宋体" w:hAnsi="宋体" w:cs="宋体"/>
          <w:szCs w:val="24"/>
        </w:rPr>
      </w:pPr>
      <w:r>
        <w:rPr>
          <w:rFonts w:hint="eastAsia" w:ascii="宋体" w:hAnsi="宋体" w:cs="宋体"/>
          <w:szCs w:val="24"/>
        </w:rPr>
        <w:t>投标人需在投标文件中提供详细的运维服务方案。</w:t>
      </w:r>
    </w:p>
    <w:p>
      <w:pPr>
        <w:adjustRightInd w:val="0"/>
        <w:snapToGrid w:val="0"/>
        <w:ind w:firstLine="416" w:firstLineChars="166"/>
        <w:rPr>
          <w:rFonts w:hint="eastAsia" w:ascii="宋体" w:hAnsi="宋体" w:cs="宋体"/>
          <w:szCs w:val="24"/>
        </w:rPr>
      </w:pPr>
      <w:r>
        <w:rPr>
          <w:rFonts w:hint="eastAsia" w:ascii="宋体" w:hAnsi="宋体" w:cs="宋体"/>
          <w:szCs w:val="24"/>
        </w:rPr>
        <w:t>★根据国家保密局和环境保护部联合发文环发〔2013〕118号相关规定，投标人须承诺未有外商直接持股的情况，若中标后发现与实际不符，则按虚假响应处理。</w:t>
      </w:r>
      <w:r>
        <w:rPr>
          <w:rFonts w:hint="eastAsia" w:ascii="宋体" w:hAnsi="宋体" w:cs="宋体"/>
          <w:b/>
          <w:bCs/>
          <w:szCs w:val="24"/>
        </w:rPr>
        <w:t>（提供承诺函原件，加盖投标人公章。）</w:t>
      </w:r>
    </w:p>
    <w:p>
      <w:pPr>
        <w:pStyle w:val="6"/>
        <w:adjustRightInd w:val="0"/>
        <w:snapToGrid w:val="0"/>
        <w:ind w:left="247" w:leftChars="0" w:firstLine="506" w:firstLineChars="0"/>
        <w:rPr>
          <w:rFonts w:hint="eastAsia" w:cs="宋体"/>
          <w:szCs w:val="24"/>
        </w:rPr>
      </w:pPr>
      <w:r>
        <w:rPr>
          <w:rFonts w:hint="eastAsia" w:cs="宋体"/>
          <w:szCs w:val="24"/>
        </w:rPr>
        <w:t>总体要求</w:t>
      </w:r>
    </w:p>
    <w:p>
      <w:pPr>
        <w:adjustRightInd w:val="0"/>
        <w:snapToGrid w:val="0"/>
        <w:ind w:firstLine="504"/>
        <w:rPr>
          <w:rFonts w:hint="eastAsia" w:ascii="宋体" w:hAnsi="宋体" w:cs="宋体"/>
          <w:szCs w:val="24"/>
        </w:rPr>
      </w:pPr>
      <w:r>
        <w:rPr>
          <w:rFonts w:hint="eastAsia" w:ascii="宋体" w:hAnsi="宋体" w:cs="宋体"/>
          <w:szCs w:val="24"/>
        </w:rPr>
        <w:t>投标人为满足采购人数据服务和技术服务所自行建设的移动式空气质量监测设备由投标人自行运行维护，费用自行综合考虑，必须确保数据的完整性和有效性达到采购人要求。</w:t>
      </w:r>
    </w:p>
    <w:p>
      <w:pPr>
        <w:numPr>
          <w:ilvl w:val="0"/>
          <w:numId w:val="50"/>
        </w:numPr>
        <w:adjustRightInd w:val="0"/>
        <w:snapToGrid w:val="0"/>
        <w:ind w:firstLineChars="0"/>
        <w:rPr>
          <w:rFonts w:hint="eastAsia" w:ascii="宋体" w:hAnsi="宋体" w:cs="宋体"/>
          <w:szCs w:val="24"/>
        </w:rPr>
      </w:pPr>
      <w:r>
        <w:rPr>
          <w:rFonts w:hint="eastAsia" w:ascii="宋体" w:hAnsi="宋体" w:cs="宋体"/>
          <w:szCs w:val="24"/>
        </w:rPr>
        <w:t>设置驻场服务经理</w:t>
      </w:r>
    </w:p>
    <w:p>
      <w:pPr>
        <w:adjustRightInd w:val="0"/>
        <w:snapToGrid w:val="0"/>
        <w:ind w:firstLine="504"/>
        <w:rPr>
          <w:rFonts w:hint="eastAsia" w:ascii="宋体" w:hAnsi="宋体" w:cs="宋体"/>
          <w:szCs w:val="24"/>
        </w:rPr>
      </w:pPr>
      <w:r>
        <w:rPr>
          <w:rFonts w:hint="eastAsia" w:ascii="宋体" w:hAnsi="宋体" w:cs="宋体"/>
          <w:szCs w:val="24"/>
        </w:rPr>
        <w:t>根据采购人的要求，管理和指导团队开展技术支持工作、运维工作中的相关操作必须符合行业标准及国家相关法律法规，针对该项目承担的运维服务工作应有相应的措施，确保运维服务规范。</w:t>
      </w:r>
    </w:p>
    <w:p>
      <w:pPr>
        <w:numPr>
          <w:ilvl w:val="0"/>
          <w:numId w:val="50"/>
        </w:numPr>
        <w:adjustRightInd w:val="0"/>
        <w:snapToGrid w:val="0"/>
        <w:ind w:firstLineChars="0"/>
        <w:rPr>
          <w:rFonts w:hint="eastAsia" w:ascii="宋体" w:hAnsi="宋体" w:cs="宋体"/>
          <w:szCs w:val="24"/>
        </w:rPr>
      </w:pPr>
      <w:r>
        <w:rPr>
          <w:rFonts w:hint="eastAsia" w:ascii="宋体" w:hAnsi="宋体" w:cs="宋体"/>
          <w:szCs w:val="24"/>
        </w:rPr>
        <w:t>制定驻场团队的管理及服务保障方案</w:t>
      </w:r>
    </w:p>
    <w:p>
      <w:pPr>
        <w:adjustRightInd w:val="0"/>
        <w:snapToGrid w:val="0"/>
        <w:ind w:firstLine="504"/>
        <w:rPr>
          <w:rFonts w:hint="eastAsia" w:ascii="宋体" w:hAnsi="宋体" w:cs="宋体"/>
          <w:szCs w:val="24"/>
        </w:rPr>
      </w:pPr>
      <w:r>
        <w:rPr>
          <w:rFonts w:hint="eastAsia" w:ascii="宋体" w:hAnsi="宋体" w:cs="宋体"/>
          <w:szCs w:val="24"/>
        </w:rPr>
        <w:t>确保驻场团队人员需稳定可靠。驻场团队在驻场期间，需遵守所在地区相关规定，维护运维秩序，制定管理制度，确保不发生问题。</w:t>
      </w:r>
    </w:p>
    <w:p>
      <w:pPr>
        <w:adjustRightInd w:val="0"/>
        <w:snapToGrid w:val="0"/>
        <w:ind w:firstLine="504"/>
        <w:rPr>
          <w:rFonts w:hint="eastAsia" w:ascii="宋体" w:hAnsi="宋体" w:cs="宋体"/>
          <w:szCs w:val="24"/>
        </w:rPr>
      </w:pPr>
      <w:r>
        <w:rPr>
          <w:rFonts w:hint="eastAsia" w:ascii="宋体" w:hAnsi="宋体" w:cs="宋体"/>
          <w:szCs w:val="24"/>
        </w:rPr>
        <w:t>值班人员每日,检查招标要求的基础设施维护的设备是否正常工作，记录工作状态情况，定期进行维护保养。</w:t>
      </w:r>
    </w:p>
    <w:p>
      <w:pPr>
        <w:adjustRightInd w:val="0"/>
        <w:snapToGrid w:val="0"/>
        <w:ind w:firstLine="504"/>
        <w:rPr>
          <w:rFonts w:hint="eastAsia" w:ascii="宋体" w:hAnsi="宋体" w:cs="宋体"/>
          <w:szCs w:val="24"/>
        </w:rPr>
      </w:pPr>
      <w:r>
        <w:rPr>
          <w:rFonts w:hint="eastAsia" w:ascii="宋体" w:hAnsi="宋体" w:cs="宋体"/>
          <w:szCs w:val="24"/>
        </w:rPr>
        <w:t>根据功能使用要求和用户应用情况制定应急服务方案，从人员、时间、应急策略等方面保障异常情况下的功能使用和快速恢复。</w:t>
      </w:r>
    </w:p>
    <w:p>
      <w:pPr>
        <w:adjustRightInd w:val="0"/>
        <w:snapToGrid w:val="0"/>
        <w:ind w:firstLine="504"/>
        <w:rPr>
          <w:rFonts w:hint="eastAsia" w:ascii="宋体" w:hAnsi="宋体" w:cs="宋体"/>
          <w:szCs w:val="24"/>
        </w:rPr>
      </w:pPr>
      <w:r>
        <w:rPr>
          <w:rFonts w:hint="eastAsia" w:ascii="宋体" w:hAnsi="宋体" w:cs="宋体"/>
          <w:szCs w:val="24"/>
        </w:rPr>
        <w:t>每月进行运维总结工作，并进行年度汇报工作，按监管中心要求编制月度以及年度运行维护情况报告。</w:t>
      </w:r>
    </w:p>
    <w:p>
      <w:pPr>
        <w:pStyle w:val="6"/>
        <w:adjustRightInd w:val="0"/>
        <w:snapToGrid w:val="0"/>
        <w:ind w:left="247" w:leftChars="0" w:firstLine="506" w:firstLineChars="0"/>
        <w:rPr>
          <w:rFonts w:hint="eastAsia" w:cs="宋体"/>
          <w:szCs w:val="24"/>
        </w:rPr>
      </w:pPr>
      <w:r>
        <w:rPr>
          <w:rFonts w:hint="eastAsia" w:cs="宋体"/>
          <w:szCs w:val="24"/>
        </w:rPr>
        <w:t>驻场服务团队要求</w:t>
      </w:r>
    </w:p>
    <w:p>
      <w:pPr>
        <w:pStyle w:val="6"/>
        <w:numPr>
          <w:ilvl w:val="0"/>
          <w:numId w:val="51"/>
        </w:numPr>
        <w:adjustRightInd w:val="0"/>
        <w:snapToGrid w:val="0"/>
        <w:ind w:firstLineChars="0"/>
        <w:rPr>
          <w:rFonts w:hint="eastAsia" w:cs="宋体"/>
          <w:szCs w:val="24"/>
        </w:rPr>
      </w:pPr>
      <w:r>
        <w:rPr>
          <w:rFonts w:hint="eastAsia" w:cs="宋体"/>
          <w:szCs w:val="24"/>
        </w:rPr>
        <w:t>机构、人员配置</w:t>
      </w:r>
    </w:p>
    <w:p>
      <w:pPr>
        <w:adjustRightInd w:val="0"/>
        <w:snapToGrid w:val="0"/>
        <w:ind w:firstLine="504"/>
        <w:rPr>
          <w:rFonts w:hint="eastAsia" w:ascii="宋体" w:hAnsi="宋体" w:cs="宋体"/>
          <w:szCs w:val="24"/>
        </w:rPr>
      </w:pPr>
      <w:r>
        <w:rPr>
          <w:rFonts w:hint="eastAsia" w:ascii="宋体" w:hAnsi="宋体" w:cs="宋体"/>
          <w:szCs w:val="24"/>
        </w:rPr>
        <w:t>投标人须在采购人要求驻场地点派驻驻场服务人员，主要负责对服务平台及硬件设备进行技术支持等。</w:t>
      </w:r>
    </w:p>
    <w:p>
      <w:pPr>
        <w:numPr>
          <w:ilvl w:val="0"/>
          <w:numId w:val="52"/>
        </w:numPr>
        <w:adjustRightInd w:val="0"/>
        <w:snapToGrid w:val="0"/>
        <w:ind w:firstLine="504"/>
        <w:rPr>
          <w:rFonts w:hint="eastAsia" w:ascii="宋体" w:hAnsi="宋体" w:cs="宋体"/>
          <w:szCs w:val="24"/>
        </w:rPr>
      </w:pPr>
      <w:r>
        <w:rPr>
          <w:rFonts w:hint="eastAsia" w:ascii="宋体" w:hAnsi="宋体" w:cs="宋体"/>
          <w:szCs w:val="24"/>
        </w:rPr>
        <w:t>投标人应配有备品备件支持库，包括本项目运维所涉及设备的耗材和备品备件等，全天候7</w:t>
      </w:r>
      <w:r>
        <w:rPr>
          <w:rFonts w:hint="eastAsia" w:ascii="宋体" w:hAnsi="宋体" w:cs="宋体"/>
          <w:szCs w:val="24"/>
          <w:lang w:val="en-US" w:eastAsia="zh-CN"/>
        </w:rPr>
        <w:t>*</w:t>
      </w:r>
      <w:r>
        <w:rPr>
          <w:rFonts w:hint="eastAsia" w:ascii="宋体" w:hAnsi="宋体" w:cs="宋体"/>
          <w:szCs w:val="24"/>
        </w:rPr>
        <w:t>24小时提供服务，并根据故障紧急程度，保证备品备件于6小时内到达现场。</w:t>
      </w:r>
    </w:p>
    <w:p>
      <w:pPr>
        <w:numPr>
          <w:ilvl w:val="0"/>
          <w:numId w:val="52"/>
        </w:numPr>
        <w:adjustRightInd w:val="0"/>
        <w:snapToGrid w:val="0"/>
        <w:ind w:firstLine="504"/>
        <w:rPr>
          <w:rFonts w:hint="eastAsia" w:ascii="宋体" w:hAnsi="宋体" w:cs="宋体"/>
          <w:szCs w:val="24"/>
        </w:rPr>
      </w:pPr>
      <w:r>
        <w:rPr>
          <w:rFonts w:hint="eastAsia" w:ascii="宋体" w:hAnsi="宋体" w:cs="宋体"/>
          <w:szCs w:val="24"/>
        </w:rPr>
        <w:t>提供7*24小时不间断运维服务，保障功能服务正常。</w:t>
      </w:r>
    </w:p>
    <w:p>
      <w:pPr>
        <w:numPr>
          <w:ilvl w:val="0"/>
          <w:numId w:val="52"/>
        </w:numPr>
        <w:adjustRightInd w:val="0"/>
        <w:snapToGrid w:val="0"/>
        <w:ind w:firstLine="504"/>
        <w:rPr>
          <w:rFonts w:hint="eastAsia" w:ascii="宋体" w:hAnsi="宋体" w:cs="宋体"/>
          <w:szCs w:val="24"/>
        </w:rPr>
      </w:pPr>
      <w:r>
        <w:rPr>
          <w:rFonts w:hint="eastAsia" w:ascii="宋体" w:hAnsi="宋体" w:cs="宋体"/>
          <w:szCs w:val="24"/>
        </w:rPr>
        <w:t>提供驻场服务人员及运维人员名单。</w:t>
      </w:r>
    </w:p>
    <w:p>
      <w:pPr>
        <w:numPr>
          <w:ilvl w:val="0"/>
          <w:numId w:val="52"/>
        </w:numPr>
        <w:ind w:firstLine="504"/>
        <w:rPr>
          <w:rFonts w:hint="eastAsia" w:ascii="宋体" w:hAnsi="宋体" w:cs="宋体"/>
          <w:szCs w:val="24"/>
        </w:rPr>
      </w:pPr>
      <w:r>
        <w:rPr>
          <w:rFonts w:hint="eastAsia" w:ascii="宋体" w:hAnsi="宋体" w:cs="宋体"/>
          <w:szCs w:val="24"/>
        </w:rPr>
        <w:t>运维人员数量要求：驻场服务经理：1人；驻场运维人员：≥6人。</w:t>
      </w:r>
    </w:p>
    <w:p>
      <w:pPr>
        <w:pStyle w:val="6"/>
        <w:numPr>
          <w:ilvl w:val="0"/>
          <w:numId w:val="51"/>
        </w:numPr>
        <w:adjustRightInd w:val="0"/>
        <w:snapToGrid w:val="0"/>
        <w:ind w:firstLineChars="0"/>
        <w:rPr>
          <w:rFonts w:hint="eastAsia" w:cs="宋体"/>
          <w:szCs w:val="24"/>
        </w:rPr>
      </w:pPr>
      <w:r>
        <w:rPr>
          <w:rFonts w:hint="eastAsia" w:cs="宋体"/>
          <w:szCs w:val="24"/>
        </w:rPr>
        <w:t>紧急响应要求</w:t>
      </w:r>
    </w:p>
    <w:p>
      <w:pPr>
        <w:adjustRightInd w:val="0"/>
        <w:snapToGrid w:val="0"/>
        <w:ind w:firstLine="504"/>
        <w:rPr>
          <w:rFonts w:hint="eastAsia" w:ascii="宋体" w:hAnsi="宋体" w:cs="宋体"/>
          <w:szCs w:val="24"/>
        </w:rPr>
      </w:pPr>
      <w:r>
        <w:rPr>
          <w:rFonts w:hint="eastAsia" w:ascii="宋体" w:hAnsi="宋体" w:cs="宋体"/>
          <w:szCs w:val="24"/>
        </w:rPr>
        <w:t>投标人需保证满足环保部门对设备故障的响应时间要求，当设备出现故障，投标人需在1小时之内响应，并赶赴现场对事故进行处理，若处理时间超过12小时，投标人需提供并更换相应的备机，保证各站点的正常运行。当出现突发事件时，驻场运维人员需立即做出响应，并同时进行问题查找与诊断，查明原因后，通知技术人员对事件进行解决，技术人员需以最快速度赶到现场进行处置。</w:t>
      </w:r>
    </w:p>
    <w:p>
      <w:pPr>
        <w:pStyle w:val="6"/>
        <w:numPr>
          <w:ilvl w:val="0"/>
          <w:numId w:val="51"/>
        </w:numPr>
        <w:adjustRightInd w:val="0"/>
        <w:snapToGrid w:val="0"/>
        <w:ind w:firstLineChars="0"/>
        <w:rPr>
          <w:rFonts w:hint="eastAsia" w:cs="宋体"/>
          <w:szCs w:val="24"/>
        </w:rPr>
      </w:pPr>
      <w:r>
        <w:rPr>
          <w:rFonts w:hint="eastAsia" w:cs="宋体"/>
          <w:szCs w:val="24"/>
        </w:rPr>
        <w:t>其他要求</w:t>
      </w:r>
    </w:p>
    <w:p>
      <w:pPr>
        <w:adjustRightInd w:val="0"/>
        <w:snapToGrid w:val="0"/>
        <w:ind w:firstLine="504"/>
        <w:rPr>
          <w:rFonts w:hint="eastAsia" w:ascii="宋体" w:hAnsi="宋体" w:cs="宋体"/>
          <w:b/>
          <w:bCs/>
          <w:szCs w:val="24"/>
        </w:rPr>
      </w:pPr>
      <w:r>
        <w:rPr>
          <w:rFonts w:hint="eastAsia" w:ascii="宋体" w:hAnsi="宋体" w:cs="宋体"/>
          <w:szCs w:val="24"/>
        </w:rPr>
        <w:t>★三年运维期间涉及到运维团队人员的待遇、安全、保障、法律纠纷等事宜由投标人自行负责；运维期满后，涉及到运维团队人员的人事劳动关系、解聘赔偿等事宜由投标人全权负责。</w:t>
      </w:r>
      <w:r>
        <w:rPr>
          <w:rFonts w:hint="eastAsia" w:ascii="宋体" w:hAnsi="宋体" w:cs="宋体"/>
          <w:b/>
          <w:bCs/>
          <w:szCs w:val="24"/>
        </w:rPr>
        <w:t>（提供承诺函原件，加盖投标人公章。）</w:t>
      </w:r>
    </w:p>
    <w:p>
      <w:pPr>
        <w:pStyle w:val="5"/>
        <w:adjustRightInd w:val="0"/>
        <w:snapToGrid w:val="0"/>
        <w:ind w:firstLine="502" w:firstLineChars="200"/>
        <w:rPr>
          <w:rFonts w:hint="eastAsia" w:cs="宋体"/>
          <w:sz w:val="24"/>
          <w:szCs w:val="24"/>
        </w:rPr>
      </w:pPr>
      <w:bookmarkStart w:id="265" w:name="_Toc17460"/>
      <w:r>
        <w:rPr>
          <w:rFonts w:hint="eastAsia" w:cs="宋体"/>
          <w:sz w:val="24"/>
          <w:szCs w:val="24"/>
        </w:rPr>
        <w:t>人员培训服务及要求</w:t>
      </w:r>
      <w:bookmarkEnd w:id="265"/>
    </w:p>
    <w:p>
      <w:pPr>
        <w:pStyle w:val="6"/>
        <w:adjustRightInd w:val="0"/>
        <w:snapToGrid w:val="0"/>
        <w:ind w:left="247" w:leftChars="0" w:firstLine="506" w:firstLineChars="0"/>
        <w:rPr>
          <w:rFonts w:hint="eastAsia" w:cs="宋体"/>
          <w:szCs w:val="24"/>
        </w:rPr>
      </w:pPr>
      <w:r>
        <w:rPr>
          <w:rFonts w:hint="eastAsia" w:cs="宋体"/>
          <w:szCs w:val="24"/>
        </w:rPr>
        <w:t>培训目的</w:t>
      </w:r>
    </w:p>
    <w:p>
      <w:pPr>
        <w:adjustRightInd w:val="0"/>
        <w:snapToGrid w:val="0"/>
        <w:ind w:firstLine="504"/>
        <w:rPr>
          <w:rFonts w:hint="eastAsia" w:ascii="宋体" w:hAnsi="宋体" w:cs="宋体"/>
          <w:szCs w:val="24"/>
        </w:rPr>
      </w:pPr>
      <w:r>
        <w:rPr>
          <w:rFonts w:hint="eastAsia" w:ascii="宋体" w:hAnsi="宋体" w:cs="宋体"/>
          <w:szCs w:val="24"/>
        </w:rPr>
        <w:t>结合成都市对环保信息化专业人才迫切需要等因素，本项目培训目的意在提高环保人员的专业项目管理思维与技术操作能力。为完成项目，投标人需制定和维护一个可操作的培训计划对本项目相关环保人员进行培训，以提高成都市</w:t>
      </w:r>
      <w:r>
        <w:rPr>
          <w:rFonts w:hint="eastAsia" w:ascii="宋体" w:hAnsi="宋体" w:cs="宋体"/>
          <w:szCs w:val="24"/>
          <w:lang w:eastAsia="zh-CN"/>
        </w:rPr>
        <w:t>“6+1”</w:t>
      </w:r>
      <w:r>
        <w:rPr>
          <w:rFonts w:hint="eastAsia" w:ascii="宋体" w:hAnsi="宋体" w:cs="宋体"/>
          <w:szCs w:val="24"/>
          <w:lang w:val="en-US" w:eastAsia="zh-CN"/>
        </w:rPr>
        <w:t>目标</w:t>
      </w:r>
      <w:r>
        <w:rPr>
          <w:rFonts w:hint="eastAsia" w:ascii="宋体" w:hAnsi="宋体" w:cs="宋体"/>
          <w:szCs w:val="24"/>
          <w:lang w:eastAsia="zh-CN"/>
        </w:rPr>
        <w:t>区域</w:t>
      </w:r>
      <w:r>
        <w:rPr>
          <w:rFonts w:hint="eastAsia" w:ascii="宋体" w:hAnsi="宋体" w:cs="宋体"/>
          <w:szCs w:val="24"/>
        </w:rPr>
        <w:t>环境保护人员的信息化处理能力，提高环保人员对信息技术的了解和理解以及对功能的使用能力，帮助环境保护管理人员真正从人工管理到智能化管理的思维转变和能力提高。</w:t>
      </w:r>
    </w:p>
    <w:p>
      <w:pPr>
        <w:pStyle w:val="6"/>
        <w:adjustRightInd w:val="0"/>
        <w:snapToGrid w:val="0"/>
        <w:ind w:left="247" w:leftChars="0" w:firstLine="506" w:firstLineChars="0"/>
        <w:rPr>
          <w:rFonts w:hint="eastAsia" w:cs="宋体"/>
          <w:szCs w:val="24"/>
        </w:rPr>
      </w:pPr>
      <w:r>
        <w:rPr>
          <w:rFonts w:hint="eastAsia" w:cs="宋体"/>
          <w:szCs w:val="24"/>
        </w:rPr>
        <w:t>培训原则</w:t>
      </w:r>
    </w:p>
    <w:p>
      <w:pPr>
        <w:adjustRightInd w:val="0"/>
        <w:snapToGrid w:val="0"/>
        <w:ind w:firstLine="504"/>
        <w:rPr>
          <w:rFonts w:hint="eastAsia" w:ascii="宋体" w:hAnsi="宋体" w:cs="宋体"/>
          <w:szCs w:val="24"/>
        </w:rPr>
      </w:pPr>
      <w:r>
        <w:rPr>
          <w:rFonts w:hint="eastAsia" w:ascii="宋体" w:hAnsi="宋体" w:cs="宋体"/>
          <w:szCs w:val="24"/>
        </w:rPr>
        <w:t>为使培训能顺利进行，并取得应有的效果，本项目投标人应按以下原则开展有关培训：</w:t>
      </w:r>
    </w:p>
    <w:p>
      <w:pPr>
        <w:numPr>
          <w:ilvl w:val="0"/>
          <w:numId w:val="52"/>
        </w:numPr>
        <w:adjustRightInd w:val="0"/>
        <w:snapToGrid w:val="0"/>
        <w:ind w:firstLine="504"/>
        <w:rPr>
          <w:rFonts w:hint="eastAsia" w:ascii="宋体" w:hAnsi="宋体" w:cs="宋体"/>
          <w:szCs w:val="24"/>
        </w:rPr>
      </w:pPr>
      <w:r>
        <w:rPr>
          <w:rFonts w:hint="eastAsia" w:ascii="宋体" w:hAnsi="宋体" w:cs="宋体"/>
          <w:szCs w:val="24"/>
        </w:rPr>
        <w:t>培训效果与培训过程二者并重；</w:t>
      </w:r>
    </w:p>
    <w:p>
      <w:pPr>
        <w:numPr>
          <w:ilvl w:val="0"/>
          <w:numId w:val="52"/>
        </w:numPr>
        <w:adjustRightInd w:val="0"/>
        <w:snapToGrid w:val="0"/>
        <w:ind w:firstLine="504"/>
        <w:rPr>
          <w:rFonts w:hint="eastAsia" w:ascii="宋体" w:hAnsi="宋体" w:cs="宋体"/>
          <w:szCs w:val="24"/>
        </w:rPr>
      </w:pPr>
      <w:r>
        <w:rPr>
          <w:rFonts w:hint="eastAsia" w:ascii="宋体" w:hAnsi="宋体" w:cs="宋体"/>
          <w:szCs w:val="24"/>
        </w:rPr>
        <w:t>实际应用与培训内容紧密结合；</w:t>
      </w:r>
    </w:p>
    <w:p>
      <w:pPr>
        <w:numPr>
          <w:ilvl w:val="0"/>
          <w:numId w:val="52"/>
        </w:numPr>
        <w:adjustRightInd w:val="0"/>
        <w:snapToGrid w:val="0"/>
        <w:ind w:firstLine="504"/>
        <w:rPr>
          <w:rFonts w:hint="eastAsia" w:ascii="宋体" w:hAnsi="宋体" w:cs="宋体"/>
          <w:szCs w:val="24"/>
        </w:rPr>
      </w:pPr>
      <w:r>
        <w:rPr>
          <w:rFonts w:hint="eastAsia" w:ascii="宋体" w:hAnsi="宋体" w:cs="宋体"/>
          <w:szCs w:val="24"/>
        </w:rPr>
        <w:t>培训方式与培训要求合理搭配；</w:t>
      </w:r>
    </w:p>
    <w:p>
      <w:pPr>
        <w:numPr>
          <w:ilvl w:val="0"/>
          <w:numId w:val="52"/>
        </w:numPr>
        <w:adjustRightInd w:val="0"/>
        <w:snapToGrid w:val="0"/>
        <w:ind w:firstLine="504"/>
        <w:rPr>
          <w:rFonts w:hint="eastAsia" w:ascii="宋体" w:hAnsi="宋体" w:cs="宋体"/>
          <w:szCs w:val="24"/>
        </w:rPr>
      </w:pPr>
      <w:r>
        <w:rPr>
          <w:rFonts w:hint="eastAsia" w:ascii="宋体" w:hAnsi="宋体" w:cs="宋体"/>
          <w:szCs w:val="24"/>
        </w:rPr>
        <w:t>培训计划与培训资源相互衔接。</w:t>
      </w:r>
    </w:p>
    <w:p>
      <w:pPr>
        <w:pStyle w:val="6"/>
        <w:adjustRightInd w:val="0"/>
        <w:snapToGrid w:val="0"/>
        <w:ind w:left="247" w:leftChars="0" w:firstLine="506" w:firstLineChars="0"/>
        <w:rPr>
          <w:rFonts w:hint="eastAsia" w:cs="宋体"/>
          <w:szCs w:val="24"/>
        </w:rPr>
      </w:pPr>
      <w:r>
        <w:rPr>
          <w:rFonts w:hint="eastAsia" w:cs="宋体"/>
          <w:szCs w:val="24"/>
        </w:rPr>
        <w:t>培训要求</w:t>
      </w:r>
    </w:p>
    <w:p>
      <w:pPr>
        <w:adjustRightInd w:val="0"/>
        <w:snapToGrid w:val="0"/>
        <w:ind w:firstLine="504"/>
        <w:rPr>
          <w:rFonts w:hint="eastAsia" w:ascii="宋体" w:hAnsi="宋体" w:cs="宋体"/>
          <w:szCs w:val="24"/>
        </w:rPr>
      </w:pPr>
      <w:r>
        <w:rPr>
          <w:rFonts w:hint="eastAsia" w:ascii="宋体" w:hAnsi="宋体" w:cs="宋体"/>
          <w:szCs w:val="24"/>
        </w:rPr>
        <w:t>按照用户业务需求差异，针对不同用户（操作人员、管理人员）提供智能化功能的使用培训服务，包括集中培训和在线培训等方式，对用户的定期和不定期培训，并制定用户培训时间计划，总体培训次数不少于3次。</w:t>
      </w:r>
    </w:p>
    <w:p>
      <w:pPr>
        <w:pStyle w:val="5"/>
        <w:tabs>
          <w:tab w:val="left" w:pos="426"/>
          <w:tab w:val="left" w:pos="567"/>
        </w:tabs>
        <w:rPr>
          <w:rFonts w:hint="eastAsia" w:cs="宋体"/>
          <w:sz w:val="24"/>
          <w:szCs w:val="24"/>
          <w:highlight w:val="none"/>
        </w:rPr>
      </w:pPr>
      <w:bookmarkStart w:id="266" w:name="_Toc9117"/>
      <w:bookmarkStart w:id="267" w:name="_Toc23095"/>
      <w:r>
        <w:rPr>
          <w:rFonts w:hint="eastAsia" w:cs="宋体"/>
          <w:sz w:val="24"/>
          <w:szCs w:val="24"/>
          <w:highlight w:val="none"/>
          <w:lang w:val="en-US" w:eastAsia="zh-CN"/>
        </w:rPr>
        <w:t>特别要求</w:t>
      </w:r>
    </w:p>
    <w:p>
      <w:pPr>
        <w:rPr>
          <w:rFonts w:hint="default"/>
          <w:highlight w:val="none"/>
          <w:lang w:val="en-US"/>
        </w:rPr>
      </w:pPr>
      <w:r>
        <w:rPr>
          <w:rFonts w:hint="eastAsia" w:cs="宋体"/>
          <w:sz w:val="24"/>
          <w:szCs w:val="24"/>
          <w:highlight w:val="none"/>
          <w:lang w:val="en-US" w:eastAsia="zh-CN"/>
        </w:rPr>
        <w:t>投标人中标后具体实施内容等需报上级主管部门同意后执行。</w:t>
      </w:r>
    </w:p>
    <w:p>
      <w:pPr>
        <w:pStyle w:val="5"/>
        <w:tabs>
          <w:tab w:val="left" w:pos="426"/>
          <w:tab w:val="left" w:pos="567"/>
        </w:tabs>
        <w:rPr>
          <w:rFonts w:hint="eastAsia" w:cs="宋体"/>
          <w:sz w:val="24"/>
          <w:szCs w:val="24"/>
        </w:rPr>
      </w:pPr>
      <w:r>
        <w:rPr>
          <w:rFonts w:hint="eastAsia" w:cs="宋体"/>
          <w:sz w:val="24"/>
          <w:szCs w:val="24"/>
        </w:rPr>
        <w:t>商务要求</w:t>
      </w:r>
      <w:bookmarkEnd w:id="263"/>
      <w:bookmarkEnd w:id="266"/>
      <w:bookmarkEnd w:id="267"/>
    </w:p>
    <w:p>
      <w:pPr>
        <w:pStyle w:val="6"/>
        <w:ind w:left="7" w:leftChars="0" w:firstLine="493" w:firstLineChars="0"/>
        <w:rPr>
          <w:rFonts w:hint="eastAsia" w:cs="宋体"/>
          <w:color w:val="auto"/>
          <w:szCs w:val="24"/>
        </w:rPr>
      </w:pPr>
      <w:r>
        <w:rPr>
          <w:rFonts w:hint="eastAsia" w:cs="宋体"/>
          <w:color w:val="auto"/>
          <w:szCs w:val="24"/>
          <w:lang w:val="en-US" w:eastAsia="zh-CN"/>
        </w:rPr>
        <w:t>服务期限</w:t>
      </w:r>
    </w:p>
    <w:p>
      <w:pPr>
        <w:adjustRightInd w:val="0"/>
        <w:snapToGrid w:val="0"/>
        <w:ind w:firstLine="504"/>
        <w:rPr>
          <w:rFonts w:hint="eastAsia" w:ascii="宋体" w:hAnsi="宋体" w:cs="宋体"/>
          <w:szCs w:val="24"/>
        </w:rPr>
      </w:pPr>
      <w:r>
        <w:rPr>
          <w:rFonts w:hint="eastAsia" w:ascii="宋体" w:hAnsi="宋体" w:cs="宋体"/>
          <w:szCs w:val="24"/>
        </w:rPr>
        <w:t>本项目服务期为3年，并附有3个月服务部署期（不收取服务费用）；对应的验收标准见验收要求。</w:t>
      </w:r>
    </w:p>
    <w:p>
      <w:pPr>
        <w:pStyle w:val="2"/>
        <w:spacing w:line="360" w:lineRule="auto"/>
        <w:ind w:firstLine="504"/>
        <w:rPr>
          <w:rFonts w:hint="eastAsia" w:ascii="宋体" w:hAnsi="宋体" w:cs="宋体"/>
          <w:szCs w:val="24"/>
        </w:rPr>
      </w:pPr>
      <w:r>
        <w:rPr>
          <w:rFonts w:hint="eastAsia" w:ascii="宋体" w:hAnsi="宋体" w:cs="宋体"/>
          <w:szCs w:val="24"/>
        </w:rPr>
        <w:t>★服务部署期：中标人在合同签订后3个月内须完成本项目服务相关的需求调研、设计、开发、测试工作，之后将进行初步验收。</w:t>
      </w:r>
      <w:r>
        <w:rPr>
          <w:rFonts w:hint="eastAsia" w:ascii="宋体" w:hAnsi="宋体" w:cs="宋体"/>
          <w:b/>
          <w:bCs/>
          <w:szCs w:val="24"/>
        </w:rPr>
        <w:t>（提供承诺函原件，加盖投标人公章。）</w:t>
      </w:r>
    </w:p>
    <w:p>
      <w:pPr>
        <w:adjustRightInd w:val="0"/>
        <w:snapToGrid w:val="0"/>
        <w:ind w:firstLine="504"/>
        <w:rPr>
          <w:rFonts w:hint="eastAsia" w:ascii="宋体" w:hAnsi="宋体" w:cs="宋体"/>
          <w:szCs w:val="24"/>
        </w:rPr>
      </w:pPr>
      <w:r>
        <w:rPr>
          <w:rFonts w:hint="eastAsia" w:ascii="宋体" w:hAnsi="宋体" w:cs="宋体"/>
          <w:szCs w:val="24"/>
        </w:rPr>
        <w:t>服务期：服务部署期后36个月，每12个月为1期，服务期每满一年，经考核达标后开启下一期服务。</w:t>
      </w:r>
    </w:p>
    <w:p>
      <w:pPr>
        <w:pStyle w:val="6"/>
        <w:ind w:left="247" w:leftChars="0" w:firstLine="506" w:firstLineChars="0"/>
        <w:rPr>
          <w:rFonts w:hint="eastAsia" w:cs="宋体"/>
          <w:color w:val="auto"/>
          <w:szCs w:val="24"/>
        </w:rPr>
      </w:pPr>
      <w:r>
        <w:rPr>
          <w:rFonts w:hint="eastAsia" w:cs="宋体"/>
          <w:color w:val="auto"/>
          <w:szCs w:val="24"/>
        </w:rPr>
        <w:t>服务地点</w:t>
      </w:r>
    </w:p>
    <w:p>
      <w:pPr>
        <w:pStyle w:val="2"/>
        <w:spacing w:line="360" w:lineRule="auto"/>
        <w:ind w:firstLine="504"/>
        <w:rPr>
          <w:rFonts w:hint="eastAsia" w:ascii="宋体" w:hAnsi="宋体" w:cs="宋体"/>
          <w:szCs w:val="24"/>
        </w:rPr>
      </w:pPr>
      <w:r>
        <w:rPr>
          <w:rFonts w:hint="eastAsia" w:ascii="宋体" w:hAnsi="宋体" w:cs="宋体"/>
          <w:szCs w:val="24"/>
        </w:rPr>
        <w:t>采购人指定地点（成都市范围内）。</w:t>
      </w:r>
    </w:p>
    <w:p>
      <w:pPr>
        <w:pStyle w:val="6"/>
        <w:ind w:left="247" w:leftChars="0" w:firstLine="506" w:firstLineChars="0"/>
        <w:rPr>
          <w:rFonts w:hint="eastAsia" w:cs="宋体"/>
          <w:szCs w:val="24"/>
        </w:rPr>
      </w:pPr>
      <w:r>
        <w:rPr>
          <w:rFonts w:hint="eastAsia" w:cs="宋体"/>
          <w:szCs w:val="24"/>
        </w:rPr>
        <w:t>付款方式</w:t>
      </w:r>
    </w:p>
    <w:p>
      <w:pPr>
        <w:ind w:firstLine="504"/>
        <w:rPr>
          <w:rFonts w:ascii="宋体" w:hAnsi="宋体" w:cs="宋体"/>
          <w:szCs w:val="24"/>
        </w:rPr>
      </w:pPr>
      <w:r>
        <w:rPr>
          <w:rFonts w:hint="eastAsia" w:ascii="宋体" w:hAnsi="宋体" w:cs="宋体"/>
          <w:szCs w:val="24"/>
        </w:rPr>
        <w:t>第一年：本年合同签订后15个工作日内采购人向中标人支付合同总金额的50%；当年剩余合同款，在服务部署期满后，由采购人对相关内容进行验收，验收合格后支付；</w:t>
      </w:r>
    </w:p>
    <w:p>
      <w:pPr>
        <w:ind w:firstLine="504"/>
        <w:rPr>
          <w:rFonts w:ascii="宋体" w:hAnsi="宋体" w:cs="宋体"/>
          <w:szCs w:val="24"/>
        </w:rPr>
      </w:pPr>
      <w:r>
        <w:rPr>
          <w:rFonts w:hint="eastAsia" w:ascii="宋体" w:hAnsi="宋体" w:cs="宋体"/>
          <w:szCs w:val="24"/>
        </w:rPr>
        <w:t>第二年：按年度进行支付。服务期满两年时，采购人按照服务验收标准对中标人进行考核，并根据中标人考核得分支付相应金额；</w:t>
      </w:r>
    </w:p>
    <w:p>
      <w:pPr>
        <w:ind w:firstLine="504"/>
        <w:rPr>
          <w:rFonts w:ascii="宋体" w:hAnsi="宋体" w:cs="宋体"/>
          <w:szCs w:val="24"/>
        </w:rPr>
      </w:pPr>
      <w:r>
        <w:rPr>
          <w:rFonts w:hint="eastAsia" w:ascii="宋体" w:hAnsi="宋体" w:cs="宋体"/>
          <w:szCs w:val="24"/>
        </w:rPr>
        <w:t>第三年：按年度进行支付。服务期满三年时，采购人按照服务验收标准对中标人进行考核，并根据中标人考核得分支付相应金额。</w:t>
      </w:r>
    </w:p>
    <w:p>
      <w:pPr>
        <w:ind w:firstLine="504"/>
        <w:rPr>
          <w:rFonts w:ascii="宋体" w:hAnsi="宋体" w:cs="宋体"/>
          <w:szCs w:val="24"/>
        </w:rPr>
      </w:pPr>
      <w:r>
        <w:rPr>
          <w:rFonts w:hint="eastAsia" w:ascii="宋体" w:hAnsi="宋体" w:cs="宋体"/>
          <w:szCs w:val="24"/>
        </w:rPr>
        <w:t>每年度服务合同结束后，采购人将按照服务验收标准对采购人进行年度考评，年度考核得分用于评定是否开启下一年服务。</w:t>
      </w:r>
    </w:p>
    <w:p>
      <w:pPr>
        <w:ind w:firstLine="504"/>
        <w:rPr>
          <w:rFonts w:hint="eastAsia" w:ascii="宋体" w:hAnsi="宋体" w:cs="宋体"/>
          <w:szCs w:val="24"/>
        </w:rPr>
      </w:pPr>
      <w:r>
        <w:rPr>
          <w:rFonts w:hint="eastAsia" w:ascii="宋体" w:hAnsi="宋体" w:cs="宋体"/>
          <w:szCs w:val="24"/>
        </w:rPr>
        <w:t>采购人每次付款前，中标人均应提供相应金额发票及采购人付款所需资料。</w:t>
      </w:r>
    </w:p>
    <w:p>
      <w:pPr>
        <w:pStyle w:val="6"/>
        <w:ind w:left="247" w:leftChars="0" w:firstLine="506" w:firstLineChars="0"/>
        <w:rPr>
          <w:rFonts w:hint="eastAsia" w:cs="宋体"/>
          <w:color w:val="auto"/>
          <w:szCs w:val="24"/>
        </w:rPr>
      </w:pPr>
      <w:r>
        <w:rPr>
          <w:rFonts w:hint="eastAsia" w:cs="宋体"/>
          <w:color w:val="auto"/>
          <w:szCs w:val="24"/>
        </w:rPr>
        <w:t>保密要求</w:t>
      </w:r>
    </w:p>
    <w:p>
      <w:pPr>
        <w:ind w:firstLine="504"/>
        <w:rPr>
          <w:rFonts w:ascii="宋体" w:hAnsi="宋体" w:cs="宋体"/>
          <w:szCs w:val="24"/>
        </w:rPr>
      </w:pPr>
      <w:r>
        <w:rPr>
          <w:rFonts w:hint="eastAsia" w:ascii="宋体" w:hAnsi="宋体" w:cs="宋体"/>
          <w:szCs w:val="24"/>
        </w:rPr>
        <w:t>投标人必须承担监测数据的保密责任（签订保密协议）；投标人必须按采购人的要求，进行报告和传输有关的监测数据，不得以任何方式和渠道向外界传递任何监测数据。</w:t>
      </w:r>
    </w:p>
    <w:p>
      <w:pPr>
        <w:pStyle w:val="6"/>
        <w:ind w:left="247" w:leftChars="0" w:firstLine="506" w:firstLineChars="0"/>
        <w:rPr>
          <w:rFonts w:hint="eastAsia" w:cs="宋体"/>
          <w:color w:val="auto"/>
          <w:szCs w:val="24"/>
        </w:rPr>
      </w:pPr>
      <w:r>
        <w:rPr>
          <w:rFonts w:hint="eastAsia" w:cs="宋体"/>
          <w:color w:val="auto"/>
          <w:szCs w:val="24"/>
        </w:rPr>
        <w:t>验收要求</w:t>
      </w:r>
    </w:p>
    <w:p>
      <w:pPr>
        <w:pStyle w:val="14"/>
        <w:adjustRightInd w:val="0"/>
        <w:snapToGrid w:val="0"/>
        <w:spacing w:line="360" w:lineRule="auto"/>
        <w:ind w:firstLine="504"/>
        <w:rPr>
          <w:rFonts w:hint="eastAsia" w:ascii="宋体" w:hAnsi="宋体" w:cs="宋体"/>
          <w:szCs w:val="24"/>
        </w:rPr>
      </w:pPr>
      <w:r>
        <w:rPr>
          <w:rFonts w:hint="eastAsia" w:ascii="宋体" w:hAnsi="宋体" w:cs="宋体"/>
          <w:szCs w:val="24"/>
        </w:rPr>
        <w:t>严格按照《财政部关于进一步加强政府采购需求和履约验收管理的指导意见》（财库[2016]205号）、本项目招标文件及中标人投标文件进行验收。</w:t>
      </w:r>
    </w:p>
    <w:p>
      <w:pPr>
        <w:pStyle w:val="6"/>
        <w:numPr>
          <w:ilvl w:val="0"/>
          <w:numId w:val="53"/>
        </w:numPr>
        <w:adjustRightInd w:val="0"/>
        <w:snapToGrid w:val="0"/>
        <w:ind w:firstLineChars="0"/>
        <w:rPr>
          <w:rFonts w:hint="eastAsia" w:cs="宋体"/>
          <w:szCs w:val="24"/>
        </w:rPr>
      </w:pPr>
      <w:r>
        <w:rPr>
          <w:rFonts w:hint="eastAsia" w:cs="宋体"/>
          <w:szCs w:val="24"/>
        </w:rPr>
        <w:t>服务部署期验收</w:t>
      </w:r>
    </w:p>
    <w:p>
      <w:pPr>
        <w:pStyle w:val="14"/>
        <w:adjustRightInd w:val="0"/>
        <w:snapToGrid w:val="0"/>
        <w:spacing w:line="360" w:lineRule="auto"/>
        <w:ind w:firstLine="504"/>
        <w:rPr>
          <w:rFonts w:hint="eastAsia" w:ascii="宋体" w:hAnsi="宋体" w:cs="宋体"/>
          <w:szCs w:val="24"/>
        </w:rPr>
      </w:pPr>
      <w:r>
        <w:rPr>
          <w:rFonts w:hint="eastAsia" w:ascii="宋体" w:hAnsi="宋体" w:cs="宋体"/>
          <w:szCs w:val="24"/>
        </w:rPr>
        <w:t>本项目范围内涉及的功能开发、部署、调试完成后，经采购人认可，按要求组织服务部署期验收。验收前应完成的工作包括但不限于：功能开发、功能部署</w:t>
      </w:r>
      <w:r>
        <w:rPr>
          <w:rFonts w:hint="eastAsia" w:ascii="宋体" w:hAnsi="宋体" w:cs="宋体"/>
          <w:szCs w:val="24"/>
          <w:lang w:eastAsia="zh-CN"/>
        </w:rPr>
        <w:t>、</w:t>
      </w:r>
      <w:r>
        <w:rPr>
          <w:rFonts w:hint="eastAsia" w:ascii="宋体" w:hAnsi="宋体" w:cs="宋体"/>
          <w:szCs w:val="24"/>
        </w:rPr>
        <w:t>配置调试、服务优化，确保所有功能服务可正常运行，完成实施过程中所有文档的提交（</w:t>
      </w:r>
      <w:r>
        <w:rPr>
          <w:rFonts w:hint="eastAsia" w:ascii="宋体" w:hAnsi="宋体" w:cs="宋体"/>
          <w:szCs w:val="24"/>
          <w:lang w:val="en-US" w:eastAsia="zh-CN"/>
        </w:rPr>
        <w:t>硬件</w:t>
      </w:r>
      <w:r>
        <w:rPr>
          <w:rFonts w:hint="eastAsia" w:ascii="宋体" w:hAnsi="宋体" w:cs="宋体"/>
          <w:szCs w:val="24"/>
        </w:rPr>
        <w:t>实施文档、用户使用手册等）。</w:t>
      </w:r>
    </w:p>
    <w:p>
      <w:pPr>
        <w:pStyle w:val="6"/>
        <w:numPr>
          <w:ilvl w:val="0"/>
          <w:numId w:val="53"/>
        </w:numPr>
        <w:adjustRightInd w:val="0"/>
        <w:snapToGrid w:val="0"/>
        <w:ind w:firstLineChars="0"/>
        <w:rPr>
          <w:rFonts w:hint="eastAsia" w:cs="宋体"/>
          <w:szCs w:val="24"/>
        </w:rPr>
      </w:pPr>
      <w:r>
        <w:rPr>
          <w:rFonts w:hint="eastAsia" w:cs="宋体"/>
          <w:szCs w:val="24"/>
        </w:rPr>
        <w:t>服务期验收</w:t>
      </w:r>
    </w:p>
    <w:p>
      <w:pPr>
        <w:pStyle w:val="14"/>
        <w:adjustRightInd w:val="0"/>
        <w:snapToGrid w:val="0"/>
        <w:spacing w:line="360" w:lineRule="auto"/>
        <w:ind w:firstLine="504"/>
        <w:rPr>
          <w:rFonts w:hint="eastAsia" w:ascii="宋体" w:hAnsi="宋体" w:cs="宋体"/>
          <w:szCs w:val="24"/>
        </w:rPr>
      </w:pPr>
      <w:r>
        <w:rPr>
          <w:rFonts w:hint="eastAsia" w:ascii="宋体" w:hAnsi="宋体" w:cs="宋体"/>
          <w:szCs w:val="24"/>
        </w:rPr>
        <w:t>服务部署期验收后进入服务期，服务期验收标准见下表：</w:t>
      </w:r>
    </w:p>
    <w:tbl>
      <w:tblPr>
        <w:tblStyle w:val="43"/>
        <w:tblW w:w="5000" w:type="pct"/>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6"/>
        <w:gridCol w:w="1346"/>
        <w:gridCol w:w="1346"/>
        <w:gridCol w:w="3030"/>
        <w:gridCol w:w="2781"/>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9288" w:type="dxa"/>
            <w:gridSpan w:val="5"/>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成都成都市“6+1”</w:t>
            </w:r>
            <w:r>
              <w:rPr>
                <w:rFonts w:hint="eastAsia" w:ascii="宋体" w:hAnsi="宋体" w:cs="宋体"/>
                <w:color w:val="000000"/>
                <w:kern w:val="0"/>
                <w:szCs w:val="24"/>
                <w:lang w:eastAsia="zh-CN" w:bidi="ar"/>
              </w:rPr>
              <w:t>目标区域</w:t>
            </w:r>
            <w:r>
              <w:rPr>
                <w:rFonts w:hint="eastAsia" w:ascii="宋体" w:hAnsi="宋体" w:cs="宋体"/>
                <w:color w:val="000000"/>
                <w:kern w:val="0"/>
                <w:szCs w:val="24"/>
                <w:lang w:bidi="ar"/>
              </w:rPr>
              <w:t>服务验收标准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序号</w:t>
            </w: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服务大类</w:t>
            </w: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服务子项</w:t>
            </w:r>
          </w:p>
        </w:tc>
        <w:tc>
          <w:tcPr>
            <w:tcW w:w="3035"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服务要求</w:t>
            </w:r>
          </w:p>
        </w:tc>
        <w:tc>
          <w:tcPr>
            <w:tcW w:w="278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服务评分细则</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680"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1</w:t>
            </w:r>
          </w:p>
        </w:tc>
        <w:tc>
          <w:tcPr>
            <w:tcW w:w="1344" w:type="dxa"/>
            <w:vMerge w:val="restart"/>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数据总量</w:t>
            </w:r>
          </w:p>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要求</w:t>
            </w: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网格空气质量指数</w:t>
            </w:r>
          </w:p>
        </w:tc>
        <w:tc>
          <w:tcPr>
            <w:tcW w:w="3035" w:type="dxa"/>
            <w:vAlign w:val="center"/>
          </w:tcPr>
          <w:p>
            <w:pPr>
              <w:widowControl/>
              <w:adjustRightInd w:val="0"/>
              <w:snapToGrid w:val="0"/>
              <w:ind w:firstLine="0" w:firstLineChars="0"/>
              <w:textAlignment w:val="center"/>
              <w:rPr>
                <w:rStyle w:val="54"/>
                <w:rFonts w:hint="default"/>
                <w:sz w:val="24"/>
                <w:szCs w:val="24"/>
                <w:lang w:bidi="ar"/>
              </w:rPr>
            </w:pPr>
            <w:r>
              <w:rPr>
                <w:rFonts w:hint="eastAsia" w:ascii="宋体" w:hAnsi="宋体" w:cs="宋体"/>
                <w:color w:val="000000"/>
                <w:kern w:val="0"/>
                <w:szCs w:val="24"/>
                <w:lang w:bidi="ar"/>
              </w:rPr>
              <w:t>网格空气质量指数</w:t>
            </w:r>
            <w:r>
              <w:rPr>
                <w:rStyle w:val="54"/>
                <w:rFonts w:hint="default"/>
                <w:sz w:val="24"/>
                <w:szCs w:val="24"/>
                <w:lang w:bidi="ar"/>
              </w:rPr>
              <w:t>（含空气质量“6+1”参数，下同：AQI、PM2.5、PM10、SO2、NO2、CO、O3）</w:t>
            </w:r>
          </w:p>
          <w:p>
            <w:pPr>
              <w:widowControl/>
              <w:adjustRightInd w:val="0"/>
              <w:snapToGrid w:val="0"/>
              <w:ind w:firstLine="0" w:firstLineChars="0"/>
              <w:textAlignment w:val="center"/>
              <w:rPr>
                <w:rStyle w:val="54"/>
                <w:rFonts w:hint="default"/>
                <w:color w:val="auto"/>
                <w:sz w:val="24"/>
                <w:szCs w:val="24"/>
                <w:lang w:bidi="ar"/>
              </w:rPr>
            </w:pPr>
            <w:r>
              <w:rPr>
                <w:rStyle w:val="54"/>
                <w:rFonts w:hint="default"/>
                <w:sz w:val="24"/>
                <w:szCs w:val="24"/>
                <w:lang w:bidi="ar"/>
              </w:rPr>
              <w:t>提供三年数据总量≥</w:t>
            </w:r>
            <w:r>
              <w:rPr>
                <w:rStyle w:val="54"/>
                <w:rFonts w:hint="default"/>
                <w:color w:val="auto"/>
                <w:sz w:val="24"/>
                <w:szCs w:val="24"/>
                <w:lang w:bidi="ar"/>
              </w:rPr>
              <w:t>1100，000，000条</w:t>
            </w:r>
          </w:p>
          <w:p>
            <w:pPr>
              <w:widowControl/>
              <w:adjustRightInd w:val="0"/>
              <w:snapToGrid w:val="0"/>
              <w:ind w:firstLine="0" w:firstLineChars="0"/>
              <w:textAlignment w:val="center"/>
              <w:rPr>
                <w:rStyle w:val="120"/>
                <w:rFonts w:ascii="宋体" w:hAnsi="宋体" w:cs="宋体"/>
                <w:sz w:val="24"/>
                <w:szCs w:val="24"/>
                <w:lang w:bidi="ar"/>
              </w:rPr>
            </w:pPr>
            <w:r>
              <w:rPr>
                <w:rStyle w:val="54"/>
                <w:rFonts w:hint="default"/>
                <w:sz w:val="24"/>
                <w:szCs w:val="24"/>
                <w:lang w:bidi="ar"/>
              </w:rPr>
              <w:t>提供有效数据比例≥</w:t>
            </w:r>
            <w:r>
              <w:rPr>
                <w:rStyle w:val="120"/>
                <w:rFonts w:hint="eastAsia" w:ascii="宋体" w:hAnsi="宋体" w:cs="宋体"/>
                <w:sz w:val="24"/>
                <w:szCs w:val="24"/>
                <w:lang w:bidi="ar"/>
              </w:rPr>
              <w:t>90%</w:t>
            </w:r>
          </w:p>
          <w:p>
            <w:pPr>
              <w:widowControl/>
              <w:adjustRightInd w:val="0"/>
              <w:snapToGrid w:val="0"/>
              <w:ind w:firstLine="0" w:firstLineChars="0"/>
              <w:textAlignment w:val="center"/>
              <w:rPr>
                <w:rStyle w:val="54"/>
                <w:rFonts w:hint="default"/>
                <w:sz w:val="24"/>
                <w:szCs w:val="24"/>
                <w:lang w:bidi="ar"/>
              </w:rPr>
            </w:pPr>
            <w:r>
              <w:rPr>
                <w:rStyle w:val="54"/>
                <w:rFonts w:hint="default"/>
                <w:sz w:val="24"/>
                <w:szCs w:val="24"/>
                <w:lang w:bidi="ar"/>
              </w:rPr>
              <w:t>提供小时级数据</w:t>
            </w:r>
          </w:p>
          <w:p>
            <w:pPr>
              <w:widowControl/>
              <w:adjustRightInd w:val="0"/>
              <w:snapToGrid w:val="0"/>
              <w:ind w:firstLine="0" w:firstLineChars="0"/>
              <w:textAlignment w:val="center"/>
              <w:rPr>
                <w:rFonts w:ascii="宋体" w:hAnsi="宋体" w:cs="宋体"/>
                <w:color w:val="000000"/>
                <w:szCs w:val="24"/>
              </w:rPr>
            </w:pPr>
            <w:r>
              <w:rPr>
                <w:rStyle w:val="65"/>
                <w:rFonts w:hint="default" w:ascii="宋体" w:hAnsi="宋体" w:eastAsia="宋体" w:cs="宋体"/>
                <w:b w:val="0"/>
                <w:bCs w:val="0"/>
                <w:sz w:val="24"/>
                <w:szCs w:val="24"/>
                <w:lang w:bidi="ar"/>
              </w:rPr>
              <w:t>计算方式</w:t>
            </w:r>
            <w:r>
              <w:rPr>
                <w:rStyle w:val="54"/>
                <w:rFonts w:hint="default"/>
                <w:sz w:val="24"/>
                <w:szCs w:val="24"/>
                <w:lang w:bidi="ar"/>
              </w:rPr>
              <w:t>：</w:t>
            </w:r>
            <w:r>
              <w:rPr>
                <w:rStyle w:val="61"/>
                <w:rFonts w:hint="default" w:ascii="宋体" w:hAnsi="宋体" w:eastAsia="宋体" w:cs="宋体"/>
                <w:lang w:bidi="ar"/>
              </w:rPr>
              <w:t>（6+1）参数*（2km*2km）网格数*24小时*365天*3年</w:t>
            </w:r>
          </w:p>
        </w:tc>
        <w:tc>
          <w:tcPr>
            <w:tcW w:w="2784" w:type="dxa"/>
            <w:vMerge w:val="restart"/>
            <w:vAlign w:val="center"/>
          </w:tcPr>
          <w:p>
            <w:pPr>
              <w:widowControl/>
              <w:adjustRightInd w:val="0"/>
              <w:snapToGrid w:val="0"/>
              <w:ind w:firstLine="0" w:firstLineChars="0"/>
              <w:textAlignment w:val="center"/>
              <w:rPr>
                <w:rFonts w:ascii="宋体" w:hAnsi="宋体" w:cs="宋体"/>
                <w:color w:val="000000"/>
                <w:szCs w:val="24"/>
              </w:rPr>
            </w:pPr>
            <w:r>
              <w:rPr>
                <w:rFonts w:hint="eastAsia" w:ascii="宋体" w:hAnsi="宋体" w:cs="宋体"/>
                <w:color w:val="000000"/>
                <w:kern w:val="0"/>
                <w:szCs w:val="24"/>
                <w:lang w:bidi="ar"/>
              </w:rPr>
              <w:t xml:space="preserve">按照年度为服务周期进行验收，对三年数据总量按比例进行核查（总数量的3分之1）。以有效数据量为判断依据，每个子项数据量完全达标，得10分；数据量满足标准的80%及以上，得8分；数据量满足标准得60%及以上，得6分；数据量不足标准的60%，则不得分。数据总量要求满分为30分。                                      </w:t>
            </w:r>
            <w:r>
              <w:rPr>
                <w:rStyle w:val="106"/>
                <w:rFonts w:hint="default"/>
                <w:sz w:val="24"/>
                <w:szCs w:val="24"/>
                <w:lang w:bidi="ar"/>
              </w:rPr>
              <w:t>有效数据比例</w:t>
            </w:r>
            <w:r>
              <w:rPr>
                <w:rStyle w:val="80"/>
                <w:rFonts w:hint="default"/>
                <w:lang w:bidi="ar"/>
              </w:rPr>
              <w:t>指由于设备故障、服务器维护，外部数据端口异常等不可抗力造成的缺失、乱码、异常的数据量在数据总量中占比不超过10%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2</w:t>
            </w:r>
          </w:p>
        </w:tc>
        <w:tc>
          <w:tcPr>
            <w:tcW w:w="1344" w:type="dxa"/>
            <w:vMerge w:val="continue"/>
            <w:vAlign w:val="center"/>
          </w:tcPr>
          <w:p>
            <w:pPr>
              <w:adjustRightInd w:val="0"/>
              <w:snapToGrid w:val="0"/>
              <w:ind w:firstLine="0" w:firstLineChars="0"/>
              <w:jc w:val="center"/>
              <w:rPr>
                <w:rFonts w:ascii="宋体" w:hAnsi="宋体" w:cs="宋体"/>
                <w:color w:val="000000"/>
                <w:szCs w:val="24"/>
              </w:rPr>
            </w:pP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移动监测站点空气质量指数</w:t>
            </w:r>
          </w:p>
        </w:tc>
        <w:tc>
          <w:tcPr>
            <w:tcW w:w="3035" w:type="dxa"/>
            <w:vAlign w:val="center"/>
          </w:tcPr>
          <w:p>
            <w:pPr>
              <w:widowControl/>
              <w:adjustRightInd w:val="0"/>
              <w:snapToGrid w:val="0"/>
              <w:ind w:firstLine="0" w:firstLineChars="0"/>
              <w:textAlignment w:val="center"/>
              <w:rPr>
                <w:rStyle w:val="54"/>
                <w:rFonts w:hint="default"/>
                <w:sz w:val="24"/>
                <w:szCs w:val="24"/>
                <w:lang w:bidi="ar"/>
              </w:rPr>
            </w:pPr>
            <w:r>
              <w:rPr>
                <w:rStyle w:val="65"/>
                <w:rFonts w:hint="default" w:ascii="宋体" w:hAnsi="宋体" w:eastAsia="宋体" w:cs="宋体"/>
                <w:b w:val="0"/>
                <w:bCs w:val="0"/>
                <w:sz w:val="24"/>
                <w:szCs w:val="24"/>
                <w:lang w:bidi="ar"/>
              </w:rPr>
              <w:t>移动监测站点空气质量指数</w:t>
            </w:r>
            <w:r>
              <w:rPr>
                <w:rStyle w:val="54"/>
                <w:rFonts w:hint="default"/>
                <w:sz w:val="24"/>
                <w:szCs w:val="24"/>
                <w:lang w:bidi="ar"/>
              </w:rPr>
              <w:t>（含：</w:t>
            </w:r>
            <w:r>
              <w:rPr>
                <w:rStyle w:val="120"/>
                <w:rFonts w:hint="eastAsia" w:ascii="宋体" w:hAnsi="宋体" w:cs="宋体"/>
                <w:sz w:val="24"/>
                <w:szCs w:val="24"/>
                <w:lang w:bidi="ar"/>
              </w:rPr>
              <w:t>AQI</w:t>
            </w:r>
            <w:r>
              <w:rPr>
                <w:rStyle w:val="54"/>
                <w:rFonts w:hint="default"/>
                <w:sz w:val="24"/>
                <w:szCs w:val="24"/>
                <w:lang w:bidi="ar"/>
              </w:rPr>
              <w:t>、</w:t>
            </w:r>
            <w:r>
              <w:rPr>
                <w:rStyle w:val="120"/>
                <w:rFonts w:hint="eastAsia" w:ascii="宋体" w:hAnsi="宋体" w:cs="宋体"/>
                <w:sz w:val="24"/>
                <w:szCs w:val="24"/>
                <w:lang w:bidi="ar"/>
              </w:rPr>
              <w:t>PM2.5</w:t>
            </w:r>
            <w:r>
              <w:rPr>
                <w:rStyle w:val="54"/>
                <w:rFonts w:hint="default"/>
                <w:sz w:val="24"/>
                <w:szCs w:val="24"/>
                <w:lang w:bidi="ar"/>
              </w:rPr>
              <w:t>、</w:t>
            </w:r>
            <w:r>
              <w:rPr>
                <w:rStyle w:val="120"/>
                <w:rFonts w:hint="eastAsia" w:ascii="宋体" w:hAnsi="宋体" w:cs="宋体"/>
                <w:sz w:val="24"/>
                <w:szCs w:val="24"/>
                <w:lang w:bidi="ar"/>
              </w:rPr>
              <w:t>PM10</w:t>
            </w:r>
            <w:r>
              <w:rPr>
                <w:rStyle w:val="54"/>
                <w:rFonts w:hint="default"/>
                <w:sz w:val="24"/>
                <w:szCs w:val="24"/>
                <w:lang w:bidi="ar"/>
              </w:rPr>
              <w:t>、</w:t>
            </w:r>
            <w:r>
              <w:rPr>
                <w:rStyle w:val="120"/>
                <w:rFonts w:hint="eastAsia" w:ascii="宋体" w:hAnsi="宋体" w:cs="宋体"/>
                <w:sz w:val="24"/>
                <w:szCs w:val="24"/>
                <w:lang w:bidi="ar"/>
              </w:rPr>
              <w:t>SO2</w:t>
            </w:r>
            <w:r>
              <w:rPr>
                <w:rStyle w:val="54"/>
                <w:rFonts w:hint="default"/>
                <w:sz w:val="24"/>
                <w:szCs w:val="24"/>
                <w:lang w:bidi="ar"/>
              </w:rPr>
              <w:t>、</w:t>
            </w:r>
            <w:r>
              <w:rPr>
                <w:rStyle w:val="120"/>
                <w:rFonts w:hint="eastAsia" w:ascii="宋体" w:hAnsi="宋体" w:cs="宋体"/>
                <w:sz w:val="24"/>
                <w:szCs w:val="24"/>
                <w:lang w:bidi="ar"/>
              </w:rPr>
              <w:t>NO2</w:t>
            </w:r>
            <w:r>
              <w:rPr>
                <w:rStyle w:val="54"/>
                <w:rFonts w:hint="default"/>
                <w:sz w:val="24"/>
                <w:szCs w:val="24"/>
                <w:lang w:bidi="ar"/>
              </w:rPr>
              <w:t>、</w:t>
            </w:r>
            <w:r>
              <w:rPr>
                <w:rStyle w:val="120"/>
                <w:rFonts w:hint="eastAsia" w:ascii="宋体" w:hAnsi="宋体" w:cs="宋体"/>
                <w:sz w:val="24"/>
                <w:szCs w:val="24"/>
                <w:lang w:bidi="ar"/>
              </w:rPr>
              <w:t>CO</w:t>
            </w:r>
            <w:r>
              <w:rPr>
                <w:rStyle w:val="54"/>
                <w:rFonts w:hint="default"/>
                <w:sz w:val="24"/>
                <w:szCs w:val="24"/>
                <w:lang w:bidi="ar"/>
              </w:rPr>
              <w:t>、</w:t>
            </w:r>
            <w:r>
              <w:rPr>
                <w:rStyle w:val="120"/>
                <w:rFonts w:hint="eastAsia" w:ascii="宋体" w:hAnsi="宋体" w:cs="宋体"/>
                <w:sz w:val="24"/>
                <w:szCs w:val="24"/>
                <w:lang w:bidi="ar"/>
              </w:rPr>
              <w:t>O3</w:t>
            </w:r>
            <w:r>
              <w:rPr>
                <w:rStyle w:val="54"/>
                <w:rFonts w:hint="default"/>
                <w:sz w:val="24"/>
                <w:szCs w:val="24"/>
                <w:lang w:bidi="ar"/>
              </w:rPr>
              <w:t>）</w:t>
            </w:r>
          </w:p>
          <w:p>
            <w:pPr>
              <w:widowControl/>
              <w:adjustRightInd w:val="0"/>
              <w:snapToGrid w:val="0"/>
              <w:ind w:firstLine="0" w:firstLineChars="0"/>
              <w:textAlignment w:val="center"/>
              <w:rPr>
                <w:rStyle w:val="125"/>
                <w:rFonts w:hint="default"/>
                <w:b w:val="0"/>
                <w:bCs w:val="0"/>
                <w:sz w:val="24"/>
                <w:szCs w:val="24"/>
                <w:lang w:bidi="ar"/>
              </w:rPr>
            </w:pPr>
            <w:r>
              <w:rPr>
                <w:rStyle w:val="54"/>
                <w:rFonts w:hint="default"/>
                <w:sz w:val="24"/>
                <w:szCs w:val="24"/>
                <w:lang w:bidi="ar"/>
              </w:rPr>
              <w:t>提供三年</w:t>
            </w:r>
            <w:r>
              <w:rPr>
                <w:rStyle w:val="65"/>
                <w:rFonts w:hint="default" w:ascii="宋体" w:hAnsi="宋体" w:eastAsia="宋体" w:cs="宋体"/>
                <w:b w:val="0"/>
                <w:bCs w:val="0"/>
                <w:sz w:val="24"/>
                <w:szCs w:val="24"/>
                <w:lang w:bidi="ar"/>
              </w:rPr>
              <w:t>数据总量≥</w:t>
            </w:r>
            <w:r>
              <w:rPr>
                <w:rStyle w:val="115"/>
                <w:rFonts w:hint="default"/>
                <w:sz w:val="24"/>
                <w:szCs w:val="24"/>
                <w:lang w:bidi="ar"/>
              </w:rPr>
              <w:t>1</w:t>
            </w:r>
            <w:r>
              <w:rPr>
                <w:rStyle w:val="115"/>
                <w:sz w:val="24"/>
                <w:szCs w:val="24"/>
                <w:lang w:bidi="ar"/>
              </w:rPr>
              <w:t>1</w:t>
            </w:r>
            <w:r>
              <w:rPr>
                <w:rStyle w:val="115"/>
                <w:rFonts w:hint="default"/>
                <w:sz w:val="24"/>
                <w:szCs w:val="24"/>
                <w:lang w:bidi="ar"/>
              </w:rPr>
              <w:t>0，000，000</w:t>
            </w:r>
            <w:r>
              <w:rPr>
                <w:rStyle w:val="125"/>
                <w:rFonts w:hint="default"/>
                <w:b w:val="0"/>
                <w:bCs w:val="0"/>
                <w:sz w:val="24"/>
                <w:szCs w:val="24"/>
                <w:lang w:bidi="ar"/>
              </w:rPr>
              <w:t>条</w:t>
            </w:r>
          </w:p>
          <w:p>
            <w:pPr>
              <w:widowControl/>
              <w:adjustRightInd w:val="0"/>
              <w:snapToGrid w:val="0"/>
              <w:ind w:firstLine="0" w:firstLineChars="0"/>
              <w:textAlignment w:val="center"/>
              <w:rPr>
                <w:rStyle w:val="120"/>
                <w:rFonts w:ascii="宋体" w:hAnsi="宋体" w:cs="宋体"/>
                <w:sz w:val="24"/>
                <w:szCs w:val="24"/>
                <w:lang w:bidi="ar"/>
              </w:rPr>
            </w:pPr>
            <w:r>
              <w:rPr>
                <w:rStyle w:val="54"/>
                <w:rFonts w:hint="default"/>
                <w:sz w:val="24"/>
                <w:szCs w:val="24"/>
                <w:lang w:bidi="ar"/>
              </w:rPr>
              <w:t>提供有效数据比例≥</w:t>
            </w:r>
            <w:r>
              <w:rPr>
                <w:rStyle w:val="120"/>
                <w:rFonts w:hint="eastAsia" w:ascii="宋体" w:hAnsi="宋体" w:cs="宋体"/>
                <w:sz w:val="24"/>
                <w:szCs w:val="24"/>
                <w:lang w:bidi="ar"/>
              </w:rPr>
              <w:t>90%</w:t>
            </w:r>
          </w:p>
          <w:p>
            <w:pPr>
              <w:widowControl/>
              <w:adjustRightInd w:val="0"/>
              <w:snapToGrid w:val="0"/>
              <w:ind w:firstLine="0" w:firstLineChars="0"/>
              <w:textAlignment w:val="center"/>
              <w:rPr>
                <w:rStyle w:val="54"/>
                <w:rFonts w:hint="default"/>
                <w:sz w:val="24"/>
                <w:szCs w:val="24"/>
                <w:lang w:bidi="ar"/>
              </w:rPr>
            </w:pPr>
            <w:r>
              <w:rPr>
                <w:rStyle w:val="54"/>
                <w:rFonts w:hint="default"/>
                <w:sz w:val="24"/>
                <w:szCs w:val="24"/>
                <w:lang w:bidi="ar"/>
              </w:rPr>
              <w:t>提供分钟级数据</w:t>
            </w:r>
          </w:p>
          <w:p>
            <w:pPr>
              <w:widowControl/>
              <w:adjustRightInd w:val="0"/>
              <w:snapToGrid w:val="0"/>
              <w:ind w:firstLine="0" w:firstLineChars="0"/>
              <w:textAlignment w:val="center"/>
              <w:rPr>
                <w:rFonts w:ascii="宋体" w:hAnsi="宋体" w:cs="宋体"/>
                <w:color w:val="000000"/>
                <w:szCs w:val="24"/>
              </w:rPr>
            </w:pPr>
            <w:r>
              <w:rPr>
                <w:rStyle w:val="65"/>
                <w:rFonts w:hint="default" w:ascii="宋体" w:hAnsi="宋体" w:eastAsia="宋体" w:cs="宋体"/>
                <w:b w:val="0"/>
                <w:bCs w:val="0"/>
                <w:sz w:val="24"/>
                <w:szCs w:val="24"/>
                <w:lang w:bidi="ar"/>
              </w:rPr>
              <w:t>计算方式</w:t>
            </w:r>
            <w:r>
              <w:rPr>
                <w:rStyle w:val="54"/>
                <w:rFonts w:hint="default"/>
                <w:sz w:val="24"/>
                <w:szCs w:val="24"/>
                <w:lang w:bidi="ar"/>
              </w:rPr>
              <w:t>：</w:t>
            </w:r>
            <w:r>
              <w:rPr>
                <w:rStyle w:val="61"/>
                <w:rFonts w:hint="default" w:ascii="宋体" w:hAnsi="宋体" w:eastAsia="宋体" w:cs="宋体"/>
                <w:lang w:bidi="ar"/>
              </w:rPr>
              <w:t>（</w:t>
            </w:r>
            <w:r>
              <w:rPr>
                <w:rStyle w:val="120"/>
                <w:rFonts w:hint="eastAsia" w:ascii="宋体" w:hAnsi="宋体" w:cs="宋体"/>
                <w:sz w:val="24"/>
                <w:szCs w:val="24"/>
                <w:lang w:bidi="ar"/>
              </w:rPr>
              <w:t>6+1</w:t>
            </w:r>
            <w:r>
              <w:rPr>
                <w:rStyle w:val="61"/>
                <w:rFonts w:hint="default" w:ascii="宋体" w:hAnsi="宋体" w:eastAsia="宋体" w:cs="宋体"/>
                <w:lang w:bidi="ar"/>
              </w:rPr>
              <w:t>）参数</w:t>
            </w:r>
            <w:r>
              <w:rPr>
                <w:rStyle w:val="120"/>
                <w:rFonts w:hint="eastAsia" w:ascii="宋体" w:hAnsi="宋体" w:cs="宋体"/>
                <w:sz w:val="24"/>
                <w:szCs w:val="24"/>
                <w:lang w:bidi="ar"/>
              </w:rPr>
              <w:t>*80</w:t>
            </w:r>
            <w:r>
              <w:rPr>
                <w:rStyle w:val="61"/>
                <w:rFonts w:hint="default" w:ascii="宋体" w:hAnsi="宋体" w:eastAsia="宋体" w:cs="宋体"/>
                <w:lang w:bidi="ar"/>
              </w:rPr>
              <w:t>设备</w:t>
            </w:r>
            <w:r>
              <w:rPr>
                <w:rStyle w:val="120"/>
                <w:rFonts w:hint="eastAsia" w:ascii="宋体" w:hAnsi="宋体" w:cs="宋体"/>
                <w:sz w:val="24"/>
                <w:szCs w:val="24"/>
                <w:lang w:bidi="ar"/>
              </w:rPr>
              <w:t>*60</w:t>
            </w:r>
            <w:r>
              <w:rPr>
                <w:rStyle w:val="61"/>
                <w:rFonts w:hint="default" w:ascii="宋体" w:hAnsi="宋体" w:eastAsia="宋体" w:cs="宋体"/>
                <w:lang w:bidi="ar"/>
              </w:rPr>
              <w:t>分钟</w:t>
            </w:r>
            <w:r>
              <w:rPr>
                <w:rStyle w:val="120"/>
                <w:rFonts w:hint="eastAsia" w:ascii="宋体" w:hAnsi="宋体" w:cs="宋体"/>
                <w:sz w:val="24"/>
                <w:szCs w:val="24"/>
                <w:lang w:bidi="ar"/>
              </w:rPr>
              <w:t>*4</w:t>
            </w:r>
            <w:r>
              <w:rPr>
                <w:rStyle w:val="61"/>
                <w:rFonts w:hint="default" w:ascii="宋体" w:hAnsi="宋体" w:eastAsia="宋体" w:cs="宋体"/>
                <w:lang w:bidi="ar"/>
              </w:rPr>
              <w:t>小时</w:t>
            </w:r>
            <w:r>
              <w:rPr>
                <w:rStyle w:val="120"/>
                <w:rFonts w:hint="eastAsia" w:ascii="宋体" w:hAnsi="宋体" w:cs="宋体"/>
                <w:sz w:val="24"/>
                <w:szCs w:val="24"/>
                <w:lang w:bidi="ar"/>
              </w:rPr>
              <w:t>*365</w:t>
            </w:r>
            <w:r>
              <w:rPr>
                <w:rStyle w:val="61"/>
                <w:rFonts w:hint="default" w:ascii="宋体" w:hAnsi="宋体" w:eastAsia="宋体" w:cs="宋体"/>
                <w:lang w:bidi="ar"/>
              </w:rPr>
              <w:t>天</w:t>
            </w:r>
            <w:r>
              <w:rPr>
                <w:rStyle w:val="120"/>
                <w:rFonts w:hint="eastAsia" w:ascii="宋体" w:hAnsi="宋体" w:cs="宋体"/>
                <w:sz w:val="24"/>
                <w:szCs w:val="24"/>
                <w:lang w:bidi="ar"/>
              </w:rPr>
              <w:t>*3</w:t>
            </w:r>
            <w:r>
              <w:rPr>
                <w:rStyle w:val="61"/>
                <w:rFonts w:hint="default" w:ascii="宋体" w:hAnsi="宋体" w:eastAsia="宋体" w:cs="宋体"/>
                <w:lang w:bidi="ar"/>
              </w:rPr>
              <w:t>年</w:t>
            </w:r>
          </w:p>
        </w:tc>
        <w:tc>
          <w:tcPr>
            <w:tcW w:w="2784" w:type="dxa"/>
            <w:vMerge w:val="continue"/>
            <w:vAlign w:val="center"/>
          </w:tcPr>
          <w:p>
            <w:pPr>
              <w:adjustRightInd w:val="0"/>
              <w:snapToGrid w:val="0"/>
              <w:ind w:firstLine="0" w:firstLineChars="0"/>
              <w:rPr>
                <w:rFonts w:ascii="宋体" w:hAnsi="宋体" w:cs="宋体"/>
                <w:color w:val="000000"/>
                <w:szCs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3</w:t>
            </w:r>
          </w:p>
        </w:tc>
        <w:tc>
          <w:tcPr>
            <w:tcW w:w="1344" w:type="dxa"/>
            <w:vMerge w:val="continue"/>
            <w:vAlign w:val="center"/>
          </w:tcPr>
          <w:p>
            <w:pPr>
              <w:adjustRightInd w:val="0"/>
              <w:snapToGrid w:val="0"/>
              <w:ind w:firstLine="0" w:firstLineChars="0"/>
              <w:jc w:val="center"/>
              <w:rPr>
                <w:rFonts w:ascii="宋体" w:hAnsi="宋体" w:cs="宋体"/>
                <w:color w:val="000000"/>
                <w:szCs w:val="24"/>
              </w:rPr>
            </w:pP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全域空气质量预测</w:t>
            </w:r>
          </w:p>
        </w:tc>
        <w:tc>
          <w:tcPr>
            <w:tcW w:w="3035" w:type="dxa"/>
            <w:vAlign w:val="center"/>
          </w:tcPr>
          <w:p>
            <w:pPr>
              <w:widowControl/>
              <w:adjustRightInd w:val="0"/>
              <w:snapToGrid w:val="0"/>
              <w:ind w:firstLine="0" w:firstLineChars="0"/>
              <w:textAlignment w:val="center"/>
              <w:rPr>
                <w:rStyle w:val="54"/>
                <w:rFonts w:hint="default"/>
                <w:sz w:val="24"/>
                <w:szCs w:val="24"/>
                <w:lang w:bidi="ar"/>
              </w:rPr>
            </w:pPr>
            <w:r>
              <w:rPr>
                <w:rStyle w:val="65"/>
                <w:rFonts w:hint="default" w:ascii="宋体" w:hAnsi="宋体" w:eastAsia="宋体" w:cs="宋体"/>
                <w:b w:val="0"/>
                <w:bCs w:val="0"/>
                <w:sz w:val="24"/>
                <w:szCs w:val="24"/>
                <w:lang w:bidi="ar"/>
              </w:rPr>
              <w:t>成都市二圈城市全域整体空气质量预测</w:t>
            </w:r>
            <w:r>
              <w:rPr>
                <w:rStyle w:val="54"/>
                <w:rFonts w:hint="default"/>
                <w:sz w:val="24"/>
                <w:szCs w:val="24"/>
                <w:lang w:bidi="ar"/>
              </w:rPr>
              <w:t>（含：</w:t>
            </w:r>
            <w:r>
              <w:rPr>
                <w:rStyle w:val="120"/>
                <w:rFonts w:hint="eastAsia" w:ascii="宋体" w:hAnsi="宋体" w:cs="宋体"/>
                <w:sz w:val="24"/>
                <w:szCs w:val="24"/>
                <w:lang w:bidi="ar"/>
              </w:rPr>
              <w:t>AQI</w:t>
            </w:r>
            <w:r>
              <w:rPr>
                <w:rStyle w:val="54"/>
                <w:rFonts w:hint="default"/>
                <w:sz w:val="24"/>
                <w:szCs w:val="24"/>
                <w:lang w:bidi="ar"/>
              </w:rPr>
              <w:t>、</w:t>
            </w:r>
            <w:r>
              <w:rPr>
                <w:rStyle w:val="120"/>
                <w:rFonts w:hint="eastAsia" w:ascii="宋体" w:hAnsi="宋体" w:cs="宋体"/>
                <w:sz w:val="24"/>
                <w:szCs w:val="24"/>
                <w:lang w:bidi="ar"/>
              </w:rPr>
              <w:t>PM2.5</w:t>
            </w:r>
            <w:r>
              <w:rPr>
                <w:rStyle w:val="54"/>
                <w:rFonts w:hint="default"/>
                <w:sz w:val="24"/>
                <w:szCs w:val="24"/>
                <w:lang w:bidi="ar"/>
              </w:rPr>
              <w:t>、</w:t>
            </w:r>
            <w:r>
              <w:rPr>
                <w:rStyle w:val="120"/>
                <w:rFonts w:hint="eastAsia" w:ascii="宋体" w:hAnsi="宋体" w:cs="宋体"/>
                <w:sz w:val="24"/>
                <w:szCs w:val="24"/>
                <w:lang w:bidi="ar"/>
              </w:rPr>
              <w:t>PM10</w:t>
            </w:r>
            <w:r>
              <w:rPr>
                <w:rStyle w:val="54"/>
                <w:rFonts w:hint="default"/>
                <w:sz w:val="24"/>
                <w:szCs w:val="24"/>
                <w:lang w:bidi="ar"/>
              </w:rPr>
              <w:t>、</w:t>
            </w:r>
            <w:r>
              <w:rPr>
                <w:rStyle w:val="120"/>
                <w:rFonts w:hint="eastAsia" w:ascii="宋体" w:hAnsi="宋体" w:cs="宋体"/>
                <w:sz w:val="24"/>
                <w:szCs w:val="24"/>
                <w:lang w:bidi="ar"/>
              </w:rPr>
              <w:t>SO2</w:t>
            </w:r>
            <w:r>
              <w:rPr>
                <w:rStyle w:val="54"/>
                <w:rFonts w:hint="default"/>
                <w:sz w:val="24"/>
                <w:szCs w:val="24"/>
                <w:lang w:bidi="ar"/>
              </w:rPr>
              <w:t>、</w:t>
            </w:r>
            <w:r>
              <w:rPr>
                <w:rStyle w:val="120"/>
                <w:rFonts w:hint="eastAsia" w:ascii="宋体" w:hAnsi="宋体" w:cs="宋体"/>
                <w:sz w:val="24"/>
                <w:szCs w:val="24"/>
                <w:lang w:bidi="ar"/>
              </w:rPr>
              <w:t>NO2</w:t>
            </w:r>
            <w:r>
              <w:rPr>
                <w:rStyle w:val="54"/>
                <w:rFonts w:hint="default"/>
                <w:sz w:val="24"/>
                <w:szCs w:val="24"/>
                <w:lang w:bidi="ar"/>
              </w:rPr>
              <w:t>、</w:t>
            </w:r>
            <w:r>
              <w:rPr>
                <w:rStyle w:val="120"/>
                <w:rFonts w:hint="eastAsia" w:ascii="宋体" w:hAnsi="宋体" w:cs="宋体"/>
                <w:sz w:val="24"/>
                <w:szCs w:val="24"/>
                <w:lang w:bidi="ar"/>
              </w:rPr>
              <w:t>CO</w:t>
            </w:r>
            <w:r>
              <w:rPr>
                <w:rStyle w:val="54"/>
                <w:rFonts w:hint="default"/>
                <w:sz w:val="24"/>
                <w:szCs w:val="24"/>
                <w:lang w:bidi="ar"/>
              </w:rPr>
              <w:t>、</w:t>
            </w:r>
            <w:r>
              <w:rPr>
                <w:rStyle w:val="120"/>
                <w:rFonts w:hint="eastAsia" w:ascii="宋体" w:hAnsi="宋体" w:cs="宋体"/>
                <w:sz w:val="24"/>
                <w:szCs w:val="24"/>
                <w:lang w:bidi="ar"/>
              </w:rPr>
              <w:t>O3</w:t>
            </w:r>
            <w:r>
              <w:rPr>
                <w:rStyle w:val="54"/>
                <w:rFonts w:hint="default"/>
                <w:sz w:val="24"/>
                <w:szCs w:val="24"/>
                <w:lang w:bidi="ar"/>
              </w:rPr>
              <w:t>）</w:t>
            </w:r>
          </w:p>
          <w:p>
            <w:pPr>
              <w:widowControl/>
              <w:adjustRightInd w:val="0"/>
              <w:snapToGrid w:val="0"/>
              <w:ind w:firstLine="0" w:firstLineChars="0"/>
              <w:textAlignment w:val="center"/>
              <w:rPr>
                <w:rStyle w:val="65"/>
                <w:rFonts w:hint="default" w:ascii="宋体" w:hAnsi="宋体" w:eastAsia="宋体" w:cs="宋体"/>
                <w:b w:val="0"/>
                <w:bCs w:val="0"/>
                <w:sz w:val="24"/>
                <w:szCs w:val="24"/>
                <w:lang w:bidi="ar"/>
              </w:rPr>
            </w:pPr>
            <w:r>
              <w:rPr>
                <w:rStyle w:val="54"/>
                <w:rFonts w:hint="default"/>
                <w:sz w:val="24"/>
                <w:szCs w:val="24"/>
                <w:lang w:bidi="ar"/>
              </w:rPr>
              <w:t>提供三年</w:t>
            </w:r>
            <w:r>
              <w:rPr>
                <w:rStyle w:val="65"/>
                <w:rFonts w:hint="default" w:ascii="宋体" w:hAnsi="宋体" w:eastAsia="宋体" w:cs="宋体"/>
                <w:b w:val="0"/>
                <w:bCs w:val="0"/>
                <w:sz w:val="24"/>
                <w:szCs w:val="24"/>
                <w:lang w:bidi="ar"/>
              </w:rPr>
              <w:t>数据总量≥</w:t>
            </w:r>
            <w:r>
              <w:rPr>
                <w:rStyle w:val="65"/>
                <w:rFonts w:ascii="宋体" w:hAnsi="宋体" w:cs="宋体"/>
                <w:b w:val="0"/>
                <w:bCs w:val="0"/>
                <w:sz w:val="24"/>
                <w:szCs w:val="24"/>
                <w:lang w:bidi="ar"/>
              </w:rPr>
              <w:t>9</w:t>
            </w:r>
            <w:r>
              <w:rPr>
                <w:rStyle w:val="65"/>
                <w:rFonts w:hint="default" w:ascii="宋体" w:hAnsi="宋体" w:eastAsia="宋体" w:cs="宋体"/>
                <w:b w:val="0"/>
                <w:bCs w:val="0"/>
                <w:sz w:val="24"/>
                <w:szCs w:val="24"/>
                <w:lang w:bidi="ar"/>
              </w:rPr>
              <w:t>0</w:t>
            </w:r>
            <w:r>
              <w:rPr>
                <w:rStyle w:val="115"/>
                <w:rFonts w:hint="default"/>
                <w:sz w:val="24"/>
                <w:szCs w:val="24"/>
                <w:lang w:bidi="ar"/>
              </w:rPr>
              <w:t>,000</w:t>
            </w:r>
            <w:r>
              <w:rPr>
                <w:rStyle w:val="65"/>
                <w:rFonts w:hint="default" w:ascii="宋体" w:hAnsi="宋体" w:eastAsia="宋体" w:cs="宋体"/>
                <w:b w:val="0"/>
                <w:bCs w:val="0"/>
                <w:sz w:val="24"/>
                <w:szCs w:val="24"/>
                <w:lang w:bidi="ar"/>
              </w:rPr>
              <w:t>条</w:t>
            </w:r>
          </w:p>
          <w:p>
            <w:pPr>
              <w:widowControl/>
              <w:adjustRightInd w:val="0"/>
              <w:snapToGrid w:val="0"/>
              <w:ind w:firstLine="0" w:firstLineChars="0"/>
              <w:textAlignment w:val="center"/>
              <w:rPr>
                <w:rStyle w:val="120"/>
                <w:rFonts w:ascii="宋体" w:hAnsi="宋体" w:cs="宋体"/>
                <w:sz w:val="24"/>
                <w:szCs w:val="24"/>
                <w:lang w:bidi="ar"/>
              </w:rPr>
            </w:pPr>
            <w:r>
              <w:rPr>
                <w:rStyle w:val="54"/>
                <w:rFonts w:hint="default"/>
                <w:sz w:val="24"/>
                <w:szCs w:val="24"/>
                <w:lang w:bidi="ar"/>
              </w:rPr>
              <w:t>提供有效数据比例≥</w:t>
            </w:r>
            <w:r>
              <w:rPr>
                <w:rStyle w:val="120"/>
                <w:rFonts w:hint="eastAsia" w:ascii="宋体" w:hAnsi="宋体" w:cs="宋体"/>
                <w:sz w:val="24"/>
                <w:szCs w:val="24"/>
                <w:lang w:bidi="ar"/>
              </w:rPr>
              <w:t>90%</w:t>
            </w:r>
          </w:p>
          <w:p>
            <w:pPr>
              <w:widowControl/>
              <w:adjustRightInd w:val="0"/>
              <w:snapToGrid w:val="0"/>
              <w:ind w:firstLine="0" w:firstLineChars="0"/>
              <w:textAlignment w:val="center"/>
              <w:rPr>
                <w:rStyle w:val="54"/>
                <w:rFonts w:hint="default"/>
                <w:sz w:val="24"/>
                <w:szCs w:val="24"/>
                <w:lang w:bidi="ar"/>
              </w:rPr>
            </w:pPr>
            <w:r>
              <w:rPr>
                <w:rStyle w:val="54"/>
                <w:rFonts w:hint="default"/>
                <w:sz w:val="24"/>
                <w:szCs w:val="24"/>
                <w:lang w:bidi="ar"/>
              </w:rPr>
              <w:t>提供未来两天预测数据</w:t>
            </w:r>
          </w:p>
          <w:p>
            <w:pPr>
              <w:widowControl/>
              <w:adjustRightInd w:val="0"/>
              <w:snapToGrid w:val="0"/>
              <w:ind w:firstLine="0" w:firstLineChars="0"/>
              <w:textAlignment w:val="center"/>
              <w:rPr>
                <w:rFonts w:ascii="宋体" w:hAnsi="宋体" w:cs="宋体"/>
                <w:color w:val="000000"/>
                <w:szCs w:val="24"/>
              </w:rPr>
            </w:pPr>
            <w:r>
              <w:rPr>
                <w:rStyle w:val="65"/>
                <w:rFonts w:hint="default" w:ascii="宋体" w:hAnsi="宋体" w:eastAsia="宋体" w:cs="宋体"/>
                <w:b w:val="0"/>
                <w:bCs w:val="0"/>
                <w:sz w:val="24"/>
                <w:szCs w:val="24"/>
                <w:lang w:bidi="ar"/>
              </w:rPr>
              <w:t>计算方式</w:t>
            </w:r>
            <w:r>
              <w:rPr>
                <w:rStyle w:val="54"/>
                <w:rFonts w:hint="default"/>
                <w:sz w:val="24"/>
                <w:szCs w:val="24"/>
                <w:lang w:bidi="ar"/>
              </w:rPr>
              <w:t>：</w:t>
            </w:r>
            <w:r>
              <w:rPr>
                <w:rStyle w:val="61"/>
                <w:rFonts w:hint="default" w:ascii="宋体" w:hAnsi="宋体" w:eastAsia="宋体" w:cs="宋体"/>
                <w:lang w:bidi="ar"/>
              </w:rPr>
              <w:t>（</w:t>
            </w:r>
            <w:r>
              <w:rPr>
                <w:rStyle w:val="61"/>
                <w:rFonts w:ascii="宋体" w:hAnsi="宋体" w:cs="宋体"/>
                <w:lang w:bidi="ar"/>
              </w:rPr>
              <w:t>6</w:t>
            </w:r>
            <w:r>
              <w:rPr>
                <w:rStyle w:val="61"/>
                <w:rFonts w:hint="default" w:ascii="宋体" w:hAnsi="宋体" w:eastAsia="宋体" w:cs="宋体"/>
                <w:lang w:bidi="ar"/>
              </w:rPr>
              <w:t>+1）区域*（6+1）参数*2天*365天*3年</w:t>
            </w:r>
          </w:p>
        </w:tc>
        <w:tc>
          <w:tcPr>
            <w:tcW w:w="2784" w:type="dxa"/>
            <w:vMerge w:val="continue"/>
            <w:vAlign w:val="center"/>
          </w:tcPr>
          <w:p>
            <w:pPr>
              <w:adjustRightInd w:val="0"/>
              <w:snapToGrid w:val="0"/>
              <w:ind w:firstLine="0" w:firstLineChars="0"/>
              <w:rPr>
                <w:rFonts w:ascii="宋体" w:hAnsi="宋体" w:cs="宋体"/>
                <w:color w:val="000000"/>
                <w:szCs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4</w:t>
            </w: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运维服务</w:t>
            </w: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运维人员配置</w:t>
            </w:r>
          </w:p>
        </w:tc>
        <w:tc>
          <w:tcPr>
            <w:tcW w:w="3035" w:type="dxa"/>
            <w:vAlign w:val="center"/>
          </w:tcPr>
          <w:p>
            <w:pPr>
              <w:widowControl/>
              <w:adjustRightInd w:val="0"/>
              <w:snapToGrid w:val="0"/>
              <w:ind w:firstLine="0" w:firstLineChars="0"/>
              <w:textAlignment w:val="center"/>
              <w:rPr>
                <w:rFonts w:ascii="宋体" w:hAnsi="宋体" w:cs="宋体"/>
                <w:color w:val="000000"/>
                <w:szCs w:val="24"/>
              </w:rPr>
            </w:pPr>
            <w:r>
              <w:rPr>
                <w:rFonts w:hint="eastAsia" w:ascii="宋体" w:hAnsi="宋体" w:cs="宋体"/>
                <w:kern w:val="0"/>
                <w:szCs w:val="24"/>
                <w:lang w:bidi="ar"/>
              </w:rPr>
              <w:t>派驻驻场服务经理1人及驻场运维工程师6人，共同构成本项目的运维班子，负责本项目的运维工作</w:t>
            </w:r>
          </w:p>
        </w:tc>
        <w:tc>
          <w:tcPr>
            <w:tcW w:w="2784" w:type="dxa"/>
            <w:vAlign w:val="center"/>
          </w:tcPr>
          <w:p>
            <w:pPr>
              <w:widowControl/>
              <w:adjustRightInd w:val="0"/>
              <w:snapToGrid w:val="0"/>
              <w:ind w:firstLine="0" w:firstLineChars="0"/>
              <w:textAlignment w:val="center"/>
              <w:rPr>
                <w:rFonts w:ascii="宋体" w:hAnsi="宋体" w:cs="宋体"/>
                <w:color w:val="000000"/>
                <w:szCs w:val="24"/>
              </w:rPr>
            </w:pPr>
            <w:r>
              <w:rPr>
                <w:rFonts w:hint="eastAsia" w:ascii="宋体" w:hAnsi="宋体" w:cs="宋体"/>
                <w:color w:val="000000"/>
                <w:kern w:val="0"/>
                <w:szCs w:val="24"/>
                <w:lang w:bidi="ar"/>
              </w:rPr>
              <w:t>在年度运维服务中可满足人员数量要求，得10分；到岗人员数量达一半及以上，得6分；到岗人员数量仅一半及以下，则不得分。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5</w:t>
            </w:r>
          </w:p>
        </w:tc>
        <w:tc>
          <w:tcPr>
            <w:tcW w:w="1344"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典型案例分析</w:t>
            </w:r>
          </w:p>
        </w:tc>
        <w:tc>
          <w:tcPr>
            <w:tcW w:w="1344"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典型案例分析</w:t>
            </w:r>
          </w:p>
        </w:tc>
        <w:tc>
          <w:tcPr>
            <w:tcW w:w="3035" w:type="dxa"/>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ascii="宋体" w:hAnsi="宋体" w:cs="宋体"/>
                <w:color w:val="000000"/>
                <w:kern w:val="0"/>
                <w:szCs w:val="24"/>
                <w:lang w:bidi="ar"/>
              </w:rPr>
              <w:t>建立典型案例库，梳理总结事件发现、上报、处置</w:t>
            </w:r>
            <w:r>
              <w:rPr>
                <w:rFonts w:hint="eastAsia" w:ascii="宋体" w:hAnsi="宋体" w:cs="宋体"/>
                <w:color w:val="000000"/>
                <w:kern w:val="0"/>
                <w:szCs w:val="24"/>
                <w:lang w:bidi="ar"/>
              </w:rPr>
              <w:t>、评估</w:t>
            </w:r>
            <w:r>
              <w:rPr>
                <w:rFonts w:ascii="宋体" w:hAnsi="宋体" w:cs="宋体"/>
                <w:color w:val="000000"/>
                <w:kern w:val="0"/>
                <w:szCs w:val="24"/>
                <w:lang w:bidi="ar"/>
              </w:rPr>
              <w:t>等过程</w:t>
            </w:r>
            <w:r>
              <w:rPr>
                <w:rFonts w:hint="eastAsia" w:ascii="宋体" w:hAnsi="宋体" w:cs="宋体"/>
                <w:color w:val="000000"/>
                <w:kern w:val="0"/>
                <w:szCs w:val="24"/>
                <w:lang w:bidi="ar"/>
              </w:rPr>
              <w:t>，从而实现闭环分析和措施评价</w:t>
            </w:r>
            <w:r>
              <w:rPr>
                <w:rFonts w:ascii="宋体" w:hAnsi="宋体" w:cs="宋体"/>
                <w:color w:val="000000"/>
                <w:kern w:val="0"/>
                <w:szCs w:val="24"/>
                <w:lang w:bidi="ar"/>
              </w:rPr>
              <w:t>。</w:t>
            </w:r>
          </w:p>
        </w:tc>
        <w:tc>
          <w:tcPr>
            <w:tcW w:w="2784" w:type="dxa"/>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hint="eastAsia" w:ascii="宋体" w:hAnsi="宋体" w:cs="宋体"/>
                <w:color w:val="000000"/>
                <w:kern w:val="0"/>
                <w:szCs w:val="24"/>
                <w:lang w:bidi="ar"/>
              </w:rPr>
              <w:t>每年度内提供不少于40项管辖区域污染典型案例（包含时间、地点、所属类型、污染特征、溯源分析等），得10分；案例数量不少于30项，得8分；案例数量不少于20项，得6分；案例数量少于20项，不得分。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6</w:t>
            </w:r>
          </w:p>
        </w:tc>
        <w:tc>
          <w:tcPr>
            <w:tcW w:w="1344" w:type="dxa"/>
            <w:vMerge w:val="restart"/>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事件任务</w:t>
            </w:r>
          </w:p>
        </w:tc>
        <w:tc>
          <w:tcPr>
            <w:tcW w:w="1344"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污染事件推送</w:t>
            </w:r>
          </w:p>
        </w:tc>
        <w:tc>
          <w:tcPr>
            <w:tcW w:w="3035" w:type="dxa"/>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hint="eastAsia" w:ascii="宋体" w:hAnsi="宋体" w:cs="宋体"/>
                <w:color w:val="000000"/>
                <w:kern w:val="0"/>
                <w:szCs w:val="24"/>
                <w:lang w:bidi="ar"/>
              </w:rPr>
              <w:t>提供污染事件识别、污染源研判及消息推送服务</w:t>
            </w:r>
          </w:p>
        </w:tc>
        <w:tc>
          <w:tcPr>
            <w:tcW w:w="2784" w:type="dxa"/>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hint="eastAsia" w:ascii="宋体" w:hAnsi="宋体" w:cs="宋体"/>
                <w:color w:val="000000"/>
                <w:kern w:val="0"/>
                <w:szCs w:val="24"/>
                <w:lang w:bidi="ar"/>
              </w:rPr>
              <w:t>每年度推送污染事件不少于1000件，得10分；不少于850件；得8分；不少于700件；得6分；小于700件不得分。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7</w:t>
            </w:r>
          </w:p>
        </w:tc>
        <w:tc>
          <w:tcPr>
            <w:tcW w:w="1344" w:type="dxa"/>
            <w:vMerge w:val="continue"/>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p>
        </w:tc>
        <w:tc>
          <w:tcPr>
            <w:tcW w:w="1344"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事件任务配置</w:t>
            </w:r>
          </w:p>
        </w:tc>
        <w:tc>
          <w:tcPr>
            <w:tcW w:w="3035" w:type="dxa"/>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hint="eastAsia" w:ascii="宋体" w:hAnsi="宋体" w:cs="宋体"/>
                <w:color w:val="000000"/>
                <w:kern w:val="0"/>
                <w:szCs w:val="24"/>
                <w:lang w:bidi="ar"/>
              </w:rPr>
              <w:t>提供任务调度定性、定量化配置；提供污染事件综合统计；实现调度任务的派发、执行、反馈、跟踪与统计；可对污染事件和污染源的线下推送进行准确率和处理效果的统计。</w:t>
            </w:r>
          </w:p>
        </w:tc>
        <w:tc>
          <w:tcPr>
            <w:tcW w:w="2784" w:type="dxa"/>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hint="eastAsia" w:ascii="宋体" w:hAnsi="宋体" w:cs="宋体"/>
                <w:color w:val="000000"/>
                <w:kern w:val="0"/>
                <w:szCs w:val="24"/>
                <w:lang w:bidi="ar"/>
              </w:rPr>
              <w:t>提供事件处理情况汇总（包括每日事件任务数量、完成情况、验证准确率及现场反馈情况统计等），每年数量不少于300份，得10分；数量不少于260份，得8分；数量不少于200份，得6分；数量少于200份，不得分。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8</w:t>
            </w:r>
          </w:p>
        </w:tc>
        <w:tc>
          <w:tcPr>
            <w:tcW w:w="1344"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污染源清单</w:t>
            </w:r>
          </w:p>
        </w:tc>
        <w:tc>
          <w:tcPr>
            <w:tcW w:w="1344" w:type="dxa"/>
            <w:vAlign w:val="center"/>
          </w:tcPr>
          <w:p>
            <w:pPr>
              <w:widowControl/>
              <w:adjustRightInd w:val="0"/>
              <w:snapToGrid w:val="0"/>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重点区域污染源排查和更新服务</w:t>
            </w:r>
          </w:p>
        </w:tc>
        <w:tc>
          <w:tcPr>
            <w:tcW w:w="3035" w:type="dxa"/>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ascii="宋体" w:hAnsi="宋体" w:cs="宋体"/>
                <w:color w:val="000000"/>
                <w:kern w:val="0"/>
                <w:szCs w:val="24"/>
                <w:lang w:bidi="ar"/>
              </w:rPr>
              <w:t>提供管辖区域内重点污染源清单，并进行定期维护更新。</w:t>
            </w:r>
          </w:p>
        </w:tc>
        <w:tc>
          <w:tcPr>
            <w:tcW w:w="2784" w:type="dxa"/>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ascii="宋体" w:hAnsi="宋体" w:cs="宋体"/>
                <w:color w:val="000000"/>
                <w:kern w:val="0"/>
                <w:szCs w:val="24"/>
                <w:lang w:bidi="ar"/>
              </w:rPr>
              <w:t>若清单内污染源不存在或已整改，视为错误。</w:t>
            </w:r>
            <w:r>
              <w:rPr>
                <w:rFonts w:hint="eastAsia" w:ascii="宋体" w:hAnsi="宋体" w:cs="宋体"/>
                <w:color w:val="000000"/>
                <w:kern w:val="0"/>
                <w:szCs w:val="24"/>
                <w:lang w:bidi="ar"/>
              </w:rPr>
              <w:t>以每一年度计，若错误率不高于20%，得10分，不高于30%，得8分，不高于40%，得6分，高于40%不得分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9</w:t>
            </w: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空气质量报告</w:t>
            </w: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空气质量日报、周报、月报</w:t>
            </w:r>
          </w:p>
        </w:tc>
        <w:tc>
          <w:tcPr>
            <w:tcW w:w="3035" w:type="dxa"/>
            <w:vAlign w:val="center"/>
          </w:tcPr>
          <w:p>
            <w:pPr>
              <w:widowControl/>
              <w:adjustRightInd w:val="0"/>
              <w:snapToGrid w:val="0"/>
              <w:ind w:firstLine="0" w:firstLineChars="0"/>
              <w:textAlignment w:val="center"/>
              <w:rPr>
                <w:rFonts w:ascii="宋体" w:hAnsi="宋体" w:cs="宋体"/>
                <w:color w:val="000000"/>
                <w:szCs w:val="24"/>
              </w:rPr>
            </w:pPr>
            <w:r>
              <w:rPr>
                <w:rFonts w:hint="eastAsia" w:ascii="宋体" w:hAnsi="宋体" w:cs="宋体"/>
                <w:color w:val="000000"/>
                <w:kern w:val="0"/>
                <w:szCs w:val="24"/>
                <w:lang w:bidi="ar"/>
              </w:rPr>
              <w:t>按照用户业务需求差异，在确定相关内容后按照指定时限出具成都市“6+1”</w:t>
            </w:r>
            <w:r>
              <w:rPr>
                <w:rFonts w:hint="eastAsia" w:ascii="宋体" w:hAnsi="宋体" w:cs="宋体"/>
                <w:color w:val="000000"/>
                <w:kern w:val="0"/>
                <w:szCs w:val="24"/>
                <w:lang w:eastAsia="zh-CN" w:bidi="ar"/>
              </w:rPr>
              <w:t>目标区域</w:t>
            </w:r>
            <w:r>
              <w:rPr>
                <w:rFonts w:hint="eastAsia" w:ascii="宋体" w:hAnsi="宋体" w:cs="宋体"/>
                <w:color w:val="000000"/>
                <w:kern w:val="0"/>
                <w:szCs w:val="24"/>
                <w:lang w:bidi="ar"/>
              </w:rPr>
              <w:t>空气质量日报、周报及月报</w:t>
            </w:r>
          </w:p>
        </w:tc>
        <w:tc>
          <w:tcPr>
            <w:tcW w:w="2784" w:type="dxa"/>
            <w:vAlign w:val="center"/>
          </w:tcPr>
          <w:p>
            <w:pPr>
              <w:widowControl/>
              <w:adjustRightInd w:val="0"/>
              <w:snapToGrid w:val="0"/>
              <w:ind w:firstLine="0" w:firstLineChars="0"/>
              <w:textAlignment w:val="center"/>
              <w:rPr>
                <w:rFonts w:ascii="宋体" w:hAnsi="宋体" w:cs="宋体"/>
                <w:color w:val="000000"/>
                <w:szCs w:val="24"/>
              </w:rPr>
            </w:pPr>
            <w:r>
              <w:rPr>
                <w:rFonts w:hint="eastAsia" w:ascii="宋体" w:hAnsi="宋体" w:cs="宋体"/>
                <w:color w:val="000000"/>
                <w:kern w:val="0"/>
                <w:szCs w:val="24"/>
                <w:lang w:bidi="ar"/>
              </w:rPr>
              <w:t>在确定报告所需求内容后，按照日报（每日出具）、周报（每周出具）、月报（每月出具）的输出时限，在每一年度服务结束后对报告数量进行确认。若报告数量全部满足，得10分；报告数量满足总数的80%，得8分，报告数量满足总数的60%，得6分。报告数量在总数得60%及以下，则不得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10</w:t>
            </w:r>
          </w:p>
        </w:tc>
        <w:tc>
          <w:tcPr>
            <w:tcW w:w="1344" w:type="dxa"/>
            <w:vMerge w:val="restart"/>
            <w:vAlign w:val="center"/>
          </w:tcPr>
          <w:p>
            <w:pPr>
              <w:widowControl/>
              <w:adjustRightInd w:val="0"/>
              <w:snapToGrid w:val="0"/>
              <w:ind w:firstLine="0" w:firstLineChars="0"/>
              <w:jc w:val="center"/>
              <w:textAlignment w:val="center"/>
              <w:rPr>
                <w:rFonts w:ascii="宋体" w:hAnsi="宋体" w:cs="宋体"/>
                <w:color w:val="000000"/>
                <w:szCs w:val="24"/>
                <w:lang w:bidi="ar"/>
              </w:rPr>
            </w:pPr>
            <w:r>
              <w:rPr>
                <w:rStyle w:val="61"/>
                <w:rFonts w:hint="default" w:ascii="宋体" w:hAnsi="宋体" w:eastAsia="宋体" w:cs="宋体"/>
                <w:lang w:bidi="ar"/>
              </w:rPr>
              <w:t>数据</w:t>
            </w:r>
            <w:r>
              <w:rPr>
                <w:rStyle w:val="61"/>
                <w:rFonts w:ascii="宋体" w:hAnsi="宋体" w:eastAsia="宋体" w:cs="宋体"/>
                <w:lang w:bidi="ar"/>
              </w:rPr>
              <w:t>准确性</w:t>
            </w:r>
            <w:r>
              <w:rPr>
                <w:rStyle w:val="61"/>
                <w:rFonts w:hint="default" w:ascii="宋体" w:hAnsi="宋体" w:eastAsia="宋体" w:cs="宋体"/>
                <w:lang w:bidi="ar"/>
              </w:rPr>
              <w:t>要求</w:t>
            </w: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网格空气质量推断</w:t>
            </w:r>
          </w:p>
        </w:tc>
        <w:tc>
          <w:tcPr>
            <w:tcW w:w="3035" w:type="dxa"/>
            <w:vAlign w:val="center"/>
          </w:tcPr>
          <w:p>
            <w:pPr>
              <w:widowControl/>
              <w:adjustRightInd w:val="0"/>
              <w:snapToGrid w:val="0"/>
              <w:ind w:firstLine="0" w:firstLineChars="0"/>
              <w:textAlignment w:val="center"/>
              <w:rPr>
                <w:rFonts w:ascii="宋体" w:hAnsi="宋体" w:cs="宋体"/>
                <w:color w:val="000000"/>
                <w:szCs w:val="24"/>
              </w:rPr>
            </w:pPr>
            <w:r>
              <w:rPr>
                <w:rStyle w:val="54"/>
                <w:rFonts w:hint="default"/>
                <w:sz w:val="24"/>
                <w:szCs w:val="24"/>
                <w:lang w:bidi="ar"/>
              </w:rPr>
              <w:t>在</w:t>
            </w:r>
            <w:r>
              <w:rPr>
                <w:rStyle w:val="65"/>
                <w:rFonts w:hint="default" w:ascii="宋体" w:hAnsi="宋体" w:eastAsia="宋体" w:cs="宋体"/>
                <w:b w:val="0"/>
                <w:bCs w:val="0"/>
                <w:sz w:val="24"/>
                <w:szCs w:val="24"/>
                <w:lang w:bidi="ar"/>
              </w:rPr>
              <w:t>无监测站点覆盖的网格对空气质量</w:t>
            </w:r>
            <w:r>
              <w:rPr>
                <w:rStyle w:val="115"/>
                <w:rFonts w:hint="default"/>
                <w:sz w:val="24"/>
                <w:szCs w:val="24"/>
                <w:lang w:bidi="ar"/>
              </w:rPr>
              <w:t>6+1</w:t>
            </w:r>
            <w:r>
              <w:rPr>
                <w:rStyle w:val="65"/>
                <w:rFonts w:hint="default" w:ascii="宋体" w:hAnsi="宋体" w:eastAsia="宋体" w:cs="宋体"/>
                <w:b w:val="0"/>
                <w:bCs w:val="0"/>
                <w:sz w:val="24"/>
                <w:szCs w:val="24"/>
                <w:lang w:bidi="ar"/>
              </w:rPr>
              <w:t>参数进行推算</w:t>
            </w:r>
            <w:r>
              <w:rPr>
                <w:rStyle w:val="54"/>
                <w:rFonts w:hint="default"/>
                <w:sz w:val="24"/>
                <w:szCs w:val="24"/>
                <w:lang w:bidi="ar"/>
              </w:rPr>
              <w:t>（即空间推断），</w:t>
            </w:r>
            <w:r>
              <w:rPr>
                <w:rStyle w:val="65"/>
                <w:rFonts w:hint="default" w:ascii="宋体" w:hAnsi="宋体" w:eastAsia="宋体" w:cs="宋体"/>
                <w:b w:val="0"/>
                <w:bCs w:val="0"/>
                <w:sz w:val="24"/>
                <w:szCs w:val="24"/>
                <w:lang w:bidi="ar"/>
              </w:rPr>
              <w:t>准确度不低于</w:t>
            </w:r>
            <w:r>
              <w:rPr>
                <w:rStyle w:val="115"/>
                <w:sz w:val="24"/>
                <w:szCs w:val="24"/>
                <w:lang w:bidi="ar"/>
              </w:rPr>
              <w:t>70</w:t>
            </w:r>
            <w:r>
              <w:rPr>
                <w:rStyle w:val="115"/>
                <w:rFonts w:hint="default"/>
                <w:sz w:val="24"/>
                <w:szCs w:val="24"/>
                <w:lang w:bidi="ar"/>
              </w:rPr>
              <w:t>%</w:t>
            </w:r>
          </w:p>
        </w:tc>
        <w:tc>
          <w:tcPr>
            <w:tcW w:w="2784" w:type="dxa"/>
            <w:vMerge w:val="restart"/>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hint="eastAsia" w:ascii="宋体" w:hAnsi="宋体" w:cs="宋体"/>
                <w:color w:val="000000"/>
                <w:kern w:val="0"/>
                <w:szCs w:val="24"/>
                <w:lang w:bidi="ar"/>
              </w:rPr>
              <w:t>自服务期正式开始以年为单位，按照各数据准确度要求子项所设准确度和服务验收中所提及的方法进行确认。其中空气质量6+1参数推算准确率达到70%以上得5分，达到65%以上得3分，达到60%以上得1分；准确率不足60%则不得分。</w:t>
            </w:r>
          </w:p>
          <w:p>
            <w:pPr>
              <w:widowControl/>
              <w:adjustRightInd w:val="0"/>
              <w:snapToGrid w:val="0"/>
              <w:ind w:firstLine="0" w:firstLineChars="0"/>
              <w:textAlignment w:val="center"/>
              <w:rPr>
                <w:rFonts w:ascii="宋体" w:hAnsi="宋体" w:cs="宋体"/>
                <w:color w:val="000000"/>
                <w:szCs w:val="24"/>
              </w:rPr>
            </w:pPr>
            <w:r>
              <w:rPr>
                <w:rFonts w:hint="eastAsia" w:ascii="宋体" w:hAnsi="宋体" w:cs="宋体"/>
                <w:color w:val="000000"/>
                <w:kern w:val="0"/>
                <w:szCs w:val="24"/>
                <w:lang w:bidi="ar"/>
              </w:rPr>
              <w:t>预测准确率达到65%以上，得5分；达到60%以上得3分，不足60%则不得分。数据准确度要求共计10分。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781"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11</w:t>
            </w:r>
          </w:p>
        </w:tc>
        <w:tc>
          <w:tcPr>
            <w:tcW w:w="1344" w:type="dxa"/>
            <w:vMerge w:val="continue"/>
            <w:vAlign w:val="center"/>
          </w:tcPr>
          <w:p>
            <w:pPr>
              <w:adjustRightInd w:val="0"/>
              <w:snapToGrid w:val="0"/>
              <w:ind w:firstLine="0" w:firstLineChars="0"/>
              <w:jc w:val="center"/>
              <w:rPr>
                <w:rFonts w:ascii="宋体" w:hAnsi="宋体" w:cs="宋体"/>
                <w:color w:val="000000"/>
                <w:szCs w:val="24"/>
              </w:rPr>
            </w:pPr>
          </w:p>
        </w:tc>
        <w:tc>
          <w:tcPr>
            <w:tcW w:w="1344" w:type="dxa"/>
            <w:vAlign w:val="center"/>
          </w:tcPr>
          <w:p>
            <w:pPr>
              <w:widowControl/>
              <w:adjustRightInd w:val="0"/>
              <w:snapToGrid w:val="0"/>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全域空气质量预测</w:t>
            </w:r>
          </w:p>
        </w:tc>
        <w:tc>
          <w:tcPr>
            <w:tcW w:w="3035" w:type="dxa"/>
            <w:vAlign w:val="center"/>
          </w:tcPr>
          <w:p>
            <w:pPr>
              <w:widowControl/>
              <w:adjustRightInd w:val="0"/>
              <w:snapToGrid w:val="0"/>
              <w:ind w:firstLine="0" w:firstLineChars="0"/>
              <w:textAlignment w:val="center"/>
              <w:rPr>
                <w:rFonts w:ascii="宋体" w:hAnsi="宋体" w:cs="宋体"/>
                <w:color w:val="000000"/>
                <w:szCs w:val="24"/>
              </w:rPr>
            </w:pPr>
            <w:r>
              <w:rPr>
                <w:rStyle w:val="54"/>
                <w:rFonts w:hint="default"/>
                <w:sz w:val="24"/>
                <w:szCs w:val="24"/>
                <w:lang w:bidi="ar"/>
              </w:rPr>
              <w:t>系统支持实现成都市“6+1”</w:t>
            </w:r>
            <w:r>
              <w:rPr>
                <w:rStyle w:val="54"/>
                <w:rFonts w:hint="eastAsia"/>
                <w:sz w:val="24"/>
                <w:szCs w:val="24"/>
                <w:lang w:eastAsia="zh-CN" w:bidi="ar"/>
              </w:rPr>
              <w:t>目标区域</w:t>
            </w:r>
            <w:r>
              <w:rPr>
                <w:rStyle w:val="65"/>
                <w:rFonts w:hint="default" w:ascii="宋体" w:hAnsi="宋体" w:eastAsia="宋体" w:cs="宋体"/>
                <w:b w:val="0"/>
                <w:bCs w:val="0"/>
                <w:sz w:val="24"/>
                <w:szCs w:val="24"/>
                <w:lang w:bidi="ar"/>
              </w:rPr>
              <w:t>整体</w:t>
            </w:r>
            <w:r>
              <w:rPr>
                <w:rStyle w:val="115"/>
                <w:rFonts w:hint="default"/>
                <w:sz w:val="24"/>
                <w:szCs w:val="24"/>
                <w:lang w:bidi="ar"/>
              </w:rPr>
              <w:t>6+1</w:t>
            </w:r>
            <w:r>
              <w:rPr>
                <w:rStyle w:val="65"/>
                <w:rFonts w:hint="default" w:ascii="宋体" w:hAnsi="宋体" w:eastAsia="宋体" w:cs="宋体"/>
                <w:b w:val="0"/>
                <w:bCs w:val="0"/>
                <w:sz w:val="24"/>
                <w:szCs w:val="24"/>
                <w:lang w:bidi="ar"/>
              </w:rPr>
              <w:t>参数（</w:t>
            </w:r>
            <w:r>
              <w:rPr>
                <w:rStyle w:val="115"/>
                <w:rFonts w:hint="default"/>
                <w:sz w:val="24"/>
                <w:szCs w:val="24"/>
                <w:lang w:bidi="ar"/>
              </w:rPr>
              <w:t>AQI</w:t>
            </w:r>
            <w:r>
              <w:rPr>
                <w:rStyle w:val="65"/>
                <w:rFonts w:hint="default" w:ascii="宋体" w:hAnsi="宋体" w:eastAsia="宋体" w:cs="宋体"/>
                <w:b w:val="0"/>
                <w:bCs w:val="0"/>
                <w:sz w:val="24"/>
                <w:szCs w:val="24"/>
                <w:lang w:bidi="ar"/>
              </w:rPr>
              <w:t>、</w:t>
            </w:r>
            <w:r>
              <w:rPr>
                <w:rStyle w:val="115"/>
                <w:rFonts w:hint="default"/>
                <w:sz w:val="24"/>
                <w:szCs w:val="24"/>
                <w:lang w:bidi="ar"/>
              </w:rPr>
              <w:t>PM2.5</w:t>
            </w:r>
            <w:r>
              <w:rPr>
                <w:rStyle w:val="65"/>
                <w:rFonts w:hint="default" w:ascii="宋体" w:hAnsi="宋体" w:eastAsia="宋体" w:cs="宋体"/>
                <w:b w:val="0"/>
                <w:bCs w:val="0"/>
                <w:sz w:val="24"/>
                <w:szCs w:val="24"/>
                <w:lang w:bidi="ar"/>
              </w:rPr>
              <w:t>、</w:t>
            </w:r>
            <w:r>
              <w:rPr>
                <w:rStyle w:val="115"/>
                <w:rFonts w:hint="default"/>
                <w:sz w:val="24"/>
                <w:szCs w:val="24"/>
                <w:lang w:bidi="ar"/>
              </w:rPr>
              <w:t>PM10</w:t>
            </w:r>
            <w:r>
              <w:rPr>
                <w:rStyle w:val="65"/>
                <w:rFonts w:hint="default" w:ascii="宋体" w:hAnsi="宋体" w:eastAsia="宋体" w:cs="宋体"/>
                <w:b w:val="0"/>
                <w:bCs w:val="0"/>
                <w:sz w:val="24"/>
                <w:szCs w:val="24"/>
                <w:lang w:bidi="ar"/>
              </w:rPr>
              <w:t>、</w:t>
            </w:r>
            <w:r>
              <w:rPr>
                <w:rStyle w:val="115"/>
                <w:rFonts w:hint="default"/>
                <w:sz w:val="24"/>
                <w:szCs w:val="24"/>
                <w:lang w:bidi="ar"/>
              </w:rPr>
              <w:t>SO2</w:t>
            </w:r>
            <w:r>
              <w:rPr>
                <w:rStyle w:val="65"/>
                <w:rFonts w:hint="default" w:ascii="宋体" w:hAnsi="宋体" w:eastAsia="宋体" w:cs="宋体"/>
                <w:b w:val="0"/>
                <w:bCs w:val="0"/>
                <w:sz w:val="24"/>
                <w:szCs w:val="24"/>
                <w:lang w:bidi="ar"/>
              </w:rPr>
              <w:t>、</w:t>
            </w:r>
            <w:r>
              <w:rPr>
                <w:rStyle w:val="115"/>
                <w:rFonts w:hint="default"/>
                <w:sz w:val="24"/>
                <w:szCs w:val="24"/>
                <w:lang w:bidi="ar"/>
              </w:rPr>
              <w:t>NO2</w:t>
            </w:r>
            <w:r>
              <w:rPr>
                <w:rStyle w:val="65"/>
                <w:rFonts w:hint="default" w:ascii="宋体" w:hAnsi="宋体" w:eastAsia="宋体" w:cs="宋体"/>
                <w:b w:val="0"/>
                <w:bCs w:val="0"/>
                <w:sz w:val="24"/>
                <w:szCs w:val="24"/>
                <w:lang w:bidi="ar"/>
              </w:rPr>
              <w:t>、</w:t>
            </w:r>
            <w:r>
              <w:rPr>
                <w:rStyle w:val="115"/>
                <w:rFonts w:hint="default"/>
                <w:sz w:val="24"/>
                <w:szCs w:val="24"/>
                <w:lang w:bidi="ar"/>
              </w:rPr>
              <w:t>CO</w:t>
            </w:r>
            <w:r>
              <w:rPr>
                <w:rStyle w:val="65"/>
                <w:rFonts w:hint="default" w:ascii="宋体" w:hAnsi="宋体" w:eastAsia="宋体" w:cs="宋体"/>
                <w:b w:val="0"/>
                <w:bCs w:val="0"/>
                <w:sz w:val="24"/>
                <w:szCs w:val="24"/>
                <w:lang w:bidi="ar"/>
              </w:rPr>
              <w:t>、</w:t>
            </w:r>
            <w:r>
              <w:rPr>
                <w:rStyle w:val="115"/>
                <w:rFonts w:hint="default"/>
                <w:sz w:val="24"/>
                <w:szCs w:val="24"/>
                <w:lang w:bidi="ar"/>
              </w:rPr>
              <w:t>O3</w:t>
            </w:r>
            <w:r>
              <w:rPr>
                <w:rStyle w:val="65"/>
                <w:rFonts w:hint="default" w:ascii="宋体" w:hAnsi="宋体" w:eastAsia="宋体" w:cs="宋体"/>
                <w:b w:val="0"/>
                <w:bCs w:val="0"/>
                <w:sz w:val="24"/>
                <w:szCs w:val="24"/>
                <w:lang w:bidi="ar"/>
              </w:rPr>
              <w:t>）未来两天逐日预测结果</w:t>
            </w:r>
            <w:r>
              <w:rPr>
                <w:rStyle w:val="54"/>
                <w:rFonts w:hint="default"/>
                <w:sz w:val="24"/>
                <w:szCs w:val="24"/>
                <w:lang w:bidi="ar"/>
              </w:rPr>
              <w:t>（预测准确度</w:t>
            </w:r>
            <w:r>
              <w:rPr>
                <w:rStyle w:val="65"/>
                <w:rFonts w:hint="default" w:ascii="宋体" w:hAnsi="宋体" w:eastAsia="宋体" w:cs="宋体"/>
                <w:b w:val="0"/>
                <w:bCs w:val="0"/>
                <w:sz w:val="24"/>
                <w:szCs w:val="24"/>
                <w:lang w:bidi="ar"/>
              </w:rPr>
              <w:t>不低于</w:t>
            </w:r>
            <w:r>
              <w:rPr>
                <w:rStyle w:val="115"/>
                <w:sz w:val="24"/>
                <w:szCs w:val="24"/>
                <w:lang w:bidi="ar"/>
              </w:rPr>
              <w:t>65</w:t>
            </w:r>
            <w:r>
              <w:rPr>
                <w:rStyle w:val="115"/>
                <w:rFonts w:hint="default"/>
                <w:sz w:val="24"/>
                <w:szCs w:val="24"/>
                <w:lang w:bidi="ar"/>
              </w:rPr>
              <w:t>%</w:t>
            </w:r>
            <w:r>
              <w:rPr>
                <w:rStyle w:val="54"/>
                <w:rFonts w:hint="default"/>
                <w:sz w:val="24"/>
                <w:szCs w:val="24"/>
                <w:lang w:bidi="ar"/>
              </w:rPr>
              <w:t>）。</w:t>
            </w:r>
          </w:p>
        </w:tc>
        <w:tc>
          <w:tcPr>
            <w:tcW w:w="2784" w:type="dxa"/>
            <w:vMerge w:val="continue"/>
            <w:vAlign w:val="center"/>
          </w:tcPr>
          <w:p>
            <w:pPr>
              <w:adjustRightInd w:val="0"/>
              <w:snapToGrid w:val="0"/>
              <w:ind w:firstLine="0" w:firstLineChars="0"/>
              <w:rPr>
                <w:rFonts w:ascii="宋体" w:hAnsi="宋体" w:cs="宋体"/>
                <w:color w:val="000000"/>
                <w:szCs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9288" w:type="dxa"/>
            <w:gridSpan w:val="5"/>
            <w:vAlign w:val="center"/>
          </w:tcPr>
          <w:p>
            <w:pPr>
              <w:widowControl/>
              <w:adjustRightInd w:val="0"/>
              <w:snapToGrid w:val="0"/>
              <w:ind w:firstLine="0" w:firstLineChars="0"/>
              <w:textAlignment w:val="center"/>
              <w:rPr>
                <w:rFonts w:ascii="宋体" w:hAnsi="宋体" w:cs="宋体"/>
                <w:color w:val="000000"/>
                <w:kern w:val="0"/>
                <w:szCs w:val="24"/>
                <w:lang w:bidi="ar"/>
              </w:rPr>
            </w:pPr>
            <w:r>
              <w:rPr>
                <w:rFonts w:hint="eastAsia" w:ascii="宋体" w:hAnsi="宋体" w:cs="宋体"/>
                <w:color w:val="000000"/>
                <w:kern w:val="0"/>
                <w:szCs w:val="24"/>
                <w:lang w:bidi="ar"/>
              </w:rPr>
              <w:t>评分付款规则：以上计分规则用于采购人对成都市</w:t>
            </w:r>
            <w:r>
              <w:rPr>
                <w:rFonts w:hint="eastAsia" w:ascii="宋体" w:hAnsi="宋体" w:cs="宋体"/>
                <w:color w:val="000000"/>
                <w:kern w:val="0"/>
                <w:szCs w:val="24"/>
                <w:lang w:eastAsia="zh-CN" w:bidi="ar"/>
              </w:rPr>
              <w:t>“</w:t>
            </w:r>
            <w:r>
              <w:rPr>
                <w:rFonts w:hint="eastAsia" w:ascii="宋体" w:hAnsi="宋体" w:cs="宋体"/>
                <w:color w:val="000000"/>
                <w:kern w:val="0"/>
                <w:szCs w:val="24"/>
                <w:lang w:bidi="ar"/>
              </w:rPr>
              <w:t>6+1</w:t>
            </w:r>
            <w:r>
              <w:rPr>
                <w:rFonts w:hint="eastAsia" w:ascii="宋体" w:hAnsi="宋体" w:cs="宋体"/>
                <w:color w:val="000000"/>
                <w:kern w:val="0"/>
                <w:szCs w:val="24"/>
                <w:lang w:eastAsia="zh-CN" w:bidi="ar"/>
              </w:rPr>
              <w:t>”</w:t>
            </w:r>
            <w:r>
              <w:rPr>
                <w:rFonts w:hint="eastAsia" w:ascii="宋体" w:hAnsi="宋体" w:cs="宋体"/>
                <w:color w:val="000000"/>
                <w:kern w:val="0"/>
                <w:szCs w:val="24"/>
                <w:lang w:bidi="ar"/>
              </w:rPr>
              <w:t>区域智能化服务采购项目的服务质量进行评价，以季度为服务期限，对服务期内输出内容进行验收并支付相应款项。得分达85分及以上，服务质量为优秀，采购人需全额支付相应服务费用；得分达70分及以上，服务质量为良好，采购人可选择支付相应期限服务费用的85%；得分达60分及以上，服务质量为合格，采购人可选择支付相应期限服务费用的75%；得分不足60分，服务质量为不合格，采购人可选择支付相应期限服务费用的60%。</w:t>
            </w:r>
          </w:p>
          <w:p>
            <w:pPr>
              <w:widowControl/>
              <w:adjustRightInd w:val="0"/>
              <w:snapToGrid w:val="0"/>
              <w:ind w:firstLine="0" w:firstLineChars="0"/>
              <w:textAlignment w:val="center"/>
              <w:rPr>
                <w:rFonts w:ascii="宋体" w:hAnsi="宋体" w:cs="宋体"/>
                <w:color w:val="000000"/>
                <w:szCs w:val="24"/>
              </w:rPr>
            </w:pPr>
            <w:r>
              <w:rPr>
                <w:rFonts w:hint="eastAsia" w:ascii="宋体" w:hAnsi="宋体" w:cs="宋体"/>
                <w:color w:val="000000"/>
                <w:szCs w:val="24"/>
              </w:rPr>
              <w:t>同时以上分数可用于次年服务合同的续约，得分超过60分，则自动续签次年服务合同。</w:t>
            </w:r>
          </w:p>
        </w:tc>
      </w:tr>
    </w:tbl>
    <w:p>
      <w:pPr>
        <w:pStyle w:val="6"/>
        <w:spacing w:line="460" w:lineRule="exact"/>
        <w:ind w:left="247" w:leftChars="0" w:firstLine="506" w:firstLineChars="0"/>
        <w:rPr>
          <w:rFonts w:hint="eastAsia" w:cs="宋体"/>
          <w:color w:val="auto"/>
          <w:szCs w:val="24"/>
        </w:rPr>
      </w:pPr>
      <w:r>
        <w:rPr>
          <w:rFonts w:hint="eastAsia" w:cs="宋体"/>
          <w:color w:val="auto"/>
          <w:szCs w:val="24"/>
        </w:rPr>
        <w:t>★最高限价</w:t>
      </w:r>
    </w:p>
    <w:p>
      <w:pPr>
        <w:pStyle w:val="6"/>
        <w:numPr>
          <w:ilvl w:val="0"/>
          <w:numId w:val="0"/>
        </w:numPr>
        <w:spacing w:line="460" w:lineRule="exact"/>
        <w:ind w:firstLine="502" w:firstLineChars="200"/>
        <w:rPr>
          <w:rFonts w:hint="eastAsia" w:cs="宋体"/>
          <w:color w:val="auto"/>
          <w:szCs w:val="24"/>
        </w:rPr>
      </w:pPr>
      <w:r>
        <w:rPr>
          <w:rFonts w:hint="eastAsia" w:cs="宋体"/>
          <w:color w:val="auto"/>
          <w:szCs w:val="24"/>
        </w:rPr>
        <w:t>本项目投标报价最高限价为</w:t>
      </w:r>
      <w:r>
        <w:rPr>
          <w:rFonts w:hint="eastAsia" w:cs="宋体"/>
          <w:color w:val="auto"/>
          <w:szCs w:val="24"/>
          <w:lang w:val="en-US" w:eastAsia="zh-CN"/>
        </w:rPr>
        <w:t>1437.5</w:t>
      </w:r>
      <w:r>
        <w:rPr>
          <w:rFonts w:hint="eastAsia" w:cs="宋体"/>
          <w:color w:val="auto"/>
          <w:szCs w:val="24"/>
        </w:rPr>
        <w:t xml:space="preserve">万元/年,投标人投标报价高于最高限价的，其投标文件将按无效投标文件处理。 </w:t>
      </w:r>
    </w:p>
    <w:p>
      <w:pPr>
        <w:pStyle w:val="2"/>
        <w:spacing w:line="460" w:lineRule="exact"/>
        <w:ind w:firstLine="506"/>
        <w:rPr>
          <w:rFonts w:hint="eastAsia" w:ascii="宋体" w:hAnsi="宋体" w:cs="宋体"/>
          <w:b/>
          <w:kern w:val="0"/>
          <w:szCs w:val="24"/>
        </w:rPr>
      </w:pPr>
    </w:p>
    <w:p>
      <w:pPr>
        <w:pStyle w:val="5"/>
        <w:tabs>
          <w:tab w:val="left" w:pos="426"/>
          <w:tab w:val="left" w:pos="567"/>
        </w:tabs>
        <w:rPr>
          <w:rFonts w:hint="eastAsia" w:ascii="宋体" w:hAnsi="宋体" w:cs="宋体"/>
          <w:b/>
          <w:kern w:val="0"/>
          <w:sz w:val="24"/>
          <w:szCs w:val="22"/>
        </w:rPr>
      </w:pPr>
      <w:r>
        <w:rPr>
          <w:rFonts w:hint="eastAsia" w:cs="宋体"/>
          <w:b/>
          <w:kern w:val="0"/>
          <w:sz w:val="24"/>
          <w:szCs w:val="22"/>
          <w:lang w:val="en-US" w:eastAsia="zh-CN"/>
        </w:rPr>
        <w:t>落实政府采购政策要求</w:t>
      </w:r>
    </w:p>
    <w:p>
      <w:pPr>
        <w:pStyle w:val="6"/>
        <w:bidi w:val="0"/>
        <w:ind w:left="247" w:leftChars="0" w:firstLine="496" w:firstLineChars="0"/>
        <w:rPr>
          <w:rFonts w:hint="eastAsia" w:ascii="宋体" w:hAnsi="宋体" w:eastAsia="宋体" w:cs="宋体"/>
          <w:szCs w:val="24"/>
        </w:rPr>
      </w:pPr>
      <w:r>
        <w:rPr>
          <w:rFonts w:hint="eastAsia" w:ascii="宋体" w:hAnsi="宋体" w:eastAsia="宋体" w:cs="宋体"/>
          <w:b w:val="0"/>
          <w:bCs w:val="0"/>
        </w:rPr>
        <w:t>★</w:t>
      </w:r>
      <w:r>
        <w:rPr>
          <w:rFonts w:hint="eastAsia" w:ascii="宋体" w:hAnsi="宋体" w:eastAsia="宋体" w:cs="宋体"/>
          <w:b w:val="0"/>
          <w:bCs w:val="0"/>
          <w:sz w:val="24"/>
          <w:szCs w:val="24"/>
          <w:lang w:val="en-US" w:eastAsia="zh-CN"/>
        </w:rPr>
        <w:t>投标人</w:t>
      </w:r>
      <w:r>
        <w:rPr>
          <w:rFonts w:hint="eastAsia" w:ascii="宋体" w:hAnsi="宋体" w:eastAsia="宋体" w:cs="宋体"/>
          <w:b w:val="0"/>
          <w:bCs w:val="0"/>
          <w:sz w:val="24"/>
          <w:szCs w:val="24"/>
        </w:rPr>
        <w:t>为</w:t>
      </w:r>
      <w:r>
        <w:rPr>
          <w:rFonts w:hint="eastAsia" w:ascii="宋体" w:hAnsi="宋体" w:eastAsia="宋体" w:cs="宋体"/>
          <w:b w:val="0"/>
          <w:bCs w:val="0"/>
          <w:sz w:val="24"/>
          <w:szCs w:val="24"/>
          <w:lang w:val="en-US" w:eastAsia="zh-CN"/>
        </w:rPr>
        <w:t>完成</w:t>
      </w:r>
      <w:r>
        <w:rPr>
          <w:rFonts w:hint="eastAsia" w:ascii="宋体" w:hAnsi="宋体" w:eastAsia="宋体" w:cs="宋体"/>
          <w:b w:val="0"/>
          <w:bCs w:val="0"/>
          <w:sz w:val="24"/>
          <w:szCs w:val="24"/>
        </w:rPr>
        <w:t>本项目</w:t>
      </w:r>
      <w:r>
        <w:rPr>
          <w:rFonts w:hint="eastAsia" w:ascii="宋体" w:hAnsi="宋体" w:eastAsia="宋体" w:cs="宋体"/>
          <w:b w:val="0"/>
          <w:bCs w:val="0"/>
          <w:sz w:val="24"/>
          <w:szCs w:val="24"/>
          <w:lang w:val="en-US" w:eastAsia="zh-CN"/>
        </w:rPr>
        <w:t>服务配套的设备</w:t>
      </w:r>
      <w:r>
        <w:rPr>
          <w:rFonts w:hint="eastAsia" w:ascii="宋体" w:hAnsi="宋体" w:eastAsia="宋体" w:cs="宋体"/>
          <w:b w:val="0"/>
          <w:bCs w:val="0"/>
          <w:sz w:val="24"/>
          <w:szCs w:val="24"/>
        </w:rPr>
        <w:t>中</w:t>
      </w:r>
      <w:r>
        <w:rPr>
          <w:rFonts w:hint="eastAsia" w:ascii="宋体" w:hAnsi="宋体" w:eastAsia="宋体" w:cs="宋体"/>
          <w:b/>
          <w:bCs/>
          <w:sz w:val="24"/>
          <w:szCs w:val="24"/>
          <w:lang w:val="en-US" w:eastAsia="zh-CN"/>
        </w:rPr>
        <w:t>若涉及</w:t>
      </w:r>
      <w:r>
        <w:rPr>
          <w:rFonts w:hint="eastAsia" w:ascii="宋体" w:hAnsi="宋体" w:eastAsia="宋体" w:cs="宋体"/>
          <w:b w:val="0"/>
          <w:bCs w:val="0"/>
          <w:sz w:val="24"/>
          <w:szCs w:val="24"/>
          <w:lang w:val="en-US" w:eastAsia="zh-CN"/>
        </w:rPr>
        <w:t>国家强制认证（CCC）产品的，</w:t>
      </w:r>
      <w:r>
        <w:rPr>
          <w:rFonts w:hint="eastAsia" w:ascii="宋体" w:hAnsi="宋体" w:eastAsia="宋体" w:cs="宋体"/>
          <w:b w:val="0"/>
          <w:bCs w:val="0"/>
          <w:sz w:val="24"/>
          <w:szCs w:val="24"/>
        </w:rPr>
        <w:t>投标人应在投标文件中提供符合国家强制认证（CCC）或前置许可、认证的证明材料复印件或承诺函原件（加盖投标人公章），否则不予认定。</w:t>
      </w:r>
    </w:p>
    <w:p>
      <w:pPr>
        <w:pStyle w:val="6"/>
        <w:bidi w:val="0"/>
        <w:ind w:left="247" w:leftChars="0" w:firstLine="496" w:firstLineChars="0"/>
        <w:rPr>
          <w:rFonts w:hint="eastAsia" w:ascii="宋体" w:hAnsi="宋体" w:eastAsia="宋体" w:cs="宋体"/>
        </w:rPr>
      </w:pPr>
      <w:r>
        <w:rPr>
          <w:rFonts w:hint="eastAsia" w:ascii="宋体" w:hAnsi="宋体" w:eastAsia="宋体" w:cs="宋体"/>
          <w:b w:val="0"/>
          <w:bCs w:val="0"/>
        </w:rPr>
        <w:t>★</w:t>
      </w:r>
      <w:r>
        <w:rPr>
          <w:rFonts w:hint="eastAsia" w:ascii="宋体" w:hAnsi="宋体" w:eastAsia="宋体" w:cs="宋体"/>
          <w:b w:val="0"/>
          <w:bCs w:val="0"/>
          <w:sz w:val="24"/>
          <w:szCs w:val="24"/>
          <w:lang w:val="en-US" w:eastAsia="zh-CN"/>
        </w:rPr>
        <w:t>投标人</w:t>
      </w:r>
      <w:r>
        <w:rPr>
          <w:rFonts w:hint="eastAsia" w:ascii="宋体" w:hAnsi="宋体" w:eastAsia="宋体" w:cs="宋体"/>
          <w:b w:val="0"/>
          <w:bCs w:val="0"/>
          <w:sz w:val="24"/>
          <w:szCs w:val="24"/>
        </w:rPr>
        <w:t>为</w:t>
      </w:r>
      <w:r>
        <w:rPr>
          <w:rFonts w:hint="eastAsia" w:ascii="宋体" w:hAnsi="宋体" w:eastAsia="宋体" w:cs="宋体"/>
          <w:b w:val="0"/>
          <w:bCs w:val="0"/>
          <w:sz w:val="24"/>
          <w:szCs w:val="24"/>
          <w:lang w:val="en-US" w:eastAsia="zh-CN"/>
        </w:rPr>
        <w:t>完成</w:t>
      </w:r>
      <w:r>
        <w:rPr>
          <w:rFonts w:hint="eastAsia" w:ascii="宋体" w:hAnsi="宋体" w:eastAsia="宋体" w:cs="宋体"/>
          <w:b w:val="0"/>
          <w:bCs w:val="0"/>
          <w:sz w:val="24"/>
          <w:szCs w:val="24"/>
        </w:rPr>
        <w:t>本项目</w:t>
      </w:r>
      <w:r>
        <w:rPr>
          <w:rFonts w:hint="eastAsia" w:ascii="宋体" w:hAnsi="宋体" w:eastAsia="宋体" w:cs="宋体"/>
          <w:b w:val="0"/>
          <w:bCs w:val="0"/>
          <w:sz w:val="24"/>
          <w:szCs w:val="24"/>
          <w:lang w:val="en-US" w:eastAsia="zh-CN"/>
        </w:rPr>
        <w:t>服务配套的设备中</w:t>
      </w:r>
      <w:r>
        <w:rPr>
          <w:rFonts w:hint="eastAsia" w:ascii="宋体" w:hAnsi="宋体" w:eastAsia="宋体" w:cs="宋体"/>
          <w:b/>
          <w:bCs/>
          <w:sz w:val="24"/>
          <w:szCs w:val="24"/>
          <w:lang w:val="en-US" w:eastAsia="zh-CN"/>
        </w:rPr>
        <w:t>若涉及</w:t>
      </w:r>
      <w:r>
        <w:rPr>
          <w:rFonts w:hint="eastAsia" w:ascii="宋体" w:hAnsi="宋体" w:eastAsia="宋体" w:cs="宋体"/>
          <w:b w:val="0"/>
          <w:bCs w:val="0"/>
          <w:sz w:val="24"/>
          <w:szCs w:val="24"/>
          <w:lang w:val="en-US" w:eastAsia="zh-CN"/>
        </w:rPr>
        <w:t>强制采购节能产品的，投标人应在投标文件中提供国家确定的认证机构出具的、处于有效期之内的节能、环境标志产品认证证书复印件。</w:t>
      </w:r>
    </w:p>
    <w:p>
      <w:pPr>
        <w:pStyle w:val="6"/>
        <w:bidi w:val="0"/>
        <w:ind w:left="247" w:leftChars="0" w:firstLine="496" w:firstLineChars="0"/>
        <w:rPr>
          <w:rFonts w:hint="eastAsia"/>
        </w:rPr>
      </w:pPr>
      <w:r>
        <w:rPr>
          <w:rFonts w:hint="eastAsia" w:ascii="宋体" w:hAnsi="宋体" w:eastAsia="宋体" w:cs="宋体"/>
          <w:b w:val="0"/>
          <w:bCs w:val="0"/>
        </w:rPr>
        <w:t>★</w:t>
      </w:r>
      <w:r>
        <w:rPr>
          <w:rFonts w:hint="eastAsia" w:ascii="宋体" w:hAnsi="宋体" w:eastAsia="宋体" w:cs="宋体"/>
          <w:b w:val="0"/>
          <w:bCs w:val="0"/>
          <w:lang w:val="en-US" w:eastAsia="zh-CN"/>
        </w:rPr>
        <w:t>投标人</w:t>
      </w:r>
      <w:r>
        <w:rPr>
          <w:rFonts w:hint="eastAsia" w:ascii="宋体" w:hAnsi="宋体" w:eastAsia="宋体" w:cs="宋体"/>
          <w:b w:val="0"/>
          <w:bCs w:val="0"/>
        </w:rPr>
        <w:t>为本项目实施涉及的商品包装和快递包装，均符合财政部等三部门联合印发商品包装和快递包装政府采购需求标准（试行）（财办库[2020]123号）的要求。</w:t>
      </w:r>
      <w:r>
        <w:rPr>
          <w:rFonts w:hint="eastAsia" w:ascii="宋体" w:hAnsi="宋体" w:eastAsia="宋体" w:cs="宋体"/>
          <w:b/>
          <w:bCs/>
          <w:szCs w:val="24"/>
        </w:rPr>
        <w:t>（提供承诺函原件，加盖投标人公章。）</w:t>
      </w:r>
    </w:p>
    <w:p>
      <w:pPr>
        <w:rPr>
          <w:rFonts w:hint="eastAsia"/>
        </w:rPr>
      </w:pPr>
    </w:p>
    <w:p>
      <w:pPr>
        <w:pStyle w:val="2"/>
        <w:spacing w:line="460" w:lineRule="exact"/>
        <w:ind w:firstLine="506"/>
      </w:pPr>
      <w:r>
        <w:rPr>
          <w:rFonts w:hint="eastAsia" w:ascii="宋体" w:hAnsi="宋体" w:cs="宋体"/>
          <w:b/>
          <w:kern w:val="0"/>
          <w:szCs w:val="24"/>
        </w:rPr>
        <w:t>注：本章加★条款为符合性审查内容，未响应或不满足的做无效投标处理。</w:t>
      </w:r>
      <w:r>
        <w:rPr>
          <w:rFonts w:hint="eastAsia"/>
        </w:rPr>
        <w:br w:type="page"/>
      </w:r>
      <w:bookmarkEnd w:id="254"/>
      <w:bookmarkEnd w:id="255"/>
    </w:p>
    <w:p>
      <w:pPr>
        <w:pStyle w:val="4"/>
        <w:spacing w:before="0" w:after="0" w:line="240" w:lineRule="auto"/>
      </w:pPr>
      <w:bookmarkStart w:id="268" w:name="_Toc20840"/>
      <w:bookmarkStart w:id="269" w:name="_Toc12806"/>
      <w:bookmarkStart w:id="270" w:name="_Toc13515"/>
      <w:r>
        <w:rPr>
          <w:rFonts w:hint="eastAsia"/>
        </w:rPr>
        <w:t>资格性审查</w:t>
      </w:r>
      <w:bookmarkEnd w:id="268"/>
      <w:bookmarkEnd w:id="269"/>
      <w:bookmarkEnd w:id="270"/>
    </w:p>
    <w:p>
      <w:pPr>
        <w:tabs>
          <w:tab w:val="left" w:pos="851"/>
        </w:tabs>
        <w:ind w:firstLine="504"/>
        <w:rPr>
          <w:rFonts w:ascii="宋体" w:hAnsi="宋体"/>
          <w:szCs w:val="24"/>
        </w:rPr>
      </w:pPr>
      <w:r>
        <w:rPr>
          <w:rFonts w:hint="eastAsia" w:ascii="宋体" w:hAnsi="宋体"/>
          <w:szCs w:val="24"/>
        </w:rPr>
        <w:t>资格性审查由采购人或采购代理机构依据法律法规和招标文件的规定，对投标文件中的资格证明等进行审查，以确定投标人是否具备投标资格，并填写资格审查表。资格性审查时因断电、断网、系统故障或其他不可抗力等因素，导致资格审查小组无法通过系统阅读投标文件进行审查的，待系统恢复后继续审查。</w:t>
      </w:r>
    </w:p>
    <w:p>
      <w:pPr>
        <w:tabs>
          <w:tab w:val="left" w:pos="851"/>
        </w:tabs>
        <w:ind w:firstLine="504"/>
        <w:rPr>
          <w:rFonts w:ascii="宋体" w:hAnsi="宋体"/>
          <w:szCs w:val="24"/>
        </w:rPr>
      </w:pPr>
      <w:r>
        <w:rPr>
          <w:rFonts w:hint="eastAsia" w:ascii="宋体" w:hAnsi="宋体"/>
          <w:szCs w:val="24"/>
        </w:rPr>
        <w:t>资格性审查标准见下表：</w:t>
      </w:r>
    </w:p>
    <w:tbl>
      <w:tblPr>
        <w:tblStyle w:val="43"/>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1814"/>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55" w:type="dxa"/>
            <w:gridSpan w:val="3"/>
            <w:noWrap w:val="0"/>
            <w:vAlign w:val="center"/>
          </w:tcPr>
          <w:p>
            <w:pPr>
              <w:widowControl/>
              <w:ind w:firstLine="0" w:firstLineChars="0"/>
              <w:jc w:val="center"/>
              <w:rPr>
                <w:rFonts w:ascii="宋体" w:hAnsi="宋体" w:cs="宋体"/>
                <w:b/>
                <w:bCs/>
                <w:kern w:val="0"/>
                <w:szCs w:val="24"/>
              </w:rPr>
            </w:pPr>
            <w:r>
              <w:rPr>
                <w:rFonts w:hint="eastAsia" w:ascii="宋体" w:hAnsi="宋体" w:cs="宋体"/>
                <w:b/>
                <w:bCs/>
                <w:kern w:val="0"/>
                <w:szCs w:val="24"/>
              </w:rPr>
              <w:t>资格性审查项</w:t>
            </w:r>
          </w:p>
        </w:tc>
        <w:tc>
          <w:tcPr>
            <w:tcW w:w="5642" w:type="dxa"/>
            <w:noWrap w:val="0"/>
            <w:vAlign w:val="center"/>
          </w:tcPr>
          <w:p>
            <w:pPr>
              <w:widowControl/>
              <w:ind w:firstLine="0" w:firstLineChars="0"/>
              <w:jc w:val="center"/>
              <w:rPr>
                <w:rFonts w:ascii="宋体" w:hAnsi="宋体" w:cs="宋体"/>
                <w:b/>
                <w:bCs/>
                <w:kern w:val="0"/>
                <w:szCs w:val="24"/>
              </w:rPr>
            </w:pPr>
            <w:r>
              <w:rPr>
                <w:rFonts w:hint="eastAsia" w:ascii="宋体" w:hAnsi="宋体" w:cs="宋体"/>
                <w:b/>
                <w:bCs/>
                <w:kern w:val="0"/>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1" w:hRule="atLeast"/>
        </w:trPr>
        <w:tc>
          <w:tcPr>
            <w:tcW w:w="1020" w:type="dxa"/>
            <w:vMerge w:val="restart"/>
            <w:noWrap w:val="0"/>
            <w:vAlign w:val="center"/>
          </w:tcPr>
          <w:p>
            <w:pPr>
              <w:ind w:firstLine="0" w:firstLineChars="0"/>
              <w:rPr>
                <w:rFonts w:ascii="宋体" w:hAnsi="宋体" w:cs="宋体"/>
                <w:bCs/>
                <w:kern w:val="0"/>
                <w:szCs w:val="24"/>
              </w:rPr>
            </w:pPr>
            <w:r>
              <w:rPr>
                <w:rFonts w:hint="eastAsia" w:ascii="宋体" w:hAnsi="宋体"/>
                <w:szCs w:val="24"/>
              </w:rPr>
              <w:t>（一）资格要求</w:t>
            </w:r>
            <w:r>
              <w:rPr>
                <w:rFonts w:hint="eastAsia" w:ascii="宋体" w:hAnsi="宋体" w:cs="宋体"/>
                <w:kern w:val="0"/>
                <w:szCs w:val="24"/>
              </w:rPr>
              <w:t>　</w:t>
            </w:r>
          </w:p>
        </w:tc>
        <w:tc>
          <w:tcPr>
            <w:tcW w:w="3135" w:type="dxa"/>
            <w:gridSpan w:val="2"/>
            <w:noWrap w:val="0"/>
            <w:vAlign w:val="center"/>
          </w:tcPr>
          <w:p>
            <w:pPr>
              <w:ind w:firstLine="0" w:firstLineChars="0"/>
              <w:rPr>
                <w:rFonts w:ascii="宋体" w:hAnsi="宋体" w:cs="宋体"/>
                <w:bCs/>
                <w:kern w:val="0"/>
                <w:szCs w:val="24"/>
              </w:rPr>
            </w:pPr>
            <w:r>
              <w:rPr>
                <w:rFonts w:hint="eastAsia" w:ascii="宋体" w:hAnsi="宋体"/>
                <w:szCs w:val="24"/>
              </w:rPr>
              <w:t>1、具有独立承担民事责任的能力</w:t>
            </w:r>
          </w:p>
        </w:tc>
        <w:tc>
          <w:tcPr>
            <w:tcW w:w="5642" w:type="dxa"/>
            <w:noWrap w:val="0"/>
            <w:vAlign w:val="center"/>
          </w:tcPr>
          <w:p>
            <w:pPr>
              <w:ind w:firstLine="0" w:firstLineChars="0"/>
              <w:rPr>
                <w:rFonts w:ascii="宋体" w:hAnsi="宋体" w:cs="宋体"/>
                <w:bCs/>
                <w:kern w:val="0"/>
                <w:szCs w:val="24"/>
              </w:rPr>
            </w:pPr>
            <w:r>
              <w:rPr>
                <w:rFonts w:hint="eastAsia" w:ascii="宋体" w:hAnsi="宋体" w:cs="宋体"/>
                <w:bCs/>
                <w:kern w:val="0"/>
                <w:szCs w:val="24"/>
              </w:rPr>
              <w:t>①投标人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w:t>
            </w:r>
            <w:r>
              <w:rPr>
                <w:rFonts w:hint="eastAsia" w:ascii="宋体" w:hAnsi="宋体" w:cs="宋体"/>
                <w:bCs/>
              </w:rPr>
              <w:t>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ind w:firstLine="0" w:firstLineChars="0"/>
              <w:rPr>
                <w:rFonts w:ascii="宋体" w:hAnsi="宋体"/>
                <w:szCs w:val="24"/>
              </w:rPr>
            </w:pPr>
            <w:r>
              <w:rPr>
                <w:rFonts w:hint="eastAsia" w:ascii="宋体" w:hAnsi="宋体"/>
                <w:szCs w:val="24"/>
              </w:rPr>
              <w:t>2、具有良好的商业信誉</w:t>
            </w:r>
          </w:p>
        </w:tc>
        <w:tc>
          <w:tcPr>
            <w:tcW w:w="5642" w:type="dxa"/>
            <w:vMerge w:val="restart"/>
            <w:noWrap w:val="0"/>
            <w:vAlign w:val="center"/>
          </w:tcPr>
          <w:p>
            <w:pPr>
              <w:widowControl/>
              <w:shd w:val="clear" w:color="auto" w:fill="FFFFFF"/>
              <w:ind w:firstLine="0" w:firstLineChars="0"/>
              <w:rPr>
                <w:rFonts w:hint="eastAsia"/>
                <w:color w:val="000000"/>
                <w:sz w:val="20"/>
              </w:rPr>
            </w:pPr>
            <w:r>
              <w:rPr>
                <w:rFonts w:hint="eastAsia" w:ascii="宋体" w:hAnsi="宋体" w:cs="宋体"/>
                <w:szCs w:val="24"/>
              </w:rPr>
              <w:t>（1）</w:t>
            </w:r>
            <w:r>
              <w:rPr>
                <w:rFonts w:hint="eastAsia" w:ascii="宋体" w:hAnsi="宋体"/>
                <w:szCs w:val="24"/>
              </w:rPr>
              <w:t>按第三章的格式及要求提供承诺函原件。</w:t>
            </w:r>
            <w:r>
              <w:rPr>
                <w:color w:val="000000"/>
                <w:sz w:val="20"/>
              </w:rPr>
              <w:t xml:space="preserve"> </w:t>
            </w:r>
          </w:p>
          <w:p>
            <w:pPr>
              <w:widowControl/>
              <w:shd w:val="clear" w:color="auto" w:fill="FFFFFF"/>
              <w:ind w:firstLine="0" w:firstLineChars="0"/>
              <w:rPr>
                <w:rFonts w:hint="eastAsia" w:ascii="宋体" w:hAnsi="宋体"/>
                <w:szCs w:val="24"/>
              </w:rPr>
            </w:pPr>
            <w:r>
              <w:rPr>
                <w:rFonts w:hint="eastAsia" w:ascii="宋体" w:hAnsi="宋体"/>
                <w:szCs w:val="24"/>
              </w:rPr>
              <w:t>（2）资格审查小组根据“信用中国”和“中国政府采购网”网站的查询结果，在资格审查期间对投标人：</w:t>
            </w:r>
            <w:r>
              <w:rPr>
                <w:rFonts w:ascii="宋体" w:hAnsi="宋体"/>
                <w:szCs w:val="24"/>
              </w:rPr>
              <w:t>①</w:t>
            </w:r>
            <w:r>
              <w:rPr>
                <w:rFonts w:hint="eastAsia" w:ascii="宋体" w:hAnsi="宋体"/>
                <w:szCs w:val="24"/>
              </w:rPr>
              <w:t>在参加政府采购活动前三年内，在经营活动中是否有重大违法记录进行审查；</w:t>
            </w:r>
            <w:r>
              <w:rPr>
                <w:rFonts w:ascii="宋体" w:hAnsi="宋体"/>
                <w:szCs w:val="24"/>
              </w:rPr>
              <w:t>②</w:t>
            </w:r>
            <w:r>
              <w:rPr>
                <w:rFonts w:hint="eastAsia" w:ascii="宋体" w:hAnsi="宋体"/>
                <w:szCs w:val="24"/>
              </w:rPr>
              <w:t>参加政府采购活动前三年内，在经营活动中是否被列入失信被执行人、重大税收违法案件当事人名单、政府采购严重违法失信行为记录名单进行审查。</w:t>
            </w:r>
          </w:p>
          <w:p>
            <w:pPr>
              <w:ind w:firstLine="0" w:firstLineChars="0"/>
              <w:rPr>
                <w:rFonts w:hint="eastAsia" w:ascii="宋体" w:hAnsi="宋体"/>
                <w:szCs w:val="24"/>
              </w:rPr>
            </w:pPr>
            <w:r>
              <w:rPr>
                <w:rFonts w:hint="eastAsia" w:ascii="宋体" w:hAnsi="宋体"/>
                <w:szCs w:val="24"/>
              </w:rPr>
              <w:t>（参加政府采购活动前三年内，在经营活动中是否有重大违法记录、列入失信被执行人、重大税收违法案件当事人名单、政府采购严重违法失信行为记录名单中的供应商资格审查不予通过。若因供应商为事业单位、团体组织、自然人等原因，在“信用中国”网站等渠道未查询到信息的，视为未被列入失信记录。“信用中国”和“中国政府采购网”网站查询结果，将以纸质截图或将截图保存至电子介质的形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widowControl/>
              <w:ind w:firstLine="0" w:firstLineChars="0"/>
              <w:rPr>
                <w:rFonts w:ascii="宋体" w:hAnsi="宋体" w:cs="宋体"/>
                <w:bCs/>
                <w:kern w:val="0"/>
                <w:szCs w:val="24"/>
              </w:rPr>
            </w:pPr>
            <w:r>
              <w:rPr>
                <w:rFonts w:hint="eastAsia" w:ascii="宋体" w:hAnsi="宋体"/>
                <w:szCs w:val="24"/>
              </w:rPr>
              <w:t>3、具有履行合同所必须的设备和专业技术能力</w:t>
            </w:r>
          </w:p>
        </w:tc>
        <w:tc>
          <w:tcPr>
            <w:tcW w:w="5642" w:type="dxa"/>
            <w:vMerge w:val="continue"/>
            <w:noWrap w:val="0"/>
            <w:vAlign w:val="center"/>
          </w:tcPr>
          <w:p>
            <w:pPr>
              <w:widowControl/>
              <w:ind w:firstLine="0" w:firstLineChars="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widowControl/>
              <w:ind w:firstLine="0" w:firstLineChars="0"/>
              <w:rPr>
                <w:rFonts w:ascii="宋体" w:hAnsi="宋体"/>
                <w:szCs w:val="24"/>
              </w:rPr>
            </w:pPr>
            <w:r>
              <w:rPr>
                <w:rFonts w:hint="eastAsia" w:ascii="宋体" w:hAnsi="宋体"/>
                <w:szCs w:val="24"/>
              </w:rPr>
              <w:t>4、参加政府采购活动前三年内，在经营活动中没有重大违法记录</w:t>
            </w:r>
          </w:p>
        </w:tc>
        <w:tc>
          <w:tcPr>
            <w:tcW w:w="5642" w:type="dxa"/>
            <w:vMerge w:val="continue"/>
            <w:noWrap w:val="0"/>
            <w:vAlign w:val="center"/>
          </w:tcPr>
          <w:p>
            <w:pPr>
              <w:widowControl/>
              <w:ind w:firstLine="0" w:firstLineChars="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ind w:firstLine="0" w:firstLineChars="0"/>
              <w:rPr>
                <w:rFonts w:ascii="宋体" w:hAnsi="宋体"/>
                <w:szCs w:val="24"/>
              </w:rPr>
            </w:pPr>
            <w:r>
              <w:rPr>
                <w:rFonts w:hint="eastAsia" w:ascii="宋体" w:hAnsi="宋体"/>
                <w:szCs w:val="24"/>
              </w:rPr>
              <w:t>5、在行贿犯罪信息查询期限内，投标人及其现任法定代表人、主要负责人无行贿犯罪记录</w:t>
            </w:r>
          </w:p>
        </w:tc>
        <w:tc>
          <w:tcPr>
            <w:tcW w:w="5642" w:type="dxa"/>
            <w:vMerge w:val="continue"/>
            <w:noWrap w:val="0"/>
            <w:vAlign w:val="center"/>
          </w:tcPr>
          <w:p>
            <w:pPr>
              <w:ind w:firstLine="0" w:firstLineChars="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shd w:val="clear" w:color="auto" w:fill="FFFFFF"/>
              <w:tabs>
                <w:tab w:val="left" w:pos="0"/>
              </w:tabs>
              <w:ind w:firstLine="0" w:firstLineChars="0"/>
              <w:rPr>
                <w:rFonts w:hint="eastAsia" w:ascii="宋体" w:hAnsi="宋体"/>
                <w:szCs w:val="24"/>
              </w:rPr>
            </w:pPr>
            <w:r>
              <w:rPr>
                <w:rFonts w:hint="eastAsia" w:ascii="宋体" w:hAnsi="宋体" w:cs="宋体"/>
                <w:szCs w:val="24"/>
              </w:rPr>
              <w:t>6、未被列入经营异常名录</w:t>
            </w:r>
          </w:p>
        </w:tc>
        <w:tc>
          <w:tcPr>
            <w:tcW w:w="5642" w:type="dxa"/>
            <w:vMerge w:val="continue"/>
            <w:noWrap w:val="0"/>
            <w:vAlign w:val="center"/>
          </w:tcPr>
          <w:p>
            <w:pPr>
              <w:ind w:firstLine="0" w:firstLineChars="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shd w:val="clear" w:color="auto" w:fill="FFFFFF"/>
              <w:tabs>
                <w:tab w:val="left" w:pos="0"/>
              </w:tabs>
              <w:ind w:firstLine="0" w:firstLineChars="0"/>
              <w:rPr>
                <w:rFonts w:hint="eastAsia" w:ascii="宋体" w:hAnsi="宋体"/>
                <w:szCs w:val="24"/>
              </w:rPr>
            </w:pPr>
            <w:r>
              <w:rPr>
                <w:rFonts w:hint="eastAsia" w:ascii="宋体" w:hAnsi="宋体" w:cs="宋体"/>
                <w:szCs w:val="24"/>
              </w:rPr>
              <w:t>7、未被列入失信被执行人、重大税收违法案件当事人名单、政府采购严重违法失信行为记录名单</w:t>
            </w:r>
          </w:p>
        </w:tc>
        <w:tc>
          <w:tcPr>
            <w:tcW w:w="5642" w:type="dxa"/>
            <w:vMerge w:val="continue"/>
            <w:noWrap w:val="0"/>
            <w:vAlign w:val="center"/>
          </w:tcPr>
          <w:p>
            <w:pPr>
              <w:ind w:firstLine="0" w:firstLineChars="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shd w:val="clear" w:color="auto" w:fill="FFFFFF"/>
              <w:tabs>
                <w:tab w:val="left" w:pos="0"/>
              </w:tabs>
              <w:ind w:firstLine="0" w:firstLineChars="0"/>
              <w:rPr>
                <w:rFonts w:hint="eastAsia" w:ascii="宋体" w:hAnsi="宋体" w:cs="宋体"/>
                <w:szCs w:val="24"/>
              </w:rPr>
            </w:pPr>
            <w:r>
              <w:rPr>
                <w:rFonts w:hint="eastAsia" w:ascii="宋体" w:hAnsi="宋体" w:cs="宋体"/>
              </w:rPr>
              <w:t>8、不属于其他国家相关法律法规规定的禁止参加投标的供应商</w:t>
            </w:r>
          </w:p>
        </w:tc>
        <w:tc>
          <w:tcPr>
            <w:tcW w:w="5642" w:type="dxa"/>
            <w:vMerge w:val="continue"/>
            <w:noWrap w:val="0"/>
            <w:vAlign w:val="center"/>
          </w:tcPr>
          <w:p>
            <w:pPr>
              <w:ind w:firstLine="0" w:firstLineChars="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widowControl/>
              <w:ind w:firstLine="0" w:firstLineChars="0"/>
              <w:rPr>
                <w:rFonts w:ascii="宋体" w:hAnsi="宋体"/>
                <w:szCs w:val="24"/>
              </w:rPr>
            </w:pPr>
            <w:r>
              <w:rPr>
                <w:rFonts w:hint="eastAsia" w:ascii="宋体" w:hAnsi="宋体"/>
                <w:szCs w:val="24"/>
              </w:rPr>
              <w:t>9、法律、行政法规规定的其他条件</w:t>
            </w:r>
          </w:p>
        </w:tc>
        <w:tc>
          <w:tcPr>
            <w:tcW w:w="5642" w:type="dxa"/>
            <w:vMerge w:val="continue"/>
            <w:noWrap w:val="0"/>
            <w:vAlign w:val="center"/>
          </w:tcPr>
          <w:p>
            <w:pPr>
              <w:widowControl/>
              <w:ind w:firstLine="0" w:firstLineChars="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20" w:type="dxa"/>
            <w:vMerge w:val="continue"/>
            <w:noWrap w:val="0"/>
            <w:vAlign w:val="center"/>
          </w:tcPr>
          <w:p>
            <w:pPr>
              <w:ind w:firstLine="0" w:firstLineChars="0"/>
              <w:rPr>
                <w:rFonts w:ascii="宋体" w:hAnsi="宋体" w:cs="宋体"/>
                <w:bCs/>
                <w:kern w:val="0"/>
                <w:szCs w:val="24"/>
              </w:rPr>
            </w:pPr>
          </w:p>
        </w:tc>
        <w:tc>
          <w:tcPr>
            <w:tcW w:w="3135" w:type="dxa"/>
            <w:gridSpan w:val="2"/>
            <w:noWrap w:val="0"/>
            <w:vAlign w:val="center"/>
          </w:tcPr>
          <w:p>
            <w:pPr>
              <w:widowControl/>
              <w:ind w:firstLine="0" w:firstLineChars="0"/>
              <w:rPr>
                <w:rFonts w:ascii="宋体" w:hAnsi="宋体"/>
                <w:szCs w:val="24"/>
              </w:rPr>
            </w:pPr>
            <w:r>
              <w:rPr>
                <w:rFonts w:hint="eastAsia" w:ascii="宋体" w:hAnsi="宋体"/>
                <w:szCs w:val="24"/>
              </w:rPr>
              <w:t>10、</w:t>
            </w:r>
            <w:r>
              <w:rPr>
                <w:rFonts w:hint="eastAsia" w:ascii="宋体" w:hAnsi="宋体" w:cs="宋体"/>
                <w:szCs w:val="24"/>
              </w:rPr>
              <w:t>健全的财务会计制度的证明材料</w:t>
            </w:r>
          </w:p>
        </w:tc>
        <w:tc>
          <w:tcPr>
            <w:tcW w:w="5642" w:type="dxa"/>
            <w:noWrap w:val="0"/>
            <w:vAlign w:val="center"/>
          </w:tcPr>
          <w:p>
            <w:pPr>
              <w:pStyle w:val="2"/>
              <w:spacing w:line="360" w:lineRule="auto"/>
              <w:ind w:firstLine="0" w:firstLineChars="0"/>
              <w:rPr>
                <w:rFonts w:ascii="宋体" w:hAnsi="宋体"/>
                <w:szCs w:val="24"/>
              </w:rPr>
            </w:pPr>
            <w:r>
              <w:rPr>
                <w:rFonts w:hint="eastAsia" w:ascii="宋体" w:hAnsi="宋体" w:cs="宋体"/>
                <w:szCs w:val="24"/>
              </w:rPr>
              <w:t>①可提供2019年度或2020年度经审计的财务报告复印件（包含审计报告和审计报告中所涉及的财务报表和报表附注），②也可提供2019年度或2020年度投标人内部的财务报表复印件（至少包含资产负债表），③也可提供截至投标文件递交截止日一年内银行出具的资信证明（复印件），④投标人注册时间截至投标文件递交截止日不足一年的，也可提供公司章程（复印件），</w:t>
            </w:r>
            <w:r>
              <w:rPr>
                <w:rFonts w:hint="eastAsia" w:ascii="宋体" w:hAnsi="宋体" w:cs="宋体"/>
                <w:szCs w:val="24"/>
              </w:rPr>
              <w:fldChar w:fldCharType="begin"/>
            </w:r>
            <w:r>
              <w:rPr>
                <w:rFonts w:hint="eastAsia" w:ascii="宋体" w:hAnsi="宋体" w:cs="宋体"/>
                <w:szCs w:val="24"/>
              </w:rPr>
              <w:instrText xml:space="preserve"> = 5 \* GB3 \* MERGEFORMAT </w:instrText>
            </w:r>
            <w:r>
              <w:rPr>
                <w:rFonts w:hint="eastAsia" w:ascii="宋体" w:hAnsi="宋体" w:cs="宋体"/>
                <w:szCs w:val="24"/>
              </w:rPr>
              <w:fldChar w:fldCharType="separate"/>
            </w:r>
            <w:r>
              <w:t>⑤</w:t>
            </w:r>
            <w:r>
              <w:rPr>
                <w:rFonts w:hint="eastAsia" w:ascii="宋体" w:hAnsi="宋体" w:cs="宋体"/>
                <w:szCs w:val="24"/>
              </w:rPr>
              <w:fldChar w:fldCharType="end"/>
            </w:r>
            <w:r>
              <w:rPr>
                <w:rFonts w:hint="eastAsia" w:ascii="宋体" w:hAnsi="宋体" w:cs="宋体"/>
                <w:szCs w:val="24"/>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20" w:type="dxa"/>
            <w:vMerge w:val="continue"/>
            <w:noWrap w:val="0"/>
            <w:vAlign w:val="center"/>
          </w:tcPr>
          <w:p>
            <w:pPr>
              <w:ind w:firstLine="0" w:firstLineChars="0"/>
              <w:rPr>
                <w:rFonts w:ascii="宋体" w:hAnsi="宋体" w:cs="宋体"/>
                <w:bCs/>
                <w:kern w:val="0"/>
                <w:szCs w:val="24"/>
              </w:rPr>
            </w:pPr>
          </w:p>
        </w:tc>
        <w:tc>
          <w:tcPr>
            <w:tcW w:w="1321" w:type="dxa"/>
            <w:vMerge w:val="restart"/>
            <w:noWrap w:val="0"/>
            <w:vAlign w:val="center"/>
          </w:tcPr>
          <w:p>
            <w:pPr>
              <w:widowControl/>
              <w:ind w:firstLine="0" w:firstLineChars="0"/>
              <w:rPr>
                <w:rFonts w:ascii="宋体" w:hAnsi="宋体" w:cs="宋体"/>
                <w:bCs/>
                <w:kern w:val="0"/>
                <w:szCs w:val="24"/>
              </w:rPr>
            </w:pPr>
            <w:r>
              <w:rPr>
                <w:rFonts w:hint="eastAsia" w:ascii="宋体" w:hAnsi="宋体"/>
                <w:szCs w:val="24"/>
              </w:rPr>
              <w:t>11、有依法缴纳税收和社会保障资金的良好记录</w:t>
            </w:r>
          </w:p>
        </w:tc>
        <w:tc>
          <w:tcPr>
            <w:tcW w:w="1814" w:type="dxa"/>
            <w:noWrap w:val="0"/>
            <w:vAlign w:val="center"/>
          </w:tcPr>
          <w:p>
            <w:pPr>
              <w:widowControl/>
              <w:ind w:firstLine="0" w:firstLineChars="0"/>
              <w:rPr>
                <w:rFonts w:ascii="宋体" w:hAnsi="宋体" w:cs="宋体"/>
                <w:bCs/>
                <w:kern w:val="0"/>
                <w:szCs w:val="24"/>
              </w:rPr>
            </w:pPr>
            <w:r>
              <w:rPr>
                <w:rFonts w:hint="eastAsia" w:ascii="宋体" w:hAnsi="宋体" w:cs="宋体"/>
                <w:bCs/>
                <w:kern w:val="0"/>
                <w:szCs w:val="24"/>
              </w:rPr>
              <w:t>（1）缴纳社会保障资金的证明材料</w:t>
            </w:r>
          </w:p>
        </w:tc>
        <w:tc>
          <w:tcPr>
            <w:tcW w:w="5642" w:type="dxa"/>
            <w:noWrap w:val="0"/>
            <w:vAlign w:val="center"/>
          </w:tcPr>
          <w:p>
            <w:pPr>
              <w:ind w:firstLine="0" w:firstLineChars="0"/>
              <w:rPr>
                <w:rFonts w:ascii="宋体" w:hAnsi="宋体"/>
                <w:szCs w:val="24"/>
              </w:rPr>
            </w:pPr>
            <w:r>
              <w:rPr>
                <w:rFonts w:hint="eastAsia" w:ascii="宋体" w:hAnsi="宋体" w:cs="宋体"/>
                <w:szCs w:val="24"/>
              </w:rPr>
              <w:t>投标人缴纳2021年</w:t>
            </w:r>
            <w:r>
              <w:rPr>
                <w:rFonts w:hint="eastAsia" w:ascii="宋体" w:hAnsi="宋体" w:cs="宋体"/>
                <w:szCs w:val="24"/>
                <w:shd w:val="clear" w:color="auto" w:fill="FFFFFF"/>
              </w:rPr>
              <w:t>以来</w:t>
            </w:r>
            <w:r>
              <w:rPr>
                <w:rFonts w:hint="eastAsia" w:ascii="宋体" w:hAnsi="宋体" w:cs="宋体"/>
                <w:szCs w:val="24"/>
              </w:rPr>
              <w:t>任意时段的缴纳社保的银行电子回单</w:t>
            </w:r>
            <w:r>
              <w:rPr>
                <w:rFonts w:hint="eastAsia" w:ascii="宋体" w:hAnsi="宋体" w:cs="宋体"/>
                <w:b/>
                <w:bCs/>
                <w:szCs w:val="24"/>
              </w:rPr>
              <w:t>或</w:t>
            </w:r>
            <w:r>
              <w:rPr>
                <w:rFonts w:hint="eastAsia" w:ascii="宋体" w:hAnsi="宋体" w:cs="宋体"/>
                <w:szCs w:val="24"/>
              </w:rPr>
              <w:t>社保部门出具的社保缴纳证明材料复印件</w:t>
            </w:r>
            <w:r>
              <w:rPr>
                <w:rFonts w:hint="eastAsia" w:ascii="宋体" w:hAnsi="宋体" w:cs="宋体"/>
                <w:b/>
                <w:bCs/>
                <w:szCs w:val="24"/>
              </w:rPr>
              <w:t>或</w:t>
            </w:r>
            <w:r>
              <w:rPr>
                <w:rFonts w:hint="eastAsia" w:ascii="宋体" w:hAnsi="宋体" w:cs="宋体"/>
                <w:szCs w:val="24"/>
                <w:shd w:val="clear" w:color="auto" w:fill="FFFFFF"/>
              </w:rPr>
              <w:t>承诺函原件</w:t>
            </w:r>
            <w:r>
              <w:rPr>
                <w:rFonts w:hint="eastAsia" w:ascii="宋体" w:hAnsi="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020" w:type="dxa"/>
            <w:vMerge w:val="continue"/>
            <w:noWrap w:val="0"/>
            <w:vAlign w:val="center"/>
          </w:tcPr>
          <w:p>
            <w:pPr>
              <w:ind w:firstLine="0" w:firstLineChars="0"/>
              <w:rPr>
                <w:rFonts w:ascii="宋体" w:hAnsi="宋体" w:cs="宋体"/>
                <w:bCs/>
                <w:kern w:val="0"/>
                <w:szCs w:val="24"/>
              </w:rPr>
            </w:pPr>
          </w:p>
        </w:tc>
        <w:tc>
          <w:tcPr>
            <w:tcW w:w="1321" w:type="dxa"/>
            <w:vMerge w:val="continue"/>
            <w:noWrap w:val="0"/>
            <w:vAlign w:val="center"/>
          </w:tcPr>
          <w:p>
            <w:pPr>
              <w:widowControl/>
              <w:ind w:firstLine="0" w:firstLineChars="0"/>
              <w:rPr>
                <w:rFonts w:ascii="宋体" w:hAnsi="宋体"/>
                <w:szCs w:val="24"/>
              </w:rPr>
            </w:pPr>
          </w:p>
        </w:tc>
        <w:tc>
          <w:tcPr>
            <w:tcW w:w="1814" w:type="dxa"/>
            <w:noWrap w:val="0"/>
            <w:vAlign w:val="center"/>
          </w:tcPr>
          <w:p>
            <w:pPr>
              <w:widowControl/>
              <w:ind w:firstLine="0" w:firstLineChars="0"/>
              <w:rPr>
                <w:rFonts w:ascii="宋体" w:hAnsi="宋体"/>
                <w:szCs w:val="24"/>
              </w:rPr>
            </w:pPr>
            <w:r>
              <w:rPr>
                <w:rFonts w:hint="eastAsia" w:ascii="宋体" w:hAnsi="宋体" w:cs="宋体"/>
                <w:bCs/>
                <w:kern w:val="0"/>
                <w:szCs w:val="24"/>
              </w:rPr>
              <w:t>（2）缴纳税收的证明材料</w:t>
            </w:r>
          </w:p>
        </w:tc>
        <w:tc>
          <w:tcPr>
            <w:tcW w:w="5642" w:type="dxa"/>
            <w:noWrap w:val="0"/>
            <w:vAlign w:val="center"/>
          </w:tcPr>
          <w:p>
            <w:pPr>
              <w:ind w:firstLine="0" w:firstLineChars="0"/>
              <w:rPr>
                <w:rFonts w:ascii="宋体" w:hAnsi="宋体"/>
                <w:szCs w:val="24"/>
              </w:rPr>
            </w:pPr>
            <w:r>
              <w:rPr>
                <w:rFonts w:hint="eastAsia" w:ascii="宋体" w:hAnsi="宋体" w:cs="宋体"/>
                <w:szCs w:val="24"/>
              </w:rPr>
              <w:t>投标人缴纳2021年</w:t>
            </w:r>
            <w:r>
              <w:rPr>
                <w:rFonts w:hint="eastAsia" w:ascii="宋体" w:hAnsi="宋体" w:cs="宋体"/>
                <w:szCs w:val="24"/>
                <w:shd w:val="clear" w:color="auto" w:fill="FFFFFF"/>
              </w:rPr>
              <w:t>以来</w:t>
            </w:r>
            <w:r>
              <w:rPr>
                <w:rFonts w:hint="eastAsia" w:ascii="宋体" w:hAnsi="宋体" w:cs="宋体"/>
                <w:szCs w:val="24"/>
              </w:rPr>
              <w:t>任意时段的缴纳税收的银行电子回单</w:t>
            </w:r>
            <w:r>
              <w:rPr>
                <w:rFonts w:hint="eastAsia" w:ascii="宋体" w:hAnsi="宋体" w:cs="宋体"/>
                <w:b/>
                <w:bCs/>
                <w:szCs w:val="24"/>
              </w:rPr>
              <w:t>或</w:t>
            </w:r>
            <w:r>
              <w:rPr>
                <w:rFonts w:hint="eastAsia" w:ascii="宋体" w:hAnsi="宋体" w:cs="宋体"/>
                <w:szCs w:val="24"/>
              </w:rPr>
              <w:t>税务部门出具的纳税证明</w:t>
            </w:r>
            <w:r>
              <w:rPr>
                <w:rFonts w:hint="eastAsia" w:ascii="宋体" w:hAnsi="宋体" w:cs="宋体"/>
                <w:b/>
                <w:bCs/>
                <w:szCs w:val="24"/>
              </w:rPr>
              <w:t>或</w:t>
            </w:r>
            <w:r>
              <w:rPr>
                <w:rFonts w:hint="eastAsia" w:ascii="宋体" w:hAnsi="宋体" w:cs="宋体"/>
                <w:szCs w:val="24"/>
              </w:rPr>
              <w:t>完税证明的复印件</w:t>
            </w:r>
            <w:r>
              <w:rPr>
                <w:rFonts w:hint="eastAsia" w:ascii="宋体" w:hAnsi="宋体" w:cs="宋体"/>
                <w:b/>
                <w:bCs/>
                <w:szCs w:val="24"/>
              </w:rPr>
              <w:t>或</w:t>
            </w:r>
            <w:r>
              <w:rPr>
                <w:rFonts w:hint="eastAsia" w:ascii="宋体" w:hAnsi="宋体" w:cs="宋体"/>
                <w:szCs w:val="24"/>
                <w:shd w:val="clear" w:color="auto" w:fill="FFFFFF"/>
              </w:rPr>
              <w:t>承诺函原件</w:t>
            </w:r>
            <w:r>
              <w:rPr>
                <w:rFonts w:hint="eastAsia" w:ascii="宋体" w:hAnsi="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020" w:type="dxa"/>
            <w:vMerge w:val="continue"/>
            <w:noWrap w:val="0"/>
            <w:vAlign w:val="center"/>
          </w:tcPr>
          <w:p>
            <w:pPr>
              <w:ind w:firstLine="0" w:firstLineChars="0"/>
              <w:rPr>
                <w:rFonts w:ascii="宋体" w:hAnsi="宋体" w:cs="宋体"/>
                <w:kern w:val="0"/>
                <w:szCs w:val="24"/>
              </w:rPr>
            </w:pPr>
          </w:p>
        </w:tc>
        <w:tc>
          <w:tcPr>
            <w:tcW w:w="3135" w:type="dxa"/>
            <w:gridSpan w:val="2"/>
            <w:noWrap w:val="0"/>
            <w:vAlign w:val="center"/>
          </w:tcPr>
          <w:p>
            <w:pPr>
              <w:widowControl/>
              <w:ind w:firstLine="0" w:firstLineChars="0"/>
              <w:rPr>
                <w:rFonts w:ascii="宋体" w:hAnsi="宋体"/>
                <w:szCs w:val="24"/>
              </w:rPr>
            </w:pPr>
            <w:r>
              <w:rPr>
                <w:rFonts w:hint="eastAsia" w:ascii="宋体" w:hAnsi="宋体"/>
                <w:szCs w:val="24"/>
              </w:rPr>
              <w:t>12、法定代表人身份证明书</w:t>
            </w:r>
          </w:p>
        </w:tc>
        <w:tc>
          <w:tcPr>
            <w:tcW w:w="5642" w:type="dxa"/>
            <w:noWrap w:val="0"/>
            <w:vAlign w:val="center"/>
          </w:tcPr>
          <w:p>
            <w:pPr>
              <w:widowControl/>
              <w:ind w:firstLine="0" w:firstLineChars="0"/>
              <w:rPr>
                <w:rFonts w:ascii="宋体" w:hAnsi="宋体"/>
                <w:szCs w:val="24"/>
              </w:rPr>
            </w:pPr>
            <w:r>
              <w:rPr>
                <w:rFonts w:hint="eastAsia" w:ascii="宋体" w:hAnsi="宋体" w:cs="宋体"/>
                <w:szCs w:val="24"/>
              </w:rPr>
              <w:t>法定代表人身份证明书原件（自然人参加投标的不须提供身份证明书）及身份证复印件或护照复印件【注：（1）法定代表人身份证明书符合招标文件要求；（2）法定代表人身份证复印件（身份证两面均应复印，在有效期内）或护照复印件（法定代表人为外籍人士的，按此提供）；（3）投标人为非法人单位的，上述“法定代表人”指投标人的主要负责人；（4）投标人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20" w:type="dxa"/>
            <w:vMerge w:val="continue"/>
            <w:noWrap w:val="0"/>
            <w:vAlign w:val="center"/>
          </w:tcPr>
          <w:p>
            <w:pPr>
              <w:ind w:firstLine="0" w:firstLineChars="0"/>
              <w:rPr>
                <w:rFonts w:ascii="宋体" w:hAnsi="宋体" w:cs="宋体"/>
                <w:kern w:val="0"/>
                <w:szCs w:val="24"/>
              </w:rPr>
            </w:pPr>
          </w:p>
        </w:tc>
        <w:tc>
          <w:tcPr>
            <w:tcW w:w="3135" w:type="dxa"/>
            <w:gridSpan w:val="2"/>
            <w:noWrap w:val="0"/>
            <w:vAlign w:val="center"/>
          </w:tcPr>
          <w:p>
            <w:pPr>
              <w:widowControl/>
              <w:ind w:firstLine="0" w:firstLineChars="0"/>
              <w:rPr>
                <w:rFonts w:ascii="宋体" w:hAnsi="宋体"/>
                <w:szCs w:val="24"/>
              </w:rPr>
            </w:pPr>
            <w:r>
              <w:rPr>
                <w:rFonts w:hint="eastAsia" w:ascii="宋体" w:hAnsi="宋体"/>
                <w:szCs w:val="24"/>
              </w:rPr>
              <w:t>13、法定代表人授权委托书</w:t>
            </w:r>
          </w:p>
        </w:tc>
        <w:tc>
          <w:tcPr>
            <w:tcW w:w="5642" w:type="dxa"/>
            <w:noWrap w:val="0"/>
            <w:vAlign w:val="center"/>
          </w:tcPr>
          <w:p>
            <w:pPr>
              <w:widowControl/>
              <w:ind w:firstLine="0" w:firstLineChars="0"/>
              <w:rPr>
                <w:rFonts w:ascii="宋体" w:hAnsi="宋体"/>
                <w:szCs w:val="24"/>
              </w:rPr>
            </w:pPr>
            <w:r>
              <w:rPr>
                <w:rFonts w:hint="eastAsia" w:ascii="宋体" w:hAnsi="宋体" w:cs="宋体"/>
                <w:szCs w:val="24"/>
              </w:rPr>
              <w:t>法定代表人授权书原件及身份证复印件【注：（1）代理人身份证复印件（身份证两面均应复印，在有效期内）；（2）如投标文件均由投标人法定代表人签字的或投标人为自然人的，则可不提供法定代表人授权书及身份证。（3）投标人为非法人单位的，上述“法定代表人”指投标人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20" w:type="dxa"/>
            <w:vMerge w:val="continue"/>
            <w:noWrap w:val="0"/>
            <w:vAlign w:val="center"/>
          </w:tcPr>
          <w:p>
            <w:pPr>
              <w:ind w:firstLine="0" w:firstLineChars="0"/>
              <w:rPr>
                <w:rFonts w:ascii="宋体" w:hAnsi="宋体" w:cs="宋体"/>
                <w:kern w:val="0"/>
                <w:szCs w:val="24"/>
              </w:rPr>
            </w:pPr>
          </w:p>
        </w:tc>
        <w:tc>
          <w:tcPr>
            <w:tcW w:w="3135" w:type="dxa"/>
            <w:gridSpan w:val="2"/>
            <w:noWrap w:val="0"/>
            <w:vAlign w:val="center"/>
          </w:tcPr>
          <w:p>
            <w:pPr>
              <w:widowControl/>
              <w:ind w:firstLine="0" w:firstLineChars="0"/>
              <w:rPr>
                <w:rFonts w:hint="default" w:ascii="宋体" w:hAnsi="宋体" w:eastAsia="宋体"/>
                <w:szCs w:val="24"/>
                <w:lang w:val="en-US" w:eastAsia="zh-CN"/>
              </w:rPr>
            </w:pPr>
            <w:r>
              <w:rPr>
                <w:rFonts w:hint="eastAsia" w:ascii="宋体" w:hAnsi="宋体"/>
                <w:szCs w:val="24"/>
              </w:rPr>
              <w:t>14、</w:t>
            </w:r>
            <w:r>
              <w:rPr>
                <w:rFonts w:hint="eastAsia" w:ascii="宋体" w:hAnsi="宋体"/>
                <w:szCs w:val="24"/>
                <w:lang w:val="en-US" w:eastAsia="zh-CN"/>
              </w:rPr>
              <w:t>本项目专门面向中小企业采购</w:t>
            </w:r>
          </w:p>
        </w:tc>
        <w:tc>
          <w:tcPr>
            <w:tcW w:w="5642" w:type="dxa"/>
            <w:noWrap w:val="0"/>
            <w:vAlign w:val="center"/>
          </w:tcPr>
          <w:p>
            <w:pPr>
              <w:widowControl/>
              <w:ind w:firstLine="0" w:firstLineChars="0"/>
              <w:rPr>
                <w:rFonts w:hint="eastAsia" w:ascii="宋体" w:hAnsi="宋体" w:cs="宋体"/>
                <w:szCs w:val="24"/>
              </w:rPr>
            </w:pPr>
            <w:r>
              <w:rPr>
                <w:rFonts w:hint="eastAsia" w:ascii="宋体" w:hAnsi="宋体" w:eastAsia="宋体" w:cs="宋体"/>
                <w:color w:val="auto"/>
                <w:sz w:val="24"/>
                <w:szCs w:val="24"/>
                <w:highlight w:val="none"/>
              </w:rPr>
              <w:t xml:space="preserve">提供中小企业声明函（注：供应商为监狱企业、残疾人福利性单位的视同小型、微型企业）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020" w:type="dxa"/>
            <w:vMerge w:val="continue"/>
            <w:noWrap w:val="0"/>
            <w:vAlign w:val="center"/>
          </w:tcPr>
          <w:p>
            <w:pPr>
              <w:widowControl/>
              <w:ind w:firstLine="0" w:firstLineChars="0"/>
              <w:rPr>
                <w:rFonts w:ascii="宋体" w:hAnsi="宋体" w:cs="宋体"/>
                <w:kern w:val="0"/>
                <w:szCs w:val="24"/>
              </w:rPr>
            </w:pPr>
          </w:p>
        </w:tc>
        <w:tc>
          <w:tcPr>
            <w:tcW w:w="3135" w:type="dxa"/>
            <w:gridSpan w:val="2"/>
            <w:noWrap w:val="0"/>
            <w:vAlign w:val="center"/>
          </w:tcPr>
          <w:p>
            <w:pPr>
              <w:ind w:firstLine="0" w:firstLineChars="0"/>
              <w:rPr>
                <w:rFonts w:ascii="宋体" w:hAnsi="宋体"/>
                <w:szCs w:val="24"/>
              </w:rPr>
            </w:pPr>
            <w:r>
              <w:rPr>
                <w:rFonts w:hint="eastAsia" w:ascii="宋体" w:hAnsi="宋体"/>
                <w:szCs w:val="24"/>
                <w:lang w:val="en-US" w:eastAsia="zh-CN"/>
              </w:rPr>
              <w:t>15、</w:t>
            </w:r>
            <w:r>
              <w:rPr>
                <w:rFonts w:hint="eastAsia" w:ascii="宋体" w:hAnsi="宋体"/>
                <w:szCs w:val="24"/>
              </w:rPr>
              <w:t>联合体投标</w:t>
            </w:r>
          </w:p>
        </w:tc>
        <w:tc>
          <w:tcPr>
            <w:tcW w:w="5642" w:type="dxa"/>
            <w:noWrap w:val="0"/>
            <w:vAlign w:val="center"/>
          </w:tcPr>
          <w:p>
            <w:pPr>
              <w:ind w:firstLine="0" w:firstLineChars="0"/>
              <w:rPr>
                <w:rFonts w:ascii="宋体" w:hAnsi="宋体"/>
                <w:szCs w:val="24"/>
              </w:rPr>
            </w:pPr>
            <w:r>
              <w:rPr>
                <w:rFonts w:hint="eastAsia" w:ascii="宋体" w:hAnsi="宋体"/>
                <w:szCs w:val="24"/>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020" w:type="dxa"/>
            <w:noWrap w:val="0"/>
            <w:vAlign w:val="center"/>
          </w:tcPr>
          <w:p>
            <w:pPr>
              <w:ind w:firstLine="0" w:firstLineChars="0"/>
              <w:rPr>
                <w:rFonts w:ascii="宋体" w:hAnsi="宋体" w:cs="宋体"/>
                <w:kern w:val="0"/>
                <w:szCs w:val="24"/>
              </w:rPr>
            </w:pPr>
            <w:r>
              <w:rPr>
                <w:rFonts w:hint="eastAsia" w:ascii="宋体" w:hAnsi="宋体" w:cs="宋体"/>
                <w:kern w:val="0"/>
                <w:szCs w:val="24"/>
              </w:rPr>
              <w:t>（二）资质要求</w:t>
            </w:r>
          </w:p>
        </w:tc>
        <w:tc>
          <w:tcPr>
            <w:tcW w:w="3135" w:type="dxa"/>
            <w:gridSpan w:val="2"/>
            <w:noWrap w:val="0"/>
            <w:vAlign w:val="center"/>
          </w:tcPr>
          <w:p>
            <w:pPr>
              <w:ind w:firstLine="0" w:firstLineChars="0"/>
              <w:rPr>
                <w:rFonts w:ascii="宋体" w:hAnsi="宋体" w:cs="宋体"/>
                <w:kern w:val="0"/>
                <w:szCs w:val="24"/>
              </w:rPr>
            </w:pPr>
            <w:r>
              <w:rPr>
                <w:rFonts w:hint="eastAsia" w:ascii="宋体" w:hAnsi="宋体" w:cs="宋体"/>
                <w:kern w:val="0"/>
                <w:szCs w:val="24"/>
              </w:rPr>
              <w:t>无</w:t>
            </w:r>
          </w:p>
        </w:tc>
        <w:tc>
          <w:tcPr>
            <w:tcW w:w="5642" w:type="dxa"/>
            <w:noWrap w:val="0"/>
            <w:vAlign w:val="center"/>
          </w:tcPr>
          <w:p>
            <w:pPr>
              <w:ind w:firstLine="0" w:firstLineChars="0"/>
              <w:rPr>
                <w:rFonts w:ascii="宋体" w:hAnsi="宋体"/>
                <w:szCs w:val="24"/>
              </w:rPr>
            </w:pPr>
            <w:r>
              <w:rPr>
                <w:rFonts w:hint="eastAsia" w:ascii="宋体" w:hAnsi="宋体" w:cs="宋体"/>
                <w:kern w:val="0"/>
                <w:szCs w:val="24"/>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1020" w:type="dxa"/>
            <w:vMerge w:val="restart"/>
            <w:noWrap w:val="0"/>
            <w:vAlign w:val="center"/>
          </w:tcPr>
          <w:p>
            <w:pPr>
              <w:ind w:firstLine="0" w:firstLineChars="0"/>
              <w:rPr>
                <w:rFonts w:ascii="宋体" w:hAnsi="宋体" w:cs="宋体"/>
                <w:kern w:val="0"/>
                <w:szCs w:val="24"/>
              </w:rPr>
            </w:pPr>
            <w:r>
              <w:rPr>
                <w:rFonts w:hint="eastAsia" w:ascii="宋体" w:hAnsi="宋体" w:cs="宋体"/>
                <w:kern w:val="0"/>
                <w:szCs w:val="24"/>
              </w:rPr>
              <w:t>（三）其他要求</w:t>
            </w:r>
          </w:p>
        </w:tc>
        <w:tc>
          <w:tcPr>
            <w:tcW w:w="3135" w:type="dxa"/>
            <w:gridSpan w:val="2"/>
            <w:noWrap w:val="0"/>
            <w:vAlign w:val="center"/>
          </w:tcPr>
          <w:p>
            <w:pPr>
              <w:tabs>
                <w:tab w:val="left" w:pos="851"/>
              </w:tabs>
              <w:ind w:firstLine="0" w:firstLineChars="0"/>
              <w:rPr>
                <w:rFonts w:hint="eastAsia" w:ascii="宋体" w:hAnsi="宋体"/>
                <w:szCs w:val="24"/>
              </w:rPr>
            </w:pPr>
            <w:r>
              <w:rPr>
                <w:rFonts w:hint="eastAsia" w:ascii="宋体" w:hAnsi="宋体"/>
                <w:szCs w:val="24"/>
              </w:rPr>
              <w:t>投标文件解密情况</w:t>
            </w:r>
          </w:p>
        </w:tc>
        <w:tc>
          <w:tcPr>
            <w:tcW w:w="5642" w:type="dxa"/>
            <w:noWrap w:val="0"/>
            <w:vAlign w:val="center"/>
          </w:tcPr>
          <w:p>
            <w:pPr>
              <w:tabs>
                <w:tab w:val="left" w:pos="851"/>
              </w:tabs>
              <w:ind w:firstLine="0" w:firstLineChars="0"/>
              <w:rPr>
                <w:rFonts w:hint="eastAsia" w:ascii="宋体" w:hAnsi="宋体"/>
                <w:szCs w:val="24"/>
              </w:rPr>
            </w:pPr>
            <w:r>
              <w:rPr>
                <w:rFonts w:hint="eastAsia" w:ascii="宋体" w:hAnsi="宋体"/>
                <w:szCs w:val="24"/>
              </w:rPr>
              <w:t>除因断电、断网、系统故障或其他不可抗力等因素，导致系统无法使用外，投标文件已成功解密。</w:t>
            </w:r>
            <w:r>
              <w:rPr>
                <w:rFonts w:hint="eastAsia" w:ascii="宋体" w:hAnsi="宋体" w:cs="宋体"/>
                <w:kern w:val="0"/>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20" w:type="dxa"/>
            <w:vMerge w:val="continue"/>
            <w:noWrap w:val="0"/>
            <w:vAlign w:val="center"/>
          </w:tcPr>
          <w:p>
            <w:pPr>
              <w:ind w:firstLine="0" w:firstLineChars="0"/>
              <w:rPr>
                <w:rFonts w:hint="eastAsia" w:ascii="宋体" w:hAnsi="宋体" w:cs="宋体"/>
                <w:kern w:val="0"/>
                <w:szCs w:val="24"/>
              </w:rPr>
            </w:pPr>
          </w:p>
        </w:tc>
        <w:tc>
          <w:tcPr>
            <w:tcW w:w="3135" w:type="dxa"/>
            <w:gridSpan w:val="2"/>
            <w:noWrap w:val="0"/>
            <w:vAlign w:val="center"/>
          </w:tcPr>
          <w:p>
            <w:pPr>
              <w:tabs>
                <w:tab w:val="left" w:pos="851"/>
              </w:tabs>
              <w:ind w:firstLine="0" w:firstLineChars="0"/>
              <w:rPr>
                <w:rFonts w:hint="eastAsia" w:ascii="宋体" w:hAnsi="宋体" w:cs="宋体"/>
                <w:kern w:val="0"/>
                <w:szCs w:val="24"/>
              </w:rPr>
            </w:pPr>
            <w:r>
              <w:rPr>
                <w:rFonts w:hint="eastAsia" w:ascii="宋体" w:hAnsi="宋体" w:cs="宋体"/>
                <w:kern w:val="0"/>
                <w:szCs w:val="24"/>
              </w:rPr>
              <w:t>投标文件资格性审查部分签章</w:t>
            </w:r>
          </w:p>
        </w:tc>
        <w:tc>
          <w:tcPr>
            <w:tcW w:w="5642" w:type="dxa"/>
            <w:noWrap w:val="0"/>
            <w:vAlign w:val="center"/>
          </w:tcPr>
          <w:p>
            <w:pPr>
              <w:tabs>
                <w:tab w:val="left" w:pos="851"/>
              </w:tabs>
              <w:ind w:firstLine="0" w:firstLineChars="0"/>
              <w:rPr>
                <w:rFonts w:hint="eastAsia" w:ascii="宋体" w:hAnsi="宋体" w:cs="宋体"/>
                <w:kern w:val="0"/>
                <w:szCs w:val="24"/>
              </w:rPr>
            </w:pPr>
            <w:r>
              <w:rPr>
                <w:rFonts w:hint="eastAsia" w:ascii="宋体" w:hAnsi="宋体" w:cs="宋体"/>
                <w:kern w:val="0"/>
                <w:szCs w:val="24"/>
              </w:rPr>
              <w:t>均按招标文件要求签章。（说明：无须提供证明材料，上传空白页即可，不对本项上传的材料作资格审查</w:t>
            </w:r>
            <w:r>
              <w:rPr>
                <w:rFonts w:hint="eastAsia" w:ascii="宋体" w:hAnsi="宋体" w:cs="宋体"/>
                <w:kern w:val="0"/>
                <w:szCs w:val="24"/>
                <w:lang w:eastAsia="zh-CN"/>
              </w:rPr>
              <w:t>。</w:t>
            </w:r>
            <w:r>
              <w:rPr>
                <w:rFonts w:hint="eastAsia" w:ascii="宋体" w:hAnsi="宋体" w:cs="宋体"/>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20" w:type="dxa"/>
            <w:vMerge w:val="continue"/>
            <w:noWrap w:val="0"/>
            <w:vAlign w:val="center"/>
          </w:tcPr>
          <w:p>
            <w:pPr>
              <w:ind w:firstLine="0" w:firstLineChars="0"/>
              <w:rPr>
                <w:rFonts w:ascii="宋体" w:hAnsi="宋体" w:cs="宋体"/>
                <w:kern w:val="0"/>
                <w:szCs w:val="24"/>
              </w:rPr>
            </w:pPr>
          </w:p>
        </w:tc>
        <w:tc>
          <w:tcPr>
            <w:tcW w:w="3135" w:type="dxa"/>
            <w:gridSpan w:val="2"/>
            <w:noWrap w:val="0"/>
            <w:vAlign w:val="center"/>
          </w:tcPr>
          <w:p>
            <w:pPr>
              <w:ind w:firstLine="0" w:firstLineChars="0"/>
              <w:rPr>
                <w:rFonts w:ascii="宋体" w:hAnsi="宋体"/>
                <w:szCs w:val="24"/>
              </w:rPr>
            </w:pPr>
            <w:r>
              <w:rPr>
                <w:rFonts w:hint="eastAsia" w:ascii="宋体" w:hAnsi="宋体"/>
                <w:szCs w:val="24"/>
              </w:rPr>
              <w:t>投标文件有效期</w:t>
            </w:r>
          </w:p>
        </w:tc>
        <w:tc>
          <w:tcPr>
            <w:tcW w:w="5642" w:type="dxa"/>
            <w:noWrap w:val="0"/>
            <w:vAlign w:val="center"/>
          </w:tcPr>
          <w:p>
            <w:pPr>
              <w:ind w:firstLine="0" w:firstLineChars="0"/>
              <w:rPr>
                <w:rFonts w:ascii="宋体" w:hAnsi="宋体"/>
                <w:szCs w:val="24"/>
              </w:rPr>
            </w:pPr>
            <w:r>
              <w:rPr>
                <w:rFonts w:hint="eastAsia" w:ascii="宋体" w:hAnsi="宋体"/>
                <w:szCs w:val="24"/>
              </w:rPr>
              <w:t>符合招标文件要求。</w:t>
            </w:r>
            <w:r>
              <w:rPr>
                <w:rFonts w:hint="eastAsia" w:ascii="宋体" w:hAnsi="宋体" w:cs="宋体"/>
                <w:kern w:val="0"/>
                <w:szCs w:val="24"/>
              </w:rPr>
              <w:t>（说明：承诺函已包含此条响应内容，无须单独响应，上传空白页即可，不对本项上传的材料作资格审查）</w:t>
            </w:r>
          </w:p>
        </w:tc>
      </w:tr>
    </w:tbl>
    <w:p>
      <w:pPr>
        <w:tabs>
          <w:tab w:val="left" w:pos="851"/>
        </w:tabs>
        <w:ind w:firstLine="504"/>
        <w:rPr>
          <w:rFonts w:ascii="宋体" w:hAnsi="宋体"/>
          <w:szCs w:val="24"/>
        </w:rPr>
      </w:pPr>
      <w:r>
        <w:rPr>
          <w:rFonts w:hint="eastAsia" w:ascii="宋体" w:hAnsi="宋体"/>
          <w:szCs w:val="24"/>
        </w:rPr>
        <w:t>注：以上每一项结论均为“通过”的，则投标人的投标文件通过资格性审查；如有其中任意一项结论为“不通过”的，则投标人的投标文件按无效投标文件处理。如果资格审查小组认为投标人有任意一项不通过的，应在资格性审查表中载明不通过的具体原因。</w:t>
      </w:r>
    </w:p>
    <w:p>
      <w:pPr>
        <w:pStyle w:val="2"/>
        <w:spacing w:line="360" w:lineRule="auto"/>
        <w:ind w:firstLine="504"/>
        <w:rPr>
          <w:rFonts w:ascii="宋体" w:hAnsi="宋体"/>
          <w:szCs w:val="24"/>
        </w:rPr>
      </w:pPr>
      <w:r>
        <w:rPr>
          <w:rFonts w:hint="eastAsia" w:ascii="宋体" w:hAnsi="宋体"/>
          <w:szCs w:val="24"/>
        </w:rPr>
        <w:br w:type="page"/>
      </w:r>
    </w:p>
    <w:p>
      <w:pPr>
        <w:pStyle w:val="4"/>
        <w:spacing w:before="0" w:after="0" w:line="240" w:lineRule="auto"/>
      </w:pPr>
      <w:bookmarkStart w:id="271" w:name="_Toc2020"/>
      <w:bookmarkStart w:id="272" w:name="_Toc20754"/>
      <w:bookmarkStart w:id="273" w:name="_Toc28352"/>
      <w:r>
        <w:rPr>
          <w:rFonts w:hint="eastAsia"/>
        </w:rPr>
        <w:t>评标办法</w:t>
      </w:r>
      <w:bookmarkEnd w:id="271"/>
      <w:bookmarkEnd w:id="272"/>
      <w:bookmarkEnd w:id="273"/>
      <w:bookmarkStart w:id="274" w:name="_Toc208849007"/>
      <w:bookmarkStart w:id="275" w:name="_Toc217446097"/>
      <w:bookmarkStart w:id="276" w:name="_Toc183682415"/>
      <w:bookmarkStart w:id="277" w:name="_Toc183582280"/>
    </w:p>
    <w:p>
      <w:pPr>
        <w:pStyle w:val="5"/>
      </w:pPr>
      <w:bookmarkStart w:id="278" w:name="_Toc8605"/>
      <w:bookmarkStart w:id="279" w:name="_Toc315871642"/>
      <w:bookmarkStart w:id="280" w:name="_Toc316292248"/>
      <w:bookmarkStart w:id="281" w:name="_Toc30479"/>
      <w:bookmarkStart w:id="282" w:name="_Toc6274"/>
      <w:r>
        <w:rPr>
          <w:rFonts w:hint="eastAsia"/>
        </w:rPr>
        <w:t>总则</w:t>
      </w:r>
      <w:bookmarkEnd w:id="274"/>
      <w:bookmarkEnd w:id="275"/>
      <w:bookmarkEnd w:id="276"/>
      <w:bookmarkEnd w:id="277"/>
      <w:bookmarkEnd w:id="278"/>
      <w:bookmarkEnd w:id="279"/>
      <w:bookmarkEnd w:id="280"/>
      <w:bookmarkEnd w:id="281"/>
      <w:bookmarkEnd w:id="282"/>
    </w:p>
    <w:p>
      <w:pPr>
        <w:numPr>
          <w:ilvl w:val="0"/>
          <w:numId w:val="54"/>
        </w:numPr>
        <w:tabs>
          <w:tab w:val="left" w:pos="1134"/>
        </w:tabs>
        <w:ind w:firstLine="504"/>
        <w:rPr>
          <w:rFonts w:ascii="宋体" w:hAnsi="宋体"/>
          <w:szCs w:val="24"/>
        </w:rPr>
      </w:pPr>
      <w:r>
        <w:rPr>
          <w:rFonts w:hint="eastAsia" w:ascii="宋体" w:hAnsi="宋体"/>
          <w:szCs w:val="24"/>
        </w:rPr>
        <w:t>根据《中华人民共和国政府采购法》、《中华人民共和国政府采购法实施条例》和《政府采购货物和服务招标投标管理办法》等法律法规的相关规定，结合采购项目特点制定本评标办法。</w:t>
      </w:r>
    </w:p>
    <w:p>
      <w:pPr>
        <w:numPr>
          <w:ilvl w:val="0"/>
          <w:numId w:val="54"/>
        </w:numPr>
        <w:tabs>
          <w:tab w:val="left" w:pos="1134"/>
        </w:tabs>
        <w:ind w:firstLine="504"/>
        <w:rPr>
          <w:rFonts w:ascii="宋体" w:hAnsi="宋体"/>
          <w:szCs w:val="24"/>
        </w:rPr>
      </w:pPr>
      <w:r>
        <w:rPr>
          <w:rFonts w:hint="eastAsia" w:ascii="宋体" w:hAnsi="宋体"/>
          <w:szCs w:val="24"/>
        </w:rPr>
        <w:t>评标工作由采购代理机构负责组织，具体评标事务由招标采购单位依法组建的评标委员会负责。评标委员会由采购人代表和有关技术、经济等方面的专家组成。</w:t>
      </w:r>
    </w:p>
    <w:p>
      <w:pPr>
        <w:numPr>
          <w:ilvl w:val="0"/>
          <w:numId w:val="54"/>
        </w:numPr>
        <w:tabs>
          <w:tab w:val="left" w:pos="1134"/>
        </w:tabs>
        <w:ind w:firstLine="504"/>
        <w:rPr>
          <w:rFonts w:ascii="宋体" w:hAnsi="宋体"/>
          <w:szCs w:val="24"/>
        </w:rPr>
      </w:pPr>
      <w:r>
        <w:rPr>
          <w:rFonts w:hint="eastAsia" w:ascii="宋体" w:hAnsi="宋体"/>
          <w:szCs w:val="24"/>
        </w:rPr>
        <w:t>评标工作应遵循公平、公正、科学及择优的原则，并以相同的评标程序和标准对待所有的投标人。</w:t>
      </w:r>
    </w:p>
    <w:p>
      <w:pPr>
        <w:numPr>
          <w:ilvl w:val="0"/>
          <w:numId w:val="54"/>
        </w:numPr>
        <w:tabs>
          <w:tab w:val="left" w:pos="1134"/>
        </w:tabs>
        <w:ind w:firstLine="504"/>
        <w:rPr>
          <w:rFonts w:ascii="宋体" w:hAnsi="宋体"/>
          <w:szCs w:val="24"/>
        </w:rPr>
      </w:pPr>
      <w:r>
        <w:rPr>
          <w:rFonts w:hint="eastAsia" w:ascii="宋体" w:hAnsi="宋体"/>
          <w:szCs w:val="24"/>
        </w:rPr>
        <w:t>评标委员会按照招标文件规定的评标程序、评标方法和标准进行独立评审，并独立履行下列职责：</w:t>
      </w:r>
    </w:p>
    <w:p>
      <w:pPr>
        <w:numPr>
          <w:ilvl w:val="0"/>
          <w:numId w:val="55"/>
        </w:numPr>
        <w:ind w:firstLine="504"/>
        <w:rPr>
          <w:rFonts w:ascii="宋体" w:hAnsi="宋体"/>
          <w:szCs w:val="24"/>
        </w:rPr>
      </w:pPr>
      <w:r>
        <w:rPr>
          <w:rFonts w:hint="eastAsia" w:ascii="宋体" w:hAnsi="宋体"/>
          <w:szCs w:val="24"/>
        </w:rPr>
        <w:t>熟悉和理解招标文件；</w:t>
      </w:r>
    </w:p>
    <w:p>
      <w:pPr>
        <w:numPr>
          <w:ilvl w:val="0"/>
          <w:numId w:val="55"/>
        </w:numPr>
        <w:ind w:firstLine="504"/>
        <w:rPr>
          <w:rFonts w:ascii="宋体" w:hAnsi="宋体"/>
          <w:szCs w:val="24"/>
        </w:rPr>
      </w:pPr>
      <w:r>
        <w:rPr>
          <w:rFonts w:hint="eastAsia" w:ascii="宋体" w:hAnsi="宋体"/>
          <w:szCs w:val="24"/>
        </w:rPr>
        <w:t>审查投标文件是否符合招标文件要求，并作出评价；</w:t>
      </w:r>
    </w:p>
    <w:p>
      <w:pPr>
        <w:pStyle w:val="2"/>
        <w:numPr>
          <w:ilvl w:val="0"/>
          <w:numId w:val="55"/>
        </w:numPr>
        <w:spacing w:line="360" w:lineRule="auto"/>
        <w:ind w:firstLine="504"/>
      </w:pPr>
      <w:r>
        <w:rPr>
          <w:rFonts w:hint="eastAsia" w:ascii="宋体" w:hAnsi="宋体"/>
          <w:szCs w:val="24"/>
        </w:rPr>
        <w:t>根据需要要求采购代理机构对招标文件做出解释（评标委员会发现招标文件前后不一致或表达不明确或需要说明的事项，应提请招标采购单位书面解释说明）；根据需要要求投标人对投标文件有关事项做出澄清、说明或者更正；</w:t>
      </w:r>
    </w:p>
    <w:p>
      <w:pPr>
        <w:numPr>
          <w:ilvl w:val="0"/>
          <w:numId w:val="55"/>
        </w:numPr>
        <w:ind w:firstLine="504"/>
        <w:rPr>
          <w:rFonts w:ascii="宋体" w:hAnsi="宋体"/>
          <w:szCs w:val="24"/>
        </w:rPr>
      </w:pPr>
      <w:r>
        <w:rPr>
          <w:rFonts w:hint="eastAsia" w:ascii="宋体" w:hAnsi="宋体"/>
          <w:szCs w:val="24"/>
        </w:rPr>
        <w:t>推荐中标候选人名单，或者受采购人委托确定中标人；</w:t>
      </w:r>
    </w:p>
    <w:p>
      <w:pPr>
        <w:numPr>
          <w:ilvl w:val="0"/>
          <w:numId w:val="55"/>
        </w:numPr>
        <w:ind w:firstLine="504"/>
        <w:rPr>
          <w:rFonts w:ascii="宋体" w:hAnsi="宋体"/>
          <w:szCs w:val="24"/>
        </w:rPr>
      </w:pPr>
      <w:r>
        <w:rPr>
          <w:rFonts w:hint="eastAsia" w:ascii="宋体" w:hAnsi="宋体"/>
          <w:szCs w:val="24"/>
        </w:rPr>
        <w:t>起草评标报告并进行签署；</w:t>
      </w:r>
    </w:p>
    <w:p>
      <w:pPr>
        <w:numPr>
          <w:ilvl w:val="0"/>
          <w:numId w:val="55"/>
        </w:numPr>
        <w:ind w:firstLine="504"/>
        <w:rPr>
          <w:rFonts w:ascii="宋体" w:hAnsi="宋体"/>
          <w:szCs w:val="24"/>
        </w:rPr>
      </w:pPr>
      <w:r>
        <w:rPr>
          <w:rFonts w:hint="eastAsia" w:ascii="宋体" w:hAnsi="宋体"/>
          <w:szCs w:val="24"/>
        </w:rPr>
        <w:t>向采购组织单位、财政部门或者其他监督部门报告非法干预评标工作的行为</w:t>
      </w:r>
      <w:r>
        <w:rPr>
          <w:rFonts w:hint="eastAsia" w:ascii="宋体"/>
          <w:szCs w:val="24"/>
        </w:rPr>
        <w:t>；</w:t>
      </w:r>
      <w:bookmarkStart w:id="283" w:name="_Toc217446098"/>
    </w:p>
    <w:p>
      <w:pPr>
        <w:numPr>
          <w:ilvl w:val="0"/>
          <w:numId w:val="55"/>
        </w:numPr>
        <w:ind w:firstLine="504"/>
        <w:rPr>
          <w:rFonts w:ascii="宋体" w:hAnsi="宋体"/>
          <w:szCs w:val="24"/>
        </w:rPr>
      </w:pPr>
      <w:r>
        <w:rPr>
          <w:rFonts w:hint="eastAsia" w:ascii="宋体" w:hAnsi="宋体"/>
          <w:szCs w:val="24"/>
        </w:rPr>
        <w:t>法律、法规和规章规定的其他职责。</w:t>
      </w:r>
    </w:p>
    <w:p>
      <w:pPr>
        <w:pStyle w:val="5"/>
        <w:rPr>
          <w:sz w:val="24"/>
          <w:szCs w:val="24"/>
        </w:rPr>
      </w:pPr>
      <w:bookmarkStart w:id="284" w:name="_Toc315871643"/>
      <w:bookmarkStart w:id="285" w:name="_Toc4435"/>
      <w:bookmarkStart w:id="286" w:name="_Toc16858"/>
      <w:bookmarkStart w:id="287" w:name="_Toc9947"/>
      <w:bookmarkStart w:id="288" w:name="_Toc316292249"/>
      <w:r>
        <w:rPr>
          <w:rFonts w:hint="eastAsia"/>
          <w:sz w:val="24"/>
          <w:szCs w:val="24"/>
        </w:rPr>
        <w:t>评标方法</w:t>
      </w:r>
      <w:bookmarkEnd w:id="284"/>
      <w:bookmarkEnd w:id="285"/>
      <w:bookmarkEnd w:id="286"/>
      <w:bookmarkEnd w:id="287"/>
      <w:bookmarkEnd w:id="288"/>
    </w:p>
    <w:p>
      <w:pPr>
        <w:ind w:firstLine="504"/>
        <w:rPr>
          <w:rFonts w:ascii="宋体" w:hAnsi="宋体"/>
          <w:szCs w:val="24"/>
        </w:rPr>
      </w:pPr>
      <w:r>
        <w:rPr>
          <w:rFonts w:hint="eastAsia" w:ascii="宋体" w:hAnsi="宋体"/>
          <w:szCs w:val="24"/>
        </w:rPr>
        <w:t>综合评分法。</w:t>
      </w:r>
    </w:p>
    <w:p>
      <w:pPr>
        <w:pStyle w:val="5"/>
      </w:pPr>
      <w:bookmarkStart w:id="289" w:name="_Toc27068"/>
      <w:bookmarkStart w:id="290" w:name="_Toc6344"/>
      <w:bookmarkStart w:id="291" w:name="_Toc316292250"/>
      <w:bookmarkStart w:id="292" w:name="_Toc315871644"/>
      <w:bookmarkStart w:id="293" w:name="_Toc26118"/>
      <w:r>
        <w:rPr>
          <w:rFonts w:hint="eastAsia"/>
        </w:rPr>
        <w:t>评标程序</w:t>
      </w:r>
      <w:bookmarkEnd w:id="283"/>
      <w:bookmarkEnd w:id="289"/>
      <w:bookmarkEnd w:id="290"/>
      <w:bookmarkEnd w:id="291"/>
      <w:bookmarkEnd w:id="292"/>
      <w:bookmarkEnd w:id="293"/>
    </w:p>
    <w:p>
      <w:pPr>
        <w:pStyle w:val="6"/>
        <w:ind w:left="342" w:leftChars="0" w:firstLine="506" w:firstLineChars="0"/>
        <w:rPr>
          <w:color w:val="auto"/>
        </w:rPr>
      </w:pPr>
      <w:bookmarkStart w:id="294" w:name="_Toc316475650"/>
      <w:bookmarkEnd w:id="294"/>
      <w:bookmarkStart w:id="295" w:name="_Toc315871645"/>
      <w:bookmarkStart w:id="296" w:name="_Toc24913"/>
      <w:bookmarkStart w:id="297" w:name="_Toc316292251"/>
      <w:bookmarkStart w:id="298" w:name="_Toc217446099"/>
      <w:r>
        <w:rPr>
          <w:rFonts w:hint="eastAsia"/>
          <w:color w:val="auto"/>
        </w:rPr>
        <w:t>熟悉和理解招标文件和停止评标</w:t>
      </w:r>
      <w:bookmarkEnd w:id="295"/>
      <w:bookmarkEnd w:id="296"/>
      <w:bookmarkEnd w:id="297"/>
    </w:p>
    <w:p>
      <w:pPr>
        <w:numPr>
          <w:ilvl w:val="0"/>
          <w:numId w:val="56"/>
        </w:numPr>
        <w:tabs>
          <w:tab w:val="left" w:pos="851"/>
        </w:tabs>
        <w:ind w:firstLine="504"/>
        <w:rPr>
          <w:rFonts w:ascii="宋体" w:hAnsi="宋体"/>
          <w:szCs w:val="24"/>
        </w:rPr>
      </w:pPr>
      <w:r>
        <w:rPr>
          <w:rFonts w:hint="eastAsia" w:ascii="宋体" w:hAnsi="宋体"/>
          <w:szCs w:val="24"/>
        </w:rPr>
        <w:t>评标委员会正式评标前，应当对招标文件进行熟悉和理解，内容主要包括采购项目技术、服务和商务要求、评标方法和标准以及可能涉及签订政府合同的内容等。</w:t>
      </w:r>
    </w:p>
    <w:p>
      <w:pPr>
        <w:numPr>
          <w:ilvl w:val="0"/>
          <w:numId w:val="56"/>
        </w:numPr>
        <w:tabs>
          <w:tab w:val="left" w:pos="851"/>
        </w:tabs>
        <w:ind w:firstLine="504"/>
        <w:rPr>
          <w:rFonts w:ascii="宋体" w:hAnsi="宋体"/>
          <w:szCs w:val="24"/>
        </w:rPr>
      </w:pPr>
      <w:r>
        <w:rPr>
          <w:rFonts w:hint="eastAsia" w:ascii="宋体" w:hAnsi="宋体"/>
          <w:szCs w:val="24"/>
        </w:rPr>
        <w:t>评标委员会熟悉和理解招标文件以及评标过程中，发现本招标文件有下列情形之一的，评标委员会应当停止评标：</w:t>
      </w:r>
    </w:p>
    <w:p>
      <w:pPr>
        <w:numPr>
          <w:ilvl w:val="0"/>
          <w:numId w:val="57"/>
        </w:numPr>
        <w:tabs>
          <w:tab w:val="left" w:pos="851"/>
        </w:tabs>
        <w:ind w:firstLine="504"/>
        <w:rPr>
          <w:rFonts w:ascii="宋体" w:hAnsi="宋体"/>
          <w:szCs w:val="24"/>
        </w:rPr>
      </w:pPr>
      <w:r>
        <w:rPr>
          <w:rFonts w:hint="eastAsia" w:ascii="宋体" w:hAnsi="宋体"/>
          <w:szCs w:val="24"/>
        </w:rPr>
        <w:t>招标文件的规定存在歧义、重大缺陷的；</w:t>
      </w:r>
    </w:p>
    <w:p>
      <w:pPr>
        <w:numPr>
          <w:ilvl w:val="0"/>
          <w:numId w:val="57"/>
        </w:numPr>
        <w:tabs>
          <w:tab w:val="left" w:pos="851"/>
        </w:tabs>
        <w:ind w:firstLine="504"/>
        <w:rPr>
          <w:rFonts w:ascii="宋体" w:hAnsi="宋体"/>
          <w:szCs w:val="24"/>
        </w:rPr>
      </w:pPr>
      <w:r>
        <w:rPr>
          <w:rFonts w:hint="eastAsia" w:ascii="宋体" w:hAnsi="宋体"/>
          <w:szCs w:val="24"/>
        </w:rPr>
        <w:t>招标文件明显以不合理条件对投标人实行差别待遇或者歧视待遇的；</w:t>
      </w:r>
    </w:p>
    <w:p>
      <w:pPr>
        <w:pStyle w:val="2"/>
        <w:numPr>
          <w:ilvl w:val="0"/>
          <w:numId w:val="57"/>
        </w:numPr>
        <w:spacing w:line="360" w:lineRule="auto"/>
        <w:ind w:firstLine="504"/>
      </w:pPr>
      <w:r>
        <w:rPr>
          <w:rFonts w:hint="eastAsia" w:ascii="宋体" w:hAnsi="宋体"/>
          <w:szCs w:val="24"/>
        </w:rPr>
        <w:t>采购项目属于国家规定的优先、强制采购范围，但是招标文件未依法体现优先、强制采购相关规定的；</w:t>
      </w:r>
    </w:p>
    <w:p>
      <w:pPr>
        <w:numPr>
          <w:ilvl w:val="0"/>
          <w:numId w:val="57"/>
        </w:numPr>
        <w:tabs>
          <w:tab w:val="left" w:pos="851"/>
        </w:tabs>
        <w:ind w:firstLine="504"/>
        <w:rPr>
          <w:rFonts w:ascii="宋体" w:hAnsi="宋体"/>
          <w:szCs w:val="24"/>
        </w:rPr>
      </w:pPr>
      <w:r>
        <w:rPr>
          <w:rFonts w:hint="eastAsia" w:ascii="宋体" w:hAnsi="宋体"/>
          <w:szCs w:val="24"/>
        </w:rPr>
        <w:t>采购项目属于政府采购促进中小企业发展的范围，但是招标文件未依法体现促进中小企业发展相关规定的；</w:t>
      </w:r>
    </w:p>
    <w:p>
      <w:pPr>
        <w:numPr>
          <w:ilvl w:val="0"/>
          <w:numId w:val="57"/>
        </w:numPr>
        <w:tabs>
          <w:tab w:val="left" w:pos="851"/>
        </w:tabs>
        <w:ind w:firstLine="504"/>
        <w:rPr>
          <w:rFonts w:ascii="宋体" w:hAnsi="宋体"/>
          <w:szCs w:val="24"/>
        </w:rPr>
      </w:pPr>
      <w:r>
        <w:rPr>
          <w:rFonts w:hint="eastAsia" w:ascii="宋体" w:hAnsi="宋体"/>
          <w:szCs w:val="24"/>
        </w:rPr>
        <w:t>招标文件规定的评标方法是综合评分法、最低评标价法之外的评标方法，或者虽然名称为综合评分法、最低评标价法，但实际上不符合国家规定；</w:t>
      </w:r>
    </w:p>
    <w:p>
      <w:pPr>
        <w:numPr>
          <w:ilvl w:val="0"/>
          <w:numId w:val="57"/>
        </w:numPr>
        <w:tabs>
          <w:tab w:val="left" w:pos="851"/>
        </w:tabs>
        <w:ind w:firstLine="504"/>
        <w:rPr>
          <w:rFonts w:ascii="宋体" w:hAnsi="宋体"/>
          <w:szCs w:val="24"/>
        </w:rPr>
      </w:pPr>
      <w:r>
        <w:rPr>
          <w:rFonts w:hint="eastAsia" w:ascii="宋体" w:hAnsi="宋体"/>
          <w:szCs w:val="24"/>
        </w:rPr>
        <w:t>招标文件将投标人的资格条件列为评分因素的；</w:t>
      </w:r>
    </w:p>
    <w:p>
      <w:pPr>
        <w:numPr>
          <w:ilvl w:val="0"/>
          <w:numId w:val="57"/>
        </w:numPr>
        <w:tabs>
          <w:tab w:val="left" w:pos="851"/>
        </w:tabs>
        <w:ind w:firstLine="504"/>
        <w:rPr>
          <w:rFonts w:ascii="宋体" w:hAnsi="宋体"/>
          <w:szCs w:val="24"/>
        </w:rPr>
      </w:pPr>
      <w:r>
        <w:rPr>
          <w:rFonts w:hint="eastAsia" w:ascii="宋体" w:hAnsi="宋体"/>
          <w:szCs w:val="24"/>
        </w:rPr>
        <w:t>招标文件有违反国家其他有关强制性规定的情形。</w:t>
      </w:r>
    </w:p>
    <w:p>
      <w:pPr>
        <w:tabs>
          <w:tab w:val="left" w:pos="851"/>
        </w:tabs>
        <w:ind w:firstLine="753" w:firstLineChars="300"/>
        <w:rPr>
          <w:rFonts w:ascii="宋体" w:hAnsi="宋体"/>
          <w:szCs w:val="24"/>
        </w:rPr>
      </w:pPr>
      <w:r>
        <w:rPr>
          <w:rFonts w:hint="eastAsia" w:ascii="宋体" w:hAnsi="宋体"/>
          <w:szCs w:val="24"/>
        </w:rPr>
        <w:t>出现上述规定的应当停止评标情形的，评标委员会成员应当向采购组织单位书面说明情况，说明停止评审的情形和具体理由。除本条规定和评标委员会无法依法组建的情形外，评标委员会成员不得以任何方式和理由停止评标。</w:t>
      </w:r>
    </w:p>
    <w:p>
      <w:pPr>
        <w:pStyle w:val="6"/>
        <w:ind w:left="342" w:leftChars="0" w:firstLine="506" w:firstLineChars="0"/>
        <w:rPr>
          <w:color w:val="auto"/>
          <w:szCs w:val="24"/>
        </w:rPr>
      </w:pPr>
      <w:bookmarkStart w:id="299" w:name="_Toc7871"/>
      <w:r>
        <w:rPr>
          <w:rFonts w:hint="eastAsia"/>
          <w:color w:val="auto"/>
          <w:szCs w:val="24"/>
        </w:rPr>
        <w:t>符合性检查</w:t>
      </w:r>
      <w:bookmarkEnd w:id="299"/>
    </w:p>
    <w:p>
      <w:pPr>
        <w:ind w:firstLine="504"/>
        <w:rPr>
          <w:rFonts w:ascii="宋体" w:hAnsi="宋体"/>
          <w:szCs w:val="24"/>
        </w:rPr>
      </w:pPr>
      <w:r>
        <w:rPr>
          <w:rFonts w:hint="eastAsia" w:ascii="宋体" w:hAnsi="宋体"/>
          <w:szCs w:val="24"/>
        </w:rPr>
        <w:t>投标人投标文件需同时符合下列情况，有任意一项不符合要求，在符合性检查时按照无效投标处理：</w:t>
      </w:r>
    </w:p>
    <w:tbl>
      <w:tblPr>
        <w:tblStyle w:val="43"/>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370"/>
        <w:gridCol w:w="3840"/>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ind w:firstLine="0" w:firstLineChars="0"/>
              <w:jc w:val="both"/>
              <w:rPr>
                <w:rFonts w:ascii="宋体" w:hAnsi="宋体"/>
                <w:szCs w:val="24"/>
              </w:rPr>
            </w:pPr>
            <w:r>
              <w:rPr>
                <w:rFonts w:hint="eastAsia" w:ascii="宋体" w:hAnsi="宋体"/>
                <w:szCs w:val="24"/>
              </w:rPr>
              <w:t>序号</w:t>
            </w:r>
          </w:p>
        </w:tc>
        <w:tc>
          <w:tcPr>
            <w:tcW w:w="2370" w:type="dxa"/>
            <w:noWrap w:val="0"/>
            <w:vAlign w:val="top"/>
          </w:tcPr>
          <w:p>
            <w:pPr>
              <w:ind w:firstLine="0" w:firstLineChars="0"/>
              <w:jc w:val="both"/>
              <w:rPr>
                <w:rFonts w:ascii="宋体" w:hAnsi="宋体"/>
                <w:szCs w:val="24"/>
              </w:rPr>
            </w:pPr>
            <w:r>
              <w:rPr>
                <w:rFonts w:hint="eastAsia" w:ascii="宋体" w:hAnsi="宋体"/>
                <w:szCs w:val="24"/>
              </w:rPr>
              <w:t>符合性审查项</w:t>
            </w:r>
          </w:p>
        </w:tc>
        <w:tc>
          <w:tcPr>
            <w:tcW w:w="3840" w:type="dxa"/>
            <w:noWrap w:val="0"/>
            <w:vAlign w:val="top"/>
          </w:tcPr>
          <w:p>
            <w:pPr>
              <w:ind w:firstLine="0" w:firstLineChars="0"/>
              <w:jc w:val="both"/>
              <w:rPr>
                <w:rFonts w:ascii="宋体" w:hAnsi="宋体"/>
                <w:szCs w:val="24"/>
              </w:rPr>
            </w:pPr>
            <w:r>
              <w:rPr>
                <w:rFonts w:hint="eastAsia" w:ascii="宋体" w:hAnsi="宋体"/>
                <w:szCs w:val="24"/>
              </w:rPr>
              <w:t>通过条件</w:t>
            </w:r>
          </w:p>
        </w:tc>
        <w:tc>
          <w:tcPr>
            <w:tcW w:w="2278" w:type="dxa"/>
            <w:noWrap w:val="0"/>
            <w:vAlign w:val="top"/>
          </w:tcPr>
          <w:p>
            <w:pPr>
              <w:ind w:firstLine="0" w:firstLineChars="0"/>
              <w:jc w:val="both"/>
              <w:rPr>
                <w:rFonts w:ascii="宋体" w:hAnsi="宋体"/>
                <w:szCs w:val="24"/>
              </w:rPr>
            </w:pPr>
            <w:r>
              <w:rPr>
                <w:rFonts w:hint="eastAsia" w:ascii="宋体" w:hAnsi="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74" w:type="dxa"/>
            <w:noWrap w:val="0"/>
            <w:vAlign w:val="top"/>
          </w:tcPr>
          <w:p>
            <w:pPr>
              <w:ind w:firstLine="0" w:firstLineChars="0"/>
              <w:jc w:val="both"/>
              <w:rPr>
                <w:rFonts w:ascii="宋体" w:hAnsi="宋体"/>
                <w:szCs w:val="24"/>
              </w:rPr>
            </w:pPr>
            <w:r>
              <w:rPr>
                <w:rFonts w:hint="eastAsia" w:ascii="宋体" w:hAnsi="宋体"/>
                <w:szCs w:val="24"/>
              </w:rPr>
              <w:t>1</w:t>
            </w:r>
          </w:p>
        </w:tc>
        <w:tc>
          <w:tcPr>
            <w:tcW w:w="2370" w:type="dxa"/>
            <w:noWrap w:val="0"/>
            <w:vAlign w:val="top"/>
          </w:tcPr>
          <w:p>
            <w:pPr>
              <w:ind w:firstLine="0" w:firstLineChars="0"/>
              <w:jc w:val="both"/>
              <w:rPr>
                <w:rFonts w:hint="eastAsia" w:ascii="宋体" w:hAnsi="宋体"/>
                <w:szCs w:val="24"/>
              </w:rPr>
            </w:pPr>
            <w:r>
              <w:rPr>
                <w:rFonts w:hint="eastAsia" w:ascii="宋体" w:hAnsi="宋体"/>
                <w:szCs w:val="24"/>
              </w:rPr>
              <w:t>投标文件的组成</w:t>
            </w:r>
          </w:p>
        </w:tc>
        <w:tc>
          <w:tcPr>
            <w:tcW w:w="3840" w:type="dxa"/>
            <w:noWrap w:val="0"/>
            <w:vAlign w:val="top"/>
          </w:tcPr>
          <w:p>
            <w:pPr>
              <w:ind w:firstLine="0" w:firstLineChars="0"/>
              <w:jc w:val="both"/>
              <w:rPr>
                <w:rFonts w:ascii="宋体" w:hAnsi="宋体"/>
                <w:szCs w:val="24"/>
              </w:rPr>
            </w:pPr>
            <w:r>
              <w:rPr>
                <w:rFonts w:hint="eastAsia" w:ascii="宋体" w:hAnsi="宋体"/>
                <w:color w:val="000000"/>
                <w:szCs w:val="28"/>
              </w:rPr>
              <w:t>符合招标文件“投标文件的组成”规定要求。（说明：无须提供证明材料，上传空白页即可，不对本项上传的材料作符合性审查）</w:t>
            </w:r>
          </w:p>
        </w:tc>
        <w:tc>
          <w:tcPr>
            <w:tcW w:w="2278" w:type="dxa"/>
            <w:noWrap w:val="0"/>
            <w:vAlign w:val="top"/>
          </w:tcPr>
          <w:p>
            <w:pPr>
              <w:ind w:firstLine="0" w:firstLineChars="0"/>
              <w:jc w:val="both"/>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ind w:firstLine="0" w:firstLineChars="0"/>
              <w:jc w:val="both"/>
              <w:rPr>
                <w:rFonts w:ascii="宋体" w:hAnsi="宋体"/>
                <w:szCs w:val="24"/>
              </w:rPr>
            </w:pPr>
            <w:r>
              <w:rPr>
                <w:rFonts w:hint="eastAsia" w:ascii="宋体" w:hAnsi="宋体"/>
                <w:szCs w:val="24"/>
              </w:rPr>
              <w:t>2</w:t>
            </w:r>
          </w:p>
        </w:tc>
        <w:tc>
          <w:tcPr>
            <w:tcW w:w="2370" w:type="dxa"/>
            <w:noWrap w:val="0"/>
            <w:vAlign w:val="top"/>
          </w:tcPr>
          <w:p>
            <w:pPr>
              <w:ind w:firstLine="0" w:firstLineChars="0"/>
              <w:jc w:val="both"/>
              <w:rPr>
                <w:rFonts w:ascii="宋体" w:hAnsi="宋体"/>
                <w:szCs w:val="24"/>
              </w:rPr>
            </w:pPr>
            <w:r>
              <w:rPr>
                <w:rFonts w:hint="eastAsia" w:ascii="宋体" w:hAnsi="宋体"/>
                <w:szCs w:val="24"/>
              </w:rPr>
              <w:t>技术、服务性投标文件签署、盖章</w:t>
            </w:r>
          </w:p>
        </w:tc>
        <w:tc>
          <w:tcPr>
            <w:tcW w:w="3840" w:type="dxa"/>
            <w:noWrap w:val="0"/>
            <w:vAlign w:val="top"/>
          </w:tcPr>
          <w:p>
            <w:pPr>
              <w:ind w:firstLine="0" w:firstLineChars="0"/>
              <w:jc w:val="both"/>
              <w:rPr>
                <w:rFonts w:ascii="宋体" w:hAnsi="宋体"/>
                <w:szCs w:val="24"/>
              </w:rPr>
            </w:pPr>
            <w:r>
              <w:rPr>
                <w:rFonts w:hint="eastAsia" w:ascii="宋体" w:hAnsi="宋体"/>
                <w:szCs w:val="24"/>
              </w:rPr>
              <w:t>符合招标文件规定。</w:t>
            </w:r>
            <w:r>
              <w:rPr>
                <w:rFonts w:hint="eastAsia" w:ascii="宋体" w:hAnsi="宋体"/>
                <w:color w:val="000000"/>
                <w:szCs w:val="28"/>
              </w:rPr>
              <w:t>（说明：无须提供证明材料，上传空白页即可，不对本项上传的材料作符合性审查）</w:t>
            </w:r>
          </w:p>
        </w:tc>
        <w:tc>
          <w:tcPr>
            <w:tcW w:w="2278" w:type="dxa"/>
            <w:noWrap w:val="0"/>
            <w:vAlign w:val="top"/>
          </w:tcPr>
          <w:p>
            <w:pPr>
              <w:ind w:firstLine="0" w:firstLineChars="0"/>
              <w:jc w:val="both"/>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ind w:firstLine="0" w:firstLineChars="0"/>
              <w:jc w:val="both"/>
              <w:rPr>
                <w:rFonts w:hint="eastAsia" w:ascii="宋体" w:hAnsi="宋体"/>
                <w:szCs w:val="24"/>
              </w:rPr>
            </w:pPr>
            <w:r>
              <w:rPr>
                <w:rFonts w:hint="eastAsia" w:ascii="宋体" w:hAnsi="宋体"/>
                <w:szCs w:val="24"/>
              </w:rPr>
              <w:t>3</w:t>
            </w:r>
          </w:p>
        </w:tc>
        <w:tc>
          <w:tcPr>
            <w:tcW w:w="2370" w:type="dxa"/>
            <w:noWrap w:val="0"/>
            <w:vAlign w:val="top"/>
          </w:tcPr>
          <w:p>
            <w:pPr>
              <w:ind w:firstLine="0" w:firstLineChars="0"/>
              <w:jc w:val="both"/>
              <w:rPr>
                <w:rFonts w:hint="eastAsia" w:ascii="宋体" w:hAnsi="宋体"/>
                <w:szCs w:val="24"/>
              </w:rPr>
            </w:pPr>
            <w:r>
              <w:rPr>
                <w:rFonts w:hint="eastAsia" w:ascii="宋体" w:hAnsi="宋体"/>
                <w:szCs w:val="24"/>
              </w:rPr>
              <w:t>技术、服务性投标文件</w:t>
            </w:r>
            <w:r>
              <w:rPr>
                <w:rFonts w:hint="eastAsia" w:ascii="宋体" w:hAnsi="宋体"/>
                <w:color w:val="000000"/>
                <w:szCs w:val="28"/>
              </w:rPr>
              <w:t>的计量单位、语言、报价货币</w:t>
            </w:r>
          </w:p>
        </w:tc>
        <w:tc>
          <w:tcPr>
            <w:tcW w:w="3840" w:type="dxa"/>
            <w:noWrap w:val="0"/>
            <w:vAlign w:val="top"/>
          </w:tcPr>
          <w:p>
            <w:pPr>
              <w:ind w:firstLine="0" w:firstLineChars="0"/>
              <w:jc w:val="both"/>
              <w:rPr>
                <w:rFonts w:hint="eastAsia" w:ascii="宋体" w:hAnsi="宋体"/>
                <w:szCs w:val="24"/>
              </w:rPr>
            </w:pPr>
            <w:r>
              <w:rPr>
                <w:rFonts w:hint="eastAsia" w:ascii="宋体" w:hAnsi="宋体"/>
                <w:color w:val="000000"/>
                <w:szCs w:val="28"/>
              </w:rPr>
              <w:t>计量单位、语言、报价货币均符合招标文件的要求。（说明：无须提供证明材料，上传空白页即可，不对本项上传的材料作符合性审查）</w:t>
            </w:r>
          </w:p>
        </w:tc>
        <w:tc>
          <w:tcPr>
            <w:tcW w:w="2278" w:type="dxa"/>
            <w:noWrap w:val="0"/>
            <w:vAlign w:val="top"/>
          </w:tcPr>
          <w:p>
            <w:pPr>
              <w:ind w:firstLine="0" w:firstLineChars="0"/>
              <w:jc w:val="both"/>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ind w:firstLine="0" w:firstLineChars="0"/>
              <w:jc w:val="both"/>
              <w:rPr>
                <w:rFonts w:ascii="宋体" w:hAnsi="宋体"/>
                <w:szCs w:val="24"/>
              </w:rPr>
            </w:pPr>
            <w:r>
              <w:rPr>
                <w:rFonts w:hint="eastAsia" w:ascii="宋体" w:hAnsi="宋体"/>
                <w:szCs w:val="24"/>
              </w:rPr>
              <w:t>4</w:t>
            </w:r>
          </w:p>
        </w:tc>
        <w:tc>
          <w:tcPr>
            <w:tcW w:w="2370" w:type="dxa"/>
            <w:noWrap w:val="0"/>
            <w:vAlign w:val="top"/>
          </w:tcPr>
          <w:p>
            <w:pPr>
              <w:ind w:firstLine="0" w:firstLineChars="0"/>
              <w:jc w:val="both"/>
              <w:rPr>
                <w:rFonts w:hint="eastAsia" w:ascii="宋体" w:hAnsi="宋体"/>
                <w:szCs w:val="24"/>
              </w:rPr>
            </w:pPr>
            <w:r>
              <w:rPr>
                <w:rFonts w:hint="eastAsia" w:ascii="宋体" w:hAnsi="宋体"/>
                <w:color w:val="000000"/>
                <w:szCs w:val="28"/>
              </w:rPr>
              <w:t>投标报价</w:t>
            </w:r>
          </w:p>
        </w:tc>
        <w:tc>
          <w:tcPr>
            <w:tcW w:w="3840" w:type="dxa"/>
            <w:noWrap w:val="0"/>
            <w:vAlign w:val="top"/>
          </w:tcPr>
          <w:p>
            <w:pPr>
              <w:ind w:firstLine="0" w:firstLineChars="0"/>
              <w:jc w:val="both"/>
              <w:rPr>
                <w:rFonts w:hint="eastAsia" w:ascii="宋体" w:hAnsi="宋体"/>
                <w:color w:val="000000"/>
                <w:szCs w:val="28"/>
              </w:rPr>
            </w:pPr>
            <w:r>
              <w:rPr>
                <w:rFonts w:ascii="宋体" w:hAnsi="宋体"/>
                <w:color w:val="000000"/>
                <w:szCs w:val="28"/>
              </w:rPr>
              <w:t>符合招标文件规定的价格标底和其他报价规定</w:t>
            </w:r>
            <w:r>
              <w:rPr>
                <w:rFonts w:hint="eastAsia" w:ascii="宋体" w:hAnsi="宋体"/>
                <w:color w:val="000000"/>
                <w:szCs w:val="28"/>
              </w:rPr>
              <w:t>。</w:t>
            </w:r>
          </w:p>
        </w:tc>
        <w:tc>
          <w:tcPr>
            <w:tcW w:w="2278" w:type="dxa"/>
            <w:noWrap w:val="0"/>
            <w:vAlign w:val="top"/>
          </w:tcPr>
          <w:p>
            <w:pPr>
              <w:ind w:firstLine="0" w:firstLineChars="0"/>
              <w:jc w:val="both"/>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noWrap w:val="0"/>
            <w:vAlign w:val="top"/>
          </w:tcPr>
          <w:p>
            <w:pPr>
              <w:ind w:firstLine="0" w:firstLineChars="0"/>
              <w:jc w:val="both"/>
              <w:rPr>
                <w:rFonts w:hint="eastAsia" w:ascii="宋体" w:hAnsi="宋体"/>
                <w:szCs w:val="24"/>
              </w:rPr>
            </w:pPr>
            <w:r>
              <w:rPr>
                <w:rFonts w:hint="eastAsia" w:ascii="宋体" w:hAnsi="宋体"/>
                <w:szCs w:val="24"/>
              </w:rPr>
              <w:t>5</w:t>
            </w:r>
          </w:p>
        </w:tc>
        <w:tc>
          <w:tcPr>
            <w:tcW w:w="2370" w:type="dxa"/>
            <w:noWrap w:val="0"/>
            <w:vAlign w:val="top"/>
          </w:tcPr>
          <w:p>
            <w:pPr>
              <w:ind w:firstLine="0" w:firstLineChars="0"/>
              <w:jc w:val="both"/>
              <w:rPr>
                <w:rFonts w:ascii="宋体" w:hAnsi="宋体"/>
                <w:szCs w:val="24"/>
              </w:rPr>
            </w:pPr>
            <w:r>
              <w:rPr>
                <w:rFonts w:hint="eastAsia" w:ascii="宋体" w:hAnsi="宋体"/>
                <w:szCs w:val="24"/>
              </w:rPr>
              <w:t>第四章打★的要求</w:t>
            </w:r>
          </w:p>
        </w:tc>
        <w:tc>
          <w:tcPr>
            <w:tcW w:w="3840" w:type="dxa"/>
            <w:noWrap w:val="0"/>
            <w:vAlign w:val="top"/>
          </w:tcPr>
          <w:p>
            <w:pPr>
              <w:ind w:firstLine="0" w:firstLineChars="0"/>
              <w:jc w:val="both"/>
              <w:rPr>
                <w:rFonts w:hint="eastAsia" w:ascii="宋体" w:hAnsi="宋体"/>
                <w:szCs w:val="24"/>
              </w:rPr>
            </w:pPr>
            <w:r>
              <w:rPr>
                <w:rFonts w:hint="eastAsia" w:ascii="宋体" w:hAnsi="宋体"/>
                <w:szCs w:val="24"/>
              </w:rPr>
              <w:t>应答内容完全符合第四章打★的要求。</w:t>
            </w:r>
            <w:r>
              <w:rPr>
                <w:rFonts w:hint="eastAsia" w:ascii="宋体" w:hAnsi="宋体"/>
                <w:color w:val="000000"/>
                <w:szCs w:val="28"/>
              </w:rPr>
              <w:t>（</w:t>
            </w:r>
            <w:r>
              <w:rPr>
                <w:rFonts w:hint="eastAsia" w:ascii="宋体" w:hAnsi="宋体"/>
                <w:szCs w:val="24"/>
              </w:rPr>
              <w:t>说明：</w:t>
            </w:r>
            <w:r>
              <w:rPr>
                <w:rFonts w:hint="eastAsia" w:ascii="宋体" w:hAnsi="宋体"/>
                <w:szCs w:val="24"/>
                <w:lang w:val="en-US" w:eastAsia="zh-CN"/>
              </w:rPr>
              <w:t>要求提供证明材料的按要求上传证明材料，是否超过最高限价根据投标报价判断</w:t>
            </w:r>
            <w:r>
              <w:rPr>
                <w:rFonts w:hint="eastAsia" w:ascii="宋体" w:hAnsi="宋体"/>
                <w:szCs w:val="24"/>
              </w:rPr>
              <w:t>）</w:t>
            </w:r>
          </w:p>
        </w:tc>
        <w:tc>
          <w:tcPr>
            <w:tcW w:w="2278" w:type="dxa"/>
            <w:noWrap w:val="0"/>
            <w:vAlign w:val="top"/>
          </w:tcPr>
          <w:p>
            <w:pPr>
              <w:ind w:firstLine="0" w:firstLineChars="0"/>
              <w:jc w:val="both"/>
              <w:rPr>
                <w:rFonts w:ascii="宋体" w:hAnsi="宋体"/>
                <w:szCs w:val="24"/>
              </w:rPr>
            </w:pPr>
          </w:p>
        </w:tc>
      </w:tr>
    </w:tbl>
    <w:p>
      <w:pPr>
        <w:pStyle w:val="6"/>
        <w:ind w:left="342" w:leftChars="0" w:firstLine="506" w:firstLineChars="0"/>
        <w:rPr>
          <w:color w:val="auto"/>
          <w:szCs w:val="24"/>
        </w:rPr>
      </w:pPr>
      <w:bookmarkStart w:id="300" w:name="_Toc2932"/>
      <w:r>
        <w:rPr>
          <w:rFonts w:hint="eastAsia"/>
          <w:color w:val="auto"/>
          <w:szCs w:val="24"/>
        </w:rPr>
        <w:t>解释、澄清有关问题</w:t>
      </w:r>
      <w:bookmarkEnd w:id="300"/>
    </w:p>
    <w:p>
      <w:pPr>
        <w:numPr>
          <w:ilvl w:val="0"/>
          <w:numId w:val="58"/>
        </w:numPr>
        <w:tabs>
          <w:tab w:val="left" w:pos="1134"/>
        </w:tabs>
        <w:spacing w:after="200" w:line="560" w:lineRule="exact"/>
        <w:ind w:left="0" w:firstLine="504"/>
        <w:rPr>
          <w:rFonts w:ascii="宋体" w:hAnsi="宋体"/>
          <w:color w:val="000000"/>
          <w:szCs w:val="24"/>
        </w:rPr>
      </w:pPr>
      <w:r>
        <w:rPr>
          <w:rFonts w:hint="eastAsia" w:ascii="宋体" w:hAnsi="宋体"/>
          <w:color w:val="000000"/>
          <w:szCs w:val="24"/>
        </w:rPr>
        <w:t>评标过程中，评标委员会认为招标文件有关事项表述不明确或需要说明的，可以提请采购代理机构书面解释。采购代理机构的解释不得改变招标文件的原义或者影响公平、公正，解释事项如果涉及投标人权益的以有利于投标人的原则进行解释。</w:t>
      </w:r>
    </w:p>
    <w:p>
      <w:pPr>
        <w:numPr>
          <w:ilvl w:val="0"/>
          <w:numId w:val="58"/>
        </w:numPr>
        <w:tabs>
          <w:tab w:val="left" w:pos="1134"/>
        </w:tabs>
        <w:spacing w:after="200" w:line="560" w:lineRule="exact"/>
        <w:ind w:left="0" w:firstLine="504"/>
        <w:rPr>
          <w:rFonts w:ascii="宋体" w:hAnsi="宋体"/>
          <w:color w:val="000000"/>
          <w:szCs w:val="24"/>
        </w:rPr>
      </w:pPr>
      <w:r>
        <w:rPr>
          <w:rFonts w:hint="eastAsia" w:ascii="宋体" w:hAnsi="宋体"/>
          <w:color w:val="000000"/>
          <w:szCs w:val="24"/>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58"/>
        </w:numPr>
        <w:tabs>
          <w:tab w:val="left" w:pos="1134"/>
        </w:tabs>
        <w:spacing w:after="200" w:line="560" w:lineRule="exact"/>
        <w:ind w:left="0" w:firstLine="504"/>
        <w:rPr>
          <w:rFonts w:ascii="宋体" w:hAnsi="宋体"/>
          <w:color w:val="000000"/>
          <w:szCs w:val="24"/>
        </w:rPr>
      </w:pPr>
      <w:r>
        <w:rPr>
          <w:rFonts w:hint="eastAsia" w:ascii="宋体" w:hAnsi="宋体"/>
          <w:color w:val="000000"/>
          <w:szCs w:val="24"/>
        </w:rPr>
        <w:t>澄清应当不超出投标文件的范围、不实质性改变投标文件的内容、不影响投标人的公平竞争、不导致投标文件从不响应招标文件变为响应招标文件的条件。下列内容不得澄清：</w:t>
      </w:r>
    </w:p>
    <w:p>
      <w:pPr>
        <w:pStyle w:val="71"/>
        <w:numPr>
          <w:ilvl w:val="0"/>
          <w:numId w:val="59"/>
        </w:numPr>
        <w:tabs>
          <w:tab w:val="left" w:pos="1260"/>
        </w:tabs>
        <w:spacing w:after="200" w:line="560" w:lineRule="exact"/>
        <w:ind w:left="0" w:firstLine="525" w:firstLineChars="0"/>
        <w:rPr>
          <w:rFonts w:ascii="宋体" w:hAnsi="宋体"/>
          <w:color w:val="000000"/>
          <w:szCs w:val="24"/>
        </w:rPr>
      </w:pPr>
      <w:r>
        <w:rPr>
          <w:rFonts w:hint="eastAsia" w:ascii="宋体" w:hAnsi="宋体"/>
          <w:color w:val="000000"/>
          <w:szCs w:val="24"/>
        </w:rPr>
        <w:t>投标人投标文件中不响应招标文件规定的技术参数指标和商务应答；</w:t>
      </w:r>
    </w:p>
    <w:p>
      <w:pPr>
        <w:pStyle w:val="71"/>
        <w:numPr>
          <w:ilvl w:val="0"/>
          <w:numId w:val="59"/>
        </w:numPr>
        <w:tabs>
          <w:tab w:val="left" w:pos="1260"/>
        </w:tabs>
        <w:spacing w:after="200" w:line="560" w:lineRule="exact"/>
        <w:ind w:left="0" w:firstLine="525" w:firstLineChars="0"/>
        <w:rPr>
          <w:rFonts w:ascii="宋体" w:hAnsi="宋体"/>
          <w:color w:val="000000"/>
          <w:szCs w:val="24"/>
        </w:rPr>
      </w:pPr>
      <w:r>
        <w:rPr>
          <w:rFonts w:hint="eastAsia" w:ascii="宋体" w:hAnsi="宋体"/>
          <w:color w:val="000000"/>
          <w:szCs w:val="24"/>
        </w:rPr>
        <w:t>投标人投标文件中未提供的证明其是否符合招标文件资格性、符合性规定要求的相关材料。</w:t>
      </w:r>
    </w:p>
    <w:p>
      <w:pPr>
        <w:pStyle w:val="71"/>
        <w:numPr>
          <w:ilvl w:val="0"/>
          <w:numId w:val="59"/>
        </w:numPr>
        <w:tabs>
          <w:tab w:val="left" w:pos="1260"/>
        </w:tabs>
        <w:spacing w:after="200" w:line="560" w:lineRule="exact"/>
        <w:ind w:left="0" w:firstLine="525" w:firstLineChars="0"/>
        <w:rPr>
          <w:rFonts w:ascii="宋体" w:hAnsi="宋体"/>
          <w:color w:val="000000"/>
          <w:szCs w:val="24"/>
        </w:rPr>
      </w:pPr>
      <w:r>
        <w:rPr>
          <w:rFonts w:hint="eastAsia" w:ascii="宋体" w:hAnsi="宋体"/>
          <w:color w:val="000000"/>
          <w:szCs w:val="24"/>
        </w:rPr>
        <w:t>投标人投标文件中的材料因印刷、影印等不清晰而难以辨认的。</w:t>
      </w:r>
    </w:p>
    <w:p>
      <w:pPr>
        <w:numPr>
          <w:ilvl w:val="0"/>
          <w:numId w:val="58"/>
        </w:numPr>
        <w:tabs>
          <w:tab w:val="left" w:pos="1134"/>
        </w:tabs>
        <w:spacing w:after="200" w:line="560" w:lineRule="exact"/>
        <w:ind w:left="0" w:firstLine="504"/>
        <w:rPr>
          <w:color w:val="000000"/>
          <w:szCs w:val="24"/>
        </w:rPr>
      </w:pPr>
      <w:r>
        <w:rPr>
          <w:rFonts w:hint="eastAsia"/>
          <w:color w:val="000000"/>
          <w:szCs w:val="24"/>
        </w:rPr>
        <w:t>对不同语言文本投标文件的解释发生异议的，以中文文本为准。</w:t>
      </w:r>
    </w:p>
    <w:p>
      <w:pPr>
        <w:numPr>
          <w:ilvl w:val="0"/>
          <w:numId w:val="58"/>
        </w:numPr>
        <w:tabs>
          <w:tab w:val="left" w:pos="1134"/>
        </w:tabs>
        <w:spacing w:after="200" w:line="560" w:lineRule="exact"/>
        <w:ind w:left="0" w:firstLine="504"/>
        <w:rPr>
          <w:color w:val="000000"/>
          <w:szCs w:val="24"/>
        </w:rPr>
      </w:pPr>
      <w:r>
        <w:rPr>
          <w:rFonts w:hint="eastAsia"/>
          <w:color w:val="000000"/>
          <w:szCs w:val="24"/>
        </w:rPr>
        <w:t>评标结束之前，投标人应随时关注系统提示，及时通过“政府采购云平台”在线响应评标委员会发出的澄清、说明或补正要求，签章并确认提交成功。逾时回复将不能提交，视为投标人自行放弃，其损失由投标人承担。</w:t>
      </w:r>
      <w:r>
        <w:rPr>
          <w:rFonts w:hint="eastAsia" w:ascii="宋体" w:hAnsi="宋体"/>
          <w:color w:val="000000"/>
          <w:szCs w:val="24"/>
        </w:rPr>
        <w:t>如因断电、断网、系统故障或其他不可抗力等因素</w:t>
      </w:r>
      <w:r>
        <w:rPr>
          <w:rFonts w:hint="eastAsia" w:cs="Arial"/>
          <w:color w:val="000000"/>
          <w:szCs w:val="24"/>
        </w:rPr>
        <w:t>，导致系统无法使用的，由投标人按评标委员会的要求进行澄清、说明或补正。</w:t>
      </w:r>
    </w:p>
    <w:p>
      <w:pPr>
        <w:tabs>
          <w:tab w:val="left" w:pos="851"/>
        </w:tabs>
        <w:spacing w:line="560" w:lineRule="exact"/>
        <w:ind w:firstLine="491" w:firstLineChars="196"/>
        <w:rPr>
          <w:rFonts w:ascii="宋体" w:hAnsi="宋体"/>
          <w:b/>
          <w:color w:val="000000"/>
          <w:szCs w:val="24"/>
        </w:rPr>
      </w:pPr>
      <w:r>
        <w:rPr>
          <w:rFonts w:hint="eastAsia" w:ascii="宋体" w:hAnsi="宋体"/>
          <w:b/>
          <w:color w:val="000000"/>
          <w:szCs w:val="24"/>
        </w:rPr>
        <w:t>评标委员会应当积极履行澄清、说明或者更正的职责，不得滥用权力。</w:t>
      </w:r>
    </w:p>
    <w:p>
      <w:pPr>
        <w:pStyle w:val="6"/>
        <w:ind w:left="342" w:leftChars="0" w:firstLine="506" w:firstLineChars="0"/>
        <w:rPr>
          <w:color w:val="auto"/>
          <w:szCs w:val="24"/>
        </w:rPr>
      </w:pPr>
      <w:bookmarkStart w:id="301" w:name="_Toc315871647"/>
      <w:bookmarkStart w:id="302" w:name="_Toc32133"/>
      <w:bookmarkStart w:id="303" w:name="_Toc316292253"/>
      <w:r>
        <w:rPr>
          <w:rFonts w:hint="eastAsia"/>
          <w:color w:val="auto"/>
          <w:szCs w:val="24"/>
        </w:rPr>
        <w:t>比较与评价</w:t>
      </w:r>
      <w:bookmarkEnd w:id="301"/>
      <w:bookmarkEnd w:id="302"/>
      <w:bookmarkEnd w:id="303"/>
    </w:p>
    <w:p>
      <w:pPr>
        <w:tabs>
          <w:tab w:val="left" w:pos="851"/>
        </w:tabs>
        <w:ind w:firstLine="504"/>
        <w:rPr>
          <w:rFonts w:ascii="宋体" w:hAnsi="宋体"/>
          <w:szCs w:val="24"/>
        </w:rPr>
      </w:pPr>
      <w:r>
        <w:rPr>
          <w:rFonts w:hint="eastAsia" w:ascii="宋体" w:hAnsi="宋体"/>
          <w:szCs w:val="24"/>
        </w:rPr>
        <w:t>按招标文件中规定的评标细则及标准，对资格性检查和符合性检查合格的投标文件进行商务和技术评估，综合比较与评价。</w:t>
      </w:r>
    </w:p>
    <w:p>
      <w:pPr>
        <w:pStyle w:val="6"/>
        <w:ind w:left="342" w:leftChars="0" w:firstLine="506" w:firstLineChars="0"/>
        <w:rPr>
          <w:color w:val="auto"/>
          <w:szCs w:val="24"/>
        </w:rPr>
      </w:pPr>
      <w:bookmarkStart w:id="304" w:name="_Toc18740"/>
      <w:bookmarkStart w:id="305" w:name="_Toc316292254"/>
      <w:bookmarkStart w:id="306" w:name="_Toc315871648"/>
      <w:r>
        <w:rPr>
          <w:rFonts w:hint="eastAsia"/>
          <w:color w:val="auto"/>
          <w:szCs w:val="24"/>
        </w:rPr>
        <w:t>复核</w:t>
      </w:r>
      <w:bookmarkEnd w:id="304"/>
    </w:p>
    <w:p>
      <w:pPr>
        <w:tabs>
          <w:tab w:val="left" w:pos="851"/>
        </w:tabs>
        <w:ind w:firstLine="504"/>
        <w:rPr>
          <w:rFonts w:ascii="宋体" w:hAnsi="宋体"/>
          <w:szCs w:val="24"/>
        </w:rPr>
      </w:pPr>
      <w:r>
        <w:rPr>
          <w:rFonts w:hint="eastAsia" w:ascii="宋体" w:hAnsi="宋体"/>
          <w:szCs w:val="24"/>
        </w:rPr>
        <w:t>评分汇总结束后，评标委员会应当进行复核，特别要对拟推荐为中标候选人的、报价最低的、投标文件被认定为无效的进行重点复核。</w:t>
      </w:r>
    </w:p>
    <w:p>
      <w:pPr>
        <w:pStyle w:val="6"/>
        <w:ind w:left="342" w:leftChars="0" w:firstLine="506" w:firstLineChars="0"/>
        <w:rPr>
          <w:color w:val="auto"/>
          <w:szCs w:val="24"/>
        </w:rPr>
      </w:pPr>
      <w:bookmarkStart w:id="307" w:name="_Toc24884"/>
      <w:r>
        <w:rPr>
          <w:rFonts w:hint="eastAsia"/>
          <w:color w:val="auto"/>
          <w:szCs w:val="24"/>
        </w:rPr>
        <w:t>推荐中标候选</w:t>
      </w:r>
      <w:bookmarkEnd w:id="305"/>
      <w:bookmarkEnd w:id="306"/>
      <w:r>
        <w:rPr>
          <w:rFonts w:hint="eastAsia"/>
          <w:color w:val="auto"/>
          <w:szCs w:val="24"/>
        </w:rPr>
        <w:t>人名单</w:t>
      </w:r>
      <w:bookmarkEnd w:id="307"/>
    </w:p>
    <w:p>
      <w:pPr>
        <w:ind w:firstLine="504"/>
        <w:rPr>
          <w:rFonts w:ascii="宋体"/>
          <w:color w:val="auto"/>
          <w:szCs w:val="24"/>
          <w:highlight w:val="none"/>
        </w:rPr>
      </w:pPr>
      <w:bookmarkStart w:id="308" w:name="_Toc315871649"/>
      <w:bookmarkEnd w:id="308"/>
      <w:bookmarkStart w:id="309" w:name="_Toc315871651"/>
      <w:bookmarkEnd w:id="309"/>
      <w:bookmarkStart w:id="310" w:name="_Toc315871652"/>
      <w:bookmarkEnd w:id="310"/>
      <w:bookmarkStart w:id="311" w:name="_Toc315871650"/>
      <w:bookmarkEnd w:id="311"/>
      <w:bookmarkStart w:id="312" w:name="_Toc316292255"/>
      <w:bookmarkStart w:id="313" w:name="_Toc315871653"/>
      <w:bookmarkStart w:id="314" w:name="_Toc17912"/>
      <w:r>
        <w:rPr>
          <w:rFonts w:hint="eastAsia" w:ascii="宋体" w:hAnsi="宋体"/>
          <w:color w:val="auto"/>
          <w:szCs w:val="24"/>
          <w:highlight w:val="none"/>
        </w:rPr>
        <w:t>按投标人综合得分从高到低进行排序，推荐1-3名中标候选人。综合得分相同的，按投标报价由低到高顺序排列；为扶持不发达地区和少数民族地区，得分且投标报价相同的，评标委员会优先推荐企业注册地在不发达地区</w:t>
      </w:r>
      <w:r>
        <w:rPr>
          <w:rFonts w:hint="eastAsia" w:ascii="宋体" w:hAnsi="宋体"/>
          <w:color w:val="auto"/>
          <w:szCs w:val="24"/>
          <w:highlight w:val="none"/>
          <w:lang w:val="en-US" w:eastAsia="zh-CN"/>
        </w:rPr>
        <w:t>或</w:t>
      </w:r>
      <w:r>
        <w:rPr>
          <w:rFonts w:hint="eastAsia" w:ascii="宋体" w:hAnsi="宋体"/>
          <w:color w:val="auto"/>
          <w:szCs w:val="24"/>
          <w:highlight w:val="none"/>
        </w:rPr>
        <w:t>少数民族地区的投标人。</w:t>
      </w:r>
    </w:p>
    <w:p>
      <w:pPr>
        <w:pStyle w:val="6"/>
        <w:ind w:left="342" w:leftChars="0" w:firstLine="506" w:firstLineChars="0"/>
        <w:rPr>
          <w:color w:val="auto"/>
          <w:szCs w:val="24"/>
        </w:rPr>
      </w:pPr>
      <w:r>
        <w:rPr>
          <w:rFonts w:hint="eastAsia"/>
          <w:color w:val="auto"/>
          <w:szCs w:val="24"/>
        </w:rPr>
        <w:t>编写评标报告</w:t>
      </w:r>
      <w:bookmarkEnd w:id="312"/>
      <w:bookmarkEnd w:id="313"/>
      <w:bookmarkEnd w:id="314"/>
    </w:p>
    <w:p>
      <w:pPr>
        <w:ind w:firstLine="504"/>
        <w:rPr>
          <w:rFonts w:ascii="宋体" w:hAnsi="宋体"/>
          <w:szCs w:val="24"/>
        </w:rPr>
      </w:pPr>
      <w:r>
        <w:rPr>
          <w:rFonts w:hint="eastAsia" w:ascii="宋体" w:hAnsi="宋体"/>
          <w:szCs w:val="24"/>
        </w:rPr>
        <w:t>评标报告是评标委员会根据全体评标成员签字的原始评标记录和评标结果编写的报告，其主要内容包括：</w:t>
      </w:r>
    </w:p>
    <w:p>
      <w:pPr>
        <w:numPr>
          <w:ilvl w:val="0"/>
          <w:numId w:val="60"/>
        </w:numPr>
        <w:tabs>
          <w:tab w:val="left" w:pos="1155"/>
        </w:tabs>
        <w:ind w:firstLine="504"/>
        <w:rPr>
          <w:rFonts w:ascii="宋体" w:hAnsi="宋体"/>
          <w:szCs w:val="24"/>
        </w:rPr>
      </w:pPr>
      <w:r>
        <w:rPr>
          <w:rFonts w:hint="eastAsia" w:ascii="宋体" w:hAnsi="宋体"/>
          <w:szCs w:val="24"/>
        </w:rPr>
        <w:t>招标公告刊登的媒体名称、开标日期和地点；</w:t>
      </w:r>
    </w:p>
    <w:p>
      <w:pPr>
        <w:numPr>
          <w:ilvl w:val="0"/>
          <w:numId w:val="60"/>
        </w:numPr>
        <w:tabs>
          <w:tab w:val="left" w:pos="1155"/>
        </w:tabs>
        <w:ind w:firstLine="504"/>
        <w:rPr>
          <w:rFonts w:ascii="宋体" w:hAnsi="宋体"/>
          <w:szCs w:val="24"/>
        </w:rPr>
      </w:pPr>
      <w:r>
        <w:rPr>
          <w:rFonts w:hint="eastAsia" w:ascii="宋体" w:hAnsi="宋体"/>
          <w:szCs w:val="24"/>
        </w:rPr>
        <w:t>投标人名单和评标委员会成员名单；</w:t>
      </w:r>
    </w:p>
    <w:p>
      <w:pPr>
        <w:numPr>
          <w:ilvl w:val="0"/>
          <w:numId w:val="60"/>
        </w:numPr>
        <w:ind w:firstLine="504"/>
      </w:pPr>
      <w:r>
        <w:rPr>
          <w:rFonts w:hint="eastAsia"/>
        </w:rPr>
        <w:t>评标方法和标准；</w:t>
      </w:r>
    </w:p>
    <w:p>
      <w:pPr>
        <w:numPr>
          <w:ilvl w:val="0"/>
          <w:numId w:val="60"/>
        </w:numPr>
        <w:tabs>
          <w:tab w:val="left" w:pos="1155"/>
        </w:tabs>
        <w:ind w:firstLine="504"/>
        <w:rPr>
          <w:rFonts w:ascii="宋体" w:hAnsi="宋体"/>
          <w:szCs w:val="24"/>
        </w:rPr>
      </w:pPr>
      <w:r>
        <w:rPr>
          <w:rFonts w:hint="eastAsia" w:ascii="宋体" w:hAnsi="宋体"/>
          <w:szCs w:val="24"/>
        </w:rPr>
        <w:t>开标记录和评标情况及说明，包括投标无效投标人名单及原因；</w:t>
      </w:r>
    </w:p>
    <w:p>
      <w:pPr>
        <w:numPr>
          <w:ilvl w:val="0"/>
          <w:numId w:val="60"/>
        </w:numPr>
        <w:tabs>
          <w:tab w:val="left" w:pos="1155"/>
        </w:tabs>
        <w:ind w:firstLine="504"/>
      </w:pPr>
      <w:r>
        <w:rPr>
          <w:rFonts w:hint="eastAsia" w:ascii="宋体" w:hAnsi="宋体"/>
          <w:szCs w:val="24"/>
        </w:rPr>
        <w:t>评标结果，确定的中标候选人名单或者经采购人委托直接确定的中标人；</w:t>
      </w:r>
    </w:p>
    <w:p>
      <w:pPr>
        <w:numPr>
          <w:ilvl w:val="0"/>
          <w:numId w:val="60"/>
        </w:numPr>
        <w:tabs>
          <w:tab w:val="left" w:pos="1155"/>
        </w:tabs>
        <w:ind w:firstLine="504"/>
        <w:rPr>
          <w:rFonts w:ascii="宋体" w:hAnsi="宋体"/>
          <w:szCs w:val="24"/>
        </w:rPr>
      </w:pPr>
      <w:r>
        <w:rPr>
          <w:rFonts w:hint="eastAsia" w:ascii="宋体" w:hAnsi="宋体"/>
          <w:szCs w:val="24"/>
        </w:rPr>
        <w:t>其他需要说明的情况，包括评标过程中投标人根据评标委员会要求进行的澄清、说明或者补正，评标委员会成员的更换等。</w:t>
      </w:r>
    </w:p>
    <w:p>
      <w:pPr>
        <w:tabs>
          <w:tab w:val="left" w:pos="1155"/>
        </w:tabs>
        <w:ind w:firstLine="504"/>
        <w:rPr>
          <w:rFonts w:ascii="宋体" w:hAnsi="宋体"/>
          <w:szCs w:val="24"/>
        </w:rPr>
      </w:pPr>
      <w:r>
        <w:rPr>
          <w:rFonts w:hint="eastAsia" w:ascii="宋体" w:hAnsi="宋体"/>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pPr>
      <w:bookmarkStart w:id="315" w:name="_Toc1730"/>
      <w:bookmarkStart w:id="316" w:name="_Toc30609"/>
      <w:bookmarkStart w:id="317" w:name="_Toc3921"/>
      <w:bookmarkStart w:id="318" w:name="_Toc217446103"/>
      <w:bookmarkStart w:id="319" w:name="_Toc315871654"/>
      <w:bookmarkStart w:id="320" w:name="_Toc316292256"/>
      <w:r>
        <w:rPr>
          <w:rFonts w:hint="eastAsia"/>
        </w:rPr>
        <w:t>评标争议处理规则</w:t>
      </w:r>
      <w:bookmarkEnd w:id="315"/>
      <w:bookmarkEnd w:id="316"/>
      <w:bookmarkEnd w:id="317"/>
    </w:p>
    <w:p>
      <w:pPr>
        <w:tabs>
          <w:tab w:val="left" w:pos="1155"/>
        </w:tabs>
        <w:ind w:firstLine="504"/>
        <w:rPr>
          <w:rFonts w:ascii="宋体" w:hAnsi="宋体"/>
          <w:szCs w:val="24"/>
        </w:rPr>
      </w:pPr>
      <w:r>
        <w:rPr>
          <w:rFonts w:hint="eastAsia" w:ascii="宋体" w:hAnsi="宋体"/>
          <w:szCs w:val="24"/>
        </w:rPr>
        <w:t>评标委员会在评审过程中，对于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5"/>
      </w:pPr>
      <w:bookmarkStart w:id="321" w:name="_Toc20618"/>
      <w:bookmarkStart w:id="322" w:name="_Toc25043"/>
      <w:bookmarkStart w:id="323" w:name="_Toc23156"/>
      <w:r>
        <w:rPr>
          <w:rFonts w:hint="eastAsia"/>
        </w:rPr>
        <w:t>招标采购单位现场复核评标结果</w:t>
      </w:r>
      <w:bookmarkEnd w:id="321"/>
      <w:bookmarkEnd w:id="322"/>
      <w:bookmarkEnd w:id="323"/>
    </w:p>
    <w:p>
      <w:pPr>
        <w:pStyle w:val="201"/>
        <w:numPr>
          <w:ilvl w:val="0"/>
          <w:numId w:val="61"/>
        </w:numPr>
        <w:spacing w:line="360" w:lineRule="auto"/>
        <w:ind w:firstLine="502" w:firstLineChars="200"/>
        <w:rPr>
          <w:rFonts w:cs="Times New Roman"/>
          <w:kern w:val="2"/>
        </w:rPr>
      </w:pPr>
      <w:r>
        <w:rPr>
          <w:rFonts w:hint="eastAsia" w:cs="Times New Roman"/>
          <w:kern w:val="2"/>
        </w:rPr>
        <w:t>评标结果汇总完成后，评标委员会拟出具评标报告前，采购组织单位应当组织2名以上的本单位工作人员，在采购现场监督人员的监督之下，依据有关的法律制度和采购文件对评标结果进行复核，出具复核报告。存在下列情形之一的，采购组织单位应当根据情况书面建议评标委员会现场修改评标结果或者重新评标：</w:t>
      </w:r>
    </w:p>
    <w:p>
      <w:pPr>
        <w:pStyle w:val="201"/>
        <w:spacing w:line="360" w:lineRule="auto"/>
        <w:ind w:firstLine="502" w:firstLineChars="200"/>
        <w:rPr>
          <w:rFonts w:cs="Times New Roman"/>
          <w:kern w:val="2"/>
        </w:rPr>
      </w:pPr>
      <w:r>
        <w:rPr>
          <w:rFonts w:hint="eastAsia" w:cs="Times New Roman"/>
          <w:kern w:val="2"/>
        </w:rPr>
        <w:t>（一）分值汇总计算错误的；</w:t>
      </w:r>
    </w:p>
    <w:p>
      <w:pPr>
        <w:pStyle w:val="201"/>
        <w:spacing w:line="360" w:lineRule="auto"/>
        <w:ind w:firstLine="502" w:firstLineChars="200"/>
        <w:rPr>
          <w:rFonts w:cs="Times New Roman"/>
          <w:kern w:val="2"/>
        </w:rPr>
      </w:pPr>
      <w:r>
        <w:rPr>
          <w:rFonts w:hint="eastAsia" w:cs="Times New Roman"/>
          <w:kern w:val="2"/>
        </w:rPr>
        <w:t>（二）分项评分超出评分标准范围的；</w:t>
      </w:r>
    </w:p>
    <w:p>
      <w:pPr>
        <w:pStyle w:val="201"/>
        <w:spacing w:line="360" w:lineRule="auto"/>
        <w:ind w:firstLine="502" w:firstLineChars="200"/>
        <w:rPr>
          <w:rFonts w:cs="Times New Roman"/>
          <w:kern w:val="2"/>
        </w:rPr>
      </w:pPr>
      <w:r>
        <w:rPr>
          <w:rFonts w:hint="eastAsia" w:cs="Times New Roman"/>
          <w:kern w:val="2"/>
        </w:rPr>
        <w:t>（三）客观评分不一致的。</w:t>
      </w:r>
    </w:p>
    <w:p>
      <w:pPr>
        <w:pStyle w:val="201"/>
        <w:spacing w:line="360" w:lineRule="auto"/>
        <w:ind w:firstLine="502" w:firstLineChars="200"/>
        <w:rPr>
          <w:rFonts w:cs="Times New Roman"/>
          <w:kern w:val="2"/>
        </w:rPr>
      </w:pPr>
      <w:r>
        <w:rPr>
          <w:rFonts w:hint="eastAsia" w:cs="Times New Roman"/>
          <w:kern w:val="2"/>
        </w:rPr>
        <w:t>存在本条上述规定情形的，由评标委员会自主决定是否采纳采购组织单位的书面建议，并承担独立评审责任。评标委员会采纳采购组织单位书面建议的，应当按照规定现场修改评标结果或者重新评标，并在评标报告中详细记载有关事宜；不采纳采购组织单位书面建议的，应当书面说明理由。采购组织单位书面建议未被评标委员会采纳的，应当按照规定程序要求继续组织实施采购活动，不得擅自中止采购活动。采购组织单位认为评标委员会评标结果不合法的，应当书面报告采购项目同级财政部门依法处理。</w:t>
      </w:r>
    </w:p>
    <w:p>
      <w:pPr>
        <w:pStyle w:val="201"/>
        <w:numPr>
          <w:ilvl w:val="0"/>
          <w:numId w:val="61"/>
        </w:numPr>
        <w:spacing w:line="360" w:lineRule="auto"/>
        <w:ind w:firstLine="502" w:firstLineChars="200"/>
        <w:rPr>
          <w:rFonts w:cs="Times New Roman"/>
          <w:kern w:val="2"/>
        </w:rPr>
      </w:pPr>
      <w:r>
        <w:rPr>
          <w:rFonts w:hint="eastAsia" w:cs="Times New Roman"/>
          <w:kern w:val="2"/>
        </w:rPr>
        <w:t>有下列情形之一的，不得修改评标结果或者重新评标：</w:t>
      </w:r>
    </w:p>
    <w:p>
      <w:pPr>
        <w:pStyle w:val="201"/>
        <w:spacing w:line="360" w:lineRule="auto"/>
        <w:ind w:firstLine="502" w:firstLineChars="200"/>
        <w:rPr>
          <w:rFonts w:cs="Times New Roman"/>
          <w:kern w:val="2"/>
        </w:rPr>
      </w:pPr>
      <w:r>
        <w:rPr>
          <w:rFonts w:hint="eastAsia" w:cs="Times New Roman"/>
          <w:kern w:val="2"/>
        </w:rPr>
        <w:t>（一）评标委员会已经出具评标报告并且离开评标现场的；</w:t>
      </w:r>
    </w:p>
    <w:p>
      <w:pPr>
        <w:pStyle w:val="201"/>
        <w:spacing w:line="360" w:lineRule="auto"/>
        <w:ind w:firstLine="502" w:firstLineChars="200"/>
        <w:rPr>
          <w:rFonts w:cs="Times New Roman"/>
          <w:kern w:val="2"/>
        </w:rPr>
      </w:pPr>
      <w:r>
        <w:rPr>
          <w:rFonts w:hint="eastAsia" w:cs="Times New Roman"/>
          <w:kern w:val="2"/>
        </w:rPr>
        <w:t>（二）采购组织单位现场复核时，复核工作人员数量不足的；</w:t>
      </w:r>
    </w:p>
    <w:p>
      <w:pPr>
        <w:pStyle w:val="201"/>
        <w:spacing w:line="360" w:lineRule="auto"/>
        <w:ind w:firstLine="502" w:firstLineChars="200"/>
        <w:rPr>
          <w:rFonts w:cs="Times New Roman"/>
          <w:kern w:val="2"/>
        </w:rPr>
      </w:pPr>
      <w:r>
        <w:rPr>
          <w:rFonts w:hint="eastAsia" w:cs="Times New Roman"/>
          <w:kern w:val="2"/>
        </w:rPr>
        <w:t>（三）采购组织单位现场复核时，没有采购监督人员现场监督的；</w:t>
      </w:r>
    </w:p>
    <w:p>
      <w:pPr>
        <w:pStyle w:val="201"/>
        <w:spacing w:line="360" w:lineRule="auto"/>
        <w:ind w:firstLine="502" w:firstLineChars="200"/>
        <w:rPr>
          <w:rFonts w:cs="Times New Roman"/>
          <w:kern w:val="2"/>
        </w:rPr>
      </w:pPr>
      <w:r>
        <w:rPr>
          <w:rFonts w:hint="eastAsia" w:cs="Times New Roman"/>
          <w:kern w:val="2"/>
        </w:rPr>
        <w:t>（四）采购组织单位现场复核内容超出规定范围的；</w:t>
      </w:r>
    </w:p>
    <w:p>
      <w:pPr>
        <w:pStyle w:val="201"/>
        <w:spacing w:line="360" w:lineRule="auto"/>
        <w:ind w:firstLine="502" w:firstLineChars="200"/>
      </w:pPr>
      <w:r>
        <w:rPr>
          <w:rFonts w:hint="eastAsia" w:cs="Times New Roman"/>
          <w:kern w:val="2"/>
        </w:rPr>
        <w:t>（五）采购组织单位未提供书面建议的。</w:t>
      </w:r>
    </w:p>
    <w:bookmarkEnd w:id="318"/>
    <w:bookmarkEnd w:id="319"/>
    <w:bookmarkEnd w:id="320"/>
    <w:p>
      <w:pPr>
        <w:pStyle w:val="5"/>
      </w:pPr>
      <w:bookmarkStart w:id="324" w:name="_Toc315871725"/>
      <w:bookmarkEnd w:id="324"/>
      <w:bookmarkStart w:id="325" w:name="_Toc320624275"/>
      <w:bookmarkEnd w:id="325"/>
      <w:bookmarkStart w:id="326" w:name="_Toc320624265"/>
      <w:bookmarkEnd w:id="326"/>
      <w:bookmarkStart w:id="327" w:name="_Toc315871657"/>
      <w:bookmarkEnd w:id="327"/>
      <w:bookmarkStart w:id="328" w:name="_Toc320624255"/>
      <w:bookmarkEnd w:id="328"/>
      <w:bookmarkStart w:id="329" w:name="_Toc320624295"/>
      <w:bookmarkEnd w:id="329"/>
      <w:bookmarkStart w:id="330" w:name="_Toc318206701"/>
      <w:bookmarkEnd w:id="330"/>
      <w:bookmarkStart w:id="331" w:name="_Toc320624285"/>
      <w:bookmarkEnd w:id="331"/>
      <w:bookmarkStart w:id="332" w:name="_Toc320624260"/>
      <w:bookmarkEnd w:id="332"/>
      <w:bookmarkStart w:id="333" w:name="_Toc320624280"/>
      <w:bookmarkEnd w:id="333"/>
      <w:bookmarkStart w:id="334" w:name="_Toc320624240"/>
      <w:bookmarkEnd w:id="334"/>
      <w:bookmarkStart w:id="335" w:name="_Toc320624290"/>
      <w:bookmarkEnd w:id="335"/>
      <w:bookmarkStart w:id="336" w:name="_Toc315871656"/>
      <w:bookmarkEnd w:id="336"/>
      <w:bookmarkStart w:id="337" w:name="_Toc315871658"/>
      <w:bookmarkEnd w:id="337"/>
      <w:bookmarkStart w:id="338" w:name="_Toc25768"/>
      <w:bookmarkStart w:id="339" w:name="_Toc5128"/>
      <w:bookmarkStart w:id="340" w:name="_Toc29054"/>
      <w:bookmarkStart w:id="341" w:name="_Toc22999"/>
      <w:bookmarkStart w:id="342" w:name="_Toc217446060"/>
      <w:r>
        <w:rPr>
          <w:rFonts w:hint="eastAsia"/>
        </w:rPr>
        <w:t>评标细则及标准</w:t>
      </w:r>
      <w:bookmarkEnd w:id="338"/>
      <w:bookmarkEnd w:id="339"/>
      <w:bookmarkEnd w:id="340"/>
    </w:p>
    <w:p>
      <w:pPr>
        <w:numPr>
          <w:ilvl w:val="0"/>
          <w:numId w:val="62"/>
        </w:numPr>
        <w:tabs>
          <w:tab w:val="left" w:pos="1155"/>
        </w:tabs>
        <w:ind w:left="0" w:firstLine="504"/>
        <w:rPr>
          <w:rFonts w:ascii="宋体" w:hAnsi="宋体"/>
          <w:szCs w:val="24"/>
        </w:rPr>
      </w:pPr>
      <w:r>
        <w:rPr>
          <w:rFonts w:hint="eastAsia" w:ascii="宋体" w:hAnsi="宋体"/>
          <w:szCs w:val="24"/>
        </w:rPr>
        <w:t>评标委员会只对通过初审的投标文件，根据招标文件的要求采用相同的评标程序、评分办法及标准进行评价和比较。</w:t>
      </w:r>
    </w:p>
    <w:p>
      <w:pPr>
        <w:numPr>
          <w:ilvl w:val="0"/>
          <w:numId w:val="62"/>
        </w:numPr>
        <w:tabs>
          <w:tab w:val="left" w:pos="1155"/>
        </w:tabs>
        <w:ind w:left="0" w:firstLine="504"/>
        <w:rPr>
          <w:rFonts w:ascii="宋体" w:hAnsi="宋体"/>
          <w:szCs w:val="24"/>
        </w:rPr>
      </w:pPr>
      <w:r>
        <w:rPr>
          <w:rFonts w:hint="eastAsia" w:ascii="宋体" w:hAnsi="宋体"/>
          <w:szCs w:val="24"/>
        </w:rPr>
        <w:t>本次综合评分的因素是：价格、技术、商务等。</w:t>
      </w:r>
    </w:p>
    <w:p>
      <w:pPr>
        <w:numPr>
          <w:ilvl w:val="0"/>
          <w:numId w:val="62"/>
        </w:numPr>
        <w:tabs>
          <w:tab w:val="left" w:pos="1155"/>
        </w:tabs>
        <w:ind w:left="0" w:firstLine="504"/>
        <w:rPr>
          <w:rFonts w:ascii="宋体" w:hAnsi="宋体"/>
          <w:szCs w:val="24"/>
        </w:rPr>
      </w:pPr>
      <w:r>
        <w:rPr>
          <w:rFonts w:hint="eastAsia" w:ascii="宋体" w:hAnsi="宋体"/>
          <w:szCs w:val="24"/>
        </w:rPr>
        <w:t>除价格因素外，评标委员会成员应依据招标文件规定的评分标准和方法独立对其他因素进行比较打分。</w:t>
      </w:r>
    </w:p>
    <w:p>
      <w:pPr>
        <w:pStyle w:val="6"/>
        <w:ind w:left="342" w:leftChars="0" w:firstLine="506" w:firstLineChars="0"/>
        <w:rPr>
          <w:color w:val="auto"/>
          <w:szCs w:val="24"/>
        </w:rPr>
      </w:pPr>
      <w:bookmarkStart w:id="343" w:name="_Toc310176995"/>
      <w:bookmarkStart w:id="344" w:name="_Toc22338"/>
      <w:bookmarkStart w:id="345" w:name="_Toc218498587"/>
      <w:bookmarkStart w:id="346" w:name="_Toc217102344"/>
      <w:r>
        <w:rPr>
          <w:rFonts w:hint="eastAsia"/>
          <w:color w:val="auto"/>
          <w:szCs w:val="24"/>
        </w:rPr>
        <w:t>评分办法</w:t>
      </w:r>
      <w:bookmarkEnd w:id="343"/>
      <w:bookmarkEnd w:id="344"/>
      <w:bookmarkEnd w:id="345"/>
      <w:bookmarkEnd w:id="346"/>
    </w:p>
    <w:p>
      <w:pPr>
        <w:ind w:firstLine="504"/>
        <w:rPr>
          <w:rFonts w:ascii="宋体" w:hAnsi="宋体"/>
          <w:szCs w:val="24"/>
        </w:rPr>
      </w:pPr>
      <w:r>
        <w:rPr>
          <w:rFonts w:hint="eastAsia" w:ascii="宋体" w:hAnsi="宋体"/>
          <w:szCs w:val="24"/>
        </w:rPr>
        <w:t xml:space="preserve">本次评标采用综合评分法，由评标委员会各成员独立对通过初审（资格检查和符合性检查）的投标人的投标文件进行评审和打分，    </w:t>
      </w:r>
    </w:p>
    <w:p>
      <w:pPr>
        <w:ind w:firstLine="504"/>
        <w:rPr>
          <w:rFonts w:ascii="宋体" w:hAnsi="宋体"/>
          <w:szCs w:val="24"/>
        </w:rPr>
      </w:pPr>
      <w:r>
        <w:rPr>
          <w:rFonts w:hint="eastAsia" w:ascii="宋体" w:hAnsi="宋体"/>
          <w:szCs w:val="24"/>
        </w:rPr>
        <w:t>评标得分＝（A</w:t>
      </w:r>
      <w:r>
        <w:rPr>
          <w:rFonts w:hint="eastAsia" w:ascii="宋体" w:hAnsi="宋体"/>
          <w:szCs w:val="24"/>
          <w:vertAlign w:val="subscript"/>
        </w:rPr>
        <w:t>1</w:t>
      </w:r>
      <w:r>
        <w:rPr>
          <w:rFonts w:hint="eastAsia" w:ascii="宋体" w:hAnsi="宋体"/>
          <w:szCs w:val="24"/>
        </w:rPr>
        <w:t>＋A</w:t>
      </w:r>
      <w:r>
        <w:rPr>
          <w:rFonts w:hint="eastAsia" w:ascii="宋体" w:hAnsi="宋体"/>
          <w:szCs w:val="24"/>
          <w:vertAlign w:val="subscript"/>
        </w:rPr>
        <w:t>2</w:t>
      </w:r>
      <w:r>
        <w:rPr>
          <w:rFonts w:hint="eastAsia" w:ascii="宋体" w:hAnsi="宋体"/>
          <w:szCs w:val="24"/>
        </w:rPr>
        <w:t>＋……＋A</w:t>
      </w:r>
      <w:r>
        <w:rPr>
          <w:rFonts w:hint="eastAsia" w:ascii="宋体" w:hAnsi="宋体"/>
          <w:szCs w:val="24"/>
          <w:vertAlign w:val="subscript"/>
        </w:rPr>
        <w:t>n</w:t>
      </w:r>
      <w:r>
        <w:rPr>
          <w:rFonts w:hint="eastAsia" w:ascii="宋体" w:hAnsi="宋体"/>
          <w:szCs w:val="24"/>
        </w:rPr>
        <w:t>）/n</w:t>
      </w:r>
      <w:r>
        <w:rPr>
          <w:rFonts w:hint="eastAsia" w:ascii="宋体" w:hAnsi="宋体"/>
          <w:szCs w:val="24"/>
          <w:vertAlign w:val="subscript"/>
        </w:rPr>
        <w:t>1</w:t>
      </w:r>
      <w:r>
        <w:rPr>
          <w:rFonts w:hint="eastAsia" w:ascii="宋体" w:hAnsi="宋体"/>
          <w:szCs w:val="24"/>
        </w:rPr>
        <w:t>+（B</w:t>
      </w:r>
      <w:r>
        <w:rPr>
          <w:rFonts w:hint="eastAsia" w:ascii="宋体" w:hAnsi="宋体"/>
          <w:szCs w:val="24"/>
          <w:vertAlign w:val="subscript"/>
        </w:rPr>
        <w:t>1</w:t>
      </w:r>
      <w:r>
        <w:rPr>
          <w:rFonts w:hint="eastAsia" w:ascii="宋体" w:hAnsi="宋体"/>
          <w:szCs w:val="24"/>
        </w:rPr>
        <w:t>＋B</w:t>
      </w:r>
      <w:r>
        <w:rPr>
          <w:rFonts w:hint="eastAsia" w:ascii="宋体" w:hAnsi="宋体"/>
          <w:szCs w:val="24"/>
          <w:vertAlign w:val="subscript"/>
        </w:rPr>
        <w:t>2</w:t>
      </w:r>
      <w:r>
        <w:rPr>
          <w:rFonts w:hint="eastAsia" w:ascii="宋体" w:hAnsi="宋体"/>
          <w:szCs w:val="24"/>
        </w:rPr>
        <w:t>＋……＋B</w:t>
      </w:r>
      <w:r>
        <w:rPr>
          <w:rFonts w:hint="eastAsia" w:ascii="宋体" w:hAnsi="宋体"/>
          <w:szCs w:val="24"/>
          <w:vertAlign w:val="subscript"/>
        </w:rPr>
        <w:t>n</w:t>
      </w:r>
      <w:r>
        <w:rPr>
          <w:rFonts w:hint="eastAsia" w:ascii="宋体" w:hAnsi="宋体"/>
          <w:szCs w:val="24"/>
        </w:rPr>
        <w:t>）/ n</w:t>
      </w:r>
      <w:r>
        <w:rPr>
          <w:rFonts w:hint="eastAsia" w:ascii="宋体" w:hAnsi="宋体"/>
          <w:szCs w:val="24"/>
          <w:vertAlign w:val="subscript"/>
        </w:rPr>
        <w:t>2</w:t>
      </w:r>
      <w:r>
        <w:rPr>
          <w:rFonts w:hint="eastAsia" w:ascii="宋体" w:hAnsi="宋体"/>
          <w:szCs w:val="24"/>
        </w:rPr>
        <w:t>+（C</w:t>
      </w:r>
      <w:r>
        <w:rPr>
          <w:rFonts w:hint="eastAsia" w:ascii="宋体" w:hAnsi="宋体"/>
          <w:szCs w:val="24"/>
          <w:vertAlign w:val="subscript"/>
        </w:rPr>
        <w:t>1</w:t>
      </w:r>
      <w:r>
        <w:rPr>
          <w:rFonts w:hint="eastAsia" w:ascii="宋体" w:hAnsi="宋体"/>
          <w:szCs w:val="24"/>
        </w:rPr>
        <w:t>＋C</w:t>
      </w:r>
      <w:r>
        <w:rPr>
          <w:rFonts w:hint="eastAsia" w:ascii="宋体" w:hAnsi="宋体"/>
          <w:szCs w:val="24"/>
          <w:vertAlign w:val="subscript"/>
        </w:rPr>
        <w:t>2</w:t>
      </w:r>
      <w:r>
        <w:rPr>
          <w:rFonts w:hint="eastAsia" w:ascii="宋体" w:hAnsi="宋体"/>
          <w:szCs w:val="24"/>
        </w:rPr>
        <w:t>＋……＋C</w:t>
      </w:r>
      <w:r>
        <w:rPr>
          <w:rFonts w:hint="eastAsia" w:ascii="宋体" w:hAnsi="宋体"/>
          <w:szCs w:val="24"/>
          <w:vertAlign w:val="subscript"/>
        </w:rPr>
        <w:t>n</w:t>
      </w:r>
      <w:r>
        <w:rPr>
          <w:rFonts w:hint="eastAsia" w:ascii="宋体" w:hAnsi="宋体"/>
          <w:szCs w:val="24"/>
        </w:rPr>
        <w:t>）/ n</w:t>
      </w:r>
      <w:r>
        <w:rPr>
          <w:rFonts w:hint="eastAsia" w:ascii="宋体" w:hAnsi="宋体"/>
          <w:szCs w:val="24"/>
          <w:vertAlign w:val="subscript"/>
        </w:rPr>
        <w:t>3</w:t>
      </w:r>
    </w:p>
    <w:p>
      <w:pPr>
        <w:widowControl/>
        <w:ind w:firstLine="504"/>
        <w:rPr>
          <w:rFonts w:ascii="宋体" w:hAnsi="宋体"/>
          <w:szCs w:val="24"/>
        </w:rPr>
      </w:pPr>
      <w:r>
        <w:rPr>
          <w:rFonts w:hint="eastAsia" w:ascii="宋体" w:hAnsi="宋体"/>
          <w:szCs w:val="24"/>
        </w:rPr>
        <w:t>A</w:t>
      </w:r>
      <w:r>
        <w:rPr>
          <w:rFonts w:hint="eastAsia" w:ascii="宋体" w:hAnsi="宋体"/>
          <w:szCs w:val="24"/>
          <w:vertAlign w:val="subscript"/>
        </w:rPr>
        <w:t>1</w:t>
      </w:r>
      <w:r>
        <w:rPr>
          <w:rFonts w:hint="eastAsia" w:ascii="宋体" w:hAnsi="宋体"/>
          <w:szCs w:val="24"/>
        </w:rPr>
        <w:t>、A</w:t>
      </w:r>
      <w:r>
        <w:rPr>
          <w:rFonts w:hint="eastAsia" w:ascii="宋体" w:hAnsi="宋体"/>
          <w:szCs w:val="24"/>
          <w:vertAlign w:val="subscript"/>
        </w:rPr>
        <w:t>2</w:t>
      </w:r>
      <w:r>
        <w:rPr>
          <w:rFonts w:hint="eastAsia" w:ascii="宋体" w:hAnsi="宋体"/>
          <w:szCs w:val="24"/>
        </w:rPr>
        <w:t>……A</w:t>
      </w:r>
      <w:r>
        <w:rPr>
          <w:rFonts w:hint="eastAsia" w:ascii="宋体" w:hAnsi="宋体"/>
          <w:szCs w:val="24"/>
          <w:vertAlign w:val="subscript"/>
        </w:rPr>
        <w:t>n</w:t>
      </w:r>
      <w:r>
        <w:rPr>
          <w:rFonts w:hint="eastAsia" w:ascii="宋体" w:hAnsi="宋体"/>
          <w:szCs w:val="24"/>
        </w:rPr>
        <w:t>分别为每个</w:t>
      </w:r>
      <w:r>
        <w:rPr>
          <w:rFonts w:hint="eastAsia" w:ascii="宋体" w:hAnsi="宋体" w:cs="宋体"/>
          <w:kern w:val="0"/>
          <w:szCs w:val="24"/>
        </w:rPr>
        <w:t>经济类</w:t>
      </w:r>
      <w:r>
        <w:rPr>
          <w:rFonts w:hint="eastAsia" w:ascii="宋体" w:hAnsi="宋体"/>
          <w:szCs w:val="24"/>
        </w:rPr>
        <w:t>评委的打分，n</w:t>
      </w:r>
      <w:r>
        <w:rPr>
          <w:rFonts w:hint="eastAsia" w:ascii="宋体" w:hAnsi="宋体"/>
          <w:szCs w:val="24"/>
          <w:vertAlign w:val="subscript"/>
        </w:rPr>
        <w:t>1</w:t>
      </w:r>
      <w:r>
        <w:rPr>
          <w:rFonts w:hint="eastAsia" w:ascii="宋体" w:hAnsi="宋体"/>
          <w:szCs w:val="24"/>
        </w:rPr>
        <w:t>为</w:t>
      </w:r>
      <w:r>
        <w:rPr>
          <w:rFonts w:hint="eastAsia" w:ascii="宋体" w:hAnsi="宋体" w:cs="宋体"/>
          <w:kern w:val="0"/>
          <w:szCs w:val="24"/>
        </w:rPr>
        <w:t>经济类</w:t>
      </w:r>
      <w:r>
        <w:rPr>
          <w:rFonts w:hint="eastAsia" w:ascii="宋体" w:hAnsi="宋体"/>
          <w:szCs w:val="24"/>
        </w:rPr>
        <w:t>评委人数；B</w:t>
      </w:r>
      <w:r>
        <w:rPr>
          <w:rFonts w:hint="eastAsia" w:ascii="宋体" w:hAnsi="宋体"/>
          <w:szCs w:val="24"/>
          <w:vertAlign w:val="subscript"/>
        </w:rPr>
        <w:t>1</w:t>
      </w:r>
      <w:r>
        <w:rPr>
          <w:rFonts w:hint="eastAsia" w:ascii="宋体" w:hAnsi="宋体"/>
          <w:szCs w:val="24"/>
        </w:rPr>
        <w:t>、B</w:t>
      </w:r>
      <w:r>
        <w:rPr>
          <w:rFonts w:hint="eastAsia" w:ascii="宋体" w:hAnsi="宋体"/>
          <w:szCs w:val="24"/>
          <w:vertAlign w:val="subscript"/>
        </w:rPr>
        <w:t>2</w:t>
      </w:r>
      <w:r>
        <w:rPr>
          <w:rFonts w:hint="eastAsia" w:ascii="宋体" w:hAnsi="宋体"/>
          <w:szCs w:val="24"/>
        </w:rPr>
        <w:t>＋……B</w:t>
      </w:r>
      <w:r>
        <w:rPr>
          <w:rFonts w:hint="eastAsia" w:ascii="宋体" w:hAnsi="宋体"/>
          <w:szCs w:val="24"/>
          <w:vertAlign w:val="subscript"/>
        </w:rPr>
        <w:t>n</w:t>
      </w:r>
      <w:r>
        <w:rPr>
          <w:rFonts w:hint="eastAsia" w:ascii="宋体" w:hAnsi="宋体"/>
          <w:szCs w:val="24"/>
        </w:rPr>
        <w:t xml:space="preserve"> 分别为每个技术类评委（含采购人代表）的打分，n</w:t>
      </w:r>
      <w:r>
        <w:rPr>
          <w:rFonts w:hint="eastAsia" w:ascii="宋体" w:hAnsi="宋体"/>
          <w:szCs w:val="24"/>
          <w:vertAlign w:val="subscript"/>
        </w:rPr>
        <w:t>2</w:t>
      </w:r>
      <w:r>
        <w:rPr>
          <w:rFonts w:hint="eastAsia" w:ascii="宋体" w:hAnsi="宋体"/>
          <w:szCs w:val="24"/>
        </w:rPr>
        <w:t>为</w:t>
      </w:r>
      <w:r>
        <w:rPr>
          <w:rFonts w:hint="eastAsia" w:ascii="宋体" w:hAnsi="宋体" w:cs="宋体"/>
          <w:kern w:val="0"/>
          <w:szCs w:val="24"/>
        </w:rPr>
        <w:t>技术类</w:t>
      </w:r>
      <w:r>
        <w:rPr>
          <w:rFonts w:hint="eastAsia" w:ascii="宋体" w:hAnsi="宋体"/>
          <w:szCs w:val="24"/>
        </w:rPr>
        <w:t>评委（含采购人代表）人数；C</w:t>
      </w:r>
      <w:r>
        <w:rPr>
          <w:rFonts w:hint="eastAsia" w:ascii="宋体" w:hAnsi="宋体"/>
          <w:szCs w:val="24"/>
          <w:vertAlign w:val="subscript"/>
        </w:rPr>
        <w:t>1</w:t>
      </w:r>
      <w:r>
        <w:rPr>
          <w:rFonts w:hint="eastAsia" w:ascii="宋体" w:hAnsi="宋体"/>
          <w:szCs w:val="24"/>
        </w:rPr>
        <w:t>、C</w:t>
      </w:r>
      <w:r>
        <w:rPr>
          <w:rFonts w:hint="eastAsia" w:ascii="宋体" w:hAnsi="宋体"/>
          <w:szCs w:val="24"/>
          <w:vertAlign w:val="subscript"/>
        </w:rPr>
        <w:t>2</w:t>
      </w:r>
      <w:r>
        <w:rPr>
          <w:rFonts w:hint="eastAsia" w:ascii="宋体" w:hAnsi="宋体"/>
          <w:szCs w:val="24"/>
        </w:rPr>
        <w:t>……C</w:t>
      </w:r>
      <w:r>
        <w:rPr>
          <w:rFonts w:hint="eastAsia" w:ascii="宋体" w:hAnsi="宋体"/>
          <w:szCs w:val="24"/>
          <w:vertAlign w:val="subscript"/>
        </w:rPr>
        <w:t>n</w:t>
      </w:r>
      <w:r>
        <w:rPr>
          <w:rFonts w:hint="eastAsia" w:ascii="宋体" w:hAnsi="宋体"/>
          <w:szCs w:val="24"/>
        </w:rPr>
        <w:t xml:space="preserve"> 分别为评审委员会每个成员的打分，n</w:t>
      </w:r>
      <w:r>
        <w:rPr>
          <w:rFonts w:hint="eastAsia" w:ascii="宋体" w:hAnsi="宋体"/>
          <w:szCs w:val="24"/>
          <w:vertAlign w:val="subscript"/>
        </w:rPr>
        <w:t>3</w:t>
      </w:r>
      <w:r>
        <w:rPr>
          <w:rFonts w:hint="eastAsia" w:ascii="宋体" w:hAnsi="宋体"/>
          <w:szCs w:val="24"/>
        </w:rPr>
        <w:t>为评委人数。</w:t>
      </w:r>
    </w:p>
    <w:p>
      <w:pPr>
        <w:pStyle w:val="6"/>
        <w:ind w:left="342" w:leftChars="0" w:firstLine="506" w:firstLineChars="0"/>
        <w:rPr>
          <w:color w:val="auto"/>
          <w:szCs w:val="24"/>
        </w:rPr>
      </w:pPr>
      <w:bookmarkStart w:id="347" w:name="_Toc14761"/>
      <w:r>
        <w:rPr>
          <w:rFonts w:hint="eastAsia"/>
          <w:color w:val="auto"/>
          <w:szCs w:val="24"/>
        </w:rPr>
        <w:t>评分标准</w:t>
      </w:r>
      <w:bookmarkEnd w:id="347"/>
    </w:p>
    <w:tbl>
      <w:tblPr>
        <w:tblStyle w:val="43"/>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44"/>
        <w:gridCol w:w="658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51" w:type="dxa"/>
            <w:noWrap w:val="0"/>
            <w:vAlign w:val="center"/>
          </w:tcPr>
          <w:p>
            <w:pPr>
              <w:keepNext w:val="0"/>
              <w:keepLines w:val="0"/>
              <w:pageBreakBefore w:val="0"/>
              <w:widowControl/>
              <w:kinsoku/>
              <w:overflowPunct/>
              <w:bidi w:val="0"/>
              <w:spacing w:line="360" w:lineRule="auto"/>
              <w:ind w:firstLine="0" w:firstLineChars="0"/>
              <w:jc w:val="center"/>
              <w:textAlignment w:val="auto"/>
              <w:rPr>
                <w:rFonts w:hint="eastAsia" w:ascii="宋体" w:hAnsi="宋体" w:cs="宋体"/>
                <w:b/>
                <w:bCs/>
                <w:color w:val="auto"/>
                <w:sz w:val="24"/>
                <w:szCs w:val="24"/>
              </w:rPr>
            </w:pPr>
            <w:r>
              <w:rPr>
                <w:rFonts w:hint="eastAsia" w:ascii="宋体" w:hAnsi="宋体" w:cs="宋体"/>
                <w:b/>
                <w:bCs/>
                <w:color w:val="auto"/>
                <w:sz w:val="24"/>
                <w:szCs w:val="24"/>
              </w:rPr>
              <w:t>专家类型</w:t>
            </w:r>
          </w:p>
        </w:tc>
        <w:tc>
          <w:tcPr>
            <w:tcW w:w="1344" w:type="dxa"/>
            <w:noWrap w:val="0"/>
            <w:vAlign w:val="center"/>
          </w:tcPr>
          <w:p>
            <w:pPr>
              <w:keepNext w:val="0"/>
              <w:keepLines w:val="0"/>
              <w:pageBreakBefore w:val="0"/>
              <w:widowControl/>
              <w:kinsoku/>
              <w:overflowPunct/>
              <w:bidi w:val="0"/>
              <w:spacing w:line="360" w:lineRule="auto"/>
              <w:ind w:firstLine="0" w:firstLineChars="0"/>
              <w:jc w:val="center"/>
              <w:textAlignment w:val="auto"/>
              <w:rPr>
                <w:rFonts w:hint="eastAsia" w:ascii="宋体" w:hAnsi="宋体" w:cs="宋体"/>
                <w:b/>
                <w:bCs/>
                <w:color w:val="auto"/>
                <w:sz w:val="24"/>
                <w:szCs w:val="24"/>
              </w:rPr>
            </w:pPr>
            <w:r>
              <w:rPr>
                <w:rFonts w:hint="eastAsia" w:ascii="宋体" w:hAnsi="宋体" w:cs="宋体"/>
                <w:b/>
                <w:bCs/>
                <w:color w:val="auto"/>
                <w:sz w:val="24"/>
                <w:szCs w:val="24"/>
              </w:rPr>
              <w:t>评审项目</w:t>
            </w:r>
          </w:p>
        </w:tc>
        <w:tc>
          <w:tcPr>
            <w:tcW w:w="6585" w:type="dxa"/>
            <w:noWrap w:val="0"/>
            <w:vAlign w:val="center"/>
          </w:tcPr>
          <w:p>
            <w:pPr>
              <w:keepNext w:val="0"/>
              <w:keepLines w:val="0"/>
              <w:pageBreakBefore w:val="0"/>
              <w:widowControl/>
              <w:kinsoku/>
              <w:overflowPunct/>
              <w:bidi w:val="0"/>
              <w:spacing w:line="360" w:lineRule="auto"/>
              <w:ind w:firstLine="0" w:firstLineChars="0"/>
              <w:jc w:val="center"/>
              <w:textAlignment w:val="auto"/>
              <w:rPr>
                <w:rFonts w:hint="eastAsia" w:ascii="宋体" w:hAnsi="宋体" w:cs="宋体"/>
                <w:b/>
                <w:bCs/>
                <w:color w:val="auto"/>
                <w:sz w:val="24"/>
                <w:szCs w:val="24"/>
              </w:rPr>
            </w:pPr>
            <w:r>
              <w:rPr>
                <w:rFonts w:hint="eastAsia" w:ascii="宋体" w:hAnsi="宋体" w:cs="宋体"/>
                <w:b/>
                <w:bCs/>
                <w:color w:val="auto"/>
                <w:sz w:val="24"/>
                <w:szCs w:val="24"/>
              </w:rPr>
              <w:t>评分标准</w:t>
            </w:r>
          </w:p>
        </w:tc>
        <w:tc>
          <w:tcPr>
            <w:tcW w:w="790" w:type="dxa"/>
            <w:noWrap w:val="0"/>
            <w:vAlign w:val="center"/>
          </w:tcPr>
          <w:p>
            <w:pPr>
              <w:keepNext w:val="0"/>
              <w:keepLines w:val="0"/>
              <w:pageBreakBefore w:val="0"/>
              <w:widowControl/>
              <w:kinsoku/>
              <w:overflowPunct/>
              <w:bidi w:val="0"/>
              <w:spacing w:line="360" w:lineRule="auto"/>
              <w:ind w:firstLine="0" w:firstLineChars="0"/>
              <w:jc w:val="center"/>
              <w:textAlignment w:val="auto"/>
              <w:rPr>
                <w:rFonts w:hint="eastAsia" w:ascii="宋体" w:hAnsi="宋体" w:cs="宋体"/>
                <w:b/>
                <w:bCs/>
                <w:color w:val="auto"/>
                <w:sz w:val="24"/>
                <w:szCs w:val="24"/>
              </w:rPr>
            </w:pPr>
            <w:r>
              <w:rPr>
                <w:rFonts w:hint="eastAsia" w:ascii="宋体" w:hAnsi="宋体" w:cs="宋体"/>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51" w:type="dxa"/>
            <w:noWrap w:val="0"/>
            <w:vAlign w:val="center"/>
          </w:tcPr>
          <w:p>
            <w:pPr>
              <w:keepNext w:val="0"/>
              <w:keepLines w:val="0"/>
              <w:pageBreakBefore w:val="0"/>
              <w:widowControl/>
              <w:kinsoku/>
              <w:overflowPunct/>
              <w:bidi w:val="0"/>
              <w:spacing w:line="360" w:lineRule="auto"/>
              <w:ind w:firstLine="0" w:firstLineChars="0"/>
              <w:jc w:val="center"/>
              <w:textAlignment w:val="auto"/>
              <w:rPr>
                <w:rFonts w:hint="eastAsia" w:ascii="宋体" w:hAnsi="宋体" w:cs="宋体"/>
                <w:bCs/>
                <w:color w:val="auto"/>
                <w:sz w:val="24"/>
                <w:szCs w:val="24"/>
              </w:rPr>
            </w:pPr>
            <w:r>
              <w:rPr>
                <w:rFonts w:hint="eastAsia" w:ascii="宋体" w:hAnsi="宋体" w:cs="宋体"/>
                <w:bCs/>
                <w:color w:val="auto"/>
                <w:sz w:val="24"/>
                <w:szCs w:val="24"/>
              </w:rPr>
              <w:t>共同评审</w:t>
            </w:r>
          </w:p>
        </w:tc>
        <w:tc>
          <w:tcPr>
            <w:tcW w:w="1344"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报价评审</w:t>
            </w:r>
          </w:p>
        </w:tc>
        <w:tc>
          <w:tcPr>
            <w:tcW w:w="6585" w:type="dxa"/>
            <w:noWrap w:val="0"/>
            <w:vAlign w:val="center"/>
          </w:tcPr>
          <w:p>
            <w:pPr>
              <w:keepNext w:val="0"/>
              <w:keepLines w:val="0"/>
              <w:pageBreakBefore w:val="0"/>
              <w:numPr>
                <w:ilvl w:val="0"/>
                <w:numId w:val="63"/>
              </w:numPr>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经评审的最低有效投标报价作为评审基准价；</w:t>
            </w:r>
          </w:p>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2、报价得分=(评审基准价／投标报价)×10。</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51" w:type="dxa"/>
            <w:vMerge w:val="restart"/>
            <w:noWrap w:val="0"/>
            <w:vAlign w:val="center"/>
          </w:tcPr>
          <w:p>
            <w:pPr>
              <w:keepNext w:val="0"/>
              <w:keepLines w:val="0"/>
              <w:pageBreakBefore w:val="0"/>
              <w:widowControl/>
              <w:kinsoku/>
              <w:overflowPunct/>
              <w:bidi w:val="0"/>
              <w:spacing w:line="360" w:lineRule="auto"/>
              <w:ind w:firstLine="0" w:firstLineChars="0"/>
              <w:jc w:val="center"/>
              <w:textAlignment w:val="auto"/>
              <w:rPr>
                <w:rFonts w:hint="eastAsia" w:ascii="宋体" w:hAnsi="宋体" w:cs="宋体"/>
                <w:color w:val="auto"/>
                <w:sz w:val="24"/>
                <w:szCs w:val="24"/>
              </w:rPr>
            </w:pPr>
          </w:p>
          <w:p>
            <w:pPr>
              <w:pStyle w:val="2"/>
              <w:keepNext w:val="0"/>
              <w:keepLines w:val="0"/>
              <w:pageBreakBefore w:val="0"/>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技术类评委</w:t>
            </w:r>
          </w:p>
        </w:tc>
        <w:tc>
          <w:tcPr>
            <w:tcW w:w="1344" w:type="dxa"/>
            <w:vMerge w:val="restart"/>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服务方案</w:t>
            </w:r>
          </w:p>
        </w:tc>
        <w:tc>
          <w:tcPr>
            <w:tcW w:w="6585" w:type="dxa"/>
            <w:noWrap w:val="0"/>
            <w:vAlign w:val="center"/>
          </w:tcPr>
          <w:p>
            <w:pPr>
              <w:keepNext w:val="0"/>
              <w:keepLines w:val="0"/>
              <w:pageBreakBefore w:val="0"/>
              <w:tabs>
                <w:tab w:val="left" w:pos="0"/>
              </w:tabs>
              <w:kinsoku/>
              <w:wordWrap w:val="0"/>
              <w:overflowPunct/>
              <w:topLinePunct/>
              <w:bidi w:val="0"/>
              <w:spacing w:line="360" w:lineRule="auto"/>
              <w:ind w:firstLine="0" w:firstLineChars="0"/>
              <w:textAlignment w:val="auto"/>
              <w:rPr>
                <w:rFonts w:hint="eastAsia" w:ascii="宋体" w:hAnsi="宋体" w:cs="宋体"/>
                <w:b/>
                <w:color w:val="auto"/>
                <w:sz w:val="24"/>
                <w:szCs w:val="24"/>
              </w:rPr>
            </w:pPr>
            <w:r>
              <w:rPr>
                <w:rFonts w:hint="eastAsia" w:ascii="宋体" w:hAnsi="宋体" w:cs="宋体"/>
                <w:b/>
                <w:color w:val="auto"/>
                <w:sz w:val="24"/>
                <w:szCs w:val="24"/>
              </w:rPr>
              <w:t>需求分析：</w:t>
            </w:r>
          </w:p>
          <w:p>
            <w:pPr>
              <w:keepNext w:val="0"/>
              <w:keepLines w:val="0"/>
              <w:pageBreakBefore w:val="0"/>
              <w:tabs>
                <w:tab w:val="left" w:pos="0"/>
              </w:tabs>
              <w:kinsoku/>
              <w:wordWrap w:val="0"/>
              <w:overflowPunct/>
              <w:topLine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bCs/>
                <w:color w:val="auto"/>
                <w:sz w:val="24"/>
                <w:szCs w:val="24"/>
              </w:rPr>
              <w:t>根据投标人针对本项目提供的需求分析（包含(1)成都市二圏层区域现有大气监测系统功能分析及改进思路；(2)成都市二圏层区域大气污染现状和污染源分析；(3)成都市二圏层区域大气管治现状分析。）；(4)可靠的数据和案例支撑进行评定；(5)对未来区域内大气污染的智能化监测和管治思路及措施。需求分析详细、合理、完全符合项目实际需求及项目情况的得10分；每有一项缺项的扣2分，每有一项有缺陷/不合理/有偏差/有漏洞/与实际不符/过于简略/存在无关的内容或分析内容的扣1分；本项分值扣完为止。</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51" w:type="dxa"/>
            <w:vMerge w:val="continue"/>
            <w:noWrap w:val="0"/>
            <w:vAlign w:val="center"/>
          </w:tcPr>
          <w:p>
            <w:pPr>
              <w:pStyle w:val="2"/>
              <w:keepNext w:val="0"/>
              <w:keepLines w:val="0"/>
              <w:pageBreakBefore w:val="0"/>
              <w:kinsoku/>
              <w:overflowPunct/>
              <w:bidi w:val="0"/>
              <w:spacing w:line="360" w:lineRule="auto"/>
              <w:ind w:firstLine="0" w:firstLineChars="0"/>
              <w:textAlignment w:val="auto"/>
              <w:rPr>
                <w:rFonts w:hint="eastAsia" w:ascii="宋体" w:hAnsi="宋体" w:cs="宋体"/>
                <w:color w:val="auto"/>
                <w:sz w:val="24"/>
                <w:szCs w:val="24"/>
              </w:rPr>
            </w:pPr>
          </w:p>
        </w:tc>
        <w:tc>
          <w:tcPr>
            <w:tcW w:w="1344" w:type="dxa"/>
            <w:vMerge w:val="continue"/>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p>
        </w:tc>
        <w:tc>
          <w:tcPr>
            <w:tcW w:w="6585" w:type="dxa"/>
            <w:noWrap w:val="0"/>
            <w:vAlign w:val="center"/>
          </w:tcPr>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
                <w:color w:val="auto"/>
                <w:kern w:val="0"/>
                <w:sz w:val="24"/>
                <w:szCs w:val="24"/>
              </w:rPr>
            </w:pPr>
            <w:r>
              <w:rPr>
                <w:rFonts w:hint="eastAsia" w:ascii="宋体" w:hAnsi="宋体" w:cs="宋体"/>
                <w:b/>
                <w:color w:val="auto"/>
                <w:sz w:val="24"/>
                <w:szCs w:val="24"/>
              </w:rPr>
              <w:t>新增移动站点布设方案：</w:t>
            </w:r>
          </w:p>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Cs/>
                <w:color w:val="auto"/>
                <w:sz w:val="24"/>
                <w:szCs w:val="24"/>
              </w:rPr>
            </w:pPr>
            <w:r>
              <w:rPr>
                <w:rFonts w:hint="eastAsia" w:ascii="宋体" w:hAnsi="宋体" w:cs="宋体"/>
                <w:bCs/>
                <w:color w:val="auto"/>
                <w:kern w:val="0"/>
                <w:sz w:val="24"/>
                <w:szCs w:val="24"/>
              </w:rPr>
              <w:t>投标人</w:t>
            </w:r>
            <w:r>
              <w:rPr>
                <w:rFonts w:hint="eastAsia" w:ascii="宋体" w:hAnsi="宋体" w:cs="宋体"/>
                <w:bCs/>
                <w:color w:val="auto"/>
                <w:kern w:val="0"/>
                <w:sz w:val="24"/>
                <w:szCs w:val="24"/>
                <w:lang w:val="en-US" w:eastAsia="zh-CN"/>
              </w:rPr>
              <w:t>提供</w:t>
            </w:r>
            <w:r>
              <w:rPr>
                <w:rFonts w:hint="eastAsia" w:ascii="宋体" w:hAnsi="宋体" w:cs="宋体"/>
                <w:bCs/>
                <w:color w:val="auto"/>
                <w:kern w:val="0"/>
                <w:sz w:val="24"/>
                <w:szCs w:val="24"/>
              </w:rPr>
              <w:t>移动监测设备具体布设方案（包含(1)具有完整规划点位说明（包含拟布设公交车线路示意图）；(2)对城市主要交通道路的分析；</w:t>
            </w:r>
            <w:r>
              <w:rPr>
                <w:rFonts w:hint="eastAsia" w:ascii="宋体" w:hAnsi="宋体" w:cs="宋体"/>
                <w:bCs/>
                <w:iCs/>
                <w:color w:val="auto"/>
                <w:sz w:val="24"/>
                <w:szCs w:val="24"/>
              </w:rPr>
              <w:t>(3)</w:t>
            </w:r>
            <w:r>
              <w:rPr>
                <w:rFonts w:hint="eastAsia" w:ascii="宋体" w:hAnsi="宋体" w:cs="宋体"/>
                <w:bCs/>
                <w:color w:val="auto"/>
                <w:sz w:val="24"/>
                <w:szCs w:val="24"/>
              </w:rPr>
              <w:t>对区域内主要空气传输通道的分析；</w:t>
            </w:r>
            <w:r>
              <w:rPr>
                <w:rFonts w:hint="eastAsia" w:ascii="宋体" w:hAnsi="宋体" w:cs="宋体"/>
                <w:bCs/>
                <w:color w:val="auto"/>
                <w:kern w:val="0"/>
                <w:sz w:val="24"/>
                <w:szCs w:val="24"/>
              </w:rPr>
              <w:t>(4)对重点监测区域的划定；(5)设备选点布设理由的说明（包含与现有监测点位的互补性）进行评定。方案详细清楚、合理、符合本项目实际需求的得</w:t>
            </w:r>
            <w:r>
              <w:rPr>
                <w:rFonts w:hint="eastAsia" w:ascii="宋体" w:hAnsi="宋体" w:cs="宋体"/>
                <w:bCs/>
                <w:color w:val="auto"/>
                <w:kern w:val="0"/>
                <w:sz w:val="24"/>
                <w:szCs w:val="24"/>
                <w:lang w:val="en-US" w:eastAsia="zh-CN"/>
              </w:rPr>
              <w:t>10</w:t>
            </w:r>
            <w:r>
              <w:rPr>
                <w:rFonts w:hint="eastAsia" w:ascii="宋体" w:hAnsi="宋体" w:cs="宋体"/>
                <w:bCs/>
                <w:color w:val="auto"/>
                <w:kern w:val="0"/>
                <w:sz w:val="24"/>
                <w:szCs w:val="24"/>
              </w:rPr>
              <w:t>分；方案</w:t>
            </w:r>
            <w:r>
              <w:rPr>
                <w:rFonts w:hint="eastAsia" w:ascii="宋体" w:hAnsi="宋体" w:cs="宋体"/>
                <w:bCs/>
                <w:color w:val="auto"/>
                <w:sz w:val="24"/>
                <w:szCs w:val="24"/>
              </w:rPr>
              <w:t>每有一项缺项的扣</w:t>
            </w:r>
            <w:r>
              <w:rPr>
                <w:rFonts w:hint="eastAsia" w:ascii="宋体" w:hAnsi="宋体" w:cs="宋体"/>
                <w:bCs/>
                <w:color w:val="auto"/>
                <w:sz w:val="24"/>
                <w:szCs w:val="24"/>
                <w:lang w:val="en-US" w:eastAsia="zh-CN"/>
              </w:rPr>
              <w:t>2</w:t>
            </w:r>
            <w:r>
              <w:rPr>
                <w:rFonts w:hint="eastAsia" w:ascii="宋体" w:hAnsi="宋体" w:cs="宋体"/>
                <w:bCs/>
                <w:color w:val="auto"/>
                <w:sz w:val="24"/>
                <w:szCs w:val="24"/>
              </w:rPr>
              <w:t>分，每有一项有缺陷/不合理/有偏差/有漏洞/与实际不符/过于简略/存在无关的内容或分析内容的扣</w:t>
            </w:r>
            <w:r>
              <w:rPr>
                <w:rFonts w:hint="eastAsia" w:ascii="宋体" w:hAnsi="宋体" w:cs="宋体"/>
                <w:bCs/>
                <w:color w:val="auto"/>
                <w:sz w:val="24"/>
                <w:szCs w:val="24"/>
                <w:lang w:val="en-US" w:eastAsia="zh-CN"/>
              </w:rPr>
              <w:t>1</w:t>
            </w:r>
            <w:r>
              <w:rPr>
                <w:rFonts w:hint="eastAsia" w:ascii="宋体" w:hAnsi="宋体" w:cs="宋体"/>
                <w:bCs/>
                <w:color w:val="auto"/>
                <w:sz w:val="24"/>
                <w:szCs w:val="24"/>
              </w:rPr>
              <w:t>分；本项分值扣完为止。</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10</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51" w:type="dxa"/>
            <w:vMerge w:val="continue"/>
            <w:noWrap w:val="0"/>
            <w:vAlign w:val="center"/>
          </w:tcPr>
          <w:p>
            <w:pPr>
              <w:pStyle w:val="2"/>
              <w:keepNext w:val="0"/>
              <w:keepLines w:val="0"/>
              <w:pageBreakBefore w:val="0"/>
              <w:kinsoku/>
              <w:overflowPunct/>
              <w:bidi w:val="0"/>
              <w:spacing w:line="360" w:lineRule="auto"/>
              <w:ind w:firstLine="0" w:firstLineChars="0"/>
              <w:textAlignment w:val="auto"/>
              <w:rPr>
                <w:rFonts w:hint="eastAsia" w:ascii="宋体" w:hAnsi="宋体" w:cs="宋体"/>
                <w:color w:val="auto"/>
                <w:sz w:val="24"/>
                <w:szCs w:val="24"/>
              </w:rPr>
            </w:pPr>
          </w:p>
        </w:tc>
        <w:tc>
          <w:tcPr>
            <w:tcW w:w="1344" w:type="dxa"/>
            <w:vMerge w:val="continue"/>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p>
        </w:tc>
        <w:tc>
          <w:tcPr>
            <w:tcW w:w="6585" w:type="dxa"/>
            <w:noWrap w:val="0"/>
            <w:vAlign w:val="center"/>
          </w:tcPr>
          <w:p>
            <w:pPr>
              <w:pStyle w:val="2"/>
              <w:keepNext w:val="0"/>
              <w:keepLines w:val="0"/>
              <w:pageBreakBefore w:val="0"/>
              <w:kinsoku/>
              <w:overflowPunct/>
              <w:bidi w:val="0"/>
              <w:spacing w:line="360" w:lineRule="auto"/>
              <w:ind w:firstLine="0"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根据投标人针对本项目“功能服务及要求”提供的功能服务响应方案进行评定。功能服务响应方案包含：</w:t>
            </w:r>
          </w:p>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1、空气质量显示（3分）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固定监测站点全域概览的描述及功能界面配图；（1分）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移动监测全域概览的描述及功能界面配图；（1分）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实时混合监测全域概览的描述及功能界面配图。（1分）</w:t>
            </w:r>
          </w:p>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2、全域空气质量精确分析（5分）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污染空间推断分析：提出空间分辨率2km*2km，时间分辨率1小时的空气质量6+1参数空间推断方案；（1分）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多源数据融合展示，污染一张图的功能描述及界面配图；（1分）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污染空间推断精度评价：阐述空间推断验证指标与验证方案；（1分）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提供空间推断真实案例。（2分）</w:t>
            </w:r>
          </w:p>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3、空气质量预测（4分）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阐述管辖区域内未来两天空气质量6+1参数逐日预测的技术原理和验证方案；（2分）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阐述管辖区域内所有2km*2km网格空气质量6+1参数短时预测的技术原理和验证方案；（2分）</w:t>
            </w:r>
          </w:p>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4、污染溯源分析（7分）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针对空气质量6+1参数，量化管辖区域内部、外部污染占比，并阐述科学原理；（1分）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针对空气质量6+1参数，量化管辖区域内行业污染占比，并阐述科学原理；（1分）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针对空气质量6+1参数，提供气象条件成因量化分析；（1分）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阐述反向追溯污染源位置的方案；（2分）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针对颗粒物和臭氧提供污染事件与污染过程分析真实案例。（2分）</w:t>
            </w:r>
          </w:p>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5、空气污染事件告警（4分）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多层级、多类型事件告警机制及条件设置流程及功能界面配图；（2分）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污染事件历史数据查询（包含数据库配置方法及功能界面配图）；（1分）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告警联动响应流程图及功能实现方案。（1分）</w:t>
            </w:r>
          </w:p>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6、决策支持（6分）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提供车辆与交通管理决策原理及方法；（2分）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提供污染源精细化排查调度决策原理及方法；（2分）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提供此项服务基于管控案例实现自主学习的原理和逻辑路线图。（2分）</w:t>
            </w:r>
          </w:p>
          <w:p>
            <w:pPr>
              <w:pStyle w:val="2"/>
              <w:keepNext w:val="0"/>
              <w:keepLines w:val="0"/>
              <w:pageBreakBefore w:val="0"/>
              <w:kinsoku/>
              <w:overflowPunct/>
              <w:bidi w:val="0"/>
              <w:adjustRightInd w:val="0"/>
              <w:snapToGrid w:val="0"/>
              <w:spacing w:line="360" w:lineRule="auto"/>
              <w:ind w:firstLine="0" w:firstLineChars="0"/>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7、多维度数据统计（2分）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提供各网格统计排名；（1分）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数据筛选与统计规则。（1分）</w:t>
            </w:r>
          </w:p>
          <w:p>
            <w:pPr>
              <w:pStyle w:val="2"/>
              <w:keepNext w:val="0"/>
              <w:keepLines w:val="0"/>
              <w:pageBreakBefore w:val="0"/>
              <w:numPr>
                <w:ilvl w:val="0"/>
                <w:numId w:val="65"/>
              </w:numPr>
              <w:kinsoku/>
              <w:overflowPunct/>
              <w:bidi w:val="0"/>
              <w:adjustRightInd w:val="0"/>
              <w:snapToGrid w:val="0"/>
              <w:spacing w:line="360" w:lineRule="auto"/>
              <w:ind w:firstLine="251" w:firstLineChars="100"/>
              <w:textAlignment w:val="auto"/>
              <w:rPr>
                <w:rFonts w:hint="eastAsia" w:ascii="宋体" w:hAnsi="宋体" w:cs="宋体"/>
                <w:color w:val="auto"/>
                <w:sz w:val="24"/>
                <w:szCs w:val="24"/>
              </w:rPr>
            </w:pPr>
            <w:r>
              <w:rPr>
                <w:rFonts w:hint="eastAsia" w:ascii="宋体" w:hAnsi="宋体" w:cs="宋体"/>
                <w:b/>
                <w:color w:val="auto"/>
                <w:kern w:val="0"/>
                <w:sz w:val="24"/>
                <w:szCs w:val="24"/>
              </w:rPr>
              <w:t>后台管理服务（2分）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事件消息</w:t>
            </w:r>
            <w:r>
              <w:rPr>
                <w:rFonts w:hint="eastAsia" w:ascii="宋体" w:hAnsi="宋体" w:cs="宋体"/>
                <w:color w:val="auto"/>
                <w:sz w:val="24"/>
                <w:szCs w:val="24"/>
              </w:rPr>
              <w:t>推送规则配置方案及功能界面配图；</w:t>
            </w:r>
            <w:r>
              <w:rPr>
                <w:rFonts w:hint="eastAsia" w:ascii="宋体" w:hAnsi="宋体" w:cs="宋体"/>
                <w:bCs/>
                <w:color w:val="auto"/>
                <w:kern w:val="0"/>
                <w:sz w:val="24"/>
                <w:szCs w:val="24"/>
              </w:rPr>
              <w:t>（1分）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
                <w:color w:val="auto"/>
                <w:kern w:val="0"/>
                <w:sz w:val="24"/>
                <w:szCs w:val="24"/>
              </w:rPr>
            </w:pPr>
            <w:r>
              <w:rPr>
                <w:rFonts w:hint="eastAsia" w:ascii="宋体" w:hAnsi="宋体" w:cs="宋体"/>
                <w:bCs/>
                <w:color w:val="auto"/>
                <w:kern w:val="0"/>
                <w:sz w:val="24"/>
                <w:szCs w:val="24"/>
              </w:rPr>
              <w:t>账号权限管理方案。（1分）</w:t>
            </w:r>
          </w:p>
          <w:p>
            <w:pPr>
              <w:pStyle w:val="2"/>
              <w:keepNext w:val="0"/>
              <w:keepLines w:val="0"/>
              <w:pageBreakBefore w:val="0"/>
              <w:kinsoku/>
              <w:overflowPunct/>
              <w:bidi w:val="0"/>
              <w:adjustRightInd w:val="0"/>
              <w:snapToGrid w:val="0"/>
              <w:spacing w:line="360" w:lineRule="auto"/>
              <w:ind w:firstLine="251" w:firstLineChars="100"/>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9、移动端服务（2分）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数据实时反馈及传输方法说明；（1分）</w:t>
            </w:r>
          </w:p>
          <w:p>
            <w:pPr>
              <w:pStyle w:val="2"/>
              <w:keepNext w:val="0"/>
              <w:keepLines w:val="0"/>
              <w:pageBreakBefore w:val="0"/>
              <w:numPr>
                <w:ilvl w:val="0"/>
                <w:numId w:val="64"/>
              </w:numPr>
              <w:kinsoku/>
              <w:overflowPunct/>
              <w:bidi w:val="0"/>
              <w:adjustRightInd w:val="0"/>
              <w:snapToGrid w:val="0"/>
              <w:spacing w:line="360" w:lineRule="auto"/>
              <w:ind w:firstLineChars="0"/>
              <w:textAlignment w:val="auto"/>
              <w:rPr>
                <w:rFonts w:hint="eastAsia" w:ascii="宋体" w:hAnsi="宋体" w:cs="宋体"/>
                <w:color w:val="auto"/>
                <w:sz w:val="24"/>
                <w:szCs w:val="24"/>
              </w:rPr>
            </w:pPr>
            <w:r>
              <w:rPr>
                <w:rFonts w:hint="eastAsia" w:ascii="宋体" w:hAnsi="宋体" w:cs="宋体"/>
                <w:bCs/>
                <w:color w:val="auto"/>
                <w:kern w:val="0"/>
                <w:sz w:val="24"/>
                <w:szCs w:val="24"/>
              </w:rPr>
              <w:t>移动端基础数据显示及事件上传模块的描述。（1分）</w:t>
            </w:r>
          </w:p>
          <w:p>
            <w:pPr>
              <w:keepNext w:val="0"/>
              <w:keepLines w:val="0"/>
              <w:pageBreakBefore w:val="0"/>
              <w:tabs>
                <w:tab w:val="left" w:pos="0"/>
              </w:tabs>
              <w:kinsoku/>
              <w:wordWrap w:val="0"/>
              <w:overflowPunct/>
              <w:topLinePunct/>
              <w:bidi w:val="0"/>
              <w:spacing w:line="360" w:lineRule="auto"/>
              <w:ind w:firstLine="0" w:firstLineChars="0"/>
              <w:textAlignment w:val="auto"/>
              <w:rPr>
                <w:rFonts w:hint="eastAsia" w:ascii="宋体" w:hAnsi="宋体" w:cs="宋体"/>
                <w:bCs/>
                <w:color w:val="auto"/>
                <w:kern w:val="0"/>
                <w:sz w:val="24"/>
                <w:szCs w:val="24"/>
              </w:rPr>
            </w:pPr>
            <w:r>
              <w:rPr>
                <w:rFonts w:hint="eastAsia" w:ascii="宋体" w:hAnsi="宋体" w:cs="宋体"/>
                <w:bCs/>
                <w:color w:val="auto"/>
                <w:kern w:val="0"/>
                <w:sz w:val="24"/>
                <w:szCs w:val="24"/>
              </w:rPr>
              <w:t>方案完整、详细、清楚、合理、完全符合本项目实际需求的得35分，方案</w:t>
            </w:r>
            <w:r>
              <w:rPr>
                <w:rFonts w:hint="eastAsia" w:ascii="宋体" w:hAnsi="宋体" w:cs="宋体"/>
                <w:bCs/>
                <w:color w:val="auto"/>
                <w:sz w:val="24"/>
                <w:szCs w:val="24"/>
              </w:rPr>
              <w:t>每有一项缺项的则扣除括号内相应分值，每有一项有缺陷/不合理/有偏差/有漏洞/与实际不符/过于简略/存在无关的内容或分析内容的扣0.5分；本项分值扣完为止。</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51" w:type="dxa"/>
            <w:vMerge w:val="continue"/>
            <w:noWrap w:val="0"/>
            <w:vAlign w:val="center"/>
          </w:tcPr>
          <w:p>
            <w:pPr>
              <w:pStyle w:val="2"/>
              <w:keepNext w:val="0"/>
              <w:keepLines w:val="0"/>
              <w:pageBreakBefore w:val="0"/>
              <w:kinsoku/>
              <w:overflowPunct/>
              <w:bidi w:val="0"/>
              <w:spacing w:line="360" w:lineRule="auto"/>
              <w:ind w:firstLine="0" w:firstLineChars="0"/>
              <w:textAlignment w:val="auto"/>
              <w:rPr>
                <w:rFonts w:hint="eastAsia" w:ascii="宋体" w:hAnsi="宋体" w:cs="宋体"/>
                <w:color w:val="auto"/>
                <w:sz w:val="24"/>
                <w:szCs w:val="24"/>
              </w:rPr>
            </w:pPr>
          </w:p>
        </w:tc>
        <w:tc>
          <w:tcPr>
            <w:tcW w:w="1344" w:type="dxa"/>
            <w:vMerge w:val="continue"/>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p>
        </w:tc>
        <w:tc>
          <w:tcPr>
            <w:tcW w:w="6585" w:type="dxa"/>
            <w:noWrap w:val="0"/>
            <w:vAlign w:val="center"/>
          </w:tcPr>
          <w:p>
            <w:pPr>
              <w:keepNext w:val="0"/>
              <w:keepLines w:val="0"/>
              <w:pageBreakBefore w:val="0"/>
              <w:tabs>
                <w:tab w:val="left" w:pos="0"/>
              </w:tabs>
              <w:kinsoku/>
              <w:wordWrap w:val="0"/>
              <w:overflowPunct/>
              <w:topLinePunct/>
              <w:bidi w:val="0"/>
              <w:spacing w:line="360" w:lineRule="auto"/>
              <w:ind w:firstLine="0" w:firstLineChars="0"/>
              <w:textAlignment w:val="auto"/>
              <w:rPr>
                <w:rFonts w:hint="eastAsia" w:ascii="宋体" w:hAnsi="宋体" w:cs="宋体"/>
                <w:b/>
                <w:color w:val="auto"/>
                <w:sz w:val="24"/>
                <w:szCs w:val="24"/>
              </w:rPr>
            </w:pPr>
            <w:r>
              <w:rPr>
                <w:rFonts w:hint="eastAsia" w:ascii="宋体" w:hAnsi="宋体" w:cs="宋体"/>
                <w:b/>
                <w:color w:val="auto"/>
                <w:sz w:val="24"/>
                <w:szCs w:val="24"/>
              </w:rPr>
              <w:t>运维及培训方案：</w:t>
            </w:r>
          </w:p>
          <w:p>
            <w:pPr>
              <w:keepNext w:val="0"/>
              <w:keepLines w:val="0"/>
              <w:pageBreakBefore w:val="0"/>
              <w:tabs>
                <w:tab w:val="left" w:pos="0"/>
              </w:tabs>
              <w:kinsoku/>
              <w:wordWrap w:val="0"/>
              <w:overflowPunct/>
              <w:topLinePunct/>
              <w:bidi w:val="0"/>
              <w:spacing w:line="360" w:lineRule="auto"/>
              <w:ind w:firstLine="0" w:firstLineChars="0"/>
              <w:textAlignment w:val="auto"/>
              <w:rPr>
                <w:rFonts w:hint="eastAsia" w:ascii="宋体" w:hAnsi="宋体" w:cs="宋体"/>
                <w:bCs/>
                <w:color w:val="auto"/>
                <w:kern w:val="0"/>
                <w:sz w:val="24"/>
                <w:szCs w:val="24"/>
              </w:rPr>
            </w:pPr>
            <w:r>
              <w:rPr>
                <w:rFonts w:hint="eastAsia" w:ascii="宋体" w:hAnsi="宋体" w:cs="宋体"/>
                <w:bCs/>
                <w:color w:val="auto"/>
                <w:sz w:val="24"/>
                <w:szCs w:val="24"/>
              </w:rPr>
              <w:t>根据投标人针对本项目提供的运维及培训方案（包含(1)运维计划及安排；(2)人员培训计划及安排。）进行评定。方案完整、详细、合理、满足本项目实际需求的得</w:t>
            </w:r>
            <w:r>
              <w:rPr>
                <w:rFonts w:hint="eastAsia" w:ascii="宋体" w:hAnsi="宋体" w:cs="宋体"/>
                <w:bCs/>
                <w:color w:val="auto"/>
                <w:sz w:val="24"/>
                <w:szCs w:val="24"/>
                <w:lang w:val="en-US" w:eastAsia="zh-CN"/>
              </w:rPr>
              <w:t>4</w:t>
            </w:r>
            <w:r>
              <w:rPr>
                <w:rFonts w:hint="eastAsia" w:ascii="宋体" w:hAnsi="宋体" w:cs="宋体"/>
                <w:bCs/>
                <w:color w:val="auto"/>
                <w:sz w:val="24"/>
                <w:szCs w:val="24"/>
              </w:rPr>
              <w:t>分；方案每有一项缺项的扣</w:t>
            </w:r>
            <w:r>
              <w:rPr>
                <w:rFonts w:hint="eastAsia" w:ascii="宋体" w:hAnsi="宋体" w:cs="宋体"/>
                <w:bCs/>
                <w:color w:val="auto"/>
                <w:sz w:val="24"/>
                <w:szCs w:val="24"/>
                <w:lang w:val="en-US" w:eastAsia="zh-CN"/>
              </w:rPr>
              <w:t>2</w:t>
            </w:r>
            <w:r>
              <w:rPr>
                <w:rFonts w:hint="eastAsia" w:ascii="宋体" w:hAnsi="宋体" w:cs="宋体"/>
                <w:bCs/>
                <w:color w:val="auto"/>
                <w:sz w:val="24"/>
                <w:szCs w:val="24"/>
              </w:rPr>
              <w:t>分，每有一项有缺陷/不合理/有偏差/有漏洞/与实际不符/过于简略/存在无关的内容的扣</w:t>
            </w:r>
            <w:r>
              <w:rPr>
                <w:rFonts w:hint="eastAsia" w:ascii="宋体" w:hAnsi="宋体" w:cs="宋体"/>
                <w:bCs/>
                <w:color w:val="auto"/>
                <w:sz w:val="24"/>
                <w:szCs w:val="24"/>
                <w:lang w:val="en-US" w:eastAsia="zh-CN"/>
              </w:rPr>
              <w:t>1</w:t>
            </w:r>
            <w:r>
              <w:rPr>
                <w:rFonts w:hint="eastAsia" w:ascii="宋体" w:hAnsi="宋体" w:cs="宋体"/>
                <w:bCs/>
                <w:color w:val="auto"/>
                <w:sz w:val="24"/>
                <w:szCs w:val="24"/>
              </w:rPr>
              <w:t>分；本项分值扣完为止。</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751" w:type="dxa"/>
            <w:vMerge w:val="continue"/>
            <w:noWrap w:val="0"/>
            <w:vAlign w:val="center"/>
          </w:tcPr>
          <w:p>
            <w:pPr>
              <w:pStyle w:val="2"/>
              <w:keepNext w:val="0"/>
              <w:keepLines w:val="0"/>
              <w:pageBreakBefore w:val="0"/>
              <w:kinsoku/>
              <w:overflowPunct/>
              <w:bidi w:val="0"/>
              <w:spacing w:line="360" w:lineRule="auto"/>
              <w:ind w:firstLine="0" w:firstLineChars="0"/>
              <w:textAlignment w:val="auto"/>
              <w:rPr>
                <w:rFonts w:hint="eastAsia" w:ascii="宋体" w:hAnsi="宋体" w:cs="宋体"/>
                <w:color w:val="auto"/>
                <w:sz w:val="24"/>
                <w:szCs w:val="24"/>
              </w:rPr>
            </w:pPr>
          </w:p>
        </w:tc>
        <w:tc>
          <w:tcPr>
            <w:tcW w:w="1344" w:type="dxa"/>
            <w:noWrap w:val="0"/>
            <w:vAlign w:val="center"/>
          </w:tcPr>
          <w:p>
            <w:pPr>
              <w:keepNext w:val="0"/>
              <w:keepLines w:val="0"/>
              <w:pageBreakBefore w:val="0"/>
              <w:tabs>
                <w:tab w:val="left" w:pos="0"/>
              </w:tabs>
              <w:kinsoku/>
              <w:wordWrap w:val="0"/>
              <w:overflowPunct/>
              <w:topLine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功能演示</w:t>
            </w:r>
          </w:p>
        </w:tc>
        <w:tc>
          <w:tcPr>
            <w:tcW w:w="6585" w:type="dxa"/>
            <w:noWrap w:val="0"/>
            <w:vAlign w:val="center"/>
          </w:tcPr>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根据投标人提供的功能演示（演示内容包含以下内容：</w:t>
            </w:r>
          </w:p>
          <w:p>
            <w:pPr>
              <w:pStyle w:val="132"/>
              <w:keepNext w:val="0"/>
              <w:keepLines w:val="0"/>
              <w:pageBreakBefore w:val="0"/>
              <w:numPr>
                <w:ilvl w:val="0"/>
                <w:numId w:val="66"/>
              </w:numPr>
              <w:kinsoku/>
              <w:overflowPunct/>
              <w:bidi w:val="0"/>
              <w:adjustRightInd w:val="0"/>
              <w:snapToGrid w:val="0"/>
              <w:spacing w:line="360" w:lineRule="auto"/>
              <w:jc w:val="both"/>
              <w:textAlignment w:val="auto"/>
              <w:rPr>
                <w:rFonts w:hint="eastAsia" w:cs="宋体"/>
                <w:color w:val="auto"/>
                <w:sz w:val="24"/>
                <w:szCs w:val="24"/>
              </w:rPr>
            </w:pPr>
            <w:r>
              <w:rPr>
                <w:rFonts w:hint="eastAsia" w:cs="宋体"/>
                <w:bCs/>
                <w:color w:val="auto"/>
                <w:sz w:val="24"/>
                <w:szCs w:val="24"/>
              </w:rPr>
              <w:t>智能化网格监测及可视化（网格化空气质量推断，空气质量6+1参数、2km*2km、小时级），支持</w:t>
            </w:r>
            <w:r>
              <w:rPr>
                <w:rFonts w:hint="eastAsia" w:cs="宋体"/>
                <w:bCs/>
                <w:color w:val="auto"/>
                <w:sz w:val="24"/>
                <w:szCs w:val="24"/>
                <w:lang w:val="en-US" w:eastAsia="zh-CN"/>
              </w:rPr>
              <w:t>区域污染变化</w:t>
            </w:r>
            <w:r>
              <w:rPr>
                <w:rFonts w:hint="eastAsia" w:cs="宋体"/>
                <w:bCs/>
                <w:color w:val="auto"/>
                <w:sz w:val="24"/>
                <w:szCs w:val="24"/>
              </w:rPr>
              <w:t>、不利气象条件等场景的可视化分析以及任意时段的历史播放；可查看任意网格的基础特征</w:t>
            </w:r>
            <w:r>
              <w:rPr>
                <w:rFonts w:hint="eastAsia" w:cs="宋体"/>
                <w:color w:val="auto"/>
                <w:sz w:val="24"/>
                <w:szCs w:val="24"/>
              </w:rPr>
              <w:t>（至少包括工厂、餐饮、交通服务、工地中的三项）、交通特征（至少包括拥堵态势、交通流量、重型车辆、道路扬尘中的三项）、气象特征（至少包括温度、湿度、压强、风向风力、降水量中的三项）；</w:t>
            </w:r>
          </w:p>
          <w:p>
            <w:pPr>
              <w:pStyle w:val="132"/>
              <w:keepNext w:val="0"/>
              <w:keepLines w:val="0"/>
              <w:pageBreakBefore w:val="0"/>
              <w:numPr>
                <w:ilvl w:val="0"/>
                <w:numId w:val="66"/>
              </w:numPr>
              <w:kinsoku/>
              <w:overflowPunct/>
              <w:bidi w:val="0"/>
              <w:adjustRightInd w:val="0"/>
              <w:snapToGrid w:val="0"/>
              <w:spacing w:line="360" w:lineRule="auto"/>
              <w:jc w:val="both"/>
              <w:textAlignment w:val="auto"/>
              <w:rPr>
                <w:rFonts w:hint="eastAsia" w:cs="宋体"/>
                <w:color w:val="auto"/>
                <w:sz w:val="24"/>
                <w:szCs w:val="24"/>
              </w:rPr>
            </w:pPr>
            <w:r>
              <w:rPr>
                <w:rFonts w:hint="eastAsia" w:cs="宋体"/>
                <w:bCs/>
                <w:color w:val="auto"/>
                <w:sz w:val="24"/>
                <w:szCs w:val="24"/>
              </w:rPr>
              <w:t>目标区域所有网格24小时空气质量（空气质量6+1参数、2km*2km、小时级）动态视频展示，可一次性展示不少于一个月的视频，可任意选择月份和空气质量6+1参数之一进行展示</w:t>
            </w:r>
            <w:r>
              <w:rPr>
                <w:rFonts w:hint="eastAsia" w:cs="宋体"/>
                <w:color w:val="auto"/>
                <w:sz w:val="24"/>
                <w:szCs w:val="24"/>
              </w:rPr>
              <w:t>；</w:t>
            </w:r>
          </w:p>
          <w:p>
            <w:pPr>
              <w:pStyle w:val="132"/>
              <w:keepNext w:val="0"/>
              <w:keepLines w:val="0"/>
              <w:pageBreakBefore w:val="0"/>
              <w:numPr>
                <w:ilvl w:val="0"/>
                <w:numId w:val="66"/>
              </w:numPr>
              <w:kinsoku/>
              <w:overflowPunct/>
              <w:bidi w:val="0"/>
              <w:adjustRightInd w:val="0"/>
              <w:snapToGrid w:val="0"/>
              <w:spacing w:line="360" w:lineRule="auto"/>
              <w:jc w:val="both"/>
              <w:textAlignment w:val="auto"/>
              <w:rPr>
                <w:rFonts w:hint="eastAsia" w:cs="宋体"/>
                <w:color w:val="auto"/>
                <w:sz w:val="24"/>
                <w:szCs w:val="24"/>
              </w:rPr>
            </w:pPr>
            <w:r>
              <w:rPr>
                <w:rFonts w:hint="eastAsia" w:cs="宋体"/>
                <w:bCs/>
                <w:color w:val="auto"/>
                <w:sz w:val="24"/>
                <w:szCs w:val="24"/>
              </w:rPr>
              <w:t>污染事件告警及调度，可手动输入告警触发参数并实时应用，可实现线上触发、线上响应、线上分派、线上处理，对所有环节进行跟踪记录及归档，可对线下响应进行综合多维统计</w:t>
            </w:r>
            <w:r>
              <w:rPr>
                <w:rFonts w:hint="eastAsia" w:cs="宋体"/>
                <w:color w:val="auto"/>
                <w:sz w:val="24"/>
                <w:szCs w:val="24"/>
              </w:rPr>
              <w:t>；</w:t>
            </w:r>
          </w:p>
          <w:p>
            <w:pPr>
              <w:pStyle w:val="132"/>
              <w:keepNext w:val="0"/>
              <w:keepLines w:val="0"/>
              <w:pageBreakBefore w:val="0"/>
              <w:numPr>
                <w:ilvl w:val="0"/>
                <w:numId w:val="66"/>
              </w:numPr>
              <w:kinsoku/>
              <w:overflowPunct/>
              <w:bidi w:val="0"/>
              <w:adjustRightInd w:val="0"/>
              <w:snapToGrid w:val="0"/>
              <w:spacing w:line="360" w:lineRule="auto"/>
              <w:jc w:val="both"/>
              <w:textAlignment w:val="auto"/>
              <w:rPr>
                <w:rFonts w:hint="eastAsia" w:cs="宋体"/>
                <w:color w:val="auto"/>
                <w:sz w:val="24"/>
                <w:szCs w:val="24"/>
              </w:rPr>
            </w:pPr>
            <w:r>
              <w:rPr>
                <w:rFonts w:hint="eastAsia" w:cs="宋体"/>
                <w:bCs/>
                <w:color w:val="auto"/>
                <w:sz w:val="24"/>
                <w:szCs w:val="24"/>
              </w:rPr>
              <w:t>全域空气污染溯源，支持全域范围内多类（至少包括工厂、餐饮、移动源、工地）污染源一张图展示、小时级空气局部污染事件识别以及相关污染源自动判定（可在同一界面展示与污染事件关联的污染源信息），支持接收移动端上报的现场污染事件和污染源信息（至少包括文字和图片）并进行展示、统计和存储。对精准化溯源的原理进行现场阐述</w:t>
            </w:r>
            <w:r>
              <w:rPr>
                <w:rFonts w:hint="eastAsia" w:cs="宋体"/>
                <w:color w:val="auto"/>
                <w:sz w:val="24"/>
                <w:szCs w:val="24"/>
              </w:rPr>
              <w:t>；</w:t>
            </w:r>
          </w:p>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color w:val="auto"/>
                <w:sz w:val="24"/>
                <w:szCs w:val="24"/>
              </w:rPr>
              <w:t>(5)</w:t>
            </w:r>
            <w:r>
              <w:rPr>
                <w:rFonts w:hint="eastAsia" w:cs="宋体"/>
                <w:bCs/>
                <w:color w:val="auto"/>
                <w:sz w:val="24"/>
                <w:szCs w:val="24"/>
              </w:rPr>
              <w:t>移动终端，支持在线查看当前监测数据、历史走势、可查看任意网格的基础特征</w:t>
            </w:r>
            <w:r>
              <w:rPr>
                <w:rFonts w:hint="eastAsia" w:cs="宋体"/>
                <w:color w:val="auto"/>
                <w:sz w:val="24"/>
                <w:szCs w:val="24"/>
              </w:rPr>
              <w:t>（至少包括工厂、餐饮、交通服务、工地中的三项）、交通特征（至少包括拥堵态势、交通流量、重型车辆、道路扬尘中的三项）、气象特征（至少包括温度、湿度、压强、风向风力、降水量中的三项），可参与线上调度（对派发事件进行接收和查看），可实时发送现场污染信息（至少包括时间、坐标、说明文字、图片</w:t>
            </w:r>
            <w:r>
              <w:rPr>
                <w:rFonts w:hint="eastAsia" w:cs="宋体"/>
                <w:bCs/>
                <w:color w:val="auto"/>
                <w:sz w:val="24"/>
                <w:szCs w:val="24"/>
              </w:rPr>
              <w:t>）进行评定。演示内容完整、完全满足本</w:t>
            </w:r>
            <w:r>
              <w:rPr>
                <w:rFonts w:hint="eastAsia" w:cs="宋体"/>
                <w:color w:val="auto"/>
                <w:sz w:val="24"/>
                <w:szCs w:val="24"/>
              </w:rPr>
              <w:t>项目实际需求及项目情况的得20分；每有一项缺项的扣4分，</w:t>
            </w:r>
            <w:r>
              <w:rPr>
                <w:rFonts w:hint="eastAsia" w:cs="宋体"/>
                <w:bCs/>
                <w:color w:val="auto"/>
                <w:sz w:val="24"/>
                <w:szCs w:val="24"/>
              </w:rPr>
              <w:t>每有一项有缺陷/不合理/有偏差/有漏洞/与实际不符的扣2分，本项分值扣完为止。</w:t>
            </w:r>
          </w:p>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注：</w:t>
            </w:r>
          </w:p>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(1)投标人自行携带演示设备，代理机构仅提供演示现场投影设备（HDMI接口）和无线网络供投标人使用，投标人应充分考虑现场因素，现场演示不成功由投标人自行负责。</w:t>
            </w:r>
          </w:p>
          <w:p>
            <w:pPr>
              <w:pStyle w:val="132"/>
              <w:keepNext w:val="0"/>
              <w:keepLines w:val="0"/>
              <w:pageBreakBefore w:val="0"/>
              <w:kinsoku/>
              <w:overflowPunct/>
              <w:bidi w:val="0"/>
              <w:adjustRightInd w:val="0"/>
              <w:snapToGrid w:val="0"/>
              <w:spacing w:line="360" w:lineRule="auto"/>
              <w:jc w:val="both"/>
              <w:textAlignment w:val="auto"/>
              <w:rPr>
                <w:rFonts w:hint="eastAsia" w:ascii="宋体" w:hAnsi="宋体" w:cs="宋体"/>
                <w:color w:val="auto"/>
                <w:sz w:val="24"/>
                <w:szCs w:val="24"/>
              </w:rPr>
            </w:pPr>
            <w:r>
              <w:rPr>
                <w:rFonts w:hint="eastAsia" w:cs="宋体"/>
                <w:bCs/>
                <w:color w:val="auto"/>
                <w:sz w:val="24"/>
                <w:szCs w:val="24"/>
              </w:rPr>
              <w:t>(2)投标人应合理安排演示时间，演示时间不得超过40分钟，否则此项不得分。</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51" w:type="dxa"/>
            <w:vMerge w:val="restart"/>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bCs/>
                <w:color w:val="auto"/>
                <w:sz w:val="24"/>
                <w:szCs w:val="24"/>
              </w:rPr>
            </w:pPr>
            <w:r>
              <w:rPr>
                <w:rFonts w:hint="eastAsia" w:ascii="宋体" w:hAnsi="宋体" w:cs="宋体"/>
                <w:bCs/>
                <w:color w:val="auto"/>
                <w:sz w:val="24"/>
                <w:szCs w:val="24"/>
              </w:rPr>
              <w:t>共同评审</w:t>
            </w:r>
          </w:p>
        </w:tc>
        <w:tc>
          <w:tcPr>
            <w:tcW w:w="1344"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人员配置</w:t>
            </w:r>
          </w:p>
        </w:tc>
        <w:tc>
          <w:tcPr>
            <w:tcW w:w="6585" w:type="dxa"/>
            <w:noWrap w:val="0"/>
            <w:vAlign w:val="center"/>
          </w:tcPr>
          <w:p>
            <w:pPr>
              <w:pStyle w:val="132"/>
              <w:keepNext w:val="0"/>
              <w:keepLines w:val="0"/>
              <w:pageBreakBefore w:val="0"/>
              <w:numPr>
                <w:ilvl w:val="0"/>
                <w:numId w:val="67"/>
              </w:numPr>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投标人派驻本项目的项目经理具备数理/环境/计算机科学类的博士学位的得3分，硕士学位的得1.5分，本科的得0.5分，专科及以下不得分，本项最多得3分。</w:t>
            </w:r>
          </w:p>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注：提供相关证书复印件，海外学历的提供教育部留学服务中心认证证书复印件，加盖投标人公章。</w:t>
            </w:r>
          </w:p>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2、投标人为本项目提供的服务人员（不含项目经理）中每有一人具备计算机/数学/环境三类相关专业硕士研究生及以上学历的得0.5分，最多得2分；每有一人具备PMP（项目管理师）资格的得0.5分，最多得1分；每有一人具有计算机技术与软件专业技术资格（水平）考试高级资格证书的得0.5分，最多得1分；本项最多得4分。</w:t>
            </w:r>
          </w:p>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注：</w:t>
            </w:r>
          </w:p>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(1)提供证书复印件及相应人员在投标人处任职的证明材料复印件，加盖投标人公章。</w:t>
            </w:r>
          </w:p>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bCs/>
                <w:color w:val="auto"/>
                <w:sz w:val="24"/>
                <w:szCs w:val="24"/>
              </w:rPr>
              <w:t>(2)同一人员多个证书的不重复计分，按有利于投标人的原则计分。</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51" w:type="dxa"/>
            <w:vMerge w:val="continue"/>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bCs/>
                <w:color w:val="auto"/>
                <w:sz w:val="24"/>
                <w:szCs w:val="24"/>
              </w:rPr>
            </w:pPr>
          </w:p>
        </w:tc>
        <w:tc>
          <w:tcPr>
            <w:tcW w:w="1344"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履约能力</w:t>
            </w:r>
          </w:p>
        </w:tc>
        <w:tc>
          <w:tcPr>
            <w:tcW w:w="6585" w:type="dxa"/>
            <w:noWrap w:val="0"/>
            <w:vAlign w:val="center"/>
          </w:tcPr>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投标人2018年（含）以来，具有一个与本项目类似履约经验的得</w:t>
            </w:r>
            <w:r>
              <w:rPr>
                <w:rFonts w:hint="eastAsia" w:cs="宋体"/>
                <w:bCs/>
                <w:color w:val="auto"/>
                <w:sz w:val="24"/>
                <w:szCs w:val="24"/>
                <w:lang w:val="en-US" w:eastAsia="zh-CN"/>
              </w:rPr>
              <w:t>3</w:t>
            </w:r>
            <w:r>
              <w:rPr>
                <w:rFonts w:hint="eastAsia" w:cs="宋体"/>
                <w:bCs/>
                <w:color w:val="auto"/>
                <w:sz w:val="24"/>
                <w:szCs w:val="24"/>
              </w:rPr>
              <w:t>分。</w:t>
            </w:r>
          </w:p>
          <w:p>
            <w:pPr>
              <w:pStyle w:val="132"/>
              <w:keepNext w:val="0"/>
              <w:keepLines w:val="0"/>
              <w:pageBreakBefore w:val="0"/>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注：</w:t>
            </w:r>
          </w:p>
          <w:p>
            <w:pPr>
              <w:pStyle w:val="132"/>
              <w:keepNext w:val="0"/>
              <w:keepLines w:val="0"/>
              <w:pageBreakBefore w:val="0"/>
              <w:numPr>
                <w:ilvl w:val="0"/>
                <w:numId w:val="68"/>
              </w:numPr>
              <w:kinsoku/>
              <w:overflowPunct/>
              <w:bidi w:val="0"/>
              <w:adjustRightInd w:val="0"/>
              <w:snapToGrid w:val="0"/>
              <w:spacing w:line="360" w:lineRule="auto"/>
              <w:jc w:val="both"/>
              <w:textAlignment w:val="auto"/>
              <w:rPr>
                <w:rFonts w:hint="eastAsia" w:cs="宋体"/>
                <w:bCs/>
                <w:color w:val="auto"/>
                <w:sz w:val="24"/>
                <w:szCs w:val="24"/>
              </w:rPr>
            </w:pPr>
            <w:r>
              <w:rPr>
                <w:rFonts w:hint="eastAsia" w:cs="宋体"/>
                <w:bCs/>
                <w:color w:val="auto"/>
                <w:sz w:val="24"/>
                <w:szCs w:val="24"/>
              </w:rPr>
              <w:t>提供合同/中标通知书（成交通知书）复印件，及验收报告复印件,加盖投标人公章（鲜章）。</w:t>
            </w:r>
          </w:p>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bCs/>
                <w:color w:val="auto"/>
                <w:sz w:val="24"/>
                <w:szCs w:val="24"/>
              </w:rPr>
              <w:t>投标人提供的合同/中标通知书须能体现工作内容与本项目类似，否则不予计分。</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51" w:type="dxa"/>
            <w:vMerge w:val="continue"/>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bCs/>
                <w:color w:val="auto"/>
                <w:sz w:val="24"/>
                <w:szCs w:val="24"/>
              </w:rPr>
            </w:pPr>
          </w:p>
        </w:tc>
        <w:tc>
          <w:tcPr>
            <w:tcW w:w="1344" w:type="dxa"/>
            <w:noWrap w:val="0"/>
            <w:vAlign w:val="center"/>
          </w:tcPr>
          <w:p>
            <w:pPr>
              <w:keepNext w:val="0"/>
              <w:keepLines w:val="0"/>
              <w:pageBreakBefore w:val="0"/>
              <w:kinsoku/>
              <w:overflowPunct/>
              <w:autoSpaceDE w:val="0"/>
              <w:autoSpaceDN w:val="0"/>
              <w:bidi w:val="0"/>
              <w:adjustRightInd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节能环保</w:t>
            </w:r>
          </w:p>
        </w:tc>
        <w:tc>
          <w:tcPr>
            <w:tcW w:w="6585" w:type="dxa"/>
            <w:noWrap w:val="0"/>
            <w:vAlign w:val="top"/>
          </w:tcPr>
          <w:p>
            <w:pPr>
              <w:keepNext w:val="0"/>
              <w:keepLines w:val="0"/>
              <w:pageBreakBefore w:val="0"/>
              <w:widowControl/>
              <w:kinsoku/>
              <w:overflowPunct/>
              <w:bidi w:val="0"/>
              <w:spacing w:line="360" w:lineRule="auto"/>
              <w:ind w:left="25" w:leftChars="10" w:right="25" w:rightChars="10"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供应商为完成本项目服务所配套的设备中有认定为优先采购节能产品的，得0.5分。有认定为政府采购环境标志产品的，得0.5分。本项最多得1分。</w:t>
            </w:r>
          </w:p>
          <w:p>
            <w:pPr>
              <w:keepNext w:val="0"/>
              <w:keepLines w:val="0"/>
              <w:pageBreakBefore w:val="0"/>
              <w:widowControl/>
              <w:kinsoku/>
              <w:overflowPunct/>
              <w:bidi w:val="0"/>
              <w:spacing w:line="360" w:lineRule="auto"/>
              <w:ind w:left="25" w:leftChars="10" w:right="25" w:rightChars="10" w:firstLine="0" w:firstLineChars="0"/>
              <w:textAlignment w:val="auto"/>
              <w:rPr>
                <w:rFonts w:hint="eastAsia" w:ascii="宋体" w:hAnsi="宋体" w:cs="宋体"/>
                <w:color w:val="auto"/>
                <w:kern w:val="0"/>
                <w:sz w:val="24"/>
                <w:szCs w:val="24"/>
              </w:rPr>
            </w:pPr>
            <w:r>
              <w:rPr>
                <w:rFonts w:hint="eastAsia" w:ascii="宋体" w:hAnsi="宋体" w:cs="宋体"/>
                <w:color w:val="auto"/>
                <w:sz w:val="24"/>
                <w:szCs w:val="24"/>
              </w:rPr>
              <w:t>（说明：属于优先采购范围内的节能产品或者环境标志产品的，提供国家确定的认证机构出具的、处于有效期之内的节能产品、环境标志产品认证证书复印件</w:t>
            </w:r>
            <w:r>
              <w:rPr>
                <w:rFonts w:hint="eastAsia" w:ascii="宋体" w:hAnsi="宋体" w:cs="宋体"/>
                <w:color w:val="auto"/>
                <w:sz w:val="24"/>
                <w:szCs w:val="24"/>
                <w:lang w:eastAsia="zh-CN"/>
              </w:rPr>
              <w:t>。</w:t>
            </w:r>
            <w:r>
              <w:rPr>
                <w:rFonts w:hint="eastAsia" w:ascii="宋体" w:hAnsi="宋体" w:cs="宋体"/>
                <w:color w:val="auto"/>
                <w:sz w:val="24"/>
                <w:szCs w:val="24"/>
              </w:rPr>
              <w:t>）</w:t>
            </w:r>
          </w:p>
        </w:tc>
        <w:tc>
          <w:tcPr>
            <w:tcW w:w="790" w:type="dxa"/>
            <w:noWrap w:val="0"/>
            <w:vAlign w:val="center"/>
          </w:tcPr>
          <w:p>
            <w:pPr>
              <w:keepNext w:val="0"/>
              <w:keepLines w:val="0"/>
              <w:pageBreakBefore w:val="0"/>
              <w:widowControl/>
              <w:kinsoku/>
              <w:overflowPunct/>
              <w:bidi w:val="0"/>
              <w:spacing w:line="360" w:lineRule="auto"/>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1分</w:t>
            </w:r>
          </w:p>
        </w:tc>
      </w:tr>
    </w:tbl>
    <w:p/>
    <w:p>
      <w:pPr>
        <w:ind w:firstLine="506"/>
        <w:rPr>
          <w:rFonts w:ascii="宋体" w:hAnsi="宋体"/>
          <w:b/>
          <w:szCs w:val="24"/>
        </w:rPr>
      </w:pPr>
      <w:r>
        <w:rPr>
          <w:rFonts w:hint="eastAsia" w:ascii="宋体" w:hAnsi="宋体"/>
          <w:b/>
          <w:szCs w:val="24"/>
        </w:rPr>
        <w:t>说明：1、评分的取值按四舍五入法，保留小数点后两位；</w:t>
      </w:r>
    </w:p>
    <w:p>
      <w:pPr>
        <w:ind w:firstLine="506"/>
        <w:rPr>
          <w:rFonts w:ascii="宋体" w:hAnsi="宋体"/>
          <w:b/>
          <w:szCs w:val="24"/>
        </w:rPr>
      </w:pPr>
      <w:r>
        <w:rPr>
          <w:rFonts w:hint="eastAsia" w:ascii="宋体" w:hAnsi="宋体"/>
          <w:b/>
          <w:szCs w:val="24"/>
        </w:rPr>
        <w:t xml:space="preserve">  2、评分标准中要求提供复印件的证明材料须清晰可辨。</w:t>
      </w:r>
    </w:p>
    <w:p>
      <w:pPr>
        <w:pStyle w:val="5"/>
        <w:rPr>
          <w:sz w:val="24"/>
          <w:szCs w:val="24"/>
        </w:rPr>
      </w:pPr>
      <w:bookmarkStart w:id="348" w:name="_Toc23453"/>
      <w:r>
        <w:rPr>
          <w:rFonts w:hint="eastAsia"/>
          <w:sz w:val="24"/>
          <w:szCs w:val="24"/>
        </w:rPr>
        <w:t>本次政府采购活动中，出现下列情形之一的，予以废标：</w:t>
      </w:r>
      <w:bookmarkEnd w:id="341"/>
      <w:bookmarkEnd w:id="348"/>
    </w:p>
    <w:p>
      <w:pPr>
        <w:numPr>
          <w:ilvl w:val="0"/>
          <w:numId w:val="69"/>
        </w:numPr>
        <w:tabs>
          <w:tab w:val="left" w:pos="1155"/>
        </w:tabs>
        <w:ind w:left="0" w:firstLine="504"/>
        <w:rPr>
          <w:rFonts w:ascii="宋体" w:hAnsi="宋体"/>
          <w:szCs w:val="24"/>
        </w:rPr>
      </w:pPr>
      <w:r>
        <w:rPr>
          <w:rFonts w:hint="eastAsia" w:ascii="宋体" w:hAnsi="宋体"/>
          <w:szCs w:val="24"/>
        </w:rPr>
        <w:t>符合专业条件的投标人或者对招标文件作实质性响应的投标人不足三家的；</w:t>
      </w:r>
    </w:p>
    <w:p>
      <w:pPr>
        <w:numPr>
          <w:ilvl w:val="0"/>
          <w:numId w:val="69"/>
        </w:numPr>
        <w:tabs>
          <w:tab w:val="left" w:pos="1155"/>
        </w:tabs>
        <w:ind w:left="0" w:firstLine="504"/>
        <w:rPr>
          <w:rFonts w:ascii="宋体" w:hAnsi="宋体"/>
          <w:szCs w:val="24"/>
        </w:rPr>
      </w:pPr>
      <w:r>
        <w:rPr>
          <w:rFonts w:hint="eastAsia" w:ascii="宋体" w:hAnsi="宋体"/>
          <w:szCs w:val="24"/>
        </w:rPr>
        <w:t>出现影响采购公正的违法、违规行为的；</w:t>
      </w:r>
    </w:p>
    <w:p>
      <w:pPr>
        <w:numPr>
          <w:ilvl w:val="0"/>
          <w:numId w:val="69"/>
        </w:numPr>
        <w:tabs>
          <w:tab w:val="left" w:pos="1155"/>
        </w:tabs>
        <w:ind w:left="0" w:firstLine="504"/>
      </w:pPr>
      <w:r>
        <w:rPr>
          <w:rFonts w:hint="eastAsia" w:ascii="宋体" w:hAnsi="宋体"/>
          <w:szCs w:val="24"/>
        </w:rPr>
        <w:t>投标人的报价均超过了采购预算，采购人不能支付；</w:t>
      </w:r>
    </w:p>
    <w:p>
      <w:pPr>
        <w:numPr>
          <w:ilvl w:val="0"/>
          <w:numId w:val="69"/>
        </w:numPr>
        <w:tabs>
          <w:tab w:val="left" w:pos="1155"/>
        </w:tabs>
        <w:ind w:left="0" w:firstLine="504"/>
        <w:rPr>
          <w:rFonts w:ascii="宋体" w:hAnsi="宋体"/>
          <w:szCs w:val="24"/>
        </w:rPr>
      </w:pPr>
      <w:r>
        <w:rPr>
          <w:rFonts w:hint="eastAsia" w:ascii="宋体" w:hAnsi="宋体"/>
          <w:szCs w:val="24"/>
        </w:rPr>
        <w:t>因重大变故，采购任务取消的。</w:t>
      </w:r>
    </w:p>
    <w:p>
      <w:pPr>
        <w:tabs>
          <w:tab w:val="left" w:pos="1155"/>
        </w:tabs>
        <w:ind w:firstLine="504"/>
        <w:rPr>
          <w:rFonts w:ascii="宋体" w:hAnsi="宋体"/>
          <w:szCs w:val="24"/>
        </w:rPr>
      </w:pPr>
      <w:r>
        <w:rPr>
          <w:rFonts w:hint="eastAsia" w:ascii="宋体" w:hAnsi="宋体"/>
          <w:szCs w:val="24"/>
        </w:rPr>
        <w:t>废标后，采购代理机构应在《四川政府采购网》上公告，并公告废标的情形。</w:t>
      </w:r>
    </w:p>
    <w:p>
      <w:pPr>
        <w:pStyle w:val="5"/>
      </w:pPr>
      <w:bookmarkStart w:id="349" w:name="_Toc315871727"/>
      <w:bookmarkStart w:id="350" w:name="_Toc1471"/>
      <w:bookmarkStart w:id="351" w:name="_Toc316292259"/>
      <w:bookmarkStart w:id="352" w:name="_Toc4584"/>
      <w:bookmarkStart w:id="353" w:name="_Toc5494"/>
      <w:r>
        <w:rPr>
          <w:rFonts w:hint="eastAsia"/>
        </w:rPr>
        <w:t>定标</w:t>
      </w:r>
      <w:bookmarkEnd w:id="342"/>
      <w:bookmarkEnd w:id="349"/>
      <w:bookmarkEnd w:id="350"/>
      <w:bookmarkEnd w:id="351"/>
      <w:bookmarkEnd w:id="352"/>
      <w:bookmarkEnd w:id="353"/>
      <w:bookmarkStart w:id="354" w:name="_Toc217446061"/>
    </w:p>
    <w:p>
      <w:pPr>
        <w:pStyle w:val="6"/>
        <w:ind w:left="342" w:leftChars="0" w:firstLine="506" w:firstLineChars="0"/>
        <w:rPr>
          <w:color w:val="auto"/>
          <w:szCs w:val="24"/>
        </w:rPr>
      </w:pPr>
      <w:bookmarkStart w:id="355" w:name="_Toc315871728"/>
      <w:bookmarkStart w:id="356" w:name="_Toc18262"/>
      <w:bookmarkStart w:id="357" w:name="_Toc316292260"/>
      <w:r>
        <w:rPr>
          <w:rFonts w:hint="eastAsia"/>
          <w:color w:val="auto"/>
          <w:szCs w:val="24"/>
        </w:rPr>
        <w:t>定标原则</w:t>
      </w:r>
      <w:bookmarkEnd w:id="354"/>
      <w:bookmarkEnd w:id="355"/>
      <w:bookmarkEnd w:id="356"/>
      <w:bookmarkEnd w:id="357"/>
    </w:p>
    <w:p>
      <w:pPr>
        <w:ind w:firstLine="504"/>
        <w:rPr>
          <w:rFonts w:ascii="宋体" w:hAnsi="宋体"/>
          <w:szCs w:val="24"/>
        </w:rPr>
      </w:pPr>
      <w:r>
        <w:rPr>
          <w:rFonts w:hint="eastAsia" w:ascii="宋体" w:hAnsi="宋体"/>
          <w:szCs w:val="24"/>
        </w:rPr>
        <w:t>本项目根据评标委员会推荐的中标候选人名单，按顺序确定中标人。</w:t>
      </w:r>
    </w:p>
    <w:p>
      <w:pPr>
        <w:pStyle w:val="6"/>
        <w:ind w:left="342" w:leftChars="0" w:firstLine="506" w:firstLineChars="0"/>
        <w:rPr>
          <w:color w:val="auto"/>
          <w:szCs w:val="24"/>
        </w:rPr>
      </w:pPr>
      <w:bookmarkStart w:id="358" w:name="_Toc31914"/>
      <w:bookmarkStart w:id="359" w:name="_Toc217446062"/>
      <w:bookmarkStart w:id="360" w:name="_Toc316292261"/>
      <w:bookmarkStart w:id="361" w:name="_Toc315871729"/>
      <w:r>
        <w:rPr>
          <w:rFonts w:hint="eastAsia"/>
          <w:color w:val="auto"/>
          <w:szCs w:val="24"/>
        </w:rPr>
        <w:t>定标程序</w:t>
      </w:r>
      <w:bookmarkEnd w:id="298"/>
      <w:bookmarkEnd w:id="358"/>
      <w:bookmarkEnd w:id="359"/>
      <w:bookmarkEnd w:id="360"/>
      <w:bookmarkEnd w:id="361"/>
    </w:p>
    <w:p>
      <w:pPr>
        <w:ind w:firstLine="504"/>
        <w:rPr>
          <w:rFonts w:ascii="宋体" w:hAnsi="宋体"/>
          <w:kern w:val="0"/>
          <w:szCs w:val="24"/>
        </w:rPr>
      </w:pPr>
      <w:bookmarkStart w:id="362" w:name="_Toc315871730"/>
      <w:bookmarkStart w:id="363" w:name="_Toc316292262"/>
      <w:r>
        <w:rPr>
          <w:rFonts w:hint="eastAsia" w:ascii="宋体" w:hAnsi="宋体"/>
          <w:kern w:val="0"/>
          <w:szCs w:val="24"/>
        </w:rPr>
        <w:t>一、评审委员会根据评审情况写出书面报告，推荐中标候选人。</w:t>
      </w:r>
    </w:p>
    <w:p>
      <w:pPr>
        <w:ind w:firstLine="504"/>
        <w:rPr>
          <w:rFonts w:ascii="宋体" w:hAnsi="宋体"/>
          <w:kern w:val="0"/>
          <w:szCs w:val="24"/>
        </w:rPr>
      </w:pPr>
      <w:r>
        <w:rPr>
          <w:rFonts w:hint="eastAsia" w:ascii="宋体" w:hAnsi="宋体"/>
          <w:kern w:val="0"/>
          <w:szCs w:val="24"/>
        </w:rPr>
        <w:t>二、采购代理机构在评标结束后2个工作日内将评标报告送采购人。</w:t>
      </w:r>
    </w:p>
    <w:p>
      <w:pPr>
        <w:pStyle w:val="2"/>
        <w:spacing w:line="560" w:lineRule="exact"/>
        <w:ind w:firstLine="504"/>
        <w:rPr>
          <w:rFonts w:ascii="宋体" w:hAnsi="宋体"/>
          <w:color w:val="000000"/>
          <w:szCs w:val="24"/>
        </w:rPr>
      </w:pPr>
      <w:r>
        <w:rPr>
          <w:rFonts w:hint="eastAsia" w:ascii="宋体" w:hAnsi="宋体"/>
          <w:kern w:val="0"/>
          <w:szCs w:val="24"/>
        </w:rPr>
        <w:t>三、采购人在收到评审报告后5个工作日内，按照评审报告中推荐的中标候选人顺序确定中标人。</w:t>
      </w:r>
      <w:r>
        <w:rPr>
          <w:rFonts w:hint="eastAsia" w:ascii="宋体" w:hAnsi="宋体"/>
          <w:color w:val="000000"/>
          <w:szCs w:val="24"/>
        </w:rPr>
        <w:t>如果中标（成交）候选人及其现任法定代表人、主要负责人存在行贿犯罪记录，采购人将不确定其为中标（成交）人。</w:t>
      </w:r>
    </w:p>
    <w:p>
      <w:pPr>
        <w:ind w:firstLine="504"/>
        <w:rPr>
          <w:rFonts w:ascii="宋体" w:hAnsi="宋体"/>
          <w:kern w:val="0"/>
          <w:szCs w:val="24"/>
        </w:rPr>
      </w:pPr>
      <w:r>
        <w:rPr>
          <w:rFonts w:hint="eastAsia" w:ascii="宋体" w:hAnsi="宋体"/>
          <w:kern w:val="0"/>
          <w:szCs w:val="24"/>
        </w:rPr>
        <w:t>四、根据采购人确定的中标人，采购代理机构自采购人确定中标之日起2个工作日内在“四川政府采购网”上发布中标公告，同时向中标人发出中标通知书。</w:t>
      </w:r>
    </w:p>
    <w:p>
      <w:pPr>
        <w:ind w:firstLine="504"/>
        <w:rPr>
          <w:rFonts w:ascii="宋体" w:hAnsi="宋体"/>
          <w:kern w:val="0"/>
          <w:szCs w:val="24"/>
        </w:rPr>
      </w:pPr>
      <w:r>
        <w:rPr>
          <w:rFonts w:hint="eastAsia" w:ascii="宋体" w:hAnsi="宋体"/>
          <w:kern w:val="0"/>
          <w:szCs w:val="24"/>
        </w:rPr>
        <w:t>五、招标采购单位不解释中标或未中标原因，不退回投标文件和其他投标资料。</w:t>
      </w:r>
    </w:p>
    <w:p>
      <w:pPr>
        <w:pStyle w:val="5"/>
      </w:pPr>
      <w:bookmarkStart w:id="364" w:name="_Toc27727"/>
      <w:bookmarkStart w:id="365" w:name="_Toc31430"/>
      <w:bookmarkStart w:id="366" w:name="_Toc11082"/>
      <w:r>
        <w:rPr>
          <w:rFonts w:hint="eastAsia"/>
        </w:rPr>
        <w:t>评标专家在政府采购活动中承担以下义务</w:t>
      </w:r>
      <w:bookmarkEnd w:id="362"/>
      <w:bookmarkEnd w:id="363"/>
      <w:bookmarkEnd w:id="364"/>
      <w:bookmarkEnd w:id="365"/>
      <w:bookmarkEnd w:id="366"/>
    </w:p>
    <w:p>
      <w:pPr>
        <w:numPr>
          <w:ilvl w:val="0"/>
          <w:numId w:val="70"/>
        </w:numPr>
        <w:ind w:firstLineChars="0"/>
        <w:rPr>
          <w:rFonts w:ascii="宋体"/>
        </w:rPr>
      </w:pPr>
      <w:bookmarkStart w:id="367" w:name="_Toc315871731"/>
      <w:bookmarkStart w:id="368" w:name="_Toc316292263"/>
      <w:bookmarkStart w:id="369" w:name="_Toc4999"/>
      <w:bookmarkStart w:id="370" w:name="_Toc26972"/>
      <w:r>
        <w:rPr>
          <w:rFonts w:hint="eastAsia" w:ascii="宋体"/>
        </w:rPr>
        <w:t xml:space="preserve">遵守评审工作纪律； </w:t>
      </w:r>
    </w:p>
    <w:p>
      <w:pPr>
        <w:numPr>
          <w:ilvl w:val="0"/>
          <w:numId w:val="70"/>
        </w:numPr>
        <w:ind w:firstLineChars="0"/>
        <w:rPr>
          <w:rFonts w:ascii="宋体"/>
        </w:rPr>
      </w:pPr>
      <w:r>
        <w:rPr>
          <w:rFonts w:hint="eastAsia" w:ascii="宋体"/>
        </w:rPr>
        <w:t>按照客观、公正、审慎的原则，根据采购文件规定的评审程序、评审方法和评审标准进行独立评审；</w:t>
      </w:r>
    </w:p>
    <w:p>
      <w:pPr>
        <w:numPr>
          <w:ilvl w:val="0"/>
          <w:numId w:val="70"/>
        </w:numPr>
        <w:ind w:firstLineChars="0"/>
        <w:rPr>
          <w:rFonts w:ascii="宋体"/>
        </w:rPr>
      </w:pPr>
      <w:r>
        <w:rPr>
          <w:rFonts w:hint="eastAsia" w:ascii="宋体"/>
        </w:rPr>
        <w:t>不得泄露评审文件、评审情况和在评审过程中获悉的商业秘密；</w:t>
      </w:r>
    </w:p>
    <w:p>
      <w:pPr>
        <w:numPr>
          <w:ilvl w:val="0"/>
          <w:numId w:val="70"/>
        </w:numPr>
        <w:ind w:firstLineChars="0"/>
        <w:rPr>
          <w:rFonts w:ascii="宋体"/>
        </w:rPr>
      </w:pPr>
      <w:r>
        <w:rPr>
          <w:rFonts w:hint="eastAsia" w:ascii="宋体"/>
        </w:rPr>
        <w:t>及时向监督部门报告评审过程中采购组织单位向评审专家做倾向性、误导性的解释或者说明，投标人行贿、提供虚假材料或者串通、受到的非法干预情况等违法违规行为；</w:t>
      </w:r>
    </w:p>
    <w:p>
      <w:pPr>
        <w:numPr>
          <w:ilvl w:val="0"/>
          <w:numId w:val="70"/>
        </w:numPr>
        <w:ind w:firstLineChars="0"/>
        <w:rPr>
          <w:rFonts w:ascii="宋体"/>
        </w:rPr>
      </w:pPr>
      <w:r>
        <w:rPr>
          <w:rFonts w:hint="eastAsia" w:ascii="宋体"/>
        </w:rPr>
        <w:t>发现采购文件内容违反国家有关强制性规定或者存在歧义、重大缺陷导致评审工作无法进行时，停止评审并向采购组织单位书面说明情况；</w:t>
      </w:r>
    </w:p>
    <w:p>
      <w:pPr>
        <w:numPr>
          <w:ilvl w:val="0"/>
          <w:numId w:val="70"/>
        </w:numPr>
        <w:ind w:firstLineChars="0"/>
        <w:rPr>
          <w:rFonts w:ascii="宋体"/>
        </w:rPr>
      </w:pPr>
      <w:r>
        <w:rPr>
          <w:rFonts w:hint="eastAsia" w:ascii="宋体"/>
        </w:rPr>
        <w:t>配合答复处理投标人的询问、质疑和投诉等事项；</w:t>
      </w:r>
    </w:p>
    <w:p>
      <w:pPr>
        <w:numPr>
          <w:ilvl w:val="0"/>
          <w:numId w:val="70"/>
        </w:numPr>
        <w:ind w:firstLineChars="0"/>
        <w:rPr>
          <w:rFonts w:ascii="宋体"/>
        </w:rPr>
      </w:pPr>
      <w:r>
        <w:rPr>
          <w:rFonts w:hint="eastAsia" w:ascii="宋体"/>
        </w:rPr>
        <w:t>法律、法规和规章规定的其他义务。</w:t>
      </w:r>
    </w:p>
    <w:p>
      <w:pPr>
        <w:pStyle w:val="5"/>
      </w:pPr>
      <w:bookmarkStart w:id="371" w:name="_Toc7173"/>
      <w:r>
        <w:rPr>
          <w:rFonts w:hint="eastAsia"/>
        </w:rPr>
        <w:t>评审专家在政府采购活动中应当遵守以下工作纪律</w:t>
      </w:r>
      <w:bookmarkEnd w:id="367"/>
      <w:bookmarkEnd w:id="368"/>
      <w:bookmarkEnd w:id="369"/>
      <w:bookmarkEnd w:id="370"/>
      <w:bookmarkEnd w:id="371"/>
    </w:p>
    <w:p>
      <w:pPr>
        <w:numPr>
          <w:ilvl w:val="0"/>
          <w:numId w:val="71"/>
        </w:numPr>
        <w:tabs>
          <w:tab w:val="left" w:pos="1155"/>
        </w:tabs>
        <w:ind w:firstLine="504"/>
        <w:rPr>
          <w:rFonts w:ascii="宋体" w:hAnsi="宋体"/>
          <w:szCs w:val="24"/>
        </w:rPr>
      </w:pPr>
      <w:r>
        <w:rPr>
          <w:rFonts w:hint="eastAsia" w:ascii="宋体" w:hAnsi="宋体"/>
          <w:szCs w:val="24"/>
        </w:rPr>
        <w:t>遵行《中华人民共和国政府采购法》第十二条和《中华人民共和国政府采购法实施条例》第九条及财政部关于回避的规定。</w:t>
      </w:r>
    </w:p>
    <w:p>
      <w:pPr>
        <w:numPr>
          <w:ilvl w:val="0"/>
          <w:numId w:val="71"/>
        </w:numPr>
        <w:tabs>
          <w:tab w:val="left" w:pos="1155"/>
        </w:tabs>
        <w:ind w:firstLine="504"/>
        <w:rPr>
          <w:rFonts w:ascii="宋体" w:hAnsi="宋体"/>
          <w:szCs w:val="24"/>
        </w:rPr>
      </w:pPr>
      <w:r>
        <w:rPr>
          <w:rFonts w:hint="eastAsia" w:ascii="宋体" w:hAnsi="宋体"/>
          <w:szCs w:val="24"/>
        </w:rPr>
        <w:t>评标前，应当将通讯工具或者相关电子设备交由招标采购单位统一保管。</w:t>
      </w:r>
    </w:p>
    <w:p>
      <w:pPr>
        <w:numPr>
          <w:ilvl w:val="0"/>
          <w:numId w:val="71"/>
        </w:numPr>
        <w:tabs>
          <w:tab w:val="left" w:pos="1155"/>
        </w:tabs>
        <w:ind w:firstLine="504"/>
        <w:rPr>
          <w:rFonts w:ascii="宋体" w:hAnsi="宋体"/>
          <w:szCs w:val="24"/>
        </w:rPr>
      </w:pPr>
      <w:r>
        <w:rPr>
          <w:rFonts w:hint="eastAsia" w:ascii="宋体" w:hAnsi="宋体"/>
          <w:szCs w:val="24"/>
        </w:rPr>
        <w:t>评标过程中，不得与外界联系，因发生不可预见情况，确实需要与外界联系的，应当在监督人员监督之下办理。</w:t>
      </w:r>
    </w:p>
    <w:p>
      <w:pPr>
        <w:numPr>
          <w:ilvl w:val="0"/>
          <w:numId w:val="71"/>
        </w:numPr>
        <w:tabs>
          <w:tab w:val="left" w:pos="1155"/>
        </w:tabs>
        <w:ind w:firstLine="504"/>
        <w:rPr>
          <w:rFonts w:ascii="宋体" w:hAnsi="宋体"/>
          <w:szCs w:val="24"/>
        </w:rPr>
      </w:pPr>
      <w:r>
        <w:rPr>
          <w:rFonts w:hint="eastAsia" w:ascii="宋体" w:hAnsi="宋体"/>
          <w:szCs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numPr>
          <w:ilvl w:val="0"/>
          <w:numId w:val="71"/>
        </w:numPr>
        <w:tabs>
          <w:tab w:val="left" w:pos="1155"/>
        </w:tabs>
        <w:ind w:firstLine="504"/>
        <w:rPr>
          <w:rFonts w:ascii="宋体" w:hAnsi="宋体"/>
          <w:szCs w:val="24"/>
        </w:rPr>
      </w:pPr>
      <w:r>
        <w:rPr>
          <w:rFonts w:hint="eastAsia" w:ascii="宋体" w:hAnsi="宋体"/>
          <w:szCs w:val="24"/>
        </w:rPr>
        <w:t>在评标过程中和评标结束后，不得记录、复制或带走任何评标资料，除因规定的义务外，不得向外界透露评标内容。</w:t>
      </w:r>
    </w:p>
    <w:p>
      <w:pPr>
        <w:numPr>
          <w:ilvl w:val="0"/>
          <w:numId w:val="71"/>
        </w:numPr>
        <w:tabs>
          <w:tab w:val="left" w:pos="1155"/>
        </w:tabs>
        <w:ind w:firstLine="504"/>
        <w:rPr>
          <w:rFonts w:ascii="宋体" w:hAnsi="宋体"/>
          <w:szCs w:val="24"/>
        </w:rPr>
      </w:pPr>
      <w:r>
        <w:rPr>
          <w:rFonts w:hint="eastAsia" w:ascii="宋体" w:hAnsi="宋体"/>
          <w:szCs w:val="24"/>
        </w:rPr>
        <w:t>服从评标现场招标采购单位的现场秩序管理，接受评标现场监督人员的合法监督。</w:t>
      </w:r>
    </w:p>
    <w:p>
      <w:pPr>
        <w:numPr>
          <w:ilvl w:val="0"/>
          <w:numId w:val="71"/>
        </w:numPr>
        <w:tabs>
          <w:tab w:val="left" w:pos="1155"/>
        </w:tabs>
        <w:ind w:firstLine="504"/>
        <w:rPr>
          <w:rFonts w:ascii="宋体" w:hAnsi="宋体"/>
          <w:szCs w:val="24"/>
        </w:rPr>
      </w:pPr>
      <w:r>
        <w:rPr>
          <w:rFonts w:hint="eastAsia" w:ascii="宋体" w:hAnsi="宋体"/>
          <w:szCs w:val="24"/>
        </w:rPr>
        <w:t>遵守有关廉洁自律规定，不得私下接触投标人，不得收受投标人及有关业务单位和个人的财物或好处，不得接受采购组织单位的请托。</w:t>
      </w:r>
    </w:p>
    <w:p>
      <w:pPr>
        <w:numPr>
          <w:ilvl w:val="0"/>
          <w:numId w:val="71"/>
        </w:numPr>
        <w:tabs>
          <w:tab w:val="left" w:pos="1155"/>
        </w:tabs>
        <w:ind w:firstLine="504"/>
        <w:rPr>
          <w:rFonts w:ascii="宋体" w:hAnsi="宋体"/>
          <w:sz w:val="28"/>
          <w:szCs w:val="28"/>
        </w:rPr>
      </w:pPr>
      <w:r>
        <w:rPr>
          <w:rFonts w:hint="eastAsia" w:ascii="宋体" w:hAnsi="宋体"/>
          <w:szCs w:val="24"/>
        </w:rPr>
        <w:t>遵守有关部门（机构）制定的其他评审工作纪律。</w:t>
      </w:r>
    </w:p>
    <w:p>
      <w:pPr>
        <w:pStyle w:val="4"/>
      </w:pPr>
      <w:bookmarkStart w:id="372" w:name="_Toc22856"/>
      <w:bookmarkStart w:id="373" w:name="_Toc26312"/>
      <w:r>
        <w:rPr>
          <w:rFonts w:hint="eastAsia"/>
        </w:rPr>
        <w:br w:type="page"/>
      </w:r>
      <w:bookmarkStart w:id="374" w:name="_Toc32304"/>
      <w:r>
        <w:rPr>
          <w:rFonts w:hint="eastAsia"/>
        </w:rPr>
        <w:t>政府采购合同</w:t>
      </w:r>
      <w:bookmarkEnd w:id="374"/>
    </w:p>
    <w:bookmarkEnd w:id="3"/>
    <w:bookmarkEnd w:id="4"/>
    <w:bookmarkEnd w:id="5"/>
    <w:bookmarkEnd w:id="6"/>
    <w:bookmarkEnd w:id="372"/>
    <w:bookmarkEnd w:id="373"/>
    <w:p>
      <w:pPr>
        <w:spacing w:line="440" w:lineRule="exact"/>
        <w:ind w:firstLine="504"/>
        <w:rPr>
          <w:rFonts w:ascii="宋体" w:hAnsi="宋体"/>
        </w:rPr>
      </w:pPr>
      <w:r>
        <w:rPr>
          <w:rFonts w:hint="eastAsia" w:ascii="宋体" w:hAnsi="宋体"/>
        </w:rPr>
        <w:t>政府采购</w:t>
      </w:r>
      <w:r>
        <w:rPr>
          <w:rFonts w:ascii="宋体" w:hAnsi="宋体"/>
        </w:rPr>
        <w:t>合同编号：</w:t>
      </w:r>
      <w:r>
        <w:rPr>
          <w:rFonts w:hint="eastAsia" w:ascii="宋体" w:hAnsi="宋体"/>
          <w:szCs w:val="21"/>
        </w:rPr>
        <w:t>XXXX。</w:t>
      </w:r>
    </w:p>
    <w:p>
      <w:pPr>
        <w:spacing w:line="440" w:lineRule="exact"/>
        <w:ind w:firstLine="504"/>
        <w:rPr>
          <w:rFonts w:ascii="宋体" w:hAnsi="宋体"/>
        </w:rPr>
      </w:pPr>
      <w:r>
        <w:rPr>
          <w:rFonts w:ascii="宋体" w:hAnsi="宋体"/>
        </w:rPr>
        <w:t>签订地点：</w:t>
      </w:r>
      <w:r>
        <w:rPr>
          <w:rFonts w:hint="eastAsia" w:ascii="宋体" w:hAnsi="宋体"/>
          <w:szCs w:val="21"/>
        </w:rPr>
        <w:t>XXXX。</w:t>
      </w:r>
    </w:p>
    <w:p>
      <w:pPr>
        <w:spacing w:line="440" w:lineRule="exact"/>
        <w:ind w:firstLine="504"/>
        <w:rPr>
          <w:rFonts w:ascii="宋体" w:hAnsi="宋体"/>
        </w:rPr>
      </w:pPr>
      <w:r>
        <w:rPr>
          <w:rFonts w:ascii="宋体" w:hAnsi="宋体"/>
        </w:rPr>
        <w:t>签订时间：</w:t>
      </w:r>
      <w:r>
        <w:rPr>
          <w:rFonts w:hint="eastAsia" w:ascii="宋体" w:hAnsi="宋体"/>
          <w:szCs w:val="21"/>
        </w:rPr>
        <w:t>XXXX</w:t>
      </w:r>
      <w:r>
        <w:rPr>
          <w:rFonts w:ascii="宋体" w:hAnsi="宋体"/>
        </w:rPr>
        <w:t>年</w:t>
      </w:r>
      <w:r>
        <w:rPr>
          <w:rFonts w:hint="eastAsia" w:ascii="宋体" w:hAnsi="宋体"/>
          <w:szCs w:val="21"/>
        </w:rPr>
        <w:t>XX</w:t>
      </w:r>
      <w:r>
        <w:rPr>
          <w:rFonts w:ascii="宋体" w:hAnsi="宋体"/>
        </w:rPr>
        <w:t>月</w:t>
      </w:r>
      <w:r>
        <w:rPr>
          <w:rFonts w:hint="eastAsia" w:ascii="宋体" w:hAnsi="宋体"/>
          <w:szCs w:val="21"/>
        </w:rPr>
        <w:t>XX</w:t>
      </w:r>
      <w:r>
        <w:rPr>
          <w:rFonts w:ascii="宋体" w:hAnsi="宋体"/>
        </w:rPr>
        <w:t>日</w:t>
      </w:r>
      <w:r>
        <w:rPr>
          <w:rFonts w:hint="eastAsia" w:ascii="宋体" w:hAnsi="宋体"/>
        </w:rPr>
        <w:t>。</w:t>
      </w:r>
    </w:p>
    <w:p>
      <w:pPr>
        <w:spacing w:line="440" w:lineRule="exact"/>
        <w:ind w:firstLine="504"/>
        <w:rPr>
          <w:rFonts w:ascii="宋体" w:hAnsi="宋体"/>
        </w:rPr>
      </w:pPr>
      <w:r>
        <w:rPr>
          <w:rFonts w:hint="eastAsia" w:ascii="宋体" w:hAnsi="宋体"/>
        </w:rPr>
        <w:t>采购人（</w:t>
      </w:r>
      <w:r>
        <w:rPr>
          <w:rFonts w:ascii="宋体" w:hAnsi="宋体"/>
        </w:rPr>
        <w:t>甲方</w:t>
      </w:r>
      <w:r>
        <w:rPr>
          <w:rFonts w:hint="eastAsia" w:ascii="宋体" w:hAnsi="宋体"/>
        </w:rPr>
        <w:t>）</w:t>
      </w:r>
      <w:r>
        <w:rPr>
          <w:rFonts w:ascii="宋体" w:hAnsi="宋体"/>
        </w:rPr>
        <w:t>：</w:t>
      </w:r>
      <w:r>
        <w:rPr>
          <w:rFonts w:ascii="宋体" w:hAnsi="宋体"/>
          <w:u w:val="single"/>
        </w:rPr>
        <w:t xml:space="preserve">                              </w:t>
      </w:r>
    </w:p>
    <w:p>
      <w:pPr>
        <w:spacing w:line="440" w:lineRule="exact"/>
        <w:ind w:firstLine="504"/>
        <w:rPr>
          <w:rFonts w:ascii="宋体" w:hAnsi="宋体"/>
          <w:u w:val="single"/>
        </w:rPr>
      </w:pPr>
      <w:r>
        <w:rPr>
          <w:rFonts w:hint="eastAsia" w:ascii="宋体" w:hAnsi="宋体"/>
        </w:rPr>
        <w:t>供应商（乙</w:t>
      </w:r>
      <w:r>
        <w:rPr>
          <w:rFonts w:ascii="宋体" w:hAnsi="宋体"/>
        </w:rPr>
        <w:t>方</w:t>
      </w:r>
      <w:r>
        <w:rPr>
          <w:rFonts w:hint="eastAsia" w:ascii="宋体" w:hAnsi="宋体"/>
        </w:rPr>
        <w:t>）</w:t>
      </w:r>
      <w:r>
        <w:rPr>
          <w:rFonts w:ascii="宋体" w:hAnsi="宋体"/>
        </w:rPr>
        <w:t>：</w:t>
      </w:r>
      <w:r>
        <w:rPr>
          <w:rFonts w:ascii="宋体" w:hAnsi="宋体"/>
          <w:u w:val="single"/>
        </w:rPr>
        <w:t xml:space="preserve">                              </w:t>
      </w:r>
    </w:p>
    <w:p>
      <w:pPr>
        <w:spacing w:line="440" w:lineRule="exact"/>
        <w:ind w:firstLine="504"/>
        <w:rPr>
          <w:rFonts w:ascii="宋体" w:hAnsi="宋体"/>
        </w:rPr>
      </w:pPr>
    </w:p>
    <w:p>
      <w:pPr>
        <w:spacing w:line="440" w:lineRule="exact"/>
        <w:ind w:firstLine="504"/>
        <w:rPr>
          <w:rFonts w:ascii="宋体" w:hAnsi="宋体"/>
        </w:rPr>
      </w:pPr>
      <w:r>
        <w:rPr>
          <w:rFonts w:ascii="宋体" w:hAnsi="宋体"/>
        </w:rPr>
        <w:t>依据《中华人民共和国</w:t>
      </w:r>
      <w:r>
        <w:rPr>
          <w:rFonts w:hint="eastAsia" w:ascii="宋体" w:hAnsi="宋体"/>
        </w:rPr>
        <w:t>民法典</w:t>
      </w:r>
      <w:r>
        <w:rPr>
          <w:rFonts w:ascii="宋体" w:hAnsi="宋体"/>
        </w:rPr>
        <w:t>》、《中华人民共和国政府采购法》</w:t>
      </w:r>
      <w:r>
        <w:rPr>
          <w:rFonts w:hint="eastAsia" w:ascii="宋体" w:hAnsi="宋体"/>
        </w:rPr>
        <w:t>与项目行业有关的法律法规，以及</w:t>
      </w:r>
      <w:r>
        <w:rPr>
          <w:rFonts w:hint="eastAsia" w:ascii="宋体" w:hAnsi="宋体"/>
          <w:lang w:eastAsia="zh-CN"/>
        </w:rPr>
        <w:t>成都市龙泉驿生态环境局成都市中心城区“6+1”区域智能大气环境监测管治服务采购项目（第二次）</w:t>
      </w:r>
      <w:r>
        <w:rPr>
          <w:rFonts w:hint="eastAsia" w:ascii="宋体" w:hAnsi="宋体"/>
        </w:rPr>
        <w:t>（项目编号：</w:t>
      </w:r>
      <w:r>
        <w:rPr>
          <w:rFonts w:hint="eastAsia" w:ascii="宋体" w:hAnsi="宋体"/>
          <w:szCs w:val="21"/>
        </w:rPr>
        <w:t>XXXX</w:t>
      </w:r>
      <w:r>
        <w:rPr>
          <w:rFonts w:hint="eastAsia" w:ascii="宋体" w:hAnsi="宋体"/>
        </w:rPr>
        <w:t>）</w:t>
      </w:r>
      <w:r>
        <w:rPr>
          <w:rFonts w:ascii="宋体" w:hAnsi="宋体"/>
        </w:rPr>
        <w:t>的</w:t>
      </w:r>
      <w:r>
        <w:rPr>
          <w:rFonts w:hint="eastAsia" w:ascii="宋体" w:hAnsi="宋体"/>
        </w:rPr>
        <w:t>《招标文件》</w:t>
      </w:r>
      <w:r>
        <w:rPr>
          <w:rFonts w:ascii="宋体" w:hAnsi="宋体"/>
        </w:rPr>
        <w:t>，</w:t>
      </w:r>
      <w:r>
        <w:rPr>
          <w:rFonts w:hint="eastAsia" w:ascii="宋体" w:hAnsi="宋体"/>
        </w:rPr>
        <w:t>乙方的《投标文件》及《中标通知书》，甲、乙双方同意签订本合同。详细技术说明及其他有关合同项目的特定信息由合同附件予以说明，合同附件及本项目的《招标文件》、《投标文件》、《中标通知书》等均为本合同的组成部分。</w:t>
      </w:r>
      <w:r>
        <w:rPr>
          <w:rFonts w:ascii="宋体" w:hAnsi="宋体"/>
        </w:rPr>
        <w:t xml:space="preserve"> </w:t>
      </w:r>
    </w:p>
    <w:p>
      <w:pPr>
        <w:numPr>
          <w:ilvl w:val="0"/>
          <w:numId w:val="72"/>
        </w:numPr>
        <w:tabs>
          <w:tab w:val="left" w:pos="0"/>
          <w:tab w:val="clear" w:pos="1521"/>
        </w:tabs>
        <w:spacing w:line="440" w:lineRule="exact"/>
        <w:ind w:left="0" w:firstLine="0" w:firstLineChars="0"/>
        <w:rPr>
          <w:rFonts w:ascii="宋体" w:hAnsi="宋体"/>
          <w:b/>
        </w:rPr>
      </w:pPr>
      <w:r>
        <w:rPr>
          <w:rFonts w:hint="eastAsia" w:ascii="宋体" w:hAnsi="宋体"/>
          <w:b/>
        </w:rPr>
        <w:t>项目基本情况</w:t>
      </w:r>
    </w:p>
    <w:p>
      <w:pPr>
        <w:spacing w:line="440" w:lineRule="exact"/>
        <w:ind w:firstLine="504"/>
        <w:rPr>
          <w:rFonts w:ascii="宋体" w:hAnsi="宋体"/>
          <w:b/>
        </w:rPr>
      </w:pPr>
      <w:r>
        <w:rPr>
          <w:rFonts w:hint="eastAsia" w:ascii="宋体" w:hAnsi="宋体"/>
          <w:lang w:eastAsia="zh-CN"/>
        </w:rPr>
        <w:t>成都市龙泉驿生态环境局成都市中心城区“6+1”区域智能大气环境监测管治服务采购项目（第二次）</w:t>
      </w:r>
      <w:r>
        <w:rPr>
          <w:rFonts w:hint="eastAsia" w:ascii="宋体" w:hAnsi="宋体"/>
        </w:rPr>
        <w:t>。</w:t>
      </w:r>
    </w:p>
    <w:p>
      <w:pPr>
        <w:numPr>
          <w:ilvl w:val="0"/>
          <w:numId w:val="72"/>
        </w:numPr>
        <w:tabs>
          <w:tab w:val="left" w:pos="0"/>
          <w:tab w:val="clear" w:pos="1521"/>
        </w:tabs>
        <w:spacing w:line="440" w:lineRule="exact"/>
        <w:ind w:left="0" w:firstLine="0" w:firstLineChars="0"/>
        <w:rPr>
          <w:rFonts w:ascii="宋体" w:hAnsi="宋体"/>
          <w:b/>
        </w:rPr>
      </w:pPr>
      <w:r>
        <w:rPr>
          <w:rFonts w:hint="eastAsia" w:ascii="宋体" w:hAnsi="宋体"/>
          <w:b/>
        </w:rPr>
        <w:t>合同期限</w:t>
      </w:r>
    </w:p>
    <w:p>
      <w:pPr>
        <w:spacing w:line="440" w:lineRule="exact"/>
        <w:ind w:firstLine="504"/>
        <w:rPr>
          <w:rFonts w:ascii="宋体" w:hAnsi="宋体"/>
        </w:rPr>
      </w:pPr>
    </w:p>
    <w:p>
      <w:pPr>
        <w:numPr>
          <w:ilvl w:val="0"/>
          <w:numId w:val="72"/>
        </w:numPr>
        <w:tabs>
          <w:tab w:val="left" w:pos="0"/>
          <w:tab w:val="clear" w:pos="1521"/>
        </w:tabs>
        <w:spacing w:line="440" w:lineRule="exact"/>
        <w:ind w:left="0" w:firstLine="0" w:firstLineChars="0"/>
        <w:rPr>
          <w:rFonts w:ascii="宋体" w:hAnsi="宋体"/>
          <w:b/>
        </w:rPr>
      </w:pPr>
      <w:bookmarkStart w:id="375" w:name="_Toc239233914"/>
      <w:bookmarkStart w:id="376" w:name="_Toc251768862"/>
      <w:bookmarkStart w:id="377" w:name="_Toc185395249"/>
      <w:bookmarkStart w:id="378" w:name="_Toc225244852"/>
      <w:bookmarkStart w:id="379" w:name="_Toc283019214"/>
      <w:bookmarkStart w:id="380" w:name="_Toc211854449"/>
      <w:bookmarkStart w:id="381" w:name="_Toc212019594"/>
      <w:bookmarkStart w:id="382" w:name="_Toc232492928"/>
      <w:bookmarkStart w:id="383" w:name="_Toc237145406"/>
      <w:bookmarkStart w:id="384" w:name="_Toc238984975"/>
      <w:bookmarkStart w:id="385" w:name="_Toc286993786"/>
      <w:bookmarkStart w:id="386" w:name="_Toc225654644"/>
      <w:bookmarkStart w:id="387" w:name="_Toc241833903"/>
      <w:bookmarkStart w:id="388" w:name="_Toc211911348"/>
      <w:bookmarkStart w:id="389" w:name="_Toc247334841"/>
      <w:bookmarkStart w:id="390" w:name="_Toc225670751"/>
      <w:bookmarkStart w:id="391" w:name="_Toc239568418"/>
      <w:bookmarkStart w:id="392" w:name="_Toc282696226"/>
      <w:r>
        <w:rPr>
          <w:rFonts w:hint="eastAsia" w:ascii="宋体" w:hAnsi="宋体"/>
          <w:b/>
        </w:rPr>
        <w:t>服务内容与质量标准</w:t>
      </w:r>
    </w:p>
    <w:p>
      <w:pPr>
        <w:spacing w:line="440" w:lineRule="exact"/>
        <w:ind w:left="567" w:firstLine="504"/>
        <w:rPr>
          <w:rFonts w:ascii="宋体" w:hAnsi="宋体"/>
        </w:rPr>
      </w:pPr>
      <w:r>
        <w:rPr>
          <w:rFonts w:hint="eastAsia" w:ascii="宋体" w:hAnsi="宋体"/>
        </w:rPr>
        <w:t>1、</w:t>
      </w:r>
      <w:r>
        <w:rPr>
          <w:rFonts w:hint="eastAsia" w:ascii="宋体" w:hAnsi="宋体"/>
          <w:szCs w:val="21"/>
        </w:rPr>
        <w:t>XXXX；</w:t>
      </w:r>
    </w:p>
    <w:p>
      <w:pPr>
        <w:spacing w:line="440" w:lineRule="exact"/>
        <w:ind w:left="567" w:firstLine="504"/>
        <w:rPr>
          <w:rFonts w:ascii="宋体" w:hAnsi="宋体"/>
        </w:rPr>
      </w:pPr>
      <w:r>
        <w:rPr>
          <w:rFonts w:hint="eastAsia" w:ascii="宋体" w:hAnsi="宋体"/>
        </w:rPr>
        <w:t>2、</w:t>
      </w:r>
      <w:r>
        <w:rPr>
          <w:rFonts w:hint="eastAsia" w:ascii="宋体" w:hAnsi="宋体"/>
          <w:szCs w:val="21"/>
        </w:rPr>
        <w:t>XXXX；</w:t>
      </w:r>
    </w:p>
    <w:p>
      <w:pPr>
        <w:spacing w:line="440" w:lineRule="exact"/>
        <w:ind w:left="567" w:firstLine="504"/>
        <w:rPr>
          <w:rFonts w:ascii="宋体" w:hAnsi="宋体"/>
        </w:rPr>
      </w:pPr>
      <w:r>
        <w:rPr>
          <w:rFonts w:hint="eastAsia" w:ascii="宋体" w:hAnsi="宋体"/>
        </w:rPr>
        <w:t>3、</w:t>
      </w:r>
      <w:r>
        <w:rPr>
          <w:rFonts w:hint="eastAsia" w:ascii="宋体" w:hAnsi="宋体"/>
          <w:szCs w:val="21"/>
        </w:rPr>
        <w:t>XXXX．</w:t>
      </w:r>
    </w:p>
    <w:p>
      <w:pPr>
        <w:spacing w:line="440" w:lineRule="exact"/>
        <w:ind w:firstLine="504"/>
        <w:rPr>
          <w:rFonts w:ascii="宋体" w:hAnsi="宋体"/>
        </w:rPr>
      </w:pPr>
      <w:r>
        <w:rPr>
          <w:rFonts w:ascii="宋体" w:hAnsi="宋体"/>
        </w:rPr>
        <w:t>…</w:t>
      </w:r>
    </w:p>
    <w:p>
      <w:pPr>
        <w:numPr>
          <w:ilvl w:val="0"/>
          <w:numId w:val="72"/>
        </w:numPr>
        <w:tabs>
          <w:tab w:val="left" w:pos="0"/>
          <w:tab w:val="clear" w:pos="1521"/>
        </w:tabs>
        <w:spacing w:line="440" w:lineRule="exact"/>
        <w:ind w:left="0" w:firstLine="0" w:firstLineChars="0"/>
        <w:rPr>
          <w:rFonts w:ascii="宋体" w:hAnsi="宋体"/>
          <w:b/>
        </w:rPr>
      </w:pPr>
      <w:r>
        <w:rPr>
          <w:rFonts w:hint="eastAsia" w:ascii="宋体" w:hAnsi="宋体"/>
          <w:b/>
        </w:rPr>
        <w:t>服务费用及支付方式</w:t>
      </w:r>
    </w:p>
    <w:p>
      <w:pPr>
        <w:numPr>
          <w:ilvl w:val="0"/>
          <w:numId w:val="73"/>
        </w:numPr>
        <w:spacing w:line="440" w:lineRule="exact"/>
        <w:ind w:left="0" w:firstLine="506"/>
        <w:rPr>
          <w:rFonts w:ascii="宋体" w:hAnsi="宋体"/>
          <w:b/>
        </w:rPr>
      </w:pPr>
      <w:r>
        <w:rPr>
          <w:rFonts w:hint="eastAsia" w:ascii="宋体" w:hAnsi="宋体"/>
          <w:b/>
        </w:rPr>
        <w:t>本项目服务费用由以下组成：</w:t>
      </w:r>
    </w:p>
    <w:p>
      <w:pPr>
        <w:spacing w:line="440" w:lineRule="exact"/>
        <w:ind w:firstLine="504"/>
        <w:rPr>
          <w:rFonts w:ascii="宋体" w:hAnsi="宋体"/>
        </w:rPr>
      </w:pPr>
      <w:r>
        <w:rPr>
          <w:rFonts w:hint="eastAsia" w:ascii="宋体" w:hAnsi="宋体"/>
        </w:rPr>
        <w:t>1、</w:t>
      </w:r>
      <w:r>
        <w:rPr>
          <w:rFonts w:hint="eastAsia" w:ascii="宋体" w:hAnsi="宋体"/>
          <w:szCs w:val="21"/>
        </w:rPr>
        <w:t>XX</w:t>
      </w:r>
      <w:r>
        <w:rPr>
          <w:rFonts w:hint="eastAsia" w:ascii="宋体" w:hAnsi="宋体"/>
        </w:rPr>
        <w:t>万元；</w:t>
      </w:r>
    </w:p>
    <w:p>
      <w:pPr>
        <w:spacing w:line="440" w:lineRule="exact"/>
        <w:ind w:firstLine="504"/>
        <w:rPr>
          <w:rFonts w:ascii="宋体" w:hAnsi="宋体"/>
        </w:rPr>
      </w:pPr>
      <w:r>
        <w:rPr>
          <w:rFonts w:hint="eastAsia" w:ascii="宋体" w:hAnsi="宋体"/>
        </w:rPr>
        <w:t>2、</w:t>
      </w:r>
      <w:r>
        <w:rPr>
          <w:rFonts w:hint="eastAsia" w:ascii="宋体" w:hAnsi="宋体"/>
          <w:szCs w:val="21"/>
        </w:rPr>
        <w:t>XX</w:t>
      </w:r>
      <w:r>
        <w:rPr>
          <w:rFonts w:hint="eastAsia" w:ascii="宋体" w:hAnsi="宋体"/>
        </w:rPr>
        <w:t>万元；</w:t>
      </w:r>
    </w:p>
    <w:p>
      <w:pPr>
        <w:spacing w:line="440" w:lineRule="exact"/>
        <w:ind w:firstLine="504"/>
        <w:rPr>
          <w:rFonts w:ascii="宋体" w:hAnsi="宋体"/>
        </w:rPr>
      </w:pPr>
      <w:r>
        <w:rPr>
          <w:rFonts w:hint="eastAsia" w:ascii="宋体" w:hAnsi="宋体"/>
        </w:rPr>
        <w:t>3、</w:t>
      </w:r>
      <w:r>
        <w:rPr>
          <w:rFonts w:hint="eastAsia" w:ascii="宋体" w:hAnsi="宋体"/>
          <w:szCs w:val="21"/>
        </w:rPr>
        <w:t>XX</w:t>
      </w:r>
      <w:r>
        <w:rPr>
          <w:rFonts w:hint="eastAsia" w:ascii="宋体" w:hAnsi="宋体"/>
        </w:rPr>
        <w:t>万元。</w:t>
      </w:r>
    </w:p>
    <w:p>
      <w:pPr>
        <w:spacing w:line="440" w:lineRule="exact"/>
        <w:ind w:firstLine="504"/>
        <w:rPr>
          <w:rFonts w:ascii="宋体" w:hAnsi="宋体"/>
        </w:rPr>
      </w:pPr>
      <w:r>
        <w:rPr>
          <w:rFonts w:ascii="宋体" w:hAnsi="宋体"/>
        </w:rPr>
        <w:t>……</w:t>
      </w:r>
    </w:p>
    <w:p>
      <w:pPr>
        <w:numPr>
          <w:ilvl w:val="0"/>
          <w:numId w:val="73"/>
        </w:numPr>
        <w:tabs>
          <w:tab w:val="left" w:pos="780"/>
        </w:tabs>
        <w:spacing w:line="440" w:lineRule="exact"/>
        <w:ind w:left="0" w:firstLine="506"/>
        <w:rPr>
          <w:rFonts w:ascii="宋体" w:hAnsi="宋体" w:cs="宋体"/>
          <w:szCs w:val="24"/>
        </w:rPr>
      </w:pPr>
      <w:r>
        <w:rPr>
          <w:rFonts w:hint="eastAsia" w:ascii="宋体" w:hAnsi="宋体"/>
          <w:b/>
        </w:rPr>
        <w:t xml:space="preserve">服务费支付方式： </w:t>
      </w:r>
      <w:r>
        <w:rPr>
          <w:rFonts w:hint="eastAsia" w:ascii="宋体" w:hAnsi="宋体" w:cs="宋体"/>
          <w:szCs w:val="24"/>
        </w:rPr>
        <w:t>。</w:t>
      </w:r>
    </w:p>
    <w:p>
      <w:pPr>
        <w:numPr>
          <w:ilvl w:val="0"/>
          <w:numId w:val="72"/>
        </w:numPr>
        <w:tabs>
          <w:tab w:val="left" w:pos="0"/>
          <w:tab w:val="clear" w:pos="1521"/>
        </w:tabs>
        <w:spacing w:line="440" w:lineRule="exact"/>
        <w:ind w:left="0" w:firstLine="0" w:firstLineChars="0"/>
        <w:rPr>
          <w:rFonts w:ascii="宋体" w:hAnsi="宋体"/>
          <w:b/>
        </w:rPr>
      </w:pPr>
      <w:r>
        <w:rPr>
          <w:rFonts w:hint="eastAsia" w:ascii="宋体" w:hAnsi="宋体"/>
          <w:b/>
        </w:rPr>
        <w:t>知识产权</w:t>
      </w:r>
    </w:p>
    <w:p>
      <w:pPr>
        <w:tabs>
          <w:tab w:val="left" w:pos="1440"/>
        </w:tabs>
        <w:spacing w:line="440" w:lineRule="exact"/>
        <w:ind w:firstLine="504"/>
        <w:rPr>
          <w:rFonts w:ascii="宋体" w:hAnsi="宋体"/>
        </w:rPr>
      </w:pPr>
      <w:r>
        <w:rPr>
          <w:rFonts w:hint="eastAsia" w:ascii="宋体" w:hAnsi="宋体"/>
        </w:rPr>
        <w:t>乙方应保证所提供的服务或其任何一部分均不会侵犯任何第三方的专利权、商标权或著作权。</w:t>
      </w:r>
    </w:p>
    <w:p>
      <w:pPr>
        <w:numPr>
          <w:ilvl w:val="0"/>
          <w:numId w:val="72"/>
        </w:numPr>
        <w:tabs>
          <w:tab w:val="left" w:pos="0"/>
          <w:tab w:val="clear" w:pos="1521"/>
        </w:tabs>
        <w:spacing w:line="440" w:lineRule="exact"/>
        <w:ind w:left="0" w:firstLine="0" w:firstLineChars="0"/>
        <w:rPr>
          <w:rFonts w:ascii="宋体" w:hAnsi="宋体"/>
          <w:b/>
        </w:rPr>
      </w:pPr>
      <w:r>
        <w:rPr>
          <w:rFonts w:hint="eastAsia" w:ascii="宋体" w:hAnsi="宋体"/>
          <w:b/>
        </w:rPr>
        <w:t>无产权瑕疵条款</w:t>
      </w:r>
    </w:p>
    <w:p>
      <w:pPr>
        <w:tabs>
          <w:tab w:val="left" w:pos="1440"/>
        </w:tabs>
        <w:spacing w:line="440" w:lineRule="exact"/>
        <w:ind w:firstLine="504"/>
        <w:rPr>
          <w:rFonts w:ascii="宋体" w:hAnsi="宋体"/>
        </w:rPr>
      </w:pPr>
      <w:r>
        <w:rPr>
          <w:rFonts w:hint="eastAsia" w:ascii="宋体" w:hAnsi="宋体"/>
        </w:rPr>
        <w:t>乙方保证所提供的服务的所有权完全属于乙方且无任何抵押、查封等产权瑕疵。如有产权瑕疵的，视为乙方违约。乙方应负担由此而产生的一切损失。</w:t>
      </w:r>
    </w:p>
    <w:p>
      <w:pPr>
        <w:numPr>
          <w:ilvl w:val="0"/>
          <w:numId w:val="72"/>
        </w:numPr>
        <w:tabs>
          <w:tab w:val="left" w:pos="0"/>
          <w:tab w:val="clear" w:pos="1521"/>
        </w:tabs>
        <w:spacing w:line="440" w:lineRule="exact"/>
        <w:ind w:left="0" w:firstLine="0" w:firstLineChars="0"/>
        <w:rPr>
          <w:rFonts w:ascii="宋体" w:hAnsi="宋体"/>
          <w:b/>
        </w:rPr>
      </w:pPr>
      <w:r>
        <w:rPr>
          <w:rFonts w:ascii="宋体" w:hAnsi="宋体"/>
          <w:b/>
        </w:rPr>
        <w:t>甲方的权利和义务</w:t>
      </w:r>
    </w:p>
    <w:p>
      <w:pPr>
        <w:adjustRightInd w:val="0"/>
        <w:spacing w:line="440" w:lineRule="exact"/>
        <w:ind w:firstLine="504"/>
        <w:textAlignment w:val="baseline"/>
        <w:rPr>
          <w:rFonts w:ascii="宋体" w:hAnsi="宋体"/>
          <w:bCs/>
        </w:rPr>
      </w:pPr>
      <w:r>
        <w:rPr>
          <w:rFonts w:hint="eastAsia" w:ascii="宋体" w:hAnsi="宋体"/>
          <w:bCs/>
        </w:rPr>
        <w:t>1、</w:t>
      </w:r>
      <w:r>
        <w:rPr>
          <w:rFonts w:ascii="宋体" w:hAnsi="宋体"/>
          <w:bCs/>
        </w:rPr>
        <w:t>甲方有权对合同规定范围内</w:t>
      </w:r>
      <w:r>
        <w:rPr>
          <w:rFonts w:hint="eastAsia" w:ascii="宋体" w:hAnsi="宋体"/>
          <w:bCs/>
        </w:rPr>
        <w:t>乙方的服务行为</w:t>
      </w:r>
      <w:r>
        <w:rPr>
          <w:rFonts w:ascii="宋体" w:hAnsi="宋体"/>
          <w:bCs/>
        </w:rPr>
        <w:t>进行监督和检查，拥有监管权。有权定期核对乙方提供服务所配备的人员数量。对甲方认为不合理的部分有权</w:t>
      </w:r>
      <w:r>
        <w:rPr>
          <w:rFonts w:hint="eastAsia" w:ascii="宋体" w:hAnsi="宋体"/>
          <w:bCs/>
        </w:rPr>
        <w:t>下达整改通知书，并</w:t>
      </w:r>
      <w:r>
        <w:rPr>
          <w:rFonts w:ascii="宋体" w:hAnsi="宋体"/>
          <w:bCs/>
        </w:rPr>
        <w:t>要求乙方</w:t>
      </w:r>
      <w:r>
        <w:rPr>
          <w:rFonts w:hint="eastAsia" w:ascii="宋体" w:hAnsi="宋体"/>
          <w:bCs/>
        </w:rPr>
        <w:t>限期整改</w:t>
      </w:r>
      <w:r>
        <w:rPr>
          <w:rFonts w:ascii="宋体" w:hAnsi="宋体"/>
          <w:bCs/>
        </w:rPr>
        <w:t>。</w:t>
      </w:r>
    </w:p>
    <w:p>
      <w:pPr>
        <w:adjustRightInd w:val="0"/>
        <w:spacing w:line="440" w:lineRule="exact"/>
        <w:ind w:firstLine="504"/>
        <w:textAlignment w:val="baseline"/>
        <w:rPr>
          <w:rFonts w:ascii="宋体" w:hAnsi="宋体"/>
          <w:bCs/>
        </w:rPr>
      </w:pPr>
      <w:r>
        <w:rPr>
          <w:rFonts w:hint="eastAsia" w:ascii="宋体" w:hAnsi="宋体"/>
          <w:bCs/>
        </w:rPr>
        <w:t>2、甲方有权依据双方签订的考评办法对乙方提供的服务进行定期考评。</w:t>
      </w:r>
    </w:p>
    <w:p>
      <w:pPr>
        <w:adjustRightInd w:val="0"/>
        <w:spacing w:line="440" w:lineRule="exact"/>
        <w:ind w:firstLine="504"/>
        <w:textAlignment w:val="baseline"/>
        <w:rPr>
          <w:rFonts w:ascii="宋体" w:hAnsi="宋体"/>
          <w:bCs/>
        </w:rPr>
      </w:pPr>
      <w:r>
        <w:rPr>
          <w:rFonts w:hint="eastAsia" w:ascii="宋体" w:hAnsi="宋体"/>
          <w:bCs/>
        </w:rPr>
        <w:t>3、</w:t>
      </w:r>
      <w:r>
        <w:rPr>
          <w:rFonts w:ascii="宋体" w:hAnsi="宋体"/>
          <w:bCs/>
        </w:rPr>
        <w:t>负责检查监督乙方管理工作的实施及制度的执行情况。</w:t>
      </w:r>
    </w:p>
    <w:p>
      <w:pPr>
        <w:adjustRightInd w:val="0"/>
        <w:spacing w:line="440" w:lineRule="exact"/>
        <w:ind w:firstLine="504"/>
        <w:textAlignment w:val="baseline"/>
        <w:rPr>
          <w:rFonts w:ascii="宋体" w:hAnsi="宋体"/>
          <w:bCs/>
        </w:rPr>
      </w:pPr>
      <w:r>
        <w:rPr>
          <w:rFonts w:hint="eastAsia" w:ascii="宋体" w:hAnsi="宋体"/>
          <w:bCs/>
        </w:rPr>
        <w:t>4、</w:t>
      </w:r>
      <w:r>
        <w:rPr>
          <w:rFonts w:ascii="宋体" w:hAnsi="宋体"/>
          <w:bCs/>
        </w:rPr>
        <w:t>根据本合同规定，按时向乙方支付应付</w:t>
      </w:r>
      <w:r>
        <w:rPr>
          <w:rFonts w:hint="eastAsia" w:ascii="宋体" w:hAnsi="宋体"/>
          <w:bCs/>
        </w:rPr>
        <w:t>服务费用</w:t>
      </w:r>
      <w:r>
        <w:rPr>
          <w:rFonts w:ascii="宋体" w:hAnsi="宋体"/>
          <w:bCs/>
        </w:rPr>
        <w:t>。</w:t>
      </w:r>
    </w:p>
    <w:p>
      <w:pPr>
        <w:adjustRightInd w:val="0"/>
        <w:spacing w:line="440" w:lineRule="exact"/>
        <w:ind w:firstLine="504"/>
        <w:textAlignment w:val="baseline"/>
        <w:rPr>
          <w:rFonts w:ascii="宋体" w:hAnsi="宋体"/>
          <w:bCs/>
        </w:rPr>
      </w:pPr>
      <w:r>
        <w:rPr>
          <w:rFonts w:hint="eastAsia" w:ascii="宋体" w:hAnsi="宋体"/>
          <w:bCs/>
        </w:rPr>
        <w:t>5、</w:t>
      </w:r>
      <w:r>
        <w:rPr>
          <w:rFonts w:ascii="宋体" w:hAnsi="宋体"/>
          <w:bCs/>
        </w:rPr>
        <w:t>国家法律、法规所规定由甲方承担的其它责任。</w:t>
      </w:r>
    </w:p>
    <w:p>
      <w:pPr>
        <w:numPr>
          <w:ilvl w:val="0"/>
          <w:numId w:val="72"/>
        </w:numPr>
        <w:tabs>
          <w:tab w:val="left" w:pos="0"/>
          <w:tab w:val="clear" w:pos="1521"/>
        </w:tabs>
        <w:spacing w:line="440" w:lineRule="exact"/>
        <w:ind w:left="0" w:firstLine="0" w:firstLineChars="0"/>
        <w:rPr>
          <w:rFonts w:ascii="宋体" w:hAnsi="宋体"/>
          <w:b/>
        </w:rPr>
      </w:pPr>
      <w:r>
        <w:rPr>
          <w:rFonts w:ascii="宋体" w:hAnsi="宋体"/>
          <w:b/>
        </w:rPr>
        <w:t>乙方的权利和义务</w:t>
      </w:r>
    </w:p>
    <w:p>
      <w:pPr>
        <w:adjustRightInd w:val="0"/>
        <w:spacing w:line="440" w:lineRule="exact"/>
        <w:ind w:firstLine="504"/>
        <w:textAlignment w:val="baseline"/>
        <w:rPr>
          <w:rFonts w:ascii="宋体" w:hAnsi="宋体"/>
          <w:bCs/>
        </w:rPr>
      </w:pPr>
      <w:r>
        <w:rPr>
          <w:rFonts w:hint="eastAsia" w:ascii="宋体" w:hAnsi="宋体"/>
          <w:bCs/>
        </w:rPr>
        <w:t>1、</w:t>
      </w:r>
      <w:r>
        <w:rPr>
          <w:rFonts w:ascii="宋体" w:hAnsi="宋体"/>
          <w:bCs/>
        </w:rPr>
        <w:t>对本合同规定的委托</w:t>
      </w:r>
      <w:r>
        <w:rPr>
          <w:rFonts w:hint="eastAsia" w:ascii="宋体" w:hAnsi="宋体"/>
          <w:bCs/>
        </w:rPr>
        <w:t>服务</w:t>
      </w:r>
      <w:r>
        <w:rPr>
          <w:rFonts w:ascii="宋体" w:hAnsi="宋体"/>
          <w:bCs/>
        </w:rPr>
        <w:t>范围内的</w:t>
      </w:r>
      <w:r>
        <w:rPr>
          <w:rFonts w:hint="eastAsia" w:ascii="宋体" w:hAnsi="宋体"/>
          <w:bCs/>
        </w:rPr>
        <w:t>项目</w:t>
      </w:r>
      <w:r>
        <w:rPr>
          <w:rFonts w:ascii="宋体" w:hAnsi="宋体"/>
          <w:bCs/>
        </w:rPr>
        <w:t>享有管理权及服务义务。</w:t>
      </w:r>
    </w:p>
    <w:p>
      <w:pPr>
        <w:adjustRightInd w:val="0"/>
        <w:spacing w:line="440" w:lineRule="exact"/>
        <w:ind w:firstLine="504"/>
        <w:textAlignment w:val="baseline"/>
        <w:rPr>
          <w:rFonts w:ascii="宋体" w:hAnsi="宋体"/>
          <w:bCs/>
        </w:rPr>
      </w:pPr>
      <w:r>
        <w:rPr>
          <w:rFonts w:hint="eastAsia" w:ascii="宋体" w:hAnsi="宋体"/>
          <w:bCs/>
        </w:rPr>
        <w:t>2、</w:t>
      </w:r>
      <w:r>
        <w:rPr>
          <w:rFonts w:ascii="宋体" w:hAnsi="宋体"/>
          <w:bCs/>
        </w:rPr>
        <w:t>根据本合同的规定向甲方收取相关</w:t>
      </w:r>
      <w:r>
        <w:rPr>
          <w:rFonts w:hint="eastAsia" w:ascii="宋体" w:hAnsi="宋体"/>
          <w:bCs/>
        </w:rPr>
        <w:t>服务</w:t>
      </w:r>
      <w:r>
        <w:rPr>
          <w:rFonts w:ascii="宋体" w:hAnsi="宋体"/>
          <w:bCs/>
        </w:rPr>
        <w:t>费用，并有权</w:t>
      </w:r>
      <w:r>
        <w:rPr>
          <w:rFonts w:hint="eastAsia" w:ascii="宋体" w:hAnsi="宋体"/>
          <w:bCs/>
        </w:rPr>
        <w:t>在本项目管理范围内</w:t>
      </w:r>
      <w:r>
        <w:rPr>
          <w:rFonts w:ascii="宋体" w:hAnsi="宋体"/>
          <w:bCs/>
        </w:rPr>
        <w:t>管理及合理使用。</w:t>
      </w:r>
    </w:p>
    <w:p>
      <w:pPr>
        <w:adjustRightInd w:val="0"/>
        <w:spacing w:line="440" w:lineRule="exact"/>
        <w:ind w:firstLine="504"/>
        <w:textAlignment w:val="baseline"/>
        <w:rPr>
          <w:rFonts w:ascii="宋体" w:hAnsi="宋体"/>
        </w:rPr>
      </w:pPr>
      <w:r>
        <w:rPr>
          <w:rFonts w:hint="eastAsia" w:ascii="宋体" w:hAnsi="宋体"/>
        </w:rPr>
        <w:t>3、及时向甲方通告本项目服务范围内有关服务的重大事项，及时配合处理投诉。</w:t>
      </w:r>
    </w:p>
    <w:p>
      <w:pPr>
        <w:adjustRightInd w:val="0"/>
        <w:spacing w:line="440" w:lineRule="exact"/>
        <w:ind w:firstLine="504"/>
        <w:textAlignment w:val="baseline"/>
        <w:rPr>
          <w:rFonts w:ascii="宋体" w:hAnsi="宋体"/>
          <w:bCs/>
        </w:rPr>
      </w:pPr>
      <w:r>
        <w:rPr>
          <w:rFonts w:hint="eastAsia" w:ascii="宋体" w:hAnsi="宋体"/>
        </w:rPr>
        <w:t>4、</w:t>
      </w:r>
      <w:r>
        <w:rPr>
          <w:rFonts w:ascii="宋体" w:hAnsi="宋体"/>
          <w:bCs/>
        </w:rPr>
        <w:t>接受</w:t>
      </w:r>
      <w:r>
        <w:rPr>
          <w:rFonts w:hint="eastAsia" w:ascii="宋体" w:hAnsi="宋体"/>
          <w:bCs/>
        </w:rPr>
        <w:t>项目行</w:t>
      </w:r>
      <w:r>
        <w:rPr>
          <w:rFonts w:ascii="宋体" w:hAnsi="宋体"/>
          <w:bCs/>
        </w:rPr>
        <w:t>业管理部门及政府有关部门的指导，接受甲方的监督。</w:t>
      </w:r>
    </w:p>
    <w:p>
      <w:pPr>
        <w:adjustRightInd w:val="0"/>
        <w:spacing w:line="440" w:lineRule="exact"/>
        <w:ind w:firstLine="504"/>
        <w:textAlignment w:val="baseline"/>
        <w:rPr>
          <w:rFonts w:ascii="宋体" w:hAnsi="宋体"/>
          <w:bCs/>
        </w:rPr>
      </w:pPr>
      <w:r>
        <w:rPr>
          <w:rFonts w:hint="eastAsia" w:ascii="宋体" w:hAnsi="宋体"/>
          <w:bCs/>
        </w:rPr>
        <w:t>5、</w:t>
      </w:r>
      <w:r>
        <w:rPr>
          <w:rFonts w:ascii="宋体" w:hAnsi="宋体"/>
          <w:bCs/>
        </w:rPr>
        <w:t>国家法律、法规所规定由乙方承担的其它责任。</w:t>
      </w:r>
    </w:p>
    <w:p>
      <w:pPr>
        <w:numPr>
          <w:ilvl w:val="0"/>
          <w:numId w:val="72"/>
        </w:numPr>
        <w:tabs>
          <w:tab w:val="left" w:pos="0"/>
          <w:tab w:val="clear" w:pos="1521"/>
        </w:tabs>
        <w:spacing w:line="440" w:lineRule="exact"/>
        <w:ind w:left="0" w:firstLine="0" w:firstLineChars="0"/>
        <w:rPr>
          <w:rFonts w:ascii="宋体" w:hAnsi="宋体"/>
          <w:b/>
        </w:rPr>
      </w:pPr>
      <w:r>
        <w:rPr>
          <w:rFonts w:ascii="宋体" w:hAnsi="宋体"/>
          <w:b/>
        </w:rPr>
        <w:t>违约责任</w:t>
      </w:r>
    </w:p>
    <w:p>
      <w:pPr>
        <w:adjustRightInd w:val="0"/>
        <w:spacing w:line="440" w:lineRule="exact"/>
        <w:ind w:firstLine="504"/>
        <w:textAlignment w:val="baseline"/>
        <w:rPr>
          <w:rFonts w:ascii="宋体" w:hAnsi="宋体"/>
          <w:bCs/>
        </w:rPr>
      </w:pPr>
      <w:r>
        <w:rPr>
          <w:rFonts w:hint="eastAsia" w:ascii="宋体" w:hAnsi="宋体"/>
          <w:bCs/>
        </w:rPr>
        <w:t>1、</w:t>
      </w:r>
      <w:r>
        <w:rPr>
          <w:rFonts w:ascii="宋体" w:hAnsi="宋体"/>
          <w:bCs/>
        </w:rPr>
        <w:t>甲乙双方必须遵守本合同并执行合同中的各项规定，保证</w:t>
      </w:r>
      <w:r>
        <w:rPr>
          <w:rFonts w:hint="eastAsia" w:ascii="宋体" w:hAnsi="宋体"/>
          <w:bCs/>
        </w:rPr>
        <w:t>本</w:t>
      </w:r>
      <w:r>
        <w:rPr>
          <w:rFonts w:ascii="宋体" w:hAnsi="宋体"/>
          <w:bCs/>
        </w:rPr>
        <w:t>合同的正常</w:t>
      </w:r>
      <w:r>
        <w:rPr>
          <w:rFonts w:hint="eastAsia" w:ascii="宋体" w:hAnsi="宋体"/>
          <w:bCs/>
        </w:rPr>
        <w:t>履行</w:t>
      </w:r>
      <w:r>
        <w:rPr>
          <w:rFonts w:ascii="宋体" w:hAnsi="宋体"/>
          <w:bCs/>
        </w:rPr>
        <w:t>。</w:t>
      </w:r>
    </w:p>
    <w:p>
      <w:pPr>
        <w:adjustRightInd w:val="0"/>
        <w:spacing w:line="440" w:lineRule="exact"/>
        <w:ind w:firstLine="504"/>
        <w:textAlignment w:val="baseline"/>
        <w:rPr>
          <w:rFonts w:ascii="宋体" w:hAnsi="宋体"/>
          <w:bCs/>
        </w:rPr>
      </w:pPr>
      <w:r>
        <w:rPr>
          <w:rFonts w:hint="eastAsia" w:ascii="宋体" w:hAnsi="宋体"/>
          <w:bCs/>
        </w:rPr>
        <w:t>2、</w:t>
      </w:r>
      <w:r>
        <w:rPr>
          <w:rFonts w:ascii="宋体" w:hAnsi="宋体"/>
          <w:bCs/>
        </w:rPr>
        <w:t>如因乙方</w:t>
      </w:r>
      <w:r>
        <w:rPr>
          <w:rFonts w:hint="eastAsia" w:ascii="宋体" w:hAnsi="宋体"/>
          <w:bCs/>
        </w:rPr>
        <w:t>工作人员在履行职务过程中的</w:t>
      </w:r>
      <w:r>
        <w:rPr>
          <w:rFonts w:ascii="宋体" w:hAnsi="宋体"/>
          <w:bCs/>
        </w:rPr>
        <w:t>的疏忽、失职、过错等</w:t>
      </w:r>
      <w:r>
        <w:rPr>
          <w:rFonts w:hint="eastAsia" w:ascii="宋体" w:hAnsi="宋体"/>
          <w:bCs/>
        </w:rPr>
        <w:t>故意或者过失</w:t>
      </w:r>
      <w:r>
        <w:rPr>
          <w:rFonts w:ascii="宋体" w:hAnsi="宋体"/>
          <w:bCs/>
        </w:rPr>
        <w:t>原因给甲方造成损失或侵害，</w:t>
      </w:r>
      <w:r>
        <w:rPr>
          <w:rFonts w:hint="eastAsia" w:ascii="宋体" w:hAnsi="宋体"/>
          <w:bCs/>
        </w:rPr>
        <w:t>包括但不限于甲方本身的财产损失、由此而导致的甲方对任何第三方的法律责任等，乙方对此均应承担全部的赔偿责任</w:t>
      </w:r>
      <w:r>
        <w:rPr>
          <w:rFonts w:ascii="宋体" w:hAnsi="宋体"/>
          <w:bCs/>
        </w:rPr>
        <w:t>。</w:t>
      </w:r>
    </w:p>
    <w:p>
      <w:pPr>
        <w:numPr>
          <w:ilvl w:val="0"/>
          <w:numId w:val="72"/>
        </w:numPr>
        <w:tabs>
          <w:tab w:val="left" w:pos="0"/>
          <w:tab w:val="clear" w:pos="1521"/>
        </w:tabs>
        <w:spacing w:line="440" w:lineRule="exact"/>
        <w:ind w:left="0" w:firstLine="0" w:firstLineChars="0"/>
        <w:rPr>
          <w:rFonts w:ascii="宋体" w:hAnsi="宋体"/>
          <w:b/>
        </w:rPr>
      </w:pPr>
      <w:r>
        <w:rPr>
          <w:rFonts w:hint="eastAsia" w:ascii="宋体" w:hAnsi="宋体"/>
          <w:b/>
        </w:rPr>
        <w:t>不可抗力事件处理</w:t>
      </w:r>
    </w:p>
    <w:p>
      <w:pPr>
        <w:tabs>
          <w:tab w:val="left" w:pos="0"/>
        </w:tabs>
        <w:spacing w:line="440" w:lineRule="exact"/>
        <w:ind w:firstLine="504"/>
        <w:rPr>
          <w:rFonts w:ascii="宋体" w:hAnsi="宋体"/>
        </w:rPr>
      </w:pPr>
      <w:r>
        <w:rPr>
          <w:rFonts w:hint="eastAsia" w:ascii="宋体" w:hAnsi="宋体"/>
        </w:rPr>
        <w:t>1、在合同有效期内，任何一方因不可抗力事件导致不能履行合同，则合同履行期可延长，其延长期与不可抗力影响期相同。</w:t>
      </w:r>
    </w:p>
    <w:p>
      <w:pPr>
        <w:tabs>
          <w:tab w:val="left" w:pos="0"/>
        </w:tabs>
        <w:spacing w:line="440" w:lineRule="exact"/>
        <w:ind w:firstLine="504"/>
        <w:rPr>
          <w:rFonts w:ascii="宋体" w:hAnsi="宋体"/>
        </w:rPr>
      </w:pPr>
      <w:r>
        <w:rPr>
          <w:rFonts w:hint="eastAsia" w:ascii="宋体" w:hAnsi="宋体"/>
        </w:rPr>
        <w:t>2、不可抗力事件发生后，应立即通知对方，并寄送有关权威机构出具的证明。</w:t>
      </w:r>
    </w:p>
    <w:p>
      <w:pPr>
        <w:tabs>
          <w:tab w:val="left" w:pos="0"/>
        </w:tabs>
        <w:spacing w:line="440" w:lineRule="exact"/>
        <w:ind w:firstLine="504"/>
        <w:rPr>
          <w:rFonts w:ascii="宋体" w:hAnsi="宋体"/>
        </w:rPr>
      </w:pPr>
      <w:r>
        <w:rPr>
          <w:rFonts w:hint="eastAsia" w:ascii="宋体" w:hAnsi="宋体"/>
        </w:rPr>
        <w:t>3、不可抗力事件延续</w:t>
      </w:r>
      <w:r>
        <w:rPr>
          <w:rFonts w:hint="eastAsia" w:ascii="宋体" w:hAnsi="宋体"/>
          <w:szCs w:val="21"/>
        </w:rPr>
        <w:t>XX</w:t>
      </w:r>
      <w:r>
        <w:rPr>
          <w:rFonts w:hint="eastAsia" w:ascii="宋体" w:hAnsi="宋体"/>
        </w:rPr>
        <w:t>天以上，双方应通过友好协商，确定是否继续履行合同。</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Pr>
        <w:numPr>
          <w:ilvl w:val="0"/>
          <w:numId w:val="72"/>
        </w:numPr>
        <w:tabs>
          <w:tab w:val="left" w:pos="0"/>
          <w:tab w:val="clear" w:pos="1521"/>
        </w:tabs>
        <w:spacing w:line="440" w:lineRule="exact"/>
        <w:ind w:left="0" w:firstLine="0" w:firstLineChars="0"/>
        <w:rPr>
          <w:rFonts w:ascii="宋体" w:hAnsi="宋体"/>
          <w:b/>
        </w:rPr>
      </w:pPr>
      <w:bookmarkStart w:id="393" w:name="_Toc247334846"/>
      <w:bookmarkStart w:id="394" w:name="_Toc232492933"/>
      <w:bookmarkStart w:id="395" w:name="_Toc239568423"/>
      <w:bookmarkStart w:id="396" w:name="_Toc251768867"/>
      <w:bookmarkStart w:id="397" w:name="_Toc225654649"/>
      <w:bookmarkStart w:id="398" w:name="_Toc241833908"/>
      <w:bookmarkStart w:id="399" w:name="_Toc225670756"/>
      <w:bookmarkStart w:id="400" w:name="_Toc185395254"/>
      <w:bookmarkStart w:id="401" w:name="_Toc239233919"/>
      <w:bookmarkStart w:id="402" w:name="_Toc212019599"/>
      <w:bookmarkStart w:id="403" w:name="_Toc211854454"/>
      <w:bookmarkStart w:id="404" w:name="_Toc286993792"/>
      <w:bookmarkStart w:id="405" w:name="_Toc211911353"/>
      <w:bookmarkStart w:id="406" w:name="_Toc225244857"/>
      <w:bookmarkStart w:id="407" w:name="_Toc238984980"/>
      <w:bookmarkStart w:id="408" w:name="_Toc237145411"/>
      <w:r>
        <w:rPr>
          <w:rFonts w:hint="eastAsia" w:ascii="宋体" w:hAnsi="宋体"/>
          <w:b/>
        </w:rPr>
        <w:t>解</w:t>
      </w:r>
      <w:r>
        <w:rPr>
          <w:rFonts w:ascii="宋体" w:hAnsi="宋体"/>
          <w:b/>
        </w:rPr>
        <w:t>决合同纠纷的方式</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tabs>
          <w:tab w:val="left" w:pos="0"/>
        </w:tabs>
        <w:spacing w:line="440" w:lineRule="exact"/>
        <w:ind w:firstLine="504"/>
        <w:rPr>
          <w:rFonts w:ascii="宋体" w:hAnsi="宋体"/>
        </w:rPr>
      </w:pPr>
      <w:r>
        <w:rPr>
          <w:rFonts w:hint="eastAsia" w:ascii="宋体" w:hAnsi="宋体"/>
        </w:rPr>
        <w:t>1、</w:t>
      </w:r>
      <w:r>
        <w:rPr>
          <w:rFonts w:ascii="宋体" w:hAnsi="宋体"/>
        </w:rPr>
        <w:t>在执行本合同中发生的或与本合同有关的争端，双方应通过友好协商解决，经协商在</w:t>
      </w:r>
      <w:r>
        <w:rPr>
          <w:rFonts w:hint="eastAsia" w:ascii="宋体" w:hAnsi="宋体"/>
          <w:szCs w:val="21"/>
          <w:u w:val="single"/>
        </w:rPr>
        <w:t xml:space="preserve">      </w:t>
      </w:r>
      <w:r>
        <w:rPr>
          <w:rFonts w:ascii="宋体" w:hAnsi="宋体"/>
        </w:rPr>
        <w:t>天内不能达成协议时，应提交成都仲裁委员会仲裁。</w:t>
      </w:r>
    </w:p>
    <w:p>
      <w:pPr>
        <w:tabs>
          <w:tab w:val="left" w:pos="0"/>
        </w:tabs>
        <w:spacing w:line="440" w:lineRule="exact"/>
        <w:ind w:firstLine="504"/>
        <w:rPr>
          <w:rFonts w:ascii="宋体" w:hAnsi="宋体"/>
        </w:rPr>
      </w:pPr>
      <w:r>
        <w:rPr>
          <w:rFonts w:hint="eastAsia" w:ascii="宋体" w:hAnsi="宋体"/>
        </w:rPr>
        <w:t>2、</w:t>
      </w:r>
      <w:r>
        <w:rPr>
          <w:rFonts w:ascii="宋体" w:hAnsi="宋体"/>
        </w:rPr>
        <w:t>仲裁裁决应为最终决定，并对双方具有约束力。</w:t>
      </w:r>
    </w:p>
    <w:p>
      <w:pPr>
        <w:tabs>
          <w:tab w:val="left" w:pos="0"/>
        </w:tabs>
        <w:spacing w:line="440" w:lineRule="exact"/>
        <w:ind w:firstLine="504"/>
        <w:rPr>
          <w:rFonts w:ascii="宋体" w:hAnsi="宋体"/>
        </w:rPr>
      </w:pPr>
      <w:r>
        <w:rPr>
          <w:rFonts w:hint="eastAsia" w:ascii="宋体" w:hAnsi="宋体"/>
        </w:rPr>
        <w:t>3、</w:t>
      </w:r>
      <w:r>
        <w:rPr>
          <w:rFonts w:ascii="宋体" w:hAnsi="宋体"/>
        </w:rPr>
        <w:t xml:space="preserve">除另有裁决外，仲裁费应由败诉方负担。 </w:t>
      </w:r>
    </w:p>
    <w:p>
      <w:pPr>
        <w:tabs>
          <w:tab w:val="left" w:pos="0"/>
        </w:tabs>
        <w:spacing w:line="440" w:lineRule="exact"/>
        <w:ind w:firstLine="504"/>
        <w:rPr>
          <w:rFonts w:ascii="宋体" w:hAnsi="宋体"/>
        </w:rPr>
      </w:pPr>
      <w:r>
        <w:rPr>
          <w:rFonts w:hint="eastAsia" w:ascii="宋体" w:hAnsi="宋体"/>
        </w:rPr>
        <w:t>4、</w:t>
      </w:r>
      <w:r>
        <w:rPr>
          <w:rFonts w:ascii="宋体" w:hAnsi="宋体"/>
        </w:rPr>
        <w:t xml:space="preserve">在仲裁期间，除正在进行仲裁部分外，合同其他部分继续执行。  </w:t>
      </w:r>
    </w:p>
    <w:p>
      <w:pPr>
        <w:numPr>
          <w:ilvl w:val="0"/>
          <w:numId w:val="72"/>
        </w:numPr>
        <w:tabs>
          <w:tab w:val="left" w:pos="0"/>
          <w:tab w:val="clear" w:pos="1521"/>
        </w:tabs>
        <w:spacing w:line="440" w:lineRule="exact"/>
        <w:ind w:left="0" w:firstLine="0" w:firstLineChars="0"/>
        <w:rPr>
          <w:rFonts w:ascii="宋体" w:hAnsi="宋体"/>
          <w:b/>
        </w:rPr>
      </w:pPr>
      <w:bookmarkStart w:id="409" w:name="_Toc211854455"/>
      <w:bookmarkStart w:id="410" w:name="_Toc225244858"/>
      <w:bookmarkStart w:id="411" w:name="_Toc225654650"/>
      <w:bookmarkStart w:id="412" w:name="_Toc286993793"/>
      <w:bookmarkStart w:id="413" w:name="_Toc237145412"/>
      <w:bookmarkStart w:id="414" w:name="_Toc239568424"/>
      <w:bookmarkStart w:id="415" w:name="_Toc185395255"/>
      <w:bookmarkStart w:id="416" w:name="_Toc225670757"/>
      <w:bookmarkStart w:id="417" w:name="_Toc239233920"/>
      <w:bookmarkStart w:id="418" w:name="_Toc212019600"/>
      <w:bookmarkStart w:id="419" w:name="_Toc283019219"/>
      <w:bookmarkStart w:id="420" w:name="_Toc251768868"/>
      <w:bookmarkStart w:id="421" w:name="_Toc232492934"/>
      <w:bookmarkStart w:id="422" w:name="_Toc247334847"/>
      <w:bookmarkStart w:id="423" w:name="_Toc282696231"/>
      <w:bookmarkStart w:id="424" w:name="_Toc241833909"/>
      <w:bookmarkStart w:id="425" w:name="_Toc238984981"/>
      <w:bookmarkStart w:id="426" w:name="_Toc211911354"/>
      <w:r>
        <w:rPr>
          <w:rFonts w:ascii="宋体" w:hAnsi="宋体"/>
          <w:b/>
        </w:rPr>
        <w:t>合同</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Fonts w:hint="eastAsia" w:ascii="宋体" w:hAnsi="宋体"/>
          <w:b/>
        </w:rPr>
        <w:t>生效及其他</w:t>
      </w:r>
    </w:p>
    <w:p>
      <w:pPr>
        <w:pStyle w:val="152"/>
        <w:spacing w:line="440" w:lineRule="exact"/>
        <w:ind w:firstLine="504"/>
        <w:rPr>
          <w:rFonts w:ascii="宋体" w:hAnsi="宋体"/>
          <w:szCs w:val="24"/>
        </w:rPr>
      </w:pPr>
      <w:r>
        <w:rPr>
          <w:rFonts w:hint="eastAsia" w:ascii="宋体" w:hAnsi="宋体"/>
          <w:szCs w:val="24"/>
        </w:rPr>
        <w:t>1、合同经双方法定代表人或授权委托代理人签字并加盖单位公章后生效。</w:t>
      </w:r>
    </w:p>
    <w:p>
      <w:pPr>
        <w:pStyle w:val="152"/>
        <w:spacing w:line="440" w:lineRule="exact"/>
        <w:ind w:firstLine="504"/>
        <w:rPr>
          <w:rFonts w:ascii="宋体" w:hAnsi="宋体"/>
          <w:szCs w:val="24"/>
        </w:rPr>
      </w:pPr>
      <w:r>
        <w:rPr>
          <w:rFonts w:hint="eastAsia" w:ascii="宋体" w:hAnsi="宋体"/>
          <w:szCs w:val="24"/>
        </w:rPr>
        <w:t>2、合同执行中涉及采购资金和采购内容修改或补充的，须经政府采购监管部门审批，并签书面补充协议报政府采购监督管理部门备案，方可作为主合同不可分割的一部分。</w:t>
      </w:r>
    </w:p>
    <w:p>
      <w:pPr>
        <w:widowControl/>
        <w:spacing w:line="440" w:lineRule="exact"/>
        <w:ind w:firstLine="504"/>
        <w:rPr>
          <w:rFonts w:ascii="宋体" w:hAnsi="宋体"/>
          <w:szCs w:val="24"/>
        </w:rPr>
      </w:pPr>
      <w:r>
        <w:rPr>
          <w:rFonts w:hint="eastAsia" w:ascii="宋体" w:hAnsi="宋体"/>
          <w:szCs w:val="24"/>
        </w:rPr>
        <w:t>3、本合同一式xx份，自双方签章之日起生效。甲方xx份，乙方xx份、政府采购管理部门、采购代理机构各一份。</w:t>
      </w:r>
    </w:p>
    <w:p>
      <w:pPr>
        <w:numPr>
          <w:ilvl w:val="0"/>
          <w:numId w:val="72"/>
        </w:numPr>
        <w:tabs>
          <w:tab w:val="left" w:pos="0"/>
          <w:tab w:val="clear" w:pos="1521"/>
        </w:tabs>
        <w:spacing w:line="440" w:lineRule="exact"/>
        <w:ind w:left="0" w:firstLine="0" w:firstLineChars="0"/>
        <w:rPr>
          <w:rFonts w:ascii="宋体" w:hAnsi="宋体"/>
          <w:b/>
        </w:rPr>
      </w:pPr>
      <w:r>
        <w:rPr>
          <w:rFonts w:hint="eastAsia" w:ascii="宋体" w:hAnsi="宋体"/>
          <w:b/>
        </w:rPr>
        <w:t>附件</w:t>
      </w:r>
    </w:p>
    <w:p>
      <w:pPr>
        <w:pStyle w:val="152"/>
        <w:spacing w:line="440" w:lineRule="exact"/>
        <w:ind w:firstLine="504"/>
        <w:rPr>
          <w:rFonts w:ascii="宋体" w:hAnsi="宋体"/>
          <w:szCs w:val="24"/>
        </w:rPr>
      </w:pPr>
      <w:r>
        <w:rPr>
          <w:rFonts w:hint="eastAsia" w:ascii="宋体" w:hAnsi="宋体"/>
          <w:szCs w:val="24"/>
        </w:rPr>
        <w:t>1、项目招标文件</w:t>
      </w:r>
    </w:p>
    <w:p>
      <w:pPr>
        <w:pStyle w:val="152"/>
        <w:spacing w:line="440" w:lineRule="exact"/>
        <w:ind w:firstLine="504"/>
        <w:rPr>
          <w:rFonts w:ascii="宋体" w:hAnsi="宋体"/>
          <w:szCs w:val="24"/>
        </w:rPr>
      </w:pPr>
      <w:r>
        <w:rPr>
          <w:rFonts w:hint="eastAsia" w:ascii="宋体" w:hAnsi="宋体"/>
          <w:szCs w:val="24"/>
        </w:rPr>
        <w:t>2、项目投标文件</w:t>
      </w:r>
    </w:p>
    <w:p>
      <w:pPr>
        <w:pStyle w:val="152"/>
        <w:spacing w:line="440" w:lineRule="exact"/>
        <w:ind w:firstLine="504"/>
        <w:rPr>
          <w:rFonts w:ascii="宋体" w:hAnsi="宋体"/>
          <w:szCs w:val="24"/>
        </w:rPr>
      </w:pPr>
      <w:r>
        <w:rPr>
          <w:rFonts w:hint="eastAsia" w:ascii="宋体" w:hAnsi="宋体"/>
          <w:szCs w:val="24"/>
        </w:rPr>
        <w:t>3、中标通知书</w:t>
      </w:r>
    </w:p>
    <w:p>
      <w:pPr>
        <w:pStyle w:val="152"/>
        <w:spacing w:line="440" w:lineRule="exact"/>
        <w:ind w:firstLine="504"/>
        <w:rPr>
          <w:rFonts w:ascii="宋体" w:hAnsi="宋体"/>
          <w:szCs w:val="24"/>
        </w:rPr>
      </w:pPr>
      <w:r>
        <w:rPr>
          <w:rFonts w:hint="eastAsia" w:ascii="宋体" w:hAnsi="宋体"/>
          <w:szCs w:val="24"/>
        </w:rPr>
        <w:t>4、其他</w:t>
      </w:r>
    </w:p>
    <w:p>
      <w:pPr>
        <w:spacing w:line="440" w:lineRule="exact"/>
        <w:ind w:firstLine="504"/>
        <w:rPr>
          <w:rFonts w:ascii="宋体" w:hAnsi="宋体"/>
        </w:rPr>
      </w:pPr>
    </w:p>
    <w:p>
      <w:pPr>
        <w:spacing w:line="440" w:lineRule="exact"/>
        <w:ind w:firstLine="504"/>
        <w:rPr>
          <w:rFonts w:ascii="宋体" w:hAnsi="宋体"/>
        </w:rPr>
      </w:pPr>
      <w:r>
        <w:rPr>
          <w:rFonts w:hint="eastAsia" w:ascii="宋体" w:hAnsi="宋体"/>
        </w:rPr>
        <w:t>甲方：   （盖章）</w:t>
      </w:r>
      <w:r>
        <w:rPr>
          <w:rFonts w:ascii="宋体" w:hAnsi="宋体"/>
        </w:rPr>
        <w:t xml:space="preserve">   </w:t>
      </w:r>
      <w:r>
        <w:rPr>
          <w:rFonts w:ascii="宋体" w:hAnsi="宋体"/>
        </w:rPr>
        <w:tab/>
      </w:r>
      <w:r>
        <w:rPr>
          <w:rFonts w:ascii="宋体" w:hAnsi="宋体"/>
        </w:rPr>
        <w:tab/>
      </w:r>
      <w:r>
        <w:rPr>
          <w:rFonts w:ascii="宋体" w:hAnsi="宋体"/>
        </w:rPr>
        <w:tab/>
      </w:r>
      <w:r>
        <w:rPr>
          <w:rFonts w:ascii="宋体" w:hAnsi="宋体"/>
        </w:rPr>
        <w:t xml:space="preserve">    </w:t>
      </w:r>
      <w:r>
        <w:rPr>
          <w:rFonts w:hint="eastAsia" w:ascii="宋体" w:hAnsi="宋体"/>
        </w:rPr>
        <w:t xml:space="preserve">   乙方：</w:t>
      </w:r>
      <w:r>
        <w:rPr>
          <w:rFonts w:ascii="宋体" w:hAnsi="宋体"/>
        </w:rPr>
        <w:t xml:space="preserve">   </w:t>
      </w:r>
      <w:r>
        <w:rPr>
          <w:rFonts w:hint="eastAsia" w:ascii="宋体" w:hAnsi="宋体"/>
        </w:rPr>
        <w:t>（盖章）</w:t>
      </w:r>
    </w:p>
    <w:p>
      <w:pPr>
        <w:spacing w:line="440" w:lineRule="exact"/>
        <w:ind w:firstLine="504"/>
        <w:rPr>
          <w:rFonts w:ascii="宋体" w:hAnsi="宋体"/>
        </w:rPr>
      </w:pPr>
      <w:r>
        <w:rPr>
          <w:rFonts w:hint="eastAsia" w:ascii="宋体" w:hAnsi="宋体"/>
        </w:rPr>
        <w:t>法定代表人（授权代表）：</w:t>
      </w:r>
      <w:r>
        <w:rPr>
          <w:rFonts w:ascii="宋体" w:hAnsi="宋体"/>
        </w:rPr>
        <w:t xml:space="preserve">            </w:t>
      </w:r>
      <w:r>
        <w:rPr>
          <w:rFonts w:hint="eastAsia" w:ascii="宋体" w:hAnsi="宋体"/>
        </w:rPr>
        <w:t>法定代表人（授权代表）：</w:t>
      </w:r>
    </w:p>
    <w:p>
      <w:pPr>
        <w:spacing w:line="440" w:lineRule="exact"/>
        <w:ind w:firstLine="504"/>
        <w:rPr>
          <w:rFonts w:ascii="宋体" w:hAnsi="宋体"/>
        </w:rPr>
      </w:pPr>
      <w:r>
        <w:rPr>
          <w:rFonts w:hint="eastAsia" w:ascii="宋体" w:hAnsi="宋体"/>
        </w:rPr>
        <w:t>地</w:t>
      </w:r>
      <w:r>
        <w:rPr>
          <w:rFonts w:ascii="宋体" w:hAnsi="宋体"/>
        </w:rPr>
        <w:t xml:space="preserve">    </w:t>
      </w:r>
      <w:r>
        <w:rPr>
          <w:rFonts w:hint="eastAsia" w:ascii="宋体" w:hAnsi="宋体"/>
        </w:rPr>
        <w:t>址：</w:t>
      </w:r>
      <w:r>
        <w:rPr>
          <w:rFonts w:ascii="宋体" w:hAnsi="宋体"/>
        </w:rPr>
        <w:t xml:space="preserve">                         </w:t>
      </w:r>
      <w:r>
        <w:rPr>
          <w:rFonts w:hint="eastAsia" w:ascii="宋体" w:hAnsi="宋体"/>
        </w:rPr>
        <w:t>地</w:t>
      </w:r>
      <w:r>
        <w:rPr>
          <w:rFonts w:ascii="宋体" w:hAnsi="宋体"/>
        </w:rPr>
        <w:t xml:space="preserve">    </w:t>
      </w:r>
      <w:r>
        <w:rPr>
          <w:rFonts w:hint="eastAsia" w:ascii="宋体" w:hAnsi="宋体"/>
        </w:rPr>
        <w:t>址：</w:t>
      </w:r>
    </w:p>
    <w:p>
      <w:pPr>
        <w:spacing w:line="440" w:lineRule="exact"/>
        <w:ind w:firstLine="504"/>
        <w:rPr>
          <w:rFonts w:ascii="宋体" w:hAnsi="宋体"/>
        </w:rPr>
      </w:pPr>
      <w:r>
        <w:rPr>
          <w:rFonts w:hint="eastAsia" w:ascii="宋体" w:hAnsi="宋体"/>
        </w:rPr>
        <w:t>开户银行：</w:t>
      </w:r>
      <w:r>
        <w:rPr>
          <w:rFonts w:ascii="宋体" w:hAnsi="宋体"/>
        </w:rPr>
        <w:t xml:space="preserve">                         </w:t>
      </w:r>
      <w:r>
        <w:rPr>
          <w:rFonts w:hint="eastAsia" w:ascii="宋体" w:hAnsi="宋体"/>
        </w:rPr>
        <w:t>开户银行：</w:t>
      </w:r>
    </w:p>
    <w:p>
      <w:pPr>
        <w:spacing w:line="440" w:lineRule="exact"/>
        <w:ind w:firstLine="504"/>
        <w:rPr>
          <w:rFonts w:ascii="宋体" w:hAnsi="宋体"/>
        </w:rPr>
      </w:pPr>
      <w:r>
        <w:rPr>
          <w:rFonts w:hint="eastAsia" w:ascii="宋体" w:hAnsi="宋体"/>
        </w:rPr>
        <w:t>账号：</w:t>
      </w:r>
      <w:r>
        <w:rPr>
          <w:rFonts w:ascii="宋体" w:hAnsi="宋体"/>
        </w:rPr>
        <w:t xml:space="preserve">                             </w:t>
      </w:r>
      <w:r>
        <w:rPr>
          <w:rFonts w:hint="eastAsia" w:ascii="宋体" w:hAnsi="宋体"/>
        </w:rPr>
        <w:t>账号：</w:t>
      </w:r>
    </w:p>
    <w:p>
      <w:pPr>
        <w:spacing w:line="440" w:lineRule="exact"/>
        <w:ind w:firstLine="504"/>
        <w:rPr>
          <w:rFonts w:ascii="宋体" w:hAnsi="宋体"/>
        </w:rPr>
      </w:pPr>
      <w:r>
        <w:rPr>
          <w:rFonts w:hint="eastAsia" w:ascii="宋体" w:hAnsi="宋体"/>
        </w:rPr>
        <w:t>电</w:t>
      </w:r>
      <w:r>
        <w:rPr>
          <w:rFonts w:ascii="宋体" w:hAnsi="宋体"/>
        </w:rPr>
        <w:t xml:space="preserve">    </w:t>
      </w:r>
      <w:r>
        <w:rPr>
          <w:rFonts w:hint="eastAsia" w:ascii="宋体" w:hAnsi="宋体"/>
        </w:rPr>
        <w:t>话：</w:t>
      </w: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话：</w:t>
      </w:r>
    </w:p>
    <w:p>
      <w:pPr>
        <w:spacing w:line="440" w:lineRule="exact"/>
        <w:ind w:firstLine="504"/>
        <w:rPr>
          <w:rFonts w:ascii="宋体" w:hAnsi="宋体"/>
        </w:rPr>
      </w:pPr>
      <w:r>
        <w:rPr>
          <w:rFonts w:hint="eastAsia" w:ascii="宋体" w:hAnsi="宋体"/>
        </w:rPr>
        <w:t>传</w:t>
      </w:r>
      <w:r>
        <w:rPr>
          <w:rFonts w:ascii="宋体" w:hAnsi="宋体"/>
        </w:rPr>
        <w:t xml:space="preserve">    </w:t>
      </w:r>
      <w:r>
        <w:rPr>
          <w:rFonts w:hint="eastAsia" w:ascii="宋体" w:hAnsi="宋体"/>
        </w:rPr>
        <w:t>真：</w:t>
      </w:r>
      <w:r>
        <w:rPr>
          <w:rFonts w:ascii="宋体" w:hAnsi="宋体"/>
        </w:rPr>
        <w:t xml:space="preserve">                         </w:t>
      </w:r>
      <w:r>
        <w:rPr>
          <w:rFonts w:hint="eastAsia" w:ascii="宋体" w:hAnsi="宋体"/>
        </w:rPr>
        <w:t>传</w:t>
      </w:r>
      <w:r>
        <w:rPr>
          <w:rFonts w:ascii="宋体" w:hAnsi="宋体"/>
        </w:rPr>
        <w:t xml:space="preserve">    </w:t>
      </w:r>
      <w:r>
        <w:rPr>
          <w:rFonts w:hint="eastAsia" w:ascii="宋体" w:hAnsi="宋体"/>
        </w:rPr>
        <w:t>真：</w:t>
      </w:r>
    </w:p>
    <w:p>
      <w:pPr>
        <w:spacing w:line="440" w:lineRule="exact"/>
        <w:ind w:firstLine="504"/>
        <w:rPr>
          <w:szCs w:val="21"/>
        </w:rPr>
      </w:pPr>
      <w:r>
        <w:rPr>
          <w:rFonts w:hint="eastAsia" w:ascii="宋体" w:hAnsi="宋体"/>
        </w:rPr>
        <w:t>签约日期：</w:t>
      </w:r>
      <w:r>
        <w:rPr>
          <w:rFonts w:hint="eastAsia" w:ascii="宋体" w:hAnsi="宋体"/>
          <w:szCs w:val="21"/>
        </w:rPr>
        <w:t>XX</w:t>
      </w:r>
      <w:r>
        <w:rPr>
          <w:rFonts w:hint="eastAsia" w:ascii="宋体" w:hAnsi="宋体"/>
        </w:rPr>
        <w:t>年</w:t>
      </w:r>
      <w:r>
        <w:rPr>
          <w:rFonts w:hint="eastAsia" w:ascii="宋体" w:hAnsi="宋体"/>
          <w:szCs w:val="21"/>
        </w:rPr>
        <w:t>XX</w:t>
      </w:r>
      <w:r>
        <w:rPr>
          <w:rFonts w:hint="eastAsia" w:ascii="宋体" w:hAnsi="宋体"/>
        </w:rPr>
        <w:t>月</w:t>
      </w:r>
      <w:r>
        <w:rPr>
          <w:rFonts w:hint="eastAsia" w:ascii="宋体" w:hAnsi="宋体"/>
          <w:szCs w:val="21"/>
        </w:rPr>
        <w:t>XX</w:t>
      </w:r>
      <w:r>
        <w:rPr>
          <w:rFonts w:hint="eastAsia" w:ascii="宋体" w:hAnsi="宋体"/>
        </w:rPr>
        <w:t>日</w:t>
      </w:r>
      <w:r>
        <w:rPr>
          <w:rFonts w:ascii="宋体" w:hAnsi="宋体"/>
        </w:rPr>
        <w:t xml:space="preserve"> </w:t>
      </w:r>
      <w:r>
        <w:rPr>
          <w:rFonts w:ascii="宋体" w:hAnsi="宋体"/>
        </w:rPr>
        <w:tab/>
      </w:r>
      <w:r>
        <w:rPr>
          <w:rFonts w:ascii="宋体" w:hAnsi="宋体"/>
        </w:rPr>
        <w:tab/>
      </w:r>
      <w:r>
        <w:rPr>
          <w:rFonts w:ascii="宋体" w:hAnsi="宋体"/>
        </w:rPr>
        <w:tab/>
      </w:r>
      <w:r>
        <w:rPr>
          <w:rFonts w:hint="eastAsia" w:ascii="宋体" w:hAnsi="宋体"/>
        </w:rPr>
        <w:t>签约日期：</w:t>
      </w:r>
      <w:r>
        <w:rPr>
          <w:rFonts w:hint="eastAsia" w:ascii="宋体" w:hAnsi="宋体"/>
          <w:szCs w:val="21"/>
        </w:rPr>
        <w:t>XX</w:t>
      </w:r>
      <w:r>
        <w:rPr>
          <w:rFonts w:hint="eastAsia" w:ascii="宋体" w:hAnsi="宋体"/>
        </w:rPr>
        <w:t>年</w:t>
      </w:r>
      <w:r>
        <w:rPr>
          <w:rFonts w:hint="eastAsia" w:ascii="宋体" w:hAnsi="宋体"/>
          <w:szCs w:val="21"/>
        </w:rPr>
        <w:t>XX</w:t>
      </w:r>
      <w:r>
        <w:rPr>
          <w:rFonts w:hint="eastAsia" w:ascii="宋体" w:hAnsi="宋体"/>
        </w:rPr>
        <w:t>月</w:t>
      </w:r>
      <w:r>
        <w:rPr>
          <w:rFonts w:hint="eastAsia" w:ascii="宋体" w:hAnsi="宋体"/>
          <w:szCs w:val="21"/>
        </w:rPr>
        <w:t>XX日</w:t>
      </w:r>
    </w:p>
    <w:p>
      <w:pPr>
        <w:ind w:firstLine="504"/>
        <w:jc w:val="both"/>
        <w:rPr>
          <w:rFonts w:hint="eastAsia" w:ascii="宋体" w:hAnsi="宋体" w:cs="宋体"/>
          <w:color w:val="000000"/>
          <w:szCs w:val="24"/>
        </w:rPr>
      </w:pPr>
    </w:p>
    <w:p>
      <w:pPr>
        <w:pStyle w:val="2"/>
        <w:ind w:firstLine="504"/>
        <w:rPr>
          <w:rFonts w:hint="eastAsia" w:ascii="宋体" w:hAnsi="宋体" w:cs="宋体"/>
          <w:color w:val="000000"/>
          <w:szCs w:val="24"/>
        </w:rPr>
      </w:pPr>
    </w:p>
    <w:p>
      <w:pPr>
        <w:ind w:firstLine="506"/>
        <w:outlineLvl w:val="1"/>
        <w:rPr>
          <w:rFonts w:ascii="宋体" w:hAnsi="宋体" w:cs="宋体"/>
          <w:b/>
          <w:bCs/>
          <w:szCs w:val="32"/>
        </w:rPr>
      </w:pPr>
      <w:bookmarkStart w:id="427" w:name="_Toc28998"/>
      <w:r>
        <w:rPr>
          <w:rFonts w:hint="eastAsia" w:ascii="宋体" w:hAnsi="宋体" w:cs="宋体"/>
          <w:b/>
          <w:bCs/>
          <w:szCs w:val="32"/>
        </w:rPr>
        <w:t>附件1：政府采购云平台使用介绍</w:t>
      </w:r>
      <w:bookmarkEnd w:id="427"/>
    </w:p>
    <w:p>
      <w:pPr>
        <w:ind w:firstLine="506"/>
        <w:rPr>
          <w:rFonts w:ascii="宋体" w:hAnsi="宋体" w:cs="宋体"/>
          <w:b/>
          <w:bCs/>
          <w:szCs w:val="32"/>
        </w:rPr>
      </w:pPr>
      <w:r>
        <w:rPr>
          <w:rFonts w:hint="eastAsia" w:ascii="宋体" w:hAnsi="宋体" w:cs="宋体"/>
          <w:b/>
          <w:bCs/>
          <w:szCs w:val="32"/>
        </w:rPr>
        <w:t>1.输入网址：</w:t>
      </w:r>
      <w:r>
        <w:fldChar w:fldCharType="begin"/>
      </w:r>
      <w:r>
        <w:instrText xml:space="preserve"> HYPERLINK "https://www.zcygov.cn" </w:instrText>
      </w:r>
      <w:r>
        <w:fldChar w:fldCharType="separate"/>
      </w:r>
      <w:r>
        <w:rPr>
          <w:rStyle w:val="49"/>
          <w:rFonts w:hint="eastAsia" w:ascii="宋体" w:hAnsi="宋体" w:cs="宋体"/>
          <w:b/>
          <w:bCs/>
          <w:szCs w:val="32"/>
        </w:rPr>
        <w:t>https://www.zcygov.cn</w:t>
      </w:r>
      <w:r>
        <w:rPr>
          <w:rFonts w:hint="eastAsia" w:ascii="宋体" w:hAnsi="宋体" w:cs="宋体"/>
          <w:b/>
          <w:bCs/>
          <w:szCs w:val="32"/>
        </w:rPr>
        <w:fldChar w:fldCharType="end"/>
      </w:r>
    </w:p>
    <w:p>
      <w:pPr>
        <w:ind w:firstLine="506"/>
        <w:rPr>
          <w:rFonts w:ascii="宋体" w:hAnsi="宋体" w:cs="宋体"/>
          <w:b/>
          <w:bCs/>
          <w:szCs w:val="32"/>
        </w:rPr>
      </w:pPr>
      <w:r>
        <w:rPr>
          <w:rFonts w:hint="eastAsia" w:ascii="宋体" w:hAnsi="宋体" w:cs="宋体"/>
          <w:b/>
          <w:bCs/>
          <w:szCs w:val="32"/>
        </w:rPr>
        <w:t>2.选择与项目对应的行政区域如：四川省-成都市-成都市本级</w:t>
      </w:r>
    </w:p>
    <w:p>
      <w:pPr>
        <w:ind w:firstLine="504"/>
      </w:pPr>
      <w:r>
        <w:drawing>
          <wp:inline distT="0" distB="0" distL="114300" distR="114300">
            <wp:extent cx="4929505" cy="3082925"/>
            <wp:effectExtent l="0" t="0" r="4445" b="317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4"/>
                    <a:stretch>
                      <a:fillRect/>
                    </a:stretch>
                  </pic:blipFill>
                  <pic:spPr>
                    <a:xfrm>
                      <a:off x="0" y="0"/>
                      <a:ext cx="4929505" cy="3082925"/>
                    </a:xfrm>
                    <a:prstGeom prst="rect">
                      <a:avLst/>
                    </a:prstGeom>
                    <a:noFill/>
                    <a:ln>
                      <a:noFill/>
                    </a:ln>
                  </pic:spPr>
                </pic:pic>
              </a:graphicData>
            </a:graphic>
          </wp:inline>
        </w:drawing>
      </w:r>
    </w:p>
    <w:p>
      <w:pPr>
        <w:numPr>
          <w:ilvl w:val="0"/>
          <w:numId w:val="74"/>
        </w:numPr>
        <w:rPr>
          <w:rFonts w:ascii="宋体" w:hAnsi="宋体" w:cs="宋体"/>
          <w:b/>
          <w:bCs/>
          <w:szCs w:val="32"/>
        </w:rPr>
      </w:pPr>
      <w:r>
        <w:rPr>
          <w:rFonts w:hint="eastAsia" w:ascii="宋体" w:hAnsi="宋体" w:cs="宋体"/>
          <w:b/>
          <w:bCs/>
          <w:szCs w:val="32"/>
        </w:rPr>
        <w:t>点击操作指南-供应商</w:t>
      </w:r>
    </w:p>
    <w:p>
      <w:pPr>
        <w:ind w:firstLine="504"/>
        <w:rPr>
          <w:b/>
          <w:bCs/>
        </w:rPr>
      </w:pPr>
      <w:r>
        <w:drawing>
          <wp:inline distT="0" distB="0" distL="114300" distR="114300">
            <wp:extent cx="4882515" cy="2528570"/>
            <wp:effectExtent l="0" t="0" r="13335" b="508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5"/>
                    <a:stretch>
                      <a:fillRect/>
                    </a:stretch>
                  </pic:blipFill>
                  <pic:spPr>
                    <a:xfrm>
                      <a:off x="0" y="0"/>
                      <a:ext cx="4882515" cy="2528570"/>
                    </a:xfrm>
                    <a:prstGeom prst="rect">
                      <a:avLst/>
                    </a:prstGeom>
                    <a:noFill/>
                    <a:ln>
                      <a:noFill/>
                    </a:ln>
                  </pic:spPr>
                </pic:pic>
              </a:graphicData>
            </a:graphic>
          </wp:inline>
        </w:drawing>
      </w:r>
      <w:r>
        <w:br w:type="page"/>
      </w:r>
      <w:r>
        <w:rPr>
          <w:rFonts w:hint="eastAsia" w:ascii="宋体" w:hAnsi="宋体" w:cs="宋体"/>
          <w:b/>
          <w:bCs/>
          <w:szCs w:val="32"/>
        </w:rPr>
        <w:t>4.进入政采云供应商学习专题页面</w:t>
      </w:r>
      <w:r>
        <w:rPr>
          <w:rFonts w:hint="eastAsia"/>
          <w:b/>
          <w:bCs/>
        </w:rPr>
        <w:t>（https://edu.zcygov.cn/luban/xxzt-chengdu-gys?utm=a0017.b1347.cl50.5.0917bc90b7bb11eb807c353645758db6）</w:t>
      </w:r>
    </w:p>
    <w:p>
      <w:pPr>
        <w:ind w:firstLine="504"/>
      </w:pPr>
      <w:r>
        <w:drawing>
          <wp:inline distT="0" distB="0" distL="114300" distR="114300">
            <wp:extent cx="5380990" cy="2678430"/>
            <wp:effectExtent l="0" t="0" r="1016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5380990" cy="2678430"/>
                    </a:xfrm>
                    <a:prstGeom prst="rect">
                      <a:avLst/>
                    </a:prstGeom>
                    <a:noFill/>
                    <a:ln>
                      <a:noFill/>
                    </a:ln>
                  </pic:spPr>
                </pic:pic>
              </a:graphicData>
            </a:graphic>
          </wp:inline>
        </w:drawing>
      </w:r>
    </w:p>
    <w:p>
      <w:pPr>
        <w:ind w:firstLine="504"/>
        <w:rPr>
          <w:rFonts w:ascii="宋体" w:hAnsi="宋体" w:cs="宋体"/>
          <w:b/>
          <w:bCs/>
          <w:szCs w:val="32"/>
        </w:rPr>
      </w:pPr>
      <w:r>
        <w:rPr>
          <w:rFonts w:hint="eastAsia"/>
        </w:rPr>
        <w:br w:type="page"/>
      </w:r>
      <w:r>
        <w:rPr>
          <w:rFonts w:hint="eastAsia" w:ascii="宋体" w:hAnsi="宋体" w:cs="宋体"/>
          <w:b/>
          <w:bCs/>
          <w:szCs w:val="32"/>
        </w:rPr>
        <w:t>5.供应商资讯服务渠道</w:t>
      </w:r>
    </w:p>
    <w:p>
      <w:pPr>
        <w:ind w:firstLine="504"/>
      </w:pPr>
      <w:r>
        <w:drawing>
          <wp:inline distT="0" distB="0" distL="114300" distR="114300">
            <wp:extent cx="5447665" cy="1953260"/>
            <wp:effectExtent l="0" t="0" r="63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5447665" cy="1953260"/>
                    </a:xfrm>
                    <a:prstGeom prst="rect">
                      <a:avLst/>
                    </a:prstGeom>
                    <a:noFill/>
                    <a:ln>
                      <a:noFill/>
                    </a:ln>
                  </pic:spPr>
                </pic:pic>
              </a:graphicData>
            </a:graphic>
          </wp:inline>
        </w:drawing>
      </w:r>
    </w:p>
    <w:p>
      <w:pPr>
        <w:ind w:firstLine="504"/>
      </w:pPr>
      <w:r>
        <w:br w:type="page"/>
      </w:r>
      <w:r>
        <w:rPr>
          <w:rFonts w:hint="eastAsia" w:ascii="宋体" w:hAnsi="宋体" w:cs="宋体"/>
          <w:b/>
          <w:bCs/>
          <w:szCs w:val="32"/>
        </w:rPr>
        <w:t>6.入驻政府采购云平台（注册）</w:t>
      </w:r>
    </w:p>
    <w:p>
      <w:pPr>
        <w:ind w:firstLine="504"/>
      </w:pPr>
      <w:r>
        <w:drawing>
          <wp:inline distT="0" distB="0" distL="114300" distR="114300">
            <wp:extent cx="5683250" cy="2313940"/>
            <wp:effectExtent l="0" t="0" r="1270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5683250" cy="2313940"/>
                    </a:xfrm>
                    <a:prstGeom prst="rect">
                      <a:avLst/>
                    </a:prstGeom>
                    <a:noFill/>
                    <a:ln>
                      <a:noFill/>
                    </a:ln>
                  </pic:spPr>
                </pic:pic>
              </a:graphicData>
            </a:graphic>
          </wp:inline>
        </w:drawing>
      </w:r>
    </w:p>
    <w:p>
      <w:pPr>
        <w:ind w:firstLine="504"/>
      </w:pPr>
      <w:r>
        <w:br w:type="page"/>
      </w:r>
      <w:r>
        <w:rPr>
          <w:rFonts w:hint="eastAsia" w:ascii="宋体" w:hAnsi="宋体" w:cs="宋体"/>
          <w:b/>
          <w:bCs/>
          <w:szCs w:val="32"/>
        </w:rPr>
        <w:t>7.下载《供应商政府采购项目电子交易操作指南》</w:t>
      </w:r>
    </w:p>
    <w:p>
      <w:pPr>
        <w:ind w:firstLine="504"/>
        <w:rPr>
          <w:rFonts w:hint="eastAsia"/>
        </w:rPr>
      </w:pPr>
      <w:r>
        <w:drawing>
          <wp:inline distT="0" distB="0" distL="114300" distR="114300">
            <wp:extent cx="5536565" cy="3067685"/>
            <wp:effectExtent l="0" t="0" r="6985" b="18415"/>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9"/>
                    <a:stretch>
                      <a:fillRect/>
                    </a:stretch>
                  </pic:blipFill>
                  <pic:spPr>
                    <a:xfrm>
                      <a:off x="0" y="0"/>
                      <a:ext cx="5536565" cy="3067685"/>
                    </a:xfrm>
                    <a:prstGeom prst="rect">
                      <a:avLst/>
                    </a:prstGeom>
                    <a:noFill/>
                    <a:ln>
                      <a:noFill/>
                    </a:ln>
                  </pic:spPr>
                </pic:pic>
              </a:graphicData>
            </a:graphic>
          </wp:inline>
        </w:drawing>
      </w:r>
    </w:p>
    <w:sectPr>
      <w:headerReference r:id="rId11" w:type="default"/>
      <w:footerReference r:id="rId12" w:type="default"/>
      <w:pgSz w:w="11906" w:h="16838"/>
      <w:pgMar w:top="1417" w:right="1417" w:bottom="1417" w:left="1417" w:header="1134" w:footer="992" w:gutter="0"/>
      <w:cols w:space="720" w:num="1"/>
      <w:docGrid w:type="linesAndChars" w:linePitch="33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90"/>
      </w:pPr>
      <w:r>
        <w:separator/>
      </w:r>
    </w:p>
  </w:endnote>
  <w:endnote w:type="continuationSeparator" w:id="1">
    <w:p>
      <w:pPr>
        <w:spacing w:line="240" w:lineRule="auto"/>
        <w:ind w:firstLine="4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New (W1)">
    <w:altName w:val="Segoe Print"/>
    <w:panose1 w:val="00000000000000000000"/>
    <w:charset w:val="00"/>
    <w:family w:val="roman"/>
    <w:pitch w:val="default"/>
    <w:sig w:usb0="00000000" w:usb1="00000000" w:usb2="00000008" w:usb3="00000000" w:csb0="000001FF"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W1)">
    <w:altName w:val="Arial"/>
    <w:panose1 w:val="00000000000000000000"/>
    <w:charset w:val="00"/>
    <w:family w:val="auto"/>
    <w:pitch w:val="default"/>
    <w:sig w:usb0="00000000" w:usb1="00000000" w:usb2="00000009" w:usb3="00000000" w:csb0="0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ind w:firstLine="360"/>
      <w:rPr>
        <w:rStyle w:val="47"/>
      </w:rPr>
    </w:pPr>
    <w:r>
      <w:fldChar w:fldCharType="begin"/>
    </w:r>
    <w:r>
      <w:rPr>
        <w:rStyle w:val="47"/>
      </w:rPr>
      <w:instrText xml:space="preserve">PAGE  </w:instrText>
    </w:r>
    <w:r>
      <w:fldChar w:fldCharType="separate"/>
    </w:r>
    <w:r>
      <w:rPr>
        <w:rStyle w:val="47"/>
      </w:rPr>
      <w:t>71</w:t>
    </w:r>
    <w:r>
      <w:fldChar w:fldCharType="end"/>
    </w:r>
  </w:p>
  <w:p>
    <w:pPr>
      <w:pStyle w:val="2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6385" cy="196850"/>
              <wp:effectExtent l="0" t="0" r="0" b="0"/>
              <wp:wrapNone/>
              <wp:docPr id="9" name="文本框 2"/>
              <wp:cNvGraphicFramePr/>
              <a:graphic xmlns:a="http://schemas.openxmlformats.org/drawingml/2006/main">
                <a:graphicData uri="http://schemas.microsoft.com/office/word/2010/wordprocessingShape">
                  <wps:wsp>
                    <wps:cNvSpPr txBox="1"/>
                    <wps:spPr>
                      <a:xfrm>
                        <a:off x="0" y="0"/>
                        <a:ext cx="286385" cy="196850"/>
                      </a:xfrm>
                      <a:prstGeom prst="rect">
                        <a:avLst/>
                      </a:prstGeom>
                      <a:noFill/>
                      <a:ln w="6350">
                        <a:noFill/>
                      </a:ln>
                      <a:effectLst/>
                    </wps:spPr>
                    <wps:txbx>
                      <w:txbxContent>
                        <w:p>
                          <w:pPr>
                            <w:pStyle w:val="28"/>
                            <w:ind w:firstLine="360"/>
                            <w:rPr>
                              <w:rStyle w:val="47"/>
                            </w:rPr>
                          </w:pPr>
                          <w:r>
                            <w:fldChar w:fldCharType="begin"/>
                          </w:r>
                          <w:r>
                            <w:rPr>
                              <w:rStyle w:val="47"/>
                            </w:rPr>
                            <w:instrText xml:space="preserve">PAGE  </w:instrText>
                          </w:r>
                          <w:r>
                            <w:fldChar w:fldCharType="separate"/>
                          </w:r>
                          <w:r>
                            <w:rPr>
                              <w:rStyle w:val="47"/>
                            </w:rPr>
                            <w:t>123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5.5pt;width:22.55pt;mso-position-horizontal:center;mso-position-horizontal-relative:margin;mso-wrap-style:none;z-index:251661312;mso-width-relative:page;mso-height-relative:page;" filled="f" stroked="f" coordsize="21600,21600" o:gfxdata="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K1RvvRAAAAAwEAAA8AAAAAAAAAAQAgAAAAIgAAAGRycy9kb3ducmV2LnhtbFBL&#10;AQIUABQAAAAIAIdO4kBJoEjuNgIAAGEEAAAOAAAAAAAAAAEAIAAAACABAABkcnMvZTJvRG9jLnht&#10;bFBLBQYAAAAABgAGAFkBAADIBQAAAAA=&#10;">
              <v:fill on="f" focussize="0,0"/>
              <v:stroke on="f" weight="0.5pt"/>
              <v:imagedata o:title=""/>
              <o:lock v:ext="edit" aspectratio="f"/>
              <v:textbox inset="0mm,0mm,0mm,0mm" style="mso-fit-shape-to-text:t;">
                <w:txbxContent>
                  <w:p>
                    <w:pPr>
                      <w:pStyle w:val="28"/>
                      <w:ind w:firstLine="360"/>
                      <w:rPr>
                        <w:rStyle w:val="47"/>
                      </w:rPr>
                    </w:pPr>
                    <w:r>
                      <w:fldChar w:fldCharType="begin"/>
                    </w:r>
                    <w:r>
                      <w:rPr>
                        <w:rStyle w:val="47"/>
                      </w:rPr>
                      <w:instrText xml:space="preserve">PAGE  </w:instrText>
                    </w:r>
                    <w:r>
                      <w:fldChar w:fldCharType="separate"/>
                    </w:r>
                    <w:r>
                      <w:rPr>
                        <w:rStyle w:val="47"/>
                      </w:rPr>
                      <w:t>123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90"/>
      </w:pPr>
      <w:r>
        <w:separator/>
      </w:r>
    </w:p>
  </w:footnote>
  <w:footnote w:type="continuationSeparator" w:id="1">
    <w:p>
      <w:pPr>
        <w:spacing w:line="360" w:lineRule="auto"/>
        <w:ind w:firstLine="49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ind w:firstLine="0" w:firstLineChars="0"/>
      <w:jc w:val="both"/>
      <w:rPr>
        <w:u w:val="single"/>
      </w:rPr>
    </w:pPr>
    <w:r>
      <w:drawing>
        <wp:anchor distT="0" distB="0" distL="114300" distR="114300" simplePos="0" relativeHeight="251659264" behindDoc="1" locked="0" layoutInCell="1" allowOverlap="1">
          <wp:simplePos x="0" y="0"/>
          <wp:positionH relativeFrom="column">
            <wp:posOffset>-80010</wp:posOffset>
          </wp:positionH>
          <wp:positionV relativeFrom="paragraph">
            <wp:posOffset>-247650</wp:posOffset>
          </wp:positionV>
          <wp:extent cx="2762250" cy="518160"/>
          <wp:effectExtent l="0" t="0" r="0" b="15240"/>
          <wp:wrapNone/>
          <wp:docPr id="7" name="图片 5"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logo（小）"/>
                  <pic:cNvPicPr>
                    <a:picLocks noChangeAspect="1"/>
                  </pic:cNvPicPr>
                </pic:nvPicPr>
                <pic:blipFill>
                  <a:blip r:embed="rId1"/>
                  <a:stretch>
                    <a:fillRect/>
                  </a:stretch>
                </pic:blipFill>
                <pic:spPr>
                  <a:xfrm>
                    <a:off x="0" y="0"/>
                    <a:ext cx="2762250" cy="518160"/>
                  </a:xfrm>
                  <a:prstGeom prst="rect">
                    <a:avLst/>
                  </a:prstGeom>
                  <a:noFill/>
                  <a:ln>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ind w:firstLine="0" w:firstLineChars="0"/>
      <w:jc w:val="both"/>
    </w:pPr>
    <w:r>
      <w:drawing>
        <wp:anchor distT="0" distB="0" distL="114300" distR="114300" simplePos="0" relativeHeight="251660288" behindDoc="1" locked="0" layoutInCell="1" allowOverlap="1">
          <wp:simplePos x="0" y="0"/>
          <wp:positionH relativeFrom="column">
            <wp:posOffset>-80010</wp:posOffset>
          </wp:positionH>
          <wp:positionV relativeFrom="paragraph">
            <wp:posOffset>-247650</wp:posOffset>
          </wp:positionV>
          <wp:extent cx="2762250" cy="518160"/>
          <wp:effectExtent l="0" t="0" r="0" b="15240"/>
          <wp:wrapNone/>
          <wp:docPr id="8" name="图片 5"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logo（小）"/>
                  <pic:cNvPicPr>
                    <a:picLocks noChangeAspect="1"/>
                  </pic:cNvPicPr>
                </pic:nvPicPr>
                <pic:blipFill>
                  <a:blip r:embed="rId1"/>
                  <a:stretch>
                    <a:fillRect/>
                  </a:stretch>
                </pic:blipFill>
                <pic:spPr>
                  <a:xfrm>
                    <a:off x="0" y="0"/>
                    <a:ext cx="2762250" cy="518160"/>
                  </a:xfrm>
                  <a:prstGeom prst="rect">
                    <a:avLst/>
                  </a:prstGeom>
                  <a:noFill/>
                  <a:ln>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283E2"/>
    <w:multiLevelType w:val="singleLevel"/>
    <w:tmpl w:val="80B283E2"/>
    <w:lvl w:ilvl="0" w:tentative="0">
      <w:start w:val="8"/>
      <w:numFmt w:val="decimal"/>
      <w:suff w:val="nothing"/>
      <w:lvlText w:val="%1、"/>
      <w:lvlJc w:val="left"/>
    </w:lvl>
  </w:abstractNum>
  <w:abstractNum w:abstractNumId="1">
    <w:nsid w:val="8760D4B6"/>
    <w:multiLevelType w:val="singleLevel"/>
    <w:tmpl w:val="8760D4B6"/>
    <w:lvl w:ilvl="0" w:tentative="0">
      <w:start w:val="1"/>
      <w:numFmt w:val="decimal"/>
      <w:lvlText w:val="%1."/>
      <w:lvlJc w:val="left"/>
      <w:pPr>
        <w:tabs>
          <w:tab w:val="left" w:pos="312"/>
        </w:tabs>
      </w:pPr>
    </w:lvl>
  </w:abstractNum>
  <w:abstractNum w:abstractNumId="2">
    <w:nsid w:val="888558DE"/>
    <w:multiLevelType w:val="singleLevel"/>
    <w:tmpl w:val="888558DE"/>
    <w:lvl w:ilvl="0" w:tentative="0">
      <w:start w:val="1"/>
      <w:numFmt w:val="chineseCounting"/>
      <w:suff w:val="nothing"/>
      <w:lvlText w:val="（%1）"/>
      <w:lvlJc w:val="left"/>
      <w:pPr>
        <w:ind w:left="0" w:firstLine="420"/>
      </w:pPr>
      <w:rPr>
        <w:rFonts w:hint="eastAsia"/>
      </w:rPr>
    </w:lvl>
  </w:abstractNum>
  <w:abstractNum w:abstractNumId="3">
    <w:nsid w:val="8B2F2D64"/>
    <w:multiLevelType w:val="singleLevel"/>
    <w:tmpl w:val="8B2F2D64"/>
    <w:lvl w:ilvl="0" w:tentative="0">
      <w:start w:val="1"/>
      <w:numFmt w:val="chineseCounting"/>
      <w:suff w:val="nothing"/>
      <w:lvlText w:val="（%1）"/>
      <w:lvlJc w:val="left"/>
      <w:pPr>
        <w:ind w:left="0" w:firstLine="420"/>
      </w:pPr>
      <w:rPr>
        <w:rFonts w:hint="eastAsia"/>
      </w:rPr>
    </w:lvl>
  </w:abstractNum>
  <w:abstractNum w:abstractNumId="4">
    <w:nsid w:val="8D42FB72"/>
    <w:multiLevelType w:val="singleLevel"/>
    <w:tmpl w:val="8D42FB72"/>
    <w:lvl w:ilvl="0" w:tentative="0">
      <w:start w:val="1"/>
      <w:numFmt w:val="decimal"/>
      <w:lvlText w:val="%1、"/>
      <w:lvlJc w:val="left"/>
      <w:pPr>
        <w:tabs>
          <w:tab w:val="left" w:pos="420"/>
        </w:tabs>
        <w:ind w:left="425" w:hanging="425"/>
      </w:pPr>
      <w:rPr>
        <w:rFonts w:hint="default"/>
      </w:rPr>
    </w:lvl>
  </w:abstractNum>
  <w:abstractNum w:abstractNumId="5">
    <w:nsid w:val="8D46220E"/>
    <w:multiLevelType w:val="singleLevel"/>
    <w:tmpl w:val="8D46220E"/>
    <w:lvl w:ilvl="0" w:tentative="0">
      <w:start w:val="1"/>
      <w:numFmt w:val="chineseCounting"/>
      <w:suff w:val="nothing"/>
      <w:lvlText w:val="（%1）"/>
      <w:lvlJc w:val="left"/>
      <w:pPr>
        <w:ind w:left="0" w:firstLine="420"/>
      </w:pPr>
      <w:rPr>
        <w:rFonts w:hint="eastAsia"/>
      </w:rPr>
    </w:lvl>
  </w:abstractNum>
  <w:abstractNum w:abstractNumId="6">
    <w:nsid w:val="96349E5C"/>
    <w:multiLevelType w:val="singleLevel"/>
    <w:tmpl w:val="96349E5C"/>
    <w:lvl w:ilvl="0" w:tentative="0">
      <w:start w:val="1"/>
      <w:numFmt w:val="chineseCounting"/>
      <w:suff w:val="nothing"/>
      <w:lvlText w:val="%1、"/>
      <w:lvlJc w:val="left"/>
      <w:pPr>
        <w:ind w:left="0" w:firstLine="420"/>
      </w:pPr>
      <w:rPr>
        <w:rFonts w:hint="eastAsia"/>
      </w:rPr>
    </w:lvl>
  </w:abstractNum>
  <w:abstractNum w:abstractNumId="7">
    <w:nsid w:val="971ED6FB"/>
    <w:multiLevelType w:val="singleLevel"/>
    <w:tmpl w:val="971ED6FB"/>
    <w:lvl w:ilvl="0" w:tentative="0">
      <w:start w:val="1"/>
      <w:numFmt w:val="chineseCounting"/>
      <w:suff w:val="nothing"/>
      <w:lvlText w:val="（%1）"/>
      <w:lvlJc w:val="left"/>
      <w:pPr>
        <w:ind w:left="0" w:firstLine="420"/>
      </w:pPr>
      <w:rPr>
        <w:rFonts w:hint="eastAsia"/>
      </w:rPr>
    </w:lvl>
  </w:abstractNum>
  <w:abstractNum w:abstractNumId="8">
    <w:nsid w:val="A1AD69F6"/>
    <w:multiLevelType w:val="multilevel"/>
    <w:tmpl w:val="A1AD69F6"/>
    <w:lvl w:ilvl="0" w:tentative="0">
      <w:start w:val="1"/>
      <w:numFmt w:val="decimal"/>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rPr>
    </w:lvl>
    <w:lvl w:ilvl="2" w:tentative="0">
      <w:start w:val="1"/>
      <w:numFmt w:val="decimal"/>
      <w:pStyle w:val="167"/>
      <w:lvlText w:val="%1.%2.%3"/>
      <w:lvlJc w:val="left"/>
      <w:pPr>
        <w:tabs>
          <w:tab w:val="left" w:pos="820"/>
        </w:tabs>
        <w:ind w:left="820" w:hanging="1000"/>
      </w:pPr>
      <w:rPr>
        <w:rFonts w:hint="eastAsia"/>
      </w:rPr>
    </w:lvl>
    <w:lvl w:ilvl="3" w:tentative="0">
      <w:start w:val="1"/>
      <w:numFmt w:val="decimal"/>
      <w:lvlText w:val="%1.%2.%3.%4"/>
      <w:lvlJc w:val="left"/>
      <w:pPr>
        <w:tabs>
          <w:tab w:val="left" w:pos="-180"/>
        </w:tabs>
        <w:ind w:left="1804" w:hanging="1984"/>
      </w:pPr>
      <w:rPr>
        <w:rFonts w:hint="eastAsia"/>
      </w:rPr>
    </w:lvl>
    <w:lvl w:ilvl="4" w:tentative="0">
      <w:start w:val="1"/>
      <w:numFmt w:val="decimal"/>
      <w:lvlText w:val="%1.%2.%3.%4.%5"/>
      <w:lvlJc w:val="left"/>
      <w:pPr>
        <w:tabs>
          <w:tab w:val="left" w:pos="2371"/>
        </w:tabs>
        <w:ind w:left="2371" w:hanging="850"/>
      </w:pPr>
      <w:rPr>
        <w:rFonts w:hint="eastAsia"/>
      </w:rPr>
    </w:lvl>
    <w:lvl w:ilvl="5" w:tentative="0">
      <w:start w:val="1"/>
      <w:numFmt w:val="decimal"/>
      <w:lvlText w:val="%1.%2.%3.%4.%5.%6"/>
      <w:lvlJc w:val="left"/>
      <w:pPr>
        <w:tabs>
          <w:tab w:val="left" w:pos="3080"/>
        </w:tabs>
        <w:ind w:left="3080" w:hanging="1134"/>
      </w:pPr>
      <w:rPr>
        <w:rFonts w:hint="eastAsia"/>
      </w:rPr>
    </w:lvl>
    <w:lvl w:ilvl="6" w:tentative="0">
      <w:start w:val="1"/>
      <w:numFmt w:val="decimal"/>
      <w:lvlText w:val="%1.%2.%3.%4.%5.%6.%7"/>
      <w:lvlJc w:val="left"/>
      <w:pPr>
        <w:tabs>
          <w:tab w:val="left" w:pos="3647"/>
        </w:tabs>
        <w:ind w:left="3647" w:hanging="1276"/>
      </w:pPr>
      <w:rPr>
        <w:rFonts w:hint="eastAsia"/>
      </w:rPr>
    </w:lvl>
    <w:lvl w:ilvl="7" w:tentative="0">
      <w:start w:val="1"/>
      <w:numFmt w:val="decimal"/>
      <w:lvlText w:val="%1.%2.%3.%4.%5.%6.%7.%8"/>
      <w:lvlJc w:val="left"/>
      <w:pPr>
        <w:tabs>
          <w:tab w:val="left" w:pos="4214"/>
        </w:tabs>
        <w:ind w:left="4214" w:hanging="1418"/>
      </w:pPr>
      <w:rPr>
        <w:rFonts w:hint="eastAsia"/>
      </w:rPr>
    </w:lvl>
    <w:lvl w:ilvl="8" w:tentative="0">
      <w:start w:val="1"/>
      <w:numFmt w:val="decimal"/>
      <w:lvlText w:val="%1.%2.%3.%4.%5.%6.%7.%8.%9"/>
      <w:lvlJc w:val="left"/>
      <w:pPr>
        <w:tabs>
          <w:tab w:val="left" w:pos="4922"/>
        </w:tabs>
        <w:ind w:left="4922" w:hanging="1700"/>
      </w:pPr>
      <w:rPr>
        <w:rFonts w:hint="eastAsia"/>
      </w:rPr>
    </w:lvl>
  </w:abstractNum>
  <w:abstractNum w:abstractNumId="9">
    <w:nsid w:val="A1F6E93D"/>
    <w:multiLevelType w:val="singleLevel"/>
    <w:tmpl w:val="A1F6E93D"/>
    <w:lvl w:ilvl="0" w:tentative="0">
      <w:start w:val="1"/>
      <w:numFmt w:val="bullet"/>
      <w:lvlText w:val=""/>
      <w:lvlJc w:val="left"/>
      <w:pPr>
        <w:tabs>
          <w:tab w:val="left" w:pos="0"/>
        </w:tabs>
        <w:ind w:left="0" w:firstLine="0"/>
      </w:pPr>
      <w:rPr>
        <w:rFonts w:hint="default" w:ascii="Wingdings" w:hAnsi="Wingdings"/>
      </w:rPr>
    </w:lvl>
  </w:abstractNum>
  <w:abstractNum w:abstractNumId="10">
    <w:nsid w:val="B923B87B"/>
    <w:multiLevelType w:val="singleLevel"/>
    <w:tmpl w:val="B923B87B"/>
    <w:lvl w:ilvl="0" w:tentative="0">
      <w:start w:val="1"/>
      <w:numFmt w:val="decimal"/>
      <w:lvlText w:val="(%1)"/>
      <w:lvlJc w:val="left"/>
      <w:pPr>
        <w:tabs>
          <w:tab w:val="left" w:pos="312"/>
        </w:tabs>
      </w:pPr>
    </w:lvl>
  </w:abstractNum>
  <w:abstractNum w:abstractNumId="11">
    <w:nsid w:val="C0753BDF"/>
    <w:multiLevelType w:val="singleLevel"/>
    <w:tmpl w:val="C0753BDF"/>
    <w:lvl w:ilvl="0" w:tentative="0">
      <w:start w:val="1"/>
      <w:numFmt w:val="chineseCounting"/>
      <w:suff w:val="nothing"/>
      <w:lvlText w:val="（%1）"/>
      <w:lvlJc w:val="left"/>
      <w:pPr>
        <w:ind w:left="0" w:firstLine="420"/>
      </w:pPr>
      <w:rPr>
        <w:rFonts w:hint="eastAsia"/>
      </w:rPr>
    </w:lvl>
  </w:abstractNum>
  <w:abstractNum w:abstractNumId="12">
    <w:nsid w:val="CEE1E884"/>
    <w:multiLevelType w:val="singleLevel"/>
    <w:tmpl w:val="CEE1E884"/>
    <w:lvl w:ilvl="0" w:tentative="0">
      <w:start w:val="1"/>
      <w:numFmt w:val="chineseCounting"/>
      <w:suff w:val="nothing"/>
      <w:lvlText w:val="（%1）"/>
      <w:lvlJc w:val="left"/>
      <w:pPr>
        <w:ind w:left="0" w:firstLine="420"/>
      </w:pPr>
      <w:rPr>
        <w:rFonts w:hint="eastAsia"/>
      </w:rPr>
    </w:lvl>
  </w:abstractNum>
  <w:abstractNum w:abstractNumId="13">
    <w:nsid w:val="D083303F"/>
    <w:multiLevelType w:val="singleLevel"/>
    <w:tmpl w:val="D083303F"/>
    <w:lvl w:ilvl="0" w:tentative="0">
      <w:start w:val="1"/>
      <w:numFmt w:val="decimal"/>
      <w:suff w:val="nothing"/>
      <w:lvlText w:val="%1、"/>
      <w:lvlJc w:val="left"/>
    </w:lvl>
  </w:abstractNum>
  <w:abstractNum w:abstractNumId="14">
    <w:nsid w:val="D2ACC3C3"/>
    <w:multiLevelType w:val="singleLevel"/>
    <w:tmpl w:val="D2ACC3C3"/>
    <w:lvl w:ilvl="0" w:tentative="0">
      <w:start w:val="1"/>
      <w:numFmt w:val="decimal"/>
      <w:lvlText w:val="(%1)"/>
      <w:lvlJc w:val="left"/>
      <w:pPr>
        <w:tabs>
          <w:tab w:val="left" w:pos="312"/>
        </w:tabs>
      </w:pPr>
    </w:lvl>
  </w:abstractNum>
  <w:abstractNum w:abstractNumId="15">
    <w:nsid w:val="D79BAF09"/>
    <w:multiLevelType w:val="singleLevel"/>
    <w:tmpl w:val="D79BAF09"/>
    <w:lvl w:ilvl="0" w:tentative="0">
      <w:start w:val="1"/>
      <w:numFmt w:val="chineseCounting"/>
      <w:suff w:val="nothing"/>
      <w:lvlText w:val="%1、"/>
      <w:lvlJc w:val="left"/>
      <w:pPr>
        <w:ind w:left="0" w:firstLine="420"/>
      </w:pPr>
      <w:rPr>
        <w:rFonts w:hint="eastAsia"/>
      </w:rPr>
    </w:lvl>
  </w:abstractNum>
  <w:abstractNum w:abstractNumId="16">
    <w:nsid w:val="E199132B"/>
    <w:multiLevelType w:val="singleLevel"/>
    <w:tmpl w:val="E199132B"/>
    <w:lvl w:ilvl="0" w:tentative="0">
      <w:start w:val="1"/>
      <w:numFmt w:val="chineseCounting"/>
      <w:suff w:val="nothing"/>
      <w:lvlText w:val="%1、"/>
      <w:lvlJc w:val="left"/>
      <w:pPr>
        <w:ind w:left="0" w:firstLine="420"/>
      </w:pPr>
      <w:rPr>
        <w:rFonts w:hint="eastAsia"/>
      </w:rPr>
    </w:lvl>
  </w:abstractNum>
  <w:abstractNum w:abstractNumId="17">
    <w:nsid w:val="E28478A1"/>
    <w:multiLevelType w:val="singleLevel"/>
    <w:tmpl w:val="E28478A1"/>
    <w:lvl w:ilvl="0" w:tentative="0">
      <w:start w:val="1"/>
      <w:numFmt w:val="chineseCounting"/>
      <w:suff w:val="nothing"/>
      <w:lvlText w:val="%1、"/>
      <w:lvlJc w:val="left"/>
      <w:pPr>
        <w:ind w:left="0" w:firstLine="420"/>
      </w:pPr>
      <w:rPr>
        <w:rFonts w:hint="eastAsia"/>
      </w:rPr>
    </w:lvl>
  </w:abstractNum>
  <w:abstractNum w:abstractNumId="18">
    <w:nsid w:val="EF45F28A"/>
    <w:multiLevelType w:val="singleLevel"/>
    <w:tmpl w:val="EF45F28A"/>
    <w:lvl w:ilvl="0" w:tentative="0">
      <w:start w:val="1"/>
      <w:numFmt w:val="bullet"/>
      <w:lvlText w:val=""/>
      <w:lvlJc w:val="left"/>
      <w:pPr>
        <w:tabs>
          <w:tab w:val="left" w:pos="0"/>
        </w:tabs>
        <w:ind w:left="0" w:firstLine="0"/>
      </w:pPr>
      <w:rPr>
        <w:rFonts w:hint="default" w:ascii="Wingdings" w:hAnsi="Wingdings"/>
      </w:rPr>
    </w:lvl>
  </w:abstractNum>
  <w:abstractNum w:abstractNumId="19">
    <w:nsid w:val="FD15F7E7"/>
    <w:multiLevelType w:val="singleLevel"/>
    <w:tmpl w:val="FD15F7E7"/>
    <w:lvl w:ilvl="0" w:tentative="0">
      <w:start w:val="1"/>
      <w:numFmt w:val="decimal"/>
      <w:suff w:val="nothing"/>
      <w:lvlText w:val="%1、"/>
      <w:lvlJc w:val="left"/>
    </w:lvl>
  </w:abstractNum>
  <w:abstractNum w:abstractNumId="20">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400"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1696" w:hanging="420"/>
      </w:pPr>
      <w:rPr>
        <w:rFonts w:hint="eastAsia"/>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9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91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25">
    <w:nsid w:val="0000003E"/>
    <w:multiLevelType w:val="multilevel"/>
    <w:tmpl w:val="0000003E"/>
    <w:lvl w:ilvl="0" w:tentative="0">
      <w:start w:val="1"/>
      <w:numFmt w:val="chineseCountingThousand"/>
      <w:suff w:val="nothing"/>
      <w:lvlText w:val="%1、"/>
      <w:lvlJc w:val="left"/>
      <w:pPr>
        <w:ind w:left="1554" w:hanging="420"/>
      </w:pPr>
      <w:rPr>
        <w:rFonts w:hint="eastAsia"/>
        <w:b/>
        <w:lang w:val="en-US"/>
      </w:rPr>
    </w:lvl>
    <w:lvl w:ilvl="1" w:tentative="0">
      <w:start w:val="1"/>
      <w:numFmt w:val="decimal"/>
      <w:lvlText w:val="%2、"/>
      <w:lvlJc w:val="left"/>
      <w:pPr>
        <w:ind w:left="1693" w:hanging="1125"/>
      </w:pPr>
      <w:rPr>
        <w:rFonts w:hint="default"/>
      </w:r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26">
    <w:nsid w:val="0BA9EE20"/>
    <w:multiLevelType w:val="singleLevel"/>
    <w:tmpl w:val="0BA9EE20"/>
    <w:lvl w:ilvl="0" w:tentative="0">
      <w:start w:val="1"/>
      <w:numFmt w:val="chineseCounting"/>
      <w:suff w:val="nothing"/>
      <w:lvlText w:val="%1、"/>
      <w:lvlJc w:val="left"/>
      <w:pPr>
        <w:ind w:left="0" w:firstLine="420"/>
      </w:pPr>
      <w:rPr>
        <w:rFonts w:hint="eastAsia"/>
      </w:rPr>
    </w:lvl>
  </w:abstractNum>
  <w:abstractNum w:abstractNumId="27">
    <w:nsid w:val="0D9D3C10"/>
    <w:multiLevelType w:val="singleLevel"/>
    <w:tmpl w:val="0D9D3C10"/>
    <w:lvl w:ilvl="0" w:tentative="0">
      <w:start w:val="1"/>
      <w:numFmt w:val="chineseCounting"/>
      <w:suff w:val="nothing"/>
      <w:lvlText w:val="（%1）"/>
      <w:lvlJc w:val="left"/>
      <w:pPr>
        <w:ind w:left="0" w:firstLine="420"/>
      </w:pPr>
      <w:rPr>
        <w:rFonts w:hint="eastAsia"/>
      </w:rPr>
    </w:lvl>
  </w:abstractNum>
  <w:abstractNum w:abstractNumId="28">
    <w:nsid w:val="1517B247"/>
    <w:multiLevelType w:val="singleLevel"/>
    <w:tmpl w:val="1517B247"/>
    <w:lvl w:ilvl="0" w:tentative="0">
      <w:start w:val="3"/>
      <w:numFmt w:val="decimal"/>
      <w:lvlText w:val="%1."/>
      <w:lvlJc w:val="left"/>
      <w:pPr>
        <w:tabs>
          <w:tab w:val="left" w:pos="312"/>
        </w:tabs>
      </w:pPr>
    </w:lvl>
  </w:abstractNum>
  <w:abstractNum w:abstractNumId="29">
    <w:nsid w:val="1D86E7CC"/>
    <w:multiLevelType w:val="singleLevel"/>
    <w:tmpl w:val="1D86E7CC"/>
    <w:lvl w:ilvl="0" w:tentative="0">
      <w:start w:val="1"/>
      <w:numFmt w:val="bullet"/>
      <w:lvlText w:val=""/>
      <w:lvlJc w:val="left"/>
      <w:pPr>
        <w:tabs>
          <w:tab w:val="left" w:pos="0"/>
        </w:tabs>
        <w:ind w:left="0" w:firstLine="0"/>
      </w:pPr>
      <w:rPr>
        <w:rFonts w:hint="default" w:ascii="Wingdings" w:hAnsi="Wingdings"/>
      </w:rPr>
    </w:lvl>
  </w:abstractNum>
  <w:abstractNum w:abstractNumId="30">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33">
    <w:nsid w:val="2ED84FEA"/>
    <w:multiLevelType w:val="singleLevel"/>
    <w:tmpl w:val="2ED84FEA"/>
    <w:lvl w:ilvl="0" w:tentative="0">
      <w:start w:val="1"/>
      <w:numFmt w:val="bullet"/>
      <w:lvlText w:val=""/>
      <w:lvlJc w:val="left"/>
      <w:pPr>
        <w:ind w:left="420" w:hanging="420"/>
      </w:pPr>
      <w:rPr>
        <w:rFonts w:hint="default" w:ascii="Wingdings" w:hAnsi="Wingdings"/>
      </w:rPr>
    </w:lvl>
  </w:abstractNum>
  <w:abstractNum w:abstractNumId="34">
    <w:nsid w:val="36FE956F"/>
    <w:multiLevelType w:val="singleLevel"/>
    <w:tmpl w:val="36FE956F"/>
    <w:lvl w:ilvl="0" w:tentative="0">
      <w:start w:val="1"/>
      <w:numFmt w:val="chineseCounting"/>
      <w:suff w:val="nothing"/>
      <w:lvlText w:val="（%1）"/>
      <w:lvlJc w:val="left"/>
      <w:pPr>
        <w:ind w:left="0" w:firstLine="420"/>
      </w:pPr>
      <w:rPr>
        <w:rFonts w:hint="eastAsia"/>
      </w:rPr>
    </w:lvl>
  </w:abstractNum>
  <w:abstractNum w:abstractNumId="35">
    <w:nsid w:val="3996FCCF"/>
    <w:multiLevelType w:val="singleLevel"/>
    <w:tmpl w:val="3996FCCF"/>
    <w:lvl w:ilvl="0" w:tentative="0">
      <w:start w:val="1"/>
      <w:numFmt w:val="chineseCounting"/>
      <w:suff w:val="nothing"/>
      <w:lvlText w:val="%1、"/>
      <w:lvlJc w:val="left"/>
      <w:pPr>
        <w:ind w:left="0" w:firstLine="420"/>
      </w:pPr>
      <w:rPr>
        <w:rFonts w:hint="eastAsia"/>
      </w:rPr>
    </w:lvl>
  </w:abstractNum>
  <w:abstractNum w:abstractNumId="3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7">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4DF32CC4"/>
    <w:multiLevelType w:val="singleLevel"/>
    <w:tmpl w:val="4DF32CC4"/>
    <w:lvl w:ilvl="0" w:tentative="0">
      <w:start w:val="1"/>
      <w:numFmt w:val="chineseCounting"/>
      <w:suff w:val="nothing"/>
      <w:lvlText w:val="（%1）"/>
      <w:lvlJc w:val="left"/>
      <w:pPr>
        <w:ind w:left="0" w:firstLine="420"/>
      </w:pPr>
      <w:rPr>
        <w:rFonts w:hint="eastAsia"/>
      </w:rPr>
    </w:lvl>
  </w:abstractNum>
  <w:abstractNum w:abstractNumId="39">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5284A7AE"/>
    <w:multiLevelType w:val="singleLevel"/>
    <w:tmpl w:val="5284A7AE"/>
    <w:lvl w:ilvl="0" w:tentative="0">
      <w:start w:val="1"/>
      <w:numFmt w:val="chineseCounting"/>
      <w:suff w:val="nothing"/>
      <w:lvlText w:val="（%1）"/>
      <w:lvlJc w:val="left"/>
      <w:pPr>
        <w:ind w:left="0" w:firstLine="420"/>
      </w:pPr>
      <w:rPr>
        <w:rFonts w:hint="eastAsia"/>
      </w:rPr>
    </w:lvl>
  </w:abstractNum>
  <w:abstractNum w:abstractNumId="41">
    <w:nsid w:val="53FE3214"/>
    <w:multiLevelType w:val="singleLevel"/>
    <w:tmpl w:val="53FE3214"/>
    <w:lvl w:ilvl="0" w:tentative="0">
      <w:start w:val="1"/>
      <w:numFmt w:val="chineseCounting"/>
      <w:suff w:val="nothing"/>
      <w:lvlText w:val="%1、"/>
      <w:lvlJc w:val="left"/>
      <w:pPr>
        <w:ind w:left="0" w:firstLine="420"/>
      </w:pPr>
      <w:rPr>
        <w:rFonts w:hint="eastAsia"/>
      </w:rPr>
    </w:lvl>
  </w:abstractNum>
  <w:abstractNum w:abstractNumId="42">
    <w:nsid w:val="58DDE819"/>
    <w:multiLevelType w:val="singleLevel"/>
    <w:tmpl w:val="58DDE819"/>
    <w:lvl w:ilvl="0" w:tentative="0">
      <w:start w:val="1"/>
      <w:numFmt w:val="chineseCounting"/>
      <w:suff w:val="nothing"/>
      <w:lvlText w:val="（%1）"/>
      <w:lvlJc w:val="left"/>
      <w:pPr>
        <w:ind w:left="0" w:firstLine="420"/>
      </w:pPr>
      <w:rPr>
        <w:rFonts w:hint="eastAsia"/>
      </w:rPr>
    </w:lvl>
  </w:abstractNum>
  <w:abstractNum w:abstractNumId="43">
    <w:nsid w:val="58DDF6CD"/>
    <w:multiLevelType w:val="singleLevel"/>
    <w:tmpl w:val="58DDF6CD"/>
    <w:lvl w:ilvl="0" w:tentative="0">
      <w:start w:val="1"/>
      <w:numFmt w:val="chineseCounting"/>
      <w:suff w:val="nothing"/>
      <w:lvlText w:val="%1、"/>
      <w:lvlJc w:val="left"/>
      <w:pPr>
        <w:ind w:left="0" w:firstLine="420"/>
      </w:pPr>
      <w:rPr>
        <w:rFonts w:hint="eastAsia"/>
      </w:rPr>
    </w:lvl>
  </w:abstractNum>
  <w:abstractNum w:abstractNumId="44">
    <w:nsid w:val="59DEF6EB"/>
    <w:multiLevelType w:val="singleLevel"/>
    <w:tmpl w:val="59DEF6EB"/>
    <w:lvl w:ilvl="0" w:tentative="0">
      <w:start w:val="1"/>
      <w:numFmt w:val="chineseCounting"/>
      <w:suff w:val="nothing"/>
      <w:lvlText w:val="%1、"/>
      <w:lvlJc w:val="left"/>
    </w:lvl>
  </w:abstractNum>
  <w:abstractNum w:abstractNumId="45">
    <w:nsid w:val="59DF2960"/>
    <w:multiLevelType w:val="singleLevel"/>
    <w:tmpl w:val="59DF2960"/>
    <w:lvl w:ilvl="0" w:tentative="0">
      <w:start w:val="1"/>
      <w:numFmt w:val="chineseCounting"/>
      <w:suff w:val="nothing"/>
      <w:lvlText w:val="（%1）"/>
      <w:lvlJc w:val="left"/>
      <w:pPr>
        <w:ind w:left="0" w:firstLine="420"/>
      </w:pPr>
      <w:rPr>
        <w:rFonts w:hint="eastAsia"/>
      </w:rPr>
    </w:lvl>
  </w:abstractNum>
  <w:abstractNum w:abstractNumId="46">
    <w:nsid w:val="59DF297E"/>
    <w:multiLevelType w:val="singleLevel"/>
    <w:tmpl w:val="59DF297E"/>
    <w:lvl w:ilvl="0" w:tentative="0">
      <w:start w:val="1"/>
      <w:numFmt w:val="chineseCounting"/>
      <w:suff w:val="nothing"/>
      <w:lvlText w:val="（%1）"/>
      <w:lvlJc w:val="left"/>
      <w:pPr>
        <w:ind w:left="0" w:firstLine="420"/>
      </w:pPr>
      <w:rPr>
        <w:rFonts w:hint="eastAsia"/>
      </w:rPr>
    </w:lvl>
  </w:abstractNum>
  <w:abstractNum w:abstractNumId="47">
    <w:nsid w:val="5A1BC085"/>
    <w:multiLevelType w:val="singleLevel"/>
    <w:tmpl w:val="5A1BC085"/>
    <w:lvl w:ilvl="0" w:tentative="0">
      <w:start w:val="1"/>
      <w:numFmt w:val="chineseCounting"/>
      <w:suff w:val="nothing"/>
      <w:lvlText w:val="%1、"/>
      <w:lvlJc w:val="left"/>
      <w:pPr>
        <w:ind w:left="0" w:firstLine="420"/>
      </w:pPr>
      <w:rPr>
        <w:rFonts w:hint="eastAsia"/>
      </w:rPr>
    </w:lvl>
  </w:abstractNum>
  <w:abstractNum w:abstractNumId="48">
    <w:nsid w:val="5A1BC096"/>
    <w:multiLevelType w:val="singleLevel"/>
    <w:tmpl w:val="5A1BC096"/>
    <w:lvl w:ilvl="0" w:tentative="0">
      <w:start w:val="1"/>
      <w:numFmt w:val="chineseCounting"/>
      <w:suff w:val="nothing"/>
      <w:lvlText w:val="%1、"/>
      <w:lvlJc w:val="left"/>
      <w:pPr>
        <w:ind w:left="0" w:firstLine="420"/>
      </w:pPr>
      <w:rPr>
        <w:rFonts w:hint="eastAsia"/>
      </w:rPr>
    </w:lvl>
  </w:abstractNum>
  <w:abstractNum w:abstractNumId="49">
    <w:nsid w:val="5A1BC0C9"/>
    <w:multiLevelType w:val="singleLevel"/>
    <w:tmpl w:val="5A1BC0C9"/>
    <w:lvl w:ilvl="0" w:tentative="0">
      <w:start w:val="1"/>
      <w:numFmt w:val="chineseCounting"/>
      <w:suff w:val="nothing"/>
      <w:lvlText w:val="%1、"/>
      <w:lvlJc w:val="left"/>
      <w:pPr>
        <w:ind w:left="0" w:firstLine="420"/>
      </w:pPr>
      <w:rPr>
        <w:rFonts w:hint="eastAsia"/>
      </w:rPr>
    </w:lvl>
  </w:abstractNum>
  <w:abstractNum w:abstractNumId="50">
    <w:nsid w:val="5A1BC0DF"/>
    <w:multiLevelType w:val="singleLevel"/>
    <w:tmpl w:val="5A1BC0DF"/>
    <w:lvl w:ilvl="0" w:tentative="0">
      <w:start w:val="1"/>
      <w:numFmt w:val="chineseCounting"/>
      <w:suff w:val="nothing"/>
      <w:lvlText w:val="%1、"/>
      <w:lvlJc w:val="left"/>
      <w:pPr>
        <w:ind w:left="0" w:firstLine="420"/>
      </w:pPr>
      <w:rPr>
        <w:rFonts w:hint="eastAsia"/>
      </w:rPr>
    </w:lvl>
  </w:abstractNum>
  <w:abstractNum w:abstractNumId="51">
    <w:nsid w:val="5A1BC104"/>
    <w:multiLevelType w:val="singleLevel"/>
    <w:tmpl w:val="5A1BC104"/>
    <w:lvl w:ilvl="0" w:tentative="0">
      <w:start w:val="1"/>
      <w:numFmt w:val="chineseCounting"/>
      <w:suff w:val="nothing"/>
      <w:lvlText w:val="%1、"/>
      <w:lvlJc w:val="left"/>
      <w:pPr>
        <w:ind w:left="0" w:firstLine="420"/>
      </w:pPr>
      <w:rPr>
        <w:rFonts w:hint="eastAsia"/>
      </w:rPr>
    </w:lvl>
  </w:abstractNum>
  <w:abstractNum w:abstractNumId="52">
    <w:nsid w:val="5A1BC12D"/>
    <w:multiLevelType w:val="singleLevel"/>
    <w:tmpl w:val="5A1BC12D"/>
    <w:lvl w:ilvl="0" w:tentative="0">
      <w:start w:val="1"/>
      <w:numFmt w:val="chineseCounting"/>
      <w:suff w:val="nothing"/>
      <w:lvlText w:val="%1、"/>
      <w:lvlJc w:val="left"/>
      <w:pPr>
        <w:ind w:left="0" w:firstLine="420"/>
      </w:pPr>
      <w:rPr>
        <w:rFonts w:hint="eastAsia"/>
      </w:rPr>
    </w:lvl>
  </w:abstractNum>
  <w:abstractNum w:abstractNumId="53">
    <w:nsid w:val="5A1BCDD6"/>
    <w:multiLevelType w:val="singleLevel"/>
    <w:tmpl w:val="5A1BCDD6"/>
    <w:lvl w:ilvl="0" w:tentative="0">
      <w:start w:val="1"/>
      <w:numFmt w:val="chineseCounting"/>
      <w:suff w:val="nothing"/>
      <w:lvlText w:val="%1、"/>
      <w:lvlJc w:val="left"/>
      <w:pPr>
        <w:ind w:left="216" w:firstLine="420"/>
      </w:pPr>
      <w:rPr>
        <w:rFonts w:hint="eastAsia"/>
      </w:rPr>
    </w:lvl>
  </w:abstractNum>
  <w:abstractNum w:abstractNumId="54">
    <w:nsid w:val="5A1BCF2F"/>
    <w:multiLevelType w:val="singleLevel"/>
    <w:tmpl w:val="5A1BCF2F"/>
    <w:lvl w:ilvl="0" w:tentative="0">
      <w:start w:val="1"/>
      <w:numFmt w:val="chineseCounting"/>
      <w:suff w:val="nothing"/>
      <w:lvlText w:val="%1、"/>
      <w:lvlJc w:val="left"/>
      <w:pPr>
        <w:ind w:left="0" w:firstLine="420"/>
      </w:pPr>
      <w:rPr>
        <w:rFonts w:hint="eastAsia"/>
      </w:rPr>
    </w:lvl>
  </w:abstractNum>
  <w:abstractNum w:abstractNumId="55">
    <w:nsid w:val="5A1CF407"/>
    <w:multiLevelType w:val="singleLevel"/>
    <w:tmpl w:val="5A1CF407"/>
    <w:lvl w:ilvl="0" w:tentative="0">
      <w:start w:val="1"/>
      <w:numFmt w:val="chineseCounting"/>
      <w:suff w:val="nothing"/>
      <w:lvlText w:val="（%1）"/>
      <w:lvlJc w:val="left"/>
      <w:pPr>
        <w:ind w:left="0" w:firstLine="420"/>
      </w:pPr>
      <w:rPr>
        <w:rFonts w:hint="eastAsia"/>
      </w:rPr>
    </w:lvl>
  </w:abstractNum>
  <w:abstractNum w:abstractNumId="56">
    <w:nsid w:val="5A1CF43F"/>
    <w:multiLevelType w:val="singleLevel"/>
    <w:tmpl w:val="5A1CF43F"/>
    <w:lvl w:ilvl="0" w:tentative="0">
      <w:start w:val="1"/>
      <w:numFmt w:val="chineseCounting"/>
      <w:suff w:val="nothing"/>
      <w:lvlText w:val="%1、"/>
      <w:lvlJc w:val="left"/>
      <w:pPr>
        <w:ind w:left="0" w:firstLine="420"/>
      </w:pPr>
      <w:rPr>
        <w:rFonts w:hint="eastAsia"/>
      </w:rPr>
    </w:lvl>
  </w:abstractNum>
  <w:abstractNum w:abstractNumId="57">
    <w:nsid w:val="5A1CF847"/>
    <w:multiLevelType w:val="singleLevel"/>
    <w:tmpl w:val="5A1CF847"/>
    <w:lvl w:ilvl="0" w:tentative="0">
      <w:start w:val="1"/>
      <w:numFmt w:val="chineseCounting"/>
      <w:suff w:val="nothing"/>
      <w:lvlText w:val="%1、"/>
      <w:lvlJc w:val="left"/>
      <w:pPr>
        <w:ind w:left="0" w:firstLine="420"/>
      </w:pPr>
      <w:rPr>
        <w:rFonts w:hint="eastAsia"/>
      </w:rPr>
    </w:lvl>
  </w:abstractNum>
  <w:abstractNum w:abstractNumId="58">
    <w:nsid w:val="5A1CFC04"/>
    <w:multiLevelType w:val="singleLevel"/>
    <w:tmpl w:val="5A1CFC04"/>
    <w:lvl w:ilvl="0" w:tentative="0">
      <w:start w:val="1"/>
      <w:numFmt w:val="chineseCounting"/>
      <w:suff w:val="nothing"/>
      <w:lvlText w:val="%1、"/>
      <w:lvlJc w:val="left"/>
      <w:pPr>
        <w:ind w:left="0" w:firstLine="420"/>
      </w:pPr>
      <w:rPr>
        <w:rFonts w:hint="eastAsia"/>
      </w:rPr>
    </w:lvl>
  </w:abstractNum>
  <w:abstractNum w:abstractNumId="59">
    <w:nsid w:val="5A1D0417"/>
    <w:multiLevelType w:val="singleLevel"/>
    <w:tmpl w:val="5A1D0417"/>
    <w:lvl w:ilvl="0" w:tentative="0">
      <w:start w:val="1"/>
      <w:numFmt w:val="chineseCounting"/>
      <w:suff w:val="nothing"/>
      <w:lvlText w:val="%1、"/>
      <w:lvlJc w:val="left"/>
      <w:pPr>
        <w:ind w:left="0" w:firstLine="420"/>
      </w:pPr>
      <w:rPr>
        <w:rFonts w:hint="eastAsia"/>
      </w:rPr>
    </w:lvl>
  </w:abstractNum>
  <w:abstractNum w:abstractNumId="60">
    <w:nsid w:val="5A24ED4D"/>
    <w:multiLevelType w:val="singleLevel"/>
    <w:tmpl w:val="5A24ED4D"/>
    <w:lvl w:ilvl="0" w:tentative="0">
      <w:start w:val="1"/>
      <w:numFmt w:val="chineseCounting"/>
      <w:suff w:val="nothing"/>
      <w:lvlText w:val="%1、"/>
      <w:lvlJc w:val="left"/>
      <w:pPr>
        <w:ind w:left="0" w:firstLine="420"/>
      </w:pPr>
      <w:rPr>
        <w:rFonts w:hint="eastAsia"/>
      </w:rPr>
    </w:lvl>
  </w:abstractNum>
  <w:abstractNum w:abstractNumId="61">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62">
    <w:nsid w:val="5A24ED80"/>
    <w:multiLevelType w:val="singleLevel"/>
    <w:tmpl w:val="5A24ED80"/>
    <w:lvl w:ilvl="0" w:tentative="0">
      <w:start w:val="1"/>
      <w:numFmt w:val="chineseCounting"/>
      <w:suff w:val="nothing"/>
      <w:lvlText w:val="%1、"/>
      <w:lvlJc w:val="left"/>
      <w:pPr>
        <w:ind w:left="0" w:firstLine="420"/>
      </w:pPr>
      <w:rPr>
        <w:rFonts w:hint="eastAsia"/>
      </w:rPr>
    </w:lvl>
  </w:abstractNum>
  <w:abstractNum w:abstractNumId="63">
    <w:nsid w:val="5A24ED8E"/>
    <w:multiLevelType w:val="singleLevel"/>
    <w:tmpl w:val="5A24ED8E"/>
    <w:lvl w:ilvl="0" w:tentative="0">
      <w:start w:val="1"/>
      <w:numFmt w:val="chineseCounting"/>
      <w:suff w:val="nothing"/>
      <w:lvlText w:val="%1、"/>
      <w:lvlJc w:val="left"/>
      <w:pPr>
        <w:ind w:left="0" w:firstLine="420"/>
      </w:pPr>
      <w:rPr>
        <w:rFonts w:hint="eastAsia"/>
      </w:rPr>
    </w:lvl>
  </w:abstractNum>
  <w:abstractNum w:abstractNumId="64">
    <w:nsid w:val="5A24EE1D"/>
    <w:multiLevelType w:val="singleLevel"/>
    <w:tmpl w:val="5A24EE1D"/>
    <w:lvl w:ilvl="0" w:tentative="0">
      <w:start w:val="1"/>
      <w:numFmt w:val="chineseCounting"/>
      <w:suff w:val="nothing"/>
      <w:lvlText w:val="%1、"/>
      <w:lvlJc w:val="left"/>
      <w:pPr>
        <w:ind w:left="0" w:firstLine="420"/>
      </w:pPr>
      <w:rPr>
        <w:rFonts w:hint="eastAsia"/>
      </w:rPr>
    </w:lvl>
  </w:abstractNum>
  <w:abstractNum w:abstractNumId="65">
    <w:nsid w:val="5A24EE2D"/>
    <w:multiLevelType w:val="singleLevel"/>
    <w:tmpl w:val="5A24EE2D"/>
    <w:lvl w:ilvl="0" w:tentative="0">
      <w:start w:val="1"/>
      <w:numFmt w:val="chineseCounting"/>
      <w:suff w:val="nothing"/>
      <w:lvlText w:val="%1、"/>
      <w:lvlJc w:val="left"/>
      <w:pPr>
        <w:ind w:left="0" w:firstLine="420"/>
      </w:pPr>
      <w:rPr>
        <w:rFonts w:hint="eastAsia"/>
      </w:rPr>
    </w:lvl>
  </w:abstractNum>
  <w:abstractNum w:abstractNumId="66">
    <w:nsid w:val="5A24EE3F"/>
    <w:multiLevelType w:val="singleLevel"/>
    <w:tmpl w:val="5A24EE3F"/>
    <w:lvl w:ilvl="0" w:tentative="0">
      <w:start w:val="1"/>
      <w:numFmt w:val="chineseCounting"/>
      <w:suff w:val="nothing"/>
      <w:lvlText w:val="%1、"/>
      <w:lvlJc w:val="left"/>
      <w:pPr>
        <w:ind w:left="0" w:firstLine="420"/>
      </w:pPr>
      <w:rPr>
        <w:rFonts w:hint="eastAsia"/>
      </w:rPr>
    </w:lvl>
  </w:abstractNum>
  <w:abstractNum w:abstractNumId="67">
    <w:nsid w:val="5A24EE53"/>
    <w:multiLevelType w:val="singleLevel"/>
    <w:tmpl w:val="5A24EE53"/>
    <w:lvl w:ilvl="0" w:tentative="0">
      <w:start w:val="1"/>
      <w:numFmt w:val="chineseCounting"/>
      <w:suff w:val="nothing"/>
      <w:lvlText w:val="（%1）"/>
      <w:lvlJc w:val="left"/>
      <w:pPr>
        <w:ind w:left="0" w:firstLine="420"/>
      </w:pPr>
      <w:rPr>
        <w:rFonts w:hint="eastAsia"/>
      </w:rPr>
    </w:lvl>
  </w:abstractNum>
  <w:abstractNum w:abstractNumId="68">
    <w:nsid w:val="5A24EE76"/>
    <w:multiLevelType w:val="singleLevel"/>
    <w:tmpl w:val="5A24EE76"/>
    <w:lvl w:ilvl="0" w:tentative="0">
      <w:start w:val="1"/>
      <w:numFmt w:val="chineseCounting"/>
      <w:suff w:val="nothing"/>
      <w:lvlText w:val="%1、"/>
      <w:lvlJc w:val="left"/>
      <w:pPr>
        <w:ind w:left="0" w:firstLine="420"/>
      </w:pPr>
      <w:rPr>
        <w:rFonts w:hint="eastAsia"/>
      </w:rPr>
    </w:lvl>
  </w:abstractNum>
  <w:abstractNum w:abstractNumId="69">
    <w:nsid w:val="5D67FCC5"/>
    <w:multiLevelType w:val="singleLevel"/>
    <w:tmpl w:val="5D67FCC5"/>
    <w:lvl w:ilvl="0" w:tentative="0">
      <w:start w:val="1"/>
      <w:numFmt w:val="chineseCounting"/>
      <w:suff w:val="nothing"/>
      <w:lvlText w:val="（%1）"/>
      <w:lvlJc w:val="left"/>
      <w:pPr>
        <w:ind w:left="0" w:firstLine="420"/>
      </w:pPr>
      <w:rPr>
        <w:rFonts w:hint="eastAsia"/>
      </w:rPr>
    </w:lvl>
  </w:abstractNum>
  <w:abstractNum w:abstractNumId="70">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71">
    <w:nsid w:val="64F2831D"/>
    <w:multiLevelType w:val="singleLevel"/>
    <w:tmpl w:val="64F2831D"/>
    <w:lvl w:ilvl="0" w:tentative="0">
      <w:start w:val="1"/>
      <w:numFmt w:val="decimal"/>
      <w:lvlText w:val="%1、"/>
      <w:lvlJc w:val="left"/>
      <w:pPr>
        <w:tabs>
          <w:tab w:val="left" w:pos="420"/>
        </w:tabs>
        <w:ind w:left="425" w:hanging="425"/>
      </w:pPr>
      <w:rPr>
        <w:rFonts w:hint="default"/>
      </w:rPr>
    </w:lvl>
  </w:abstractNum>
  <w:abstractNum w:abstractNumId="72">
    <w:nsid w:val="6A838062"/>
    <w:multiLevelType w:val="singleLevel"/>
    <w:tmpl w:val="6A838062"/>
    <w:lvl w:ilvl="0" w:tentative="0">
      <w:start w:val="1"/>
      <w:numFmt w:val="chineseCounting"/>
      <w:suff w:val="nothing"/>
      <w:lvlText w:val="（%1）"/>
      <w:lvlJc w:val="left"/>
      <w:pPr>
        <w:ind w:left="0" w:firstLine="420"/>
      </w:pPr>
      <w:rPr>
        <w:rFonts w:hint="eastAsia"/>
      </w:rPr>
    </w:lvl>
  </w:abstractNum>
  <w:abstractNum w:abstractNumId="73">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num w:numId="1">
    <w:abstractNumId w:val="24"/>
  </w:num>
  <w:num w:numId="2">
    <w:abstractNumId w:val="36"/>
  </w:num>
  <w:num w:numId="3">
    <w:abstractNumId w:val="8"/>
  </w:num>
  <w:num w:numId="4">
    <w:abstractNumId w:val="25"/>
  </w:num>
  <w:num w:numId="5">
    <w:abstractNumId w:val="39"/>
  </w:num>
  <w:num w:numId="6">
    <w:abstractNumId w:val="71"/>
  </w:num>
  <w:num w:numId="7">
    <w:abstractNumId w:val="4"/>
  </w:num>
  <w:num w:numId="8">
    <w:abstractNumId w:val="23"/>
  </w:num>
  <w:num w:numId="9">
    <w:abstractNumId w:val="34"/>
  </w:num>
  <w:num w:numId="10">
    <w:abstractNumId w:val="1"/>
  </w:num>
  <w:num w:numId="11">
    <w:abstractNumId w:val="47"/>
  </w:num>
  <w:num w:numId="12">
    <w:abstractNumId w:val="48"/>
  </w:num>
  <w:num w:numId="13">
    <w:abstractNumId w:val="50"/>
  </w:num>
  <w:num w:numId="14">
    <w:abstractNumId w:val="21"/>
  </w:num>
  <w:num w:numId="15">
    <w:abstractNumId w:val="49"/>
  </w:num>
  <w:num w:numId="16">
    <w:abstractNumId w:val="51"/>
  </w:num>
  <w:num w:numId="17">
    <w:abstractNumId w:val="52"/>
  </w:num>
  <w:num w:numId="18">
    <w:abstractNumId w:val="46"/>
  </w:num>
  <w:num w:numId="19">
    <w:abstractNumId w:val="45"/>
  </w:num>
  <w:num w:numId="20">
    <w:abstractNumId w:val="63"/>
  </w:num>
  <w:num w:numId="21">
    <w:abstractNumId w:val="62"/>
  </w:num>
  <w:num w:numId="22">
    <w:abstractNumId w:val="7"/>
  </w:num>
  <w:num w:numId="23">
    <w:abstractNumId w:val="61"/>
  </w:num>
  <w:num w:numId="24">
    <w:abstractNumId w:val="53"/>
  </w:num>
  <w:num w:numId="25">
    <w:abstractNumId w:val="54"/>
  </w:num>
  <w:num w:numId="26">
    <w:abstractNumId w:val="60"/>
  </w:num>
  <w:num w:numId="27">
    <w:abstractNumId w:val="1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num>
  <w:num w:numId="30">
    <w:abstractNumId w:val="65"/>
  </w:num>
  <w:num w:numId="31">
    <w:abstractNumId w:val="66"/>
  </w:num>
  <w:num w:numId="32">
    <w:abstractNumId w:val="67"/>
  </w:num>
  <w:num w:numId="33">
    <w:abstractNumId w:val="68"/>
  </w:num>
  <w:num w:numId="34">
    <w:abstractNumId w:val="22"/>
  </w:num>
  <w:num w:numId="35">
    <w:abstractNumId w:val="44"/>
  </w:num>
  <w:num w:numId="36">
    <w:abstractNumId w:val="35"/>
  </w:num>
  <w:num w:numId="37">
    <w:abstractNumId w:val="72"/>
  </w:num>
  <w:num w:numId="38">
    <w:abstractNumId w:val="33"/>
  </w:num>
  <w:num w:numId="39">
    <w:abstractNumId w:val="41"/>
  </w:num>
  <w:num w:numId="40">
    <w:abstractNumId w:val="11"/>
  </w:num>
  <w:num w:numId="41">
    <w:abstractNumId w:val="5"/>
  </w:num>
  <w:num w:numId="42">
    <w:abstractNumId w:val="2"/>
  </w:num>
  <w:num w:numId="43">
    <w:abstractNumId w:val="29"/>
  </w:num>
  <w:num w:numId="44">
    <w:abstractNumId w:val="38"/>
  </w:num>
  <w:num w:numId="45">
    <w:abstractNumId w:val="27"/>
  </w:num>
  <w:num w:numId="46">
    <w:abstractNumId w:val="40"/>
  </w:num>
  <w:num w:numId="47">
    <w:abstractNumId w:val="3"/>
  </w:num>
  <w:num w:numId="48">
    <w:abstractNumId w:val="12"/>
  </w:num>
  <w:num w:numId="49">
    <w:abstractNumId w:val="69"/>
  </w:num>
  <w:num w:numId="50">
    <w:abstractNumId w:val="6"/>
  </w:num>
  <w:num w:numId="51">
    <w:abstractNumId w:val="16"/>
  </w:num>
  <w:num w:numId="52">
    <w:abstractNumId w:val="18"/>
  </w:num>
  <w:num w:numId="53">
    <w:abstractNumId w:val="26"/>
  </w:num>
  <w:num w:numId="54">
    <w:abstractNumId w:val="57"/>
  </w:num>
  <w:num w:numId="55">
    <w:abstractNumId w:val="55"/>
  </w:num>
  <w:num w:numId="56">
    <w:abstractNumId w:val="56"/>
  </w:num>
  <w:num w:numId="57">
    <w:abstractNumId w:val="42"/>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43"/>
  </w:num>
  <w:num w:numId="62">
    <w:abstractNumId w:val="70"/>
  </w:num>
  <w:num w:numId="63">
    <w:abstractNumId w:val="19"/>
  </w:num>
  <w:num w:numId="64">
    <w:abstractNumId w:val="9"/>
  </w:num>
  <w:num w:numId="65">
    <w:abstractNumId w:val="0"/>
  </w:num>
  <w:num w:numId="66">
    <w:abstractNumId w:val="10"/>
  </w:num>
  <w:num w:numId="67">
    <w:abstractNumId w:val="13"/>
  </w:num>
  <w:num w:numId="68">
    <w:abstractNumId w:val="14"/>
  </w:num>
  <w:num w:numId="69">
    <w:abstractNumId w:val="37"/>
  </w:num>
  <w:num w:numId="70">
    <w:abstractNumId w:val="15"/>
  </w:num>
  <w:num w:numId="71">
    <w:abstractNumId w:val="59"/>
  </w:num>
  <w:num w:numId="72">
    <w:abstractNumId w:val="32"/>
  </w:num>
  <w:num w:numId="73">
    <w:abstractNumId w:val="30"/>
  </w:num>
  <w:num w:numId="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6"/>
  <w:drawingGridVerticalSpacing w:val="168"/>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7D"/>
    <w:rsid w:val="00001C48"/>
    <w:rsid w:val="000024BC"/>
    <w:rsid w:val="00002925"/>
    <w:rsid w:val="00002C9E"/>
    <w:rsid w:val="0000472D"/>
    <w:rsid w:val="0000474A"/>
    <w:rsid w:val="00005414"/>
    <w:rsid w:val="000063D3"/>
    <w:rsid w:val="0000785C"/>
    <w:rsid w:val="000079C1"/>
    <w:rsid w:val="00007B68"/>
    <w:rsid w:val="00010AA2"/>
    <w:rsid w:val="00011086"/>
    <w:rsid w:val="00011A95"/>
    <w:rsid w:val="00012E61"/>
    <w:rsid w:val="00012F72"/>
    <w:rsid w:val="000131F9"/>
    <w:rsid w:val="000137C9"/>
    <w:rsid w:val="0001595A"/>
    <w:rsid w:val="00015DFB"/>
    <w:rsid w:val="00015E2D"/>
    <w:rsid w:val="00016AEA"/>
    <w:rsid w:val="00016E6A"/>
    <w:rsid w:val="00017F59"/>
    <w:rsid w:val="00020D79"/>
    <w:rsid w:val="00020DEE"/>
    <w:rsid w:val="00022677"/>
    <w:rsid w:val="00023399"/>
    <w:rsid w:val="000237E8"/>
    <w:rsid w:val="00023C54"/>
    <w:rsid w:val="00025F80"/>
    <w:rsid w:val="000313FF"/>
    <w:rsid w:val="00031419"/>
    <w:rsid w:val="00031528"/>
    <w:rsid w:val="00032B2C"/>
    <w:rsid w:val="000333CD"/>
    <w:rsid w:val="0003378B"/>
    <w:rsid w:val="0003431C"/>
    <w:rsid w:val="000362A1"/>
    <w:rsid w:val="0003758F"/>
    <w:rsid w:val="000407F3"/>
    <w:rsid w:val="000409AA"/>
    <w:rsid w:val="00041BEB"/>
    <w:rsid w:val="0004286E"/>
    <w:rsid w:val="00042BB9"/>
    <w:rsid w:val="000438F0"/>
    <w:rsid w:val="000441EC"/>
    <w:rsid w:val="00044B0E"/>
    <w:rsid w:val="00044C1C"/>
    <w:rsid w:val="00044C8B"/>
    <w:rsid w:val="00044E8E"/>
    <w:rsid w:val="000475E5"/>
    <w:rsid w:val="00047FF4"/>
    <w:rsid w:val="00050B69"/>
    <w:rsid w:val="00050F96"/>
    <w:rsid w:val="00051825"/>
    <w:rsid w:val="00051C3A"/>
    <w:rsid w:val="000534BC"/>
    <w:rsid w:val="00055385"/>
    <w:rsid w:val="00056A07"/>
    <w:rsid w:val="00060163"/>
    <w:rsid w:val="000607DB"/>
    <w:rsid w:val="00061646"/>
    <w:rsid w:val="00062E57"/>
    <w:rsid w:val="00063A8E"/>
    <w:rsid w:val="00063B12"/>
    <w:rsid w:val="000665D0"/>
    <w:rsid w:val="00066BB4"/>
    <w:rsid w:val="00070CFF"/>
    <w:rsid w:val="00070FAF"/>
    <w:rsid w:val="00071456"/>
    <w:rsid w:val="00072924"/>
    <w:rsid w:val="0007459A"/>
    <w:rsid w:val="00075B9D"/>
    <w:rsid w:val="00076503"/>
    <w:rsid w:val="000773C7"/>
    <w:rsid w:val="000803E3"/>
    <w:rsid w:val="00081263"/>
    <w:rsid w:val="00081796"/>
    <w:rsid w:val="000818BC"/>
    <w:rsid w:val="00082655"/>
    <w:rsid w:val="000828C1"/>
    <w:rsid w:val="00083B0F"/>
    <w:rsid w:val="000846BC"/>
    <w:rsid w:val="00086155"/>
    <w:rsid w:val="00086D0F"/>
    <w:rsid w:val="00087903"/>
    <w:rsid w:val="00090956"/>
    <w:rsid w:val="00090A26"/>
    <w:rsid w:val="00090F84"/>
    <w:rsid w:val="0009171D"/>
    <w:rsid w:val="000943C7"/>
    <w:rsid w:val="00094C47"/>
    <w:rsid w:val="00096B87"/>
    <w:rsid w:val="000A002D"/>
    <w:rsid w:val="000A1FEC"/>
    <w:rsid w:val="000A2516"/>
    <w:rsid w:val="000A2D60"/>
    <w:rsid w:val="000A332B"/>
    <w:rsid w:val="000A37CF"/>
    <w:rsid w:val="000A4AE9"/>
    <w:rsid w:val="000A55FA"/>
    <w:rsid w:val="000A5FEE"/>
    <w:rsid w:val="000A7254"/>
    <w:rsid w:val="000A7C79"/>
    <w:rsid w:val="000B0976"/>
    <w:rsid w:val="000B0BF4"/>
    <w:rsid w:val="000B0E0B"/>
    <w:rsid w:val="000B23A3"/>
    <w:rsid w:val="000B2D86"/>
    <w:rsid w:val="000B3FEE"/>
    <w:rsid w:val="000B475F"/>
    <w:rsid w:val="000B4E88"/>
    <w:rsid w:val="000B54AD"/>
    <w:rsid w:val="000B5871"/>
    <w:rsid w:val="000B6AF2"/>
    <w:rsid w:val="000B6BD4"/>
    <w:rsid w:val="000B7961"/>
    <w:rsid w:val="000B7C61"/>
    <w:rsid w:val="000B7FB1"/>
    <w:rsid w:val="000C0116"/>
    <w:rsid w:val="000C0494"/>
    <w:rsid w:val="000C0A55"/>
    <w:rsid w:val="000C0CBA"/>
    <w:rsid w:val="000C15BB"/>
    <w:rsid w:val="000C194A"/>
    <w:rsid w:val="000C2C9F"/>
    <w:rsid w:val="000C2FFF"/>
    <w:rsid w:val="000C4EDD"/>
    <w:rsid w:val="000C4F52"/>
    <w:rsid w:val="000C50B5"/>
    <w:rsid w:val="000C54CF"/>
    <w:rsid w:val="000C5F00"/>
    <w:rsid w:val="000C631A"/>
    <w:rsid w:val="000C6AD8"/>
    <w:rsid w:val="000C7C10"/>
    <w:rsid w:val="000D0055"/>
    <w:rsid w:val="000D066E"/>
    <w:rsid w:val="000D0D43"/>
    <w:rsid w:val="000D22E2"/>
    <w:rsid w:val="000D294E"/>
    <w:rsid w:val="000D3935"/>
    <w:rsid w:val="000D3FF3"/>
    <w:rsid w:val="000D54CA"/>
    <w:rsid w:val="000D57E3"/>
    <w:rsid w:val="000D5A59"/>
    <w:rsid w:val="000D62E7"/>
    <w:rsid w:val="000D72FC"/>
    <w:rsid w:val="000E01BD"/>
    <w:rsid w:val="000E09B4"/>
    <w:rsid w:val="000E1FD9"/>
    <w:rsid w:val="000E23F4"/>
    <w:rsid w:val="000E2E34"/>
    <w:rsid w:val="000E38D8"/>
    <w:rsid w:val="000E3B32"/>
    <w:rsid w:val="000E5907"/>
    <w:rsid w:val="000E5EAD"/>
    <w:rsid w:val="000E70F9"/>
    <w:rsid w:val="000E7772"/>
    <w:rsid w:val="000F1339"/>
    <w:rsid w:val="000F22BF"/>
    <w:rsid w:val="000F23F6"/>
    <w:rsid w:val="000F26BC"/>
    <w:rsid w:val="000F26C6"/>
    <w:rsid w:val="000F3701"/>
    <w:rsid w:val="000F51A7"/>
    <w:rsid w:val="000F74C2"/>
    <w:rsid w:val="00100D0E"/>
    <w:rsid w:val="00100F68"/>
    <w:rsid w:val="00101273"/>
    <w:rsid w:val="00101489"/>
    <w:rsid w:val="00102ECD"/>
    <w:rsid w:val="00102FFF"/>
    <w:rsid w:val="001037E9"/>
    <w:rsid w:val="00103A59"/>
    <w:rsid w:val="00103BCB"/>
    <w:rsid w:val="00103E5F"/>
    <w:rsid w:val="0010440D"/>
    <w:rsid w:val="00105AC1"/>
    <w:rsid w:val="00105CCB"/>
    <w:rsid w:val="0010664E"/>
    <w:rsid w:val="001067E0"/>
    <w:rsid w:val="00106C3C"/>
    <w:rsid w:val="00111D47"/>
    <w:rsid w:val="00111F75"/>
    <w:rsid w:val="0011397F"/>
    <w:rsid w:val="0011490E"/>
    <w:rsid w:val="001164A7"/>
    <w:rsid w:val="001168DB"/>
    <w:rsid w:val="001170FC"/>
    <w:rsid w:val="00117E01"/>
    <w:rsid w:val="001200B4"/>
    <w:rsid w:val="001211F5"/>
    <w:rsid w:val="00121D1C"/>
    <w:rsid w:val="00122E05"/>
    <w:rsid w:val="00123107"/>
    <w:rsid w:val="00123751"/>
    <w:rsid w:val="0012386F"/>
    <w:rsid w:val="00123A64"/>
    <w:rsid w:val="00124887"/>
    <w:rsid w:val="001255DD"/>
    <w:rsid w:val="00125C4B"/>
    <w:rsid w:val="00126029"/>
    <w:rsid w:val="00126115"/>
    <w:rsid w:val="001262DA"/>
    <w:rsid w:val="00127675"/>
    <w:rsid w:val="00131AD5"/>
    <w:rsid w:val="00133BF9"/>
    <w:rsid w:val="00140CCE"/>
    <w:rsid w:val="00143BF2"/>
    <w:rsid w:val="0014578A"/>
    <w:rsid w:val="0014673F"/>
    <w:rsid w:val="0014740E"/>
    <w:rsid w:val="0014772B"/>
    <w:rsid w:val="00150A9C"/>
    <w:rsid w:val="00151A69"/>
    <w:rsid w:val="00152A64"/>
    <w:rsid w:val="00153945"/>
    <w:rsid w:val="00153ABD"/>
    <w:rsid w:val="00153C00"/>
    <w:rsid w:val="00154859"/>
    <w:rsid w:val="00154E17"/>
    <w:rsid w:val="001564A9"/>
    <w:rsid w:val="00157889"/>
    <w:rsid w:val="00160734"/>
    <w:rsid w:val="0016156F"/>
    <w:rsid w:val="0016194D"/>
    <w:rsid w:val="001622EA"/>
    <w:rsid w:val="00162E4D"/>
    <w:rsid w:val="00163474"/>
    <w:rsid w:val="00164592"/>
    <w:rsid w:val="001648A8"/>
    <w:rsid w:val="00165D98"/>
    <w:rsid w:val="0016797E"/>
    <w:rsid w:val="00167AAF"/>
    <w:rsid w:val="00167F4E"/>
    <w:rsid w:val="00170E34"/>
    <w:rsid w:val="00170EC4"/>
    <w:rsid w:val="00171813"/>
    <w:rsid w:val="00171F7F"/>
    <w:rsid w:val="00171FFB"/>
    <w:rsid w:val="0017227A"/>
    <w:rsid w:val="001725E8"/>
    <w:rsid w:val="00172A27"/>
    <w:rsid w:val="00172BFD"/>
    <w:rsid w:val="00172E2E"/>
    <w:rsid w:val="0017408A"/>
    <w:rsid w:val="00174E1C"/>
    <w:rsid w:val="0017682F"/>
    <w:rsid w:val="0017683E"/>
    <w:rsid w:val="001773E8"/>
    <w:rsid w:val="00177583"/>
    <w:rsid w:val="00177A62"/>
    <w:rsid w:val="00180E2D"/>
    <w:rsid w:val="00181F7D"/>
    <w:rsid w:val="0018398F"/>
    <w:rsid w:val="00183AEB"/>
    <w:rsid w:val="00183C0A"/>
    <w:rsid w:val="001845DE"/>
    <w:rsid w:val="001851F4"/>
    <w:rsid w:val="001856E0"/>
    <w:rsid w:val="00185EFB"/>
    <w:rsid w:val="00186260"/>
    <w:rsid w:val="001869C7"/>
    <w:rsid w:val="00186D00"/>
    <w:rsid w:val="001878BF"/>
    <w:rsid w:val="00187E01"/>
    <w:rsid w:val="00191068"/>
    <w:rsid w:val="0019108A"/>
    <w:rsid w:val="00192AFA"/>
    <w:rsid w:val="00194369"/>
    <w:rsid w:val="001954DA"/>
    <w:rsid w:val="00196221"/>
    <w:rsid w:val="0019679D"/>
    <w:rsid w:val="00196D4F"/>
    <w:rsid w:val="00197D6D"/>
    <w:rsid w:val="001A0CA8"/>
    <w:rsid w:val="001A1BF6"/>
    <w:rsid w:val="001A1CC3"/>
    <w:rsid w:val="001A1D8D"/>
    <w:rsid w:val="001A3AE1"/>
    <w:rsid w:val="001A3E20"/>
    <w:rsid w:val="001A614A"/>
    <w:rsid w:val="001A63E7"/>
    <w:rsid w:val="001A7044"/>
    <w:rsid w:val="001A7212"/>
    <w:rsid w:val="001B07A7"/>
    <w:rsid w:val="001B0A02"/>
    <w:rsid w:val="001B0ED7"/>
    <w:rsid w:val="001B1BEB"/>
    <w:rsid w:val="001B219D"/>
    <w:rsid w:val="001B2D5B"/>
    <w:rsid w:val="001B4A99"/>
    <w:rsid w:val="001B61F3"/>
    <w:rsid w:val="001B63DC"/>
    <w:rsid w:val="001B74F6"/>
    <w:rsid w:val="001C00E4"/>
    <w:rsid w:val="001C0FA8"/>
    <w:rsid w:val="001C27DA"/>
    <w:rsid w:val="001C31F0"/>
    <w:rsid w:val="001C32C1"/>
    <w:rsid w:val="001C34E3"/>
    <w:rsid w:val="001C3C80"/>
    <w:rsid w:val="001C3E11"/>
    <w:rsid w:val="001C4685"/>
    <w:rsid w:val="001C50C4"/>
    <w:rsid w:val="001C586D"/>
    <w:rsid w:val="001C64FA"/>
    <w:rsid w:val="001C717B"/>
    <w:rsid w:val="001C7248"/>
    <w:rsid w:val="001C7B1B"/>
    <w:rsid w:val="001D022E"/>
    <w:rsid w:val="001D02AA"/>
    <w:rsid w:val="001D0BB6"/>
    <w:rsid w:val="001D0D03"/>
    <w:rsid w:val="001D1211"/>
    <w:rsid w:val="001D17AB"/>
    <w:rsid w:val="001D26B9"/>
    <w:rsid w:val="001D2769"/>
    <w:rsid w:val="001D3ECA"/>
    <w:rsid w:val="001D4C5D"/>
    <w:rsid w:val="001D637D"/>
    <w:rsid w:val="001D6472"/>
    <w:rsid w:val="001D7C5A"/>
    <w:rsid w:val="001D7E58"/>
    <w:rsid w:val="001E221B"/>
    <w:rsid w:val="001E2F42"/>
    <w:rsid w:val="001E3260"/>
    <w:rsid w:val="001E336C"/>
    <w:rsid w:val="001E34EC"/>
    <w:rsid w:val="001E4FF0"/>
    <w:rsid w:val="001E51B4"/>
    <w:rsid w:val="001E57F9"/>
    <w:rsid w:val="001E581C"/>
    <w:rsid w:val="001E7F91"/>
    <w:rsid w:val="001F1EBD"/>
    <w:rsid w:val="001F22F0"/>
    <w:rsid w:val="001F294A"/>
    <w:rsid w:val="001F31BC"/>
    <w:rsid w:val="001F3A60"/>
    <w:rsid w:val="001F543A"/>
    <w:rsid w:val="001F67B8"/>
    <w:rsid w:val="001F712F"/>
    <w:rsid w:val="001F77F5"/>
    <w:rsid w:val="001F7DE9"/>
    <w:rsid w:val="0020067D"/>
    <w:rsid w:val="00201312"/>
    <w:rsid w:val="002018CC"/>
    <w:rsid w:val="00203B5C"/>
    <w:rsid w:val="002044EA"/>
    <w:rsid w:val="00204949"/>
    <w:rsid w:val="00205E9A"/>
    <w:rsid w:val="00207742"/>
    <w:rsid w:val="00210685"/>
    <w:rsid w:val="00212230"/>
    <w:rsid w:val="002122DE"/>
    <w:rsid w:val="002126AD"/>
    <w:rsid w:val="00212D78"/>
    <w:rsid w:val="00212E81"/>
    <w:rsid w:val="00213140"/>
    <w:rsid w:val="00213C4F"/>
    <w:rsid w:val="0021555A"/>
    <w:rsid w:val="00215632"/>
    <w:rsid w:val="0021579D"/>
    <w:rsid w:val="0021663A"/>
    <w:rsid w:val="00216B6D"/>
    <w:rsid w:val="00216F18"/>
    <w:rsid w:val="00217BC5"/>
    <w:rsid w:val="00217FC3"/>
    <w:rsid w:val="002214A2"/>
    <w:rsid w:val="002220D4"/>
    <w:rsid w:val="00222878"/>
    <w:rsid w:val="00222E31"/>
    <w:rsid w:val="00225D81"/>
    <w:rsid w:val="00226089"/>
    <w:rsid w:val="00226125"/>
    <w:rsid w:val="002275BE"/>
    <w:rsid w:val="00227CE3"/>
    <w:rsid w:val="00227F42"/>
    <w:rsid w:val="00230874"/>
    <w:rsid w:val="002309C2"/>
    <w:rsid w:val="00230E9A"/>
    <w:rsid w:val="00231A8C"/>
    <w:rsid w:val="002322B7"/>
    <w:rsid w:val="002323F6"/>
    <w:rsid w:val="00233558"/>
    <w:rsid w:val="00234380"/>
    <w:rsid w:val="002346F3"/>
    <w:rsid w:val="00234834"/>
    <w:rsid w:val="00235453"/>
    <w:rsid w:val="00236770"/>
    <w:rsid w:val="002377B6"/>
    <w:rsid w:val="00237D3D"/>
    <w:rsid w:val="00237F2C"/>
    <w:rsid w:val="002403D5"/>
    <w:rsid w:val="002407C8"/>
    <w:rsid w:val="00241E49"/>
    <w:rsid w:val="00243DCF"/>
    <w:rsid w:val="0024456C"/>
    <w:rsid w:val="002454E6"/>
    <w:rsid w:val="00245545"/>
    <w:rsid w:val="00246488"/>
    <w:rsid w:val="002474A3"/>
    <w:rsid w:val="00247829"/>
    <w:rsid w:val="00247C26"/>
    <w:rsid w:val="002515CC"/>
    <w:rsid w:val="00252548"/>
    <w:rsid w:val="00252703"/>
    <w:rsid w:val="00252A0F"/>
    <w:rsid w:val="00252FAC"/>
    <w:rsid w:val="002556FD"/>
    <w:rsid w:val="002563BD"/>
    <w:rsid w:val="0025692F"/>
    <w:rsid w:val="00256FDF"/>
    <w:rsid w:val="00257B76"/>
    <w:rsid w:val="00261662"/>
    <w:rsid w:val="002619BC"/>
    <w:rsid w:val="00263560"/>
    <w:rsid w:val="002645F0"/>
    <w:rsid w:val="00264F50"/>
    <w:rsid w:val="00266F83"/>
    <w:rsid w:val="00270984"/>
    <w:rsid w:val="00270E81"/>
    <w:rsid w:val="0027212F"/>
    <w:rsid w:val="002738DB"/>
    <w:rsid w:val="0027464F"/>
    <w:rsid w:val="002757CF"/>
    <w:rsid w:val="00276327"/>
    <w:rsid w:val="0027749F"/>
    <w:rsid w:val="00277BF7"/>
    <w:rsid w:val="00280218"/>
    <w:rsid w:val="002802AC"/>
    <w:rsid w:val="00280CD7"/>
    <w:rsid w:val="00280EA2"/>
    <w:rsid w:val="00281202"/>
    <w:rsid w:val="002818C6"/>
    <w:rsid w:val="00281A72"/>
    <w:rsid w:val="00281F12"/>
    <w:rsid w:val="0028405B"/>
    <w:rsid w:val="00284B1D"/>
    <w:rsid w:val="002854D6"/>
    <w:rsid w:val="002859FD"/>
    <w:rsid w:val="00285DF7"/>
    <w:rsid w:val="00286F46"/>
    <w:rsid w:val="00290753"/>
    <w:rsid w:val="00291A34"/>
    <w:rsid w:val="00291F74"/>
    <w:rsid w:val="00292977"/>
    <w:rsid w:val="002938A9"/>
    <w:rsid w:val="00294CC2"/>
    <w:rsid w:val="00295057"/>
    <w:rsid w:val="002953A7"/>
    <w:rsid w:val="00295611"/>
    <w:rsid w:val="0029576F"/>
    <w:rsid w:val="00296ACB"/>
    <w:rsid w:val="002A02DD"/>
    <w:rsid w:val="002A0640"/>
    <w:rsid w:val="002A0E4B"/>
    <w:rsid w:val="002A4D00"/>
    <w:rsid w:val="002A4F5B"/>
    <w:rsid w:val="002A50B0"/>
    <w:rsid w:val="002A579C"/>
    <w:rsid w:val="002B0541"/>
    <w:rsid w:val="002B0C5C"/>
    <w:rsid w:val="002B12D0"/>
    <w:rsid w:val="002B38B1"/>
    <w:rsid w:val="002B39B6"/>
    <w:rsid w:val="002B3D69"/>
    <w:rsid w:val="002B40D6"/>
    <w:rsid w:val="002B46F8"/>
    <w:rsid w:val="002B529C"/>
    <w:rsid w:val="002B5A22"/>
    <w:rsid w:val="002B5AD2"/>
    <w:rsid w:val="002B65E0"/>
    <w:rsid w:val="002B6F15"/>
    <w:rsid w:val="002C08FD"/>
    <w:rsid w:val="002C0F7E"/>
    <w:rsid w:val="002C2382"/>
    <w:rsid w:val="002C4A51"/>
    <w:rsid w:val="002C5F49"/>
    <w:rsid w:val="002C61F6"/>
    <w:rsid w:val="002C6395"/>
    <w:rsid w:val="002D1873"/>
    <w:rsid w:val="002D22C4"/>
    <w:rsid w:val="002D248D"/>
    <w:rsid w:val="002D260B"/>
    <w:rsid w:val="002D28AA"/>
    <w:rsid w:val="002D38A9"/>
    <w:rsid w:val="002D397D"/>
    <w:rsid w:val="002D3D28"/>
    <w:rsid w:val="002D4CA5"/>
    <w:rsid w:val="002D4F54"/>
    <w:rsid w:val="002D4F56"/>
    <w:rsid w:val="002D53D1"/>
    <w:rsid w:val="002D5FE7"/>
    <w:rsid w:val="002D6190"/>
    <w:rsid w:val="002D6FF0"/>
    <w:rsid w:val="002E0C4E"/>
    <w:rsid w:val="002E0E97"/>
    <w:rsid w:val="002E0EF5"/>
    <w:rsid w:val="002E2572"/>
    <w:rsid w:val="002E2653"/>
    <w:rsid w:val="002E298F"/>
    <w:rsid w:val="002E2B0B"/>
    <w:rsid w:val="002E31AC"/>
    <w:rsid w:val="002E436D"/>
    <w:rsid w:val="002F0B37"/>
    <w:rsid w:val="002F3186"/>
    <w:rsid w:val="002F3B89"/>
    <w:rsid w:val="002F3D8D"/>
    <w:rsid w:val="002F3EEC"/>
    <w:rsid w:val="002F66B8"/>
    <w:rsid w:val="002F66EB"/>
    <w:rsid w:val="002F6FFC"/>
    <w:rsid w:val="002F7836"/>
    <w:rsid w:val="00301FBF"/>
    <w:rsid w:val="00302755"/>
    <w:rsid w:val="00303620"/>
    <w:rsid w:val="003036DC"/>
    <w:rsid w:val="0030495A"/>
    <w:rsid w:val="00305955"/>
    <w:rsid w:val="003059A3"/>
    <w:rsid w:val="00305BBC"/>
    <w:rsid w:val="003061ED"/>
    <w:rsid w:val="003066BA"/>
    <w:rsid w:val="00306A5D"/>
    <w:rsid w:val="00306C9C"/>
    <w:rsid w:val="00307D10"/>
    <w:rsid w:val="0031111D"/>
    <w:rsid w:val="00311415"/>
    <w:rsid w:val="00311EA3"/>
    <w:rsid w:val="00313E4F"/>
    <w:rsid w:val="003142D8"/>
    <w:rsid w:val="0031438B"/>
    <w:rsid w:val="0031465A"/>
    <w:rsid w:val="003173DC"/>
    <w:rsid w:val="00320389"/>
    <w:rsid w:val="00323FB4"/>
    <w:rsid w:val="00324944"/>
    <w:rsid w:val="00324FEB"/>
    <w:rsid w:val="00325FB7"/>
    <w:rsid w:val="00326D73"/>
    <w:rsid w:val="00326F0F"/>
    <w:rsid w:val="00333692"/>
    <w:rsid w:val="00334E17"/>
    <w:rsid w:val="00335417"/>
    <w:rsid w:val="00336A5F"/>
    <w:rsid w:val="00337308"/>
    <w:rsid w:val="00340387"/>
    <w:rsid w:val="003406B9"/>
    <w:rsid w:val="00341D4C"/>
    <w:rsid w:val="003431EF"/>
    <w:rsid w:val="003434A6"/>
    <w:rsid w:val="003448E0"/>
    <w:rsid w:val="00345116"/>
    <w:rsid w:val="00345A7A"/>
    <w:rsid w:val="0034741B"/>
    <w:rsid w:val="003478A4"/>
    <w:rsid w:val="003500F7"/>
    <w:rsid w:val="00350172"/>
    <w:rsid w:val="00350E47"/>
    <w:rsid w:val="0035393C"/>
    <w:rsid w:val="0035583B"/>
    <w:rsid w:val="00356616"/>
    <w:rsid w:val="00356620"/>
    <w:rsid w:val="0035670E"/>
    <w:rsid w:val="003568B4"/>
    <w:rsid w:val="00360121"/>
    <w:rsid w:val="00360169"/>
    <w:rsid w:val="00360829"/>
    <w:rsid w:val="00361F68"/>
    <w:rsid w:val="00362E4E"/>
    <w:rsid w:val="00363A38"/>
    <w:rsid w:val="00363C7B"/>
    <w:rsid w:val="00365738"/>
    <w:rsid w:val="00366057"/>
    <w:rsid w:val="00367D7E"/>
    <w:rsid w:val="003707B0"/>
    <w:rsid w:val="00370E28"/>
    <w:rsid w:val="003713F9"/>
    <w:rsid w:val="003758AB"/>
    <w:rsid w:val="00375C90"/>
    <w:rsid w:val="00376739"/>
    <w:rsid w:val="00376CBD"/>
    <w:rsid w:val="003770F4"/>
    <w:rsid w:val="00377485"/>
    <w:rsid w:val="00381CC3"/>
    <w:rsid w:val="00382537"/>
    <w:rsid w:val="0038290B"/>
    <w:rsid w:val="00384914"/>
    <w:rsid w:val="0038552C"/>
    <w:rsid w:val="00385F35"/>
    <w:rsid w:val="00385FE3"/>
    <w:rsid w:val="00386017"/>
    <w:rsid w:val="0038645C"/>
    <w:rsid w:val="0038752E"/>
    <w:rsid w:val="003875E6"/>
    <w:rsid w:val="0038797A"/>
    <w:rsid w:val="00387ABC"/>
    <w:rsid w:val="003902E1"/>
    <w:rsid w:val="0039034B"/>
    <w:rsid w:val="00392257"/>
    <w:rsid w:val="003929C3"/>
    <w:rsid w:val="00393D0F"/>
    <w:rsid w:val="00393E7F"/>
    <w:rsid w:val="00395837"/>
    <w:rsid w:val="00395AD1"/>
    <w:rsid w:val="003977F0"/>
    <w:rsid w:val="003A0763"/>
    <w:rsid w:val="003A4325"/>
    <w:rsid w:val="003A7913"/>
    <w:rsid w:val="003B014A"/>
    <w:rsid w:val="003B1DC7"/>
    <w:rsid w:val="003B1F4B"/>
    <w:rsid w:val="003B248D"/>
    <w:rsid w:val="003B40CE"/>
    <w:rsid w:val="003B4171"/>
    <w:rsid w:val="003B4473"/>
    <w:rsid w:val="003B6363"/>
    <w:rsid w:val="003B6C2F"/>
    <w:rsid w:val="003B76BC"/>
    <w:rsid w:val="003B77E9"/>
    <w:rsid w:val="003C085F"/>
    <w:rsid w:val="003C0FFA"/>
    <w:rsid w:val="003C1282"/>
    <w:rsid w:val="003C1429"/>
    <w:rsid w:val="003C2935"/>
    <w:rsid w:val="003C301A"/>
    <w:rsid w:val="003C32F8"/>
    <w:rsid w:val="003C60DC"/>
    <w:rsid w:val="003C6903"/>
    <w:rsid w:val="003C722E"/>
    <w:rsid w:val="003C72AC"/>
    <w:rsid w:val="003C7BFE"/>
    <w:rsid w:val="003D0805"/>
    <w:rsid w:val="003D0AF8"/>
    <w:rsid w:val="003D1976"/>
    <w:rsid w:val="003D42B9"/>
    <w:rsid w:val="003D5566"/>
    <w:rsid w:val="003D595F"/>
    <w:rsid w:val="003D6E50"/>
    <w:rsid w:val="003D748F"/>
    <w:rsid w:val="003E1012"/>
    <w:rsid w:val="003E19DF"/>
    <w:rsid w:val="003E33DA"/>
    <w:rsid w:val="003E4984"/>
    <w:rsid w:val="003E55FC"/>
    <w:rsid w:val="003E5A39"/>
    <w:rsid w:val="003E5FAE"/>
    <w:rsid w:val="003E64F7"/>
    <w:rsid w:val="003E7846"/>
    <w:rsid w:val="003F11F1"/>
    <w:rsid w:val="003F2A4A"/>
    <w:rsid w:val="003F34CD"/>
    <w:rsid w:val="003F4469"/>
    <w:rsid w:val="003F4FB6"/>
    <w:rsid w:val="003F586C"/>
    <w:rsid w:val="003F64CF"/>
    <w:rsid w:val="003F754C"/>
    <w:rsid w:val="004006F0"/>
    <w:rsid w:val="0040196C"/>
    <w:rsid w:val="004022C9"/>
    <w:rsid w:val="0040282A"/>
    <w:rsid w:val="00403317"/>
    <w:rsid w:val="00403EAC"/>
    <w:rsid w:val="0040583A"/>
    <w:rsid w:val="00406EF3"/>
    <w:rsid w:val="00407130"/>
    <w:rsid w:val="00407575"/>
    <w:rsid w:val="004101F8"/>
    <w:rsid w:val="00410861"/>
    <w:rsid w:val="00410EBA"/>
    <w:rsid w:val="00412B1D"/>
    <w:rsid w:val="00413261"/>
    <w:rsid w:val="004138FB"/>
    <w:rsid w:val="004147A8"/>
    <w:rsid w:val="004170C8"/>
    <w:rsid w:val="004174C5"/>
    <w:rsid w:val="00417CD3"/>
    <w:rsid w:val="0042087A"/>
    <w:rsid w:val="00420904"/>
    <w:rsid w:val="00420A39"/>
    <w:rsid w:val="00420A94"/>
    <w:rsid w:val="00422CC4"/>
    <w:rsid w:val="0042339F"/>
    <w:rsid w:val="0042386E"/>
    <w:rsid w:val="0043126E"/>
    <w:rsid w:val="0043228A"/>
    <w:rsid w:val="00432ACD"/>
    <w:rsid w:val="00432C08"/>
    <w:rsid w:val="004335FF"/>
    <w:rsid w:val="00433751"/>
    <w:rsid w:val="00433AB0"/>
    <w:rsid w:val="00435C8E"/>
    <w:rsid w:val="00436327"/>
    <w:rsid w:val="0043701E"/>
    <w:rsid w:val="004373D1"/>
    <w:rsid w:val="0043779F"/>
    <w:rsid w:val="00437CF5"/>
    <w:rsid w:val="00440ABA"/>
    <w:rsid w:val="0044131E"/>
    <w:rsid w:val="00442F46"/>
    <w:rsid w:val="0044375A"/>
    <w:rsid w:val="00443901"/>
    <w:rsid w:val="00444569"/>
    <w:rsid w:val="0044477C"/>
    <w:rsid w:val="00444B86"/>
    <w:rsid w:val="004457D6"/>
    <w:rsid w:val="00445ED9"/>
    <w:rsid w:val="00446063"/>
    <w:rsid w:val="004460EB"/>
    <w:rsid w:val="00450AED"/>
    <w:rsid w:val="00450D9A"/>
    <w:rsid w:val="0045262E"/>
    <w:rsid w:val="004537BE"/>
    <w:rsid w:val="00454399"/>
    <w:rsid w:val="00455C66"/>
    <w:rsid w:val="00455E35"/>
    <w:rsid w:val="00456007"/>
    <w:rsid w:val="00456804"/>
    <w:rsid w:val="0046046A"/>
    <w:rsid w:val="00460D9A"/>
    <w:rsid w:val="004613D5"/>
    <w:rsid w:val="00462131"/>
    <w:rsid w:val="00462841"/>
    <w:rsid w:val="00464A32"/>
    <w:rsid w:val="00465117"/>
    <w:rsid w:val="004665EE"/>
    <w:rsid w:val="004677C3"/>
    <w:rsid w:val="004726BD"/>
    <w:rsid w:val="0047378E"/>
    <w:rsid w:val="00473C32"/>
    <w:rsid w:val="004741D4"/>
    <w:rsid w:val="00474830"/>
    <w:rsid w:val="00474972"/>
    <w:rsid w:val="0047497A"/>
    <w:rsid w:val="004750C5"/>
    <w:rsid w:val="00475505"/>
    <w:rsid w:val="0047646B"/>
    <w:rsid w:val="00477F64"/>
    <w:rsid w:val="00480D14"/>
    <w:rsid w:val="004810ED"/>
    <w:rsid w:val="0048172F"/>
    <w:rsid w:val="00482088"/>
    <w:rsid w:val="0048332E"/>
    <w:rsid w:val="00484432"/>
    <w:rsid w:val="00484815"/>
    <w:rsid w:val="00484A7B"/>
    <w:rsid w:val="00484D78"/>
    <w:rsid w:val="00485267"/>
    <w:rsid w:val="00490107"/>
    <w:rsid w:val="004906D5"/>
    <w:rsid w:val="004919ED"/>
    <w:rsid w:val="0049340B"/>
    <w:rsid w:val="0049580A"/>
    <w:rsid w:val="0049589E"/>
    <w:rsid w:val="00495D2D"/>
    <w:rsid w:val="00496ADC"/>
    <w:rsid w:val="0049793F"/>
    <w:rsid w:val="004A131A"/>
    <w:rsid w:val="004A1FCE"/>
    <w:rsid w:val="004A2D5A"/>
    <w:rsid w:val="004A3493"/>
    <w:rsid w:val="004A4264"/>
    <w:rsid w:val="004A4754"/>
    <w:rsid w:val="004A4ECE"/>
    <w:rsid w:val="004A6F67"/>
    <w:rsid w:val="004B07BF"/>
    <w:rsid w:val="004B0B3C"/>
    <w:rsid w:val="004B10D5"/>
    <w:rsid w:val="004B1A3D"/>
    <w:rsid w:val="004B22B0"/>
    <w:rsid w:val="004B251A"/>
    <w:rsid w:val="004B2950"/>
    <w:rsid w:val="004B2F1D"/>
    <w:rsid w:val="004B4A18"/>
    <w:rsid w:val="004B50EF"/>
    <w:rsid w:val="004B56E6"/>
    <w:rsid w:val="004B59CC"/>
    <w:rsid w:val="004B6B92"/>
    <w:rsid w:val="004B7271"/>
    <w:rsid w:val="004B738C"/>
    <w:rsid w:val="004C1014"/>
    <w:rsid w:val="004C1537"/>
    <w:rsid w:val="004C21EB"/>
    <w:rsid w:val="004C36CE"/>
    <w:rsid w:val="004C3A9B"/>
    <w:rsid w:val="004C46F2"/>
    <w:rsid w:val="004C5C67"/>
    <w:rsid w:val="004C5CFB"/>
    <w:rsid w:val="004C6C38"/>
    <w:rsid w:val="004C79FD"/>
    <w:rsid w:val="004D006E"/>
    <w:rsid w:val="004D056F"/>
    <w:rsid w:val="004D1727"/>
    <w:rsid w:val="004D17A8"/>
    <w:rsid w:val="004D53B2"/>
    <w:rsid w:val="004D6222"/>
    <w:rsid w:val="004E001A"/>
    <w:rsid w:val="004E101E"/>
    <w:rsid w:val="004E12FC"/>
    <w:rsid w:val="004E16C0"/>
    <w:rsid w:val="004E28D9"/>
    <w:rsid w:val="004E40E2"/>
    <w:rsid w:val="004E4A2E"/>
    <w:rsid w:val="004E69D1"/>
    <w:rsid w:val="004E7F9E"/>
    <w:rsid w:val="004F2112"/>
    <w:rsid w:val="004F3B9C"/>
    <w:rsid w:val="004F509D"/>
    <w:rsid w:val="004F588F"/>
    <w:rsid w:val="004F5959"/>
    <w:rsid w:val="004F627A"/>
    <w:rsid w:val="004F65E3"/>
    <w:rsid w:val="004F6C43"/>
    <w:rsid w:val="00500BD1"/>
    <w:rsid w:val="00500DEB"/>
    <w:rsid w:val="005012C8"/>
    <w:rsid w:val="00502579"/>
    <w:rsid w:val="00503EA7"/>
    <w:rsid w:val="00503FEF"/>
    <w:rsid w:val="00505493"/>
    <w:rsid w:val="00505D21"/>
    <w:rsid w:val="00506093"/>
    <w:rsid w:val="00506F41"/>
    <w:rsid w:val="0050756B"/>
    <w:rsid w:val="00511370"/>
    <w:rsid w:val="00512298"/>
    <w:rsid w:val="00513F37"/>
    <w:rsid w:val="005145BB"/>
    <w:rsid w:val="00516021"/>
    <w:rsid w:val="00516358"/>
    <w:rsid w:val="005166B8"/>
    <w:rsid w:val="0052257B"/>
    <w:rsid w:val="005227EC"/>
    <w:rsid w:val="00522A7F"/>
    <w:rsid w:val="00523022"/>
    <w:rsid w:val="00524461"/>
    <w:rsid w:val="005255C6"/>
    <w:rsid w:val="00525A61"/>
    <w:rsid w:val="005274B2"/>
    <w:rsid w:val="0052768C"/>
    <w:rsid w:val="00527881"/>
    <w:rsid w:val="00530680"/>
    <w:rsid w:val="0053103D"/>
    <w:rsid w:val="0053233E"/>
    <w:rsid w:val="00532384"/>
    <w:rsid w:val="00532757"/>
    <w:rsid w:val="00534C33"/>
    <w:rsid w:val="00535FBD"/>
    <w:rsid w:val="00537120"/>
    <w:rsid w:val="005378A2"/>
    <w:rsid w:val="00540145"/>
    <w:rsid w:val="005423B5"/>
    <w:rsid w:val="00543975"/>
    <w:rsid w:val="00543B4B"/>
    <w:rsid w:val="00543EB8"/>
    <w:rsid w:val="0054454D"/>
    <w:rsid w:val="00544BA4"/>
    <w:rsid w:val="005502DD"/>
    <w:rsid w:val="005503B8"/>
    <w:rsid w:val="005513B1"/>
    <w:rsid w:val="00552640"/>
    <w:rsid w:val="005559DE"/>
    <w:rsid w:val="00556517"/>
    <w:rsid w:val="0055713D"/>
    <w:rsid w:val="00560BD1"/>
    <w:rsid w:val="00561489"/>
    <w:rsid w:val="005619A2"/>
    <w:rsid w:val="005621AA"/>
    <w:rsid w:val="00562C0E"/>
    <w:rsid w:val="00562C8D"/>
    <w:rsid w:val="00563947"/>
    <w:rsid w:val="00564A99"/>
    <w:rsid w:val="0056573D"/>
    <w:rsid w:val="0056718F"/>
    <w:rsid w:val="0056748F"/>
    <w:rsid w:val="00567CCD"/>
    <w:rsid w:val="00567E98"/>
    <w:rsid w:val="00567EA1"/>
    <w:rsid w:val="00567FD6"/>
    <w:rsid w:val="0057012F"/>
    <w:rsid w:val="005706E1"/>
    <w:rsid w:val="005713FE"/>
    <w:rsid w:val="00572472"/>
    <w:rsid w:val="0057251B"/>
    <w:rsid w:val="00572BFB"/>
    <w:rsid w:val="005736AA"/>
    <w:rsid w:val="00575376"/>
    <w:rsid w:val="00575F6F"/>
    <w:rsid w:val="00577F62"/>
    <w:rsid w:val="005813CA"/>
    <w:rsid w:val="00582428"/>
    <w:rsid w:val="00582B37"/>
    <w:rsid w:val="00582C87"/>
    <w:rsid w:val="00582DC3"/>
    <w:rsid w:val="0058338A"/>
    <w:rsid w:val="0058362D"/>
    <w:rsid w:val="00586013"/>
    <w:rsid w:val="005864EB"/>
    <w:rsid w:val="00586C7D"/>
    <w:rsid w:val="00586D5F"/>
    <w:rsid w:val="0058763C"/>
    <w:rsid w:val="00590326"/>
    <w:rsid w:val="00590B24"/>
    <w:rsid w:val="00590B37"/>
    <w:rsid w:val="00590CF0"/>
    <w:rsid w:val="00591DA0"/>
    <w:rsid w:val="00592FAF"/>
    <w:rsid w:val="00593034"/>
    <w:rsid w:val="00593081"/>
    <w:rsid w:val="00593971"/>
    <w:rsid w:val="00593AB4"/>
    <w:rsid w:val="005952D3"/>
    <w:rsid w:val="00595DF1"/>
    <w:rsid w:val="00597FDB"/>
    <w:rsid w:val="005A00DB"/>
    <w:rsid w:val="005A07EA"/>
    <w:rsid w:val="005A1602"/>
    <w:rsid w:val="005A21F5"/>
    <w:rsid w:val="005A27C6"/>
    <w:rsid w:val="005A2886"/>
    <w:rsid w:val="005A2D1A"/>
    <w:rsid w:val="005A341D"/>
    <w:rsid w:val="005A3615"/>
    <w:rsid w:val="005A40EE"/>
    <w:rsid w:val="005A4CDE"/>
    <w:rsid w:val="005A52B2"/>
    <w:rsid w:val="005A56AF"/>
    <w:rsid w:val="005A6536"/>
    <w:rsid w:val="005A65D7"/>
    <w:rsid w:val="005B0684"/>
    <w:rsid w:val="005B100F"/>
    <w:rsid w:val="005B17BD"/>
    <w:rsid w:val="005B1CDF"/>
    <w:rsid w:val="005B1F26"/>
    <w:rsid w:val="005B308E"/>
    <w:rsid w:val="005B3E97"/>
    <w:rsid w:val="005B3FF7"/>
    <w:rsid w:val="005B4FD9"/>
    <w:rsid w:val="005B53F8"/>
    <w:rsid w:val="005B57A5"/>
    <w:rsid w:val="005B5B45"/>
    <w:rsid w:val="005B602E"/>
    <w:rsid w:val="005B68AC"/>
    <w:rsid w:val="005C0264"/>
    <w:rsid w:val="005C0E2D"/>
    <w:rsid w:val="005C4D74"/>
    <w:rsid w:val="005C70AF"/>
    <w:rsid w:val="005C72AA"/>
    <w:rsid w:val="005D21CC"/>
    <w:rsid w:val="005D321D"/>
    <w:rsid w:val="005D363A"/>
    <w:rsid w:val="005D682D"/>
    <w:rsid w:val="005D6E56"/>
    <w:rsid w:val="005D6F06"/>
    <w:rsid w:val="005D7726"/>
    <w:rsid w:val="005E0CDA"/>
    <w:rsid w:val="005E1B47"/>
    <w:rsid w:val="005E4C17"/>
    <w:rsid w:val="005E61E5"/>
    <w:rsid w:val="005E657C"/>
    <w:rsid w:val="005E7492"/>
    <w:rsid w:val="005F0401"/>
    <w:rsid w:val="005F0968"/>
    <w:rsid w:val="005F11F4"/>
    <w:rsid w:val="005F1281"/>
    <w:rsid w:val="005F164F"/>
    <w:rsid w:val="005F2BBC"/>
    <w:rsid w:val="005F57B0"/>
    <w:rsid w:val="005F61B0"/>
    <w:rsid w:val="005F68DC"/>
    <w:rsid w:val="005F69E2"/>
    <w:rsid w:val="005F6C82"/>
    <w:rsid w:val="006001B7"/>
    <w:rsid w:val="00600AAA"/>
    <w:rsid w:val="00600FC1"/>
    <w:rsid w:val="00601855"/>
    <w:rsid w:val="006026AC"/>
    <w:rsid w:val="00603897"/>
    <w:rsid w:val="00604041"/>
    <w:rsid w:val="00604BBC"/>
    <w:rsid w:val="006068BD"/>
    <w:rsid w:val="00607D3C"/>
    <w:rsid w:val="006107B4"/>
    <w:rsid w:val="00610A9D"/>
    <w:rsid w:val="0061220A"/>
    <w:rsid w:val="00614532"/>
    <w:rsid w:val="00615B8B"/>
    <w:rsid w:val="006174BE"/>
    <w:rsid w:val="00617E20"/>
    <w:rsid w:val="006220DF"/>
    <w:rsid w:val="006221C0"/>
    <w:rsid w:val="0062351E"/>
    <w:rsid w:val="00623D4A"/>
    <w:rsid w:val="00623E17"/>
    <w:rsid w:val="0062634B"/>
    <w:rsid w:val="00626749"/>
    <w:rsid w:val="00627977"/>
    <w:rsid w:val="00627FFC"/>
    <w:rsid w:val="0063211B"/>
    <w:rsid w:val="006325D6"/>
    <w:rsid w:val="006328A6"/>
    <w:rsid w:val="00632C89"/>
    <w:rsid w:val="006333F8"/>
    <w:rsid w:val="00633A0E"/>
    <w:rsid w:val="00635474"/>
    <w:rsid w:val="00635987"/>
    <w:rsid w:val="00635F3B"/>
    <w:rsid w:val="006368A3"/>
    <w:rsid w:val="00637D17"/>
    <w:rsid w:val="00640287"/>
    <w:rsid w:val="0064198A"/>
    <w:rsid w:val="006428FD"/>
    <w:rsid w:val="00642C80"/>
    <w:rsid w:val="0064392E"/>
    <w:rsid w:val="00643CEB"/>
    <w:rsid w:val="00643EDA"/>
    <w:rsid w:val="0064441B"/>
    <w:rsid w:val="006449E3"/>
    <w:rsid w:val="00644E03"/>
    <w:rsid w:val="0064529E"/>
    <w:rsid w:val="00650286"/>
    <w:rsid w:val="006503DD"/>
    <w:rsid w:val="00651830"/>
    <w:rsid w:val="00651EA3"/>
    <w:rsid w:val="00651FB5"/>
    <w:rsid w:val="0065273C"/>
    <w:rsid w:val="00653395"/>
    <w:rsid w:val="00653590"/>
    <w:rsid w:val="00653F46"/>
    <w:rsid w:val="0065404E"/>
    <w:rsid w:val="00654099"/>
    <w:rsid w:val="006555C8"/>
    <w:rsid w:val="006561EB"/>
    <w:rsid w:val="0065654B"/>
    <w:rsid w:val="00656711"/>
    <w:rsid w:val="0065694C"/>
    <w:rsid w:val="00656AE9"/>
    <w:rsid w:val="0065724C"/>
    <w:rsid w:val="006578FC"/>
    <w:rsid w:val="0065797D"/>
    <w:rsid w:val="006579E8"/>
    <w:rsid w:val="00660049"/>
    <w:rsid w:val="00660C04"/>
    <w:rsid w:val="00660FE2"/>
    <w:rsid w:val="00661313"/>
    <w:rsid w:val="006617BC"/>
    <w:rsid w:val="006624AD"/>
    <w:rsid w:val="0066385B"/>
    <w:rsid w:val="00664185"/>
    <w:rsid w:val="006660D2"/>
    <w:rsid w:val="006706B7"/>
    <w:rsid w:val="006707BC"/>
    <w:rsid w:val="00671020"/>
    <w:rsid w:val="0067170B"/>
    <w:rsid w:val="00671715"/>
    <w:rsid w:val="00671C0C"/>
    <w:rsid w:val="00671E1E"/>
    <w:rsid w:val="00674487"/>
    <w:rsid w:val="00675DF2"/>
    <w:rsid w:val="006773CC"/>
    <w:rsid w:val="006810F6"/>
    <w:rsid w:val="006830C5"/>
    <w:rsid w:val="00683567"/>
    <w:rsid w:val="0068378E"/>
    <w:rsid w:val="006837B1"/>
    <w:rsid w:val="00683F8A"/>
    <w:rsid w:val="006847E6"/>
    <w:rsid w:val="006854B1"/>
    <w:rsid w:val="006861BE"/>
    <w:rsid w:val="0068620E"/>
    <w:rsid w:val="00686B8F"/>
    <w:rsid w:val="00687DCE"/>
    <w:rsid w:val="0069112F"/>
    <w:rsid w:val="006911DE"/>
    <w:rsid w:val="006916B7"/>
    <w:rsid w:val="00691E7A"/>
    <w:rsid w:val="006920E1"/>
    <w:rsid w:val="00692748"/>
    <w:rsid w:val="0069389D"/>
    <w:rsid w:val="00693EB1"/>
    <w:rsid w:val="0069555A"/>
    <w:rsid w:val="00696731"/>
    <w:rsid w:val="006967C6"/>
    <w:rsid w:val="00696A33"/>
    <w:rsid w:val="00696D08"/>
    <w:rsid w:val="00696F9F"/>
    <w:rsid w:val="006977A3"/>
    <w:rsid w:val="006A0741"/>
    <w:rsid w:val="006A0C78"/>
    <w:rsid w:val="006A0E18"/>
    <w:rsid w:val="006A29CC"/>
    <w:rsid w:val="006A44C7"/>
    <w:rsid w:val="006A7538"/>
    <w:rsid w:val="006A7FA5"/>
    <w:rsid w:val="006B0EEF"/>
    <w:rsid w:val="006B3271"/>
    <w:rsid w:val="006B36F0"/>
    <w:rsid w:val="006B3E0D"/>
    <w:rsid w:val="006B4154"/>
    <w:rsid w:val="006B578D"/>
    <w:rsid w:val="006B5DA3"/>
    <w:rsid w:val="006C021A"/>
    <w:rsid w:val="006C0851"/>
    <w:rsid w:val="006C0C98"/>
    <w:rsid w:val="006C107A"/>
    <w:rsid w:val="006C112E"/>
    <w:rsid w:val="006C285E"/>
    <w:rsid w:val="006C3250"/>
    <w:rsid w:val="006C4406"/>
    <w:rsid w:val="006C4D93"/>
    <w:rsid w:val="006C5DDA"/>
    <w:rsid w:val="006C5FDE"/>
    <w:rsid w:val="006C6B7C"/>
    <w:rsid w:val="006C6E54"/>
    <w:rsid w:val="006D0E9A"/>
    <w:rsid w:val="006D160F"/>
    <w:rsid w:val="006D21F1"/>
    <w:rsid w:val="006D2AB6"/>
    <w:rsid w:val="006D31FD"/>
    <w:rsid w:val="006D3A03"/>
    <w:rsid w:val="006D3A9A"/>
    <w:rsid w:val="006D4CFB"/>
    <w:rsid w:val="006D4EDF"/>
    <w:rsid w:val="006D52EB"/>
    <w:rsid w:val="006D56BD"/>
    <w:rsid w:val="006D5F2A"/>
    <w:rsid w:val="006D7270"/>
    <w:rsid w:val="006D72BC"/>
    <w:rsid w:val="006D7598"/>
    <w:rsid w:val="006D79CE"/>
    <w:rsid w:val="006D7F8E"/>
    <w:rsid w:val="006E027B"/>
    <w:rsid w:val="006E03BE"/>
    <w:rsid w:val="006E2009"/>
    <w:rsid w:val="006E2524"/>
    <w:rsid w:val="006E31F0"/>
    <w:rsid w:val="006E4023"/>
    <w:rsid w:val="006E5115"/>
    <w:rsid w:val="006E55D4"/>
    <w:rsid w:val="006E5799"/>
    <w:rsid w:val="006F0884"/>
    <w:rsid w:val="006F12A6"/>
    <w:rsid w:val="006F15A9"/>
    <w:rsid w:val="006F1F9B"/>
    <w:rsid w:val="006F24AF"/>
    <w:rsid w:val="006F3A54"/>
    <w:rsid w:val="006F5F42"/>
    <w:rsid w:val="006F6719"/>
    <w:rsid w:val="006F795E"/>
    <w:rsid w:val="006F7986"/>
    <w:rsid w:val="006F7997"/>
    <w:rsid w:val="006F7B3A"/>
    <w:rsid w:val="0070025C"/>
    <w:rsid w:val="00701FC2"/>
    <w:rsid w:val="007021CC"/>
    <w:rsid w:val="00702313"/>
    <w:rsid w:val="00702F31"/>
    <w:rsid w:val="00704506"/>
    <w:rsid w:val="00705F5B"/>
    <w:rsid w:val="00706A98"/>
    <w:rsid w:val="00706C1D"/>
    <w:rsid w:val="00707DF3"/>
    <w:rsid w:val="00707EE2"/>
    <w:rsid w:val="00710627"/>
    <w:rsid w:val="007113CE"/>
    <w:rsid w:val="00714DCA"/>
    <w:rsid w:val="007171C5"/>
    <w:rsid w:val="0072003E"/>
    <w:rsid w:val="00720215"/>
    <w:rsid w:val="00720841"/>
    <w:rsid w:val="00721427"/>
    <w:rsid w:val="00721788"/>
    <w:rsid w:val="00721F0E"/>
    <w:rsid w:val="00723176"/>
    <w:rsid w:val="00723506"/>
    <w:rsid w:val="00724C66"/>
    <w:rsid w:val="00724D37"/>
    <w:rsid w:val="00725A98"/>
    <w:rsid w:val="00725B58"/>
    <w:rsid w:val="00726746"/>
    <w:rsid w:val="007267E0"/>
    <w:rsid w:val="00727404"/>
    <w:rsid w:val="007309F4"/>
    <w:rsid w:val="00730B43"/>
    <w:rsid w:val="00731CD6"/>
    <w:rsid w:val="00732E8A"/>
    <w:rsid w:val="00733621"/>
    <w:rsid w:val="00735883"/>
    <w:rsid w:val="0073706A"/>
    <w:rsid w:val="007374E3"/>
    <w:rsid w:val="00737779"/>
    <w:rsid w:val="007401F5"/>
    <w:rsid w:val="00740250"/>
    <w:rsid w:val="00740A7D"/>
    <w:rsid w:val="00741088"/>
    <w:rsid w:val="00741E30"/>
    <w:rsid w:val="00743392"/>
    <w:rsid w:val="00744431"/>
    <w:rsid w:val="007462D4"/>
    <w:rsid w:val="007464C5"/>
    <w:rsid w:val="00746F5F"/>
    <w:rsid w:val="00750F27"/>
    <w:rsid w:val="00751506"/>
    <w:rsid w:val="0075177B"/>
    <w:rsid w:val="00752ACD"/>
    <w:rsid w:val="00752BD0"/>
    <w:rsid w:val="00753F18"/>
    <w:rsid w:val="00754616"/>
    <w:rsid w:val="00755370"/>
    <w:rsid w:val="007556B2"/>
    <w:rsid w:val="00756454"/>
    <w:rsid w:val="0075687A"/>
    <w:rsid w:val="00756EA7"/>
    <w:rsid w:val="007579ED"/>
    <w:rsid w:val="00757D25"/>
    <w:rsid w:val="00757D5D"/>
    <w:rsid w:val="0076072C"/>
    <w:rsid w:val="00760785"/>
    <w:rsid w:val="007646C3"/>
    <w:rsid w:val="00764838"/>
    <w:rsid w:val="00765762"/>
    <w:rsid w:val="00767ED4"/>
    <w:rsid w:val="00770259"/>
    <w:rsid w:val="007729E7"/>
    <w:rsid w:val="00772C18"/>
    <w:rsid w:val="007733CD"/>
    <w:rsid w:val="007734E2"/>
    <w:rsid w:val="00774FB1"/>
    <w:rsid w:val="00775396"/>
    <w:rsid w:val="00775A2A"/>
    <w:rsid w:val="00777917"/>
    <w:rsid w:val="007807A0"/>
    <w:rsid w:val="00780BB7"/>
    <w:rsid w:val="00782027"/>
    <w:rsid w:val="0078268F"/>
    <w:rsid w:val="007827ED"/>
    <w:rsid w:val="00782892"/>
    <w:rsid w:val="007834E3"/>
    <w:rsid w:val="00784130"/>
    <w:rsid w:val="0078598A"/>
    <w:rsid w:val="00787015"/>
    <w:rsid w:val="007876C5"/>
    <w:rsid w:val="00793089"/>
    <w:rsid w:val="0079505C"/>
    <w:rsid w:val="0079539B"/>
    <w:rsid w:val="0079556C"/>
    <w:rsid w:val="00796EFD"/>
    <w:rsid w:val="00797A87"/>
    <w:rsid w:val="00797B13"/>
    <w:rsid w:val="007A05FC"/>
    <w:rsid w:val="007A0A7D"/>
    <w:rsid w:val="007A0FE2"/>
    <w:rsid w:val="007A1639"/>
    <w:rsid w:val="007A1C14"/>
    <w:rsid w:val="007A2F08"/>
    <w:rsid w:val="007A3373"/>
    <w:rsid w:val="007A37B4"/>
    <w:rsid w:val="007A420F"/>
    <w:rsid w:val="007A44A5"/>
    <w:rsid w:val="007A70F6"/>
    <w:rsid w:val="007A7DBC"/>
    <w:rsid w:val="007B03A7"/>
    <w:rsid w:val="007B0771"/>
    <w:rsid w:val="007B2014"/>
    <w:rsid w:val="007B2BAF"/>
    <w:rsid w:val="007B2CE9"/>
    <w:rsid w:val="007B2DBA"/>
    <w:rsid w:val="007B30ED"/>
    <w:rsid w:val="007B4020"/>
    <w:rsid w:val="007B4227"/>
    <w:rsid w:val="007B4CB4"/>
    <w:rsid w:val="007B5CB6"/>
    <w:rsid w:val="007B6B06"/>
    <w:rsid w:val="007B7F7F"/>
    <w:rsid w:val="007C08C0"/>
    <w:rsid w:val="007C119D"/>
    <w:rsid w:val="007C33D6"/>
    <w:rsid w:val="007C3BD3"/>
    <w:rsid w:val="007C4101"/>
    <w:rsid w:val="007C5788"/>
    <w:rsid w:val="007C71E8"/>
    <w:rsid w:val="007C7AC3"/>
    <w:rsid w:val="007D14F1"/>
    <w:rsid w:val="007D304C"/>
    <w:rsid w:val="007D377E"/>
    <w:rsid w:val="007D3BE9"/>
    <w:rsid w:val="007D41DF"/>
    <w:rsid w:val="007D43EF"/>
    <w:rsid w:val="007D52FF"/>
    <w:rsid w:val="007D59B3"/>
    <w:rsid w:val="007D5AE5"/>
    <w:rsid w:val="007D60DD"/>
    <w:rsid w:val="007D6123"/>
    <w:rsid w:val="007D6663"/>
    <w:rsid w:val="007D7B34"/>
    <w:rsid w:val="007E00D0"/>
    <w:rsid w:val="007E3BC7"/>
    <w:rsid w:val="007E454A"/>
    <w:rsid w:val="007E5724"/>
    <w:rsid w:val="007E58EB"/>
    <w:rsid w:val="007E659A"/>
    <w:rsid w:val="007E68C3"/>
    <w:rsid w:val="007E6E8C"/>
    <w:rsid w:val="007E709D"/>
    <w:rsid w:val="007E735C"/>
    <w:rsid w:val="007F0297"/>
    <w:rsid w:val="007F0786"/>
    <w:rsid w:val="007F1335"/>
    <w:rsid w:val="007F16D8"/>
    <w:rsid w:val="007F1A89"/>
    <w:rsid w:val="007F372A"/>
    <w:rsid w:val="007F3BDE"/>
    <w:rsid w:val="007F4EF3"/>
    <w:rsid w:val="007F6646"/>
    <w:rsid w:val="007F69A3"/>
    <w:rsid w:val="007F6DA6"/>
    <w:rsid w:val="007F72CA"/>
    <w:rsid w:val="008005B8"/>
    <w:rsid w:val="00801F06"/>
    <w:rsid w:val="0080485C"/>
    <w:rsid w:val="00804E20"/>
    <w:rsid w:val="008078DE"/>
    <w:rsid w:val="0081078C"/>
    <w:rsid w:val="008108C2"/>
    <w:rsid w:val="008113FB"/>
    <w:rsid w:val="00812502"/>
    <w:rsid w:val="00812893"/>
    <w:rsid w:val="00814125"/>
    <w:rsid w:val="00815329"/>
    <w:rsid w:val="008155AA"/>
    <w:rsid w:val="00815F8E"/>
    <w:rsid w:val="0081603C"/>
    <w:rsid w:val="0082090B"/>
    <w:rsid w:val="008211DB"/>
    <w:rsid w:val="00821A04"/>
    <w:rsid w:val="00821D51"/>
    <w:rsid w:val="00821D64"/>
    <w:rsid w:val="00822EC8"/>
    <w:rsid w:val="00823761"/>
    <w:rsid w:val="00823CC3"/>
    <w:rsid w:val="0082450A"/>
    <w:rsid w:val="008249A9"/>
    <w:rsid w:val="00825DEA"/>
    <w:rsid w:val="00826D15"/>
    <w:rsid w:val="008270EF"/>
    <w:rsid w:val="00827A17"/>
    <w:rsid w:val="00827F53"/>
    <w:rsid w:val="008311BC"/>
    <w:rsid w:val="0083273E"/>
    <w:rsid w:val="00833CB0"/>
    <w:rsid w:val="00833DD7"/>
    <w:rsid w:val="008348F3"/>
    <w:rsid w:val="00835097"/>
    <w:rsid w:val="00835642"/>
    <w:rsid w:val="00835F36"/>
    <w:rsid w:val="0083636F"/>
    <w:rsid w:val="00837867"/>
    <w:rsid w:val="00842533"/>
    <w:rsid w:val="008430E4"/>
    <w:rsid w:val="00844819"/>
    <w:rsid w:val="00845E37"/>
    <w:rsid w:val="00846E1E"/>
    <w:rsid w:val="00850712"/>
    <w:rsid w:val="00850A62"/>
    <w:rsid w:val="0085101C"/>
    <w:rsid w:val="0085222E"/>
    <w:rsid w:val="0085286C"/>
    <w:rsid w:val="00853805"/>
    <w:rsid w:val="00854440"/>
    <w:rsid w:val="008546E5"/>
    <w:rsid w:val="00854B68"/>
    <w:rsid w:val="0085630E"/>
    <w:rsid w:val="008567A9"/>
    <w:rsid w:val="0085707E"/>
    <w:rsid w:val="0086021A"/>
    <w:rsid w:val="0086098D"/>
    <w:rsid w:val="00860A5F"/>
    <w:rsid w:val="008610C1"/>
    <w:rsid w:val="0086359E"/>
    <w:rsid w:val="008640B9"/>
    <w:rsid w:val="00864864"/>
    <w:rsid w:val="00864EC6"/>
    <w:rsid w:val="00865A0F"/>
    <w:rsid w:val="00865B36"/>
    <w:rsid w:val="00865BA3"/>
    <w:rsid w:val="0086609D"/>
    <w:rsid w:val="00866343"/>
    <w:rsid w:val="00866FE6"/>
    <w:rsid w:val="00867AF9"/>
    <w:rsid w:val="0087128D"/>
    <w:rsid w:val="00871799"/>
    <w:rsid w:val="00871ADC"/>
    <w:rsid w:val="00873297"/>
    <w:rsid w:val="0087412F"/>
    <w:rsid w:val="00874131"/>
    <w:rsid w:val="008741EA"/>
    <w:rsid w:val="00874C3B"/>
    <w:rsid w:val="00875FC2"/>
    <w:rsid w:val="00876116"/>
    <w:rsid w:val="00876324"/>
    <w:rsid w:val="008779C8"/>
    <w:rsid w:val="00877A9B"/>
    <w:rsid w:val="008806BB"/>
    <w:rsid w:val="008809A3"/>
    <w:rsid w:val="008815C4"/>
    <w:rsid w:val="00881C73"/>
    <w:rsid w:val="00881EFB"/>
    <w:rsid w:val="00882E81"/>
    <w:rsid w:val="008831D6"/>
    <w:rsid w:val="008836C7"/>
    <w:rsid w:val="00883C8E"/>
    <w:rsid w:val="00886AB5"/>
    <w:rsid w:val="00887EA2"/>
    <w:rsid w:val="00887EB7"/>
    <w:rsid w:val="00891982"/>
    <w:rsid w:val="00891AA9"/>
    <w:rsid w:val="00892215"/>
    <w:rsid w:val="00893452"/>
    <w:rsid w:val="0089450B"/>
    <w:rsid w:val="008A0A9D"/>
    <w:rsid w:val="008A1782"/>
    <w:rsid w:val="008A45AA"/>
    <w:rsid w:val="008A489B"/>
    <w:rsid w:val="008A4CA1"/>
    <w:rsid w:val="008A50BE"/>
    <w:rsid w:val="008A58E3"/>
    <w:rsid w:val="008A5A20"/>
    <w:rsid w:val="008A70B4"/>
    <w:rsid w:val="008A769C"/>
    <w:rsid w:val="008A7A44"/>
    <w:rsid w:val="008B13E1"/>
    <w:rsid w:val="008B1C2F"/>
    <w:rsid w:val="008B20C7"/>
    <w:rsid w:val="008B368F"/>
    <w:rsid w:val="008B430C"/>
    <w:rsid w:val="008B54D4"/>
    <w:rsid w:val="008B5631"/>
    <w:rsid w:val="008B5A07"/>
    <w:rsid w:val="008B772A"/>
    <w:rsid w:val="008C15F8"/>
    <w:rsid w:val="008C2769"/>
    <w:rsid w:val="008C28A6"/>
    <w:rsid w:val="008C2922"/>
    <w:rsid w:val="008C2CB0"/>
    <w:rsid w:val="008C3AB3"/>
    <w:rsid w:val="008C3C12"/>
    <w:rsid w:val="008C5192"/>
    <w:rsid w:val="008C524C"/>
    <w:rsid w:val="008C530F"/>
    <w:rsid w:val="008C64BD"/>
    <w:rsid w:val="008D079C"/>
    <w:rsid w:val="008D219A"/>
    <w:rsid w:val="008D449C"/>
    <w:rsid w:val="008D52BD"/>
    <w:rsid w:val="008D6116"/>
    <w:rsid w:val="008D64FF"/>
    <w:rsid w:val="008D6517"/>
    <w:rsid w:val="008D7E47"/>
    <w:rsid w:val="008E049D"/>
    <w:rsid w:val="008E081E"/>
    <w:rsid w:val="008E164A"/>
    <w:rsid w:val="008E1A4D"/>
    <w:rsid w:val="008E1E31"/>
    <w:rsid w:val="008E20BC"/>
    <w:rsid w:val="008E249C"/>
    <w:rsid w:val="008E2BE7"/>
    <w:rsid w:val="008E3707"/>
    <w:rsid w:val="008E3E4E"/>
    <w:rsid w:val="008E4FFD"/>
    <w:rsid w:val="008E52C8"/>
    <w:rsid w:val="008E52E9"/>
    <w:rsid w:val="008E6E64"/>
    <w:rsid w:val="008E7A6A"/>
    <w:rsid w:val="008E7DEB"/>
    <w:rsid w:val="008F0052"/>
    <w:rsid w:val="008F040D"/>
    <w:rsid w:val="008F05E2"/>
    <w:rsid w:val="008F0CA8"/>
    <w:rsid w:val="008F1749"/>
    <w:rsid w:val="008F1DFF"/>
    <w:rsid w:val="008F2D8B"/>
    <w:rsid w:val="008F3484"/>
    <w:rsid w:val="008F3F1E"/>
    <w:rsid w:val="008F481E"/>
    <w:rsid w:val="008F53C5"/>
    <w:rsid w:val="008F5735"/>
    <w:rsid w:val="008F5C8D"/>
    <w:rsid w:val="008F5F06"/>
    <w:rsid w:val="008F6C64"/>
    <w:rsid w:val="008F7142"/>
    <w:rsid w:val="0090093B"/>
    <w:rsid w:val="009024BF"/>
    <w:rsid w:val="0090366E"/>
    <w:rsid w:val="0090397D"/>
    <w:rsid w:val="009045BC"/>
    <w:rsid w:val="00905474"/>
    <w:rsid w:val="00905827"/>
    <w:rsid w:val="00906D25"/>
    <w:rsid w:val="00906D54"/>
    <w:rsid w:val="009074C1"/>
    <w:rsid w:val="009078C1"/>
    <w:rsid w:val="00910239"/>
    <w:rsid w:val="009105C8"/>
    <w:rsid w:val="009115A7"/>
    <w:rsid w:val="00911B6A"/>
    <w:rsid w:val="00912674"/>
    <w:rsid w:val="009126A4"/>
    <w:rsid w:val="009126EB"/>
    <w:rsid w:val="0091328D"/>
    <w:rsid w:val="0091345D"/>
    <w:rsid w:val="009136F2"/>
    <w:rsid w:val="00913884"/>
    <w:rsid w:val="00913E86"/>
    <w:rsid w:val="00915640"/>
    <w:rsid w:val="009158D7"/>
    <w:rsid w:val="00915D94"/>
    <w:rsid w:val="00916D05"/>
    <w:rsid w:val="0091752B"/>
    <w:rsid w:val="009176C5"/>
    <w:rsid w:val="009201C7"/>
    <w:rsid w:val="00920A95"/>
    <w:rsid w:val="00921974"/>
    <w:rsid w:val="009221DB"/>
    <w:rsid w:val="00923869"/>
    <w:rsid w:val="00923B86"/>
    <w:rsid w:val="00923CAB"/>
    <w:rsid w:val="00923CF3"/>
    <w:rsid w:val="00924D6C"/>
    <w:rsid w:val="009250C8"/>
    <w:rsid w:val="00925270"/>
    <w:rsid w:val="00925D54"/>
    <w:rsid w:val="00927E1E"/>
    <w:rsid w:val="00933509"/>
    <w:rsid w:val="009357BF"/>
    <w:rsid w:val="00936E79"/>
    <w:rsid w:val="00940FCD"/>
    <w:rsid w:val="00943D38"/>
    <w:rsid w:val="009440AE"/>
    <w:rsid w:val="00945431"/>
    <w:rsid w:val="00945687"/>
    <w:rsid w:val="00945689"/>
    <w:rsid w:val="00945A0E"/>
    <w:rsid w:val="00947CB1"/>
    <w:rsid w:val="009504BA"/>
    <w:rsid w:val="00950C08"/>
    <w:rsid w:val="009510A8"/>
    <w:rsid w:val="0095260E"/>
    <w:rsid w:val="00952A5C"/>
    <w:rsid w:val="00952CD8"/>
    <w:rsid w:val="00952F3C"/>
    <w:rsid w:val="0095360C"/>
    <w:rsid w:val="00953B93"/>
    <w:rsid w:val="00953E94"/>
    <w:rsid w:val="0095416C"/>
    <w:rsid w:val="00954E15"/>
    <w:rsid w:val="00955012"/>
    <w:rsid w:val="00955A89"/>
    <w:rsid w:val="0095699E"/>
    <w:rsid w:val="009600D7"/>
    <w:rsid w:val="00960E58"/>
    <w:rsid w:val="00962DB7"/>
    <w:rsid w:val="00963971"/>
    <w:rsid w:val="00964761"/>
    <w:rsid w:val="00965047"/>
    <w:rsid w:val="00966924"/>
    <w:rsid w:val="00967374"/>
    <w:rsid w:val="00967EA7"/>
    <w:rsid w:val="00970C00"/>
    <w:rsid w:val="00970F38"/>
    <w:rsid w:val="009716F0"/>
    <w:rsid w:val="009723A2"/>
    <w:rsid w:val="00972536"/>
    <w:rsid w:val="00972A77"/>
    <w:rsid w:val="00972F5C"/>
    <w:rsid w:val="009739B3"/>
    <w:rsid w:val="00974352"/>
    <w:rsid w:val="009749D0"/>
    <w:rsid w:val="00974BB4"/>
    <w:rsid w:val="00974C31"/>
    <w:rsid w:val="00974CE6"/>
    <w:rsid w:val="009755BC"/>
    <w:rsid w:val="009760AC"/>
    <w:rsid w:val="00976AF8"/>
    <w:rsid w:val="009803ED"/>
    <w:rsid w:val="00980F55"/>
    <w:rsid w:val="00982982"/>
    <w:rsid w:val="00983042"/>
    <w:rsid w:val="00984027"/>
    <w:rsid w:val="0098405F"/>
    <w:rsid w:val="00987FAB"/>
    <w:rsid w:val="00992C22"/>
    <w:rsid w:val="00992EA9"/>
    <w:rsid w:val="00993483"/>
    <w:rsid w:val="00993880"/>
    <w:rsid w:val="00993D58"/>
    <w:rsid w:val="0099408F"/>
    <w:rsid w:val="009945CF"/>
    <w:rsid w:val="00996257"/>
    <w:rsid w:val="00996331"/>
    <w:rsid w:val="009965E4"/>
    <w:rsid w:val="009969BA"/>
    <w:rsid w:val="009972E9"/>
    <w:rsid w:val="009A09EE"/>
    <w:rsid w:val="009A0C1A"/>
    <w:rsid w:val="009A0CDD"/>
    <w:rsid w:val="009A1F26"/>
    <w:rsid w:val="009A2820"/>
    <w:rsid w:val="009A2E03"/>
    <w:rsid w:val="009A337D"/>
    <w:rsid w:val="009A3420"/>
    <w:rsid w:val="009A4C2F"/>
    <w:rsid w:val="009A4E4C"/>
    <w:rsid w:val="009A6BA0"/>
    <w:rsid w:val="009A6E7F"/>
    <w:rsid w:val="009A7157"/>
    <w:rsid w:val="009A71D8"/>
    <w:rsid w:val="009B0225"/>
    <w:rsid w:val="009B05BB"/>
    <w:rsid w:val="009B07FE"/>
    <w:rsid w:val="009B09ED"/>
    <w:rsid w:val="009B1C60"/>
    <w:rsid w:val="009B201B"/>
    <w:rsid w:val="009B2436"/>
    <w:rsid w:val="009B2BBB"/>
    <w:rsid w:val="009B2CAB"/>
    <w:rsid w:val="009B346A"/>
    <w:rsid w:val="009B7234"/>
    <w:rsid w:val="009B7A97"/>
    <w:rsid w:val="009C163A"/>
    <w:rsid w:val="009C2DC3"/>
    <w:rsid w:val="009C31F2"/>
    <w:rsid w:val="009C3D31"/>
    <w:rsid w:val="009C4C77"/>
    <w:rsid w:val="009C54C9"/>
    <w:rsid w:val="009C5C36"/>
    <w:rsid w:val="009C5D49"/>
    <w:rsid w:val="009C658D"/>
    <w:rsid w:val="009D001D"/>
    <w:rsid w:val="009D0EB5"/>
    <w:rsid w:val="009D1516"/>
    <w:rsid w:val="009D1855"/>
    <w:rsid w:val="009D3B1F"/>
    <w:rsid w:val="009D3B75"/>
    <w:rsid w:val="009D4085"/>
    <w:rsid w:val="009D602F"/>
    <w:rsid w:val="009E070D"/>
    <w:rsid w:val="009E15C4"/>
    <w:rsid w:val="009E1B97"/>
    <w:rsid w:val="009E1D3A"/>
    <w:rsid w:val="009E1DCD"/>
    <w:rsid w:val="009E39A8"/>
    <w:rsid w:val="009E56D9"/>
    <w:rsid w:val="009E58A8"/>
    <w:rsid w:val="009E6131"/>
    <w:rsid w:val="009E682F"/>
    <w:rsid w:val="009E7D35"/>
    <w:rsid w:val="009F14F4"/>
    <w:rsid w:val="009F19A4"/>
    <w:rsid w:val="009F1C40"/>
    <w:rsid w:val="009F2BDF"/>
    <w:rsid w:val="009F55C6"/>
    <w:rsid w:val="009F5876"/>
    <w:rsid w:val="009F67DE"/>
    <w:rsid w:val="009F6CDA"/>
    <w:rsid w:val="009F6FCA"/>
    <w:rsid w:val="00A00659"/>
    <w:rsid w:val="00A007EC"/>
    <w:rsid w:val="00A008E1"/>
    <w:rsid w:val="00A01543"/>
    <w:rsid w:val="00A01A6D"/>
    <w:rsid w:val="00A01EF8"/>
    <w:rsid w:val="00A02B1A"/>
    <w:rsid w:val="00A03060"/>
    <w:rsid w:val="00A03A85"/>
    <w:rsid w:val="00A03AA5"/>
    <w:rsid w:val="00A04778"/>
    <w:rsid w:val="00A053C8"/>
    <w:rsid w:val="00A06BFC"/>
    <w:rsid w:val="00A06CDD"/>
    <w:rsid w:val="00A073A9"/>
    <w:rsid w:val="00A07B82"/>
    <w:rsid w:val="00A07D0F"/>
    <w:rsid w:val="00A117FD"/>
    <w:rsid w:val="00A1184E"/>
    <w:rsid w:val="00A11B5E"/>
    <w:rsid w:val="00A12C84"/>
    <w:rsid w:val="00A134DC"/>
    <w:rsid w:val="00A15667"/>
    <w:rsid w:val="00A1694F"/>
    <w:rsid w:val="00A16C7C"/>
    <w:rsid w:val="00A17647"/>
    <w:rsid w:val="00A20358"/>
    <w:rsid w:val="00A20F6E"/>
    <w:rsid w:val="00A2127A"/>
    <w:rsid w:val="00A215C4"/>
    <w:rsid w:val="00A24866"/>
    <w:rsid w:val="00A26700"/>
    <w:rsid w:val="00A26E4E"/>
    <w:rsid w:val="00A27FD8"/>
    <w:rsid w:val="00A31AA9"/>
    <w:rsid w:val="00A31EBF"/>
    <w:rsid w:val="00A32DFB"/>
    <w:rsid w:val="00A330E5"/>
    <w:rsid w:val="00A3415D"/>
    <w:rsid w:val="00A34BD0"/>
    <w:rsid w:val="00A34BE3"/>
    <w:rsid w:val="00A34CA7"/>
    <w:rsid w:val="00A35059"/>
    <w:rsid w:val="00A35535"/>
    <w:rsid w:val="00A3561C"/>
    <w:rsid w:val="00A3585F"/>
    <w:rsid w:val="00A3587B"/>
    <w:rsid w:val="00A35BEC"/>
    <w:rsid w:val="00A361D1"/>
    <w:rsid w:val="00A374FB"/>
    <w:rsid w:val="00A37C4B"/>
    <w:rsid w:val="00A37C76"/>
    <w:rsid w:val="00A411B0"/>
    <w:rsid w:val="00A417A8"/>
    <w:rsid w:val="00A41F09"/>
    <w:rsid w:val="00A4309C"/>
    <w:rsid w:val="00A43507"/>
    <w:rsid w:val="00A43889"/>
    <w:rsid w:val="00A43909"/>
    <w:rsid w:val="00A447A1"/>
    <w:rsid w:val="00A46689"/>
    <w:rsid w:val="00A50352"/>
    <w:rsid w:val="00A50589"/>
    <w:rsid w:val="00A513A6"/>
    <w:rsid w:val="00A518FB"/>
    <w:rsid w:val="00A51F1C"/>
    <w:rsid w:val="00A527F7"/>
    <w:rsid w:val="00A5299E"/>
    <w:rsid w:val="00A53160"/>
    <w:rsid w:val="00A53A7A"/>
    <w:rsid w:val="00A54528"/>
    <w:rsid w:val="00A56C9D"/>
    <w:rsid w:val="00A6344A"/>
    <w:rsid w:val="00A64847"/>
    <w:rsid w:val="00A648B9"/>
    <w:rsid w:val="00A673A5"/>
    <w:rsid w:val="00A673CF"/>
    <w:rsid w:val="00A67EDF"/>
    <w:rsid w:val="00A70433"/>
    <w:rsid w:val="00A70F04"/>
    <w:rsid w:val="00A71240"/>
    <w:rsid w:val="00A714CF"/>
    <w:rsid w:val="00A7187C"/>
    <w:rsid w:val="00A71E3E"/>
    <w:rsid w:val="00A71EA3"/>
    <w:rsid w:val="00A72168"/>
    <w:rsid w:val="00A7340C"/>
    <w:rsid w:val="00A744AA"/>
    <w:rsid w:val="00A744FC"/>
    <w:rsid w:val="00A74BAF"/>
    <w:rsid w:val="00A81ACE"/>
    <w:rsid w:val="00A83503"/>
    <w:rsid w:val="00A835AC"/>
    <w:rsid w:val="00A83CC8"/>
    <w:rsid w:val="00A83D57"/>
    <w:rsid w:val="00A84480"/>
    <w:rsid w:val="00A84BEF"/>
    <w:rsid w:val="00A84DFC"/>
    <w:rsid w:val="00A87C94"/>
    <w:rsid w:val="00A915B5"/>
    <w:rsid w:val="00A9219D"/>
    <w:rsid w:val="00A93219"/>
    <w:rsid w:val="00A97513"/>
    <w:rsid w:val="00AA07DD"/>
    <w:rsid w:val="00AA1422"/>
    <w:rsid w:val="00AA38BF"/>
    <w:rsid w:val="00AA3D14"/>
    <w:rsid w:val="00AA4A60"/>
    <w:rsid w:val="00AA4D56"/>
    <w:rsid w:val="00AA4FD6"/>
    <w:rsid w:val="00AA5429"/>
    <w:rsid w:val="00AA5509"/>
    <w:rsid w:val="00AA5A01"/>
    <w:rsid w:val="00AA7142"/>
    <w:rsid w:val="00AA7A5C"/>
    <w:rsid w:val="00AB00C6"/>
    <w:rsid w:val="00AB0D23"/>
    <w:rsid w:val="00AB10DC"/>
    <w:rsid w:val="00AB1F0D"/>
    <w:rsid w:val="00AB27E8"/>
    <w:rsid w:val="00AB389C"/>
    <w:rsid w:val="00AB393F"/>
    <w:rsid w:val="00AB41EC"/>
    <w:rsid w:val="00AB47FC"/>
    <w:rsid w:val="00AB4D08"/>
    <w:rsid w:val="00AB56D1"/>
    <w:rsid w:val="00AB5B26"/>
    <w:rsid w:val="00AB6932"/>
    <w:rsid w:val="00AC0C6D"/>
    <w:rsid w:val="00AC0ECE"/>
    <w:rsid w:val="00AC10B9"/>
    <w:rsid w:val="00AC265C"/>
    <w:rsid w:val="00AC2D29"/>
    <w:rsid w:val="00AC3DF2"/>
    <w:rsid w:val="00AC4876"/>
    <w:rsid w:val="00AC5F49"/>
    <w:rsid w:val="00AC6253"/>
    <w:rsid w:val="00AC6C7D"/>
    <w:rsid w:val="00AC6CBA"/>
    <w:rsid w:val="00AC77E7"/>
    <w:rsid w:val="00AC78AE"/>
    <w:rsid w:val="00AD2455"/>
    <w:rsid w:val="00AD316E"/>
    <w:rsid w:val="00AD316F"/>
    <w:rsid w:val="00AD4E9D"/>
    <w:rsid w:val="00AD5D74"/>
    <w:rsid w:val="00AD649E"/>
    <w:rsid w:val="00AE0529"/>
    <w:rsid w:val="00AE233E"/>
    <w:rsid w:val="00AE24B7"/>
    <w:rsid w:val="00AE37CA"/>
    <w:rsid w:val="00AE48B4"/>
    <w:rsid w:val="00AE6139"/>
    <w:rsid w:val="00AE75C3"/>
    <w:rsid w:val="00AF1722"/>
    <w:rsid w:val="00AF179A"/>
    <w:rsid w:val="00AF2BB2"/>
    <w:rsid w:val="00AF2CE8"/>
    <w:rsid w:val="00AF2D51"/>
    <w:rsid w:val="00AF3A3E"/>
    <w:rsid w:val="00AF48AA"/>
    <w:rsid w:val="00AF5B2D"/>
    <w:rsid w:val="00AF6D64"/>
    <w:rsid w:val="00AF7E4C"/>
    <w:rsid w:val="00B00656"/>
    <w:rsid w:val="00B0247E"/>
    <w:rsid w:val="00B026E9"/>
    <w:rsid w:val="00B0354D"/>
    <w:rsid w:val="00B05039"/>
    <w:rsid w:val="00B05997"/>
    <w:rsid w:val="00B077ED"/>
    <w:rsid w:val="00B11AEC"/>
    <w:rsid w:val="00B1227C"/>
    <w:rsid w:val="00B124CD"/>
    <w:rsid w:val="00B14004"/>
    <w:rsid w:val="00B159B8"/>
    <w:rsid w:val="00B174BA"/>
    <w:rsid w:val="00B204AE"/>
    <w:rsid w:val="00B20D60"/>
    <w:rsid w:val="00B21B4A"/>
    <w:rsid w:val="00B21BFB"/>
    <w:rsid w:val="00B21DA2"/>
    <w:rsid w:val="00B22122"/>
    <w:rsid w:val="00B22F57"/>
    <w:rsid w:val="00B2309C"/>
    <w:rsid w:val="00B24B17"/>
    <w:rsid w:val="00B24B24"/>
    <w:rsid w:val="00B250F0"/>
    <w:rsid w:val="00B2521C"/>
    <w:rsid w:val="00B25497"/>
    <w:rsid w:val="00B2564D"/>
    <w:rsid w:val="00B27002"/>
    <w:rsid w:val="00B270D9"/>
    <w:rsid w:val="00B2712E"/>
    <w:rsid w:val="00B2738C"/>
    <w:rsid w:val="00B302AA"/>
    <w:rsid w:val="00B308AD"/>
    <w:rsid w:val="00B30BD4"/>
    <w:rsid w:val="00B31941"/>
    <w:rsid w:val="00B3198F"/>
    <w:rsid w:val="00B3244B"/>
    <w:rsid w:val="00B32A61"/>
    <w:rsid w:val="00B3374F"/>
    <w:rsid w:val="00B3438C"/>
    <w:rsid w:val="00B34C4A"/>
    <w:rsid w:val="00B35172"/>
    <w:rsid w:val="00B3518C"/>
    <w:rsid w:val="00B35436"/>
    <w:rsid w:val="00B362E0"/>
    <w:rsid w:val="00B3728E"/>
    <w:rsid w:val="00B37F7D"/>
    <w:rsid w:val="00B40BD4"/>
    <w:rsid w:val="00B4206C"/>
    <w:rsid w:val="00B422B1"/>
    <w:rsid w:val="00B428D3"/>
    <w:rsid w:val="00B42E96"/>
    <w:rsid w:val="00B43DE8"/>
    <w:rsid w:val="00B45E27"/>
    <w:rsid w:val="00B4632D"/>
    <w:rsid w:val="00B46E04"/>
    <w:rsid w:val="00B4715B"/>
    <w:rsid w:val="00B47A76"/>
    <w:rsid w:val="00B50AC5"/>
    <w:rsid w:val="00B5106A"/>
    <w:rsid w:val="00B515CC"/>
    <w:rsid w:val="00B51B8E"/>
    <w:rsid w:val="00B51C3D"/>
    <w:rsid w:val="00B51E0A"/>
    <w:rsid w:val="00B52048"/>
    <w:rsid w:val="00B52150"/>
    <w:rsid w:val="00B522A8"/>
    <w:rsid w:val="00B525FE"/>
    <w:rsid w:val="00B5302D"/>
    <w:rsid w:val="00B53CA2"/>
    <w:rsid w:val="00B56151"/>
    <w:rsid w:val="00B60178"/>
    <w:rsid w:val="00B60980"/>
    <w:rsid w:val="00B60EF7"/>
    <w:rsid w:val="00B61C65"/>
    <w:rsid w:val="00B6320D"/>
    <w:rsid w:val="00B63723"/>
    <w:rsid w:val="00B638AF"/>
    <w:rsid w:val="00B655FE"/>
    <w:rsid w:val="00B65900"/>
    <w:rsid w:val="00B65C20"/>
    <w:rsid w:val="00B676CA"/>
    <w:rsid w:val="00B678D4"/>
    <w:rsid w:val="00B703FC"/>
    <w:rsid w:val="00B7119C"/>
    <w:rsid w:val="00B746DD"/>
    <w:rsid w:val="00B746E2"/>
    <w:rsid w:val="00B755C3"/>
    <w:rsid w:val="00B75B88"/>
    <w:rsid w:val="00B760A0"/>
    <w:rsid w:val="00B76BA4"/>
    <w:rsid w:val="00B80BEE"/>
    <w:rsid w:val="00B8150F"/>
    <w:rsid w:val="00B81B24"/>
    <w:rsid w:val="00B83F11"/>
    <w:rsid w:val="00B841DF"/>
    <w:rsid w:val="00B84F7C"/>
    <w:rsid w:val="00B8597D"/>
    <w:rsid w:val="00B86B15"/>
    <w:rsid w:val="00B86C23"/>
    <w:rsid w:val="00B87713"/>
    <w:rsid w:val="00B87D40"/>
    <w:rsid w:val="00B87DB0"/>
    <w:rsid w:val="00B92563"/>
    <w:rsid w:val="00B92BD7"/>
    <w:rsid w:val="00B932D7"/>
    <w:rsid w:val="00B93CDA"/>
    <w:rsid w:val="00B93E5B"/>
    <w:rsid w:val="00B95461"/>
    <w:rsid w:val="00B977E7"/>
    <w:rsid w:val="00B97C3C"/>
    <w:rsid w:val="00BA0B8E"/>
    <w:rsid w:val="00BA0CD0"/>
    <w:rsid w:val="00BA14DD"/>
    <w:rsid w:val="00BA2480"/>
    <w:rsid w:val="00BA44DB"/>
    <w:rsid w:val="00BA4C83"/>
    <w:rsid w:val="00BA50B7"/>
    <w:rsid w:val="00BA60D3"/>
    <w:rsid w:val="00BA6769"/>
    <w:rsid w:val="00BA6AAE"/>
    <w:rsid w:val="00BA6B70"/>
    <w:rsid w:val="00BA725A"/>
    <w:rsid w:val="00BB0080"/>
    <w:rsid w:val="00BB1FDF"/>
    <w:rsid w:val="00BB2ACA"/>
    <w:rsid w:val="00BB3265"/>
    <w:rsid w:val="00BB3889"/>
    <w:rsid w:val="00BB508C"/>
    <w:rsid w:val="00BB526A"/>
    <w:rsid w:val="00BB5AB7"/>
    <w:rsid w:val="00BB603B"/>
    <w:rsid w:val="00BB6DF8"/>
    <w:rsid w:val="00BC09BB"/>
    <w:rsid w:val="00BC1753"/>
    <w:rsid w:val="00BC178C"/>
    <w:rsid w:val="00BC20A2"/>
    <w:rsid w:val="00BC2262"/>
    <w:rsid w:val="00BC290D"/>
    <w:rsid w:val="00BC32BC"/>
    <w:rsid w:val="00BC3AC6"/>
    <w:rsid w:val="00BC3B7C"/>
    <w:rsid w:val="00BC4466"/>
    <w:rsid w:val="00BC4CBC"/>
    <w:rsid w:val="00BC4CC7"/>
    <w:rsid w:val="00BC4D3B"/>
    <w:rsid w:val="00BC535B"/>
    <w:rsid w:val="00BC6FA6"/>
    <w:rsid w:val="00BC7A21"/>
    <w:rsid w:val="00BD05B1"/>
    <w:rsid w:val="00BD08D8"/>
    <w:rsid w:val="00BD1981"/>
    <w:rsid w:val="00BD404D"/>
    <w:rsid w:val="00BD582F"/>
    <w:rsid w:val="00BD592E"/>
    <w:rsid w:val="00BD5D27"/>
    <w:rsid w:val="00BD60E0"/>
    <w:rsid w:val="00BD68CF"/>
    <w:rsid w:val="00BE15A2"/>
    <w:rsid w:val="00BE1718"/>
    <w:rsid w:val="00BE1E87"/>
    <w:rsid w:val="00BE2786"/>
    <w:rsid w:val="00BE3B24"/>
    <w:rsid w:val="00BE44DD"/>
    <w:rsid w:val="00BE58CD"/>
    <w:rsid w:val="00BE78C4"/>
    <w:rsid w:val="00BF0CDC"/>
    <w:rsid w:val="00BF12C8"/>
    <w:rsid w:val="00BF1CBB"/>
    <w:rsid w:val="00BF4EB7"/>
    <w:rsid w:val="00BF7EE8"/>
    <w:rsid w:val="00C006E5"/>
    <w:rsid w:val="00C017B6"/>
    <w:rsid w:val="00C049DE"/>
    <w:rsid w:val="00C0549E"/>
    <w:rsid w:val="00C05784"/>
    <w:rsid w:val="00C05B04"/>
    <w:rsid w:val="00C05E85"/>
    <w:rsid w:val="00C07032"/>
    <w:rsid w:val="00C073C3"/>
    <w:rsid w:val="00C07460"/>
    <w:rsid w:val="00C10821"/>
    <w:rsid w:val="00C11311"/>
    <w:rsid w:val="00C11755"/>
    <w:rsid w:val="00C13818"/>
    <w:rsid w:val="00C1567E"/>
    <w:rsid w:val="00C16211"/>
    <w:rsid w:val="00C17CB0"/>
    <w:rsid w:val="00C2090E"/>
    <w:rsid w:val="00C20A49"/>
    <w:rsid w:val="00C20E43"/>
    <w:rsid w:val="00C22C10"/>
    <w:rsid w:val="00C233D0"/>
    <w:rsid w:val="00C23E4F"/>
    <w:rsid w:val="00C24EB7"/>
    <w:rsid w:val="00C253F1"/>
    <w:rsid w:val="00C26E77"/>
    <w:rsid w:val="00C26FC9"/>
    <w:rsid w:val="00C270F0"/>
    <w:rsid w:val="00C27CB7"/>
    <w:rsid w:val="00C30420"/>
    <w:rsid w:val="00C32AB6"/>
    <w:rsid w:val="00C33003"/>
    <w:rsid w:val="00C336DA"/>
    <w:rsid w:val="00C338B3"/>
    <w:rsid w:val="00C33BBC"/>
    <w:rsid w:val="00C347D3"/>
    <w:rsid w:val="00C34DE1"/>
    <w:rsid w:val="00C37358"/>
    <w:rsid w:val="00C37A39"/>
    <w:rsid w:val="00C40F22"/>
    <w:rsid w:val="00C41130"/>
    <w:rsid w:val="00C4164F"/>
    <w:rsid w:val="00C418E3"/>
    <w:rsid w:val="00C422AD"/>
    <w:rsid w:val="00C43382"/>
    <w:rsid w:val="00C44665"/>
    <w:rsid w:val="00C450EA"/>
    <w:rsid w:val="00C4520C"/>
    <w:rsid w:val="00C45981"/>
    <w:rsid w:val="00C45AFA"/>
    <w:rsid w:val="00C46163"/>
    <w:rsid w:val="00C4690F"/>
    <w:rsid w:val="00C51FBA"/>
    <w:rsid w:val="00C5207F"/>
    <w:rsid w:val="00C52115"/>
    <w:rsid w:val="00C52547"/>
    <w:rsid w:val="00C52E70"/>
    <w:rsid w:val="00C53670"/>
    <w:rsid w:val="00C53B91"/>
    <w:rsid w:val="00C5666C"/>
    <w:rsid w:val="00C578D0"/>
    <w:rsid w:val="00C57C6B"/>
    <w:rsid w:val="00C602AD"/>
    <w:rsid w:val="00C61479"/>
    <w:rsid w:val="00C61CDE"/>
    <w:rsid w:val="00C637C8"/>
    <w:rsid w:val="00C640B6"/>
    <w:rsid w:val="00C6512C"/>
    <w:rsid w:val="00C658E8"/>
    <w:rsid w:val="00C70539"/>
    <w:rsid w:val="00C70D4E"/>
    <w:rsid w:val="00C72003"/>
    <w:rsid w:val="00C72795"/>
    <w:rsid w:val="00C730CB"/>
    <w:rsid w:val="00C73AFB"/>
    <w:rsid w:val="00C74E3F"/>
    <w:rsid w:val="00C7570D"/>
    <w:rsid w:val="00C75DF6"/>
    <w:rsid w:val="00C804D4"/>
    <w:rsid w:val="00C812F6"/>
    <w:rsid w:val="00C81398"/>
    <w:rsid w:val="00C81AD9"/>
    <w:rsid w:val="00C81B18"/>
    <w:rsid w:val="00C8294D"/>
    <w:rsid w:val="00C82985"/>
    <w:rsid w:val="00C8330E"/>
    <w:rsid w:val="00C848B3"/>
    <w:rsid w:val="00C8495A"/>
    <w:rsid w:val="00C849B6"/>
    <w:rsid w:val="00C84BB5"/>
    <w:rsid w:val="00C84F4F"/>
    <w:rsid w:val="00C85423"/>
    <w:rsid w:val="00C8550C"/>
    <w:rsid w:val="00C85682"/>
    <w:rsid w:val="00C867B3"/>
    <w:rsid w:val="00C9030A"/>
    <w:rsid w:val="00C92F2F"/>
    <w:rsid w:val="00C93180"/>
    <w:rsid w:val="00C93FB9"/>
    <w:rsid w:val="00C94738"/>
    <w:rsid w:val="00C94A5A"/>
    <w:rsid w:val="00C959FA"/>
    <w:rsid w:val="00CA0AF4"/>
    <w:rsid w:val="00CA1BF5"/>
    <w:rsid w:val="00CA2B03"/>
    <w:rsid w:val="00CA3529"/>
    <w:rsid w:val="00CA36E6"/>
    <w:rsid w:val="00CA55C8"/>
    <w:rsid w:val="00CA5AF4"/>
    <w:rsid w:val="00CA6FB6"/>
    <w:rsid w:val="00CA7C7A"/>
    <w:rsid w:val="00CB0A0E"/>
    <w:rsid w:val="00CB1EFA"/>
    <w:rsid w:val="00CB375F"/>
    <w:rsid w:val="00CB4C86"/>
    <w:rsid w:val="00CB65A1"/>
    <w:rsid w:val="00CB66F4"/>
    <w:rsid w:val="00CB682A"/>
    <w:rsid w:val="00CC00CB"/>
    <w:rsid w:val="00CC11F6"/>
    <w:rsid w:val="00CC1995"/>
    <w:rsid w:val="00CC308A"/>
    <w:rsid w:val="00CC3BAF"/>
    <w:rsid w:val="00CC3CF5"/>
    <w:rsid w:val="00CC3F47"/>
    <w:rsid w:val="00CC5E62"/>
    <w:rsid w:val="00CC6331"/>
    <w:rsid w:val="00CC68D2"/>
    <w:rsid w:val="00CC6A0E"/>
    <w:rsid w:val="00CC77E4"/>
    <w:rsid w:val="00CC7B9C"/>
    <w:rsid w:val="00CC7D48"/>
    <w:rsid w:val="00CC7E7A"/>
    <w:rsid w:val="00CD00E3"/>
    <w:rsid w:val="00CD0441"/>
    <w:rsid w:val="00CD25CD"/>
    <w:rsid w:val="00CD31AC"/>
    <w:rsid w:val="00CD31E4"/>
    <w:rsid w:val="00CD44A7"/>
    <w:rsid w:val="00CD48BA"/>
    <w:rsid w:val="00CD48C6"/>
    <w:rsid w:val="00CD5461"/>
    <w:rsid w:val="00CD6202"/>
    <w:rsid w:val="00CD6718"/>
    <w:rsid w:val="00CD6CCA"/>
    <w:rsid w:val="00CD6F14"/>
    <w:rsid w:val="00CD6F73"/>
    <w:rsid w:val="00CE16FA"/>
    <w:rsid w:val="00CE2FD7"/>
    <w:rsid w:val="00CE34F4"/>
    <w:rsid w:val="00CE44F9"/>
    <w:rsid w:val="00CE450D"/>
    <w:rsid w:val="00CE55F6"/>
    <w:rsid w:val="00CE59B9"/>
    <w:rsid w:val="00CE6646"/>
    <w:rsid w:val="00CF1930"/>
    <w:rsid w:val="00CF1F7C"/>
    <w:rsid w:val="00CF272F"/>
    <w:rsid w:val="00CF4193"/>
    <w:rsid w:val="00CF43DF"/>
    <w:rsid w:val="00CF44CB"/>
    <w:rsid w:val="00CF5C76"/>
    <w:rsid w:val="00CF6094"/>
    <w:rsid w:val="00D00094"/>
    <w:rsid w:val="00D0145F"/>
    <w:rsid w:val="00D01B8E"/>
    <w:rsid w:val="00D01EAC"/>
    <w:rsid w:val="00D0289D"/>
    <w:rsid w:val="00D06A3F"/>
    <w:rsid w:val="00D07321"/>
    <w:rsid w:val="00D07431"/>
    <w:rsid w:val="00D10DC4"/>
    <w:rsid w:val="00D112B8"/>
    <w:rsid w:val="00D11303"/>
    <w:rsid w:val="00D12955"/>
    <w:rsid w:val="00D12CC4"/>
    <w:rsid w:val="00D13503"/>
    <w:rsid w:val="00D15292"/>
    <w:rsid w:val="00D161B1"/>
    <w:rsid w:val="00D165AE"/>
    <w:rsid w:val="00D20151"/>
    <w:rsid w:val="00D2180C"/>
    <w:rsid w:val="00D21B91"/>
    <w:rsid w:val="00D2362B"/>
    <w:rsid w:val="00D2694D"/>
    <w:rsid w:val="00D30D9A"/>
    <w:rsid w:val="00D32123"/>
    <w:rsid w:val="00D32177"/>
    <w:rsid w:val="00D323FD"/>
    <w:rsid w:val="00D32860"/>
    <w:rsid w:val="00D32D2F"/>
    <w:rsid w:val="00D33434"/>
    <w:rsid w:val="00D33AC1"/>
    <w:rsid w:val="00D34B90"/>
    <w:rsid w:val="00D3559F"/>
    <w:rsid w:val="00D3616F"/>
    <w:rsid w:val="00D40060"/>
    <w:rsid w:val="00D410B3"/>
    <w:rsid w:val="00D41192"/>
    <w:rsid w:val="00D41474"/>
    <w:rsid w:val="00D42E80"/>
    <w:rsid w:val="00D4438E"/>
    <w:rsid w:val="00D45224"/>
    <w:rsid w:val="00D4556D"/>
    <w:rsid w:val="00D4626B"/>
    <w:rsid w:val="00D506C4"/>
    <w:rsid w:val="00D53C09"/>
    <w:rsid w:val="00D564D3"/>
    <w:rsid w:val="00D56739"/>
    <w:rsid w:val="00D56EFA"/>
    <w:rsid w:val="00D57A69"/>
    <w:rsid w:val="00D619FD"/>
    <w:rsid w:val="00D62469"/>
    <w:rsid w:val="00D62F6B"/>
    <w:rsid w:val="00D6382E"/>
    <w:rsid w:val="00D64015"/>
    <w:rsid w:val="00D64622"/>
    <w:rsid w:val="00D648BE"/>
    <w:rsid w:val="00D64B86"/>
    <w:rsid w:val="00D66785"/>
    <w:rsid w:val="00D67F44"/>
    <w:rsid w:val="00D70437"/>
    <w:rsid w:val="00D70E66"/>
    <w:rsid w:val="00D70F9B"/>
    <w:rsid w:val="00D71544"/>
    <w:rsid w:val="00D7272F"/>
    <w:rsid w:val="00D72A33"/>
    <w:rsid w:val="00D72DF6"/>
    <w:rsid w:val="00D72F95"/>
    <w:rsid w:val="00D74235"/>
    <w:rsid w:val="00D75A0D"/>
    <w:rsid w:val="00D75A87"/>
    <w:rsid w:val="00D769FC"/>
    <w:rsid w:val="00D76DBB"/>
    <w:rsid w:val="00D7726D"/>
    <w:rsid w:val="00D810B5"/>
    <w:rsid w:val="00D81F9D"/>
    <w:rsid w:val="00D826EE"/>
    <w:rsid w:val="00D84117"/>
    <w:rsid w:val="00D84C29"/>
    <w:rsid w:val="00D85C8E"/>
    <w:rsid w:val="00D86FC5"/>
    <w:rsid w:val="00D877F5"/>
    <w:rsid w:val="00D90F7E"/>
    <w:rsid w:val="00D92597"/>
    <w:rsid w:val="00D94D4A"/>
    <w:rsid w:val="00D95720"/>
    <w:rsid w:val="00D95998"/>
    <w:rsid w:val="00D95E31"/>
    <w:rsid w:val="00DA004E"/>
    <w:rsid w:val="00DA028D"/>
    <w:rsid w:val="00DA0C26"/>
    <w:rsid w:val="00DA0E58"/>
    <w:rsid w:val="00DA0F33"/>
    <w:rsid w:val="00DA274D"/>
    <w:rsid w:val="00DA3BCB"/>
    <w:rsid w:val="00DA4AA5"/>
    <w:rsid w:val="00DA4CE9"/>
    <w:rsid w:val="00DA4EE1"/>
    <w:rsid w:val="00DA4F4E"/>
    <w:rsid w:val="00DA61BC"/>
    <w:rsid w:val="00DA6987"/>
    <w:rsid w:val="00DA6E24"/>
    <w:rsid w:val="00DA7050"/>
    <w:rsid w:val="00DA7F57"/>
    <w:rsid w:val="00DB0568"/>
    <w:rsid w:val="00DB26A6"/>
    <w:rsid w:val="00DB297B"/>
    <w:rsid w:val="00DB39E2"/>
    <w:rsid w:val="00DB4E65"/>
    <w:rsid w:val="00DB5457"/>
    <w:rsid w:val="00DB5AE9"/>
    <w:rsid w:val="00DB78DB"/>
    <w:rsid w:val="00DC0EF6"/>
    <w:rsid w:val="00DC1815"/>
    <w:rsid w:val="00DC2428"/>
    <w:rsid w:val="00DC31A3"/>
    <w:rsid w:val="00DC4C06"/>
    <w:rsid w:val="00DC4D82"/>
    <w:rsid w:val="00DC5CD1"/>
    <w:rsid w:val="00DC78CB"/>
    <w:rsid w:val="00DC7E24"/>
    <w:rsid w:val="00DD01FB"/>
    <w:rsid w:val="00DD16F2"/>
    <w:rsid w:val="00DD188F"/>
    <w:rsid w:val="00DD47A0"/>
    <w:rsid w:val="00DD650D"/>
    <w:rsid w:val="00DD73B5"/>
    <w:rsid w:val="00DE2A37"/>
    <w:rsid w:val="00DE2A9E"/>
    <w:rsid w:val="00DE2B01"/>
    <w:rsid w:val="00DE3B16"/>
    <w:rsid w:val="00DE3CF6"/>
    <w:rsid w:val="00DE5EF0"/>
    <w:rsid w:val="00DE76FB"/>
    <w:rsid w:val="00DE775B"/>
    <w:rsid w:val="00DF0FC7"/>
    <w:rsid w:val="00DF360A"/>
    <w:rsid w:val="00DF3707"/>
    <w:rsid w:val="00DF403F"/>
    <w:rsid w:val="00DF5EC0"/>
    <w:rsid w:val="00DF61CB"/>
    <w:rsid w:val="00DF6376"/>
    <w:rsid w:val="00DF7183"/>
    <w:rsid w:val="00DF721B"/>
    <w:rsid w:val="00E00E7F"/>
    <w:rsid w:val="00E00FF9"/>
    <w:rsid w:val="00E01C3C"/>
    <w:rsid w:val="00E03826"/>
    <w:rsid w:val="00E0456C"/>
    <w:rsid w:val="00E04814"/>
    <w:rsid w:val="00E05957"/>
    <w:rsid w:val="00E05A1E"/>
    <w:rsid w:val="00E0610A"/>
    <w:rsid w:val="00E06440"/>
    <w:rsid w:val="00E103A3"/>
    <w:rsid w:val="00E10414"/>
    <w:rsid w:val="00E10970"/>
    <w:rsid w:val="00E10AEA"/>
    <w:rsid w:val="00E117A0"/>
    <w:rsid w:val="00E11D89"/>
    <w:rsid w:val="00E1220C"/>
    <w:rsid w:val="00E12960"/>
    <w:rsid w:val="00E129E9"/>
    <w:rsid w:val="00E12BE3"/>
    <w:rsid w:val="00E13E43"/>
    <w:rsid w:val="00E14EC4"/>
    <w:rsid w:val="00E150A4"/>
    <w:rsid w:val="00E15C27"/>
    <w:rsid w:val="00E1609D"/>
    <w:rsid w:val="00E1629D"/>
    <w:rsid w:val="00E17B39"/>
    <w:rsid w:val="00E207D8"/>
    <w:rsid w:val="00E24049"/>
    <w:rsid w:val="00E24601"/>
    <w:rsid w:val="00E2616A"/>
    <w:rsid w:val="00E26AA8"/>
    <w:rsid w:val="00E312AD"/>
    <w:rsid w:val="00E313C3"/>
    <w:rsid w:val="00E321B8"/>
    <w:rsid w:val="00E32B5A"/>
    <w:rsid w:val="00E34899"/>
    <w:rsid w:val="00E362B2"/>
    <w:rsid w:val="00E36585"/>
    <w:rsid w:val="00E36B1A"/>
    <w:rsid w:val="00E37861"/>
    <w:rsid w:val="00E412DC"/>
    <w:rsid w:val="00E4158A"/>
    <w:rsid w:val="00E41872"/>
    <w:rsid w:val="00E420F0"/>
    <w:rsid w:val="00E43599"/>
    <w:rsid w:val="00E44126"/>
    <w:rsid w:val="00E44187"/>
    <w:rsid w:val="00E46906"/>
    <w:rsid w:val="00E47384"/>
    <w:rsid w:val="00E50463"/>
    <w:rsid w:val="00E53A3A"/>
    <w:rsid w:val="00E54A1E"/>
    <w:rsid w:val="00E55A74"/>
    <w:rsid w:val="00E55F9C"/>
    <w:rsid w:val="00E602CF"/>
    <w:rsid w:val="00E60361"/>
    <w:rsid w:val="00E62240"/>
    <w:rsid w:val="00E62AC2"/>
    <w:rsid w:val="00E63AA9"/>
    <w:rsid w:val="00E64020"/>
    <w:rsid w:val="00E64C05"/>
    <w:rsid w:val="00E6584F"/>
    <w:rsid w:val="00E65E88"/>
    <w:rsid w:val="00E65F42"/>
    <w:rsid w:val="00E668FB"/>
    <w:rsid w:val="00E66C30"/>
    <w:rsid w:val="00E70F0C"/>
    <w:rsid w:val="00E71122"/>
    <w:rsid w:val="00E7149B"/>
    <w:rsid w:val="00E71EB0"/>
    <w:rsid w:val="00E76A01"/>
    <w:rsid w:val="00E77E32"/>
    <w:rsid w:val="00E77EE7"/>
    <w:rsid w:val="00E82184"/>
    <w:rsid w:val="00E82A1F"/>
    <w:rsid w:val="00E8332A"/>
    <w:rsid w:val="00E83690"/>
    <w:rsid w:val="00E83F05"/>
    <w:rsid w:val="00E85295"/>
    <w:rsid w:val="00E8558D"/>
    <w:rsid w:val="00E875D8"/>
    <w:rsid w:val="00E87C3D"/>
    <w:rsid w:val="00E90F74"/>
    <w:rsid w:val="00E9151B"/>
    <w:rsid w:val="00E9195C"/>
    <w:rsid w:val="00E941B6"/>
    <w:rsid w:val="00E948F6"/>
    <w:rsid w:val="00E9638D"/>
    <w:rsid w:val="00E9750D"/>
    <w:rsid w:val="00E978EA"/>
    <w:rsid w:val="00E97B73"/>
    <w:rsid w:val="00EA03F6"/>
    <w:rsid w:val="00EA065A"/>
    <w:rsid w:val="00EA0772"/>
    <w:rsid w:val="00EA1D63"/>
    <w:rsid w:val="00EA1D8D"/>
    <w:rsid w:val="00EA3FE8"/>
    <w:rsid w:val="00EA5436"/>
    <w:rsid w:val="00EA55DE"/>
    <w:rsid w:val="00EA5F49"/>
    <w:rsid w:val="00EA6232"/>
    <w:rsid w:val="00EB0F6D"/>
    <w:rsid w:val="00EB15DA"/>
    <w:rsid w:val="00EB1BA7"/>
    <w:rsid w:val="00EB2A88"/>
    <w:rsid w:val="00EB2C91"/>
    <w:rsid w:val="00EB6176"/>
    <w:rsid w:val="00EB6457"/>
    <w:rsid w:val="00EB728F"/>
    <w:rsid w:val="00EB7B2B"/>
    <w:rsid w:val="00EC0759"/>
    <w:rsid w:val="00EC0E69"/>
    <w:rsid w:val="00EC0FEC"/>
    <w:rsid w:val="00EC1AEB"/>
    <w:rsid w:val="00EC5486"/>
    <w:rsid w:val="00EC5A05"/>
    <w:rsid w:val="00EC5C70"/>
    <w:rsid w:val="00EC6435"/>
    <w:rsid w:val="00EC79DB"/>
    <w:rsid w:val="00ED05B5"/>
    <w:rsid w:val="00ED1769"/>
    <w:rsid w:val="00ED4163"/>
    <w:rsid w:val="00ED5E49"/>
    <w:rsid w:val="00ED7A67"/>
    <w:rsid w:val="00EE11E2"/>
    <w:rsid w:val="00EE1494"/>
    <w:rsid w:val="00EE2B9D"/>
    <w:rsid w:val="00EE3A74"/>
    <w:rsid w:val="00EE3BF0"/>
    <w:rsid w:val="00EE4628"/>
    <w:rsid w:val="00EE4AC0"/>
    <w:rsid w:val="00EE5ED3"/>
    <w:rsid w:val="00EE63DF"/>
    <w:rsid w:val="00EE7486"/>
    <w:rsid w:val="00EE7718"/>
    <w:rsid w:val="00EE779F"/>
    <w:rsid w:val="00EF01CB"/>
    <w:rsid w:val="00EF20A4"/>
    <w:rsid w:val="00EF40A0"/>
    <w:rsid w:val="00EF41D9"/>
    <w:rsid w:val="00EF4AF9"/>
    <w:rsid w:val="00EF5AAC"/>
    <w:rsid w:val="00EF5D1A"/>
    <w:rsid w:val="00EF6761"/>
    <w:rsid w:val="00EF6B5F"/>
    <w:rsid w:val="00EF6F2D"/>
    <w:rsid w:val="00F01BD3"/>
    <w:rsid w:val="00F021E2"/>
    <w:rsid w:val="00F0265C"/>
    <w:rsid w:val="00F02BB0"/>
    <w:rsid w:val="00F04FA7"/>
    <w:rsid w:val="00F052BB"/>
    <w:rsid w:val="00F05559"/>
    <w:rsid w:val="00F05A8C"/>
    <w:rsid w:val="00F065B3"/>
    <w:rsid w:val="00F06954"/>
    <w:rsid w:val="00F07155"/>
    <w:rsid w:val="00F10AFB"/>
    <w:rsid w:val="00F10F99"/>
    <w:rsid w:val="00F11420"/>
    <w:rsid w:val="00F11495"/>
    <w:rsid w:val="00F118F6"/>
    <w:rsid w:val="00F13898"/>
    <w:rsid w:val="00F13A65"/>
    <w:rsid w:val="00F14A92"/>
    <w:rsid w:val="00F17BE4"/>
    <w:rsid w:val="00F17E82"/>
    <w:rsid w:val="00F2000D"/>
    <w:rsid w:val="00F21091"/>
    <w:rsid w:val="00F22B6D"/>
    <w:rsid w:val="00F22D50"/>
    <w:rsid w:val="00F231CE"/>
    <w:rsid w:val="00F23708"/>
    <w:rsid w:val="00F24A0F"/>
    <w:rsid w:val="00F259CA"/>
    <w:rsid w:val="00F25DF2"/>
    <w:rsid w:val="00F25E18"/>
    <w:rsid w:val="00F27BD3"/>
    <w:rsid w:val="00F3200F"/>
    <w:rsid w:val="00F33E19"/>
    <w:rsid w:val="00F34EA0"/>
    <w:rsid w:val="00F367D8"/>
    <w:rsid w:val="00F373F6"/>
    <w:rsid w:val="00F37B0D"/>
    <w:rsid w:val="00F37D5B"/>
    <w:rsid w:val="00F37FBF"/>
    <w:rsid w:val="00F41C03"/>
    <w:rsid w:val="00F41E3C"/>
    <w:rsid w:val="00F42768"/>
    <w:rsid w:val="00F43A64"/>
    <w:rsid w:val="00F446F3"/>
    <w:rsid w:val="00F44ADE"/>
    <w:rsid w:val="00F45A39"/>
    <w:rsid w:val="00F474AF"/>
    <w:rsid w:val="00F4759A"/>
    <w:rsid w:val="00F4760D"/>
    <w:rsid w:val="00F478AB"/>
    <w:rsid w:val="00F47E52"/>
    <w:rsid w:val="00F47F07"/>
    <w:rsid w:val="00F50586"/>
    <w:rsid w:val="00F5119F"/>
    <w:rsid w:val="00F5175D"/>
    <w:rsid w:val="00F52315"/>
    <w:rsid w:val="00F536CF"/>
    <w:rsid w:val="00F554C7"/>
    <w:rsid w:val="00F55767"/>
    <w:rsid w:val="00F55DC8"/>
    <w:rsid w:val="00F56A78"/>
    <w:rsid w:val="00F56C38"/>
    <w:rsid w:val="00F57173"/>
    <w:rsid w:val="00F57B5F"/>
    <w:rsid w:val="00F617B5"/>
    <w:rsid w:val="00F622D8"/>
    <w:rsid w:val="00F62E71"/>
    <w:rsid w:val="00F62EA5"/>
    <w:rsid w:val="00F63CA6"/>
    <w:rsid w:val="00F660E9"/>
    <w:rsid w:val="00F670FD"/>
    <w:rsid w:val="00F676DA"/>
    <w:rsid w:val="00F70139"/>
    <w:rsid w:val="00F70AA1"/>
    <w:rsid w:val="00F70C4C"/>
    <w:rsid w:val="00F72062"/>
    <w:rsid w:val="00F73CBA"/>
    <w:rsid w:val="00F73E24"/>
    <w:rsid w:val="00F764E9"/>
    <w:rsid w:val="00F76776"/>
    <w:rsid w:val="00F7799B"/>
    <w:rsid w:val="00F8011A"/>
    <w:rsid w:val="00F80334"/>
    <w:rsid w:val="00F81620"/>
    <w:rsid w:val="00F81B76"/>
    <w:rsid w:val="00F82D20"/>
    <w:rsid w:val="00F85DD2"/>
    <w:rsid w:val="00F86399"/>
    <w:rsid w:val="00F86D7B"/>
    <w:rsid w:val="00F86EC6"/>
    <w:rsid w:val="00F90CBC"/>
    <w:rsid w:val="00F912EC"/>
    <w:rsid w:val="00F9149D"/>
    <w:rsid w:val="00F91644"/>
    <w:rsid w:val="00F91CEC"/>
    <w:rsid w:val="00F92039"/>
    <w:rsid w:val="00F92142"/>
    <w:rsid w:val="00F921CF"/>
    <w:rsid w:val="00F9241E"/>
    <w:rsid w:val="00F9295F"/>
    <w:rsid w:val="00F92C48"/>
    <w:rsid w:val="00F92CC8"/>
    <w:rsid w:val="00F932E9"/>
    <w:rsid w:val="00F934ED"/>
    <w:rsid w:val="00F93AB3"/>
    <w:rsid w:val="00F93D00"/>
    <w:rsid w:val="00F93FDA"/>
    <w:rsid w:val="00F94007"/>
    <w:rsid w:val="00F94164"/>
    <w:rsid w:val="00F954C9"/>
    <w:rsid w:val="00F95B66"/>
    <w:rsid w:val="00F95EAE"/>
    <w:rsid w:val="00F96854"/>
    <w:rsid w:val="00F97AF8"/>
    <w:rsid w:val="00FA163C"/>
    <w:rsid w:val="00FA2CED"/>
    <w:rsid w:val="00FA405A"/>
    <w:rsid w:val="00FA6F73"/>
    <w:rsid w:val="00FA743D"/>
    <w:rsid w:val="00FB00EB"/>
    <w:rsid w:val="00FB0779"/>
    <w:rsid w:val="00FB0B6B"/>
    <w:rsid w:val="00FB0F33"/>
    <w:rsid w:val="00FB1900"/>
    <w:rsid w:val="00FB2251"/>
    <w:rsid w:val="00FB31C9"/>
    <w:rsid w:val="00FB56B3"/>
    <w:rsid w:val="00FB58D3"/>
    <w:rsid w:val="00FB6D80"/>
    <w:rsid w:val="00FB7773"/>
    <w:rsid w:val="00FC08DA"/>
    <w:rsid w:val="00FC1CED"/>
    <w:rsid w:val="00FC2B8C"/>
    <w:rsid w:val="00FC5423"/>
    <w:rsid w:val="00FC67E5"/>
    <w:rsid w:val="00FC6AEA"/>
    <w:rsid w:val="00FC6AF0"/>
    <w:rsid w:val="00FC70AF"/>
    <w:rsid w:val="00FC7159"/>
    <w:rsid w:val="00FC73B5"/>
    <w:rsid w:val="00FC7C06"/>
    <w:rsid w:val="00FC7DC5"/>
    <w:rsid w:val="00FD0539"/>
    <w:rsid w:val="00FD0659"/>
    <w:rsid w:val="00FD06ED"/>
    <w:rsid w:val="00FD09A5"/>
    <w:rsid w:val="00FD222E"/>
    <w:rsid w:val="00FD2B1C"/>
    <w:rsid w:val="00FD2F1B"/>
    <w:rsid w:val="00FD32FF"/>
    <w:rsid w:val="00FD652D"/>
    <w:rsid w:val="00FD75B4"/>
    <w:rsid w:val="00FE0B16"/>
    <w:rsid w:val="00FE50B4"/>
    <w:rsid w:val="00FE6A86"/>
    <w:rsid w:val="00FE74C4"/>
    <w:rsid w:val="00FE7B1F"/>
    <w:rsid w:val="00FE7F14"/>
    <w:rsid w:val="00FF01EF"/>
    <w:rsid w:val="00FF05B6"/>
    <w:rsid w:val="00FF1BAF"/>
    <w:rsid w:val="00FF3FAD"/>
    <w:rsid w:val="00FF4669"/>
    <w:rsid w:val="00FF4C98"/>
    <w:rsid w:val="00FF4DA9"/>
    <w:rsid w:val="00FF5F40"/>
    <w:rsid w:val="00FF7440"/>
    <w:rsid w:val="012F0677"/>
    <w:rsid w:val="01342858"/>
    <w:rsid w:val="013B0968"/>
    <w:rsid w:val="01457B13"/>
    <w:rsid w:val="017E5343"/>
    <w:rsid w:val="01814A66"/>
    <w:rsid w:val="01AB74B5"/>
    <w:rsid w:val="01BD575C"/>
    <w:rsid w:val="01DA303B"/>
    <w:rsid w:val="01DA6132"/>
    <w:rsid w:val="01DE7AA6"/>
    <w:rsid w:val="01E4013F"/>
    <w:rsid w:val="01F82F78"/>
    <w:rsid w:val="022E42B7"/>
    <w:rsid w:val="025D718F"/>
    <w:rsid w:val="02976E3A"/>
    <w:rsid w:val="02A22DAC"/>
    <w:rsid w:val="02DB36C4"/>
    <w:rsid w:val="02DD429F"/>
    <w:rsid w:val="03054EC0"/>
    <w:rsid w:val="031445DA"/>
    <w:rsid w:val="031603BF"/>
    <w:rsid w:val="032650D8"/>
    <w:rsid w:val="03400E41"/>
    <w:rsid w:val="035518AA"/>
    <w:rsid w:val="03656041"/>
    <w:rsid w:val="039A3E0A"/>
    <w:rsid w:val="039D2BB9"/>
    <w:rsid w:val="03A66D20"/>
    <w:rsid w:val="03CB5125"/>
    <w:rsid w:val="03DA163C"/>
    <w:rsid w:val="041033F4"/>
    <w:rsid w:val="041A3F8C"/>
    <w:rsid w:val="041C2720"/>
    <w:rsid w:val="041D07F6"/>
    <w:rsid w:val="04251CB1"/>
    <w:rsid w:val="043869BA"/>
    <w:rsid w:val="044B2476"/>
    <w:rsid w:val="046643CD"/>
    <w:rsid w:val="046A109B"/>
    <w:rsid w:val="047570E6"/>
    <w:rsid w:val="04857063"/>
    <w:rsid w:val="04883F50"/>
    <w:rsid w:val="049E51F0"/>
    <w:rsid w:val="0503237F"/>
    <w:rsid w:val="050F42A7"/>
    <w:rsid w:val="05206E7F"/>
    <w:rsid w:val="05645101"/>
    <w:rsid w:val="058A2005"/>
    <w:rsid w:val="059473B8"/>
    <w:rsid w:val="05AB59D1"/>
    <w:rsid w:val="05B96F54"/>
    <w:rsid w:val="05E12A27"/>
    <w:rsid w:val="05E26745"/>
    <w:rsid w:val="05E615FD"/>
    <w:rsid w:val="063613FC"/>
    <w:rsid w:val="06775686"/>
    <w:rsid w:val="069A7310"/>
    <w:rsid w:val="06C90697"/>
    <w:rsid w:val="06E37C92"/>
    <w:rsid w:val="06F90AE1"/>
    <w:rsid w:val="07062F10"/>
    <w:rsid w:val="072526E6"/>
    <w:rsid w:val="07294356"/>
    <w:rsid w:val="072A4100"/>
    <w:rsid w:val="074B53B2"/>
    <w:rsid w:val="075E5C4D"/>
    <w:rsid w:val="076E3C6E"/>
    <w:rsid w:val="07AE1443"/>
    <w:rsid w:val="07DC43DE"/>
    <w:rsid w:val="08155790"/>
    <w:rsid w:val="08230D33"/>
    <w:rsid w:val="085626EF"/>
    <w:rsid w:val="085E69D6"/>
    <w:rsid w:val="08601ECD"/>
    <w:rsid w:val="088E7D3B"/>
    <w:rsid w:val="08A4711A"/>
    <w:rsid w:val="08AC6A74"/>
    <w:rsid w:val="08B82D09"/>
    <w:rsid w:val="08B9043D"/>
    <w:rsid w:val="08BD422C"/>
    <w:rsid w:val="08E1660A"/>
    <w:rsid w:val="08E31CE4"/>
    <w:rsid w:val="08E447D6"/>
    <w:rsid w:val="08EA0E6E"/>
    <w:rsid w:val="093379F4"/>
    <w:rsid w:val="093720D2"/>
    <w:rsid w:val="0939162F"/>
    <w:rsid w:val="09586AFD"/>
    <w:rsid w:val="09746544"/>
    <w:rsid w:val="097E4DEF"/>
    <w:rsid w:val="0987670B"/>
    <w:rsid w:val="09A113C5"/>
    <w:rsid w:val="09C7767B"/>
    <w:rsid w:val="09D12F06"/>
    <w:rsid w:val="09DD0ADC"/>
    <w:rsid w:val="09E545D1"/>
    <w:rsid w:val="09E66F25"/>
    <w:rsid w:val="09F0498C"/>
    <w:rsid w:val="0A0D3DF1"/>
    <w:rsid w:val="0A10364C"/>
    <w:rsid w:val="0A1B0067"/>
    <w:rsid w:val="0A35392F"/>
    <w:rsid w:val="0A453A11"/>
    <w:rsid w:val="0A6230D8"/>
    <w:rsid w:val="0A6547DF"/>
    <w:rsid w:val="0A670F06"/>
    <w:rsid w:val="0A6D4BFF"/>
    <w:rsid w:val="0A773359"/>
    <w:rsid w:val="0A8547C7"/>
    <w:rsid w:val="0A85515D"/>
    <w:rsid w:val="0A9D2308"/>
    <w:rsid w:val="0A9D772E"/>
    <w:rsid w:val="0AAC6D5E"/>
    <w:rsid w:val="0AC31512"/>
    <w:rsid w:val="0AE376EC"/>
    <w:rsid w:val="0AEA74D8"/>
    <w:rsid w:val="0AEF276D"/>
    <w:rsid w:val="0B1D1122"/>
    <w:rsid w:val="0B330C2C"/>
    <w:rsid w:val="0B4D5D73"/>
    <w:rsid w:val="0B5D5DCB"/>
    <w:rsid w:val="0B666046"/>
    <w:rsid w:val="0BAF2C37"/>
    <w:rsid w:val="0BC66307"/>
    <w:rsid w:val="0BE56FD9"/>
    <w:rsid w:val="0C152FCE"/>
    <w:rsid w:val="0C2310A9"/>
    <w:rsid w:val="0C450F34"/>
    <w:rsid w:val="0C7A3413"/>
    <w:rsid w:val="0C842381"/>
    <w:rsid w:val="0C86376F"/>
    <w:rsid w:val="0C924963"/>
    <w:rsid w:val="0CA006DD"/>
    <w:rsid w:val="0CA1263E"/>
    <w:rsid w:val="0CC26D86"/>
    <w:rsid w:val="0CD45921"/>
    <w:rsid w:val="0CDC7545"/>
    <w:rsid w:val="0D145700"/>
    <w:rsid w:val="0D171820"/>
    <w:rsid w:val="0D181335"/>
    <w:rsid w:val="0D21328E"/>
    <w:rsid w:val="0D2544F7"/>
    <w:rsid w:val="0D3C5632"/>
    <w:rsid w:val="0D5B0506"/>
    <w:rsid w:val="0D66602D"/>
    <w:rsid w:val="0DBF68CD"/>
    <w:rsid w:val="0DC43CB1"/>
    <w:rsid w:val="0DD00AF5"/>
    <w:rsid w:val="0DD3456F"/>
    <w:rsid w:val="0E2407CC"/>
    <w:rsid w:val="0E337B8C"/>
    <w:rsid w:val="0E3A2CE9"/>
    <w:rsid w:val="0E613B07"/>
    <w:rsid w:val="0E6E0D9A"/>
    <w:rsid w:val="0E7414FB"/>
    <w:rsid w:val="0E9201B9"/>
    <w:rsid w:val="0EAD6F71"/>
    <w:rsid w:val="0ECD757A"/>
    <w:rsid w:val="0ED05A13"/>
    <w:rsid w:val="0EE4501B"/>
    <w:rsid w:val="0EFE259F"/>
    <w:rsid w:val="0F280521"/>
    <w:rsid w:val="0F3C019B"/>
    <w:rsid w:val="0F7D4E79"/>
    <w:rsid w:val="0F7D5B60"/>
    <w:rsid w:val="0FA030AD"/>
    <w:rsid w:val="0FBA033E"/>
    <w:rsid w:val="0FFB34A3"/>
    <w:rsid w:val="0FFF697D"/>
    <w:rsid w:val="100D05EB"/>
    <w:rsid w:val="102461A8"/>
    <w:rsid w:val="103C3C6D"/>
    <w:rsid w:val="10494D7E"/>
    <w:rsid w:val="105E7A4D"/>
    <w:rsid w:val="10A14702"/>
    <w:rsid w:val="10A14B29"/>
    <w:rsid w:val="10A849BC"/>
    <w:rsid w:val="10AC4FF4"/>
    <w:rsid w:val="10B457FE"/>
    <w:rsid w:val="10BD4BC0"/>
    <w:rsid w:val="10D53BE2"/>
    <w:rsid w:val="10ED28DA"/>
    <w:rsid w:val="110D1362"/>
    <w:rsid w:val="1112755D"/>
    <w:rsid w:val="11424166"/>
    <w:rsid w:val="11BA40C6"/>
    <w:rsid w:val="11BB2A3E"/>
    <w:rsid w:val="11D90D55"/>
    <w:rsid w:val="12015D8B"/>
    <w:rsid w:val="121E3713"/>
    <w:rsid w:val="123B1823"/>
    <w:rsid w:val="12450BAF"/>
    <w:rsid w:val="12695A41"/>
    <w:rsid w:val="12780E91"/>
    <w:rsid w:val="128F25BA"/>
    <w:rsid w:val="129845C3"/>
    <w:rsid w:val="129D7E76"/>
    <w:rsid w:val="12A5120B"/>
    <w:rsid w:val="12A92791"/>
    <w:rsid w:val="12EA425D"/>
    <w:rsid w:val="12ED75A6"/>
    <w:rsid w:val="12FB2923"/>
    <w:rsid w:val="13000BB4"/>
    <w:rsid w:val="13157C5F"/>
    <w:rsid w:val="13303DE9"/>
    <w:rsid w:val="134C00EA"/>
    <w:rsid w:val="13664B2D"/>
    <w:rsid w:val="13683A14"/>
    <w:rsid w:val="13C158A8"/>
    <w:rsid w:val="13C7334C"/>
    <w:rsid w:val="13DC75A8"/>
    <w:rsid w:val="13E81A72"/>
    <w:rsid w:val="13F52C61"/>
    <w:rsid w:val="14257B29"/>
    <w:rsid w:val="14520BBC"/>
    <w:rsid w:val="14B87FE6"/>
    <w:rsid w:val="14D469C7"/>
    <w:rsid w:val="14DB2C30"/>
    <w:rsid w:val="14DC0E23"/>
    <w:rsid w:val="15367A96"/>
    <w:rsid w:val="15594974"/>
    <w:rsid w:val="15AC4A9C"/>
    <w:rsid w:val="15B32FC3"/>
    <w:rsid w:val="15C756C0"/>
    <w:rsid w:val="15DB177A"/>
    <w:rsid w:val="15E61D22"/>
    <w:rsid w:val="160E13BC"/>
    <w:rsid w:val="161201E8"/>
    <w:rsid w:val="16173FD8"/>
    <w:rsid w:val="161C68C4"/>
    <w:rsid w:val="163303D9"/>
    <w:rsid w:val="165709F8"/>
    <w:rsid w:val="165E68B8"/>
    <w:rsid w:val="166A10D5"/>
    <w:rsid w:val="16A07150"/>
    <w:rsid w:val="16B47B98"/>
    <w:rsid w:val="16C230B7"/>
    <w:rsid w:val="16D661B8"/>
    <w:rsid w:val="16E63F2C"/>
    <w:rsid w:val="171462EE"/>
    <w:rsid w:val="174170B6"/>
    <w:rsid w:val="17503BA6"/>
    <w:rsid w:val="175C00C8"/>
    <w:rsid w:val="17E0204B"/>
    <w:rsid w:val="17E26A44"/>
    <w:rsid w:val="17E45112"/>
    <w:rsid w:val="17FA0EDA"/>
    <w:rsid w:val="184A3E2A"/>
    <w:rsid w:val="184E1211"/>
    <w:rsid w:val="188447CE"/>
    <w:rsid w:val="18846D42"/>
    <w:rsid w:val="18880A3A"/>
    <w:rsid w:val="18AF023C"/>
    <w:rsid w:val="18CA4F64"/>
    <w:rsid w:val="18CB6835"/>
    <w:rsid w:val="18E26DEA"/>
    <w:rsid w:val="192505D5"/>
    <w:rsid w:val="192F3EC2"/>
    <w:rsid w:val="19305586"/>
    <w:rsid w:val="194159AF"/>
    <w:rsid w:val="1944708A"/>
    <w:rsid w:val="194D6D6B"/>
    <w:rsid w:val="195F49F3"/>
    <w:rsid w:val="19967B64"/>
    <w:rsid w:val="19CBD3E0"/>
    <w:rsid w:val="19D406DA"/>
    <w:rsid w:val="19DC63DF"/>
    <w:rsid w:val="19E41D92"/>
    <w:rsid w:val="19F932AB"/>
    <w:rsid w:val="1A473D5F"/>
    <w:rsid w:val="1A663F35"/>
    <w:rsid w:val="1A8A186A"/>
    <w:rsid w:val="1A8D2341"/>
    <w:rsid w:val="1A9D396C"/>
    <w:rsid w:val="1AC31A76"/>
    <w:rsid w:val="1AC50F3D"/>
    <w:rsid w:val="1ACA0A70"/>
    <w:rsid w:val="1B0D15D1"/>
    <w:rsid w:val="1B13156E"/>
    <w:rsid w:val="1B593865"/>
    <w:rsid w:val="1B8544F2"/>
    <w:rsid w:val="1BAF0F3A"/>
    <w:rsid w:val="1BB41319"/>
    <w:rsid w:val="1BD73D56"/>
    <w:rsid w:val="1BE42253"/>
    <w:rsid w:val="1C003141"/>
    <w:rsid w:val="1C1F7722"/>
    <w:rsid w:val="1C2F0571"/>
    <w:rsid w:val="1C3D26D4"/>
    <w:rsid w:val="1C544CF0"/>
    <w:rsid w:val="1C574BC2"/>
    <w:rsid w:val="1C5D242E"/>
    <w:rsid w:val="1C8355F9"/>
    <w:rsid w:val="1C9404BE"/>
    <w:rsid w:val="1CAB1104"/>
    <w:rsid w:val="1CBA29EB"/>
    <w:rsid w:val="1CC93BAC"/>
    <w:rsid w:val="1CE16225"/>
    <w:rsid w:val="1D2B4585"/>
    <w:rsid w:val="1D3A2504"/>
    <w:rsid w:val="1D6F1725"/>
    <w:rsid w:val="1D736FD5"/>
    <w:rsid w:val="1D8153D3"/>
    <w:rsid w:val="1D87425E"/>
    <w:rsid w:val="1D9A2DD7"/>
    <w:rsid w:val="1DAF74F7"/>
    <w:rsid w:val="1E183015"/>
    <w:rsid w:val="1E225331"/>
    <w:rsid w:val="1E2471A4"/>
    <w:rsid w:val="1E25772D"/>
    <w:rsid w:val="1E3D1E18"/>
    <w:rsid w:val="1E58737A"/>
    <w:rsid w:val="1E6165B6"/>
    <w:rsid w:val="1E733B57"/>
    <w:rsid w:val="1E7B2CCC"/>
    <w:rsid w:val="1E891E70"/>
    <w:rsid w:val="1E893715"/>
    <w:rsid w:val="1EA054B3"/>
    <w:rsid w:val="1ECA153E"/>
    <w:rsid w:val="1F0D4A96"/>
    <w:rsid w:val="1F1E1C67"/>
    <w:rsid w:val="1F9E756D"/>
    <w:rsid w:val="1FBF2233"/>
    <w:rsid w:val="1FD415D8"/>
    <w:rsid w:val="1FF0448F"/>
    <w:rsid w:val="1FFF2D68"/>
    <w:rsid w:val="201954BC"/>
    <w:rsid w:val="201C1F43"/>
    <w:rsid w:val="203835E2"/>
    <w:rsid w:val="20446C2A"/>
    <w:rsid w:val="206866A0"/>
    <w:rsid w:val="207D1368"/>
    <w:rsid w:val="20816CA9"/>
    <w:rsid w:val="20880E51"/>
    <w:rsid w:val="208A327C"/>
    <w:rsid w:val="2099529D"/>
    <w:rsid w:val="20B2070A"/>
    <w:rsid w:val="20B93896"/>
    <w:rsid w:val="20BC2DAD"/>
    <w:rsid w:val="20C459C9"/>
    <w:rsid w:val="20C71C38"/>
    <w:rsid w:val="20FD731C"/>
    <w:rsid w:val="20FE67E6"/>
    <w:rsid w:val="21070C90"/>
    <w:rsid w:val="21701457"/>
    <w:rsid w:val="2170325F"/>
    <w:rsid w:val="217150C1"/>
    <w:rsid w:val="217515B7"/>
    <w:rsid w:val="2180316D"/>
    <w:rsid w:val="21915C57"/>
    <w:rsid w:val="21AE6052"/>
    <w:rsid w:val="21B22C4E"/>
    <w:rsid w:val="21DB4BF4"/>
    <w:rsid w:val="21E06762"/>
    <w:rsid w:val="21FE2320"/>
    <w:rsid w:val="22262E6F"/>
    <w:rsid w:val="223A16EC"/>
    <w:rsid w:val="227D0BFF"/>
    <w:rsid w:val="227F1B75"/>
    <w:rsid w:val="22863657"/>
    <w:rsid w:val="229854BE"/>
    <w:rsid w:val="229F4D16"/>
    <w:rsid w:val="22A43D5B"/>
    <w:rsid w:val="22AE7FBA"/>
    <w:rsid w:val="22DC6AC1"/>
    <w:rsid w:val="22EF62DA"/>
    <w:rsid w:val="231C4807"/>
    <w:rsid w:val="231E0FA0"/>
    <w:rsid w:val="2351613F"/>
    <w:rsid w:val="23793872"/>
    <w:rsid w:val="237E6CD9"/>
    <w:rsid w:val="238C7D42"/>
    <w:rsid w:val="23A135EE"/>
    <w:rsid w:val="23AC564C"/>
    <w:rsid w:val="23BF5003"/>
    <w:rsid w:val="23D51873"/>
    <w:rsid w:val="23D61C92"/>
    <w:rsid w:val="23E806CF"/>
    <w:rsid w:val="23FB4A8F"/>
    <w:rsid w:val="23FE7406"/>
    <w:rsid w:val="24112498"/>
    <w:rsid w:val="243A6A30"/>
    <w:rsid w:val="244D6A7D"/>
    <w:rsid w:val="247E6945"/>
    <w:rsid w:val="249E06DB"/>
    <w:rsid w:val="24A42427"/>
    <w:rsid w:val="24AE0CF8"/>
    <w:rsid w:val="24B845A3"/>
    <w:rsid w:val="24CC65BF"/>
    <w:rsid w:val="24D873F5"/>
    <w:rsid w:val="24E017CD"/>
    <w:rsid w:val="24E17CB8"/>
    <w:rsid w:val="24E8643F"/>
    <w:rsid w:val="24F1620A"/>
    <w:rsid w:val="25295B0C"/>
    <w:rsid w:val="253F19AA"/>
    <w:rsid w:val="25472081"/>
    <w:rsid w:val="256C2B48"/>
    <w:rsid w:val="257E77A0"/>
    <w:rsid w:val="258F2B77"/>
    <w:rsid w:val="25950E9F"/>
    <w:rsid w:val="25A509B2"/>
    <w:rsid w:val="25C80CFF"/>
    <w:rsid w:val="25DF1481"/>
    <w:rsid w:val="25E558C1"/>
    <w:rsid w:val="25E72081"/>
    <w:rsid w:val="26035611"/>
    <w:rsid w:val="26053D74"/>
    <w:rsid w:val="260805A9"/>
    <w:rsid w:val="26251AEB"/>
    <w:rsid w:val="263C6416"/>
    <w:rsid w:val="26437490"/>
    <w:rsid w:val="26646141"/>
    <w:rsid w:val="26753F85"/>
    <w:rsid w:val="26922307"/>
    <w:rsid w:val="269664DA"/>
    <w:rsid w:val="26A73CD6"/>
    <w:rsid w:val="26B6486E"/>
    <w:rsid w:val="26BD1DC4"/>
    <w:rsid w:val="26C44FF2"/>
    <w:rsid w:val="26C92E8E"/>
    <w:rsid w:val="26D50B6F"/>
    <w:rsid w:val="26FC6781"/>
    <w:rsid w:val="272C4AD7"/>
    <w:rsid w:val="27526BAA"/>
    <w:rsid w:val="275E1797"/>
    <w:rsid w:val="27621099"/>
    <w:rsid w:val="27775998"/>
    <w:rsid w:val="27A140D1"/>
    <w:rsid w:val="27CF57EF"/>
    <w:rsid w:val="27DD5981"/>
    <w:rsid w:val="27F34C18"/>
    <w:rsid w:val="280C52A4"/>
    <w:rsid w:val="281E7321"/>
    <w:rsid w:val="281F7F99"/>
    <w:rsid w:val="28446FCE"/>
    <w:rsid w:val="284944BD"/>
    <w:rsid w:val="28592EF1"/>
    <w:rsid w:val="287953EB"/>
    <w:rsid w:val="28806DF0"/>
    <w:rsid w:val="28900BA9"/>
    <w:rsid w:val="28AB4CF7"/>
    <w:rsid w:val="28FA0E51"/>
    <w:rsid w:val="29062F9E"/>
    <w:rsid w:val="29095CAB"/>
    <w:rsid w:val="290975E3"/>
    <w:rsid w:val="294B4DF3"/>
    <w:rsid w:val="296B1D49"/>
    <w:rsid w:val="29897063"/>
    <w:rsid w:val="29A625D4"/>
    <w:rsid w:val="29B66D45"/>
    <w:rsid w:val="29BC1EEE"/>
    <w:rsid w:val="29C15399"/>
    <w:rsid w:val="29E602AE"/>
    <w:rsid w:val="29F400BD"/>
    <w:rsid w:val="2A0318CF"/>
    <w:rsid w:val="2A034757"/>
    <w:rsid w:val="2A064835"/>
    <w:rsid w:val="2A382396"/>
    <w:rsid w:val="2A3F11DE"/>
    <w:rsid w:val="2A5B4686"/>
    <w:rsid w:val="2A743F76"/>
    <w:rsid w:val="2A7C62FD"/>
    <w:rsid w:val="2A7F788B"/>
    <w:rsid w:val="2A8C7A40"/>
    <w:rsid w:val="2AA75462"/>
    <w:rsid w:val="2AB36259"/>
    <w:rsid w:val="2AB54AE1"/>
    <w:rsid w:val="2AC33054"/>
    <w:rsid w:val="2ACF3C39"/>
    <w:rsid w:val="2AED60DB"/>
    <w:rsid w:val="2AFF0434"/>
    <w:rsid w:val="2B033607"/>
    <w:rsid w:val="2B4C2697"/>
    <w:rsid w:val="2B5451DF"/>
    <w:rsid w:val="2B547374"/>
    <w:rsid w:val="2B5A1BA0"/>
    <w:rsid w:val="2B7D2315"/>
    <w:rsid w:val="2B8C63BF"/>
    <w:rsid w:val="2B9F2760"/>
    <w:rsid w:val="2BA13DFE"/>
    <w:rsid w:val="2BA8039F"/>
    <w:rsid w:val="2BD262B8"/>
    <w:rsid w:val="2BF245D0"/>
    <w:rsid w:val="2C112B99"/>
    <w:rsid w:val="2C227368"/>
    <w:rsid w:val="2C3B411A"/>
    <w:rsid w:val="2C426046"/>
    <w:rsid w:val="2CAA5D08"/>
    <w:rsid w:val="2CEF4F28"/>
    <w:rsid w:val="2D064334"/>
    <w:rsid w:val="2D131D6B"/>
    <w:rsid w:val="2D1D755D"/>
    <w:rsid w:val="2D3357C2"/>
    <w:rsid w:val="2D5F547B"/>
    <w:rsid w:val="2D6079A4"/>
    <w:rsid w:val="2D6A1BB6"/>
    <w:rsid w:val="2D703FDF"/>
    <w:rsid w:val="2DB04CC6"/>
    <w:rsid w:val="2DC84843"/>
    <w:rsid w:val="2DCD7FAF"/>
    <w:rsid w:val="2DF1284B"/>
    <w:rsid w:val="2E051402"/>
    <w:rsid w:val="2E224F15"/>
    <w:rsid w:val="2E277B39"/>
    <w:rsid w:val="2E2E1D59"/>
    <w:rsid w:val="2E3C2DEA"/>
    <w:rsid w:val="2E475E8E"/>
    <w:rsid w:val="2E8A131D"/>
    <w:rsid w:val="2EAE0A26"/>
    <w:rsid w:val="2EB166DA"/>
    <w:rsid w:val="2EC17786"/>
    <w:rsid w:val="2ED365DA"/>
    <w:rsid w:val="2EF95C10"/>
    <w:rsid w:val="2F115AC7"/>
    <w:rsid w:val="2F373202"/>
    <w:rsid w:val="2F4706D4"/>
    <w:rsid w:val="2F5A0DD1"/>
    <w:rsid w:val="2F646EDC"/>
    <w:rsid w:val="2F7F5B82"/>
    <w:rsid w:val="2F8A1F4B"/>
    <w:rsid w:val="2FF10A37"/>
    <w:rsid w:val="30313AEB"/>
    <w:rsid w:val="30330B57"/>
    <w:rsid w:val="30596B8B"/>
    <w:rsid w:val="30655558"/>
    <w:rsid w:val="30753F5F"/>
    <w:rsid w:val="30AC3C17"/>
    <w:rsid w:val="30B545AA"/>
    <w:rsid w:val="312447A0"/>
    <w:rsid w:val="312B6170"/>
    <w:rsid w:val="312E68CE"/>
    <w:rsid w:val="314725D9"/>
    <w:rsid w:val="314C4E6C"/>
    <w:rsid w:val="31902C48"/>
    <w:rsid w:val="31A01BA6"/>
    <w:rsid w:val="31BF6BA4"/>
    <w:rsid w:val="31CD5062"/>
    <w:rsid w:val="31CF1E3E"/>
    <w:rsid w:val="31DB49DD"/>
    <w:rsid w:val="31E65944"/>
    <w:rsid w:val="31EB0128"/>
    <w:rsid w:val="31F0230B"/>
    <w:rsid w:val="321B2A40"/>
    <w:rsid w:val="32324E6C"/>
    <w:rsid w:val="323B34BF"/>
    <w:rsid w:val="329706D6"/>
    <w:rsid w:val="32E64618"/>
    <w:rsid w:val="330F1F65"/>
    <w:rsid w:val="3322596D"/>
    <w:rsid w:val="3340745E"/>
    <w:rsid w:val="334B2E2A"/>
    <w:rsid w:val="337A1A02"/>
    <w:rsid w:val="33976A61"/>
    <w:rsid w:val="33A24BDF"/>
    <w:rsid w:val="33B769CC"/>
    <w:rsid w:val="33CA7CBD"/>
    <w:rsid w:val="34492F16"/>
    <w:rsid w:val="34527CE6"/>
    <w:rsid w:val="34864385"/>
    <w:rsid w:val="34D53238"/>
    <w:rsid w:val="34E10FDB"/>
    <w:rsid w:val="35402119"/>
    <w:rsid w:val="355F7D17"/>
    <w:rsid w:val="35656C01"/>
    <w:rsid w:val="35851CFE"/>
    <w:rsid w:val="35A3197C"/>
    <w:rsid w:val="35C90E07"/>
    <w:rsid w:val="35CA25A7"/>
    <w:rsid w:val="360224A9"/>
    <w:rsid w:val="36113E5B"/>
    <w:rsid w:val="362427FF"/>
    <w:rsid w:val="365A70F4"/>
    <w:rsid w:val="36707B23"/>
    <w:rsid w:val="3672460F"/>
    <w:rsid w:val="3674728C"/>
    <w:rsid w:val="36805626"/>
    <w:rsid w:val="36896C27"/>
    <w:rsid w:val="36925EC1"/>
    <w:rsid w:val="369B59FD"/>
    <w:rsid w:val="36CE69A1"/>
    <w:rsid w:val="36E47FB4"/>
    <w:rsid w:val="37056AC8"/>
    <w:rsid w:val="370B27BE"/>
    <w:rsid w:val="3731646A"/>
    <w:rsid w:val="37387BE2"/>
    <w:rsid w:val="373C15FF"/>
    <w:rsid w:val="374078E1"/>
    <w:rsid w:val="3744252A"/>
    <w:rsid w:val="37A2268B"/>
    <w:rsid w:val="37BC0C31"/>
    <w:rsid w:val="37C73F5F"/>
    <w:rsid w:val="37EC1AB8"/>
    <w:rsid w:val="37F56CE3"/>
    <w:rsid w:val="382C2525"/>
    <w:rsid w:val="383F09F1"/>
    <w:rsid w:val="384C3344"/>
    <w:rsid w:val="385C6483"/>
    <w:rsid w:val="3875404F"/>
    <w:rsid w:val="388762A5"/>
    <w:rsid w:val="38C44F96"/>
    <w:rsid w:val="38EE2589"/>
    <w:rsid w:val="38FD6CFE"/>
    <w:rsid w:val="391E5898"/>
    <w:rsid w:val="399A6D5A"/>
    <w:rsid w:val="39AB0C18"/>
    <w:rsid w:val="39CD5DD8"/>
    <w:rsid w:val="39D92652"/>
    <w:rsid w:val="39E71181"/>
    <w:rsid w:val="3A06009B"/>
    <w:rsid w:val="3A1472D4"/>
    <w:rsid w:val="3A9A19AA"/>
    <w:rsid w:val="3A9E5220"/>
    <w:rsid w:val="3AB675B5"/>
    <w:rsid w:val="3AC36949"/>
    <w:rsid w:val="3ACC4674"/>
    <w:rsid w:val="3AF54968"/>
    <w:rsid w:val="3AF67BF5"/>
    <w:rsid w:val="3B0C109E"/>
    <w:rsid w:val="3B1622CF"/>
    <w:rsid w:val="3B174D50"/>
    <w:rsid w:val="3B223FBA"/>
    <w:rsid w:val="3B3E148C"/>
    <w:rsid w:val="3B951ABA"/>
    <w:rsid w:val="3B982578"/>
    <w:rsid w:val="3B9A4E6A"/>
    <w:rsid w:val="3BD56DBC"/>
    <w:rsid w:val="3BDE433B"/>
    <w:rsid w:val="3BEE04F8"/>
    <w:rsid w:val="3BFD2B61"/>
    <w:rsid w:val="3C5807EF"/>
    <w:rsid w:val="3C5E1898"/>
    <w:rsid w:val="3C8214CE"/>
    <w:rsid w:val="3C926B09"/>
    <w:rsid w:val="3CAB7046"/>
    <w:rsid w:val="3CAD3545"/>
    <w:rsid w:val="3CAE0646"/>
    <w:rsid w:val="3CE7188D"/>
    <w:rsid w:val="3CFF2E9C"/>
    <w:rsid w:val="3D3161CA"/>
    <w:rsid w:val="3D382A3C"/>
    <w:rsid w:val="3D3F4020"/>
    <w:rsid w:val="3D497E95"/>
    <w:rsid w:val="3D5D4285"/>
    <w:rsid w:val="3D694398"/>
    <w:rsid w:val="3DC00276"/>
    <w:rsid w:val="3E38163C"/>
    <w:rsid w:val="3E544ACE"/>
    <w:rsid w:val="3E7552A2"/>
    <w:rsid w:val="3E921EF5"/>
    <w:rsid w:val="3EAC2183"/>
    <w:rsid w:val="3ED2670F"/>
    <w:rsid w:val="3EDA7B13"/>
    <w:rsid w:val="3EE1013B"/>
    <w:rsid w:val="3EF01B59"/>
    <w:rsid w:val="3EF43EB3"/>
    <w:rsid w:val="3EFB1C8B"/>
    <w:rsid w:val="3F0830E5"/>
    <w:rsid w:val="3F1C0834"/>
    <w:rsid w:val="3F246512"/>
    <w:rsid w:val="3F3D304D"/>
    <w:rsid w:val="3F596069"/>
    <w:rsid w:val="3F6854DC"/>
    <w:rsid w:val="3F896554"/>
    <w:rsid w:val="3F8E7C53"/>
    <w:rsid w:val="3FAA16E8"/>
    <w:rsid w:val="3FB849CF"/>
    <w:rsid w:val="3FDE7CCB"/>
    <w:rsid w:val="3FE15D4E"/>
    <w:rsid w:val="3FE87894"/>
    <w:rsid w:val="3FF24736"/>
    <w:rsid w:val="40285AAD"/>
    <w:rsid w:val="404D31CF"/>
    <w:rsid w:val="40513A6A"/>
    <w:rsid w:val="40686D05"/>
    <w:rsid w:val="406872F9"/>
    <w:rsid w:val="407F2AFB"/>
    <w:rsid w:val="40B94622"/>
    <w:rsid w:val="40E56436"/>
    <w:rsid w:val="41005A08"/>
    <w:rsid w:val="4109267F"/>
    <w:rsid w:val="41257384"/>
    <w:rsid w:val="41773158"/>
    <w:rsid w:val="41C01E64"/>
    <w:rsid w:val="41C9059B"/>
    <w:rsid w:val="41E8011C"/>
    <w:rsid w:val="41E850FD"/>
    <w:rsid w:val="41FA00D0"/>
    <w:rsid w:val="42580FAD"/>
    <w:rsid w:val="42821B9B"/>
    <w:rsid w:val="42825CA7"/>
    <w:rsid w:val="42A850C0"/>
    <w:rsid w:val="42AE6B51"/>
    <w:rsid w:val="42C5190D"/>
    <w:rsid w:val="42FB7AE0"/>
    <w:rsid w:val="434C616C"/>
    <w:rsid w:val="439B3058"/>
    <w:rsid w:val="43AA02EC"/>
    <w:rsid w:val="43CF4FB7"/>
    <w:rsid w:val="43D03FF1"/>
    <w:rsid w:val="43DA1EBF"/>
    <w:rsid w:val="43E47436"/>
    <w:rsid w:val="440E2E1C"/>
    <w:rsid w:val="44157EDD"/>
    <w:rsid w:val="442048DD"/>
    <w:rsid w:val="444927B2"/>
    <w:rsid w:val="4449286D"/>
    <w:rsid w:val="44506D18"/>
    <w:rsid w:val="44676FC7"/>
    <w:rsid w:val="44944761"/>
    <w:rsid w:val="44991EFD"/>
    <w:rsid w:val="44C64B75"/>
    <w:rsid w:val="44D05F7E"/>
    <w:rsid w:val="44F33DE8"/>
    <w:rsid w:val="44F501F1"/>
    <w:rsid w:val="44F56A78"/>
    <w:rsid w:val="45031F87"/>
    <w:rsid w:val="45060930"/>
    <w:rsid w:val="453D318D"/>
    <w:rsid w:val="4549236B"/>
    <w:rsid w:val="45633339"/>
    <w:rsid w:val="458564BB"/>
    <w:rsid w:val="45BC1275"/>
    <w:rsid w:val="45C3787B"/>
    <w:rsid w:val="45D52F10"/>
    <w:rsid w:val="45D53895"/>
    <w:rsid w:val="46074919"/>
    <w:rsid w:val="462C587B"/>
    <w:rsid w:val="462E1313"/>
    <w:rsid w:val="463E5968"/>
    <w:rsid w:val="46775896"/>
    <w:rsid w:val="467E42C8"/>
    <w:rsid w:val="46801775"/>
    <w:rsid w:val="468B0F7C"/>
    <w:rsid w:val="468E278E"/>
    <w:rsid w:val="46AC063A"/>
    <w:rsid w:val="46E314B4"/>
    <w:rsid w:val="46E6370E"/>
    <w:rsid w:val="46EC32FB"/>
    <w:rsid w:val="470D5511"/>
    <w:rsid w:val="47513D91"/>
    <w:rsid w:val="476B54DC"/>
    <w:rsid w:val="47AD08E1"/>
    <w:rsid w:val="47D60F1E"/>
    <w:rsid w:val="47F70F50"/>
    <w:rsid w:val="4811163F"/>
    <w:rsid w:val="48142407"/>
    <w:rsid w:val="48145493"/>
    <w:rsid w:val="486663E5"/>
    <w:rsid w:val="486870A9"/>
    <w:rsid w:val="486F2D6A"/>
    <w:rsid w:val="48762AED"/>
    <w:rsid w:val="48F37197"/>
    <w:rsid w:val="490D3EBD"/>
    <w:rsid w:val="491D31DE"/>
    <w:rsid w:val="49274D05"/>
    <w:rsid w:val="498A27AD"/>
    <w:rsid w:val="498B553A"/>
    <w:rsid w:val="49A44653"/>
    <w:rsid w:val="49D85E9A"/>
    <w:rsid w:val="49F237C5"/>
    <w:rsid w:val="49F564C4"/>
    <w:rsid w:val="4A410BAE"/>
    <w:rsid w:val="4A450A6D"/>
    <w:rsid w:val="4A613512"/>
    <w:rsid w:val="4A643214"/>
    <w:rsid w:val="4A7E2187"/>
    <w:rsid w:val="4A847609"/>
    <w:rsid w:val="4A8479EE"/>
    <w:rsid w:val="4A936085"/>
    <w:rsid w:val="4A9A1EE7"/>
    <w:rsid w:val="4AA57F2D"/>
    <w:rsid w:val="4ABD4CB3"/>
    <w:rsid w:val="4ACA748C"/>
    <w:rsid w:val="4AE55D5C"/>
    <w:rsid w:val="4B086499"/>
    <w:rsid w:val="4B1E6129"/>
    <w:rsid w:val="4B3A33D9"/>
    <w:rsid w:val="4B481267"/>
    <w:rsid w:val="4B580B2A"/>
    <w:rsid w:val="4B5F651F"/>
    <w:rsid w:val="4B7B5600"/>
    <w:rsid w:val="4B7C2C4B"/>
    <w:rsid w:val="4B9E5E7A"/>
    <w:rsid w:val="4BE324A0"/>
    <w:rsid w:val="4BED0CF0"/>
    <w:rsid w:val="4BFA2C92"/>
    <w:rsid w:val="4C3034E2"/>
    <w:rsid w:val="4C317C0D"/>
    <w:rsid w:val="4C333065"/>
    <w:rsid w:val="4C570A51"/>
    <w:rsid w:val="4C8F43B2"/>
    <w:rsid w:val="4C9445E0"/>
    <w:rsid w:val="4CCE6547"/>
    <w:rsid w:val="4D4B1D03"/>
    <w:rsid w:val="4D4E7439"/>
    <w:rsid w:val="4D503A5A"/>
    <w:rsid w:val="4D69238D"/>
    <w:rsid w:val="4D8004B8"/>
    <w:rsid w:val="4D8E0FA5"/>
    <w:rsid w:val="4D9B2D3E"/>
    <w:rsid w:val="4E210935"/>
    <w:rsid w:val="4E2C33CF"/>
    <w:rsid w:val="4E30634B"/>
    <w:rsid w:val="4E391CE2"/>
    <w:rsid w:val="4E5A75D8"/>
    <w:rsid w:val="4E891B6E"/>
    <w:rsid w:val="4E9842FF"/>
    <w:rsid w:val="4EBA4566"/>
    <w:rsid w:val="4EBC742B"/>
    <w:rsid w:val="4EBD0135"/>
    <w:rsid w:val="4EC221EB"/>
    <w:rsid w:val="4EC45138"/>
    <w:rsid w:val="4ECD4781"/>
    <w:rsid w:val="4ED341D6"/>
    <w:rsid w:val="4F1E085D"/>
    <w:rsid w:val="4F2363EA"/>
    <w:rsid w:val="4F3D13B9"/>
    <w:rsid w:val="4F4676B3"/>
    <w:rsid w:val="4F5419D0"/>
    <w:rsid w:val="4F657020"/>
    <w:rsid w:val="4F787B4A"/>
    <w:rsid w:val="4F886106"/>
    <w:rsid w:val="4F8E6C8E"/>
    <w:rsid w:val="4F9B0F2F"/>
    <w:rsid w:val="4FA076C9"/>
    <w:rsid w:val="4FAD3B93"/>
    <w:rsid w:val="4FC15AB0"/>
    <w:rsid w:val="4FC34924"/>
    <w:rsid w:val="4FDA20F6"/>
    <w:rsid w:val="4FE32117"/>
    <w:rsid w:val="4FE810B2"/>
    <w:rsid w:val="4FEE0AB0"/>
    <w:rsid w:val="4FF660A3"/>
    <w:rsid w:val="504A36F2"/>
    <w:rsid w:val="506A0682"/>
    <w:rsid w:val="50771E94"/>
    <w:rsid w:val="507A4DAD"/>
    <w:rsid w:val="508B6819"/>
    <w:rsid w:val="508C2E17"/>
    <w:rsid w:val="50922C59"/>
    <w:rsid w:val="50D84B92"/>
    <w:rsid w:val="50D85AD1"/>
    <w:rsid w:val="50FD283B"/>
    <w:rsid w:val="51371D9D"/>
    <w:rsid w:val="514439FA"/>
    <w:rsid w:val="516C0B41"/>
    <w:rsid w:val="517B747C"/>
    <w:rsid w:val="51AB00C6"/>
    <w:rsid w:val="51DA671A"/>
    <w:rsid w:val="51E548DC"/>
    <w:rsid w:val="51EB4045"/>
    <w:rsid w:val="51EE2D53"/>
    <w:rsid w:val="51FE79D8"/>
    <w:rsid w:val="52245838"/>
    <w:rsid w:val="522B3139"/>
    <w:rsid w:val="522E0FA1"/>
    <w:rsid w:val="52430DA4"/>
    <w:rsid w:val="524B22B2"/>
    <w:rsid w:val="529E4384"/>
    <w:rsid w:val="52A13233"/>
    <w:rsid w:val="52A52EBB"/>
    <w:rsid w:val="52A72091"/>
    <w:rsid w:val="52AD0CCD"/>
    <w:rsid w:val="52B828CA"/>
    <w:rsid w:val="52C2375C"/>
    <w:rsid w:val="52E57B81"/>
    <w:rsid w:val="52EF122B"/>
    <w:rsid w:val="53030D15"/>
    <w:rsid w:val="53123EFF"/>
    <w:rsid w:val="53162C32"/>
    <w:rsid w:val="53221710"/>
    <w:rsid w:val="533830F3"/>
    <w:rsid w:val="53516E6B"/>
    <w:rsid w:val="536D715A"/>
    <w:rsid w:val="53735C49"/>
    <w:rsid w:val="53835867"/>
    <w:rsid w:val="538802AE"/>
    <w:rsid w:val="538B2A04"/>
    <w:rsid w:val="539035EE"/>
    <w:rsid w:val="53AF3E35"/>
    <w:rsid w:val="53AF5476"/>
    <w:rsid w:val="53B20CAF"/>
    <w:rsid w:val="53C42B4B"/>
    <w:rsid w:val="53D5282C"/>
    <w:rsid w:val="53E742FC"/>
    <w:rsid w:val="53F433FD"/>
    <w:rsid w:val="53F80471"/>
    <w:rsid w:val="540C2D6F"/>
    <w:rsid w:val="5415163F"/>
    <w:rsid w:val="544755EC"/>
    <w:rsid w:val="54563522"/>
    <w:rsid w:val="54580D1C"/>
    <w:rsid w:val="545E377E"/>
    <w:rsid w:val="548367A9"/>
    <w:rsid w:val="549558A0"/>
    <w:rsid w:val="549F3437"/>
    <w:rsid w:val="54FC0FFB"/>
    <w:rsid w:val="55096072"/>
    <w:rsid w:val="5530382A"/>
    <w:rsid w:val="553A3871"/>
    <w:rsid w:val="554B07B7"/>
    <w:rsid w:val="555C23F7"/>
    <w:rsid w:val="5560786B"/>
    <w:rsid w:val="55787DB1"/>
    <w:rsid w:val="557E1A5A"/>
    <w:rsid w:val="5580258E"/>
    <w:rsid w:val="55917488"/>
    <w:rsid w:val="55A7121A"/>
    <w:rsid w:val="55D91C8A"/>
    <w:rsid w:val="55DF4635"/>
    <w:rsid w:val="55E837F5"/>
    <w:rsid w:val="560E4E87"/>
    <w:rsid w:val="562F5327"/>
    <w:rsid w:val="56487620"/>
    <w:rsid w:val="567E2E27"/>
    <w:rsid w:val="567F78C0"/>
    <w:rsid w:val="568C6BF9"/>
    <w:rsid w:val="56A87B80"/>
    <w:rsid w:val="56C54A5C"/>
    <w:rsid w:val="56D50094"/>
    <w:rsid w:val="56F667C9"/>
    <w:rsid w:val="5721185E"/>
    <w:rsid w:val="57442BF6"/>
    <w:rsid w:val="57617296"/>
    <w:rsid w:val="5762709E"/>
    <w:rsid w:val="577E91A5"/>
    <w:rsid w:val="57825D10"/>
    <w:rsid w:val="578B7F80"/>
    <w:rsid w:val="57AC71C6"/>
    <w:rsid w:val="57B40975"/>
    <w:rsid w:val="57D00616"/>
    <w:rsid w:val="57E65A3F"/>
    <w:rsid w:val="57F00E70"/>
    <w:rsid w:val="58025A23"/>
    <w:rsid w:val="5807459F"/>
    <w:rsid w:val="580805A5"/>
    <w:rsid w:val="581111F8"/>
    <w:rsid w:val="58254067"/>
    <w:rsid w:val="58562AE5"/>
    <w:rsid w:val="58572B86"/>
    <w:rsid w:val="58853453"/>
    <w:rsid w:val="589C4E0B"/>
    <w:rsid w:val="58C83A07"/>
    <w:rsid w:val="58C911BA"/>
    <w:rsid w:val="58DD490B"/>
    <w:rsid w:val="58E47C9D"/>
    <w:rsid w:val="58F14B5E"/>
    <w:rsid w:val="58F41EF5"/>
    <w:rsid w:val="59132E4A"/>
    <w:rsid w:val="591F3C70"/>
    <w:rsid w:val="59233EB9"/>
    <w:rsid w:val="592D7A55"/>
    <w:rsid w:val="59514407"/>
    <w:rsid w:val="59631625"/>
    <w:rsid w:val="59721430"/>
    <w:rsid w:val="598310E3"/>
    <w:rsid w:val="59B60545"/>
    <w:rsid w:val="5A054838"/>
    <w:rsid w:val="5A2D14A5"/>
    <w:rsid w:val="5A2D6B98"/>
    <w:rsid w:val="5A30501F"/>
    <w:rsid w:val="5A3D29B1"/>
    <w:rsid w:val="5A506BCC"/>
    <w:rsid w:val="5A960B78"/>
    <w:rsid w:val="5AB16798"/>
    <w:rsid w:val="5AFE0559"/>
    <w:rsid w:val="5B163C22"/>
    <w:rsid w:val="5B204A84"/>
    <w:rsid w:val="5B306BCB"/>
    <w:rsid w:val="5B6E7A31"/>
    <w:rsid w:val="5B762678"/>
    <w:rsid w:val="5B833612"/>
    <w:rsid w:val="5B8A010C"/>
    <w:rsid w:val="5BA0330F"/>
    <w:rsid w:val="5BEE62DE"/>
    <w:rsid w:val="5C1F2F61"/>
    <w:rsid w:val="5C2323DB"/>
    <w:rsid w:val="5C2A414B"/>
    <w:rsid w:val="5C2C7AA6"/>
    <w:rsid w:val="5C49243F"/>
    <w:rsid w:val="5C5465D7"/>
    <w:rsid w:val="5C566C2B"/>
    <w:rsid w:val="5C5B7938"/>
    <w:rsid w:val="5C665171"/>
    <w:rsid w:val="5C6C657F"/>
    <w:rsid w:val="5C7922EE"/>
    <w:rsid w:val="5CC127C3"/>
    <w:rsid w:val="5CC81B3A"/>
    <w:rsid w:val="5CCD413F"/>
    <w:rsid w:val="5D125B7D"/>
    <w:rsid w:val="5D2E66D4"/>
    <w:rsid w:val="5D387537"/>
    <w:rsid w:val="5D4003CB"/>
    <w:rsid w:val="5D427C0C"/>
    <w:rsid w:val="5D660A2E"/>
    <w:rsid w:val="5D6B18F0"/>
    <w:rsid w:val="5D7C2A8A"/>
    <w:rsid w:val="5D910E0F"/>
    <w:rsid w:val="5DA10596"/>
    <w:rsid w:val="5DB54F8F"/>
    <w:rsid w:val="5DD60224"/>
    <w:rsid w:val="5DF11D8B"/>
    <w:rsid w:val="5DF612B1"/>
    <w:rsid w:val="5E0B0237"/>
    <w:rsid w:val="5E0F3B6D"/>
    <w:rsid w:val="5E2A3E8E"/>
    <w:rsid w:val="5E2C1B1E"/>
    <w:rsid w:val="5E4B5990"/>
    <w:rsid w:val="5E6A2651"/>
    <w:rsid w:val="5E7A35C3"/>
    <w:rsid w:val="5E857B28"/>
    <w:rsid w:val="5EAE5A83"/>
    <w:rsid w:val="5EDE915F"/>
    <w:rsid w:val="5EFD014A"/>
    <w:rsid w:val="5F11741A"/>
    <w:rsid w:val="5F21328B"/>
    <w:rsid w:val="5F881651"/>
    <w:rsid w:val="5F966266"/>
    <w:rsid w:val="5F991298"/>
    <w:rsid w:val="5FC14836"/>
    <w:rsid w:val="5FD47EB2"/>
    <w:rsid w:val="5FD85510"/>
    <w:rsid w:val="5FDE3669"/>
    <w:rsid w:val="5FE3672D"/>
    <w:rsid w:val="60087A48"/>
    <w:rsid w:val="603C26C5"/>
    <w:rsid w:val="60A54DA0"/>
    <w:rsid w:val="60BD0617"/>
    <w:rsid w:val="60BF2365"/>
    <w:rsid w:val="60C942BC"/>
    <w:rsid w:val="60ED7536"/>
    <w:rsid w:val="60FF6911"/>
    <w:rsid w:val="610F73FC"/>
    <w:rsid w:val="61207DAF"/>
    <w:rsid w:val="61210257"/>
    <w:rsid w:val="613F282C"/>
    <w:rsid w:val="616E09E5"/>
    <w:rsid w:val="617D7162"/>
    <w:rsid w:val="61CE52B8"/>
    <w:rsid w:val="61D62E4A"/>
    <w:rsid w:val="61DF56CC"/>
    <w:rsid w:val="621A0356"/>
    <w:rsid w:val="621B00F2"/>
    <w:rsid w:val="62220A11"/>
    <w:rsid w:val="62401566"/>
    <w:rsid w:val="624100BF"/>
    <w:rsid w:val="626F3359"/>
    <w:rsid w:val="62A97B48"/>
    <w:rsid w:val="63204927"/>
    <w:rsid w:val="632376F2"/>
    <w:rsid w:val="63414184"/>
    <w:rsid w:val="63442414"/>
    <w:rsid w:val="634966B7"/>
    <w:rsid w:val="635B3C49"/>
    <w:rsid w:val="63664974"/>
    <w:rsid w:val="636F15A5"/>
    <w:rsid w:val="637C1566"/>
    <w:rsid w:val="63851963"/>
    <w:rsid w:val="6392155B"/>
    <w:rsid w:val="63F543AD"/>
    <w:rsid w:val="640158BC"/>
    <w:rsid w:val="64117A5E"/>
    <w:rsid w:val="641E079B"/>
    <w:rsid w:val="645063BF"/>
    <w:rsid w:val="64AE6CCA"/>
    <w:rsid w:val="64BD4E61"/>
    <w:rsid w:val="64E30823"/>
    <w:rsid w:val="64FB2E23"/>
    <w:rsid w:val="651A11FD"/>
    <w:rsid w:val="652B621B"/>
    <w:rsid w:val="65595B8B"/>
    <w:rsid w:val="65A416D5"/>
    <w:rsid w:val="65C50BFC"/>
    <w:rsid w:val="65D6774F"/>
    <w:rsid w:val="65DE07C3"/>
    <w:rsid w:val="65F2430B"/>
    <w:rsid w:val="66500B1D"/>
    <w:rsid w:val="665704DE"/>
    <w:rsid w:val="6696635E"/>
    <w:rsid w:val="66B161BD"/>
    <w:rsid w:val="66EC55F3"/>
    <w:rsid w:val="67295C27"/>
    <w:rsid w:val="675917AF"/>
    <w:rsid w:val="677B41B8"/>
    <w:rsid w:val="6780383B"/>
    <w:rsid w:val="67825A99"/>
    <w:rsid w:val="67993172"/>
    <w:rsid w:val="67A24DFF"/>
    <w:rsid w:val="67B07591"/>
    <w:rsid w:val="67B961A2"/>
    <w:rsid w:val="67E47D0B"/>
    <w:rsid w:val="680D0D17"/>
    <w:rsid w:val="68211D9A"/>
    <w:rsid w:val="68282183"/>
    <w:rsid w:val="68FA5F02"/>
    <w:rsid w:val="694F3A5E"/>
    <w:rsid w:val="695E2587"/>
    <w:rsid w:val="6960246B"/>
    <w:rsid w:val="696031D7"/>
    <w:rsid w:val="6969566A"/>
    <w:rsid w:val="69C36D0C"/>
    <w:rsid w:val="69C51F38"/>
    <w:rsid w:val="69C72F50"/>
    <w:rsid w:val="69C935B6"/>
    <w:rsid w:val="69F79A1F"/>
    <w:rsid w:val="69FD6700"/>
    <w:rsid w:val="6A047788"/>
    <w:rsid w:val="6A072A58"/>
    <w:rsid w:val="6A0859AF"/>
    <w:rsid w:val="6A231FFF"/>
    <w:rsid w:val="6A2A4582"/>
    <w:rsid w:val="6A7E4BB0"/>
    <w:rsid w:val="6A932E69"/>
    <w:rsid w:val="6AC702E3"/>
    <w:rsid w:val="6AD22650"/>
    <w:rsid w:val="6AD37B0C"/>
    <w:rsid w:val="6ADB1711"/>
    <w:rsid w:val="6B1731F8"/>
    <w:rsid w:val="6B526EC4"/>
    <w:rsid w:val="6B6032B1"/>
    <w:rsid w:val="6B724008"/>
    <w:rsid w:val="6BD810BD"/>
    <w:rsid w:val="6BE771FD"/>
    <w:rsid w:val="6BF05478"/>
    <w:rsid w:val="6C3806B1"/>
    <w:rsid w:val="6C436098"/>
    <w:rsid w:val="6C5A7557"/>
    <w:rsid w:val="6CAB2DD7"/>
    <w:rsid w:val="6CAC28C3"/>
    <w:rsid w:val="6CAE35C2"/>
    <w:rsid w:val="6CB471F3"/>
    <w:rsid w:val="6CB77E6E"/>
    <w:rsid w:val="6CD645E5"/>
    <w:rsid w:val="6D122993"/>
    <w:rsid w:val="6D3E59DF"/>
    <w:rsid w:val="6D86224A"/>
    <w:rsid w:val="6D906BE5"/>
    <w:rsid w:val="6D9F0BE5"/>
    <w:rsid w:val="6DA50E56"/>
    <w:rsid w:val="6DC77E42"/>
    <w:rsid w:val="6DFC2B7E"/>
    <w:rsid w:val="6E2D5C2A"/>
    <w:rsid w:val="6E3618A1"/>
    <w:rsid w:val="6E901239"/>
    <w:rsid w:val="6EE96DCA"/>
    <w:rsid w:val="6F01574E"/>
    <w:rsid w:val="6F2C2F87"/>
    <w:rsid w:val="6F3842DD"/>
    <w:rsid w:val="6F405880"/>
    <w:rsid w:val="6F421D18"/>
    <w:rsid w:val="6F59586B"/>
    <w:rsid w:val="6F7A0C51"/>
    <w:rsid w:val="6F81487E"/>
    <w:rsid w:val="6FAD383A"/>
    <w:rsid w:val="6FD75A54"/>
    <w:rsid w:val="6FE5543D"/>
    <w:rsid w:val="70160330"/>
    <w:rsid w:val="70176FFD"/>
    <w:rsid w:val="701A5728"/>
    <w:rsid w:val="70387A6C"/>
    <w:rsid w:val="7053650B"/>
    <w:rsid w:val="708D4057"/>
    <w:rsid w:val="70D9413F"/>
    <w:rsid w:val="70DD6752"/>
    <w:rsid w:val="70F24B3A"/>
    <w:rsid w:val="71175496"/>
    <w:rsid w:val="71226BBC"/>
    <w:rsid w:val="71473362"/>
    <w:rsid w:val="71646BFB"/>
    <w:rsid w:val="71685666"/>
    <w:rsid w:val="71780BE9"/>
    <w:rsid w:val="71CD0DD8"/>
    <w:rsid w:val="723C50C4"/>
    <w:rsid w:val="723F274B"/>
    <w:rsid w:val="724C1F5D"/>
    <w:rsid w:val="727F2925"/>
    <w:rsid w:val="72917AA6"/>
    <w:rsid w:val="72A84178"/>
    <w:rsid w:val="72B44403"/>
    <w:rsid w:val="72BE66A5"/>
    <w:rsid w:val="72C40705"/>
    <w:rsid w:val="72D823EF"/>
    <w:rsid w:val="72D939EF"/>
    <w:rsid w:val="72DE23D9"/>
    <w:rsid w:val="72DF5E19"/>
    <w:rsid w:val="72E619B6"/>
    <w:rsid w:val="72FE4A41"/>
    <w:rsid w:val="730B47CB"/>
    <w:rsid w:val="73515FDB"/>
    <w:rsid w:val="73533EFC"/>
    <w:rsid w:val="735E1F03"/>
    <w:rsid w:val="736A5B38"/>
    <w:rsid w:val="73714F9C"/>
    <w:rsid w:val="737D08D1"/>
    <w:rsid w:val="73880C68"/>
    <w:rsid w:val="73904560"/>
    <w:rsid w:val="739A22D0"/>
    <w:rsid w:val="73B73466"/>
    <w:rsid w:val="73D14E7C"/>
    <w:rsid w:val="73D83805"/>
    <w:rsid w:val="73EA1266"/>
    <w:rsid w:val="73EB6CF4"/>
    <w:rsid w:val="73FA5498"/>
    <w:rsid w:val="740E7BC1"/>
    <w:rsid w:val="74185BD6"/>
    <w:rsid w:val="743F47BE"/>
    <w:rsid w:val="744F3D71"/>
    <w:rsid w:val="74517AC4"/>
    <w:rsid w:val="7470727B"/>
    <w:rsid w:val="748B51E3"/>
    <w:rsid w:val="74CF6D2C"/>
    <w:rsid w:val="74EB7D27"/>
    <w:rsid w:val="753C435E"/>
    <w:rsid w:val="753F66E5"/>
    <w:rsid w:val="755330E1"/>
    <w:rsid w:val="7556025F"/>
    <w:rsid w:val="755C623D"/>
    <w:rsid w:val="756F01CE"/>
    <w:rsid w:val="7577752C"/>
    <w:rsid w:val="757A3457"/>
    <w:rsid w:val="75985412"/>
    <w:rsid w:val="75B60DB2"/>
    <w:rsid w:val="75D727F2"/>
    <w:rsid w:val="75E16456"/>
    <w:rsid w:val="76034A86"/>
    <w:rsid w:val="76187D55"/>
    <w:rsid w:val="7619DAD9"/>
    <w:rsid w:val="76304326"/>
    <w:rsid w:val="76403FA8"/>
    <w:rsid w:val="765F4291"/>
    <w:rsid w:val="76755828"/>
    <w:rsid w:val="76793DF3"/>
    <w:rsid w:val="768B3DF4"/>
    <w:rsid w:val="7695751C"/>
    <w:rsid w:val="76BF0E45"/>
    <w:rsid w:val="76C024C3"/>
    <w:rsid w:val="76D27F0E"/>
    <w:rsid w:val="76D75F55"/>
    <w:rsid w:val="76EA7B2B"/>
    <w:rsid w:val="76FD03F6"/>
    <w:rsid w:val="77557498"/>
    <w:rsid w:val="77A80190"/>
    <w:rsid w:val="77CB0489"/>
    <w:rsid w:val="77CB4009"/>
    <w:rsid w:val="77F02C86"/>
    <w:rsid w:val="77FF6E54"/>
    <w:rsid w:val="77FF7570"/>
    <w:rsid w:val="78367DC6"/>
    <w:rsid w:val="786A0094"/>
    <w:rsid w:val="78732161"/>
    <w:rsid w:val="78901FED"/>
    <w:rsid w:val="789A2964"/>
    <w:rsid w:val="78BC0F2F"/>
    <w:rsid w:val="78C05393"/>
    <w:rsid w:val="78CD6897"/>
    <w:rsid w:val="78D53E9D"/>
    <w:rsid w:val="78DB68CB"/>
    <w:rsid w:val="79001AF9"/>
    <w:rsid w:val="790E74FA"/>
    <w:rsid w:val="79330E47"/>
    <w:rsid w:val="79803C1E"/>
    <w:rsid w:val="79852097"/>
    <w:rsid w:val="798627F9"/>
    <w:rsid w:val="799C1D30"/>
    <w:rsid w:val="799F0ADA"/>
    <w:rsid w:val="79A57C69"/>
    <w:rsid w:val="79A6673A"/>
    <w:rsid w:val="7A34222F"/>
    <w:rsid w:val="7A385BF2"/>
    <w:rsid w:val="7A5442D8"/>
    <w:rsid w:val="7A9754CD"/>
    <w:rsid w:val="7A9F19F8"/>
    <w:rsid w:val="7ACE12CC"/>
    <w:rsid w:val="7ADB7FD7"/>
    <w:rsid w:val="7AF123C3"/>
    <w:rsid w:val="7AFF1AF8"/>
    <w:rsid w:val="7B0533BA"/>
    <w:rsid w:val="7B0D1822"/>
    <w:rsid w:val="7B171992"/>
    <w:rsid w:val="7B200A8F"/>
    <w:rsid w:val="7B4A556E"/>
    <w:rsid w:val="7B56181F"/>
    <w:rsid w:val="7B6350AE"/>
    <w:rsid w:val="7B7B1AAE"/>
    <w:rsid w:val="7BAC7445"/>
    <w:rsid w:val="7BBD3DF5"/>
    <w:rsid w:val="7BCF0755"/>
    <w:rsid w:val="7BD86C1D"/>
    <w:rsid w:val="7BF00FD8"/>
    <w:rsid w:val="7BF71632"/>
    <w:rsid w:val="7BFC0962"/>
    <w:rsid w:val="7BFC7675"/>
    <w:rsid w:val="7C5F5C29"/>
    <w:rsid w:val="7C6B2777"/>
    <w:rsid w:val="7C8F31A2"/>
    <w:rsid w:val="7C8F4B7A"/>
    <w:rsid w:val="7CBD06BF"/>
    <w:rsid w:val="7CED762D"/>
    <w:rsid w:val="7D6112A7"/>
    <w:rsid w:val="7D6F40A3"/>
    <w:rsid w:val="7D9147DD"/>
    <w:rsid w:val="7DA27EAC"/>
    <w:rsid w:val="7DBA157A"/>
    <w:rsid w:val="7DC73C81"/>
    <w:rsid w:val="7DE00DEF"/>
    <w:rsid w:val="7DF928B6"/>
    <w:rsid w:val="7DFD19EA"/>
    <w:rsid w:val="7E005C69"/>
    <w:rsid w:val="7E090EC0"/>
    <w:rsid w:val="7E21500F"/>
    <w:rsid w:val="7E2311BC"/>
    <w:rsid w:val="7E79723D"/>
    <w:rsid w:val="7E897B10"/>
    <w:rsid w:val="7E994841"/>
    <w:rsid w:val="7E9F5D6A"/>
    <w:rsid w:val="7EEF20A1"/>
    <w:rsid w:val="7EFA42AE"/>
    <w:rsid w:val="7F161963"/>
    <w:rsid w:val="7F40607E"/>
    <w:rsid w:val="7F6253DE"/>
    <w:rsid w:val="7FA6317E"/>
    <w:rsid w:val="7FA70121"/>
    <w:rsid w:val="7FAD5AD5"/>
    <w:rsid w:val="7FBA0681"/>
    <w:rsid w:val="7FE1378F"/>
    <w:rsid w:val="97E936E7"/>
    <w:rsid w:val="CCD4F741"/>
    <w:rsid w:val="EFDFF9E4"/>
    <w:rsid w:val="F77BDC3C"/>
    <w:rsid w:val="FDF87E29"/>
    <w:rsid w:val="FDFE8A6B"/>
    <w:rsid w:val="FECF2479"/>
    <w:rsid w:val="FFFD09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858" w:firstLineChars="200"/>
    </w:pPr>
    <w:rPr>
      <w:rFonts w:ascii="Times New Roman" w:hAnsi="Times New Roman" w:eastAsia="宋体" w:cs="Times New Roman"/>
      <w:kern w:val="2"/>
      <w:sz w:val="24"/>
      <w:szCs w:val="22"/>
      <w:lang w:val="en-US" w:eastAsia="zh-CN" w:bidi="ar-SA"/>
    </w:rPr>
  </w:style>
  <w:style w:type="paragraph" w:styleId="4">
    <w:name w:val="heading 1"/>
    <w:basedOn w:val="1"/>
    <w:next w:val="1"/>
    <w:link w:val="103"/>
    <w:qFormat/>
    <w:uiPriority w:val="0"/>
    <w:pPr>
      <w:keepNext/>
      <w:keepLines/>
      <w:numPr>
        <w:ilvl w:val="0"/>
        <w:numId w:val="1"/>
      </w:numPr>
      <w:spacing w:before="300" w:after="300"/>
      <w:ind w:left="0" w:firstLine="0" w:firstLineChars="0"/>
      <w:jc w:val="center"/>
      <w:outlineLvl w:val="0"/>
    </w:pPr>
    <w:rPr>
      <w:rFonts w:ascii="宋体" w:hAnsi="宋体"/>
      <w:b/>
      <w:bCs/>
      <w:spacing w:val="-20"/>
      <w:kern w:val="44"/>
      <w:sz w:val="32"/>
      <w:szCs w:val="32"/>
    </w:rPr>
  </w:style>
  <w:style w:type="paragraph" w:styleId="5">
    <w:name w:val="heading 2"/>
    <w:basedOn w:val="1"/>
    <w:next w:val="1"/>
    <w:link w:val="100"/>
    <w:qFormat/>
    <w:uiPriority w:val="0"/>
    <w:pPr>
      <w:keepNext/>
      <w:keepLines/>
      <w:numPr>
        <w:ilvl w:val="1"/>
        <w:numId w:val="1"/>
      </w:numPr>
      <w:ind w:left="0" w:firstLine="0" w:firstLineChars="0"/>
      <w:outlineLvl w:val="1"/>
    </w:pPr>
    <w:rPr>
      <w:rFonts w:ascii="宋体" w:hAnsi="宋体"/>
      <w:b/>
      <w:bCs/>
      <w:sz w:val="28"/>
      <w:szCs w:val="28"/>
    </w:rPr>
  </w:style>
  <w:style w:type="paragraph" w:styleId="6">
    <w:name w:val="heading 3"/>
    <w:basedOn w:val="1"/>
    <w:next w:val="1"/>
    <w:link w:val="108"/>
    <w:qFormat/>
    <w:uiPriority w:val="0"/>
    <w:pPr>
      <w:keepNext/>
      <w:keepLines/>
      <w:numPr>
        <w:ilvl w:val="2"/>
        <w:numId w:val="1"/>
      </w:numPr>
      <w:ind w:left="0" w:firstLine="658"/>
      <w:outlineLvl w:val="2"/>
    </w:pPr>
    <w:rPr>
      <w:rFonts w:ascii="宋体" w:hAnsi="宋体"/>
      <w:b/>
      <w:bCs/>
      <w:color w:val="000000"/>
      <w:kern w:val="0"/>
      <w:szCs w:val="28"/>
    </w:rPr>
  </w:style>
  <w:style w:type="paragraph" w:styleId="7">
    <w:name w:val="heading 4"/>
    <w:basedOn w:val="1"/>
    <w:next w:val="1"/>
    <w:link w:val="99"/>
    <w:qFormat/>
    <w:uiPriority w:val="0"/>
    <w:pPr>
      <w:keepNext/>
      <w:keepLines/>
      <w:spacing w:before="120" w:after="120"/>
      <w:ind w:left="918" w:hanging="708"/>
      <w:outlineLvl w:val="3"/>
    </w:pPr>
    <w:rPr>
      <w:rFonts w:ascii="Arial" w:hAnsi="Arial"/>
      <w:b/>
      <w:bCs/>
      <w:kern w:val="0"/>
      <w:sz w:val="28"/>
      <w:szCs w:val="28"/>
    </w:rPr>
  </w:style>
  <w:style w:type="paragraph" w:styleId="8">
    <w:name w:val="heading 5"/>
    <w:basedOn w:val="1"/>
    <w:next w:val="1"/>
    <w:link w:val="97"/>
    <w:qFormat/>
    <w:uiPriority w:val="0"/>
    <w:pPr>
      <w:tabs>
        <w:tab w:val="left" w:pos="1134"/>
      </w:tabs>
      <w:spacing w:before="280" w:after="290"/>
      <w:ind w:left="1560" w:hanging="992"/>
      <w:outlineLvl w:val="4"/>
    </w:pPr>
    <w:rPr>
      <w:b/>
      <w:bCs/>
      <w:kern w:val="0"/>
      <w:sz w:val="28"/>
      <w:szCs w:val="28"/>
    </w:rPr>
  </w:style>
  <w:style w:type="paragraph" w:styleId="9">
    <w:name w:val="heading 6"/>
    <w:basedOn w:val="1"/>
    <w:next w:val="1"/>
    <w:link w:val="102"/>
    <w:qFormat/>
    <w:uiPriority w:val="0"/>
    <w:pPr>
      <w:keepNext/>
      <w:keepLines/>
      <w:tabs>
        <w:tab w:val="left" w:pos="1702"/>
      </w:tabs>
      <w:spacing w:before="240" w:after="64" w:line="316" w:lineRule="auto"/>
      <w:ind w:left="1702" w:hanging="1134"/>
      <w:outlineLvl w:val="5"/>
    </w:pPr>
    <w:rPr>
      <w:rFonts w:ascii="Arial" w:hAnsi="Arial"/>
      <w:b/>
      <w:bCs/>
      <w:kern w:val="0"/>
      <w:sz w:val="28"/>
      <w:szCs w:val="18"/>
    </w:rPr>
  </w:style>
  <w:style w:type="paragraph" w:styleId="10">
    <w:name w:val="heading 7"/>
    <w:basedOn w:val="1"/>
    <w:next w:val="1"/>
    <w:link w:val="96"/>
    <w:qFormat/>
    <w:uiPriority w:val="0"/>
    <w:pPr>
      <w:keepNext/>
      <w:widowControl/>
      <w:tabs>
        <w:tab w:val="left" w:pos="3600"/>
      </w:tabs>
      <w:spacing w:after="120"/>
      <w:outlineLvl w:val="6"/>
    </w:pPr>
    <w:rPr>
      <w:rFonts w:ascii="Arial Narrow" w:hAnsi="Arial Narrow"/>
      <w:b/>
      <w:bCs/>
      <w:iCs/>
      <w:kern w:val="0"/>
      <w:sz w:val="20"/>
      <w:szCs w:val="24"/>
      <w:lang w:eastAsia="en-US"/>
    </w:rPr>
  </w:style>
  <w:style w:type="paragraph" w:styleId="11">
    <w:name w:val="heading 8"/>
    <w:basedOn w:val="1"/>
    <w:next w:val="1"/>
    <w:link w:val="95"/>
    <w:qFormat/>
    <w:uiPriority w:val="0"/>
    <w:pPr>
      <w:keepNext/>
      <w:keepLines/>
      <w:spacing w:before="240" w:after="64" w:line="316" w:lineRule="auto"/>
      <w:outlineLvl w:val="7"/>
    </w:pPr>
    <w:rPr>
      <w:rFonts w:ascii="Arial" w:hAnsi="Arial" w:eastAsia="黑体"/>
      <w:kern w:val="0"/>
      <w:szCs w:val="24"/>
    </w:rPr>
  </w:style>
  <w:style w:type="paragraph" w:styleId="12">
    <w:name w:val="heading 9"/>
    <w:basedOn w:val="1"/>
    <w:next w:val="1"/>
    <w:link w:val="129"/>
    <w:qFormat/>
    <w:uiPriority w:val="0"/>
    <w:pPr>
      <w:keepNext/>
      <w:keepLines/>
      <w:spacing w:before="240" w:after="64" w:line="316" w:lineRule="auto"/>
      <w:outlineLvl w:val="8"/>
    </w:pPr>
    <w:rPr>
      <w:rFonts w:ascii="Arial" w:hAnsi="Arial" w:eastAsia="黑体"/>
      <w:kern w:val="0"/>
      <w:sz w:val="20"/>
      <w:szCs w:val="21"/>
    </w:rPr>
  </w:style>
  <w:style w:type="character" w:default="1" w:styleId="45">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28"/>
    <w:qFormat/>
    <w:uiPriority w:val="0"/>
    <w:pPr>
      <w:spacing w:line="240" w:lineRule="auto"/>
    </w:pPr>
  </w:style>
  <w:style w:type="paragraph" w:customStyle="1" w:styleId="3">
    <w:name w:val="引用1"/>
    <w:next w:val="1"/>
    <w:qFormat/>
    <w:uiPriority w:val="0"/>
    <w:pPr>
      <w:wordWrap w:val="0"/>
      <w:spacing w:before="200" w:after="160"/>
      <w:ind w:left="864" w:right="864"/>
    </w:pPr>
    <w:rPr>
      <w:rFonts w:ascii="Calibri" w:hAnsi="Calibri" w:eastAsia="仿宋_GB2312" w:cs="Times New Roman"/>
      <w:sz w:val="24"/>
      <w:lang w:val="en-US" w:eastAsia="zh-CN" w:bidi="ar-SA"/>
    </w:rPr>
  </w:style>
  <w:style w:type="paragraph" w:styleId="13">
    <w:name w:val="toc 7"/>
    <w:basedOn w:val="1"/>
    <w:next w:val="1"/>
    <w:qFormat/>
    <w:uiPriority w:val="0"/>
    <w:pPr>
      <w:ind w:left="2520" w:leftChars="1200"/>
    </w:pPr>
    <w:rPr>
      <w:szCs w:val="24"/>
    </w:rPr>
  </w:style>
  <w:style w:type="paragraph" w:styleId="14">
    <w:name w:val="Normal Indent"/>
    <w:basedOn w:val="1"/>
    <w:qFormat/>
    <w:uiPriority w:val="0"/>
    <w:pPr>
      <w:spacing w:after="180" w:line="309" w:lineRule="auto"/>
      <w:ind w:firstLine="420"/>
    </w:pPr>
    <w:rPr>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93"/>
    <w:qFormat/>
    <w:uiPriority w:val="0"/>
    <w:pPr>
      <w:shd w:val="clear" w:color="auto" w:fill="000080"/>
    </w:pPr>
    <w:rPr>
      <w:kern w:val="0"/>
      <w:sz w:val="18"/>
      <w:szCs w:val="18"/>
    </w:rPr>
  </w:style>
  <w:style w:type="paragraph" w:styleId="17">
    <w:name w:val="annotation text"/>
    <w:basedOn w:val="1"/>
    <w:link w:val="109"/>
    <w:qFormat/>
    <w:uiPriority w:val="0"/>
    <w:rPr>
      <w:kern w:val="0"/>
      <w:sz w:val="18"/>
      <w:szCs w:val="18"/>
    </w:rPr>
  </w:style>
  <w:style w:type="paragraph" w:styleId="18">
    <w:name w:val="Body Text 3"/>
    <w:basedOn w:val="1"/>
    <w:link w:val="107"/>
    <w:qFormat/>
    <w:uiPriority w:val="0"/>
    <w:pPr>
      <w:jc w:val="center"/>
    </w:pPr>
    <w:rPr>
      <w:rFonts w:eastAsia="黑体"/>
      <w:sz w:val="44"/>
      <w:szCs w:val="24"/>
    </w:rPr>
  </w:style>
  <w:style w:type="paragraph" w:styleId="19">
    <w:name w:val="Body Text Indent"/>
    <w:basedOn w:val="1"/>
    <w:link w:val="94"/>
    <w:qFormat/>
    <w:uiPriority w:val="0"/>
    <w:pPr>
      <w:spacing w:after="120"/>
      <w:ind w:left="420" w:leftChars="200"/>
    </w:pPr>
    <w:rPr>
      <w:kern w:val="0"/>
      <w:sz w:val="20"/>
      <w:szCs w:val="24"/>
    </w:rPr>
  </w:style>
  <w:style w:type="paragraph" w:styleId="20">
    <w:name w:val="Block Text"/>
    <w:basedOn w:val="1"/>
    <w:qFormat/>
    <w:uiPriority w:val="0"/>
    <w:pPr>
      <w:ind w:left="-540" w:leftChars="-257" w:right="-334" w:rightChars="-159" w:firstLine="540" w:firstLineChars="180"/>
    </w:pPr>
    <w:rPr>
      <w:sz w:val="30"/>
      <w:szCs w:val="24"/>
    </w:rPr>
  </w:style>
  <w:style w:type="paragraph" w:styleId="21">
    <w:name w:val="toc 5"/>
    <w:basedOn w:val="1"/>
    <w:next w:val="1"/>
    <w:qFormat/>
    <w:uiPriority w:val="0"/>
    <w:pPr>
      <w:ind w:left="1680" w:leftChars="800"/>
    </w:pPr>
    <w:rPr>
      <w:sz w:val="18"/>
      <w:szCs w:val="18"/>
    </w:rPr>
  </w:style>
  <w:style w:type="paragraph" w:styleId="22">
    <w:name w:val="toc 3"/>
    <w:basedOn w:val="1"/>
    <w:next w:val="1"/>
    <w:qFormat/>
    <w:uiPriority w:val="0"/>
    <w:pPr>
      <w:tabs>
        <w:tab w:val="left" w:pos="709"/>
        <w:tab w:val="left" w:pos="993"/>
        <w:tab w:val="right" w:leader="dot" w:pos="8364"/>
      </w:tabs>
      <w:ind w:left="360"/>
    </w:pPr>
    <w:rPr>
      <w:rFonts w:eastAsia="楷体_GB2312"/>
      <w:iCs/>
      <w:sz w:val="20"/>
      <w:szCs w:val="20"/>
    </w:rPr>
  </w:style>
  <w:style w:type="paragraph" w:styleId="23">
    <w:name w:val="Plain Text"/>
    <w:basedOn w:val="1"/>
    <w:link w:val="92"/>
    <w:qFormat/>
    <w:uiPriority w:val="0"/>
    <w:rPr>
      <w:rFonts w:ascii="宋体" w:hAnsi="Courier New"/>
      <w:kern w:val="0"/>
      <w:sz w:val="20"/>
      <w:szCs w:val="18"/>
    </w:rPr>
  </w:style>
  <w:style w:type="paragraph" w:styleId="24">
    <w:name w:val="toc 8"/>
    <w:basedOn w:val="1"/>
    <w:next w:val="1"/>
    <w:qFormat/>
    <w:uiPriority w:val="0"/>
    <w:pPr>
      <w:ind w:left="2940" w:leftChars="1400"/>
    </w:pPr>
    <w:rPr>
      <w:szCs w:val="24"/>
    </w:rPr>
  </w:style>
  <w:style w:type="paragraph" w:styleId="25">
    <w:name w:val="Date"/>
    <w:basedOn w:val="1"/>
    <w:next w:val="1"/>
    <w:link w:val="91"/>
    <w:qFormat/>
    <w:uiPriority w:val="0"/>
    <w:pPr>
      <w:ind w:left="100" w:leftChars="2500"/>
    </w:pPr>
    <w:rPr>
      <w:kern w:val="0"/>
      <w:szCs w:val="24"/>
    </w:rPr>
  </w:style>
  <w:style w:type="paragraph" w:styleId="26">
    <w:name w:val="Body Text Indent 2"/>
    <w:basedOn w:val="1"/>
    <w:link w:val="90"/>
    <w:qFormat/>
    <w:uiPriority w:val="0"/>
    <w:pPr>
      <w:spacing w:after="120" w:line="480" w:lineRule="auto"/>
      <w:ind w:left="420" w:leftChars="200"/>
    </w:pPr>
  </w:style>
  <w:style w:type="paragraph" w:styleId="27">
    <w:name w:val="Balloon Text"/>
    <w:basedOn w:val="1"/>
    <w:link w:val="118"/>
    <w:qFormat/>
    <w:uiPriority w:val="0"/>
    <w:rPr>
      <w:kern w:val="0"/>
      <w:sz w:val="18"/>
      <w:szCs w:val="18"/>
    </w:rPr>
  </w:style>
  <w:style w:type="paragraph" w:styleId="28">
    <w:name w:val="footer"/>
    <w:basedOn w:val="1"/>
    <w:link w:val="89"/>
    <w:qFormat/>
    <w:uiPriority w:val="0"/>
    <w:pPr>
      <w:tabs>
        <w:tab w:val="center" w:pos="4153"/>
        <w:tab w:val="right" w:pos="8306"/>
      </w:tabs>
      <w:snapToGrid w:val="0"/>
    </w:pPr>
    <w:rPr>
      <w:kern w:val="0"/>
      <w:sz w:val="18"/>
      <w:szCs w:val="18"/>
    </w:rPr>
  </w:style>
  <w:style w:type="paragraph" w:styleId="29">
    <w:name w:val="header"/>
    <w:basedOn w:val="1"/>
    <w:link w:val="88"/>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tabs>
        <w:tab w:val="left" w:pos="709"/>
        <w:tab w:val="right" w:leader="dot" w:pos="8364"/>
      </w:tabs>
      <w:spacing w:line="400" w:lineRule="exact"/>
      <w:ind w:firstLine="658"/>
    </w:pPr>
    <w:rPr>
      <w:rFonts w:ascii="华文中宋" w:hAnsi="华文中宋" w:eastAsia="华文中宋"/>
      <w:bCs/>
      <w:caps/>
      <w:sz w:val="21"/>
      <w:szCs w:val="20"/>
    </w:rPr>
  </w:style>
  <w:style w:type="paragraph" w:styleId="31">
    <w:name w:val="toc 4"/>
    <w:basedOn w:val="1"/>
    <w:next w:val="1"/>
    <w:qFormat/>
    <w:uiPriority w:val="0"/>
    <w:pPr>
      <w:ind w:left="1260" w:leftChars="600"/>
    </w:pPr>
    <w:rPr>
      <w:sz w:val="18"/>
      <w:szCs w:val="18"/>
    </w:rPr>
  </w:style>
  <w:style w:type="paragraph" w:styleId="32">
    <w:name w:val="Subtitle"/>
    <w:basedOn w:val="1"/>
    <w:next w:val="1"/>
    <w:link w:val="126"/>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semiHidden/>
    <w:qFormat/>
    <w:uiPriority w:val="0"/>
    <w:pPr>
      <w:snapToGrid w:val="0"/>
    </w:pPr>
    <w:rPr>
      <w:sz w:val="18"/>
      <w:szCs w:val="18"/>
    </w:rPr>
  </w:style>
  <w:style w:type="paragraph" w:styleId="34">
    <w:name w:val="toc 6"/>
    <w:basedOn w:val="1"/>
    <w:next w:val="1"/>
    <w:qFormat/>
    <w:uiPriority w:val="0"/>
    <w:pPr>
      <w:ind w:left="2100" w:leftChars="1000"/>
    </w:pPr>
    <w:rPr>
      <w:szCs w:val="24"/>
    </w:rPr>
  </w:style>
  <w:style w:type="paragraph" w:styleId="35">
    <w:name w:val="Body Text Indent 3"/>
    <w:basedOn w:val="1"/>
    <w:link w:val="87"/>
    <w:qFormat/>
    <w:uiPriority w:val="0"/>
    <w:pPr>
      <w:ind w:left="153" w:leftChars="85" w:firstLine="560"/>
    </w:pPr>
    <w:rPr>
      <w:rFonts w:ascii="宋体" w:hAnsi="宋体"/>
      <w:kern w:val="0"/>
      <w:sz w:val="28"/>
      <w:szCs w:val="28"/>
    </w:rPr>
  </w:style>
  <w:style w:type="paragraph" w:styleId="36">
    <w:name w:val="toc 2"/>
    <w:basedOn w:val="1"/>
    <w:next w:val="1"/>
    <w:qFormat/>
    <w:uiPriority w:val="39"/>
    <w:pPr>
      <w:tabs>
        <w:tab w:val="left" w:pos="620"/>
        <w:tab w:val="right" w:leader="dot" w:pos="8364"/>
      </w:tabs>
      <w:spacing w:line="300" w:lineRule="exact"/>
      <w:ind w:left="180" w:firstLine="658"/>
    </w:pPr>
    <w:rPr>
      <w:rFonts w:ascii="华文中宋" w:hAnsi="华文中宋" w:eastAsia="华文中宋"/>
      <w:smallCaps/>
      <w:sz w:val="21"/>
      <w:szCs w:val="20"/>
    </w:rPr>
  </w:style>
  <w:style w:type="paragraph" w:styleId="37">
    <w:name w:val="toc 9"/>
    <w:basedOn w:val="1"/>
    <w:next w:val="1"/>
    <w:qFormat/>
    <w:uiPriority w:val="0"/>
    <w:pPr>
      <w:ind w:left="3360" w:leftChars="1600"/>
    </w:pPr>
    <w:rPr>
      <w:szCs w:val="24"/>
    </w:rPr>
  </w:style>
  <w:style w:type="paragraph" w:styleId="38">
    <w:name w:val="Body Text 2"/>
    <w:basedOn w:val="1"/>
    <w:link w:val="117"/>
    <w:qFormat/>
    <w:uiPriority w:val="0"/>
    <w:pPr>
      <w:spacing w:after="120" w:line="480" w:lineRule="auto"/>
    </w:pPr>
    <w:rPr>
      <w:kern w:val="0"/>
      <w:sz w:val="18"/>
      <w:szCs w:val="18"/>
    </w:rPr>
  </w:style>
  <w:style w:type="paragraph" w:styleId="39">
    <w:name w:val="Normal (Web)"/>
    <w:basedOn w:val="1"/>
    <w:qFormat/>
    <w:uiPriority w:val="0"/>
    <w:pPr>
      <w:widowControl/>
      <w:spacing w:before="100" w:beforeAutospacing="1" w:after="100" w:afterAutospacing="1"/>
    </w:pPr>
    <w:rPr>
      <w:rFonts w:ascii="宋体" w:hAnsi="宋体"/>
      <w:color w:val="000000"/>
      <w:kern w:val="0"/>
      <w:szCs w:val="24"/>
    </w:rPr>
  </w:style>
  <w:style w:type="paragraph" w:styleId="40">
    <w:name w:val="annotation subject"/>
    <w:basedOn w:val="17"/>
    <w:next w:val="17"/>
    <w:semiHidden/>
    <w:qFormat/>
    <w:uiPriority w:val="0"/>
    <w:rPr>
      <w:rFonts w:ascii="Calibri" w:hAnsi="Calibri"/>
      <w:b/>
      <w:bCs/>
      <w:kern w:val="2"/>
      <w:sz w:val="21"/>
      <w:szCs w:val="22"/>
    </w:rPr>
  </w:style>
  <w:style w:type="paragraph" w:styleId="41">
    <w:name w:val="Body Text First Indent"/>
    <w:basedOn w:val="2"/>
    <w:link w:val="86"/>
    <w:qFormat/>
    <w:uiPriority w:val="0"/>
    <w:pPr>
      <w:ind w:firstLine="420" w:firstLineChars="100"/>
    </w:pPr>
    <w:rPr>
      <w:kern w:val="0"/>
      <w:sz w:val="18"/>
      <w:szCs w:val="18"/>
    </w:rPr>
  </w:style>
  <w:style w:type="paragraph" w:styleId="42">
    <w:name w:val="Body Text First Indent 2"/>
    <w:basedOn w:val="19"/>
    <w:unhideWhenUsed/>
    <w:qFormat/>
    <w:uiPriority w:val="99"/>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qFormat/>
    <w:uiPriority w:val="0"/>
  </w:style>
  <w:style w:type="character" w:styleId="48">
    <w:name w:val="FollowedHyperlink"/>
    <w:unhideWhenUsed/>
    <w:qFormat/>
    <w:uiPriority w:val="99"/>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styleId="51">
    <w:name w:val="footnote reference"/>
    <w:semiHidden/>
    <w:qFormat/>
    <w:uiPriority w:val="0"/>
    <w:rPr>
      <w:vertAlign w:val="superscript"/>
    </w:rPr>
  </w:style>
  <w:style w:type="paragraph" w:customStyle="1" w:styleId="52">
    <w:name w:val="UserStyle_0"/>
    <w:basedOn w:val="1"/>
    <w:next w:val="53"/>
    <w:qFormat/>
    <w:uiPriority w:val="0"/>
    <w:pPr>
      <w:keepNext/>
      <w:keepLines/>
      <w:numPr>
        <w:ilvl w:val="4"/>
        <w:numId w:val="2"/>
      </w:numPr>
      <w:snapToGrid w:val="0"/>
      <w:spacing w:before="280" w:after="156" w:line="377" w:lineRule="auto"/>
      <w:ind w:firstLine="883" w:firstLineChars="200"/>
      <w:jc w:val="both"/>
      <w:textAlignment w:val="baseline"/>
    </w:pPr>
    <w:rPr>
      <w:rFonts w:ascii="Arial" w:hAnsi="Arial" w:eastAsia="黑体"/>
      <w:b/>
      <w:color w:val="000000"/>
      <w:sz w:val="24"/>
      <w:szCs w:val="28"/>
      <w:lang w:val="zh-CN" w:eastAsia="zh-CN" w:bidi="ar-SA"/>
    </w:rPr>
  </w:style>
  <w:style w:type="paragraph" w:customStyle="1" w:styleId="53">
    <w:name w:val="UserStyle_1"/>
    <w:qFormat/>
    <w:uiPriority w:val="0"/>
    <w:pPr>
      <w:widowControl/>
      <w:spacing w:line="300" w:lineRule="auto"/>
      <w:textAlignment w:val="baseline"/>
    </w:pPr>
    <w:rPr>
      <w:rFonts w:ascii="Arial" w:hAnsi="Arial" w:eastAsia="宋体" w:cs="Times New Roman"/>
      <w:sz w:val="21"/>
      <w:szCs w:val="21"/>
      <w:lang w:val="en-US" w:eastAsia="zh-CN" w:bidi="ar-SA"/>
    </w:rPr>
  </w:style>
  <w:style w:type="character" w:customStyle="1" w:styleId="54">
    <w:name w:val="font41"/>
    <w:qFormat/>
    <w:uiPriority w:val="0"/>
    <w:rPr>
      <w:rFonts w:hint="eastAsia" w:ascii="宋体" w:hAnsi="宋体" w:eastAsia="宋体" w:cs="宋体"/>
      <w:color w:val="000000"/>
      <w:sz w:val="21"/>
      <w:szCs w:val="21"/>
      <w:u w:val="none"/>
    </w:rPr>
  </w:style>
  <w:style w:type="character" w:customStyle="1" w:styleId="55">
    <w:name w:val="font181"/>
    <w:qFormat/>
    <w:uiPriority w:val="0"/>
    <w:rPr>
      <w:rFonts w:hint="default" w:ascii="Times New Roman" w:hAnsi="Times New Roman" w:cs="Times New Roman"/>
      <w:color w:val="000000"/>
      <w:sz w:val="14"/>
      <w:szCs w:val="14"/>
      <w:u w:val="none"/>
    </w:rPr>
  </w:style>
  <w:style w:type="character" w:customStyle="1" w:styleId="56">
    <w:name w:val="font171"/>
    <w:qFormat/>
    <w:uiPriority w:val="0"/>
    <w:rPr>
      <w:rFonts w:hint="eastAsia" w:ascii="宋体" w:hAnsi="宋体" w:eastAsia="宋体" w:cs="宋体"/>
      <w:color w:val="000000"/>
      <w:sz w:val="14"/>
      <w:szCs w:val="14"/>
      <w:u w:val="none"/>
    </w:rPr>
  </w:style>
  <w:style w:type="character" w:customStyle="1" w:styleId="57">
    <w:name w:val="font151"/>
    <w:qFormat/>
    <w:uiPriority w:val="0"/>
    <w:rPr>
      <w:rFonts w:hint="default" w:ascii="Tahoma" w:hAnsi="Tahoma" w:eastAsia="Tahoma" w:cs="Tahoma"/>
      <w:color w:val="000000"/>
      <w:sz w:val="20"/>
      <w:szCs w:val="20"/>
      <w:u w:val="none"/>
    </w:rPr>
  </w:style>
  <w:style w:type="character" w:customStyle="1" w:styleId="58">
    <w:name w:val="font141"/>
    <w:qFormat/>
    <w:uiPriority w:val="0"/>
    <w:rPr>
      <w:rFonts w:hint="default" w:ascii="Calibri" w:hAnsi="Calibri" w:cs="Calibri"/>
      <w:color w:val="000000"/>
      <w:sz w:val="20"/>
      <w:szCs w:val="20"/>
      <w:u w:val="none"/>
    </w:rPr>
  </w:style>
  <w:style w:type="character" w:customStyle="1" w:styleId="59">
    <w:name w:val="font131"/>
    <w:qFormat/>
    <w:uiPriority w:val="0"/>
    <w:rPr>
      <w:rFonts w:hint="default" w:ascii="Times New Roman" w:hAnsi="Times New Roman" w:cs="Times New Roman"/>
      <w:color w:val="000000"/>
      <w:sz w:val="20"/>
      <w:szCs w:val="20"/>
      <w:u w:val="none"/>
    </w:rPr>
  </w:style>
  <w:style w:type="character" w:customStyle="1" w:styleId="60">
    <w:name w:val="font122"/>
    <w:qFormat/>
    <w:uiPriority w:val="0"/>
    <w:rPr>
      <w:rFonts w:hint="eastAsia" w:ascii="宋体" w:hAnsi="宋体" w:eastAsia="宋体" w:cs="宋体"/>
      <w:color w:val="000000"/>
      <w:sz w:val="20"/>
      <w:szCs w:val="20"/>
      <w:u w:val="none"/>
    </w:rPr>
  </w:style>
  <w:style w:type="character" w:customStyle="1" w:styleId="61">
    <w:name w:val="font51"/>
    <w:qFormat/>
    <w:uiPriority w:val="0"/>
    <w:rPr>
      <w:rFonts w:hint="eastAsia" w:ascii="仿宋" w:hAnsi="仿宋" w:eastAsia="仿宋" w:cs="仿宋"/>
      <w:color w:val="000000"/>
      <w:sz w:val="24"/>
      <w:szCs w:val="24"/>
      <w:u w:val="none"/>
    </w:rPr>
  </w:style>
  <w:style w:type="character" w:customStyle="1" w:styleId="62">
    <w:name w:val="CD正文 Char Char"/>
    <w:qFormat/>
    <w:uiPriority w:val="0"/>
    <w:rPr>
      <w:rFonts w:hint="eastAsia" w:ascii="宋体" w:hAnsi="宋体" w:eastAsia="宋体"/>
      <w:kern w:val="2"/>
      <w:sz w:val="30"/>
      <w:szCs w:val="28"/>
      <w:lang w:val="en-US" w:eastAsia="zh-CN" w:bidi="ar-SA"/>
    </w:rPr>
  </w:style>
  <w:style w:type="character" w:customStyle="1" w:styleId="63">
    <w:name w:val="small"/>
    <w:qFormat/>
    <w:uiPriority w:val="0"/>
  </w:style>
  <w:style w:type="character" w:customStyle="1" w:styleId="64">
    <w:name w:val="正文文本 Char1"/>
    <w:qFormat/>
    <w:uiPriority w:val="0"/>
    <w:rPr>
      <w:rFonts w:ascii="Times New Roman" w:hAnsi="Times New Roman" w:eastAsia="宋体" w:cs="Times New Roman"/>
      <w:kern w:val="0"/>
      <w:sz w:val="18"/>
      <w:szCs w:val="18"/>
    </w:rPr>
  </w:style>
  <w:style w:type="character" w:customStyle="1" w:styleId="65">
    <w:name w:val="font61"/>
    <w:qFormat/>
    <w:uiPriority w:val="0"/>
    <w:rPr>
      <w:rFonts w:hint="eastAsia" w:ascii="仿宋" w:hAnsi="仿宋" w:eastAsia="仿宋" w:cs="仿宋"/>
      <w:b/>
      <w:bCs/>
      <w:color w:val="000000"/>
      <w:sz w:val="22"/>
      <w:szCs w:val="22"/>
      <w:u w:val="none"/>
    </w:rPr>
  </w:style>
  <w:style w:type="character" w:customStyle="1" w:styleId="66">
    <w:name w:val="Char Char10"/>
    <w:qFormat/>
    <w:uiPriority w:val="0"/>
    <w:rPr>
      <w:kern w:val="2"/>
      <w:sz w:val="24"/>
      <w:szCs w:val="24"/>
    </w:rPr>
  </w:style>
  <w:style w:type="character" w:customStyle="1" w:styleId="67">
    <w:name w:val="Char Char5"/>
    <w:qFormat/>
    <w:uiPriority w:val="0"/>
    <w:rPr>
      <w:kern w:val="2"/>
      <w:sz w:val="21"/>
      <w:szCs w:val="24"/>
    </w:rPr>
  </w:style>
  <w:style w:type="character" w:customStyle="1" w:styleId="68">
    <w:name w:val="标题 1 Char1"/>
    <w:qFormat/>
    <w:uiPriority w:val="0"/>
    <w:rPr>
      <w:b/>
      <w:bCs/>
      <w:kern w:val="44"/>
      <w:sz w:val="44"/>
      <w:szCs w:val="44"/>
    </w:rPr>
  </w:style>
  <w:style w:type="character" w:customStyle="1" w:styleId="69">
    <w:name w:val="Char Char9"/>
    <w:qFormat/>
    <w:uiPriority w:val="0"/>
    <w:rPr>
      <w:kern w:val="2"/>
      <w:sz w:val="18"/>
      <w:szCs w:val="18"/>
    </w:rPr>
  </w:style>
  <w:style w:type="character" w:customStyle="1" w:styleId="70">
    <w:name w:val="彩色列表 - 强调文字颜色 1 Char"/>
    <w:link w:val="71"/>
    <w:qFormat/>
    <w:uiPriority w:val="0"/>
    <w:rPr>
      <w:rFonts w:ascii="Calibri" w:hAnsi="Calibri"/>
      <w:kern w:val="2"/>
      <w:sz w:val="21"/>
      <w:szCs w:val="22"/>
    </w:rPr>
  </w:style>
  <w:style w:type="paragraph" w:customStyle="1" w:styleId="71">
    <w:name w:val="彩色列表 - 强调文字颜色 12"/>
    <w:basedOn w:val="1"/>
    <w:link w:val="70"/>
    <w:qFormat/>
    <w:uiPriority w:val="0"/>
    <w:pPr>
      <w:ind w:firstLine="420"/>
    </w:pPr>
  </w:style>
  <w:style w:type="character" w:customStyle="1" w:styleId="72">
    <w:name w:val="纯文本 Char"/>
    <w:qFormat/>
    <w:uiPriority w:val="0"/>
    <w:rPr>
      <w:rFonts w:ascii="宋体" w:hAnsi="Courier New" w:eastAsia="宋体" w:cs="Courier New"/>
      <w:szCs w:val="21"/>
    </w:rPr>
  </w:style>
  <w:style w:type="character" w:customStyle="1" w:styleId="73">
    <w:name w:val="Legal Level 1.1.1. Char"/>
    <w:qFormat/>
    <w:uiPriority w:val="0"/>
    <w:rPr>
      <w:rFonts w:hint="default" w:ascii="Arial" w:hAnsi="Arial" w:eastAsia="黑体" w:cs="Arial"/>
      <w:kern w:val="2"/>
      <w:sz w:val="24"/>
      <w:szCs w:val="24"/>
    </w:rPr>
  </w:style>
  <w:style w:type="character" w:customStyle="1" w:styleId="74">
    <w:name w:val="NormalCharacter"/>
    <w:qFormat/>
    <w:uiPriority w:val="0"/>
  </w:style>
  <w:style w:type="character" w:customStyle="1" w:styleId="75">
    <w:name w:val="Char Char7"/>
    <w:qFormat/>
    <w:uiPriority w:val="0"/>
    <w:rPr>
      <w:kern w:val="2"/>
      <w:sz w:val="18"/>
      <w:szCs w:val="18"/>
    </w:rPr>
  </w:style>
  <w:style w:type="character" w:customStyle="1" w:styleId="76">
    <w:name w:val="Char Char6"/>
    <w:qFormat/>
    <w:uiPriority w:val="0"/>
    <w:rPr>
      <w:kern w:val="2"/>
      <w:sz w:val="21"/>
      <w:szCs w:val="24"/>
    </w:rPr>
  </w:style>
  <w:style w:type="character" w:customStyle="1" w:styleId="77">
    <w:name w:val="标书正文:  0.74 厘米 Char Char"/>
    <w:qFormat/>
    <w:uiPriority w:val="0"/>
    <w:rPr>
      <w:kern w:val="2"/>
      <w:sz w:val="24"/>
    </w:rPr>
  </w:style>
  <w:style w:type="character" w:customStyle="1" w:styleId="78">
    <w:name w:val="副标题 Char1"/>
    <w:qFormat/>
    <w:uiPriority w:val="11"/>
    <w:rPr>
      <w:rFonts w:ascii="Cambria" w:hAnsi="Cambria" w:cs="Times New Roman"/>
      <w:b/>
      <w:bCs/>
      <w:kern w:val="28"/>
      <w:sz w:val="32"/>
      <w:szCs w:val="32"/>
    </w:rPr>
  </w:style>
  <w:style w:type="character" w:customStyle="1" w:styleId="79">
    <w:name w:val="标题 3 Char Char Char"/>
    <w:qFormat/>
    <w:uiPriority w:val="0"/>
    <w:rPr>
      <w:rFonts w:eastAsia="宋体"/>
      <w:b/>
      <w:kern w:val="2"/>
      <w:sz w:val="32"/>
      <w:lang w:val="en-US" w:eastAsia="zh-CN" w:bidi="ar-SA"/>
    </w:rPr>
  </w:style>
  <w:style w:type="character" w:customStyle="1" w:styleId="80">
    <w:name w:val="font01"/>
    <w:qFormat/>
    <w:uiPriority w:val="0"/>
    <w:rPr>
      <w:rFonts w:hint="eastAsia" w:ascii="宋体" w:hAnsi="宋体" w:eastAsia="宋体" w:cs="宋体"/>
      <w:color w:val="000000"/>
      <w:sz w:val="24"/>
      <w:szCs w:val="24"/>
      <w:u w:val="none"/>
    </w:rPr>
  </w:style>
  <w:style w:type="character" w:customStyle="1" w:styleId="81">
    <w:name w:val="列出段落 Char Char"/>
    <w:qFormat/>
    <w:uiPriority w:val="0"/>
    <w:rPr>
      <w:rFonts w:hint="default" w:ascii="Calibri" w:hAnsi="Calibri" w:cs="Calibri"/>
      <w:kern w:val="2"/>
      <w:sz w:val="21"/>
      <w:szCs w:val="22"/>
    </w:rPr>
  </w:style>
  <w:style w:type="character" w:customStyle="1" w:styleId="82">
    <w:name w:val="MM Topic 3 Char Char"/>
    <w:qFormat/>
    <w:uiPriority w:val="0"/>
    <w:rPr>
      <w:rFonts w:hint="eastAsia" w:ascii="宋体" w:hAnsi="宋体" w:eastAsia="宋体"/>
      <w:b/>
      <w:bCs/>
      <w:color w:val="000000"/>
      <w:kern w:val="2"/>
      <w:sz w:val="28"/>
      <w:szCs w:val="28"/>
    </w:rPr>
  </w:style>
  <w:style w:type="character" w:customStyle="1" w:styleId="83">
    <w:name w:val="Char Char8"/>
    <w:qFormat/>
    <w:uiPriority w:val="0"/>
    <w:rPr>
      <w:rFonts w:hint="eastAsia" w:ascii="宋体" w:hAnsi="宋体" w:eastAsia="宋体"/>
      <w:kern w:val="2"/>
      <w:sz w:val="28"/>
      <w:szCs w:val="28"/>
    </w:rPr>
  </w:style>
  <w:style w:type="character" w:customStyle="1" w:styleId="84">
    <w:name w:val="Char Char3"/>
    <w:qFormat/>
    <w:uiPriority w:val="0"/>
    <w:rPr>
      <w:b/>
      <w:bCs/>
      <w:kern w:val="2"/>
      <w:sz w:val="18"/>
      <w:szCs w:val="18"/>
    </w:rPr>
  </w:style>
  <w:style w:type="character" w:customStyle="1" w:styleId="85">
    <w:name w:val="正文文本 Char"/>
    <w:qFormat/>
    <w:uiPriority w:val="0"/>
  </w:style>
  <w:style w:type="character" w:customStyle="1" w:styleId="86">
    <w:name w:val="正文文本首行缩进 字符"/>
    <w:link w:val="41"/>
    <w:qFormat/>
    <w:uiPriority w:val="0"/>
    <w:rPr>
      <w:rFonts w:eastAsia="宋体"/>
      <w:sz w:val="18"/>
      <w:szCs w:val="18"/>
      <w:lang w:bidi="ar-SA"/>
    </w:rPr>
  </w:style>
  <w:style w:type="character" w:customStyle="1" w:styleId="87">
    <w:name w:val="正文文本缩进 3 字符"/>
    <w:link w:val="35"/>
    <w:qFormat/>
    <w:uiPriority w:val="0"/>
    <w:rPr>
      <w:rFonts w:ascii="宋体" w:hAnsi="宋体" w:eastAsia="宋体"/>
      <w:sz w:val="28"/>
      <w:szCs w:val="28"/>
      <w:lang w:bidi="ar-SA"/>
    </w:rPr>
  </w:style>
  <w:style w:type="character" w:customStyle="1" w:styleId="88">
    <w:name w:val="页眉 字符"/>
    <w:link w:val="29"/>
    <w:qFormat/>
    <w:uiPriority w:val="0"/>
    <w:rPr>
      <w:rFonts w:ascii="Calibri" w:hAnsi="Calibri" w:eastAsia="宋体"/>
      <w:sz w:val="18"/>
      <w:szCs w:val="18"/>
      <w:lang w:bidi="ar-SA"/>
    </w:rPr>
  </w:style>
  <w:style w:type="character" w:customStyle="1" w:styleId="89">
    <w:name w:val="页脚 字符"/>
    <w:link w:val="28"/>
    <w:qFormat/>
    <w:uiPriority w:val="0"/>
    <w:rPr>
      <w:rFonts w:ascii="Calibri" w:hAnsi="Calibri" w:eastAsia="宋体"/>
      <w:sz w:val="18"/>
      <w:szCs w:val="18"/>
      <w:lang w:bidi="ar-SA"/>
    </w:rPr>
  </w:style>
  <w:style w:type="character" w:customStyle="1" w:styleId="90">
    <w:name w:val="正文文本缩进 2 字符"/>
    <w:link w:val="26"/>
    <w:qFormat/>
    <w:uiPriority w:val="0"/>
  </w:style>
  <w:style w:type="character" w:customStyle="1" w:styleId="91">
    <w:name w:val="日期 字符"/>
    <w:link w:val="25"/>
    <w:qFormat/>
    <w:uiPriority w:val="0"/>
    <w:rPr>
      <w:rFonts w:eastAsia="宋体"/>
      <w:sz w:val="24"/>
      <w:szCs w:val="24"/>
      <w:lang w:bidi="ar-SA"/>
    </w:rPr>
  </w:style>
  <w:style w:type="character" w:customStyle="1" w:styleId="92">
    <w:name w:val="纯文本 字符"/>
    <w:link w:val="23"/>
    <w:qFormat/>
    <w:uiPriority w:val="0"/>
    <w:rPr>
      <w:rFonts w:ascii="宋体" w:hAnsi="Courier New" w:eastAsia="宋体"/>
      <w:szCs w:val="18"/>
      <w:lang w:bidi="ar-SA"/>
    </w:rPr>
  </w:style>
  <w:style w:type="character" w:customStyle="1" w:styleId="93">
    <w:name w:val="文档结构图 字符"/>
    <w:link w:val="16"/>
    <w:qFormat/>
    <w:uiPriority w:val="0"/>
    <w:rPr>
      <w:rFonts w:eastAsia="宋体"/>
      <w:sz w:val="18"/>
      <w:szCs w:val="18"/>
      <w:lang w:bidi="ar-SA"/>
    </w:rPr>
  </w:style>
  <w:style w:type="character" w:customStyle="1" w:styleId="94">
    <w:name w:val="正文文本缩进 字符"/>
    <w:link w:val="19"/>
    <w:qFormat/>
    <w:uiPriority w:val="0"/>
    <w:rPr>
      <w:rFonts w:eastAsia="宋体"/>
      <w:szCs w:val="24"/>
      <w:lang w:bidi="ar-SA"/>
    </w:rPr>
  </w:style>
  <w:style w:type="character" w:customStyle="1" w:styleId="95">
    <w:name w:val="标题 8 字符"/>
    <w:link w:val="11"/>
    <w:qFormat/>
    <w:uiPriority w:val="0"/>
    <w:rPr>
      <w:rFonts w:ascii="Arial" w:hAnsi="Arial" w:eastAsia="黑体"/>
      <w:sz w:val="24"/>
      <w:szCs w:val="24"/>
      <w:lang w:bidi="ar-SA"/>
    </w:rPr>
  </w:style>
  <w:style w:type="character" w:customStyle="1" w:styleId="96">
    <w:name w:val="标题 7 字符"/>
    <w:link w:val="10"/>
    <w:qFormat/>
    <w:uiPriority w:val="0"/>
    <w:rPr>
      <w:rFonts w:ascii="Arial Narrow" w:hAnsi="Arial Narrow" w:eastAsia="宋体"/>
      <w:b/>
      <w:bCs/>
      <w:iCs/>
      <w:szCs w:val="24"/>
      <w:lang w:eastAsia="en-US" w:bidi="ar-SA"/>
    </w:rPr>
  </w:style>
  <w:style w:type="character" w:customStyle="1" w:styleId="97">
    <w:name w:val="标题 5 字符"/>
    <w:link w:val="8"/>
    <w:qFormat/>
    <w:uiPriority w:val="0"/>
    <w:rPr>
      <w:rFonts w:ascii="Calibri" w:hAnsi="Calibri"/>
      <w:b/>
      <w:bCs/>
      <w:sz w:val="28"/>
      <w:szCs w:val="28"/>
    </w:rPr>
  </w:style>
  <w:style w:type="character" w:customStyle="1" w:styleId="98">
    <w:name w:val="tt Char"/>
    <w:qFormat/>
    <w:uiPriority w:val="0"/>
    <w:rPr>
      <w:rFonts w:hint="default" w:ascii="Arial" w:hAnsi="Arial" w:eastAsia="黑体" w:cs="Arial"/>
      <w:kern w:val="2"/>
      <w:sz w:val="21"/>
      <w:szCs w:val="21"/>
    </w:rPr>
  </w:style>
  <w:style w:type="character" w:customStyle="1" w:styleId="99">
    <w:name w:val="标题 4 字符"/>
    <w:link w:val="7"/>
    <w:qFormat/>
    <w:uiPriority w:val="0"/>
    <w:rPr>
      <w:rFonts w:ascii="Arial" w:hAnsi="Arial"/>
      <w:b/>
      <w:bCs/>
      <w:sz w:val="28"/>
      <w:szCs w:val="28"/>
    </w:rPr>
  </w:style>
  <w:style w:type="character" w:customStyle="1" w:styleId="100">
    <w:name w:val="标题 2 字符"/>
    <w:link w:val="5"/>
    <w:qFormat/>
    <w:uiPriority w:val="0"/>
    <w:rPr>
      <w:rFonts w:ascii="宋体" w:hAnsi="宋体"/>
      <w:b/>
      <w:bCs/>
      <w:kern w:val="2"/>
      <w:sz w:val="28"/>
      <w:szCs w:val="28"/>
    </w:rPr>
  </w:style>
  <w:style w:type="character" w:customStyle="1" w:styleId="101">
    <w:name w:val="样式 小四2 Char Char"/>
    <w:qFormat/>
    <w:uiPriority w:val="0"/>
    <w:rPr>
      <w:rFonts w:hint="eastAsia" w:ascii="宋体" w:hAnsi="宋体" w:eastAsia="宋体"/>
      <w:kern w:val="2"/>
      <w:sz w:val="24"/>
      <w:szCs w:val="24"/>
    </w:rPr>
  </w:style>
  <w:style w:type="character" w:customStyle="1" w:styleId="102">
    <w:name w:val="标题 6 字符"/>
    <w:link w:val="9"/>
    <w:qFormat/>
    <w:uiPriority w:val="0"/>
    <w:rPr>
      <w:rFonts w:ascii="Arial" w:hAnsi="Arial"/>
      <w:b/>
      <w:bCs/>
      <w:sz w:val="28"/>
      <w:szCs w:val="18"/>
    </w:rPr>
  </w:style>
  <w:style w:type="character" w:customStyle="1" w:styleId="103">
    <w:name w:val="标题 1 字符"/>
    <w:link w:val="4"/>
    <w:qFormat/>
    <w:uiPriority w:val="0"/>
    <w:rPr>
      <w:rFonts w:ascii="宋体" w:hAnsi="宋体"/>
      <w:b/>
      <w:bCs/>
      <w:spacing w:val="-20"/>
      <w:kern w:val="44"/>
      <w:sz w:val="32"/>
      <w:szCs w:val="32"/>
    </w:rPr>
  </w:style>
  <w:style w:type="character" w:customStyle="1" w:styleId="104">
    <w:name w:val="font111"/>
    <w:qFormat/>
    <w:uiPriority w:val="0"/>
    <w:rPr>
      <w:rFonts w:ascii="Symbol" w:hAnsi="Symbol" w:cs="Symbol"/>
      <w:color w:val="000000"/>
      <w:sz w:val="20"/>
      <w:szCs w:val="20"/>
      <w:u w:val="none"/>
    </w:rPr>
  </w:style>
  <w:style w:type="character" w:customStyle="1" w:styleId="105">
    <w:name w:val="标书（正文） Char Char"/>
    <w:qFormat/>
    <w:uiPriority w:val="0"/>
    <w:rPr>
      <w:rFonts w:hint="eastAsia" w:ascii="宋体" w:hAnsi="宋体" w:eastAsia="宋体"/>
      <w:b/>
      <w:kern w:val="10"/>
      <w:sz w:val="21"/>
      <w:szCs w:val="21"/>
      <w:lang w:val="en-US" w:eastAsia="zh-CN" w:bidi="ar-SA"/>
    </w:rPr>
  </w:style>
  <w:style w:type="character" w:customStyle="1" w:styleId="106">
    <w:name w:val="font11"/>
    <w:qFormat/>
    <w:uiPriority w:val="0"/>
    <w:rPr>
      <w:rFonts w:hint="eastAsia" w:ascii="宋体" w:hAnsi="宋体" w:eastAsia="宋体" w:cs="宋体"/>
      <w:color w:val="000000"/>
      <w:sz w:val="22"/>
      <w:szCs w:val="22"/>
      <w:u w:val="none"/>
    </w:rPr>
  </w:style>
  <w:style w:type="character" w:customStyle="1" w:styleId="107">
    <w:name w:val="正文文本 3 字符"/>
    <w:link w:val="18"/>
    <w:qFormat/>
    <w:uiPriority w:val="0"/>
    <w:rPr>
      <w:rFonts w:eastAsia="黑体"/>
      <w:kern w:val="2"/>
      <w:sz w:val="44"/>
      <w:szCs w:val="24"/>
      <w:lang w:val="en-US" w:eastAsia="zh-CN" w:bidi="ar-SA"/>
    </w:rPr>
  </w:style>
  <w:style w:type="character" w:customStyle="1" w:styleId="108">
    <w:name w:val="标题 3 字符"/>
    <w:link w:val="6"/>
    <w:qFormat/>
    <w:uiPriority w:val="0"/>
    <w:rPr>
      <w:rFonts w:ascii="宋体" w:hAnsi="宋体"/>
      <w:b/>
      <w:bCs/>
      <w:color w:val="000000"/>
      <w:sz w:val="24"/>
      <w:szCs w:val="28"/>
    </w:rPr>
  </w:style>
  <w:style w:type="character" w:customStyle="1" w:styleId="109">
    <w:name w:val="批注文字 字符"/>
    <w:link w:val="17"/>
    <w:qFormat/>
    <w:uiPriority w:val="0"/>
    <w:rPr>
      <w:rFonts w:eastAsia="宋体"/>
      <w:sz w:val="18"/>
      <w:szCs w:val="18"/>
      <w:lang w:bidi="ar-SA"/>
    </w:rPr>
  </w:style>
  <w:style w:type="character" w:customStyle="1" w:styleId="110">
    <w:name w:val="Char Char2"/>
    <w:qFormat/>
    <w:uiPriority w:val="0"/>
    <w:rPr>
      <w:kern w:val="2"/>
      <w:sz w:val="18"/>
      <w:szCs w:val="18"/>
    </w:rPr>
  </w:style>
  <w:style w:type="character" w:customStyle="1" w:styleId="111">
    <w:name w:val="font161"/>
    <w:qFormat/>
    <w:uiPriority w:val="0"/>
    <w:rPr>
      <w:rFonts w:hint="eastAsia" w:ascii="宋体" w:hAnsi="宋体" w:eastAsia="宋体" w:cs="宋体"/>
      <w:color w:val="000000"/>
      <w:sz w:val="21"/>
      <w:szCs w:val="21"/>
      <w:u w:val="none"/>
    </w:rPr>
  </w:style>
  <w:style w:type="character" w:customStyle="1" w:styleId="112">
    <w:name w:val="apple-style-span"/>
    <w:qFormat/>
    <w:uiPriority w:val="0"/>
  </w:style>
  <w:style w:type="character" w:customStyle="1" w:styleId="113">
    <w:name w:val="（符号）邀请函中一、"/>
    <w:qFormat/>
    <w:uiPriority w:val="0"/>
    <w:rPr>
      <w:rFonts w:ascii="黑体" w:hAnsi="黑体" w:eastAsia="黑体"/>
      <w:b/>
      <w:bCs/>
      <w:sz w:val="24"/>
    </w:rPr>
  </w:style>
  <w:style w:type="character" w:customStyle="1" w:styleId="114">
    <w:name w:val="Char Char11"/>
    <w:qFormat/>
    <w:uiPriority w:val="0"/>
    <w:rPr>
      <w:rFonts w:hint="default" w:ascii="Arial Narrow" w:hAnsi="Arial Narrow"/>
      <w:b/>
      <w:bCs/>
      <w:iCs/>
      <w:szCs w:val="24"/>
      <w:lang w:eastAsia="en-US"/>
    </w:rPr>
  </w:style>
  <w:style w:type="character" w:customStyle="1" w:styleId="115">
    <w:name w:val="font71"/>
    <w:qFormat/>
    <w:uiPriority w:val="0"/>
    <w:rPr>
      <w:rFonts w:hint="eastAsia" w:ascii="宋体" w:hAnsi="宋体" w:eastAsia="宋体" w:cs="宋体"/>
      <w:color w:val="000000"/>
      <w:sz w:val="21"/>
      <w:szCs w:val="21"/>
      <w:u w:val="none"/>
    </w:rPr>
  </w:style>
  <w:style w:type="character" w:customStyle="1" w:styleId="116">
    <w:name w:val="正文文本 Char Char"/>
    <w:qFormat/>
    <w:uiPriority w:val="0"/>
    <w:rPr>
      <w:kern w:val="2"/>
      <w:sz w:val="21"/>
      <w:szCs w:val="24"/>
    </w:rPr>
  </w:style>
  <w:style w:type="character" w:customStyle="1" w:styleId="117">
    <w:name w:val="正文文本 2 字符"/>
    <w:link w:val="38"/>
    <w:qFormat/>
    <w:uiPriority w:val="0"/>
    <w:rPr>
      <w:rFonts w:eastAsia="宋体"/>
      <w:sz w:val="18"/>
      <w:szCs w:val="18"/>
      <w:lang w:bidi="ar-SA"/>
    </w:rPr>
  </w:style>
  <w:style w:type="character" w:customStyle="1" w:styleId="118">
    <w:name w:val="批注框文本 字符"/>
    <w:link w:val="27"/>
    <w:qFormat/>
    <w:uiPriority w:val="0"/>
    <w:rPr>
      <w:rFonts w:eastAsia="宋体"/>
      <w:sz w:val="18"/>
      <w:szCs w:val="18"/>
      <w:lang w:bidi="ar-SA"/>
    </w:rPr>
  </w:style>
  <w:style w:type="character" w:customStyle="1" w:styleId="119">
    <w:name w:val="line2"/>
    <w:qFormat/>
    <w:uiPriority w:val="0"/>
  </w:style>
  <w:style w:type="character" w:customStyle="1" w:styleId="120">
    <w:name w:val="font21"/>
    <w:qFormat/>
    <w:uiPriority w:val="0"/>
    <w:rPr>
      <w:rFonts w:hint="default" w:ascii="Times New Roman" w:hAnsi="Times New Roman" w:cs="Times New Roman"/>
      <w:color w:val="000000"/>
      <w:sz w:val="22"/>
      <w:szCs w:val="22"/>
      <w:u w:val="none"/>
    </w:rPr>
  </w:style>
  <w:style w:type="character" w:customStyle="1" w:styleId="121">
    <w:name w:val="MM Topic 4 Char Char"/>
    <w:qFormat/>
    <w:uiPriority w:val="0"/>
    <w:rPr>
      <w:rFonts w:hint="default" w:ascii="Arial" w:hAnsi="Arial" w:cs="Arial"/>
      <w:b/>
      <w:bCs/>
      <w:kern w:val="2"/>
      <w:sz w:val="28"/>
      <w:szCs w:val="28"/>
    </w:rPr>
  </w:style>
  <w:style w:type="character" w:customStyle="1" w:styleId="122">
    <w:name w:val="Char Char Char"/>
    <w:qFormat/>
    <w:uiPriority w:val="0"/>
    <w:rPr>
      <w:rFonts w:hint="eastAsia" w:ascii="宋体" w:hAnsi="宋体" w:eastAsia="宋体"/>
      <w:kern w:val="2"/>
      <w:sz w:val="18"/>
      <w:szCs w:val="18"/>
      <w:lang w:val="en-US" w:eastAsia="zh-CN" w:bidi="ar-SA"/>
    </w:rPr>
  </w:style>
  <w:style w:type="character" w:customStyle="1" w:styleId="123">
    <w:name w:val="表正文 Char1"/>
    <w:qFormat/>
    <w:uiPriority w:val="0"/>
    <w:rPr>
      <w:rFonts w:hint="eastAsia" w:ascii="宋体" w:hAnsi="宋体" w:eastAsia="宋体"/>
      <w:kern w:val="2"/>
      <w:sz w:val="21"/>
      <w:lang w:val="en-US" w:eastAsia="zh-CN" w:bidi="ar-SA"/>
    </w:rPr>
  </w:style>
  <w:style w:type="character" w:customStyle="1" w:styleId="124">
    <w:name w:val="Char Char4"/>
    <w:qFormat/>
    <w:uiPriority w:val="0"/>
    <w:rPr>
      <w:kern w:val="2"/>
      <w:sz w:val="18"/>
      <w:szCs w:val="18"/>
    </w:rPr>
  </w:style>
  <w:style w:type="character" w:customStyle="1" w:styleId="125">
    <w:name w:val="font81"/>
    <w:qFormat/>
    <w:uiPriority w:val="0"/>
    <w:rPr>
      <w:rFonts w:hint="eastAsia" w:ascii="宋体" w:hAnsi="宋体" w:eastAsia="宋体" w:cs="宋体"/>
      <w:b/>
      <w:bCs/>
      <w:color w:val="000000"/>
      <w:sz w:val="22"/>
      <w:szCs w:val="22"/>
      <w:u w:val="none"/>
    </w:rPr>
  </w:style>
  <w:style w:type="character" w:customStyle="1" w:styleId="126">
    <w:name w:val="副标题 字符"/>
    <w:link w:val="32"/>
    <w:qFormat/>
    <w:uiPriority w:val="0"/>
    <w:rPr>
      <w:rFonts w:ascii="Cambria" w:hAnsi="Cambria"/>
      <w:b/>
      <w:bCs/>
      <w:kern w:val="28"/>
      <w:sz w:val="32"/>
      <w:szCs w:val="32"/>
    </w:rPr>
  </w:style>
  <w:style w:type="character" w:customStyle="1" w:styleId="127">
    <w:name w:val="文章正文 Char Char"/>
    <w:qFormat/>
    <w:uiPriority w:val="0"/>
    <w:rPr>
      <w:rFonts w:hint="eastAsia" w:ascii="宋体" w:hAnsi="宋体" w:eastAsia="宋体"/>
      <w:kern w:val="2"/>
      <w:sz w:val="24"/>
      <w:szCs w:val="24"/>
      <w:lang w:val="en-US" w:eastAsia="zh-CN" w:bidi="ar-SA"/>
    </w:rPr>
  </w:style>
  <w:style w:type="character" w:customStyle="1" w:styleId="128">
    <w:name w:val="正文文本 字符"/>
    <w:link w:val="2"/>
    <w:qFormat/>
    <w:uiPriority w:val="0"/>
    <w:rPr>
      <w:rFonts w:eastAsia="宋体"/>
    </w:rPr>
  </w:style>
  <w:style w:type="character" w:customStyle="1" w:styleId="129">
    <w:name w:val="标题 9 字符"/>
    <w:link w:val="12"/>
    <w:qFormat/>
    <w:uiPriority w:val="0"/>
    <w:rPr>
      <w:rFonts w:ascii="Arial" w:hAnsi="Arial" w:eastAsia="黑体"/>
      <w:szCs w:val="21"/>
      <w:lang w:bidi="ar-SA"/>
    </w:rPr>
  </w:style>
  <w:style w:type="paragraph" w:customStyle="1" w:styleId="130">
    <w:name w:val="图"/>
    <w:basedOn w:val="1"/>
    <w:qFormat/>
    <w:uiPriority w:val="0"/>
    <w:pPr>
      <w:widowControl/>
      <w:adjustRightInd w:val="0"/>
      <w:snapToGrid w:val="0"/>
      <w:jc w:val="center"/>
    </w:pPr>
    <w:rPr>
      <w:rFonts w:ascii="宋体" w:hAnsi="宋体"/>
      <w:bCs/>
      <w:szCs w:val="24"/>
    </w:rPr>
  </w:style>
  <w:style w:type="paragraph" w:customStyle="1" w:styleId="131">
    <w:name w:val="p0"/>
    <w:basedOn w:val="1"/>
    <w:qFormat/>
    <w:uiPriority w:val="0"/>
    <w:pPr>
      <w:widowControl/>
      <w:spacing w:before="100" w:beforeAutospacing="1" w:after="100" w:afterAutospacing="1"/>
    </w:pPr>
    <w:rPr>
      <w:rFonts w:ascii="宋体" w:hAnsi="宋体" w:cs="宋体"/>
      <w:kern w:val="0"/>
      <w:szCs w:val="24"/>
    </w:rPr>
  </w:style>
  <w:style w:type="paragraph" w:customStyle="1" w:styleId="13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33">
    <w:name w:val="列表段落1"/>
    <w:basedOn w:val="1"/>
    <w:qFormat/>
    <w:uiPriority w:val="99"/>
    <w:pPr>
      <w:ind w:firstLine="420"/>
    </w:pPr>
  </w:style>
  <w:style w:type="paragraph" w:customStyle="1" w:styleId="134">
    <w:name w:val="默认段落字体 Para Char"/>
    <w:basedOn w:val="1"/>
    <w:qFormat/>
    <w:uiPriority w:val="0"/>
    <w:rPr>
      <w:rFonts w:ascii="Tahoma" w:hAnsi="Tahoma"/>
      <w:szCs w:val="20"/>
    </w:rPr>
  </w:style>
  <w:style w:type="paragraph" w:customStyle="1" w:styleId="135">
    <w:name w:val="标题2-1"/>
    <w:basedOn w:val="1"/>
    <w:qFormat/>
    <w:uiPriority w:val="0"/>
    <w:pPr>
      <w:tabs>
        <w:tab w:val="left" w:pos="0"/>
      </w:tabs>
      <w:autoSpaceDE w:val="0"/>
      <w:autoSpaceDN w:val="0"/>
      <w:adjustRightInd w:val="0"/>
      <w:spacing w:beforeLines="50"/>
      <w:outlineLvl w:val="1"/>
    </w:pPr>
    <w:rPr>
      <w:rFonts w:ascii="Arial" w:hAnsi="宋体" w:cs="Arial"/>
      <w:b/>
      <w:bCs/>
      <w:color w:val="292929"/>
      <w:kern w:val="0"/>
      <w:sz w:val="28"/>
      <w:szCs w:val="28"/>
    </w:rPr>
  </w:style>
  <w:style w:type="paragraph" w:customStyle="1" w:styleId="136">
    <w:name w:val="表格文字"/>
    <w:basedOn w:val="1"/>
    <w:qFormat/>
    <w:uiPriority w:val="0"/>
    <w:pPr>
      <w:spacing w:beforeLines="25"/>
    </w:pPr>
    <w:rPr>
      <w:rFonts w:ascii="Times New (W1)" w:hAnsi="Times New (W1)"/>
      <w:spacing w:val="10"/>
      <w:szCs w:val="24"/>
    </w:rPr>
  </w:style>
  <w:style w:type="paragraph" w:customStyle="1" w:styleId="137">
    <w:name w:val="论文正文"/>
    <w:basedOn w:val="1"/>
    <w:qFormat/>
    <w:uiPriority w:val="0"/>
    <w:pPr>
      <w:ind w:firstLine="700" w:firstLineChars="250"/>
    </w:pPr>
    <w:rPr>
      <w:rFonts w:ascii="宋体" w:hAnsi="宋体"/>
      <w:bCs/>
      <w:sz w:val="28"/>
      <w:szCs w:val="28"/>
    </w:rPr>
  </w:style>
  <w:style w:type="paragraph" w:customStyle="1" w:styleId="138">
    <w:name w:val="标题 5 + 首行缩进:  2 字符"/>
    <w:basedOn w:val="8"/>
    <w:next w:val="19"/>
    <w:qFormat/>
    <w:uiPriority w:val="0"/>
    <w:pPr>
      <w:tabs>
        <w:tab w:val="left" w:pos="992"/>
        <w:tab w:val="clear" w:pos="1134"/>
      </w:tabs>
      <w:snapToGrid w:val="0"/>
      <w:spacing w:beforeLines="50" w:afterLines="50"/>
      <w:ind w:left="3570" w:firstLine="482"/>
    </w:pPr>
    <w:rPr>
      <w:color w:val="000000"/>
      <w:szCs w:val="20"/>
    </w:rPr>
  </w:style>
  <w:style w:type="paragraph" w:customStyle="1" w:styleId="139">
    <w:name w:val="列出段落1"/>
    <w:basedOn w:val="1"/>
    <w:qFormat/>
    <w:uiPriority w:val="0"/>
    <w:pPr>
      <w:ind w:firstLine="420"/>
    </w:pPr>
  </w:style>
  <w:style w:type="paragraph" w:customStyle="1" w:styleId="140">
    <w:name w:val="样式 正文缩进 + (中文) 仿宋_GB2312 小四 Char"/>
    <w:basedOn w:val="14"/>
    <w:qFormat/>
    <w:uiPriority w:val="0"/>
    <w:pPr>
      <w:spacing w:after="0" w:line="360" w:lineRule="auto"/>
      <w:ind w:firstLine="480"/>
    </w:pPr>
    <w:rPr>
      <w:rFonts w:ascii="宋体" w:hAnsi="宋体"/>
      <w:szCs w:val="24"/>
    </w:rPr>
  </w:style>
  <w:style w:type="paragraph" w:customStyle="1" w:styleId="141">
    <w:name w:val="项目符号：一级"/>
    <w:basedOn w:val="142"/>
    <w:next w:val="142"/>
    <w:qFormat/>
    <w:uiPriority w:val="0"/>
  </w:style>
  <w:style w:type="paragraph" w:customStyle="1" w:styleId="142">
    <w:name w:val="正文格式"/>
    <w:basedOn w:val="1"/>
    <w:qFormat/>
    <w:uiPriority w:val="0"/>
    <w:pPr>
      <w:widowControl/>
      <w:adjustRightInd w:val="0"/>
      <w:snapToGrid w:val="0"/>
      <w:spacing w:beforeLines="25"/>
      <w:ind w:firstLine="480"/>
    </w:pPr>
    <w:rPr>
      <w:rFonts w:ascii="宋体" w:hAnsi="宋体"/>
      <w:bCs/>
      <w:color w:val="000000"/>
      <w:kern w:val="0"/>
      <w:szCs w:val="24"/>
    </w:rPr>
  </w:style>
  <w:style w:type="paragraph" w:customStyle="1" w:styleId="143">
    <w:name w:val="标书正文:  0.74 厘米"/>
    <w:basedOn w:val="1"/>
    <w:qFormat/>
    <w:uiPriority w:val="0"/>
    <w:pPr>
      <w:snapToGrid w:val="0"/>
      <w:ind w:firstLine="420"/>
    </w:pPr>
    <w:rPr>
      <w:szCs w:val="18"/>
    </w:rPr>
  </w:style>
  <w:style w:type="paragraph" w:customStyle="1" w:styleId="144">
    <w:name w:val="正文首行缩进两字符"/>
    <w:basedOn w:val="1"/>
    <w:qFormat/>
    <w:uiPriority w:val="0"/>
    <w:pPr>
      <w:ind w:firstLine="200"/>
    </w:pPr>
    <w:rPr>
      <w:szCs w:val="24"/>
    </w:rPr>
  </w:style>
  <w:style w:type="paragraph" w:customStyle="1" w:styleId="145">
    <w:name w:val="样式 行距: 1.5 倍行距 左  3.42 字符"/>
    <w:basedOn w:val="1"/>
    <w:qFormat/>
    <w:uiPriority w:val="0"/>
    <w:pPr>
      <w:ind w:left="200" w:leftChars="200" w:firstLine="200"/>
    </w:pPr>
    <w:rPr>
      <w:rFonts w:cs="宋体"/>
      <w:szCs w:val="20"/>
    </w:rPr>
  </w:style>
  <w:style w:type="paragraph" w:customStyle="1" w:styleId="146">
    <w:name w:val="默认段落字体 Para Char Char"/>
    <w:basedOn w:val="1"/>
    <w:qFormat/>
    <w:uiPriority w:val="0"/>
    <w:rPr>
      <w:szCs w:val="24"/>
    </w:rPr>
  </w:style>
  <w:style w:type="paragraph" w:customStyle="1" w:styleId="147">
    <w:name w:val="样式 小四 首行缩进:  0.74 厘米"/>
    <w:basedOn w:val="1"/>
    <w:qFormat/>
    <w:uiPriority w:val="0"/>
    <w:pPr>
      <w:spacing w:before="100" w:beforeAutospacing="1" w:after="100" w:afterAutospacing="1" w:line="300" w:lineRule="auto"/>
      <w:ind w:firstLine="420" w:firstLineChars="175"/>
    </w:pPr>
    <w:rPr>
      <w:rFonts w:ascii="宋体" w:hAnsi="宋体"/>
      <w:szCs w:val="24"/>
    </w:rPr>
  </w:style>
  <w:style w:type="paragraph" w:customStyle="1" w:styleId="148">
    <w:name w:val="MM Topic 8"/>
    <w:basedOn w:val="11"/>
    <w:qFormat/>
    <w:uiPriority w:val="0"/>
    <w:pPr>
      <w:tabs>
        <w:tab w:val="left" w:pos="4394"/>
      </w:tabs>
    </w:pPr>
  </w:style>
  <w:style w:type="paragraph" w:customStyle="1" w:styleId="149">
    <w:name w:val="zw1"/>
    <w:basedOn w:val="1"/>
    <w:qFormat/>
    <w:uiPriority w:val="0"/>
    <w:pPr>
      <w:widowControl/>
      <w:ind w:firstLine="480"/>
    </w:pPr>
    <w:rPr>
      <w:kern w:val="0"/>
      <w:szCs w:val="20"/>
    </w:rPr>
  </w:style>
  <w:style w:type="paragraph" w:customStyle="1" w:styleId="15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Cs w:val="24"/>
    </w:rPr>
  </w:style>
  <w:style w:type="paragraph" w:customStyle="1" w:styleId="151">
    <w:name w:val="大纲正文"/>
    <w:basedOn w:val="1"/>
    <w:qFormat/>
    <w:uiPriority w:val="0"/>
    <w:pPr>
      <w:ind w:firstLine="480"/>
    </w:pPr>
    <w:rPr>
      <w:szCs w:val="20"/>
    </w:rPr>
  </w:style>
  <w:style w:type="paragraph" w:customStyle="1" w:styleId="152">
    <w:name w:val="_Style 1"/>
    <w:basedOn w:val="1"/>
    <w:qFormat/>
    <w:uiPriority w:val="0"/>
    <w:pPr>
      <w:ind w:firstLine="420"/>
    </w:pPr>
  </w:style>
  <w:style w:type="paragraph" w:customStyle="1" w:styleId="153">
    <w:name w:val="MM Topic 7"/>
    <w:basedOn w:val="10"/>
    <w:qFormat/>
    <w:uiPriority w:val="0"/>
    <w:pPr>
      <w:keepLines/>
      <w:widowControl w:val="0"/>
      <w:tabs>
        <w:tab w:val="left" w:pos="3827"/>
        <w:tab w:val="clear" w:pos="3600"/>
      </w:tabs>
      <w:spacing w:before="240" w:after="64" w:line="316" w:lineRule="auto"/>
      <w:jc w:val="both"/>
    </w:pPr>
    <w:rPr>
      <w:rFonts w:ascii="Times New Roman" w:hAnsi="Times New Roman"/>
      <w:iCs w:val="0"/>
      <w:kern w:val="2"/>
      <w:sz w:val="24"/>
      <w:lang w:eastAsia="zh-CN"/>
    </w:rPr>
  </w:style>
  <w:style w:type="paragraph" w:customStyle="1" w:styleId="154">
    <w:name w:val="列出段落3"/>
    <w:basedOn w:val="1"/>
    <w:qFormat/>
    <w:uiPriority w:val="34"/>
    <w:pPr>
      <w:ind w:firstLine="420"/>
    </w:pPr>
  </w:style>
  <w:style w:type="paragraph" w:customStyle="1" w:styleId="155">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56">
    <w:name w:val="Char Char1"/>
    <w:basedOn w:val="1"/>
    <w:next w:val="1"/>
    <w:qFormat/>
    <w:uiPriority w:val="0"/>
    <w:pPr>
      <w:spacing w:line="240" w:lineRule="atLeast"/>
      <w:ind w:left="420" w:firstLine="420"/>
    </w:pPr>
    <w:rPr>
      <w:rFonts w:ascii="楷体_GB2312" w:hAnsi="宋体" w:eastAsia="楷体_GB2312"/>
      <w:bCs/>
      <w:color w:val="000000"/>
      <w:kern w:val="0"/>
      <w:sz w:val="28"/>
      <w:szCs w:val="28"/>
    </w:rPr>
  </w:style>
  <w:style w:type="paragraph" w:customStyle="1" w:styleId="1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59">
    <w:name w:val="列出段落11"/>
    <w:basedOn w:val="1"/>
    <w:qFormat/>
    <w:uiPriority w:val="34"/>
    <w:pPr>
      <w:ind w:firstLine="420"/>
    </w:pPr>
  </w:style>
  <w:style w:type="paragraph" w:customStyle="1" w:styleId="160">
    <w:name w:val="Char Char Char Char"/>
    <w:basedOn w:val="1"/>
    <w:qFormat/>
    <w:uiPriority w:val="0"/>
    <w:rPr>
      <w:rFonts w:ascii="Tahoma" w:hAnsi="Tahoma"/>
      <w:szCs w:val="20"/>
    </w:rPr>
  </w:style>
  <w:style w:type="paragraph" w:customStyle="1" w:styleId="161">
    <w:name w:val="样式 右侧:  1 字符1"/>
    <w:basedOn w:val="1"/>
    <w:qFormat/>
    <w:uiPriority w:val="0"/>
    <w:pPr>
      <w:ind w:left="240" w:leftChars="100" w:right="240" w:rightChars="100"/>
    </w:pPr>
    <w:rPr>
      <w:rFonts w:eastAsia="仿宋_GB2312" w:cs="宋体"/>
      <w:sz w:val="28"/>
      <w:szCs w:val="20"/>
    </w:rPr>
  </w:style>
  <w:style w:type="paragraph" w:customStyle="1" w:styleId="162">
    <w:name w:val="样式 标题 3 + (西文) 仿宋_GB2312 (中文) 仿宋_GB2312 四号"/>
    <w:basedOn w:val="6"/>
    <w:qFormat/>
    <w:uiPriority w:val="0"/>
    <w:pPr>
      <w:numPr>
        <w:ilvl w:val="0"/>
        <w:numId w:val="0"/>
      </w:numPr>
      <w:tabs>
        <w:tab w:val="left" w:pos="-1991"/>
      </w:tabs>
      <w:snapToGrid w:val="0"/>
      <w:spacing w:beforeLines="50" w:line="412" w:lineRule="auto"/>
      <w:ind w:right="180" w:rightChars="100"/>
    </w:pPr>
    <w:rPr>
      <w:rFonts w:ascii="仿宋_GB2312" w:hAnsi="仿宋_GB2312" w:eastAsia="仿宋_GB2312"/>
      <w:color w:val="auto"/>
    </w:rPr>
  </w:style>
  <w:style w:type="paragraph" w:customStyle="1" w:styleId="163">
    <w:name w:val="Quote"/>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customStyle="1" w:styleId="164">
    <w:name w:val="Table Paragraph"/>
    <w:basedOn w:val="1"/>
    <w:qFormat/>
    <w:uiPriority w:val="1"/>
    <w:rPr>
      <w:rFonts w:ascii="宋体" w:hAnsi="宋体" w:cs="宋体"/>
      <w:lang w:val="zh-CN" w:bidi="zh-CN"/>
    </w:rPr>
  </w:style>
  <w:style w:type="paragraph" w:customStyle="1" w:styleId="165">
    <w:name w:val="Char1 Char Char Char Char Char Char1"/>
    <w:basedOn w:val="1"/>
    <w:qFormat/>
    <w:uiPriority w:val="0"/>
    <w:rPr>
      <w:rFonts w:ascii="Tahoma" w:hAnsi="Tahoma"/>
      <w:szCs w:val="20"/>
    </w:rPr>
  </w:style>
  <w:style w:type="paragraph" w:customStyle="1" w:styleId="166">
    <w:name w:val="缩进1级"/>
    <w:basedOn w:val="1"/>
    <w:qFormat/>
    <w:locked/>
    <w:uiPriority w:val="4"/>
    <w:pPr>
      <w:ind w:left="200" w:leftChars="200" w:firstLine="0" w:firstLineChars="0"/>
    </w:pPr>
  </w:style>
  <w:style w:type="paragraph" w:customStyle="1" w:styleId="167">
    <w:name w:val="(符号)五标题1.1.1"/>
    <w:basedOn w:val="1"/>
    <w:qFormat/>
    <w:uiPriority w:val="0"/>
    <w:pPr>
      <w:numPr>
        <w:ilvl w:val="2"/>
        <w:numId w:val="3"/>
      </w:numPr>
      <w:spacing w:line="500" w:lineRule="exact"/>
    </w:pPr>
    <w:rPr>
      <w:rFonts w:ascii="宋体" w:hAnsi="Calibri" w:eastAsia="宋体"/>
      <w:color w:val="000000"/>
      <w:sz w:val="24"/>
      <w:szCs w:val="24"/>
    </w:rPr>
  </w:style>
  <w:style w:type="paragraph" w:customStyle="1" w:styleId="168">
    <w:name w:val="表格"/>
    <w:basedOn w:val="1"/>
    <w:qFormat/>
    <w:uiPriority w:val="0"/>
    <w:pPr>
      <w:spacing w:line="400" w:lineRule="exact"/>
    </w:pPr>
    <w:rPr>
      <w:szCs w:val="24"/>
    </w:rPr>
  </w:style>
  <w:style w:type="paragraph" w:customStyle="1" w:styleId="169">
    <w:name w:val="样式1"/>
    <w:basedOn w:val="1"/>
    <w:qFormat/>
    <w:uiPriority w:val="0"/>
    <w:rPr>
      <w:rFonts w:eastAsia="隶书"/>
      <w:i/>
      <w:dstrike/>
      <w:sz w:val="28"/>
      <w:szCs w:val="18"/>
    </w:rPr>
  </w:style>
  <w:style w:type="paragraph" w:customStyle="1" w:styleId="170">
    <w:name w:val="1 Char"/>
    <w:basedOn w:val="1"/>
    <w:qFormat/>
    <w:uiPriority w:val="0"/>
    <w:pPr>
      <w:widowControl/>
      <w:spacing w:after="160" w:line="240" w:lineRule="exact"/>
    </w:pPr>
    <w:rPr>
      <w:rFonts w:ascii="Tahoma" w:hAnsi="Tahoma" w:eastAsia="Times New Roman"/>
      <w:kern w:val="0"/>
      <w:szCs w:val="24"/>
      <w:lang w:eastAsia="en-US"/>
    </w:rPr>
  </w:style>
  <w:style w:type="paragraph" w:customStyle="1" w:styleId="171">
    <w:name w:val="MM Title"/>
    <w:basedOn w:val="1"/>
    <w:qFormat/>
    <w:uiPriority w:val="0"/>
    <w:pPr>
      <w:spacing w:before="240" w:after="60"/>
      <w:jc w:val="center"/>
      <w:outlineLvl w:val="0"/>
    </w:pPr>
    <w:rPr>
      <w:rFonts w:ascii="Arial" w:hAnsi="Arial" w:cs="Arial"/>
      <w:b/>
      <w:bCs/>
      <w:sz w:val="32"/>
      <w:szCs w:val="32"/>
    </w:rPr>
  </w:style>
  <w:style w:type="paragraph" w:customStyle="1" w:styleId="172">
    <w:name w:val="样式2"/>
    <w:basedOn w:val="1"/>
    <w:qFormat/>
    <w:uiPriority w:val="0"/>
    <w:pPr>
      <w:ind w:firstLine="200"/>
    </w:pPr>
    <w:rPr>
      <w:rFonts w:eastAsia="仿宋_GB2312"/>
    </w:rPr>
  </w:style>
  <w:style w:type="paragraph" w:customStyle="1" w:styleId="173">
    <w:name w:val="MM Topic 2"/>
    <w:basedOn w:val="5"/>
    <w:qFormat/>
    <w:uiPriority w:val="0"/>
    <w:pPr>
      <w:numPr>
        <w:ilvl w:val="0"/>
        <w:numId w:val="0"/>
      </w:numPr>
      <w:tabs>
        <w:tab w:val="left" w:pos="992"/>
      </w:tabs>
    </w:pPr>
  </w:style>
  <w:style w:type="paragraph" w:customStyle="1" w:styleId="17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5">
    <w:name w:val="Char2 Char Char Char"/>
    <w:basedOn w:val="1"/>
    <w:qFormat/>
    <w:uiPriority w:val="0"/>
    <w:rPr>
      <w:rFonts w:ascii="仿宋_GB2312"/>
      <w:b/>
      <w:sz w:val="30"/>
      <w:szCs w:val="32"/>
    </w:rPr>
  </w:style>
  <w:style w:type="paragraph" w:customStyle="1" w:styleId="176">
    <w:name w:val="Style Style4 + First line:  2 ch Before:  0.5 line After:  0.5 li..."/>
    <w:basedOn w:val="1"/>
    <w:qFormat/>
    <w:uiPriority w:val="0"/>
    <w:pPr>
      <w:spacing w:beforeLines="50" w:line="276" w:lineRule="auto"/>
      <w:ind w:firstLine="480"/>
    </w:pPr>
    <w:rPr>
      <w:rFonts w:ascii="Arial" w:hAnsi="Arial"/>
      <w:szCs w:val="20"/>
    </w:rPr>
  </w:style>
  <w:style w:type="paragraph" w:customStyle="1" w:styleId="177">
    <w:name w:val="样式 仿宋_GB2312 小四 左侧:  0.63 厘米"/>
    <w:basedOn w:val="1"/>
    <w:qFormat/>
    <w:uiPriority w:val="0"/>
    <w:pPr>
      <w:spacing w:before="120" w:after="120"/>
      <w:ind w:left="357" w:firstLine="200"/>
    </w:pPr>
    <w:rPr>
      <w:rFonts w:ascii="仿宋_GB2312" w:hAnsi="仿宋_GB2312" w:eastAsia="仿宋_GB2312" w:cs="宋体"/>
      <w:szCs w:val="20"/>
    </w:rPr>
  </w:style>
  <w:style w:type="paragraph" w:customStyle="1" w:styleId="178">
    <w:name w:val="Char Char Char Char Char Char Char Char Char Char Char Char Char"/>
    <w:basedOn w:val="16"/>
    <w:qFormat/>
    <w:uiPriority w:val="0"/>
    <w:rPr>
      <w:rFonts w:ascii="Tahoma" w:hAnsi="Tahoma"/>
      <w:sz w:val="24"/>
      <w:szCs w:val="24"/>
    </w:rPr>
  </w:style>
  <w:style w:type="paragraph" w:customStyle="1" w:styleId="179">
    <w:name w:val="Char Char Char Char Char Char Char"/>
    <w:basedOn w:val="1"/>
    <w:qFormat/>
    <w:uiPriority w:val="0"/>
    <w:pPr>
      <w:widowControl/>
      <w:snapToGrid w:val="0"/>
      <w:spacing w:line="240" w:lineRule="exact"/>
    </w:pPr>
    <w:rPr>
      <w:rFonts w:ascii="Verdana" w:hAnsi="Verdana"/>
      <w:kern w:val="0"/>
      <w:sz w:val="20"/>
      <w:szCs w:val="20"/>
      <w:lang w:eastAsia="en-US"/>
    </w:rPr>
  </w:style>
  <w:style w:type="paragraph" w:customStyle="1" w:styleId="180">
    <w:name w:val="MM Topic 3"/>
    <w:basedOn w:val="6"/>
    <w:qFormat/>
    <w:uiPriority w:val="0"/>
    <w:pPr>
      <w:numPr>
        <w:ilvl w:val="0"/>
        <w:numId w:val="0"/>
      </w:numPr>
      <w:tabs>
        <w:tab w:val="left" w:pos="1418"/>
      </w:tabs>
    </w:pPr>
  </w:style>
  <w:style w:type="paragraph" w:customStyle="1" w:styleId="18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4"/>
    </w:rPr>
  </w:style>
  <w:style w:type="paragraph" w:customStyle="1" w:styleId="182">
    <w:name w:val="Default"/>
    <w:qFormat/>
    <w:uiPriority w:val="0"/>
    <w:pPr>
      <w:widowControl w:val="0"/>
      <w:autoSpaceDE w:val="0"/>
      <w:autoSpaceDN w:val="0"/>
      <w:adjustRightInd w:val="0"/>
      <w:spacing w:after="160" w:line="259" w:lineRule="auto"/>
    </w:pPr>
    <w:rPr>
      <w:rFonts w:ascii="宋体" w:hAnsi="Calibri" w:eastAsia="宋体" w:cs="宋体"/>
      <w:color w:val="000000"/>
      <w:sz w:val="24"/>
      <w:szCs w:val="24"/>
      <w:lang w:val="en-US" w:eastAsia="zh-CN" w:bidi="ar-SA"/>
    </w:rPr>
  </w:style>
  <w:style w:type="paragraph" w:customStyle="1" w:styleId="183">
    <w:name w:val="Char2 Char Char Char Char Char Char"/>
    <w:basedOn w:val="1"/>
    <w:qFormat/>
    <w:uiPriority w:val="0"/>
    <w:rPr>
      <w:rFonts w:ascii="仿宋_GB2312"/>
      <w:b/>
      <w:sz w:val="30"/>
      <w:szCs w:val="32"/>
    </w:rPr>
  </w:style>
  <w:style w:type="paragraph" w:styleId="184">
    <w:name w:val="List Paragraph"/>
    <w:basedOn w:val="1"/>
    <w:qFormat/>
    <w:uiPriority w:val="34"/>
    <w:pPr>
      <w:ind w:firstLine="420" w:firstLineChars="200"/>
    </w:pPr>
  </w:style>
  <w:style w:type="paragraph" w:customStyle="1" w:styleId="185">
    <w:name w:val="样式 首行缩进:  2 字符"/>
    <w:basedOn w:val="1"/>
    <w:qFormat/>
    <w:uiPriority w:val="0"/>
    <w:pPr>
      <w:spacing w:line="400" w:lineRule="exact"/>
      <w:ind w:firstLine="200"/>
    </w:pPr>
    <w:rPr>
      <w:rFonts w:cs="宋体"/>
      <w:szCs w:val="24"/>
    </w:rPr>
  </w:style>
  <w:style w:type="paragraph" w:customStyle="1" w:styleId="186">
    <w:name w:val="Char1"/>
    <w:basedOn w:val="1"/>
    <w:next w:val="1"/>
    <w:qFormat/>
    <w:uiPriority w:val="0"/>
    <w:pPr>
      <w:spacing w:line="240" w:lineRule="atLeast"/>
      <w:ind w:left="420" w:firstLine="420"/>
    </w:pPr>
    <w:rPr>
      <w:kern w:val="0"/>
      <w:szCs w:val="21"/>
    </w:rPr>
  </w:style>
  <w:style w:type="paragraph" w:customStyle="1" w:styleId="187">
    <w:name w:val="文章正文 Char Char1"/>
    <w:basedOn w:val="1"/>
    <w:qFormat/>
    <w:uiPriority w:val="0"/>
    <w:pPr>
      <w:ind w:firstLine="420"/>
    </w:pPr>
    <w:rPr>
      <w:szCs w:val="24"/>
    </w:rPr>
  </w:style>
  <w:style w:type="paragraph" w:customStyle="1" w:styleId="188">
    <w:name w:val="默认段落字体 Para Char Char Char1 Char"/>
    <w:basedOn w:val="1"/>
    <w:next w:val="1"/>
    <w:qFormat/>
    <w:uiPriority w:val="0"/>
    <w:pPr>
      <w:spacing w:line="240" w:lineRule="atLeast"/>
      <w:ind w:left="420" w:firstLine="420"/>
    </w:pPr>
    <w:rPr>
      <w:kern w:val="0"/>
      <w:szCs w:val="21"/>
    </w:rPr>
  </w:style>
  <w:style w:type="paragraph" w:customStyle="1" w:styleId="189">
    <w:name w:val="彩色列表 - 强调文字颜色 11"/>
    <w:basedOn w:val="1"/>
    <w:qFormat/>
    <w:uiPriority w:val="0"/>
    <w:pPr>
      <w:ind w:firstLine="420"/>
    </w:pPr>
  </w:style>
  <w:style w:type="paragraph" w:customStyle="1" w:styleId="190">
    <w:name w:val="MM Topic 6"/>
    <w:basedOn w:val="9"/>
    <w:qFormat/>
    <w:uiPriority w:val="0"/>
    <w:pPr>
      <w:tabs>
        <w:tab w:val="left" w:pos="3260"/>
        <w:tab w:val="clear" w:pos="1702"/>
      </w:tabs>
      <w:ind w:left="0" w:firstLine="0"/>
    </w:pPr>
    <w:rPr>
      <w:rFonts w:eastAsia="黑体"/>
    </w:rPr>
  </w:style>
  <w:style w:type="paragraph" w:customStyle="1" w:styleId="191">
    <w:name w:val="样式 样式 样式 标题 2 + 宋体 五号 非加粗 黑色 + 段前: 6 磅 段后: 0 磅 行距: 单倍行距 + 段前: 12..."/>
    <w:basedOn w:val="1"/>
    <w:qFormat/>
    <w:uiPriority w:val="0"/>
    <w:pPr>
      <w:keepNext/>
      <w:keepLines/>
      <w:tabs>
        <w:tab w:val="left" w:pos="1124"/>
      </w:tabs>
      <w:adjustRightInd w:val="0"/>
      <w:spacing w:before="240"/>
      <w:ind w:left="1124" w:hanging="420"/>
      <w:textAlignment w:val="baseline"/>
      <w:outlineLvl w:val="1"/>
    </w:pPr>
    <w:rPr>
      <w:rFonts w:ascii="宋体" w:hAnsi="宋体" w:cs="宋体"/>
      <w:color w:val="000000"/>
      <w:kern w:val="0"/>
      <w:szCs w:val="20"/>
    </w:rPr>
  </w:style>
  <w:style w:type="paragraph" w:customStyle="1" w:styleId="192">
    <w:name w:val="gb_master正文"/>
    <w:basedOn w:val="1"/>
    <w:qFormat/>
    <w:uiPriority w:val="0"/>
    <w:pPr>
      <w:ind w:firstLine="200"/>
    </w:pPr>
    <w:rPr>
      <w:szCs w:val="24"/>
    </w:rPr>
  </w:style>
  <w:style w:type="paragraph" w:customStyle="1" w:styleId="193">
    <w:name w:val="我的正文"/>
    <w:basedOn w:val="1"/>
    <w:qFormat/>
    <w:uiPriority w:val="0"/>
    <w:pPr>
      <w:ind w:firstLine="420"/>
    </w:pPr>
    <w:rPr>
      <w:rFonts w:ascii="宋体" w:hAnsi="宋体"/>
      <w:szCs w:val="24"/>
    </w:rPr>
  </w:style>
  <w:style w:type="paragraph" w:customStyle="1" w:styleId="194">
    <w:name w:val="MM Topic 1"/>
    <w:basedOn w:val="4"/>
    <w:qFormat/>
    <w:uiPriority w:val="0"/>
    <w:pPr>
      <w:tabs>
        <w:tab w:val="left" w:pos="425"/>
      </w:tabs>
    </w:pPr>
    <w:rPr>
      <w:sz w:val="44"/>
    </w:rPr>
  </w:style>
  <w:style w:type="paragraph" w:customStyle="1" w:styleId="195">
    <w:name w:val="RFI Heading 3rd Level"/>
    <w:basedOn w:val="1"/>
    <w:qFormat/>
    <w:uiPriority w:val="0"/>
    <w:pPr>
      <w:widowControl/>
      <w:tabs>
        <w:tab w:val="left" w:pos="720"/>
      </w:tabs>
      <w:ind w:left="720" w:hanging="720"/>
    </w:pPr>
    <w:rPr>
      <w:rFonts w:ascii="Arial (W1)" w:hAnsi="Arial (W1)"/>
      <w:color w:val="000000"/>
      <w:kern w:val="0"/>
      <w:szCs w:val="24"/>
      <w:lang w:val="en-GB" w:eastAsia="en-US"/>
    </w:rPr>
  </w:style>
  <w:style w:type="paragraph" w:customStyle="1" w:styleId="196">
    <w:name w:val="UserStyle_390"/>
    <w:basedOn w:val="1"/>
    <w:qFormat/>
    <w:uiPriority w:val="0"/>
    <w:pPr>
      <w:widowControl/>
      <w:spacing w:after="0" w:line="240" w:lineRule="auto"/>
      <w:jc w:val="left"/>
      <w:textAlignment w:val="baseline"/>
    </w:pPr>
    <w:rPr>
      <w:rFonts w:cs="Times New Roman"/>
      <w:kern w:val="0"/>
      <w:sz w:val="22"/>
      <w:szCs w:val="22"/>
      <w:lang w:eastAsia="en-US"/>
    </w:rPr>
  </w:style>
  <w:style w:type="paragraph" w:customStyle="1" w:styleId="197">
    <w:name w:val="正文 首行缩进:  2 字符 Char Char"/>
    <w:basedOn w:val="1"/>
    <w:qFormat/>
    <w:uiPriority w:val="0"/>
    <w:pPr>
      <w:ind w:firstLine="480"/>
    </w:pPr>
    <w:rPr>
      <w:rFonts w:cs="宋体"/>
      <w:szCs w:val="20"/>
    </w:rPr>
  </w:style>
  <w:style w:type="paragraph" w:customStyle="1" w:styleId="198">
    <w:name w:val="彩色底纹 - 强调文字颜色 11"/>
    <w:qFormat/>
    <w:uiPriority w:val="0"/>
    <w:rPr>
      <w:rFonts w:ascii="Calibri" w:hAnsi="Calibri" w:eastAsia="宋体" w:cs="Times New Roman"/>
      <w:kern w:val="2"/>
      <w:sz w:val="21"/>
      <w:szCs w:val="22"/>
      <w:lang w:val="en-US" w:eastAsia="zh-CN" w:bidi="ar-SA"/>
    </w:rPr>
  </w:style>
  <w:style w:type="paragraph" w:styleId="19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00">
    <w:name w:val="标书（正文）"/>
    <w:basedOn w:val="1"/>
    <w:qFormat/>
    <w:uiPriority w:val="0"/>
    <w:pPr>
      <w:ind w:firstLine="560"/>
    </w:pPr>
    <w:rPr>
      <w:rFonts w:ascii="宋体" w:hAnsi="宋体"/>
      <w:kern w:val="10"/>
      <w:sz w:val="28"/>
      <w:szCs w:val="28"/>
    </w:rPr>
  </w:style>
  <w:style w:type="paragraph" w:customStyle="1" w:styleId="20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02">
    <w:name w:val="MM Topic 5"/>
    <w:basedOn w:val="8"/>
    <w:qFormat/>
    <w:uiPriority w:val="0"/>
    <w:pPr>
      <w:tabs>
        <w:tab w:val="left" w:pos="2551"/>
        <w:tab w:val="clear" w:pos="1134"/>
      </w:tabs>
      <w:ind w:left="0" w:firstLine="0"/>
    </w:pPr>
  </w:style>
  <w:style w:type="paragraph" w:customStyle="1" w:styleId="203">
    <w:name w:val="Char"/>
    <w:basedOn w:val="1"/>
    <w:next w:val="1"/>
    <w:qFormat/>
    <w:uiPriority w:val="0"/>
    <w:pPr>
      <w:spacing w:line="240" w:lineRule="atLeast"/>
      <w:ind w:left="420" w:firstLine="420"/>
    </w:pPr>
    <w:rPr>
      <w:kern w:val="0"/>
      <w:szCs w:val="21"/>
    </w:rPr>
  </w:style>
  <w:style w:type="paragraph" w:customStyle="1" w:styleId="204">
    <w:name w:val="CD正文"/>
    <w:basedOn w:val="205"/>
    <w:qFormat/>
    <w:uiPriority w:val="0"/>
  </w:style>
  <w:style w:type="paragraph" w:customStyle="1" w:styleId="205">
    <w:name w:val="文章正文"/>
    <w:basedOn w:val="1"/>
    <w:qFormat/>
    <w:uiPriority w:val="0"/>
    <w:pPr>
      <w:ind w:firstLine="420"/>
    </w:pPr>
    <w:rPr>
      <w:szCs w:val="24"/>
    </w:rPr>
  </w:style>
  <w:style w:type="paragraph" w:customStyle="1" w:styleId="206">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pPr>
    <w:rPr>
      <w:rFonts w:ascii="Arial" w:hAnsi="Arial"/>
      <w:bCs w:val="0"/>
      <w:iCs/>
      <w:color w:val="000000"/>
    </w:rPr>
  </w:style>
  <w:style w:type="paragraph" w:customStyle="1" w:styleId="207">
    <w:name w:val="MM Topic 9"/>
    <w:basedOn w:val="12"/>
    <w:qFormat/>
    <w:uiPriority w:val="0"/>
    <w:pPr>
      <w:tabs>
        <w:tab w:val="left" w:pos="5102"/>
      </w:tabs>
    </w:pPr>
  </w:style>
  <w:style w:type="paragraph" w:customStyle="1" w:styleId="208">
    <w:name w:val="Style8"/>
    <w:basedOn w:val="1"/>
    <w:qFormat/>
    <w:uiPriority w:val="0"/>
    <w:pPr>
      <w:tabs>
        <w:tab w:val="left" w:pos="1304"/>
      </w:tabs>
      <w:spacing w:beforeLines="50" w:line="276" w:lineRule="auto"/>
      <w:ind w:left="1304" w:hanging="397"/>
    </w:pPr>
    <w:rPr>
      <w:rFonts w:ascii="Arial" w:hAnsi="Arial"/>
      <w:szCs w:val="24"/>
    </w:rPr>
  </w:style>
  <w:style w:type="paragraph" w:customStyle="1" w:styleId="209">
    <w:name w:val="Char1 Char Char Char Char Char Char"/>
    <w:basedOn w:val="1"/>
    <w:qFormat/>
    <w:uiPriority w:val="0"/>
    <w:rPr>
      <w:rFonts w:ascii="Tahoma" w:hAnsi="Tahoma"/>
      <w:szCs w:val="20"/>
    </w:rPr>
  </w:style>
  <w:style w:type="paragraph" w:customStyle="1" w:styleId="210">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11">
    <w:name w:val="标题 5（有编号）（绿盟科技）"/>
    <w:basedOn w:val="1"/>
    <w:next w:val="210"/>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212">
    <w:name w:val="报告"/>
    <w:basedOn w:val="1"/>
    <w:qFormat/>
    <w:uiPriority w:val="0"/>
    <w:pPr>
      <w:widowControl/>
      <w:overflowPunct w:val="0"/>
      <w:autoSpaceDE w:val="0"/>
      <w:autoSpaceDN w:val="0"/>
      <w:adjustRightInd w:val="0"/>
      <w:spacing w:before="120" w:after="120" w:line="360" w:lineRule="auto"/>
      <w:ind w:firstLine="523" w:firstLineChars="218"/>
      <w:textAlignment w:val="baseline"/>
    </w:pPr>
    <w:rPr>
      <w:kern w:val="0"/>
      <w:sz w:val="24"/>
    </w:rPr>
  </w:style>
  <w:style w:type="paragraph" w:customStyle="1" w:styleId="213">
    <w:name w:val="列出段落2"/>
    <w:basedOn w:val="1"/>
    <w:qFormat/>
    <w:uiPriority w:val="34"/>
    <w:pPr>
      <w:ind w:firstLine="420"/>
    </w:pPr>
  </w:style>
  <w:style w:type="paragraph" w:customStyle="1" w:styleId="214">
    <w:name w:val="样式 小四2"/>
    <w:basedOn w:val="1"/>
    <w:qFormat/>
    <w:uiPriority w:val="0"/>
    <w:rPr>
      <w:rFonts w:ascii="宋体" w:hAnsi="宋体"/>
      <w:szCs w:val="24"/>
    </w:rPr>
  </w:style>
  <w:style w:type="paragraph" w:customStyle="1" w:styleId="215">
    <w:name w:val="报告正文"/>
    <w:basedOn w:val="1"/>
    <w:qFormat/>
    <w:uiPriority w:val="0"/>
    <w:pPr>
      <w:spacing w:before="156" w:after="156" w:line="360" w:lineRule="auto"/>
      <w:ind w:firstLine="482"/>
    </w:pPr>
    <w:rPr>
      <w:sz w:val="24"/>
    </w:rPr>
  </w:style>
  <w:style w:type="paragraph" w:customStyle="1" w:styleId="216">
    <w:name w:val="List Paragraph1"/>
    <w:basedOn w:val="1"/>
    <w:qFormat/>
    <w:uiPriority w:val="0"/>
    <w:pPr>
      <w:ind w:firstLine="420"/>
    </w:pPr>
    <w:rPr>
      <w:szCs w:val="24"/>
    </w:rPr>
  </w:style>
  <w:style w:type="paragraph" w:customStyle="1" w:styleId="217">
    <w:name w:val="样式 标题 2H2第一章 标题 2Heading 2 HiddenHeading 2 CCBSheading 2h2..."/>
    <w:basedOn w:val="5"/>
    <w:qFormat/>
    <w:uiPriority w:val="0"/>
    <w:pPr>
      <w:tabs>
        <w:tab w:val="left" w:pos="-2493"/>
      </w:tabs>
    </w:pPr>
    <w:rPr>
      <w:szCs w:val="20"/>
    </w:rPr>
  </w:style>
  <w:style w:type="paragraph" w:customStyle="1" w:styleId="218">
    <w:name w:val="Char Char Char Char Char Char Char Char Char"/>
    <w:basedOn w:val="1"/>
    <w:qFormat/>
    <w:uiPriority w:val="0"/>
    <w:pPr>
      <w:widowControl/>
      <w:spacing w:after="160" w:line="240" w:lineRule="exact"/>
    </w:pPr>
    <w:rPr>
      <w:rFonts w:ascii="Verdana" w:hAnsi="Verdana" w:eastAsia="仿宋_GB2312"/>
      <w:kern w:val="0"/>
      <w:szCs w:val="20"/>
      <w:lang w:eastAsia="en-US"/>
    </w:rPr>
  </w:style>
  <w:style w:type="paragraph" w:customStyle="1" w:styleId="219">
    <w:name w:val="Char1 Char Char Char"/>
    <w:basedOn w:val="1"/>
    <w:next w:val="1"/>
    <w:qFormat/>
    <w:uiPriority w:val="0"/>
    <w:pPr>
      <w:spacing w:line="240" w:lineRule="atLeast"/>
      <w:ind w:left="420" w:firstLine="420"/>
    </w:pPr>
    <w:rPr>
      <w:kern w:val="0"/>
      <w:szCs w:val="21"/>
    </w:rPr>
  </w:style>
  <w:style w:type="paragraph" w:customStyle="1" w:styleId="220">
    <w:name w:val="MM Topic 4"/>
    <w:basedOn w:val="7"/>
    <w:qFormat/>
    <w:uiPriority w:val="0"/>
    <w:pPr>
      <w:tabs>
        <w:tab w:val="left" w:pos="1984"/>
      </w:tabs>
      <w:ind w:left="0" w:firstLine="0"/>
    </w:pPr>
  </w:style>
  <w:style w:type="paragraph" w:customStyle="1" w:styleId="221">
    <w:name w:val="修订1"/>
    <w:qFormat/>
    <w:uiPriority w:val="0"/>
    <w:rPr>
      <w:rFonts w:ascii="Calibri" w:hAnsi="Calibri" w:eastAsia="宋体" w:cs="Times New Roman"/>
      <w:kern w:val="2"/>
      <w:sz w:val="21"/>
      <w:szCs w:val="22"/>
      <w:lang w:val="en-US" w:eastAsia="zh-CN" w:bidi="ar-SA"/>
    </w:rPr>
  </w:style>
  <w:style w:type="table" w:customStyle="1" w:styleId="222">
    <w:name w:val="网格型1"/>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95</Pages>
  <Words>43585</Words>
  <Characters>45681</Characters>
  <Lines>384</Lines>
  <Paragraphs>108</Paragraphs>
  <TotalTime>0</TotalTime>
  <ScaleCrop>false</ScaleCrop>
  <LinksUpToDate>false</LinksUpToDate>
  <CharactersWithSpaces>47405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2020-11-02T02:34:00Z</dcterms:created>
  <dc:creator>hyf</dc:creator>
  <cp:lastModifiedBy>L</cp:lastModifiedBy>
  <cp:lastPrinted>2021-04-06T16:13:00Z</cp:lastPrinted>
  <dcterms:modified xsi:type="dcterms:W3CDTF">2021-11-29T08:56:26Z</dcterms:modified>
  <dc:title>招 标 文 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2B8A81BAE8B24556BD9391C13450E40C</vt:lpwstr>
  </property>
  <property fmtid="{D5CDD505-2E9C-101B-9397-08002B2CF9AE}" pid="4" name="KSOSaveFontToCloudKey">
    <vt:lpwstr>490259300_btnclosed</vt:lpwstr>
  </property>
</Properties>
</file>