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成都市龙泉驿区水务局机关食堂食材配送服务采购项目</w:t>
      </w:r>
    </w:p>
    <w:p>
      <w:pPr>
        <w:spacing w:line="360" w:lineRule="auto"/>
        <w:ind w:firstLine="720" w:firstLineChars="200"/>
        <w:rPr>
          <w:rFonts w:hint="eastAsia" w:ascii="华文中宋" w:hAnsi="华文中宋" w:eastAsia="华文中宋"/>
          <w:color w:val="auto"/>
          <w:spacing w:val="20"/>
          <w:sz w:val="32"/>
          <w:szCs w:val="32"/>
          <w:highlight w:val="yellow"/>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510112202100291</w:t>
      </w: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pacing w:val="20"/>
          <w:sz w:val="32"/>
          <w:szCs w:val="32"/>
          <w:highlight w:val="none"/>
          <w:lang w:eastAsia="zh-CN"/>
        </w:rPr>
        <w:t>成都市龙泉驿区水务局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十</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lang w:eastAsia="zh-CN"/>
        </w:rPr>
      </w:pPr>
      <w:bookmarkStart w:id="0" w:name="_Toc9012"/>
      <w:r>
        <w:rPr>
          <w:rFonts w:hint="eastAsia" w:ascii="宋体" w:hAnsi="宋体" w:eastAsia="宋体" w:cs="宋体"/>
          <w:b/>
          <w:bCs w:val="0"/>
          <w:color w:val="auto"/>
          <w:sz w:val="36"/>
          <w:szCs w:val="36"/>
          <w:lang w:eastAsia="zh-CN"/>
        </w:rPr>
        <w:t>“政采贷”业务介绍</w:t>
      </w:r>
      <w:bookmarkEnd w:id="0"/>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eastAsia="zh-CN"/>
        </w:rPr>
      </w:pPr>
      <w:bookmarkStart w:id="1" w:name="_Toc7667"/>
      <w:r>
        <w:rPr>
          <w:rFonts w:hint="eastAsia" w:ascii="宋体" w:hAnsi="宋体" w:eastAsia="宋体" w:cs="宋体"/>
          <w:b w:val="0"/>
          <w:bCs w:val="0"/>
          <w:color w:val="auto"/>
          <w:sz w:val="24"/>
          <w:szCs w:val="24"/>
          <w:lang w:eastAsia="zh-CN"/>
        </w:rPr>
        <w:t>为</w:t>
      </w:r>
      <w:r>
        <w:rPr>
          <w:rFonts w:hint="eastAsia" w:ascii="宋体" w:hAnsi="宋体" w:eastAsia="宋体" w:cs="宋体"/>
          <w:b w:val="0"/>
          <w:bCs w:val="0"/>
          <w:color w:val="auto"/>
          <w:sz w:val="24"/>
          <w:szCs w:val="24"/>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lang w:eastAsia="zh-CN"/>
        </w:rPr>
        <w:t>、营造良好的营商环境</w:t>
      </w:r>
      <w:r>
        <w:rPr>
          <w:rFonts w:hint="eastAsia" w:ascii="宋体" w:hAnsi="宋体" w:eastAsia="宋体" w:cs="宋体"/>
          <w:b w:val="0"/>
          <w:bCs w:val="0"/>
          <w:color w:val="auto"/>
          <w:sz w:val="24"/>
          <w:szCs w:val="24"/>
        </w:rPr>
        <w:t>，根据</w:t>
      </w:r>
      <w:r>
        <w:rPr>
          <w:rFonts w:hint="eastAsia" w:ascii="宋体" w:hAnsi="宋体" w:eastAsia="宋体" w:cs="宋体"/>
          <w:b w:val="0"/>
          <w:bCs w:val="0"/>
          <w:color w:val="auto"/>
          <w:sz w:val="24"/>
          <w:szCs w:val="24"/>
          <w:lang w:eastAsia="zh-CN"/>
        </w:rPr>
        <w:t>《四川省财政厅关于推进四川省政府采购供应商信用融资工作的通知》（川财采﹝</w:t>
      </w:r>
      <w:r>
        <w:rPr>
          <w:rFonts w:hint="eastAsia" w:ascii="宋体" w:hAnsi="宋体" w:eastAsia="宋体" w:cs="宋体"/>
          <w:b w:val="0"/>
          <w:bCs w:val="0"/>
          <w:color w:val="auto"/>
          <w:sz w:val="24"/>
          <w:szCs w:val="24"/>
          <w:lang w:val="en-US" w:eastAsia="zh-CN"/>
        </w:rPr>
        <w:t>2018</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123号</w:t>
      </w:r>
      <w:r>
        <w:rPr>
          <w:rFonts w:hint="eastAsia" w:ascii="宋体" w:hAnsi="宋体" w:eastAsia="宋体" w:cs="宋体"/>
          <w:b w:val="0"/>
          <w:bCs w:val="0"/>
          <w:color w:val="auto"/>
          <w:sz w:val="24"/>
          <w:szCs w:val="24"/>
          <w:lang w:eastAsia="zh-CN"/>
        </w:rPr>
        <w:t>）文件要求。有融资需求的供应商可根据四川政府采购网公示的银行及其“政采贷”产品，自行选择符合自身情况的“政采贷”银行及其产品，凭中标（成交）通知书向银行提出贷款意向申请。</w:t>
      </w:r>
      <w:bookmarkEnd w:id="1"/>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vertAlign w:val="baseline"/>
                <w:lang w:val="zh-CN" w:eastAsia="zh-CN" w:bidi="ar-SA"/>
              </w:rPr>
            </w:pPr>
            <w:r>
              <w:rPr>
                <w:rFonts w:hint="eastAsia" w:ascii="宋体" w:hAnsi="宋体" w:eastAsia="宋体" w:cs="宋体"/>
                <w:b w:val="0"/>
                <w:bCs/>
                <w:color w:val="auto"/>
                <w:sz w:val="24"/>
                <w:szCs w:val="24"/>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ascii="宋体" w:hAnsi="宋体" w:eastAsia="宋体" w:cs="宋体"/>
          <w:b w:val="0"/>
          <w:bCs/>
          <w:color w:val="auto"/>
          <w:sz w:val="24"/>
          <w:szCs w:val="24"/>
          <w:lang w:val="zh-CN" w:eastAsia="zh-CN" w:bidi="ar-SA"/>
        </w:rPr>
      </w:pPr>
    </w:p>
    <w:p>
      <w:pPr>
        <w:pStyle w:val="2"/>
        <w:rPr>
          <w:rFonts w:hint="eastAsia" w:ascii="宋体" w:hAnsi="宋体" w:eastAsia="宋体" w:cs="宋体"/>
          <w:b w:val="0"/>
          <w:bCs/>
          <w:color w:val="auto"/>
          <w:sz w:val="24"/>
          <w:szCs w:val="24"/>
          <w:lang w:val="zh-CN" w:eastAsia="zh-CN" w:bidi="ar-SA"/>
        </w:rPr>
      </w:pPr>
    </w:p>
    <w:p>
      <w:pPr>
        <w:rPr>
          <w:rFonts w:hint="eastAsia"/>
          <w:lang w:val="zh-CN" w:eastAsia="zh-CN"/>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lang w:eastAsia="zh-CN"/>
        </w:rPr>
      </w:pPr>
      <w:bookmarkStart w:id="2" w:name="_Toc5414"/>
      <w:r>
        <w:rPr>
          <w:rFonts w:hint="eastAsia" w:ascii="宋体" w:hAnsi="宋体" w:eastAsia="宋体" w:cs="宋体"/>
          <w:b/>
          <w:bCs w:val="0"/>
          <w:color w:val="auto"/>
          <w:sz w:val="32"/>
          <w:szCs w:val="32"/>
          <w:lang w:eastAsia="zh-CN"/>
        </w:rPr>
        <w:t>“蓉采贷”业务介绍</w:t>
      </w:r>
      <w:bookmarkEnd w:id="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028-86772083</w:t>
            </w:r>
          </w:p>
        </w:tc>
      </w:tr>
    </w:tbl>
    <w:p>
      <w:pPr>
        <w:pStyle w:val="3"/>
        <w:sectPr>
          <w:headerReference r:id="rId5" w:type="first"/>
          <w:footerReference r:id="rId8" w:type="first"/>
          <w:headerReference r:id="rId3" w:type="default"/>
          <w:footerReference r:id="rId6" w:type="default"/>
          <w:headerReference r:id="rId4" w:type="even"/>
          <w:footerReference r:id="rId7"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_Toc12910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_Toc12910 \h </w:instrText>
      </w:r>
      <w:r>
        <w:fldChar w:fldCharType="separate"/>
      </w:r>
      <w:r>
        <w:t>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_Toc13474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_Toc13474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_Toc19011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_Toc19011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_Toc27478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_Toc27478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_Toc32299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_Toc32299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_Toc20403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_Toc20403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_Toc14450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_Toc14450 \h </w:instrText>
      </w:r>
      <w:r>
        <w:fldChar w:fldCharType="separate"/>
      </w:r>
      <w:r>
        <w:t>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_Toc13278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_Toc13278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_Toc30607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_Toc30607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_Toc17869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_Toc17869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_Toc7569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_Toc7569 \h </w:instrText>
      </w:r>
      <w:r>
        <w:fldChar w:fldCharType="separate"/>
      </w:r>
      <w:r>
        <w:t>12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_Toc25469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_Toc25469 \h </w:instrText>
      </w:r>
      <w:r>
        <w:fldChar w:fldCharType="separate"/>
      </w:r>
      <w:r>
        <w:t>18</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_Toc11267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_Toc11267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_Toc15814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_Toc15814 \h </w:instrText>
      </w:r>
      <w:r>
        <w:fldChar w:fldCharType="separate"/>
      </w:r>
      <w:r>
        <w:t>19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_Toc22508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_Toc22508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_Toc9947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_Toc9947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_Toc32472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_Toc32472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_Toc4536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_Toc4536 \h </w:instrText>
      </w:r>
      <w:r>
        <w:fldChar w:fldCharType="separate"/>
      </w:r>
      <w:r>
        <w:t>20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_Toc3332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_Toc3332 \h </w:instrText>
      </w:r>
      <w:r>
        <w:fldChar w:fldCharType="separate"/>
      </w:r>
      <w:r>
        <w:t>22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_Toc12810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_Toc12810 \h </w:instrText>
      </w:r>
      <w:r>
        <w:fldChar w:fldCharType="separate"/>
      </w:r>
      <w:r>
        <w:t>22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_Toc9772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_Toc9772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_Toc26711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3.1 </w:t>
      </w:r>
      <w:r>
        <w:rPr>
          <w:rFonts w:hint="eastAsia"/>
          <w:szCs w:val="24"/>
          <w:highlight w:val="none"/>
          <w:lang w:val="en-US" w:eastAsia="zh-CN"/>
        </w:rPr>
        <w:t>项目概况</w:t>
      </w:r>
      <w:r>
        <w:tab/>
      </w:r>
      <w:r>
        <w:fldChar w:fldCharType="begin"/>
      </w:r>
      <w:r>
        <w:instrText xml:space="preserve"> PAGEREF _Toc26711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_Toc11663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ascii="宋体" w:hAnsi="宋体" w:eastAsia="宋体" w:cs="宋体"/>
          <w:szCs w:val="24"/>
          <w:highlight w:val="none"/>
          <w:lang w:val="en-US" w:eastAsia="zh-CN"/>
        </w:rPr>
        <w:t>服务内容及服务要求</w:t>
      </w:r>
      <w:r>
        <w:tab/>
      </w:r>
      <w:r>
        <w:fldChar w:fldCharType="begin"/>
      </w:r>
      <w:r>
        <w:instrText xml:space="preserve"> PAGEREF _Toc11663 \h </w:instrText>
      </w:r>
      <w:r>
        <w:fldChar w:fldCharType="separate"/>
      </w:r>
      <w:r>
        <w:t>23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_Toc17523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ascii="宋体" w:hAnsi="宋体" w:eastAsia="宋体" w:cs="宋体"/>
          <w:szCs w:val="24"/>
          <w:lang w:val="en-US" w:eastAsia="zh-CN"/>
        </w:rPr>
        <w:t>商务要求</w:t>
      </w:r>
      <w:r>
        <w:tab/>
      </w:r>
      <w:r>
        <w:fldChar w:fldCharType="begin"/>
      </w:r>
      <w:r>
        <w:instrText xml:space="preserve"> PAGEREF _Toc17523 \h </w:instrText>
      </w:r>
      <w:r>
        <w:fldChar w:fldCharType="separate"/>
      </w:r>
      <w:r>
        <w:t>27</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_Toc28434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_Toc28434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_Toc30849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_Toc30849 \h </w:instrText>
      </w:r>
      <w:r>
        <w:fldChar w:fldCharType="separate"/>
      </w:r>
      <w:r>
        <w:t>33</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_Toc31423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_Toc31423 \h </w:instrText>
      </w:r>
      <w:r>
        <w:fldChar w:fldCharType="separate"/>
      </w:r>
      <w:r>
        <w:t>46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_Toc10512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_Toc10512 \h </w:instrText>
      </w:r>
      <w:r>
        <w:fldChar w:fldCharType="separate"/>
      </w:r>
      <w:r>
        <w:t>53</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_Toc3309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_Toc3309 \h </w:instrText>
      </w:r>
      <w:r>
        <w:fldChar w:fldCharType="separate"/>
      </w:r>
      <w:r>
        <w:t>54</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10" w:type="first"/>
          <w:footerReference r:id="rId9"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3" w:name="_Toc12910"/>
      <w:r>
        <w:rPr>
          <w:rFonts w:hint="eastAsia"/>
          <w:color w:val="auto"/>
          <w:highlight w:val="none"/>
        </w:rPr>
        <w:t>竞争性磋商邀请</w:t>
      </w:r>
      <w:bookmarkEnd w:id="3"/>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成都市龙泉驿区水务局</w:t>
      </w:r>
      <w:r>
        <w:rPr>
          <w:rFonts w:hint="eastAsia" w:ascii="宋体" w:hAnsi="宋体"/>
          <w:color w:val="auto"/>
          <w:highlight w:val="none"/>
        </w:rPr>
        <w:t>的委托，拟对</w:t>
      </w:r>
      <w:r>
        <w:rPr>
          <w:rFonts w:hint="eastAsia" w:ascii="宋体" w:hAnsi="宋体"/>
          <w:b/>
          <w:color w:val="auto"/>
          <w:highlight w:val="none"/>
          <w:u w:val="single"/>
          <w:lang w:eastAsia="zh-CN"/>
        </w:rPr>
        <w:t>成都市龙泉驿区水务局机关食堂食材配送服务采购项目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510112202100291</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成都市龙泉驿区水务局机关食堂食材配送服务采购项目</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餐饮服务</w:t>
      </w:r>
      <w:r>
        <w:rPr>
          <w:rFonts w:hint="eastAsia" w:ascii="宋体" w:hAnsi="宋体"/>
          <w:color w:val="auto"/>
          <w:highlight w:val="none"/>
        </w:rPr>
        <w:t>；预算金额：</w:t>
      </w:r>
      <w:r>
        <w:rPr>
          <w:rFonts w:hint="eastAsia" w:ascii="宋体" w:hAnsi="宋体"/>
          <w:color w:val="auto"/>
          <w:highlight w:val="none"/>
          <w:lang w:val="en-US" w:eastAsia="zh-CN"/>
        </w:rPr>
        <w:t>90万元/年</w:t>
      </w:r>
      <w:r>
        <w:rPr>
          <w:rFonts w:hint="eastAsia" w:hAnsi="宋体" w:cs="宋体"/>
          <w:color w:val="auto"/>
          <w:sz w:val="24"/>
          <w:highlight w:val="none"/>
          <w:lang w:val="en-US" w:eastAsia="zh-CN"/>
        </w:rPr>
        <w:t>（其中包件一预算金额：54万元/年，包件二预算金额：36万元/年）</w:t>
      </w:r>
      <w:r>
        <w:rPr>
          <w:rFonts w:hint="eastAsia" w:ascii="宋体" w:hAnsi="宋体"/>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lang w:val="en-US" w:eastAsia="zh-CN"/>
        </w:rPr>
        <w:t>各包</w:t>
      </w:r>
      <w:r>
        <w:rPr>
          <w:rFonts w:hint="eastAsia" w:ascii="宋体" w:hAnsi="宋体"/>
          <w:b/>
          <w:color w:val="auto"/>
          <w:highlight w:val="none"/>
        </w:rPr>
        <w:t>供应商参加本次政府采购活动应具备的条件</w:t>
      </w:r>
    </w:p>
    <w:p>
      <w:pPr>
        <w:pStyle w:val="169"/>
        <w:keepNext w:val="0"/>
        <w:keepLines w:val="0"/>
        <w:pageBreakBefore w:val="0"/>
        <w:numPr>
          <w:ilvl w:val="1"/>
          <w:numId w:val="7"/>
        </w:numPr>
        <w:tabs>
          <w:tab w:val="left" w:pos="1260"/>
          <w:tab w:val="clear" w:pos="1130"/>
        </w:tabs>
        <w:kinsoku/>
        <w:wordWrap/>
        <w:overflowPunct/>
        <w:topLinePunct w:val="0"/>
        <w:bidi w:val="0"/>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具备《中华人民共和国政府采购法》第二十二条规定的条件：</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具有独立承担民事责任的能力；</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具有履行合同所必须的设备和专业技术能力；</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具有依法缴纳税收和社会保障资金的良好记录；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参加本次政府采购活动前三年内，在经营活动中没有重大违法记录；</w:t>
      </w:r>
    </w:p>
    <w:p>
      <w:pPr>
        <w:keepNext w:val="0"/>
        <w:keepLines w:val="0"/>
        <w:pageBreakBefore w:val="0"/>
        <w:numPr>
          <w:ilvl w:val="0"/>
          <w:numId w:val="8"/>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法律、行政法规规定的其他条件。</w:t>
      </w:r>
    </w:p>
    <w:p>
      <w:pPr>
        <w:pStyle w:val="169"/>
        <w:keepNext w:val="0"/>
        <w:keepLines w:val="0"/>
        <w:pageBreakBefore w:val="0"/>
        <w:numPr>
          <w:ilvl w:val="1"/>
          <w:numId w:val="7"/>
        </w:numPr>
        <w:tabs>
          <w:tab w:val="left" w:pos="1260"/>
          <w:tab w:val="clear" w:pos="1130"/>
        </w:tabs>
        <w:kinsoku/>
        <w:wordWrap/>
        <w:overflowPunct/>
        <w:topLinePunct w:val="0"/>
        <w:autoSpaceDE/>
        <w:autoSpaceDN/>
        <w:bidi w:val="0"/>
        <w:adjustRightInd/>
        <w:snapToGrid/>
        <w:spacing w:line="460" w:lineRule="exact"/>
        <w:ind w:left="0" w:firstLine="630" w:firstLineChars="0"/>
        <w:textAlignment w:val="auto"/>
        <w:rPr>
          <w:rFonts w:hint="eastAsia" w:ascii="宋体" w:hAnsi="宋体" w:eastAsia="宋体" w:cs="宋体"/>
          <w:color w:val="auto"/>
          <w:sz w:val="24"/>
        </w:rPr>
      </w:pPr>
      <w:r>
        <w:rPr>
          <w:rFonts w:hint="eastAsia" w:ascii="宋体" w:hAnsi="宋体" w:eastAsia="宋体" w:cs="宋体"/>
          <w:color w:val="auto"/>
          <w:sz w:val="24"/>
        </w:rPr>
        <w:t>根据本项目的特殊要求，供应商还须具备的其它特定条件：</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未被列入经营异常名录；</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未被列入失信被执行人、重大税收违法案件当事人名单、政府采购严重违法失信行为记录名单； </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在行贿犯罪信息查询期限内，</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及其现任法定代表人、主要负责人没有行贿犯罪记录； </w:t>
      </w:r>
    </w:p>
    <w:p>
      <w:pPr>
        <w:keepNext w:val="0"/>
        <w:keepLines w:val="0"/>
        <w:pageBreakBefore w:val="0"/>
        <w:numPr>
          <w:ilvl w:val="0"/>
          <w:numId w:val="9"/>
        </w:numPr>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本项目专门面向中小企业采购；（供应商为监狱企业、残疾人福利性单位的视同小型、微型企业）</w:t>
      </w:r>
      <w:r>
        <w:rPr>
          <w:rFonts w:hint="eastAsia" w:ascii="宋体" w:hAnsi="宋体" w:cs="宋体"/>
          <w:color w:val="auto"/>
          <w:sz w:val="24"/>
          <w:szCs w:val="24"/>
          <w:lang w:val="en-US" w:eastAsia="zh-CN"/>
        </w:rPr>
        <w:t>；</w:t>
      </w:r>
    </w:p>
    <w:p>
      <w:pPr>
        <w:keepNext w:val="0"/>
        <w:keepLines w:val="0"/>
        <w:pageBreakBefore w:val="0"/>
        <w:numPr>
          <w:ilvl w:val="0"/>
          <w:numId w:val="9"/>
        </w:numPr>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具有有效期内的《食品流通许可证》或《食品经营许可证》；</w:t>
      </w:r>
    </w:p>
    <w:p>
      <w:pPr>
        <w:keepNext w:val="0"/>
        <w:keepLines w:val="0"/>
        <w:pageBreakBefore w:val="0"/>
        <w:numPr>
          <w:ilvl w:val="0"/>
          <w:numId w:val="9"/>
        </w:numPr>
        <w:shd w:val="clear" w:color="auto" w:fill="FFFFFF"/>
        <w:tabs>
          <w:tab w:val="left" w:pos="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不属于其他国家相关法律法规规定的禁止参加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 xml:space="preserve">的供应商； </w:t>
      </w:r>
    </w:p>
    <w:p>
      <w:pPr>
        <w:pStyle w:val="169"/>
        <w:keepNext w:val="0"/>
        <w:keepLines w:val="0"/>
        <w:pageBreakBefore w:val="0"/>
        <w:numPr>
          <w:ilvl w:val="0"/>
          <w:numId w:val="9"/>
        </w:numPr>
        <w:tabs>
          <w:tab w:val="left" w:pos="0"/>
          <w:tab w:val="left" w:pos="1260"/>
          <w:tab w:val="clear" w:pos="420"/>
        </w:tabs>
        <w:kinsoku/>
        <w:wordWrap/>
        <w:overflowPunct/>
        <w:topLinePunct w:val="0"/>
        <w:autoSpaceDE/>
        <w:autoSpaceDN/>
        <w:bidi w:val="0"/>
        <w:adjustRightInd/>
        <w:snapToGrid/>
        <w:spacing w:line="460" w:lineRule="exact"/>
        <w:ind w:left="5" w:leftChars="0" w:firstLine="715" w:firstLineChars="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6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10</w:t>
      </w:r>
      <w:r>
        <w:rPr>
          <w:rFonts w:hint="eastAsia" w:ascii="宋体" w:hAnsi="宋体"/>
          <w:color w:val="auto"/>
          <w:highlight w:val="none"/>
        </w:rPr>
        <w:t>月</w:t>
      </w:r>
      <w:r>
        <w:rPr>
          <w:rFonts w:hint="eastAsia" w:ascii="宋体" w:hAnsi="宋体"/>
          <w:color w:val="auto"/>
          <w:highlight w:val="none"/>
          <w:lang w:val="en-US" w:eastAsia="zh-CN"/>
        </w:rPr>
        <w:t>11</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10</w:t>
      </w:r>
      <w:r>
        <w:rPr>
          <w:rFonts w:hint="eastAsia" w:ascii="宋体" w:hAnsi="宋体"/>
          <w:color w:val="auto"/>
          <w:highlight w:val="none"/>
        </w:rPr>
        <w:t>月</w:t>
      </w:r>
      <w:r>
        <w:rPr>
          <w:rFonts w:hint="eastAsia" w:ascii="宋体" w:hAnsi="宋体"/>
          <w:color w:val="auto"/>
          <w:highlight w:val="none"/>
          <w:lang w:val="en-US" w:eastAsia="zh-CN"/>
        </w:rPr>
        <w:t>15</w:t>
      </w:r>
      <w:r>
        <w:rPr>
          <w:rFonts w:hint="eastAsia" w:ascii="宋体" w:hAnsi="宋体"/>
          <w:color w:val="auto"/>
          <w:highlight w:val="none"/>
        </w:rPr>
        <w:t>日（北京时间，法定公休日、法定节假日除外，每日09：00时至17：00时）。</w:t>
      </w:r>
    </w:p>
    <w:p>
      <w:pPr>
        <w:keepNext w:val="0"/>
        <w:keepLines w:val="0"/>
        <w:pageBreakBefore w:val="0"/>
        <w:numPr>
          <w:ilvl w:val="0"/>
          <w:numId w:val="0"/>
        </w:numPr>
        <w:kinsoku/>
        <w:wordWrap/>
        <w:overflowPunct/>
        <w:topLinePunct w:val="0"/>
        <w:bidi w:val="0"/>
        <w:snapToGrid/>
        <w:spacing w:line="440" w:lineRule="exact"/>
        <w:ind w:firstLine="482" w:firstLineChars="200"/>
        <w:textAlignment w:val="auto"/>
        <w:rPr>
          <w:rFonts w:hint="eastAsia" w:ascii="宋体" w:hAnsi="宋体"/>
          <w:b/>
          <w:color w:val="auto"/>
          <w:highlight w:val="none"/>
        </w:rPr>
      </w:pPr>
      <w:r>
        <w:rPr>
          <w:rFonts w:hint="eastAsia" w:ascii="宋体" w:hAnsi="宋体"/>
          <w:b/>
          <w:color w:val="auto"/>
          <w:highlight w:val="none"/>
          <w:lang w:val="en-US" w:eastAsia="zh-CN"/>
        </w:rPr>
        <w:t>磋商文件获取方式：</w:t>
      </w:r>
      <w:r>
        <w:rPr>
          <w:rFonts w:hint="eastAsia" w:ascii="宋体" w:hAnsi="宋体"/>
          <w:b/>
          <w:color w:val="auto"/>
          <w:highlight w:val="none"/>
        </w:rPr>
        <w:t>供应商从“政府采购云平台”获取磋商文件（网址：https://www.zcygov.cn）。登录政府采购云平台—项目采购—获取磋商文件—申请获取磋商文件。</w:t>
      </w:r>
    </w:p>
    <w:p>
      <w:pPr>
        <w:keepNext w:val="0"/>
        <w:keepLines w:val="0"/>
        <w:pageBreakBefore w:val="0"/>
        <w:numPr>
          <w:ilvl w:val="0"/>
          <w:numId w:val="0"/>
        </w:numPr>
        <w:kinsoku/>
        <w:wordWrap/>
        <w:overflowPunct/>
        <w:topLinePunct w:val="0"/>
        <w:bidi w:val="0"/>
        <w:snapToGrid/>
        <w:spacing w:line="440" w:lineRule="exact"/>
        <w:ind w:firstLine="482" w:firstLineChars="200"/>
        <w:textAlignment w:val="auto"/>
        <w:rPr>
          <w:rFonts w:hint="eastAsia" w:ascii="宋体" w:hAnsi="宋体"/>
          <w:b/>
          <w:color w:val="auto"/>
          <w:highlight w:val="none"/>
        </w:rPr>
      </w:pPr>
      <w:r>
        <w:rPr>
          <w:rFonts w:hint="eastAsia" w:ascii="宋体" w:hAnsi="宋体"/>
          <w:b/>
          <w:color w:val="auto"/>
          <w:highlight w:val="none"/>
        </w:rPr>
        <w:t>提示：（1）本项目磋商文件免费获取。（2）供应商只有在“政府采购云平台”完成获取磋商文件申请并下载磋商文件后才视作依法参与本项目。如未在“政府采购云平台”内完成相关流程，引起的投标无效责任自负。</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10</w:t>
      </w:r>
      <w:r>
        <w:rPr>
          <w:rFonts w:hint="eastAsia" w:ascii="宋体" w:hAnsi="宋体" w:cs="宋体"/>
          <w:b/>
          <w:color w:val="auto"/>
          <w:highlight w:val="none"/>
        </w:rPr>
        <w:t>月</w:t>
      </w:r>
      <w:r>
        <w:rPr>
          <w:rFonts w:hint="eastAsia" w:ascii="宋体" w:hAnsi="宋体" w:cs="宋体"/>
          <w:b/>
          <w:color w:val="auto"/>
          <w:highlight w:val="none"/>
          <w:lang w:val="en-US" w:eastAsia="zh-CN"/>
        </w:rPr>
        <w:t>21</w:t>
      </w:r>
      <w:r>
        <w:rPr>
          <w:rFonts w:hint="eastAsia" w:ascii="宋体" w:hAnsi="宋体" w:cs="宋体"/>
          <w:b/>
          <w:color w:val="auto"/>
          <w:highlight w:val="none"/>
        </w:rPr>
        <w:t>日10:30(北京时间)。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本项目评标室。</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pStyle w:val="169"/>
        <w:keepNext w:val="0"/>
        <w:keepLines w:val="0"/>
        <w:pageBreakBefore w:val="0"/>
        <w:kinsoku/>
        <w:wordWrap/>
        <w:overflowPunct/>
        <w:topLinePunct w:val="0"/>
        <w:bidi w:val="0"/>
        <w:snapToGrid/>
        <w:spacing w:line="460" w:lineRule="exact"/>
        <w:ind w:firstLine="492"/>
        <w:textAlignment w:val="auto"/>
        <w:rPr>
          <w:rFonts w:hint="eastAsia" w:ascii="宋体" w:hAnsi="宋体" w:cs="宋体"/>
          <w:bCs/>
          <w:color w:val="auto"/>
          <w:kern w:val="0"/>
          <w:sz w:val="24"/>
          <w:szCs w:val="24"/>
          <w:highlight w:val="none"/>
          <w:lang w:val="en-US" w:eastAsia="zh-CN" w:bidi="ar-SA"/>
        </w:rPr>
      </w:pPr>
      <w:bookmarkStart w:id="4" w:name="_Toc391885334"/>
      <w:bookmarkStart w:id="5" w:name="_Toc287623638"/>
      <w:bookmarkStart w:id="6" w:name="_Toc381263230"/>
      <w:r>
        <w:rPr>
          <w:rFonts w:hint="eastAsia" w:ascii="宋体" w:hAnsi="宋体" w:cs="宋体"/>
          <w:bCs/>
          <w:color w:val="auto"/>
          <w:kern w:val="0"/>
          <w:sz w:val="24"/>
          <w:szCs w:val="24"/>
          <w:highlight w:val="none"/>
          <w:lang w:val="en-US" w:eastAsia="zh-CN" w:bidi="ar-SA"/>
        </w:rPr>
        <w:t>采购人：成都市龙泉驿区水务局</w:t>
      </w:r>
    </w:p>
    <w:p>
      <w:pPr>
        <w:pStyle w:val="169"/>
        <w:ind w:firstLine="484" w:firstLineChars="202"/>
        <w:rPr>
          <w:rFonts w:ascii="宋体" w:hAnsi="宋体" w:cs="宋体"/>
          <w:bCs/>
          <w:kern w:val="0"/>
          <w:sz w:val="24"/>
          <w:szCs w:val="24"/>
          <w:highlight w:val="none"/>
        </w:rPr>
      </w:pPr>
      <w:r>
        <w:rPr>
          <w:rFonts w:hint="eastAsia" w:ascii="宋体" w:hAnsi="宋体" w:cs="宋体"/>
          <w:bCs/>
          <w:kern w:val="0"/>
          <w:sz w:val="24"/>
          <w:szCs w:val="24"/>
          <w:highlight w:val="none"/>
        </w:rPr>
        <w:t>地  址：</w:t>
      </w:r>
      <w:bookmarkStart w:id="7" w:name="单位地址"/>
      <w:r>
        <w:rPr>
          <w:rFonts w:hint="eastAsia" w:ascii="宋体" w:hAnsi="宋体" w:cs="宋体"/>
          <w:bCs/>
          <w:kern w:val="0"/>
          <w:sz w:val="24"/>
          <w:szCs w:val="24"/>
          <w:highlight w:val="none"/>
        </w:rPr>
        <w:t>成都市</w:t>
      </w:r>
      <w:bookmarkEnd w:id="7"/>
      <w:r>
        <w:rPr>
          <w:rFonts w:hint="eastAsia" w:ascii="宋体" w:hAnsi="宋体" w:cs="宋体"/>
          <w:bCs/>
          <w:kern w:val="0"/>
          <w:sz w:val="24"/>
          <w:szCs w:val="24"/>
          <w:highlight w:val="none"/>
        </w:rPr>
        <w:t>龙泉驿区北泉路27号</w:t>
      </w:r>
    </w:p>
    <w:p>
      <w:pPr>
        <w:pStyle w:val="169"/>
        <w:ind w:firstLine="484" w:firstLineChars="202"/>
        <w:rPr>
          <w:rFonts w:ascii="宋体" w:hAnsi="宋体" w:cs="宋体"/>
          <w:bCs/>
          <w:kern w:val="0"/>
          <w:sz w:val="24"/>
          <w:szCs w:val="24"/>
          <w:highlight w:val="none"/>
        </w:rPr>
      </w:pPr>
      <w:r>
        <w:rPr>
          <w:rFonts w:hint="eastAsia" w:ascii="宋体" w:hAnsi="宋体" w:cs="宋体"/>
          <w:bCs/>
          <w:kern w:val="0"/>
          <w:sz w:val="24"/>
          <w:szCs w:val="24"/>
          <w:highlight w:val="none"/>
        </w:rPr>
        <w:t>联系人：张老师</w:t>
      </w:r>
    </w:p>
    <w:p>
      <w:pPr>
        <w:pStyle w:val="169"/>
        <w:ind w:firstLine="484" w:firstLineChars="202"/>
        <w:rPr>
          <w:rFonts w:ascii="宋体" w:hAnsi="宋体" w:cs="宋体"/>
          <w:bCs/>
          <w:kern w:val="0"/>
          <w:sz w:val="24"/>
          <w:szCs w:val="24"/>
          <w:highlight w:val="none"/>
        </w:rPr>
      </w:pPr>
      <w:r>
        <w:rPr>
          <w:rFonts w:hint="eastAsia" w:ascii="宋体" w:hAnsi="宋体" w:cs="宋体"/>
          <w:bCs/>
          <w:kern w:val="0"/>
          <w:sz w:val="24"/>
          <w:szCs w:val="24"/>
          <w:highlight w:val="none"/>
        </w:rPr>
        <w:t>联系电话：028-64159479</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0"/>
        <w:keepNext w:val="0"/>
        <w:keepLines w:val="0"/>
        <w:pageBreakBefore w:val="0"/>
        <w:kinsoku/>
        <w:wordWrap/>
        <w:overflowPunct/>
        <w:topLinePunct w:val="0"/>
        <w:bidi w:val="0"/>
        <w:snapToGrid/>
        <w:spacing w:line="46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pageBreakBefore w:val="0"/>
        <w:kinsoku/>
        <w:wordWrap/>
        <w:overflowPunct/>
        <w:topLinePunct w:val="0"/>
        <w:bidi w:val="0"/>
        <w:snapToGrid/>
        <w:spacing w:line="460" w:lineRule="exact"/>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 真：028-61032618</w:t>
      </w:r>
    </w:p>
    <w:p>
      <w:pPr>
        <w:pStyle w:val="20"/>
        <w:ind w:firstLine="480" w:firstLineChars="200"/>
        <w:jc w:val="left"/>
        <w:rPr>
          <w:rFonts w:hint="eastAsia" w:hAnsi="宋体" w:cs="宋体"/>
          <w:bCs/>
          <w:color w:val="auto"/>
          <w:sz w:val="24"/>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8" w:name="_Toc13474"/>
      <w:r>
        <w:rPr>
          <w:rFonts w:hint="eastAsia"/>
          <w:color w:val="auto"/>
          <w:highlight w:val="none"/>
        </w:rPr>
        <w:t>磋商供应商须知</w:t>
      </w:r>
      <w:bookmarkEnd w:id="4"/>
      <w:bookmarkEnd w:id="8"/>
    </w:p>
    <w:p>
      <w:pPr>
        <w:pStyle w:val="4"/>
        <w:rPr>
          <w:color w:val="auto"/>
          <w:highlight w:val="none"/>
        </w:rPr>
      </w:pPr>
      <w:bookmarkStart w:id="9" w:name="_Toc19011"/>
      <w:r>
        <w:rPr>
          <w:rFonts w:hint="eastAsia"/>
          <w:color w:val="auto"/>
          <w:highlight w:val="none"/>
        </w:rPr>
        <w:t>磋商供应商须知附表</w:t>
      </w:r>
      <w:bookmarkEnd w:id="9"/>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95"/>
        <w:gridCol w:w="1675"/>
        <w:gridCol w:w="706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9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675"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90万元/年（其中包件一预算金额：54万元/年，包件二预算金额：36万元/年）</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95" w:type="dxa"/>
            <w:vAlign w:val="center"/>
          </w:tcPr>
          <w:p>
            <w:pPr>
              <w:numPr>
                <w:ilvl w:val="0"/>
                <w:numId w:val="10"/>
              </w:numPr>
              <w:spacing w:line="360" w:lineRule="exact"/>
              <w:jc w:val="center"/>
              <w:rPr>
                <w:rFonts w:ascii="宋体" w:hAnsi="宋体" w:cs="宋体"/>
                <w:color w:val="auto"/>
                <w:highlight w:val="none"/>
              </w:rPr>
            </w:pPr>
          </w:p>
        </w:tc>
        <w:tc>
          <w:tcPr>
            <w:tcW w:w="1675"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shd w:val="clear" w:color="auto" w:fill="auto"/>
            <w:vAlign w:val="center"/>
          </w:tcPr>
          <w:p>
            <w:pPr>
              <w:pStyle w:val="123"/>
              <w:spacing w:line="380" w:lineRule="exact"/>
              <w:jc w:val="both"/>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3"/>
              <w:spacing w:line="360" w:lineRule="auto"/>
              <w:jc w:val="both"/>
              <w:rPr>
                <w:color w:val="auto"/>
                <w:highlight w:val="none"/>
                <w:lang w:val="zh-CN"/>
              </w:rPr>
            </w:pPr>
          </w:p>
        </w:tc>
        <w:tc>
          <w:tcPr>
            <w:tcW w:w="7063" w:type="dxa"/>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w:t>
            </w:r>
            <w:r>
              <w:rPr>
                <w:rFonts w:hint="eastAsia"/>
                <w:color w:val="auto"/>
                <w:highlight w:val="none"/>
                <w:lang w:val="en-US" w:eastAsia="zh-CN"/>
              </w:rPr>
              <w:t>405号）、《关于对政府采购领域严重违法失信主体开展联合惩戒的合作备案录》（发改财经</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2018</w:t>
            </w:r>
            <w:r>
              <w:rPr>
                <w:rFonts w:hint="eastAsia" w:ascii="宋体" w:hAnsi="宋体" w:eastAsia="宋体" w:cs="宋体"/>
                <w:b w:val="0"/>
                <w:bCs w:val="0"/>
                <w:color w:val="auto"/>
                <w:sz w:val="24"/>
                <w:szCs w:val="24"/>
                <w:lang w:eastAsia="zh-CN"/>
              </w:rPr>
              <w:t>﹞</w:t>
            </w:r>
            <w:r>
              <w:rPr>
                <w:rFonts w:hint="eastAsia"/>
                <w:color w:val="auto"/>
                <w:highlight w:val="none"/>
                <w:lang w:val="en-US" w:eastAsia="zh-CN"/>
              </w:rPr>
              <w:t>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07"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rPr>
                <w:color w:val="auto"/>
                <w:highlight w:val="none"/>
              </w:rPr>
            </w:pPr>
            <w:r>
              <w:rPr>
                <w:rFonts w:hint="eastAsia"/>
                <w:color w:val="auto"/>
                <w:kern w:val="2"/>
                <w:highlight w:val="none"/>
              </w:rPr>
              <w:t>采购文件咨询</w:t>
            </w:r>
          </w:p>
        </w:tc>
        <w:tc>
          <w:tcPr>
            <w:tcW w:w="7063" w:type="dxa"/>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成交通知书领取</w:t>
            </w:r>
          </w:p>
        </w:tc>
        <w:tc>
          <w:tcPr>
            <w:tcW w:w="7063" w:type="dxa"/>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82"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tcPr>
          <w:p>
            <w:pPr>
              <w:pStyle w:val="123"/>
              <w:spacing w:line="380" w:lineRule="exact"/>
              <w:jc w:val="center"/>
              <w:rPr>
                <w:color w:val="auto"/>
                <w:kern w:val="2"/>
                <w:highlight w:val="none"/>
              </w:rPr>
            </w:pPr>
          </w:p>
          <w:p>
            <w:pPr>
              <w:pStyle w:val="123"/>
              <w:spacing w:line="380" w:lineRule="exact"/>
              <w:jc w:val="center"/>
              <w:rPr>
                <w:color w:val="auto"/>
                <w:highlight w:val="none"/>
              </w:rPr>
            </w:pPr>
            <w:r>
              <w:rPr>
                <w:rFonts w:hint="eastAsia"/>
                <w:color w:val="auto"/>
                <w:kern w:val="2"/>
                <w:highlight w:val="none"/>
              </w:rPr>
              <w:t>供应商询问、质疑</w:t>
            </w:r>
          </w:p>
        </w:tc>
        <w:tc>
          <w:tcPr>
            <w:tcW w:w="7063" w:type="dxa"/>
          </w:tcPr>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11"/>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33"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pStyle w:val="123"/>
              <w:spacing w:line="380" w:lineRule="exact"/>
              <w:jc w:val="center"/>
              <w:rPr>
                <w:color w:val="auto"/>
                <w:highlight w:val="none"/>
              </w:rPr>
            </w:pPr>
            <w:r>
              <w:rPr>
                <w:rFonts w:hint="eastAsia"/>
                <w:color w:val="auto"/>
                <w:kern w:val="2"/>
                <w:highlight w:val="none"/>
              </w:rPr>
              <w:t>供应商投诉</w:t>
            </w:r>
          </w:p>
        </w:tc>
        <w:tc>
          <w:tcPr>
            <w:tcW w:w="7063" w:type="dxa"/>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龙泉驿区</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w:t>
            </w:r>
            <w:r>
              <w:rPr>
                <w:rFonts w:hint="eastAsia" w:ascii="宋体" w:hAnsi="宋体" w:cs="宋体"/>
                <w:color w:val="auto"/>
                <w:highlight w:val="none"/>
                <w:lang w:val="en-US" w:eastAsia="zh-CN"/>
              </w:rPr>
              <w:t>84636986。</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rPr>
                <w:rFonts w:ascii="宋体" w:hAnsi="宋体" w:cs="宋体"/>
                <w:color w:val="auto"/>
                <w:highlight w:val="none"/>
              </w:rPr>
            </w:pPr>
            <w:r>
              <w:rPr>
                <w:rFonts w:hint="eastAsia" w:ascii="宋体" w:hAnsi="宋体" w:cs="宋体"/>
                <w:color w:val="auto"/>
                <w:highlight w:val="none"/>
              </w:rPr>
              <w:t>开标时递交的资料</w:t>
            </w:r>
          </w:p>
        </w:tc>
        <w:tc>
          <w:tcPr>
            <w:tcW w:w="7063" w:type="dxa"/>
            <w:vAlign w:val="center"/>
          </w:tcPr>
          <w:p>
            <w:pPr>
              <w:spacing w:line="360" w:lineRule="exact"/>
              <w:ind w:left="120" w:leftChars="50"/>
              <w:rPr>
                <w:color w:val="auto"/>
                <w:highlight w:val="none"/>
              </w:rPr>
            </w:pPr>
            <w:r>
              <w:rPr>
                <w:rFonts w:hint="eastAsia"/>
                <w:color w:val="auto"/>
                <w:highlight w:val="none"/>
              </w:rPr>
              <w:t>（1）资格性响应文件正本1份，副本2份；</w:t>
            </w:r>
          </w:p>
          <w:p>
            <w:pPr>
              <w:spacing w:line="360" w:lineRule="exact"/>
              <w:ind w:left="120" w:leftChars="50"/>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ascii="Times New Roman" w:hAnsi="宋体" w:cs="宋体"/>
                <w:color w:val="auto"/>
                <w:highlight w:val="none"/>
                <w:lang w:val="en-US" w:eastAsia="zh-CN"/>
              </w:rPr>
              <w:t>参照</w:t>
            </w:r>
            <w:r>
              <w:rPr>
                <w:rFonts w:hint="eastAsia" w:ascii="Times New Roman" w:hAnsi="宋体" w:cs="宋体"/>
                <w:color w:val="auto"/>
                <w:highlight w:val="none"/>
                <w:lang w:val="zh-CN"/>
              </w:rPr>
              <w:t>国家计委《招标代理服务收费管理暂行办法》（计价格[2002]1980号）标准</w:t>
            </w:r>
            <w:r>
              <w:rPr>
                <w:rFonts w:hint="eastAsia" w:ascii="Times New Roman" w:hAnsi="宋体" w:cs="宋体"/>
                <w:color w:val="auto"/>
                <w:highlight w:val="none"/>
                <w:lang w:val="en-US" w:eastAsia="zh-CN"/>
              </w:rPr>
              <w:t>收取</w:t>
            </w:r>
            <w:r>
              <w:rPr>
                <w:rFonts w:hint="eastAsia" w:hAnsi="宋体" w:cs="宋体"/>
                <w:color w:val="auto"/>
                <w:highlight w:val="none"/>
                <w:lang w:val="en-US" w:eastAsia="zh-CN"/>
              </w:rPr>
              <w:t>×服务年限</w:t>
            </w:r>
            <w:r>
              <w:rPr>
                <w:rFonts w:hint="eastAsia" w:hAnsi="宋体" w:cs="宋体"/>
                <w:color w:val="auto"/>
                <w:highlight w:val="none"/>
                <w:lang w:val="zh-CN"/>
              </w:rPr>
              <w:t>（</w:t>
            </w:r>
            <w:r>
              <w:rPr>
                <w:rFonts w:hint="eastAsia" w:hAnsi="宋体" w:cs="宋体"/>
                <w:color w:val="auto"/>
                <w:highlight w:val="none"/>
                <w:lang w:val="en-US" w:eastAsia="zh-CN"/>
              </w:rPr>
              <w:t>以预算金额为计算基数</w:t>
            </w:r>
            <w:r>
              <w:rPr>
                <w:rFonts w:hint="eastAsia" w:hAnsi="宋体" w:cs="宋体"/>
                <w:color w:val="auto"/>
                <w:highlight w:val="none"/>
                <w:lang w:val="zh-CN"/>
              </w:rPr>
              <w:t>）</w:t>
            </w:r>
            <w:r>
              <w:rPr>
                <w:rFonts w:hint="eastAsia" w:ascii="宋体" w:hAnsi="宋体" w:cs="宋体"/>
                <w:color w:val="auto"/>
                <w:highlight w:val="none"/>
                <w:lang w:val="zh-CN"/>
              </w:rPr>
              <w:t>，由</w:t>
            </w:r>
            <w:r>
              <w:rPr>
                <w:rFonts w:hint="eastAsia" w:hAnsi="宋体" w:cs="宋体"/>
                <w:color w:val="auto"/>
                <w:highlight w:val="none"/>
                <w:lang w:val="en-US" w:eastAsia="zh-CN"/>
              </w:rPr>
              <w:t>采购人</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银行帐号：5100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510112202100291</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40" w:hRule="atLeast"/>
          <w:jc w:val="center"/>
        </w:trPr>
        <w:tc>
          <w:tcPr>
            <w:tcW w:w="995" w:type="dxa"/>
            <w:vAlign w:val="center"/>
          </w:tcPr>
          <w:p>
            <w:pPr>
              <w:numPr>
                <w:ilvl w:val="0"/>
                <w:numId w:val="10"/>
              </w:numPr>
              <w:spacing w:line="360" w:lineRule="exact"/>
              <w:ind w:right="62" w:rightChars="26"/>
              <w:jc w:val="center"/>
              <w:rPr>
                <w:rFonts w:ascii="宋体" w:hAnsi="宋体" w:cs="宋体"/>
                <w:color w:val="auto"/>
                <w:highlight w:val="none"/>
              </w:rPr>
            </w:pPr>
          </w:p>
        </w:tc>
        <w:tc>
          <w:tcPr>
            <w:tcW w:w="1675" w:type="dxa"/>
            <w:vAlign w:val="center"/>
          </w:tcPr>
          <w:p>
            <w:pPr>
              <w:spacing w:line="360" w:lineRule="exact"/>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vAlign w:val="center"/>
          </w:tcPr>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bl>
    <w:p>
      <w:pPr>
        <w:pStyle w:val="4"/>
        <w:rPr>
          <w:color w:val="auto"/>
          <w:sz w:val="24"/>
          <w:szCs w:val="24"/>
          <w:highlight w:val="none"/>
        </w:rPr>
      </w:pPr>
      <w:bookmarkStart w:id="10" w:name="_Toc27478"/>
      <w:r>
        <w:rPr>
          <w:rFonts w:hint="eastAsia"/>
          <w:color w:val="auto"/>
          <w:sz w:val="24"/>
          <w:szCs w:val="24"/>
          <w:highlight w:val="none"/>
        </w:rPr>
        <w:t>适用范围</w:t>
      </w:r>
      <w:bookmarkEnd w:id="5"/>
      <w:bookmarkEnd w:id="6"/>
      <w:bookmarkEnd w:id="10"/>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11" w:name="_Toc32299"/>
      <w:bookmarkStart w:id="12" w:name="_Toc287623639"/>
      <w:r>
        <w:rPr>
          <w:rFonts w:hint="eastAsia"/>
          <w:color w:val="auto"/>
          <w:sz w:val="24"/>
          <w:szCs w:val="24"/>
          <w:highlight w:val="none"/>
        </w:rPr>
        <w:t>定义</w:t>
      </w:r>
      <w:bookmarkEnd w:id="11"/>
      <w:bookmarkEnd w:id="12"/>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成都市龙泉驿区水务局</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2"/>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13" w:name="_Toc20403"/>
      <w:r>
        <w:rPr>
          <w:rFonts w:hint="eastAsia"/>
          <w:color w:val="auto"/>
          <w:sz w:val="24"/>
          <w:szCs w:val="24"/>
          <w:highlight w:val="none"/>
        </w:rPr>
        <w:t>合格供应商的条件（实质性要求）</w:t>
      </w:r>
      <w:bookmarkEnd w:id="13"/>
    </w:p>
    <w:p>
      <w:pPr>
        <w:numPr>
          <w:ilvl w:val="0"/>
          <w:numId w:val="13"/>
        </w:numPr>
        <w:spacing w:line="360" w:lineRule="auto"/>
        <w:ind w:firstLine="480" w:firstLineChars="200"/>
        <w:rPr>
          <w:rFonts w:ascii="宋体" w:hAnsi="宋体" w:cs="宋体"/>
          <w:color w:val="auto"/>
          <w:sz w:val="24"/>
          <w:szCs w:val="24"/>
          <w:highlight w:val="none"/>
        </w:rPr>
      </w:pPr>
      <w:bookmarkStart w:id="14" w:name="_Toc320698717"/>
      <w:r>
        <w:rPr>
          <w:rFonts w:hint="eastAsia" w:ascii="宋体" w:hAnsi="宋体" w:cs="宋体"/>
          <w:color w:val="auto"/>
          <w:sz w:val="24"/>
          <w:szCs w:val="24"/>
          <w:highlight w:val="none"/>
        </w:rPr>
        <w:t>本竞争性磋商文件规定的供应商资格条件；</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3"/>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15" w:name="_Toc14450"/>
      <w:r>
        <w:rPr>
          <w:rFonts w:hint="eastAsia"/>
          <w:color w:val="auto"/>
          <w:sz w:val="24"/>
          <w:szCs w:val="24"/>
          <w:highlight w:val="none"/>
        </w:rPr>
        <w:t>拒绝参加本次采购活动的供应商</w:t>
      </w:r>
      <w:bookmarkEnd w:id="1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w:t>
      </w:r>
      <w:r>
        <w:rPr>
          <w:rFonts w:hint="eastAsia" w:ascii="宋体" w:hAnsi="宋体" w:cs="宋体"/>
          <w:b/>
          <w:bCs/>
          <w:color w:val="auto"/>
          <w:highlight w:val="none"/>
          <w:lang w:val="en-US" w:eastAsia="zh-CN"/>
        </w:rPr>
        <w:t>响应文件递交截止之日</w:t>
      </w:r>
      <w:r>
        <w:rPr>
          <w:rFonts w:hint="eastAsia" w:ascii="宋体" w:hAnsi="宋体" w:cs="宋体"/>
          <w:b/>
          <w:bCs/>
          <w:color w:val="auto"/>
          <w:highlight w:val="none"/>
        </w:rPr>
        <w:t>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14"/>
    <w:p>
      <w:pPr>
        <w:pStyle w:val="4"/>
        <w:rPr>
          <w:color w:val="auto"/>
          <w:highlight w:val="none"/>
        </w:rPr>
      </w:pPr>
      <w:bookmarkStart w:id="16" w:name="_Toc13278"/>
      <w:bookmarkStart w:id="17" w:name="_Toc287623640"/>
      <w:r>
        <w:rPr>
          <w:rFonts w:hint="eastAsia"/>
          <w:color w:val="auto"/>
          <w:highlight w:val="none"/>
        </w:rPr>
        <w:t>充分、公平竞争保障措施（实质性要求）</w:t>
      </w:r>
      <w:bookmarkEnd w:id="16"/>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4"/>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w:t>
      </w:r>
      <w:r>
        <w:rPr>
          <w:rFonts w:hint="eastAsia" w:ascii="宋体" w:hAnsi="宋体" w:cs="宋体"/>
          <w:color w:val="auto"/>
          <w:highlight w:val="none"/>
          <w:lang w:val="en-US" w:eastAsia="zh-CN"/>
        </w:rPr>
        <w:t xml:space="preserve"> </w:t>
      </w:r>
      <w:r>
        <w:rPr>
          <w:rFonts w:hint="eastAsia" w:ascii="宋体" w:hAnsi="宋体" w:cs="宋体"/>
          <w:color w:val="auto"/>
          <w:highlight w:val="none"/>
        </w:rPr>
        <w:t>为无效处理。</w:t>
      </w:r>
    </w:p>
    <w:p>
      <w:pPr>
        <w:pStyle w:val="4"/>
        <w:rPr>
          <w:color w:val="auto"/>
          <w:highlight w:val="none"/>
        </w:rPr>
      </w:pPr>
      <w:bookmarkStart w:id="18" w:name="_Toc30607"/>
      <w:r>
        <w:rPr>
          <w:rFonts w:hint="eastAsia"/>
          <w:color w:val="auto"/>
          <w:highlight w:val="none"/>
        </w:rPr>
        <w:t>竞争性磋商采购费用</w:t>
      </w:r>
      <w:bookmarkEnd w:id="17"/>
      <w:bookmarkEnd w:id="18"/>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19" w:name="_Toc17869"/>
      <w:bookmarkStart w:id="20" w:name="_Toc320698720"/>
      <w:r>
        <w:rPr>
          <w:rFonts w:hint="eastAsia"/>
          <w:color w:val="auto"/>
          <w:highlight w:val="none"/>
        </w:rPr>
        <w:t>响应文件</w:t>
      </w:r>
      <w:bookmarkEnd w:id="19"/>
      <w:bookmarkEnd w:id="20"/>
    </w:p>
    <w:p>
      <w:pPr>
        <w:pStyle w:val="5"/>
        <w:ind w:left="80" w:leftChars="0" w:firstLine="482" w:firstLineChars="0"/>
        <w:rPr>
          <w:rFonts w:cs="宋体"/>
          <w:color w:val="auto"/>
          <w:szCs w:val="24"/>
          <w:highlight w:val="none"/>
        </w:rPr>
      </w:pPr>
      <w:bookmarkStart w:id="21" w:name="_Toc320698721"/>
      <w:r>
        <w:rPr>
          <w:rFonts w:hint="eastAsia" w:cs="宋体"/>
          <w:color w:val="auto"/>
          <w:szCs w:val="24"/>
          <w:highlight w:val="none"/>
        </w:rPr>
        <w:t>响应文件的语言</w:t>
      </w:r>
      <w:bookmarkEnd w:id="21"/>
      <w:r>
        <w:rPr>
          <w:rFonts w:hint="eastAsia" w:cs="宋体"/>
          <w:color w:val="auto"/>
          <w:szCs w:val="24"/>
          <w:highlight w:val="none"/>
        </w:rPr>
        <w:t>、计量单位</w:t>
      </w:r>
      <w:r>
        <w:rPr>
          <w:rFonts w:hint="eastAsia"/>
          <w:color w:val="auto"/>
          <w:highlight w:val="none"/>
        </w:rPr>
        <w:t>（实质性要求）</w:t>
      </w:r>
    </w:p>
    <w:p>
      <w:pPr>
        <w:widowControl w:val="0"/>
        <w:numPr>
          <w:ilvl w:val="0"/>
          <w:numId w:val="1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5"/>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22" w:name="_Toc320698722"/>
      <w:r>
        <w:rPr>
          <w:rFonts w:hint="eastAsia" w:cs="宋体"/>
          <w:color w:val="auto"/>
          <w:szCs w:val="24"/>
          <w:highlight w:val="none"/>
        </w:rPr>
        <w:t>报价货币</w:t>
      </w:r>
      <w:bookmarkEnd w:id="22"/>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23"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23"/>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24" w:name="_Toc320698724"/>
      <w:r>
        <w:rPr>
          <w:rFonts w:hint="eastAsia" w:cs="宋体"/>
          <w:color w:val="auto"/>
          <w:szCs w:val="24"/>
          <w:highlight w:val="none"/>
        </w:rPr>
        <w:t>响应文件的组成</w:t>
      </w:r>
      <w:bookmarkEnd w:id="24"/>
      <w:bookmarkStart w:id="25"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25"/>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eastAsia="宋体" w:cs="宋体"/>
          <w:color w:val="auto"/>
          <w:sz w:val="24"/>
          <w:szCs w:val="24"/>
          <w:lang w:val="en-US" w:eastAsia="zh-CN"/>
        </w:rPr>
        <w:t>有效期内的《食品流通许可证》或《食品经营许可证》证书复印件；</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中小企业声明函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残疾人福利性单位声明函</w:t>
      </w:r>
      <w:r>
        <w:rPr>
          <w:rFonts w:hint="eastAsia" w:ascii="宋体" w:hAnsi="宋体" w:cs="宋体"/>
          <w:color w:val="auto"/>
          <w:sz w:val="24"/>
          <w:szCs w:val="24"/>
          <w:highlight w:val="none"/>
          <w:lang w:eastAsia="zh-CN"/>
        </w:rPr>
        <w:t>；</w:t>
      </w:r>
    </w:p>
    <w:p>
      <w:pPr>
        <w:pStyle w:val="169"/>
        <w:numPr>
          <w:ilvl w:val="0"/>
          <w:numId w:val="17"/>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9"/>
        <w:numPr>
          <w:ilvl w:val="0"/>
          <w:numId w:val="17"/>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26" w:name="_Toc320698726"/>
      <w:r>
        <w:rPr>
          <w:rFonts w:hint="eastAsia" w:cs="宋体"/>
          <w:color w:val="auto"/>
          <w:szCs w:val="24"/>
          <w:highlight w:val="none"/>
        </w:rPr>
        <w:t>技术、服务性响应文件</w:t>
      </w:r>
      <w:bookmarkEnd w:id="26"/>
    </w:p>
    <w:p>
      <w:pPr>
        <w:pStyle w:val="2"/>
        <w:numPr>
          <w:ilvl w:val="0"/>
          <w:numId w:val="18"/>
        </w:numPr>
        <w:tabs>
          <w:tab w:val="left" w:pos="1134"/>
        </w:tabs>
        <w:spacing w:after="0" w:line="360" w:lineRule="auto"/>
        <w:ind w:firstLine="480" w:firstLineChars="200"/>
        <w:rPr>
          <w:rFonts w:ascii="宋体" w:hAnsi="宋体" w:cs="宋体"/>
          <w:bCs/>
          <w:color w:val="auto"/>
          <w:highlight w:val="none"/>
        </w:rPr>
      </w:pPr>
      <w:bookmarkStart w:id="27"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olor w:val="auto"/>
          <w:highlight w:val="none"/>
        </w:rPr>
        <w:t>服务</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eastAsia="宋体" w:cs="宋体"/>
          <w:sz w:val="24"/>
          <w:szCs w:val="24"/>
        </w:rPr>
        <w:t>实施方案</w:t>
      </w:r>
      <w:r>
        <w:rPr>
          <w:rFonts w:hint="eastAsia" w:ascii="宋体" w:hAnsi="宋体" w:cs="宋体"/>
          <w:color w:val="auto"/>
          <w:highlight w:val="none"/>
        </w:rPr>
        <w:t>；</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8"/>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124号文要求的除外)的供应商在规定时间内提交最后报价，最后报价是供应商响应文件的有效组成部分。</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20"/>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9"/>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7"/>
        <w:numPr>
          <w:ilvl w:val="0"/>
          <w:numId w:val="21"/>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7"/>
        <w:numPr>
          <w:ilvl w:val="0"/>
          <w:numId w:val="21"/>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7"/>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3"/>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27"/>
    <w:p>
      <w:pPr>
        <w:pStyle w:val="5"/>
        <w:ind w:left="80" w:leftChars="0" w:firstLine="482" w:firstLineChars="0"/>
        <w:rPr>
          <w:rFonts w:cs="宋体"/>
          <w:color w:val="auto"/>
          <w:szCs w:val="24"/>
          <w:highlight w:val="none"/>
        </w:rPr>
      </w:pPr>
      <w:bookmarkStart w:id="28" w:name="_Toc320698728"/>
      <w:r>
        <w:rPr>
          <w:rFonts w:hint="eastAsia" w:cs="宋体"/>
          <w:color w:val="auto"/>
          <w:szCs w:val="24"/>
          <w:highlight w:val="none"/>
        </w:rPr>
        <w:t>响应文件有效期</w:t>
      </w:r>
      <w:bookmarkEnd w:id="28"/>
      <w:r>
        <w:rPr>
          <w:rFonts w:hint="eastAsia" w:cs="宋体"/>
          <w:color w:val="auto"/>
          <w:szCs w:val="24"/>
          <w:highlight w:val="none"/>
        </w:rPr>
        <w:t>（实质性要求）</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拒绝延长磋商有效期的磋商供应商不得再参与该项目后续采购活动。同意延长磋商有效期的磋商供应商不能修改其响应文件。</w:t>
      </w:r>
    </w:p>
    <w:p>
      <w:pPr>
        <w:pStyle w:val="5"/>
        <w:ind w:left="80" w:leftChars="0" w:firstLine="482" w:firstLineChars="0"/>
        <w:rPr>
          <w:rFonts w:cs="宋体"/>
          <w:color w:val="auto"/>
          <w:szCs w:val="24"/>
          <w:highlight w:val="none"/>
        </w:rPr>
      </w:pPr>
      <w:bookmarkStart w:id="29" w:name="_Toc320698729"/>
      <w:r>
        <w:rPr>
          <w:rFonts w:hint="eastAsia" w:cs="宋体"/>
          <w:color w:val="auto"/>
          <w:szCs w:val="24"/>
          <w:highlight w:val="none"/>
        </w:rPr>
        <w:t>响应文件编制、签署</w:t>
      </w:r>
      <w:bookmarkEnd w:id="29"/>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30" w:name="_Toc320698730"/>
      <w:r>
        <w:rPr>
          <w:rFonts w:hint="eastAsia" w:cs="宋体"/>
          <w:color w:val="auto"/>
          <w:szCs w:val="24"/>
          <w:highlight w:val="none"/>
        </w:rPr>
        <w:t>响应文件的包装、密封和标注</w:t>
      </w:r>
      <w:bookmarkEnd w:id="30"/>
    </w:p>
    <w:p>
      <w:pPr>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名称、采购</w:t>
      </w:r>
      <w:r>
        <w:rPr>
          <w:rFonts w:hint="eastAsia" w:ascii="宋体" w:hAnsi="宋体" w:cs="宋体"/>
          <w:color w:val="auto"/>
          <w:highlight w:val="none"/>
        </w:rPr>
        <w:t>编号、项目名称、日期及包件号（如有分包）。</w:t>
      </w:r>
    </w:p>
    <w:p>
      <w:pPr>
        <w:pStyle w:val="2"/>
        <w:widowControl w:val="0"/>
        <w:numPr>
          <w:ilvl w:val="0"/>
          <w:numId w:val="25"/>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31" w:name="_Toc320698731"/>
      <w:r>
        <w:rPr>
          <w:rFonts w:hint="eastAsia" w:cs="宋体"/>
          <w:color w:val="auto"/>
          <w:szCs w:val="24"/>
          <w:highlight w:val="none"/>
        </w:rPr>
        <w:t>响应文件的递交</w:t>
      </w:r>
      <w:bookmarkEnd w:id="31"/>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32" w:name="_Toc446487098"/>
      <w:r>
        <w:rPr>
          <w:rFonts w:hint="eastAsia" w:cs="宋体"/>
          <w:color w:val="auto"/>
          <w:szCs w:val="24"/>
          <w:highlight w:val="none"/>
        </w:rPr>
        <w:t>响应文件的补充、修改和撤回</w:t>
      </w:r>
      <w:bookmarkEnd w:id="32"/>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33" w:name="_Toc7569"/>
      <w:bookmarkStart w:id="34" w:name="_Toc287623645"/>
      <w:r>
        <w:rPr>
          <w:rFonts w:hint="eastAsia"/>
          <w:color w:val="auto"/>
          <w:highlight w:val="none"/>
        </w:rPr>
        <w:t>竞争性磋商程序</w:t>
      </w:r>
      <w:bookmarkEnd w:id="33"/>
      <w:bookmarkEnd w:id="34"/>
    </w:p>
    <w:p>
      <w:pPr>
        <w:pStyle w:val="5"/>
        <w:ind w:left="80" w:leftChars="0" w:firstLine="482" w:firstLineChars="0"/>
        <w:rPr>
          <w:rFonts w:cs="宋体"/>
          <w:color w:val="auto"/>
          <w:szCs w:val="24"/>
          <w:highlight w:val="none"/>
        </w:rPr>
      </w:pPr>
      <w:bookmarkStart w:id="35" w:name="_Toc320698735"/>
      <w:r>
        <w:rPr>
          <w:rFonts w:hint="eastAsia" w:cs="宋体"/>
          <w:color w:val="auto"/>
          <w:szCs w:val="24"/>
          <w:highlight w:val="none"/>
        </w:rPr>
        <w:t>供应商报名</w:t>
      </w:r>
      <w:bookmarkEnd w:id="3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6" w:name="_Toc320698736"/>
      <w:r>
        <w:rPr>
          <w:rFonts w:hint="eastAsia" w:cs="宋体"/>
          <w:color w:val="auto"/>
          <w:szCs w:val="24"/>
          <w:highlight w:val="none"/>
        </w:rPr>
        <w:t>接收响应文件</w:t>
      </w:r>
      <w:bookmarkEnd w:id="3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37" w:name="_Toc287623646"/>
      <w:r>
        <w:rPr>
          <w:rFonts w:hint="eastAsia" w:cs="宋体"/>
          <w:color w:val="auto"/>
          <w:szCs w:val="24"/>
          <w:highlight w:val="none"/>
        </w:rPr>
        <w:t>开标</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8"/>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37"/>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8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ascii="宋体" w:hAnsi="宋体" w:cs="宋体"/>
                <w:bCs/>
                <w:color w:val="auto"/>
                <w:highlight w:val="none"/>
              </w:rPr>
            </w:pPr>
            <w:r>
              <w:rPr>
                <w:rFonts w:hint="eastAsia" w:ascii="宋体" w:hAnsi="宋体"/>
                <w:color w:val="auto"/>
                <w:highlight w:val="none"/>
              </w:rPr>
              <w:t>（一）资格要求</w:t>
            </w:r>
            <w:r>
              <w:rPr>
                <w:rFonts w:hint="eastAsia" w:ascii="宋体" w:hAnsi="宋体" w:cs="宋体"/>
                <w:color w:val="auto"/>
                <w:highlight w:val="none"/>
              </w:rPr>
              <w:t>　</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供应商缴纳2020年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法定代表人身份证明书原件（自然人参加</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的不须提供身份证明书）及身份证复印件或护照复印件【注：（1）法定代表人身份证明书符合</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rPr>
              <w:t>法定代表人授权书原件及身份证复印件【注：（1）代理人身份证复印件（身份证两面均应复印，在有效期内）；（2）如</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文件均由</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法定代表人签字的或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hint="default" w:ascii="宋体" w:hAnsi="宋体" w:eastAsia="宋体"/>
                <w:color w:val="auto"/>
                <w:highlight w:val="none"/>
                <w:lang w:val="en-US" w:eastAsia="zh-CN"/>
              </w:rPr>
            </w:pPr>
            <w:r>
              <w:rPr>
                <w:rFonts w:hint="eastAsia" w:ascii="宋体" w:hAnsi="宋体"/>
                <w:color w:val="auto"/>
                <w:highlight w:val="none"/>
                <w:lang w:val="en-US" w:eastAsia="zh-CN"/>
              </w:rPr>
              <w:t>12、本项目专门面向中小企业采购</w:t>
            </w:r>
          </w:p>
        </w:tc>
        <w:tc>
          <w:tcPr>
            <w:tcW w:w="4862" w:type="dxa"/>
            <w:vAlign w:val="center"/>
          </w:tcPr>
          <w:p>
            <w:pPr>
              <w:rPr>
                <w:rFonts w:hint="eastAsia" w:ascii="宋体" w:hAnsi="宋体"/>
                <w:color w:val="auto"/>
                <w:highlight w:val="none"/>
              </w:rPr>
            </w:pPr>
            <w:r>
              <w:rPr>
                <w:rFonts w:hint="eastAsia" w:ascii="宋体" w:hAnsi="宋体"/>
                <w:color w:val="auto"/>
                <w:highlight w:val="none"/>
                <w:lang w:val="en-US" w:eastAsia="zh-CN"/>
              </w:rPr>
              <w:t>提供中小企业声明函（注：</w:t>
            </w:r>
            <w:r>
              <w:rPr>
                <w:rFonts w:hint="eastAsia" w:ascii="宋体" w:hAnsi="宋体"/>
                <w:szCs w:val="24"/>
                <w:highlight w:val="none"/>
              </w:rPr>
              <w:t>供应商为监狱企业、残疾人福利性单位的视同小型、微型企业</w:t>
            </w:r>
            <w:r>
              <w:rPr>
                <w:rFonts w:hint="eastAsia" w:ascii="宋体" w:hAnsi="宋体"/>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rPr>
                <w:rFonts w:ascii="宋体" w:hAnsi="宋体" w:cs="宋体"/>
                <w:color w:val="auto"/>
                <w:highlight w:val="none"/>
              </w:rPr>
            </w:pPr>
            <w:r>
              <w:rPr>
                <w:rFonts w:hint="eastAsia" w:ascii="宋体" w:hAnsi="宋体" w:cs="宋体"/>
                <w:color w:val="auto"/>
                <w:highlight w:val="none"/>
              </w:rPr>
              <w:t>（二）资质要求</w:t>
            </w:r>
          </w:p>
        </w:tc>
        <w:tc>
          <w:tcPr>
            <w:tcW w:w="3915" w:type="dxa"/>
            <w:gridSpan w:val="2"/>
            <w:vAlign w:val="center"/>
          </w:tcPr>
          <w:p>
            <w:pPr>
              <w:keepNext w:val="0"/>
              <w:keepLines w:val="0"/>
              <w:pageBreakBefore w:val="0"/>
              <w:numPr>
                <w:ilvl w:val="0"/>
                <w:numId w:val="0"/>
              </w:numPr>
              <w:tabs>
                <w:tab w:val="left" w:pos="0"/>
              </w:tabs>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具有有效期内的《食品流通许可证》或《食品经营许可证》</w:t>
            </w:r>
          </w:p>
          <w:p>
            <w:pPr>
              <w:spacing w:line="240" w:lineRule="auto"/>
              <w:ind w:firstLine="0" w:firstLineChars="0"/>
              <w:rPr>
                <w:rFonts w:hint="default" w:ascii="宋体" w:hAnsi="宋体" w:eastAsia="宋体" w:cs="宋体"/>
                <w:color w:val="auto"/>
                <w:kern w:val="0"/>
                <w:sz w:val="24"/>
                <w:szCs w:val="24"/>
                <w:highlight w:val="none"/>
                <w:lang w:val="en-US" w:eastAsia="zh-CN"/>
              </w:rPr>
            </w:pP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证书复印件</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w:t>
      </w:r>
      <w:r>
        <w:rPr>
          <w:rFonts w:hint="eastAsia" w:ascii="宋体" w:hAnsi="宋体" w:cs="宋体"/>
          <w:color w:val="auto"/>
          <w:highlight w:val="none"/>
          <w:lang w:eastAsia="zh-CN"/>
        </w:rPr>
        <w:t>《中华人民共和国政府采购法》</w:t>
      </w:r>
      <w:r>
        <w:rPr>
          <w:rFonts w:hint="eastAsia" w:ascii="宋体" w:hAnsi="宋体" w:cs="宋体"/>
          <w:color w:val="auto"/>
          <w:highlight w:val="none"/>
        </w:rPr>
        <w:t>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8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29"/>
        </w:numPr>
        <w:tabs>
          <w:tab w:val="left" w:pos="426"/>
          <w:tab w:val="left" w:pos="567"/>
        </w:tabs>
        <w:outlineLvl w:val="2"/>
        <w:rPr>
          <w:b w:val="0"/>
          <w:color w:val="auto"/>
          <w:sz w:val="24"/>
          <w:szCs w:val="24"/>
          <w:highlight w:val="none"/>
        </w:rPr>
      </w:pPr>
      <w:bookmarkStart w:id="38" w:name="_Toc28211"/>
      <w:bookmarkStart w:id="39" w:name="_Toc7480"/>
      <w:bookmarkStart w:id="40" w:name="_Toc23472"/>
      <w:bookmarkStart w:id="41" w:name="_Toc20686"/>
      <w:bookmarkStart w:id="42" w:name="_Toc12948"/>
      <w:bookmarkStart w:id="43" w:name="_Toc19824"/>
      <w:bookmarkStart w:id="44" w:name="_Toc234"/>
      <w:bookmarkStart w:id="45" w:name="_Toc18863"/>
      <w:bookmarkStart w:id="46" w:name="_Toc9096"/>
      <w:bookmarkStart w:id="47" w:name="_Toc26653"/>
      <w:bookmarkStart w:id="48" w:name="_Toc5957"/>
      <w:bookmarkStart w:id="49" w:name="_Toc30871"/>
      <w:bookmarkStart w:id="50" w:name="_Toc25820"/>
      <w:bookmarkStart w:id="51" w:name="_Toc30664"/>
      <w:bookmarkStart w:id="52" w:name="_Toc8445"/>
      <w:bookmarkStart w:id="53" w:name="_Toc16430"/>
      <w:bookmarkStart w:id="54" w:name="_Toc28704"/>
      <w:bookmarkStart w:id="55" w:name="_Toc6686"/>
      <w:bookmarkStart w:id="56" w:name="_Toc43566521"/>
      <w:bookmarkStart w:id="57" w:name="_Toc13463"/>
      <w:bookmarkStart w:id="58" w:name="_Toc5653"/>
      <w:bookmarkStart w:id="59" w:name="_Toc24322"/>
      <w:bookmarkStart w:id="60" w:name="_Toc1823"/>
      <w:bookmarkStart w:id="61" w:name="_Toc12921"/>
      <w:bookmarkStart w:id="62" w:name="_Toc21637"/>
      <w:bookmarkStart w:id="63" w:name="_Toc177"/>
      <w:bookmarkStart w:id="64" w:name="_Toc28961"/>
      <w:bookmarkStart w:id="65" w:name="_Toc1186"/>
      <w:bookmarkStart w:id="66" w:name="_Toc18778"/>
      <w:bookmarkStart w:id="67" w:name="_Toc11240"/>
      <w:bookmarkStart w:id="68" w:name="_Toc24086"/>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5"/>
        <w:keepNext w:val="0"/>
        <w:keepLines w:val="0"/>
        <w:numPr>
          <w:ilvl w:val="0"/>
          <w:numId w:val="29"/>
        </w:numPr>
        <w:tabs>
          <w:tab w:val="left" w:pos="426"/>
          <w:tab w:val="left" w:pos="567"/>
        </w:tabs>
        <w:outlineLvl w:val="2"/>
        <w:rPr>
          <w:b w:val="0"/>
          <w:color w:val="auto"/>
          <w:sz w:val="24"/>
          <w:szCs w:val="24"/>
          <w:highlight w:val="none"/>
        </w:rPr>
      </w:pPr>
      <w:bookmarkStart w:id="69" w:name="_Toc16300"/>
      <w:bookmarkStart w:id="70" w:name="_Toc8363"/>
      <w:bookmarkStart w:id="71" w:name="_Toc7651"/>
      <w:bookmarkStart w:id="72" w:name="_Toc17010"/>
      <w:bookmarkStart w:id="73" w:name="_Toc20275"/>
      <w:bookmarkStart w:id="74" w:name="_Toc5725"/>
      <w:bookmarkStart w:id="75" w:name="_Toc14644"/>
      <w:bookmarkStart w:id="76" w:name="_Toc7100"/>
      <w:bookmarkStart w:id="77" w:name="_Toc29643"/>
      <w:bookmarkStart w:id="78" w:name="_Toc19239"/>
      <w:bookmarkStart w:id="79" w:name="_Toc13414"/>
      <w:bookmarkStart w:id="80" w:name="_Toc5759"/>
      <w:bookmarkStart w:id="81" w:name="_Toc26144"/>
      <w:bookmarkStart w:id="82" w:name="_Toc16346"/>
      <w:bookmarkStart w:id="83" w:name="_Toc12027"/>
      <w:bookmarkStart w:id="84" w:name="_Toc21274"/>
      <w:bookmarkStart w:id="85" w:name="_Toc19501"/>
      <w:bookmarkStart w:id="86" w:name="_Toc13670"/>
      <w:bookmarkStart w:id="87" w:name="_Toc3073"/>
      <w:bookmarkStart w:id="88" w:name="_Toc24798"/>
      <w:bookmarkStart w:id="89" w:name="_Toc16950"/>
      <w:bookmarkStart w:id="90" w:name="_Toc18309"/>
      <w:bookmarkStart w:id="91" w:name="_Toc28752"/>
      <w:bookmarkStart w:id="92" w:name="_Toc22424"/>
      <w:bookmarkStart w:id="93" w:name="_Toc14958"/>
      <w:bookmarkStart w:id="94" w:name="_Toc10664"/>
      <w:bookmarkStart w:id="95" w:name="_Toc28551"/>
      <w:bookmarkStart w:id="96" w:name="_Toc11203"/>
      <w:bookmarkStart w:id="97" w:name="_Toc43566522"/>
      <w:bookmarkStart w:id="98" w:name="_Toc1058"/>
      <w:bookmarkStart w:id="99" w:name="_Toc5547"/>
      <w:r>
        <w:rPr>
          <w:rFonts w:hint="eastAsia"/>
          <w:b w:val="0"/>
          <w:color w:val="auto"/>
          <w:sz w:val="24"/>
          <w:szCs w:val="24"/>
          <w:highlight w:val="none"/>
        </w:rPr>
        <w:t>每轮磋商开始前，磋商小组应根据磋商文件的规定，并结合各供应商的响应文件拟定磋商内容。</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5"/>
        <w:keepNext w:val="0"/>
        <w:keepLines w:val="0"/>
        <w:numPr>
          <w:ilvl w:val="0"/>
          <w:numId w:val="29"/>
        </w:numPr>
        <w:tabs>
          <w:tab w:val="left" w:pos="426"/>
          <w:tab w:val="left" w:pos="567"/>
        </w:tabs>
        <w:outlineLvl w:val="2"/>
        <w:rPr>
          <w:b w:val="0"/>
          <w:color w:val="auto"/>
          <w:sz w:val="24"/>
          <w:szCs w:val="24"/>
          <w:highlight w:val="none"/>
        </w:rPr>
      </w:pPr>
      <w:bookmarkStart w:id="100" w:name="_Toc12563"/>
      <w:bookmarkStart w:id="101" w:name="_Toc1260"/>
      <w:bookmarkStart w:id="102" w:name="_Toc1822"/>
      <w:bookmarkStart w:id="103" w:name="_Toc5655"/>
      <w:bookmarkStart w:id="104" w:name="_Toc31513"/>
      <w:bookmarkStart w:id="105" w:name="_Toc32131"/>
      <w:bookmarkStart w:id="106" w:name="_Toc1515"/>
      <w:bookmarkStart w:id="107" w:name="_Toc28031"/>
      <w:bookmarkStart w:id="108" w:name="_Toc15259"/>
      <w:bookmarkStart w:id="109" w:name="_Toc22981"/>
      <w:bookmarkStart w:id="110" w:name="_Toc30727"/>
      <w:bookmarkStart w:id="111" w:name="_Toc8711"/>
      <w:bookmarkStart w:id="112" w:name="_Toc3093"/>
      <w:bookmarkStart w:id="113" w:name="_Toc7955"/>
      <w:bookmarkStart w:id="114" w:name="_Toc17631"/>
      <w:bookmarkStart w:id="115" w:name="_Toc3129"/>
      <w:bookmarkStart w:id="116" w:name="_Toc2076"/>
      <w:bookmarkStart w:id="117" w:name="_Toc14318"/>
      <w:bookmarkStart w:id="118" w:name="_Toc9387"/>
      <w:bookmarkStart w:id="119" w:name="_Toc12103"/>
      <w:bookmarkStart w:id="120" w:name="_Toc18130"/>
      <w:bookmarkStart w:id="121" w:name="_Toc11261"/>
      <w:bookmarkStart w:id="122" w:name="_Toc12444"/>
      <w:bookmarkStart w:id="123" w:name="_Toc3854"/>
      <w:bookmarkStart w:id="124" w:name="_Toc14027"/>
      <w:bookmarkStart w:id="125" w:name="_Toc24429"/>
      <w:bookmarkStart w:id="126" w:name="_Toc43566523"/>
      <w:bookmarkStart w:id="127" w:name="_Toc26003"/>
      <w:bookmarkStart w:id="128" w:name="_Toc29139"/>
      <w:bookmarkStart w:id="129" w:name="_Toc7002"/>
      <w:bookmarkStart w:id="130" w:name="_Toc31379"/>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pStyle w:val="5"/>
        <w:keepNext w:val="0"/>
        <w:keepLines w:val="0"/>
        <w:numPr>
          <w:ilvl w:val="0"/>
          <w:numId w:val="29"/>
        </w:numPr>
        <w:tabs>
          <w:tab w:val="left" w:pos="426"/>
          <w:tab w:val="left" w:pos="567"/>
        </w:tabs>
        <w:outlineLvl w:val="2"/>
        <w:rPr>
          <w:b w:val="0"/>
          <w:color w:val="auto"/>
          <w:sz w:val="24"/>
          <w:szCs w:val="24"/>
          <w:highlight w:val="none"/>
        </w:rPr>
      </w:pPr>
      <w:bookmarkStart w:id="131" w:name="_Toc18133"/>
      <w:bookmarkStart w:id="132" w:name="_Toc20339"/>
      <w:bookmarkStart w:id="133" w:name="_Toc15891"/>
      <w:bookmarkStart w:id="134" w:name="_Toc15411"/>
      <w:bookmarkStart w:id="135" w:name="_Toc17886"/>
      <w:bookmarkStart w:id="136" w:name="_Toc43566524"/>
      <w:bookmarkStart w:id="137" w:name="_Toc24161"/>
      <w:bookmarkStart w:id="138" w:name="_Toc22086"/>
      <w:bookmarkStart w:id="139" w:name="_Toc5170"/>
      <w:bookmarkStart w:id="140" w:name="_Toc14624"/>
      <w:bookmarkStart w:id="141" w:name="_Toc30395"/>
      <w:bookmarkStart w:id="142" w:name="_Toc2802"/>
      <w:bookmarkStart w:id="143" w:name="_Toc15406"/>
      <w:bookmarkStart w:id="144" w:name="_Toc15692"/>
      <w:bookmarkStart w:id="145" w:name="_Toc30040"/>
      <w:bookmarkStart w:id="146" w:name="_Toc23592"/>
      <w:bookmarkStart w:id="147" w:name="_Toc5480"/>
      <w:bookmarkStart w:id="148" w:name="_Toc23382"/>
      <w:bookmarkStart w:id="149" w:name="_Toc19446"/>
      <w:bookmarkStart w:id="150" w:name="_Toc217"/>
      <w:bookmarkStart w:id="151" w:name="_Toc23230"/>
      <w:bookmarkStart w:id="152" w:name="_Toc20322"/>
      <w:bookmarkStart w:id="153" w:name="_Toc12380"/>
      <w:bookmarkStart w:id="154" w:name="_Toc1947"/>
      <w:bookmarkStart w:id="155" w:name="_Toc23880"/>
      <w:bookmarkStart w:id="156" w:name="_Toc9861"/>
      <w:bookmarkStart w:id="157" w:name="_Toc12026"/>
      <w:bookmarkStart w:id="158" w:name="_Toc26943"/>
      <w:bookmarkStart w:id="159" w:name="_Toc20981"/>
      <w:bookmarkStart w:id="160" w:name="_Toc20165"/>
      <w:bookmarkStart w:id="161" w:name="_Toc25538"/>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5"/>
        <w:keepNext w:val="0"/>
        <w:keepLines w:val="0"/>
        <w:numPr>
          <w:ilvl w:val="0"/>
          <w:numId w:val="29"/>
        </w:numPr>
        <w:tabs>
          <w:tab w:val="left" w:pos="426"/>
          <w:tab w:val="left" w:pos="567"/>
        </w:tabs>
        <w:outlineLvl w:val="2"/>
        <w:rPr>
          <w:b w:val="0"/>
          <w:color w:val="auto"/>
          <w:sz w:val="24"/>
          <w:szCs w:val="24"/>
          <w:highlight w:val="none"/>
        </w:rPr>
      </w:pPr>
      <w:bookmarkStart w:id="162" w:name="_Toc19631"/>
      <w:bookmarkStart w:id="163" w:name="_Toc5435"/>
      <w:bookmarkStart w:id="164" w:name="_Toc22337"/>
      <w:bookmarkStart w:id="165" w:name="_Toc18549"/>
      <w:bookmarkStart w:id="166" w:name="_Toc19144"/>
      <w:bookmarkStart w:id="167" w:name="_Toc18506"/>
      <w:bookmarkStart w:id="168" w:name="_Toc12219"/>
      <w:bookmarkStart w:id="169" w:name="_Toc2784"/>
      <w:bookmarkStart w:id="170" w:name="_Toc7430"/>
      <w:bookmarkStart w:id="171" w:name="_Toc20410"/>
      <w:bookmarkStart w:id="172" w:name="_Toc16727"/>
      <w:bookmarkStart w:id="173" w:name="_Toc15795"/>
      <w:bookmarkStart w:id="174" w:name="_Toc26817"/>
      <w:bookmarkStart w:id="175" w:name="_Toc7936"/>
      <w:bookmarkStart w:id="176" w:name="_Toc29632"/>
      <w:bookmarkStart w:id="177" w:name="_Toc31776"/>
      <w:bookmarkStart w:id="178" w:name="_Toc22606"/>
      <w:bookmarkStart w:id="179" w:name="_Toc25838"/>
      <w:bookmarkStart w:id="180" w:name="_Toc31030"/>
      <w:bookmarkStart w:id="181" w:name="_Toc6250"/>
      <w:bookmarkStart w:id="182" w:name="_Toc18974"/>
      <w:bookmarkStart w:id="183" w:name="_Toc23403"/>
      <w:bookmarkStart w:id="184" w:name="_Toc11224"/>
      <w:bookmarkStart w:id="185" w:name="_Toc7148"/>
      <w:bookmarkStart w:id="186" w:name="_Toc29518"/>
      <w:bookmarkStart w:id="187" w:name="_Toc7401"/>
      <w:bookmarkStart w:id="188" w:name="_Toc43566525"/>
      <w:bookmarkStart w:id="189" w:name="_Toc13764"/>
      <w:bookmarkStart w:id="190" w:name="_Toc17566"/>
      <w:bookmarkStart w:id="191" w:name="_Toc25226"/>
      <w:bookmarkStart w:id="192" w:name="_Toc15620"/>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5"/>
        <w:keepNext w:val="0"/>
        <w:keepLines w:val="0"/>
        <w:numPr>
          <w:ilvl w:val="0"/>
          <w:numId w:val="29"/>
        </w:numPr>
        <w:tabs>
          <w:tab w:val="left" w:pos="426"/>
          <w:tab w:val="left" w:pos="567"/>
        </w:tabs>
        <w:outlineLvl w:val="2"/>
        <w:rPr>
          <w:b w:val="0"/>
          <w:color w:val="auto"/>
          <w:sz w:val="24"/>
          <w:szCs w:val="24"/>
          <w:highlight w:val="none"/>
        </w:rPr>
      </w:pPr>
      <w:bookmarkStart w:id="193" w:name="_Toc7797"/>
      <w:bookmarkStart w:id="194" w:name="_Toc27402"/>
      <w:bookmarkStart w:id="195" w:name="_Toc4895"/>
      <w:bookmarkStart w:id="196" w:name="_Toc1180"/>
      <w:bookmarkStart w:id="197" w:name="_Toc4947"/>
      <w:bookmarkStart w:id="198" w:name="_Toc32216"/>
      <w:bookmarkStart w:id="199" w:name="_Toc9008"/>
      <w:bookmarkStart w:id="200" w:name="_Toc6692"/>
      <w:bookmarkStart w:id="201" w:name="_Toc14008"/>
      <w:bookmarkStart w:id="202" w:name="_Toc26127"/>
      <w:bookmarkStart w:id="203" w:name="_Toc12081"/>
      <w:bookmarkStart w:id="204" w:name="_Toc10100"/>
      <w:bookmarkStart w:id="205" w:name="_Toc22757"/>
      <w:bookmarkStart w:id="206" w:name="_Toc13223"/>
      <w:bookmarkStart w:id="207" w:name="_Toc685"/>
      <w:bookmarkStart w:id="208" w:name="_Toc11494"/>
      <w:bookmarkStart w:id="209" w:name="_Toc6346"/>
      <w:bookmarkStart w:id="210" w:name="_Toc14295"/>
      <w:bookmarkStart w:id="211" w:name="_Toc28606"/>
      <w:bookmarkStart w:id="212" w:name="_Toc43566526"/>
      <w:bookmarkStart w:id="213" w:name="_Toc15180"/>
      <w:bookmarkStart w:id="214" w:name="_Toc25847"/>
      <w:bookmarkStart w:id="215" w:name="_Toc4052"/>
      <w:bookmarkStart w:id="216" w:name="_Toc961"/>
      <w:bookmarkStart w:id="217" w:name="_Toc11758"/>
      <w:bookmarkStart w:id="218" w:name="_Toc18387"/>
      <w:bookmarkStart w:id="219" w:name="_Toc4343"/>
      <w:bookmarkStart w:id="220" w:name="_Toc3023"/>
      <w:bookmarkStart w:id="221" w:name="_Toc5575"/>
      <w:bookmarkStart w:id="222" w:name="_Toc7926"/>
      <w:bookmarkStart w:id="223" w:name="_Toc30181"/>
      <w:r>
        <w:rPr>
          <w:rFonts w:hint="eastAsia"/>
          <w:b w:val="0"/>
          <w:color w:val="auto"/>
          <w:sz w:val="24"/>
          <w:szCs w:val="24"/>
          <w:highlight w:val="none"/>
        </w:rPr>
        <w:t>磋商过程中，磋商的任何一方不得透露与磋商有关的其他供应商的技术资料、价格和其他信息。</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5"/>
        <w:keepNext w:val="0"/>
        <w:keepLines w:val="0"/>
        <w:numPr>
          <w:ilvl w:val="0"/>
          <w:numId w:val="29"/>
        </w:numPr>
        <w:tabs>
          <w:tab w:val="left" w:pos="426"/>
          <w:tab w:val="left" w:pos="567"/>
        </w:tabs>
        <w:outlineLvl w:val="2"/>
        <w:rPr>
          <w:b w:val="0"/>
          <w:color w:val="auto"/>
          <w:sz w:val="24"/>
          <w:szCs w:val="24"/>
          <w:highlight w:val="none"/>
        </w:rPr>
      </w:pPr>
      <w:bookmarkStart w:id="224" w:name="_Toc7697"/>
      <w:bookmarkStart w:id="225" w:name="_Toc8490"/>
      <w:bookmarkStart w:id="226" w:name="_Toc10212"/>
      <w:bookmarkStart w:id="227" w:name="_Toc9842"/>
      <w:bookmarkStart w:id="228" w:name="_Toc9431"/>
      <w:bookmarkStart w:id="229" w:name="_Toc15744"/>
      <w:bookmarkStart w:id="230" w:name="_Toc30367"/>
      <w:bookmarkStart w:id="231" w:name="_Toc3944"/>
      <w:bookmarkStart w:id="232" w:name="_Toc4331"/>
      <w:bookmarkStart w:id="233" w:name="_Toc31972"/>
      <w:bookmarkStart w:id="234" w:name="_Toc31442"/>
      <w:bookmarkStart w:id="235" w:name="_Toc30506"/>
      <w:bookmarkStart w:id="236" w:name="_Toc26261"/>
      <w:bookmarkStart w:id="237" w:name="_Toc4662"/>
      <w:bookmarkStart w:id="238" w:name="_Toc25172"/>
      <w:bookmarkStart w:id="239" w:name="_Toc43566527"/>
      <w:bookmarkStart w:id="240" w:name="_Toc5251"/>
      <w:bookmarkStart w:id="241" w:name="_Toc16194"/>
      <w:bookmarkStart w:id="242" w:name="_Toc30011"/>
      <w:bookmarkStart w:id="243" w:name="_Toc1340"/>
      <w:bookmarkStart w:id="244" w:name="_Toc6585"/>
      <w:bookmarkStart w:id="245" w:name="_Toc30938"/>
      <w:bookmarkStart w:id="246" w:name="_Toc19525"/>
      <w:bookmarkStart w:id="247" w:name="_Toc22105"/>
      <w:bookmarkStart w:id="248" w:name="_Toc9766"/>
      <w:bookmarkStart w:id="249" w:name="_Toc3164"/>
      <w:bookmarkStart w:id="250" w:name="_Toc18334"/>
      <w:bookmarkStart w:id="251" w:name="_Toc20680"/>
      <w:bookmarkStart w:id="252" w:name="_Toc23573"/>
      <w:bookmarkStart w:id="253" w:name="_Toc20292"/>
      <w:bookmarkStart w:id="254" w:name="_Toc4159"/>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numPr>
          <w:ilvl w:val="0"/>
          <w:numId w:val="29"/>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8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8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四、经磋商小组评审，最后报价符合竞争性磋商文件要求的供应商不足三家的(符合《财政部关于政府采购竞争性磋商采购方式管理暂行办法有关问题的补充通知》财库【2015】124号文要求的除外)。</w:t>
      </w:r>
    </w:p>
    <w:p>
      <w:pPr>
        <w:pStyle w:val="5"/>
        <w:ind w:left="8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30"/>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lang w:val="en-US" w:eastAsia="zh-CN"/>
        </w:rPr>
        <w:t>各包</w:t>
      </w:r>
      <w:r>
        <w:rPr>
          <w:rFonts w:hint="eastAsia" w:ascii="宋体" w:hAnsi="宋体" w:cs="宋体"/>
          <w:b/>
          <w:color w:val="auto"/>
          <w:highlight w:val="none"/>
        </w:rPr>
        <w:t>评分标准</w:t>
      </w:r>
      <w:bookmarkStart w:id="360" w:name="_GoBack"/>
      <w:bookmarkEnd w:id="360"/>
    </w:p>
    <w:tbl>
      <w:tblPr>
        <w:tblStyle w:val="44"/>
        <w:tblpPr w:leftFromText="180" w:rightFromText="180" w:vertAnchor="text" w:horzAnchor="page" w:tblpX="1057" w:tblpY="450"/>
        <w:tblOverlap w:val="never"/>
        <w:tblW w:w="9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1085"/>
        <w:gridCol w:w="7048"/>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共同评审</w:t>
            </w:r>
          </w:p>
        </w:tc>
        <w:tc>
          <w:tcPr>
            <w:tcW w:w="1085"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7048" w:type="dxa"/>
            <w:noWrap w:val="0"/>
            <w:tcMar>
              <w:top w:w="0" w:type="dxa"/>
              <w:left w:w="80" w:type="dxa"/>
              <w:bottom w:w="0" w:type="dxa"/>
              <w:right w:w="0" w:type="dxa"/>
            </w:tcMar>
            <w:vAlign w:val="top"/>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满足磋商文件要求且最后报价最低的供应商的价格为磋商基准价，其价格分为满分。其他供应商的价格分统一按照下列公式计算：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磋商报价得分=(磋商基准价／最后报价)×</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7" w:type="dxa"/>
            <w:vMerge w:val="restart"/>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kern w:val="0"/>
                <w:sz w:val="24"/>
                <w:szCs w:val="24"/>
                <w:highlight w:val="none"/>
              </w:rPr>
              <w:t>技术类评委</w:t>
            </w:r>
          </w:p>
        </w:tc>
        <w:tc>
          <w:tcPr>
            <w:tcW w:w="1085" w:type="dxa"/>
            <w:vMerge w:val="restart"/>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rPr>
              <w:t>根据供应商针对本项目制定的</w:t>
            </w:r>
            <w:r>
              <w:rPr>
                <w:rFonts w:hint="eastAsia" w:ascii="宋体" w:hAnsi="宋体" w:cs="宋体"/>
                <w:sz w:val="24"/>
                <w:szCs w:val="24"/>
                <w:lang w:val="en-US" w:eastAsia="zh-CN"/>
              </w:rPr>
              <w:t>整体</w:t>
            </w:r>
            <w:r>
              <w:rPr>
                <w:rFonts w:hint="eastAsia" w:ascii="宋体" w:hAnsi="宋体" w:cs="宋体"/>
                <w:sz w:val="24"/>
                <w:szCs w:val="24"/>
              </w:rPr>
              <w:t>方案进行评价：1.组织机构及人员培训计划、人员管理2.日常管理及管理制度；3.内部控制管理；4.与采购人的沟通机制；上述方案完整、内容描述详细、完全符合采购项目采购需求的得12分；每有一项缺失的扣3分，不能完全满足本项目采购需求的或只有简单描述却没有实质性内容的每项扣1</w:t>
            </w:r>
            <w:r>
              <w:rPr>
                <w:rFonts w:ascii="宋体" w:hAnsi="宋体" w:cs="宋体"/>
                <w:sz w:val="24"/>
                <w:szCs w:val="24"/>
              </w:rPr>
              <w:t>.5</w:t>
            </w:r>
            <w:r>
              <w:rPr>
                <w:rFonts w:hint="eastAsia" w:ascii="宋体" w:hAnsi="宋体" w:cs="宋体"/>
                <w:sz w:val="24"/>
                <w:szCs w:val="24"/>
              </w:rPr>
              <w:t>分，扣完为止。</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after="0"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cs="宋体"/>
                <w:color w:val="000000"/>
                <w:kern w:val="0"/>
                <w:sz w:val="24"/>
                <w:szCs w:val="24"/>
              </w:rPr>
              <w:t>根据供应商针对本项目制定的</w:t>
            </w:r>
            <w:r>
              <w:rPr>
                <w:rFonts w:hint="eastAsia" w:ascii="宋体" w:hAnsi="宋体" w:cs="宋体"/>
                <w:sz w:val="24"/>
                <w:szCs w:val="24"/>
              </w:rPr>
              <w:t>配送方案</w:t>
            </w:r>
            <w:r>
              <w:rPr>
                <w:rFonts w:hint="eastAsia" w:ascii="宋体" w:hAnsi="宋体" w:cs="宋体"/>
                <w:color w:val="000000"/>
                <w:kern w:val="0"/>
                <w:sz w:val="24"/>
                <w:szCs w:val="24"/>
              </w:rPr>
              <w:t>进行评价：1.产品的采购流程；</w:t>
            </w:r>
            <w:r>
              <w:rPr>
                <w:rFonts w:hint="eastAsia" w:ascii="宋体" w:hAnsi="宋体" w:cs="宋体"/>
                <w:sz w:val="24"/>
                <w:szCs w:val="24"/>
              </w:rPr>
              <w:t>2.食品检验检测方案；3.</w:t>
            </w:r>
            <w:r>
              <w:rPr>
                <w:rFonts w:hint="eastAsia" w:ascii="宋体" w:hAnsi="宋体" w:cs="宋体"/>
                <w:color w:val="000000"/>
                <w:kern w:val="0"/>
                <w:sz w:val="24"/>
                <w:szCs w:val="24"/>
              </w:rPr>
              <w:t>出入库管理规范</w:t>
            </w:r>
            <w:r>
              <w:rPr>
                <w:rFonts w:hint="eastAsia" w:ascii="宋体" w:hAnsi="宋体" w:cs="宋体"/>
                <w:sz w:val="24"/>
                <w:szCs w:val="24"/>
              </w:rPr>
              <w:t>4.</w:t>
            </w:r>
            <w:r>
              <w:rPr>
                <w:rFonts w:hint="eastAsia" w:ascii="宋体" w:hAnsi="宋体" w:cs="宋体"/>
                <w:color w:val="000000"/>
                <w:kern w:val="0"/>
                <w:sz w:val="24"/>
                <w:szCs w:val="24"/>
              </w:rPr>
              <w:t>配送流程；</w:t>
            </w:r>
            <w:r>
              <w:rPr>
                <w:rFonts w:hint="eastAsia" w:ascii="宋体" w:hAnsi="宋体" w:cs="宋体"/>
                <w:sz w:val="24"/>
                <w:szCs w:val="24"/>
              </w:rPr>
              <w:t>5.</w:t>
            </w:r>
            <w:r>
              <w:rPr>
                <w:rFonts w:hint="eastAsia" w:ascii="宋体" w:hAnsi="宋体" w:cs="宋体"/>
                <w:color w:val="000000"/>
                <w:kern w:val="0"/>
                <w:sz w:val="24"/>
                <w:szCs w:val="24"/>
              </w:rPr>
              <w:t>配送人员分工；</w:t>
            </w:r>
            <w:r>
              <w:rPr>
                <w:rFonts w:hint="eastAsia" w:ascii="宋体" w:hAnsi="宋体" w:cs="宋体"/>
                <w:sz w:val="24"/>
                <w:szCs w:val="24"/>
              </w:rPr>
              <w:t>6.配送时间安排</w:t>
            </w:r>
            <w:r>
              <w:rPr>
                <w:rFonts w:hint="eastAsia" w:ascii="宋体" w:hAnsi="宋体" w:cs="宋体"/>
                <w:color w:val="000000"/>
                <w:kern w:val="0"/>
                <w:sz w:val="24"/>
                <w:szCs w:val="24"/>
              </w:rPr>
              <w:t>；上述方案完整、内容描述详细、完全符合采购项目采购需求的得</w:t>
            </w:r>
            <w:r>
              <w:rPr>
                <w:rFonts w:hint="eastAsia" w:ascii="宋体" w:hAnsi="宋体" w:cs="宋体"/>
                <w:color w:val="000000"/>
                <w:kern w:val="0"/>
                <w:sz w:val="24"/>
                <w:szCs w:val="24"/>
                <w:lang w:val="en-US" w:eastAsia="zh-CN"/>
              </w:rPr>
              <w:t>24</w:t>
            </w:r>
            <w:r>
              <w:rPr>
                <w:rFonts w:hint="eastAsia" w:ascii="宋体" w:hAnsi="宋体" w:cs="宋体"/>
                <w:color w:val="000000"/>
                <w:kern w:val="0"/>
                <w:sz w:val="24"/>
                <w:szCs w:val="24"/>
              </w:rPr>
              <w:t>分。每有一项缺失的扣</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分，不能完全满足本项目采购需求的或有缺陷的每项扣</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r>
              <w:rPr>
                <w:rFonts w:hint="eastAsia" w:ascii="宋体" w:hAnsi="宋体" w:cs="宋体"/>
                <w:sz w:val="24"/>
                <w:szCs w:val="24"/>
              </w:rPr>
              <w:t>扣完为止</w:t>
            </w:r>
            <w:r>
              <w:rPr>
                <w:rFonts w:hint="eastAsia" w:ascii="宋体" w:hAnsi="宋体" w:cs="宋体"/>
                <w:color w:val="000000"/>
                <w:kern w:val="0"/>
                <w:sz w:val="24"/>
                <w:szCs w:val="24"/>
              </w:rPr>
              <w:t>。</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after="0" w:line="360" w:lineRule="auto"/>
              <w:jc w:val="left"/>
              <w:textAlignment w:val="auto"/>
              <w:rPr>
                <w:rFonts w:hint="eastAsia" w:ascii="宋体" w:hAnsi="宋体" w:eastAsia="宋体" w:cs="宋体"/>
                <w:kern w:val="2"/>
                <w:sz w:val="24"/>
                <w:szCs w:val="24"/>
                <w:lang w:eastAsia="zh-CN"/>
              </w:rPr>
            </w:pPr>
            <w:r>
              <w:rPr>
                <w:rFonts w:hint="eastAsia" w:ascii="宋体" w:hAnsi="宋体" w:cs="宋体"/>
                <w:color w:val="000000"/>
                <w:kern w:val="0"/>
                <w:sz w:val="24"/>
                <w:szCs w:val="24"/>
              </w:rPr>
              <w:t>根据供应商针对本项目制定的</w:t>
            </w:r>
            <w:r>
              <w:rPr>
                <w:rFonts w:hint="eastAsia" w:ascii="宋体" w:hAnsi="宋体" w:cs="宋体"/>
                <w:sz w:val="24"/>
                <w:szCs w:val="24"/>
              </w:rPr>
              <w:t>应急措施</w:t>
            </w:r>
            <w:r>
              <w:rPr>
                <w:rFonts w:hint="eastAsia" w:ascii="宋体" w:hAnsi="宋体" w:cs="宋体"/>
                <w:color w:val="000000"/>
                <w:kern w:val="0"/>
                <w:sz w:val="24"/>
                <w:szCs w:val="24"/>
              </w:rPr>
              <w:t>进行评价：</w:t>
            </w:r>
            <w:r>
              <w:rPr>
                <w:rFonts w:hint="eastAsia" w:ascii="宋体" w:hAnsi="宋体" w:cs="宋体"/>
                <w:sz w:val="24"/>
                <w:szCs w:val="24"/>
              </w:rPr>
              <w:t>1.运输途中突发状况的描述、处理应急预案；2.食品安全事故的应急预案3.临时配送的应急预案4.投诉处理应急预案</w:t>
            </w:r>
            <w:r>
              <w:rPr>
                <w:rFonts w:hint="eastAsia" w:ascii="宋体" w:hAnsi="宋体" w:cs="宋体"/>
                <w:color w:val="000000"/>
                <w:kern w:val="0"/>
                <w:sz w:val="24"/>
                <w:szCs w:val="24"/>
              </w:rPr>
              <w:t>上述方案完整、内容描述详细、完全符合采购项目采购需求的得16分。每有一项缺失的扣4分，不能完全满足本项目采购需求的或有缺陷的每项扣</w:t>
            </w:r>
            <w:r>
              <w:rPr>
                <w:rFonts w:ascii="宋体" w:hAnsi="宋体" w:cs="宋体"/>
                <w:color w:val="000000"/>
                <w:kern w:val="0"/>
                <w:sz w:val="24"/>
                <w:szCs w:val="24"/>
              </w:rPr>
              <w:t>2</w:t>
            </w:r>
            <w:r>
              <w:rPr>
                <w:rFonts w:hint="eastAsia" w:ascii="宋体" w:hAnsi="宋体" w:cs="宋体"/>
                <w:color w:val="000000"/>
                <w:kern w:val="0"/>
                <w:sz w:val="24"/>
                <w:szCs w:val="24"/>
              </w:rPr>
              <w:t>分，</w:t>
            </w:r>
            <w:r>
              <w:rPr>
                <w:rFonts w:hint="eastAsia" w:ascii="宋体" w:hAnsi="宋体" w:cs="宋体"/>
                <w:sz w:val="24"/>
                <w:szCs w:val="24"/>
              </w:rPr>
              <w:t>扣完为止</w:t>
            </w:r>
            <w:r>
              <w:rPr>
                <w:rFonts w:hint="eastAsia" w:ascii="宋体" w:hAnsi="宋体" w:cs="宋体"/>
                <w:color w:val="000000"/>
                <w:kern w:val="0"/>
                <w:sz w:val="24"/>
                <w:szCs w:val="24"/>
              </w:rPr>
              <w:t>。</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07" w:type="dxa"/>
            <w:vMerge w:val="continue"/>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rPr>
            </w:pPr>
          </w:p>
        </w:tc>
        <w:tc>
          <w:tcPr>
            <w:tcW w:w="1085" w:type="dxa"/>
            <w:vMerge w:val="continue"/>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after="0" w:line="360"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根据供应商针对本项目制定的</w:t>
            </w:r>
            <w:r>
              <w:rPr>
                <w:rFonts w:hint="eastAsia" w:ascii="宋体" w:hAnsi="宋体" w:cs="宋体"/>
                <w:sz w:val="24"/>
                <w:szCs w:val="24"/>
              </w:rPr>
              <w:t>售后服务方案</w:t>
            </w:r>
            <w:r>
              <w:rPr>
                <w:rFonts w:hint="eastAsia" w:ascii="宋体" w:hAnsi="宋体" w:cs="宋体"/>
                <w:color w:val="000000"/>
                <w:kern w:val="0"/>
                <w:sz w:val="24"/>
                <w:szCs w:val="24"/>
              </w:rPr>
              <w:t>进行评价：</w:t>
            </w:r>
            <w:r>
              <w:rPr>
                <w:rFonts w:hint="eastAsia" w:ascii="宋体" w:hAnsi="宋体" w:cs="宋体"/>
                <w:sz w:val="24"/>
                <w:szCs w:val="24"/>
              </w:rPr>
              <w:t>1.售后服务机构设置；2.响应时间；3.售后服务电话；4.售后服务范围；5.食品退换货方案；</w:t>
            </w:r>
            <w:r>
              <w:rPr>
                <w:rFonts w:hint="eastAsia" w:ascii="宋体" w:hAnsi="宋体" w:cs="宋体"/>
                <w:color w:val="000000"/>
                <w:kern w:val="0"/>
                <w:sz w:val="24"/>
                <w:szCs w:val="24"/>
              </w:rPr>
              <w:t>上述方案完整、内容描述详细、完全符合采购项目采购需求的得1</w:t>
            </w:r>
            <w:r>
              <w:rPr>
                <w:rFonts w:ascii="宋体" w:hAnsi="宋体" w:cs="宋体"/>
                <w:color w:val="000000"/>
                <w:kern w:val="0"/>
                <w:sz w:val="24"/>
                <w:szCs w:val="24"/>
              </w:rPr>
              <w:t>0</w:t>
            </w:r>
            <w:r>
              <w:rPr>
                <w:rFonts w:hint="eastAsia" w:ascii="宋体" w:hAnsi="宋体" w:cs="宋体"/>
                <w:color w:val="000000"/>
                <w:kern w:val="0"/>
                <w:sz w:val="24"/>
                <w:szCs w:val="24"/>
              </w:rPr>
              <w:t>分。每有一项缺失的扣</w:t>
            </w:r>
            <w:r>
              <w:rPr>
                <w:rFonts w:ascii="宋体" w:hAnsi="宋体" w:cs="宋体"/>
                <w:color w:val="000000"/>
                <w:kern w:val="0"/>
                <w:sz w:val="24"/>
                <w:szCs w:val="24"/>
              </w:rPr>
              <w:t>2</w:t>
            </w:r>
            <w:r>
              <w:rPr>
                <w:rFonts w:hint="eastAsia" w:ascii="宋体" w:hAnsi="宋体" w:cs="宋体"/>
                <w:color w:val="000000"/>
                <w:kern w:val="0"/>
                <w:sz w:val="24"/>
                <w:szCs w:val="24"/>
              </w:rPr>
              <w:t>分，不能完全满足本项目采购需求的或有缺陷的每项扣1分，</w:t>
            </w:r>
            <w:r>
              <w:rPr>
                <w:rFonts w:hint="eastAsia" w:ascii="宋体" w:hAnsi="宋体" w:cs="宋体"/>
                <w:sz w:val="24"/>
                <w:szCs w:val="24"/>
              </w:rPr>
              <w:t>扣完为止</w:t>
            </w:r>
            <w:r>
              <w:rPr>
                <w:rFonts w:hint="eastAsia" w:ascii="宋体" w:hAnsi="宋体" w:cs="宋体"/>
                <w:color w:val="000000"/>
                <w:kern w:val="0"/>
                <w:sz w:val="24"/>
                <w:szCs w:val="24"/>
              </w:rPr>
              <w:t>。</w:t>
            </w:r>
          </w:p>
        </w:tc>
        <w:tc>
          <w:tcPr>
            <w:tcW w:w="720"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val="0"/>
              <w:autoSpaceDN w:val="0"/>
              <w:bidi w:val="0"/>
              <w:adjustRightInd w:val="0"/>
              <w:snapToGrid/>
              <w:spacing w:line="360" w:lineRule="auto"/>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7" w:type="dxa"/>
            <w:vMerge w:val="restart"/>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共同评审</w:t>
            </w:r>
          </w:p>
        </w:tc>
        <w:tc>
          <w:tcPr>
            <w:tcW w:w="1085" w:type="dxa"/>
            <w:noWrap w:val="0"/>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综合实力</w:t>
            </w:r>
          </w:p>
        </w:tc>
        <w:tc>
          <w:tcPr>
            <w:tcW w:w="7048" w:type="dxa"/>
            <w:noWrap w:val="0"/>
            <w:tcMar>
              <w:top w:w="0" w:type="dxa"/>
              <w:left w:w="80" w:type="dxa"/>
              <w:bottom w:w="0" w:type="dxa"/>
              <w:right w:w="0" w:type="dxa"/>
            </w:tcMar>
            <w:vAlign w:val="center"/>
          </w:tcPr>
          <w:p>
            <w:pPr>
              <w:widowControl/>
              <w:numPr>
                <w:ilvl w:val="0"/>
                <w:numId w:val="31"/>
              </w:numPr>
              <w:spacing w:line="360" w:lineRule="auto"/>
              <w:jc w:val="left"/>
              <w:rPr>
                <w:rFonts w:hint="eastAsia" w:ascii="宋体" w:hAnsi="宋体" w:cs="宋体"/>
                <w:sz w:val="24"/>
                <w:szCs w:val="24"/>
              </w:rPr>
            </w:pPr>
            <w:r>
              <w:rPr>
                <w:rFonts w:hint="eastAsia" w:ascii="宋体" w:hAnsi="宋体" w:cs="宋体"/>
                <w:sz w:val="24"/>
                <w:szCs w:val="24"/>
              </w:rPr>
              <w:t>供应商具有蔬菜生产/加工基地或有合作的蔬菜生产/加工基地的，得</w:t>
            </w:r>
            <w:r>
              <w:rPr>
                <w:rFonts w:hint="eastAsia" w:ascii="宋体" w:hAnsi="宋体" w:cs="宋体"/>
                <w:sz w:val="24"/>
                <w:szCs w:val="24"/>
                <w:lang w:val="en-US" w:eastAsia="zh-CN"/>
              </w:rPr>
              <w:t>6</w:t>
            </w:r>
            <w:r>
              <w:rPr>
                <w:rFonts w:hint="eastAsia" w:ascii="宋体" w:hAnsi="宋体" w:cs="宋体"/>
                <w:sz w:val="24"/>
                <w:szCs w:val="24"/>
              </w:rPr>
              <w:t>分。（自有的提供产权证明材料复印件，合作的提供合作方介绍材料以及供应商与合作方合作的证明材料复印件。）</w:t>
            </w:r>
          </w:p>
          <w:p>
            <w:pPr>
              <w:keepNext w:val="0"/>
              <w:keepLines w:val="0"/>
              <w:pageBreakBefore w:val="0"/>
              <w:widowControl/>
              <w:numPr>
                <w:ilvl w:val="0"/>
                <w:numId w:val="0"/>
              </w:numPr>
              <w:kinsoku/>
              <w:wordWrap/>
              <w:overflowPunct/>
              <w:topLinePunct w:val="0"/>
              <w:bidi w:val="0"/>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rPr>
              <w:t>2、供应商具有猪肉生产加工基地或有合作的猪肉生产/加工基地的，得</w:t>
            </w:r>
            <w:r>
              <w:rPr>
                <w:rFonts w:hint="eastAsia" w:ascii="宋体" w:hAnsi="宋体" w:cs="宋体"/>
                <w:sz w:val="24"/>
                <w:szCs w:val="24"/>
                <w:lang w:val="en-US" w:eastAsia="zh-CN"/>
              </w:rPr>
              <w:t>6</w:t>
            </w:r>
            <w:r>
              <w:rPr>
                <w:rFonts w:hint="eastAsia" w:ascii="宋体" w:hAnsi="宋体" w:cs="宋体"/>
                <w:sz w:val="24"/>
                <w:szCs w:val="24"/>
              </w:rPr>
              <w:t>分。（自有的提供产权证明材料复印件，合作的提供合作方介绍材料以及供应商与合作方合作的证明材料复印件。）</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107" w:type="dxa"/>
            <w:vMerge w:val="continue"/>
            <w:noWrap w:val="0"/>
            <w:vAlign w:val="top"/>
          </w:tcPr>
          <w:p>
            <w:pPr>
              <w:keepNext w:val="0"/>
              <w:keepLines w:val="0"/>
              <w:pageBreakBefore w:val="0"/>
              <w:widowControl/>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kern w:val="0"/>
                <w:sz w:val="24"/>
                <w:szCs w:val="24"/>
                <w:highlight w:val="none"/>
                <w:lang w:val="en-US" w:eastAsia="zh-CN"/>
              </w:rPr>
            </w:pPr>
          </w:p>
        </w:tc>
        <w:tc>
          <w:tcPr>
            <w:tcW w:w="1085" w:type="dxa"/>
            <w:noWrap w:val="0"/>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履约能力</w:t>
            </w:r>
          </w:p>
        </w:tc>
        <w:tc>
          <w:tcPr>
            <w:tcW w:w="7048" w:type="dxa"/>
            <w:noWrap w:val="0"/>
            <w:tcMar>
              <w:top w:w="0" w:type="dxa"/>
              <w:left w:w="80" w:type="dxa"/>
              <w:bottom w:w="0" w:type="dxa"/>
              <w:right w:w="0" w:type="dxa"/>
            </w:tcMar>
            <w:vAlign w:val="center"/>
          </w:tcPr>
          <w:p>
            <w:pPr>
              <w:keepNext w:val="0"/>
              <w:keepLines w:val="0"/>
              <w:pageBreakBefore w:val="0"/>
              <w:widowControl/>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rPr>
              <w:t>供应商2017年1月1日至今每具有一个类似项目业绩的得</w:t>
            </w:r>
            <w:r>
              <w:rPr>
                <w:rFonts w:hint="eastAsia" w:ascii="宋体" w:hAnsi="宋体" w:cs="宋体"/>
                <w:sz w:val="24"/>
                <w:szCs w:val="24"/>
                <w:lang w:val="en-US" w:eastAsia="zh-CN"/>
              </w:rPr>
              <w:t>4</w:t>
            </w:r>
            <w:r>
              <w:rPr>
                <w:rFonts w:hint="eastAsia" w:ascii="宋体" w:hAnsi="宋体" w:cs="宋体"/>
                <w:sz w:val="24"/>
                <w:szCs w:val="24"/>
              </w:rPr>
              <w:t>分，最多得</w:t>
            </w:r>
            <w:r>
              <w:rPr>
                <w:rFonts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分，未提供不得分。</w:t>
            </w:r>
            <w:r>
              <w:rPr>
                <w:rFonts w:hint="eastAsia" w:ascii="宋体" w:hAnsi="宋体" w:eastAsia="宋体" w:cs="宋体"/>
                <w:sz w:val="24"/>
                <w:szCs w:val="24"/>
              </w:rPr>
              <w:t>（</w:t>
            </w:r>
            <w:r>
              <w:rPr>
                <w:rFonts w:hint="eastAsia" w:ascii="宋体" w:hAnsi="宋体" w:cs="宋体"/>
                <w:sz w:val="24"/>
                <w:szCs w:val="24"/>
                <w:lang w:val="en-US" w:eastAsia="zh-CN"/>
              </w:rPr>
              <w:t>说明：</w:t>
            </w:r>
            <w:r>
              <w:rPr>
                <w:rFonts w:hint="eastAsia" w:ascii="宋体" w:hAnsi="宋体" w:cs="宋体"/>
                <w:kern w:val="0"/>
                <w:sz w:val="24"/>
                <w:szCs w:val="24"/>
              </w:rPr>
              <w:t>提供合同或中标（成交）通知书复印件加盖公章</w:t>
            </w:r>
            <w:r>
              <w:rPr>
                <w:rFonts w:hint="eastAsia" w:ascii="宋体" w:hAnsi="宋体" w:eastAsia="宋体" w:cs="宋体"/>
                <w:sz w:val="24"/>
                <w:szCs w:val="24"/>
              </w:rPr>
              <w:t>）</w:t>
            </w:r>
          </w:p>
        </w:tc>
        <w:tc>
          <w:tcPr>
            <w:tcW w:w="720" w:type="dxa"/>
            <w:noWrap w:val="0"/>
            <w:vAlign w:val="center"/>
          </w:tcPr>
          <w:p>
            <w:pPr>
              <w:keepNext w:val="0"/>
              <w:keepLines w:val="0"/>
              <w:pageBreakBefore w:val="0"/>
              <w:widowControl/>
              <w:kinsoku/>
              <w:wordWrap/>
              <w:overflowPunct/>
              <w:topLinePunct w:val="0"/>
              <w:bidi w:val="0"/>
              <w:snapToGrid/>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en-US" w:eastAsia="zh-CN"/>
              </w:rPr>
              <w:t>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8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lang w:val="en-US" w:eastAsia="zh-CN"/>
        </w:rPr>
        <w:t>磋商小组应当根据综合评分情况，按照评审得分由高到低顺序各包推荐3名以上成交候选供应商(符合《财政部关于政府采购竞争性磋商采购方式管理暂行办法有关问题的补充通知》财库</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201</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w:t>
      </w:r>
      <w:r>
        <w:rPr>
          <w:rFonts w:hint="eastAsia" w:ascii="宋体" w:hAnsi="宋体" w:cs="宋体"/>
          <w:color w:val="auto"/>
          <w:highlight w:val="none"/>
        </w:rPr>
        <w:t>124</w:t>
      </w:r>
      <w:r>
        <w:rPr>
          <w:rFonts w:hint="eastAsia"/>
          <w:lang w:val="en-US" w:eastAsia="zh-CN"/>
        </w:rPr>
        <w:t>号文要求的除外)，并编写评审报告。评审得分相同的，按照最后报价由低到高的顺序推荐。</w:t>
      </w:r>
      <w:r>
        <w:rPr>
          <w:rFonts w:hint="eastAsia"/>
          <w:highlight w:val="none"/>
          <w:lang w:val="en-US" w:eastAsia="zh-CN"/>
        </w:rPr>
        <w:t>为扶持不发达地区和少数民族地区，得分且报价相同的，评审委员会优先推荐企业注册地在不发达地区和少数民族地区的供应商。</w:t>
      </w:r>
    </w:p>
    <w:p>
      <w:pPr>
        <w:pStyle w:val="4"/>
        <w:rPr>
          <w:color w:val="auto"/>
          <w:highlight w:val="none"/>
        </w:rPr>
      </w:pPr>
      <w:bookmarkStart w:id="255" w:name="_Toc25469"/>
      <w:bookmarkStart w:id="256" w:name="_Toc287623648"/>
      <w:r>
        <w:rPr>
          <w:rFonts w:hint="eastAsia"/>
          <w:color w:val="auto"/>
          <w:highlight w:val="none"/>
        </w:rPr>
        <w:t>确定成交供应商</w:t>
      </w:r>
      <w:bookmarkEnd w:id="255"/>
      <w:bookmarkEnd w:id="256"/>
    </w:p>
    <w:p>
      <w:pPr>
        <w:pStyle w:val="5"/>
        <w:ind w:left="8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w:t>
      </w:r>
      <w:r>
        <w:rPr>
          <w:rFonts w:hint="eastAsia" w:ascii="宋体" w:hAnsi="宋体" w:cs="宋体"/>
          <w:color w:val="auto"/>
          <w:highlight w:val="none"/>
          <w:lang w:val="en-US" w:eastAsia="zh-CN"/>
        </w:rPr>
        <w:t>各包</w:t>
      </w:r>
      <w:r>
        <w:rPr>
          <w:rFonts w:hint="eastAsia" w:ascii="宋体" w:hAnsi="宋体" w:cs="宋体"/>
          <w:color w:val="auto"/>
          <w:highlight w:val="none"/>
        </w:rPr>
        <w:t>按顺序确定成交供应商。</w:t>
      </w:r>
    </w:p>
    <w:p>
      <w:pPr>
        <w:pStyle w:val="5"/>
        <w:ind w:left="8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2"/>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2"/>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57" w:name="_Toc287623649"/>
      <w:r>
        <w:rPr>
          <w:rFonts w:hint="eastAsia" w:ascii="宋体" w:hAnsi="宋体" w:cs="宋体"/>
          <w:color w:val="auto"/>
          <w:highlight w:val="none"/>
        </w:rPr>
        <w:t>成交候选供应商存在违法、违纪行为的；</w:t>
      </w:r>
    </w:p>
    <w:p>
      <w:pPr>
        <w:numPr>
          <w:ilvl w:val="1"/>
          <w:numId w:val="33"/>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58" w:name="_Toc11267"/>
      <w:r>
        <w:rPr>
          <w:rFonts w:hint="eastAsia"/>
          <w:color w:val="auto"/>
          <w:highlight w:val="none"/>
        </w:rPr>
        <w:t>成交</w:t>
      </w:r>
      <w:bookmarkEnd w:id="257"/>
      <w:r>
        <w:rPr>
          <w:rFonts w:hint="eastAsia"/>
          <w:color w:val="auto"/>
          <w:highlight w:val="none"/>
        </w:rPr>
        <w:t>结果</w:t>
      </w:r>
      <w:bookmarkEnd w:id="258"/>
    </w:p>
    <w:p>
      <w:pPr>
        <w:widowControl w:val="0"/>
        <w:numPr>
          <w:ilvl w:val="0"/>
          <w:numId w:val="34"/>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59" w:name="_Toc405886181"/>
      <w:bookmarkStart w:id="260" w:name="_Toc15814"/>
      <w:r>
        <w:rPr>
          <w:rFonts w:hint="eastAsia"/>
          <w:color w:val="auto"/>
          <w:highlight w:val="none"/>
        </w:rPr>
        <w:t>询问、质疑</w:t>
      </w:r>
      <w:bookmarkEnd w:id="259"/>
      <w:r>
        <w:rPr>
          <w:rFonts w:hint="eastAsia"/>
          <w:color w:val="auto"/>
          <w:highlight w:val="none"/>
        </w:rPr>
        <w:t>和投诉</w:t>
      </w:r>
      <w:bookmarkEnd w:id="260"/>
    </w:p>
    <w:p>
      <w:pPr>
        <w:pStyle w:val="27"/>
        <w:numPr>
          <w:ilvl w:val="0"/>
          <w:numId w:val="35"/>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20</w:t>
      </w:r>
      <w:r>
        <w:rPr>
          <w:rFonts w:hint="eastAsia" w:ascii="宋体" w:hAnsi="宋体" w:cs="宋体"/>
          <w:b w:val="0"/>
          <w:bCs w:val="0"/>
          <w:color w:val="auto"/>
          <w:sz w:val="24"/>
          <w:szCs w:val="24"/>
          <w:lang w:val="en-US" w:eastAsia="zh-CN"/>
        </w:rPr>
        <w:t>02</w:t>
      </w:r>
      <w:r>
        <w:rPr>
          <w:rFonts w:hint="eastAsia" w:ascii="宋体" w:hAnsi="宋体" w:eastAsia="宋体" w:cs="宋体"/>
          <w:b w:val="0"/>
          <w:bCs w:val="0"/>
          <w:color w:val="auto"/>
          <w:sz w:val="24"/>
          <w:szCs w:val="24"/>
          <w:lang w:eastAsia="zh-CN"/>
        </w:rPr>
        <w:t>﹞</w:t>
      </w:r>
      <w:r>
        <w:rPr>
          <w:rFonts w:hint="eastAsia" w:ascii="宋体" w:hAnsi="宋体" w:cs="宋体"/>
          <w:color w:val="auto"/>
          <w:sz w:val="24"/>
          <w:highlight w:val="none"/>
        </w:rPr>
        <w:t>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5"/>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5"/>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5"/>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61" w:name="_Toc287623650"/>
      <w:bookmarkStart w:id="262" w:name="_Toc22508"/>
      <w:r>
        <w:rPr>
          <w:rFonts w:hint="eastAsia"/>
          <w:color w:val="auto"/>
          <w:highlight w:val="none"/>
        </w:rPr>
        <w:t>签订合同</w:t>
      </w:r>
      <w:bookmarkEnd w:id="261"/>
      <w:bookmarkEnd w:id="262"/>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6"/>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6"/>
        </w:numPr>
        <w:tabs>
          <w:tab w:val="left" w:pos="1134"/>
        </w:tabs>
        <w:snapToGrid w:val="0"/>
        <w:spacing w:line="360" w:lineRule="auto"/>
        <w:ind w:firstLine="480" w:firstLineChars="200"/>
        <w:rPr>
          <w:rFonts w:ascii="宋体" w:hAnsi="宋体" w:cs="宋体"/>
          <w:color w:val="auto"/>
          <w:highlight w:val="none"/>
        </w:rPr>
      </w:pPr>
      <w:bookmarkStart w:id="263"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63"/>
    <w:p>
      <w:pPr>
        <w:pStyle w:val="4"/>
        <w:rPr>
          <w:color w:val="auto"/>
          <w:highlight w:val="none"/>
        </w:rPr>
      </w:pPr>
      <w:bookmarkStart w:id="264" w:name="_Toc9947"/>
      <w:bookmarkStart w:id="265" w:name="_Toc217446070"/>
      <w:r>
        <w:rPr>
          <w:rFonts w:hint="eastAsia"/>
          <w:color w:val="auto"/>
          <w:highlight w:val="none"/>
        </w:rPr>
        <w:t>采购人增加合同的权利</w:t>
      </w:r>
      <w:bookmarkEnd w:id="264"/>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66" w:name="_Toc32472"/>
      <w:r>
        <w:rPr>
          <w:rFonts w:hint="eastAsia"/>
          <w:color w:val="auto"/>
          <w:highlight w:val="none"/>
        </w:rPr>
        <w:t>履行合同</w:t>
      </w:r>
      <w:bookmarkEnd w:id="266"/>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7"/>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65"/>
    <w:p>
      <w:pPr>
        <w:pStyle w:val="4"/>
        <w:rPr>
          <w:color w:val="auto"/>
          <w:highlight w:val="none"/>
        </w:rPr>
      </w:pPr>
      <w:bookmarkStart w:id="267" w:name="_Toc4536"/>
      <w:r>
        <w:rPr>
          <w:rFonts w:hint="eastAsia"/>
          <w:color w:val="auto"/>
          <w:highlight w:val="none"/>
        </w:rPr>
        <w:t>竞争性磋商工作纪律及要求</w:t>
      </w:r>
      <w:bookmarkEnd w:id="267"/>
    </w:p>
    <w:p>
      <w:pPr>
        <w:pStyle w:val="5"/>
        <w:ind w:left="80" w:leftChars="0" w:firstLine="482" w:firstLineChars="0"/>
        <w:rPr>
          <w:rFonts w:cs="宋体"/>
          <w:color w:val="auto"/>
          <w:szCs w:val="24"/>
          <w:highlight w:val="none"/>
        </w:rPr>
      </w:pPr>
      <w:bookmarkStart w:id="268" w:name="_Toc421781446"/>
      <w:bookmarkStart w:id="269" w:name="_Toc320698748"/>
      <w:r>
        <w:rPr>
          <w:rFonts w:hint="eastAsia" w:cs="宋体"/>
          <w:color w:val="auto"/>
          <w:szCs w:val="24"/>
          <w:highlight w:val="none"/>
        </w:rPr>
        <w:t>采购人工作职责</w:t>
      </w:r>
      <w:bookmarkEnd w:id="268"/>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69"/>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0" w:name="_Toc421781447"/>
      <w:bookmarkStart w:id="271" w:name="_Toc320698749"/>
      <w:r>
        <w:rPr>
          <w:rFonts w:hint="eastAsia" w:cs="宋体"/>
          <w:color w:val="auto"/>
          <w:szCs w:val="24"/>
          <w:highlight w:val="none"/>
        </w:rPr>
        <w:t>采购执行机构工作职责</w:t>
      </w:r>
      <w:bookmarkEnd w:id="270"/>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71"/>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2" w:name="_Toc421781448"/>
      <w:bookmarkStart w:id="273" w:name="_Toc320698750"/>
      <w:r>
        <w:rPr>
          <w:rFonts w:hint="eastAsia" w:cs="宋体"/>
          <w:color w:val="auto"/>
          <w:szCs w:val="24"/>
          <w:highlight w:val="none"/>
        </w:rPr>
        <w:t>磋商小组工作职责</w:t>
      </w:r>
      <w:bookmarkEnd w:id="272"/>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73"/>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40"/>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74" w:name="_Toc421781449"/>
      <w:bookmarkStart w:id="275" w:name="_Toc320698751"/>
      <w:r>
        <w:rPr>
          <w:rFonts w:hint="eastAsia" w:cs="宋体"/>
          <w:color w:val="auto"/>
          <w:szCs w:val="24"/>
          <w:highlight w:val="none"/>
        </w:rPr>
        <w:t>供应商职责</w:t>
      </w:r>
      <w:bookmarkEnd w:id="274"/>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75"/>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41"/>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76" w:name="_Toc3332"/>
      <w:r>
        <w:rPr>
          <w:rFonts w:hint="eastAsia"/>
          <w:color w:val="auto"/>
          <w:highlight w:val="none"/>
        </w:rPr>
        <w:t>回避</w:t>
      </w:r>
      <w:bookmarkEnd w:id="276"/>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77" w:name="_Toc12810"/>
      <w:r>
        <w:rPr>
          <w:rFonts w:hint="eastAsia"/>
          <w:color w:val="auto"/>
          <w:highlight w:val="none"/>
        </w:rPr>
        <w:t>其他</w:t>
      </w:r>
      <w:bookmarkEnd w:id="277"/>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2"/>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78" w:name="_Toc9772"/>
      <w:r>
        <w:rPr>
          <w:rFonts w:hint="eastAsia"/>
          <w:color w:val="auto"/>
          <w:highlight w:val="none"/>
        </w:rPr>
        <w:t>项目技术、服务及其他要求</w:t>
      </w:r>
      <w:bookmarkEnd w:id="278"/>
    </w:p>
    <w:p>
      <w:pPr>
        <w:pStyle w:val="4"/>
        <w:rPr>
          <w:color w:val="auto"/>
          <w:sz w:val="24"/>
          <w:szCs w:val="24"/>
          <w:highlight w:val="none"/>
        </w:rPr>
      </w:pPr>
      <w:bookmarkStart w:id="279" w:name="_Toc26711"/>
      <w:bookmarkStart w:id="280" w:name="_Toc23195"/>
      <w:r>
        <w:rPr>
          <w:rFonts w:hint="eastAsia"/>
          <w:color w:val="auto"/>
          <w:sz w:val="24"/>
          <w:szCs w:val="24"/>
          <w:highlight w:val="none"/>
          <w:lang w:val="en-US" w:eastAsia="zh-CN"/>
        </w:rPr>
        <w:t>项目概况</w:t>
      </w:r>
      <w:bookmarkEnd w:id="27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本项目</w:t>
      </w:r>
      <w:r>
        <w:rPr>
          <w:rFonts w:hint="eastAsia" w:ascii="宋体" w:hAnsi="宋体" w:cs="宋体"/>
          <w:b w:val="0"/>
          <w:bCs w:val="0"/>
          <w:color w:val="auto"/>
          <w:kern w:val="0"/>
          <w:sz w:val="24"/>
          <w:szCs w:val="24"/>
          <w:highlight w:val="none"/>
          <w:lang w:val="en-US" w:eastAsia="zh-CN" w:bidi="ar-SA"/>
        </w:rPr>
        <w:t>共分两个包件，</w:t>
      </w:r>
      <w:r>
        <w:rPr>
          <w:rFonts w:hint="eastAsia" w:ascii="宋体" w:hAnsi="宋体" w:eastAsia="宋体" w:cs="宋体"/>
          <w:b w:val="0"/>
          <w:bCs w:val="0"/>
          <w:color w:val="auto"/>
          <w:kern w:val="0"/>
          <w:sz w:val="24"/>
          <w:szCs w:val="24"/>
          <w:highlight w:val="none"/>
          <w:lang w:val="en-US" w:eastAsia="zh-CN" w:bidi="ar-SA"/>
        </w:rPr>
        <w:t>拟通过竞争性磋商</w:t>
      </w:r>
      <w:r>
        <w:rPr>
          <w:rFonts w:hint="eastAsia" w:ascii="宋体" w:hAnsi="宋体" w:cs="宋体"/>
          <w:b w:val="0"/>
          <w:bCs w:val="0"/>
          <w:color w:val="auto"/>
          <w:kern w:val="0"/>
          <w:sz w:val="24"/>
          <w:szCs w:val="24"/>
          <w:highlight w:val="none"/>
          <w:lang w:val="en-US" w:eastAsia="zh-CN" w:bidi="ar-SA"/>
        </w:rPr>
        <w:t>每个包件</w:t>
      </w:r>
      <w:r>
        <w:rPr>
          <w:rFonts w:hint="eastAsia" w:ascii="宋体" w:hAnsi="宋体" w:eastAsia="宋体" w:cs="宋体"/>
          <w:b w:val="0"/>
          <w:bCs w:val="0"/>
          <w:color w:val="auto"/>
          <w:kern w:val="0"/>
          <w:sz w:val="24"/>
          <w:szCs w:val="24"/>
          <w:highlight w:val="none"/>
          <w:lang w:val="en-US" w:eastAsia="zh-CN" w:bidi="ar-SA"/>
        </w:rPr>
        <w:t>确定一名供应商为</w:t>
      </w:r>
      <w:r>
        <w:rPr>
          <w:rFonts w:hint="eastAsia" w:ascii="宋体" w:hAnsi="宋体" w:cs="宋体"/>
          <w:b w:val="0"/>
          <w:bCs w:val="0"/>
          <w:color w:val="auto"/>
          <w:kern w:val="0"/>
          <w:sz w:val="24"/>
          <w:szCs w:val="24"/>
          <w:highlight w:val="none"/>
          <w:lang w:val="en-US" w:eastAsia="zh-CN" w:bidi="ar-SA"/>
        </w:rPr>
        <w:t>成都市龙泉驿区水务局机关</w:t>
      </w:r>
      <w:r>
        <w:rPr>
          <w:rFonts w:hint="eastAsia" w:ascii="宋体" w:hAnsi="宋体" w:eastAsia="宋体" w:cs="宋体"/>
          <w:b w:val="0"/>
          <w:bCs w:val="0"/>
          <w:color w:val="auto"/>
          <w:kern w:val="0"/>
          <w:sz w:val="24"/>
          <w:szCs w:val="24"/>
          <w:highlight w:val="none"/>
          <w:lang w:val="en-US" w:eastAsia="zh-CN" w:bidi="ar-SA"/>
        </w:rPr>
        <w:t>食堂所需</w:t>
      </w:r>
      <w:r>
        <w:rPr>
          <w:rFonts w:ascii="Times New Roman" w:hAnsi="Times New Roman"/>
          <w:sz w:val="24"/>
          <w:szCs w:val="24"/>
        </w:rPr>
        <w:t>包括</w:t>
      </w:r>
      <w:r>
        <w:rPr>
          <w:rFonts w:hint="eastAsia" w:ascii="Times New Roman" w:hAnsi="Times New Roman"/>
          <w:sz w:val="24"/>
          <w:szCs w:val="24"/>
        </w:rPr>
        <w:t>肉类、蔬菜、面食等食材</w:t>
      </w:r>
      <w:r>
        <w:rPr>
          <w:rFonts w:hint="eastAsia" w:ascii="Times New Roman" w:hAnsi="Times New Roman"/>
          <w:sz w:val="24"/>
          <w:szCs w:val="24"/>
          <w:lang w:val="en-US" w:eastAsia="zh-CN"/>
        </w:rPr>
        <w:t>提供</w:t>
      </w:r>
      <w:r>
        <w:rPr>
          <w:rFonts w:hint="eastAsia" w:ascii="Times New Roman" w:hAnsi="Times New Roman"/>
          <w:sz w:val="24"/>
          <w:szCs w:val="24"/>
        </w:rPr>
        <w:t>配送</w:t>
      </w:r>
      <w:r>
        <w:rPr>
          <w:rFonts w:ascii="Times New Roman" w:hAnsi="Times New Roman"/>
          <w:sz w:val="24"/>
          <w:szCs w:val="24"/>
        </w:rPr>
        <w:t>服务</w:t>
      </w:r>
      <w:r>
        <w:rPr>
          <w:rFonts w:hint="eastAsia" w:ascii="Times New Roman" w:hAnsi="Times New Roman"/>
          <w:sz w:val="24"/>
          <w:szCs w:val="24"/>
          <w:lang w:eastAsia="zh-CN"/>
        </w:rPr>
        <w:t>。</w:t>
      </w:r>
      <w:r>
        <w:rPr>
          <w:rFonts w:hint="eastAsia"/>
          <w:sz w:val="24"/>
          <w:szCs w:val="24"/>
          <w:lang w:val="en-US" w:eastAsia="zh-CN"/>
        </w:rPr>
        <w:t>其中包件一成交供应商负责配送星期一、星期三和星期五的食材；包件二成交供应商负责配送星期二和星期四的食材。</w:t>
      </w:r>
    </w:p>
    <w:bookmarkEnd w:id="280"/>
    <w:p>
      <w:pPr>
        <w:pStyle w:val="4"/>
        <w:rPr>
          <w:rFonts w:hint="eastAsia" w:ascii="宋体" w:hAnsi="宋体" w:eastAsia="宋体" w:cs="宋体"/>
          <w:color w:val="auto"/>
          <w:sz w:val="24"/>
          <w:szCs w:val="24"/>
          <w:lang w:val="en-US" w:eastAsia="zh-CN"/>
        </w:rPr>
      </w:pPr>
      <w:bookmarkStart w:id="281" w:name="_Toc11663"/>
      <w:bookmarkStart w:id="282" w:name="_Toc26098"/>
      <w:r>
        <w:rPr>
          <w:rFonts w:hint="eastAsia" w:cs="宋体"/>
          <w:color w:val="auto"/>
          <w:sz w:val="24"/>
          <w:szCs w:val="24"/>
          <w:highlight w:val="none"/>
          <w:lang w:val="en-US" w:eastAsia="zh-CN"/>
        </w:rPr>
        <w:t>配送</w:t>
      </w:r>
      <w:r>
        <w:rPr>
          <w:rFonts w:hint="eastAsia" w:ascii="宋体" w:hAnsi="宋体" w:eastAsia="宋体" w:cs="宋体"/>
          <w:color w:val="auto"/>
          <w:sz w:val="24"/>
          <w:szCs w:val="24"/>
          <w:highlight w:val="none"/>
          <w:lang w:val="en-US" w:eastAsia="zh-CN"/>
        </w:rPr>
        <w:t>要求</w:t>
      </w:r>
      <w:bookmarkEnd w:id="281"/>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大米、面粉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★质量要求：大米必须符合GB31354-2009 标准，并拥有 “QS”食品质量安全认证，级别：一级，一年内新米。面粉必须符合GB1355-86 标准，并拥有“QS” 食品质量安全认证，级别：特一级。</w:t>
      </w:r>
      <w:r>
        <w:rPr>
          <w:rFonts w:hint="eastAsia" w:ascii="宋体" w:hAnsi="宋体" w:cs="宋体"/>
          <w:sz w:val="24"/>
          <w:szCs w:val="24"/>
          <w:highlight w:val="none"/>
          <w:lang w:val="en-US" w:eastAsia="zh-CN"/>
        </w:rPr>
        <w:t>供货时向采购人提供质检报告。</w:t>
      </w:r>
      <w:r>
        <w:rPr>
          <w:rFonts w:hint="eastAsia" w:ascii="宋体" w:hAnsi="宋体" w:eastAsia="宋体" w:cs="宋体"/>
          <w:sz w:val="24"/>
          <w:szCs w:val="24"/>
          <w:highlight w:val="none"/>
        </w:rPr>
        <w:t xml:space="preserve"> </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肉食类（前夹肉、腿肉、精五花，牛肉等）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质量要求：必须具有当天动物检验检疫合格证明和芯片。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所供货物应保持较好的外观和质量等级，符合国家食品部门的标准，保证无异味、无霉烂变质。</w:t>
      </w:r>
    </w:p>
    <w:p>
      <w:pPr>
        <w:pageBreakBefore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鲜肉要求：</w:t>
      </w:r>
    </w:p>
    <w:p>
      <w:pPr>
        <w:pageBreakBefore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猪肉必须是去头蹄、肚杂的冷鲜猪肉，新鲜无异味，有检疫合格证明，每边要盖有动检部门检疫章，不得有病猪、死猪、公母种猪肉。应符合成都市生猪溯源体系的要求并有产地动物卫生监督机构出具的检疫（或检测）合格证明和动物产品检疫（或检测）合格验讫印章以及生猪定点屠宰厂肉品品质检验合格验讫印章；牛、羊、兔禽等其它家畜、家禽应有动物产品检疫（或检测）合格证明或出县境动物产品检疫（或检测）合格证明。</w:t>
      </w:r>
      <w:r>
        <w:rPr>
          <w:rFonts w:hint="eastAsia" w:ascii="宋体" w:hAnsi="宋体" w:cs="宋体"/>
          <w:color w:val="auto"/>
          <w:sz w:val="24"/>
          <w:szCs w:val="24"/>
          <w:highlight w:val="none"/>
          <w:lang w:val="en-US" w:eastAsia="zh-CN"/>
        </w:rPr>
        <w:t>供货时</w:t>
      </w:r>
      <w:r>
        <w:rPr>
          <w:rFonts w:hint="eastAsia" w:ascii="宋体" w:hAnsi="宋体" w:eastAsia="宋体" w:cs="宋体"/>
          <w:color w:val="auto"/>
          <w:sz w:val="24"/>
          <w:szCs w:val="24"/>
          <w:highlight w:val="none"/>
        </w:rPr>
        <w:t>提供生产厂家的生猪定点屠宰证及动物防疫检测合格证 （</w:t>
      </w:r>
      <w:r>
        <w:rPr>
          <w:rFonts w:hint="eastAsia" w:ascii="宋体" w:hAnsi="宋体" w:cs="宋体"/>
          <w:b/>
          <w:bCs/>
          <w:color w:val="auto"/>
          <w:sz w:val="24"/>
          <w:szCs w:val="24"/>
          <w:highlight w:val="none"/>
          <w:lang w:val="en-US" w:eastAsia="zh-CN"/>
        </w:rPr>
        <w:t>响应文件中提供承诺函</w:t>
      </w:r>
      <w:r>
        <w:rPr>
          <w:rFonts w:hint="eastAsia" w:ascii="宋体" w:hAnsi="宋体" w:eastAsia="宋体" w:cs="宋体"/>
          <w:color w:val="auto"/>
          <w:sz w:val="24"/>
          <w:szCs w:val="24"/>
          <w:highlight w:val="none"/>
        </w:rPr>
        <w:t>）</w:t>
      </w:r>
    </w:p>
    <w:p>
      <w:pPr>
        <w:pageBreakBefore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储运。随每批次供货时提供《动物及动物产品运载工具消毒证明》。</w:t>
      </w:r>
    </w:p>
    <w:p>
      <w:pPr>
        <w:pageBreakBefore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验收标准：按照GB 2707，GB/T 22289-2008，GB/T 9959.1，GB/T 9959.2，GB/T 17238-2008 标准执行，肉食品需新鲜无质变。</w:t>
      </w:r>
    </w:p>
    <w:p>
      <w:pPr>
        <w:pageBreakBefore w:val="0"/>
        <w:numPr>
          <w:ilvl w:val="0"/>
          <w:numId w:val="44"/>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供货质量严格按照国家《中华人民共和国食品安全法》、行业有关规定、符合国家食品卫生标准，动物检验检疫合格标准。</w:t>
      </w:r>
    </w:p>
    <w:p>
      <w:pPr>
        <w:pageBreakBefore w:val="0"/>
        <w:numPr>
          <w:ilvl w:val="0"/>
          <w:numId w:val="43"/>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腊肉、腊肠要求</w:t>
      </w:r>
    </w:p>
    <w:p>
      <w:pPr>
        <w:pageBreakBefore w:val="0"/>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腊肉：符合国家标准，良质腊肉色泽鲜明，肌肉暗红色，脂肪透明呈乳白色，肉干燥结实，带有固有的腊式香味；</w:t>
      </w:r>
    </w:p>
    <w:p>
      <w:pPr>
        <w:pageBreakBefore w:val="0"/>
        <w:numPr>
          <w:ilvl w:val="0"/>
          <w:numId w:val="45"/>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腊肠：符合国家标准，品质好的腊肠是肠衣干燥，不发霉，无粘液，肠衣与肉馅</w:t>
      </w:r>
      <w:r>
        <w:rPr>
          <w:rFonts w:hint="eastAsia" w:ascii="宋体" w:hAnsi="宋体" w:eastAsia="宋体" w:cs="宋体"/>
          <w:color w:val="000000"/>
          <w:sz w:val="24"/>
          <w:szCs w:val="24"/>
          <w:highlight w:val="none"/>
        </w:rPr>
        <w:t>紧密联在一起，表面紧而有弹性，色泽均匀，肥肉色白，瘦肉色红，无灰色斑点，气味芳香。</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蔬菜类</w:t>
      </w:r>
      <w:r>
        <w:rPr>
          <w:rFonts w:hint="eastAsia" w:ascii="宋体" w:hAnsi="宋体" w:eastAsia="宋体" w:cs="宋体"/>
          <w:sz w:val="24"/>
          <w:szCs w:val="24"/>
          <w:highlight w:val="none"/>
        </w:rPr>
        <w:t>（土豆、西红柿、菌类、青椒、青菜、大白菜、包菜、茭白、芋艿、豆芽等时令蔬菜）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rPr>
      </w:pPr>
      <w:r>
        <w:rPr>
          <w:rFonts w:hint="eastAsia" w:ascii="宋体" w:hAnsi="宋体" w:eastAsia="宋体" w:cs="宋体"/>
          <w:sz w:val="24"/>
          <w:szCs w:val="24"/>
          <w:highlight w:val="none"/>
        </w:rPr>
        <w:t>★供货商经营品种齐全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蔬菜</w:t>
      </w:r>
      <w:r>
        <w:rPr>
          <w:rFonts w:hint="eastAsia" w:ascii="宋体" w:hAnsi="宋体" w:eastAsia="宋体"/>
          <w:color w:val="000000"/>
          <w:sz w:val="24"/>
          <w:szCs w:val="24"/>
          <w:highlight w:val="none"/>
        </w:rPr>
        <w:t>须干净、优质、新鲜、无感观异常。须符合GB2763-2016或国家最新质量标准和</w:t>
      </w:r>
      <w:r>
        <w:rPr>
          <w:rFonts w:hint="eastAsia" w:ascii="宋体" w:hAnsi="宋体" w:eastAsia="宋体" w:cs="宋体"/>
          <w:sz w:val="24"/>
          <w:szCs w:val="24"/>
          <w:highlight w:val="none"/>
        </w:rPr>
        <w:t>《食品卫生安全法》</w:t>
      </w:r>
      <w:r>
        <w:rPr>
          <w:rFonts w:hint="eastAsia" w:ascii="宋体" w:hAnsi="宋体" w:cs="宋体"/>
          <w:sz w:val="24"/>
          <w:szCs w:val="24"/>
          <w:highlight w:val="none"/>
          <w:lang w:val="en-US" w:eastAsia="zh-CN"/>
        </w:rPr>
        <w:t>要求</w:t>
      </w:r>
      <w:r>
        <w:rPr>
          <w:rFonts w:hint="eastAsia" w:ascii="宋体" w:hAnsi="宋体" w:eastAsia="宋体"/>
          <w:color w:val="000000"/>
          <w:sz w:val="24"/>
          <w:szCs w:val="24"/>
          <w:highlight w:val="none"/>
        </w:rPr>
        <w:t>；农药残留不得超标，不得含有国家全面禁止使用的农药成份。蔬菜类应保持较好的色泽和新鲜度,利用率达到95%。严禁采购有害、有毒、腐烂变质、酸败、霉变、生虫、污垢不洁、混有异物或其他感官性状异常的食品。蔬菜应无损伤、腐烂现象，无寄生虫或已受虫害现象。禁止采购超过保质期限的食品（详见《蔬菜感官质量要求》）。每批货物均需提供所供应蔬菜的《农药残留物监测报告》，其质量必须达到国家规定无公害的标准。配送的蔬菜需具有追踪溯源标识或记录记载，并可实现追踪溯源；不能配送转基因食材。蔬菜来源应当于受到地方政府部门监管的自有基地、商品菜基地或蔬菜专业流通市场，严禁收购散户农民的蔬菜供应。</w:t>
      </w:r>
      <w:r>
        <w:rPr>
          <w:rFonts w:hint="eastAsia" w:ascii="宋体" w:hAnsi="宋体" w:eastAsia="宋体"/>
          <w:color w:val="000000"/>
          <w:sz w:val="24"/>
          <w:szCs w:val="24"/>
          <w:highlight w:val="none"/>
          <w:lang w:val="en-US" w:eastAsia="zh-CN"/>
        </w:rPr>
        <w:t>豆芽或豆制品</w:t>
      </w:r>
      <w:r>
        <w:rPr>
          <w:rFonts w:hint="eastAsia" w:ascii="宋体" w:hAnsi="宋体" w:eastAsia="宋体"/>
          <w:color w:val="000000"/>
          <w:sz w:val="24"/>
          <w:szCs w:val="24"/>
          <w:highlight w:val="none"/>
        </w:rPr>
        <w:t>不得使用添加剂，农药残留不得超标，无感观异常。蔬菜包装要求：容器(框、箱、袋)要求清洁、干燥、牢固、透气，无污染、无异味、无霉变现象。</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tbl>
      <w:tblPr>
        <w:tblStyle w:val="44"/>
        <w:tblpPr w:leftFromText="180" w:rightFromText="180" w:vertAnchor="text" w:horzAnchor="page" w:tblpX="1409" w:tblpY="676"/>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875"/>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类别</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包含品种</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叶菜类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白菜类、甘蓝类和绿叶菜类的各种蔬菜。</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肉质鲜嫩，形态好，色泽正常；茎基部削平，无枯黄叶、病叶、泥土、明显机械伤和病虫害伤；无烧心、焦边、腐烂等现象，无抽薹(菜心除外)；结球的叶菜应结球紧实；菠菜和本地芹菜可带根。花椰菜、青花菜属于同一品种，形状正常，肉质致密、新鲜，不带叶柄，茎基部削平，无腐烂、病虫害、机械伤；花椰菜花球洁白，无毛花，青花菜无托叶，可带主茎，花球青绿色，无紫花、无枯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茄果类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番茄、茄子、甜椒、辣椒等。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色鲜，果实圆整、光洁，成熟度适中，整齐，无烂果、异味、病虫害和明显机械损伤。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瓜类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黄瓜、瓠瓜、越瓜、丝瓜、苦瓜、冬瓜、毛节瓜、南瓜、佛手瓜等。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形状、色泽一致，瓜条均匀，无疤点，无断裂，不带泥土，无畸形瓜、病虫害瓜、烂瓜，无明显机械伤。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根菜类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萝卜、胡萝卜、大头菜、芜菁甘蓝等。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皮细光滑，色泽良好，大小均匀，肉质脆嫩致密。新鲜，无畸形、裂痕、糠心、病虫害斑，不带泥沙，不带茎叶、须根。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薯芋类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马铃薯、薯蓣、芋、姜、豆薯等。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色泽一致，不带泥沙，不带茎叶、须根，无机械和病虫害斑，无腐烂、干瘪，马铃薯皮不能变绿色。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葱蒜类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大葱、分葱、四季葱等。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允许葱和大蒜的青蒜保留干净须根，去老叶，韭菜去根去老叶，蒜头、洋葱要去枯叶；可食部分质地细嫩，不带泥沙杂质，无病虫害斑。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豆类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豇豆、菜豆、豌豆、蚕豆、刀豆、毛豆、扁豆等。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形态完整，成熟度适中，无病虫害斑。食荚类：豆荚新鲜幼嫩，均匀。食豆仁类：籽粒饱满较均匀，无发芽。不带泥土、杂质。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水生类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茭白、藕、荸荠、慈菇、菱角等。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属同一品种规格，肉质鲜嫩，成熟度适中，无泥土、杂质、机械伤，不干瘪，不腐烂霉变，茭白不黑心。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多年生类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竹笋、黄花菜、芦笋等。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属同一品种规格，幼嫩，无病虫害斑，无明显机械伤。黄花菜鲜花不能直接煮食。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85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芽苗类</w:t>
            </w:r>
          </w:p>
        </w:tc>
        <w:tc>
          <w:tcPr>
            <w:tcW w:w="187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绿豆芽、黄豆芽等。</w:t>
            </w:r>
          </w:p>
        </w:tc>
        <w:tc>
          <w:tcPr>
            <w:tcW w:w="693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000000"/>
                <w:sz w:val="22"/>
                <w:szCs w:val="22"/>
              </w:rPr>
            </w:pPr>
            <w:r>
              <w:rPr>
                <w:rFonts w:hint="eastAsia" w:ascii="宋体" w:hAnsi="宋体" w:eastAsia="宋体"/>
                <w:color w:val="000000"/>
                <w:sz w:val="22"/>
                <w:szCs w:val="22"/>
              </w:rPr>
              <w:t>芽苗幼嫩，不带豆壳杂质，新鲜，不浸水。</w:t>
            </w:r>
          </w:p>
        </w:tc>
      </w:tr>
    </w:tbl>
    <w:p>
      <w:pPr>
        <w:rPr>
          <w:rFonts w:hint="eastAsia" w:ascii="宋体" w:hAnsi="宋体" w:eastAsia="宋体"/>
          <w:color w:val="000000"/>
          <w:sz w:val="21"/>
          <w:szCs w:val="21"/>
          <w:highlight w:val="none"/>
        </w:rPr>
      </w:pP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水产类（鱼、虾等）</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★符合《水产品卫生管理办法》，水产须为非污染水域产品，执行标准须符合国家有关水产类食品卫生流通标准。无特殊说明水产类须保持鲜活。用整洁完好的周转箱或水产专用塑料袋封装。水产鲜活，</w:t>
      </w:r>
      <w:r>
        <w:rPr>
          <w:rFonts w:hint="eastAsia" w:ascii="宋体" w:hAnsi="宋体" w:eastAsia="宋体" w:cs="宋体"/>
          <w:sz w:val="24"/>
          <w:szCs w:val="24"/>
          <w:highlight w:val="none"/>
        </w:rPr>
        <w:t>当天宰杀</w:t>
      </w:r>
      <w:r>
        <w:rPr>
          <w:rFonts w:hint="eastAsia" w:ascii="宋体" w:hAnsi="宋体" w:cs="宋体"/>
          <w:sz w:val="24"/>
          <w:szCs w:val="24"/>
          <w:highlight w:val="none"/>
          <w:lang w:eastAsia="zh-CN"/>
        </w:rPr>
        <w:t>，</w:t>
      </w:r>
      <w:r>
        <w:rPr>
          <w:rFonts w:hint="eastAsia" w:ascii="宋体" w:hAnsi="宋体" w:eastAsia="宋体" w:cs="宋体"/>
          <w:color w:val="000000"/>
          <w:sz w:val="24"/>
          <w:szCs w:val="24"/>
          <w:highlight w:val="none"/>
        </w:rPr>
        <w:t>无硬伤及血块，形态正常无包块畸形。在合同履行过程中，采购人将不定期组织抽样送检，如发现重金属超标、掺假等不符合食品健康安全要求的情况，将拒绝接收该批次产品，并由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终止合同。</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冰冻类（鸡腿、鸡翅、鸭等）</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冷冻禽类食品解冻后净重量不少于90%，冷冻肉类食品解冻后净重量不少于92%，冷冻水产类食品解冻后净重量不少于82%，解冻时间为4小时以内（室温20℃）。供货质量均需严格按照国家《中华人民共和国食品安全法》、行业有关规定、符合国家食品卫生标准，动物检验检疫合格标准。</w:t>
      </w:r>
      <w:r>
        <w:rPr>
          <w:rFonts w:hint="eastAsia" w:ascii="宋体" w:hAnsi="宋体" w:eastAsia="宋体" w:cs="宋体"/>
          <w:sz w:val="24"/>
          <w:szCs w:val="24"/>
          <w:highlight w:val="none"/>
        </w:rPr>
        <w:t>供应商</w:t>
      </w:r>
      <w:r>
        <w:rPr>
          <w:rFonts w:hint="eastAsia" w:ascii="宋体" w:hAnsi="宋体" w:cs="宋体"/>
          <w:sz w:val="24"/>
          <w:szCs w:val="24"/>
          <w:highlight w:val="none"/>
          <w:lang w:val="en-US" w:eastAsia="zh-CN"/>
        </w:rPr>
        <w:t>供货时。</w:t>
      </w:r>
      <w:r>
        <w:rPr>
          <w:rFonts w:hint="eastAsia" w:ascii="宋体" w:hAnsi="宋体" w:eastAsia="宋体" w:cs="宋体"/>
          <w:sz w:val="24"/>
          <w:szCs w:val="24"/>
          <w:highlight w:val="none"/>
        </w:rPr>
        <w:t>须提供产品合格证，动物检验检疫合格证</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豆制品类。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★质量要求：豆制品成品必须具有“QS食品质量安全认证。</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牛奶</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盒装奶必须为资质齐全的正规厂家生产。每批货送达采购人指定地点时，剩余有效期须在6个月（含）以上。包装要求：必须采购预包装产品。包装执行标准符合国家相关标准。包装标识清楚。规格由双方协商确定，以便于运输存储使用为原则。外观呈乳白色或微黄色，具有乳固有的香味，呈均匀一致液体，无凝块、无沉淀、无正常视力可见异物。</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家禽类（鲜活家禽） </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鲜光禽：光禽是指经宰杀去毛以后的鸡、鸭、鹅等禽类，质量好坏，是否新鲜，主要根据以下几方面来判别：</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喙有光泽、干燥、无粘液；口腔：新鲜的光禽口腔粘膜呈淡玫瑰色，有光泽、洁净、无异味；新鲜的光禽眼睛明亮，充满整个眼窝；皮肤：新鲜的光禽皮肤上毛孔隆起，表面干燥而紧缩，呈乳白色或淡黄色，稍带微红，无异味；脂肪：新鲜的光禽脂肪呈淡黄色或黄色，有光泽，无异味；肌肉：新鲜光禽肌肉结实，有弹性，有光泽，颈、腿部肌肉呈玫瑰红色。变质的光禽肌肉松驰，湿润发粘，色变暗红，有明显腐败气味</w:t>
      </w:r>
      <w:r>
        <w:rPr>
          <w:rFonts w:hint="eastAsia" w:ascii="宋体" w:hAnsi="宋体" w:eastAsia="宋体" w:cs="宋体"/>
          <w:color w:val="000000"/>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蛋类 </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★符合GB 2749-2015或国家卫生、食品安全最新标准，散装生鲜禽蛋应有动物产品检疫（或检测）合格证明，外地生鲜禽蛋应有其所在地农业部门的检疫（或检测）合格证明或检疫（或检测）验讫标识。保证新鲜、清洁、无破损；外壳坚固完整，色泽自然有光泽；鸡蛋须有生产日期等喷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保证鸡蛋新鲜无损坏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日期新鲜</w:t>
      </w:r>
      <w:r>
        <w:rPr>
          <w:rFonts w:hint="eastAsia" w:ascii="宋体" w:hAnsi="宋体" w:eastAsia="宋体" w:cs="宋体"/>
          <w:color w:val="auto"/>
          <w:sz w:val="24"/>
          <w:szCs w:val="24"/>
          <w:highlight w:val="none"/>
        </w:rPr>
        <w:t>。包装要求：</w:t>
      </w:r>
      <w:r>
        <w:rPr>
          <w:rFonts w:hint="eastAsia" w:ascii="宋体" w:hAnsi="宋体" w:eastAsia="宋体" w:cs="宋体"/>
          <w:color w:val="000000"/>
          <w:sz w:val="24"/>
          <w:szCs w:val="24"/>
          <w:highlight w:val="none"/>
        </w:rPr>
        <w:t>包装应采用符合国家卫生标准要求的包装材料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包装规范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蛋盒完整、整洁，便于存放。</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bidi w:val="0"/>
        <w:ind w:left="0" w:leftChars="0" w:firstLine="0" w:firstLineChars="0"/>
        <w:rPr>
          <w:rFonts w:hint="eastAsia"/>
          <w:highlight w:val="none"/>
        </w:rPr>
      </w:pPr>
      <w:r>
        <w:rPr>
          <w:rFonts w:hint="eastAsia"/>
          <w:highlight w:val="none"/>
          <w:lang w:val="en-US" w:eastAsia="zh-CN"/>
        </w:rPr>
        <w:t>水果类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必须保证果型匀称，色泽均匀，无干疤、斑点、裂口、腐烂，口感好；水果保持新鲜，无损坏。食品专用袋或整洁完整的周转箱盛放，不得裸露在外。水果具有水果特有的香气，无磕碰外伤，外形饱满，无腐烂变质。</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干杂类</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不得含有二氧化硫及重金属元素和非法使用添加剂；农药残留不得超标，须优质、无感观异常。</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预包装食品</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★应具有 SC（QS）标记，具有合格证、检测报告。须保证规格品种完全符合采购方要求，包装规格、口味、种类齐全。送货日至保质期到期日的天数必须大于保质期天数的二分之一</w:t>
      </w:r>
      <w:r>
        <w:rPr>
          <w:rFonts w:hint="eastAsia" w:ascii="宋体" w:hAnsi="宋体" w:eastAsia="宋体" w:cs="宋体"/>
          <w:color w:val="000000"/>
          <w:sz w:val="24"/>
          <w:szCs w:val="24"/>
          <w:highlight w:val="none"/>
          <w:lang w:eastAsia="zh-CN"/>
        </w:rPr>
        <w:t>。</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食盐</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加碘，符合国家最新或行业标</w:t>
      </w:r>
      <w:r>
        <w:rPr>
          <w:rFonts w:hint="eastAsia" w:ascii="宋体" w:hAnsi="宋体" w:eastAsia="宋体" w:cs="宋体"/>
          <w:color w:val="000000"/>
          <w:sz w:val="24"/>
          <w:szCs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val="0"/>
          <w:color w:val="000000"/>
          <w:sz w:val="24"/>
          <w:szCs w:val="24"/>
          <w:highlight w:val="none"/>
          <w:lang w:val="en-US" w:eastAsia="zh-CN"/>
        </w:rPr>
        <w:t>★</w:t>
      </w:r>
      <w:r>
        <w:rPr>
          <w:rFonts w:hint="eastAsia" w:cs="宋体"/>
          <w:b w:val="0"/>
          <w:bCs w:val="0"/>
          <w:color w:val="000000"/>
          <w:sz w:val="24"/>
          <w:szCs w:val="24"/>
          <w:highlight w:val="none"/>
          <w:lang w:val="en-US" w:eastAsia="zh-CN"/>
        </w:rPr>
        <w:t>所有</w:t>
      </w:r>
      <w:r>
        <w:rPr>
          <w:rFonts w:hint="eastAsia" w:ascii="宋体" w:hAnsi="宋体" w:eastAsia="宋体" w:cs="宋体"/>
          <w:b w:val="0"/>
          <w:bCs w:val="0"/>
          <w:color w:val="000000"/>
          <w:sz w:val="24"/>
          <w:szCs w:val="24"/>
          <w:highlight w:val="none"/>
        </w:rPr>
        <w:t>食材及辅料，包括米、面、油，猪肉、河鲜类、禽蛋类、水果蔬菜、豆芽菜及豆制品类、干杂类大宗食品原料等必须符合食品安全要求。</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rPr>
        <w:t>所提供的货物均须符合《食品安全法》和《动物防疫法》等相关要求</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所有产品须符合国家的相关标准与要求，国家有出台新的更高标准的，以新的更高标准为准。不得提供转基因食品或利用转基因食品原料加工的成品。</w:t>
      </w:r>
      <w:r>
        <w:rPr>
          <w:rFonts w:hint="eastAsia" w:cs="宋体"/>
          <w:b/>
          <w:bCs/>
          <w:color w:val="000000"/>
          <w:sz w:val="24"/>
          <w:szCs w:val="24"/>
          <w:highlight w:val="none"/>
          <w:lang w:eastAsia="zh-CN"/>
        </w:rPr>
        <w:t>（</w:t>
      </w:r>
      <w:r>
        <w:rPr>
          <w:rFonts w:hint="eastAsia" w:cs="宋体"/>
          <w:b/>
          <w:bCs/>
          <w:color w:val="000000"/>
          <w:sz w:val="24"/>
          <w:szCs w:val="24"/>
          <w:highlight w:val="none"/>
          <w:lang w:val="en-US" w:eastAsia="zh-CN"/>
        </w:rPr>
        <w:t>响应文件中提供承诺函</w:t>
      </w:r>
      <w:r>
        <w:rPr>
          <w:rFonts w:hint="eastAsia" w:cs="宋体"/>
          <w:b/>
          <w:bCs/>
          <w:color w:val="000000"/>
          <w:sz w:val="24"/>
          <w:szCs w:val="24"/>
          <w:highlight w:val="none"/>
          <w:lang w:eastAsia="zh-CN"/>
        </w:rPr>
        <w:t>）</w:t>
      </w:r>
    </w:p>
    <w:p>
      <w:pPr>
        <w:pStyle w:val="4"/>
        <w:rPr>
          <w:rFonts w:hint="eastAsia" w:ascii="宋体" w:hAnsi="宋体" w:eastAsia="宋体" w:cs="宋体"/>
          <w:sz w:val="24"/>
          <w:szCs w:val="24"/>
          <w:highlight w:val="none"/>
          <w:lang w:val="en-US" w:eastAsia="zh-CN"/>
        </w:rPr>
      </w:pPr>
      <w:bookmarkStart w:id="283" w:name="_Toc17523"/>
      <w:r>
        <w:rPr>
          <w:rFonts w:hint="eastAsia" w:cs="宋体"/>
          <w:sz w:val="24"/>
          <w:szCs w:val="24"/>
          <w:highlight w:val="none"/>
          <w:lang w:val="en-US" w:eastAsia="zh-CN"/>
        </w:rPr>
        <w:t>考核办法及标准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考核实行百分制，按照考核标准每月末进行考核。每月考核成绩在90分以上（含90分），考核结果为优秀，足额拨付当月服务费用。90分以下，每减少一分扣服务费200元。若考核成绩连续三个月得分在80分以下，</w:t>
      </w:r>
      <w:r>
        <w:rPr>
          <w:rFonts w:hint="eastAsia" w:ascii="宋体" w:hAnsi="宋体" w:eastAsia="宋体"/>
          <w:color w:val="000000"/>
          <w:sz w:val="24"/>
          <w:szCs w:val="24"/>
          <w:highlight w:val="none"/>
          <w:lang w:eastAsia="zh-CN"/>
        </w:rPr>
        <w:t>采购人</w:t>
      </w:r>
      <w:r>
        <w:rPr>
          <w:rFonts w:hint="eastAsia" w:ascii="宋体" w:hAnsi="宋体" w:eastAsia="宋体"/>
          <w:color w:val="000000"/>
          <w:sz w:val="24"/>
          <w:szCs w:val="24"/>
          <w:highlight w:val="none"/>
        </w:rPr>
        <w:t>有权终止合同。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因食材原因引起就餐者出现轻度腹泻发热、食物中毒，或提供劣质/伪冒产品的，</w:t>
      </w:r>
      <w:r>
        <w:rPr>
          <w:rFonts w:hint="eastAsia" w:ascii="宋体" w:hAnsi="宋体" w:eastAsia="宋体"/>
          <w:color w:val="000000"/>
          <w:sz w:val="24"/>
          <w:szCs w:val="24"/>
          <w:highlight w:val="none"/>
          <w:lang w:eastAsia="zh-CN"/>
        </w:rPr>
        <w:t>采购人</w:t>
      </w:r>
      <w:r>
        <w:rPr>
          <w:rFonts w:hint="eastAsia" w:ascii="宋体" w:hAnsi="宋体" w:eastAsia="宋体"/>
          <w:color w:val="000000"/>
          <w:sz w:val="24"/>
          <w:szCs w:val="24"/>
          <w:highlight w:val="none"/>
        </w:rPr>
        <w:t>有权直接终止合同，并追究供应商相应责任和经济赔偿。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olor w:val="000000"/>
          <w:sz w:val="24"/>
          <w:szCs w:val="24"/>
          <w:highlight w:val="none"/>
          <w:lang w:val="en-US" w:eastAsia="zh-CN"/>
        </w:rPr>
        <w:t>考核方案由采购人和</w:t>
      </w:r>
      <w:r>
        <w:rPr>
          <w:rFonts w:hint="eastAsia" w:ascii="宋体" w:hAnsi="宋体"/>
          <w:color w:val="000000"/>
          <w:sz w:val="24"/>
          <w:szCs w:val="24"/>
          <w:highlight w:val="none"/>
          <w:lang w:val="en-US" w:eastAsia="zh-CN"/>
        </w:rPr>
        <w:t>成交供应商</w:t>
      </w:r>
      <w:r>
        <w:rPr>
          <w:rFonts w:hint="eastAsia" w:ascii="宋体" w:hAnsi="宋体" w:eastAsia="宋体"/>
          <w:color w:val="000000"/>
          <w:sz w:val="24"/>
          <w:szCs w:val="24"/>
          <w:highlight w:val="none"/>
          <w:lang w:val="en-US" w:eastAsia="zh-CN"/>
        </w:rPr>
        <w:t>于合同内进行约定。</w:t>
      </w:r>
    </w:p>
    <w:p>
      <w:pPr>
        <w:pStyle w:val="4"/>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服务要求</w:t>
      </w:r>
    </w:p>
    <w:p>
      <w:pPr>
        <w:pStyle w:val="5"/>
        <w:bidi w:val="0"/>
        <w:ind w:left="0" w:leftChars="0" w:firstLine="482" w:firstLineChars="200"/>
        <w:rPr>
          <w:rFonts w:hint="eastAsia"/>
          <w:highlight w:val="none"/>
          <w:lang w:val="en-US" w:eastAsia="zh-CN"/>
        </w:rPr>
      </w:pPr>
      <w:r>
        <w:rPr>
          <w:rFonts w:hint="eastAsia"/>
          <w:highlight w:val="none"/>
          <w:lang w:val="en-US" w:eastAsia="zh-CN"/>
        </w:rPr>
        <w:t>配送车辆</w:t>
      </w:r>
    </w:p>
    <w:p>
      <w:pPr>
        <w:pageBreakBefore w:val="0"/>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针对本项目需配备具有符合规定的食材配送专用车辆。车厢应为专用封闭式，车辆内部结构应平整、便于清洁，所有储藏设施符合国家、行业标准和规范，且配送车辆应不少于 1 辆</w:t>
      </w:r>
      <w:r>
        <w:rPr>
          <w:rFonts w:hint="eastAsia" w:ascii="宋体" w:hAnsi="宋体" w:eastAsia="宋体" w:cs="宋体"/>
          <w:color w:val="000000"/>
          <w:sz w:val="24"/>
          <w:szCs w:val="24"/>
          <w:highlight w:val="none"/>
          <w:lang w:eastAsia="zh-CN"/>
        </w:rPr>
        <w:t>。</w:t>
      </w:r>
    </w:p>
    <w:p>
      <w:pPr>
        <w:pageBreakBefore w:val="0"/>
        <w:numPr>
          <w:ilvl w:val="0"/>
          <w:numId w:val="46"/>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配送车辆应符合相关卫生要求，做到每日清洗、消毒并做好消毒记录，并采用双人双锁管理。 </w:t>
      </w:r>
    </w:p>
    <w:p>
      <w:pPr>
        <w:pStyle w:val="5"/>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配送人员</w:t>
      </w:r>
    </w:p>
    <w:p>
      <w:pPr>
        <w:pageBreakBefore w:val="0"/>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★拟为本项目配备的配送工作人员需提供无违法犯罪记录和无吸毒史承诺。</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响应文件中提供承诺函</w:t>
      </w:r>
      <w:r>
        <w:rPr>
          <w:rFonts w:hint="eastAsia" w:ascii="宋体" w:hAnsi="宋体" w:cs="宋体"/>
          <w:b/>
          <w:bCs/>
          <w:sz w:val="24"/>
          <w:szCs w:val="24"/>
          <w:highlight w:val="none"/>
          <w:lang w:eastAsia="zh-CN"/>
        </w:rPr>
        <w:t>）</w:t>
      </w:r>
      <w:r>
        <w:rPr>
          <w:rFonts w:hint="eastAsia" w:ascii="宋体" w:hAnsi="宋体" w:eastAsia="宋体" w:cs="宋体"/>
          <w:color w:val="000000"/>
          <w:sz w:val="24"/>
          <w:szCs w:val="24"/>
          <w:highlight w:val="none"/>
        </w:rPr>
        <w:t xml:space="preserve">   </w:t>
      </w:r>
    </w:p>
    <w:p>
      <w:pPr>
        <w:pageBreakBefore w:val="0"/>
        <w:numPr>
          <w:ilvl w:val="0"/>
          <w:numId w:val="4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拟为本项目配备的配送工作人员必须具有国家相关部门出具的有效健康证明，且配送人员相对固定。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1.提供拟配送2人以上人员名单；2.配送人员有效健康证复印件或</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承诺合同签订后配送前提供配送人员有效健康证复印件（承诺合同签订后配送前提供证件）</w:t>
      </w:r>
      <w:r>
        <w:rPr>
          <w:rFonts w:hint="eastAsia" w:ascii="宋体" w:hAnsi="宋体" w:eastAsia="宋体" w:cs="宋体"/>
          <w:color w:val="000000"/>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000000"/>
          <w:sz w:val="24"/>
          <w:szCs w:val="24"/>
          <w:highlight w:val="none"/>
        </w:rPr>
      </w:pP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保证配送商品质量、数量、送货时间等均符合采购人要求。如遇不可抗力造成送货延误的，经采购人同意后，</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应按采购人另行指定的地点和时间及时送达。</w:t>
      </w:r>
    </w:p>
    <w:p>
      <w:pPr>
        <w:pStyle w:val="5"/>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000000"/>
          <w:sz w:val="24"/>
          <w:szCs w:val="24"/>
          <w:highlight w:val="none"/>
        </w:rPr>
      </w:pP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 xml:space="preserve">在配送过程中要做好配送食材的保鲜、保质措施，同时不得喷洒有毒有害物质进行保鲜或保质。 </w:t>
      </w:r>
    </w:p>
    <w:p>
      <w:pPr>
        <w:pStyle w:val="5"/>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b w:val="0"/>
          <w:bCs w:val="0"/>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负责运输、装卸全过程，一切费用由</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承担。</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在配送运输中要确保安全，在运输装卸过程中发生的安全事故或不良事件，由</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承担一切责任。</w:t>
      </w:r>
      <w:r>
        <w:rPr>
          <w:rFonts w:hint="eastAsia"/>
          <w:b/>
          <w:bCs/>
          <w:color w:val="000000"/>
          <w:sz w:val="24"/>
          <w:szCs w:val="24"/>
          <w:highlight w:val="none"/>
          <w:lang w:eastAsia="zh-CN"/>
        </w:rPr>
        <w:t>（</w:t>
      </w:r>
      <w:r>
        <w:rPr>
          <w:rFonts w:hint="eastAsia"/>
          <w:b/>
          <w:bCs/>
          <w:color w:val="000000"/>
          <w:sz w:val="24"/>
          <w:szCs w:val="24"/>
          <w:highlight w:val="none"/>
          <w:lang w:val="en-US" w:eastAsia="zh-CN"/>
        </w:rPr>
        <w:t>响应文件中提供承诺函</w:t>
      </w:r>
      <w:r>
        <w:rPr>
          <w:rFonts w:hint="eastAsia"/>
          <w:b/>
          <w:bCs/>
          <w:color w:val="000000"/>
          <w:sz w:val="24"/>
          <w:szCs w:val="24"/>
          <w:highlight w:val="none"/>
          <w:lang w:eastAsia="zh-CN"/>
        </w:rPr>
        <w:t>）</w:t>
      </w:r>
    </w:p>
    <w:p>
      <w:pPr>
        <w:pStyle w:val="5"/>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000000"/>
          <w:sz w:val="24"/>
          <w:szCs w:val="24"/>
          <w:highlight w:val="none"/>
        </w:rPr>
      </w:pP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须为本项目确定一名项目负责人。</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与采购人均需安排专人负责联系，并确认产品需求量、加工要求（如有）、配送时间及配送要求。</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具备各项应急措施，保证在各种市场变化及遇突发事件下，能保证货品数量、质量并能及时满足食堂食品及原材料供应。</w:t>
      </w:r>
    </w:p>
    <w:p>
      <w:pPr>
        <w:pStyle w:val="5"/>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000000"/>
          <w:sz w:val="24"/>
          <w:szCs w:val="24"/>
          <w:highlight w:val="none"/>
        </w:rPr>
      </w:pP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必须自行提供配送服务，不得将配送项目进行任何方式的转包、分包，</w:t>
      </w: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管理层人员实行备案制度，不得擅自更换管理层人员，如遇特殊情况进行更换时需得到采购人同意，并备案后方可更换，若发现擅自更换管理层人员的，情节严重者，终止其合同，并追究其责任。</w:t>
      </w:r>
    </w:p>
    <w:p>
      <w:pPr>
        <w:pStyle w:val="5"/>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b w:val="0"/>
          <w:bCs w:val="0"/>
          <w:color w:val="000000"/>
          <w:sz w:val="24"/>
          <w:szCs w:val="24"/>
          <w:highlight w:val="none"/>
        </w:rPr>
      </w:pPr>
      <w:r>
        <w:rPr>
          <w:rFonts w:hint="eastAsia" w:ascii="宋体" w:hAnsi="宋体" w:eastAsia="宋体"/>
          <w:b w:val="0"/>
          <w:bCs w:val="0"/>
          <w:color w:val="000000"/>
          <w:sz w:val="24"/>
          <w:szCs w:val="24"/>
          <w:highlight w:val="none"/>
          <w:lang w:eastAsia="zh-CN"/>
        </w:rPr>
        <w:t>供应商</w:t>
      </w:r>
      <w:r>
        <w:rPr>
          <w:rFonts w:hint="eastAsia" w:ascii="宋体" w:hAnsi="宋体" w:eastAsia="宋体"/>
          <w:b w:val="0"/>
          <w:bCs w:val="0"/>
          <w:color w:val="000000"/>
          <w:sz w:val="24"/>
          <w:szCs w:val="24"/>
          <w:highlight w:val="none"/>
        </w:rPr>
        <w:t>应做好食品安全的保障工作：</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配送企业必须按所填订单配送，按规定时间送达，确保食品新鲜、优质、安全、可靠。</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建立出入库台账。</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配送人员应具备有效的健康合格证明，车辆应符合相关卫生要求，做到每日清洗、消毒并做好消毒记录。</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建立责任追究制度。采购人食堂管理部门将定期或不定期地对配送工作进行督查。对配送企业提供不合格产品或不按要求配送，影响正常就餐的，将按合同约定酌情扣除履约保证金；情节严重的取消配送资格，没收履约保证金；因配送产品引发的食品安全事故或造成责任事故的取消</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配送资格，没收履约保证金并将追究其法律责任。</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对配送物资，在配送过程中要做好保鲜、保质措施，同时不得喷洒有毒有害物质进行保鲜或保质。否则一经查实，</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承担相应的责任。</w:t>
      </w:r>
    </w:p>
    <w:p>
      <w:pPr>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若采购人发现在质保期内食材腐烂变质，将及时通知</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进行处理，并更换相应数量的物资。</w:t>
      </w:r>
    </w:p>
    <w:p>
      <w:pPr>
        <w:pStyle w:val="2"/>
        <w:keepNext w:val="0"/>
        <w:keepLines w:val="0"/>
        <w:pageBreakBefore w:val="0"/>
        <w:widowControl/>
        <w:numPr>
          <w:ilvl w:val="0"/>
          <w:numId w:val="48"/>
        </w:numPr>
        <w:kinsoku/>
        <w:wordWrap/>
        <w:overflowPunct/>
        <w:topLinePunct w:val="0"/>
        <w:autoSpaceDE/>
        <w:autoSpaceDN/>
        <w:bidi w:val="0"/>
        <w:adjustRightInd/>
        <w:snapToGrid/>
        <w:spacing w:line="360" w:lineRule="auto"/>
        <w:ind w:left="0" w:leftChars="0" w:firstLine="420" w:firstLineChars="0"/>
        <w:textAlignment w:val="auto"/>
        <w:rPr>
          <w:rFonts w:hint="eastAsia"/>
          <w:highlight w:val="none"/>
          <w:lang w:val="en-US" w:eastAsia="zh-CN"/>
        </w:rPr>
      </w:pP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送货时须提供食材送货清单、合格证明（合格证或每批次的质量检测报告）等，采购人对食材种类、质量、数量、价格、合格证、检测报告等进行验收确认后签字。如</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未提供合格证、检测报告、送货清单，或采购人对食材质量、数量、价格等有异议，采购人将拒绝验收，</w:t>
      </w:r>
      <w:r>
        <w:rPr>
          <w:rFonts w:hint="eastAsia" w:ascii="宋体" w:hAnsi="宋体" w:eastAsia="宋体"/>
          <w:color w:val="000000"/>
          <w:sz w:val="24"/>
          <w:szCs w:val="24"/>
          <w:highlight w:val="none"/>
          <w:lang w:eastAsia="zh-CN"/>
        </w:rPr>
        <w:t>供应商</w:t>
      </w:r>
      <w:r>
        <w:rPr>
          <w:rFonts w:hint="eastAsia" w:ascii="宋体" w:hAnsi="宋体" w:eastAsia="宋体"/>
          <w:color w:val="000000"/>
          <w:sz w:val="24"/>
          <w:szCs w:val="24"/>
          <w:highlight w:val="none"/>
        </w:rPr>
        <w:t>须在30分钟内予以妥善处理（要求提供处理方案），不得影响</w:t>
      </w:r>
      <w:r>
        <w:rPr>
          <w:rFonts w:hint="eastAsia" w:ascii="宋体" w:hAnsi="宋体" w:eastAsia="宋体" w:cs="Times New Roman"/>
          <w:color w:val="000000"/>
          <w:sz w:val="24"/>
          <w:szCs w:val="24"/>
          <w:highlight w:val="none"/>
        </w:rPr>
        <w:t>采购人食堂运作，如不能及时解决，且无采认可的理由，采购人视影响程度扣罚5%当月货款。</w:t>
      </w:r>
    </w:p>
    <w:p>
      <w:pPr>
        <w:pStyle w:val="5"/>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highlight w:val="none"/>
          <w:lang w:val="en-US" w:eastAsia="zh-CN"/>
        </w:rPr>
      </w:pPr>
      <w:r>
        <w:rPr>
          <w:rFonts w:hint="eastAsia"/>
          <w:highlight w:val="none"/>
          <w:lang w:val="en-US" w:eastAsia="zh-CN"/>
        </w:rPr>
        <w:t>商品包装要求</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本项目涉及商品包装和快递包装的，按照《关于印发&lt;商品包装政府采购需求标准（试行）&gt;、&lt;快递包装政府采购需求标准（试行）&gt;的通知》(财办库〔2020〕123号)要求，</w:t>
      </w:r>
      <w:r>
        <w:rPr>
          <w:rFonts w:hint="eastAsia" w:ascii="宋体" w:hAnsi="宋体" w:eastAsia="宋体" w:cs="宋体"/>
          <w:b w:val="0"/>
          <w:color w:val="auto"/>
          <w:sz w:val="24"/>
          <w:szCs w:val="24"/>
          <w:highlight w:val="none"/>
          <w:lang w:eastAsia="zh-CN"/>
        </w:rPr>
        <w:t>供应商</w:t>
      </w:r>
      <w:r>
        <w:rPr>
          <w:rFonts w:hint="eastAsia" w:ascii="宋体" w:hAnsi="宋体" w:eastAsia="宋体" w:cs="宋体"/>
          <w:b w:val="0"/>
          <w:color w:val="auto"/>
          <w:sz w:val="24"/>
          <w:szCs w:val="24"/>
          <w:highlight w:val="none"/>
        </w:rPr>
        <w:t>提供的产品包装和快递包装需符合《商品包装政府采购需求标准（试行）》、《快递包装政府采购需求标准（试行）》相关要求。</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本项目包装要求具体如下：</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一、商品包装环保要求</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商品包装层数不得超过 3 层，空隙率不大于 40%；</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商品包装尽可能使用单一材质的包装材料，如因功能需求必需使用不同材质，不同材质间应便于分离；</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商品包装中铅、汞、镉、六价铬的总含量应不大于100mg/kg；</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商品包装印刷使用的油墨中挥发性有机化合物(VOCs)含量应不大于 5%（以重量计）；</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塑料材质商品包装上呈现的印刷颜色不得超过 6 色；</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纸质商品包装应使用 75%以上的可再生纤维原料生产；</w:t>
      </w:r>
    </w:p>
    <w:p>
      <w:pPr>
        <w:keepNext w:val="0"/>
        <w:keepLines w:val="0"/>
        <w:pageBreakBefore w:val="0"/>
        <w:widowControl/>
        <w:numPr>
          <w:ilvl w:val="0"/>
          <w:numId w:val="49"/>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木质商品包装的原料应来源于可持续性森林。</w:t>
      </w:r>
    </w:p>
    <w:p>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二、检测方法</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商品包装中重金属（铅、汞、镉、六价铬）总量的检测按照 GB/T 10004-2008《包装用塑料复合膜、袋干法复合、挤出复合》规定的方法进行。</w:t>
      </w:r>
    </w:p>
    <w:p>
      <w:pPr>
        <w:keepNext w:val="0"/>
        <w:keepLines w:val="0"/>
        <w:pageBreakBefore w:val="0"/>
        <w:widowControl/>
        <w:numPr>
          <w:ilvl w:val="0"/>
          <w:numId w:val="50"/>
        </w:numPr>
        <w:kinsoku/>
        <w:wordWrap/>
        <w:overflowPunct/>
        <w:topLinePunct w:val="0"/>
        <w:autoSpaceDE/>
        <w:autoSpaceDN/>
        <w:bidi w:val="0"/>
        <w:adjustRightInd/>
        <w:snapToGrid/>
        <w:spacing w:line="360" w:lineRule="auto"/>
        <w:ind w:left="0" w:leftChars="0" w:firstLine="420" w:firstLineChars="0"/>
        <w:jc w:val="left"/>
        <w:textAlignment w:val="auto"/>
        <w:rPr>
          <w:highlight w:val="none"/>
        </w:rPr>
      </w:pPr>
      <w:r>
        <w:rPr>
          <w:rFonts w:hint="eastAsia" w:ascii="宋体" w:hAnsi="宋体" w:eastAsia="宋体" w:cs="宋体"/>
          <w:b w:val="0"/>
          <w:color w:val="auto"/>
          <w:sz w:val="24"/>
          <w:szCs w:val="24"/>
          <w:highlight w:val="none"/>
        </w:rPr>
        <w:t>.商品包装印刷使用的油墨中挥发性有机化合物(VOCs)的检测按照 GB/T 23986-2009《色漆和清漆 挥发性有机化合物(VOC)含量的测定 气相色谱法》规定的方法进行。</w:t>
      </w:r>
    </w:p>
    <w:p>
      <w:pPr>
        <w:pStyle w:val="4"/>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商务要求</w:t>
      </w:r>
      <w:bookmarkEnd w:id="283"/>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报价要求</w:t>
      </w:r>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default" w:ascii="宋体" w:hAnsi="宋体" w:eastAsia="宋体" w:cs="宋体"/>
          <w:b w:val="0"/>
          <w:bCs w:val="0"/>
          <w:highlight w:val="none"/>
          <w:lang w:val="en-US"/>
        </w:rPr>
      </w:pPr>
      <w:r>
        <w:rPr>
          <w:rFonts w:hint="eastAsia" w:ascii="宋体" w:hAnsi="宋体" w:eastAsia="宋体" w:cs="宋体"/>
          <w:b/>
          <w:bCs/>
          <w:sz w:val="24"/>
          <w:szCs w:val="24"/>
          <w:highlight w:val="none"/>
          <w:lang w:val="en-US" w:eastAsia="zh-CN"/>
        </w:rPr>
        <w:t>★供应商报价按折扣率进行报价，折扣率不大于1</w:t>
      </w:r>
      <w:r>
        <w:rPr>
          <w:rFonts w:hint="eastAsia" w:ascii="宋体" w:hAnsi="宋体" w:cs="宋体"/>
          <w:b/>
          <w:bCs/>
          <w:sz w:val="24"/>
          <w:szCs w:val="24"/>
          <w:highlight w:val="none"/>
          <w:lang w:val="en-US" w:eastAsia="zh-CN"/>
        </w:rPr>
        <w:t>且折扣率不能为0</w:t>
      </w:r>
      <w:r>
        <w:rPr>
          <w:rFonts w:hint="eastAsia" w:ascii="宋体" w:hAnsi="宋体" w:eastAsia="宋体" w:cs="宋体"/>
          <w:b/>
          <w:bCs/>
          <w:sz w:val="24"/>
          <w:szCs w:val="24"/>
          <w:highlight w:val="none"/>
          <w:lang w:val="en-US" w:eastAsia="zh-CN"/>
        </w:rPr>
        <w:t xml:space="preserve">。供应商折扣率高于1的，其响应文件将按无效响应文件处理。 </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价格确定</w:t>
      </w:r>
    </w:p>
    <w:p>
      <w:pPr>
        <w:pStyle w:val="5"/>
        <w:numPr>
          <w:ilvl w:val="2"/>
          <w:numId w:val="0"/>
        </w:numPr>
        <w:bidi w:val="0"/>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应每天将送货单上标明货物单价，该单价作为基础单价，以便采购方进行核查。基础单价不得高于龙泉驿区市场实时零售价格。如遇到市场价格变动较大时，乙方应通知甲方进行协商。</w:t>
      </w:r>
    </w:p>
    <w:p>
      <w:pPr>
        <w:pStyle w:val="5"/>
        <w:numPr>
          <w:ilvl w:val="2"/>
          <w:numId w:val="0"/>
        </w:numPr>
        <w:bidi w:val="0"/>
        <w:ind w:firstLine="480" w:firstLineChars="200"/>
        <w:rPr>
          <w:rFonts w:hint="default"/>
          <w:b w:val="0"/>
          <w:bCs w:val="0"/>
          <w:highlight w:val="yellow"/>
          <w:lang w:val="en-US" w:eastAsia="zh-CN"/>
        </w:rPr>
      </w:pPr>
      <w:r>
        <w:rPr>
          <w:rFonts w:hint="eastAsia"/>
          <w:b w:val="0"/>
          <w:bCs w:val="0"/>
          <w:highlight w:val="none"/>
          <w:lang w:val="en-US" w:eastAsia="zh-CN"/>
        </w:rPr>
        <w:t>采购人不定时进行市场询价抽查，若发现供应商所报市场价高于实际市场价，则视为供应商虚假报价，采购人有权对供应商进行扣款处罚，每次扣款金额为人民币5000元；供应商所报市场价高于实际市场价的50%及以上的，采购人有权解除合同并要求供应商承担相应责任。</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服务期限</w:t>
      </w:r>
    </w:p>
    <w:p>
      <w:pPr>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rPr>
      </w:pPr>
      <w:r>
        <w:rPr>
          <w:rFonts w:hint="eastAsia" w:ascii="宋体" w:hAnsi="宋体" w:eastAsia="宋体"/>
          <w:color w:val="000000"/>
          <w:sz w:val="24"/>
          <w:szCs w:val="24"/>
        </w:rPr>
        <w:t>合同签订之日起</w:t>
      </w:r>
      <w:r>
        <w:rPr>
          <w:rFonts w:hint="eastAsia" w:ascii="宋体" w:hAnsi="宋体"/>
          <w:color w:val="000000"/>
          <w:sz w:val="24"/>
          <w:szCs w:val="24"/>
          <w:lang w:val="en-US" w:eastAsia="zh-CN"/>
        </w:rPr>
        <w:t>3</w:t>
      </w:r>
      <w:r>
        <w:rPr>
          <w:rFonts w:hint="eastAsia" w:ascii="宋体" w:hAnsi="宋体" w:eastAsia="宋体"/>
          <w:color w:val="000000"/>
          <w:sz w:val="24"/>
          <w:szCs w:val="24"/>
          <w:lang w:val="en-US" w:eastAsia="zh-CN"/>
        </w:rPr>
        <w:t>年。</w:t>
      </w:r>
      <w:r>
        <w:rPr>
          <w:rFonts w:hint="eastAsia" w:ascii="宋体" w:hAnsi="宋体"/>
          <w:color w:val="000000"/>
          <w:sz w:val="24"/>
          <w:szCs w:val="24"/>
          <w:lang w:val="en-US" w:eastAsia="zh-CN"/>
        </w:rPr>
        <w:t>合同一年一签。</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服务地点</w:t>
      </w:r>
    </w:p>
    <w:p>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sz w:val="24"/>
          <w:szCs w:val="24"/>
        </w:rPr>
      </w:pPr>
      <w:r>
        <w:rPr>
          <w:rFonts w:hint="eastAsia" w:ascii="宋体" w:hAnsi="宋体"/>
          <w:color w:val="000000"/>
          <w:sz w:val="24"/>
          <w:szCs w:val="24"/>
          <w:lang w:val="en-US" w:eastAsia="zh-CN"/>
        </w:rPr>
        <w:t>采购人指定地点</w:t>
      </w:r>
      <w:r>
        <w:rPr>
          <w:rFonts w:hint="eastAsia" w:ascii="宋体" w:hAnsi="宋体" w:eastAsia="宋体"/>
          <w:color w:val="000000"/>
          <w:sz w:val="24"/>
          <w:szCs w:val="24"/>
          <w:lang w:val="en-US" w:eastAsia="zh-CN"/>
        </w:rPr>
        <w:t>。</w:t>
      </w:r>
    </w:p>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付款方式及条件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000000"/>
          <w:sz w:val="24"/>
          <w:szCs w:val="24"/>
          <w:lang w:val="en-US" w:eastAsia="zh-CN"/>
        </w:rPr>
      </w:pPr>
      <w:r>
        <w:rPr>
          <w:rFonts w:hint="eastAsia" w:ascii="宋体" w:hAnsi="宋体" w:eastAsia="宋体"/>
          <w:color w:val="000000"/>
          <w:sz w:val="24"/>
          <w:szCs w:val="24"/>
        </w:rPr>
        <w:t>每月结算一次，具体支付比例合同另行约定，按单价和一个月的供货总量</w:t>
      </w:r>
      <w:r>
        <w:rPr>
          <w:rFonts w:hint="eastAsia" w:ascii="宋体" w:hAnsi="宋体" w:eastAsia="宋体"/>
          <w:color w:val="000000"/>
          <w:sz w:val="24"/>
          <w:szCs w:val="24"/>
          <w:lang w:val="en-US" w:eastAsia="zh-CN"/>
        </w:rPr>
        <w:t>结合考核结果</w:t>
      </w:r>
      <w:r>
        <w:rPr>
          <w:rFonts w:hint="eastAsia" w:ascii="宋体" w:hAnsi="宋体" w:eastAsia="宋体"/>
          <w:color w:val="000000"/>
          <w:sz w:val="24"/>
          <w:szCs w:val="24"/>
        </w:rPr>
        <w:t>结算。</w:t>
      </w:r>
      <w:r>
        <w:rPr>
          <w:rFonts w:hint="eastAsia" w:ascii="宋体" w:hAnsi="宋体"/>
          <w:color w:val="000000"/>
          <w:sz w:val="24"/>
          <w:szCs w:val="24"/>
          <w:lang w:val="en-US" w:eastAsia="zh-CN"/>
        </w:rPr>
        <w:t>全年结算金额不超过预算。</w:t>
      </w:r>
    </w:p>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bidi="ar"/>
        </w:rPr>
        <w:t xml:space="preserve">验收方法和标准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ascii="Times New Roman" w:hAnsi="Times New Roman"/>
          <w:sz w:val="24"/>
          <w:szCs w:val="24"/>
        </w:rPr>
        <w:t>乙方将货物运至甲方指定地点，甲方按要求进行过秤验收</w:t>
      </w:r>
      <w:r>
        <w:rPr>
          <w:rFonts w:hint="eastAsia" w:ascii="Times New Roman" w:hAnsi="Times New Roman"/>
          <w:sz w:val="24"/>
          <w:szCs w:val="24"/>
          <w:lang w:eastAsia="zh-CN"/>
        </w:rPr>
        <w:t>。</w:t>
      </w:r>
      <w:r>
        <w:rPr>
          <w:rFonts w:hint="eastAsia" w:ascii="宋体" w:hAnsi="宋体" w:eastAsia="宋体"/>
          <w:color w:val="000000"/>
          <w:sz w:val="24"/>
          <w:szCs w:val="24"/>
          <w:lang w:val="en-US" w:eastAsia="zh-CN"/>
        </w:rPr>
        <w:t>其他未尽事宜按照</w:t>
      </w:r>
      <w:r>
        <w:rPr>
          <w:rFonts w:hint="eastAsia" w:ascii="宋体" w:hAnsi="宋体" w:eastAsia="宋体"/>
          <w:color w:val="000000"/>
          <w:sz w:val="24"/>
          <w:szCs w:val="24"/>
        </w:rPr>
        <w:t>《财政部关于进一步加强政府采购需求和履约验收管理的指导意见》（财库〔2016〕205号）的要求</w:t>
      </w:r>
      <w:r>
        <w:rPr>
          <w:rFonts w:hint="eastAsia" w:ascii="宋体" w:hAnsi="宋体" w:eastAsia="宋体"/>
          <w:color w:val="000000"/>
          <w:sz w:val="24"/>
          <w:szCs w:val="24"/>
          <w:lang w:val="en-US" w:eastAsia="zh-CN"/>
        </w:rPr>
        <w:t>执行</w:t>
      </w:r>
      <w:r>
        <w:rPr>
          <w:rFonts w:hint="eastAsia" w:ascii="宋体" w:hAnsi="宋体" w:eastAsia="宋体"/>
          <w:color w:val="000000"/>
          <w:sz w:val="24"/>
          <w:szCs w:val="24"/>
          <w:lang w:eastAsia="zh-CN"/>
        </w:rPr>
        <w:t>。</w:t>
      </w:r>
    </w:p>
    <w:bookmarkEnd w:id="282"/>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Cs/>
          <w:color w:val="000000"/>
          <w:sz w:val="24"/>
        </w:rPr>
      </w:pPr>
      <w:r>
        <w:rPr>
          <w:rFonts w:hint="eastAsia" w:ascii="宋体" w:hAnsi="宋体" w:eastAsia="宋体" w:cs="宋体"/>
          <w:bCs/>
          <w:color w:val="000000"/>
          <w:sz w:val="24"/>
        </w:rPr>
        <w:t>未尽事宜由采购人及中标人在签订合同时协商解决。</w:t>
      </w:r>
    </w:p>
    <w:p>
      <w:pPr>
        <w:pStyle w:val="53"/>
        <w:rPr>
          <w:rFonts w:hint="eastAsia"/>
        </w:rPr>
      </w:pPr>
    </w:p>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注：本章及合同条款均属于磋商内容，在磋商过程中均可变更（含实质性变更）。</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本章加★条款为采购项目实质性要求，不允许有负偏离。</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本章所列内容（含加★的）均可在磋商过程中进行响应。</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ectPr>
          <w:pgSz w:w="11906" w:h="16838"/>
          <w:pgMar w:top="1440" w:right="1274" w:bottom="1440" w:left="1418" w:header="851" w:footer="992" w:gutter="0"/>
          <w:cols w:space="720" w:num="1"/>
          <w:docGrid w:type="lines" w:linePitch="312" w:charSpace="0"/>
        </w:sectPr>
      </w:pPr>
    </w:p>
    <w:p>
      <w:pPr>
        <w:pStyle w:val="3"/>
        <w:rPr>
          <w:rFonts w:hint="eastAsia"/>
          <w:color w:val="auto"/>
          <w:highlight w:val="none"/>
        </w:rPr>
      </w:pPr>
      <w:bookmarkStart w:id="284" w:name="_Toc238581781"/>
      <w:bookmarkStart w:id="285" w:name="_Toc28434"/>
      <w:r>
        <w:rPr>
          <w:rFonts w:hint="eastAsia"/>
          <w:color w:val="auto"/>
          <w:highlight w:val="none"/>
        </w:rPr>
        <w:t>响应</w:t>
      </w:r>
      <w:bookmarkEnd w:id="284"/>
      <w:r>
        <w:rPr>
          <w:rFonts w:hint="eastAsia"/>
          <w:color w:val="auto"/>
          <w:highlight w:val="none"/>
        </w:rPr>
        <w:t>文件格式</w:t>
      </w:r>
      <w:bookmarkEnd w:id="285"/>
    </w:p>
    <w:p>
      <w:pPr>
        <w:pStyle w:val="4"/>
        <w:rPr>
          <w:color w:val="auto"/>
          <w:highlight w:val="none"/>
        </w:rPr>
      </w:pPr>
      <w:bookmarkStart w:id="286" w:name="_Toc30849"/>
      <w:r>
        <w:rPr>
          <w:rFonts w:hint="eastAsia"/>
          <w:color w:val="auto"/>
          <w:highlight w:val="none"/>
        </w:rPr>
        <w:t>资格性响应文件格式</w:t>
      </w:r>
      <w:bookmarkEnd w:id="286"/>
    </w:p>
    <w:p>
      <w:pPr>
        <w:pStyle w:val="5"/>
        <w:ind w:left="80" w:leftChars="0" w:firstLine="482" w:firstLineChars="0"/>
        <w:rPr>
          <w:color w:val="auto"/>
          <w:highlight w:val="none"/>
        </w:rPr>
      </w:pPr>
      <w:bookmarkStart w:id="287" w:name="_Toc320698761"/>
      <w:r>
        <w:rPr>
          <w:rFonts w:hint="eastAsia"/>
          <w:color w:val="auto"/>
          <w:highlight w:val="none"/>
        </w:rPr>
        <w:t>资格性响应件密封包装最外层格式</w:t>
      </w:r>
      <w:bookmarkEnd w:id="287"/>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成都市龙泉驿区水务局机关食堂食材配送服务采购项目</w:t>
            </w:r>
          </w:p>
          <w:p>
            <w:pPr>
              <w:spacing w:line="360" w:lineRule="auto"/>
              <w:rPr>
                <w:rFonts w:hint="eastAsia" w:ascii="宋体" w:hAnsi="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510112202100291</w:t>
            </w:r>
          </w:p>
          <w:p>
            <w:pPr>
              <w:pStyle w:val="2"/>
              <w:rPr>
                <w:rFonts w:hint="default"/>
                <w:lang w:val="en-US" w:eastAsia="zh-CN"/>
              </w:rPr>
            </w:pPr>
            <w:r>
              <w:rPr>
                <w:rFonts w:hint="eastAsia" w:ascii="宋体" w:hAnsi="宋体"/>
                <w:b/>
                <w:color w:val="auto"/>
                <w:highlight w:val="none"/>
                <w:lang w:val="en-US" w:eastAsia="zh-CN"/>
              </w:rPr>
              <w:t>包 件 号：</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bookmarkStart w:id="288" w:name="_Toc320698762"/>
      <w:r>
        <w:rPr>
          <w:rFonts w:hint="eastAsia"/>
          <w:color w:val="auto"/>
          <w:highlight w:val="none"/>
        </w:rPr>
        <w:t>资格性响应文件封面格式</w:t>
      </w:r>
      <w:bookmarkEnd w:id="288"/>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成都市龙泉驿区水务局机关食堂食材配送服务采购项目</w:t>
            </w:r>
          </w:p>
          <w:p>
            <w:pPr>
              <w:spacing w:line="360" w:lineRule="auto"/>
              <w:rPr>
                <w:rFonts w:hint="eastAsia" w:ascii="宋体" w:hAnsi="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510112202100291</w:t>
            </w:r>
          </w:p>
          <w:p>
            <w:pPr>
              <w:pStyle w:val="2"/>
              <w:rPr>
                <w:rFonts w:hint="default"/>
                <w:lang w:val="en-US" w:eastAsia="zh-CN"/>
              </w:rPr>
            </w:pPr>
            <w:r>
              <w:rPr>
                <w:rFonts w:hint="eastAsia" w:ascii="宋体" w:hAnsi="宋体"/>
                <w:b/>
                <w:color w:val="auto"/>
                <w:highlight w:val="none"/>
                <w:lang w:val="en-US" w:eastAsia="zh-CN"/>
              </w:rPr>
              <w:t>包 件 号：</w:t>
            </w:r>
          </w:p>
          <w:p>
            <w:pPr>
              <w:pStyle w:val="2"/>
              <w:rPr>
                <w:rFonts w:hint="eastAsia"/>
                <w:lang w:eastAsia="zh-CN"/>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51"/>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51"/>
        </w:numPr>
        <w:spacing w:line="360" w:lineRule="auto"/>
        <w:ind w:firstLine="482" w:firstLineChars="200"/>
        <w:rPr>
          <w:rFonts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51"/>
        </w:numPr>
        <w:spacing w:line="360" w:lineRule="auto"/>
        <w:ind w:firstLine="482" w:firstLineChars="200"/>
        <w:rPr>
          <w:rFonts w:ascii="宋体" w:hAnsi="宋体"/>
          <w:color w:val="auto"/>
          <w:highlight w:val="none"/>
        </w:rPr>
      </w:pPr>
      <w:r>
        <w:rPr>
          <w:rFonts w:hint="eastAsia" w:ascii="宋体" w:hAnsi="宋体"/>
          <w:b/>
          <w:color w:val="auto"/>
          <w:highlight w:val="none"/>
        </w:rPr>
        <w:t>签字、盖章应符合竞争性磋商文件要求。（实质性要求）</w:t>
      </w:r>
    </w:p>
    <w:p>
      <w:pPr>
        <w:numPr>
          <w:ilvl w:val="0"/>
          <w:numId w:val="51"/>
        </w:numPr>
        <w:spacing w:line="360" w:lineRule="auto"/>
        <w:ind w:left="5" w:firstLine="716" w:firstLineChars="297"/>
        <w:rPr>
          <w:rFonts w:ascii="宋体" w:hAnsi="宋体"/>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left="8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289" w:name="_Toc238581782"/>
      <w:bookmarkStart w:id="290" w:name="_Toc119296788"/>
      <w:bookmarkStart w:id="291" w:name="_Toc146903609"/>
      <w:bookmarkStart w:id="292" w:name="_Toc52184753"/>
      <w:bookmarkStart w:id="293" w:name="_Toc119295087"/>
      <w:bookmarkStart w:id="294" w:name="_Toc119203988"/>
      <w:r>
        <w:rPr>
          <w:rFonts w:hint="eastAsia" w:ascii="宋体" w:hAnsi="宋体"/>
          <w:color w:val="auto"/>
          <w:highlight w:val="none"/>
        </w:rPr>
        <w:t>致：</w:t>
      </w:r>
      <w:bookmarkEnd w:id="289"/>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295"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成都市龙泉驿区水务局机关食堂食材配送服务采购项目</w:t>
      </w:r>
      <w:r>
        <w:rPr>
          <w:rFonts w:hint="eastAsia" w:ascii="宋体" w:hAnsi="宋体"/>
          <w:b/>
          <w:color w:val="auto"/>
          <w:sz w:val="24"/>
          <w:highlight w:val="none"/>
        </w:rPr>
        <w:t>（项目编号：</w:t>
      </w:r>
      <w:r>
        <w:rPr>
          <w:rFonts w:hint="eastAsia" w:ascii="宋体" w:hAnsi="宋体"/>
          <w:b/>
          <w:color w:val="auto"/>
          <w:sz w:val="24"/>
          <w:highlight w:val="none"/>
          <w:lang w:eastAsia="zh-CN"/>
        </w:rPr>
        <w:t>510112202100291</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52"/>
        </w:numPr>
        <w:spacing w:line="360" w:lineRule="auto"/>
        <w:ind w:left="0" w:firstLine="480" w:firstLineChars="200"/>
        <w:rPr>
          <w:rFonts w:ascii="宋体" w:hAnsi="宋体"/>
          <w:color w:val="auto"/>
          <w:highlight w:val="none"/>
        </w:rPr>
      </w:pPr>
      <w:bookmarkStart w:id="296" w:name="_Toc238581784"/>
      <w:r>
        <w:rPr>
          <w:rFonts w:hint="eastAsia" w:ascii="宋体" w:hAnsi="宋体"/>
          <w:color w:val="auto"/>
          <w:highlight w:val="none"/>
        </w:rPr>
        <w:t>供应商名称及概况：</w:t>
      </w:r>
      <w:bookmarkEnd w:id="296"/>
    </w:p>
    <w:p>
      <w:pPr>
        <w:numPr>
          <w:ilvl w:val="0"/>
          <w:numId w:val="53"/>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53"/>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53"/>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53"/>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52"/>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290"/>
    <w:bookmarkEnd w:id="291"/>
    <w:bookmarkEnd w:id="292"/>
    <w:bookmarkEnd w:id="293"/>
    <w:bookmarkEnd w:id="294"/>
    <w:bookmarkEnd w:id="295"/>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left="80" w:leftChars="0" w:firstLine="482" w:firstLineChars="0"/>
        <w:rPr>
          <w:color w:val="auto"/>
          <w:highlight w:val="none"/>
        </w:rPr>
      </w:pPr>
      <w:bookmarkStart w:id="297"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left="8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left="8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54"/>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 组织的违法行为处以罚款或者没收财产2万元以上；对在经营活动中的违法行为处以罚款或者没收财产5万元以上。国务院有关部门规定的较大数额标准低于前 款规定的，从其规定。</w:t>
      </w:r>
      <w:r>
        <w:rPr>
          <w:rFonts w:hint="eastAsia" w:ascii="宋体" w:hAnsi="宋体"/>
          <w:color w:val="auto"/>
          <w:highlight w:val="none"/>
        </w:rPr>
        <w:t>）</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54"/>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54"/>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《四川省公共资源交易领域严重失信联合惩戒实施办法》（川发改信用规【2019】405号）、《关于对政府采购领域严重违法失信主体开展联合惩戒的合作备案录》（发改财经【2018】1614号）</w:t>
      </w:r>
      <w:r>
        <w:rPr>
          <w:rFonts w:hint="eastAsia" w:ascii="宋体" w:hAnsi="宋体"/>
          <w:color w:val="auto"/>
          <w:highlight w:val="none"/>
        </w:rPr>
        <w:t>规定的失信行为，将在</w:t>
      </w:r>
      <w:r>
        <w:rPr>
          <w:rFonts w:hint="eastAsia" w:ascii="宋体" w:hAnsi="宋体"/>
          <w:color w:val="auto"/>
          <w:highlight w:val="none"/>
          <w:lang w:val="en-US" w:eastAsia="zh-CN"/>
        </w:rPr>
        <w:t>响应</w:t>
      </w:r>
      <w:r>
        <w:rPr>
          <w:rFonts w:hint="eastAsia" w:ascii="宋体" w:hAnsi="宋体"/>
          <w:color w:val="auto"/>
          <w:highlight w:val="none"/>
        </w:rPr>
        <w:t>文件中全面如实反映。</w:t>
      </w:r>
    </w:p>
    <w:p>
      <w:pPr>
        <w:widowControl w:val="0"/>
        <w:numPr>
          <w:ilvl w:val="0"/>
          <w:numId w:val="54"/>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54"/>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54"/>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54"/>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54"/>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54"/>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2"/>
        <w:rPr>
          <w:rFonts w:hint="eastAsia" w:ascii="宋体" w:hAnsi="宋体"/>
          <w:color w:val="auto"/>
          <w:highlight w:val="none"/>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rFonts w:ascii="宋体" w:hAnsi="宋体" w:cs="宋体"/>
          <w:color w:val="auto"/>
          <w:sz w:val="24"/>
          <w:szCs w:val="24"/>
          <w:highlight w:val="none"/>
        </w:rPr>
      </w:pPr>
      <w:r>
        <w:rPr>
          <w:rFonts w:hint="eastAsia" w:ascii="宋体" w:hAnsi="宋体" w:eastAsia="宋体" w:cs="宋体"/>
          <w:color w:val="auto"/>
          <w:sz w:val="24"/>
          <w:szCs w:val="24"/>
          <w:lang w:val="en-US" w:eastAsia="zh-CN"/>
        </w:rPr>
        <w:t>有效期内的《食品流通许可证》或《食品经营许可证》证书复印件</w:t>
      </w: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pPr>
    </w:p>
    <w:p>
      <w:pPr>
        <w:pStyle w:val="5"/>
        <w:ind w:left="80" w:leftChars="0" w:firstLine="482" w:firstLineChars="0"/>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szCs w:val="24"/>
          <w:highlight w:val="yellow"/>
          <w:lang w:eastAsia="zh-CN"/>
        </w:r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rPr>
          <w:rFonts w:hint="eastAsia"/>
          <w:lang w:eastAsia="zh-CN"/>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w:t>
      </w:r>
      <w:r>
        <w:rPr>
          <w:rFonts w:hint="eastAsia" w:ascii="宋体" w:hAnsi="宋体"/>
          <w:b/>
          <w:spacing w:val="6"/>
          <w:szCs w:val="24"/>
          <w:highlight w:val="none"/>
          <w:lang w:eastAsia="zh-CN"/>
        </w:rPr>
        <w:t>中华人民共和国政府采购法</w:t>
      </w:r>
      <w:r>
        <w:rPr>
          <w:rFonts w:hint="eastAsia" w:ascii="宋体" w:hAnsi="宋体"/>
          <w:b/>
          <w:spacing w:val="6"/>
          <w:szCs w:val="24"/>
          <w:highlight w:val="none"/>
        </w:rPr>
        <w:t>》第七十七条第一款的规定追究法律责任。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5"/>
        <w:ind w:left="8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lang w:val="en-US" w:eastAsia="zh-CN"/>
        </w:rPr>
        <w:t>响应</w:t>
      </w:r>
      <w:r>
        <w:rPr>
          <w:rFonts w:hint="eastAsia" w:ascii="宋体" w:hAnsi="宋体" w:eastAsia="宋体" w:cs="宋体"/>
          <w:b/>
          <w:color w:val="auto"/>
          <w:sz w:val="24"/>
          <w:szCs w:val="24"/>
        </w:rPr>
        <w:t>文件中附有法定代表人身份证复印件（身份证两面均应复印）或护照复印件（</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的法定代表人为外籍人士的，则提供护照复印件）时才能生效。</w:t>
      </w:r>
      <w:r>
        <w:rPr>
          <w:rFonts w:hint="eastAsia" w:ascii="宋体" w:hAnsi="宋体" w:eastAsia="宋体" w:cs="宋体"/>
          <w:b/>
          <w:color w:val="auto"/>
          <w:sz w:val="24"/>
          <w:szCs w:val="24"/>
          <w:lang w:val="en-US" w:eastAsia="zh-CN"/>
        </w:rPr>
        <w:t>供应商</w:t>
      </w:r>
      <w:r>
        <w:rPr>
          <w:rFonts w:hint="eastAsia" w:ascii="宋体" w:hAnsi="宋体" w:eastAsia="宋体" w:cs="宋体"/>
          <w:b/>
          <w:color w:val="auto"/>
          <w:sz w:val="24"/>
          <w:szCs w:val="24"/>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left="80" w:leftChars="0" w:firstLine="482"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成都市龙泉驿区水务局机关食堂食材配送服务采购项目</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510112202100291</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4"/>
        <w:rPr>
          <w:color w:val="auto"/>
          <w:highlight w:val="none"/>
        </w:rPr>
      </w:pPr>
      <w:bookmarkStart w:id="298" w:name="_Toc31423"/>
      <w:bookmarkStart w:id="299" w:name="_Toc448403805"/>
      <w:r>
        <w:rPr>
          <w:rFonts w:hint="eastAsia"/>
          <w:color w:val="auto"/>
          <w:highlight w:val="none"/>
        </w:rPr>
        <w:t>技术、服务性响应文件格式</w:t>
      </w:r>
      <w:bookmarkEnd w:id="298"/>
      <w:bookmarkEnd w:id="299"/>
    </w:p>
    <w:p>
      <w:pPr>
        <w:pStyle w:val="5"/>
        <w:ind w:left="8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成都市龙泉驿区水务局机关食堂食材配送服务采购项目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510112202100291</w:t>
            </w:r>
          </w:p>
          <w:p>
            <w:pPr>
              <w:pStyle w:val="2"/>
              <w:rPr>
                <w:rFonts w:hint="default"/>
                <w:lang w:val="en-US" w:eastAsia="zh-CN"/>
              </w:rPr>
            </w:pPr>
            <w:r>
              <w:rPr>
                <w:rFonts w:hint="eastAsia" w:ascii="宋体" w:hAnsi="宋体"/>
                <w:b/>
                <w:color w:val="auto"/>
                <w:highlight w:val="none"/>
                <w:lang w:val="en-US" w:eastAsia="zh-CN"/>
              </w:rPr>
              <w:t>包 件 号：</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成都市龙泉驿区水务局机关食堂食材配送服务采购项目</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510112202100291</w:t>
            </w:r>
          </w:p>
          <w:p>
            <w:pPr>
              <w:pStyle w:val="2"/>
              <w:rPr>
                <w:rFonts w:hint="default"/>
                <w:lang w:val="en-US" w:eastAsia="zh-CN"/>
              </w:rPr>
            </w:pPr>
            <w:r>
              <w:rPr>
                <w:rFonts w:hint="eastAsia" w:ascii="宋体" w:hAnsi="宋体"/>
                <w:b/>
                <w:color w:val="auto"/>
                <w:highlight w:val="none"/>
                <w:lang w:val="en-US" w:eastAsia="zh-CN"/>
              </w:rPr>
              <w:t>包 件 号：</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8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成都市龙泉驿区水务局机关食堂食材配送服务采购项目</w:t>
      </w:r>
      <w:r>
        <w:rPr>
          <w:rFonts w:hint="eastAsia" w:ascii="宋体" w:hAnsi="宋体" w:cs="宋体"/>
          <w:color w:val="auto"/>
          <w:highlight w:val="none"/>
        </w:rPr>
        <w:t>（项目编号：</w:t>
      </w:r>
      <w:r>
        <w:rPr>
          <w:rFonts w:hint="eastAsia" w:ascii="宋体" w:hAnsi="宋体"/>
          <w:b/>
          <w:color w:val="auto"/>
          <w:highlight w:val="none"/>
          <w:u w:val="single"/>
          <w:lang w:eastAsia="zh-CN"/>
        </w:rPr>
        <w:t>510112202100291</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成都市龙泉驿区水务局机关食堂食材配送服务采购项目</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0"/>
        <w:numPr>
          <w:ilvl w:val="1"/>
          <w:numId w:val="55"/>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297"/>
    <w:p>
      <w:pPr>
        <w:pStyle w:val="5"/>
        <w:ind w:left="80" w:leftChars="0" w:firstLine="482" w:firstLineChars="0"/>
        <w:rPr>
          <w:color w:val="auto"/>
          <w:highlight w:val="none"/>
        </w:rPr>
      </w:pPr>
      <w:bookmarkStart w:id="300" w:name="_Toc320698766"/>
      <w:r>
        <w:rPr>
          <w:rFonts w:hint="eastAsia"/>
          <w:color w:val="auto"/>
          <w:highlight w:val="none"/>
        </w:rPr>
        <w:t>商务、服务条款偏离表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成都市龙泉驿区水务局机关食堂食材配送服务采购项目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510112202100291</w:t>
      </w:r>
    </w:p>
    <w:p>
      <w:pPr>
        <w:pStyle w:val="2"/>
        <w:ind w:firstLine="482" w:firstLineChars="200"/>
        <w:rPr>
          <w:rFonts w:hint="default"/>
          <w:lang w:val="en-US" w:eastAsia="zh-CN"/>
        </w:rPr>
      </w:pPr>
      <w:r>
        <w:rPr>
          <w:rFonts w:hint="eastAsia" w:ascii="宋体" w:hAnsi="宋体"/>
          <w:b/>
          <w:color w:val="auto"/>
          <w:highlight w:val="none"/>
          <w:lang w:val="en-US" w:eastAsia="zh-CN"/>
        </w:rPr>
        <w:t>包 件 号：</w:t>
      </w:r>
    </w:p>
    <w:p>
      <w:pPr>
        <w:pStyle w:val="2"/>
        <w:rPr>
          <w:rFonts w:hint="eastAsia"/>
          <w:lang w:eastAsia="zh-CN"/>
        </w:rPr>
      </w:pP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竞争性磋商文件的商务、服务条款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响应文件的商务、服务条款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、服务条款响应与竞争性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0"/>
    <w:p>
      <w:pPr>
        <w:pStyle w:val="5"/>
        <w:ind w:left="80" w:leftChars="0" w:firstLine="482" w:firstLineChars="0"/>
        <w:rPr>
          <w:color w:val="auto"/>
          <w:highlight w:val="none"/>
        </w:rPr>
      </w:pPr>
      <w:bookmarkStart w:id="301" w:name="_Toc360696963"/>
      <w:bookmarkStart w:id="302" w:name="_Toc236285891"/>
      <w:bookmarkStart w:id="303" w:name="_Toc205604899"/>
      <w:bookmarkStart w:id="304" w:name="_Toc238273564"/>
      <w:r>
        <w:rPr>
          <w:rFonts w:hint="eastAsia" w:ascii="宋体" w:hAnsi="宋体" w:eastAsia="宋体" w:cs="宋体"/>
          <w:sz w:val="24"/>
          <w:szCs w:val="24"/>
        </w:rPr>
        <w:t>实施方案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成都市龙泉驿区水务局机关食堂食材配送服务采购项目</w:t>
      </w:r>
    </w:p>
    <w:p>
      <w:pPr>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510112202100291</w:t>
      </w:r>
    </w:p>
    <w:p>
      <w:pPr>
        <w:pStyle w:val="2"/>
        <w:ind w:firstLine="482" w:firstLineChars="200"/>
        <w:rPr>
          <w:rFonts w:hint="default"/>
          <w:lang w:val="en-US" w:eastAsia="zh-CN"/>
        </w:rPr>
      </w:pPr>
      <w:r>
        <w:rPr>
          <w:rFonts w:hint="eastAsia" w:ascii="宋体" w:hAnsi="宋体"/>
          <w:b/>
          <w:color w:val="auto"/>
          <w:highlight w:val="none"/>
          <w:lang w:val="en-US" w:eastAsia="zh-CN"/>
        </w:rPr>
        <w:t>包 件 号：</w:t>
      </w:r>
    </w:p>
    <w:p>
      <w:pPr>
        <w:pStyle w:val="2"/>
        <w:rPr>
          <w:rFonts w:hint="eastAsia"/>
          <w:lang w:eastAsia="zh-CN"/>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5"/>
        <w:ind w:left="80" w:leftChars="0" w:firstLine="482" w:firstLineChars="0"/>
        <w:rPr>
          <w:color w:val="auto"/>
          <w:highlight w:val="none"/>
        </w:rPr>
      </w:pPr>
      <w:r>
        <w:rPr>
          <w:rFonts w:hint="eastAsia"/>
          <w:color w:val="auto"/>
          <w:highlight w:val="none"/>
        </w:rPr>
        <w:t>报价表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成都市龙泉驿区水务局机关食堂食材配送服务采购项目</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510112202100291</w:t>
      </w:r>
    </w:p>
    <w:p>
      <w:pPr>
        <w:pStyle w:val="2"/>
        <w:ind w:firstLine="482" w:firstLineChars="200"/>
        <w:rPr>
          <w:rFonts w:hint="default"/>
          <w:lang w:val="en-US" w:eastAsia="zh-CN"/>
        </w:rPr>
      </w:pPr>
      <w:r>
        <w:rPr>
          <w:rFonts w:hint="eastAsia" w:ascii="宋体" w:hAnsi="宋体"/>
          <w:b/>
          <w:color w:val="auto"/>
          <w:highlight w:val="none"/>
          <w:lang w:val="en-US" w:eastAsia="zh-CN"/>
        </w:rPr>
        <w:t>包 件 号：</w:t>
      </w:r>
    </w:p>
    <w:p>
      <w:pPr>
        <w:pStyle w:val="2"/>
        <w:rPr>
          <w:color w:val="auto"/>
          <w:highlight w:val="none"/>
        </w:rPr>
      </w:pPr>
    </w:p>
    <w:tbl>
      <w:tblPr>
        <w:tblStyle w:val="4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08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240" w:firstLineChars="100"/>
              <w:jc w:val="left"/>
              <w:textAlignment w:val="auto"/>
              <w:rPr>
                <w:rFonts w:hint="eastAsia" w:ascii="宋体"/>
                <w:color w:val="auto"/>
                <w:szCs w:val="21"/>
                <w:highlight w:val="none"/>
              </w:rPr>
            </w:pPr>
            <w:r>
              <w:rPr>
                <w:rFonts w:hint="eastAsia" w:ascii="宋体"/>
                <w:color w:val="auto"/>
                <w:szCs w:val="21"/>
                <w:highlight w:val="none"/>
              </w:rPr>
              <w:t>报价</w:t>
            </w:r>
            <w:r>
              <w:rPr>
                <w:rFonts w:hint="eastAsia" w:ascii="宋体"/>
                <w:color w:val="auto"/>
                <w:szCs w:val="21"/>
                <w:highlight w:val="none"/>
                <w:lang w:eastAsia="zh-CN"/>
              </w:rPr>
              <w:t>（</w:t>
            </w:r>
            <w:r>
              <w:rPr>
                <w:rFonts w:hint="eastAsia" w:ascii="宋体"/>
                <w:color w:val="auto"/>
                <w:szCs w:val="21"/>
                <w:highlight w:val="none"/>
                <w:lang w:val="en-US" w:eastAsia="zh-CN"/>
              </w:rPr>
              <w:t>折扣率</w:t>
            </w:r>
            <w:r>
              <w:rPr>
                <w:rFonts w:hint="eastAsia" w:asci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608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成都市龙泉驿区水务局机关食堂食材配送服务采购项目</w:t>
            </w:r>
          </w:p>
        </w:tc>
        <w:tc>
          <w:tcPr>
            <w:tcW w:w="1922"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r>
              <w:rPr>
                <w:rFonts w:hint="eastAsia" w:ascii="宋体"/>
                <w:color w:val="auto"/>
                <w:szCs w:val="21"/>
                <w:highlight w:val="none"/>
                <w:lang w:val="en-US" w:eastAsia="zh-CN"/>
              </w:rPr>
              <w:t xml:space="preserve"> </w:t>
            </w:r>
          </w:p>
        </w:tc>
      </w:tr>
    </w:tbl>
    <w:p>
      <w:pPr>
        <w:pStyle w:val="2"/>
        <w:spacing w:after="0" w:line="360" w:lineRule="auto"/>
        <w:ind w:firstLine="482" w:firstLineChars="200"/>
        <w:rPr>
          <w:rFonts w:ascii="宋体" w:hAnsi="宋体"/>
          <w:b/>
          <w:color w:val="auto"/>
          <w:highlight w:val="none"/>
          <w:u w:val="single"/>
        </w:rPr>
      </w:pPr>
    </w:p>
    <w:p>
      <w:pPr>
        <w:pStyle w:val="2"/>
        <w:spacing w:after="0" w:line="360" w:lineRule="auto"/>
        <w:ind w:firstLine="482" w:firstLineChars="200"/>
        <w:rPr>
          <w:rFonts w:ascii="宋体" w:hAnsi="宋体"/>
          <w:b/>
          <w:color w:val="auto"/>
          <w:highlight w:val="none"/>
          <w:u w:val="single"/>
        </w:rPr>
      </w:pPr>
    </w:p>
    <w:p>
      <w:pPr>
        <w:ind w:firstLine="494"/>
        <w:rPr>
          <w:rFonts w:ascii="宋体" w:hAnsi="宋体"/>
          <w:b/>
          <w:color w:val="auto"/>
          <w:highlight w:val="none"/>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w:t>
      </w:r>
      <w:r>
        <w:rPr>
          <w:rFonts w:hint="eastAsia" w:ascii="宋体" w:hAnsi="宋体"/>
          <w:b/>
          <w:color w:val="auto"/>
          <w:highlight w:val="none"/>
          <w:lang w:val="en-US" w:eastAsia="zh-CN"/>
        </w:rPr>
        <w:t>折扣率</w:t>
      </w:r>
      <w:r>
        <w:rPr>
          <w:rFonts w:hint="eastAsia" w:ascii="宋体" w:hAnsi="宋体"/>
          <w:b/>
          <w:color w:val="auto"/>
          <w:highlight w:val="none"/>
        </w:rPr>
        <w:t>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kern w:val="0"/>
          <w:sz w:val="24"/>
          <w:szCs w:val="24"/>
          <w:highlight w:val="none"/>
        </w:rPr>
      </w:pPr>
    </w:p>
    <w:p>
      <w:pPr>
        <w:pStyle w:val="27"/>
        <w:spacing w:line="360" w:lineRule="auto"/>
        <w:rPr>
          <w:rFonts w:ascii="宋体" w:hAnsi="宋体"/>
          <w:color w:val="auto"/>
          <w:highlight w:val="none"/>
        </w:rPr>
      </w:pPr>
    </w:p>
    <w:p>
      <w:pPr>
        <w:pStyle w:val="67"/>
        <w:ind w:firstLine="482" w:firstLineChars="200"/>
        <w:jc w:val="left"/>
        <w:rPr>
          <w:rFonts w:hint="eastAsia" w:ascii="宋体" w:hAnsi="宋体" w:eastAsia="宋体" w:cs="Times New Roman"/>
          <w:b/>
          <w:bCs/>
          <w:color w:val="auto"/>
          <w:sz w:val="24"/>
          <w:szCs w:val="24"/>
          <w:highlight w:val="none"/>
          <w:lang w:val="en-US" w:eastAsia="zh-CN" w:bidi="ar-SA"/>
        </w:rPr>
      </w:pPr>
      <w:r>
        <w:rPr>
          <w:rFonts w:hint="eastAsia" w:ascii="宋体" w:hAnsi="宋体" w:eastAsia="宋体" w:cs="Times New Roman"/>
          <w:b/>
          <w:bCs/>
          <w:color w:val="auto"/>
          <w:sz w:val="24"/>
          <w:szCs w:val="24"/>
          <w:highlight w:val="none"/>
          <w:lang w:val="en-US" w:eastAsia="zh-CN" w:bidi="ar-SA"/>
        </w:rPr>
        <w:t>注：所有产品统一报一种折扣率，折扣率=实际单价÷基础单价，折扣率不能大于1。如果供应商折扣率报价为0.8，即8折，则某产品结算单价=该产品基础单价*折扣率。以此类推。</w:t>
      </w:r>
    </w:p>
    <w:p>
      <w:pPr>
        <w:pStyle w:val="2"/>
        <w:rPr>
          <w:rFonts w:ascii="宋体" w:hAnsi="宋体" w:cs="宋体"/>
          <w:color w:val="auto"/>
          <w:highlight w:val="none"/>
        </w:rPr>
      </w:pPr>
    </w:p>
    <w:p>
      <w:pPr>
        <w:rPr>
          <w:rFonts w:ascii="宋体" w:hAnsi="宋体" w:cs="宋体"/>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left="80" w:leftChars="0" w:firstLine="482" w:firstLineChars="0"/>
        <w:rPr>
          <w:color w:val="auto"/>
          <w:highlight w:val="none"/>
        </w:rPr>
      </w:pPr>
      <w:bookmarkStart w:id="305" w:name="_Toc451340457"/>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成都市龙泉驿区水务局机关食堂食材配送服务采购项目</w:t>
      </w:r>
    </w:p>
    <w:p>
      <w:pPr>
        <w:spacing w:line="360" w:lineRule="auto"/>
        <w:ind w:firstLine="482" w:firstLineChars="200"/>
        <w:rPr>
          <w:rFonts w:hint="eastAsia" w:ascii="宋体" w:hAnsi="宋体" w:cs="宋体"/>
          <w:b/>
          <w:color w:val="auto"/>
          <w:highlight w:val="none"/>
          <w:u w:val="singl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510112202100291</w:t>
      </w:r>
    </w:p>
    <w:p>
      <w:pPr>
        <w:pStyle w:val="2"/>
        <w:ind w:firstLine="482" w:firstLineChars="200"/>
        <w:rPr>
          <w:rFonts w:hint="default"/>
          <w:lang w:val="en-US" w:eastAsia="zh-CN"/>
        </w:rPr>
      </w:pPr>
      <w:r>
        <w:rPr>
          <w:rFonts w:hint="eastAsia" w:ascii="宋体" w:hAnsi="宋体"/>
          <w:b/>
          <w:color w:val="auto"/>
          <w:highlight w:val="none"/>
          <w:lang w:val="en-US" w:eastAsia="zh-CN"/>
        </w:rPr>
        <w:t>包 件 号：</w:t>
      </w:r>
    </w:p>
    <w:p>
      <w:pPr>
        <w:pStyle w:val="2"/>
        <w:rPr>
          <w:rFonts w:hint="eastAsia"/>
          <w:lang w:eastAsia="zh-CN"/>
        </w:rPr>
      </w:pP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1975"/>
        <w:gridCol w:w="1724"/>
        <w:gridCol w:w="1435"/>
        <w:gridCol w:w="23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1975"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724"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435" w:type="dxa"/>
            <w:vAlign w:val="center"/>
          </w:tcPr>
          <w:p>
            <w:pPr>
              <w:spacing w:line="520" w:lineRule="exact"/>
              <w:ind w:firstLine="140" w:firstLineChars="50"/>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97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724"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1435" w:type="dxa"/>
            <w:tcBorders>
              <w:left w:val="single" w:color="auto" w:sz="4" w:space="0"/>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rPr>
                <w:rFonts w:ascii="宋体" w:hAnsi="宋体" w:cs="宋体"/>
                <w:color w:val="auto"/>
                <w:sz w:val="28"/>
                <w:szCs w:val="28"/>
                <w:highlight w:val="none"/>
              </w:rPr>
            </w:pPr>
          </w:p>
        </w:tc>
        <w:tc>
          <w:tcPr>
            <w:tcW w:w="1533" w:type="dxa"/>
            <w:vAlign w:val="center"/>
          </w:tcPr>
          <w:p>
            <w:pPr>
              <w:spacing w:line="520" w:lineRule="exact"/>
              <w:rPr>
                <w:rFonts w:ascii="宋体" w:hAnsi="宋体" w:cs="宋体"/>
                <w:color w:val="auto"/>
                <w:sz w:val="28"/>
                <w:szCs w:val="28"/>
                <w:highlight w:val="none"/>
              </w:rPr>
            </w:pPr>
          </w:p>
        </w:tc>
        <w:tc>
          <w:tcPr>
            <w:tcW w:w="1975" w:type="dxa"/>
            <w:vAlign w:val="center"/>
          </w:tcPr>
          <w:p>
            <w:pPr>
              <w:spacing w:line="520" w:lineRule="exact"/>
              <w:rPr>
                <w:rFonts w:ascii="宋体" w:hAnsi="宋体" w:cs="宋体"/>
                <w:color w:val="auto"/>
                <w:sz w:val="28"/>
                <w:szCs w:val="28"/>
                <w:highlight w:val="none"/>
              </w:rPr>
            </w:pPr>
          </w:p>
        </w:tc>
        <w:tc>
          <w:tcPr>
            <w:tcW w:w="1724" w:type="dxa"/>
            <w:vAlign w:val="center"/>
          </w:tcPr>
          <w:p>
            <w:pPr>
              <w:spacing w:line="520" w:lineRule="exact"/>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1975" w:type="dxa"/>
            <w:vAlign w:val="center"/>
          </w:tcPr>
          <w:p>
            <w:pPr>
              <w:spacing w:line="520" w:lineRule="exact"/>
              <w:jc w:val="center"/>
              <w:rPr>
                <w:rFonts w:ascii="宋体" w:hAnsi="宋体" w:cs="宋体"/>
                <w:color w:val="auto"/>
                <w:sz w:val="28"/>
                <w:szCs w:val="28"/>
                <w:highlight w:val="none"/>
              </w:rPr>
            </w:pPr>
          </w:p>
        </w:tc>
        <w:tc>
          <w:tcPr>
            <w:tcW w:w="1724" w:type="dxa"/>
            <w:vAlign w:val="center"/>
          </w:tcPr>
          <w:p>
            <w:pPr>
              <w:spacing w:line="520" w:lineRule="exact"/>
              <w:jc w:val="center"/>
              <w:rPr>
                <w:rFonts w:ascii="宋体" w:hAnsi="宋体" w:cs="宋体"/>
                <w:color w:val="auto"/>
                <w:sz w:val="28"/>
                <w:szCs w:val="28"/>
                <w:highlight w:val="none"/>
              </w:rPr>
            </w:pPr>
          </w:p>
        </w:tc>
        <w:tc>
          <w:tcPr>
            <w:tcW w:w="143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975"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724"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43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313"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01"/>
    <w:bookmarkEnd w:id="305"/>
    <w:p>
      <w:pPr>
        <w:pStyle w:val="5"/>
        <w:ind w:left="8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sz w:val="24"/>
          <w:szCs w:val="24"/>
          <w:highlight w:val="none"/>
        </w:rPr>
      </w:pPr>
      <w:bookmarkStart w:id="306" w:name="_Toc10512"/>
      <w:r>
        <w:rPr>
          <w:rFonts w:hint="eastAsia"/>
          <w:color w:val="auto"/>
          <w:sz w:val="24"/>
          <w:szCs w:val="24"/>
          <w:highlight w:val="none"/>
        </w:rPr>
        <w:t>最后报价（格式）</w:t>
      </w:r>
      <w:bookmarkEnd w:id="306"/>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成都市龙泉驿区水务局机关食堂食材配送服务采购项目</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510112202100291</w:t>
      </w:r>
    </w:p>
    <w:p>
      <w:pPr>
        <w:pStyle w:val="2"/>
        <w:ind w:firstLine="482" w:firstLineChars="200"/>
        <w:rPr>
          <w:rFonts w:hint="default"/>
          <w:lang w:val="en-US" w:eastAsia="zh-CN"/>
        </w:rPr>
      </w:pPr>
      <w:r>
        <w:rPr>
          <w:rFonts w:hint="eastAsia" w:ascii="宋体" w:hAnsi="宋体"/>
          <w:b/>
          <w:color w:val="auto"/>
          <w:highlight w:val="none"/>
          <w:lang w:val="en-US" w:eastAsia="zh-CN"/>
        </w:rPr>
        <w:t>包 件 号：</w:t>
      </w:r>
    </w:p>
    <w:p>
      <w:pPr>
        <w:pStyle w:val="2"/>
        <w:rPr>
          <w:rFonts w:hint="eastAsia"/>
          <w:lang w:eastAsia="zh-CN"/>
        </w:rPr>
      </w:pPr>
    </w:p>
    <w:p>
      <w:pPr>
        <w:pStyle w:val="2"/>
        <w:rPr>
          <w:color w:val="auto"/>
          <w:highlight w:val="none"/>
        </w:rPr>
      </w:pPr>
    </w:p>
    <w:tbl>
      <w:tblPr>
        <w:tblStyle w:val="4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587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ascii="宋体"/>
                <w:color w:val="auto"/>
                <w:szCs w:val="21"/>
                <w:highlight w:val="none"/>
              </w:rPr>
            </w:pPr>
            <w:r>
              <w:rPr>
                <w:rFonts w:hint="eastAsia" w:ascii="宋体"/>
                <w:color w:val="auto"/>
                <w:szCs w:val="21"/>
                <w:highlight w:val="none"/>
              </w:rPr>
              <w:t>序号</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left="0" w:leftChars="0" w:firstLine="0" w:firstLineChars="0"/>
              <w:jc w:val="left"/>
              <w:textAlignment w:val="auto"/>
              <w:rPr>
                <w:rFonts w:hint="eastAsia" w:ascii="宋体" w:eastAsia="宋体"/>
                <w:color w:val="auto"/>
                <w:szCs w:val="21"/>
                <w:highlight w:val="none"/>
                <w:lang w:eastAsia="zh-CN"/>
              </w:rPr>
            </w:pPr>
            <w:r>
              <w:rPr>
                <w:rFonts w:hint="eastAsia" w:ascii="宋体"/>
                <w:color w:val="auto"/>
                <w:szCs w:val="21"/>
                <w:highlight w:val="none"/>
                <w:lang w:val="en-US" w:eastAsia="zh-CN"/>
              </w:rPr>
              <w:t>项目名称</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jc w:val="left"/>
              <w:textAlignment w:val="auto"/>
              <w:rPr>
                <w:rFonts w:hint="eastAsia" w:ascii="宋体"/>
                <w:color w:val="auto"/>
                <w:szCs w:val="21"/>
                <w:highlight w:val="none"/>
              </w:rPr>
            </w:pPr>
            <w:r>
              <w:rPr>
                <w:rFonts w:hint="eastAsia" w:ascii="宋体"/>
                <w:color w:val="auto"/>
                <w:szCs w:val="21"/>
                <w:highlight w:val="none"/>
                <w:lang w:val="en-US" w:eastAsia="zh-CN"/>
              </w:rPr>
              <w:t>最后</w:t>
            </w:r>
            <w:r>
              <w:rPr>
                <w:rFonts w:hint="eastAsia" w:ascii="宋体"/>
                <w:color w:val="auto"/>
                <w:szCs w:val="21"/>
                <w:highlight w:val="none"/>
              </w:rPr>
              <w:t>报价</w:t>
            </w:r>
            <w:r>
              <w:rPr>
                <w:rFonts w:hint="eastAsia" w:ascii="宋体"/>
                <w:color w:val="auto"/>
                <w:szCs w:val="21"/>
                <w:highlight w:val="none"/>
                <w:lang w:eastAsia="zh-CN"/>
              </w:rPr>
              <w:t>（</w:t>
            </w:r>
            <w:r>
              <w:rPr>
                <w:rFonts w:hint="eastAsia" w:ascii="宋体"/>
                <w:color w:val="auto"/>
                <w:szCs w:val="21"/>
                <w:highlight w:val="none"/>
                <w:lang w:val="en-US" w:eastAsia="zh-CN"/>
              </w:rPr>
              <w:t>折扣率</w:t>
            </w:r>
            <w:r>
              <w:rPr>
                <w:rFonts w:hint="eastAsia" w:asci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6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center"/>
              <w:textAlignment w:val="auto"/>
              <w:rPr>
                <w:rFonts w:ascii="宋体"/>
                <w:color w:val="auto"/>
                <w:szCs w:val="21"/>
                <w:highlight w:val="none"/>
              </w:rPr>
            </w:pPr>
            <w:r>
              <w:rPr>
                <w:rFonts w:hint="eastAsia" w:ascii="宋体"/>
                <w:color w:val="auto"/>
                <w:szCs w:val="21"/>
                <w:highlight w:val="none"/>
              </w:rPr>
              <w:t>1</w:t>
            </w:r>
          </w:p>
        </w:tc>
        <w:tc>
          <w:tcPr>
            <w:tcW w:w="587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default" w:ascii="宋体" w:eastAsia="宋体"/>
                <w:color w:val="auto"/>
                <w:szCs w:val="21"/>
                <w:highlight w:val="none"/>
                <w:lang w:val="en-US" w:eastAsia="zh-CN"/>
              </w:rPr>
            </w:pPr>
            <w:r>
              <w:rPr>
                <w:rFonts w:hint="eastAsia" w:ascii="宋体"/>
                <w:color w:val="auto"/>
                <w:szCs w:val="21"/>
                <w:highlight w:val="none"/>
                <w:u w:val="none"/>
                <w:lang w:val="en-US" w:eastAsia="zh-CN"/>
              </w:rPr>
              <w:t>成都市龙泉驿区水务局机关食堂食材配送服务采购项目</w:t>
            </w:r>
          </w:p>
        </w:tc>
        <w:tc>
          <w:tcPr>
            <w:tcW w:w="1996" w:type="dxa"/>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0" w:firstLineChars="0"/>
              <w:jc w:val="left"/>
              <w:textAlignment w:val="auto"/>
              <w:rPr>
                <w:rFonts w:hint="default" w:ascii="宋体"/>
                <w:color w:val="auto"/>
                <w:szCs w:val="21"/>
                <w:highlight w:val="none"/>
                <w:lang w:val="en-US" w:eastAsia="zh-CN"/>
              </w:rPr>
            </w:pPr>
          </w:p>
        </w:tc>
      </w:tr>
    </w:tbl>
    <w:p>
      <w:pPr>
        <w:widowControl w:val="0"/>
        <w:tabs>
          <w:tab w:val="left" w:pos="630"/>
          <w:tab w:val="left" w:pos="1854"/>
          <w:tab w:val="left" w:pos="7560"/>
        </w:tabs>
        <w:spacing w:line="360" w:lineRule="auto"/>
        <w:ind w:firstLine="548" w:firstLineChars="196"/>
        <w:jc w:val="both"/>
        <w:rPr>
          <w:rFonts w:ascii="宋体" w:hAnsi="宋体" w:cs="宋体"/>
          <w:color w:val="auto"/>
          <w:sz w:val="28"/>
          <w:szCs w:val="28"/>
          <w:highlight w:val="none"/>
          <w:lang w:val="zh-CN"/>
        </w:rPr>
      </w:pPr>
    </w:p>
    <w:p>
      <w:pPr>
        <w:pStyle w:val="2"/>
        <w:rPr>
          <w:rFonts w:ascii="宋体" w:hAnsi="宋体" w:cs="宋体"/>
          <w:color w:val="auto"/>
          <w:sz w:val="28"/>
          <w:szCs w:val="28"/>
          <w:highlight w:val="none"/>
          <w:lang w:val="zh-CN"/>
        </w:rPr>
      </w:pPr>
    </w:p>
    <w:p>
      <w:pPr>
        <w:rPr>
          <w:color w:val="auto"/>
          <w:highlight w:val="none"/>
          <w:lang w:val="zh-CN"/>
        </w:rPr>
      </w:pPr>
    </w:p>
    <w:p>
      <w:pPr>
        <w:ind w:firstLine="494"/>
        <w:rPr>
          <w:rFonts w:ascii="宋体" w:hAnsi="宋体"/>
          <w:b/>
          <w:color w:val="auto"/>
          <w:highlight w:val="none"/>
          <w:u w:val="single"/>
        </w:rPr>
      </w:pPr>
      <w:r>
        <w:rPr>
          <w:rFonts w:hint="eastAsia" w:ascii="宋体" w:hAnsi="宋体"/>
          <w:b/>
          <w:color w:val="auto"/>
          <w:highlight w:val="none"/>
        </w:rPr>
        <w:t>最后报价（</w:t>
      </w:r>
      <w:r>
        <w:rPr>
          <w:rFonts w:hint="eastAsia" w:ascii="宋体" w:hAnsi="宋体"/>
          <w:b/>
          <w:color w:val="auto"/>
          <w:highlight w:val="none"/>
          <w:lang w:val="en-US" w:eastAsia="zh-CN"/>
        </w:rPr>
        <w:t>折扣率</w:t>
      </w:r>
      <w:r>
        <w:rPr>
          <w:rFonts w:hint="eastAsia" w:ascii="宋体" w:hAnsi="宋体"/>
          <w:b/>
          <w:color w:val="auto"/>
          <w:highlight w:val="none"/>
        </w:rPr>
        <w:t>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pStyle w:val="2"/>
        <w:spacing w:after="0" w:line="360" w:lineRule="auto"/>
        <w:ind w:firstLine="480" w:firstLineChars="200"/>
        <w:rPr>
          <w:rFonts w:ascii="宋体" w:hAnsi="宋体" w:cs="宋体"/>
          <w:color w:val="auto"/>
          <w:highlight w:val="none"/>
        </w:rPr>
      </w:pPr>
    </w:p>
    <w:p>
      <w:pPr>
        <w:pStyle w:val="2"/>
        <w:spacing w:after="0" w:line="360" w:lineRule="auto"/>
        <w:ind w:firstLine="482" w:firstLineChars="200"/>
        <w:rPr>
          <w:rFonts w:ascii="宋体" w:hAnsi="宋体" w:cs="宋体"/>
          <w:b/>
          <w:color w:val="auto"/>
          <w:highlight w:val="none"/>
          <w:u w:val="single"/>
        </w:rPr>
      </w:pPr>
    </w:p>
    <w:p>
      <w:pPr>
        <w:pStyle w:val="2"/>
        <w:spacing w:after="0" w:line="360" w:lineRule="auto"/>
        <w:ind w:firstLine="482" w:firstLineChars="200"/>
        <w:rPr>
          <w:rFonts w:ascii="宋体" w:hAnsi="宋体" w:cs="宋体"/>
          <w:b/>
          <w:color w:val="auto"/>
          <w:highlight w:val="none"/>
          <w:u w:val="singl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2" w:firstLineChars="200"/>
        <w:jc w:val="left"/>
        <w:rPr>
          <w:rFonts w:ascii="宋体" w:hAnsi="宋体" w:cs="宋体"/>
          <w:b/>
          <w:color w:val="auto"/>
          <w:sz w:val="24"/>
          <w:szCs w:val="24"/>
          <w:highlight w:val="none"/>
        </w:rPr>
      </w:pP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说明：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07" w:name="_Toc3309"/>
      <w:r>
        <w:rPr>
          <w:rFonts w:hint="eastAsia"/>
          <w:color w:val="auto"/>
          <w:highlight w:val="none"/>
        </w:rPr>
        <w:t>合同主要条款</w:t>
      </w:r>
      <w:bookmarkEnd w:id="307"/>
    </w:p>
    <w:bookmarkEnd w:id="302"/>
    <w:bookmarkEnd w:id="303"/>
    <w:bookmarkEnd w:id="304"/>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56"/>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56"/>
        </w:numPr>
        <w:spacing w:line="360" w:lineRule="auto"/>
        <w:ind w:left="0" w:firstLine="482" w:firstLineChars="200"/>
        <w:rPr>
          <w:rFonts w:ascii="宋体" w:hAnsi="宋体" w:cs="宋体"/>
          <w:b/>
          <w:color w:val="auto"/>
          <w:highlight w:val="none"/>
        </w:rPr>
      </w:pPr>
      <w:bookmarkStart w:id="308" w:name="_Toc237145406"/>
      <w:bookmarkStart w:id="309" w:name="_Toc225244852"/>
      <w:bookmarkStart w:id="310" w:name="_Toc211854449"/>
      <w:bookmarkStart w:id="311" w:name="_Toc225670751"/>
      <w:bookmarkStart w:id="312" w:name="_Toc212019594"/>
      <w:bookmarkStart w:id="313" w:name="_Toc241833903"/>
      <w:bookmarkStart w:id="314" w:name="_Toc282696226"/>
      <w:bookmarkStart w:id="315" w:name="_Toc239568418"/>
      <w:bookmarkStart w:id="316" w:name="_Toc251768862"/>
      <w:bookmarkStart w:id="317" w:name="_Toc238984975"/>
      <w:bookmarkStart w:id="318" w:name="_Toc232492928"/>
      <w:bookmarkStart w:id="319" w:name="_Toc239233914"/>
      <w:bookmarkStart w:id="320" w:name="_Toc225654644"/>
      <w:bookmarkStart w:id="321" w:name="_Toc286993786"/>
      <w:bookmarkStart w:id="322" w:name="_Toc283019214"/>
      <w:bookmarkStart w:id="323" w:name="_Toc185395249"/>
      <w:bookmarkStart w:id="324" w:name="_Toc211911348"/>
      <w:bookmarkStart w:id="325" w:name="_Toc247334841"/>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5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57"/>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Pr>
        <w:numPr>
          <w:ilvl w:val="0"/>
          <w:numId w:val="56"/>
        </w:numPr>
        <w:spacing w:line="360" w:lineRule="auto"/>
        <w:ind w:left="0" w:firstLine="482" w:firstLineChars="200"/>
        <w:rPr>
          <w:rFonts w:ascii="宋体" w:hAnsi="宋体" w:cs="宋体"/>
          <w:b/>
          <w:color w:val="auto"/>
          <w:highlight w:val="none"/>
        </w:rPr>
      </w:pPr>
      <w:bookmarkStart w:id="326" w:name="_Toc225670756"/>
      <w:bookmarkStart w:id="327" w:name="_Toc185395254"/>
      <w:bookmarkStart w:id="328" w:name="_Toc225654649"/>
      <w:bookmarkStart w:id="329" w:name="_Toc251768867"/>
      <w:bookmarkStart w:id="330" w:name="_Toc232492933"/>
      <w:bookmarkStart w:id="331" w:name="_Toc237145411"/>
      <w:bookmarkStart w:id="332" w:name="_Toc241833908"/>
      <w:bookmarkStart w:id="333" w:name="_Toc247334846"/>
      <w:bookmarkStart w:id="334" w:name="_Toc212019599"/>
      <w:bookmarkStart w:id="335" w:name="_Toc239233919"/>
      <w:bookmarkStart w:id="336" w:name="_Toc239568423"/>
      <w:bookmarkStart w:id="337" w:name="_Toc225244857"/>
      <w:bookmarkStart w:id="338" w:name="_Toc238984980"/>
      <w:bookmarkStart w:id="339" w:name="_Toc286993792"/>
      <w:bookmarkStart w:id="340" w:name="_Toc211854454"/>
      <w:bookmarkStart w:id="341" w:name="_Toc211911353"/>
      <w:r>
        <w:rPr>
          <w:rFonts w:hint="eastAsia" w:ascii="宋体" w:hAnsi="宋体" w:cs="宋体"/>
          <w:b/>
          <w:color w:val="auto"/>
          <w:highlight w:val="none"/>
        </w:rPr>
        <w:t>解决合同纠纷的方式</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56"/>
        </w:numPr>
        <w:spacing w:line="360" w:lineRule="auto"/>
        <w:ind w:left="0" w:firstLine="482" w:firstLineChars="200"/>
        <w:rPr>
          <w:rFonts w:ascii="宋体" w:hAnsi="宋体" w:cs="宋体"/>
          <w:b/>
          <w:color w:val="auto"/>
          <w:highlight w:val="none"/>
        </w:rPr>
      </w:pPr>
      <w:bookmarkStart w:id="342" w:name="_Toc241833909"/>
      <w:bookmarkStart w:id="343" w:name="_Toc239568424"/>
      <w:bookmarkStart w:id="344" w:name="_Toc232492934"/>
      <w:bookmarkStart w:id="345" w:name="_Toc211854455"/>
      <w:bookmarkStart w:id="346" w:name="_Toc225670757"/>
      <w:bookmarkStart w:id="347" w:name="_Toc211911354"/>
      <w:bookmarkStart w:id="348" w:name="_Toc237145412"/>
      <w:bookmarkStart w:id="349" w:name="_Toc238984981"/>
      <w:bookmarkStart w:id="350" w:name="_Toc185395255"/>
      <w:bookmarkStart w:id="351" w:name="_Toc247334847"/>
      <w:bookmarkStart w:id="352" w:name="_Toc283019219"/>
      <w:bookmarkStart w:id="353" w:name="_Toc239233920"/>
      <w:bookmarkStart w:id="354" w:name="_Toc286993793"/>
      <w:bookmarkStart w:id="355" w:name="_Toc212019600"/>
      <w:bookmarkStart w:id="356" w:name="_Toc251768868"/>
      <w:bookmarkStart w:id="357" w:name="_Toc282696231"/>
      <w:bookmarkStart w:id="358" w:name="_Toc225654650"/>
      <w:bookmarkStart w:id="359" w:name="_Toc225244858"/>
      <w:r>
        <w:rPr>
          <w:rFonts w:hint="eastAsia" w:ascii="宋体" w:hAnsi="宋体" w:cs="宋体"/>
          <w:b/>
          <w:color w:val="auto"/>
          <w:highlight w:val="none"/>
        </w:rPr>
        <w:t>合同</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hint="eastAsia" w:ascii="宋体" w:hAnsi="宋体" w:cs="宋体"/>
          <w:b/>
          <w:color w:val="auto"/>
          <w:highlight w:val="none"/>
        </w:rPr>
        <w:t>生效及其他</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5"/>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56"/>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6"/>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B4B3C"/>
    <w:multiLevelType w:val="singleLevel"/>
    <w:tmpl w:val="C47B4B3C"/>
    <w:lvl w:ilvl="0" w:tentative="0">
      <w:start w:val="1"/>
      <w:numFmt w:val="decimal"/>
      <w:lvlText w:val="%1、"/>
      <w:lvlJc w:val="left"/>
      <w:pPr>
        <w:tabs>
          <w:tab w:val="left" w:pos="420"/>
        </w:tabs>
        <w:ind w:left="425" w:leftChars="0" w:hanging="425" w:firstLineChars="0"/>
      </w:pPr>
      <w:rPr>
        <w:rFonts w:hint="default"/>
      </w:rPr>
    </w:lvl>
  </w:abstractNum>
  <w:abstractNum w:abstractNumId="1">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2">
    <w:nsid w:val="F5252062"/>
    <w:multiLevelType w:val="singleLevel"/>
    <w:tmpl w:val="F5252062"/>
    <w:lvl w:ilvl="0" w:tentative="0">
      <w:start w:val="1"/>
      <w:numFmt w:val="chineseCounting"/>
      <w:suff w:val="nothing"/>
      <w:lvlText w:val="（%1）"/>
      <w:lvlJc w:val="left"/>
      <w:pPr>
        <w:ind w:left="0" w:firstLine="420"/>
      </w:pPr>
      <w:rPr>
        <w:rFonts w:hint="eastAsia"/>
      </w:rPr>
    </w:lvl>
  </w:abstractNum>
  <w:abstractNum w:abstractNumId="3">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93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4">
    <w:nsid w:val="0A92227D"/>
    <w:multiLevelType w:val="multilevel"/>
    <w:tmpl w:val="0A92227D"/>
    <w:lvl w:ilvl="0" w:tentative="0">
      <w:start w:val="1"/>
      <w:numFmt w:val="bullet"/>
      <w:pStyle w:val="107"/>
      <w:lvlText w:val=""/>
      <w:lvlJc w:val="left"/>
      <w:pPr>
        <w:ind w:left="900" w:hanging="420"/>
      </w:pPr>
      <w:rPr>
        <w:rFonts w:hint="default" w:ascii="Wingdings" w:hAnsi="Wingdings"/>
      </w:rPr>
    </w:lvl>
    <w:lvl w:ilvl="1" w:tentative="0">
      <w:start w:val="1"/>
      <w:numFmt w:val="bullet"/>
      <w:pStyle w:val="10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6">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708C7A"/>
    <w:multiLevelType w:val="singleLevel"/>
    <w:tmpl w:val="23708C7A"/>
    <w:lvl w:ilvl="0" w:tentative="0">
      <w:start w:val="1"/>
      <w:numFmt w:val="chineseCounting"/>
      <w:suff w:val="nothing"/>
      <w:lvlText w:val="（%1）"/>
      <w:lvlJc w:val="left"/>
      <w:pPr>
        <w:ind w:left="0" w:firstLine="420"/>
      </w:pPr>
      <w:rPr>
        <w:rFonts w:hint="eastAsia"/>
      </w:rPr>
    </w:lvl>
  </w:abstractNum>
  <w:abstractNum w:abstractNumId="9">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1"/>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1">
    <w:nsid w:val="2AA52D8F"/>
    <w:multiLevelType w:val="singleLevel"/>
    <w:tmpl w:val="2AA52D8F"/>
    <w:lvl w:ilvl="0" w:tentative="0">
      <w:start w:val="1"/>
      <w:numFmt w:val="chineseCounting"/>
      <w:suff w:val="nothing"/>
      <w:lvlText w:val="%1、"/>
      <w:lvlJc w:val="left"/>
      <w:pPr>
        <w:ind w:left="0" w:firstLine="420"/>
      </w:pPr>
      <w:rPr>
        <w:rFonts w:hint="eastAsia"/>
      </w:rPr>
    </w:lvl>
  </w:abstractNum>
  <w:abstractNum w:abstractNumId="1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3">
    <w:nsid w:val="31319B26"/>
    <w:multiLevelType w:val="singleLevel"/>
    <w:tmpl w:val="31319B26"/>
    <w:lvl w:ilvl="0" w:tentative="0">
      <w:start w:val="1"/>
      <w:numFmt w:val="chineseCounting"/>
      <w:suff w:val="nothing"/>
      <w:lvlText w:val="（%1）"/>
      <w:lvlJc w:val="left"/>
      <w:pPr>
        <w:ind w:left="0" w:firstLine="420"/>
      </w:pPr>
      <w:rPr>
        <w:rFonts w:hint="eastAsia"/>
      </w:rPr>
    </w:lvl>
  </w:abstractNum>
  <w:abstractNum w:abstractNumId="14">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3622F40"/>
    <w:multiLevelType w:val="singleLevel"/>
    <w:tmpl w:val="43622F40"/>
    <w:lvl w:ilvl="0" w:tentative="0">
      <w:start w:val="1"/>
      <w:numFmt w:val="decimal"/>
      <w:lvlText w:val="%1、"/>
      <w:lvlJc w:val="left"/>
      <w:pPr>
        <w:tabs>
          <w:tab w:val="left" w:pos="420"/>
        </w:tabs>
        <w:ind w:left="425" w:leftChars="0" w:hanging="425" w:firstLineChars="0"/>
      </w:pPr>
      <w:rPr>
        <w:rFonts w:hint="default"/>
      </w:rPr>
    </w:lvl>
  </w:abstractNum>
  <w:abstractNum w:abstractNumId="17">
    <w:nsid w:val="466A0684"/>
    <w:multiLevelType w:val="singleLevel"/>
    <w:tmpl w:val="466A0684"/>
    <w:lvl w:ilvl="0" w:tentative="0">
      <w:start w:val="1"/>
      <w:numFmt w:val="chineseCounting"/>
      <w:suff w:val="nothing"/>
      <w:lvlText w:val="%1、"/>
      <w:lvlJc w:val="left"/>
      <w:pPr>
        <w:ind w:left="0" w:firstLine="420"/>
      </w:pPr>
      <w:rPr>
        <w:rFonts w:hint="eastAsia"/>
      </w:rPr>
    </w:lvl>
  </w:abstractNum>
  <w:abstractNum w:abstractNumId="18">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9">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1C238C3"/>
    <w:multiLevelType w:val="singleLevel"/>
    <w:tmpl w:val="51C238C3"/>
    <w:lvl w:ilvl="0" w:tentative="0">
      <w:start w:val="1"/>
      <w:numFmt w:val="chineseCounting"/>
      <w:suff w:val="nothing"/>
      <w:lvlText w:val="%1、"/>
      <w:lvlJc w:val="left"/>
      <w:pPr>
        <w:ind w:left="0" w:firstLine="420"/>
      </w:pPr>
      <w:rPr>
        <w:rFonts w:hint="eastAsia"/>
      </w:rPr>
    </w:lvl>
  </w:abstractNum>
  <w:abstractNum w:abstractNumId="21">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22">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24">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5">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6">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7">
    <w:nsid w:val="58E72D27"/>
    <w:multiLevelType w:val="singleLevel"/>
    <w:tmpl w:val="58E72D27"/>
    <w:lvl w:ilvl="0" w:tentative="0">
      <w:start w:val="1"/>
      <w:numFmt w:val="decimal"/>
      <w:lvlText w:val="%1."/>
      <w:lvlJc w:val="left"/>
      <w:pPr>
        <w:ind w:left="425" w:hanging="425"/>
      </w:pPr>
      <w:rPr>
        <w:rFonts w:hint="default"/>
      </w:rPr>
    </w:lvl>
  </w:abstractNum>
  <w:abstractNum w:abstractNumId="28">
    <w:nsid w:val="58F5EE34"/>
    <w:multiLevelType w:val="singleLevel"/>
    <w:tmpl w:val="58F5EE34"/>
    <w:lvl w:ilvl="0" w:tentative="0">
      <w:start w:val="3"/>
      <w:numFmt w:val="chineseCounting"/>
      <w:suff w:val="nothing"/>
      <w:lvlText w:val="%1、"/>
      <w:lvlJc w:val="left"/>
    </w:lvl>
  </w:abstractNum>
  <w:abstractNum w:abstractNumId="29">
    <w:nsid w:val="59DEF6EB"/>
    <w:multiLevelType w:val="singleLevel"/>
    <w:tmpl w:val="59DEF6EB"/>
    <w:lvl w:ilvl="0" w:tentative="0">
      <w:start w:val="1"/>
      <w:numFmt w:val="chineseCounting"/>
      <w:suff w:val="nothing"/>
      <w:lvlText w:val="%1、"/>
      <w:lvlJc w:val="left"/>
    </w:lvl>
  </w:abstractNum>
  <w:abstractNum w:abstractNumId="30">
    <w:nsid w:val="5A1BBB23"/>
    <w:multiLevelType w:val="singleLevel"/>
    <w:tmpl w:val="5A1BBB23"/>
    <w:lvl w:ilvl="0" w:tentative="0">
      <w:start w:val="1"/>
      <w:numFmt w:val="chineseCounting"/>
      <w:suff w:val="nothing"/>
      <w:lvlText w:val="（%1）"/>
      <w:lvlJc w:val="left"/>
    </w:lvl>
  </w:abstractNum>
  <w:abstractNum w:abstractNumId="31">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32">
    <w:nsid w:val="5A1BCF5D"/>
    <w:multiLevelType w:val="singleLevel"/>
    <w:tmpl w:val="5A1BCF5D"/>
    <w:lvl w:ilvl="0" w:tentative="0">
      <w:start w:val="1"/>
      <w:numFmt w:val="decimal"/>
      <w:suff w:val="nothing"/>
      <w:lvlText w:val="%1、"/>
      <w:lvlJc w:val="left"/>
    </w:lvl>
  </w:abstractNum>
  <w:abstractNum w:abstractNumId="33">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34">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35">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6">
    <w:nsid w:val="5A1FB537"/>
    <w:multiLevelType w:val="singleLevel"/>
    <w:tmpl w:val="5A1FB537"/>
    <w:lvl w:ilvl="0" w:tentative="0">
      <w:start w:val="1"/>
      <w:numFmt w:val="decimal"/>
      <w:suff w:val="nothing"/>
      <w:lvlText w:val="%1、"/>
      <w:lvlJc w:val="left"/>
    </w:lvl>
  </w:abstractNum>
  <w:abstractNum w:abstractNumId="37">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8">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9">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40">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41">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42">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43">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44">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45">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6">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7">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8">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9">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50">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1">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52">
    <w:nsid w:val="6ADA369F"/>
    <w:multiLevelType w:val="singleLevel"/>
    <w:tmpl w:val="6ADA369F"/>
    <w:lvl w:ilvl="0" w:tentative="0">
      <w:start w:val="1"/>
      <w:numFmt w:val="chineseCounting"/>
      <w:suff w:val="nothing"/>
      <w:lvlText w:val="（%1）"/>
      <w:lvlJc w:val="left"/>
      <w:pPr>
        <w:ind w:left="0" w:firstLine="420"/>
      </w:pPr>
      <w:rPr>
        <w:rFonts w:hint="eastAsia"/>
      </w:rPr>
    </w:lvl>
  </w:abstractNum>
  <w:abstractNum w:abstractNumId="53">
    <w:nsid w:val="6CA3A7AD"/>
    <w:multiLevelType w:val="singleLevel"/>
    <w:tmpl w:val="6CA3A7AD"/>
    <w:lvl w:ilvl="0" w:tentative="0">
      <w:start w:val="1"/>
      <w:numFmt w:val="chineseCounting"/>
      <w:suff w:val="nothing"/>
      <w:lvlText w:val="%1、"/>
      <w:lvlJc w:val="left"/>
      <w:pPr>
        <w:ind w:left="0" w:firstLine="420"/>
      </w:pPr>
      <w:rPr>
        <w:rFonts w:hint="eastAsia"/>
      </w:rPr>
    </w:lvl>
  </w:abstractNum>
  <w:abstractNum w:abstractNumId="54">
    <w:nsid w:val="716ED89A"/>
    <w:multiLevelType w:val="singleLevel"/>
    <w:tmpl w:val="716ED89A"/>
    <w:lvl w:ilvl="0" w:tentative="0">
      <w:start w:val="1"/>
      <w:numFmt w:val="decimal"/>
      <w:suff w:val="nothing"/>
      <w:lvlText w:val="%1、"/>
      <w:lvlJc w:val="left"/>
    </w:lvl>
  </w:abstractNum>
  <w:abstractNum w:abstractNumId="55">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6">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3"/>
  </w:num>
  <w:num w:numId="2">
    <w:abstractNumId w:val="22"/>
  </w:num>
  <w:num w:numId="3">
    <w:abstractNumId w:val="6"/>
  </w:num>
  <w:num w:numId="4">
    <w:abstractNumId w:val="9"/>
  </w:num>
  <w:num w:numId="5">
    <w:abstractNumId w:val="4"/>
  </w:num>
  <w:num w:numId="6">
    <w:abstractNumId w:val="10"/>
  </w:num>
  <w:num w:numId="7">
    <w:abstractNumId w:val="19"/>
  </w:num>
  <w:num w:numId="8">
    <w:abstractNumId w:val="0"/>
  </w:num>
  <w:num w:numId="9">
    <w:abstractNumId w:val="16"/>
  </w:num>
  <w:num w:numId="10">
    <w:abstractNumId w:val="21"/>
  </w:num>
  <w:num w:numId="11">
    <w:abstractNumId w:val="30"/>
  </w:num>
  <w:num w:numId="12">
    <w:abstractNumId w:val="23"/>
  </w:num>
  <w:num w:numId="13">
    <w:abstractNumId w:val="24"/>
  </w:num>
  <w:num w:numId="14">
    <w:abstractNumId w:val="25"/>
  </w:num>
  <w:num w:numId="15">
    <w:abstractNumId w:val="33"/>
  </w:num>
  <w:num w:numId="16">
    <w:abstractNumId w:val="26"/>
  </w:num>
  <w:num w:numId="17">
    <w:abstractNumId w:val="43"/>
  </w:num>
  <w:num w:numId="18">
    <w:abstractNumId w:val="44"/>
  </w:num>
  <w:num w:numId="19">
    <w:abstractNumId w:val="42"/>
  </w:num>
  <w:num w:numId="20">
    <w:abstractNumId w:val="56"/>
  </w:num>
  <w:num w:numId="21">
    <w:abstractNumId w:val="18"/>
  </w:num>
  <w:num w:numId="22">
    <w:abstractNumId w:val="49"/>
  </w:num>
  <w:num w:numId="23">
    <w:abstractNumId w:val="31"/>
  </w:num>
  <w:num w:numId="24">
    <w:abstractNumId w:val="34"/>
  </w:num>
  <w:num w:numId="25">
    <w:abstractNumId w:val="32"/>
  </w:num>
  <w:num w:numId="26">
    <w:abstractNumId w:val="46"/>
  </w:num>
  <w:num w:numId="27">
    <w:abstractNumId w:val="47"/>
  </w:num>
  <w:num w:numId="28">
    <w:abstractNumId w:val="48"/>
  </w:num>
  <w:num w:numId="29">
    <w:abstractNumId w:val="1"/>
  </w:num>
  <w:num w:numId="30">
    <w:abstractNumId w:val="28"/>
  </w:num>
  <w:num w:numId="31">
    <w:abstractNumId w:val="54"/>
  </w:num>
  <w:num w:numId="32">
    <w:abstractNumId w:val="35"/>
  </w:num>
  <w:num w:numId="33">
    <w:abstractNumId w:val="5"/>
  </w:num>
  <w:num w:numId="34">
    <w:abstractNumId w:val="36"/>
  </w:num>
  <w:num w:numId="35">
    <w:abstractNumId w:val="50"/>
  </w:num>
  <w:num w:numId="36">
    <w:abstractNumId w:val="37"/>
  </w:num>
  <w:num w:numId="37">
    <w:abstractNumId w:val="45"/>
  </w:num>
  <w:num w:numId="38">
    <w:abstractNumId w:val="38"/>
  </w:num>
  <w:num w:numId="39">
    <w:abstractNumId w:val="39"/>
  </w:num>
  <w:num w:numId="40">
    <w:abstractNumId w:val="40"/>
  </w:num>
  <w:num w:numId="41">
    <w:abstractNumId w:val="41"/>
  </w:num>
  <w:num w:numId="42">
    <w:abstractNumId w:val="51"/>
  </w:num>
  <w:num w:numId="43">
    <w:abstractNumId w:val="53"/>
  </w:num>
  <w:num w:numId="44">
    <w:abstractNumId w:val="8"/>
  </w:num>
  <w:num w:numId="45">
    <w:abstractNumId w:val="2"/>
  </w:num>
  <w:num w:numId="46">
    <w:abstractNumId w:val="11"/>
  </w:num>
  <w:num w:numId="47">
    <w:abstractNumId w:val="20"/>
  </w:num>
  <w:num w:numId="48">
    <w:abstractNumId w:val="17"/>
  </w:num>
  <w:num w:numId="49">
    <w:abstractNumId w:val="13"/>
  </w:num>
  <w:num w:numId="50">
    <w:abstractNumId w:val="52"/>
  </w:num>
  <w:num w:numId="51">
    <w:abstractNumId w:val="27"/>
  </w:num>
  <w:num w:numId="52">
    <w:abstractNumId w:val="14"/>
  </w:num>
  <w:num w:numId="53">
    <w:abstractNumId w:val="55"/>
  </w:num>
  <w:num w:numId="54">
    <w:abstractNumId w:val="29"/>
  </w:num>
  <w:num w:numId="55">
    <w:abstractNumId w:val="15"/>
  </w:num>
  <w:num w:numId="56">
    <w:abstractNumId w:val="12"/>
  </w:num>
  <w:num w:numId="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253502"/>
    <w:rsid w:val="013A34D2"/>
    <w:rsid w:val="017C4C4A"/>
    <w:rsid w:val="019845E5"/>
    <w:rsid w:val="01B0348D"/>
    <w:rsid w:val="01C1532E"/>
    <w:rsid w:val="01DC7096"/>
    <w:rsid w:val="01E2682C"/>
    <w:rsid w:val="01E909A1"/>
    <w:rsid w:val="020716AE"/>
    <w:rsid w:val="02507A52"/>
    <w:rsid w:val="02596255"/>
    <w:rsid w:val="025E45AD"/>
    <w:rsid w:val="02632E79"/>
    <w:rsid w:val="02B9172A"/>
    <w:rsid w:val="02DD68E2"/>
    <w:rsid w:val="02E9497F"/>
    <w:rsid w:val="030C0571"/>
    <w:rsid w:val="03164D3E"/>
    <w:rsid w:val="03451B7A"/>
    <w:rsid w:val="03511D53"/>
    <w:rsid w:val="03976B3A"/>
    <w:rsid w:val="03A240C0"/>
    <w:rsid w:val="03E812EC"/>
    <w:rsid w:val="04091F92"/>
    <w:rsid w:val="04346E96"/>
    <w:rsid w:val="043F1946"/>
    <w:rsid w:val="045B7DE7"/>
    <w:rsid w:val="049A4A23"/>
    <w:rsid w:val="04CB1844"/>
    <w:rsid w:val="04D70CB5"/>
    <w:rsid w:val="04EA6A74"/>
    <w:rsid w:val="050D16BA"/>
    <w:rsid w:val="054A171F"/>
    <w:rsid w:val="055C340A"/>
    <w:rsid w:val="05625D31"/>
    <w:rsid w:val="058013F8"/>
    <w:rsid w:val="058B3782"/>
    <w:rsid w:val="0591421E"/>
    <w:rsid w:val="059A1517"/>
    <w:rsid w:val="05E71667"/>
    <w:rsid w:val="06273AC5"/>
    <w:rsid w:val="067A4BC6"/>
    <w:rsid w:val="068E2877"/>
    <w:rsid w:val="06C40031"/>
    <w:rsid w:val="06C55BEF"/>
    <w:rsid w:val="06CF3C7F"/>
    <w:rsid w:val="06E21332"/>
    <w:rsid w:val="07156F47"/>
    <w:rsid w:val="07310670"/>
    <w:rsid w:val="07487F64"/>
    <w:rsid w:val="074F1D72"/>
    <w:rsid w:val="07607573"/>
    <w:rsid w:val="07641B88"/>
    <w:rsid w:val="079B20B3"/>
    <w:rsid w:val="079C6C34"/>
    <w:rsid w:val="07C17285"/>
    <w:rsid w:val="07EB65E3"/>
    <w:rsid w:val="07F124E0"/>
    <w:rsid w:val="07FE3A66"/>
    <w:rsid w:val="082F71E8"/>
    <w:rsid w:val="083C3D9A"/>
    <w:rsid w:val="084D34A3"/>
    <w:rsid w:val="08624F55"/>
    <w:rsid w:val="087D32AA"/>
    <w:rsid w:val="08947E10"/>
    <w:rsid w:val="089E3657"/>
    <w:rsid w:val="08AB3374"/>
    <w:rsid w:val="08B0644D"/>
    <w:rsid w:val="08C14A52"/>
    <w:rsid w:val="08C35B2B"/>
    <w:rsid w:val="08DD3EDA"/>
    <w:rsid w:val="08E80A7C"/>
    <w:rsid w:val="08F40E4C"/>
    <w:rsid w:val="08FD1694"/>
    <w:rsid w:val="08FF7646"/>
    <w:rsid w:val="09195F9B"/>
    <w:rsid w:val="0938692D"/>
    <w:rsid w:val="09423CB2"/>
    <w:rsid w:val="09551105"/>
    <w:rsid w:val="09732BAA"/>
    <w:rsid w:val="099B7A84"/>
    <w:rsid w:val="09AB0222"/>
    <w:rsid w:val="09AD23BE"/>
    <w:rsid w:val="09B124FA"/>
    <w:rsid w:val="09CD7056"/>
    <w:rsid w:val="09D83573"/>
    <w:rsid w:val="0A084033"/>
    <w:rsid w:val="0A14574B"/>
    <w:rsid w:val="0A39670A"/>
    <w:rsid w:val="0A744052"/>
    <w:rsid w:val="0A8254DA"/>
    <w:rsid w:val="0A9C41F4"/>
    <w:rsid w:val="0AA862B1"/>
    <w:rsid w:val="0AAF104A"/>
    <w:rsid w:val="0AAF3E31"/>
    <w:rsid w:val="0AED7139"/>
    <w:rsid w:val="0AF94096"/>
    <w:rsid w:val="0B151573"/>
    <w:rsid w:val="0B4A0AB1"/>
    <w:rsid w:val="0B6E3207"/>
    <w:rsid w:val="0B73301E"/>
    <w:rsid w:val="0BAC0F2F"/>
    <w:rsid w:val="0C106DAE"/>
    <w:rsid w:val="0C1959E9"/>
    <w:rsid w:val="0C220AE9"/>
    <w:rsid w:val="0C316499"/>
    <w:rsid w:val="0C643F71"/>
    <w:rsid w:val="0CA777FB"/>
    <w:rsid w:val="0CB25156"/>
    <w:rsid w:val="0CC90ECA"/>
    <w:rsid w:val="0CF95E06"/>
    <w:rsid w:val="0CF970C7"/>
    <w:rsid w:val="0D772A74"/>
    <w:rsid w:val="0D7D3D59"/>
    <w:rsid w:val="0D827683"/>
    <w:rsid w:val="0D8619FC"/>
    <w:rsid w:val="0DD724F6"/>
    <w:rsid w:val="0DFB07CE"/>
    <w:rsid w:val="0E0148DC"/>
    <w:rsid w:val="0E0A3926"/>
    <w:rsid w:val="0E1C168C"/>
    <w:rsid w:val="0E1C6CD1"/>
    <w:rsid w:val="0E2F361C"/>
    <w:rsid w:val="0E3C5788"/>
    <w:rsid w:val="0E8A0397"/>
    <w:rsid w:val="0E954037"/>
    <w:rsid w:val="0EA20E7A"/>
    <w:rsid w:val="0EAF3D7B"/>
    <w:rsid w:val="0EB04E92"/>
    <w:rsid w:val="0ECB0ECB"/>
    <w:rsid w:val="0ED80953"/>
    <w:rsid w:val="0EE47081"/>
    <w:rsid w:val="0EE923AC"/>
    <w:rsid w:val="0EF46447"/>
    <w:rsid w:val="0EFF300A"/>
    <w:rsid w:val="0F181FC8"/>
    <w:rsid w:val="0F333702"/>
    <w:rsid w:val="0F401705"/>
    <w:rsid w:val="0F6D0D24"/>
    <w:rsid w:val="0F806FED"/>
    <w:rsid w:val="0F8D0BE8"/>
    <w:rsid w:val="0F900FC5"/>
    <w:rsid w:val="0FA91797"/>
    <w:rsid w:val="0FB33A4E"/>
    <w:rsid w:val="10126394"/>
    <w:rsid w:val="104C2A9E"/>
    <w:rsid w:val="10F748EC"/>
    <w:rsid w:val="10FF7F0B"/>
    <w:rsid w:val="11085F6F"/>
    <w:rsid w:val="11097388"/>
    <w:rsid w:val="11686758"/>
    <w:rsid w:val="117B5CBE"/>
    <w:rsid w:val="118A1171"/>
    <w:rsid w:val="11985EF8"/>
    <w:rsid w:val="11C8127F"/>
    <w:rsid w:val="11E44062"/>
    <w:rsid w:val="11EB42EE"/>
    <w:rsid w:val="11F95B44"/>
    <w:rsid w:val="122C300C"/>
    <w:rsid w:val="12345CE1"/>
    <w:rsid w:val="12443276"/>
    <w:rsid w:val="1252238F"/>
    <w:rsid w:val="12A254E6"/>
    <w:rsid w:val="12A94F39"/>
    <w:rsid w:val="12B10A4C"/>
    <w:rsid w:val="12B130B4"/>
    <w:rsid w:val="12CF0A95"/>
    <w:rsid w:val="12DE1B3B"/>
    <w:rsid w:val="12E27BAC"/>
    <w:rsid w:val="12E76BDB"/>
    <w:rsid w:val="13133401"/>
    <w:rsid w:val="134D4C40"/>
    <w:rsid w:val="13575E34"/>
    <w:rsid w:val="136900C9"/>
    <w:rsid w:val="13722F5D"/>
    <w:rsid w:val="13737585"/>
    <w:rsid w:val="139765D8"/>
    <w:rsid w:val="13DC39F1"/>
    <w:rsid w:val="13E9682A"/>
    <w:rsid w:val="13F516F1"/>
    <w:rsid w:val="13FB2D0D"/>
    <w:rsid w:val="14052EBB"/>
    <w:rsid w:val="14305551"/>
    <w:rsid w:val="14386FD6"/>
    <w:rsid w:val="14432CB6"/>
    <w:rsid w:val="146035E6"/>
    <w:rsid w:val="14C115D5"/>
    <w:rsid w:val="14CD6141"/>
    <w:rsid w:val="14DD4386"/>
    <w:rsid w:val="150B47D4"/>
    <w:rsid w:val="1521731E"/>
    <w:rsid w:val="1545428F"/>
    <w:rsid w:val="156D64AB"/>
    <w:rsid w:val="1580785E"/>
    <w:rsid w:val="1592432C"/>
    <w:rsid w:val="15967133"/>
    <w:rsid w:val="15B86808"/>
    <w:rsid w:val="15D943E3"/>
    <w:rsid w:val="15F55D96"/>
    <w:rsid w:val="15F743BB"/>
    <w:rsid w:val="16011788"/>
    <w:rsid w:val="16145E18"/>
    <w:rsid w:val="161A2D22"/>
    <w:rsid w:val="162E6015"/>
    <w:rsid w:val="16300C8C"/>
    <w:rsid w:val="165B5B45"/>
    <w:rsid w:val="165D3CF8"/>
    <w:rsid w:val="16612092"/>
    <w:rsid w:val="168122B3"/>
    <w:rsid w:val="1688674A"/>
    <w:rsid w:val="16AC0233"/>
    <w:rsid w:val="16D400EF"/>
    <w:rsid w:val="16DD42E0"/>
    <w:rsid w:val="16F9234C"/>
    <w:rsid w:val="170F2880"/>
    <w:rsid w:val="17115465"/>
    <w:rsid w:val="173B6E8B"/>
    <w:rsid w:val="17884105"/>
    <w:rsid w:val="179405EF"/>
    <w:rsid w:val="17A70F3F"/>
    <w:rsid w:val="17CB0F48"/>
    <w:rsid w:val="17D406F7"/>
    <w:rsid w:val="17D8322F"/>
    <w:rsid w:val="17E84E25"/>
    <w:rsid w:val="1816511F"/>
    <w:rsid w:val="184F35DE"/>
    <w:rsid w:val="187D529B"/>
    <w:rsid w:val="1886755A"/>
    <w:rsid w:val="18983047"/>
    <w:rsid w:val="18A41337"/>
    <w:rsid w:val="18B50E36"/>
    <w:rsid w:val="18C30DC2"/>
    <w:rsid w:val="18CF5CB8"/>
    <w:rsid w:val="18DC6978"/>
    <w:rsid w:val="18F6604F"/>
    <w:rsid w:val="18F82FDC"/>
    <w:rsid w:val="1936128D"/>
    <w:rsid w:val="193B5CC8"/>
    <w:rsid w:val="194728B0"/>
    <w:rsid w:val="19A9567A"/>
    <w:rsid w:val="19BF527F"/>
    <w:rsid w:val="19C92DE2"/>
    <w:rsid w:val="19F32656"/>
    <w:rsid w:val="19F46A76"/>
    <w:rsid w:val="1A2F2A0B"/>
    <w:rsid w:val="1A4030A6"/>
    <w:rsid w:val="1A956D0C"/>
    <w:rsid w:val="1AA73CED"/>
    <w:rsid w:val="1AB5503B"/>
    <w:rsid w:val="1AC2553A"/>
    <w:rsid w:val="1ADB5FDE"/>
    <w:rsid w:val="1ADE2C24"/>
    <w:rsid w:val="1AF6038F"/>
    <w:rsid w:val="1AFE7A29"/>
    <w:rsid w:val="1B073922"/>
    <w:rsid w:val="1B604066"/>
    <w:rsid w:val="1B9B0BC6"/>
    <w:rsid w:val="1BBA2302"/>
    <w:rsid w:val="1C020069"/>
    <w:rsid w:val="1C507121"/>
    <w:rsid w:val="1C6C1E69"/>
    <w:rsid w:val="1C7A32F9"/>
    <w:rsid w:val="1C9242A4"/>
    <w:rsid w:val="1CBE3649"/>
    <w:rsid w:val="1CC33C80"/>
    <w:rsid w:val="1CEE12BF"/>
    <w:rsid w:val="1CFF6C17"/>
    <w:rsid w:val="1D9C0926"/>
    <w:rsid w:val="1DA710C8"/>
    <w:rsid w:val="1E1A3FF8"/>
    <w:rsid w:val="1E26654D"/>
    <w:rsid w:val="1E323109"/>
    <w:rsid w:val="1E555EE9"/>
    <w:rsid w:val="1E7D76DF"/>
    <w:rsid w:val="1EA10F3E"/>
    <w:rsid w:val="1EB51DD8"/>
    <w:rsid w:val="1EC61F82"/>
    <w:rsid w:val="1EC93386"/>
    <w:rsid w:val="1EED0F1B"/>
    <w:rsid w:val="1F280757"/>
    <w:rsid w:val="1F59427A"/>
    <w:rsid w:val="1F6406C1"/>
    <w:rsid w:val="1FD945B0"/>
    <w:rsid w:val="1FEF1FFA"/>
    <w:rsid w:val="20090507"/>
    <w:rsid w:val="206C120B"/>
    <w:rsid w:val="20AF05BD"/>
    <w:rsid w:val="20BB2E96"/>
    <w:rsid w:val="20DA6C2C"/>
    <w:rsid w:val="20DD668A"/>
    <w:rsid w:val="20E633FF"/>
    <w:rsid w:val="210D65EB"/>
    <w:rsid w:val="2119335A"/>
    <w:rsid w:val="211A5B8C"/>
    <w:rsid w:val="21592782"/>
    <w:rsid w:val="215A2EC4"/>
    <w:rsid w:val="217627D9"/>
    <w:rsid w:val="21A0370E"/>
    <w:rsid w:val="21B1797A"/>
    <w:rsid w:val="21B814FB"/>
    <w:rsid w:val="21C52D02"/>
    <w:rsid w:val="21C52F88"/>
    <w:rsid w:val="220E3210"/>
    <w:rsid w:val="226E02A2"/>
    <w:rsid w:val="228D0852"/>
    <w:rsid w:val="229D03B1"/>
    <w:rsid w:val="22A355B8"/>
    <w:rsid w:val="22B00566"/>
    <w:rsid w:val="22C471DB"/>
    <w:rsid w:val="22D03D34"/>
    <w:rsid w:val="22D66746"/>
    <w:rsid w:val="231F769B"/>
    <w:rsid w:val="23422E27"/>
    <w:rsid w:val="235201DB"/>
    <w:rsid w:val="2359393E"/>
    <w:rsid w:val="238F1CC8"/>
    <w:rsid w:val="23BE0B86"/>
    <w:rsid w:val="243F1DE7"/>
    <w:rsid w:val="248A3A7F"/>
    <w:rsid w:val="249F4236"/>
    <w:rsid w:val="24C377D0"/>
    <w:rsid w:val="24D01574"/>
    <w:rsid w:val="24DC5D05"/>
    <w:rsid w:val="24E52D6B"/>
    <w:rsid w:val="24F22C57"/>
    <w:rsid w:val="25046EA2"/>
    <w:rsid w:val="25251A25"/>
    <w:rsid w:val="25474606"/>
    <w:rsid w:val="256228E0"/>
    <w:rsid w:val="257B38F9"/>
    <w:rsid w:val="258F7DD5"/>
    <w:rsid w:val="25AC0E5C"/>
    <w:rsid w:val="25C25E13"/>
    <w:rsid w:val="25C908AF"/>
    <w:rsid w:val="25CE5311"/>
    <w:rsid w:val="25D3637D"/>
    <w:rsid w:val="25FA061E"/>
    <w:rsid w:val="260374EC"/>
    <w:rsid w:val="261A0FE1"/>
    <w:rsid w:val="261F0590"/>
    <w:rsid w:val="2644580B"/>
    <w:rsid w:val="264C2EC7"/>
    <w:rsid w:val="26966E13"/>
    <w:rsid w:val="26A419A9"/>
    <w:rsid w:val="26AC1452"/>
    <w:rsid w:val="26B4785C"/>
    <w:rsid w:val="26B94E95"/>
    <w:rsid w:val="26DC0CB6"/>
    <w:rsid w:val="26F11CDD"/>
    <w:rsid w:val="26FA16D0"/>
    <w:rsid w:val="270123FB"/>
    <w:rsid w:val="27086393"/>
    <w:rsid w:val="270C20F8"/>
    <w:rsid w:val="27124CA5"/>
    <w:rsid w:val="27135815"/>
    <w:rsid w:val="271925EC"/>
    <w:rsid w:val="272E0FE5"/>
    <w:rsid w:val="273435F1"/>
    <w:rsid w:val="275C14D1"/>
    <w:rsid w:val="27752D78"/>
    <w:rsid w:val="277914AB"/>
    <w:rsid w:val="27A10A77"/>
    <w:rsid w:val="27B93768"/>
    <w:rsid w:val="27D95F36"/>
    <w:rsid w:val="283322C9"/>
    <w:rsid w:val="285C72E1"/>
    <w:rsid w:val="285E1F2B"/>
    <w:rsid w:val="28932F3A"/>
    <w:rsid w:val="28B142D5"/>
    <w:rsid w:val="28BA0DD2"/>
    <w:rsid w:val="28C052EC"/>
    <w:rsid w:val="28C50201"/>
    <w:rsid w:val="28C608F6"/>
    <w:rsid w:val="28D1042F"/>
    <w:rsid w:val="28DD4BE9"/>
    <w:rsid w:val="290C77C3"/>
    <w:rsid w:val="290D3996"/>
    <w:rsid w:val="29136CF0"/>
    <w:rsid w:val="29777818"/>
    <w:rsid w:val="29F64D34"/>
    <w:rsid w:val="29FF6391"/>
    <w:rsid w:val="2A2F63F2"/>
    <w:rsid w:val="2A3404F9"/>
    <w:rsid w:val="2A474027"/>
    <w:rsid w:val="2A4C44CF"/>
    <w:rsid w:val="2A7A5071"/>
    <w:rsid w:val="2A911A4E"/>
    <w:rsid w:val="2AA27348"/>
    <w:rsid w:val="2AB50B14"/>
    <w:rsid w:val="2ADD7D86"/>
    <w:rsid w:val="2B0459FF"/>
    <w:rsid w:val="2B0F2074"/>
    <w:rsid w:val="2B4116FF"/>
    <w:rsid w:val="2B5258B1"/>
    <w:rsid w:val="2B8653EF"/>
    <w:rsid w:val="2BAB3688"/>
    <w:rsid w:val="2BFE19D6"/>
    <w:rsid w:val="2C1B5789"/>
    <w:rsid w:val="2C3118DD"/>
    <w:rsid w:val="2C3562D8"/>
    <w:rsid w:val="2C5A63C9"/>
    <w:rsid w:val="2CB07001"/>
    <w:rsid w:val="2CB3280D"/>
    <w:rsid w:val="2CB922C1"/>
    <w:rsid w:val="2CCD3F1D"/>
    <w:rsid w:val="2CD25725"/>
    <w:rsid w:val="2CF70F9E"/>
    <w:rsid w:val="2D124A1E"/>
    <w:rsid w:val="2D3373D5"/>
    <w:rsid w:val="2D39787B"/>
    <w:rsid w:val="2D3B78BA"/>
    <w:rsid w:val="2D4340BD"/>
    <w:rsid w:val="2D4910C7"/>
    <w:rsid w:val="2D4A3339"/>
    <w:rsid w:val="2D9A0AB9"/>
    <w:rsid w:val="2DCD259E"/>
    <w:rsid w:val="2DD97074"/>
    <w:rsid w:val="2E090193"/>
    <w:rsid w:val="2E0A7E69"/>
    <w:rsid w:val="2E390541"/>
    <w:rsid w:val="2E3A03E5"/>
    <w:rsid w:val="2E7608C5"/>
    <w:rsid w:val="2EA069B0"/>
    <w:rsid w:val="2EAD6E42"/>
    <w:rsid w:val="2F154571"/>
    <w:rsid w:val="2F2F5279"/>
    <w:rsid w:val="2F314A30"/>
    <w:rsid w:val="2F385D1F"/>
    <w:rsid w:val="2F592C0A"/>
    <w:rsid w:val="2F6076E3"/>
    <w:rsid w:val="2F6B793B"/>
    <w:rsid w:val="2F8C0687"/>
    <w:rsid w:val="2F992B76"/>
    <w:rsid w:val="2F9C68BA"/>
    <w:rsid w:val="2F9F7149"/>
    <w:rsid w:val="2FA40692"/>
    <w:rsid w:val="2FD276BA"/>
    <w:rsid w:val="2FF61F3A"/>
    <w:rsid w:val="2FF76ADE"/>
    <w:rsid w:val="3012581E"/>
    <w:rsid w:val="30427DA1"/>
    <w:rsid w:val="30703AED"/>
    <w:rsid w:val="30D87142"/>
    <w:rsid w:val="30F90615"/>
    <w:rsid w:val="311427E1"/>
    <w:rsid w:val="31144F45"/>
    <w:rsid w:val="311E12EC"/>
    <w:rsid w:val="31263671"/>
    <w:rsid w:val="313D0673"/>
    <w:rsid w:val="313D7621"/>
    <w:rsid w:val="31A35749"/>
    <w:rsid w:val="32096628"/>
    <w:rsid w:val="320F7CDE"/>
    <w:rsid w:val="321F2F90"/>
    <w:rsid w:val="321F3DAE"/>
    <w:rsid w:val="324003D4"/>
    <w:rsid w:val="32571548"/>
    <w:rsid w:val="32BD5DCB"/>
    <w:rsid w:val="32C574EA"/>
    <w:rsid w:val="32DD612C"/>
    <w:rsid w:val="32DF1E88"/>
    <w:rsid w:val="32EC1396"/>
    <w:rsid w:val="33155747"/>
    <w:rsid w:val="33245E41"/>
    <w:rsid w:val="3331756A"/>
    <w:rsid w:val="33413B81"/>
    <w:rsid w:val="33460DBD"/>
    <w:rsid w:val="334757AB"/>
    <w:rsid w:val="33690A64"/>
    <w:rsid w:val="3372638F"/>
    <w:rsid w:val="33781C4C"/>
    <w:rsid w:val="338F4F0C"/>
    <w:rsid w:val="33C544C3"/>
    <w:rsid w:val="33D347BC"/>
    <w:rsid w:val="33DA0657"/>
    <w:rsid w:val="33EC666B"/>
    <w:rsid w:val="33F062D6"/>
    <w:rsid w:val="33F50D78"/>
    <w:rsid w:val="33FD4196"/>
    <w:rsid w:val="341E6368"/>
    <w:rsid w:val="342F4322"/>
    <w:rsid w:val="34552CFD"/>
    <w:rsid w:val="34662C2B"/>
    <w:rsid w:val="346E04E1"/>
    <w:rsid w:val="34994215"/>
    <w:rsid w:val="34C539E4"/>
    <w:rsid w:val="34FE35BC"/>
    <w:rsid w:val="352422D0"/>
    <w:rsid w:val="35312EA4"/>
    <w:rsid w:val="353B001C"/>
    <w:rsid w:val="354B78A0"/>
    <w:rsid w:val="355043BB"/>
    <w:rsid w:val="35593CAE"/>
    <w:rsid w:val="358C70A8"/>
    <w:rsid w:val="35C176A9"/>
    <w:rsid w:val="35DF2327"/>
    <w:rsid w:val="3607269A"/>
    <w:rsid w:val="3629503A"/>
    <w:rsid w:val="367B3297"/>
    <w:rsid w:val="36836CE6"/>
    <w:rsid w:val="36960637"/>
    <w:rsid w:val="36970D27"/>
    <w:rsid w:val="36E804BC"/>
    <w:rsid w:val="36ED7E3E"/>
    <w:rsid w:val="372B4C0C"/>
    <w:rsid w:val="37480859"/>
    <w:rsid w:val="37B750BF"/>
    <w:rsid w:val="37E54B0B"/>
    <w:rsid w:val="38A0322F"/>
    <w:rsid w:val="38B44C92"/>
    <w:rsid w:val="38E0066F"/>
    <w:rsid w:val="38F81F10"/>
    <w:rsid w:val="38FF1F77"/>
    <w:rsid w:val="39001EE9"/>
    <w:rsid w:val="39050C3E"/>
    <w:rsid w:val="391425B7"/>
    <w:rsid w:val="39226068"/>
    <w:rsid w:val="3925063D"/>
    <w:rsid w:val="39387926"/>
    <w:rsid w:val="394B7451"/>
    <w:rsid w:val="395579C7"/>
    <w:rsid w:val="39585C08"/>
    <w:rsid w:val="395E5DDB"/>
    <w:rsid w:val="39673DEE"/>
    <w:rsid w:val="3993401A"/>
    <w:rsid w:val="39975AFB"/>
    <w:rsid w:val="39A21DBC"/>
    <w:rsid w:val="3A233ECF"/>
    <w:rsid w:val="3A2D7BAB"/>
    <w:rsid w:val="3A4F2B4C"/>
    <w:rsid w:val="3A610625"/>
    <w:rsid w:val="3A764FDE"/>
    <w:rsid w:val="3A953982"/>
    <w:rsid w:val="3AC37553"/>
    <w:rsid w:val="3ACD34EE"/>
    <w:rsid w:val="3B291E32"/>
    <w:rsid w:val="3B4C1448"/>
    <w:rsid w:val="3B550C57"/>
    <w:rsid w:val="3B5653C0"/>
    <w:rsid w:val="3B567FA2"/>
    <w:rsid w:val="3B5D79A7"/>
    <w:rsid w:val="3B934208"/>
    <w:rsid w:val="3BBB63B0"/>
    <w:rsid w:val="3BEA6A4D"/>
    <w:rsid w:val="3BF975B9"/>
    <w:rsid w:val="3C0C324B"/>
    <w:rsid w:val="3C11779A"/>
    <w:rsid w:val="3C300073"/>
    <w:rsid w:val="3C3263C3"/>
    <w:rsid w:val="3C347876"/>
    <w:rsid w:val="3C5077F0"/>
    <w:rsid w:val="3C5911EC"/>
    <w:rsid w:val="3C6319A5"/>
    <w:rsid w:val="3C6A4416"/>
    <w:rsid w:val="3C6D28C0"/>
    <w:rsid w:val="3CA16B01"/>
    <w:rsid w:val="3CB16C19"/>
    <w:rsid w:val="3CBD5B21"/>
    <w:rsid w:val="3CCC585E"/>
    <w:rsid w:val="3CF306F7"/>
    <w:rsid w:val="3CF92AB7"/>
    <w:rsid w:val="3D0521B8"/>
    <w:rsid w:val="3D1F7B03"/>
    <w:rsid w:val="3D4E048A"/>
    <w:rsid w:val="3DE72505"/>
    <w:rsid w:val="3DFF3F57"/>
    <w:rsid w:val="3E2E1195"/>
    <w:rsid w:val="3E3D5AF9"/>
    <w:rsid w:val="3EBE0637"/>
    <w:rsid w:val="3EDC43B2"/>
    <w:rsid w:val="3EF04D32"/>
    <w:rsid w:val="3F0424CF"/>
    <w:rsid w:val="3F4F0730"/>
    <w:rsid w:val="3F5564E5"/>
    <w:rsid w:val="3F576913"/>
    <w:rsid w:val="3F874ABF"/>
    <w:rsid w:val="3FC02FF0"/>
    <w:rsid w:val="3FCE7634"/>
    <w:rsid w:val="400D38CA"/>
    <w:rsid w:val="401C2FF4"/>
    <w:rsid w:val="401D13AA"/>
    <w:rsid w:val="402446DA"/>
    <w:rsid w:val="4031155A"/>
    <w:rsid w:val="40526CB6"/>
    <w:rsid w:val="40E07E77"/>
    <w:rsid w:val="40F92E90"/>
    <w:rsid w:val="41155838"/>
    <w:rsid w:val="412D4B19"/>
    <w:rsid w:val="416D6101"/>
    <w:rsid w:val="418A3309"/>
    <w:rsid w:val="419838B5"/>
    <w:rsid w:val="41BD03DB"/>
    <w:rsid w:val="41C14BA5"/>
    <w:rsid w:val="41DA7D36"/>
    <w:rsid w:val="42001452"/>
    <w:rsid w:val="42107036"/>
    <w:rsid w:val="422100AF"/>
    <w:rsid w:val="42296309"/>
    <w:rsid w:val="422A4B00"/>
    <w:rsid w:val="42484C51"/>
    <w:rsid w:val="424851D2"/>
    <w:rsid w:val="4249668B"/>
    <w:rsid w:val="425E7D14"/>
    <w:rsid w:val="42635FEF"/>
    <w:rsid w:val="42676FEF"/>
    <w:rsid w:val="426A2760"/>
    <w:rsid w:val="428C4E98"/>
    <w:rsid w:val="4296737B"/>
    <w:rsid w:val="42DC6B49"/>
    <w:rsid w:val="42F913BC"/>
    <w:rsid w:val="42FE5587"/>
    <w:rsid w:val="434C0275"/>
    <w:rsid w:val="43642F5E"/>
    <w:rsid w:val="43BE37E1"/>
    <w:rsid w:val="43EA034A"/>
    <w:rsid w:val="44273C51"/>
    <w:rsid w:val="444824FB"/>
    <w:rsid w:val="445C4491"/>
    <w:rsid w:val="44AA77F2"/>
    <w:rsid w:val="44AB3EBA"/>
    <w:rsid w:val="44AB6827"/>
    <w:rsid w:val="44B249B7"/>
    <w:rsid w:val="44B335CA"/>
    <w:rsid w:val="44B546E7"/>
    <w:rsid w:val="44D91FD9"/>
    <w:rsid w:val="44DE32E5"/>
    <w:rsid w:val="44FB2F62"/>
    <w:rsid w:val="451D414B"/>
    <w:rsid w:val="45407AD6"/>
    <w:rsid w:val="45553894"/>
    <w:rsid w:val="457D260A"/>
    <w:rsid w:val="45903BF5"/>
    <w:rsid w:val="46100733"/>
    <w:rsid w:val="46331463"/>
    <w:rsid w:val="467C7DAD"/>
    <w:rsid w:val="468E066B"/>
    <w:rsid w:val="469C5960"/>
    <w:rsid w:val="46A120C6"/>
    <w:rsid w:val="46B12D45"/>
    <w:rsid w:val="46C05E45"/>
    <w:rsid w:val="46EB204D"/>
    <w:rsid w:val="46FC4CEF"/>
    <w:rsid w:val="471B2B70"/>
    <w:rsid w:val="475964A8"/>
    <w:rsid w:val="47CE2905"/>
    <w:rsid w:val="47F83359"/>
    <w:rsid w:val="47FC25FC"/>
    <w:rsid w:val="488E64B7"/>
    <w:rsid w:val="48952A15"/>
    <w:rsid w:val="48967C88"/>
    <w:rsid w:val="489D7312"/>
    <w:rsid w:val="48A474BC"/>
    <w:rsid w:val="48B6678D"/>
    <w:rsid w:val="48C8208F"/>
    <w:rsid w:val="48CD54FC"/>
    <w:rsid w:val="490D6EF1"/>
    <w:rsid w:val="495B2623"/>
    <w:rsid w:val="496A2326"/>
    <w:rsid w:val="496C770C"/>
    <w:rsid w:val="49833086"/>
    <w:rsid w:val="49E11720"/>
    <w:rsid w:val="49E70C75"/>
    <w:rsid w:val="4A06251A"/>
    <w:rsid w:val="4A113DC0"/>
    <w:rsid w:val="4A2F2B46"/>
    <w:rsid w:val="4A547916"/>
    <w:rsid w:val="4A563835"/>
    <w:rsid w:val="4A5A4578"/>
    <w:rsid w:val="4A742532"/>
    <w:rsid w:val="4A75653D"/>
    <w:rsid w:val="4A9470AF"/>
    <w:rsid w:val="4B0C4481"/>
    <w:rsid w:val="4B1D7FF9"/>
    <w:rsid w:val="4B3C1FE1"/>
    <w:rsid w:val="4B412FE7"/>
    <w:rsid w:val="4B50629D"/>
    <w:rsid w:val="4B5216F0"/>
    <w:rsid w:val="4B873C90"/>
    <w:rsid w:val="4BA82573"/>
    <w:rsid w:val="4BD319EC"/>
    <w:rsid w:val="4C0F3894"/>
    <w:rsid w:val="4C1603ED"/>
    <w:rsid w:val="4C184828"/>
    <w:rsid w:val="4C265C32"/>
    <w:rsid w:val="4C5110C3"/>
    <w:rsid w:val="4C7607DD"/>
    <w:rsid w:val="4C77450A"/>
    <w:rsid w:val="4C935296"/>
    <w:rsid w:val="4C9C05A8"/>
    <w:rsid w:val="4CA93DA4"/>
    <w:rsid w:val="4D105E89"/>
    <w:rsid w:val="4D39550D"/>
    <w:rsid w:val="4D7E343F"/>
    <w:rsid w:val="4D853B8B"/>
    <w:rsid w:val="4DA82B08"/>
    <w:rsid w:val="4DB552EA"/>
    <w:rsid w:val="4DEA4DFF"/>
    <w:rsid w:val="4DF90F86"/>
    <w:rsid w:val="4E34085A"/>
    <w:rsid w:val="4E4E41E8"/>
    <w:rsid w:val="4E52351E"/>
    <w:rsid w:val="4E586CD5"/>
    <w:rsid w:val="4E6679FD"/>
    <w:rsid w:val="4E7E704C"/>
    <w:rsid w:val="4E995F96"/>
    <w:rsid w:val="4EB418A0"/>
    <w:rsid w:val="4ECC738A"/>
    <w:rsid w:val="4F0F5F83"/>
    <w:rsid w:val="4F767DE0"/>
    <w:rsid w:val="4FB71FA5"/>
    <w:rsid w:val="4FE11B58"/>
    <w:rsid w:val="4FF22F51"/>
    <w:rsid w:val="50061349"/>
    <w:rsid w:val="502571C3"/>
    <w:rsid w:val="502C7252"/>
    <w:rsid w:val="50330BAD"/>
    <w:rsid w:val="503F2AAA"/>
    <w:rsid w:val="506D2822"/>
    <w:rsid w:val="506F7531"/>
    <w:rsid w:val="508101EA"/>
    <w:rsid w:val="50AC380C"/>
    <w:rsid w:val="50C13ED4"/>
    <w:rsid w:val="50CD580A"/>
    <w:rsid w:val="51364EAB"/>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627D1"/>
    <w:rsid w:val="526E4E8E"/>
    <w:rsid w:val="52706486"/>
    <w:rsid w:val="527F35E6"/>
    <w:rsid w:val="52964727"/>
    <w:rsid w:val="529D687F"/>
    <w:rsid w:val="52CE012E"/>
    <w:rsid w:val="52ED2480"/>
    <w:rsid w:val="52FA6AE0"/>
    <w:rsid w:val="53101841"/>
    <w:rsid w:val="53465512"/>
    <w:rsid w:val="5376019D"/>
    <w:rsid w:val="5397438F"/>
    <w:rsid w:val="539B6DCD"/>
    <w:rsid w:val="54106881"/>
    <w:rsid w:val="541B28DE"/>
    <w:rsid w:val="54337620"/>
    <w:rsid w:val="54361AD6"/>
    <w:rsid w:val="54771906"/>
    <w:rsid w:val="547C14C6"/>
    <w:rsid w:val="548F7C85"/>
    <w:rsid w:val="54A01754"/>
    <w:rsid w:val="54D37F7A"/>
    <w:rsid w:val="54D46F91"/>
    <w:rsid w:val="54F915DA"/>
    <w:rsid w:val="5522753E"/>
    <w:rsid w:val="552E29AD"/>
    <w:rsid w:val="556866BD"/>
    <w:rsid w:val="55783F05"/>
    <w:rsid w:val="557E31B0"/>
    <w:rsid w:val="55821F23"/>
    <w:rsid w:val="558656D0"/>
    <w:rsid w:val="55953EBF"/>
    <w:rsid w:val="55A71EC6"/>
    <w:rsid w:val="55FD1528"/>
    <w:rsid w:val="5603491C"/>
    <w:rsid w:val="56401B87"/>
    <w:rsid w:val="56733201"/>
    <w:rsid w:val="568D5773"/>
    <w:rsid w:val="569C61A7"/>
    <w:rsid w:val="56CD2B8A"/>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CD3534"/>
    <w:rsid w:val="58DB67BC"/>
    <w:rsid w:val="58DC7FF8"/>
    <w:rsid w:val="58FC5A0D"/>
    <w:rsid w:val="59074E50"/>
    <w:rsid w:val="59257BBA"/>
    <w:rsid w:val="59291040"/>
    <w:rsid w:val="595E18B4"/>
    <w:rsid w:val="596F6B90"/>
    <w:rsid w:val="59960F0D"/>
    <w:rsid w:val="599D7DC6"/>
    <w:rsid w:val="59A37C3C"/>
    <w:rsid w:val="59A72AB3"/>
    <w:rsid w:val="59E17C1A"/>
    <w:rsid w:val="59E859EC"/>
    <w:rsid w:val="5A01585A"/>
    <w:rsid w:val="5A064113"/>
    <w:rsid w:val="5A1B1406"/>
    <w:rsid w:val="5A4C6153"/>
    <w:rsid w:val="5A590DD3"/>
    <w:rsid w:val="5A5D7326"/>
    <w:rsid w:val="5A8D7A31"/>
    <w:rsid w:val="5A9B29B7"/>
    <w:rsid w:val="5AA92DA4"/>
    <w:rsid w:val="5ACA3EE7"/>
    <w:rsid w:val="5AEF78B5"/>
    <w:rsid w:val="5B05499D"/>
    <w:rsid w:val="5B0F40E8"/>
    <w:rsid w:val="5B18388D"/>
    <w:rsid w:val="5B2179CB"/>
    <w:rsid w:val="5B4C30C2"/>
    <w:rsid w:val="5B54540F"/>
    <w:rsid w:val="5B686D47"/>
    <w:rsid w:val="5B7331EF"/>
    <w:rsid w:val="5BBC63FA"/>
    <w:rsid w:val="5BC421DF"/>
    <w:rsid w:val="5BD769EA"/>
    <w:rsid w:val="5BE82415"/>
    <w:rsid w:val="5C085AF9"/>
    <w:rsid w:val="5C222B39"/>
    <w:rsid w:val="5C783EF8"/>
    <w:rsid w:val="5C797997"/>
    <w:rsid w:val="5CB52BAD"/>
    <w:rsid w:val="5CB836EE"/>
    <w:rsid w:val="5CD65063"/>
    <w:rsid w:val="5CFE733E"/>
    <w:rsid w:val="5D133FCC"/>
    <w:rsid w:val="5D376CBC"/>
    <w:rsid w:val="5D941A06"/>
    <w:rsid w:val="5DBA7B73"/>
    <w:rsid w:val="5DC219E4"/>
    <w:rsid w:val="5DE07F60"/>
    <w:rsid w:val="5E215894"/>
    <w:rsid w:val="5E6A5417"/>
    <w:rsid w:val="5E9964FC"/>
    <w:rsid w:val="5EA527EB"/>
    <w:rsid w:val="5EA8001D"/>
    <w:rsid w:val="5EAB2ED4"/>
    <w:rsid w:val="5EB6537C"/>
    <w:rsid w:val="5F726CC7"/>
    <w:rsid w:val="5F772BB7"/>
    <w:rsid w:val="5F7770CC"/>
    <w:rsid w:val="5F843B10"/>
    <w:rsid w:val="5F923324"/>
    <w:rsid w:val="5F9516DC"/>
    <w:rsid w:val="5FC02283"/>
    <w:rsid w:val="6009601C"/>
    <w:rsid w:val="601E45D8"/>
    <w:rsid w:val="601F2556"/>
    <w:rsid w:val="60595F1D"/>
    <w:rsid w:val="60C63DFC"/>
    <w:rsid w:val="60C91D88"/>
    <w:rsid w:val="60C96A5B"/>
    <w:rsid w:val="60E33A8A"/>
    <w:rsid w:val="60EC12B4"/>
    <w:rsid w:val="610523DE"/>
    <w:rsid w:val="61576E4B"/>
    <w:rsid w:val="61BF22D5"/>
    <w:rsid w:val="61E3116A"/>
    <w:rsid w:val="6257385F"/>
    <w:rsid w:val="62661F44"/>
    <w:rsid w:val="62806004"/>
    <w:rsid w:val="62863DF4"/>
    <w:rsid w:val="62986E29"/>
    <w:rsid w:val="629D419A"/>
    <w:rsid w:val="62AB7395"/>
    <w:rsid w:val="62BC7807"/>
    <w:rsid w:val="62C14349"/>
    <w:rsid w:val="62C16539"/>
    <w:rsid w:val="62DD7032"/>
    <w:rsid w:val="63084079"/>
    <w:rsid w:val="631B31EA"/>
    <w:rsid w:val="633E0BF6"/>
    <w:rsid w:val="635B0ADD"/>
    <w:rsid w:val="636C77D3"/>
    <w:rsid w:val="63C952A8"/>
    <w:rsid w:val="63D622B5"/>
    <w:rsid w:val="63D80532"/>
    <w:rsid w:val="63E547B2"/>
    <w:rsid w:val="63E66104"/>
    <w:rsid w:val="64157661"/>
    <w:rsid w:val="64171B21"/>
    <w:rsid w:val="64254827"/>
    <w:rsid w:val="644F08D2"/>
    <w:rsid w:val="644F22F7"/>
    <w:rsid w:val="64560745"/>
    <w:rsid w:val="64B95B48"/>
    <w:rsid w:val="64ED2876"/>
    <w:rsid w:val="64F87F36"/>
    <w:rsid w:val="64FE57EB"/>
    <w:rsid w:val="6500669E"/>
    <w:rsid w:val="652B6960"/>
    <w:rsid w:val="652F4EAA"/>
    <w:rsid w:val="65536597"/>
    <w:rsid w:val="656C494A"/>
    <w:rsid w:val="659B2D80"/>
    <w:rsid w:val="65A51523"/>
    <w:rsid w:val="65F84382"/>
    <w:rsid w:val="660601A5"/>
    <w:rsid w:val="663B7B64"/>
    <w:rsid w:val="664F0C16"/>
    <w:rsid w:val="666D548D"/>
    <w:rsid w:val="667F0710"/>
    <w:rsid w:val="6694281E"/>
    <w:rsid w:val="669E749A"/>
    <w:rsid w:val="66A940F4"/>
    <w:rsid w:val="66AF25D7"/>
    <w:rsid w:val="66FA1F77"/>
    <w:rsid w:val="67363882"/>
    <w:rsid w:val="674628E6"/>
    <w:rsid w:val="67511783"/>
    <w:rsid w:val="67646470"/>
    <w:rsid w:val="676573C8"/>
    <w:rsid w:val="679D0397"/>
    <w:rsid w:val="67C95746"/>
    <w:rsid w:val="67E605BE"/>
    <w:rsid w:val="67F60E3F"/>
    <w:rsid w:val="67FD2B4E"/>
    <w:rsid w:val="680A3C32"/>
    <w:rsid w:val="68210723"/>
    <w:rsid w:val="682B4FCB"/>
    <w:rsid w:val="688658EC"/>
    <w:rsid w:val="68CE53BB"/>
    <w:rsid w:val="68D02FF4"/>
    <w:rsid w:val="68EA2AA8"/>
    <w:rsid w:val="69033287"/>
    <w:rsid w:val="690925D1"/>
    <w:rsid w:val="69871D5C"/>
    <w:rsid w:val="69914C31"/>
    <w:rsid w:val="6993308B"/>
    <w:rsid w:val="699F0A4B"/>
    <w:rsid w:val="69C03C0D"/>
    <w:rsid w:val="69C20B17"/>
    <w:rsid w:val="69C95365"/>
    <w:rsid w:val="69F04F3A"/>
    <w:rsid w:val="6A090D04"/>
    <w:rsid w:val="6A120357"/>
    <w:rsid w:val="6A2479FA"/>
    <w:rsid w:val="6A4A15B1"/>
    <w:rsid w:val="6A6D5135"/>
    <w:rsid w:val="6A7062A5"/>
    <w:rsid w:val="6A803D12"/>
    <w:rsid w:val="6A81457D"/>
    <w:rsid w:val="6A862DD0"/>
    <w:rsid w:val="6A932AB3"/>
    <w:rsid w:val="6ACE2F7D"/>
    <w:rsid w:val="6B074CBB"/>
    <w:rsid w:val="6B2E5607"/>
    <w:rsid w:val="6B546867"/>
    <w:rsid w:val="6B572E41"/>
    <w:rsid w:val="6B58707C"/>
    <w:rsid w:val="6B6343EB"/>
    <w:rsid w:val="6B740145"/>
    <w:rsid w:val="6B746B02"/>
    <w:rsid w:val="6B782FC9"/>
    <w:rsid w:val="6BC2624C"/>
    <w:rsid w:val="6BD823E9"/>
    <w:rsid w:val="6BDF0D50"/>
    <w:rsid w:val="6BEA03C1"/>
    <w:rsid w:val="6C1063EA"/>
    <w:rsid w:val="6C180CD2"/>
    <w:rsid w:val="6C247095"/>
    <w:rsid w:val="6C482EED"/>
    <w:rsid w:val="6C82039E"/>
    <w:rsid w:val="6C852D49"/>
    <w:rsid w:val="6C8908D8"/>
    <w:rsid w:val="6C8F1565"/>
    <w:rsid w:val="6C995782"/>
    <w:rsid w:val="6CFC12B3"/>
    <w:rsid w:val="6D0A4265"/>
    <w:rsid w:val="6D164AC1"/>
    <w:rsid w:val="6D1F5F98"/>
    <w:rsid w:val="6D4E48F3"/>
    <w:rsid w:val="6D857735"/>
    <w:rsid w:val="6D8B427F"/>
    <w:rsid w:val="6D9B2DA9"/>
    <w:rsid w:val="6D9D3859"/>
    <w:rsid w:val="6DAA0F1E"/>
    <w:rsid w:val="6DEF3DE7"/>
    <w:rsid w:val="6DF219F0"/>
    <w:rsid w:val="6E200312"/>
    <w:rsid w:val="6E263A16"/>
    <w:rsid w:val="6E2F7E25"/>
    <w:rsid w:val="6E351DC2"/>
    <w:rsid w:val="6E400503"/>
    <w:rsid w:val="6E7A34C8"/>
    <w:rsid w:val="6E822806"/>
    <w:rsid w:val="6EE06260"/>
    <w:rsid w:val="6EEA4C6C"/>
    <w:rsid w:val="6F17521C"/>
    <w:rsid w:val="6F2A3D94"/>
    <w:rsid w:val="6F7D00B0"/>
    <w:rsid w:val="6F9C689E"/>
    <w:rsid w:val="6FAB66F6"/>
    <w:rsid w:val="6FB062D5"/>
    <w:rsid w:val="6FD86C44"/>
    <w:rsid w:val="6FFB3BCE"/>
    <w:rsid w:val="6FFC5D64"/>
    <w:rsid w:val="70226C86"/>
    <w:rsid w:val="70305B2F"/>
    <w:rsid w:val="70432C36"/>
    <w:rsid w:val="704A2680"/>
    <w:rsid w:val="70577091"/>
    <w:rsid w:val="706E7AC8"/>
    <w:rsid w:val="709B272B"/>
    <w:rsid w:val="70BD07B0"/>
    <w:rsid w:val="70C0153A"/>
    <w:rsid w:val="70C9728E"/>
    <w:rsid w:val="71291DF8"/>
    <w:rsid w:val="712B0DA0"/>
    <w:rsid w:val="712D43F2"/>
    <w:rsid w:val="715251DD"/>
    <w:rsid w:val="717479DE"/>
    <w:rsid w:val="71842C09"/>
    <w:rsid w:val="71906A7F"/>
    <w:rsid w:val="71B2171A"/>
    <w:rsid w:val="71B51EDE"/>
    <w:rsid w:val="71E16922"/>
    <w:rsid w:val="71F63A5F"/>
    <w:rsid w:val="72194DCA"/>
    <w:rsid w:val="7231134F"/>
    <w:rsid w:val="723E65CB"/>
    <w:rsid w:val="724B7FD3"/>
    <w:rsid w:val="72632151"/>
    <w:rsid w:val="729E2AD1"/>
    <w:rsid w:val="72BD364C"/>
    <w:rsid w:val="733A3AC2"/>
    <w:rsid w:val="734E4869"/>
    <w:rsid w:val="73983F11"/>
    <w:rsid w:val="740A6A4A"/>
    <w:rsid w:val="74123AF5"/>
    <w:rsid w:val="74193428"/>
    <w:rsid w:val="742522EA"/>
    <w:rsid w:val="742B43B3"/>
    <w:rsid w:val="7459417B"/>
    <w:rsid w:val="7471785E"/>
    <w:rsid w:val="74832C68"/>
    <w:rsid w:val="74C154BC"/>
    <w:rsid w:val="74C17090"/>
    <w:rsid w:val="74E837F7"/>
    <w:rsid w:val="74F74698"/>
    <w:rsid w:val="75105DB9"/>
    <w:rsid w:val="755B7303"/>
    <w:rsid w:val="75894D67"/>
    <w:rsid w:val="758F0B5D"/>
    <w:rsid w:val="75C31666"/>
    <w:rsid w:val="75C865CB"/>
    <w:rsid w:val="75DB6F21"/>
    <w:rsid w:val="75E95796"/>
    <w:rsid w:val="75FE1C50"/>
    <w:rsid w:val="760653F5"/>
    <w:rsid w:val="76382D09"/>
    <w:rsid w:val="768250F6"/>
    <w:rsid w:val="76CE49B5"/>
    <w:rsid w:val="76CF0232"/>
    <w:rsid w:val="76D83568"/>
    <w:rsid w:val="76E35D13"/>
    <w:rsid w:val="76E51098"/>
    <w:rsid w:val="76FC0BDC"/>
    <w:rsid w:val="7734127E"/>
    <w:rsid w:val="77384934"/>
    <w:rsid w:val="77400BCC"/>
    <w:rsid w:val="77780912"/>
    <w:rsid w:val="7785352B"/>
    <w:rsid w:val="77B75520"/>
    <w:rsid w:val="77BF49EB"/>
    <w:rsid w:val="77E97109"/>
    <w:rsid w:val="77E974BA"/>
    <w:rsid w:val="77FF0768"/>
    <w:rsid w:val="780920A2"/>
    <w:rsid w:val="7815656D"/>
    <w:rsid w:val="781D06DC"/>
    <w:rsid w:val="781F41DD"/>
    <w:rsid w:val="782829F9"/>
    <w:rsid w:val="78381A5E"/>
    <w:rsid w:val="7855248D"/>
    <w:rsid w:val="788F2D63"/>
    <w:rsid w:val="789A28C7"/>
    <w:rsid w:val="78A57199"/>
    <w:rsid w:val="78AB163D"/>
    <w:rsid w:val="78B404AE"/>
    <w:rsid w:val="78BF1A88"/>
    <w:rsid w:val="78DB705D"/>
    <w:rsid w:val="791075CB"/>
    <w:rsid w:val="791302D5"/>
    <w:rsid w:val="79552284"/>
    <w:rsid w:val="796419CB"/>
    <w:rsid w:val="79794F50"/>
    <w:rsid w:val="7984239D"/>
    <w:rsid w:val="79991EEA"/>
    <w:rsid w:val="79B92076"/>
    <w:rsid w:val="79C47176"/>
    <w:rsid w:val="79E978EB"/>
    <w:rsid w:val="79F0317F"/>
    <w:rsid w:val="7AAB1658"/>
    <w:rsid w:val="7AEB58E2"/>
    <w:rsid w:val="7B117C64"/>
    <w:rsid w:val="7B48105E"/>
    <w:rsid w:val="7B6B259F"/>
    <w:rsid w:val="7B980680"/>
    <w:rsid w:val="7BAD1212"/>
    <w:rsid w:val="7BF70CB6"/>
    <w:rsid w:val="7BF95732"/>
    <w:rsid w:val="7C11538B"/>
    <w:rsid w:val="7C1935B2"/>
    <w:rsid w:val="7C220378"/>
    <w:rsid w:val="7C613D65"/>
    <w:rsid w:val="7C6723BD"/>
    <w:rsid w:val="7C8F4102"/>
    <w:rsid w:val="7C961098"/>
    <w:rsid w:val="7C9C0F16"/>
    <w:rsid w:val="7C9E7950"/>
    <w:rsid w:val="7CAA2DAF"/>
    <w:rsid w:val="7CB510B4"/>
    <w:rsid w:val="7CE25225"/>
    <w:rsid w:val="7CE31DA8"/>
    <w:rsid w:val="7CF2390F"/>
    <w:rsid w:val="7D166575"/>
    <w:rsid w:val="7D230305"/>
    <w:rsid w:val="7D2462B5"/>
    <w:rsid w:val="7D252BEB"/>
    <w:rsid w:val="7D287BAE"/>
    <w:rsid w:val="7D4234C4"/>
    <w:rsid w:val="7D606AA6"/>
    <w:rsid w:val="7D6336D6"/>
    <w:rsid w:val="7D671C04"/>
    <w:rsid w:val="7D843919"/>
    <w:rsid w:val="7DBD7FEA"/>
    <w:rsid w:val="7E077300"/>
    <w:rsid w:val="7E225C2D"/>
    <w:rsid w:val="7E297044"/>
    <w:rsid w:val="7E7B758A"/>
    <w:rsid w:val="7EAD02C8"/>
    <w:rsid w:val="7EB115E8"/>
    <w:rsid w:val="7EB44151"/>
    <w:rsid w:val="7EC64D14"/>
    <w:rsid w:val="7EFD417D"/>
    <w:rsid w:val="7F5401B9"/>
    <w:rsid w:val="7F6E2CB5"/>
    <w:rsid w:val="7F6F0485"/>
    <w:rsid w:val="7F6F7C74"/>
    <w:rsid w:val="7F736901"/>
    <w:rsid w:val="7F89110D"/>
    <w:rsid w:val="7FB336A4"/>
    <w:rsid w:val="7FBE2CAA"/>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7"/>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9"/>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5"/>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9"/>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7"/>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6"/>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2"/>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5"/>
    <w:unhideWhenUsed/>
    <w:qFormat/>
    <w:uiPriority w:val="99"/>
    <w:rPr>
      <w:rFonts w:ascii="宋体"/>
      <w:sz w:val="18"/>
      <w:szCs w:val="18"/>
    </w:rPr>
  </w:style>
  <w:style w:type="paragraph" w:styleId="17">
    <w:name w:val="annotation text"/>
    <w:basedOn w:val="1"/>
    <w:link w:val="57"/>
    <w:qFormat/>
    <w:uiPriority w:val="0"/>
    <w:pPr>
      <w:widowControl w:val="0"/>
    </w:pPr>
    <w:rPr>
      <w:kern w:val="2"/>
      <w:sz w:val="18"/>
      <w:szCs w:val="20"/>
    </w:rPr>
  </w:style>
  <w:style w:type="paragraph" w:styleId="18">
    <w:name w:val="Salutation"/>
    <w:basedOn w:val="1"/>
    <w:next w:val="1"/>
    <w:link w:val="83"/>
    <w:qFormat/>
    <w:uiPriority w:val="0"/>
    <w:pPr>
      <w:widowControl w:val="0"/>
      <w:jc w:val="both"/>
    </w:pPr>
    <w:rPr>
      <w:rFonts w:eastAsia="黑体"/>
      <w:kern w:val="2"/>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8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1"/>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6"/>
    <w:qFormat/>
    <w:uiPriority w:val="0"/>
    <w:pPr>
      <w:ind w:left="100" w:leftChars="2500"/>
    </w:pPr>
  </w:style>
  <w:style w:type="paragraph" w:styleId="27">
    <w:name w:val="Body Text Indent 2"/>
    <w:basedOn w:val="1"/>
    <w:link w:val="94"/>
    <w:qFormat/>
    <w:uiPriority w:val="0"/>
    <w:pPr>
      <w:widowControl w:val="0"/>
      <w:ind w:firstLine="540" w:firstLineChars="257"/>
      <w:jc w:val="both"/>
    </w:pPr>
    <w:rPr>
      <w:kern w:val="2"/>
      <w:sz w:val="21"/>
    </w:rPr>
  </w:style>
  <w:style w:type="paragraph" w:styleId="28">
    <w:name w:val="Balloon Text"/>
    <w:basedOn w:val="1"/>
    <w:link w:val="88"/>
    <w:semiHidden/>
    <w:qFormat/>
    <w:uiPriority w:val="0"/>
    <w:rPr>
      <w:sz w:val="18"/>
      <w:szCs w:val="18"/>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8"/>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9"/>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5"/>
    <w:qFormat/>
    <w:uiPriority w:val="0"/>
    <w:rPr>
      <w:b/>
    </w:rPr>
  </w:style>
  <w:style w:type="paragraph" w:styleId="42">
    <w:name w:val="Body Text First Indent"/>
    <w:basedOn w:val="2"/>
    <w:link w:val="81"/>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styleId="53">
    <w:name w:val="Quote"/>
    <w:basedOn w:val="1"/>
    <w:next w:val="1"/>
    <w:qFormat/>
    <w:uiPriority w:val="0"/>
    <w:pPr>
      <w:wordWrap w:val="0"/>
      <w:spacing w:before="200" w:after="160"/>
      <w:ind w:left="864" w:right="864"/>
      <w:jc w:val="center"/>
    </w:pPr>
    <w:rPr>
      <w:i/>
    </w:rPr>
  </w:style>
  <w:style w:type="paragraph" w:customStyle="1" w:styleId="54">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5">
    <w:name w:val="批注主题 Char"/>
    <w:link w:val="41"/>
    <w:qFormat/>
    <w:uiPriority w:val="0"/>
    <w:rPr>
      <w:b/>
      <w:kern w:val="2"/>
      <w:sz w:val="18"/>
    </w:rPr>
  </w:style>
  <w:style w:type="character" w:customStyle="1" w:styleId="56">
    <w:name w:val="标题 8 Char"/>
    <w:link w:val="10"/>
    <w:qFormat/>
    <w:uiPriority w:val="0"/>
    <w:rPr>
      <w:rFonts w:ascii="Arial" w:hAnsi="Arial" w:eastAsia="黑体"/>
      <w:kern w:val="2"/>
      <w:sz w:val="24"/>
    </w:rPr>
  </w:style>
  <w:style w:type="character" w:customStyle="1" w:styleId="57">
    <w:name w:val="批注文字 Char"/>
    <w:link w:val="17"/>
    <w:qFormat/>
    <w:uiPriority w:val="0"/>
    <w:rPr>
      <w:kern w:val="2"/>
      <w:sz w:val="18"/>
    </w:rPr>
  </w:style>
  <w:style w:type="character" w:customStyle="1" w:styleId="58">
    <w:name w:val="fontblank12"/>
    <w:basedOn w:val="47"/>
    <w:qFormat/>
    <w:uiPriority w:val="0"/>
  </w:style>
  <w:style w:type="character" w:customStyle="1" w:styleId="59">
    <w:name w:val="标书（正文） Char"/>
    <w:link w:val="60"/>
    <w:qFormat/>
    <w:uiPriority w:val="0"/>
    <w:rPr>
      <w:rFonts w:ascii="宋体" w:hAnsi="宋体"/>
      <w:b/>
      <w:kern w:val="10"/>
      <w:sz w:val="21"/>
    </w:rPr>
  </w:style>
  <w:style w:type="paragraph" w:customStyle="1" w:styleId="60">
    <w:name w:val="标书（正文）"/>
    <w:basedOn w:val="1"/>
    <w:link w:val="59"/>
    <w:qFormat/>
    <w:uiPriority w:val="0"/>
    <w:pPr>
      <w:widowControl w:val="0"/>
      <w:spacing w:line="360" w:lineRule="auto"/>
      <w:ind w:firstLine="560" w:firstLineChars="200"/>
      <w:jc w:val="both"/>
    </w:pPr>
    <w:rPr>
      <w:rFonts w:ascii="宋体" w:hAnsi="宋体"/>
      <w:b/>
      <w:kern w:val="10"/>
      <w:sz w:val="21"/>
      <w:szCs w:val="20"/>
    </w:rPr>
  </w:style>
  <w:style w:type="character" w:customStyle="1" w:styleId="61">
    <w:name w:val="Char Char4"/>
    <w:qFormat/>
    <w:uiPriority w:val="0"/>
    <w:rPr>
      <w:rFonts w:ascii="宋体" w:hAnsi="Courier New" w:eastAsia="宋体"/>
      <w:kern w:val="2"/>
      <w:sz w:val="21"/>
      <w:lang w:val="en-US" w:eastAsia="zh-CN"/>
    </w:rPr>
  </w:style>
  <w:style w:type="character" w:customStyle="1" w:styleId="62">
    <w:name w:val="textnormchn1"/>
    <w:basedOn w:val="47"/>
    <w:qFormat/>
    <w:uiPriority w:val="0"/>
  </w:style>
  <w:style w:type="character" w:customStyle="1" w:styleId="63">
    <w:name w:val="标题 1 Char"/>
    <w:link w:val="3"/>
    <w:qFormat/>
    <w:uiPriority w:val="0"/>
    <w:rPr>
      <w:rFonts w:ascii="宋体" w:hAnsi="宋体"/>
      <w:b/>
      <w:bCs/>
      <w:kern w:val="44"/>
      <w:sz w:val="32"/>
      <w:szCs w:val="32"/>
    </w:rPr>
  </w:style>
  <w:style w:type="character" w:customStyle="1" w:styleId="64">
    <w:name w:val="列出段落 Char"/>
    <w:link w:val="65"/>
    <w:qFormat/>
    <w:uiPriority w:val="0"/>
    <w:rPr>
      <w:sz w:val="24"/>
      <w:szCs w:val="24"/>
    </w:rPr>
  </w:style>
  <w:style w:type="paragraph" w:customStyle="1" w:styleId="65">
    <w:name w:val="列出段落1"/>
    <w:basedOn w:val="1"/>
    <w:link w:val="64"/>
    <w:qFormat/>
    <w:uiPriority w:val="0"/>
    <w:pPr>
      <w:ind w:firstLine="420" w:firstLineChars="200"/>
    </w:pPr>
  </w:style>
  <w:style w:type="character" w:customStyle="1" w:styleId="66">
    <w:name w:val="CD正文 Char"/>
    <w:link w:val="67"/>
    <w:qFormat/>
    <w:uiPriority w:val="0"/>
    <w:rPr>
      <w:kern w:val="2"/>
      <w:sz w:val="30"/>
      <w:szCs w:val="28"/>
    </w:rPr>
  </w:style>
  <w:style w:type="paragraph" w:customStyle="1" w:styleId="67">
    <w:name w:val="CD正文"/>
    <w:basedOn w:val="68"/>
    <w:link w:val="66"/>
    <w:qFormat/>
    <w:uiPriority w:val="0"/>
    <w:pPr>
      <w:ind w:firstLine="493"/>
    </w:pPr>
    <w:rPr>
      <w:sz w:val="30"/>
      <w:szCs w:val="28"/>
    </w:rPr>
  </w:style>
  <w:style w:type="paragraph" w:customStyle="1" w:styleId="68">
    <w:name w:val="文章正文"/>
    <w:basedOn w:val="1"/>
    <w:link w:val="77"/>
    <w:qFormat/>
    <w:uiPriority w:val="0"/>
    <w:pPr>
      <w:widowControl w:val="0"/>
      <w:spacing w:line="360" w:lineRule="auto"/>
      <w:ind w:firstLine="420"/>
      <w:jc w:val="both"/>
    </w:pPr>
    <w:rPr>
      <w:kern w:val="2"/>
    </w:rPr>
  </w:style>
  <w:style w:type="character" w:customStyle="1" w:styleId="69">
    <w:name w:val="正文文本 2 Char"/>
    <w:link w:val="38"/>
    <w:qFormat/>
    <w:uiPriority w:val="0"/>
    <w:rPr>
      <w:sz w:val="21"/>
      <w:szCs w:val="21"/>
    </w:rPr>
  </w:style>
  <w:style w:type="character" w:customStyle="1" w:styleId="70">
    <w:name w:val="（符号）三标题1.1 Char Char"/>
    <w:link w:val="71"/>
    <w:qFormat/>
    <w:uiPriority w:val="0"/>
    <w:rPr>
      <w:rFonts w:ascii="宋体" w:hAnsi="宋体"/>
      <w:kern w:val="2"/>
      <w:sz w:val="24"/>
      <w:szCs w:val="24"/>
    </w:rPr>
  </w:style>
  <w:style w:type="paragraph" w:customStyle="1" w:styleId="71">
    <w:name w:val="（符号）三标题1.1"/>
    <w:basedOn w:val="1"/>
    <w:link w:val="70"/>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2">
    <w:name w:val="grame"/>
    <w:basedOn w:val="47"/>
    <w:qFormat/>
    <w:uiPriority w:val="0"/>
  </w:style>
  <w:style w:type="character" w:customStyle="1" w:styleId="73">
    <w:name w:val="页脚 Char"/>
    <w:link w:val="29"/>
    <w:qFormat/>
    <w:uiPriority w:val="99"/>
    <w:rPr>
      <w:sz w:val="18"/>
      <w:szCs w:val="18"/>
    </w:rPr>
  </w:style>
  <w:style w:type="character" w:customStyle="1" w:styleId="74">
    <w:name w:val="keyword"/>
    <w:basedOn w:val="47"/>
    <w:qFormat/>
    <w:uiPriority w:val="0"/>
  </w:style>
  <w:style w:type="character" w:customStyle="1" w:styleId="75">
    <w:name w:val="文档结构图 Char"/>
    <w:link w:val="16"/>
    <w:semiHidden/>
    <w:qFormat/>
    <w:uiPriority w:val="99"/>
    <w:rPr>
      <w:rFonts w:ascii="宋体"/>
      <w:sz w:val="18"/>
      <w:szCs w:val="18"/>
    </w:rPr>
  </w:style>
  <w:style w:type="character" w:customStyle="1" w:styleId="76">
    <w:name w:val="日期 Char"/>
    <w:link w:val="26"/>
    <w:qFormat/>
    <w:uiPriority w:val="0"/>
    <w:rPr>
      <w:sz w:val="24"/>
      <w:szCs w:val="24"/>
    </w:rPr>
  </w:style>
  <w:style w:type="character" w:customStyle="1" w:styleId="77">
    <w:name w:val="文章正文 Char"/>
    <w:link w:val="68"/>
    <w:qFormat/>
    <w:uiPriority w:val="0"/>
    <w:rPr>
      <w:kern w:val="2"/>
      <w:sz w:val="24"/>
      <w:szCs w:val="24"/>
    </w:rPr>
  </w:style>
  <w:style w:type="character" w:customStyle="1" w:styleId="78">
    <w:name w:val="正文文本缩进 3 Char"/>
    <w:link w:val="35"/>
    <w:qFormat/>
    <w:uiPriority w:val="0"/>
    <w:rPr>
      <w:kern w:val="2"/>
      <w:sz w:val="16"/>
      <w:szCs w:val="16"/>
    </w:rPr>
  </w:style>
  <w:style w:type="character" w:customStyle="1" w:styleId="79">
    <w:name w:val="标题 7 Char"/>
    <w:link w:val="9"/>
    <w:qFormat/>
    <w:uiPriority w:val="0"/>
    <w:rPr>
      <w:rFonts w:ascii="Arial Narrow" w:hAnsi="Arial Narrow"/>
      <w:b/>
      <w:lang w:eastAsia="en-US"/>
    </w:rPr>
  </w:style>
  <w:style w:type="character" w:customStyle="1" w:styleId="80">
    <w:name w:val="正文文本缩进 Char"/>
    <w:link w:val="20"/>
    <w:qFormat/>
    <w:uiPriority w:val="0"/>
    <w:rPr>
      <w:rFonts w:ascii="宋体"/>
      <w:sz w:val="30"/>
      <w:szCs w:val="24"/>
    </w:rPr>
  </w:style>
  <w:style w:type="character" w:customStyle="1" w:styleId="81">
    <w:name w:val="正文首行缩进 Char"/>
    <w:link w:val="42"/>
    <w:qFormat/>
    <w:uiPriority w:val="0"/>
    <w:rPr>
      <w:rFonts w:ascii="宋体" w:hAnsi="宋体"/>
      <w:kern w:val="2"/>
      <w:sz w:val="21"/>
      <w:szCs w:val="24"/>
    </w:rPr>
  </w:style>
  <w:style w:type="character" w:customStyle="1" w:styleId="82">
    <w:name w:val="正文缩进 Char"/>
    <w:link w:val="14"/>
    <w:qFormat/>
    <w:uiPriority w:val="0"/>
    <w:rPr>
      <w:kern w:val="2"/>
      <w:sz w:val="21"/>
      <w:szCs w:val="24"/>
    </w:rPr>
  </w:style>
  <w:style w:type="character" w:customStyle="1" w:styleId="83">
    <w:name w:val="称呼 Char"/>
    <w:link w:val="18"/>
    <w:qFormat/>
    <w:uiPriority w:val="0"/>
    <w:rPr>
      <w:rFonts w:eastAsia="黑体"/>
      <w:kern w:val="2"/>
      <w:sz w:val="24"/>
    </w:rPr>
  </w:style>
  <w:style w:type="character" w:customStyle="1" w:styleId="84">
    <w:name w:val="标题 9 Char"/>
    <w:link w:val="11"/>
    <w:qFormat/>
    <w:uiPriority w:val="0"/>
    <w:rPr>
      <w:rFonts w:ascii="Arial" w:hAnsi="Arial" w:eastAsia="黑体"/>
      <w:kern w:val="2"/>
      <w:sz w:val="21"/>
    </w:rPr>
  </w:style>
  <w:style w:type="character" w:customStyle="1" w:styleId="85">
    <w:name w:val="正文文本 Char"/>
    <w:link w:val="2"/>
    <w:qFormat/>
    <w:uiPriority w:val="0"/>
    <w:rPr>
      <w:sz w:val="24"/>
      <w:szCs w:val="24"/>
    </w:rPr>
  </w:style>
  <w:style w:type="character" w:customStyle="1" w:styleId="86">
    <w:name w:val="Char Char40"/>
    <w:qFormat/>
    <w:uiPriority w:val="0"/>
    <w:rPr>
      <w:kern w:val="2"/>
      <w:sz w:val="24"/>
      <w:szCs w:val="24"/>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批注框文本 Char"/>
    <w:link w:val="28"/>
    <w:semiHidden/>
    <w:qFormat/>
    <w:uiPriority w:val="0"/>
    <w:rPr>
      <w:sz w:val="18"/>
      <w:szCs w:val="18"/>
    </w:rPr>
  </w:style>
  <w:style w:type="character" w:customStyle="1" w:styleId="89">
    <w:name w:val="标题 5 Char"/>
    <w:link w:val="7"/>
    <w:qFormat/>
    <w:uiPriority w:val="0"/>
    <w:rPr>
      <w:rFonts w:ascii="Times New Roman" w:hAnsi="Times New Roman"/>
      <w:b/>
      <w:bCs/>
      <w:sz w:val="28"/>
      <w:szCs w:val="28"/>
    </w:rPr>
  </w:style>
  <w:style w:type="character" w:customStyle="1" w:styleId="90">
    <w:name w:val="WW8Num9z0"/>
    <w:qFormat/>
    <w:uiPriority w:val="0"/>
    <w:rPr>
      <w:rFonts w:ascii="Wingdings" w:hAnsi="Wingdings"/>
    </w:rPr>
  </w:style>
  <w:style w:type="character" w:customStyle="1" w:styleId="91">
    <w:name w:val="magic-list1"/>
    <w:qFormat/>
    <w:uiPriority w:val="0"/>
    <w:rPr>
      <w:rFonts w:hint="default" w:ascii="ˎ̥" w:hAnsi="ˎ̥"/>
      <w:color w:val="000000"/>
      <w:sz w:val="20"/>
      <w:u w:val="none"/>
    </w:rPr>
  </w:style>
  <w:style w:type="character" w:customStyle="1" w:styleId="92">
    <w:name w:val="small"/>
    <w:basedOn w:val="47"/>
    <w:qFormat/>
    <w:uiPriority w:val="0"/>
  </w:style>
  <w:style w:type="character" w:customStyle="1" w:styleId="93">
    <w:name w:val="页眉 Char"/>
    <w:link w:val="30"/>
    <w:qFormat/>
    <w:uiPriority w:val="0"/>
    <w:rPr>
      <w:sz w:val="18"/>
      <w:szCs w:val="18"/>
    </w:rPr>
  </w:style>
  <w:style w:type="character" w:customStyle="1" w:styleId="94">
    <w:name w:val="正文文本缩进 2 Char"/>
    <w:link w:val="27"/>
    <w:qFormat/>
    <w:uiPriority w:val="0"/>
    <w:rPr>
      <w:kern w:val="2"/>
      <w:sz w:val="21"/>
      <w:szCs w:val="24"/>
    </w:rPr>
  </w:style>
  <w:style w:type="character" w:customStyle="1" w:styleId="95">
    <w:name w:val="标题 4 Char"/>
    <w:link w:val="6"/>
    <w:qFormat/>
    <w:uiPriority w:val="0"/>
    <w:rPr>
      <w:rFonts w:ascii="宋体" w:hAnsi="宋体"/>
      <w:b/>
      <w:bCs/>
      <w:sz w:val="28"/>
      <w:szCs w:val="28"/>
    </w:rPr>
  </w:style>
  <w:style w:type="character" w:customStyle="1" w:styleId="96">
    <w:name w:val="正文文本 3 Char"/>
    <w:link w:val="19"/>
    <w:qFormat/>
    <w:uiPriority w:val="0"/>
    <w:rPr>
      <w:sz w:val="16"/>
      <w:szCs w:val="16"/>
    </w:rPr>
  </w:style>
  <w:style w:type="character" w:customStyle="1" w:styleId="97">
    <w:name w:val="标题 2 Char"/>
    <w:link w:val="4"/>
    <w:qFormat/>
    <w:uiPriority w:val="0"/>
    <w:rPr>
      <w:rFonts w:ascii="宋体" w:hAnsi="宋体"/>
      <w:b/>
      <w:bCs/>
      <w:iCs/>
      <w:sz w:val="28"/>
      <w:szCs w:val="28"/>
    </w:rPr>
  </w:style>
  <w:style w:type="character" w:customStyle="1" w:styleId="98">
    <w:name w:val="纯文本 Char1"/>
    <w:unhideWhenUsed/>
    <w:qFormat/>
    <w:uiPriority w:val="99"/>
    <w:rPr>
      <w:rFonts w:hint="eastAsia" w:ascii="宋体" w:hAnsi="Tms Rmn" w:eastAsia="宋体"/>
      <w:sz w:val="21"/>
      <w:lang w:val="en-US" w:eastAsia="zh-CN"/>
    </w:rPr>
  </w:style>
  <w:style w:type="character" w:customStyle="1" w:styleId="99">
    <w:name w:val="标题 3 Char"/>
    <w:link w:val="5"/>
    <w:qFormat/>
    <w:uiPriority w:val="0"/>
    <w:rPr>
      <w:rFonts w:ascii="宋体" w:hAnsi="宋体"/>
      <w:b/>
      <w:bCs/>
      <w:color w:val="000000"/>
      <w:kern w:val="2"/>
      <w:sz w:val="24"/>
      <w:szCs w:val="28"/>
    </w:rPr>
  </w:style>
  <w:style w:type="character" w:customStyle="1" w:styleId="100">
    <w:name w:val="标题 Char"/>
    <w:link w:val="40"/>
    <w:qFormat/>
    <w:uiPriority w:val="0"/>
    <w:rPr>
      <w:rFonts w:ascii="Cambria" w:hAnsi="Cambria"/>
      <w:b/>
      <w:bCs/>
      <w:kern w:val="2"/>
      <w:sz w:val="32"/>
      <w:szCs w:val="32"/>
    </w:rPr>
  </w:style>
  <w:style w:type="character" w:customStyle="1" w:styleId="101">
    <w:name w:val="纯文本 Char"/>
    <w:link w:val="24"/>
    <w:qFormat/>
    <w:uiPriority w:val="0"/>
    <w:rPr>
      <w:rFonts w:ascii="宋体" w:hAnsi="Tms Rmn" w:cs="宋体"/>
      <w:sz w:val="21"/>
      <w:szCs w:val="21"/>
    </w:rPr>
  </w:style>
  <w:style w:type="character" w:customStyle="1" w:styleId="102">
    <w:name w:val="H4 Char"/>
    <w:qFormat/>
    <w:uiPriority w:val="0"/>
    <w:rPr>
      <w:rFonts w:ascii="Arial" w:hAnsi="Arial" w:eastAsia="宋体"/>
      <w:b/>
      <w:kern w:val="2"/>
      <w:sz w:val="28"/>
      <w:lang w:val="en-US" w:eastAsia="zh-CN"/>
    </w:rPr>
  </w:style>
  <w:style w:type="character" w:customStyle="1" w:styleId="103">
    <w:name w:val="正文缩进 Char1"/>
    <w:qFormat/>
    <w:uiPriority w:val="0"/>
    <w:rPr>
      <w:kern w:val="2"/>
      <w:sz w:val="21"/>
      <w:szCs w:val="24"/>
    </w:rPr>
  </w:style>
  <w:style w:type="paragraph" w:customStyle="1" w:styleId="104">
    <w:name w:val="MM Topic 9"/>
    <w:basedOn w:val="11"/>
    <w:qFormat/>
    <w:uiPriority w:val="0"/>
    <w:pPr>
      <w:tabs>
        <w:tab w:val="left" w:pos="5102"/>
      </w:tabs>
    </w:pPr>
  </w:style>
  <w:style w:type="paragraph" w:customStyle="1" w:styleId="10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6">
    <w:name w:val="强调2"/>
    <w:basedOn w:val="107"/>
    <w:qFormat/>
    <w:uiPriority w:val="0"/>
    <w:pPr>
      <w:numPr>
        <w:ilvl w:val="1"/>
      </w:numPr>
      <w:tabs>
        <w:tab w:val="left" w:pos="360"/>
        <w:tab w:val="left" w:pos="1918"/>
      </w:tabs>
      <w:ind w:left="1918"/>
    </w:pPr>
  </w:style>
  <w:style w:type="paragraph" w:customStyle="1" w:styleId="107">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8">
    <w:name w:val="Char Char Char Char"/>
    <w:basedOn w:val="1"/>
    <w:next w:val="1"/>
    <w:qFormat/>
    <w:uiPriority w:val="0"/>
    <w:pPr>
      <w:widowControl w:val="0"/>
      <w:spacing w:line="240" w:lineRule="atLeast"/>
      <w:ind w:left="420" w:firstLine="420"/>
    </w:pPr>
    <w:rPr>
      <w:sz w:val="21"/>
      <w:szCs w:val="21"/>
    </w:rPr>
  </w:style>
  <w:style w:type="paragraph" w:customStyle="1" w:styleId="10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1">
    <w:name w:val="默认段落字体 Para Char Char Char Char"/>
    <w:basedOn w:val="1"/>
    <w:qFormat/>
    <w:uiPriority w:val="0"/>
    <w:pPr>
      <w:widowControl w:val="0"/>
      <w:jc w:val="both"/>
    </w:pPr>
    <w:rPr>
      <w:kern w:val="2"/>
      <w:sz w:val="21"/>
    </w:rPr>
  </w:style>
  <w:style w:type="paragraph" w:customStyle="1" w:styleId="11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3">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6">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7">
    <w:name w:val="MM Topic 6"/>
    <w:basedOn w:val="8"/>
    <w:qFormat/>
    <w:uiPriority w:val="0"/>
    <w:pPr>
      <w:numPr>
        <w:ilvl w:val="0"/>
        <w:numId w:val="0"/>
      </w:numPr>
      <w:tabs>
        <w:tab w:val="left" w:pos="3260"/>
      </w:tabs>
      <w:spacing w:line="317" w:lineRule="auto"/>
    </w:pPr>
    <w:rPr>
      <w:bCs w:val="0"/>
      <w:sz w:val="28"/>
      <w:szCs w:val="20"/>
    </w:rPr>
  </w:style>
  <w:style w:type="paragraph" w:customStyle="1" w:styleId="1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9">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11"/>
    <w:basedOn w:val="1"/>
    <w:next w:val="1"/>
    <w:qFormat/>
    <w:uiPriority w:val="0"/>
    <w:pPr>
      <w:widowControl w:val="0"/>
      <w:spacing w:line="240" w:lineRule="atLeast"/>
      <w:ind w:left="420" w:firstLine="420"/>
    </w:pPr>
    <w:rPr>
      <w:sz w:val="21"/>
      <w:szCs w:val="21"/>
    </w:rPr>
  </w:style>
  <w:style w:type="paragraph" w:customStyle="1" w:styleId="125">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6">
    <w:name w:val="默认段落字体 Para Char Char Char Char Char Char Char"/>
    <w:basedOn w:val="1"/>
    <w:qFormat/>
    <w:uiPriority w:val="0"/>
    <w:pPr>
      <w:widowControl w:val="0"/>
      <w:jc w:val="both"/>
    </w:pPr>
    <w:rPr>
      <w:rFonts w:ascii="Tahoma" w:hAnsi="Tahoma"/>
      <w:kern w:val="2"/>
      <w:szCs w:val="20"/>
    </w:rPr>
  </w:style>
  <w:style w:type="paragraph" w:customStyle="1" w:styleId="127">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8">
    <w:name w:val="样式2"/>
    <w:basedOn w:val="1"/>
    <w:qFormat/>
    <w:uiPriority w:val="0"/>
    <w:pPr>
      <w:widowControl w:val="0"/>
      <w:adjustRightInd w:val="0"/>
      <w:spacing w:line="410" w:lineRule="atLeast"/>
      <w:jc w:val="both"/>
      <w:textAlignment w:val="baseline"/>
    </w:pPr>
    <w:rPr>
      <w:szCs w:val="20"/>
    </w:rPr>
  </w:style>
  <w:style w:type="paragraph" w:customStyle="1" w:styleId="129">
    <w:name w:val="列出段落11"/>
    <w:basedOn w:val="1"/>
    <w:qFormat/>
    <w:uiPriority w:val="34"/>
    <w:pPr>
      <w:ind w:firstLine="420" w:firstLineChars="200"/>
    </w:pPr>
    <w:rPr>
      <w:lang w:val="zh-CN"/>
    </w:rPr>
  </w:style>
  <w:style w:type="paragraph" w:customStyle="1" w:styleId="130">
    <w:name w:val="p4"/>
    <w:basedOn w:val="1"/>
    <w:qFormat/>
    <w:uiPriority w:val="0"/>
    <w:pPr>
      <w:spacing w:before="100" w:beforeAutospacing="1" w:after="100" w:afterAutospacing="1" w:line="360" w:lineRule="auto"/>
      <w:ind w:firstLine="360"/>
    </w:pPr>
    <w:rPr>
      <w:rFonts w:ascii="宋体" w:hAnsi="宋体"/>
    </w:rPr>
  </w:style>
  <w:style w:type="paragraph" w:customStyle="1" w:styleId="1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2">
    <w:name w:val="默认段落字体 Para Char Char"/>
    <w:basedOn w:val="1"/>
    <w:qFormat/>
    <w:uiPriority w:val="0"/>
    <w:pPr>
      <w:widowControl w:val="0"/>
      <w:jc w:val="both"/>
    </w:pPr>
    <w:rPr>
      <w:kern w:val="2"/>
      <w:sz w:val="21"/>
      <w:szCs w:val="20"/>
    </w:rPr>
  </w:style>
  <w:style w:type="paragraph" w:customStyle="1" w:styleId="133">
    <w:name w:val="Char1 Char Char Char"/>
    <w:basedOn w:val="1"/>
    <w:next w:val="1"/>
    <w:qFormat/>
    <w:uiPriority w:val="0"/>
    <w:pPr>
      <w:widowControl w:val="0"/>
      <w:spacing w:line="240" w:lineRule="atLeast"/>
      <w:ind w:left="420" w:firstLine="420"/>
    </w:pPr>
    <w:rPr>
      <w:sz w:val="21"/>
      <w:szCs w:val="20"/>
    </w:rPr>
  </w:style>
  <w:style w:type="paragraph" w:customStyle="1" w:styleId="13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5">
    <w:name w:val="1 Char"/>
    <w:basedOn w:val="1"/>
    <w:qFormat/>
    <w:uiPriority w:val="0"/>
    <w:pPr>
      <w:spacing w:after="160" w:line="240" w:lineRule="exact"/>
    </w:pPr>
    <w:rPr>
      <w:rFonts w:ascii="Tahoma" w:hAnsi="Tahoma" w:eastAsia="Times New Roman"/>
      <w:lang w:eastAsia="en-US"/>
    </w:rPr>
  </w:style>
  <w:style w:type="paragraph" w:customStyle="1" w:styleId="136">
    <w:name w:val="MM Topic 8"/>
    <w:basedOn w:val="10"/>
    <w:qFormat/>
    <w:uiPriority w:val="0"/>
    <w:pPr>
      <w:tabs>
        <w:tab w:val="left" w:pos="4394"/>
      </w:tabs>
    </w:pPr>
  </w:style>
  <w:style w:type="paragraph" w:customStyle="1" w:styleId="13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0">
    <w:name w:val="论文正文"/>
    <w:basedOn w:val="1"/>
    <w:qFormat/>
    <w:uiPriority w:val="0"/>
    <w:pPr>
      <w:widowControl w:val="0"/>
      <w:spacing w:line="300" w:lineRule="auto"/>
      <w:ind w:firstLine="200" w:firstLineChars="200"/>
      <w:jc w:val="both"/>
    </w:pPr>
    <w:rPr>
      <w:kern w:val="2"/>
    </w:rPr>
  </w:style>
  <w:style w:type="paragraph" w:customStyle="1" w:styleId="141">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2">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4">
    <w:name w:val="正文段落"/>
    <w:basedOn w:val="1"/>
    <w:qFormat/>
    <w:uiPriority w:val="0"/>
    <w:pPr>
      <w:widowControl w:val="0"/>
      <w:spacing w:line="300" w:lineRule="auto"/>
      <w:ind w:firstLine="510"/>
      <w:jc w:val="both"/>
    </w:pPr>
    <w:rPr>
      <w:kern w:val="2"/>
      <w:szCs w:val="20"/>
    </w:rPr>
  </w:style>
  <w:style w:type="paragraph" w:customStyle="1" w:styleId="145">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6">
    <w:name w:val="Char1 Char Char Char Char Char Char"/>
    <w:basedOn w:val="1"/>
    <w:qFormat/>
    <w:uiPriority w:val="0"/>
    <w:pPr>
      <w:widowControl w:val="0"/>
      <w:jc w:val="both"/>
    </w:pPr>
    <w:rPr>
      <w:rFonts w:ascii="Tahoma" w:hAnsi="Tahoma"/>
      <w:kern w:val="2"/>
      <w:szCs w:val="20"/>
    </w:rPr>
  </w:style>
  <w:style w:type="paragraph" w:customStyle="1" w:styleId="147">
    <w:name w:val="文章正文 Char Char1"/>
    <w:basedOn w:val="1"/>
    <w:qFormat/>
    <w:uiPriority w:val="0"/>
    <w:pPr>
      <w:widowControl w:val="0"/>
      <w:spacing w:line="360" w:lineRule="auto"/>
      <w:ind w:firstLine="420"/>
      <w:jc w:val="both"/>
    </w:pPr>
    <w:rPr>
      <w:kern w:val="2"/>
      <w:szCs w:val="20"/>
    </w:rPr>
  </w:style>
  <w:style w:type="paragraph" w:customStyle="1" w:styleId="148">
    <w:name w:val="Char"/>
    <w:basedOn w:val="1"/>
    <w:next w:val="1"/>
    <w:qFormat/>
    <w:uiPriority w:val="0"/>
    <w:pPr>
      <w:widowControl w:val="0"/>
      <w:spacing w:line="240" w:lineRule="atLeast"/>
      <w:ind w:left="420" w:firstLine="420"/>
    </w:pPr>
    <w:rPr>
      <w:sz w:val="21"/>
      <w:szCs w:val="21"/>
    </w:rPr>
  </w:style>
  <w:style w:type="paragraph" w:customStyle="1" w:styleId="149">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0">
    <w:name w:val="文章正文 Char Char1 Char"/>
    <w:basedOn w:val="1"/>
    <w:qFormat/>
    <w:uiPriority w:val="0"/>
    <w:pPr>
      <w:widowControl w:val="0"/>
      <w:spacing w:line="360" w:lineRule="auto"/>
      <w:ind w:firstLine="420"/>
      <w:jc w:val="both"/>
    </w:pPr>
    <w:rPr>
      <w:kern w:val="2"/>
    </w:rPr>
  </w:style>
  <w:style w:type="paragraph" w:customStyle="1" w:styleId="151">
    <w:name w:val="正文 首行缩进:  2 字符 Char Char"/>
    <w:basedOn w:val="1"/>
    <w:qFormat/>
    <w:uiPriority w:val="0"/>
    <w:pPr>
      <w:widowControl w:val="0"/>
      <w:spacing w:line="360" w:lineRule="auto"/>
      <w:ind w:firstLine="480"/>
      <w:jc w:val="both"/>
    </w:pPr>
    <w:rPr>
      <w:kern w:val="2"/>
      <w:szCs w:val="20"/>
    </w:rPr>
  </w:style>
  <w:style w:type="paragraph" w:customStyle="1" w:styleId="1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3">
    <w:name w:val="标题 2 + 楷体_GB2312"/>
    <w:basedOn w:val="1"/>
    <w:qFormat/>
    <w:uiPriority w:val="0"/>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Char12"/>
    <w:basedOn w:val="1"/>
    <w:qFormat/>
    <w:uiPriority w:val="0"/>
    <w:pPr>
      <w:spacing w:after="160" w:line="240" w:lineRule="exact"/>
    </w:pPr>
    <w:rPr>
      <w:rFonts w:ascii="Tahoma" w:hAnsi="Tahoma"/>
      <w:kern w:val="2"/>
      <w:lang w:eastAsia="en-US"/>
    </w:rPr>
  </w:style>
  <w:style w:type="paragraph" w:customStyle="1" w:styleId="156">
    <w:name w:val="p0"/>
    <w:basedOn w:val="1"/>
    <w:qFormat/>
    <w:uiPriority w:val="0"/>
    <w:pPr>
      <w:jc w:val="both"/>
    </w:pPr>
    <w:rPr>
      <w:sz w:val="21"/>
      <w:szCs w:val="20"/>
    </w:rPr>
  </w:style>
  <w:style w:type="paragraph" w:customStyle="1" w:styleId="157">
    <w:name w:val="gb_master正文"/>
    <w:basedOn w:val="1"/>
    <w:qFormat/>
    <w:uiPriority w:val="0"/>
    <w:pPr>
      <w:widowControl w:val="0"/>
      <w:ind w:firstLine="200" w:firstLineChars="200"/>
      <w:jc w:val="both"/>
    </w:pPr>
    <w:rPr>
      <w:kern w:val="2"/>
      <w:sz w:val="21"/>
    </w:rPr>
  </w:style>
  <w:style w:type="paragraph" w:customStyle="1" w:styleId="158">
    <w:name w:val="Char1"/>
    <w:basedOn w:val="1"/>
    <w:next w:val="1"/>
    <w:qFormat/>
    <w:uiPriority w:val="0"/>
    <w:pPr>
      <w:widowControl w:val="0"/>
      <w:spacing w:line="240" w:lineRule="atLeast"/>
      <w:ind w:left="420" w:firstLine="420"/>
    </w:pPr>
    <w:rPr>
      <w:sz w:val="21"/>
      <w:szCs w:val="21"/>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2">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3">
    <w:name w:val="样式 正文缩进 + (中文) 仿宋_GB2312 小四 Char"/>
    <w:basedOn w:val="14"/>
    <w:qFormat/>
    <w:uiPriority w:val="0"/>
    <w:pPr>
      <w:ind w:firstLine="480"/>
    </w:pPr>
    <w:rPr>
      <w:rFonts w:ascii="宋体" w:hAnsi="宋体"/>
      <w:sz w:val="24"/>
      <w:szCs w:val="20"/>
    </w:rPr>
  </w:style>
  <w:style w:type="paragraph" w:customStyle="1" w:styleId="16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5">
    <w:name w:val="Char2 Char Char Char Char Char Char"/>
    <w:basedOn w:val="1"/>
    <w:qFormat/>
    <w:uiPriority w:val="0"/>
    <w:pPr>
      <w:widowControl w:val="0"/>
      <w:jc w:val="both"/>
    </w:pPr>
    <w:rPr>
      <w:rFonts w:ascii="仿宋_GB2312"/>
      <w:b/>
      <w:kern w:val="2"/>
      <w:sz w:val="30"/>
      <w:szCs w:val="20"/>
    </w:rPr>
  </w:style>
  <w:style w:type="paragraph" w:customStyle="1" w:styleId="166">
    <w:name w:val="项目符号：一级"/>
    <w:basedOn w:val="161"/>
    <w:next w:val="161"/>
    <w:qFormat/>
    <w:uiPriority w:val="0"/>
    <w:pPr>
      <w:tabs>
        <w:tab w:val="left" w:pos="700"/>
      </w:tabs>
      <w:spacing w:beforeLines="0"/>
      <w:ind w:left="630" w:hanging="290" w:firstLineChars="0"/>
    </w:pPr>
  </w:style>
  <w:style w:type="paragraph" w:customStyle="1" w:styleId="167">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8">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1">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2">
    <w:name w:val="大纲正文"/>
    <w:basedOn w:val="1"/>
    <w:qFormat/>
    <w:uiPriority w:val="0"/>
    <w:pPr>
      <w:widowControl w:val="0"/>
      <w:spacing w:line="360" w:lineRule="auto"/>
      <w:ind w:firstLine="480" w:firstLineChars="200"/>
      <w:jc w:val="both"/>
    </w:pPr>
    <w:rPr>
      <w:kern w:val="2"/>
      <w:szCs w:val="20"/>
    </w:rPr>
  </w:style>
  <w:style w:type="paragraph" w:customStyle="1" w:styleId="173">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4">
    <w:name w:val="Char2"/>
    <w:basedOn w:val="1"/>
    <w:next w:val="1"/>
    <w:qFormat/>
    <w:uiPriority w:val="0"/>
    <w:pPr>
      <w:widowControl w:val="0"/>
      <w:spacing w:line="240" w:lineRule="atLeast"/>
      <w:ind w:left="420" w:firstLine="420"/>
    </w:pPr>
    <w:rPr>
      <w:kern w:val="2"/>
      <w:szCs w:val="20"/>
    </w:rPr>
  </w:style>
  <w:style w:type="paragraph" w:customStyle="1" w:styleId="175">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6">
    <w:name w:val="Char2 Char Char Char"/>
    <w:basedOn w:val="1"/>
    <w:qFormat/>
    <w:uiPriority w:val="0"/>
    <w:pPr>
      <w:widowControl w:val="0"/>
      <w:jc w:val="both"/>
    </w:pPr>
    <w:rPr>
      <w:rFonts w:ascii="仿宋_GB2312"/>
      <w:b/>
      <w:kern w:val="2"/>
      <w:sz w:val="30"/>
      <w:szCs w:val="20"/>
    </w:rPr>
  </w:style>
  <w:style w:type="paragraph" w:customStyle="1" w:styleId="177">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8">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列出段落2"/>
    <w:basedOn w:val="1"/>
    <w:qFormat/>
    <w:uiPriority w:val="34"/>
    <w:pPr>
      <w:widowControl w:val="0"/>
      <w:ind w:firstLine="420" w:firstLineChars="200"/>
      <w:jc w:val="both"/>
    </w:pPr>
    <w:rPr>
      <w:rFonts w:eastAsia="方正仿宋"/>
      <w:kern w:val="2"/>
      <w:sz w:val="32"/>
    </w:rPr>
  </w:style>
  <w:style w:type="paragraph" w:customStyle="1" w:styleId="18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2">
    <w:name w:val="彩色列表 - 强调文字颜色 1 Char"/>
    <w:link w:val="183"/>
    <w:qFormat/>
    <w:uiPriority w:val="0"/>
    <w:rPr>
      <w:rFonts w:ascii="Calibri" w:hAnsi="Calibri"/>
      <w:kern w:val="2"/>
      <w:sz w:val="21"/>
      <w:szCs w:val="22"/>
    </w:rPr>
  </w:style>
  <w:style w:type="paragraph" w:customStyle="1" w:styleId="183">
    <w:name w:val="彩色列表 - 强调文字颜色 11"/>
    <w:basedOn w:val="1"/>
    <w:link w:val="182"/>
    <w:qFormat/>
    <w:uiPriority w:val="0"/>
    <w:pPr>
      <w:widowControl w:val="0"/>
      <w:ind w:firstLine="420" w:firstLineChars="200"/>
      <w:jc w:val="both"/>
    </w:pPr>
    <w:rPr>
      <w:rFonts w:ascii="Calibri" w:hAnsi="Calibri"/>
      <w:kern w:val="2"/>
      <w:sz w:val="21"/>
      <w:szCs w:val="22"/>
    </w:rPr>
  </w:style>
  <w:style w:type="character" w:customStyle="1" w:styleId="184">
    <w:name w:val="*正文 Char Char"/>
    <w:link w:val="185"/>
    <w:qFormat/>
    <w:locked/>
    <w:uiPriority w:val="99"/>
    <w:rPr>
      <w:rFonts w:ascii="宋体"/>
      <w:sz w:val="24"/>
    </w:rPr>
  </w:style>
  <w:style w:type="paragraph" w:customStyle="1" w:styleId="185">
    <w:name w:val="*正文"/>
    <w:basedOn w:val="1"/>
    <w:link w:val="184"/>
    <w:qFormat/>
    <w:uiPriority w:val="99"/>
    <w:pPr>
      <w:widowControl w:val="0"/>
      <w:spacing w:line="360" w:lineRule="auto"/>
      <w:ind w:firstLine="200" w:firstLineChars="200"/>
      <w:jc w:val="both"/>
    </w:pPr>
    <w:rPr>
      <w:rFonts w:ascii="宋体"/>
      <w:szCs w:val="20"/>
    </w:rPr>
  </w:style>
  <w:style w:type="paragraph" w:customStyle="1" w:styleId="186">
    <w:name w:val="_Style 1"/>
    <w:basedOn w:val="1"/>
    <w:qFormat/>
    <w:uiPriority w:val="0"/>
    <w:pPr>
      <w:ind w:firstLine="420" w:firstLineChars="200"/>
    </w:pPr>
  </w:style>
  <w:style w:type="paragraph" w:customStyle="1" w:styleId="187">
    <w:name w:val="彩色列表 - 强调文字颜色 12"/>
    <w:basedOn w:val="1"/>
    <w:qFormat/>
    <w:uiPriority w:val="0"/>
    <w:pPr>
      <w:ind w:firstLine="420" w:firstLineChars="200"/>
    </w:pPr>
  </w:style>
  <w:style w:type="character" w:customStyle="1" w:styleId="188">
    <w:name w:val="font21"/>
    <w:basedOn w:val="47"/>
    <w:qFormat/>
    <w:uiPriority w:val="0"/>
    <w:rPr>
      <w:rFonts w:hint="eastAsia" w:ascii="宋体" w:hAnsi="宋体" w:eastAsia="宋体" w:cs="宋体"/>
      <w:color w:val="000000"/>
      <w:sz w:val="20"/>
      <w:szCs w:val="20"/>
      <w:u w:val="none"/>
    </w:rPr>
  </w:style>
  <w:style w:type="character" w:customStyle="1" w:styleId="189">
    <w:name w:val="font31"/>
    <w:basedOn w:val="47"/>
    <w:qFormat/>
    <w:uiPriority w:val="0"/>
    <w:rPr>
      <w:rFonts w:ascii="Tahoma" w:hAnsi="Tahoma" w:eastAsia="Tahoma" w:cs="Tahoma"/>
      <w:color w:val="000000"/>
      <w:sz w:val="20"/>
      <w:szCs w:val="20"/>
      <w:u w:val="none"/>
    </w:rPr>
  </w:style>
  <w:style w:type="paragraph" w:customStyle="1" w:styleId="1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1">
    <w:name w:val="List Paragraph"/>
    <w:basedOn w:val="1"/>
    <w:qFormat/>
    <w:uiPriority w:val="34"/>
    <w:pPr>
      <w:spacing w:after="100" w:line="360" w:lineRule="auto"/>
      <w:ind w:firstLine="420" w:firstLineChars="200"/>
    </w:pPr>
    <w:rPr>
      <w:szCs w:val="22"/>
      <w:lang w:eastAsia="en-US" w:bidi="en-US"/>
    </w:rPr>
  </w:style>
  <w:style w:type="character" w:customStyle="1" w:styleId="192">
    <w:name w:val="font11"/>
    <w:basedOn w:val="47"/>
    <w:qFormat/>
    <w:uiPriority w:val="0"/>
    <w:rPr>
      <w:rFonts w:hint="eastAsia" w:ascii="宋体" w:hAnsi="宋体" w:eastAsia="宋体" w:cs="宋体"/>
      <w:color w:val="000000"/>
      <w:sz w:val="22"/>
      <w:szCs w:val="22"/>
      <w:u w:val="none"/>
    </w:rPr>
  </w:style>
  <w:style w:type="character" w:customStyle="1" w:styleId="193">
    <w:name w:val="font01"/>
    <w:basedOn w:val="47"/>
    <w:qFormat/>
    <w:uiPriority w:val="0"/>
    <w:rPr>
      <w:rFonts w:hint="default" w:ascii="Times New Roman" w:hAnsi="Times New Roman" w:cs="Times New Roman"/>
      <w:color w:val="000000"/>
      <w:sz w:val="22"/>
      <w:szCs w:val="22"/>
      <w:u w:val="none"/>
    </w:rPr>
  </w:style>
  <w:style w:type="paragraph" w:customStyle="1" w:styleId="19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5">
    <w:name w:val="NormalCharacter"/>
    <w:qFormat/>
    <w:uiPriority w:val="0"/>
  </w:style>
  <w:style w:type="paragraph" w:customStyle="1" w:styleId="196">
    <w:name w:val="表格内容"/>
    <w:basedOn w:val="1"/>
    <w:qFormat/>
    <w:uiPriority w:val="0"/>
    <w:pPr>
      <w:spacing w:line="240" w:lineRule="auto"/>
    </w:pPr>
    <w:rPr>
      <w:rFonts w:ascii="Calibri" w:hAnsi="Calibri" w:eastAsia="仿宋"/>
      <w:sz w:val="21"/>
      <w:szCs w:val="22"/>
    </w:rPr>
  </w:style>
  <w:style w:type="paragraph" w:styleId="197">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198">
    <w:name w:val="闻政表"/>
    <w:basedOn w:val="1"/>
    <w:qFormat/>
    <w:uiPriority w:val="0"/>
    <w:pPr>
      <w:jc w:val="center"/>
    </w:pPr>
    <w:rPr>
      <w:rFonts w:ascii="Calibri" w:hAnsi="Calibri" w:eastAsia="仿宋_GB2312" w:cs="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59</Pages>
  <Words>28082</Words>
  <Characters>29227</Characters>
  <Lines>199</Lines>
  <Paragraphs>56</Paragraphs>
  <TotalTime>31</TotalTime>
  <ScaleCrop>false</ScaleCrop>
  <LinksUpToDate>false</LinksUpToDate>
  <CharactersWithSpaces>30685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L</cp:lastModifiedBy>
  <cp:lastPrinted>2014-07-14T08:51:00Z</cp:lastPrinted>
  <dcterms:modified xsi:type="dcterms:W3CDTF">2021-10-09T05:48:33Z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6904C525E4A149358074F88880DBD05B</vt:lpwstr>
  </property>
</Properties>
</file>