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1" w:firstLineChars="1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510108202100146</w:t>
      </w:r>
    </w:p>
    <w:p>
      <w:pPr>
        <w:pStyle w:val="74"/>
        <w:rPr>
          <w:rFonts w:hint="eastAsia" w:hAnsi="宋体"/>
          <w:color w:val="auto"/>
          <w:highlight w:val="none"/>
        </w:rPr>
      </w:pPr>
    </w:p>
    <w:p>
      <w:pPr>
        <w:pStyle w:val="2"/>
        <w:ind w:left="2168" w:hanging="2168" w:hangingChars="600"/>
        <w:jc w:val="left"/>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 xml:space="preserve">  项目名称：</w:t>
      </w:r>
      <w:r>
        <w:rPr>
          <w:rFonts w:hint="eastAsia" w:ascii="宋体" w:hAnsi="宋体" w:cs="宋体"/>
          <w:b/>
          <w:bCs/>
          <w:color w:val="auto"/>
          <w:sz w:val="36"/>
          <w:szCs w:val="36"/>
          <w:highlight w:val="none"/>
          <w:lang w:eastAsia="zh-CN"/>
        </w:rPr>
        <w:t>成都市成华区住房建设和交通运输局2021年城市体检服务项目（第三次）</w:t>
      </w:r>
    </w:p>
    <w:p>
      <w:pPr>
        <w:pStyle w:val="2"/>
        <w:jc w:val="center"/>
        <w:rPr>
          <w:rFonts w:hint="eastAsia" w:ascii="宋体" w:hAnsi="宋体" w:cs="宋体"/>
          <w:b/>
          <w:bCs/>
          <w:color w:val="auto"/>
          <w:sz w:val="24"/>
          <w:highlight w:val="none"/>
        </w:rPr>
      </w:pP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竞</w:t>
      </w: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争</w:t>
      </w: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性</w:t>
      </w: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磋</w:t>
      </w: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商</w:t>
      </w: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文</w:t>
      </w:r>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件</w:t>
      </w:r>
    </w:p>
    <w:p>
      <w:pPr>
        <w:pStyle w:val="74"/>
        <w:rPr>
          <w:rFonts w:hint="eastAsia" w:hAnsi="宋体"/>
          <w:color w:val="auto"/>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drawing>
          <wp:anchor distT="0" distB="0" distL="114935" distR="114935" simplePos="0" relativeHeight="251659264" behindDoc="1" locked="0" layoutInCell="1" allowOverlap="1">
            <wp:simplePos x="0" y="0"/>
            <wp:positionH relativeFrom="column">
              <wp:posOffset>3425825</wp:posOffset>
            </wp:positionH>
            <wp:positionV relativeFrom="paragraph">
              <wp:posOffset>118745</wp:posOffset>
            </wp:positionV>
            <wp:extent cx="1508760" cy="1517650"/>
            <wp:effectExtent l="0" t="0" r="15240" b="6350"/>
            <wp:wrapNone/>
            <wp:docPr id="7" name="图片 7" descr="88d6fc3e97587f93229ad3be233e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d6fc3e97587f93229ad3be233ec58"/>
                    <pic:cNvPicPr>
                      <a:picLocks noChangeAspect="1"/>
                    </pic:cNvPicPr>
                  </pic:nvPicPr>
                  <pic:blipFill>
                    <a:blip r:embed="rId19"/>
                    <a:stretch>
                      <a:fillRect/>
                    </a:stretch>
                  </pic:blipFill>
                  <pic:spPr>
                    <a:xfrm>
                      <a:off x="0" y="0"/>
                      <a:ext cx="1508760" cy="1517650"/>
                    </a:xfrm>
                    <a:prstGeom prst="rect">
                      <a:avLst/>
                    </a:prstGeom>
                  </pic:spPr>
                </pic:pic>
              </a:graphicData>
            </a:graphic>
          </wp:anchor>
        </w:drawing>
      </w:r>
      <w:r>
        <w:rPr>
          <w:rFonts w:hint="eastAsia" w:ascii="宋体" w:hAnsi="宋体" w:cs="宋体"/>
          <w:b/>
          <w:color w:val="auto"/>
          <w:sz w:val="32"/>
          <w:szCs w:val="32"/>
          <w:highlight w:val="none"/>
        </w:rPr>
        <w:t>中国·成都</w:t>
      </w:r>
    </w:p>
    <w:p>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   购   人：成都市成华区住房建设和交通运输局</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采购代理机构：四川建茂同方工程项目管理有限公司</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共同编制</w:t>
      </w:r>
    </w:p>
    <w:p>
      <w:pPr>
        <w:spacing w:line="360" w:lineRule="auto"/>
        <w:jc w:val="center"/>
        <w:rPr>
          <w:rFonts w:hint="eastAsia" w:ascii="宋体" w:hAnsi="宋体" w:cs="宋体"/>
          <w:b/>
          <w:bCs/>
          <w:color w:val="auto"/>
          <w:sz w:val="32"/>
          <w:szCs w:val="32"/>
          <w:highlight w:val="none"/>
          <w:lang w:val="zh-CN"/>
        </w:rPr>
      </w:pPr>
      <w:r>
        <w:rPr>
          <w:rFonts w:hint="eastAsia" w:ascii="宋体" w:hAnsi="宋体" w:cs="宋体"/>
          <w:b/>
          <w:color w:val="auto"/>
          <w:sz w:val="30"/>
          <w:szCs w:val="30"/>
          <w:highlight w:val="none"/>
        </w:rPr>
        <w:t>2021年</w:t>
      </w:r>
      <w:r>
        <w:rPr>
          <w:rFonts w:hint="eastAsia" w:ascii="宋体" w:hAnsi="宋体" w:cs="宋体"/>
          <w:b/>
          <w:color w:val="auto"/>
          <w:sz w:val="30"/>
          <w:szCs w:val="30"/>
          <w:highlight w:val="none"/>
          <w:lang w:val="en-US" w:eastAsia="zh-CN"/>
        </w:rPr>
        <w:t>09</w:t>
      </w:r>
      <w:r>
        <w:rPr>
          <w:rFonts w:hint="eastAsia" w:ascii="宋体" w:hAnsi="宋体" w:cs="宋体"/>
          <w:b/>
          <w:bCs/>
          <w:color w:val="auto"/>
          <w:sz w:val="32"/>
          <w:szCs w:val="32"/>
          <w:highlight w:val="none"/>
          <w:lang w:val="zh-CN"/>
        </w:rPr>
        <w:t>月</w:t>
      </w:r>
    </w:p>
    <w:p>
      <w:pPr>
        <w:pStyle w:val="4"/>
        <w:keepNext w:val="0"/>
        <w:keepLines w:val="0"/>
        <w:spacing w:line="360" w:lineRule="auto"/>
        <w:rPr>
          <w:rFonts w:hint="eastAsia" w:ascii="宋体" w:hAnsi="宋体" w:eastAsia="宋体" w:cs="宋体"/>
          <w:bCs w:val="0"/>
          <w:color w:val="auto"/>
          <w:sz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bookmarkStart w:id="0" w:name="_Hlt101233737"/>
      <w:bookmarkEnd w:id="0"/>
      <w:bookmarkStart w:id="1" w:name="_Hlt101843627"/>
      <w:bookmarkEnd w:id="1"/>
    </w:p>
    <w:p>
      <w:pPr>
        <w:pStyle w:val="4"/>
        <w:keepNext w:val="0"/>
        <w:keepLines w:val="0"/>
        <w:spacing w:line="360" w:lineRule="auto"/>
        <w:jc w:val="center"/>
        <w:rPr>
          <w:rFonts w:hint="eastAsia" w:ascii="宋体" w:hAnsi="宋体" w:eastAsia="宋体" w:cs="宋体"/>
          <w:color w:val="auto"/>
          <w:highlight w:val="none"/>
        </w:rPr>
      </w:pPr>
      <w:bookmarkStart w:id="2" w:name="_Toc31026"/>
      <w:r>
        <w:rPr>
          <w:rFonts w:hint="eastAsia" w:ascii="宋体" w:hAnsi="宋体" w:eastAsia="宋体" w:cs="宋体"/>
          <w:bCs w:val="0"/>
          <w:color w:val="auto"/>
          <w:sz w:val="44"/>
          <w:szCs w:val="40"/>
          <w:highlight w:val="none"/>
        </w:rPr>
        <w:t>目  录</w:t>
      </w:r>
      <w:bookmarkEnd w:id="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_Toc2872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第一章  磋商邀请</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_Toc2872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2</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_Toc17850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第二章  磋商须知</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_Toc17850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8</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_Toc12072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第三章  供应商资格条件要求</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_Toc12072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28</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_Toc15457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第四章  供应商资格证明材料</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_Toc15457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30</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_Toc29688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第五章  采购项目技术、服务、政府采购合同内容条款及其他商务要求</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_Toc29688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32</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_Toc25527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第六章  响应文件格式</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_Toc25527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32</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_Toc18158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第七章  评审方法</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_Toc18158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57</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306"/>
        </w:tabs>
        <w:spacing w:line="600" w:lineRule="auto"/>
        <w:ind w:left="0" w:leftChars="0"/>
        <w:rPr>
          <w:rFonts w:hint="eastAsia" w:ascii="宋体" w:hAnsi="宋体" w:cs="宋体"/>
          <w:color w:val="auto"/>
          <w:sz w:val="24"/>
          <w:szCs w:val="3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_Toc32258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第八章  政府采购合同</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_Toc32258 </w:instrText>
      </w:r>
      <w:r>
        <w:rPr>
          <w:rFonts w:hint="eastAsia" w:ascii="宋体" w:hAnsi="宋体" w:cs="宋体"/>
          <w:color w:val="auto"/>
          <w:sz w:val="24"/>
          <w:szCs w:val="32"/>
          <w:highlight w:val="none"/>
        </w:rPr>
        <w:fldChar w:fldCharType="separate"/>
      </w:r>
      <w:r>
        <w:rPr>
          <w:rFonts w:ascii="宋体" w:hAnsi="宋体" w:cs="宋体"/>
          <w:color w:val="auto"/>
          <w:sz w:val="24"/>
          <w:szCs w:val="32"/>
          <w:highlight w:val="none"/>
        </w:rPr>
        <w:t>67</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rPr>
          <w:rFonts w:hint="eastAsia" w:ascii="宋体" w:hAnsi="宋体" w:cs="宋体"/>
          <w:color w:val="auto"/>
          <w:highlight w:val="none"/>
        </w:rPr>
      </w:pPr>
      <w:r>
        <w:rPr>
          <w:rFonts w:hint="eastAsia" w:ascii="宋体" w:hAnsi="宋体" w:cs="宋体"/>
          <w:color w:val="auto"/>
          <w:highlight w:val="none"/>
        </w:rPr>
        <w:fldChar w:fldCharType="end"/>
      </w: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pStyle w:val="4"/>
        <w:keepNext w:val="0"/>
        <w:keepLines w:val="0"/>
        <w:spacing w:line="360" w:lineRule="auto"/>
        <w:rPr>
          <w:rFonts w:hint="eastAsia" w:ascii="宋体" w:hAnsi="宋体" w:eastAsia="宋体" w:cs="宋体"/>
          <w:bCs w:val="0"/>
          <w:color w:val="auto"/>
          <w:sz w:val="36"/>
          <w:highlight w:val="none"/>
        </w:rPr>
        <w:sectPr>
          <w:footerReference r:id="rId10" w:type="first"/>
          <w:footerReference r:id="rId9" w:type="default"/>
          <w:pgSz w:w="11906" w:h="16838"/>
          <w:pgMar w:top="1440" w:right="1800" w:bottom="1440" w:left="1800" w:header="851" w:footer="992" w:gutter="0"/>
          <w:pgNumType w:start="1"/>
          <w:cols w:space="720" w:num="1"/>
          <w:docGrid w:type="lines" w:linePitch="312" w:charSpace="0"/>
        </w:sectPr>
      </w:pPr>
    </w:p>
    <w:p>
      <w:pPr>
        <w:pStyle w:val="4"/>
        <w:jc w:val="center"/>
        <w:rPr>
          <w:rFonts w:hint="eastAsia" w:ascii="宋体" w:hAnsi="宋体" w:eastAsia="宋体" w:cs="宋体"/>
          <w:color w:val="auto"/>
          <w:highlight w:val="none"/>
        </w:rPr>
      </w:pPr>
      <w:bookmarkStart w:id="3" w:name="_Toc2872"/>
      <w:r>
        <w:rPr>
          <w:rFonts w:hint="eastAsia" w:ascii="宋体" w:hAnsi="宋体" w:eastAsia="宋体" w:cs="宋体"/>
          <w:color w:val="auto"/>
          <w:highlight w:val="none"/>
        </w:rPr>
        <w:t>第一章  磋商邀请</w:t>
      </w:r>
      <w:bookmarkEnd w:id="3"/>
    </w:p>
    <w:p>
      <w:pPr>
        <w:spacing w:line="360" w:lineRule="auto"/>
        <w:ind w:firstLine="482" w:firstLineChars="200"/>
        <w:jc w:val="left"/>
        <w:rPr>
          <w:rFonts w:hint="eastAsia" w:ascii="宋体" w:hAnsi="宋体" w:cs="宋体"/>
          <w:color w:val="auto"/>
          <w:sz w:val="24"/>
          <w:szCs w:val="28"/>
          <w:highlight w:val="none"/>
        </w:rPr>
      </w:pPr>
      <w:r>
        <w:rPr>
          <w:rFonts w:hint="eastAsia" w:ascii="宋体" w:hAnsi="宋体" w:cs="宋体"/>
          <w:b/>
          <w:bCs/>
          <w:color w:val="auto"/>
          <w:sz w:val="24"/>
          <w:szCs w:val="28"/>
          <w:highlight w:val="none"/>
          <w:u w:val="single"/>
        </w:rPr>
        <w:t>四川建茂同方工程项目管理有限公司（采购代理机构）</w:t>
      </w:r>
      <w:r>
        <w:rPr>
          <w:rFonts w:hint="eastAsia" w:ascii="宋体" w:hAnsi="宋体" w:cs="宋体"/>
          <w:color w:val="auto"/>
          <w:sz w:val="24"/>
          <w:szCs w:val="28"/>
          <w:highlight w:val="none"/>
        </w:rPr>
        <w:t>受</w:t>
      </w:r>
      <w:r>
        <w:rPr>
          <w:rFonts w:hint="eastAsia" w:ascii="宋体" w:hAnsi="宋体" w:cs="宋体"/>
          <w:b/>
          <w:bCs/>
          <w:color w:val="auto"/>
          <w:sz w:val="24"/>
          <w:szCs w:val="28"/>
          <w:highlight w:val="none"/>
          <w:u w:val="single"/>
        </w:rPr>
        <w:t>成都市成华区住房建设和交通运输局(采购人)</w:t>
      </w:r>
      <w:r>
        <w:rPr>
          <w:rFonts w:hint="eastAsia" w:ascii="宋体" w:hAnsi="宋体" w:cs="宋体"/>
          <w:color w:val="auto"/>
          <w:sz w:val="24"/>
          <w:szCs w:val="28"/>
          <w:highlight w:val="none"/>
        </w:rPr>
        <w:t>委托，拟对</w:t>
      </w:r>
      <w:bookmarkStart w:id="255" w:name="_GoBack"/>
      <w:r>
        <w:rPr>
          <w:rFonts w:hint="eastAsia" w:ascii="宋体" w:hAnsi="宋体" w:cs="宋体"/>
          <w:b/>
          <w:bCs/>
          <w:color w:val="auto"/>
          <w:sz w:val="24"/>
          <w:szCs w:val="28"/>
          <w:highlight w:val="none"/>
          <w:u w:val="single"/>
          <w:lang w:eastAsia="zh-CN"/>
        </w:rPr>
        <w:t>成都市成华区住房建设和交通运输局2021年城市体检服务项目（第三次）</w:t>
      </w:r>
      <w:bookmarkEnd w:id="255"/>
      <w:r>
        <w:rPr>
          <w:rFonts w:hint="eastAsia" w:ascii="宋体" w:hAnsi="宋体" w:cs="宋体"/>
          <w:color w:val="auto"/>
          <w:sz w:val="24"/>
          <w:szCs w:val="28"/>
          <w:highlight w:val="none"/>
        </w:rPr>
        <w:t>采用</w:t>
      </w:r>
      <w:r>
        <w:rPr>
          <w:rFonts w:hint="eastAsia" w:ascii="宋体" w:hAnsi="宋体" w:cs="宋体"/>
          <w:b/>
          <w:bCs/>
          <w:color w:val="auto"/>
          <w:sz w:val="24"/>
          <w:szCs w:val="28"/>
          <w:highlight w:val="none"/>
          <w:u w:val="single"/>
        </w:rPr>
        <w:t>竞争性磋商</w:t>
      </w:r>
      <w:r>
        <w:rPr>
          <w:rFonts w:hint="eastAsia" w:ascii="宋体" w:hAnsi="宋体" w:cs="宋体"/>
          <w:color w:val="auto"/>
          <w:sz w:val="24"/>
          <w:szCs w:val="28"/>
          <w:highlight w:val="none"/>
        </w:rPr>
        <w:t>方式进行采购，特邀请符合本次采购要求的供应商参加本项目的竞争性磋商。</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一、采购项目基本情况</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1.项目编号：</w:t>
      </w:r>
      <w:r>
        <w:rPr>
          <w:rFonts w:hint="eastAsia" w:ascii="宋体" w:hAnsi="宋体" w:cs="宋体"/>
          <w:b/>
          <w:bCs/>
          <w:color w:val="auto"/>
          <w:sz w:val="24"/>
          <w:szCs w:val="32"/>
          <w:highlight w:val="none"/>
          <w:u w:val="single"/>
          <w:lang w:eastAsia="zh-CN"/>
        </w:rPr>
        <w:t>510108202100146</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2.项目名称：</w:t>
      </w:r>
      <w:r>
        <w:rPr>
          <w:rFonts w:hint="eastAsia" w:ascii="宋体" w:hAnsi="宋体" w:cs="宋体"/>
          <w:b/>
          <w:bCs/>
          <w:color w:val="auto"/>
          <w:sz w:val="24"/>
          <w:szCs w:val="32"/>
          <w:highlight w:val="none"/>
          <w:u w:val="single"/>
          <w:lang w:eastAsia="zh-CN"/>
        </w:rPr>
        <w:t>成都市成华区住房建设和交通运输局2021年城市体检服务项目（第三次）</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3.采购人：</w:t>
      </w:r>
      <w:r>
        <w:rPr>
          <w:rFonts w:hint="eastAsia" w:ascii="宋体" w:hAnsi="宋体" w:cs="宋体"/>
          <w:b/>
          <w:bCs/>
          <w:color w:val="auto"/>
          <w:sz w:val="24"/>
          <w:szCs w:val="32"/>
          <w:highlight w:val="none"/>
          <w:u w:val="single"/>
        </w:rPr>
        <w:t>成都市成华区住房建设和交通运输局</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4.采购代理机构：</w:t>
      </w:r>
      <w:r>
        <w:rPr>
          <w:rFonts w:hint="eastAsia" w:ascii="宋体" w:hAnsi="宋体" w:cs="宋体"/>
          <w:b/>
          <w:bCs/>
          <w:color w:val="auto"/>
          <w:sz w:val="24"/>
          <w:szCs w:val="32"/>
          <w:highlight w:val="none"/>
          <w:u w:val="single"/>
        </w:rPr>
        <w:t>四川建茂同方工程项目管理有限公司</w:t>
      </w:r>
      <w:r>
        <w:rPr>
          <w:rFonts w:hint="eastAsia" w:ascii="宋体" w:hAnsi="宋体" w:cs="宋体"/>
          <w:color w:val="auto"/>
          <w:sz w:val="24"/>
          <w:szCs w:val="32"/>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二、资金情况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本项目共计一个包。采购内容：</w:t>
      </w:r>
      <w:r>
        <w:rPr>
          <w:rFonts w:hint="eastAsia" w:ascii="宋体" w:hAnsi="宋体" w:cs="宋体"/>
          <w:color w:val="auto"/>
          <w:sz w:val="24"/>
          <w:highlight w:val="none"/>
          <w:lang w:eastAsia="zh-CN"/>
        </w:rPr>
        <w:t>成都市成华区住房建设和交通运输局2021年城市体检服务项目（第三次）</w:t>
      </w:r>
      <w:r>
        <w:rPr>
          <w:rFonts w:hint="eastAsia" w:ascii="宋体" w:hAnsi="宋体" w:cs="宋体"/>
          <w:color w:val="auto"/>
          <w:sz w:val="24"/>
          <w:szCs w:val="28"/>
          <w:highlight w:val="none"/>
        </w:rPr>
        <w:t>。</w:t>
      </w:r>
      <w:r>
        <w:rPr>
          <w:rFonts w:hint="eastAsia" w:ascii="宋体" w:hAnsi="宋体" w:cs="宋体"/>
          <w:color w:val="auto"/>
          <w:sz w:val="24"/>
          <w:highlight w:val="none"/>
        </w:rPr>
        <w:t>资金来源及金额：</w:t>
      </w:r>
      <w:r>
        <w:rPr>
          <w:rFonts w:hint="eastAsia" w:ascii="宋体" w:hAnsi="宋体" w:cs="宋体"/>
          <w:color w:val="auto"/>
          <w:sz w:val="24"/>
          <w:highlight w:val="none"/>
          <w:u w:val="single"/>
        </w:rPr>
        <w:t>财政资金</w:t>
      </w:r>
      <w:r>
        <w:rPr>
          <w:rFonts w:hint="eastAsia" w:ascii="宋体" w:hAnsi="宋体" w:cs="宋体"/>
          <w:color w:val="auto"/>
          <w:sz w:val="24"/>
          <w:highlight w:val="none"/>
        </w:rPr>
        <w:t>。</w:t>
      </w:r>
      <w:r>
        <w:rPr>
          <w:rFonts w:hint="eastAsia" w:ascii="宋体" w:hAnsi="宋体" w:cs="宋体"/>
          <w:b/>
          <w:bCs/>
          <w:color w:val="auto"/>
          <w:sz w:val="24"/>
          <w:highlight w:val="none"/>
        </w:rPr>
        <w:t>预算金额：</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35</w:t>
      </w:r>
      <w:r>
        <w:rPr>
          <w:rFonts w:hint="eastAsia" w:ascii="宋体" w:hAnsi="宋体" w:cs="宋体"/>
          <w:color w:val="auto"/>
          <w:sz w:val="24"/>
          <w:highlight w:val="none"/>
          <w:u w:val="single"/>
        </w:rPr>
        <w:t>万元</w:t>
      </w:r>
      <w:r>
        <w:rPr>
          <w:rFonts w:hint="eastAsia" w:ascii="宋体" w:hAnsi="宋体" w:cs="宋体"/>
          <w:color w:val="auto"/>
          <w:sz w:val="24"/>
          <w:highlight w:val="none"/>
        </w:rPr>
        <w:t>。</w:t>
      </w:r>
      <w:r>
        <w:rPr>
          <w:rFonts w:hint="eastAsia" w:ascii="宋体" w:hAnsi="宋体" w:cs="宋体"/>
          <w:b/>
          <w:bCs/>
          <w:color w:val="auto"/>
          <w:sz w:val="24"/>
          <w:highlight w:val="none"/>
        </w:rPr>
        <w:t>最高限价：</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35</w:t>
      </w:r>
      <w:r>
        <w:rPr>
          <w:rFonts w:hint="eastAsia" w:ascii="宋体" w:hAnsi="宋体" w:cs="宋体"/>
          <w:color w:val="auto"/>
          <w:sz w:val="24"/>
          <w:highlight w:val="none"/>
          <w:u w:val="single"/>
        </w:rPr>
        <w:t>万元</w:t>
      </w:r>
      <w:r>
        <w:rPr>
          <w:rFonts w:hint="eastAsia" w:ascii="宋体" w:hAnsi="宋体" w:cs="宋体"/>
          <w:color w:val="auto"/>
          <w:sz w:val="24"/>
          <w:highlight w:val="none"/>
        </w:rPr>
        <w:t>。预算执行号：</w:t>
      </w:r>
      <w:r>
        <w:rPr>
          <w:rFonts w:hint="eastAsia" w:ascii="宋体" w:hAnsi="宋体" w:cs="宋体"/>
          <w:color w:val="auto"/>
          <w:sz w:val="24"/>
          <w:highlight w:val="none"/>
          <w:u w:val="single"/>
        </w:rPr>
        <w:t>(2021)0670号</w:t>
      </w:r>
      <w:r>
        <w:rPr>
          <w:rFonts w:hint="eastAsia" w:ascii="宋体" w:hAnsi="宋体" w:cs="宋体"/>
          <w:color w:val="auto"/>
          <w:sz w:val="24"/>
          <w:highlight w:val="none"/>
        </w:rPr>
        <w:t>。</w:t>
      </w:r>
    </w:p>
    <w:p>
      <w:pPr>
        <w:numPr>
          <w:ilvl w:val="0"/>
          <w:numId w:val="2"/>
        </w:numPr>
        <w:spacing w:line="360" w:lineRule="auto"/>
        <w:ind w:right="31" w:rightChars="15"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供应商的报价不得超过本项目包件预算金额和最高限价，否则视为无效响应。</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w:t>
      </w:r>
      <w:r>
        <w:rPr>
          <w:rFonts w:hint="eastAsia" w:ascii="宋体" w:hAnsi="宋体" w:cs="宋体"/>
          <w:b/>
          <w:color w:val="auto"/>
          <w:sz w:val="24"/>
          <w:highlight w:val="none"/>
        </w:rPr>
        <w:t>采购项目简介：</w:t>
      </w:r>
    </w:p>
    <w:p>
      <w:pPr>
        <w:spacing w:after="120" w:line="360" w:lineRule="auto"/>
        <w:ind w:firstLine="466" w:firstLineChars="200"/>
        <w:rPr>
          <w:rFonts w:hint="eastAsia" w:ascii="宋体" w:hAnsi="宋体" w:cs="宋体"/>
          <w:color w:val="auto"/>
          <w:sz w:val="24"/>
          <w:szCs w:val="28"/>
          <w:highlight w:val="none"/>
        </w:rPr>
      </w:pPr>
      <w:r>
        <w:rPr>
          <w:rFonts w:hint="eastAsia" w:ascii="宋体" w:hAnsi="宋体" w:cs="宋体"/>
          <w:b/>
          <w:bCs/>
          <w:color w:val="auto"/>
          <w:spacing w:val="-4"/>
          <w:sz w:val="24"/>
          <w:highlight w:val="none"/>
        </w:rPr>
        <w:t>具体要求见磋商文件“第五章  采购项目技术、服务及其他商务要求”</w:t>
      </w:r>
      <w:r>
        <w:rPr>
          <w:rFonts w:hint="eastAsia" w:ascii="宋体" w:hAnsi="宋体" w:cs="宋体"/>
          <w:color w:val="auto"/>
          <w:sz w:val="24"/>
          <w:szCs w:val="28"/>
          <w:highlight w:val="none"/>
        </w:rPr>
        <w:t>。</w:t>
      </w:r>
    </w:p>
    <w:p>
      <w:pPr>
        <w:spacing w:after="12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四、供应商邀请方式</w:t>
      </w:r>
    </w:p>
    <w:p>
      <w:pPr>
        <w:spacing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公告方式：本次竞争性磋商邀请在</w:t>
      </w:r>
      <w:r>
        <w:rPr>
          <w:rFonts w:hint="eastAsia" w:ascii="宋体" w:hAnsi="宋体" w:cs="宋体"/>
          <w:b/>
          <w:color w:val="auto"/>
          <w:sz w:val="24"/>
          <w:highlight w:val="none"/>
          <w:u w:val="single"/>
        </w:rPr>
        <w:t>四川政府采购网</w:t>
      </w:r>
      <w:r>
        <w:rPr>
          <w:rFonts w:hint="eastAsia" w:ascii="宋体" w:hAnsi="宋体" w:cs="宋体"/>
          <w:bCs/>
          <w:color w:val="auto"/>
          <w:sz w:val="24"/>
          <w:highlight w:val="none"/>
        </w:rPr>
        <w:t>上以公告形式发布。</w:t>
      </w:r>
    </w:p>
    <w:p>
      <w:pPr>
        <w:spacing w:after="12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五、供应商参加本次政府采购活动应具备下列条件</w:t>
      </w:r>
    </w:p>
    <w:p>
      <w:pPr>
        <w:pStyle w:val="70"/>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（一）供应商的申请资格条件：</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1.具有独立承担民事责任的能力；</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2.具有良好的商业信誉和健全的财务会计制度；</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3.具有履行合同所必需的设备和专业技术能力；</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4.具有依法缴纳税收和社会保障资金的良好记录；</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5.参加此项采购活动前三年内，在经营活动中没有重大违法记录；</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6.法律、行政法规规定的其他条件。</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供应商及其现任法定代表人、主要负责人在参加本项目政府采购活动前三年无行贿犯罪记录。</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rPr>
        <w:t>8.</w:t>
      </w:r>
      <w:r>
        <w:rPr>
          <w:rFonts w:hint="eastAsia" w:ascii="宋体" w:hAnsi="宋体" w:cs="宋体"/>
          <w:color w:val="auto"/>
          <w:sz w:val="24"/>
          <w:highlight w:val="none"/>
          <w:lang w:val="zh-CN"/>
        </w:rPr>
        <w:t>供应商须提供“截至投标截止日未被列入失信被执行人、重大税收违法案件当事人名单、政府采购严重违法失信行为记录名单的承诺函”。</w:t>
      </w:r>
    </w:p>
    <w:p>
      <w:pPr>
        <w:pStyle w:val="70"/>
        <w:ind w:firstLine="482"/>
        <w:rPr>
          <w:rFonts w:hint="eastAsia" w:ascii="宋体" w:hAnsi="宋体" w:cs="宋体"/>
          <w:color w:val="auto"/>
          <w:sz w:val="24"/>
          <w:highlight w:val="none"/>
          <w:lang w:val="zh-CN"/>
        </w:rPr>
      </w:pPr>
      <w:r>
        <w:rPr>
          <w:rFonts w:hint="eastAsia" w:ascii="宋体" w:hAnsi="宋体" w:cs="宋体"/>
          <w:b/>
          <w:bCs/>
          <w:color w:val="auto"/>
          <w:sz w:val="24"/>
          <w:highlight w:val="none"/>
        </w:rPr>
        <w:t>注：采购人或采购代理机构将于本项目投标截止日在‘信用中国’网站、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p>
    <w:p>
      <w:pPr>
        <w:pStyle w:val="70"/>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（二）落实政府采购政策需满足的资格要求：</w:t>
      </w:r>
    </w:p>
    <w:p>
      <w:pPr>
        <w:pStyle w:val="70"/>
        <w:ind w:firstLine="48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p>
      <w:pPr>
        <w:pStyle w:val="70"/>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（三）本项目的特定资格要求：</w:t>
      </w:r>
    </w:p>
    <w:p>
      <w:pPr>
        <w:pStyle w:val="70"/>
        <w:ind w:firstLine="480"/>
        <w:rPr>
          <w:rFonts w:hint="eastAsia"/>
          <w:color w:val="auto"/>
          <w:sz w:val="24"/>
          <w:highlight w:val="none"/>
          <w:shd w:val="clear" w:color="auto" w:fill="auto"/>
        </w:rPr>
      </w:pPr>
      <w:r>
        <w:rPr>
          <w:rFonts w:hint="eastAsia" w:ascii="宋体" w:hAnsi="宋体" w:cs="宋体"/>
          <w:color w:val="auto"/>
          <w:sz w:val="24"/>
          <w:highlight w:val="none"/>
          <w:shd w:val="clear" w:color="auto" w:fill="auto"/>
          <w:lang w:eastAsia="zh-CN"/>
        </w:rPr>
        <w:t>具有国家行政主管部门颁发的城乡规划乙级及以上编制资质</w:t>
      </w:r>
      <w:r>
        <w:rPr>
          <w:rFonts w:hint="eastAsia" w:ascii="宋体" w:hAnsi="宋体" w:cs="宋体"/>
          <w:bCs/>
          <w:color w:val="auto"/>
          <w:sz w:val="24"/>
          <w:highlight w:val="none"/>
          <w:shd w:val="clear" w:color="auto" w:fill="auto"/>
        </w:rPr>
        <w:t>。</w:t>
      </w:r>
    </w:p>
    <w:p>
      <w:pPr>
        <w:pStyle w:val="70"/>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（四）本项目不接受联合体参与采购活动。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六、禁止参加本次采购活动的供应商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七、磋商文件获取方式、时间、地点：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磋商文件自</w:t>
      </w:r>
      <w:r>
        <w:rPr>
          <w:rFonts w:hint="eastAsia" w:ascii="宋体" w:hAnsi="宋体" w:cs="宋体"/>
          <w:color w:val="000000"/>
          <w:sz w:val="24"/>
          <w:highlight w:val="none"/>
          <w:u w:val="single"/>
        </w:rPr>
        <w:t xml:space="preserve"> 2021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09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29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 xml:space="preserve"> 2021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23</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59</w:t>
      </w:r>
      <w:r>
        <w:rPr>
          <w:rFonts w:hint="eastAsia" w:ascii="宋体" w:hAnsi="宋体" w:cs="宋体"/>
          <w:color w:val="000000"/>
          <w:sz w:val="24"/>
          <w:szCs w:val="28"/>
          <w:highlight w:val="none"/>
        </w:rPr>
        <w:t>（北京时间，法定节假日除外）</w:t>
      </w:r>
      <w:r>
        <w:rPr>
          <w:rFonts w:hint="eastAsia" w:ascii="宋体" w:hAnsi="宋体" w:cs="宋体"/>
          <w:color w:val="000000"/>
          <w:sz w:val="24"/>
          <w:highlight w:val="none"/>
        </w:rPr>
        <w:t>在通过“政府采购云平台”获取(网址：https://www.zcygov.cn)。登录“政府采购云平台”—项目采购—获取采购文件—申请获取采购文件。</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szCs w:val="18"/>
          <w:highlight w:val="none"/>
        </w:rPr>
        <w:t>本项目磋商文件无偿获取，</w:t>
      </w:r>
      <w:r>
        <w:rPr>
          <w:rFonts w:hint="eastAsia" w:ascii="宋体" w:hAnsi="宋体" w:cs="宋体"/>
          <w:color w:val="000000"/>
          <w:sz w:val="24"/>
          <w:highlight w:val="none"/>
        </w:rPr>
        <w:t>磋商资格不能转让。</w:t>
      </w:r>
    </w:p>
    <w:p>
      <w:pPr>
        <w:spacing w:line="360" w:lineRule="auto"/>
        <w:ind w:firstLine="482" w:firstLineChars="200"/>
        <w:rPr>
          <w:rFonts w:hint="eastAsia" w:ascii="宋体" w:hAnsi="宋体" w:cs="宋体"/>
          <w:b/>
          <w:bCs/>
          <w:color w:val="000000"/>
          <w:sz w:val="24"/>
          <w:szCs w:val="32"/>
          <w:highlight w:val="none"/>
        </w:rPr>
      </w:pPr>
      <w:r>
        <w:rPr>
          <w:rFonts w:hint="eastAsia" w:ascii="宋体" w:hAnsi="宋体" w:cs="宋体"/>
          <w:b/>
          <w:bCs/>
          <w:color w:val="000000"/>
          <w:sz w:val="24"/>
          <w:szCs w:val="32"/>
          <w:highlight w:val="none"/>
        </w:rPr>
        <w:t>注：获取磋商文件时，经办人员可通过现场报名或网上（远程）报名，须提交以下资料：</w:t>
      </w:r>
    </w:p>
    <w:p>
      <w:pPr>
        <w:spacing w:after="120" w:line="360" w:lineRule="auto"/>
        <w:rPr>
          <w:rFonts w:hint="eastAsia" w:ascii="宋体" w:hAnsi="宋体" w:cs="宋体"/>
          <w:b/>
          <w:bCs/>
          <w:color w:val="000000"/>
          <w:sz w:val="24"/>
          <w:szCs w:val="32"/>
          <w:highlight w:val="none"/>
        </w:rPr>
      </w:pPr>
      <w:r>
        <w:rPr>
          <w:rFonts w:hint="eastAsia" w:ascii="宋体" w:hAnsi="宋体" w:cs="宋体"/>
          <w:b/>
          <w:bCs/>
          <w:color w:val="000000"/>
          <w:sz w:val="24"/>
          <w:szCs w:val="32"/>
          <w:highlight w:val="none"/>
        </w:rPr>
        <w:t>磋商文件自2021年</w:t>
      </w:r>
      <w:r>
        <w:rPr>
          <w:rFonts w:hint="eastAsia" w:ascii="宋体" w:hAnsi="宋体" w:cs="宋体"/>
          <w:b/>
          <w:bCs/>
          <w:color w:val="000000"/>
          <w:sz w:val="24"/>
          <w:szCs w:val="32"/>
          <w:highlight w:val="none"/>
          <w:lang w:val="en-US" w:eastAsia="zh-CN"/>
        </w:rPr>
        <w:t>0</w:t>
      </w:r>
      <w:r>
        <w:rPr>
          <w:rFonts w:hint="eastAsia" w:ascii="宋体" w:hAnsi="宋体" w:cs="宋体"/>
          <w:b/>
          <w:bCs/>
          <w:color w:val="000000"/>
          <w:sz w:val="24"/>
          <w:szCs w:val="32"/>
          <w:highlight w:val="none"/>
        </w:rPr>
        <w:t>9月</w:t>
      </w:r>
      <w:r>
        <w:rPr>
          <w:rFonts w:hint="eastAsia" w:ascii="宋体" w:hAnsi="宋体" w:cs="宋体"/>
          <w:b/>
          <w:bCs/>
          <w:color w:val="000000"/>
          <w:sz w:val="24"/>
          <w:szCs w:val="32"/>
          <w:highlight w:val="none"/>
          <w:lang w:val="en-US" w:eastAsia="zh-CN"/>
        </w:rPr>
        <w:t>29</w:t>
      </w:r>
      <w:r>
        <w:rPr>
          <w:rFonts w:hint="eastAsia" w:ascii="宋体" w:hAnsi="宋体" w:cs="宋体"/>
          <w:b/>
          <w:bCs/>
          <w:color w:val="000000"/>
          <w:sz w:val="24"/>
          <w:szCs w:val="32"/>
          <w:highlight w:val="none"/>
        </w:rPr>
        <w:t>日至2021年</w:t>
      </w:r>
      <w:r>
        <w:rPr>
          <w:rFonts w:hint="eastAsia" w:ascii="宋体" w:hAnsi="宋体" w:cs="宋体"/>
          <w:b/>
          <w:bCs/>
          <w:color w:val="000000"/>
          <w:sz w:val="24"/>
          <w:szCs w:val="32"/>
          <w:highlight w:val="none"/>
          <w:lang w:val="en-US" w:eastAsia="zh-CN"/>
        </w:rPr>
        <w:t>10</w:t>
      </w:r>
      <w:r>
        <w:rPr>
          <w:rFonts w:hint="eastAsia" w:ascii="宋体" w:hAnsi="宋体" w:cs="宋体"/>
          <w:b/>
          <w:bCs/>
          <w:color w:val="000000"/>
          <w:sz w:val="24"/>
          <w:szCs w:val="32"/>
          <w:highlight w:val="none"/>
        </w:rPr>
        <w:t>月</w:t>
      </w:r>
      <w:r>
        <w:rPr>
          <w:rFonts w:hint="eastAsia" w:ascii="宋体" w:hAnsi="宋体" w:cs="宋体"/>
          <w:b/>
          <w:bCs/>
          <w:color w:val="000000"/>
          <w:sz w:val="24"/>
          <w:szCs w:val="32"/>
          <w:highlight w:val="none"/>
          <w:lang w:val="en-US" w:eastAsia="zh-CN"/>
        </w:rPr>
        <w:t>11</w:t>
      </w:r>
      <w:r>
        <w:rPr>
          <w:rFonts w:hint="eastAsia" w:ascii="宋体" w:hAnsi="宋体" w:cs="宋体"/>
          <w:b/>
          <w:bCs/>
          <w:color w:val="000000"/>
          <w:sz w:val="24"/>
          <w:szCs w:val="32"/>
          <w:highlight w:val="none"/>
        </w:rPr>
        <w:t>日0</w:t>
      </w:r>
      <w:r>
        <w:rPr>
          <w:rFonts w:hint="eastAsia" w:ascii="宋体" w:hAnsi="宋体" w:cs="宋体"/>
          <w:b/>
          <w:bCs/>
          <w:color w:val="000000"/>
          <w:sz w:val="24"/>
          <w:szCs w:val="32"/>
          <w:highlight w:val="none"/>
          <w:lang w:val="en-US" w:eastAsia="zh-CN"/>
        </w:rPr>
        <w:t>0</w:t>
      </w:r>
      <w:r>
        <w:rPr>
          <w:rFonts w:hint="eastAsia" w:ascii="宋体" w:hAnsi="宋体" w:cs="宋体"/>
          <w:b/>
          <w:bCs/>
          <w:color w:val="000000"/>
          <w:sz w:val="24"/>
          <w:szCs w:val="32"/>
          <w:highlight w:val="none"/>
        </w:rPr>
        <w:t>:00-</w:t>
      </w:r>
      <w:r>
        <w:rPr>
          <w:rFonts w:hint="eastAsia" w:ascii="宋体" w:hAnsi="宋体" w:cs="宋体"/>
          <w:b/>
          <w:bCs/>
          <w:color w:val="000000"/>
          <w:sz w:val="24"/>
          <w:szCs w:val="32"/>
          <w:highlight w:val="none"/>
          <w:lang w:val="en-US" w:eastAsia="zh-CN"/>
        </w:rPr>
        <w:t>23</w:t>
      </w:r>
      <w:r>
        <w:rPr>
          <w:rFonts w:hint="eastAsia" w:ascii="宋体" w:hAnsi="宋体" w:cs="宋体"/>
          <w:b/>
          <w:bCs/>
          <w:color w:val="000000"/>
          <w:sz w:val="24"/>
          <w:szCs w:val="32"/>
          <w:highlight w:val="none"/>
        </w:rPr>
        <w:t>:</w:t>
      </w:r>
      <w:r>
        <w:rPr>
          <w:rFonts w:hint="eastAsia" w:ascii="宋体" w:hAnsi="宋体" w:cs="宋体"/>
          <w:b/>
          <w:bCs/>
          <w:color w:val="000000"/>
          <w:sz w:val="24"/>
          <w:szCs w:val="32"/>
          <w:highlight w:val="none"/>
          <w:lang w:val="en-US" w:eastAsia="zh-CN"/>
        </w:rPr>
        <w:t>59</w:t>
      </w:r>
      <w:r>
        <w:rPr>
          <w:rFonts w:hint="eastAsia" w:ascii="宋体" w:hAnsi="宋体" w:cs="宋体"/>
          <w:b/>
          <w:bCs/>
          <w:color w:val="000000"/>
          <w:sz w:val="24"/>
          <w:szCs w:val="32"/>
          <w:highlight w:val="none"/>
        </w:rPr>
        <w:t>（北京时间，法定节假日除外）通过“政府采购云平台”获取(网址：</w:t>
      </w:r>
      <w:r>
        <w:rPr>
          <w:rFonts w:hint="eastAsia" w:ascii="宋体" w:hAnsi="宋体" w:cs="宋体"/>
          <w:b/>
          <w:bCs/>
          <w:color w:val="000000"/>
          <w:sz w:val="24"/>
          <w:szCs w:val="32"/>
          <w:highlight w:val="none"/>
        </w:rPr>
        <w:fldChar w:fldCharType="begin"/>
      </w:r>
      <w:r>
        <w:rPr>
          <w:rFonts w:hint="eastAsia" w:ascii="宋体" w:hAnsi="宋体" w:cs="宋体"/>
          <w:b/>
          <w:bCs/>
          <w:color w:val="000000"/>
          <w:sz w:val="24"/>
          <w:szCs w:val="32"/>
          <w:highlight w:val="none"/>
        </w:rPr>
        <w:instrText xml:space="preserve"> HYPERLINK "https://www.zcygov.cn)。登录\“政府采购云平台\”—项目采购—获取采购文件—申请获取采购文件。" </w:instrText>
      </w:r>
      <w:r>
        <w:rPr>
          <w:rFonts w:hint="eastAsia" w:ascii="宋体" w:hAnsi="宋体" w:cs="宋体"/>
          <w:b/>
          <w:bCs/>
          <w:color w:val="000000"/>
          <w:sz w:val="24"/>
          <w:szCs w:val="32"/>
          <w:highlight w:val="none"/>
        </w:rPr>
        <w:fldChar w:fldCharType="separate"/>
      </w:r>
      <w:r>
        <w:rPr>
          <w:rStyle w:val="29"/>
          <w:rFonts w:hint="eastAsia" w:ascii="宋体" w:hAnsi="宋体" w:cs="宋体"/>
          <w:b/>
          <w:bCs/>
          <w:color w:val="000000"/>
          <w:sz w:val="24"/>
          <w:szCs w:val="32"/>
          <w:highlight w:val="none"/>
        </w:rPr>
        <w:t>https://www.zcygov.cn)。登录“政府采购云平台”—项目采购—获取采购文件—申请获取采购文件。</w:t>
      </w:r>
      <w:r>
        <w:rPr>
          <w:rFonts w:hint="eastAsia" w:ascii="宋体" w:hAnsi="宋体" w:cs="宋体"/>
          <w:b/>
          <w:bCs/>
          <w:color w:val="000000"/>
          <w:sz w:val="24"/>
          <w:szCs w:val="32"/>
          <w:highlight w:val="none"/>
        </w:rPr>
        <w:fldChar w:fldCharType="end"/>
      </w:r>
    </w:p>
    <w:p>
      <w:pPr>
        <w:spacing w:after="120" w:line="360" w:lineRule="auto"/>
        <w:rPr>
          <w:rFonts w:hint="eastAsia" w:ascii="宋体" w:hAnsi="宋体" w:cs="宋体"/>
          <w:b/>
          <w:color w:val="auto"/>
          <w:sz w:val="24"/>
          <w:szCs w:val="28"/>
          <w:highlight w:val="none"/>
        </w:rPr>
      </w:pPr>
      <w:r>
        <w:rPr>
          <w:rFonts w:hint="eastAsia" w:ascii="宋体" w:hAnsi="宋体" w:cs="宋体"/>
          <w:b/>
          <w:color w:val="auto"/>
          <w:sz w:val="24"/>
          <w:szCs w:val="28"/>
          <w:highlight w:val="none"/>
        </w:rPr>
        <w:t>八、递交响应文件</w:t>
      </w:r>
      <w:r>
        <w:rPr>
          <w:rFonts w:hint="eastAsia" w:ascii="宋体" w:hAnsi="宋体" w:cs="宋体"/>
          <w:b/>
          <w:color w:val="auto"/>
          <w:sz w:val="24"/>
          <w:highlight w:val="none"/>
        </w:rPr>
        <w:t>截止时间：</w:t>
      </w:r>
      <w:r>
        <w:rPr>
          <w:rFonts w:hint="eastAsia" w:ascii="宋体" w:hAnsi="宋体" w:cs="宋体"/>
          <w:b/>
          <w:color w:val="auto"/>
          <w:sz w:val="24"/>
          <w:highlight w:val="none"/>
          <w:u w:val="single"/>
        </w:rPr>
        <w:t xml:space="preserve"> </w:t>
      </w:r>
      <w:r>
        <w:rPr>
          <w:rFonts w:hint="eastAsia" w:ascii="宋体" w:hAnsi="宋体" w:cs="宋体"/>
          <w:bCs/>
          <w:color w:val="auto"/>
          <w:sz w:val="24"/>
          <w:highlight w:val="none"/>
          <w:u w:val="single"/>
        </w:rPr>
        <w:t xml:space="preserve">2021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color w:val="auto"/>
          <w:sz w:val="24"/>
          <w:szCs w:val="28"/>
          <w:highlight w:val="none"/>
        </w:rPr>
        <w:t>（北京时间）。</w:t>
      </w:r>
    </w:p>
    <w:p>
      <w:pPr>
        <w:spacing w:after="120" w:line="360" w:lineRule="auto"/>
        <w:rPr>
          <w:rFonts w:hint="eastAsia" w:ascii="宋体" w:hAnsi="宋体" w:cs="宋体"/>
          <w:color w:val="auto"/>
          <w:sz w:val="24"/>
          <w:highlight w:val="none"/>
        </w:rPr>
      </w:pPr>
      <w:r>
        <w:rPr>
          <w:rFonts w:hint="eastAsia" w:ascii="宋体" w:hAnsi="宋体" w:cs="宋体"/>
          <w:b/>
          <w:color w:val="auto"/>
          <w:sz w:val="24"/>
          <w:szCs w:val="28"/>
          <w:highlight w:val="none"/>
        </w:rPr>
        <w:t>九</w:t>
      </w:r>
      <w:r>
        <w:rPr>
          <w:rFonts w:hint="eastAsia" w:ascii="宋体" w:hAnsi="宋体" w:cs="宋体"/>
          <w:b/>
          <w:color w:val="auto"/>
          <w:sz w:val="24"/>
          <w:highlight w:val="none"/>
        </w:rPr>
        <w:t>、递交响应文件地点：</w:t>
      </w:r>
      <w:r>
        <w:rPr>
          <w:rFonts w:hint="eastAsia" w:ascii="宋体" w:hAnsi="宋体" w:cs="宋体"/>
          <w:color w:val="auto"/>
          <w:sz w:val="24"/>
          <w:highlight w:val="none"/>
        </w:rPr>
        <w:t>响应文件必须在递交响应文件截止时间前送达磋商地点。逾期送达、密封和标注错误的响应文件，采购代理机构恕不接收。本次采购不接收邮寄的响应文件。</w:t>
      </w:r>
    </w:p>
    <w:p>
      <w:pPr>
        <w:spacing w:after="120" w:line="360" w:lineRule="auto"/>
        <w:rPr>
          <w:rFonts w:hint="eastAsia" w:ascii="宋体" w:hAnsi="宋体" w:cs="宋体"/>
          <w:color w:val="auto"/>
          <w:highlight w:val="none"/>
        </w:rPr>
      </w:pPr>
      <w:r>
        <w:rPr>
          <w:rFonts w:hint="eastAsia" w:ascii="宋体" w:hAnsi="宋体" w:cs="宋体"/>
          <w:b/>
          <w:color w:val="auto"/>
          <w:sz w:val="24"/>
          <w:szCs w:val="28"/>
          <w:highlight w:val="none"/>
        </w:rPr>
        <w:t>十、响应文件开启时间：</w:t>
      </w:r>
      <w:r>
        <w:rPr>
          <w:rFonts w:hint="eastAsia" w:ascii="宋体" w:hAnsi="宋体" w:cs="宋体"/>
          <w:b/>
          <w:color w:val="auto"/>
          <w:sz w:val="24"/>
          <w:szCs w:val="28"/>
          <w:highlight w:val="none"/>
          <w:u w:val="single"/>
        </w:rPr>
        <w:t xml:space="preserve"> </w:t>
      </w:r>
      <w:r>
        <w:rPr>
          <w:rFonts w:hint="eastAsia" w:ascii="宋体" w:hAnsi="宋体" w:cs="宋体"/>
          <w:bCs/>
          <w:color w:val="auto"/>
          <w:sz w:val="24"/>
          <w:highlight w:val="none"/>
          <w:u w:val="single"/>
        </w:rPr>
        <w:t xml:space="preserve">2021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color w:val="auto"/>
          <w:sz w:val="24"/>
          <w:szCs w:val="28"/>
          <w:highlight w:val="none"/>
        </w:rPr>
        <w:t>（北京时间）在磋商地点本项目磋商室开启。</w:t>
      </w:r>
    </w:p>
    <w:p>
      <w:pPr>
        <w:spacing w:line="360" w:lineRule="auto"/>
        <w:rPr>
          <w:rFonts w:hint="eastAsia" w:ascii="宋体" w:hAnsi="宋体" w:cs="宋体"/>
          <w:color w:val="auto"/>
          <w:highlight w:val="none"/>
        </w:rPr>
      </w:pPr>
      <w:r>
        <w:rPr>
          <w:rFonts w:hint="eastAsia" w:ascii="宋体" w:hAnsi="宋体" w:cs="宋体"/>
          <w:b/>
          <w:color w:val="auto"/>
          <w:sz w:val="24"/>
          <w:szCs w:val="28"/>
          <w:highlight w:val="none"/>
        </w:rPr>
        <w:t>十一、磋商地点：</w:t>
      </w:r>
      <w:r>
        <w:rPr>
          <w:rFonts w:hint="eastAsia" w:ascii="宋体" w:hAnsi="宋体" w:cs="宋体"/>
          <w:b/>
          <w:bCs/>
          <w:color w:val="auto"/>
          <w:sz w:val="24"/>
          <w:szCs w:val="28"/>
          <w:highlight w:val="none"/>
          <w:u w:val="single"/>
        </w:rPr>
        <w:t>四川建茂同方工程项目管理有限公司（成都市青羊区西御街8号西御大厦A座26楼A</w:t>
      </w:r>
      <w:r>
        <w:rPr>
          <w:rFonts w:hint="eastAsia" w:ascii="宋体" w:hAnsi="宋体" w:cs="宋体"/>
          <w:b/>
          <w:bCs/>
          <w:color w:val="auto"/>
          <w:sz w:val="24"/>
          <w:szCs w:val="28"/>
          <w:highlight w:val="none"/>
          <w:u w:val="single"/>
          <w:lang w:val="en-US" w:eastAsia="zh-CN"/>
        </w:rPr>
        <w:t>BC</w:t>
      </w:r>
      <w:r>
        <w:rPr>
          <w:rFonts w:hint="eastAsia" w:ascii="宋体" w:hAnsi="宋体" w:cs="宋体"/>
          <w:b/>
          <w:bCs/>
          <w:color w:val="auto"/>
          <w:sz w:val="24"/>
          <w:szCs w:val="28"/>
          <w:highlight w:val="none"/>
          <w:u w:val="single"/>
        </w:rPr>
        <w:t>）</w:t>
      </w:r>
      <w:r>
        <w:rPr>
          <w:rFonts w:hint="eastAsia" w:ascii="宋体" w:hAnsi="宋体" w:cs="宋体"/>
          <w:color w:val="auto"/>
          <w:sz w:val="24"/>
          <w:szCs w:val="28"/>
          <w:highlight w:val="none"/>
        </w:rPr>
        <w:t>。</w:t>
      </w:r>
    </w:p>
    <w:p>
      <w:pPr>
        <w:pStyle w:val="70"/>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十二、联系方式</w:t>
      </w:r>
    </w:p>
    <w:p>
      <w:pPr>
        <w:pStyle w:val="74"/>
        <w:spacing w:line="360" w:lineRule="auto"/>
        <w:rPr>
          <w:rFonts w:hint="eastAsia" w:hAnsi="宋体"/>
          <w:color w:val="auto"/>
          <w:highlight w:val="none"/>
        </w:rPr>
      </w:pPr>
      <w:r>
        <w:rPr>
          <w:rFonts w:hint="eastAsia" w:hAnsi="宋体"/>
          <w:color w:val="auto"/>
          <w:highlight w:val="none"/>
        </w:rPr>
        <w:t>地    址：</w:t>
      </w:r>
      <w:r>
        <w:rPr>
          <w:rFonts w:hint="eastAsia" w:hAnsi="宋体"/>
          <w:b/>
          <w:bCs/>
          <w:color w:val="auto"/>
          <w:highlight w:val="none"/>
        </w:rPr>
        <w:t>成都市成华区航天路50号国</w:t>
      </w:r>
      <w:r>
        <w:rPr>
          <w:rFonts w:hint="eastAsia" w:hAnsi="宋体"/>
          <w:b/>
          <w:bCs/>
          <w:color w:val="auto"/>
          <w:highlight w:val="none"/>
          <w:lang w:val="en-US" w:eastAsia="zh-CN"/>
        </w:rPr>
        <w:t>机</w:t>
      </w:r>
      <w:r>
        <w:rPr>
          <w:rFonts w:hint="eastAsia" w:hAnsi="宋体"/>
          <w:b/>
          <w:bCs/>
          <w:color w:val="auto"/>
          <w:highlight w:val="none"/>
        </w:rPr>
        <w:t>西南大厦</w:t>
      </w:r>
    </w:p>
    <w:p>
      <w:pPr>
        <w:pStyle w:val="74"/>
        <w:spacing w:line="360" w:lineRule="auto"/>
        <w:rPr>
          <w:rFonts w:hint="eastAsia" w:hAnsi="宋体" w:eastAsia="宋体"/>
          <w:color w:val="auto"/>
          <w:highlight w:val="none"/>
          <w:lang w:val="en-US" w:eastAsia="zh-CN"/>
        </w:rPr>
      </w:pPr>
      <w:r>
        <w:rPr>
          <w:rFonts w:hint="eastAsia" w:hAnsi="宋体"/>
          <w:color w:val="auto"/>
          <w:highlight w:val="none"/>
        </w:rPr>
        <w:t>联 系 人：</w:t>
      </w:r>
      <w:r>
        <w:rPr>
          <w:rFonts w:hint="eastAsia" w:hAnsi="宋体"/>
          <w:color w:val="auto"/>
          <w:highlight w:val="none"/>
          <w:lang w:val="en-US" w:eastAsia="zh-CN"/>
        </w:rPr>
        <w:t>黄老师</w:t>
      </w:r>
    </w:p>
    <w:p>
      <w:pPr>
        <w:pStyle w:val="74"/>
        <w:spacing w:line="360" w:lineRule="auto"/>
        <w:rPr>
          <w:rFonts w:hint="eastAsia" w:hAnsi="宋体"/>
          <w:color w:val="auto"/>
          <w:highlight w:val="none"/>
        </w:rPr>
      </w:pPr>
      <w:r>
        <w:rPr>
          <w:rFonts w:hint="eastAsia" w:hAnsi="宋体"/>
          <w:color w:val="auto"/>
          <w:highlight w:val="none"/>
        </w:rPr>
        <w:t>联系电话：18980916479</w:t>
      </w:r>
    </w:p>
    <w:p>
      <w:pPr>
        <w:pStyle w:val="74"/>
        <w:rPr>
          <w:rFonts w:hint="eastAsia" w:hAnsi="宋体"/>
          <w:color w:val="auto"/>
          <w:highlight w:val="none"/>
        </w:rPr>
      </w:pPr>
    </w:p>
    <w:p>
      <w:pPr>
        <w:spacing w:line="360" w:lineRule="auto"/>
        <w:rPr>
          <w:rFonts w:hint="eastAsia" w:ascii="宋体" w:hAnsi="宋体" w:cs="宋体"/>
          <w:b/>
          <w:bCs/>
          <w:color w:val="auto"/>
          <w:sz w:val="24"/>
          <w:highlight w:val="none"/>
        </w:rPr>
      </w:pPr>
      <w:bookmarkStart w:id="4" w:name="_Toc213396945"/>
      <w:bookmarkStart w:id="5" w:name="_Toc217446031"/>
      <w:bookmarkStart w:id="6" w:name="_Toc213396759"/>
      <w:bookmarkStart w:id="7" w:name="_Toc213496267"/>
      <w:bookmarkStart w:id="8" w:name="_Toc213397009"/>
      <w:r>
        <w:rPr>
          <w:rFonts w:hint="eastAsia" w:ascii="宋体" w:hAnsi="宋体" w:cs="宋体"/>
          <w:b/>
          <w:bCs/>
          <w:color w:val="auto"/>
          <w:sz w:val="24"/>
          <w:highlight w:val="none"/>
        </w:rPr>
        <w:t>采购代理机构：四川建茂同方工程项目管理有限公司</w:t>
      </w:r>
    </w:p>
    <w:p>
      <w:pPr>
        <w:pStyle w:val="74"/>
        <w:spacing w:line="360" w:lineRule="auto"/>
        <w:rPr>
          <w:rFonts w:hint="eastAsia" w:hAnsi="宋体"/>
          <w:color w:val="auto"/>
          <w:highlight w:val="none"/>
        </w:rPr>
      </w:pPr>
      <w:r>
        <w:rPr>
          <w:rFonts w:hint="eastAsia" w:hAnsi="宋体"/>
          <w:color w:val="auto"/>
          <w:highlight w:val="none"/>
        </w:rPr>
        <w:t>开户银行：交通银行股份有限公司成都人民南路支行</w:t>
      </w:r>
    </w:p>
    <w:p>
      <w:pPr>
        <w:pStyle w:val="74"/>
        <w:spacing w:line="360" w:lineRule="auto"/>
        <w:rPr>
          <w:rFonts w:hint="eastAsia" w:hAnsi="宋体"/>
          <w:color w:val="auto"/>
          <w:highlight w:val="none"/>
        </w:rPr>
      </w:pPr>
      <w:r>
        <w:rPr>
          <w:rFonts w:hint="eastAsia" w:hAnsi="宋体"/>
          <w:color w:val="auto"/>
          <w:highlight w:val="none"/>
        </w:rPr>
        <w:t>账    号：5116 0701 4018 0100 07134</w:t>
      </w:r>
    </w:p>
    <w:p>
      <w:pPr>
        <w:pStyle w:val="74"/>
        <w:spacing w:line="360" w:lineRule="auto"/>
        <w:rPr>
          <w:rFonts w:hint="default" w:hAnsi="宋体" w:eastAsia="宋体"/>
          <w:color w:val="auto"/>
          <w:highlight w:val="none"/>
          <w:lang w:val="en-US" w:eastAsia="zh-CN"/>
        </w:rPr>
      </w:pPr>
      <w:r>
        <w:rPr>
          <w:rFonts w:hint="eastAsia" w:hAnsi="宋体"/>
          <w:color w:val="auto"/>
          <w:highlight w:val="none"/>
        </w:rPr>
        <w:t>通讯地址：成都市青羊区西御街8号西御大厦A座26楼A</w:t>
      </w:r>
      <w:r>
        <w:rPr>
          <w:rFonts w:hint="eastAsia" w:hAnsi="宋体"/>
          <w:color w:val="auto"/>
          <w:highlight w:val="none"/>
          <w:lang w:val="en-US" w:eastAsia="zh-CN"/>
        </w:rPr>
        <w:t>BC</w:t>
      </w:r>
    </w:p>
    <w:p>
      <w:pPr>
        <w:pStyle w:val="74"/>
        <w:spacing w:line="360" w:lineRule="auto"/>
        <w:rPr>
          <w:rFonts w:hAnsi="宋体"/>
          <w:color w:val="auto"/>
          <w:highlight w:val="none"/>
        </w:rPr>
      </w:pPr>
      <w:r>
        <w:rPr>
          <w:rFonts w:hint="eastAsia" w:hAnsi="宋体"/>
          <w:color w:val="auto"/>
          <w:highlight w:val="none"/>
        </w:rPr>
        <w:t>联 系 人：张先生</w:t>
      </w:r>
    </w:p>
    <w:p>
      <w:pPr>
        <w:pStyle w:val="74"/>
        <w:spacing w:line="360" w:lineRule="auto"/>
        <w:rPr>
          <w:rFonts w:hAnsi="宋体"/>
          <w:color w:val="auto"/>
          <w:highlight w:val="none"/>
        </w:rPr>
      </w:pPr>
      <w:r>
        <w:rPr>
          <w:rFonts w:hint="eastAsia" w:hAnsi="宋体"/>
          <w:color w:val="auto"/>
          <w:highlight w:val="none"/>
        </w:rPr>
        <w:t>报名咨询电话：028-86273853、18008014460</w:t>
      </w:r>
    </w:p>
    <w:p>
      <w:pPr>
        <w:pStyle w:val="74"/>
        <w:spacing w:line="360" w:lineRule="auto"/>
        <w:rPr>
          <w:rFonts w:hint="eastAsia" w:hAnsi="宋体"/>
          <w:color w:val="auto"/>
          <w:highlight w:val="none"/>
        </w:rPr>
      </w:pPr>
      <w:r>
        <w:rPr>
          <w:rFonts w:hint="eastAsia" w:hAnsi="宋体"/>
          <w:color w:val="auto"/>
          <w:highlight w:val="none"/>
        </w:rPr>
        <w:t>文件咨询电话：028-86273853</w:t>
      </w:r>
    </w:p>
    <w:p>
      <w:pPr>
        <w:pStyle w:val="74"/>
        <w:spacing w:line="360" w:lineRule="auto"/>
        <w:rPr>
          <w:rFonts w:hint="eastAsia" w:hAnsi="宋体"/>
          <w:color w:val="auto"/>
          <w:highlight w:val="none"/>
        </w:rPr>
      </w:pPr>
      <w:r>
        <w:rPr>
          <w:rFonts w:hint="eastAsia" w:hAnsi="宋体"/>
          <w:color w:val="auto"/>
          <w:highlight w:val="none"/>
        </w:rPr>
        <w:t>电子邮件：785137765@qq.com</w:t>
      </w:r>
    </w:p>
    <w:p>
      <w:pPr>
        <w:pStyle w:val="74"/>
        <w:rPr>
          <w:rFonts w:hint="eastAsia" w:hAnsi="宋体"/>
          <w:color w:val="auto"/>
          <w:highlight w:val="none"/>
        </w:rPr>
      </w:pPr>
    </w:p>
    <w:p>
      <w:pPr>
        <w:pStyle w:val="74"/>
        <w:rPr>
          <w:rFonts w:hint="eastAsia" w:hAnsi="宋体"/>
          <w:color w:val="auto"/>
          <w:highlight w:val="none"/>
        </w:rPr>
        <w:sectPr>
          <w:footerReference r:id="rId11" w:type="default"/>
          <w:pgSz w:w="11906" w:h="16838"/>
          <w:pgMar w:top="1440" w:right="1800" w:bottom="1440" w:left="1800" w:header="851" w:footer="992" w:gutter="0"/>
          <w:cols w:space="720" w:num="1"/>
          <w:docGrid w:type="lines" w:linePitch="312" w:charSpace="0"/>
        </w:sectPr>
      </w:pP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采购文件获取登记表</w:t>
      </w:r>
    </w:p>
    <w:p>
      <w:pPr>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p>
    <w:p>
      <w:pPr>
        <w:rPr>
          <w:rFonts w:hint="eastAsia" w:ascii="宋体" w:hAnsi="宋体" w:cs="宋体"/>
          <w:color w:val="auto"/>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p>
    <w:tbl>
      <w:tblPr>
        <w:tblStyle w:val="23"/>
        <w:tblpPr w:leftFromText="180" w:rightFromText="180" w:vertAnchor="page" w:horzAnchor="page" w:tblpX="1564" w:tblpY="3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801"/>
        <w:gridCol w:w="1684"/>
        <w:gridCol w:w="2100"/>
        <w:gridCol w:w="198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377" w:type="dxa"/>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供应商（供应商）</w:t>
            </w:r>
          </w:p>
        </w:tc>
        <w:tc>
          <w:tcPr>
            <w:tcW w:w="6585" w:type="dxa"/>
            <w:gridSpan w:val="3"/>
            <w:noWrap w:val="0"/>
            <w:vAlign w:val="center"/>
          </w:tcPr>
          <w:p>
            <w:pPr>
              <w:rPr>
                <w:rFonts w:hint="eastAsia" w:ascii="宋体" w:hAnsi="宋体" w:cs="宋体"/>
                <w:b/>
                <w:color w:val="auto"/>
                <w:sz w:val="28"/>
                <w:szCs w:val="28"/>
                <w:highlight w:val="none"/>
              </w:rPr>
            </w:pPr>
          </w:p>
        </w:tc>
        <w:tc>
          <w:tcPr>
            <w:tcW w:w="1980" w:type="dxa"/>
            <w:noWrap w:val="0"/>
            <w:vAlign w:val="center"/>
          </w:tcPr>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社会统一代码</w:t>
            </w:r>
          </w:p>
        </w:tc>
        <w:tc>
          <w:tcPr>
            <w:tcW w:w="2985" w:type="dxa"/>
            <w:noWrap w:val="0"/>
            <w:vAlign w:val="center"/>
          </w:tcPr>
          <w:p>
            <w:pPr>
              <w:rPr>
                <w:rFonts w:hint="eastAsia" w:ascii="宋体"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377" w:type="dxa"/>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授权代表人</w:t>
            </w:r>
          </w:p>
        </w:tc>
        <w:tc>
          <w:tcPr>
            <w:tcW w:w="2801" w:type="dxa"/>
            <w:noWrap w:val="0"/>
            <w:vAlign w:val="center"/>
          </w:tcPr>
          <w:p>
            <w:pPr>
              <w:jc w:val="center"/>
              <w:rPr>
                <w:rFonts w:hint="eastAsia" w:ascii="宋体" w:hAnsi="宋体" w:cs="宋体"/>
                <w:b/>
                <w:color w:val="auto"/>
                <w:sz w:val="28"/>
                <w:szCs w:val="28"/>
                <w:highlight w:val="none"/>
              </w:rPr>
            </w:pPr>
          </w:p>
        </w:tc>
        <w:tc>
          <w:tcPr>
            <w:tcW w:w="1684" w:type="dxa"/>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联系电话</w:t>
            </w:r>
          </w:p>
        </w:tc>
        <w:tc>
          <w:tcPr>
            <w:tcW w:w="2100" w:type="dxa"/>
            <w:noWrap w:val="0"/>
            <w:vAlign w:val="center"/>
          </w:tcPr>
          <w:p>
            <w:pPr>
              <w:jc w:val="center"/>
              <w:rPr>
                <w:rFonts w:hint="eastAsia" w:ascii="宋体" w:hAnsi="宋体" w:cs="宋体"/>
                <w:b/>
                <w:color w:val="auto"/>
                <w:sz w:val="28"/>
                <w:szCs w:val="28"/>
                <w:highlight w:val="none"/>
              </w:rPr>
            </w:pPr>
          </w:p>
        </w:tc>
        <w:tc>
          <w:tcPr>
            <w:tcW w:w="1980" w:type="dxa"/>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邮箱</w:t>
            </w:r>
          </w:p>
        </w:tc>
        <w:tc>
          <w:tcPr>
            <w:tcW w:w="2985" w:type="dxa"/>
            <w:noWrap w:val="0"/>
            <w:vAlign w:val="center"/>
          </w:tcPr>
          <w:p>
            <w:pPr>
              <w:jc w:val="center"/>
              <w:rPr>
                <w:rFonts w:hint="eastAsia" w:ascii="宋体"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77" w:type="dxa"/>
            <w:noWrap w:val="0"/>
            <w:vAlign w:val="center"/>
          </w:tcPr>
          <w:p>
            <w:pPr>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常设办公地址</w:t>
            </w:r>
          </w:p>
        </w:tc>
        <w:tc>
          <w:tcPr>
            <w:tcW w:w="11550" w:type="dxa"/>
            <w:gridSpan w:val="5"/>
            <w:noWrap w:val="0"/>
            <w:vAlign w:val="center"/>
          </w:tcPr>
          <w:p>
            <w:pPr>
              <w:jc w:val="center"/>
              <w:rPr>
                <w:rFonts w:hint="eastAsia" w:ascii="宋体"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77" w:type="dxa"/>
            <w:vMerge w:val="restart"/>
            <w:noWrap w:val="0"/>
            <w:vAlign w:val="center"/>
          </w:tcPr>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供应商（供应商）</w:t>
            </w: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提交资料清单</w:t>
            </w:r>
          </w:p>
        </w:tc>
        <w:tc>
          <w:tcPr>
            <w:tcW w:w="8565" w:type="dxa"/>
            <w:gridSpan w:val="4"/>
            <w:noWrap w:val="0"/>
            <w:vAlign w:val="center"/>
          </w:tcPr>
          <w:p>
            <w:pPr>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资料核查</w:t>
            </w:r>
          </w:p>
        </w:tc>
        <w:tc>
          <w:tcPr>
            <w:tcW w:w="2985" w:type="dxa"/>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是否加盖单位公章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77" w:type="dxa"/>
            <w:vMerge w:val="continue"/>
            <w:noWrap w:val="0"/>
            <w:vAlign w:val="center"/>
          </w:tcPr>
          <w:p>
            <w:pPr>
              <w:jc w:val="center"/>
              <w:rPr>
                <w:rFonts w:hint="eastAsia" w:ascii="宋体" w:hAnsi="宋体" w:cs="宋体"/>
                <w:b/>
                <w:bCs/>
                <w:color w:val="auto"/>
                <w:sz w:val="28"/>
                <w:szCs w:val="28"/>
                <w:highlight w:val="none"/>
              </w:rPr>
            </w:pPr>
          </w:p>
        </w:tc>
        <w:tc>
          <w:tcPr>
            <w:tcW w:w="2801" w:type="dxa"/>
            <w:noWrap w:val="0"/>
            <w:vAlign w:val="center"/>
          </w:tcPr>
          <w:p>
            <w:pPr>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介绍信（或授权书）原件</w:t>
            </w:r>
          </w:p>
        </w:tc>
        <w:tc>
          <w:tcPr>
            <w:tcW w:w="1684" w:type="dxa"/>
            <w:noWrap w:val="0"/>
            <w:vAlign w:val="center"/>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□有  □无</w:t>
            </w:r>
          </w:p>
        </w:tc>
        <w:tc>
          <w:tcPr>
            <w:tcW w:w="2100" w:type="dxa"/>
            <w:noWrap w:val="0"/>
            <w:vAlign w:val="center"/>
          </w:tcPr>
          <w:p>
            <w:pPr>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身份证复印件</w:t>
            </w:r>
          </w:p>
        </w:tc>
        <w:tc>
          <w:tcPr>
            <w:tcW w:w="1980" w:type="dxa"/>
            <w:noWrap w:val="0"/>
            <w:vAlign w:val="center"/>
          </w:tcPr>
          <w:p>
            <w:pPr>
              <w:rPr>
                <w:rFonts w:hint="eastAsia" w:ascii="宋体" w:hAnsi="宋体" w:cs="宋体"/>
                <w:color w:val="auto"/>
                <w:sz w:val="28"/>
                <w:szCs w:val="28"/>
                <w:highlight w:val="none"/>
              </w:rPr>
            </w:pPr>
            <w:r>
              <w:rPr>
                <w:rFonts w:hint="eastAsia" w:ascii="宋体" w:hAnsi="宋体" w:cs="宋体"/>
                <w:color w:val="auto"/>
                <w:sz w:val="28"/>
                <w:szCs w:val="28"/>
                <w:highlight w:val="none"/>
              </w:rPr>
              <w:t>□有  □无</w:t>
            </w:r>
          </w:p>
        </w:tc>
        <w:tc>
          <w:tcPr>
            <w:tcW w:w="2985" w:type="dxa"/>
            <w:noWrap w:val="0"/>
            <w:vAlign w:val="center"/>
          </w:tcPr>
          <w:p>
            <w:pPr>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77" w:type="dxa"/>
            <w:noWrap w:val="0"/>
            <w:vAlign w:val="center"/>
          </w:tcPr>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授权代表人签字</w:t>
            </w:r>
          </w:p>
        </w:tc>
        <w:tc>
          <w:tcPr>
            <w:tcW w:w="4485" w:type="dxa"/>
            <w:gridSpan w:val="2"/>
            <w:noWrap w:val="0"/>
            <w:vAlign w:val="center"/>
          </w:tcPr>
          <w:p>
            <w:pPr>
              <w:rPr>
                <w:rFonts w:hint="eastAsia" w:ascii="宋体" w:hAnsi="宋体" w:cs="宋体"/>
                <w:b/>
                <w:color w:val="auto"/>
                <w:sz w:val="28"/>
                <w:szCs w:val="28"/>
                <w:highlight w:val="none"/>
              </w:rPr>
            </w:pPr>
          </w:p>
        </w:tc>
        <w:tc>
          <w:tcPr>
            <w:tcW w:w="2100" w:type="dxa"/>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日   期</w:t>
            </w:r>
          </w:p>
        </w:tc>
        <w:tc>
          <w:tcPr>
            <w:tcW w:w="4965" w:type="dxa"/>
            <w:gridSpan w:val="2"/>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3927" w:type="dxa"/>
            <w:gridSpan w:val="6"/>
            <w:noWrap w:val="0"/>
            <w:vAlign w:val="center"/>
          </w:tcPr>
          <w:p>
            <w:pPr>
              <w:spacing w:line="360" w:lineRule="auto"/>
              <w:rPr>
                <w:rFonts w:hint="eastAsia" w:ascii="宋体" w:hAnsi="宋体" w:cs="宋体"/>
                <w:b/>
                <w:color w:val="auto"/>
                <w:sz w:val="28"/>
                <w:szCs w:val="28"/>
                <w:highlight w:val="none"/>
              </w:rPr>
            </w:pPr>
            <w:r>
              <w:rPr>
                <w:rFonts w:hint="eastAsia" w:ascii="宋体" w:hAnsi="宋体" w:cs="宋体"/>
                <w:b/>
                <w:color w:val="auto"/>
                <w:sz w:val="24"/>
                <w:highlight w:val="none"/>
              </w:rPr>
              <w:t>备注：以上信息若未如实填写，在采购文件发布期间，如采购文件有更正或修改，（供应商）供应商因所留联系方式有误而无法通知到供应商（供应商）的，其责任由供应商（供应商）自行承担。</w:t>
            </w:r>
          </w:p>
        </w:tc>
      </w:tr>
    </w:tbl>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sectPr>
          <w:pgSz w:w="16838" w:h="11906" w:orient="landscape"/>
          <w:pgMar w:top="1293" w:right="1440" w:bottom="1406" w:left="1440" w:header="851" w:footer="992" w:gutter="0"/>
          <w:cols w:space="720" w:num="1"/>
          <w:docGrid w:type="lines" w:linePitch="312" w:charSpace="0"/>
        </w:sectPr>
      </w:pPr>
    </w:p>
    <w:p>
      <w:pPr>
        <w:widowControl/>
        <w:spacing w:line="360" w:lineRule="auto"/>
        <w:jc w:val="left"/>
        <w:rPr>
          <w:rFonts w:hint="eastAsia" w:ascii="宋体" w:hAnsi="宋体" w:cs="宋体"/>
          <w:color w:val="auto"/>
          <w:sz w:val="24"/>
          <w:highlight w:val="none"/>
        </w:rPr>
      </w:pPr>
      <w:r>
        <w:rPr>
          <w:rFonts w:hint="eastAsia" w:ascii="宋体" w:hAnsi="宋体" w:cs="宋体"/>
          <w:b/>
          <w:bCs/>
          <w:color w:val="auto"/>
          <w:sz w:val="28"/>
          <w:szCs w:val="28"/>
          <w:highlight w:val="none"/>
        </w:rPr>
        <w:t>附件：介绍信（格式可自拟）</w:t>
      </w:r>
    </w:p>
    <w:p>
      <w:pPr>
        <w:pStyle w:val="4"/>
        <w:spacing w:line="360" w:lineRule="auto"/>
        <w:jc w:val="center"/>
        <w:rPr>
          <w:rFonts w:hint="eastAsia" w:ascii="宋体" w:hAnsi="宋体" w:eastAsia="宋体" w:cs="宋体"/>
          <w:color w:val="auto"/>
          <w:highlight w:val="none"/>
        </w:rPr>
      </w:pPr>
      <w:bookmarkStart w:id="9" w:name="_Toc28339"/>
      <w:r>
        <w:rPr>
          <w:rFonts w:hint="eastAsia" w:ascii="宋体" w:hAnsi="宋体" w:eastAsia="宋体" w:cs="宋体"/>
          <w:color w:val="auto"/>
          <w:highlight w:val="none"/>
        </w:rPr>
        <w:t>介绍信</w:t>
      </w:r>
      <w:bookmarkEnd w:id="9"/>
    </w:p>
    <w:p>
      <w:pPr>
        <w:spacing w:line="480" w:lineRule="auto"/>
        <w:rPr>
          <w:rFonts w:hint="eastAsia" w:ascii="宋体" w:hAnsi="宋体" w:cs="宋体"/>
          <w:color w:val="auto"/>
          <w:sz w:val="28"/>
          <w:szCs w:val="36"/>
          <w:highlight w:val="none"/>
        </w:rPr>
      </w:pPr>
      <w:r>
        <w:rPr>
          <w:rFonts w:hint="eastAsia" w:ascii="宋体" w:hAnsi="宋体" w:cs="宋体"/>
          <w:color w:val="auto"/>
          <w:sz w:val="28"/>
          <w:szCs w:val="36"/>
          <w:highlight w:val="none"/>
        </w:rPr>
        <w:t>四川建茂同方工程项目管理有限公司：</w:t>
      </w:r>
    </w:p>
    <w:p>
      <w:pPr>
        <w:spacing w:line="480" w:lineRule="auto"/>
        <w:ind w:firstLine="420"/>
        <w:rPr>
          <w:rFonts w:hint="eastAsia" w:ascii="宋体" w:hAnsi="宋体" w:cs="宋体"/>
          <w:color w:val="auto"/>
          <w:sz w:val="28"/>
          <w:szCs w:val="36"/>
          <w:highlight w:val="none"/>
        </w:rPr>
      </w:pPr>
      <w:r>
        <w:rPr>
          <w:rFonts w:hint="eastAsia" w:ascii="宋体" w:hAnsi="宋体" w:cs="宋体"/>
          <w:color w:val="auto"/>
          <w:sz w:val="28"/>
          <w:szCs w:val="36"/>
          <w:highlight w:val="none"/>
        </w:rPr>
        <w:t>我公司</w:t>
      </w:r>
      <w:r>
        <w:rPr>
          <w:rFonts w:hint="eastAsia" w:ascii="宋体" w:hAnsi="宋体" w:cs="宋体"/>
          <w:color w:val="auto"/>
          <w:sz w:val="28"/>
          <w:szCs w:val="36"/>
          <w:highlight w:val="none"/>
          <w:u w:val="single"/>
        </w:rPr>
        <w:t>（供应商或供应商名称）</w:t>
      </w:r>
      <w:r>
        <w:rPr>
          <w:rFonts w:hint="eastAsia" w:ascii="宋体" w:hAnsi="宋体" w:cs="宋体"/>
          <w:color w:val="auto"/>
          <w:sz w:val="28"/>
          <w:szCs w:val="36"/>
          <w:highlight w:val="none"/>
        </w:rPr>
        <w:t>现委托</w:t>
      </w:r>
      <w:r>
        <w:rPr>
          <w:rFonts w:hint="eastAsia" w:ascii="宋体" w:hAnsi="宋体" w:cs="宋体"/>
          <w:color w:val="auto"/>
          <w:sz w:val="28"/>
          <w:szCs w:val="36"/>
          <w:highlight w:val="none"/>
          <w:u w:val="single"/>
        </w:rPr>
        <w:t>（授权代表人姓名）（身份证号）</w:t>
      </w:r>
      <w:r>
        <w:rPr>
          <w:rFonts w:hint="eastAsia" w:ascii="宋体" w:hAnsi="宋体" w:cs="宋体"/>
          <w:color w:val="auto"/>
          <w:sz w:val="28"/>
          <w:szCs w:val="36"/>
          <w:highlight w:val="none"/>
        </w:rPr>
        <w:t>获取</w:t>
      </w:r>
      <w:r>
        <w:rPr>
          <w:rFonts w:hint="eastAsia" w:ascii="宋体" w:hAnsi="宋体" w:cs="宋体"/>
          <w:color w:val="auto"/>
          <w:sz w:val="28"/>
          <w:szCs w:val="36"/>
          <w:highlight w:val="none"/>
          <w:u w:val="single"/>
        </w:rPr>
        <w:t>（项目名称）（项目编号）（包件号，如有）</w:t>
      </w:r>
      <w:r>
        <w:rPr>
          <w:rFonts w:hint="eastAsia" w:ascii="宋体" w:hAnsi="宋体" w:cs="宋体"/>
          <w:color w:val="auto"/>
          <w:sz w:val="28"/>
          <w:szCs w:val="36"/>
          <w:highlight w:val="none"/>
        </w:rPr>
        <w:t>的采购文件。</w:t>
      </w:r>
    </w:p>
    <w:p>
      <w:pPr>
        <w:spacing w:line="480" w:lineRule="auto"/>
        <w:ind w:firstLine="420"/>
        <w:rPr>
          <w:rFonts w:hint="eastAsia" w:ascii="宋体" w:hAnsi="宋体" w:cs="宋体"/>
          <w:color w:val="auto"/>
          <w:sz w:val="28"/>
          <w:szCs w:val="36"/>
          <w:highlight w:val="none"/>
        </w:rPr>
      </w:pPr>
    </w:p>
    <w:p>
      <w:pPr>
        <w:pStyle w:val="2"/>
        <w:spacing w:line="480" w:lineRule="auto"/>
        <w:rPr>
          <w:rFonts w:hint="eastAsia"/>
          <w:color w:val="auto"/>
          <w:highlight w:val="none"/>
        </w:rPr>
      </w:pPr>
    </w:p>
    <w:p>
      <w:pPr>
        <w:spacing w:line="480" w:lineRule="auto"/>
        <w:ind w:firstLine="420"/>
        <w:jc w:val="right"/>
        <w:rPr>
          <w:rFonts w:hint="eastAsia" w:ascii="宋体" w:hAnsi="宋体" w:cs="宋体"/>
          <w:color w:val="auto"/>
          <w:sz w:val="28"/>
          <w:szCs w:val="36"/>
          <w:highlight w:val="none"/>
          <w:u w:val="single"/>
        </w:rPr>
      </w:pPr>
      <w:r>
        <w:rPr>
          <w:rFonts w:hint="eastAsia" w:ascii="宋体" w:hAnsi="宋体" w:cs="宋体"/>
          <w:color w:val="auto"/>
          <w:sz w:val="28"/>
          <w:szCs w:val="36"/>
          <w:highlight w:val="none"/>
          <w:u w:val="single"/>
        </w:rPr>
        <w:t>（供应商或供应商名称）加盖公章</w:t>
      </w:r>
    </w:p>
    <w:p>
      <w:pPr>
        <w:spacing w:line="480" w:lineRule="auto"/>
        <w:ind w:firstLine="420"/>
        <w:jc w:val="center"/>
        <w:rPr>
          <w:rFonts w:hint="eastAsia" w:ascii="宋体" w:hAnsi="宋体" w:cs="宋体"/>
          <w:color w:val="auto"/>
          <w:highlight w:val="none"/>
        </w:rPr>
        <w:sectPr>
          <w:pgSz w:w="11906" w:h="16838"/>
          <w:pgMar w:top="1440" w:right="1361" w:bottom="1440" w:left="1247" w:header="851" w:footer="992" w:gutter="0"/>
          <w:cols w:space="720" w:num="1"/>
          <w:docGrid w:linePitch="312" w:charSpace="0"/>
        </w:sectPr>
      </w:pPr>
      <w:r>
        <w:rPr>
          <w:rFonts w:hint="eastAsia" w:ascii="宋体" w:hAnsi="宋体" w:cs="宋体"/>
          <w:color w:val="auto"/>
          <w:sz w:val="28"/>
          <w:szCs w:val="36"/>
          <w:highlight w:val="none"/>
        </w:rPr>
        <w:t xml:space="preserve">           报名时间：</w:t>
      </w:r>
    </w:p>
    <w:p>
      <w:pPr>
        <w:pStyle w:val="4"/>
        <w:keepNext w:val="0"/>
        <w:keepLines w:val="0"/>
        <w:numPr>
          <w:ilvl w:val="0"/>
          <w:numId w:val="3"/>
        </w:numPr>
        <w:spacing w:line="360" w:lineRule="auto"/>
        <w:jc w:val="center"/>
        <w:rPr>
          <w:rFonts w:hint="eastAsia" w:ascii="宋体" w:hAnsi="宋体" w:eastAsia="宋体" w:cs="宋体"/>
          <w:color w:val="auto"/>
          <w:highlight w:val="none"/>
        </w:rPr>
      </w:pPr>
      <w:bookmarkStart w:id="10" w:name="_Toc17850"/>
      <w:r>
        <w:rPr>
          <w:rFonts w:hint="eastAsia" w:ascii="宋体" w:hAnsi="宋体" w:eastAsia="宋体" w:cs="宋体"/>
          <w:color w:val="auto"/>
          <w:highlight w:val="none"/>
        </w:rPr>
        <w:t xml:space="preserve"> 磋商须知</w:t>
      </w:r>
      <w:bookmarkEnd w:id="4"/>
      <w:bookmarkEnd w:id="5"/>
      <w:bookmarkEnd w:id="6"/>
      <w:bookmarkEnd w:id="7"/>
      <w:bookmarkEnd w:id="8"/>
      <w:bookmarkEnd w:id="10"/>
    </w:p>
    <w:p>
      <w:pPr>
        <w:pStyle w:val="4"/>
        <w:keepNext w:val="0"/>
        <w:keepLines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一、供应商须知附表</w:t>
      </w:r>
    </w:p>
    <w:tbl>
      <w:tblPr>
        <w:tblStyle w:val="23"/>
        <w:tblW w:w="1018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6"/>
        <w:gridCol w:w="710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31" w:hRule="atLeast"/>
          <w:tblHeader/>
          <w:jc w:val="center"/>
        </w:trPr>
        <w:tc>
          <w:tcPr>
            <w:tcW w:w="838" w:type="dxa"/>
            <w:noWrap w:val="0"/>
            <w:vAlign w:val="center"/>
          </w:tcPr>
          <w:p>
            <w:pPr>
              <w:pStyle w:val="59"/>
              <w:spacing w:line="360" w:lineRule="auto"/>
              <w:ind w:left="9"/>
              <w:jc w:val="center"/>
              <w:rPr>
                <w:rFonts w:hint="eastAsia"/>
                <w:color w:val="auto"/>
                <w:kern w:val="2"/>
                <w:highlight w:val="none"/>
              </w:rPr>
            </w:pPr>
            <w:bookmarkStart w:id="11" w:name="_Toc22751"/>
            <w:r>
              <w:rPr>
                <w:rFonts w:hint="eastAsia"/>
                <w:color w:val="auto"/>
                <w:kern w:val="2"/>
                <w:highlight w:val="none"/>
              </w:rPr>
              <w:t>序号</w:t>
            </w:r>
          </w:p>
        </w:tc>
        <w:tc>
          <w:tcPr>
            <w:tcW w:w="2236" w:type="dxa"/>
            <w:noWrap w:val="0"/>
            <w:vAlign w:val="center"/>
          </w:tcPr>
          <w:p>
            <w:pPr>
              <w:pStyle w:val="59"/>
              <w:spacing w:line="360" w:lineRule="auto"/>
              <w:ind w:left="38"/>
              <w:jc w:val="center"/>
              <w:rPr>
                <w:rFonts w:hint="eastAsia"/>
                <w:color w:val="auto"/>
                <w:kern w:val="2"/>
                <w:highlight w:val="none"/>
              </w:rPr>
            </w:pPr>
            <w:r>
              <w:rPr>
                <w:rFonts w:hint="eastAsia"/>
                <w:color w:val="auto"/>
                <w:kern w:val="2"/>
                <w:highlight w:val="none"/>
              </w:rPr>
              <w:t>条款名称</w:t>
            </w:r>
          </w:p>
        </w:tc>
        <w:tc>
          <w:tcPr>
            <w:tcW w:w="7109" w:type="dxa"/>
            <w:noWrap w:val="0"/>
            <w:vAlign w:val="center"/>
          </w:tcPr>
          <w:p>
            <w:pPr>
              <w:pStyle w:val="59"/>
              <w:spacing w:line="360" w:lineRule="auto"/>
              <w:jc w:val="center"/>
              <w:rPr>
                <w:rFonts w:hint="eastAsia"/>
                <w:color w:val="auto"/>
                <w:kern w:val="2"/>
                <w:highlight w:val="none"/>
              </w:rPr>
            </w:pPr>
            <w:r>
              <w:rPr>
                <w:rFonts w:hint="eastAsia"/>
                <w:color w:val="auto"/>
                <w:kern w:val="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98" w:hRule="atLeast"/>
          <w:jc w:val="center"/>
        </w:trPr>
        <w:tc>
          <w:tcPr>
            <w:tcW w:w="838" w:type="dxa"/>
            <w:noWrap w:val="0"/>
            <w:vAlign w:val="center"/>
          </w:tcPr>
          <w:p>
            <w:pPr>
              <w:pStyle w:val="59"/>
              <w:spacing w:line="360" w:lineRule="auto"/>
              <w:ind w:right="230"/>
              <w:jc w:val="center"/>
              <w:rPr>
                <w:rFonts w:hint="eastAsia"/>
                <w:color w:val="auto"/>
                <w:kern w:val="2"/>
                <w:highlight w:val="none"/>
              </w:rPr>
            </w:pPr>
            <w:r>
              <w:rPr>
                <w:rFonts w:hint="eastAsia"/>
                <w:color w:val="auto"/>
                <w:kern w:val="2"/>
                <w:highlight w:val="none"/>
              </w:rPr>
              <w:t xml:space="preserve">  1</w:t>
            </w:r>
          </w:p>
        </w:tc>
        <w:tc>
          <w:tcPr>
            <w:tcW w:w="2236" w:type="dxa"/>
            <w:noWrap w:val="0"/>
            <w:vAlign w:val="center"/>
          </w:tcPr>
          <w:p>
            <w:pPr>
              <w:pStyle w:val="59"/>
              <w:spacing w:line="360" w:lineRule="auto"/>
              <w:ind w:left="38"/>
              <w:jc w:val="center"/>
              <w:rPr>
                <w:rFonts w:hint="eastAsia"/>
                <w:color w:val="auto"/>
                <w:kern w:val="2"/>
                <w:highlight w:val="none"/>
              </w:rPr>
            </w:pPr>
            <w:r>
              <w:rPr>
                <w:rFonts w:hint="eastAsia"/>
                <w:color w:val="auto"/>
                <w:kern w:val="2"/>
                <w:highlight w:val="none"/>
              </w:rPr>
              <w:t>采购预算价</w:t>
            </w:r>
          </w:p>
          <w:p>
            <w:pPr>
              <w:pStyle w:val="59"/>
              <w:spacing w:line="360" w:lineRule="auto"/>
              <w:jc w:val="center"/>
              <w:rPr>
                <w:rFonts w:hint="eastAsia"/>
                <w:color w:val="auto"/>
                <w:kern w:val="2"/>
                <w:highlight w:val="none"/>
              </w:rPr>
            </w:pPr>
            <w:r>
              <w:rPr>
                <w:rFonts w:hint="eastAsia"/>
                <w:color w:val="auto"/>
                <w:highlight w:val="none"/>
              </w:rPr>
              <w:t>和</w:t>
            </w:r>
            <w:r>
              <w:rPr>
                <w:rFonts w:hint="eastAsia"/>
                <w:color w:val="auto"/>
                <w:kern w:val="2"/>
                <w:highlight w:val="none"/>
              </w:rPr>
              <w:t>最高限价</w:t>
            </w:r>
          </w:p>
          <w:p>
            <w:pPr>
              <w:pStyle w:val="59"/>
              <w:spacing w:line="360" w:lineRule="auto"/>
              <w:jc w:val="center"/>
              <w:rPr>
                <w:rFonts w:hint="eastAsia"/>
                <w:color w:val="auto"/>
                <w:kern w:val="2"/>
                <w:highlight w:val="none"/>
              </w:rPr>
            </w:pPr>
            <w:r>
              <w:rPr>
                <w:rFonts w:hint="eastAsia"/>
                <w:color w:val="auto"/>
                <w:highlight w:val="none"/>
              </w:rPr>
              <w:t>（实质性要求）</w:t>
            </w:r>
          </w:p>
        </w:tc>
        <w:tc>
          <w:tcPr>
            <w:tcW w:w="7109" w:type="dxa"/>
            <w:noWrap w:val="0"/>
            <w:vAlign w:val="center"/>
          </w:tcPr>
          <w:p>
            <w:pPr>
              <w:snapToGrid w:val="0"/>
              <w:spacing w:line="360" w:lineRule="auto"/>
              <w:ind w:right="31" w:rightChars="15"/>
              <w:jc w:val="left"/>
              <w:rPr>
                <w:rFonts w:hint="eastAsia" w:ascii="宋体" w:hAnsi="宋体" w:cs="宋体"/>
                <w:color w:val="auto"/>
                <w:sz w:val="24"/>
                <w:highlight w:val="none"/>
              </w:rPr>
            </w:pPr>
            <w:r>
              <w:rPr>
                <w:rFonts w:hint="eastAsia" w:ascii="宋体" w:hAnsi="宋体" w:cs="宋体"/>
                <w:color w:val="auto"/>
                <w:sz w:val="24"/>
                <w:highlight w:val="none"/>
              </w:rPr>
              <w:t>采购预算：</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35</w:t>
            </w:r>
            <w:r>
              <w:rPr>
                <w:rFonts w:hint="eastAsia" w:ascii="宋体" w:hAnsi="宋体" w:cs="宋体"/>
                <w:color w:val="auto"/>
                <w:sz w:val="24"/>
                <w:highlight w:val="none"/>
                <w:u w:val="single"/>
              </w:rPr>
              <w:t>万元</w:t>
            </w:r>
            <w:r>
              <w:rPr>
                <w:rFonts w:hint="eastAsia" w:ascii="宋体" w:hAnsi="宋体" w:cs="宋体"/>
                <w:color w:val="auto"/>
                <w:sz w:val="24"/>
                <w:highlight w:val="none"/>
              </w:rPr>
              <w:t>，最高限价：</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35</w:t>
            </w:r>
            <w:r>
              <w:rPr>
                <w:rFonts w:hint="eastAsia" w:ascii="宋体" w:hAnsi="宋体" w:cs="宋体"/>
                <w:color w:val="auto"/>
                <w:sz w:val="24"/>
                <w:highlight w:val="none"/>
                <w:u w:val="single"/>
              </w:rPr>
              <w:t>万元</w:t>
            </w:r>
            <w:r>
              <w:rPr>
                <w:rFonts w:hint="eastAsia" w:ascii="宋体" w:hAnsi="宋体" w:cs="宋体"/>
                <w:color w:val="auto"/>
                <w:sz w:val="24"/>
                <w:highlight w:val="none"/>
              </w:rPr>
              <w:t>。</w:t>
            </w:r>
          </w:p>
          <w:p>
            <w:pPr>
              <w:snapToGrid w:val="0"/>
              <w:spacing w:line="360" w:lineRule="auto"/>
              <w:ind w:right="31" w:rightChars="15"/>
              <w:jc w:val="left"/>
              <w:rPr>
                <w:rFonts w:hint="eastAsia" w:ascii="宋体" w:hAnsi="宋体" w:cs="宋体"/>
                <w:color w:val="auto"/>
                <w:sz w:val="24"/>
                <w:highlight w:val="none"/>
              </w:rPr>
            </w:pPr>
            <w:r>
              <w:rPr>
                <w:rFonts w:hint="eastAsia" w:ascii="宋体" w:hAnsi="宋体" w:cs="宋体"/>
                <w:color w:val="auto"/>
                <w:sz w:val="24"/>
                <w:highlight w:val="none"/>
              </w:rPr>
              <w:t>供应商应在填报磋商报价之前，已经仔细阅读了本竞争性磋商文件的所有有关章节以及审查了所有相关资料，已确保本次政府采购项目的所有采购服务范围内的各种价格风险均已包含在磋商报价内。</w:t>
            </w:r>
          </w:p>
          <w:p>
            <w:pPr>
              <w:pStyle w:val="59"/>
              <w:snapToGrid w:val="0"/>
              <w:spacing w:line="360" w:lineRule="auto"/>
              <w:rPr>
                <w:rFonts w:hint="eastAsia"/>
                <w:color w:val="auto"/>
                <w:highlight w:val="none"/>
              </w:rPr>
            </w:pPr>
            <w:r>
              <w:rPr>
                <w:rFonts w:hint="eastAsia"/>
                <w:color w:val="auto"/>
                <w:highlight w:val="none"/>
              </w:rPr>
              <w:t>超过采购预算价和最高限价的报价为无效响应。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3" w:hRule="atLeast"/>
          <w:jc w:val="center"/>
        </w:trPr>
        <w:tc>
          <w:tcPr>
            <w:tcW w:w="838" w:type="dxa"/>
            <w:noWrap w:val="0"/>
            <w:vAlign w:val="center"/>
          </w:tcPr>
          <w:p>
            <w:pPr>
              <w:pStyle w:val="59"/>
              <w:spacing w:line="360" w:lineRule="auto"/>
              <w:ind w:right="230"/>
              <w:jc w:val="center"/>
              <w:rPr>
                <w:rFonts w:hint="eastAsia"/>
                <w:color w:val="auto"/>
                <w:kern w:val="2"/>
                <w:highlight w:val="none"/>
              </w:rPr>
            </w:pPr>
            <w:r>
              <w:rPr>
                <w:rFonts w:hint="eastAsia"/>
                <w:color w:val="auto"/>
                <w:kern w:val="2"/>
                <w:highlight w:val="none"/>
              </w:rPr>
              <w:t xml:space="preserve">  2</w:t>
            </w:r>
          </w:p>
        </w:tc>
        <w:tc>
          <w:tcPr>
            <w:tcW w:w="2236" w:type="dxa"/>
            <w:noWrap w:val="0"/>
            <w:vAlign w:val="center"/>
          </w:tcPr>
          <w:p>
            <w:pPr>
              <w:pStyle w:val="59"/>
              <w:spacing w:line="360" w:lineRule="auto"/>
              <w:ind w:left="38"/>
              <w:jc w:val="center"/>
              <w:rPr>
                <w:rFonts w:hint="eastAsia"/>
                <w:color w:val="auto"/>
                <w:kern w:val="2"/>
                <w:highlight w:val="none"/>
              </w:rPr>
            </w:pPr>
            <w:r>
              <w:rPr>
                <w:rFonts w:hint="eastAsia"/>
                <w:color w:val="auto"/>
                <w:kern w:val="2"/>
                <w:highlight w:val="none"/>
              </w:rPr>
              <w:t>低于成本价不正当</w:t>
            </w:r>
          </w:p>
          <w:p>
            <w:pPr>
              <w:pStyle w:val="59"/>
              <w:spacing w:line="360" w:lineRule="auto"/>
              <w:ind w:left="38"/>
              <w:jc w:val="center"/>
              <w:rPr>
                <w:rFonts w:hint="eastAsia"/>
                <w:color w:val="auto"/>
                <w:kern w:val="2"/>
                <w:highlight w:val="none"/>
              </w:rPr>
            </w:pPr>
            <w:r>
              <w:rPr>
                <w:rFonts w:hint="eastAsia"/>
                <w:color w:val="auto"/>
                <w:kern w:val="2"/>
                <w:highlight w:val="none"/>
              </w:rPr>
              <w:t>竞争预防措施</w:t>
            </w:r>
          </w:p>
          <w:p>
            <w:pPr>
              <w:pStyle w:val="59"/>
              <w:spacing w:line="360" w:lineRule="auto"/>
              <w:ind w:left="38"/>
              <w:jc w:val="center"/>
              <w:rPr>
                <w:rFonts w:hint="eastAsia"/>
                <w:color w:val="auto"/>
                <w:kern w:val="2"/>
                <w:highlight w:val="none"/>
              </w:rPr>
            </w:pPr>
            <w:r>
              <w:rPr>
                <w:rFonts w:hint="eastAsia"/>
                <w:color w:val="auto"/>
                <w:highlight w:val="none"/>
              </w:rPr>
              <w:t>（实质性要求）</w:t>
            </w:r>
          </w:p>
        </w:tc>
        <w:tc>
          <w:tcPr>
            <w:tcW w:w="7109" w:type="dxa"/>
            <w:noWrap w:val="0"/>
            <w:vAlign w:val="center"/>
          </w:tcPr>
          <w:p>
            <w:pPr>
              <w:pStyle w:val="59"/>
              <w:snapToGrid w:val="0"/>
              <w:spacing w:line="336" w:lineRule="auto"/>
              <w:rPr>
                <w:rFonts w:hint="eastAsia"/>
                <w:color w:val="auto"/>
                <w:highlight w:val="none"/>
              </w:rPr>
            </w:pPr>
            <w:r>
              <w:rPr>
                <w:rFonts w:hint="eastAsia"/>
                <w:color w:val="auto"/>
                <w:highlight w:val="none"/>
              </w:rPr>
              <w:t>在评审过程中，磋商小组认为供应商的报价明显低于其他通过有效性、完整性和响应程度审查情况供应商的报价，有可能影响产品质量或者不能诚信履约的，磋商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9"/>
              <w:snapToGrid w:val="0"/>
              <w:spacing w:line="336" w:lineRule="auto"/>
              <w:rPr>
                <w:rFonts w:hint="eastAsia"/>
                <w:color w:val="auto"/>
                <w:highlight w:val="none"/>
              </w:rPr>
            </w:pPr>
            <w:r>
              <w:rPr>
                <w:rFonts w:hint="eastAsia"/>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9"/>
              <w:snapToGrid w:val="0"/>
              <w:spacing w:line="336" w:lineRule="auto"/>
              <w:rPr>
                <w:rFonts w:hint="eastAsia"/>
                <w:color w:val="auto"/>
                <w:kern w:val="2"/>
                <w:highlight w:val="none"/>
              </w:rPr>
            </w:pPr>
            <w:r>
              <w:rPr>
                <w:rFonts w:hint="eastAsia"/>
                <w:color w:val="auto"/>
                <w:highlight w:val="none"/>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noWrap w:val="0"/>
            <w:vAlign w:val="center"/>
          </w:tcPr>
          <w:p>
            <w:pPr>
              <w:pStyle w:val="59"/>
              <w:spacing w:line="360" w:lineRule="auto"/>
              <w:ind w:right="230"/>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3</w:t>
            </w:r>
          </w:p>
        </w:tc>
        <w:tc>
          <w:tcPr>
            <w:tcW w:w="2236" w:type="dxa"/>
            <w:noWrap w:val="0"/>
            <w:vAlign w:val="center"/>
          </w:tcPr>
          <w:p>
            <w:pPr>
              <w:pStyle w:val="59"/>
              <w:spacing w:line="360" w:lineRule="auto"/>
              <w:jc w:val="center"/>
              <w:rPr>
                <w:rFonts w:hint="eastAsia"/>
                <w:color w:val="auto"/>
                <w:kern w:val="2"/>
                <w:highlight w:val="none"/>
              </w:rPr>
            </w:pPr>
            <w:r>
              <w:rPr>
                <w:rFonts w:hint="eastAsia"/>
                <w:color w:val="auto"/>
                <w:kern w:val="2"/>
                <w:highlight w:val="none"/>
              </w:rPr>
              <w:t>促进中小企业发展</w:t>
            </w:r>
          </w:p>
        </w:tc>
        <w:tc>
          <w:tcPr>
            <w:tcW w:w="7109" w:type="dxa"/>
            <w:noWrap w:val="0"/>
            <w:vAlign w:val="center"/>
          </w:tcPr>
          <w:p>
            <w:pPr>
              <w:pStyle w:val="59"/>
              <w:snapToGrid w:val="0"/>
              <w:spacing w:line="336" w:lineRule="auto"/>
              <w:rPr>
                <w:rFonts w:hint="eastAsia"/>
                <w:b/>
                <w:bCs/>
                <w:color w:val="auto"/>
                <w:highlight w:val="none"/>
                <w:lang w:val="zh-CN"/>
              </w:rPr>
            </w:pPr>
            <w:r>
              <w:rPr>
                <w:rFonts w:hint="eastAsia"/>
                <w:b/>
                <w:bCs/>
                <w:color w:val="auto"/>
                <w:highlight w:val="none"/>
                <w:lang w:val="zh-CN"/>
              </w:rPr>
              <w:t xml:space="preserve">促进中小企业发展（监狱企业、残疾人福利性单位视同小微企业） </w:t>
            </w:r>
          </w:p>
          <w:p>
            <w:pPr>
              <w:pStyle w:val="59"/>
              <w:snapToGrid w:val="0"/>
              <w:spacing w:line="336" w:lineRule="auto"/>
              <w:rPr>
                <w:rFonts w:hint="eastAsia"/>
                <w:b/>
                <w:bCs/>
                <w:color w:val="auto"/>
                <w:highlight w:val="none"/>
              </w:rPr>
            </w:pPr>
            <w:r>
              <w:rPr>
                <w:rFonts w:hint="eastAsia" w:ascii="宋体" w:hAnsi="宋体" w:eastAsia="宋体" w:cs="宋体"/>
                <w:color w:val="auto"/>
                <w:kern w:val="2"/>
                <w:sz w:val="24"/>
                <w:szCs w:val="24"/>
                <w:highlight w:val="none"/>
                <w:lang w:val="en-US" w:eastAsia="zh-CN" w:bidi="ar-SA"/>
              </w:rPr>
              <w:t>根据关于印发《政府采购促进中小企业发展管理办法》的通知（财库〔2020〕46号）要求,对于经主管预算单位统筹后未预留份额专门面向中小企业采购的采购项目，以及预留份额项目中的非预留部分采购包，对符合本办法规定的小微企业报价给予10%的价格扣除，用扣除后的价格参加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noWrap w:val="0"/>
            <w:vAlign w:val="center"/>
          </w:tcPr>
          <w:p>
            <w:pPr>
              <w:pStyle w:val="59"/>
              <w:spacing w:line="360" w:lineRule="auto"/>
              <w:ind w:right="230"/>
              <w:jc w:val="center"/>
              <w:rPr>
                <w:rFonts w:hint="eastAsia"/>
                <w:color w:val="auto"/>
                <w:highlight w:val="none"/>
              </w:rPr>
            </w:pPr>
            <w:r>
              <w:rPr>
                <w:rFonts w:hint="eastAsia"/>
                <w:color w:val="auto"/>
                <w:highlight w:val="none"/>
              </w:rPr>
              <w:t xml:space="preserve">  4</w:t>
            </w:r>
          </w:p>
        </w:tc>
        <w:tc>
          <w:tcPr>
            <w:tcW w:w="223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关于执行《政府采购竞争性磋商采购方式管理暂行办法》财库〔2014〕214号文件及财库〔2015〕124号的要求</w:t>
            </w:r>
          </w:p>
        </w:tc>
        <w:tc>
          <w:tcPr>
            <w:tcW w:w="7109" w:type="dxa"/>
            <w:noWrap w:val="0"/>
            <w:vAlign w:val="center"/>
          </w:tcPr>
          <w:p>
            <w:pPr>
              <w:pStyle w:val="62"/>
              <w:snapToGrid w:val="0"/>
              <w:spacing w:line="336" w:lineRule="auto"/>
              <w:ind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根据该办法第三条：符合下列情形的项目，可以采用竞争性磋商方式开展采购：(四)市场竞争不充分的科研项目，以及需要扶持的科技成果转化项目；符合本办法第三条第四项情形的，提交最后报价的供应商可以为2家；</w:t>
            </w:r>
          </w:p>
          <w:p>
            <w:pPr>
              <w:pStyle w:val="62"/>
              <w:snapToGrid w:val="0"/>
              <w:spacing w:line="336" w:lineRule="auto"/>
              <w:ind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2、依据财库〔2015〕124号的要求，采用竞争性磋商采购方式采购的政府购买服务项目（含政府和社会资本合作项目），在采购过程中符合要求的供应商（社会资本）只有2家的，竞争性磋商采购活动可以继续进行。</w:t>
            </w:r>
          </w:p>
          <w:p>
            <w:pPr>
              <w:snapToGrid w:val="0"/>
              <w:spacing w:line="336" w:lineRule="auto"/>
              <w:jc w:val="left"/>
              <w:rPr>
                <w:rFonts w:hint="eastAsia" w:ascii="宋体" w:hAnsi="宋体" w:cs="宋体"/>
                <w:b/>
                <w:bCs/>
                <w:color w:val="auto"/>
                <w:sz w:val="24"/>
                <w:highlight w:val="none"/>
                <w:lang w:val="zh-CN"/>
              </w:rPr>
            </w:pPr>
            <w:r>
              <w:rPr>
                <w:rFonts w:hint="eastAsia" w:ascii="宋体" w:hAnsi="宋体" w:cs="宋体"/>
                <w:color w:val="auto"/>
                <w:sz w:val="24"/>
                <w:highlight w:val="none"/>
              </w:rPr>
              <w:t>3、本项目属于政府购买服务项目。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noWrap w:val="0"/>
            <w:vAlign w:val="center"/>
          </w:tcPr>
          <w:p>
            <w:pPr>
              <w:pStyle w:val="59"/>
              <w:spacing w:line="360" w:lineRule="auto"/>
              <w:ind w:right="230"/>
              <w:jc w:val="center"/>
              <w:rPr>
                <w:rFonts w:hint="eastAsia"/>
                <w:color w:val="auto"/>
                <w:highlight w:val="none"/>
              </w:rPr>
            </w:pPr>
            <w:r>
              <w:rPr>
                <w:rFonts w:hint="eastAsia"/>
                <w:color w:val="auto"/>
                <w:highlight w:val="none"/>
              </w:rPr>
              <w:t xml:space="preserve">  5</w:t>
            </w:r>
          </w:p>
        </w:tc>
        <w:tc>
          <w:tcPr>
            <w:tcW w:w="2236" w:type="dxa"/>
            <w:noWrap w:val="0"/>
            <w:vAlign w:val="center"/>
          </w:tcPr>
          <w:p>
            <w:pPr>
              <w:pStyle w:val="59"/>
              <w:spacing w:line="360" w:lineRule="auto"/>
              <w:jc w:val="center"/>
              <w:rPr>
                <w:rFonts w:hint="eastAsia"/>
                <w:color w:val="auto"/>
                <w:highlight w:val="none"/>
              </w:rPr>
            </w:pPr>
            <w:r>
              <w:rPr>
                <w:rFonts w:hint="eastAsia"/>
                <w:color w:val="auto"/>
                <w:highlight w:val="none"/>
              </w:rPr>
              <w:t>节能产品或者政府采购环境标志产品或者无线局域网产品</w:t>
            </w:r>
          </w:p>
          <w:p>
            <w:pPr>
              <w:pStyle w:val="59"/>
              <w:spacing w:line="360" w:lineRule="auto"/>
              <w:jc w:val="center"/>
              <w:rPr>
                <w:rFonts w:hint="eastAsia"/>
                <w:color w:val="auto"/>
                <w:highlight w:val="none"/>
              </w:rPr>
            </w:pPr>
            <w:r>
              <w:rPr>
                <w:rFonts w:hint="eastAsia"/>
                <w:color w:val="auto"/>
                <w:highlight w:val="none"/>
              </w:rPr>
              <w:t>（如涉及）</w:t>
            </w:r>
          </w:p>
        </w:tc>
        <w:tc>
          <w:tcPr>
            <w:tcW w:w="7109" w:type="dxa"/>
            <w:noWrap w:val="0"/>
            <w:vAlign w:val="center"/>
          </w:tcPr>
          <w:p>
            <w:pPr>
              <w:pStyle w:val="59"/>
              <w:spacing w:line="360" w:lineRule="auto"/>
              <w:rPr>
                <w:rFonts w:hint="eastAsia"/>
                <w:color w:val="auto"/>
                <w:highlight w:val="none"/>
                <w:lang w:val="zh-CN"/>
              </w:rPr>
            </w:pPr>
            <w:r>
              <w:rPr>
                <w:rFonts w:hint="eastAsia"/>
                <w:color w:val="auto"/>
                <w:highlight w:val="none"/>
                <w:lang w:val="zh-CN"/>
              </w:rPr>
              <w:t>1、根据财政部、国家发展改革委员会《节能产品政府采购实施意见》（财库［2004］185 号）及财政部、国家发展改革委、信息产业部《无线局域网产品政府采购实施意见》（财库［2005］366 号）规定，对认定为政府采购节能产品或者政府采购环境标志产品或者无线局对域网产品的实行优先采购</w:t>
            </w:r>
            <w:r>
              <w:rPr>
                <w:rFonts w:hint="eastAsia"/>
                <w:color w:val="auto"/>
                <w:highlight w:val="none"/>
              </w:rPr>
              <w:t>。</w:t>
            </w:r>
          </w:p>
          <w:p>
            <w:pPr>
              <w:pStyle w:val="59"/>
              <w:spacing w:line="360" w:lineRule="auto"/>
              <w:rPr>
                <w:rFonts w:hint="eastAsia"/>
                <w:color w:val="auto"/>
                <w:highlight w:val="none"/>
                <w:lang w:val="zh-CN"/>
              </w:rPr>
            </w:pPr>
            <w:r>
              <w:rPr>
                <w:rFonts w:hint="eastAsia"/>
                <w:color w:val="auto"/>
                <w:highlight w:val="none"/>
                <w:lang w:val="zh-CN"/>
              </w:rPr>
              <w:t>2、以国家官方认定的为准，并提供相关证明材料（复印件并加盖投标单位公章）。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838" w:type="dxa"/>
            <w:noWrap w:val="0"/>
            <w:vAlign w:val="center"/>
          </w:tcPr>
          <w:p>
            <w:pPr>
              <w:pStyle w:val="59"/>
              <w:spacing w:line="360" w:lineRule="auto"/>
              <w:ind w:right="230"/>
              <w:jc w:val="center"/>
              <w:rPr>
                <w:rFonts w:hint="eastAsia"/>
                <w:color w:val="auto"/>
                <w:highlight w:val="none"/>
              </w:rPr>
            </w:pPr>
            <w:r>
              <w:rPr>
                <w:rFonts w:hint="eastAsia"/>
                <w:color w:val="auto"/>
                <w:highlight w:val="none"/>
              </w:rPr>
              <w:t xml:space="preserve">  6</w:t>
            </w:r>
          </w:p>
        </w:tc>
        <w:tc>
          <w:tcPr>
            <w:tcW w:w="2236" w:type="dxa"/>
            <w:noWrap w:val="0"/>
            <w:vAlign w:val="center"/>
          </w:tcPr>
          <w:p>
            <w:pPr>
              <w:pStyle w:val="59"/>
              <w:spacing w:line="360" w:lineRule="auto"/>
              <w:jc w:val="center"/>
              <w:rPr>
                <w:rFonts w:hint="eastAsia"/>
                <w:color w:val="auto"/>
                <w:highlight w:val="none"/>
              </w:rPr>
            </w:pPr>
            <w:r>
              <w:rPr>
                <w:rFonts w:hint="eastAsia"/>
                <w:color w:val="auto"/>
                <w:highlight w:val="none"/>
              </w:rPr>
              <w:t>扶持不发达地区和少数民族地区</w:t>
            </w:r>
          </w:p>
        </w:tc>
        <w:tc>
          <w:tcPr>
            <w:tcW w:w="7109" w:type="dxa"/>
            <w:noWrap w:val="0"/>
            <w:vAlign w:val="center"/>
          </w:tcPr>
          <w:p>
            <w:pPr>
              <w:pStyle w:val="59"/>
              <w:spacing w:line="360" w:lineRule="auto"/>
              <w:rPr>
                <w:rFonts w:hint="eastAsia"/>
                <w:color w:val="auto"/>
                <w:highlight w:val="none"/>
                <w:lang w:val="zh-CN"/>
              </w:rPr>
            </w:pPr>
            <w:r>
              <w:rPr>
                <w:rFonts w:hint="eastAsia"/>
                <w:color w:val="auto"/>
                <w:highlight w:val="none"/>
                <w:lang w:val="zh-CN"/>
              </w:rPr>
              <w:t>符合扶持不发达地区和少数民族地区政策条件的，根据《政府采购货物和服务招标投标管理办法》（财政部令第87号）的规定，对不发达地区和少数民族地区的供应商产品及服务实行优先采购。</w:t>
            </w:r>
          </w:p>
          <w:p>
            <w:pPr>
              <w:pStyle w:val="59"/>
              <w:spacing w:line="360" w:lineRule="auto"/>
              <w:rPr>
                <w:rFonts w:hint="eastAsia"/>
                <w:color w:val="auto"/>
                <w:highlight w:val="none"/>
                <w:lang w:val="zh-CN"/>
              </w:rPr>
            </w:pPr>
            <w:r>
              <w:rPr>
                <w:rFonts w:hint="eastAsia"/>
                <w:b/>
                <w:bCs/>
                <w:color w:val="auto"/>
                <w:highlight w:val="none"/>
                <w:lang w:val="zh-CN"/>
              </w:rPr>
              <w:t>注：评审得分、最后报价和技术指标相同的，不发达地区或少数民族地区的供应商排列顺序在非不发达地区或少数民族地区的供应商之前；评审得分、最后报价和技术指标相同的，且均为不发达地区或少数民族地区的供应商并列；评审得分、最后报价和技术指标相同的，且不能判定为不发达地区或少数民族地区的供应商并列。（不发达地区或少数民族地区的供应商需提供属于不发达地区或少数民族地区企业的相关证明材料，或供应商注册地为少数民族地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9" w:hRule="atLeast"/>
          <w:jc w:val="center"/>
        </w:trPr>
        <w:tc>
          <w:tcPr>
            <w:tcW w:w="838" w:type="dxa"/>
            <w:noWrap w:val="0"/>
            <w:vAlign w:val="center"/>
          </w:tcPr>
          <w:p>
            <w:pPr>
              <w:pStyle w:val="59"/>
              <w:spacing w:before="72" w:after="72" w:line="360" w:lineRule="auto"/>
              <w:ind w:right="264"/>
              <w:jc w:val="center"/>
              <w:rPr>
                <w:rFonts w:hint="eastAsia"/>
                <w:color w:val="auto"/>
                <w:highlight w:val="none"/>
              </w:rPr>
            </w:pPr>
            <w:r>
              <w:rPr>
                <w:rFonts w:hint="eastAsia"/>
                <w:color w:val="auto"/>
                <w:kern w:val="2"/>
                <w:highlight w:val="none"/>
              </w:rPr>
              <w:t xml:space="preserve">  7</w:t>
            </w:r>
          </w:p>
        </w:tc>
        <w:tc>
          <w:tcPr>
            <w:tcW w:w="2236" w:type="dxa"/>
            <w:noWrap w:val="0"/>
            <w:vAlign w:val="center"/>
          </w:tcPr>
          <w:p>
            <w:pPr>
              <w:pStyle w:val="59"/>
              <w:spacing w:line="360" w:lineRule="auto"/>
              <w:jc w:val="center"/>
              <w:rPr>
                <w:rFonts w:hint="eastAsia"/>
                <w:color w:val="auto"/>
                <w:highlight w:val="none"/>
              </w:rPr>
            </w:pPr>
            <w:r>
              <w:rPr>
                <w:rFonts w:hint="eastAsia"/>
                <w:color w:val="auto"/>
                <w:highlight w:val="none"/>
              </w:rPr>
              <w:t>中小企业政府采购</w:t>
            </w:r>
          </w:p>
          <w:p>
            <w:pPr>
              <w:pStyle w:val="59"/>
              <w:spacing w:line="360" w:lineRule="auto"/>
              <w:jc w:val="center"/>
              <w:rPr>
                <w:rFonts w:hint="eastAsia"/>
                <w:color w:val="auto"/>
                <w:highlight w:val="none"/>
              </w:rPr>
            </w:pPr>
            <w:r>
              <w:rPr>
                <w:rFonts w:hint="eastAsia"/>
                <w:color w:val="auto"/>
                <w:highlight w:val="none"/>
              </w:rPr>
              <w:t>信用融资</w:t>
            </w:r>
          </w:p>
        </w:tc>
        <w:tc>
          <w:tcPr>
            <w:tcW w:w="7109" w:type="dxa"/>
            <w:noWrap w:val="0"/>
            <w:vAlign w:val="center"/>
          </w:tcPr>
          <w:p>
            <w:pPr>
              <w:pStyle w:val="59"/>
              <w:spacing w:line="360" w:lineRule="auto"/>
              <w:rPr>
                <w:rFonts w:hint="eastAsia"/>
                <w:b/>
                <w:bCs/>
                <w:color w:val="auto"/>
                <w:highlight w:val="none"/>
              </w:rPr>
            </w:pPr>
            <w:r>
              <w:rPr>
                <w:rFonts w:hint="eastAsia"/>
                <w:color w:val="auto"/>
                <w:highlight w:val="none"/>
              </w:rPr>
              <w:t>根据四川省财政厅关于推进四川省政府采购供应商信用融资工作的通知（川财采[2018]123号）、成都市财政局 中国人民银行成都分行营业管理部 关于印发《成都市中小企业政府采购信用融资暂行办法》和《成都市级支持中小企业政府采购信用融资实施方案》的通知（成财采[2019]17号）。供应商若为中小微企业的，可依据政府采购合同申请政府采购信用融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4" w:hRule="atLeast"/>
          <w:jc w:val="center"/>
        </w:trPr>
        <w:tc>
          <w:tcPr>
            <w:tcW w:w="838" w:type="dxa"/>
            <w:noWrap w:val="0"/>
            <w:vAlign w:val="center"/>
          </w:tcPr>
          <w:p>
            <w:pPr>
              <w:pStyle w:val="59"/>
              <w:spacing w:line="360" w:lineRule="auto"/>
              <w:ind w:right="230"/>
              <w:jc w:val="center"/>
              <w:rPr>
                <w:rFonts w:hint="eastAsia" w:eastAsia="宋体"/>
                <w:color w:val="auto"/>
                <w:kern w:val="2"/>
                <w:highlight w:val="none"/>
                <w:lang w:eastAsia="zh-CN"/>
              </w:rPr>
            </w:pPr>
            <w:r>
              <w:rPr>
                <w:rFonts w:hint="eastAsia"/>
                <w:color w:val="auto"/>
                <w:kern w:val="2"/>
                <w:highlight w:val="none"/>
              </w:rPr>
              <w:t xml:space="preserve">  </w:t>
            </w:r>
            <w:r>
              <w:rPr>
                <w:rFonts w:hint="eastAsia"/>
                <w:color w:val="auto"/>
                <w:kern w:val="2"/>
                <w:highlight w:val="none"/>
                <w:lang w:val="en-US" w:eastAsia="zh-CN"/>
              </w:rPr>
              <w:t>8</w:t>
            </w:r>
          </w:p>
        </w:tc>
        <w:tc>
          <w:tcPr>
            <w:tcW w:w="2236" w:type="dxa"/>
            <w:noWrap w:val="0"/>
            <w:vAlign w:val="center"/>
          </w:tcPr>
          <w:p>
            <w:pPr>
              <w:spacing w:line="360" w:lineRule="auto"/>
              <w:ind w:left="105" w:leftChars="50" w:right="105" w:rightChars="50"/>
              <w:jc w:val="center"/>
              <w:rPr>
                <w:rFonts w:hint="eastAsia" w:ascii="宋体" w:hAnsi="宋体" w:cs="宋体"/>
                <w:color w:val="auto"/>
                <w:sz w:val="24"/>
                <w:highlight w:val="none"/>
              </w:rPr>
            </w:pPr>
            <w:r>
              <w:rPr>
                <w:rFonts w:hint="eastAsia" w:ascii="宋体" w:hAnsi="宋体" w:cs="宋体"/>
                <w:color w:val="auto"/>
                <w:kern w:val="0"/>
                <w:sz w:val="24"/>
                <w:highlight w:val="none"/>
              </w:rPr>
              <w:t>评审情况公告</w:t>
            </w:r>
          </w:p>
        </w:tc>
        <w:tc>
          <w:tcPr>
            <w:tcW w:w="7109" w:type="dxa"/>
            <w:noWrap w:val="0"/>
            <w:vAlign w:val="center"/>
          </w:tcPr>
          <w:p>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rPr>
              <w:t>所有供应商响应文件资格性、有效性、完整性和响应程度审查情况、采用综合评分法时的分项汇总得分情况、评标结果等将在四川政府采购网上采购结果公告栏中予以公告。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38" w:type="dxa"/>
            <w:noWrap w:val="0"/>
            <w:vAlign w:val="center"/>
          </w:tcPr>
          <w:p>
            <w:pPr>
              <w:pStyle w:val="59"/>
              <w:spacing w:line="360" w:lineRule="auto"/>
              <w:ind w:right="264" w:firstLine="240" w:firstLineChars="100"/>
              <w:jc w:val="center"/>
              <w:rPr>
                <w:rFonts w:hint="eastAsia" w:eastAsia="宋体"/>
                <w:color w:val="auto"/>
                <w:kern w:val="2"/>
                <w:highlight w:val="none"/>
                <w:lang w:eastAsia="zh-CN"/>
              </w:rPr>
            </w:pPr>
            <w:r>
              <w:rPr>
                <w:rFonts w:hint="eastAsia"/>
                <w:color w:val="auto"/>
                <w:kern w:val="2"/>
                <w:highlight w:val="none"/>
                <w:lang w:val="en-US" w:eastAsia="zh-CN"/>
              </w:rPr>
              <w:t>9</w:t>
            </w:r>
          </w:p>
        </w:tc>
        <w:tc>
          <w:tcPr>
            <w:tcW w:w="2236" w:type="dxa"/>
            <w:noWrap w:val="0"/>
            <w:vAlign w:val="center"/>
          </w:tcPr>
          <w:p>
            <w:pPr>
              <w:pStyle w:val="59"/>
              <w:spacing w:line="360" w:lineRule="auto"/>
              <w:ind w:left="96"/>
              <w:jc w:val="center"/>
              <w:rPr>
                <w:rFonts w:hint="eastAsia"/>
                <w:color w:val="auto"/>
                <w:highlight w:val="none"/>
                <w:lang w:val="zh-CN"/>
              </w:rPr>
            </w:pPr>
            <w:r>
              <w:rPr>
                <w:rFonts w:hint="eastAsia"/>
                <w:color w:val="auto"/>
                <w:highlight w:val="none"/>
                <w:lang w:val="zh-CN"/>
              </w:rPr>
              <w:t>磋商保证金</w:t>
            </w:r>
          </w:p>
        </w:tc>
        <w:tc>
          <w:tcPr>
            <w:tcW w:w="7109" w:type="dxa"/>
            <w:noWrap w:val="0"/>
            <w:vAlign w:val="center"/>
          </w:tcPr>
          <w:p>
            <w:pPr>
              <w:pStyle w:val="59"/>
              <w:spacing w:line="360" w:lineRule="auto"/>
              <w:rPr>
                <w:rFonts w:hint="eastAsia"/>
                <w:color w:val="auto"/>
                <w:highlight w:val="none"/>
                <w:lang w:val="zh-CN"/>
              </w:rPr>
            </w:pPr>
            <w:r>
              <w:rPr>
                <w:rFonts w:hint="eastAsia"/>
                <w:color w:val="auto"/>
                <w:highlight w:val="none"/>
                <w:lang w:val="zh-CN"/>
              </w:rPr>
              <w:t>根据《四川省财政厅文件&lt;四川省财政厅关于进一步做好疫情防控期间政府采购工作有关事项的通知&gt;》（川财采〔2020〕28号）相关文件指导，为了做好疫情防控期间政府采购工作，加强采购活动场所防护，减少大型人员参会活动，本项目不收取</w:t>
            </w:r>
            <w:r>
              <w:rPr>
                <w:rFonts w:hint="eastAsia"/>
                <w:color w:val="auto"/>
                <w:highlight w:val="none"/>
              </w:rPr>
              <w:t>磋商</w:t>
            </w:r>
            <w:r>
              <w:rPr>
                <w:rFonts w:hint="eastAsia"/>
                <w:color w:val="auto"/>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838" w:type="dxa"/>
            <w:noWrap w:val="0"/>
            <w:vAlign w:val="center"/>
          </w:tcPr>
          <w:p>
            <w:pPr>
              <w:pStyle w:val="59"/>
              <w:spacing w:line="360" w:lineRule="auto"/>
              <w:ind w:right="264"/>
              <w:jc w:val="center"/>
              <w:rPr>
                <w:rFonts w:hint="eastAsia" w:eastAsia="宋体"/>
                <w:color w:val="auto"/>
                <w:kern w:val="2"/>
                <w:highlight w:val="none"/>
                <w:lang w:eastAsia="zh-CN"/>
              </w:rPr>
            </w:pPr>
            <w:r>
              <w:rPr>
                <w:rFonts w:hint="eastAsia"/>
                <w:color w:val="auto"/>
                <w:kern w:val="2"/>
                <w:highlight w:val="none"/>
              </w:rPr>
              <w:t xml:space="preserve">  1</w:t>
            </w:r>
            <w:r>
              <w:rPr>
                <w:rFonts w:hint="eastAsia"/>
                <w:color w:val="auto"/>
                <w:kern w:val="2"/>
                <w:highlight w:val="none"/>
                <w:lang w:val="en-US" w:eastAsia="zh-CN"/>
              </w:rPr>
              <w:t>0</w:t>
            </w:r>
          </w:p>
        </w:tc>
        <w:tc>
          <w:tcPr>
            <w:tcW w:w="2236" w:type="dxa"/>
            <w:noWrap w:val="0"/>
            <w:vAlign w:val="center"/>
          </w:tcPr>
          <w:p>
            <w:pPr>
              <w:pStyle w:val="59"/>
              <w:spacing w:line="360" w:lineRule="auto"/>
              <w:jc w:val="both"/>
              <w:rPr>
                <w:rFonts w:hint="eastAsia"/>
                <w:color w:val="auto"/>
                <w:highlight w:val="none"/>
                <w:lang w:val="zh-CN"/>
              </w:rPr>
            </w:pPr>
          </w:p>
          <w:p>
            <w:pPr>
              <w:pStyle w:val="59"/>
              <w:spacing w:line="360" w:lineRule="auto"/>
              <w:jc w:val="center"/>
              <w:rPr>
                <w:rFonts w:hint="eastAsia"/>
                <w:color w:val="auto"/>
                <w:highlight w:val="none"/>
                <w:lang w:val="zh-CN"/>
              </w:rPr>
            </w:pPr>
            <w:r>
              <w:rPr>
                <w:rFonts w:hint="eastAsia"/>
                <w:color w:val="auto"/>
                <w:highlight w:val="none"/>
                <w:lang w:val="zh-CN"/>
              </w:rPr>
              <w:t>履约保证金</w:t>
            </w:r>
          </w:p>
          <w:p>
            <w:pPr>
              <w:pStyle w:val="59"/>
              <w:spacing w:line="360" w:lineRule="auto"/>
              <w:ind w:left="96"/>
              <w:jc w:val="center"/>
              <w:rPr>
                <w:rFonts w:hint="eastAsia"/>
                <w:color w:val="auto"/>
                <w:highlight w:val="none"/>
                <w:lang w:val="zh-CN"/>
              </w:rPr>
            </w:pPr>
          </w:p>
        </w:tc>
        <w:tc>
          <w:tcPr>
            <w:tcW w:w="7109" w:type="dxa"/>
            <w:noWrap w:val="0"/>
            <w:vAlign w:val="center"/>
          </w:tcPr>
          <w:p>
            <w:pPr>
              <w:pStyle w:val="59"/>
              <w:spacing w:line="360" w:lineRule="auto"/>
              <w:ind w:left="65" w:leftChars="31"/>
              <w:rPr>
                <w:color w:val="auto"/>
                <w:highlight w:val="none"/>
              </w:rPr>
            </w:pPr>
            <w:r>
              <w:rPr>
                <w:rFonts w:hint="eastAsia"/>
                <w:color w:val="auto"/>
                <w:highlight w:val="none"/>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8" w:hRule="atLeast"/>
          <w:jc w:val="center"/>
        </w:trPr>
        <w:tc>
          <w:tcPr>
            <w:tcW w:w="838" w:type="dxa"/>
            <w:tcBorders>
              <w:top w:val="single" w:color="auto" w:sz="4" w:space="0"/>
              <w:bottom w:val="single" w:color="auto" w:sz="4" w:space="0"/>
            </w:tcBorders>
            <w:noWrap w:val="0"/>
            <w:vAlign w:val="center"/>
          </w:tcPr>
          <w:p>
            <w:pPr>
              <w:pStyle w:val="59"/>
              <w:spacing w:before="72" w:after="72" w:line="360" w:lineRule="auto"/>
              <w:ind w:right="264"/>
              <w:jc w:val="center"/>
              <w:rPr>
                <w:rFonts w:hint="eastAsia" w:eastAsia="宋体"/>
                <w:color w:val="auto"/>
                <w:kern w:val="2"/>
                <w:highlight w:val="none"/>
                <w:lang w:eastAsia="zh-CN"/>
              </w:rPr>
            </w:pPr>
            <w:r>
              <w:rPr>
                <w:rFonts w:hint="eastAsia"/>
                <w:color w:val="auto"/>
                <w:kern w:val="2"/>
                <w:highlight w:val="none"/>
              </w:rPr>
              <w:t xml:space="preserve">  1</w:t>
            </w:r>
            <w:r>
              <w:rPr>
                <w:rFonts w:hint="eastAsia"/>
                <w:color w:val="auto"/>
                <w:kern w:val="2"/>
                <w:highlight w:val="none"/>
                <w:lang w:val="en-US" w:eastAsia="zh-CN"/>
              </w:rPr>
              <w:t>1</w:t>
            </w:r>
          </w:p>
        </w:tc>
        <w:tc>
          <w:tcPr>
            <w:tcW w:w="2236" w:type="dxa"/>
            <w:tcBorders>
              <w:top w:val="single" w:color="auto" w:sz="4" w:space="0"/>
              <w:bottom w:val="single" w:color="auto" w:sz="4" w:space="0"/>
            </w:tcBorders>
            <w:noWrap w:val="0"/>
            <w:vAlign w:val="center"/>
          </w:tcPr>
          <w:p>
            <w:pPr>
              <w:pStyle w:val="59"/>
              <w:spacing w:line="360" w:lineRule="auto"/>
              <w:jc w:val="center"/>
              <w:rPr>
                <w:rFonts w:hint="eastAsia"/>
                <w:color w:val="auto"/>
                <w:kern w:val="2"/>
                <w:highlight w:val="none"/>
              </w:rPr>
            </w:pPr>
            <w:r>
              <w:rPr>
                <w:rFonts w:hint="eastAsia"/>
                <w:color w:val="auto"/>
                <w:kern w:val="2"/>
                <w:highlight w:val="none"/>
              </w:rPr>
              <w:t>竞争性磋商文件咨询</w:t>
            </w:r>
          </w:p>
        </w:tc>
        <w:tc>
          <w:tcPr>
            <w:tcW w:w="7109" w:type="dxa"/>
            <w:tcBorders>
              <w:top w:val="single" w:color="auto" w:sz="4" w:space="0"/>
              <w:bottom w:val="single" w:color="auto" w:sz="4" w:space="0"/>
            </w:tcBorders>
            <w:noWrap w:val="0"/>
            <w:vAlign w:val="center"/>
          </w:tcPr>
          <w:p>
            <w:pPr>
              <w:spacing w:line="360" w:lineRule="auto"/>
              <w:ind w:right="105" w:rightChars="50"/>
              <w:jc w:val="left"/>
              <w:rPr>
                <w:rFonts w:hint="eastAsia" w:ascii="宋体" w:hAnsi="宋体" w:cs="宋体"/>
                <w:color w:val="auto"/>
                <w:sz w:val="24"/>
                <w:highlight w:val="none"/>
              </w:rPr>
            </w:pPr>
            <w:r>
              <w:rPr>
                <w:rFonts w:hint="eastAsia" w:ascii="宋体" w:hAnsi="宋体" w:cs="宋体"/>
                <w:color w:val="auto"/>
                <w:sz w:val="24"/>
                <w:highlight w:val="none"/>
              </w:rPr>
              <w:t>联系人：张先生。联系电话：028-86273853。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9" w:hRule="atLeast"/>
          <w:jc w:val="center"/>
        </w:trPr>
        <w:tc>
          <w:tcPr>
            <w:tcW w:w="838" w:type="dxa"/>
            <w:tcBorders>
              <w:top w:val="single" w:color="auto" w:sz="4" w:space="0"/>
              <w:bottom w:val="single" w:color="auto" w:sz="4" w:space="0"/>
            </w:tcBorders>
            <w:noWrap w:val="0"/>
            <w:vAlign w:val="center"/>
          </w:tcPr>
          <w:p>
            <w:pPr>
              <w:pStyle w:val="59"/>
              <w:spacing w:line="360" w:lineRule="auto"/>
              <w:ind w:right="264"/>
              <w:jc w:val="center"/>
              <w:rPr>
                <w:rFonts w:hint="eastAsia" w:eastAsia="宋体"/>
                <w:color w:val="auto"/>
                <w:kern w:val="2"/>
                <w:highlight w:val="none"/>
                <w:lang w:eastAsia="zh-CN"/>
              </w:rPr>
            </w:pPr>
            <w:r>
              <w:rPr>
                <w:rFonts w:hint="eastAsia"/>
                <w:color w:val="auto"/>
                <w:kern w:val="2"/>
                <w:highlight w:val="none"/>
              </w:rPr>
              <w:t xml:space="preserve">  1</w:t>
            </w:r>
            <w:r>
              <w:rPr>
                <w:rFonts w:hint="eastAsia"/>
                <w:color w:val="auto"/>
                <w:kern w:val="2"/>
                <w:highlight w:val="none"/>
                <w:lang w:val="en-US" w:eastAsia="zh-CN"/>
              </w:rPr>
              <w:t>2</w:t>
            </w:r>
          </w:p>
        </w:tc>
        <w:tc>
          <w:tcPr>
            <w:tcW w:w="2236" w:type="dxa"/>
            <w:tcBorders>
              <w:top w:val="single" w:color="auto" w:sz="4" w:space="0"/>
              <w:bottom w:val="single" w:color="auto" w:sz="4" w:space="0"/>
            </w:tcBorders>
            <w:noWrap w:val="0"/>
            <w:vAlign w:val="center"/>
          </w:tcPr>
          <w:p>
            <w:pPr>
              <w:pStyle w:val="59"/>
              <w:spacing w:line="360" w:lineRule="auto"/>
              <w:jc w:val="center"/>
              <w:rPr>
                <w:rFonts w:hint="eastAsia"/>
                <w:color w:val="auto"/>
                <w:kern w:val="2"/>
                <w:highlight w:val="none"/>
              </w:rPr>
            </w:pPr>
            <w:r>
              <w:rPr>
                <w:rFonts w:hint="eastAsia"/>
                <w:color w:val="auto"/>
                <w:kern w:val="2"/>
                <w:highlight w:val="none"/>
              </w:rPr>
              <w:t>开标、评审工作咨询</w:t>
            </w:r>
          </w:p>
        </w:tc>
        <w:tc>
          <w:tcPr>
            <w:tcW w:w="7109" w:type="dxa"/>
            <w:tcBorders>
              <w:top w:val="single" w:color="auto" w:sz="4" w:space="0"/>
              <w:bottom w:val="single" w:color="auto" w:sz="4" w:space="0"/>
            </w:tcBorders>
            <w:noWrap w:val="0"/>
            <w:vAlign w:val="center"/>
          </w:tcPr>
          <w:p>
            <w:pPr>
              <w:spacing w:line="360" w:lineRule="auto"/>
              <w:ind w:right="105" w:rightChars="50"/>
              <w:jc w:val="left"/>
              <w:rPr>
                <w:rFonts w:hint="eastAsia" w:ascii="宋体" w:hAnsi="宋体" w:cs="宋体"/>
                <w:color w:val="auto"/>
                <w:sz w:val="24"/>
                <w:highlight w:val="none"/>
              </w:rPr>
            </w:pPr>
            <w:r>
              <w:rPr>
                <w:rFonts w:hint="eastAsia" w:ascii="宋体" w:hAnsi="宋体" w:cs="宋体"/>
                <w:color w:val="auto"/>
                <w:sz w:val="24"/>
                <w:highlight w:val="none"/>
              </w:rPr>
              <w:t>联系人：张先生。联系电话：028-86273853。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noWrap w:val="0"/>
            <w:vAlign w:val="center"/>
          </w:tcPr>
          <w:p>
            <w:pPr>
              <w:pStyle w:val="59"/>
              <w:spacing w:line="360" w:lineRule="auto"/>
              <w:ind w:right="264"/>
              <w:jc w:val="center"/>
              <w:rPr>
                <w:rFonts w:hint="eastAsia" w:eastAsia="宋体"/>
                <w:color w:val="auto"/>
                <w:kern w:val="2"/>
                <w:highlight w:val="none"/>
                <w:lang w:eastAsia="zh-CN"/>
              </w:rPr>
            </w:pPr>
            <w:r>
              <w:rPr>
                <w:rFonts w:hint="eastAsia"/>
                <w:color w:val="auto"/>
                <w:kern w:val="2"/>
                <w:highlight w:val="none"/>
              </w:rPr>
              <w:t xml:space="preserve">  1</w:t>
            </w:r>
            <w:r>
              <w:rPr>
                <w:rFonts w:hint="eastAsia"/>
                <w:color w:val="auto"/>
                <w:kern w:val="2"/>
                <w:highlight w:val="none"/>
                <w:lang w:val="en-US" w:eastAsia="zh-CN"/>
              </w:rPr>
              <w:t>3</w:t>
            </w:r>
          </w:p>
        </w:tc>
        <w:tc>
          <w:tcPr>
            <w:tcW w:w="2236" w:type="dxa"/>
            <w:tcBorders>
              <w:top w:val="single" w:color="auto" w:sz="4" w:space="0"/>
            </w:tcBorders>
            <w:noWrap w:val="0"/>
            <w:vAlign w:val="center"/>
          </w:tcPr>
          <w:p>
            <w:pPr>
              <w:spacing w:line="360" w:lineRule="auto"/>
              <w:ind w:left="105" w:leftChars="50" w:right="105" w:rightChars="50"/>
              <w:jc w:val="center"/>
              <w:rPr>
                <w:rFonts w:hint="eastAsia" w:ascii="宋体" w:hAnsi="宋体" w:cs="宋体"/>
                <w:color w:val="auto"/>
                <w:sz w:val="24"/>
                <w:highlight w:val="none"/>
              </w:rPr>
            </w:pPr>
            <w:r>
              <w:rPr>
                <w:rFonts w:hint="eastAsia" w:ascii="宋体" w:hAnsi="宋体" w:cs="宋体"/>
                <w:color w:val="auto"/>
                <w:sz w:val="24"/>
                <w:highlight w:val="none"/>
              </w:rPr>
              <w:t>成交通知书领取</w:t>
            </w:r>
          </w:p>
        </w:tc>
        <w:tc>
          <w:tcPr>
            <w:tcW w:w="7109" w:type="dxa"/>
            <w:tcBorders>
              <w:top w:val="single" w:color="auto" w:sz="4" w:space="0"/>
            </w:tcBorders>
            <w:noWrap w:val="0"/>
            <w:vAlign w:val="center"/>
          </w:tcPr>
          <w:p>
            <w:pPr>
              <w:tabs>
                <w:tab w:val="left" w:pos="7665"/>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成交公告在四川政府采购网上公告后，请成交供应商凭有效身份证明证件到</w:t>
            </w:r>
            <w:r>
              <w:rPr>
                <w:rFonts w:hint="eastAsia" w:ascii="宋体" w:hAnsi="宋体" w:cs="宋体"/>
                <w:color w:val="auto"/>
                <w:sz w:val="24"/>
                <w:highlight w:val="none"/>
                <w:lang w:val="zh-CN"/>
              </w:rPr>
              <w:t>采购代理机构</w:t>
            </w:r>
            <w:r>
              <w:rPr>
                <w:rFonts w:hint="eastAsia" w:ascii="宋体" w:hAnsi="宋体" w:cs="宋体"/>
                <w:color w:val="auto"/>
                <w:sz w:val="24"/>
                <w:highlight w:val="none"/>
              </w:rPr>
              <w:t>领取成交通知书。</w:t>
            </w:r>
          </w:p>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w:t>
            </w:r>
            <w:r>
              <w:rPr>
                <w:rFonts w:hint="eastAsia" w:ascii="宋体" w:hAnsi="宋体" w:cs="宋体"/>
                <w:color w:val="auto"/>
                <w:sz w:val="24"/>
                <w:highlight w:val="none"/>
              </w:rPr>
              <w:t>张先生</w:t>
            </w:r>
            <w:r>
              <w:rPr>
                <w:rFonts w:hint="eastAsia" w:ascii="宋体" w:hAnsi="宋体" w:cs="宋体"/>
                <w:color w:val="auto"/>
                <w:sz w:val="24"/>
                <w:highlight w:val="none"/>
                <w:lang w:val="zh-CN"/>
              </w:rPr>
              <w:t>。</w:t>
            </w:r>
          </w:p>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联系电话：</w:t>
            </w:r>
            <w:r>
              <w:rPr>
                <w:rFonts w:hint="eastAsia" w:ascii="宋体" w:hAnsi="宋体" w:cs="宋体"/>
                <w:color w:val="auto"/>
                <w:sz w:val="24"/>
                <w:highlight w:val="none"/>
              </w:rPr>
              <w:t>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95" w:hRule="atLeast"/>
          <w:jc w:val="center"/>
        </w:trPr>
        <w:tc>
          <w:tcPr>
            <w:tcW w:w="838" w:type="dxa"/>
            <w:tcBorders>
              <w:top w:val="single" w:color="auto" w:sz="4" w:space="0"/>
            </w:tcBorders>
            <w:noWrap w:val="0"/>
            <w:vAlign w:val="center"/>
          </w:tcPr>
          <w:p>
            <w:pPr>
              <w:pStyle w:val="59"/>
              <w:spacing w:line="360" w:lineRule="auto"/>
              <w:ind w:right="264"/>
              <w:jc w:val="center"/>
              <w:rPr>
                <w:rFonts w:hint="eastAsia" w:eastAsia="宋体"/>
                <w:color w:val="auto"/>
                <w:kern w:val="2"/>
                <w:highlight w:val="none"/>
                <w:lang w:eastAsia="zh-CN"/>
              </w:rPr>
            </w:pPr>
            <w:r>
              <w:rPr>
                <w:rFonts w:hint="eastAsia"/>
                <w:color w:val="auto"/>
                <w:kern w:val="2"/>
                <w:highlight w:val="none"/>
              </w:rPr>
              <w:t xml:space="preserve">  1</w:t>
            </w:r>
            <w:r>
              <w:rPr>
                <w:rFonts w:hint="eastAsia"/>
                <w:color w:val="auto"/>
                <w:kern w:val="2"/>
                <w:highlight w:val="none"/>
                <w:lang w:val="en-US" w:eastAsia="zh-CN"/>
              </w:rPr>
              <w:t>4</w:t>
            </w:r>
          </w:p>
        </w:tc>
        <w:tc>
          <w:tcPr>
            <w:tcW w:w="2236" w:type="dxa"/>
            <w:tcBorders>
              <w:top w:val="single" w:color="auto" w:sz="4" w:space="0"/>
            </w:tcBorders>
            <w:noWrap w:val="0"/>
            <w:vAlign w:val="center"/>
          </w:tcPr>
          <w:p>
            <w:pPr>
              <w:pStyle w:val="59"/>
              <w:spacing w:line="360" w:lineRule="auto"/>
              <w:jc w:val="center"/>
              <w:rPr>
                <w:rFonts w:hint="eastAsia"/>
                <w:color w:val="auto"/>
                <w:kern w:val="2"/>
                <w:highlight w:val="none"/>
              </w:rPr>
            </w:pPr>
          </w:p>
          <w:p>
            <w:pPr>
              <w:pStyle w:val="59"/>
              <w:spacing w:line="360" w:lineRule="auto"/>
              <w:jc w:val="center"/>
              <w:rPr>
                <w:rFonts w:hint="eastAsia"/>
                <w:color w:val="auto"/>
                <w:kern w:val="2"/>
                <w:highlight w:val="none"/>
              </w:rPr>
            </w:pPr>
            <w:r>
              <w:rPr>
                <w:rFonts w:hint="eastAsia"/>
                <w:color w:val="auto"/>
                <w:kern w:val="2"/>
                <w:highlight w:val="none"/>
              </w:rPr>
              <w:t>供应商询问</w:t>
            </w:r>
          </w:p>
        </w:tc>
        <w:tc>
          <w:tcPr>
            <w:tcW w:w="7109" w:type="dxa"/>
            <w:tcBorders>
              <w:top w:val="single" w:color="auto" w:sz="4" w:space="0"/>
            </w:tcBorders>
            <w:noWrap w:val="0"/>
            <w:vAlign w:val="center"/>
          </w:tcPr>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rPr>
              <w:t>根据委托代理协议约定，供应商询问由</w:t>
            </w:r>
            <w:r>
              <w:rPr>
                <w:rFonts w:hint="eastAsia" w:ascii="宋体" w:hAnsi="宋体" w:cs="宋体"/>
                <w:color w:val="auto"/>
                <w:sz w:val="24"/>
                <w:highlight w:val="none"/>
                <w:lang w:val="zh-CN"/>
              </w:rPr>
              <w:t>采购代理机构负责答复。</w:t>
            </w:r>
          </w:p>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w:t>
            </w:r>
            <w:r>
              <w:rPr>
                <w:rFonts w:hint="eastAsia" w:ascii="宋体" w:hAnsi="宋体" w:cs="宋体"/>
                <w:color w:val="auto"/>
                <w:sz w:val="24"/>
                <w:highlight w:val="none"/>
              </w:rPr>
              <w:t>张先生。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zh-CN"/>
              </w:rPr>
              <w:t>联系电话：</w:t>
            </w:r>
            <w:r>
              <w:rPr>
                <w:rFonts w:hint="eastAsia" w:ascii="宋体" w:hAnsi="宋体" w:cs="宋体"/>
                <w:color w:val="auto"/>
                <w:sz w:val="24"/>
                <w:highlight w:val="none"/>
              </w:rPr>
              <w:t>028-86273853。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0" w:hRule="atLeast"/>
          <w:jc w:val="center"/>
        </w:trPr>
        <w:tc>
          <w:tcPr>
            <w:tcW w:w="838"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2236" w:type="dxa"/>
            <w:noWrap w:val="0"/>
            <w:vAlign w:val="center"/>
          </w:tcPr>
          <w:p>
            <w:pPr>
              <w:pStyle w:val="59"/>
              <w:spacing w:line="360" w:lineRule="auto"/>
              <w:jc w:val="center"/>
              <w:rPr>
                <w:rFonts w:hint="eastAsia"/>
                <w:color w:val="auto"/>
                <w:kern w:val="2"/>
                <w:highlight w:val="none"/>
              </w:rPr>
            </w:pPr>
            <w:r>
              <w:rPr>
                <w:rFonts w:hint="eastAsia"/>
                <w:color w:val="auto"/>
                <w:kern w:val="2"/>
                <w:highlight w:val="none"/>
              </w:rPr>
              <w:t>供应商质疑</w:t>
            </w:r>
          </w:p>
        </w:tc>
        <w:tc>
          <w:tcPr>
            <w:tcW w:w="7109" w:type="dxa"/>
            <w:noWrap w:val="0"/>
            <w:vAlign w:val="center"/>
          </w:tcPr>
          <w:p>
            <w:pPr>
              <w:spacing w:line="360" w:lineRule="auto"/>
              <w:ind w:right="105" w:rightChars="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根据委托代理协议约定，对于磋商文件(磋商文件技术条款和除政府采购法第二十二条之外的其他资格条件、专业商务要求)的质疑由采购人负责答复；对于采购过程由采购代理机构负责答复；对于采购结果由采购代理机构负责答复。</w:t>
            </w:r>
          </w:p>
          <w:p>
            <w:pPr>
              <w:spacing w:line="360" w:lineRule="auto"/>
              <w:ind w:right="105" w:rightChars="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2.接收质疑函的方式：供应商在法定时间内以书面形式现场、邮寄或快递提交质疑函(邮寄以寄出的邮戳日期为准，快递以受送达人在签收单上签收之日为准)，逾期提交不予受理。</w:t>
            </w:r>
          </w:p>
          <w:p>
            <w:pPr>
              <w:spacing w:line="360" w:lineRule="auto"/>
              <w:ind w:right="105" w:rightChars="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w:t>
            </w:r>
            <w:r>
              <w:rPr>
                <w:rFonts w:hint="eastAsia" w:ascii="宋体" w:hAnsi="宋体" w:cs="宋体"/>
                <w:color w:val="auto"/>
                <w:sz w:val="24"/>
                <w:highlight w:val="none"/>
              </w:rPr>
              <w:t>张先生。</w:t>
            </w:r>
          </w:p>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联系电话：</w:t>
            </w:r>
            <w:r>
              <w:rPr>
                <w:rFonts w:hint="eastAsia" w:ascii="宋体" w:hAnsi="宋体" w:cs="宋体"/>
                <w:color w:val="auto"/>
                <w:sz w:val="24"/>
                <w:highlight w:val="none"/>
              </w:rPr>
              <w:t>028-86273853。</w:t>
            </w:r>
          </w:p>
          <w:p>
            <w:pPr>
              <w:spacing w:line="360" w:lineRule="auto"/>
              <w:ind w:right="105" w:rightChars="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注：①根据《中华人民共和国政府采购法》等法律法规规定，供应商质疑应当有明确的请求和必要的证明材料，须符合《政府采购质疑和投诉办法》财政部第94号令规定。</w:t>
            </w:r>
          </w:p>
          <w:p>
            <w:pPr>
              <w:spacing w:line="360" w:lineRule="auto"/>
              <w:ind w:right="105" w:rightChars="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②供应商应当在法定质疑期内一次性提出针对同一采购程序环节的质疑，否则不予受理。</w:t>
            </w:r>
          </w:p>
          <w:p>
            <w:pPr>
              <w:spacing w:line="360" w:lineRule="auto"/>
              <w:ind w:right="105" w:rightChars="50"/>
              <w:jc w:val="left"/>
              <w:rPr>
                <w:rFonts w:hint="eastAsia" w:ascii="宋体" w:hAnsi="宋体" w:cs="宋体"/>
                <w:color w:val="auto"/>
                <w:sz w:val="24"/>
                <w:highlight w:val="none"/>
              </w:rPr>
            </w:pPr>
            <w:r>
              <w:rPr>
                <w:rFonts w:hint="eastAsia" w:ascii="宋体" w:hAnsi="宋体" w:cs="宋体"/>
                <w:color w:val="auto"/>
                <w:sz w:val="24"/>
                <w:highlight w:val="none"/>
                <w:lang w:val="zh-CN"/>
              </w:rPr>
              <w:t>③供应商质疑不得超出磋商文件、采购过程、采购结果的范围，不得进行虚假、恶意质疑，不得以质疑为手段获取不当得利、实现非法目的。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7" w:hRule="atLeast"/>
          <w:jc w:val="center"/>
        </w:trPr>
        <w:tc>
          <w:tcPr>
            <w:tcW w:w="838"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2236" w:type="dxa"/>
            <w:noWrap w:val="0"/>
            <w:vAlign w:val="center"/>
          </w:tcPr>
          <w:p>
            <w:pPr>
              <w:pStyle w:val="59"/>
              <w:spacing w:line="360" w:lineRule="auto"/>
              <w:jc w:val="center"/>
              <w:rPr>
                <w:rFonts w:hint="eastAsia"/>
                <w:color w:val="auto"/>
                <w:kern w:val="2"/>
                <w:highlight w:val="none"/>
              </w:rPr>
            </w:pPr>
            <w:r>
              <w:rPr>
                <w:rFonts w:hint="eastAsia"/>
                <w:color w:val="auto"/>
                <w:kern w:val="2"/>
                <w:highlight w:val="none"/>
              </w:rPr>
              <w:t>供应商投诉</w:t>
            </w:r>
          </w:p>
        </w:tc>
        <w:tc>
          <w:tcPr>
            <w:tcW w:w="7109" w:type="dxa"/>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投诉受理单位：本采购项目同级财政部门。</w:t>
            </w:r>
          </w:p>
          <w:p>
            <w:pPr>
              <w:pStyle w:val="74"/>
              <w:spacing w:line="360" w:lineRule="auto"/>
              <w:rPr>
                <w:rFonts w:hint="eastAsia" w:hAnsi="宋体"/>
                <w:color w:val="auto"/>
                <w:highlight w:val="none"/>
              </w:rPr>
            </w:pPr>
            <w:r>
              <w:rPr>
                <w:rFonts w:hint="eastAsia" w:hAnsi="宋体"/>
                <w:color w:val="auto"/>
                <w:highlight w:val="none"/>
              </w:rPr>
              <w:t>注：供应商投诉应当有明确的请求和必要的证明材料。供应商投诉的事项不得超出已质疑事项的范围，须符合《政府采购质疑和投诉办法》财政部第94号令规定。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政府采购合同</w:t>
            </w:r>
          </w:p>
          <w:p>
            <w:pPr>
              <w:spacing w:line="360" w:lineRule="auto"/>
              <w:ind w:firstLine="120" w:firstLineChars="50"/>
              <w:jc w:val="center"/>
              <w:rPr>
                <w:rFonts w:hint="eastAsia" w:ascii="宋体" w:hAnsi="宋体" w:cs="宋体"/>
                <w:color w:val="auto"/>
                <w:sz w:val="24"/>
                <w:highlight w:val="none"/>
              </w:rPr>
            </w:pPr>
            <w:r>
              <w:rPr>
                <w:rFonts w:hint="eastAsia" w:ascii="宋体" w:hAnsi="宋体" w:cs="宋体"/>
                <w:color w:val="auto"/>
                <w:sz w:val="24"/>
                <w:highlight w:val="none"/>
              </w:rPr>
              <w:t>公告备案</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政府采购合同签订之日起2个工作日内，政府采购合同将在四川政府采购网公告；政府采购合同签订之日起7个工作日内，政府采购合同将向本采购项目同级财政部门，即成华区财政局备案</w:t>
            </w:r>
            <w:r>
              <w:rPr>
                <w:rFonts w:hint="eastAsia" w:ascii="宋体" w:hAnsi="宋体" w:cs="宋体"/>
                <w:color w:val="auto"/>
                <w:sz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9"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2236" w:type="dxa"/>
            <w:tcBorders>
              <w:right w:val="single" w:color="auto" w:sz="4" w:space="0"/>
            </w:tcBorders>
            <w:noWrap w:val="0"/>
            <w:vAlign w:val="center"/>
          </w:tcPr>
          <w:p>
            <w:pPr>
              <w:pStyle w:val="59"/>
              <w:spacing w:line="360" w:lineRule="auto"/>
              <w:ind w:left="96"/>
              <w:jc w:val="center"/>
              <w:rPr>
                <w:rFonts w:hint="eastAsia"/>
                <w:color w:val="auto"/>
                <w:highlight w:val="none"/>
              </w:rPr>
            </w:pPr>
            <w:r>
              <w:rPr>
                <w:rFonts w:hint="eastAsia"/>
                <w:color w:val="auto"/>
                <w:highlight w:val="none"/>
                <w:lang w:val="zh-CN"/>
              </w:rPr>
              <w:t>代理服务费</w:t>
            </w:r>
          </w:p>
        </w:tc>
        <w:tc>
          <w:tcPr>
            <w:tcW w:w="7109" w:type="dxa"/>
            <w:tcBorders>
              <w:left w:val="single" w:color="auto" w:sz="4" w:space="0"/>
            </w:tcBorders>
            <w:noWrap w:val="0"/>
            <w:vAlign w:val="center"/>
          </w:tcPr>
          <w:p>
            <w:pPr>
              <w:pStyle w:val="59"/>
              <w:spacing w:line="360" w:lineRule="auto"/>
              <w:rPr>
                <w:color w:val="auto"/>
                <w:highlight w:val="none"/>
              </w:rPr>
            </w:pPr>
            <w:r>
              <w:rPr>
                <w:rFonts w:hint="eastAsia"/>
                <w:color w:val="auto"/>
                <w:highlight w:val="none"/>
              </w:rPr>
              <w:t>根据成本加合理利润的原则</w:t>
            </w:r>
            <w:r>
              <w:rPr>
                <w:rFonts w:hint="eastAsia"/>
                <w:color w:val="auto"/>
                <w:highlight w:val="none"/>
                <w:lang w:eastAsia="zh-CN"/>
              </w:rPr>
              <w:t>，</w:t>
            </w:r>
            <w:r>
              <w:rPr>
                <w:rFonts w:hint="eastAsia"/>
                <w:color w:val="auto"/>
                <w:highlight w:val="none"/>
              </w:rPr>
              <w:t>借鉴《国家计委关于印发〈招标代理服务费收费标准管理暂行办法〉的通知》（计价格[2002]1980号）</w:t>
            </w:r>
            <w:r>
              <w:rPr>
                <w:rFonts w:hint="eastAsia"/>
                <w:color w:val="auto"/>
                <w:highlight w:val="none"/>
                <w:lang w:val="en-US" w:eastAsia="zh-CN"/>
              </w:rPr>
              <w:t>的收费标准</w:t>
            </w:r>
            <w:r>
              <w:rPr>
                <w:rFonts w:hint="eastAsia"/>
                <w:color w:val="auto"/>
                <w:highlight w:val="none"/>
                <w:lang w:eastAsia="zh-CN"/>
              </w:rPr>
              <w:t>，</w:t>
            </w:r>
            <w:r>
              <w:rPr>
                <w:rFonts w:hint="eastAsia"/>
                <w:color w:val="auto"/>
                <w:highlight w:val="none"/>
              </w:rPr>
              <w:t>向成交供应商收取本项目的代理服务费。</w:t>
            </w:r>
          </w:p>
          <w:p>
            <w:pPr>
              <w:pStyle w:val="59"/>
              <w:spacing w:line="360" w:lineRule="auto"/>
              <w:rPr>
                <w:color w:val="auto"/>
                <w:highlight w:val="none"/>
              </w:rPr>
            </w:pPr>
            <w:r>
              <w:rPr>
                <w:rFonts w:hint="eastAsia"/>
                <w:color w:val="auto"/>
                <w:highlight w:val="none"/>
              </w:rPr>
              <w:t>收款单位：四川建茂同方工程项目管理有限公司</w:t>
            </w:r>
          </w:p>
          <w:p>
            <w:pPr>
              <w:pStyle w:val="59"/>
              <w:spacing w:line="360" w:lineRule="auto"/>
              <w:rPr>
                <w:color w:val="auto"/>
                <w:highlight w:val="none"/>
              </w:rPr>
            </w:pPr>
            <w:r>
              <w:rPr>
                <w:rFonts w:hint="eastAsia"/>
                <w:color w:val="auto"/>
                <w:highlight w:val="none"/>
              </w:rPr>
              <w:t>开户银行：交通银行股份有限公司成都人民南路支行</w:t>
            </w:r>
          </w:p>
          <w:p>
            <w:pPr>
              <w:pStyle w:val="59"/>
              <w:spacing w:line="360" w:lineRule="auto"/>
              <w:rPr>
                <w:color w:val="auto"/>
                <w:highlight w:val="none"/>
              </w:rPr>
            </w:pPr>
            <w:r>
              <w:rPr>
                <w:rFonts w:hint="eastAsia"/>
                <w:color w:val="auto"/>
                <w:highlight w:val="none"/>
              </w:rPr>
              <w:t>账    号：5116 0701 4018 0100 07134</w:t>
            </w:r>
          </w:p>
          <w:p>
            <w:pPr>
              <w:pStyle w:val="59"/>
              <w:spacing w:line="360" w:lineRule="auto"/>
              <w:rPr>
                <w:rFonts w:hint="eastAsia"/>
                <w:color w:val="auto"/>
                <w:highlight w:val="none"/>
              </w:rPr>
            </w:pPr>
            <w:r>
              <w:rPr>
                <w:rFonts w:hint="eastAsia"/>
                <w:color w:val="auto"/>
                <w:highlight w:val="none"/>
                <w:lang w:val="zh-CN"/>
              </w:rPr>
              <w:t>交款时间：成交通知书发出时由成交供应商一次性支付。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noWrap w:val="0"/>
            <w:vAlign w:val="center"/>
          </w:tcPr>
          <w:p>
            <w:pPr>
              <w:spacing w:line="259"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答疑会和现场考察</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rPr>
              <w:t>本次政府采购项目不组织现场踏勘。如供应商自行现场踏勘，将承担现场考察的责任和风险，勘察现场的费用由供应商自行承担。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4"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是否专门面向中小企业的项目或专门面向小微企业采购的项目</w:t>
            </w:r>
          </w:p>
        </w:tc>
        <w:tc>
          <w:tcPr>
            <w:tcW w:w="7109" w:type="dxa"/>
            <w:tcBorders>
              <w:left w:val="single" w:color="auto" w:sz="4" w:space="0"/>
            </w:tcBorders>
            <w:noWrap w:val="0"/>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本项目为</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专门面向中小企业采购的项目，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专门面向小微企业采购的项目，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专门面向监狱企业采购的项目，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专门面向残疾人企业单位采购的项目。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充分、公平竞争保障措施</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(实质性要求)</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1.根据《关于在政府采购活动中查询及使用信用记录有关问题的通知》(财库〔2016〕125号)等文件要求，采购代理机构将通过“信用中国”网站 (www.creditchina.gov.cn)、“中国政府采购网”网站(www.ccgp.gov.cn) 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2.利害关系供应商处理。单位负责人为同一人或者存在直接控股、管理关系的不同供应商不得参加同一合同项下的政府采购活动。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4.利害关系代理人处理。2家以上的供应商不得在同一合同项下的采购项目中，同时委托同一个自然人、同一家庭的人员、同一单位的人员作为其代理人，否则，其响应文件作为无效处理。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5.供应商实际控制人或者中高级管理人员，同时是采购代理机构工作人员，不得参与本项目政府采购活动。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6.同一母公司的两家以上的子公司只能组成联合体参加本项目同一合同项下的采购活动，不得以不同供应商身份同时参加本项目同一合同项下的采购活动。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7.供应商与采购代理机构存在关联关系，或者是采购代理机构的母公司或子公司，不得参加本项目政府采购活动。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8.回避。政府采购活动中，采购人员及相关人员与供应商有下列利害关系之一的，应当回避：</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(1)参加采购活动前3年内与供应商存在劳动关系；</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(2)参加采购活动前3年内担任供应商的董事、监事；</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(3)参加采购活动前3年内是供应商的控股股东或者实际控制人；</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(4)与供应商的法定代表人或者负责人有夫妻、直系血亲、三代以内旁系血亲或者近姻亲关系；</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(5)与供应商有其他可能影响政府采购活动公平、公正进行的关系。</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9.提供相同品牌产品处理。提供相同品牌产品的不同供应商参加同一合同项下采购活动的，以其中通过资格审查且满足实质性要求的供应商参加磋商，报价相同的，由采购人或者采购人委托评审委员会按照随机抽签的公平方式确定一个供应商参加磋商，其他响应文件无效。</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非单一产品采购项目中，多家供应商提供的部分或所有核心产品品牌相同的，视为提供相同品牌产品。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竞争性磋商费用</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无论竞争性磋商的结果如何，供应商自行承担所有与参加竞争性磋商有关的全部费用。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18" w:hRule="atLeast"/>
          <w:jc w:val="center"/>
        </w:trPr>
        <w:tc>
          <w:tcPr>
            <w:tcW w:w="838"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2236" w:type="dxa"/>
            <w:tcBorders>
              <w:right w:val="single" w:color="auto" w:sz="4" w:space="0"/>
            </w:tcBorders>
            <w:noWrap w:val="0"/>
            <w:vAlign w:val="center"/>
          </w:tcPr>
          <w:p>
            <w:pPr>
              <w:pStyle w:val="5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本项目所属行业</w:t>
            </w:r>
          </w:p>
        </w:tc>
        <w:tc>
          <w:tcPr>
            <w:tcW w:w="7109" w:type="dxa"/>
            <w:tcBorders>
              <w:left w:val="single" w:color="auto" w:sz="4" w:space="0"/>
            </w:tcBorders>
            <w:noWrap w:val="0"/>
            <w:vAlign w:val="center"/>
          </w:tcPr>
          <w:p>
            <w:pPr>
              <w:pStyle w:val="59"/>
              <w:widowControl/>
              <w:spacing w:before="120" w:beforeLines="50" w:after="120" w:afterLines="50"/>
              <w:ind w:right="99" w:rightChars="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本项目所属行业：</w:t>
            </w:r>
            <w:r>
              <w:rPr>
                <w:rFonts w:hint="eastAsia" w:ascii="宋体" w:hAnsi="宋体" w:eastAsia="宋体" w:cs="宋体"/>
                <w:color w:val="auto"/>
                <w:kern w:val="2"/>
                <w:sz w:val="24"/>
                <w:szCs w:val="24"/>
                <w:highlight w:val="none"/>
                <w:u w:val="single"/>
                <w:lang w:val="en-US" w:eastAsia="zh-CN" w:bidi="ar-SA"/>
              </w:rPr>
              <w:t>租赁和商务服务业</w:t>
            </w:r>
          </w:p>
          <w:p>
            <w:pPr>
              <w:pStyle w:val="59"/>
              <w:spacing w:before="120" w:beforeLines="50" w:after="120" w:afterLines="50"/>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建议品牌或者供应商</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(如涉及)</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2"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强制认证产品</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(如涉及)</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1.如涉及CCC认证产品的CCC认证证书在响应文件中可不提供，成交供应商应在成交通知书发出之日起30日内提供至采购人，未提供或不能提供的视为放弃成交。采购人将另行确定成交供应商或重新组织磋商。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2.如涉及政府强制采购节能产品参加磋商的须提供该产品最新一期的强制采购节能产品清单所在页截图证明(详见中国政府采购网)。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38"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p>
        </w:tc>
        <w:tc>
          <w:tcPr>
            <w:tcW w:w="2236" w:type="dxa"/>
            <w:tcBorders>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109" w:type="dxa"/>
            <w:tcBorders>
              <w:left w:val="single" w:color="auto" w:sz="4" w:space="0"/>
            </w:tcBorders>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若竞争性磋商文件中其他内容与磋商须知表内容不一致的，以磋商须知表为准。</w:t>
            </w:r>
          </w:p>
        </w:tc>
      </w:tr>
      <w:bookmarkEnd w:id="11"/>
    </w:tbl>
    <w:p>
      <w:pPr>
        <w:pStyle w:val="4"/>
        <w:keepNext w:val="0"/>
        <w:keepLines w:val="0"/>
        <w:spacing w:before="0" w:after="0" w:line="360" w:lineRule="auto"/>
        <w:jc w:val="center"/>
        <w:rPr>
          <w:rFonts w:hint="eastAsia" w:ascii="宋体" w:hAnsi="宋体" w:eastAsia="宋体" w:cs="宋体"/>
          <w:bCs w:val="0"/>
          <w:color w:val="auto"/>
          <w:highlight w:val="none"/>
        </w:rPr>
      </w:pPr>
      <w:bookmarkStart w:id="12" w:name="_Toc31970"/>
      <w:r>
        <w:rPr>
          <w:rFonts w:hint="eastAsia" w:ascii="宋体" w:hAnsi="宋体" w:eastAsia="宋体" w:cs="宋体"/>
          <w:bCs w:val="0"/>
          <w:color w:val="auto"/>
          <w:highlight w:val="none"/>
        </w:rPr>
        <w:t>二、总  则</w:t>
      </w:r>
      <w:bookmarkEnd w:id="12"/>
      <w:bookmarkStart w:id="13" w:name="_Toc183682342"/>
      <w:bookmarkStart w:id="14" w:name="_Toc183582205"/>
      <w:bookmarkStart w:id="15" w:name="_Toc217446034"/>
    </w:p>
    <w:p>
      <w:pPr>
        <w:pStyle w:val="4"/>
        <w:keepNext w:val="0"/>
        <w:keepLines w:val="0"/>
        <w:spacing w:before="0" w:after="0" w:line="360" w:lineRule="auto"/>
        <w:rPr>
          <w:rFonts w:hint="eastAsia" w:ascii="宋体" w:hAnsi="宋体" w:eastAsia="宋体" w:cs="宋体"/>
          <w:color w:val="auto"/>
          <w:sz w:val="24"/>
          <w:highlight w:val="none"/>
        </w:rPr>
      </w:pPr>
      <w:bookmarkStart w:id="16" w:name="_Toc18488"/>
      <w:r>
        <w:rPr>
          <w:rFonts w:hint="eastAsia" w:ascii="宋体" w:hAnsi="宋体" w:eastAsia="宋体" w:cs="宋体"/>
          <w:color w:val="auto"/>
          <w:sz w:val="24"/>
          <w:highlight w:val="none"/>
        </w:rPr>
        <w:t>1.</w:t>
      </w:r>
      <w:bookmarkEnd w:id="13"/>
      <w:bookmarkEnd w:id="14"/>
      <w:r>
        <w:rPr>
          <w:rFonts w:hint="eastAsia" w:ascii="宋体" w:hAnsi="宋体" w:eastAsia="宋体" w:cs="宋体"/>
          <w:color w:val="auto"/>
          <w:sz w:val="24"/>
          <w:szCs w:val="24"/>
          <w:highlight w:val="none"/>
        </w:rPr>
        <w:t>适用范围</w:t>
      </w:r>
      <w:bookmarkEnd w:id="15"/>
      <w:bookmarkEnd w:id="16"/>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本磋商文件仅适用于本次磋商所叙述的服务采购。</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本磋商文件的解释权归采购人和采购代理机构所有。</w:t>
      </w:r>
    </w:p>
    <w:p>
      <w:pPr>
        <w:tabs>
          <w:tab w:val="left" w:pos="7665"/>
        </w:tabs>
        <w:spacing w:line="360" w:lineRule="auto"/>
        <w:ind w:firstLine="480" w:firstLineChars="200"/>
        <w:rPr>
          <w:rFonts w:hint="eastAsia" w:ascii="宋体" w:hAnsi="宋体" w:cs="宋体"/>
          <w:color w:val="auto"/>
          <w:sz w:val="24"/>
          <w:highlight w:val="none"/>
        </w:rPr>
      </w:pPr>
    </w:p>
    <w:p>
      <w:pPr>
        <w:pStyle w:val="5"/>
        <w:keepNext w:val="0"/>
        <w:keepLines w:val="0"/>
        <w:spacing w:before="0" w:after="0" w:line="360" w:lineRule="auto"/>
        <w:rPr>
          <w:rFonts w:hint="eastAsia" w:ascii="宋体" w:hAnsi="宋体" w:cs="宋体"/>
          <w:color w:val="auto"/>
          <w:sz w:val="24"/>
          <w:highlight w:val="none"/>
        </w:rPr>
      </w:pPr>
      <w:bookmarkStart w:id="17" w:name="_Toc183682343"/>
      <w:bookmarkStart w:id="18" w:name="_Toc183582206"/>
      <w:bookmarkStart w:id="19" w:name="_Toc217446035"/>
      <w:bookmarkStart w:id="20" w:name="_Toc4358"/>
      <w:r>
        <w:rPr>
          <w:rFonts w:hint="eastAsia" w:ascii="宋体" w:hAnsi="宋体" w:cs="宋体"/>
          <w:color w:val="auto"/>
          <w:sz w:val="24"/>
          <w:highlight w:val="none"/>
        </w:rPr>
        <w:t>2.</w:t>
      </w:r>
      <w:bookmarkEnd w:id="17"/>
      <w:bookmarkEnd w:id="18"/>
      <w:bookmarkEnd w:id="19"/>
      <w:r>
        <w:rPr>
          <w:rFonts w:hint="eastAsia" w:ascii="宋体" w:hAnsi="宋体" w:cs="宋体"/>
          <w:color w:val="auto"/>
          <w:sz w:val="24"/>
          <w:highlight w:val="none"/>
        </w:rPr>
        <w:t>采购主体</w:t>
      </w:r>
      <w:bookmarkEnd w:id="20"/>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2.1本次磋商的采购人是</w:t>
      </w:r>
      <w:r>
        <w:rPr>
          <w:rFonts w:hint="eastAsia" w:ascii="宋体" w:hAnsi="宋体" w:cs="宋体"/>
          <w:b/>
          <w:bCs/>
          <w:color w:val="auto"/>
          <w:sz w:val="24"/>
          <w:highlight w:val="none"/>
          <w:u w:val="single"/>
        </w:rPr>
        <w:t>成都市成华区住房建设和交通运输局</w:t>
      </w:r>
      <w:r>
        <w:rPr>
          <w:rFonts w:hint="eastAsia" w:ascii="宋体" w:hAnsi="宋体" w:cs="宋体"/>
          <w:color w:val="auto"/>
          <w:sz w:val="24"/>
          <w:highlight w:val="none"/>
        </w:rPr>
        <w:t>。</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2.2本次磋商的采购代理机构是</w:t>
      </w:r>
      <w:r>
        <w:rPr>
          <w:rFonts w:hint="eastAsia" w:ascii="宋体" w:hAnsi="宋体" w:cs="宋体"/>
          <w:b/>
          <w:bCs/>
          <w:color w:val="auto"/>
          <w:sz w:val="24"/>
          <w:highlight w:val="none"/>
          <w:u w:val="single"/>
        </w:rPr>
        <w:t>四川建茂同方工程项目管理有限公司</w:t>
      </w:r>
      <w:r>
        <w:rPr>
          <w:rFonts w:hint="eastAsia" w:ascii="宋体" w:hAnsi="宋体" w:cs="宋体"/>
          <w:color w:val="auto"/>
          <w:sz w:val="24"/>
          <w:highlight w:val="none"/>
        </w:rPr>
        <w:t>。</w:t>
      </w:r>
    </w:p>
    <w:p>
      <w:pPr>
        <w:tabs>
          <w:tab w:val="left" w:pos="7665"/>
        </w:tabs>
        <w:spacing w:line="360" w:lineRule="auto"/>
        <w:ind w:firstLine="480" w:firstLineChars="200"/>
        <w:rPr>
          <w:rFonts w:hint="eastAsia" w:ascii="宋体" w:hAnsi="宋体" w:cs="宋体"/>
          <w:color w:val="auto"/>
          <w:sz w:val="24"/>
          <w:highlight w:val="none"/>
        </w:rPr>
      </w:pPr>
    </w:p>
    <w:p>
      <w:pPr>
        <w:pStyle w:val="5"/>
        <w:keepNext w:val="0"/>
        <w:keepLines w:val="0"/>
        <w:spacing w:before="0" w:after="0" w:line="360" w:lineRule="auto"/>
        <w:rPr>
          <w:rFonts w:hint="eastAsia" w:ascii="宋体" w:hAnsi="宋体" w:cs="宋体"/>
          <w:color w:val="auto"/>
          <w:sz w:val="24"/>
          <w:highlight w:val="none"/>
        </w:rPr>
      </w:pPr>
      <w:bookmarkStart w:id="21" w:name="_Toc183682344"/>
      <w:bookmarkStart w:id="22" w:name="_Toc217390843"/>
      <w:bookmarkStart w:id="23" w:name="_Toc183582207"/>
      <w:bookmarkStart w:id="24" w:name="_Toc217446036"/>
      <w:bookmarkStart w:id="25" w:name="_Toc856"/>
      <w:r>
        <w:rPr>
          <w:rFonts w:hint="eastAsia" w:ascii="宋体" w:hAnsi="宋体" w:cs="宋体"/>
          <w:color w:val="auto"/>
          <w:sz w:val="24"/>
          <w:highlight w:val="none"/>
        </w:rPr>
        <w:t>3.合格</w:t>
      </w:r>
      <w:bookmarkEnd w:id="21"/>
      <w:bookmarkEnd w:id="22"/>
      <w:bookmarkEnd w:id="23"/>
      <w:bookmarkEnd w:id="24"/>
      <w:r>
        <w:rPr>
          <w:rFonts w:hint="eastAsia" w:ascii="宋体" w:hAnsi="宋体" w:cs="宋体"/>
          <w:color w:val="auto"/>
          <w:sz w:val="24"/>
          <w:highlight w:val="none"/>
        </w:rPr>
        <w:t>供应商（实质性要求）</w:t>
      </w:r>
      <w:bookmarkEnd w:id="25"/>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合格供应商应具备以下条件：</w:t>
      </w:r>
    </w:p>
    <w:p>
      <w:pPr>
        <w:tabs>
          <w:tab w:val="left" w:pos="7665"/>
        </w:tabs>
        <w:spacing w:line="360" w:lineRule="auto"/>
        <w:ind w:firstLine="480" w:firstLineChars="200"/>
        <w:rPr>
          <w:rFonts w:hint="eastAsia" w:ascii="宋体" w:hAnsi="宋体" w:cs="宋体"/>
          <w:color w:val="auto"/>
          <w:spacing w:val="-4"/>
          <w:sz w:val="24"/>
          <w:highlight w:val="none"/>
        </w:rPr>
      </w:pPr>
      <w:r>
        <w:rPr>
          <w:rFonts w:hint="eastAsia" w:ascii="宋体" w:hAnsi="宋体" w:cs="宋体"/>
          <w:color w:val="auto"/>
          <w:sz w:val="24"/>
          <w:highlight w:val="none"/>
        </w:rPr>
        <w:t>3.1 具备法律法规和本采购文件规定的资格条件</w:t>
      </w:r>
      <w:r>
        <w:rPr>
          <w:rFonts w:hint="eastAsia" w:ascii="宋体" w:hAnsi="宋体" w:cs="宋体"/>
          <w:color w:val="auto"/>
          <w:spacing w:val="-4"/>
          <w:sz w:val="24"/>
          <w:highlight w:val="none"/>
        </w:rPr>
        <w:t>；</w:t>
      </w:r>
    </w:p>
    <w:p>
      <w:pPr>
        <w:tabs>
          <w:tab w:val="left" w:pos="7665"/>
        </w:tabs>
        <w:spacing w:line="360" w:lineRule="auto"/>
        <w:ind w:firstLine="464" w:firstLineChars="200"/>
        <w:rPr>
          <w:rFonts w:hint="eastAsia" w:ascii="宋体" w:hAnsi="宋体" w:cs="宋体"/>
          <w:color w:val="auto"/>
          <w:spacing w:val="-4"/>
          <w:sz w:val="24"/>
          <w:highlight w:val="none"/>
        </w:rPr>
      </w:pPr>
      <w:r>
        <w:rPr>
          <w:rFonts w:hint="eastAsia" w:ascii="宋体" w:hAnsi="宋体" w:cs="宋体"/>
          <w:color w:val="auto"/>
          <w:spacing w:val="-4"/>
          <w:sz w:val="24"/>
          <w:highlight w:val="none"/>
        </w:rPr>
        <w:t>3.2 不属于禁止参加本项目采购活动的供应商；</w:t>
      </w:r>
    </w:p>
    <w:p>
      <w:pPr>
        <w:tabs>
          <w:tab w:val="left" w:pos="7665"/>
        </w:tabs>
        <w:spacing w:line="360" w:lineRule="auto"/>
        <w:ind w:firstLine="464" w:firstLineChars="200"/>
        <w:rPr>
          <w:rFonts w:hint="eastAsia" w:ascii="宋体" w:hAnsi="宋体" w:cs="宋体"/>
          <w:color w:val="auto"/>
          <w:spacing w:val="-4"/>
          <w:sz w:val="24"/>
          <w:highlight w:val="none"/>
        </w:rPr>
      </w:pPr>
      <w:r>
        <w:rPr>
          <w:rFonts w:hint="eastAsia" w:ascii="宋体" w:hAnsi="宋体" w:cs="宋体"/>
          <w:color w:val="auto"/>
          <w:spacing w:val="-4"/>
          <w:sz w:val="24"/>
          <w:highlight w:val="none"/>
        </w:rPr>
        <w:t>3.3 按照规定</w:t>
      </w:r>
      <w:r>
        <w:rPr>
          <w:rFonts w:hint="eastAsia" w:ascii="宋体" w:hAnsi="宋体" w:cs="宋体"/>
          <w:color w:val="auto"/>
          <w:sz w:val="24"/>
          <w:highlight w:val="none"/>
        </w:rPr>
        <w:t>获取了磋商文件，属于实质性参加政府采购活动的供应商。</w:t>
      </w:r>
    </w:p>
    <w:p>
      <w:pPr>
        <w:pStyle w:val="5"/>
        <w:keepNext w:val="0"/>
        <w:keepLines w:val="0"/>
        <w:spacing w:before="0" w:after="0" w:line="360" w:lineRule="auto"/>
        <w:ind w:firstLine="482" w:firstLineChars="200"/>
        <w:rPr>
          <w:rFonts w:hint="eastAsia" w:ascii="宋体" w:hAnsi="宋体" w:cs="宋体"/>
          <w:color w:val="auto"/>
          <w:sz w:val="24"/>
          <w:highlight w:val="none"/>
        </w:rPr>
      </w:pPr>
      <w:bookmarkStart w:id="26" w:name="_Toc183582208"/>
      <w:bookmarkStart w:id="27" w:name="_Toc217446037"/>
      <w:bookmarkStart w:id="28" w:name="_Toc183682345"/>
    </w:p>
    <w:p>
      <w:pPr>
        <w:pStyle w:val="5"/>
        <w:keepNext w:val="0"/>
        <w:keepLines w:val="0"/>
        <w:spacing w:before="0" w:after="0" w:line="360" w:lineRule="auto"/>
        <w:rPr>
          <w:rFonts w:hint="eastAsia" w:ascii="宋体" w:hAnsi="宋体" w:cs="宋体"/>
          <w:color w:val="auto"/>
          <w:sz w:val="24"/>
          <w:highlight w:val="none"/>
        </w:rPr>
      </w:pPr>
      <w:bookmarkStart w:id="29" w:name="_Toc7841"/>
      <w:r>
        <w:rPr>
          <w:rFonts w:hint="eastAsia" w:ascii="宋体" w:hAnsi="宋体" w:cs="宋体"/>
          <w:color w:val="auto"/>
          <w:sz w:val="24"/>
          <w:highlight w:val="none"/>
        </w:rPr>
        <w:t>4.磋商费用</w:t>
      </w:r>
      <w:bookmarkEnd w:id="26"/>
      <w:bookmarkEnd w:id="27"/>
      <w:bookmarkEnd w:id="28"/>
      <w:bookmarkEnd w:id="29"/>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供应商应自行承担参加磋商活动的全部费用。</w:t>
      </w:r>
    </w:p>
    <w:p>
      <w:pPr>
        <w:spacing w:line="360" w:lineRule="auto"/>
        <w:rPr>
          <w:rFonts w:hint="eastAsia" w:ascii="宋体" w:hAnsi="宋体" w:cs="宋体"/>
          <w:color w:val="auto"/>
          <w:highlight w:val="none"/>
        </w:rPr>
      </w:pPr>
    </w:p>
    <w:p>
      <w:pPr>
        <w:pStyle w:val="60"/>
        <w:spacing w:line="360" w:lineRule="auto"/>
        <w:rPr>
          <w:rFonts w:hint="eastAsia" w:hAnsi="宋体" w:cs="宋体"/>
          <w:b/>
          <w:color w:val="auto"/>
          <w:sz w:val="24"/>
          <w:highlight w:val="none"/>
        </w:rPr>
      </w:pPr>
      <w:r>
        <w:rPr>
          <w:rFonts w:hint="eastAsia" w:hAnsi="宋体" w:cs="宋体"/>
          <w:b/>
          <w:color w:val="auto"/>
          <w:sz w:val="24"/>
          <w:highlight w:val="none"/>
        </w:rPr>
        <w:t>5.充分、公平竞争保障措施（实质性要求）</w:t>
      </w:r>
    </w:p>
    <w:p>
      <w:pPr>
        <w:pStyle w:val="60"/>
        <w:spacing w:line="360" w:lineRule="auto"/>
        <w:ind w:firstLine="480" w:firstLineChars="200"/>
        <w:rPr>
          <w:rFonts w:hint="eastAsia" w:hAnsi="宋体" w:cs="宋体"/>
          <w:color w:val="auto"/>
          <w:sz w:val="28"/>
          <w:szCs w:val="28"/>
          <w:highlight w:val="none"/>
        </w:rPr>
      </w:pPr>
      <w:r>
        <w:rPr>
          <w:rFonts w:hint="eastAsia" w:hAnsi="宋体" w:cs="宋体"/>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5.4提供相同品牌产品处理。提供相同品牌产品的不同供应商参加同一合同项下采购活动的，以其中通过资格审查且报价最低的供应商参加磋商，报价相同的，报价相同的，由采购人或者采购人委托评审委员会按照随机抽签的公平方式确定一个供应商参加磋商，其他响应文件无效。</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非单一产品采购项目中，多家供应商提供的部分或所有核心产品品牌相同的，视为提供相同品牌产品。</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5.5供应商实际控制人或者中高级管理人员，同时是采购代理机构工作人员，不得参与本项目政府采购活动。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5.7供应商与采购代理机构存在关联关系，或者是采购代理机构的母公司或子公司，不得参加本项目政府采购活动。</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5.8回避。政府采购活动中，采购人员及相关人员与供应商有下列利害关系之一的，应当回避：</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（1）参加采购活动前3年内与供应商存在劳动关系；</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（2）参加采购活动前3年内担任供应商的董事、监事；</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（3）参加采购活动前3年内是供应商的控股股东或者实际控制人；</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（4）与供应商的法定代表人或者负责人有夫妻、直系血亲、三代以内旁系血亲或者近姻亲关系；</w:t>
      </w:r>
    </w:p>
    <w:p>
      <w:pPr>
        <w:pStyle w:val="6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（5）与供应商有其他可能影响政府采购活动公平、公正进行的关系。</w:t>
      </w:r>
    </w:p>
    <w:p>
      <w:pPr>
        <w:pStyle w:val="60"/>
        <w:spacing w:line="360" w:lineRule="auto"/>
        <w:ind w:left="1" w:firstLine="480" w:firstLineChars="200"/>
        <w:rPr>
          <w:rFonts w:hint="eastAsia" w:hAnsi="宋体" w:cs="宋体"/>
          <w:color w:val="auto"/>
          <w:sz w:val="24"/>
          <w:highlight w:val="none"/>
        </w:rPr>
      </w:pPr>
      <w:r>
        <w:rPr>
          <w:rFonts w:hint="eastAsia" w:hAnsi="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spacing w:line="360" w:lineRule="auto"/>
        <w:ind w:left="1" w:firstLine="480" w:firstLineChars="200"/>
        <w:rPr>
          <w:rFonts w:hint="eastAsia" w:hAnsi="宋体" w:cs="宋体"/>
          <w:color w:val="auto"/>
          <w:sz w:val="24"/>
          <w:highlight w:val="none"/>
        </w:rPr>
      </w:pPr>
      <w:r>
        <w:rPr>
          <w:rFonts w:hint="eastAsia" w:hAnsi="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0"/>
        <w:spacing w:line="360" w:lineRule="auto"/>
        <w:rPr>
          <w:rFonts w:hint="eastAsia" w:hAnsi="宋体" w:cs="宋体"/>
          <w:b/>
          <w:color w:val="auto"/>
          <w:sz w:val="24"/>
          <w:highlight w:val="none"/>
        </w:rPr>
      </w:pPr>
    </w:p>
    <w:p>
      <w:pPr>
        <w:pStyle w:val="60"/>
        <w:spacing w:line="360" w:lineRule="auto"/>
        <w:rPr>
          <w:rFonts w:hint="eastAsia" w:hAnsi="宋体" w:cs="宋体"/>
          <w:b/>
          <w:color w:val="auto"/>
          <w:sz w:val="24"/>
          <w:highlight w:val="none"/>
        </w:rPr>
      </w:pPr>
      <w:r>
        <w:rPr>
          <w:rFonts w:hint="eastAsia" w:hAnsi="宋体" w:cs="宋体"/>
          <w:b/>
          <w:color w:val="auto"/>
          <w:sz w:val="24"/>
          <w:highlight w:val="none"/>
        </w:rPr>
        <w:t>6.联合体竞争性磋商（实质性要求）</w:t>
      </w:r>
    </w:p>
    <w:p>
      <w:pPr>
        <w:pStyle w:val="60"/>
        <w:spacing w:line="360" w:lineRule="auto"/>
        <w:rPr>
          <w:rFonts w:hint="eastAsia" w:hAnsi="宋体" w:cs="宋体"/>
          <w:color w:val="auto"/>
          <w:sz w:val="24"/>
          <w:highlight w:val="none"/>
        </w:rPr>
      </w:pPr>
      <w:r>
        <w:rPr>
          <w:rFonts w:hint="eastAsia" w:hAnsi="宋体" w:cs="宋体"/>
          <w:color w:val="auto"/>
          <w:sz w:val="24"/>
          <w:highlight w:val="none"/>
        </w:rPr>
        <w:t>本项目不接受联合体参与采购活动。</w:t>
      </w:r>
    </w:p>
    <w:p>
      <w:pPr>
        <w:pStyle w:val="60"/>
        <w:spacing w:line="360" w:lineRule="auto"/>
        <w:rPr>
          <w:rFonts w:hint="eastAsia" w:hAnsi="宋体" w:cs="宋体"/>
          <w:color w:val="auto"/>
          <w:sz w:val="24"/>
          <w:highlight w:val="none"/>
        </w:rPr>
      </w:pPr>
    </w:p>
    <w:p>
      <w:pPr>
        <w:pStyle w:val="60"/>
        <w:spacing w:line="360" w:lineRule="auto"/>
        <w:rPr>
          <w:rFonts w:hint="eastAsia" w:hAnsi="宋体" w:cs="宋体"/>
          <w:b/>
          <w:color w:val="auto"/>
          <w:sz w:val="24"/>
          <w:highlight w:val="none"/>
        </w:rPr>
      </w:pPr>
      <w:r>
        <w:rPr>
          <w:rFonts w:hint="eastAsia" w:hAnsi="宋体" w:cs="宋体"/>
          <w:b/>
          <w:color w:val="auto"/>
          <w:sz w:val="24"/>
          <w:highlight w:val="none"/>
        </w:rPr>
        <w:t>7.磋商保证金（本项目不涉及）</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7.2 未按磋商文件要求在规定时间前交纳规定数额磋商保证金的响应文件无效。</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7.3 供应商所交纳的磋商保证金不计利息。</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7.4 未成交供应商的磋商保证金，将在成交通知书发出后五个工作日内全额退还。成交供应商的磋商保证金，在合同签订生效并按规定交纳了履约保证金后五个工作日内全额退还。（注：①磋商保证金退款手续，详见竞争性磋商文件附件《磋商保证金退款申请表》的格式要求，由供应商填写完整退款申请，在开标现场单独提交1份退款申请至四川建茂同方工程项目管理有限公司工作人员，用于及时办理磋商保证金退款手续。因未递交或递交延迟造成未及时退还磋商保证金的，责任由供应商自负。②供应商因涉嫌违法违规，按照规定应当不予退还保证金的，有关部门处理认定违法违规行为期间不计入退还保证金期限内。）</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7.5发生下列情形之一的，采购代理机构将不予退还磋商保证金：</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（一）在磋商文件规定的递交响应文件截止时间后撤回响应文件的；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（二）在采购人确定成交供应商之前放弃成交候选资格的；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（三）成交后放弃、不领取或者不接收成交通知书的；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（四）由于成交供应商的原因未能按照磋商文件的规定与采购人签订合同的；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（五）由于成交供应商的原因未能按照磋商文件的规定交纳履约保证金的；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（六）供应商在政府采购活动中提供虚假材料的；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（七）报价有效期内，供应商在政府采购活动中有违法、违规、违纪行为。</w:t>
      </w:r>
    </w:p>
    <w:p>
      <w:pPr>
        <w:spacing w:line="360" w:lineRule="auto"/>
        <w:ind w:firstLine="470" w:firstLineChars="196"/>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8.响应文件有效期（实质性要求）</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hint="eastAsia" w:ascii="宋体" w:hAnsi="宋体" w:cs="宋体"/>
          <w:color w:val="auto"/>
          <w:sz w:val="24"/>
          <w:highlight w:val="none"/>
        </w:rPr>
      </w:pPr>
    </w:p>
    <w:p>
      <w:pPr>
        <w:pStyle w:val="9"/>
        <w:spacing w:line="360" w:lineRule="auto"/>
        <w:ind w:firstLine="0"/>
        <w:rPr>
          <w:rFonts w:hint="eastAsia" w:ascii="宋体" w:hAnsi="宋体" w:cs="宋体"/>
          <w:b/>
          <w:bCs/>
          <w:color w:val="auto"/>
          <w:sz w:val="24"/>
          <w:szCs w:val="24"/>
          <w:highlight w:val="none"/>
        </w:rPr>
      </w:pPr>
      <w:r>
        <w:rPr>
          <w:rFonts w:hint="eastAsia" w:ascii="宋体" w:hAnsi="宋体" w:cs="宋体"/>
          <w:b/>
          <w:color w:val="auto"/>
          <w:sz w:val="24"/>
          <w:highlight w:val="none"/>
        </w:rPr>
        <w:t>9.</w:t>
      </w:r>
      <w:r>
        <w:rPr>
          <w:rFonts w:hint="eastAsia" w:ascii="宋体" w:hAnsi="宋体" w:cs="宋体"/>
          <w:b/>
          <w:bCs/>
          <w:color w:val="auto"/>
          <w:sz w:val="24"/>
          <w:szCs w:val="24"/>
          <w:highlight w:val="none"/>
        </w:rPr>
        <w:t>知识产权（实质性要求）</w:t>
      </w:r>
    </w:p>
    <w:p>
      <w:pPr>
        <w:pStyle w:val="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9.1 </w:t>
      </w:r>
      <w:r>
        <w:rPr>
          <w:rFonts w:hint="eastAsia" w:ascii="宋体" w:hAnsi="宋体" w:cs="宋体"/>
          <w:color w:val="auto"/>
          <w:sz w:val="24"/>
          <w:highlight w:val="none"/>
        </w:rPr>
        <w:t>供应商</w:t>
      </w:r>
      <w:r>
        <w:rPr>
          <w:rFonts w:hint="eastAsia" w:ascii="宋体" w:hAnsi="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auto"/>
          <w:sz w:val="24"/>
          <w:highlight w:val="none"/>
        </w:rPr>
        <w:t>供应商</w:t>
      </w:r>
      <w:r>
        <w:rPr>
          <w:rFonts w:hint="eastAsia" w:ascii="宋体" w:hAnsi="宋体" w:cs="宋体"/>
          <w:color w:val="auto"/>
          <w:sz w:val="24"/>
          <w:szCs w:val="24"/>
          <w:highlight w:val="none"/>
        </w:rPr>
        <w:t>承担所有相关责任。</w:t>
      </w:r>
    </w:p>
    <w:p>
      <w:pPr>
        <w:pStyle w:val="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 除非磋商文件特别规定，采购人享有本项目实施过程中产生的知识成果及知识产权。</w:t>
      </w:r>
    </w:p>
    <w:p>
      <w:pPr>
        <w:spacing w:line="360" w:lineRule="auto"/>
        <w:ind w:firstLine="480" w:firstLineChars="200"/>
        <w:rPr>
          <w:rFonts w:hint="eastAsia" w:ascii="宋体" w:hAnsi="宋体" w:cs="宋体"/>
          <w:color w:val="auto"/>
          <w:sz w:val="32"/>
          <w:szCs w:val="32"/>
          <w:highlight w:val="none"/>
        </w:rPr>
      </w:pPr>
      <w:r>
        <w:rPr>
          <w:rFonts w:hint="eastAsia" w:ascii="宋体" w:hAnsi="宋体" w:cs="宋体"/>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 xml:space="preserve">9.4 如采用供应商所不拥有的知识产权，则在报价中必须包括合法获取该知识产权的相关费用。 </w:t>
      </w:r>
      <w:bookmarkStart w:id="30" w:name="_Toc183682346"/>
      <w:bookmarkStart w:id="31" w:name="_Toc89075875"/>
      <w:bookmarkStart w:id="32" w:name="_Toc217446038"/>
      <w:bookmarkStart w:id="33" w:name="_Toc77400779"/>
      <w:bookmarkStart w:id="34" w:name="_Toc183582209"/>
    </w:p>
    <w:p>
      <w:pPr>
        <w:pStyle w:val="4"/>
        <w:keepNext w:val="0"/>
        <w:keepLines w:val="0"/>
        <w:spacing w:before="0" w:after="0" w:line="360" w:lineRule="auto"/>
        <w:jc w:val="center"/>
        <w:rPr>
          <w:rFonts w:hint="eastAsia" w:ascii="宋体" w:hAnsi="宋体" w:eastAsia="宋体" w:cs="宋体"/>
          <w:color w:val="auto"/>
          <w:sz w:val="24"/>
          <w:highlight w:val="none"/>
        </w:rPr>
      </w:pPr>
      <w:bookmarkStart w:id="35" w:name="_Toc11453"/>
      <w:r>
        <w:rPr>
          <w:rFonts w:hint="eastAsia" w:ascii="宋体" w:hAnsi="宋体" w:eastAsia="宋体" w:cs="宋体"/>
          <w:bCs w:val="0"/>
          <w:color w:val="auto"/>
          <w:highlight w:val="none"/>
        </w:rPr>
        <w:t>三、磋商文件</w:t>
      </w:r>
      <w:bookmarkEnd w:id="30"/>
      <w:bookmarkEnd w:id="31"/>
      <w:bookmarkEnd w:id="32"/>
      <w:bookmarkEnd w:id="33"/>
      <w:bookmarkEnd w:id="34"/>
      <w:bookmarkEnd w:id="35"/>
      <w:bookmarkStart w:id="36" w:name="_Toc217446039"/>
      <w:bookmarkStart w:id="37" w:name="_Toc183582210"/>
      <w:bookmarkStart w:id="38" w:name="_Toc183682347"/>
    </w:p>
    <w:p>
      <w:pPr>
        <w:pStyle w:val="5"/>
        <w:keepNext w:val="0"/>
        <w:keepLines w:val="0"/>
        <w:spacing w:before="0" w:after="0" w:line="360" w:lineRule="auto"/>
        <w:rPr>
          <w:rFonts w:hint="eastAsia" w:ascii="宋体" w:hAnsi="宋体" w:cs="宋体"/>
          <w:color w:val="auto"/>
          <w:sz w:val="24"/>
          <w:highlight w:val="none"/>
        </w:rPr>
      </w:pPr>
      <w:bookmarkStart w:id="39" w:name="_Toc32374"/>
      <w:r>
        <w:rPr>
          <w:rFonts w:hint="eastAsia" w:ascii="宋体" w:hAnsi="宋体" w:cs="宋体"/>
          <w:color w:val="auto"/>
          <w:sz w:val="24"/>
          <w:highlight w:val="none"/>
        </w:rPr>
        <w:t>10．磋商文件的构成</w:t>
      </w:r>
      <w:bookmarkEnd w:id="36"/>
      <w:bookmarkEnd w:id="37"/>
      <w:bookmarkEnd w:id="38"/>
      <w:r>
        <w:rPr>
          <w:rFonts w:hint="eastAsia" w:ascii="宋体" w:hAnsi="宋体" w:cs="宋体"/>
          <w:color w:val="auto"/>
          <w:sz w:val="24"/>
          <w:highlight w:val="none"/>
        </w:rPr>
        <w:t>（实质性要求）</w:t>
      </w:r>
      <w:bookmarkEnd w:id="39"/>
    </w:p>
    <w:p>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b/>
          <w:bCs/>
          <w:color w:val="auto"/>
          <w:sz w:val="24"/>
          <w:highlight w:val="none"/>
        </w:rPr>
        <w:t>.</w:t>
      </w:r>
      <w:r>
        <w:rPr>
          <w:rFonts w:hint="eastAsia" w:ascii="宋体" w:hAnsi="宋体" w:cs="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b/>
          <w:bCs/>
          <w:color w:val="auto"/>
          <w:sz w:val="24"/>
          <w:highlight w:val="none"/>
        </w:rPr>
        <w:t>.</w:t>
      </w:r>
      <w:r>
        <w:rPr>
          <w:rFonts w:hint="eastAsia" w:ascii="宋体" w:hAnsi="宋体" w:cs="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hint="eastAsia" w:ascii="宋体" w:hAnsi="宋体" w:cs="宋体"/>
          <w:color w:val="auto"/>
          <w:sz w:val="24"/>
          <w:highlight w:val="none"/>
        </w:rPr>
      </w:pPr>
      <w:bookmarkStart w:id="40" w:name="_Toc183582211"/>
      <w:bookmarkStart w:id="41" w:name="_Toc183682348"/>
      <w:bookmarkStart w:id="42" w:name="_Toc217446040"/>
    </w:p>
    <w:p>
      <w:pPr>
        <w:pStyle w:val="5"/>
        <w:keepNext w:val="0"/>
        <w:keepLines w:val="0"/>
        <w:spacing w:before="0" w:after="0" w:line="360" w:lineRule="auto"/>
        <w:rPr>
          <w:rFonts w:hint="eastAsia" w:ascii="宋体" w:hAnsi="宋体" w:cs="宋体"/>
          <w:color w:val="auto"/>
          <w:sz w:val="24"/>
          <w:highlight w:val="none"/>
        </w:rPr>
      </w:pPr>
      <w:bookmarkStart w:id="43" w:name="_Toc339"/>
      <w:r>
        <w:rPr>
          <w:rFonts w:hint="eastAsia" w:ascii="宋体" w:hAnsi="宋体" w:cs="宋体"/>
          <w:color w:val="auto"/>
          <w:sz w:val="24"/>
          <w:highlight w:val="none"/>
        </w:rPr>
        <w:t>11. 磋商文件的澄清</w:t>
      </w:r>
      <w:bookmarkEnd w:id="40"/>
      <w:bookmarkEnd w:id="41"/>
      <w:r>
        <w:rPr>
          <w:rFonts w:hint="eastAsia" w:ascii="宋体" w:hAnsi="宋体" w:cs="宋体"/>
          <w:color w:val="auto"/>
          <w:sz w:val="24"/>
          <w:highlight w:val="none"/>
        </w:rPr>
        <w:t>和修改</w:t>
      </w:r>
      <w:bookmarkEnd w:id="42"/>
      <w:bookmarkEnd w:id="43"/>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74"/>
        <w:spacing w:line="360" w:lineRule="auto"/>
        <w:rPr>
          <w:rFonts w:hint="eastAsia" w:hAnsi="宋体"/>
          <w:color w:val="auto"/>
          <w:highlight w:val="none"/>
        </w:rPr>
      </w:pPr>
    </w:p>
    <w:p>
      <w:pPr>
        <w:pStyle w:val="5"/>
        <w:keepNext w:val="0"/>
        <w:keepLines w:val="0"/>
        <w:spacing w:before="0" w:after="0" w:line="360" w:lineRule="auto"/>
        <w:rPr>
          <w:rFonts w:hint="eastAsia" w:ascii="宋体" w:hAnsi="宋体" w:cs="宋体"/>
          <w:color w:val="auto"/>
          <w:sz w:val="24"/>
          <w:highlight w:val="none"/>
        </w:rPr>
      </w:pPr>
      <w:bookmarkStart w:id="44" w:name="_Toc208848971"/>
      <w:bookmarkStart w:id="45" w:name="_Toc217446041"/>
      <w:bookmarkStart w:id="46" w:name="_Toc3090"/>
      <w:r>
        <w:rPr>
          <w:rFonts w:hint="eastAsia" w:ascii="宋体" w:hAnsi="宋体" w:cs="宋体"/>
          <w:color w:val="auto"/>
          <w:sz w:val="24"/>
          <w:highlight w:val="none"/>
        </w:rPr>
        <w:t>12. 答疑会和现场考察</w:t>
      </w:r>
      <w:bookmarkEnd w:id="44"/>
      <w:bookmarkEnd w:id="45"/>
      <w:bookmarkEnd w:id="46"/>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int="eastAsia" w:ascii="宋体" w:hAnsi="宋体" w:cs="宋体"/>
          <w:color w:val="auto"/>
          <w:highlight w:val="none"/>
        </w:rPr>
      </w:pPr>
      <w:r>
        <w:rPr>
          <w:rFonts w:hint="eastAsia" w:ascii="宋体" w:hAnsi="宋体" w:cs="宋体"/>
          <w:color w:val="auto"/>
          <w:sz w:val="24"/>
          <w:highlight w:val="none"/>
        </w:rPr>
        <w:t>12.3 供应商考察现场或者参加答疑会所发生的一切费用由供应商自己承担。</w:t>
      </w:r>
      <w:bookmarkStart w:id="47" w:name="_Toc77400780"/>
      <w:bookmarkStart w:id="48" w:name="_Toc183682351"/>
      <w:bookmarkStart w:id="49" w:name="_Toc89075876"/>
      <w:bookmarkStart w:id="50" w:name="_Toc217446042"/>
      <w:bookmarkStart w:id="51" w:name="_Toc183582214"/>
    </w:p>
    <w:p>
      <w:pPr>
        <w:pStyle w:val="4"/>
        <w:keepNext w:val="0"/>
        <w:keepLines w:val="0"/>
        <w:spacing w:before="0" w:after="0" w:line="360" w:lineRule="auto"/>
        <w:jc w:val="center"/>
        <w:rPr>
          <w:rFonts w:hint="eastAsia" w:ascii="宋体" w:hAnsi="宋体" w:eastAsia="宋体" w:cs="宋体"/>
          <w:color w:val="auto"/>
          <w:highlight w:val="none"/>
        </w:rPr>
      </w:pPr>
      <w:bookmarkStart w:id="52" w:name="_Toc32639"/>
      <w:r>
        <w:rPr>
          <w:rFonts w:hint="eastAsia" w:ascii="宋体" w:hAnsi="宋体" w:eastAsia="宋体" w:cs="宋体"/>
          <w:bCs w:val="0"/>
          <w:color w:val="auto"/>
          <w:highlight w:val="none"/>
        </w:rPr>
        <w:t>四、响应文件</w:t>
      </w:r>
      <w:bookmarkEnd w:id="47"/>
      <w:bookmarkEnd w:id="48"/>
      <w:bookmarkEnd w:id="49"/>
      <w:bookmarkEnd w:id="50"/>
      <w:bookmarkEnd w:id="51"/>
      <w:bookmarkEnd w:id="52"/>
    </w:p>
    <w:p>
      <w:pPr>
        <w:pStyle w:val="5"/>
        <w:keepNext w:val="0"/>
        <w:keepLines w:val="0"/>
        <w:spacing w:before="0" w:after="0" w:line="360" w:lineRule="auto"/>
        <w:rPr>
          <w:rFonts w:hint="eastAsia" w:ascii="宋体" w:hAnsi="宋体" w:cs="宋体"/>
          <w:color w:val="auto"/>
          <w:sz w:val="24"/>
          <w:highlight w:val="none"/>
        </w:rPr>
      </w:pPr>
      <w:bookmarkStart w:id="53" w:name="_Toc16684"/>
      <w:bookmarkStart w:id="54" w:name="_Toc183582215"/>
      <w:bookmarkStart w:id="55" w:name="_Toc183682352"/>
      <w:bookmarkStart w:id="56" w:name="_Toc217446043"/>
      <w:r>
        <w:rPr>
          <w:rFonts w:hint="eastAsia" w:ascii="宋体" w:hAnsi="宋体" w:cs="宋体"/>
          <w:color w:val="auto"/>
          <w:sz w:val="24"/>
          <w:highlight w:val="none"/>
        </w:rPr>
        <w:t>13.响应文件的组成（实质性要求）</w:t>
      </w:r>
      <w:bookmarkEnd w:id="53"/>
    </w:p>
    <w:p>
      <w:pPr>
        <w:spacing w:line="360" w:lineRule="auto"/>
        <w:ind w:left="2" w:leftChars="1"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5"/>
        <w:keepNext w:val="0"/>
        <w:keepLines w:val="0"/>
        <w:spacing w:before="0" w:after="0" w:line="360" w:lineRule="auto"/>
        <w:ind w:firstLine="482" w:firstLineChars="200"/>
        <w:rPr>
          <w:rFonts w:hint="eastAsia" w:ascii="宋体" w:hAnsi="宋体" w:cs="宋体"/>
          <w:color w:val="auto"/>
          <w:sz w:val="24"/>
          <w:highlight w:val="none"/>
        </w:rPr>
      </w:pPr>
    </w:p>
    <w:p>
      <w:pPr>
        <w:pStyle w:val="5"/>
        <w:keepNext w:val="0"/>
        <w:keepLines w:val="0"/>
        <w:spacing w:before="0" w:after="0" w:line="360" w:lineRule="auto"/>
        <w:rPr>
          <w:rFonts w:hint="eastAsia" w:ascii="宋体" w:hAnsi="宋体" w:cs="宋体"/>
          <w:bCs w:val="0"/>
          <w:color w:val="auto"/>
          <w:sz w:val="24"/>
          <w:highlight w:val="none"/>
        </w:rPr>
      </w:pPr>
      <w:bookmarkStart w:id="57" w:name="_Toc25463"/>
      <w:r>
        <w:rPr>
          <w:rFonts w:hint="eastAsia" w:ascii="宋体" w:hAnsi="宋体" w:cs="宋体"/>
          <w:bCs w:val="0"/>
          <w:color w:val="auto"/>
          <w:sz w:val="24"/>
          <w:highlight w:val="none"/>
        </w:rPr>
        <w:t>14.响应文件的语言</w:t>
      </w:r>
      <w:bookmarkEnd w:id="54"/>
      <w:bookmarkEnd w:id="55"/>
      <w:bookmarkEnd w:id="56"/>
      <w:r>
        <w:rPr>
          <w:rFonts w:hint="eastAsia" w:ascii="宋体" w:hAnsi="宋体" w:cs="宋体"/>
          <w:bCs w:val="0"/>
          <w:color w:val="auto"/>
          <w:sz w:val="24"/>
          <w:highlight w:val="none"/>
        </w:rPr>
        <w:t>（实质性要求）</w:t>
      </w:r>
      <w:bookmarkEnd w:id="5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hint="eastAsia" w:ascii="宋体" w:hAnsi="宋体" w:cs="宋体"/>
          <w:color w:val="auto"/>
          <w:sz w:val="24"/>
          <w:highlight w:val="none"/>
        </w:rPr>
      </w:pPr>
      <w:bookmarkStart w:id="58" w:name="_Toc183682353"/>
      <w:bookmarkStart w:id="59" w:name="_Toc183582216"/>
      <w:bookmarkStart w:id="60" w:name="_Toc217446044"/>
    </w:p>
    <w:p>
      <w:pPr>
        <w:pStyle w:val="5"/>
        <w:keepNext w:val="0"/>
        <w:keepLines w:val="0"/>
        <w:spacing w:before="0" w:after="0" w:line="360" w:lineRule="auto"/>
        <w:rPr>
          <w:rFonts w:hint="eastAsia" w:ascii="宋体" w:hAnsi="宋体" w:cs="宋体"/>
          <w:color w:val="auto"/>
          <w:sz w:val="24"/>
          <w:highlight w:val="none"/>
        </w:rPr>
      </w:pPr>
      <w:bookmarkStart w:id="61" w:name="_Toc21779"/>
      <w:r>
        <w:rPr>
          <w:rFonts w:hint="eastAsia" w:ascii="宋体" w:hAnsi="宋体" w:cs="宋体"/>
          <w:color w:val="auto"/>
          <w:sz w:val="24"/>
          <w:highlight w:val="none"/>
        </w:rPr>
        <w:t>15．计量单位</w:t>
      </w:r>
      <w:bookmarkEnd w:id="58"/>
      <w:bookmarkEnd w:id="59"/>
      <w:bookmarkEnd w:id="60"/>
      <w:r>
        <w:rPr>
          <w:rFonts w:hint="eastAsia" w:ascii="宋体" w:hAnsi="宋体" w:cs="宋体"/>
          <w:color w:val="auto"/>
          <w:sz w:val="24"/>
          <w:highlight w:val="none"/>
        </w:rPr>
        <w:t>（实质性要求）</w:t>
      </w:r>
      <w:bookmarkEnd w:id="61"/>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除磋商文件中另有规定外，本次采购项目所有合同项下的报价均采用国家法定的计量单位。</w:t>
      </w:r>
    </w:p>
    <w:p>
      <w:pPr>
        <w:spacing w:line="360" w:lineRule="auto"/>
        <w:ind w:firstLine="468" w:firstLineChars="195"/>
        <w:rPr>
          <w:rFonts w:hint="eastAsia" w:ascii="宋体" w:hAnsi="宋体" w:cs="宋体"/>
          <w:b/>
          <w:bCs/>
          <w:color w:val="auto"/>
          <w:sz w:val="24"/>
          <w:highlight w:val="none"/>
        </w:rPr>
      </w:pPr>
      <w:r>
        <w:rPr>
          <w:rFonts w:hint="eastAsia" w:ascii="宋体" w:hAnsi="宋体" w:cs="宋体"/>
          <w:color w:val="auto"/>
          <w:sz w:val="24"/>
          <w:highlight w:val="none"/>
        </w:rPr>
        <w:t xml:space="preserve"> </w:t>
      </w:r>
      <w:bookmarkStart w:id="62" w:name="_Toc217446045"/>
      <w:r>
        <w:rPr>
          <w:rFonts w:hint="eastAsia" w:ascii="宋体" w:hAnsi="宋体" w:cs="宋体"/>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16. </w:t>
      </w:r>
      <w:r>
        <w:rPr>
          <w:rFonts w:hint="eastAsia" w:ascii="宋体" w:hAnsi="宋体" w:cs="宋体"/>
          <w:b/>
          <w:color w:val="auto"/>
          <w:sz w:val="24"/>
          <w:highlight w:val="none"/>
        </w:rPr>
        <w:t>报价</w:t>
      </w:r>
      <w:r>
        <w:rPr>
          <w:rFonts w:hint="eastAsia" w:ascii="宋体" w:hAnsi="宋体" w:cs="宋体"/>
          <w:b/>
          <w:bCs/>
          <w:color w:val="auto"/>
          <w:sz w:val="24"/>
          <w:highlight w:val="none"/>
        </w:rPr>
        <w:t>货币（实质性要求）</w:t>
      </w:r>
    </w:p>
    <w:p>
      <w:pPr>
        <w:spacing w:line="360" w:lineRule="auto"/>
        <w:ind w:firstLine="468" w:firstLineChars="195"/>
        <w:rPr>
          <w:rFonts w:hint="eastAsia" w:ascii="宋体" w:hAnsi="宋体" w:cs="宋体"/>
          <w:bCs/>
          <w:color w:val="auto"/>
          <w:sz w:val="24"/>
          <w:highlight w:val="none"/>
        </w:rPr>
      </w:pPr>
      <w:r>
        <w:rPr>
          <w:rFonts w:hint="eastAsia" w:ascii="宋体" w:hAnsi="宋体" w:cs="宋体"/>
          <w:bCs/>
          <w:color w:val="auto"/>
          <w:sz w:val="24"/>
          <w:highlight w:val="none"/>
        </w:rPr>
        <w:t>本次磋商项目的</w:t>
      </w:r>
      <w:r>
        <w:rPr>
          <w:rFonts w:hint="eastAsia" w:ascii="宋体" w:hAnsi="宋体" w:cs="宋体"/>
          <w:color w:val="auto"/>
          <w:sz w:val="24"/>
          <w:highlight w:val="none"/>
        </w:rPr>
        <w:t>报价货币为</w:t>
      </w:r>
      <w:r>
        <w:rPr>
          <w:rFonts w:hint="eastAsia" w:ascii="宋体" w:hAnsi="宋体" w:cs="宋体"/>
          <w:bCs/>
          <w:color w:val="auto"/>
          <w:sz w:val="24"/>
          <w:highlight w:val="none"/>
        </w:rPr>
        <w:t>人民币，报价以磋商文件规定为准。</w:t>
      </w:r>
    </w:p>
    <w:p>
      <w:pPr>
        <w:spacing w:line="360" w:lineRule="auto"/>
        <w:ind w:firstLine="468" w:firstLineChars="195"/>
        <w:rPr>
          <w:rFonts w:hint="eastAsia" w:ascii="宋体" w:hAnsi="宋体" w:cs="宋体"/>
          <w:bCs/>
          <w:color w:val="auto"/>
          <w:sz w:val="24"/>
          <w:highlight w:val="none"/>
        </w:rPr>
      </w:pPr>
    </w:p>
    <w:bookmarkEnd w:id="62"/>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17.响应文件格式</w:t>
      </w:r>
    </w:p>
    <w:p>
      <w:pPr>
        <w:spacing w:line="360" w:lineRule="auto"/>
        <w:ind w:left="2" w:leftChars="1"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17.1 供应商应执行磋商文件第六章的规定要求。</w:t>
      </w:r>
    </w:p>
    <w:p>
      <w:pPr>
        <w:spacing w:line="360" w:lineRule="auto"/>
        <w:ind w:left="2" w:leftChars="1" w:firstLine="480" w:firstLineChars="200"/>
        <w:rPr>
          <w:rFonts w:hint="eastAsia"/>
          <w:color w:val="auto"/>
          <w:highlight w:val="none"/>
        </w:rPr>
      </w:pPr>
      <w:r>
        <w:rPr>
          <w:rFonts w:hint="eastAsia" w:ascii="宋体" w:hAnsi="宋体" w:cs="宋体"/>
          <w:color w:val="auto"/>
          <w:sz w:val="24"/>
          <w:highlight w:val="none"/>
        </w:rPr>
        <w:t>17.2 对于没有格式要求的磋商文件由供应商自行编写。</w:t>
      </w:r>
    </w:p>
    <w:p>
      <w:pPr>
        <w:spacing w:line="360" w:lineRule="auto"/>
        <w:rPr>
          <w:rFonts w:hint="eastAsia" w:ascii="宋体" w:hAnsi="宋体" w:cs="宋体"/>
          <w:b/>
          <w:color w:val="auto"/>
          <w:sz w:val="24"/>
          <w:highlight w:val="none"/>
        </w:rPr>
      </w:pPr>
      <w:bookmarkStart w:id="63" w:name="_Toc183582224"/>
      <w:bookmarkStart w:id="64" w:name="_Toc183682361"/>
      <w:bookmarkStart w:id="65" w:name="_Toc217446051"/>
      <w:r>
        <w:rPr>
          <w:rFonts w:hint="eastAsia" w:ascii="宋体" w:hAnsi="宋体" w:cs="宋体"/>
          <w:b/>
          <w:color w:val="auto"/>
          <w:sz w:val="24"/>
          <w:highlight w:val="none"/>
        </w:rPr>
        <w:t>18.响应文件的编制和签署</w:t>
      </w:r>
    </w:p>
    <w:p>
      <w:pPr>
        <w:spacing w:line="360" w:lineRule="auto"/>
        <w:ind w:firstLine="468" w:firstLineChars="195"/>
        <w:rPr>
          <w:rFonts w:hint="eastAsia" w:ascii="宋体" w:hAnsi="宋体" w:cs="宋体"/>
          <w:bCs/>
          <w:color w:val="auto"/>
          <w:sz w:val="24"/>
          <w:highlight w:val="none"/>
        </w:rPr>
      </w:pPr>
      <w:r>
        <w:rPr>
          <w:rFonts w:hint="eastAsia" w:ascii="宋体" w:hAnsi="宋体" w:cs="宋体"/>
          <w:color w:val="auto"/>
          <w:sz w:val="24"/>
          <w:highlight w:val="none"/>
        </w:rPr>
        <w:t>18.1 资格性响应文件正本壹份副本贰份</w:t>
      </w:r>
      <w:r>
        <w:rPr>
          <w:rFonts w:hint="eastAsia" w:ascii="宋体" w:hAnsi="宋体" w:cs="宋体"/>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cs="宋体"/>
          <w:bCs/>
          <w:color w:val="auto"/>
          <w:sz w:val="24"/>
          <w:highlight w:val="none"/>
        </w:rPr>
      </w:pPr>
      <w:r>
        <w:rPr>
          <w:rFonts w:hint="eastAsia" w:ascii="宋体" w:hAnsi="宋体" w:cs="宋体"/>
          <w:bCs/>
          <w:color w:val="auto"/>
          <w:sz w:val="24"/>
          <w:highlight w:val="none"/>
        </w:rPr>
        <w:t>18.2 其他响应文件正本壹份副本贰份，并在其封面上清楚地标明其他响应文件、采购项目名称、采购项目编号、包件号及名称（若有）、供应商名称以及“正本”或“副本”字样。若正本和副本有不一致的内容，以正本书面响应文件为准。</w:t>
      </w:r>
    </w:p>
    <w:bookmarkEnd w:id="63"/>
    <w:bookmarkEnd w:id="64"/>
    <w:bookmarkEnd w:id="65"/>
    <w:p>
      <w:pPr>
        <w:spacing w:line="360" w:lineRule="auto"/>
        <w:ind w:firstLine="468" w:firstLineChars="195"/>
        <w:rPr>
          <w:rFonts w:hint="eastAsia" w:ascii="宋体" w:hAnsi="宋体" w:cs="宋体"/>
          <w:bCs/>
          <w:color w:val="auto"/>
          <w:sz w:val="24"/>
          <w:highlight w:val="none"/>
        </w:rPr>
      </w:pPr>
      <w:r>
        <w:rPr>
          <w:rFonts w:hint="eastAsia" w:ascii="宋体" w:hAnsi="宋体" w:cs="宋体"/>
          <w:bCs/>
          <w:color w:val="auto"/>
          <w:sz w:val="24"/>
          <w:highlight w:val="none"/>
        </w:rPr>
        <w:t>18.3 响应文件正本和副本均需在规定签章处签字和盖章。响应文件副本可采用正本的复印件，电子文档采用U盘或光盘制作。</w:t>
      </w:r>
    </w:p>
    <w:p>
      <w:pPr>
        <w:spacing w:line="360" w:lineRule="auto"/>
        <w:ind w:firstLine="468" w:firstLineChars="195"/>
        <w:rPr>
          <w:rFonts w:hint="eastAsia" w:ascii="宋体" w:hAnsi="宋体" w:cs="宋体"/>
          <w:bCs/>
          <w:color w:val="auto"/>
          <w:sz w:val="24"/>
          <w:highlight w:val="none"/>
        </w:rPr>
      </w:pPr>
      <w:r>
        <w:rPr>
          <w:rFonts w:hint="eastAsia" w:ascii="宋体" w:hAnsi="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cs="宋体"/>
          <w:bCs/>
          <w:color w:val="auto"/>
          <w:sz w:val="24"/>
          <w:highlight w:val="none"/>
        </w:rPr>
      </w:pPr>
      <w:r>
        <w:rPr>
          <w:rFonts w:hint="eastAsia" w:ascii="宋体" w:hAnsi="宋体" w:cs="宋体"/>
          <w:bCs/>
          <w:color w:val="auto"/>
          <w:sz w:val="24"/>
          <w:highlight w:val="none"/>
        </w:rPr>
        <w:t>18.5</w:t>
      </w:r>
      <w:r>
        <w:rPr>
          <w:rFonts w:hint="eastAsia" w:ascii="宋体" w:hAnsi="宋体" w:cs="宋体"/>
          <w:b/>
          <w:color w:val="auto"/>
          <w:sz w:val="24"/>
          <w:highlight w:val="none"/>
        </w:rPr>
        <w:t>（实质性要求）</w:t>
      </w:r>
      <w:r>
        <w:rPr>
          <w:rFonts w:hint="eastAsia" w:ascii="宋体" w:hAnsi="宋体" w:cs="宋体"/>
          <w:bCs/>
          <w:color w:val="auto"/>
          <w:sz w:val="24"/>
          <w:highlight w:val="none"/>
        </w:rPr>
        <w:t>响应文件应由供应商法定代表人或其授权代表在响应文件要求的地方签字（或加盖私人印章），要求加盖公章的地方加盖单位公章，不得使用专用章（如经济合同章、投标专用章等）或下属单位印章代替。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cs="宋体"/>
          <w:bCs/>
          <w:color w:val="auto"/>
          <w:sz w:val="24"/>
          <w:highlight w:val="none"/>
        </w:rPr>
      </w:pPr>
      <w:r>
        <w:rPr>
          <w:rFonts w:hint="eastAsia" w:ascii="宋体" w:hAnsi="宋体" w:cs="宋体"/>
          <w:bCs/>
          <w:color w:val="auto"/>
          <w:sz w:val="24"/>
          <w:highlight w:val="none"/>
        </w:rPr>
        <w:t>18.6响应文件正本和副本需要逐页编目编码。</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18.8</w:t>
      </w:r>
      <w:r>
        <w:rPr>
          <w:rFonts w:hint="eastAsia" w:ascii="宋体" w:hAnsi="宋体" w:cs="宋体"/>
          <w:b/>
          <w:color w:val="auto"/>
          <w:sz w:val="24"/>
          <w:highlight w:val="none"/>
        </w:rPr>
        <w:t>（实质性要求）</w:t>
      </w:r>
      <w:r>
        <w:rPr>
          <w:rFonts w:hint="eastAsia" w:ascii="宋体" w:hAnsi="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18.9响应文件统一用A4幅面纸印制，除另有规定外。</w:t>
      </w:r>
    </w:p>
    <w:p>
      <w:pPr>
        <w:tabs>
          <w:tab w:val="left" w:pos="1080"/>
        </w:tabs>
        <w:spacing w:line="360" w:lineRule="auto"/>
        <w:ind w:firstLine="463" w:firstLineChars="192"/>
        <w:rPr>
          <w:rFonts w:hint="eastAsia" w:ascii="宋体" w:hAnsi="宋体" w:cs="宋体"/>
          <w:b/>
          <w:color w:val="auto"/>
          <w:sz w:val="24"/>
          <w:highlight w:val="none"/>
        </w:rPr>
      </w:pPr>
      <w:bookmarkStart w:id="66" w:name="_Toc183682363"/>
      <w:bookmarkStart w:id="67" w:name="_Toc77400781"/>
      <w:bookmarkStart w:id="68" w:name="_Toc217446053"/>
      <w:bookmarkStart w:id="69" w:name="_Toc89075877"/>
      <w:bookmarkStart w:id="70" w:name="_Toc183582226"/>
    </w:p>
    <w:p>
      <w:pPr>
        <w:tabs>
          <w:tab w:val="left" w:pos="108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19.3 所有外层密封袋的封口处应粘贴牢固。</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hint="eastAsia" w:ascii="宋体" w:hAnsi="宋体" w:cs="宋体"/>
          <w:color w:val="auto"/>
          <w:sz w:val="24"/>
          <w:highlight w:val="none"/>
        </w:rPr>
      </w:pPr>
    </w:p>
    <w:p>
      <w:pPr>
        <w:tabs>
          <w:tab w:val="left" w:pos="1080"/>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20.响应文件的递交</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20.4 本次采购不接收邮寄的响应文件。</w:t>
      </w:r>
    </w:p>
    <w:p>
      <w:pPr>
        <w:tabs>
          <w:tab w:val="left" w:pos="1080"/>
        </w:tabs>
        <w:spacing w:line="360" w:lineRule="auto"/>
        <w:ind w:firstLine="460" w:firstLineChars="192"/>
        <w:rPr>
          <w:rFonts w:hint="eastAsia" w:ascii="宋体" w:hAnsi="宋体" w:cs="宋体"/>
          <w:color w:val="auto"/>
          <w:sz w:val="24"/>
          <w:highlight w:val="none"/>
        </w:rPr>
      </w:pPr>
    </w:p>
    <w:bookmarkEnd w:id="66"/>
    <w:bookmarkEnd w:id="67"/>
    <w:bookmarkEnd w:id="68"/>
    <w:bookmarkEnd w:id="69"/>
    <w:bookmarkEnd w:id="70"/>
    <w:p>
      <w:pPr>
        <w:tabs>
          <w:tab w:val="left" w:pos="1080"/>
        </w:tabs>
        <w:spacing w:line="360" w:lineRule="auto"/>
        <w:rPr>
          <w:rFonts w:hint="eastAsia" w:ascii="宋体" w:hAnsi="宋体" w:cs="宋体"/>
          <w:b/>
          <w:color w:val="auto"/>
          <w:sz w:val="24"/>
          <w:highlight w:val="none"/>
        </w:rPr>
      </w:pPr>
      <w:bookmarkStart w:id="71" w:name="_Toc183682365"/>
      <w:bookmarkStart w:id="72" w:name="_Toc183582228"/>
      <w:bookmarkStart w:id="73" w:name="_Toc217446055"/>
      <w:r>
        <w:rPr>
          <w:rFonts w:hint="eastAsia" w:ascii="宋体" w:hAnsi="宋体" w:cs="宋体"/>
          <w:b/>
          <w:color w:val="auto"/>
          <w:sz w:val="24"/>
          <w:highlight w:val="none"/>
        </w:rPr>
        <w:t>21.响应文件的修改和撤回（补充、修改响应文件的密封和标注按照本章“19.响应文件的密封和标注”规定处理）</w:t>
      </w:r>
    </w:p>
    <w:p>
      <w:pPr>
        <w:pStyle w:val="7"/>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21.4 响应文件中报价如果出现下列不一致的，可按以下原则进行修改：</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kern w:val="0"/>
          <w:sz w:val="24"/>
          <w:highlight w:val="none"/>
        </w:rPr>
        <w:t>大写金额和小写金额不一致的，以大写金额为准</w:t>
      </w:r>
      <w:r>
        <w:rPr>
          <w:rFonts w:hint="eastAsia" w:ascii="宋体" w:hAnsi="宋体" w:cs="宋体"/>
          <w:color w:val="auto"/>
          <w:sz w:val="24"/>
          <w:highlight w:val="none"/>
        </w:rPr>
        <w:t>，但大写金额文字存在错误的，应当先对大写金额的文字错误进行澄清、说明或者更正，再行修正。</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s="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s="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s="宋体"/>
          <w:color w:val="auto"/>
          <w:sz w:val="24"/>
          <w:highlight w:val="none"/>
        </w:rPr>
        <w:t>文字错误进行澄清、说明或者更正，再行修正。</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（三）单价金额小数点</w:t>
      </w:r>
      <w:r>
        <w:rPr>
          <w:rFonts w:hint="eastAsia" w:ascii="宋体" w:hAnsi="宋体" w:cs="宋体"/>
          <w:color w:val="auto"/>
          <w:kern w:val="0"/>
          <w:sz w:val="24"/>
          <w:highlight w:val="none"/>
        </w:rPr>
        <w:t>或者百分比有明显错位的</w:t>
      </w:r>
      <w:r>
        <w:rPr>
          <w:rFonts w:hint="eastAsia" w:ascii="宋体" w:hAnsi="宋体" w:cs="宋体"/>
          <w:color w:val="auto"/>
          <w:sz w:val="24"/>
          <w:highlight w:val="none"/>
        </w:rPr>
        <w:t>，以总价为准，修正单价。</w:t>
      </w:r>
    </w:p>
    <w:p>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21.5供应商对其提交的响应文件的真实性、合法性承担法律责任。</w:t>
      </w:r>
      <w:bookmarkEnd w:id="71"/>
      <w:bookmarkEnd w:id="72"/>
      <w:bookmarkEnd w:id="73"/>
    </w:p>
    <w:p>
      <w:pPr>
        <w:pStyle w:val="4"/>
        <w:keepNext w:val="0"/>
        <w:keepLines w:val="0"/>
        <w:spacing w:line="360" w:lineRule="auto"/>
        <w:jc w:val="center"/>
        <w:rPr>
          <w:rFonts w:hint="eastAsia" w:ascii="宋体" w:hAnsi="宋体" w:eastAsia="宋体" w:cs="宋体"/>
          <w:color w:val="auto"/>
          <w:highlight w:val="none"/>
        </w:rPr>
      </w:pPr>
      <w:bookmarkStart w:id="74" w:name="_Toc2936"/>
      <w:bookmarkStart w:id="75" w:name="_Toc77400782"/>
      <w:bookmarkStart w:id="76" w:name="_Toc183682368"/>
      <w:bookmarkStart w:id="77" w:name="_Toc217446056"/>
      <w:bookmarkStart w:id="78" w:name="_Toc183582231"/>
      <w:bookmarkStart w:id="79" w:name="_Toc89075878"/>
      <w:r>
        <w:rPr>
          <w:rFonts w:hint="eastAsia" w:ascii="宋体" w:hAnsi="宋体" w:eastAsia="宋体" w:cs="宋体"/>
          <w:color w:val="auto"/>
          <w:highlight w:val="none"/>
        </w:rPr>
        <w:t>五、评审</w:t>
      </w:r>
      <w:bookmarkEnd w:id="74"/>
    </w:p>
    <w:p>
      <w:pPr>
        <w:pStyle w:val="4"/>
        <w:keepNext w:val="0"/>
        <w:keepLines w:val="0"/>
        <w:spacing w:line="360" w:lineRule="auto"/>
        <w:rPr>
          <w:rFonts w:hint="eastAsia" w:ascii="宋体" w:hAnsi="宋体" w:eastAsia="宋体" w:cs="宋体"/>
          <w:color w:val="auto"/>
          <w:highlight w:val="none"/>
        </w:rPr>
      </w:pPr>
      <w:bookmarkStart w:id="80" w:name="_Toc18577"/>
      <w:r>
        <w:rPr>
          <w:rFonts w:hint="eastAsia" w:ascii="宋体" w:hAnsi="宋体" w:eastAsia="宋体" w:cs="宋体"/>
          <w:color w:val="auto"/>
          <w:sz w:val="24"/>
          <w:szCs w:val="24"/>
          <w:highlight w:val="none"/>
        </w:rPr>
        <w:t>22.</w:t>
      </w:r>
      <w:r>
        <w:rPr>
          <w:rFonts w:hint="eastAsia" w:ascii="宋体" w:hAnsi="宋体" w:eastAsia="宋体" w:cs="宋体"/>
          <w:b w:val="0"/>
          <w:color w:val="auto"/>
          <w:sz w:val="24"/>
          <w:szCs w:val="24"/>
          <w:highlight w:val="none"/>
        </w:rPr>
        <w:t>磋商小组的组建及其评审工作按照有关法律制度和本文件第七章的规定进行。</w:t>
      </w:r>
      <w:bookmarkEnd w:id="80"/>
    </w:p>
    <w:p>
      <w:pPr>
        <w:pStyle w:val="4"/>
        <w:keepNext w:val="0"/>
        <w:keepLines w:val="0"/>
        <w:spacing w:line="360" w:lineRule="auto"/>
        <w:jc w:val="center"/>
        <w:rPr>
          <w:rFonts w:hint="eastAsia" w:ascii="宋体" w:hAnsi="宋体" w:eastAsia="宋体" w:cs="宋体"/>
          <w:color w:val="auto"/>
          <w:highlight w:val="none"/>
        </w:rPr>
      </w:pPr>
      <w:bookmarkStart w:id="81" w:name="_Toc10906"/>
      <w:r>
        <w:rPr>
          <w:rFonts w:hint="eastAsia" w:ascii="宋体" w:hAnsi="宋体" w:eastAsia="宋体" w:cs="宋体"/>
          <w:color w:val="auto"/>
          <w:highlight w:val="none"/>
        </w:rPr>
        <w:t>六、成交事项</w:t>
      </w:r>
      <w:bookmarkEnd w:id="81"/>
    </w:p>
    <w:p>
      <w:pPr>
        <w:pStyle w:val="4"/>
        <w:keepNext w:val="0"/>
        <w:keepLines w:val="0"/>
        <w:spacing w:after="0" w:line="360" w:lineRule="auto"/>
        <w:rPr>
          <w:rFonts w:hint="eastAsia" w:ascii="宋体" w:hAnsi="宋体" w:eastAsia="宋体" w:cs="宋体"/>
          <w:color w:val="auto"/>
          <w:sz w:val="24"/>
          <w:szCs w:val="24"/>
          <w:highlight w:val="none"/>
        </w:rPr>
      </w:pPr>
      <w:bookmarkStart w:id="82" w:name="_Toc18928"/>
      <w:r>
        <w:rPr>
          <w:rFonts w:hint="eastAsia" w:ascii="宋体" w:hAnsi="宋体" w:eastAsia="宋体" w:cs="宋体"/>
          <w:color w:val="auto"/>
          <w:sz w:val="24"/>
          <w:szCs w:val="24"/>
          <w:highlight w:val="none"/>
        </w:rPr>
        <w:t>23.确定成交供应商</w:t>
      </w:r>
      <w:bookmarkEnd w:id="82"/>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3" w:name="_Toc10064"/>
      <w:r>
        <w:rPr>
          <w:rFonts w:hint="eastAsia" w:ascii="宋体" w:hAnsi="宋体" w:eastAsia="宋体" w:cs="宋体"/>
          <w:b w:val="0"/>
          <w:color w:val="auto"/>
          <w:sz w:val="24"/>
          <w:szCs w:val="24"/>
          <w:highlight w:val="none"/>
        </w:rPr>
        <w:t>采购人将按磋商小组推荐的成交候选供应商顺序确定成交供应商。</w:t>
      </w:r>
      <w:bookmarkEnd w:id="83"/>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4" w:name="_Toc31224"/>
      <w:r>
        <w:rPr>
          <w:rFonts w:hint="eastAsia" w:ascii="宋体" w:hAnsi="宋体" w:eastAsia="宋体" w:cs="宋体"/>
          <w:b w:val="0"/>
          <w:color w:val="auto"/>
          <w:sz w:val="24"/>
          <w:szCs w:val="24"/>
          <w:highlight w:val="none"/>
        </w:rPr>
        <w:t>23.1采购代理机构自评审结束后2个工作日内将磋商报告及有关资料送交采购人确定成交供应商。</w:t>
      </w:r>
      <w:bookmarkEnd w:id="84"/>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5" w:name="_Toc10966"/>
      <w:r>
        <w:rPr>
          <w:rFonts w:hint="eastAsia" w:ascii="宋体" w:hAnsi="宋体" w:eastAsia="宋体" w:cs="宋体"/>
          <w:b w:val="0"/>
          <w:color w:val="auto"/>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85"/>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6" w:name="_Toc8745"/>
      <w:r>
        <w:rPr>
          <w:rFonts w:hint="eastAsia" w:ascii="宋体" w:hAnsi="宋体" w:eastAsia="宋体" w:cs="宋体"/>
          <w:b w:val="0"/>
          <w:color w:val="auto"/>
          <w:sz w:val="24"/>
          <w:szCs w:val="24"/>
          <w:highlight w:val="none"/>
        </w:rPr>
        <w:t>23.3采购人确定成交供应商过程中，发现成交候选供应商有下列情形之一的，应当不予确定其为成交供应商：</w:t>
      </w:r>
      <w:bookmarkEnd w:id="86"/>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7" w:name="_Toc20761"/>
      <w:r>
        <w:rPr>
          <w:rFonts w:hint="eastAsia" w:ascii="宋体" w:hAnsi="宋体" w:eastAsia="宋体" w:cs="宋体"/>
          <w:b w:val="0"/>
          <w:color w:val="auto"/>
          <w:sz w:val="24"/>
          <w:szCs w:val="24"/>
          <w:highlight w:val="none"/>
        </w:rPr>
        <w:t>（1）发现成交候选供应商存在禁止参加本项目采购活动的违法行为的；</w:t>
      </w:r>
      <w:bookmarkEnd w:id="87"/>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8" w:name="_Toc11647"/>
      <w:r>
        <w:rPr>
          <w:rFonts w:hint="eastAsia" w:ascii="宋体" w:hAnsi="宋体" w:eastAsia="宋体" w:cs="宋体"/>
          <w:b w:val="0"/>
          <w:color w:val="auto"/>
          <w:sz w:val="24"/>
          <w:szCs w:val="24"/>
          <w:highlight w:val="none"/>
        </w:rPr>
        <w:t>（2）成交候选供应商因不可抗力，不能继续参加政府采购活动；</w:t>
      </w:r>
      <w:bookmarkEnd w:id="88"/>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89" w:name="_Toc9439"/>
      <w:r>
        <w:rPr>
          <w:rFonts w:hint="eastAsia" w:ascii="宋体" w:hAnsi="宋体" w:eastAsia="宋体" w:cs="宋体"/>
          <w:b w:val="0"/>
          <w:color w:val="auto"/>
          <w:sz w:val="24"/>
          <w:szCs w:val="24"/>
          <w:highlight w:val="none"/>
        </w:rPr>
        <w:t>（3）成交候选供应商无偿赠与或者低于成本价竞争；</w:t>
      </w:r>
      <w:bookmarkEnd w:id="89"/>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0" w:name="_Toc118"/>
      <w:r>
        <w:rPr>
          <w:rFonts w:hint="eastAsia" w:ascii="宋体" w:hAnsi="宋体" w:eastAsia="宋体" w:cs="宋体"/>
          <w:b w:val="0"/>
          <w:color w:val="auto"/>
          <w:sz w:val="24"/>
          <w:szCs w:val="24"/>
          <w:highlight w:val="none"/>
        </w:rPr>
        <w:t>（4）成交候选供应商提供虚假材料；</w:t>
      </w:r>
      <w:bookmarkEnd w:id="90"/>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1" w:name="_Toc12860"/>
      <w:r>
        <w:rPr>
          <w:rFonts w:hint="eastAsia" w:ascii="宋体" w:hAnsi="宋体" w:eastAsia="宋体" w:cs="宋体"/>
          <w:b w:val="0"/>
          <w:color w:val="auto"/>
          <w:sz w:val="24"/>
          <w:szCs w:val="24"/>
          <w:highlight w:val="none"/>
        </w:rPr>
        <w:t>（5）成交候选供应商恶意串通。</w:t>
      </w:r>
      <w:bookmarkEnd w:id="91"/>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2" w:name="_Toc29238"/>
      <w:r>
        <w:rPr>
          <w:rFonts w:hint="eastAsia" w:ascii="宋体" w:hAnsi="宋体" w:eastAsia="宋体" w:cs="宋体"/>
          <w:b w:val="0"/>
          <w:color w:val="auto"/>
          <w:sz w:val="24"/>
          <w:szCs w:val="24"/>
          <w:highlight w:val="none"/>
        </w:rPr>
        <w:t>成交候选供应商有本条情形之一的，采购人可以确定后一位成交候选供应商为成交供应商，依次类推。无法确定成交供应商的，应当重新组织采购。</w:t>
      </w:r>
      <w:bookmarkEnd w:id="92"/>
    </w:p>
    <w:p>
      <w:pPr>
        <w:spacing w:line="360" w:lineRule="auto"/>
        <w:rPr>
          <w:rFonts w:hint="eastAsia" w:ascii="宋体" w:hAnsi="宋体" w:cs="宋体"/>
          <w:color w:val="auto"/>
          <w:highlight w:val="none"/>
        </w:rPr>
      </w:pPr>
    </w:p>
    <w:p>
      <w:pPr>
        <w:pStyle w:val="4"/>
        <w:keepNext w:val="0"/>
        <w:keepLines w:val="0"/>
        <w:spacing w:before="0" w:after="0" w:line="360" w:lineRule="auto"/>
        <w:rPr>
          <w:rFonts w:hint="eastAsia" w:ascii="宋体" w:hAnsi="宋体" w:eastAsia="宋体" w:cs="宋体"/>
          <w:color w:val="auto"/>
          <w:sz w:val="24"/>
          <w:szCs w:val="24"/>
          <w:highlight w:val="none"/>
        </w:rPr>
      </w:pPr>
      <w:bookmarkStart w:id="93" w:name="_Toc2451"/>
      <w:r>
        <w:rPr>
          <w:rFonts w:hint="eastAsia" w:ascii="宋体" w:hAnsi="宋体" w:eastAsia="宋体" w:cs="宋体"/>
          <w:color w:val="auto"/>
          <w:sz w:val="24"/>
          <w:szCs w:val="24"/>
          <w:highlight w:val="none"/>
        </w:rPr>
        <w:t>24.供应商存在行贿犯罪</w:t>
      </w:r>
      <w:bookmarkEnd w:id="93"/>
      <w:r>
        <w:rPr>
          <w:rFonts w:hint="eastAsia" w:ascii="宋体" w:hAnsi="宋体" w:eastAsia="宋体" w:cs="宋体"/>
          <w:color w:val="auto"/>
          <w:sz w:val="24"/>
          <w:szCs w:val="24"/>
          <w:highlight w:val="none"/>
        </w:rPr>
        <w:t>记录的</w:t>
      </w:r>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4" w:name="_Toc23940"/>
      <w:r>
        <w:rPr>
          <w:rFonts w:hint="eastAsia" w:ascii="宋体" w:hAnsi="宋体" w:eastAsia="宋体" w:cs="宋体"/>
          <w:b w:val="0"/>
          <w:color w:val="auto"/>
          <w:sz w:val="24"/>
          <w:szCs w:val="24"/>
          <w:highlight w:val="none"/>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94"/>
    </w:p>
    <w:p>
      <w:pPr>
        <w:spacing w:line="360" w:lineRule="auto"/>
        <w:rPr>
          <w:rFonts w:hint="eastAsia" w:ascii="宋体" w:hAnsi="宋体" w:cs="宋体"/>
          <w:color w:val="auto"/>
          <w:highlight w:val="none"/>
        </w:rPr>
      </w:pPr>
    </w:p>
    <w:p>
      <w:pPr>
        <w:pStyle w:val="4"/>
        <w:keepNext w:val="0"/>
        <w:keepLines w:val="0"/>
        <w:spacing w:before="0" w:after="0" w:line="360" w:lineRule="auto"/>
        <w:rPr>
          <w:rFonts w:hint="eastAsia" w:ascii="宋体" w:hAnsi="宋体" w:eastAsia="宋体" w:cs="宋体"/>
          <w:color w:val="auto"/>
          <w:sz w:val="24"/>
          <w:szCs w:val="24"/>
          <w:highlight w:val="none"/>
        </w:rPr>
      </w:pPr>
      <w:bookmarkStart w:id="95" w:name="_Toc7123"/>
      <w:r>
        <w:rPr>
          <w:rFonts w:hint="eastAsia" w:ascii="宋体" w:hAnsi="宋体" w:eastAsia="宋体" w:cs="宋体"/>
          <w:color w:val="auto"/>
          <w:sz w:val="24"/>
          <w:szCs w:val="24"/>
          <w:highlight w:val="none"/>
        </w:rPr>
        <w:t>25.成交结果</w:t>
      </w:r>
      <w:bookmarkEnd w:id="95"/>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6" w:name="_Toc30483"/>
      <w:r>
        <w:rPr>
          <w:rFonts w:hint="eastAsia" w:ascii="宋体" w:hAnsi="宋体" w:eastAsia="宋体" w:cs="宋体"/>
          <w:b w:val="0"/>
          <w:color w:val="auto"/>
          <w:sz w:val="24"/>
          <w:szCs w:val="24"/>
          <w:highlight w:val="none"/>
        </w:rPr>
        <w:t>25.1采购人确定成交供应商后，将及时书面通知采购代理机构，发出成交通知书并发布成交结果公告。</w:t>
      </w:r>
      <w:bookmarkEnd w:id="96"/>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25.2成交供应商应当及时领取成交通知书。本项目需要交纳履约保证金的，成交供应商应当及时向采购人交纳。</w:t>
      </w:r>
    </w:p>
    <w:p>
      <w:pPr>
        <w:spacing w:line="360" w:lineRule="auto"/>
        <w:ind w:firstLine="465"/>
        <w:rPr>
          <w:rFonts w:hint="eastAsia" w:ascii="宋体" w:hAnsi="宋体" w:cs="宋体"/>
          <w:bCs/>
          <w:color w:val="auto"/>
          <w:sz w:val="24"/>
          <w:highlight w:val="none"/>
        </w:rPr>
      </w:pPr>
    </w:p>
    <w:p>
      <w:pPr>
        <w:pStyle w:val="4"/>
        <w:keepNext w:val="0"/>
        <w:keepLines w:val="0"/>
        <w:spacing w:before="0" w:after="0" w:line="360" w:lineRule="auto"/>
        <w:rPr>
          <w:rFonts w:hint="eastAsia" w:ascii="宋体" w:hAnsi="宋体" w:eastAsia="宋体" w:cs="宋体"/>
          <w:color w:val="auto"/>
          <w:sz w:val="24"/>
          <w:szCs w:val="24"/>
          <w:highlight w:val="none"/>
        </w:rPr>
      </w:pPr>
      <w:bookmarkStart w:id="97" w:name="_Toc27257"/>
      <w:r>
        <w:rPr>
          <w:rFonts w:hint="eastAsia" w:ascii="宋体" w:hAnsi="宋体" w:eastAsia="宋体" w:cs="宋体"/>
          <w:color w:val="auto"/>
          <w:sz w:val="24"/>
          <w:szCs w:val="24"/>
          <w:highlight w:val="none"/>
        </w:rPr>
        <w:t>26.成交通知书</w:t>
      </w:r>
      <w:bookmarkEnd w:id="97"/>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8" w:name="_Toc27078"/>
      <w:r>
        <w:rPr>
          <w:rFonts w:hint="eastAsia" w:ascii="宋体" w:hAnsi="宋体" w:eastAsia="宋体" w:cs="宋体"/>
          <w:b w:val="0"/>
          <w:color w:val="auto"/>
          <w:sz w:val="24"/>
          <w:szCs w:val="24"/>
          <w:highlight w:val="none"/>
        </w:rPr>
        <w:t>26.1成交通知书为签订政府采购合同的依据之一，是合同的有效组成部分。</w:t>
      </w:r>
      <w:bookmarkEnd w:id="98"/>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99" w:name="_Toc25746"/>
      <w:r>
        <w:rPr>
          <w:rFonts w:hint="eastAsia" w:ascii="宋体" w:hAnsi="宋体" w:eastAsia="宋体" w:cs="宋体"/>
          <w:b w:val="0"/>
          <w:color w:val="auto"/>
          <w:sz w:val="24"/>
          <w:szCs w:val="24"/>
          <w:highlight w:val="none"/>
        </w:rPr>
        <w:t>26.2成交通知书对采购人和成交供应商均具有法律效力。成交通知书发出后，采购人无正当理由改变成交结果，或者成交供应商无正当理由放弃成交的，将承担相应的法律责任。</w:t>
      </w:r>
      <w:bookmarkEnd w:id="99"/>
    </w:p>
    <w:p>
      <w:pPr>
        <w:pStyle w:val="4"/>
        <w:keepNext w:val="0"/>
        <w:keepLines w:val="0"/>
        <w:spacing w:before="0" w:after="0" w:line="360" w:lineRule="auto"/>
        <w:ind w:firstLine="480" w:firstLineChars="200"/>
        <w:rPr>
          <w:rFonts w:hint="eastAsia" w:ascii="宋体" w:hAnsi="宋体" w:eastAsia="宋体" w:cs="宋体"/>
          <w:b w:val="0"/>
          <w:color w:val="auto"/>
          <w:sz w:val="24"/>
          <w:szCs w:val="24"/>
          <w:highlight w:val="none"/>
        </w:rPr>
      </w:pPr>
      <w:bookmarkStart w:id="100" w:name="_Toc14985"/>
      <w:r>
        <w:rPr>
          <w:rFonts w:hint="eastAsia" w:ascii="宋体" w:hAnsi="宋体" w:eastAsia="宋体" w:cs="宋体"/>
          <w:b w:val="0"/>
          <w:color w:val="auto"/>
          <w:sz w:val="24"/>
          <w:szCs w:val="24"/>
          <w:highlight w:val="none"/>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bookmarkEnd w:id="100"/>
    </w:p>
    <w:p>
      <w:pPr>
        <w:rPr>
          <w:rFonts w:hint="eastAsia" w:ascii="宋体" w:hAnsi="宋体" w:cs="宋体"/>
          <w:color w:val="auto"/>
          <w:highlight w:val="none"/>
        </w:rPr>
      </w:pPr>
    </w:p>
    <w:p>
      <w:pPr>
        <w:pStyle w:val="4"/>
        <w:keepNext w:val="0"/>
        <w:keepLines w:val="0"/>
        <w:spacing w:line="360" w:lineRule="auto"/>
        <w:jc w:val="center"/>
        <w:rPr>
          <w:rFonts w:hint="eastAsia" w:ascii="宋体" w:hAnsi="宋体" w:eastAsia="宋体" w:cs="宋体"/>
          <w:color w:val="auto"/>
          <w:sz w:val="24"/>
          <w:szCs w:val="24"/>
          <w:highlight w:val="none"/>
        </w:rPr>
      </w:pPr>
      <w:bookmarkStart w:id="101" w:name="_Toc5183"/>
      <w:r>
        <w:rPr>
          <w:rFonts w:hint="eastAsia" w:ascii="宋体" w:hAnsi="宋体" w:eastAsia="宋体" w:cs="宋体"/>
          <w:color w:val="auto"/>
          <w:highlight w:val="none"/>
        </w:rPr>
        <w:t>七、合同事项</w:t>
      </w:r>
      <w:bookmarkEnd w:id="101"/>
    </w:p>
    <w:p>
      <w:pPr>
        <w:pStyle w:val="4"/>
        <w:keepNext w:val="0"/>
        <w:keepLines w:val="0"/>
        <w:spacing w:before="0" w:after="0" w:line="360" w:lineRule="auto"/>
        <w:rPr>
          <w:rFonts w:hint="eastAsia" w:ascii="宋体" w:hAnsi="宋体" w:eastAsia="宋体" w:cs="宋体"/>
          <w:color w:val="auto"/>
          <w:sz w:val="24"/>
          <w:szCs w:val="24"/>
          <w:highlight w:val="none"/>
        </w:rPr>
      </w:pPr>
      <w:bookmarkStart w:id="102" w:name="_Toc101174151"/>
      <w:bookmarkStart w:id="103" w:name="_Toc101338364"/>
      <w:bookmarkStart w:id="104" w:name="_Toc209847069"/>
      <w:bookmarkStart w:id="105" w:name="_Toc101250646"/>
      <w:bookmarkStart w:id="106" w:name="_Toc10296"/>
      <w:bookmarkStart w:id="107" w:name="_Toc430773927"/>
      <w:r>
        <w:rPr>
          <w:rFonts w:hint="eastAsia" w:ascii="宋体" w:hAnsi="宋体" w:eastAsia="宋体" w:cs="宋体"/>
          <w:color w:val="auto"/>
          <w:sz w:val="24"/>
          <w:szCs w:val="24"/>
          <w:highlight w:val="none"/>
        </w:rPr>
        <w:t>27.签订合同</w:t>
      </w:r>
      <w:bookmarkEnd w:id="102"/>
      <w:bookmarkEnd w:id="103"/>
      <w:bookmarkEnd w:id="104"/>
      <w:bookmarkEnd w:id="105"/>
      <w:bookmarkEnd w:id="106"/>
      <w:bookmarkEnd w:id="10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28.合同分包（实质性要求）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 根据《政府采购促进中小企业发展管理办法》（财库[2020]46号）规定的政策获取政府采购合同后，小型、微型企业不得分包或转包给大型、中型企业，中型企业不得分包或转包给大型企业。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29.合同转包（实质性要求）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成交供应商转包的，视同拒绝履行政府采购合同义务，将依法追究法律责任。</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30.补充合同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31.履约保证金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 本项目不收取履约保证金。</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32.合同公告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33.合同备案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采购人应当将政府采购合同副本自签订（双方当事人均已签字盖章）之日起七个工作日内通过四川政府采购网报同级财政部门备案。</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34.履行合同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 在合同履行过程中，如发生合同纠纷，合同双方应按照《中华人民共和国民法典》的有关规定进行处理。</w:t>
      </w:r>
    </w:p>
    <w:p>
      <w:pPr>
        <w:pStyle w:val="2"/>
        <w:rPr>
          <w:rFonts w:hint="eastAsia" w:ascii="宋体" w:hAnsi="宋体" w:cs="宋体"/>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35.验收标准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35.1严格按照《财政部关于进一步加强政府采购需求和履约验收管理的指导意见》(财库〔2016〕205号)以及主管部门的相关要求进行验收。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
        <w:rPr>
          <w:rFonts w:hint="eastAsia"/>
          <w:color w:val="auto"/>
          <w:highlight w:val="none"/>
        </w:rPr>
      </w:pPr>
    </w:p>
    <w:p>
      <w:pPr>
        <w:pStyle w:val="4"/>
        <w:keepNext w:val="0"/>
        <w:keepLines w:val="0"/>
        <w:spacing w:before="0" w:after="0" w:line="360" w:lineRule="auto"/>
        <w:jc w:val="center"/>
        <w:rPr>
          <w:rFonts w:hint="eastAsia" w:ascii="宋体" w:hAnsi="宋体" w:eastAsia="宋体" w:cs="宋体"/>
          <w:color w:val="auto"/>
          <w:sz w:val="24"/>
          <w:highlight w:val="none"/>
        </w:rPr>
      </w:pPr>
      <w:bookmarkStart w:id="108" w:name="_Toc11563"/>
      <w:r>
        <w:rPr>
          <w:rFonts w:hint="eastAsia" w:ascii="宋体" w:hAnsi="宋体" w:eastAsia="宋体" w:cs="宋体"/>
          <w:color w:val="auto"/>
          <w:highlight w:val="none"/>
        </w:rPr>
        <w:t>八、磋商纪律要求</w:t>
      </w:r>
      <w:bookmarkEnd w:id="108"/>
    </w:p>
    <w:p>
      <w:pPr>
        <w:tabs>
          <w:tab w:val="left" w:pos="851"/>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36.供应商不得具有的情形</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供应商参加本项目磋商不得有下列情形：</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（1）提供虚假材料谋取成交；</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（2）采取不正当手段诋毁、排挤其他供应商；</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（3）与采购人、采购代理机构、或其他供应商恶意串通；</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（5）在磋商过程中与采购人、采购代理机构进行协商；</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（6）成交后无正当理由拒不与采购人签订政府采购合同；</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（7）未按照磋商文件确定的事项签订政府采购合同；</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（8）将政府采购合同转包或者违规分包；</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（9）提供假冒伪劣产品；</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（12）法律法规规定的其他情形。</w:t>
      </w:r>
    </w:p>
    <w:p>
      <w:pPr>
        <w:tabs>
          <w:tab w:val="left" w:pos="851"/>
        </w:tabs>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jc w:val="center"/>
        <w:rPr>
          <w:rFonts w:hint="eastAsia" w:ascii="宋体" w:hAnsi="宋体" w:cs="宋体"/>
          <w:b/>
          <w:color w:val="auto"/>
          <w:sz w:val="32"/>
          <w:szCs w:val="32"/>
          <w:highlight w:val="none"/>
        </w:rPr>
      </w:pPr>
    </w:p>
    <w:p>
      <w:pPr>
        <w:tabs>
          <w:tab w:val="left" w:pos="851"/>
        </w:tabs>
        <w:spacing w:line="360" w:lineRule="auto"/>
        <w:jc w:val="center"/>
        <w:rPr>
          <w:rFonts w:hint="eastAsia" w:ascii="宋体" w:hAnsi="宋体" w:cs="宋体"/>
          <w:color w:val="auto"/>
          <w:sz w:val="24"/>
          <w:highlight w:val="none"/>
        </w:rPr>
      </w:pPr>
      <w:r>
        <w:rPr>
          <w:rFonts w:hint="eastAsia" w:ascii="宋体" w:hAnsi="宋体" w:cs="宋体"/>
          <w:b/>
          <w:color w:val="auto"/>
          <w:sz w:val="32"/>
          <w:szCs w:val="32"/>
          <w:highlight w:val="none"/>
        </w:rPr>
        <w:t>九、询问、质疑和投诉</w:t>
      </w:r>
    </w:p>
    <w:p>
      <w:pPr>
        <w:tabs>
          <w:tab w:val="left" w:pos="851"/>
        </w:tabs>
        <w:spacing w:line="360" w:lineRule="auto"/>
        <w:ind w:firstLine="495"/>
        <w:rPr>
          <w:rFonts w:hint="eastAsia" w:ascii="宋体" w:hAnsi="宋体" w:cs="宋体"/>
          <w:color w:val="auto"/>
          <w:sz w:val="24"/>
          <w:highlight w:val="none"/>
        </w:rPr>
      </w:pPr>
      <w:r>
        <w:rPr>
          <w:rFonts w:hint="eastAsia" w:ascii="宋体" w:hAnsi="宋体" w:cs="宋体"/>
          <w:color w:val="auto"/>
          <w:sz w:val="24"/>
          <w:highlight w:val="none"/>
        </w:rPr>
        <w:t>37.询问、质疑、投诉的接收和处理严格按照《中华人民共和国政府采购法》、《中华人民共和国政府采购法实施条例》、《政府采购竞争性磋商采购方式管理暂行办法》、《中华人民共和国财政部令第94号--政府采购质疑和投诉办法》等有关规定办理（详细规定请在四川政府采购网政策法规模块查询）。</w:t>
      </w:r>
      <w:bookmarkStart w:id="109" w:name="_Toc12072"/>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第三章  供应商资格条件要求</w:t>
      </w:r>
      <w:bookmarkEnd w:id="109"/>
    </w:p>
    <w:p>
      <w:pPr>
        <w:pStyle w:val="70"/>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 xml:space="preserve">（一）供应商的申请资格条件： </w:t>
      </w:r>
      <w:r>
        <w:rPr>
          <w:rFonts w:ascii="宋体" w:hAnsi="宋体" w:cs="宋体"/>
          <w:b/>
          <w:bCs/>
          <w:color w:val="auto"/>
          <w:sz w:val="24"/>
          <w:highlight w:val="none"/>
        </w:rPr>
        <w:t xml:space="preserve"> </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1.具有独立承担民事责任的能力；</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2.具有良好的商业信誉和健全的财务会计制度；</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3.具有履行合同所必需的设备和专业技术能力；</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4.具有依法缴纳税收和社会保障资金的良好记录；</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5.参加此项采购活动前三年内，在经营活动中没有重大违法记录；</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6.法律、行政法规规定的其他条件。</w:t>
      </w:r>
    </w:p>
    <w:p>
      <w:pPr>
        <w:pStyle w:val="70"/>
        <w:ind w:firstLine="480"/>
        <w:rPr>
          <w:rFonts w:hint="eastAsia"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供应商及其现任法定代表人、主要负责人在参加本项目政府采购活动前三年无行贿犯罪记录。</w:t>
      </w:r>
    </w:p>
    <w:p>
      <w:pPr>
        <w:pStyle w:val="70"/>
        <w:ind w:firstLine="600" w:firstLineChars="250"/>
        <w:rPr>
          <w:rFonts w:hint="eastAsia" w:ascii="宋体" w:hAnsi="宋体" w:cs="宋体"/>
          <w:color w:val="auto"/>
          <w:sz w:val="24"/>
          <w:highlight w:val="none"/>
          <w:lang w:val="zh-CN"/>
        </w:rPr>
      </w:pPr>
      <w:r>
        <w:rPr>
          <w:rFonts w:hint="eastAsia" w:ascii="宋体" w:hAnsi="宋体" w:cs="宋体"/>
          <w:color w:val="auto"/>
          <w:sz w:val="24"/>
          <w:highlight w:val="none"/>
        </w:rPr>
        <w:t>8.</w:t>
      </w:r>
      <w:r>
        <w:rPr>
          <w:rFonts w:hint="eastAsia" w:ascii="宋体" w:hAnsi="宋体" w:cs="宋体"/>
          <w:color w:val="auto"/>
          <w:sz w:val="24"/>
          <w:highlight w:val="none"/>
          <w:lang w:val="zh-CN"/>
        </w:rPr>
        <w:t>供应商须提供“截至投标截止日未被列入失信被执行人、重大税收违法案件当事人名单、政府采购严重违法失信行为记录名单的承诺函”。</w:t>
      </w:r>
    </w:p>
    <w:p>
      <w:pPr>
        <w:pStyle w:val="70"/>
        <w:ind w:firstLine="602" w:firstLineChars="250"/>
        <w:rPr>
          <w:rFonts w:hint="eastAsia" w:ascii="宋体" w:hAnsi="宋体" w:cs="宋体"/>
          <w:color w:val="auto"/>
          <w:sz w:val="24"/>
          <w:highlight w:val="none"/>
          <w:lang w:val="zh-CN"/>
        </w:rPr>
      </w:pPr>
      <w:r>
        <w:rPr>
          <w:rFonts w:hint="eastAsia" w:ascii="宋体" w:hAnsi="宋体" w:cs="宋体"/>
          <w:b/>
          <w:bCs/>
          <w:color w:val="auto"/>
          <w:sz w:val="24"/>
          <w:highlight w:val="none"/>
        </w:rPr>
        <w:t>注：采购人或采购代理机构将于本项目投标截止日在‘信用中国’网站、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p>
    <w:p>
      <w:pPr>
        <w:pStyle w:val="70"/>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（二）落实政府采购政策需满足的资格要求：</w:t>
      </w:r>
    </w:p>
    <w:p>
      <w:pPr>
        <w:pStyle w:val="70"/>
        <w:ind w:firstLine="48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p>
      <w:pPr>
        <w:pStyle w:val="70"/>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（三）本项目的特定资格要求：</w:t>
      </w:r>
    </w:p>
    <w:p>
      <w:pPr>
        <w:pStyle w:val="70"/>
        <w:ind w:firstLine="480"/>
        <w:rPr>
          <w:color w:val="auto"/>
          <w:sz w:val="24"/>
          <w:highlight w:val="none"/>
        </w:rPr>
      </w:pPr>
      <w:r>
        <w:rPr>
          <w:rFonts w:hint="eastAsia" w:ascii="宋体" w:hAnsi="宋体" w:cs="宋体"/>
          <w:color w:val="auto"/>
          <w:sz w:val="24"/>
          <w:highlight w:val="none"/>
          <w:lang w:eastAsia="zh-CN"/>
        </w:rPr>
        <w:t>具有国家行政主管部门颁发的城乡规划乙级及以上编制资质</w:t>
      </w:r>
      <w:r>
        <w:rPr>
          <w:rFonts w:hint="eastAsia" w:ascii="宋体" w:hAnsi="宋体" w:cs="宋体"/>
          <w:color w:val="auto"/>
          <w:sz w:val="24"/>
          <w:highlight w:val="none"/>
        </w:rPr>
        <w:t>。</w:t>
      </w:r>
    </w:p>
    <w:p>
      <w:pPr>
        <w:pStyle w:val="70"/>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（四）本项目不接受联合体参与采购活动。</w:t>
      </w:r>
    </w:p>
    <w:p>
      <w:pP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50000元。</w:t>
      </w:r>
    </w:p>
    <w:p>
      <w:pPr>
        <w:numPr>
          <w:ilvl w:val="0"/>
          <w:numId w:val="4"/>
        </w:numPr>
        <w:spacing w:line="360" w:lineRule="auto"/>
        <w:ind w:firstLine="482" w:firstLineChars="200"/>
        <w:rPr>
          <w:rFonts w:hint="eastAsia"/>
          <w:color w:val="auto"/>
          <w:highlight w:val="none"/>
        </w:rPr>
      </w:pPr>
      <w:r>
        <w:rPr>
          <w:rFonts w:hint="eastAsia" w:ascii="宋体" w:hAnsi="宋体" w:eastAsia="宋体" w:cs="宋体"/>
          <w:b/>
          <w:bCs/>
          <w:color w:val="auto"/>
          <w:sz w:val="24"/>
          <w:szCs w:val="32"/>
          <w:highlight w:val="none"/>
        </w:rPr>
        <w:t>供</w:t>
      </w:r>
      <w:r>
        <w:rPr>
          <w:rFonts w:hint="eastAsia" w:ascii="宋体" w:hAnsi="宋体" w:cs="宋体"/>
          <w:b/>
          <w:bCs/>
          <w:color w:val="auto"/>
          <w:sz w:val="24"/>
          <w:szCs w:val="32"/>
          <w:highlight w:val="none"/>
        </w:rPr>
        <w:t>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numPr>
          <w:ilvl w:val="0"/>
          <w:numId w:val="5"/>
        </w:numPr>
        <w:jc w:val="center"/>
        <w:rPr>
          <w:rFonts w:hint="eastAsia" w:ascii="宋体" w:hAnsi="宋体" w:eastAsia="宋体" w:cs="宋体"/>
          <w:color w:val="auto"/>
          <w:highlight w:val="none"/>
        </w:rPr>
      </w:pPr>
      <w:bookmarkStart w:id="110" w:name="_Toc15457"/>
      <w:r>
        <w:rPr>
          <w:rFonts w:hint="eastAsia" w:ascii="宋体" w:hAnsi="宋体" w:eastAsia="宋体" w:cs="宋体"/>
          <w:color w:val="auto"/>
          <w:highlight w:val="none"/>
        </w:rPr>
        <w:t>供应商资格证明材料</w:t>
      </w:r>
      <w:bookmarkEnd w:id="110"/>
    </w:p>
    <w:p>
      <w:pPr>
        <w:spacing w:line="360" w:lineRule="auto"/>
        <w:rPr>
          <w:rFonts w:hint="eastAsia" w:ascii="宋体" w:hAnsi="宋体" w:cs="宋体"/>
          <w:b/>
          <w:bCs/>
          <w:color w:val="auto"/>
          <w:sz w:val="24"/>
          <w:highlight w:val="none"/>
        </w:rPr>
      </w:pPr>
      <w:bookmarkStart w:id="111" w:name="_Toc19522"/>
      <w:bookmarkStart w:id="112" w:name="_Toc18969"/>
      <w:bookmarkStart w:id="113" w:name="_Toc18870"/>
      <w:r>
        <w:rPr>
          <w:rFonts w:hint="eastAsia" w:ascii="宋体" w:hAnsi="宋体" w:cs="宋体"/>
          <w:b/>
          <w:bCs/>
          <w:color w:val="auto"/>
          <w:sz w:val="24"/>
          <w:highlight w:val="none"/>
        </w:rPr>
        <w:t>（一）供应商应当提供的资质性及其他类似效力要求的相关证明材料</w:t>
      </w:r>
      <w:bookmarkEnd w:id="111"/>
      <w:bookmarkEnd w:id="112"/>
      <w:bookmarkEnd w:id="113"/>
      <w:r>
        <w:rPr>
          <w:rFonts w:hint="eastAsia" w:ascii="宋体" w:hAnsi="宋体" w:cs="宋体"/>
          <w:b/>
          <w:bCs/>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企业提供营业执照副本复印件，事业单位提供事业单位法人证书复印件，其他组织提供营业执照等证明文件复印件，自然人提供身份证明复印件</w:t>
      </w:r>
      <w:r>
        <w:rPr>
          <w:rFonts w:hint="eastAsia" w:ascii="宋体" w:hAnsi="宋体" w:cs="宋体"/>
          <w:color w:val="auto"/>
          <w:sz w:val="24"/>
          <w:highlight w:val="none"/>
        </w:rPr>
        <w:t>加盖公章。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①企业提供</w:t>
      </w:r>
      <w:r>
        <w:rPr>
          <w:rFonts w:hint="eastAsia" w:ascii="宋体" w:hAnsi="宋体" w:cs="宋体"/>
          <w:color w:val="auto"/>
          <w:sz w:val="24"/>
          <w:highlight w:val="none"/>
        </w:rPr>
        <w:t>2019</w:t>
      </w:r>
      <w:r>
        <w:rPr>
          <w:rFonts w:hint="eastAsia" w:ascii="宋体" w:hAnsi="宋体" w:cs="宋体"/>
          <w:color w:val="auto"/>
          <w:sz w:val="24"/>
          <w:highlight w:val="none"/>
          <w:lang w:val="zh-CN"/>
        </w:rPr>
        <w:t>年度或</w:t>
      </w:r>
      <w:r>
        <w:rPr>
          <w:rFonts w:hint="eastAsia" w:ascii="宋体" w:hAnsi="宋体" w:cs="宋体"/>
          <w:color w:val="auto"/>
          <w:sz w:val="24"/>
          <w:highlight w:val="none"/>
        </w:rPr>
        <w:t>2020年度</w:t>
      </w:r>
      <w:r>
        <w:rPr>
          <w:rFonts w:hint="eastAsia" w:ascii="宋体" w:hAnsi="宋体" w:cs="宋体"/>
          <w:color w:val="auto"/>
          <w:sz w:val="24"/>
          <w:highlight w:val="none"/>
          <w:lang w:val="zh-CN"/>
        </w:rPr>
        <w:t>经过会计师事务所审计的有效财务报告复印件（至少包含“三表一附注”：即资产负债表、利润表、现金流量表及其附注）。</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②提供基本开户银行出具的资信证明</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rPr>
        <w:t>注：以上①②项具有同等的效力，提供任一项均可。事业单位根据自身实际情况自行提供资料或承诺函。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3.提供具有履行合同所必需的设备和专业技术能力的承诺函或其他证明材料。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4.提供具有依法缴纳税收和社会保障资金的良好记录；（附2021年以来任意一个月的纳税缴纳凭证和社保缴纳凭证的复印件）。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5.提供参加此项采购活动前三年内，在经营活动中没有重大违法记录承诺函【原件】。</w:t>
      </w:r>
    </w:p>
    <w:p>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6.提供具备《中华人民共和国政府采购法》第二十二条规定条件的承诺函【原件】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7.供应商应提供供应商及其现任法定代表人、主要负责人在参加本项目政府采购活动前三年无行贿犯罪记录的承诺函【原件】；（成立不足三年的，从成立之日起计算）</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8.须提供“截至投标截止日未被列入失信被执行人、重大税收违法案件当事人名单、政府采购严重违法失信行为记录名单”的承诺函【原件】。</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（二）落实政府采购政策需满足的资格要求：</w:t>
      </w:r>
    </w:p>
    <w:p>
      <w:pPr>
        <w:pStyle w:val="70"/>
        <w:ind w:firstLine="48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（三）本项目的特定资格要求应当提供的相关证明材料：</w:t>
      </w:r>
    </w:p>
    <w:p>
      <w:pPr>
        <w:pStyle w:val="70"/>
        <w:ind w:firstLine="480"/>
        <w:rPr>
          <w:color w:val="auto"/>
          <w:sz w:val="24"/>
          <w:highlight w:val="none"/>
        </w:rPr>
      </w:pPr>
      <w:r>
        <w:rPr>
          <w:rFonts w:hint="eastAsia" w:ascii="宋体" w:hAnsi="宋体" w:cs="宋体"/>
          <w:color w:val="auto"/>
          <w:sz w:val="24"/>
          <w:highlight w:val="none"/>
          <w:lang w:eastAsia="zh-CN"/>
        </w:rPr>
        <w:t>具有国家行政主管部门颁发的城乡规划乙级及以上编制资质</w:t>
      </w:r>
      <w:r>
        <w:rPr>
          <w:rFonts w:hint="eastAsia" w:ascii="宋体" w:hAnsi="宋体" w:cs="宋体"/>
          <w:color w:val="auto"/>
          <w:sz w:val="24"/>
          <w:highlight w:val="none"/>
          <w:lang w:val="en-US" w:eastAsia="zh-CN"/>
        </w:rPr>
        <w:t>复印件</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（四）本项目不接受联合体参与采购活动。</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1、①附法定代表人和被授权人身份证复印件正反面；②法定代表人亲自参与磋商时只需提供</w:t>
      </w:r>
      <w:r>
        <w:rPr>
          <w:rFonts w:hint="eastAsia" w:ascii="宋体" w:hAnsi="宋体" w:cs="宋体"/>
          <w:b/>
          <w:bCs/>
          <w:color w:val="auto"/>
          <w:sz w:val="24"/>
          <w:highlight w:val="none"/>
          <w:lang w:val="zh-CN"/>
        </w:rPr>
        <w:t>法定代表人证明书原件</w:t>
      </w:r>
      <w:r>
        <w:rPr>
          <w:rFonts w:hint="eastAsia" w:ascii="宋体" w:hAnsi="宋体" w:cs="宋体"/>
          <w:b/>
          <w:bCs/>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3、供应商应对其所提供的资格证明材料来源的合法性、真实性承担法律责任。以上材料均须加盖公章。</w:t>
      </w: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color w:val="auto"/>
          <w:sz w:val="24"/>
          <w:highlight w:val="none"/>
        </w:rPr>
      </w:pPr>
    </w:p>
    <w:p>
      <w:pPr>
        <w:pStyle w:val="4"/>
        <w:numPr>
          <w:ilvl w:val="0"/>
          <w:numId w:val="6"/>
        </w:numPr>
        <w:jc w:val="center"/>
        <w:rPr>
          <w:rFonts w:hint="eastAsia" w:ascii="宋体" w:hAnsi="宋体" w:eastAsia="宋体" w:cs="宋体"/>
          <w:color w:val="auto"/>
          <w:highlight w:val="none"/>
        </w:rPr>
      </w:pPr>
      <w:bookmarkStart w:id="114" w:name="_Toc29688"/>
      <w:r>
        <w:rPr>
          <w:rFonts w:hint="eastAsia" w:ascii="宋体" w:hAnsi="宋体" w:eastAsia="宋体" w:cs="宋体"/>
          <w:color w:val="auto"/>
          <w:highlight w:val="none"/>
        </w:rPr>
        <w:t>采购项目技术、服务、政府采购合同内容条款及其他商务要求</w:t>
      </w:r>
      <w:bookmarkEnd w:id="114"/>
    </w:p>
    <w:bookmarkEnd w:id="75"/>
    <w:bookmarkEnd w:id="76"/>
    <w:bookmarkEnd w:id="77"/>
    <w:bookmarkEnd w:id="78"/>
    <w:bookmarkEnd w:id="79"/>
    <w:p>
      <w:pPr>
        <w:snapToGrid w:val="0"/>
        <w:spacing w:line="360" w:lineRule="auto"/>
        <w:ind w:firstLine="569" w:firstLineChars="236"/>
        <w:rPr>
          <w:rFonts w:hint="eastAsia" w:ascii="宋体" w:hAnsi="宋体" w:cs="宋体"/>
          <w:color w:val="auto"/>
          <w:sz w:val="24"/>
          <w:highlight w:val="none"/>
        </w:rPr>
      </w:pPr>
      <w:bookmarkStart w:id="115" w:name="_Toc25527"/>
      <w:bookmarkStart w:id="116" w:name="_Toc217446057"/>
      <w:bookmarkStart w:id="117" w:name="_Toc183682369"/>
      <w:bookmarkStart w:id="118" w:name="_Toc183582232"/>
      <w:r>
        <w:rPr>
          <w:rFonts w:hint="eastAsia" w:ascii="宋体" w:hAnsi="宋体" w:cs="宋体"/>
          <w:b/>
          <w:bCs/>
          <w:color w:val="auto"/>
          <w:sz w:val="24"/>
          <w:highlight w:val="none"/>
        </w:rPr>
        <w:t>一、项目服务内容及要求</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根据成都市住房和城乡建设局开展城市体检工作的要求，在“一城一体检”基础上开展“一区一体检”，本区政府（管委会）为各区城市体检责任主体，组织开展区域内城市体检相关工作，精准化查找问题，差异化解决问题，特色化提档升级，为本辖区精准治理提供科学依据。</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协助牵头单位确定区级体检流程。参照市级城市体检流程，制定本区城市体检工作方案，明确工作任务、工作实施步骤和时间节点，完成本区自体检报告，于规定时间前报城市体检工作领导小组。</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以市级城市体检方案和指标体系为导则，确定开展城市体检的方法和技术手段，按照成都市住房和城乡建设局相关要求，围绕“生态宜居、健康舒适、安全韧性、交通便捷、风貌特色、整洁有序、多元包容、创新活力”8个方面根据自身建设发展情况，结合本区实际，有针对性的选取部分指标，形成个性化体检指标体系。构建客观科学高效的评价方式，确保可操作可落地，数据采集精准可靠，结论评价客观公正。</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具体工作：完成成都市住房和城乡建设局下达的2021年城市体检任务，形成自检报告及其他成都市住房和城乡建设局和采购人要求的成果。</w:t>
      </w:r>
    </w:p>
    <w:p>
      <w:pPr>
        <w:snapToGrid w:val="0"/>
        <w:spacing w:line="360" w:lineRule="auto"/>
        <w:ind w:firstLine="569" w:firstLineChars="236"/>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、技术思路方案及服务方案编制要求</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技术思路方案：结合成都市建设美丽宜居公园城市和建设高品质生活宜居地相关工作，围绕生态宜居、健康舒适、安全韧性、交通便捷、风貌特色、整洁有序、多元包容、创新活力等方面开展2021年城市体检。</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服务方案:供应商针对本项目制定服务方案，内容包括但不限于①工作组织程序；②工作进度控制方案；③成果质量保障，采购单位会根据供应商提供的服务方案进行综合评审</w:t>
      </w:r>
    </w:p>
    <w:p>
      <w:pPr>
        <w:snapToGrid w:val="0"/>
        <w:spacing w:line="360" w:lineRule="auto"/>
        <w:ind w:firstLine="566" w:firstLineChars="236"/>
        <w:rPr>
          <w:rFonts w:hint="eastAsia" w:ascii="宋体" w:hAnsi="宋体" w:cs="宋体"/>
          <w:color w:val="auto"/>
          <w:sz w:val="24"/>
          <w:highlight w:val="none"/>
        </w:rPr>
      </w:pP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注：①供应商应当保证所提交的所有材料的真实性，若提交虚假材料谋取中标的，应当将该供应商按失信行为记入诚信档案。</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②供应商根据项目的实际需求和具体情况实事求是地编制，能具体量化，具有可行性及便于监督考核，不得违反法律、法规规定，不得夸大其词和空口许诺。</w:t>
      </w:r>
    </w:p>
    <w:p>
      <w:pPr>
        <w:snapToGrid w:val="0"/>
        <w:spacing w:line="360" w:lineRule="auto"/>
        <w:ind w:firstLine="569" w:firstLineChars="236"/>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、商务要求</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(一)履约时间和地点</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 xml:space="preserve">1.履约时间:工作内容在成都市住房和城乡建设局要求的时间内完成(具体完成时间以采购人通知为准)； </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2.履约地点:采购人指定地点。</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(二)合同价款</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合同价是供应商响应采购项目要求的全部工作内容的价格体现，包括完成本项目所涉及的本区体检报告的研究、设计、编制费用及人工成本费用、税费等费用。</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(三)付款方式</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采购本合同签订生效后10日内支付合同总金额的50%；体检报告提交甲方并获得认可7日内，甲方向乙方支付合同总金额的30%；成果提交成都市住房和城乡建设局并获得认可后10日内支付合同剩余金额；</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供应商须向采购人出具合法有效完整的完税发票及凭证资料后进行支付结算,付款方式均采用公对公的银行转账，接受转账的开户信息以采购合同载明的为准。</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(四)验收方法和标准</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严格按照</w:t>
      </w:r>
      <w:r>
        <w:rPr>
          <w:rFonts w:hint="eastAsia" w:ascii="宋体" w:hAnsi="宋体" w:eastAsia="宋体" w:cs="宋体"/>
          <w:color w:val="auto"/>
          <w:sz w:val="24"/>
          <w:highlight w:val="none"/>
          <w:lang w:val="en-US" w:eastAsia="zh-CN"/>
        </w:rPr>
        <w:t>《政府采购需求管理办法》</w:t>
      </w:r>
      <w:r>
        <w:rPr>
          <w:rFonts w:hint="eastAsia" w:ascii="宋体" w:hAnsi="宋体" w:eastAsia="宋体" w:cs="宋体"/>
          <w:color w:val="auto"/>
          <w:sz w:val="24"/>
          <w:highlight w:val="none"/>
        </w:rPr>
        <w:t>财库〔2021〕22号和</w:t>
      </w:r>
      <w:r>
        <w:rPr>
          <w:rFonts w:hint="eastAsia" w:ascii="宋体" w:hAnsi="宋体" w:cs="宋体"/>
          <w:color w:val="auto"/>
          <w:sz w:val="24"/>
          <w:highlight w:val="none"/>
        </w:rPr>
        <w:t>《财政部关于进-步加强政府采购需求和履约验收管理的指导意见》(财库(2016) 205号)以及主管部门的相关要求进行验收。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(五)其他要求</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1.采购合同签订时间:供应商成交后，自磋商结果公示期满之日起，须按政府采购相关法律法规要求，在30日内与采购单位签订政府采购合同。</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2.供应商应保证所提供的服务或其任何一部分均不会侵犯任何第三方的专利权、商标权或著作权</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3.供应商对本项目产出成果及其相关一切资料负有保密义务，未经采购人允许不得随意使用</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4.采购人定期核对供应商提供服务所配备的人员数量及相关信息，对于未按照采购文件及投标响应要求执行或存在不合理的部分有权下达整改通知书，并要求供应商限期整改，并根据违约情况扣除履约保证金。</w:t>
      </w:r>
    </w:p>
    <w:p>
      <w:pPr>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5.供应商定期及时向采购人通告本项目服务范围内有关服务的重大事项及其进度。</w:t>
      </w:r>
    </w:p>
    <w:p>
      <w:pPr>
        <w:snapToGrid w:val="0"/>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6.接受项目行业管理部门及政府有关部门的指导，接受采购人的监督。</w:t>
      </w:r>
    </w:p>
    <w:p>
      <w:pPr>
        <w:snapToGrid w:val="0"/>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7.在采购合同履约过程中发生的或与本合同有关的争端，供应商与采购人应通过友好协商解决，协商或调解不成的，由当事人依法维护其合法权益。</w:t>
      </w:r>
    </w:p>
    <w:p>
      <w:pPr>
        <w:spacing w:line="360" w:lineRule="auto"/>
        <w:rPr>
          <w:rFonts w:hint="eastAsia" w:ascii="宋体" w:hAnsi="宋体" w:cs="宋体"/>
          <w:b/>
          <w:bCs/>
          <w:color w:val="auto"/>
          <w:sz w:val="24"/>
          <w:szCs w:val="32"/>
          <w:highlight w:val="none"/>
        </w:rPr>
      </w:pPr>
    </w:p>
    <w:p>
      <w:pP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注：在磋商过程中，磋商小组可以根据磋商文件和磋商情况实质性变动磋商文件的技术、服务要求以及合同草案条款，但不得变动磋商文件中的其他内容。实质性变动的内容，须经采购人代表书面确认。</w:t>
      </w:r>
    </w:p>
    <w:p>
      <w:pPr>
        <w:pStyle w:val="6"/>
        <w:ind w:firstLine="482"/>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4"/>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第六章  响应文件格式</w:t>
      </w:r>
      <w:bookmarkEnd w:id="115"/>
    </w:p>
    <w:p>
      <w:pPr>
        <w:pStyle w:val="74"/>
        <w:spacing w:line="360" w:lineRule="auto"/>
        <w:rPr>
          <w:rFonts w:hint="eastAsia" w:hAnsi="宋体"/>
          <w:color w:val="auto"/>
          <w:highlight w:val="none"/>
          <w:lang w:val="zh-CN"/>
        </w:rPr>
      </w:pPr>
      <w:r>
        <w:rPr>
          <w:rFonts w:hint="eastAsia" w:hAnsi="宋体"/>
          <w:color w:val="auto"/>
          <w:highlight w:val="none"/>
          <w:lang w:val="zh-CN"/>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74"/>
        <w:spacing w:line="360" w:lineRule="auto"/>
        <w:rPr>
          <w:rFonts w:hint="eastAsia" w:hAnsi="宋体"/>
          <w:color w:val="auto"/>
          <w:highlight w:val="none"/>
          <w:lang w:val="zh-CN"/>
        </w:rPr>
      </w:pPr>
      <w:r>
        <w:rPr>
          <w:rFonts w:hint="eastAsia" w:hAnsi="宋体"/>
          <w:color w:val="auto"/>
          <w:highlight w:val="none"/>
          <w:lang w:val="zh-CN"/>
        </w:rPr>
        <w:t xml:space="preserve">    二、本章所制响应文件格式有关表格中的备注栏，由供应商根据自身响应情况作解释性说明，不作为必填项。</w:t>
      </w:r>
    </w:p>
    <w:p>
      <w:pPr>
        <w:pStyle w:val="74"/>
        <w:spacing w:line="360" w:lineRule="auto"/>
        <w:ind w:firstLine="480" w:firstLineChars="200"/>
        <w:rPr>
          <w:rFonts w:hint="eastAsia" w:hAnsi="宋体"/>
          <w:color w:val="auto"/>
          <w:highlight w:val="none"/>
          <w:lang w:val="zh-CN"/>
        </w:rPr>
      </w:pPr>
      <w:r>
        <w:rPr>
          <w:rFonts w:hint="eastAsia" w:hAnsi="宋体"/>
          <w:color w:val="auto"/>
          <w:highlight w:val="none"/>
          <w:lang w:val="zh-CN"/>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四、响应文件分资格性响应文件、其他响应文件、电子文档三部分，应分册装订密封分。</w:t>
      </w: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第一部分  资格性响应文件(格式)</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一、法定代表人授权书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四川建茂同方工程项目管理有限公司：</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本授权声明：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磋商供应商名称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法定代表人姓名、职务</w:t>
      </w:r>
      <w:r>
        <w:rPr>
          <w:rFonts w:hint="eastAsia" w:ascii="宋体" w:hAnsi="宋体" w:cs="宋体"/>
          <w:color w:val="auto"/>
          <w:sz w:val="24"/>
          <w:highlight w:val="none"/>
        </w:rPr>
        <w:t>)授权</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被授权人姓名、职务、身份证号码</w:t>
      </w:r>
      <w:r>
        <w:rPr>
          <w:rFonts w:hint="eastAsia" w:ascii="宋体" w:hAnsi="宋体" w:cs="宋体"/>
          <w:color w:val="auto"/>
          <w:sz w:val="24"/>
          <w:highlight w:val="none"/>
        </w:rPr>
        <w:t>)为我方参加“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）”磋商活动的合法代表，以我方名义全权处理该项目有关磋商、签订合同以及执行合同等一切事宜。</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特此声明。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附：法定代表人和被授权人身份证复印件正反面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授权代表签字（</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 (加盖公章)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注：法定代表人不亲自参加磋商，而授权代表参加磋商的适用。</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二、法定代表人证明书</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本人系（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）的法定代表人。就参加你单位组织的</w:t>
      </w:r>
      <w:r>
        <w:rPr>
          <w:rFonts w:hint="eastAsia" w:ascii="宋体" w:hAnsi="宋体" w:cs="宋体"/>
          <w:color w:val="auto"/>
          <w:sz w:val="24"/>
          <w:highlight w:val="none"/>
          <w:u w:val="single"/>
        </w:rPr>
        <w:t>“              项目(        项目编号    )”</w:t>
      </w:r>
      <w:r>
        <w:rPr>
          <w:rFonts w:hint="eastAsia" w:ascii="宋体" w:hAnsi="宋体" w:cs="宋体"/>
          <w:color w:val="auto"/>
          <w:sz w:val="24"/>
          <w:highlight w:val="none"/>
        </w:rPr>
        <w:t>的磋商活动、并参与项目的磋商、签订合同以及执行合同等一切事宜。</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附：法定代表人身份证复印件正反面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numPr>
          <w:ilvl w:val="0"/>
          <w:numId w:val="7"/>
        </w:num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四川建茂同方工程项目管理有限公司：</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我公司作为</w:t>
      </w:r>
      <w:r>
        <w:rPr>
          <w:rFonts w:hint="eastAsia" w:ascii="宋体" w:hAnsi="宋体" w:cs="宋体"/>
          <w:color w:val="auto"/>
          <w:sz w:val="24"/>
          <w:highlight w:val="none"/>
          <w:u w:val="single"/>
        </w:rPr>
        <w:t xml:space="preserve">  项目名称（项目编号） </w:t>
      </w:r>
      <w:r>
        <w:rPr>
          <w:rFonts w:hint="eastAsia" w:ascii="宋体" w:hAnsi="宋体" w:cs="宋体"/>
          <w:color w:val="auto"/>
          <w:sz w:val="24"/>
          <w:highlight w:val="none"/>
        </w:rPr>
        <w:t>的磋商供应商，根据采购文件要求，现郑重承诺如下：</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一、具备《中华人民共和国政府采购法》第二十二条第一款和本项目规定的条件：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完全接受和满足本项目采购文件中规定的实质性要求，如对采购文件有异议，已经在磋商截止时间届满前依法进行维权救济，不存在对采购文件有异议的同时又参加磋商以求侥幸成交或者为实现其他非法目的的行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三、参加本次招标采购活动，不存在与单位负责人为同一人或者存在直接控股、管理关系的其他供应商参与同一合同项下的政府采购活动的行为；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四、参加本次招标采购活动，不存在和其他供应商在同一合同项下的采购项目中，同时委托同一个自然人、同一家庭的人员、同一单位的人员作为代理人的行为；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五、参加本次招标采购活动前本单位未对本次采购项目提供过整体设计、规范编制或者项目管理、监理、检测等服务；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六、响应文件中提供的能够给予我公司带来优惠、好处的任何材料资料和服务、商务等响应承诺情况都是真实的、有效的、合法的。</w:t>
      </w:r>
    </w:p>
    <w:p>
      <w:pPr>
        <w:widowControl/>
        <w:spacing w:line="360" w:lineRule="auto"/>
        <w:jc w:val="left"/>
        <w:outlineLvl w:val="1"/>
        <w:rPr>
          <w:rFonts w:hint="eastAsia" w:ascii="宋体" w:hAnsi="宋体" w:cs="宋体"/>
          <w:color w:val="auto"/>
          <w:sz w:val="24"/>
          <w:highlight w:val="none"/>
        </w:rPr>
      </w:pPr>
      <w:bookmarkStart w:id="119" w:name="_Toc22808"/>
      <w:r>
        <w:rPr>
          <w:rFonts w:hint="eastAsia" w:ascii="宋体" w:hAnsi="宋体" w:cs="宋体"/>
          <w:color w:val="auto"/>
          <w:sz w:val="24"/>
          <w:highlight w:val="none"/>
        </w:rPr>
        <w:t>七、我单位</w:t>
      </w: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承诺截至磋商截止日未被列入失信被执行人、重大税收违法案件当事人名单、政府采购严重违法失信行为记录名单。</w:t>
      </w:r>
      <w:bookmarkEnd w:id="119"/>
    </w:p>
    <w:p>
      <w:pPr>
        <w:widowControl/>
        <w:spacing w:line="360" w:lineRule="auto"/>
        <w:jc w:val="left"/>
        <w:outlineLvl w:val="1"/>
        <w:rPr>
          <w:rFonts w:hint="eastAsia" w:ascii="宋体" w:hAnsi="宋体" w:cs="宋体"/>
          <w:color w:val="auto"/>
          <w:sz w:val="24"/>
          <w:highlight w:val="none"/>
        </w:rPr>
      </w:pPr>
      <w:bookmarkStart w:id="120" w:name="_Toc17674"/>
      <w:r>
        <w:rPr>
          <w:rFonts w:hint="eastAsia" w:ascii="宋体" w:hAnsi="宋体" w:cs="宋体"/>
          <w:color w:val="auto"/>
          <w:sz w:val="24"/>
          <w:highlight w:val="none"/>
        </w:rPr>
        <w:t>八、我单位</w:t>
      </w: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（法定代表人）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主要负责人）</w:t>
      </w:r>
      <w:r>
        <w:rPr>
          <w:rFonts w:hint="eastAsia" w:ascii="宋体" w:hAnsi="宋体" w:cs="宋体"/>
          <w:color w:val="auto"/>
          <w:sz w:val="24"/>
          <w:highlight w:val="none"/>
        </w:rPr>
        <w:t>在参加本项目政府采购活动前三年内没有行贿犯罪记录。</w:t>
      </w:r>
      <w:bookmarkEnd w:id="120"/>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我单位承诺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本公司对上述承诺的内容事项真实性负责。如经查实上述承诺的内容事项存在虚假，我公司愿意接受以提供虚假材料谋取成交追究法律责任。</w:t>
      </w:r>
    </w:p>
    <w:p>
      <w:pPr>
        <w:pStyle w:val="74"/>
        <w:spacing w:line="360" w:lineRule="auto"/>
        <w:ind w:firstLine="480"/>
        <w:rPr>
          <w:rFonts w:hint="eastAsia" w:hAnsi="宋体"/>
          <w:color w:val="auto"/>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70"/>
        <w:ind w:left="795" w:hanging="795" w:hangingChars="330"/>
        <w:rPr>
          <w:rFonts w:hint="eastAsia" w:ascii="宋体" w:hAnsi="宋体" w:cs="宋体"/>
          <w:b/>
          <w:color w:val="auto"/>
          <w:sz w:val="24"/>
          <w:highlight w:val="none"/>
        </w:rPr>
      </w:pPr>
      <w:r>
        <w:rPr>
          <w:rFonts w:hint="eastAsia" w:ascii="宋体" w:hAnsi="宋体" w:cs="宋体"/>
          <w:b/>
          <w:color w:val="auto"/>
          <w:sz w:val="24"/>
          <w:highlight w:val="none"/>
        </w:rPr>
        <w:t>注：1、本项目确定供应商重大违法记录中较大数额罚款的金额标准是指：若采</w:t>
      </w:r>
    </w:p>
    <w:p>
      <w:pPr>
        <w:pStyle w:val="70"/>
        <w:ind w:left="795" w:hanging="795" w:hangingChars="330"/>
        <w:rPr>
          <w:rFonts w:hint="eastAsia" w:ascii="宋体" w:hAnsi="宋体" w:cs="宋体"/>
          <w:b/>
          <w:color w:val="auto"/>
          <w:sz w:val="24"/>
          <w:highlight w:val="none"/>
        </w:rPr>
      </w:pPr>
      <w:r>
        <w:rPr>
          <w:rFonts w:hint="eastAsia" w:ascii="宋体" w:hAnsi="宋体" w:cs="宋体"/>
          <w:b/>
          <w:color w:val="auto"/>
          <w:sz w:val="24"/>
          <w:highlight w:val="none"/>
        </w:rPr>
        <w:t>购项目所属行业行政主管部门对较大数额罚款金额标准有明文规定的，以所属</w:t>
      </w:r>
    </w:p>
    <w:p>
      <w:pPr>
        <w:pStyle w:val="70"/>
        <w:ind w:left="795" w:hanging="795" w:hangingChars="330"/>
        <w:rPr>
          <w:rFonts w:hint="eastAsia" w:ascii="宋体" w:hAnsi="宋体" w:cs="宋体"/>
          <w:b/>
          <w:color w:val="auto"/>
          <w:sz w:val="24"/>
          <w:highlight w:val="none"/>
        </w:rPr>
      </w:pPr>
      <w:r>
        <w:rPr>
          <w:rFonts w:hint="eastAsia" w:ascii="宋体" w:hAnsi="宋体" w:cs="宋体"/>
          <w:b/>
          <w:color w:val="auto"/>
          <w:sz w:val="24"/>
          <w:highlight w:val="none"/>
        </w:rPr>
        <w:t>行业行政主管部门规定的较大数额罚款金额标准；若采购项目所属行业行政主</w:t>
      </w:r>
    </w:p>
    <w:p>
      <w:pPr>
        <w:pStyle w:val="70"/>
        <w:ind w:left="795" w:hanging="795" w:hangingChars="330"/>
        <w:rPr>
          <w:rFonts w:hint="eastAsia" w:ascii="宋体" w:hAnsi="宋体" w:cs="宋体"/>
          <w:b/>
          <w:color w:val="auto"/>
          <w:sz w:val="24"/>
          <w:highlight w:val="none"/>
        </w:rPr>
      </w:pPr>
      <w:r>
        <w:rPr>
          <w:rFonts w:hint="eastAsia" w:ascii="宋体" w:hAnsi="宋体" w:cs="宋体"/>
          <w:b/>
          <w:color w:val="auto"/>
          <w:sz w:val="24"/>
          <w:highlight w:val="none"/>
        </w:rPr>
        <w:t>管部门对较大数额罚款金额标准未明文规定的，以四川省人民政府规定的行政</w:t>
      </w:r>
    </w:p>
    <w:p>
      <w:pPr>
        <w:pStyle w:val="70"/>
        <w:ind w:left="795" w:hanging="795" w:hangingChars="330"/>
        <w:rPr>
          <w:rFonts w:hint="eastAsia" w:ascii="宋体" w:hAnsi="宋体" w:cs="宋体"/>
          <w:b/>
          <w:color w:val="auto"/>
          <w:sz w:val="24"/>
          <w:highlight w:val="none"/>
        </w:rPr>
      </w:pPr>
      <w:r>
        <w:rPr>
          <w:rFonts w:hint="eastAsia" w:ascii="宋体" w:hAnsi="宋体" w:cs="宋体"/>
          <w:b/>
          <w:color w:val="auto"/>
          <w:sz w:val="24"/>
          <w:highlight w:val="none"/>
        </w:rPr>
        <w:t>处罚罚款听证标准金额50000元。</w:t>
      </w:r>
    </w:p>
    <w:p>
      <w:pPr>
        <w:pStyle w:val="70"/>
        <w:ind w:left="105" w:leftChars="50" w:firstLine="0" w:firstLineChars="0"/>
        <w:rPr>
          <w:rFonts w:hint="eastAsia" w:ascii="宋体" w:hAnsi="宋体" w:cs="宋体"/>
          <w:b/>
          <w:color w:val="auto"/>
          <w:sz w:val="24"/>
          <w:highlight w:val="none"/>
        </w:rPr>
      </w:pPr>
      <w:r>
        <w:rPr>
          <w:rFonts w:hint="eastAsia" w:ascii="宋体" w:hAnsi="宋体" w:cs="宋体"/>
          <w:b/>
          <w:color w:val="auto"/>
          <w:sz w:val="24"/>
          <w:highlight w:val="none"/>
        </w:rPr>
        <w:t>2、供应商在参加政府采购活动前，被纳入法院、工商行政管理部门、税务</w:t>
      </w:r>
    </w:p>
    <w:p>
      <w:pPr>
        <w:pStyle w:val="70"/>
        <w:ind w:left="105" w:leftChars="50" w:firstLine="0" w:firstLineChars="0"/>
        <w:rPr>
          <w:rFonts w:hint="eastAsia" w:ascii="宋体" w:hAnsi="宋体" w:cs="宋体"/>
          <w:b/>
          <w:color w:val="auto"/>
          <w:sz w:val="24"/>
          <w:highlight w:val="none"/>
        </w:rPr>
      </w:pPr>
      <w:r>
        <w:rPr>
          <w:rFonts w:hint="eastAsia" w:ascii="宋体" w:hAnsi="宋体" w:cs="宋体"/>
          <w:b/>
          <w:color w:val="auto"/>
          <w:sz w:val="24"/>
          <w:highlight w:val="none"/>
        </w:rPr>
        <w:t>部门、银行认定的失信名单且在有效期内，或者在前三年政府采购合同履约过程中及其他经营活动履约过程中未依法履约被有关行政部门处罚（处理）的，本项目不认定其具有良好的商业信誉。</w:t>
      </w:r>
    </w:p>
    <w:p>
      <w:pPr>
        <w:pStyle w:val="70"/>
        <w:ind w:left="105" w:leftChars="50" w:firstLine="0" w:firstLineChars="0"/>
        <w:rPr>
          <w:rFonts w:hint="eastAsia" w:ascii="宋体" w:hAnsi="宋体" w:cs="宋体"/>
          <w:b/>
          <w:color w:val="auto"/>
          <w:sz w:val="24"/>
          <w:highlight w:val="none"/>
        </w:rPr>
      </w:pPr>
      <w:r>
        <w:rPr>
          <w:rFonts w:hint="eastAsia" w:ascii="宋体" w:hAnsi="宋体" w:cs="宋体"/>
          <w:b/>
          <w:color w:val="auto"/>
          <w:sz w:val="24"/>
          <w:highlight w:val="none"/>
        </w:rPr>
        <w:t>3、法定代表人与主要负责人为同一人的，需另提供相关事声明，格式自拟。</w:t>
      </w:r>
    </w:p>
    <w:p>
      <w:pPr>
        <w:pStyle w:val="70"/>
        <w:ind w:left="105" w:leftChars="50" w:firstLine="0" w:firstLineChars="0"/>
        <w:rPr>
          <w:rFonts w:hint="eastAsia" w:ascii="宋体" w:hAnsi="宋体" w:cs="宋体"/>
          <w:b/>
          <w:color w:val="auto"/>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pStyle w:val="70"/>
        <w:ind w:firstLine="0" w:firstLineChars="0"/>
        <w:rPr>
          <w:rFonts w:hint="eastAsia" w:ascii="宋体" w:hAnsi="宋体" w:cs="宋体"/>
          <w:b/>
          <w:bCs/>
          <w:color w:val="auto"/>
          <w:kern w:val="0"/>
          <w:sz w:val="24"/>
          <w:highlight w:val="none"/>
        </w:rPr>
      </w:pPr>
    </w:p>
    <w:p>
      <w:pPr>
        <w:rPr>
          <w:rFonts w:hint="eastAsia"/>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第二部分 其他响应文件（格式）</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一、磋商函</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我方全面研究了“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”项目磋商文件</w:t>
      </w:r>
      <w:r>
        <w:rPr>
          <w:rFonts w:hint="eastAsia" w:ascii="宋体" w:hAnsi="宋体" w:cs="宋体"/>
          <w:color w:val="auto"/>
          <w:sz w:val="24"/>
          <w:highlight w:val="none"/>
          <w:u w:val="single"/>
        </w:rPr>
        <w:t>(    项目编号     )</w:t>
      </w:r>
      <w:r>
        <w:rPr>
          <w:rFonts w:hint="eastAsia" w:ascii="宋体" w:hAnsi="宋体" w:cs="宋体"/>
          <w:color w:val="auto"/>
          <w:sz w:val="24"/>
          <w:highlight w:val="none"/>
        </w:rPr>
        <w:t>，决定参加贵单位组织的本项目磋商。我方授权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(姓名、职务)代表我方</w:t>
      </w:r>
      <w:r>
        <w:rPr>
          <w:rFonts w:hint="eastAsia" w:ascii="宋体" w:hAnsi="宋体" w:cs="宋体"/>
          <w:color w:val="auto"/>
          <w:sz w:val="24"/>
          <w:highlight w:val="none"/>
          <w:u w:val="single"/>
        </w:rPr>
        <w:t xml:space="preserve">    (磋商单位的名称)   </w:t>
      </w:r>
      <w:r>
        <w:rPr>
          <w:rFonts w:hint="eastAsia" w:ascii="宋体" w:hAnsi="宋体" w:cs="宋体"/>
          <w:color w:val="auto"/>
          <w:sz w:val="24"/>
          <w:highlight w:val="none"/>
        </w:rPr>
        <w:t>全权处理本项目磋商的有关事宜。</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1、我方自愿按照磋商文件规定的各项要求向采购人提供所需服务。</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2、一旦我方成交，我方保证于合同签字生效后将严格履行合同规定的责任和义务。</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3、我方同意按照磋商文件的要求，向贵单位缴纳人民币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)的磋商保证金。并承诺：下列任何情况发生时，我方将不要求退还磋商保证金：</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(1)如果我方在磋商有效期内撤回磋商；</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(2)我方提供了虚假响应磋商文件的响应文件；</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(3)在磋商过程中有违规违纪行为；</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(4)我方在磋商有效期内收到成交通知书后，由于我方原因未能按照磋商文件要求提交履约保证金或与采购人签订并履行合同。</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4、我方为本项目提交的资格性响应文件、其他响应文件、正本1份，副本2份，电子文档U盘（或光盘）1份。</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5、我方承诺，响应文件有效期为递交磋商响应文件截止之日起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6、我方愿意提供贵单位可能另外要求的，与磋商有关的文件资料，并保证我方已提供和将要提供的文件资料是真实、准确的。</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7、我们完全理解贵方不一定要接受最低报价的报价。</w:t>
      </w:r>
    </w:p>
    <w:p>
      <w:pPr>
        <w:pStyle w:val="74"/>
        <w:spacing w:line="480" w:lineRule="auto"/>
        <w:rPr>
          <w:rFonts w:hint="eastAsia" w:hAnsi="宋体"/>
          <w:color w:val="auto"/>
          <w:highlight w:val="none"/>
        </w:rPr>
      </w:pP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通讯地址：</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pPr>
        <w:spacing w:line="48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pPr>
        <w:spacing w:line="480" w:lineRule="auto"/>
        <w:rPr>
          <w:rFonts w:hint="eastAsia" w:ascii="宋体" w:hAnsi="宋体" w:cs="宋体"/>
          <w:b/>
          <w:color w:val="auto"/>
          <w:sz w:val="24"/>
          <w:highlight w:val="none"/>
        </w:rPr>
      </w:pPr>
      <w:r>
        <w:rPr>
          <w:rFonts w:hint="eastAsia" w:ascii="宋体" w:hAnsi="宋体" w:cs="宋体"/>
          <w:color w:val="auto"/>
          <w:sz w:val="24"/>
          <w:highlight w:val="none"/>
        </w:rPr>
        <w:t>磋商日期：</w:t>
      </w: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22"/>
        <w:ind w:firstLine="241"/>
        <w:rPr>
          <w:rFonts w:hint="eastAsia" w:ascii="宋体" w:hAnsi="宋体" w:cs="宋体"/>
          <w:b/>
          <w:color w:val="auto"/>
          <w:sz w:val="24"/>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2"/>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二、承诺函（实质性要求）</w:t>
      </w:r>
    </w:p>
    <w:p>
      <w:pPr>
        <w:widowControl/>
        <w:spacing w:line="360" w:lineRule="auto"/>
        <w:jc w:val="left"/>
        <w:outlineLvl w:val="1"/>
        <w:rPr>
          <w:rFonts w:hint="eastAsia" w:ascii="宋体" w:hAnsi="宋体" w:cs="宋体"/>
          <w:color w:val="auto"/>
          <w:sz w:val="24"/>
          <w:highlight w:val="none"/>
        </w:rPr>
      </w:pPr>
      <w:bookmarkStart w:id="121" w:name="_Toc6322"/>
      <w:bookmarkStart w:id="122" w:name="_Toc17562"/>
      <w:bookmarkStart w:id="123" w:name="_Toc1864"/>
      <w:bookmarkStart w:id="124" w:name="_Toc2852"/>
      <w:r>
        <w:rPr>
          <w:rFonts w:hint="eastAsia" w:ascii="宋体" w:hAnsi="宋体" w:cs="宋体"/>
          <w:color w:val="auto"/>
          <w:sz w:val="24"/>
          <w:highlight w:val="none"/>
        </w:rPr>
        <w:t>XXXX（采购代理机构名称）：</w:t>
      </w:r>
      <w:bookmarkEnd w:id="121"/>
      <w:bookmarkEnd w:id="122"/>
      <w:bookmarkEnd w:id="123"/>
      <w:bookmarkEnd w:id="124"/>
    </w:p>
    <w:p>
      <w:pPr>
        <w:widowControl/>
        <w:spacing w:line="360" w:lineRule="auto"/>
        <w:ind w:firstLine="480" w:firstLineChars="200"/>
        <w:jc w:val="left"/>
        <w:outlineLvl w:val="1"/>
        <w:rPr>
          <w:rFonts w:hint="eastAsia" w:ascii="宋体" w:hAnsi="宋体" w:cs="宋体"/>
          <w:color w:val="auto"/>
          <w:sz w:val="24"/>
          <w:highlight w:val="none"/>
        </w:rPr>
      </w:pPr>
      <w:bookmarkStart w:id="125" w:name="_Toc9090"/>
      <w:bookmarkStart w:id="126" w:name="_Toc22380"/>
      <w:bookmarkStart w:id="127" w:name="_Toc31402"/>
      <w:bookmarkStart w:id="128" w:name="_Toc4118"/>
      <w:r>
        <w:rPr>
          <w:rFonts w:hint="eastAsia" w:ascii="宋体" w:hAnsi="宋体" w:cs="宋体"/>
          <w:color w:val="auto"/>
          <w:sz w:val="24"/>
          <w:highlight w:val="none"/>
        </w:rPr>
        <w:t>我方作为</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的供应商，根据磋商文件要求，现郑重承诺如下：</w:t>
      </w:r>
      <w:bookmarkEnd w:id="125"/>
      <w:bookmarkEnd w:id="126"/>
      <w:bookmarkEnd w:id="127"/>
      <w:bookmarkEnd w:id="128"/>
    </w:p>
    <w:p>
      <w:pPr>
        <w:widowControl/>
        <w:spacing w:line="360" w:lineRule="auto"/>
        <w:ind w:firstLine="480" w:firstLineChars="200"/>
        <w:jc w:val="left"/>
        <w:outlineLvl w:val="1"/>
        <w:rPr>
          <w:rFonts w:hint="eastAsia" w:ascii="宋体" w:hAnsi="宋体" w:cs="宋体"/>
          <w:color w:val="auto"/>
          <w:sz w:val="24"/>
          <w:highlight w:val="none"/>
        </w:rPr>
      </w:pPr>
      <w:bookmarkStart w:id="129" w:name="_Toc23643"/>
      <w:bookmarkStart w:id="130" w:name="_Toc29368"/>
      <w:bookmarkStart w:id="131" w:name="_Toc7019"/>
      <w:bookmarkStart w:id="132" w:name="_Toc23320"/>
      <w:r>
        <w:rPr>
          <w:rFonts w:hint="eastAsia" w:ascii="宋体" w:hAnsi="宋体" w:cs="宋体"/>
          <w:color w:val="auto"/>
          <w:sz w:val="24"/>
          <w:highlight w:val="none"/>
        </w:rPr>
        <w:t>一、我方已认真阅读并接受本项目磋商文件第二章的全部实质性要求，如对磋商文件有异议，已依法进行维权救济，不存在对磋商文件有异议的同时又参加投标以求侥幸中标或者为实现其他非法目的的行为。</w:t>
      </w:r>
      <w:bookmarkEnd w:id="129"/>
      <w:bookmarkEnd w:id="130"/>
      <w:bookmarkEnd w:id="131"/>
      <w:bookmarkEnd w:id="132"/>
    </w:p>
    <w:p>
      <w:pPr>
        <w:widowControl/>
        <w:spacing w:line="360" w:lineRule="auto"/>
        <w:ind w:firstLine="480" w:firstLineChars="200"/>
        <w:jc w:val="left"/>
        <w:outlineLvl w:val="1"/>
        <w:rPr>
          <w:rFonts w:hint="eastAsia" w:ascii="宋体" w:hAnsi="宋体" w:cs="宋体"/>
          <w:color w:val="auto"/>
          <w:sz w:val="24"/>
          <w:highlight w:val="none"/>
        </w:rPr>
      </w:pPr>
      <w:bookmarkStart w:id="133" w:name="_Toc12089"/>
      <w:bookmarkStart w:id="134" w:name="_Toc12941"/>
      <w:bookmarkStart w:id="135" w:name="_Toc4892"/>
      <w:bookmarkStart w:id="136" w:name="_Toc20573"/>
      <w:r>
        <w:rPr>
          <w:rFonts w:hint="eastAsia" w:ascii="宋体" w:hAnsi="宋体" w:cs="宋体"/>
          <w:color w:val="auto"/>
          <w:sz w:val="24"/>
          <w:highlight w:val="none"/>
        </w:rPr>
        <w:t>二、参加本次采购活动，不存在与单位负责人为同一人或者存在直接控股、管理关系的其他供应商参与同一合同项下的政府采购活动的行为。</w:t>
      </w:r>
      <w:bookmarkEnd w:id="133"/>
      <w:bookmarkEnd w:id="134"/>
      <w:bookmarkEnd w:id="135"/>
      <w:bookmarkEnd w:id="136"/>
    </w:p>
    <w:p>
      <w:pPr>
        <w:widowControl/>
        <w:spacing w:line="360" w:lineRule="auto"/>
        <w:ind w:firstLine="480" w:firstLineChars="200"/>
        <w:jc w:val="left"/>
        <w:outlineLvl w:val="1"/>
        <w:rPr>
          <w:rFonts w:hint="eastAsia" w:ascii="宋体" w:hAnsi="宋体" w:cs="宋体"/>
          <w:color w:val="auto"/>
          <w:sz w:val="24"/>
          <w:highlight w:val="none"/>
        </w:rPr>
      </w:pPr>
      <w:bookmarkStart w:id="137" w:name="_Toc12533"/>
      <w:bookmarkStart w:id="138" w:name="_Toc8987"/>
      <w:bookmarkStart w:id="139" w:name="_Toc31847"/>
      <w:bookmarkStart w:id="140" w:name="_Toc26985"/>
      <w:r>
        <w:rPr>
          <w:rFonts w:hint="eastAsia" w:ascii="宋体" w:hAnsi="宋体" w:cs="宋体"/>
          <w:color w:val="auto"/>
          <w:sz w:val="24"/>
          <w:highlight w:val="none"/>
        </w:rPr>
        <w:t>三、为采购项目提供整体设计、规范编制或者项目管理、监理、检测等服务的供应商，不得再参加该采购项目的其他采购活动，我方承诺不属于此类禁止参加本项目的供应商。</w:t>
      </w:r>
      <w:bookmarkEnd w:id="137"/>
      <w:bookmarkEnd w:id="138"/>
      <w:bookmarkEnd w:id="139"/>
      <w:bookmarkEnd w:id="140"/>
    </w:p>
    <w:p>
      <w:pPr>
        <w:widowControl/>
        <w:spacing w:line="360" w:lineRule="auto"/>
        <w:ind w:firstLine="480" w:firstLineChars="200"/>
        <w:jc w:val="left"/>
        <w:outlineLvl w:val="1"/>
        <w:rPr>
          <w:rFonts w:hint="eastAsia" w:ascii="宋体" w:hAnsi="宋体" w:cs="宋体"/>
          <w:color w:val="auto"/>
          <w:sz w:val="24"/>
          <w:highlight w:val="none"/>
        </w:rPr>
      </w:pPr>
      <w:bookmarkStart w:id="141" w:name="_Toc7983"/>
      <w:bookmarkStart w:id="142" w:name="_Toc20557"/>
      <w:bookmarkStart w:id="143" w:name="_Toc5078"/>
      <w:bookmarkStart w:id="144" w:name="_Toc26779"/>
      <w:r>
        <w:rPr>
          <w:rFonts w:hint="eastAsia" w:ascii="宋体" w:hAnsi="宋体" w:cs="宋体"/>
          <w:color w:val="auto"/>
          <w:sz w:val="24"/>
          <w:highlight w:val="none"/>
        </w:rPr>
        <w:t>四、参加本次采购活动，不存在和其他供应商在同一合同项下的采购项目中，同时委托同一个自然人、同一家庭的人员、同一单位的人员作为代理人的行为。</w:t>
      </w:r>
      <w:bookmarkEnd w:id="141"/>
      <w:bookmarkEnd w:id="142"/>
      <w:bookmarkEnd w:id="143"/>
      <w:bookmarkEnd w:id="144"/>
    </w:p>
    <w:p>
      <w:pPr>
        <w:widowControl/>
        <w:spacing w:line="360" w:lineRule="auto"/>
        <w:ind w:firstLine="480" w:firstLineChars="200"/>
        <w:jc w:val="left"/>
        <w:outlineLvl w:val="1"/>
        <w:rPr>
          <w:rFonts w:hint="eastAsia" w:ascii="宋体" w:hAnsi="宋体" w:cs="宋体"/>
          <w:color w:val="auto"/>
          <w:sz w:val="24"/>
          <w:highlight w:val="none"/>
        </w:rPr>
      </w:pPr>
      <w:bookmarkStart w:id="145" w:name="_Toc28701"/>
      <w:bookmarkStart w:id="146" w:name="_Toc6845"/>
      <w:bookmarkStart w:id="147" w:name="_Toc8251"/>
      <w:bookmarkStart w:id="148" w:name="_Toc17655"/>
      <w:r>
        <w:rPr>
          <w:rFonts w:hint="eastAsia" w:ascii="宋体" w:hAnsi="宋体" w:cs="宋体"/>
          <w:color w:val="auto"/>
          <w:sz w:val="24"/>
          <w:highlight w:val="none"/>
        </w:rPr>
        <w:t>五、</w:t>
      </w:r>
      <w:bookmarkEnd w:id="145"/>
      <w:bookmarkEnd w:id="146"/>
      <w:bookmarkEnd w:id="147"/>
      <w:bookmarkEnd w:id="148"/>
      <w:bookmarkStart w:id="149" w:name="_Toc11854"/>
      <w:bookmarkStart w:id="150" w:name="_Toc3486"/>
      <w:bookmarkStart w:id="151" w:name="_Toc16494"/>
      <w:bookmarkStart w:id="152" w:name="_Toc23832"/>
      <w:r>
        <w:rPr>
          <w:rFonts w:hint="eastAsia" w:ascii="宋体" w:hAnsi="宋体" w:cs="宋体"/>
          <w:color w:val="auto"/>
          <w:sz w:val="24"/>
          <w:highlight w:val="none"/>
        </w:rPr>
        <w:t>响应文件中提供的能够给予我方带来优惠、好处的任何材料资料和技术、服务、商务、响应产品等响应承诺情况都是真实的、有效的、合法的。</w:t>
      </w:r>
      <w:bookmarkEnd w:id="149"/>
      <w:bookmarkEnd w:id="150"/>
      <w:bookmarkEnd w:id="151"/>
      <w:bookmarkEnd w:id="152"/>
    </w:p>
    <w:p>
      <w:pPr>
        <w:widowControl/>
        <w:spacing w:line="360" w:lineRule="auto"/>
        <w:ind w:firstLine="480" w:firstLineChars="200"/>
        <w:jc w:val="left"/>
        <w:outlineLvl w:val="1"/>
        <w:rPr>
          <w:rFonts w:hint="eastAsia" w:ascii="宋体" w:hAnsi="宋体" w:cs="宋体"/>
          <w:color w:val="auto"/>
          <w:sz w:val="24"/>
          <w:highlight w:val="none"/>
        </w:rPr>
      </w:pPr>
      <w:bookmarkStart w:id="153" w:name="_Toc4039"/>
      <w:bookmarkStart w:id="154" w:name="_Toc1863"/>
      <w:bookmarkStart w:id="155" w:name="_Toc12790"/>
      <w:bookmarkStart w:id="156" w:name="_Toc21164"/>
      <w:r>
        <w:rPr>
          <w:rFonts w:hint="eastAsia" w:ascii="宋体" w:hAnsi="宋体" w:cs="宋体"/>
          <w:color w:val="auto"/>
          <w:sz w:val="24"/>
          <w:highlight w:val="none"/>
        </w:rPr>
        <w:t>六、如本项目评审过程中需要提供样品，则我方提供的样品即为中标后将要提供的中标产品，我方对提供样品的性能和质量负责，因样品存在缺陷或者不符合磋商文件要求导致未能中标的，我方愿意承担相应不利后果。</w:t>
      </w:r>
      <w:bookmarkEnd w:id="153"/>
      <w:bookmarkEnd w:id="154"/>
      <w:bookmarkEnd w:id="155"/>
      <w:bookmarkEnd w:id="156"/>
    </w:p>
    <w:p>
      <w:pPr>
        <w:widowControl/>
        <w:spacing w:line="360" w:lineRule="auto"/>
        <w:ind w:firstLine="480" w:firstLineChars="200"/>
        <w:jc w:val="left"/>
        <w:outlineLvl w:val="1"/>
        <w:rPr>
          <w:rFonts w:hint="eastAsia" w:ascii="宋体" w:hAnsi="宋体" w:cs="宋体"/>
          <w:color w:val="auto"/>
          <w:sz w:val="24"/>
          <w:highlight w:val="none"/>
        </w:rPr>
      </w:pPr>
      <w:bookmarkStart w:id="157" w:name="_Toc24676"/>
      <w:bookmarkStart w:id="158" w:name="_Toc5786"/>
      <w:bookmarkStart w:id="159" w:name="_Toc24461"/>
      <w:bookmarkStart w:id="160" w:name="_Toc11498"/>
      <w:r>
        <w:rPr>
          <w:rFonts w:hint="eastAsia" w:ascii="宋体" w:hAnsi="宋体" w:cs="宋体"/>
          <w:color w:val="auto"/>
          <w:sz w:val="24"/>
          <w:highlight w:val="none"/>
        </w:rPr>
        <w:t>七、国家或行业主管部门对采购产品的技术标准、质量标准和资格资质条件等有强制性规定的，我方承诺符合其要求。</w:t>
      </w:r>
      <w:bookmarkEnd w:id="157"/>
      <w:bookmarkEnd w:id="158"/>
      <w:bookmarkEnd w:id="159"/>
      <w:bookmarkEnd w:id="160"/>
    </w:p>
    <w:p>
      <w:pPr>
        <w:widowControl/>
        <w:spacing w:line="360" w:lineRule="auto"/>
        <w:ind w:firstLine="480" w:firstLineChars="200"/>
        <w:jc w:val="left"/>
        <w:outlineLvl w:val="1"/>
        <w:rPr>
          <w:rFonts w:hint="eastAsia" w:ascii="宋体" w:hAnsi="宋体" w:cs="宋体"/>
          <w:color w:val="auto"/>
          <w:sz w:val="24"/>
          <w:highlight w:val="none"/>
        </w:rPr>
      </w:pPr>
      <w:bookmarkStart w:id="161" w:name="_Toc18056"/>
      <w:bookmarkStart w:id="162" w:name="_Toc15253"/>
      <w:bookmarkStart w:id="163" w:name="_Toc16682"/>
      <w:bookmarkStart w:id="164" w:name="_Toc29429"/>
      <w:r>
        <w:rPr>
          <w:rFonts w:hint="eastAsia" w:ascii="宋体" w:hAnsi="宋体" w:cs="宋体"/>
          <w:color w:val="auto"/>
          <w:sz w:val="24"/>
          <w:highlight w:val="none"/>
        </w:rPr>
        <w:t>八、参加本次采购活动，我方完全同意磋商文件第二章关于“投标费用”、“合同分包”、“合同转包”、“履约保证金”等的实质性要求，并承诺严格按照磋商文件要求履行。</w:t>
      </w:r>
      <w:bookmarkEnd w:id="161"/>
      <w:bookmarkEnd w:id="162"/>
      <w:bookmarkEnd w:id="163"/>
      <w:bookmarkEnd w:id="164"/>
    </w:p>
    <w:p>
      <w:pPr>
        <w:widowControl/>
        <w:spacing w:line="360" w:lineRule="auto"/>
        <w:ind w:firstLine="480" w:firstLineChars="200"/>
        <w:jc w:val="left"/>
        <w:outlineLvl w:val="1"/>
        <w:rPr>
          <w:rFonts w:hint="eastAsia" w:ascii="宋体" w:hAnsi="宋体" w:cs="宋体"/>
          <w:color w:val="auto"/>
          <w:sz w:val="24"/>
          <w:highlight w:val="none"/>
        </w:rPr>
      </w:pPr>
      <w:bookmarkStart w:id="165" w:name="_Toc3984"/>
      <w:bookmarkStart w:id="166" w:name="_Toc27831"/>
      <w:bookmarkStart w:id="167" w:name="_Toc8046"/>
      <w:bookmarkStart w:id="168" w:name="_Toc3182"/>
      <w:r>
        <w:rPr>
          <w:rFonts w:hint="eastAsia" w:ascii="宋体" w:hAnsi="宋体" w:cs="宋体"/>
          <w:color w:val="auto"/>
          <w:sz w:val="24"/>
          <w:highlight w:val="none"/>
        </w:rPr>
        <w:t>九、在本次投标之前一周年内，供应商本次投标中对同一品牌同一型号相同配置的产品报价与其在中国境内其他地方的最低报价比例不得高于20%，我方承诺符合该要求。</w:t>
      </w:r>
      <w:bookmarkEnd w:id="165"/>
      <w:bookmarkEnd w:id="166"/>
      <w:bookmarkEnd w:id="167"/>
      <w:bookmarkEnd w:id="168"/>
    </w:p>
    <w:p>
      <w:pPr>
        <w:widowControl/>
        <w:spacing w:line="360" w:lineRule="auto"/>
        <w:ind w:firstLine="480" w:firstLineChars="200"/>
        <w:jc w:val="left"/>
        <w:outlineLvl w:val="1"/>
        <w:rPr>
          <w:rFonts w:hint="eastAsia" w:ascii="宋体" w:hAnsi="宋体" w:cs="宋体"/>
          <w:color w:val="auto"/>
          <w:sz w:val="24"/>
          <w:highlight w:val="none"/>
        </w:rPr>
      </w:pPr>
      <w:bookmarkStart w:id="169" w:name="_Toc2433"/>
      <w:bookmarkStart w:id="170" w:name="_Toc28939"/>
      <w:bookmarkStart w:id="171" w:name="_Toc22670"/>
      <w:bookmarkStart w:id="172" w:name="_Toc1833"/>
      <w:r>
        <w:rPr>
          <w:rFonts w:hint="eastAsia" w:ascii="宋体" w:hAnsi="宋体" w:cs="宋体"/>
          <w:color w:val="auto"/>
          <w:sz w:val="24"/>
          <w:highlight w:val="none"/>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bookmarkEnd w:id="169"/>
      <w:bookmarkEnd w:id="170"/>
      <w:bookmarkEnd w:id="171"/>
      <w:bookmarkEnd w:id="172"/>
    </w:p>
    <w:p>
      <w:pPr>
        <w:widowControl/>
        <w:spacing w:line="360" w:lineRule="auto"/>
        <w:ind w:firstLine="480" w:firstLineChars="200"/>
        <w:jc w:val="left"/>
        <w:outlineLvl w:val="1"/>
        <w:rPr>
          <w:rFonts w:hint="eastAsia" w:ascii="宋体" w:hAnsi="宋体" w:cs="宋体"/>
          <w:color w:val="auto"/>
          <w:sz w:val="24"/>
          <w:highlight w:val="none"/>
        </w:rPr>
      </w:pPr>
      <w:bookmarkStart w:id="173" w:name="_Toc25825"/>
      <w:bookmarkStart w:id="174" w:name="_Toc5289"/>
      <w:bookmarkStart w:id="175" w:name="_Toc31136"/>
      <w:bookmarkStart w:id="176" w:name="_Toc17841"/>
      <w:r>
        <w:rPr>
          <w:rFonts w:hint="eastAsia" w:ascii="宋体" w:hAnsi="宋体" w:cs="宋体"/>
          <w:color w:val="auto"/>
          <w:sz w:val="24"/>
          <w:highlight w:val="none"/>
        </w:rPr>
        <w:t>我方对上述承诺的内容事项真实性负责。如经查实上述承诺的内容事项存在虚假，我方愿意接受以提供虚假材料谋取中标追究法律责任。</w:t>
      </w:r>
      <w:bookmarkEnd w:id="173"/>
      <w:bookmarkEnd w:id="174"/>
      <w:bookmarkEnd w:id="175"/>
      <w:bookmarkEnd w:id="176"/>
    </w:p>
    <w:p>
      <w:pPr>
        <w:widowControl/>
        <w:spacing w:line="360" w:lineRule="auto"/>
        <w:ind w:firstLine="470" w:firstLineChars="196"/>
        <w:jc w:val="left"/>
        <w:outlineLvl w:val="1"/>
        <w:rPr>
          <w:rFonts w:hint="eastAsia" w:ascii="宋体" w:hAnsi="宋体" w:cs="宋体"/>
          <w:color w:val="auto"/>
          <w:sz w:val="24"/>
          <w:highlight w:val="none"/>
        </w:rPr>
      </w:pPr>
    </w:p>
    <w:p>
      <w:pPr>
        <w:widowControl/>
        <w:spacing w:line="360" w:lineRule="auto"/>
        <w:ind w:firstLine="470" w:firstLineChars="196"/>
        <w:jc w:val="left"/>
        <w:outlineLvl w:val="1"/>
        <w:rPr>
          <w:rFonts w:hint="eastAsia" w:ascii="宋体" w:hAnsi="宋体" w:cs="宋体"/>
          <w:color w:val="auto"/>
          <w:sz w:val="24"/>
          <w:highlight w:val="none"/>
        </w:rPr>
      </w:pPr>
      <w:bookmarkStart w:id="177" w:name="_Toc2159"/>
      <w:bookmarkStart w:id="178" w:name="_Toc28831"/>
      <w:bookmarkStart w:id="179" w:name="_Toc14308"/>
      <w:bookmarkStart w:id="180" w:name="_Toc26560"/>
      <w:r>
        <w:rPr>
          <w:rFonts w:hint="eastAsia" w:ascii="宋体" w:hAnsi="宋体" w:cs="宋体"/>
          <w:color w:val="auto"/>
          <w:sz w:val="24"/>
          <w:highlight w:val="none"/>
        </w:rPr>
        <w:t>供应商名称：XXXX（单位公章）。</w:t>
      </w:r>
      <w:bookmarkEnd w:id="177"/>
      <w:bookmarkEnd w:id="178"/>
      <w:bookmarkEnd w:id="179"/>
      <w:bookmarkEnd w:id="180"/>
    </w:p>
    <w:p>
      <w:pPr>
        <w:widowControl/>
        <w:spacing w:line="360" w:lineRule="auto"/>
        <w:ind w:firstLine="470" w:firstLineChars="196"/>
        <w:jc w:val="left"/>
        <w:outlineLvl w:val="1"/>
        <w:rPr>
          <w:rFonts w:hint="eastAsia" w:ascii="宋体" w:hAnsi="宋体" w:cs="宋体"/>
          <w:color w:val="auto"/>
          <w:sz w:val="24"/>
          <w:highlight w:val="none"/>
        </w:rPr>
      </w:pPr>
      <w:bookmarkStart w:id="181" w:name="_Toc5819"/>
      <w:bookmarkStart w:id="182" w:name="_Toc13646"/>
      <w:bookmarkStart w:id="183" w:name="_Toc16037"/>
      <w:bookmarkStart w:id="184" w:name="_Toc27674"/>
      <w:r>
        <w:rPr>
          <w:rFonts w:hint="eastAsia" w:ascii="宋体" w:hAnsi="宋体" w:cs="宋体"/>
          <w:color w:val="auto"/>
          <w:sz w:val="24"/>
          <w:highlight w:val="none"/>
        </w:rPr>
        <w:t>法定代表人或授权代表（签字或加盖个人名章）：XXXX。</w:t>
      </w:r>
      <w:bookmarkEnd w:id="181"/>
      <w:bookmarkEnd w:id="182"/>
      <w:bookmarkEnd w:id="183"/>
      <w:bookmarkEnd w:id="184"/>
    </w:p>
    <w:p>
      <w:pPr>
        <w:pStyle w:val="74"/>
        <w:ind w:firstLine="480" w:firstLineChars="200"/>
        <w:rPr>
          <w:rFonts w:hint="eastAsia" w:hAnsi="宋体"/>
          <w:color w:val="auto"/>
          <w:highlight w:val="none"/>
        </w:rPr>
      </w:pPr>
      <w:r>
        <w:rPr>
          <w:rFonts w:hint="eastAsia" w:hAnsi="宋体"/>
          <w:color w:val="auto"/>
          <w:highlight w:val="none"/>
        </w:rPr>
        <w:t>磋商日期：XXXX。</w:t>
      </w:r>
    </w:p>
    <w:p>
      <w:pPr>
        <w:pStyle w:val="74"/>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r>
        <w:rPr>
          <w:rFonts w:hint="eastAsia" w:hAnsi="宋体"/>
          <w:color w:val="auto"/>
          <w:highlight w:val="none"/>
        </w:rPr>
        <w:br w:type="textWrapping"/>
      </w: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ind w:firstLine="480" w:firstLineChars="200"/>
        <w:rPr>
          <w:rFonts w:hint="eastAsia" w:hAnsi="宋体"/>
          <w:color w:val="auto"/>
          <w:highlight w:val="none"/>
        </w:rPr>
      </w:pPr>
    </w:p>
    <w:p>
      <w:pPr>
        <w:pStyle w:val="74"/>
        <w:rPr>
          <w:rFonts w:hint="eastAsia" w:hAnsi="宋体"/>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三、供应商基本情况表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338"/>
        <w:gridCol w:w="1141"/>
        <w:gridCol w:w="1229"/>
        <w:gridCol w:w="246"/>
        <w:gridCol w:w="1533"/>
        <w:gridCol w:w="131"/>
        <w:gridCol w:w="11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供应商名称</w:t>
            </w:r>
          </w:p>
        </w:tc>
        <w:tc>
          <w:tcPr>
            <w:tcW w:w="8134" w:type="dxa"/>
            <w:gridSpan w:val="8"/>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3708" w:type="dxa"/>
            <w:gridSpan w:val="3"/>
            <w:noWrap w:val="0"/>
            <w:vAlign w:val="center"/>
          </w:tcPr>
          <w:p>
            <w:pPr>
              <w:spacing w:line="360" w:lineRule="auto"/>
              <w:jc w:val="center"/>
              <w:rPr>
                <w:rFonts w:hint="eastAsia" w:ascii="宋体" w:hAnsi="宋体" w:cs="宋体"/>
                <w:color w:val="auto"/>
                <w:sz w:val="24"/>
                <w:highlight w:val="none"/>
              </w:rPr>
            </w:pPr>
          </w:p>
        </w:tc>
        <w:tc>
          <w:tcPr>
            <w:tcW w:w="1779"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2647"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81"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13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370" w:type="dxa"/>
            <w:gridSpan w:val="2"/>
            <w:noWrap w:val="0"/>
            <w:vAlign w:val="center"/>
          </w:tcPr>
          <w:p>
            <w:pPr>
              <w:spacing w:line="360" w:lineRule="auto"/>
              <w:jc w:val="center"/>
              <w:rPr>
                <w:rFonts w:hint="eastAsia" w:ascii="宋体" w:hAnsi="宋体" w:cs="宋体"/>
                <w:color w:val="auto"/>
                <w:sz w:val="24"/>
                <w:highlight w:val="none"/>
              </w:rPr>
            </w:pPr>
          </w:p>
        </w:tc>
        <w:tc>
          <w:tcPr>
            <w:tcW w:w="1779"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2647"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1" w:type="dxa"/>
            <w:vMerge w:val="continue"/>
            <w:noWrap w:val="0"/>
            <w:vAlign w:val="center"/>
          </w:tcPr>
          <w:p>
            <w:pPr>
              <w:spacing w:line="360" w:lineRule="auto"/>
              <w:jc w:val="center"/>
              <w:rPr>
                <w:rFonts w:hint="eastAsia" w:ascii="宋体" w:hAnsi="宋体" w:cs="宋体"/>
                <w:color w:val="auto"/>
                <w:sz w:val="24"/>
                <w:highlight w:val="none"/>
              </w:rPr>
            </w:pPr>
          </w:p>
        </w:tc>
        <w:tc>
          <w:tcPr>
            <w:tcW w:w="13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370" w:type="dxa"/>
            <w:gridSpan w:val="2"/>
            <w:noWrap w:val="0"/>
            <w:vAlign w:val="center"/>
          </w:tcPr>
          <w:p>
            <w:pPr>
              <w:spacing w:line="360" w:lineRule="auto"/>
              <w:jc w:val="center"/>
              <w:rPr>
                <w:rFonts w:hint="eastAsia" w:ascii="宋体" w:hAnsi="宋体" w:cs="宋体"/>
                <w:color w:val="auto"/>
                <w:sz w:val="24"/>
                <w:highlight w:val="none"/>
              </w:rPr>
            </w:pPr>
          </w:p>
        </w:tc>
        <w:tc>
          <w:tcPr>
            <w:tcW w:w="1779"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网址</w:t>
            </w:r>
          </w:p>
        </w:tc>
        <w:tc>
          <w:tcPr>
            <w:tcW w:w="2647" w:type="dxa"/>
            <w:gridSpan w:val="3"/>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组织结构</w:t>
            </w:r>
          </w:p>
        </w:tc>
        <w:tc>
          <w:tcPr>
            <w:tcW w:w="8134" w:type="dxa"/>
            <w:gridSpan w:val="8"/>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法定代表人（或其他组织主要负责人）</w:t>
            </w:r>
          </w:p>
        </w:tc>
        <w:tc>
          <w:tcPr>
            <w:tcW w:w="13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141" w:type="dxa"/>
            <w:noWrap w:val="0"/>
            <w:vAlign w:val="center"/>
          </w:tcPr>
          <w:p>
            <w:pPr>
              <w:spacing w:line="360" w:lineRule="auto"/>
              <w:jc w:val="center"/>
              <w:rPr>
                <w:rFonts w:hint="eastAsia" w:ascii="宋体" w:hAnsi="宋体" w:cs="宋体"/>
                <w:color w:val="auto"/>
                <w:sz w:val="24"/>
                <w:highlight w:val="none"/>
              </w:rPr>
            </w:pPr>
          </w:p>
        </w:tc>
        <w:tc>
          <w:tcPr>
            <w:tcW w:w="1475"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533" w:type="dxa"/>
            <w:noWrap w:val="0"/>
            <w:vAlign w:val="center"/>
          </w:tcPr>
          <w:p>
            <w:pPr>
              <w:spacing w:line="360" w:lineRule="auto"/>
              <w:jc w:val="center"/>
              <w:rPr>
                <w:rFonts w:hint="eastAsia" w:ascii="宋体" w:hAnsi="宋体" w:cs="宋体"/>
                <w:color w:val="auto"/>
                <w:sz w:val="24"/>
                <w:highlight w:val="none"/>
              </w:rPr>
            </w:pPr>
          </w:p>
        </w:tc>
        <w:tc>
          <w:tcPr>
            <w:tcW w:w="1239"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408"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3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141" w:type="dxa"/>
            <w:noWrap w:val="0"/>
            <w:vAlign w:val="center"/>
          </w:tcPr>
          <w:p>
            <w:pPr>
              <w:spacing w:line="360" w:lineRule="auto"/>
              <w:jc w:val="center"/>
              <w:rPr>
                <w:rFonts w:hint="eastAsia" w:ascii="宋体" w:hAnsi="宋体" w:cs="宋体"/>
                <w:color w:val="auto"/>
                <w:sz w:val="24"/>
                <w:highlight w:val="none"/>
              </w:rPr>
            </w:pPr>
          </w:p>
        </w:tc>
        <w:tc>
          <w:tcPr>
            <w:tcW w:w="1475"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533" w:type="dxa"/>
            <w:noWrap w:val="0"/>
            <w:vAlign w:val="center"/>
          </w:tcPr>
          <w:p>
            <w:pPr>
              <w:spacing w:line="360" w:lineRule="auto"/>
              <w:jc w:val="center"/>
              <w:rPr>
                <w:rFonts w:hint="eastAsia" w:ascii="宋体" w:hAnsi="宋体" w:cs="宋体"/>
                <w:color w:val="auto"/>
                <w:sz w:val="24"/>
                <w:highlight w:val="none"/>
              </w:rPr>
            </w:pPr>
          </w:p>
        </w:tc>
        <w:tc>
          <w:tcPr>
            <w:tcW w:w="1239" w:type="dxa"/>
            <w:gridSpan w:val="2"/>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408"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2479" w:type="dxa"/>
            <w:gridSpan w:val="2"/>
            <w:noWrap w:val="0"/>
            <w:vAlign w:val="center"/>
          </w:tcPr>
          <w:p>
            <w:pPr>
              <w:spacing w:line="360" w:lineRule="auto"/>
              <w:jc w:val="center"/>
              <w:rPr>
                <w:rFonts w:hint="eastAsia" w:ascii="宋体" w:hAnsi="宋体" w:cs="宋体"/>
                <w:color w:val="auto"/>
                <w:sz w:val="24"/>
                <w:highlight w:val="none"/>
              </w:rPr>
            </w:pPr>
          </w:p>
        </w:tc>
        <w:tc>
          <w:tcPr>
            <w:tcW w:w="5655" w:type="dxa"/>
            <w:gridSpan w:val="6"/>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企业资质等级</w:t>
            </w:r>
          </w:p>
        </w:tc>
        <w:tc>
          <w:tcPr>
            <w:tcW w:w="2479" w:type="dxa"/>
            <w:gridSpan w:val="2"/>
            <w:noWrap w:val="0"/>
            <w:vAlign w:val="center"/>
          </w:tcPr>
          <w:p>
            <w:pPr>
              <w:spacing w:line="360" w:lineRule="auto"/>
              <w:jc w:val="center"/>
              <w:rPr>
                <w:rFonts w:hint="eastAsia" w:ascii="宋体" w:hAnsi="宋体" w:cs="宋体"/>
                <w:color w:val="auto"/>
                <w:sz w:val="24"/>
                <w:highlight w:val="none"/>
              </w:rPr>
            </w:pPr>
          </w:p>
        </w:tc>
        <w:tc>
          <w:tcPr>
            <w:tcW w:w="1229"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1910"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2516"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营业执照号</w:t>
            </w:r>
          </w:p>
        </w:tc>
        <w:tc>
          <w:tcPr>
            <w:tcW w:w="2479" w:type="dxa"/>
            <w:gridSpan w:val="2"/>
            <w:noWrap w:val="0"/>
            <w:vAlign w:val="center"/>
          </w:tcPr>
          <w:p>
            <w:pPr>
              <w:spacing w:line="360" w:lineRule="auto"/>
              <w:jc w:val="center"/>
              <w:rPr>
                <w:rFonts w:hint="eastAsia" w:ascii="宋体" w:hAnsi="宋体" w:cs="宋体"/>
                <w:color w:val="auto"/>
                <w:sz w:val="24"/>
                <w:highlight w:val="none"/>
              </w:rPr>
            </w:pPr>
          </w:p>
        </w:tc>
        <w:tc>
          <w:tcPr>
            <w:tcW w:w="1229" w:type="dxa"/>
            <w:vMerge w:val="continue"/>
            <w:noWrap w:val="0"/>
            <w:vAlign w:val="center"/>
          </w:tcPr>
          <w:p>
            <w:pPr>
              <w:spacing w:line="360" w:lineRule="auto"/>
              <w:jc w:val="center"/>
              <w:rPr>
                <w:rFonts w:hint="eastAsia" w:ascii="宋体" w:hAnsi="宋体" w:cs="宋体"/>
                <w:color w:val="auto"/>
                <w:sz w:val="24"/>
                <w:highlight w:val="none"/>
              </w:rPr>
            </w:pPr>
          </w:p>
        </w:tc>
        <w:tc>
          <w:tcPr>
            <w:tcW w:w="1910"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高级职称人员</w:t>
            </w:r>
          </w:p>
        </w:tc>
        <w:tc>
          <w:tcPr>
            <w:tcW w:w="2516"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2479" w:type="dxa"/>
            <w:gridSpan w:val="2"/>
            <w:noWrap w:val="0"/>
            <w:vAlign w:val="center"/>
          </w:tcPr>
          <w:p>
            <w:pPr>
              <w:spacing w:line="360" w:lineRule="auto"/>
              <w:jc w:val="center"/>
              <w:rPr>
                <w:rFonts w:hint="eastAsia" w:ascii="宋体" w:hAnsi="宋体" w:cs="宋体"/>
                <w:color w:val="auto"/>
                <w:sz w:val="24"/>
                <w:highlight w:val="none"/>
              </w:rPr>
            </w:pPr>
          </w:p>
        </w:tc>
        <w:tc>
          <w:tcPr>
            <w:tcW w:w="1229" w:type="dxa"/>
            <w:vMerge w:val="continue"/>
            <w:noWrap w:val="0"/>
            <w:vAlign w:val="center"/>
          </w:tcPr>
          <w:p>
            <w:pPr>
              <w:spacing w:line="360" w:lineRule="auto"/>
              <w:jc w:val="center"/>
              <w:rPr>
                <w:rFonts w:hint="eastAsia" w:ascii="宋体" w:hAnsi="宋体" w:cs="宋体"/>
                <w:color w:val="auto"/>
                <w:sz w:val="24"/>
                <w:highlight w:val="none"/>
              </w:rPr>
            </w:pPr>
          </w:p>
        </w:tc>
        <w:tc>
          <w:tcPr>
            <w:tcW w:w="1910"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中级职称人员</w:t>
            </w:r>
          </w:p>
        </w:tc>
        <w:tc>
          <w:tcPr>
            <w:tcW w:w="2516"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2479" w:type="dxa"/>
            <w:gridSpan w:val="2"/>
            <w:noWrap w:val="0"/>
            <w:vAlign w:val="center"/>
          </w:tcPr>
          <w:p>
            <w:pPr>
              <w:spacing w:line="360" w:lineRule="auto"/>
              <w:jc w:val="center"/>
              <w:rPr>
                <w:rFonts w:hint="eastAsia" w:ascii="宋体" w:hAnsi="宋体" w:cs="宋体"/>
                <w:color w:val="auto"/>
                <w:sz w:val="24"/>
                <w:highlight w:val="none"/>
              </w:rPr>
            </w:pPr>
          </w:p>
        </w:tc>
        <w:tc>
          <w:tcPr>
            <w:tcW w:w="1229" w:type="dxa"/>
            <w:vMerge w:val="continue"/>
            <w:noWrap w:val="0"/>
            <w:vAlign w:val="center"/>
          </w:tcPr>
          <w:p>
            <w:pPr>
              <w:spacing w:line="360" w:lineRule="auto"/>
              <w:jc w:val="center"/>
              <w:rPr>
                <w:rFonts w:hint="eastAsia" w:ascii="宋体" w:hAnsi="宋体" w:cs="宋体"/>
                <w:color w:val="auto"/>
                <w:sz w:val="24"/>
                <w:highlight w:val="none"/>
              </w:rPr>
            </w:pPr>
          </w:p>
        </w:tc>
        <w:tc>
          <w:tcPr>
            <w:tcW w:w="1910"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初级职称人员</w:t>
            </w:r>
          </w:p>
        </w:tc>
        <w:tc>
          <w:tcPr>
            <w:tcW w:w="2516"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账号</w:t>
            </w:r>
          </w:p>
        </w:tc>
        <w:tc>
          <w:tcPr>
            <w:tcW w:w="2479" w:type="dxa"/>
            <w:gridSpan w:val="2"/>
            <w:noWrap w:val="0"/>
            <w:vAlign w:val="center"/>
          </w:tcPr>
          <w:p>
            <w:pPr>
              <w:spacing w:line="360" w:lineRule="auto"/>
              <w:jc w:val="center"/>
              <w:rPr>
                <w:rFonts w:hint="eastAsia" w:ascii="宋体" w:hAnsi="宋体" w:cs="宋体"/>
                <w:color w:val="auto"/>
                <w:sz w:val="24"/>
                <w:highlight w:val="none"/>
              </w:rPr>
            </w:pPr>
          </w:p>
        </w:tc>
        <w:tc>
          <w:tcPr>
            <w:tcW w:w="1229" w:type="dxa"/>
            <w:vMerge w:val="continue"/>
            <w:noWrap w:val="0"/>
            <w:vAlign w:val="center"/>
          </w:tcPr>
          <w:p>
            <w:pPr>
              <w:spacing w:line="360" w:lineRule="auto"/>
              <w:jc w:val="center"/>
              <w:rPr>
                <w:rFonts w:hint="eastAsia" w:ascii="宋体" w:hAnsi="宋体" w:cs="宋体"/>
                <w:color w:val="auto"/>
                <w:sz w:val="24"/>
                <w:highlight w:val="none"/>
              </w:rPr>
            </w:pPr>
          </w:p>
        </w:tc>
        <w:tc>
          <w:tcPr>
            <w:tcW w:w="1910" w:type="dxa"/>
            <w:gridSpan w:val="3"/>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技工</w:t>
            </w:r>
          </w:p>
        </w:tc>
        <w:tc>
          <w:tcPr>
            <w:tcW w:w="2516" w:type="dxa"/>
            <w:gridSpan w:val="2"/>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8134" w:type="dxa"/>
            <w:gridSpan w:val="8"/>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8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8134" w:type="dxa"/>
            <w:gridSpan w:val="8"/>
            <w:noWrap w:val="0"/>
            <w:vAlign w:val="center"/>
          </w:tcPr>
          <w:p>
            <w:pPr>
              <w:spacing w:line="360" w:lineRule="auto"/>
              <w:jc w:val="center"/>
              <w:rPr>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pStyle w:val="22"/>
        <w:ind w:firstLine="21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4"/>
        <w:spacing w:line="360" w:lineRule="auto"/>
        <w:jc w:val="center"/>
        <w:rPr>
          <w:rFonts w:hint="eastAsia" w:ascii="宋体" w:hAnsi="宋体" w:eastAsia="宋体" w:cs="宋体"/>
          <w:bCs w:val="0"/>
          <w:color w:val="auto"/>
          <w:sz w:val="24"/>
          <w:szCs w:val="24"/>
          <w:highlight w:val="none"/>
        </w:rPr>
      </w:pPr>
      <w:bookmarkStart w:id="185" w:name="_Toc489015429"/>
      <w:bookmarkStart w:id="186" w:name="_Toc30801"/>
      <w:bookmarkStart w:id="187" w:name="_Toc468700787"/>
      <w:r>
        <w:rPr>
          <w:rFonts w:hint="eastAsia" w:ascii="宋体" w:hAnsi="宋体" w:eastAsia="宋体" w:cs="宋体"/>
          <w:bCs w:val="0"/>
          <w:color w:val="auto"/>
          <w:sz w:val="24"/>
          <w:szCs w:val="24"/>
          <w:highlight w:val="none"/>
        </w:rPr>
        <w:t>四、中小企业声明函</w:t>
      </w:r>
      <w:bookmarkEnd w:id="185"/>
      <w:bookmarkEnd w:id="186"/>
      <w:bookmarkEnd w:id="18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本公司郑重声明，根据《政府采购促进中小企业发展管理办法》（财库[2020]46号）的规定，本公司参加</w:t>
      </w:r>
      <w:r>
        <w:rPr>
          <w:rFonts w:hint="eastAsia" w:ascii="宋体" w:hAnsi="宋体" w:cs="宋体"/>
          <w:color w:val="auto"/>
          <w:sz w:val="24"/>
          <w:highlight w:val="none"/>
          <w:u w:val="single"/>
        </w:rPr>
        <w:t xml:space="preserve"> （单位名称）的（项目名称）采购活动，</w:t>
      </w:r>
      <w:r>
        <w:rPr>
          <w:rFonts w:hint="eastAsia" w:ascii="宋体" w:hAnsi="宋体" w:cs="宋体"/>
          <w:color w:val="auto"/>
          <w:sz w:val="24"/>
          <w:highlight w:val="none"/>
        </w:rPr>
        <w:t>服务全部由符合政策要求的中小企业承接。相关企业的具体情况如下：</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b/>
          <w:bCs/>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b/>
          <w:bCs/>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520" w:lineRule="exact"/>
        <w:rPr>
          <w:rFonts w:hint="eastAsia" w:ascii="宋体" w:hAnsi="宋体" w:cs="宋体"/>
          <w:color w:val="auto"/>
          <w:sz w:val="24"/>
          <w:highlight w:val="none"/>
        </w:rPr>
      </w:pPr>
      <w:r>
        <w:rPr>
          <w:rFonts w:hint="eastAsia" w:ascii="宋体" w:hAnsi="宋体" w:cs="宋体"/>
          <w:color w:val="auto"/>
          <w:sz w:val="24"/>
          <w:highlight w:val="none"/>
        </w:rPr>
        <w:t> </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pPr>
        <w:widowControl/>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磋商日期：</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kern w:val="0"/>
          <w:sz w:val="24"/>
          <w:highlight w:val="none"/>
        </w:rPr>
      </w:pPr>
    </w:p>
    <w:p>
      <w:pPr>
        <w:spacing w:line="360" w:lineRule="auto"/>
        <w:rPr>
          <w:rFonts w:hint="eastAsia" w:ascii="宋体" w:hAnsi="宋体" w:cs="宋体"/>
          <w:color w:val="auto"/>
          <w:kern w:val="0"/>
          <w:sz w:val="24"/>
          <w:highlight w:val="none"/>
        </w:rPr>
      </w:pPr>
    </w:p>
    <w:p>
      <w:pPr>
        <w:pStyle w:val="4"/>
        <w:rPr>
          <w:rFonts w:hint="eastAsia" w:ascii="宋体" w:hAnsi="宋体" w:eastAsia="宋体" w:cs="宋体"/>
          <w:color w:val="auto"/>
          <w:kern w:val="0"/>
          <w:sz w:val="24"/>
          <w:highlight w:val="none"/>
        </w:rPr>
      </w:pPr>
    </w:p>
    <w:p>
      <w:pPr>
        <w:rPr>
          <w:rFonts w:hint="eastAsia" w:ascii="宋体" w:hAnsi="宋体" w:cs="宋体"/>
          <w:color w:val="auto"/>
          <w:kern w:val="0"/>
          <w:sz w:val="24"/>
          <w:highlight w:val="none"/>
        </w:rPr>
      </w:pPr>
    </w:p>
    <w:p>
      <w:pPr>
        <w:pStyle w:val="4"/>
        <w:rPr>
          <w:rFonts w:hint="eastAsia" w:ascii="宋体" w:hAnsi="宋体" w:eastAsia="宋体" w:cs="宋体"/>
          <w:color w:val="auto"/>
          <w:kern w:val="0"/>
          <w:sz w:val="24"/>
          <w:highlight w:val="none"/>
        </w:rPr>
      </w:pPr>
    </w:p>
    <w:p>
      <w:pPr>
        <w:pStyle w:val="40"/>
        <w:rPr>
          <w:rFonts w:hint="eastAsia" w:cs="宋体"/>
          <w:color w:val="auto"/>
          <w:highlight w:val="none"/>
        </w:rPr>
      </w:pPr>
    </w:p>
    <w:p>
      <w:pPr>
        <w:pStyle w:val="40"/>
        <w:rPr>
          <w:rFonts w:hint="eastAsia" w:cs="宋体"/>
          <w:color w:val="auto"/>
          <w:highlight w:val="none"/>
        </w:rPr>
      </w:pPr>
    </w:p>
    <w:p>
      <w:pPr>
        <w:pStyle w:val="40"/>
        <w:rPr>
          <w:rFonts w:hint="eastAsia" w:cs="宋体"/>
          <w:color w:val="auto"/>
          <w:highlight w:val="none"/>
        </w:rPr>
      </w:pPr>
    </w:p>
    <w:p>
      <w:pPr>
        <w:pStyle w:val="40"/>
        <w:rPr>
          <w:rFonts w:hint="eastAsia" w:cs="宋体"/>
          <w:color w:val="auto"/>
          <w:highlight w:val="none"/>
        </w:rPr>
      </w:pPr>
    </w:p>
    <w:p>
      <w:pPr>
        <w:pStyle w:val="40"/>
        <w:rPr>
          <w:rFonts w:hint="eastAsia"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color w:val="auto"/>
          <w:kern w:val="0"/>
          <w:sz w:val="24"/>
          <w:highlight w:val="none"/>
        </w:rPr>
      </w:pPr>
    </w:p>
    <w:p>
      <w:pPr>
        <w:spacing w:line="360" w:lineRule="auto"/>
        <w:rPr>
          <w:rFonts w:hint="eastAsia" w:ascii="宋体" w:hAnsi="宋体" w:cs="宋体"/>
          <w:color w:val="auto"/>
          <w:kern w:val="0"/>
          <w:sz w:val="24"/>
          <w:highlight w:val="none"/>
        </w:rPr>
      </w:pPr>
    </w:p>
    <w:p>
      <w:pPr>
        <w:pStyle w:val="4"/>
        <w:spacing w:line="360" w:lineRule="auto"/>
        <w:jc w:val="center"/>
        <w:rPr>
          <w:rFonts w:hint="eastAsia" w:ascii="宋体" w:hAnsi="宋体" w:eastAsia="宋体" w:cs="宋体"/>
          <w:color w:val="auto"/>
          <w:sz w:val="24"/>
          <w:szCs w:val="24"/>
          <w:highlight w:val="none"/>
          <w:lang w:val="zh-CN"/>
        </w:rPr>
      </w:pPr>
      <w:bookmarkStart w:id="188" w:name="_Toc482023488"/>
      <w:bookmarkStart w:id="189" w:name="_Toc489015431"/>
      <w:bookmarkStart w:id="190" w:name="_Toc18558"/>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zh-CN"/>
        </w:rPr>
        <w:t>、监狱企业证明材料</w:t>
      </w:r>
      <w:bookmarkEnd w:id="188"/>
      <w:bookmarkEnd w:id="189"/>
      <w:bookmarkEnd w:id="190"/>
    </w:p>
    <w:p>
      <w:pPr>
        <w:spacing w:line="360" w:lineRule="auto"/>
        <w:ind w:firstLine="630" w:firstLineChars="250"/>
        <w:rPr>
          <w:rFonts w:hint="eastAsia" w:ascii="宋体" w:hAnsi="宋体" w:cs="宋体"/>
          <w:color w:val="auto"/>
          <w:spacing w:val="6"/>
          <w:sz w:val="24"/>
          <w:highlight w:val="none"/>
        </w:rPr>
      </w:pPr>
      <w:r>
        <w:rPr>
          <w:rFonts w:hint="eastAsia" w:ascii="宋体" w:hAnsi="宋体" w:cs="宋体"/>
          <w:color w:val="auto"/>
          <w:spacing w:val="6"/>
          <w:sz w:val="24"/>
          <w:highlight w:val="none"/>
        </w:rPr>
        <w:t>由供应商提供由省级以上监狱管理局、戒毒管理局（含新疆生产建设兵团）出具的属于监狱企业的证明文件。</w:t>
      </w:r>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color w:val="auto"/>
          <w:spacing w:val="6"/>
          <w:sz w:val="24"/>
          <w:highlight w:val="none"/>
        </w:rPr>
      </w:pPr>
    </w:p>
    <w:p>
      <w:pP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w:t>
      </w:r>
    </w:p>
    <w:p>
      <w:pP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（1）供应商属于监狱企业单位则提供，不属于监狱企业不需要提供；</w:t>
      </w:r>
    </w:p>
    <w:p>
      <w:pPr>
        <w:spacing w:line="360" w:lineRule="auto"/>
        <w:rPr>
          <w:rFonts w:hint="eastAsia" w:ascii="宋体" w:hAnsi="宋体" w:cs="宋体"/>
          <w:color w:val="auto"/>
          <w:spacing w:val="6"/>
          <w:sz w:val="24"/>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pStyle w:val="74"/>
        <w:spacing w:line="360" w:lineRule="auto"/>
        <w:rPr>
          <w:rFonts w:hint="eastAsia" w:hAnsi="宋体"/>
          <w:color w:val="auto"/>
          <w:spacing w:val="6"/>
          <w:highlight w:val="none"/>
        </w:rPr>
      </w:pPr>
    </w:p>
    <w:p>
      <w:pPr>
        <w:spacing w:line="360" w:lineRule="auto"/>
        <w:jc w:val="center"/>
        <w:rPr>
          <w:rFonts w:hint="eastAsia" w:ascii="宋体" w:hAnsi="宋体" w:cs="宋体"/>
          <w:b/>
          <w:color w:val="auto"/>
          <w:spacing w:val="6"/>
          <w:sz w:val="24"/>
          <w:highlight w:val="none"/>
        </w:rPr>
      </w:pPr>
      <w:bookmarkStart w:id="191" w:name="OLE_LINK13"/>
      <w:bookmarkStart w:id="192" w:name="OLE_LINK14"/>
      <w:r>
        <w:rPr>
          <w:rFonts w:hint="eastAsia" w:ascii="宋体" w:hAnsi="宋体" w:cs="宋体"/>
          <w:b/>
          <w:color w:val="auto"/>
          <w:spacing w:val="6"/>
          <w:sz w:val="24"/>
          <w:highlight w:val="none"/>
        </w:rPr>
        <w:t>六、残疾人福利性单位声明函</w:t>
      </w:r>
    </w:p>
    <w:bookmarkEnd w:id="191"/>
    <w:bookmarkEnd w:id="192"/>
    <w:p>
      <w:pPr>
        <w:spacing w:line="360" w:lineRule="auto"/>
        <w:rPr>
          <w:rFonts w:hint="eastAsia" w:ascii="宋体" w:hAnsi="宋体" w:cs="宋体"/>
          <w:b/>
          <w:color w:val="auto"/>
          <w:spacing w:val="6"/>
          <w:sz w:val="24"/>
          <w:highlight w:val="none"/>
        </w:rPr>
      </w:pP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ind w:firstLine="504" w:firstLineChars="200"/>
        <w:rPr>
          <w:rFonts w:hint="eastAsia" w:ascii="宋体" w:hAnsi="宋体" w:cs="宋体"/>
          <w:color w:val="auto"/>
          <w:spacing w:val="6"/>
          <w:sz w:val="24"/>
          <w:highlight w:val="none"/>
        </w:rPr>
      </w:pPr>
    </w:p>
    <w:p>
      <w:pPr>
        <w:spacing w:line="360" w:lineRule="auto"/>
        <w:ind w:firstLine="504" w:firstLineChars="200"/>
        <w:rPr>
          <w:rFonts w:hint="eastAsia" w:ascii="宋体" w:hAnsi="宋体" w:cs="宋体"/>
          <w:color w:val="auto"/>
          <w:spacing w:val="6"/>
          <w:sz w:val="24"/>
          <w:highlight w:val="none"/>
        </w:rPr>
      </w:pPr>
    </w:p>
    <w:p>
      <w:pPr>
        <w:tabs>
          <w:tab w:val="left" w:pos="4860"/>
        </w:tabs>
        <w:spacing w:line="360" w:lineRule="auto"/>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360" w:lineRule="auto"/>
        <w:ind w:right="1560" w:firstLine="504" w:firstLineChars="200"/>
        <w:jc w:val="center"/>
        <w:rPr>
          <w:rFonts w:hint="eastAsia" w:ascii="宋体" w:hAnsi="宋体" w:cs="宋体"/>
          <w:color w:val="auto"/>
          <w:sz w:val="24"/>
          <w:highlight w:val="none"/>
        </w:rPr>
      </w:pPr>
      <w:r>
        <w:rPr>
          <w:rFonts w:hint="eastAsia" w:ascii="宋体" w:hAnsi="宋体" w:cs="宋体"/>
          <w:color w:val="auto"/>
          <w:spacing w:val="6"/>
          <w:sz w:val="24"/>
          <w:highlight w:val="none"/>
        </w:rPr>
        <w:t xml:space="preserve">      日  期：</w:t>
      </w:r>
    </w:p>
    <w:p>
      <w:pPr>
        <w:pStyle w:val="22"/>
        <w:ind w:firstLine="0" w:firstLineChars="0"/>
        <w:rPr>
          <w:rFonts w:hint="eastAsia" w:ascii="宋体" w:hAnsi="宋体" w:cs="宋体"/>
          <w:color w:val="auto"/>
          <w:highlight w:val="none"/>
          <w:lang w:val="zh-CN"/>
        </w:rPr>
      </w:pPr>
    </w:p>
    <w:p>
      <w:pP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w:t>
      </w:r>
    </w:p>
    <w:p>
      <w:pP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（1）供应商属于残疾人福利性单位则提供，不属于残疾人福利性单位不需要提供；</w:t>
      </w: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、商务应答表</w:t>
      </w:r>
    </w:p>
    <w:p>
      <w:pPr>
        <w:spacing w:line="360" w:lineRule="auto"/>
        <w:ind w:firstLine="960" w:firstLineChars="400"/>
        <w:rPr>
          <w:rFonts w:hint="eastAsia" w:ascii="宋体" w:hAnsi="宋体" w:cs="宋体"/>
          <w:color w:val="auto"/>
          <w:highlight w:val="none"/>
        </w:rPr>
      </w:pPr>
      <w:r>
        <w:rPr>
          <w:rFonts w:hint="eastAsia" w:ascii="宋体" w:hAnsi="宋体" w:cs="宋体"/>
          <w:color w:val="auto"/>
          <w:sz w:val="24"/>
          <w:highlight w:val="none"/>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476"/>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81" w:type="dxa"/>
            <w:noWrap w:val="0"/>
            <w:vAlign w:val="center"/>
          </w:tcPr>
          <w:p>
            <w:pPr>
              <w:widowControl/>
              <w:spacing w:line="360" w:lineRule="auto"/>
              <w:jc w:val="center"/>
              <w:outlineLvl w:val="1"/>
              <w:rPr>
                <w:rFonts w:hint="eastAsia" w:ascii="宋体" w:hAnsi="宋体" w:cs="宋体"/>
                <w:color w:val="auto"/>
                <w:sz w:val="24"/>
                <w:highlight w:val="none"/>
              </w:rPr>
            </w:pPr>
            <w:bookmarkStart w:id="193" w:name="_Toc705"/>
            <w:bookmarkStart w:id="194" w:name="_Toc3872"/>
            <w:bookmarkStart w:id="195" w:name="OLE_LINK4"/>
            <w:r>
              <w:rPr>
                <w:rFonts w:hint="eastAsia" w:ascii="宋体" w:hAnsi="宋体" w:cs="宋体"/>
                <w:color w:val="auto"/>
                <w:sz w:val="24"/>
                <w:highlight w:val="none"/>
              </w:rPr>
              <w:t>序号</w:t>
            </w:r>
            <w:bookmarkEnd w:id="193"/>
            <w:bookmarkEnd w:id="194"/>
          </w:p>
        </w:tc>
        <w:tc>
          <w:tcPr>
            <w:tcW w:w="3476" w:type="dxa"/>
            <w:noWrap w:val="0"/>
            <w:vAlign w:val="center"/>
          </w:tcPr>
          <w:p>
            <w:pPr>
              <w:widowControl/>
              <w:spacing w:line="360" w:lineRule="auto"/>
              <w:jc w:val="center"/>
              <w:outlineLvl w:val="1"/>
              <w:rPr>
                <w:rFonts w:hint="eastAsia" w:ascii="宋体" w:hAnsi="宋体" w:cs="宋体"/>
                <w:color w:val="auto"/>
                <w:sz w:val="24"/>
                <w:highlight w:val="none"/>
              </w:rPr>
            </w:pPr>
            <w:bookmarkStart w:id="196" w:name="_Toc28812"/>
            <w:bookmarkStart w:id="197" w:name="_Toc20186"/>
            <w:r>
              <w:rPr>
                <w:rFonts w:hint="eastAsia" w:ascii="宋体" w:hAnsi="宋体" w:cs="宋体"/>
                <w:color w:val="auto"/>
                <w:sz w:val="24"/>
                <w:highlight w:val="none"/>
              </w:rPr>
              <w:t>竞争性磋商文件要求</w:t>
            </w:r>
            <w:bookmarkEnd w:id="196"/>
            <w:bookmarkEnd w:id="197"/>
          </w:p>
        </w:tc>
        <w:tc>
          <w:tcPr>
            <w:tcW w:w="3165" w:type="dxa"/>
            <w:noWrap w:val="0"/>
            <w:vAlign w:val="center"/>
          </w:tcPr>
          <w:p>
            <w:pPr>
              <w:widowControl/>
              <w:spacing w:line="360" w:lineRule="auto"/>
              <w:jc w:val="center"/>
              <w:outlineLvl w:val="1"/>
              <w:rPr>
                <w:rFonts w:hint="eastAsia" w:ascii="宋体" w:hAnsi="宋体" w:cs="宋体"/>
                <w:color w:val="auto"/>
                <w:sz w:val="24"/>
                <w:highlight w:val="none"/>
              </w:rPr>
            </w:pPr>
            <w:bookmarkStart w:id="198" w:name="_Toc5026"/>
            <w:bookmarkStart w:id="199" w:name="_Toc4337"/>
            <w:r>
              <w:rPr>
                <w:rFonts w:hint="eastAsia" w:ascii="宋体" w:hAnsi="宋体" w:cs="宋体"/>
                <w:color w:val="auto"/>
                <w:sz w:val="24"/>
                <w:highlight w:val="none"/>
              </w:rPr>
              <w:t>响应文件</w:t>
            </w:r>
            <w:bookmarkEnd w:id="198"/>
            <w:r>
              <w:rPr>
                <w:rFonts w:hint="eastAsia" w:ascii="宋体" w:hAnsi="宋体" w:cs="宋体"/>
                <w:color w:val="auto"/>
                <w:sz w:val="24"/>
                <w:highlight w:val="none"/>
              </w:rPr>
              <w:t>响应说明</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476"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165"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476"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165"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476"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165"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1"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476"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c>
          <w:tcPr>
            <w:tcW w:w="3165" w:type="dxa"/>
            <w:noWrap w:val="0"/>
            <w:vAlign w:val="top"/>
          </w:tcPr>
          <w:p>
            <w:pPr>
              <w:widowControl/>
              <w:spacing w:line="360" w:lineRule="auto"/>
              <w:ind w:firstLine="470" w:firstLineChars="196"/>
              <w:jc w:val="center"/>
              <w:outlineLvl w:val="1"/>
              <w:rPr>
                <w:rFonts w:hint="eastAsia" w:ascii="宋体" w:hAnsi="宋体" w:cs="宋体"/>
                <w:color w:val="auto"/>
                <w:sz w:val="24"/>
                <w:highlight w:val="none"/>
              </w:rPr>
            </w:pPr>
          </w:p>
        </w:tc>
      </w:tr>
      <w:bookmarkEnd w:id="195"/>
    </w:tbl>
    <w:p>
      <w:pPr>
        <w:widowControl/>
        <w:spacing w:line="360" w:lineRule="auto"/>
        <w:ind w:firstLine="470" w:firstLineChars="196"/>
        <w:jc w:val="left"/>
        <w:outlineLvl w:val="1"/>
        <w:rPr>
          <w:rFonts w:hint="eastAsia" w:ascii="宋体" w:hAnsi="宋体" w:cs="宋体"/>
          <w:color w:val="auto"/>
          <w:sz w:val="24"/>
          <w:highlight w:val="none"/>
        </w:rPr>
      </w:pPr>
      <w:bookmarkStart w:id="200" w:name="_Toc25070"/>
      <w:bookmarkStart w:id="201" w:name="_Toc5816"/>
      <w:r>
        <w:rPr>
          <w:rFonts w:hint="eastAsia" w:ascii="宋体" w:hAnsi="宋体" w:cs="宋体"/>
          <w:color w:val="auto"/>
          <w:sz w:val="24"/>
          <w:highlight w:val="none"/>
        </w:rPr>
        <w:t>注：1. 供应商必须把招标文件“第五章</w:t>
      </w:r>
      <w:r>
        <w:rPr>
          <w:rFonts w:ascii="宋体" w:hAnsi="宋体" w:cs="宋体"/>
          <w:color w:val="auto"/>
          <w:sz w:val="24"/>
          <w:highlight w:val="none"/>
        </w:rPr>
        <w:t xml:space="preserve"> </w:t>
      </w:r>
      <w:r>
        <w:rPr>
          <w:rFonts w:hint="eastAsia" w:ascii="宋体" w:hAnsi="宋体" w:cs="宋体"/>
          <w:color w:val="auto"/>
          <w:sz w:val="24"/>
          <w:highlight w:val="none"/>
        </w:rPr>
        <w:t>采购项目技术、服务及其他商务要求”中商务要求相关内容列入此表。</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2．按照磋商项目商务要求的顺序逐条对应填写。</w:t>
      </w:r>
    </w:p>
    <w:bookmarkEnd w:id="200"/>
    <w:bookmarkEnd w:id="201"/>
    <w:p>
      <w:pPr>
        <w:spacing w:line="360" w:lineRule="auto"/>
        <w:rPr>
          <w:rFonts w:ascii="宋体" w:hAnsi="宋体" w:cs="宋体"/>
          <w:color w:val="auto"/>
          <w:sz w:val="24"/>
          <w:highlight w:val="none"/>
        </w:rPr>
      </w:pPr>
    </w:p>
    <w:p>
      <w:pPr>
        <w:rPr>
          <w:rFonts w:hint="eastAsia"/>
          <w:color w:val="auto"/>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pStyle w:val="22"/>
        <w:ind w:firstLine="210"/>
        <w:rPr>
          <w:rFonts w:hint="eastAsia" w:ascii="宋体" w:hAnsi="宋体" w:cs="宋体"/>
          <w:color w:val="auto"/>
          <w:highlight w:val="none"/>
        </w:rPr>
      </w:pPr>
    </w:p>
    <w:p>
      <w:pPr>
        <w:spacing w:line="360" w:lineRule="auto"/>
        <w:rPr>
          <w:rFonts w:hint="eastAsia" w:ascii="宋体" w:hAnsi="宋体" w:cs="宋体"/>
          <w:color w:val="auto"/>
          <w:sz w:val="24"/>
          <w:highlight w:val="none"/>
        </w:rPr>
      </w:pPr>
    </w:p>
    <w:p>
      <w:pPr>
        <w:pStyle w:val="2"/>
        <w:rPr>
          <w:rFonts w:hint="eastAsia"/>
          <w:color w:val="auto"/>
          <w:highlight w:val="none"/>
        </w:rPr>
      </w:pPr>
    </w:p>
    <w:p>
      <w:pPr>
        <w:spacing w:line="360" w:lineRule="auto"/>
        <w:rPr>
          <w:rFonts w:hint="eastAsia" w:ascii="宋体" w:hAnsi="宋体" w:cs="宋体"/>
          <w:color w:val="auto"/>
          <w:sz w:val="24"/>
          <w:highlight w:val="none"/>
        </w:rPr>
      </w:pPr>
    </w:p>
    <w:p>
      <w:pPr>
        <w:pStyle w:val="6"/>
        <w:ind w:firstLine="482"/>
        <w:rPr>
          <w:rFonts w:hint="eastAsia"/>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、服务要求偏离表</w:t>
      </w:r>
    </w:p>
    <w:p>
      <w:pPr>
        <w:spacing w:line="360" w:lineRule="auto"/>
        <w:rPr>
          <w:rFonts w:hint="eastAsia" w:ascii="宋体" w:hAnsi="宋体" w:cs="宋体"/>
          <w:color w:val="auto"/>
          <w:highlight w:val="none"/>
        </w:rPr>
      </w:pPr>
      <w:r>
        <w:rPr>
          <w:rFonts w:hint="eastAsia" w:ascii="宋体" w:hAnsi="宋体" w:cs="宋体"/>
          <w:color w:val="auto"/>
          <w:sz w:val="24"/>
          <w:highlight w:val="none"/>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000"/>
        <w:gridCol w:w="2867"/>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00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竞争性磋商文件要求</w:t>
            </w:r>
          </w:p>
        </w:tc>
        <w:tc>
          <w:tcPr>
            <w:tcW w:w="286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响应文件响应说明</w:t>
            </w:r>
          </w:p>
        </w:tc>
        <w:tc>
          <w:tcPr>
            <w:tcW w:w="264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noWrap w:val="0"/>
            <w:vAlign w:val="top"/>
          </w:tcPr>
          <w:p>
            <w:pPr>
              <w:spacing w:line="360" w:lineRule="auto"/>
              <w:jc w:val="center"/>
              <w:rPr>
                <w:rFonts w:hint="eastAsia" w:ascii="宋体" w:hAnsi="宋体" w:cs="宋体"/>
                <w:color w:val="auto"/>
                <w:sz w:val="24"/>
                <w:highlight w:val="none"/>
              </w:rPr>
            </w:pPr>
          </w:p>
        </w:tc>
        <w:tc>
          <w:tcPr>
            <w:tcW w:w="3000" w:type="dxa"/>
            <w:noWrap w:val="0"/>
            <w:vAlign w:val="top"/>
          </w:tcPr>
          <w:p>
            <w:pPr>
              <w:spacing w:line="360" w:lineRule="auto"/>
              <w:rPr>
                <w:rFonts w:hint="eastAsia" w:ascii="宋体" w:hAnsi="宋体" w:cs="宋体"/>
                <w:color w:val="auto"/>
                <w:sz w:val="24"/>
                <w:highlight w:val="none"/>
              </w:rPr>
            </w:pPr>
          </w:p>
        </w:tc>
        <w:tc>
          <w:tcPr>
            <w:tcW w:w="2867" w:type="dxa"/>
            <w:noWrap w:val="0"/>
            <w:vAlign w:val="top"/>
          </w:tcPr>
          <w:p>
            <w:pPr>
              <w:spacing w:line="360" w:lineRule="auto"/>
              <w:rPr>
                <w:rFonts w:hint="eastAsia" w:ascii="宋体" w:hAnsi="宋体" w:cs="宋体"/>
                <w:color w:val="auto"/>
                <w:sz w:val="24"/>
                <w:highlight w:val="none"/>
              </w:rPr>
            </w:pPr>
          </w:p>
        </w:tc>
        <w:tc>
          <w:tcPr>
            <w:tcW w:w="2645" w:type="dxa"/>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noWrap w:val="0"/>
            <w:vAlign w:val="top"/>
          </w:tcPr>
          <w:p>
            <w:pPr>
              <w:spacing w:line="360" w:lineRule="auto"/>
              <w:jc w:val="center"/>
              <w:rPr>
                <w:rFonts w:hint="eastAsia" w:ascii="宋体" w:hAnsi="宋体" w:cs="宋体"/>
                <w:color w:val="auto"/>
                <w:sz w:val="24"/>
                <w:highlight w:val="none"/>
              </w:rPr>
            </w:pPr>
          </w:p>
        </w:tc>
        <w:tc>
          <w:tcPr>
            <w:tcW w:w="3000" w:type="dxa"/>
            <w:noWrap w:val="0"/>
            <w:vAlign w:val="top"/>
          </w:tcPr>
          <w:p>
            <w:pPr>
              <w:spacing w:line="360" w:lineRule="auto"/>
              <w:rPr>
                <w:rFonts w:hint="eastAsia" w:ascii="宋体" w:hAnsi="宋体" w:cs="宋体"/>
                <w:color w:val="auto"/>
                <w:sz w:val="24"/>
                <w:highlight w:val="none"/>
              </w:rPr>
            </w:pPr>
          </w:p>
        </w:tc>
        <w:tc>
          <w:tcPr>
            <w:tcW w:w="2867" w:type="dxa"/>
            <w:noWrap w:val="0"/>
            <w:vAlign w:val="top"/>
          </w:tcPr>
          <w:p>
            <w:pPr>
              <w:spacing w:line="360" w:lineRule="auto"/>
              <w:rPr>
                <w:rFonts w:hint="eastAsia" w:ascii="宋体" w:hAnsi="宋体" w:cs="宋体"/>
                <w:color w:val="auto"/>
                <w:sz w:val="24"/>
                <w:highlight w:val="none"/>
              </w:rPr>
            </w:pPr>
          </w:p>
        </w:tc>
        <w:tc>
          <w:tcPr>
            <w:tcW w:w="2645" w:type="dxa"/>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noWrap w:val="0"/>
            <w:vAlign w:val="top"/>
          </w:tcPr>
          <w:p>
            <w:pPr>
              <w:spacing w:line="360" w:lineRule="auto"/>
              <w:jc w:val="center"/>
              <w:rPr>
                <w:rFonts w:hint="eastAsia" w:ascii="宋体" w:hAnsi="宋体" w:cs="宋体"/>
                <w:color w:val="auto"/>
                <w:sz w:val="24"/>
                <w:highlight w:val="none"/>
              </w:rPr>
            </w:pPr>
          </w:p>
        </w:tc>
        <w:tc>
          <w:tcPr>
            <w:tcW w:w="3000" w:type="dxa"/>
            <w:noWrap w:val="0"/>
            <w:vAlign w:val="top"/>
          </w:tcPr>
          <w:p>
            <w:pPr>
              <w:spacing w:line="360" w:lineRule="auto"/>
              <w:rPr>
                <w:rFonts w:hint="eastAsia" w:ascii="宋体" w:hAnsi="宋体" w:cs="宋体"/>
                <w:color w:val="auto"/>
                <w:sz w:val="24"/>
                <w:highlight w:val="none"/>
              </w:rPr>
            </w:pPr>
          </w:p>
        </w:tc>
        <w:tc>
          <w:tcPr>
            <w:tcW w:w="2867" w:type="dxa"/>
            <w:noWrap w:val="0"/>
            <w:vAlign w:val="top"/>
          </w:tcPr>
          <w:p>
            <w:pPr>
              <w:spacing w:line="360" w:lineRule="auto"/>
              <w:rPr>
                <w:rFonts w:hint="eastAsia" w:ascii="宋体" w:hAnsi="宋体" w:cs="宋体"/>
                <w:color w:val="auto"/>
                <w:sz w:val="24"/>
                <w:highlight w:val="none"/>
              </w:rPr>
            </w:pPr>
          </w:p>
        </w:tc>
        <w:tc>
          <w:tcPr>
            <w:tcW w:w="2645" w:type="dxa"/>
            <w:noWrap w:val="0"/>
            <w:vAlign w:val="top"/>
          </w:tcPr>
          <w:p>
            <w:pPr>
              <w:spacing w:line="360" w:lineRule="auto"/>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0" w:type="dxa"/>
            <w:noWrap w:val="0"/>
            <w:vAlign w:val="top"/>
          </w:tcPr>
          <w:p>
            <w:pPr>
              <w:spacing w:line="360" w:lineRule="auto"/>
              <w:jc w:val="center"/>
              <w:rPr>
                <w:rFonts w:hint="eastAsia" w:ascii="宋体" w:hAnsi="宋体" w:cs="宋体"/>
                <w:color w:val="auto"/>
                <w:sz w:val="24"/>
                <w:highlight w:val="none"/>
              </w:rPr>
            </w:pPr>
          </w:p>
        </w:tc>
        <w:tc>
          <w:tcPr>
            <w:tcW w:w="3000" w:type="dxa"/>
            <w:noWrap w:val="0"/>
            <w:vAlign w:val="top"/>
          </w:tcPr>
          <w:p>
            <w:pPr>
              <w:spacing w:line="360" w:lineRule="auto"/>
              <w:rPr>
                <w:rFonts w:hint="eastAsia" w:ascii="宋体" w:hAnsi="宋体" w:cs="宋体"/>
                <w:color w:val="auto"/>
                <w:sz w:val="24"/>
                <w:highlight w:val="none"/>
              </w:rPr>
            </w:pPr>
          </w:p>
        </w:tc>
        <w:tc>
          <w:tcPr>
            <w:tcW w:w="2867" w:type="dxa"/>
            <w:noWrap w:val="0"/>
            <w:vAlign w:val="top"/>
          </w:tcPr>
          <w:p>
            <w:pPr>
              <w:spacing w:line="360" w:lineRule="auto"/>
              <w:rPr>
                <w:rFonts w:hint="eastAsia" w:ascii="宋体" w:hAnsi="宋体" w:cs="宋体"/>
                <w:color w:val="auto"/>
                <w:sz w:val="24"/>
                <w:highlight w:val="none"/>
              </w:rPr>
            </w:pPr>
          </w:p>
        </w:tc>
        <w:tc>
          <w:tcPr>
            <w:tcW w:w="2645" w:type="dxa"/>
            <w:noWrap w:val="0"/>
            <w:vAlign w:val="top"/>
          </w:tcPr>
          <w:p>
            <w:pPr>
              <w:spacing w:line="360" w:lineRule="auto"/>
              <w:rPr>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供应商必须据实填写，不得虚假应答，否则将取消其报价或成交资格。本表只填写响应文件中与磋商文件有偏离（包括正偏离和负偏离）的内容，响应文件中服务响应与磋商文件要求完全一致的，不用在此表中列出。未明确偏离的条款，视为默认接受，供应商不得籍未作应答而拒不接受。</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pStyle w:val="22"/>
        <w:ind w:firstLine="210"/>
        <w:rPr>
          <w:rFonts w:hint="eastAsia" w:ascii="宋体" w:hAnsi="宋体" w:cs="宋体"/>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color w:val="auto"/>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、项目服务方案</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注：由供应商自行编写（格式不限）。</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pStyle w:val="22"/>
        <w:ind w:firstLine="210"/>
        <w:rPr>
          <w:rFonts w:hint="eastAsia" w:ascii="宋体" w:hAnsi="宋体" w:cs="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rPr>
          <w:rFonts w:hint="eastAsia" w:ascii="宋体" w:hAnsi="宋体" w:cs="宋体"/>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、项目管理、服务人员情况表</w:t>
      </w:r>
    </w:p>
    <w:p>
      <w:pPr>
        <w:spacing w:line="360" w:lineRule="auto"/>
        <w:ind w:firstLine="720" w:firstLineChars="300"/>
        <w:rPr>
          <w:rFonts w:hint="eastAsia" w:ascii="宋体" w:hAnsi="宋体" w:cs="宋体"/>
          <w:color w:val="auto"/>
          <w:highlight w:val="none"/>
        </w:rPr>
      </w:pPr>
      <w:r>
        <w:rPr>
          <w:rFonts w:hint="eastAsia" w:ascii="宋体" w:hAnsi="宋体" w:cs="宋体"/>
          <w:color w:val="auto"/>
          <w:sz w:val="24"/>
          <w:highlight w:val="none"/>
        </w:rPr>
        <w:t>项目编号：                          本表后须附资格证明(附复印件)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常住地</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级别</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证号</w:t>
            </w:r>
          </w:p>
        </w:tc>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管</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理</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员</w:t>
            </w:r>
          </w:p>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术</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员</w:t>
            </w:r>
          </w:p>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5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他</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员</w:t>
            </w:r>
          </w:p>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c>
          <w:tcPr>
            <w:tcW w:w="850" w:type="dxa"/>
            <w:noWrap w:val="0"/>
            <w:vAlign w:val="center"/>
          </w:tcPr>
          <w:p>
            <w:pPr>
              <w:spacing w:line="360" w:lineRule="auto"/>
              <w:jc w:val="center"/>
              <w:rPr>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pStyle w:val="2"/>
        <w:rPr>
          <w:rFonts w:hint="eastAsia" w:ascii="宋体" w:hAnsi="宋体" w:cs="宋体"/>
          <w:color w:val="auto"/>
          <w:sz w:val="24"/>
          <w:highlight w:val="none"/>
        </w:rPr>
      </w:pPr>
    </w:p>
    <w:p>
      <w:pPr>
        <w:pStyle w:val="22"/>
        <w:ind w:firstLine="210"/>
        <w:rPr>
          <w:rFonts w:hint="eastAsia" w:ascii="宋体" w:hAnsi="宋体" w:cs="宋体"/>
          <w:color w:val="auto"/>
          <w:highlight w:val="none"/>
        </w:rPr>
      </w:pPr>
    </w:p>
    <w:p>
      <w:pPr>
        <w:pStyle w:val="22"/>
        <w:ind w:firstLine="210"/>
        <w:rPr>
          <w:rFonts w:hint="eastAsia" w:ascii="宋体" w:hAnsi="宋体" w:cs="宋体"/>
          <w:color w:val="auto"/>
          <w:highlight w:val="none"/>
        </w:rPr>
      </w:pPr>
    </w:p>
    <w:p>
      <w:pPr>
        <w:pStyle w:val="22"/>
        <w:ind w:firstLine="210"/>
        <w:rPr>
          <w:rFonts w:hint="eastAsia" w:ascii="宋体" w:hAnsi="宋体" w:cs="宋体"/>
          <w:color w:val="auto"/>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、供应商类似项目业绩一览表</w:t>
      </w:r>
    </w:p>
    <w:p>
      <w:pPr>
        <w:spacing w:line="360" w:lineRule="auto"/>
        <w:rPr>
          <w:rFonts w:hint="eastAsia" w:ascii="宋体" w:hAnsi="宋体" w:cs="宋体"/>
          <w:color w:val="auto"/>
          <w:highlight w:val="none"/>
        </w:rPr>
      </w:pPr>
      <w:r>
        <w:rPr>
          <w:rFonts w:hint="eastAsia" w:ascii="宋体" w:hAnsi="宋体" w:cs="宋体"/>
          <w:color w:val="auto"/>
          <w:sz w:val="24"/>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77"/>
        <w:gridCol w:w="1353"/>
        <w:gridCol w:w="1374"/>
        <w:gridCol w:w="139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年份</w:t>
            </w:r>
          </w:p>
        </w:tc>
        <w:tc>
          <w:tcPr>
            <w:tcW w:w="137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用户名称</w:t>
            </w:r>
          </w:p>
        </w:tc>
        <w:tc>
          <w:tcPr>
            <w:tcW w:w="1353"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374"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执行时间</w:t>
            </w:r>
          </w:p>
        </w:tc>
        <w:tc>
          <w:tcPr>
            <w:tcW w:w="139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tc>
        <w:tc>
          <w:tcPr>
            <w:tcW w:w="1309"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spacing w:line="360" w:lineRule="auto"/>
              <w:jc w:val="center"/>
              <w:rPr>
                <w:rFonts w:hint="eastAsia" w:ascii="宋体" w:hAnsi="宋体" w:cs="宋体"/>
                <w:color w:val="auto"/>
                <w:sz w:val="24"/>
                <w:highlight w:val="none"/>
              </w:rPr>
            </w:pPr>
          </w:p>
        </w:tc>
        <w:tc>
          <w:tcPr>
            <w:tcW w:w="1377" w:type="dxa"/>
            <w:noWrap w:val="0"/>
            <w:vAlign w:val="center"/>
          </w:tcPr>
          <w:p>
            <w:pPr>
              <w:spacing w:line="360" w:lineRule="auto"/>
              <w:jc w:val="center"/>
              <w:rPr>
                <w:rFonts w:hint="eastAsia" w:ascii="宋体" w:hAnsi="宋体" w:cs="宋体"/>
                <w:color w:val="auto"/>
                <w:sz w:val="24"/>
                <w:highlight w:val="none"/>
              </w:rPr>
            </w:pPr>
          </w:p>
        </w:tc>
        <w:tc>
          <w:tcPr>
            <w:tcW w:w="1353" w:type="dxa"/>
            <w:noWrap w:val="0"/>
            <w:vAlign w:val="center"/>
          </w:tcPr>
          <w:p>
            <w:pPr>
              <w:spacing w:line="360" w:lineRule="auto"/>
              <w:jc w:val="center"/>
              <w:rPr>
                <w:rFonts w:hint="eastAsia" w:ascii="宋体" w:hAnsi="宋体" w:cs="宋体"/>
                <w:color w:val="auto"/>
                <w:sz w:val="24"/>
                <w:highlight w:val="none"/>
              </w:rPr>
            </w:pPr>
          </w:p>
        </w:tc>
        <w:tc>
          <w:tcPr>
            <w:tcW w:w="1374" w:type="dxa"/>
            <w:noWrap w:val="0"/>
            <w:vAlign w:val="center"/>
          </w:tcPr>
          <w:p>
            <w:pPr>
              <w:spacing w:line="360" w:lineRule="auto"/>
              <w:jc w:val="center"/>
              <w:rPr>
                <w:rFonts w:hint="eastAsia" w:ascii="宋体" w:hAnsi="宋体" w:cs="宋体"/>
                <w:color w:val="auto"/>
                <w:sz w:val="24"/>
                <w:highlight w:val="none"/>
              </w:rPr>
            </w:pPr>
          </w:p>
        </w:tc>
        <w:tc>
          <w:tcPr>
            <w:tcW w:w="1391" w:type="dxa"/>
            <w:noWrap w:val="0"/>
            <w:vAlign w:val="center"/>
          </w:tcPr>
          <w:p>
            <w:pPr>
              <w:spacing w:line="360" w:lineRule="auto"/>
              <w:jc w:val="center"/>
              <w:rPr>
                <w:rFonts w:hint="eastAsia" w:ascii="宋体" w:hAnsi="宋体" w:cs="宋体"/>
                <w:color w:val="auto"/>
                <w:sz w:val="24"/>
                <w:highlight w:val="none"/>
              </w:rPr>
            </w:pPr>
          </w:p>
        </w:tc>
        <w:tc>
          <w:tcPr>
            <w:tcW w:w="1309" w:type="dxa"/>
            <w:noWrap w:val="0"/>
            <w:vAlign w:val="center"/>
          </w:tcPr>
          <w:p>
            <w:pPr>
              <w:spacing w:line="360" w:lineRule="auto"/>
              <w:jc w:val="center"/>
              <w:rPr>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注：供应商（仅限于供应商以自身名义实施的）以上业绩需提供有关书面证明材料复印件。</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磋商日期:</w:t>
      </w:r>
    </w:p>
    <w:p>
      <w:pPr>
        <w:pStyle w:val="22"/>
        <w:ind w:firstLine="0" w:firstLineChars="0"/>
        <w:rPr>
          <w:rFonts w:hint="eastAsia" w:ascii="宋体" w:hAnsi="宋体" w:cs="宋体"/>
          <w:color w:val="auto"/>
          <w:sz w:val="24"/>
          <w:highlight w:val="none"/>
        </w:rPr>
      </w:pPr>
    </w:p>
    <w:p>
      <w:pPr>
        <w:spacing w:line="480" w:lineRule="auto"/>
        <w:outlineLvl w:val="1"/>
        <w:rPr>
          <w:rFonts w:hint="eastAsia" w:ascii="宋体" w:hAnsi="宋体" w:cs="宋体"/>
          <w:b/>
          <w:color w:val="auto"/>
          <w:sz w:val="24"/>
          <w:highlight w:val="none"/>
        </w:rPr>
      </w:pPr>
    </w:p>
    <w:p>
      <w:pPr>
        <w:pStyle w:val="22"/>
        <w:ind w:firstLine="0" w:firstLineChars="0"/>
        <w:rPr>
          <w:rFonts w:hint="eastAsia" w:ascii="宋体" w:hAnsi="宋体" w:cs="宋体"/>
          <w:color w:val="auto"/>
          <w:sz w:val="24"/>
          <w:highlight w:val="none"/>
        </w:rPr>
        <w:sectPr>
          <w:headerReference r:id="rId12" w:type="default"/>
          <w:footerReference r:id="rId13" w:type="default"/>
          <w:pgSz w:w="11906" w:h="16838"/>
          <w:pgMar w:top="1440" w:right="1406" w:bottom="1440" w:left="1293" w:header="851" w:footer="992" w:gutter="0"/>
          <w:cols w:space="720" w:num="1"/>
          <w:docGrid w:type="lines" w:linePitch="312" w:charSpace="0"/>
        </w:sectPr>
      </w:pPr>
    </w:p>
    <w:p>
      <w:pPr>
        <w:pStyle w:val="4"/>
        <w:spacing w:line="360" w:lineRule="auto"/>
        <w:jc w:val="center"/>
        <w:rPr>
          <w:rFonts w:hint="eastAsia" w:ascii="宋体" w:hAnsi="宋体" w:eastAsia="宋体" w:cs="宋体"/>
          <w:bCs w:val="0"/>
          <w:color w:val="auto"/>
          <w:sz w:val="24"/>
          <w:szCs w:val="24"/>
          <w:highlight w:val="none"/>
        </w:rPr>
      </w:pPr>
      <w:bookmarkStart w:id="202" w:name="_Toc1522"/>
      <w:bookmarkStart w:id="203" w:name="_Toc27578"/>
      <w:bookmarkStart w:id="204" w:name="_Toc489015433"/>
      <w:bookmarkStart w:id="205" w:name="_Toc10559"/>
      <w:r>
        <w:rPr>
          <w:rFonts w:hint="eastAsia" w:ascii="宋体" w:hAnsi="宋体" w:eastAsia="宋体" w:cs="宋体"/>
          <w:bCs w:val="0"/>
          <w:color w:val="auto"/>
          <w:sz w:val="24"/>
          <w:szCs w:val="24"/>
          <w:highlight w:val="none"/>
          <w:lang w:val="en-US" w:eastAsia="zh-CN"/>
        </w:rPr>
        <w:t>十一</w:t>
      </w:r>
      <w:r>
        <w:rPr>
          <w:rFonts w:hint="eastAsia" w:ascii="宋体" w:hAnsi="宋体" w:eastAsia="宋体" w:cs="宋体"/>
          <w:bCs w:val="0"/>
          <w:color w:val="auto"/>
          <w:sz w:val="24"/>
          <w:szCs w:val="24"/>
          <w:highlight w:val="none"/>
        </w:rPr>
        <w:t>、其他供应商认为需要提供的文件和资料</w:t>
      </w:r>
      <w:bookmarkEnd w:id="202"/>
      <w:bookmarkEnd w:id="203"/>
      <w:bookmarkEnd w:id="204"/>
      <w:bookmarkEnd w:id="205"/>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b/>
          <w:color w:val="auto"/>
          <w:kern w:val="0"/>
          <w:sz w:val="32"/>
          <w:szCs w:val="28"/>
          <w:highlight w:val="none"/>
        </w:rPr>
      </w:pPr>
    </w:p>
    <w:p>
      <w:pPr>
        <w:spacing w:line="360" w:lineRule="auto"/>
        <w:jc w:val="center"/>
        <w:rPr>
          <w:rFonts w:hint="eastAsia" w:ascii="宋体" w:hAnsi="宋体" w:cs="宋体"/>
          <w:b/>
          <w:color w:val="auto"/>
          <w:kern w:val="0"/>
          <w:sz w:val="32"/>
          <w:szCs w:val="28"/>
          <w:highlight w:val="none"/>
        </w:rPr>
      </w:pPr>
      <w:r>
        <w:rPr>
          <w:rFonts w:hint="eastAsia" w:ascii="宋体" w:hAnsi="宋体" w:cs="宋体"/>
          <w:b/>
          <w:color w:val="auto"/>
          <w:kern w:val="0"/>
          <w:sz w:val="32"/>
          <w:szCs w:val="28"/>
          <w:highlight w:val="none"/>
        </w:rPr>
        <w:t>（具体内容由各供应商自拟）</w:t>
      </w:r>
    </w:p>
    <w:p>
      <w:pPr>
        <w:spacing w:line="360" w:lineRule="auto"/>
        <w:rPr>
          <w:rFonts w:hint="eastAsia" w:ascii="宋体" w:hAnsi="宋体" w:cs="宋体"/>
          <w:color w:val="auto"/>
          <w:sz w:val="24"/>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pStyle w:val="74"/>
        <w:spacing w:line="360" w:lineRule="auto"/>
        <w:rPr>
          <w:rFonts w:hint="eastAsia" w:hAnsi="宋体"/>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、第一次总报价表</w:t>
      </w:r>
    </w:p>
    <w:p>
      <w:pPr>
        <w:pStyle w:val="74"/>
        <w:rPr>
          <w:rFonts w:hint="eastAsia" w:hAnsi="宋体"/>
          <w:color w:val="auto"/>
          <w:highlight w:val="none"/>
        </w:rPr>
      </w:pPr>
    </w:p>
    <w:tbl>
      <w:tblPr>
        <w:tblStyle w:val="2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9" w:type="dxa"/>
            <w:noWrap w:val="0"/>
            <w:vAlign w:val="center"/>
          </w:tcPr>
          <w:p>
            <w:pPr>
              <w:jc w:val="center"/>
              <w:rPr>
                <w:rFonts w:hint="eastAsia" w:ascii="宋体" w:hAnsi="宋体" w:cs="宋体"/>
                <w:b/>
                <w:bCs/>
                <w:caps/>
                <w:snapToGrid w:val="0"/>
                <w:color w:val="auto"/>
                <w:sz w:val="24"/>
                <w:highlight w:val="none"/>
              </w:rPr>
            </w:pPr>
            <w:r>
              <w:rPr>
                <w:rFonts w:hint="eastAsia" w:ascii="宋体" w:hAnsi="宋体" w:cs="宋体"/>
                <w:snapToGrid w:val="0"/>
                <w:color w:val="auto"/>
                <w:sz w:val="24"/>
                <w:highlight w:val="none"/>
              </w:rPr>
              <w:t>项目名称</w:t>
            </w:r>
          </w:p>
        </w:tc>
        <w:tc>
          <w:tcPr>
            <w:tcW w:w="6645" w:type="dxa"/>
            <w:noWrap w:val="0"/>
            <w:vAlign w:val="center"/>
          </w:tcPr>
          <w:p>
            <w:pPr>
              <w:jc w:val="center"/>
              <w:rPr>
                <w:rFonts w:hint="eastAsia"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noWrap w:val="0"/>
            <w:vAlign w:val="center"/>
          </w:tcPr>
          <w:p>
            <w:pPr>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项目编号</w:t>
            </w:r>
          </w:p>
        </w:tc>
        <w:tc>
          <w:tcPr>
            <w:tcW w:w="6645" w:type="dxa"/>
            <w:noWrap w:val="0"/>
            <w:vAlign w:val="center"/>
          </w:tcPr>
          <w:p>
            <w:pPr>
              <w:jc w:val="center"/>
              <w:rPr>
                <w:rFonts w:hint="eastAsia"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noWrap w:val="0"/>
            <w:vAlign w:val="center"/>
          </w:tcPr>
          <w:p>
            <w:pPr>
              <w:jc w:val="center"/>
              <w:rPr>
                <w:rFonts w:hint="eastAsia" w:ascii="宋体" w:hAnsi="宋体" w:cs="宋体"/>
                <w:b/>
                <w:bCs/>
                <w:snapToGrid w:val="0"/>
                <w:color w:val="auto"/>
                <w:sz w:val="24"/>
                <w:highlight w:val="none"/>
              </w:rPr>
            </w:pPr>
            <w:r>
              <w:rPr>
                <w:rFonts w:hint="eastAsia" w:ascii="宋体" w:hAnsi="宋体" w:cs="宋体"/>
                <w:color w:val="auto"/>
                <w:sz w:val="24"/>
                <w:highlight w:val="none"/>
              </w:rPr>
              <w:t>磋商供应商名称</w:t>
            </w:r>
          </w:p>
        </w:tc>
        <w:tc>
          <w:tcPr>
            <w:tcW w:w="6645" w:type="dxa"/>
            <w:noWrap w:val="0"/>
            <w:vAlign w:val="center"/>
          </w:tcPr>
          <w:p>
            <w:pPr>
              <w:jc w:val="center"/>
              <w:rPr>
                <w:rFonts w:hint="eastAsia"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2739" w:type="dxa"/>
            <w:noWrap w:val="0"/>
            <w:vAlign w:val="center"/>
          </w:tcPr>
          <w:p>
            <w:pPr>
              <w:jc w:val="center"/>
              <w:rPr>
                <w:rFonts w:hint="eastAsia" w:ascii="宋体" w:hAnsi="宋体" w:cs="宋体"/>
                <w:snapToGrid w:val="0"/>
                <w:color w:val="auto"/>
                <w:sz w:val="24"/>
                <w:highlight w:val="none"/>
              </w:rPr>
            </w:pPr>
            <w:r>
              <w:rPr>
                <w:rFonts w:hint="eastAsia" w:ascii="宋体" w:hAnsi="宋体" w:cs="宋体"/>
                <w:color w:val="auto"/>
                <w:sz w:val="24"/>
                <w:highlight w:val="none"/>
              </w:rPr>
              <w:t>第一次报价</w:t>
            </w:r>
          </w:p>
        </w:tc>
        <w:tc>
          <w:tcPr>
            <w:tcW w:w="6645" w:type="dxa"/>
            <w:noWrap w:val="0"/>
            <w:vAlign w:val="center"/>
          </w:tcPr>
          <w:p>
            <w:pPr>
              <w:ind w:firstLine="480" w:firstLineChars="200"/>
              <w:jc w:val="left"/>
              <w:rPr>
                <w:rFonts w:hint="eastAsia" w:ascii="宋体" w:hAnsi="宋体" w:eastAsia="宋体" w:cs="宋体"/>
                <w:snapToGrid w:val="0"/>
                <w:color w:val="auto"/>
                <w:sz w:val="24"/>
                <w:highlight w:val="none"/>
                <w:u w:val="single"/>
                <w:lang w:eastAsia="zh-CN"/>
              </w:rPr>
            </w:pPr>
            <w:r>
              <w:rPr>
                <w:rFonts w:hint="eastAsia" w:ascii="宋体" w:hAnsi="宋体" w:cs="宋体"/>
                <w:color w:val="auto"/>
                <w:sz w:val="24"/>
                <w:highlight w:val="none"/>
                <w:u w:val="single"/>
              </w:rPr>
              <w:t xml:space="preserve">总价：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元（大写：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bCs/>
          <w:color w:val="auto"/>
          <w:sz w:val="24"/>
          <w:highlight w:val="none"/>
        </w:rPr>
        <w:t>）：</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pStyle w:val="22"/>
        <w:ind w:firstLine="210"/>
        <w:rPr>
          <w:rFonts w:hint="eastAsia" w:ascii="宋体" w:hAnsi="宋体" w:cs="宋体"/>
          <w:color w:val="auto"/>
          <w:highlight w:val="none"/>
        </w:rPr>
      </w:pPr>
    </w:p>
    <w:p>
      <w:pP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注：此表须加盖供应商公章，并在其他响应文件中提供。</w:t>
      </w: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pStyle w:val="74"/>
        <w:spacing w:line="360" w:lineRule="auto"/>
        <w:rPr>
          <w:rFonts w:hint="eastAsia" w:hAnsi="宋体"/>
          <w:b/>
          <w:bCs/>
          <w:color w:val="auto"/>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、最终报价表（可以不在响应文件中报价）</w:t>
      </w:r>
    </w:p>
    <w:p>
      <w:pPr>
        <w:pStyle w:val="74"/>
        <w:rPr>
          <w:rFonts w:hint="eastAsia" w:hAnsi="宋体"/>
          <w:color w:val="auto"/>
          <w:highlight w:val="none"/>
        </w:rPr>
      </w:pPr>
    </w:p>
    <w:tbl>
      <w:tblPr>
        <w:tblStyle w:val="2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9" w:type="dxa"/>
            <w:noWrap w:val="0"/>
            <w:vAlign w:val="center"/>
          </w:tcPr>
          <w:p>
            <w:pPr>
              <w:jc w:val="center"/>
              <w:rPr>
                <w:rFonts w:hint="eastAsia" w:ascii="宋体" w:hAnsi="宋体" w:cs="宋体"/>
                <w:b/>
                <w:bCs/>
                <w:caps/>
                <w:snapToGrid w:val="0"/>
                <w:color w:val="auto"/>
                <w:sz w:val="24"/>
                <w:highlight w:val="none"/>
              </w:rPr>
            </w:pPr>
            <w:r>
              <w:rPr>
                <w:rFonts w:hint="eastAsia" w:ascii="宋体" w:hAnsi="宋体" w:cs="宋体"/>
                <w:snapToGrid w:val="0"/>
                <w:color w:val="auto"/>
                <w:sz w:val="24"/>
                <w:highlight w:val="none"/>
              </w:rPr>
              <w:t>项目名称</w:t>
            </w:r>
          </w:p>
        </w:tc>
        <w:tc>
          <w:tcPr>
            <w:tcW w:w="6645" w:type="dxa"/>
            <w:noWrap w:val="0"/>
            <w:vAlign w:val="center"/>
          </w:tcPr>
          <w:p>
            <w:pPr>
              <w:jc w:val="center"/>
              <w:rPr>
                <w:rFonts w:hint="eastAsia"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noWrap w:val="0"/>
            <w:vAlign w:val="center"/>
          </w:tcPr>
          <w:p>
            <w:pPr>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项目编号</w:t>
            </w:r>
          </w:p>
        </w:tc>
        <w:tc>
          <w:tcPr>
            <w:tcW w:w="6645" w:type="dxa"/>
            <w:noWrap w:val="0"/>
            <w:vAlign w:val="center"/>
          </w:tcPr>
          <w:p>
            <w:pPr>
              <w:jc w:val="center"/>
              <w:rPr>
                <w:rFonts w:hint="eastAsia"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9" w:type="dxa"/>
            <w:noWrap w:val="0"/>
            <w:vAlign w:val="center"/>
          </w:tcPr>
          <w:p>
            <w:pPr>
              <w:jc w:val="center"/>
              <w:rPr>
                <w:rFonts w:hint="eastAsia" w:ascii="宋体" w:hAnsi="宋体" w:cs="宋体"/>
                <w:b/>
                <w:bCs/>
                <w:snapToGrid w:val="0"/>
                <w:color w:val="auto"/>
                <w:sz w:val="24"/>
                <w:highlight w:val="none"/>
              </w:rPr>
            </w:pPr>
            <w:r>
              <w:rPr>
                <w:rFonts w:hint="eastAsia" w:ascii="宋体" w:hAnsi="宋体" w:cs="宋体"/>
                <w:color w:val="auto"/>
                <w:sz w:val="24"/>
                <w:highlight w:val="none"/>
              </w:rPr>
              <w:t>磋商供应商名称</w:t>
            </w:r>
          </w:p>
        </w:tc>
        <w:tc>
          <w:tcPr>
            <w:tcW w:w="6645" w:type="dxa"/>
            <w:noWrap w:val="0"/>
            <w:vAlign w:val="center"/>
          </w:tcPr>
          <w:p>
            <w:pPr>
              <w:jc w:val="center"/>
              <w:rPr>
                <w:rFonts w:hint="eastAsia" w:ascii="宋体" w:hAnsi="宋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2739" w:type="dxa"/>
            <w:noWrap w:val="0"/>
            <w:vAlign w:val="center"/>
          </w:tcPr>
          <w:p>
            <w:pPr>
              <w:jc w:val="center"/>
              <w:rPr>
                <w:rFonts w:hint="eastAsia" w:ascii="宋体" w:hAnsi="宋体" w:cs="宋体"/>
                <w:snapToGrid w:val="0"/>
                <w:color w:val="auto"/>
                <w:sz w:val="24"/>
                <w:highlight w:val="none"/>
              </w:rPr>
            </w:pPr>
            <w:r>
              <w:rPr>
                <w:rFonts w:hint="eastAsia" w:ascii="宋体" w:hAnsi="宋体" w:cs="宋体"/>
                <w:color w:val="auto"/>
                <w:sz w:val="24"/>
                <w:highlight w:val="none"/>
              </w:rPr>
              <w:t>最终报价</w:t>
            </w:r>
          </w:p>
        </w:tc>
        <w:tc>
          <w:tcPr>
            <w:tcW w:w="6645" w:type="dxa"/>
            <w:noWrap w:val="0"/>
            <w:vAlign w:val="center"/>
          </w:tcPr>
          <w:p>
            <w:pPr>
              <w:ind w:firstLine="240" w:firstLineChars="100"/>
              <w:jc w:val="left"/>
              <w:rPr>
                <w:rFonts w:hint="eastAsia" w:ascii="宋体" w:hAnsi="宋体" w:eastAsia="宋体" w:cs="宋体"/>
                <w:snapToGrid w:val="0"/>
                <w:color w:val="auto"/>
                <w:sz w:val="24"/>
                <w:highlight w:val="none"/>
                <w:u w:val="single"/>
                <w:lang w:eastAsia="zh-CN"/>
              </w:rPr>
            </w:pPr>
            <w:r>
              <w:rPr>
                <w:rFonts w:hint="eastAsia" w:ascii="宋体" w:hAnsi="宋体" w:cs="宋体"/>
                <w:color w:val="auto"/>
                <w:sz w:val="24"/>
                <w:highlight w:val="none"/>
                <w:u w:val="single"/>
              </w:rPr>
              <w:t xml:space="preserve">总价：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元（大写：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磋商供应商名称：(加盖公章)</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法定代表人或授权代表（</w:t>
      </w:r>
      <w:r>
        <w:rPr>
          <w:rFonts w:hint="eastAsia" w:ascii="宋体" w:hAnsi="宋体" w:cs="宋体"/>
          <w:color w:val="auto"/>
          <w:kern w:val="0"/>
          <w:sz w:val="24"/>
          <w:highlight w:val="none"/>
          <w:lang w:bidi="ar"/>
        </w:rPr>
        <w:t>签字或加盖个人名章</w:t>
      </w:r>
      <w:r>
        <w:rPr>
          <w:rFonts w:hint="eastAsia" w:ascii="宋体" w:hAnsi="宋体" w:cs="宋体"/>
          <w:bCs/>
          <w:color w:val="auto"/>
          <w:sz w:val="24"/>
          <w:highlight w:val="none"/>
        </w:rPr>
        <w:t>）：</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pStyle w:val="22"/>
        <w:ind w:firstLine="210"/>
        <w:rPr>
          <w:rFonts w:hint="eastAsia" w:ascii="宋体" w:hAnsi="宋体" w:cs="宋体"/>
          <w:color w:val="auto"/>
          <w:highlight w:val="none"/>
        </w:rPr>
      </w:pPr>
    </w:p>
    <w:p>
      <w:pP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注：1、此表每一页都须加盖供应商公章，并持未填写的模板带至现场根据实际需要填写（现场填写）后密封。</w:t>
      </w:r>
    </w:p>
    <w:p>
      <w:pP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2、供应商可将此表多印制几张带至现场。</w:t>
      </w:r>
    </w:p>
    <w:p>
      <w:pP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3、供应商的最终报价应当为不可变动的总和。</w:t>
      </w:r>
    </w:p>
    <w:p>
      <w:pPr>
        <w:pStyle w:val="22"/>
        <w:ind w:firstLine="210"/>
        <w:rPr>
          <w:rFonts w:hint="eastAsia" w:ascii="宋体" w:hAnsi="宋体" w:cs="宋体"/>
          <w:color w:val="auto"/>
          <w:highlight w:val="none"/>
        </w:rPr>
      </w:pPr>
    </w:p>
    <w:p>
      <w:pPr>
        <w:pStyle w:val="22"/>
        <w:ind w:firstLine="210"/>
        <w:rPr>
          <w:rFonts w:hint="eastAsia" w:ascii="宋体" w:hAnsi="宋体" w:cs="宋体"/>
          <w:color w:val="auto"/>
          <w:highlight w:val="none"/>
        </w:rPr>
      </w:pPr>
    </w:p>
    <w:p>
      <w:pPr>
        <w:pStyle w:val="22"/>
        <w:ind w:firstLine="210"/>
        <w:rPr>
          <w:rFonts w:hint="eastAsia" w:ascii="宋体" w:hAnsi="宋体" w:cs="宋体"/>
          <w:color w:val="auto"/>
          <w:highlight w:val="none"/>
        </w:rPr>
      </w:pPr>
    </w:p>
    <w:p>
      <w:pPr>
        <w:pStyle w:val="22"/>
        <w:ind w:firstLine="21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pStyle w:val="22"/>
        <w:ind w:firstLine="0" w:firstLineChars="0"/>
        <w:rPr>
          <w:rFonts w:hint="eastAsia" w:ascii="宋体" w:hAnsi="宋体" w:cs="宋体"/>
          <w:color w:val="auto"/>
          <w:highlight w:val="none"/>
        </w:rPr>
      </w:pPr>
    </w:p>
    <w:p>
      <w:pPr>
        <w:spacing w:line="360" w:lineRule="auto"/>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第三部分 电子文档</w:t>
      </w:r>
    </w:p>
    <w:p>
      <w:pPr>
        <w:spacing w:line="360" w:lineRule="auto"/>
        <w:jc w:val="center"/>
        <w:rPr>
          <w:rFonts w:hint="eastAsia" w:ascii="宋体" w:hAnsi="宋体" w:cs="宋体"/>
          <w:color w:val="auto"/>
          <w:highlight w:val="none"/>
        </w:rPr>
      </w:pPr>
      <w:r>
        <w:rPr>
          <w:rFonts w:hint="eastAsia" w:ascii="宋体" w:hAnsi="宋体" w:cs="宋体"/>
          <w:color w:val="auto"/>
          <w:sz w:val="24"/>
          <w:highlight w:val="none"/>
        </w:rPr>
        <w:t>用U盘（或光盘）封装，封面格式自拟。</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sz w:val="24"/>
          <w:highlight w:val="none"/>
        </w:rPr>
        <w:sectPr>
          <w:headerReference r:id="rId14" w:type="default"/>
          <w:footerReference r:id="rId15" w:type="default"/>
          <w:footerReference r:id="rId16" w:type="even"/>
          <w:pgSz w:w="11850" w:h="16783"/>
          <w:pgMar w:top="1440" w:right="1800" w:bottom="1440" w:left="1800" w:header="851" w:footer="992" w:gutter="0"/>
          <w:cols w:space="720" w:num="1"/>
          <w:docGrid w:type="lines" w:linePitch="312" w:charSpace="0"/>
        </w:sectPr>
      </w:pPr>
    </w:p>
    <w:p>
      <w:pPr>
        <w:pStyle w:val="4"/>
        <w:jc w:val="center"/>
        <w:rPr>
          <w:rFonts w:hint="eastAsia" w:ascii="宋体" w:hAnsi="宋体" w:eastAsia="宋体" w:cs="宋体"/>
          <w:color w:val="auto"/>
          <w:sz w:val="24"/>
          <w:szCs w:val="24"/>
          <w:highlight w:val="none"/>
        </w:rPr>
      </w:pPr>
      <w:bookmarkStart w:id="206" w:name="_Toc18158"/>
      <w:r>
        <w:rPr>
          <w:rFonts w:hint="eastAsia" w:ascii="宋体" w:hAnsi="宋体" w:eastAsia="宋体" w:cs="宋体"/>
          <w:color w:val="auto"/>
          <w:highlight w:val="none"/>
        </w:rPr>
        <w:t>第七章  评审方法</w:t>
      </w:r>
      <w:bookmarkEnd w:id="206"/>
      <w:bookmarkStart w:id="207" w:name="_Toc209847065"/>
      <w:bookmarkStart w:id="208" w:name="_Toc101174146"/>
      <w:bookmarkStart w:id="209" w:name="_Toc101338358"/>
      <w:bookmarkStart w:id="210" w:name="_Toc101250640"/>
      <w:bookmarkStart w:id="211" w:name="_Toc430773924"/>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12" w:name="_Toc9736"/>
      <w:r>
        <w:rPr>
          <w:rFonts w:hint="eastAsia" w:ascii="宋体" w:hAnsi="宋体" w:eastAsia="宋体" w:cs="宋体"/>
          <w:color w:val="auto"/>
          <w:sz w:val="24"/>
          <w:szCs w:val="24"/>
          <w:highlight w:val="none"/>
        </w:rPr>
        <w:t>1.总则</w:t>
      </w:r>
      <w:bookmarkEnd w:id="212"/>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3" w:name="_Toc14411"/>
      <w:r>
        <w:rPr>
          <w:rFonts w:hint="eastAsia" w:ascii="宋体" w:hAnsi="宋体" w:eastAsia="宋体" w:cs="宋体"/>
          <w:b w:val="0"/>
          <w:color w:val="auto"/>
          <w:sz w:val="24"/>
          <w:szCs w:val="24"/>
          <w:highlight w:val="none"/>
        </w:rPr>
        <w:t>1.1 根据《中华人民共和国政府采购法》、《中华人民共和国政府采购法实施条例》、《政府采购竞争性磋商采购方式管理暂行办法》等法律制度，结合本采购项目特点制定本磋商方法。</w:t>
      </w:r>
      <w:bookmarkEnd w:id="213"/>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4" w:name="_Toc11709"/>
      <w:r>
        <w:rPr>
          <w:rFonts w:hint="eastAsia" w:ascii="宋体" w:hAnsi="宋体" w:eastAsia="宋体" w:cs="宋体"/>
          <w:b w:val="0"/>
          <w:color w:val="auto"/>
          <w:sz w:val="24"/>
          <w:szCs w:val="24"/>
          <w:highlight w:val="none"/>
        </w:rPr>
        <w:t>1.2 磋商工作由采购代理机构负责组织，具体磋商由采购代理机构依法组建的磋商小组负责。</w:t>
      </w:r>
      <w:bookmarkEnd w:id="214"/>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5" w:name="_Toc22506"/>
      <w:r>
        <w:rPr>
          <w:rFonts w:hint="eastAsia" w:ascii="宋体" w:hAnsi="宋体" w:eastAsia="宋体" w:cs="宋体"/>
          <w:b w:val="0"/>
          <w:color w:val="auto"/>
          <w:sz w:val="24"/>
          <w:szCs w:val="24"/>
          <w:highlight w:val="none"/>
        </w:rPr>
        <w:t>1.3 磋商工作应遵循公平、公正、科学及择优的原则，并以相同的磋商程序和标准对待所有的供应商。</w:t>
      </w:r>
      <w:bookmarkEnd w:id="215"/>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6" w:name="_Toc19533"/>
      <w:r>
        <w:rPr>
          <w:rFonts w:hint="eastAsia" w:ascii="宋体" w:hAnsi="宋体" w:eastAsia="宋体" w:cs="宋体"/>
          <w:b w:val="0"/>
          <w:color w:val="auto"/>
          <w:sz w:val="24"/>
          <w:szCs w:val="24"/>
          <w:highlight w:val="none"/>
        </w:rPr>
        <w:t>1.4 磋商小组按照磋商文件规定的磋商程序、评分方法和标准进行评审，并独立履行下列职责：</w:t>
      </w:r>
      <w:bookmarkEnd w:id="216"/>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7" w:name="_Toc7955"/>
      <w:r>
        <w:rPr>
          <w:rFonts w:hint="eastAsia" w:ascii="宋体" w:hAnsi="宋体" w:eastAsia="宋体" w:cs="宋体"/>
          <w:b w:val="0"/>
          <w:color w:val="auto"/>
          <w:sz w:val="24"/>
          <w:szCs w:val="24"/>
          <w:highlight w:val="none"/>
        </w:rPr>
        <w:t>（一）熟悉和理解磋商文件，确定磋商文件内容是否违反国家有关强制性规定或者磋商文件存在歧义、重大缺陷，根据需要书面要求采购人、采购代理机构对磋商文件作出解释；</w:t>
      </w:r>
      <w:bookmarkEnd w:id="217"/>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8" w:name="_Toc15582"/>
      <w:r>
        <w:rPr>
          <w:rFonts w:hint="eastAsia" w:ascii="宋体" w:hAnsi="宋体" w:eastAsia="宋体" w:cs="宋体"/>
          <w:b w:val="0"/>
          <w:color w:val="auto"/>
          <w:sz w:val="24"/>
          <w:szCs w:val="24"/>
          <w:highlight w:val="none"/>
        </w:rPr>
        <w:t>（二）审查供应商响应文件是否满足磋商文件要求，并作出公正评价；</w:t>
      </w:r>
      <w:bookmarkEnd w:id="218"/>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19" w:name="_Toc28501"/>
      <w:r>
        <w:rPr>
          <w:rFonts w:hint="eastAsia" w:ascii="宋体" w:hAnsi="宋体" w:eastAsia="宋体" w:cs="宋体"/>
          <w:b w:val="0"/>
          <w:color w:val="auto"/>
          <w:sz w:val="24"/>
          <w:szCs w:val="24"/>
          <w:highlight w:val="none"/>
        </w:rPr>
        <w:t>（三）根据需要要求供应商对响应文件中含义不明确、同类问题表述不一致或者有明显文字和计算错误的内容等作出必要的澄清、说明或者更正；</w:t>
      </w:r>
      <w:bookmarkEnd w:id="219"/>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0" w:name="_Toc2523"/>
      <w:r>
        <w:rPr>
          <w:rFonts w:hint="eastAsia" w:ascii="宋体" w:hAnsi="宋体" w:eastAsia="宋体" w:cs="宋体"/>
          <w:b w:val="0"/>
          <w:color w:val="auto"/>
          <w:sz w:val="24"/>
          <w:szCs w:val="24"/>
          <w:highlight w:val="none"/>
        </w:rPr>
        <w:t>（四）推荐成交供应商，或者受采购人委托确定成交供应商；</w:t>
      </w:r>
      <w:bookmarkEnd w:id="220"/>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1" w:name="_Toc25652"/>
      <w:r>
        <w:rPr>
          <w:rFonts w:hint="eastAsia" w:ascii="宋体" w:hAnsi="宋体" w:eastAsia="宋体" w:cs="宋体"/>
          <w:b w:val="0"/>
          <w:color w:val="auto"/>
          <w:sz w:val="24"/>
          <w:szCs w:val="24"/>
          <w:highlight w:val="none"/>
        </w:rPr>
        <w:t>（五）起草评审报告并进行签署；</w:t>
      </w:r>
      <w:bookmarkEnd w:id="221"/>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2" w:name="_Toc22615"/>
      <w:r>
        <w:rPr>
          <w:rFonts w:hint="eastAsia" w:ascii="宋体" w:hAnsi="宋体" w:eastAsia="宋体" w:cs="宋体"/>
          <w:b w:val="0"/>
          <w:color w:val="auto"/>
          <w:sz w:val="24"/>
          <w:szCs w:val="24"/>
          <w:highlight w:val="none"/>
        </w:rPr>
        <w:t>（六）采购代理机构、财政部门或者其他监督部门报告非法干预评审工作的行为；</w:t>
      </w:r>
      <w:bookmarkEnd w:id="222"/>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3" w:name="_Toc12182"/>
      <w:r>
        <w:rPr>
          <w:rFonts w:hint="eastAsia" w:ascii="宋体" w:hAnsi="宋体" w:eastAsia="宋体" w:cs="宋体"/>
          <w:b w:val="0"/>
          <w:color w:val="auto"/>
          <w:sz w:val="24"/>
          <w:szCs w:val="24"/>
          <w:highlight w:val="none"/>
        </w:rPr>
        <w:t>（七）法律、法规和规章规定的其他职责。</w:t>
      </w:r>
      <w:bookmarkEnd w:id="223"/>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4" w:name="_Toc5970"/>
      <w:r>
        <w:rPr>
          <w:rFonts w:hint="eastAsia" w:ascii="宋体" w:hAnsi="宋体" w:eastAsia="宋体" w:cs="宋体"/>
          <w:b w:val="0"/>
          <w:color w:val="auto"/>
          <w:sz w:val="24"/>
          <w:szCs w:val="24"/>
          <w:highlight w:val="none"/>
        </w:rPr>
        <w:t>1.5 （实质性要求）磋商过程独立、保密。供应商非法干预磋商过程的，其响应文件作无效处理。</w:t>
      </w:r>
      <w:bookmarkEnd w:id="224"/>
    </w:p>
    <w:p>
      <w:pPr>
        <w:spacing w:line="360" w:lineRule="auto"/>
        <w:ind w:firstLine="413"/>
        <w:rPr>
          <w:rFonts w:hint="eastAsia" w:ascii="宋体" w:hAnsi="宋体" w:cs="宋体"/>
          <w:color w:val="auto"/>
          <w:highlight w:val="none"/>
        </w:rPr>
      </w:pPr>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25" w:name="_Toc15969"/>
      <w:r>
        <w:rPr>
          <w:rFonts w:hint="eastAsia" w:ascii="宋体" w:hAnsi="宋体" w:eastAsia="宋体" w:cs="宋体"/>
          <w:color w:val="auto"/>
          <w:sz w:val="24"/>
          <w:szCs w:val="24"/>
          <w:highlight w:val="none"/>
        </w:rPr>
        <w:t>2.磋商程序</w:t>
      </w:r>
      <w:bookmarkEnd w:id="225"/>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6" w:name="_Toc31326"/>
      <w:r>
        <w:rPr>
          <w:rFonts w:hint="eastAsia" w:ascii="宋体" w:hAnsi="宋体" w:eastAsia="宋体" w:cs="宋体"/>
          <w:b w:val="0"/>
          <w:color w:val="auto"/>
          <w:sz w:val="24"/>
          <w:szCs w:val="24"/>
          <w:highlight w:val="none"/>
        </w:rPr>
        <w:t>2.1审查磋商文件和停止评审。</w:t>
      </w:r>
      <w:bookmarkEnd w:id="226"/>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7" w:name="_Toc3867"/>
      <w:r>
        <w:rPr>
          <w:rFonts w:hint="eastAsia" w:ascii="宋体" w:hAnsi="宋体" w:eastAsia="宋体" w:cs="宋体"/>
          <w:b w:val="0"/>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227"/>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8" w:name="_Toc8760"/>
      <w:r>
        <w:rPr>
          <w:rFonts w:hint="eastAsia" w:ascii="宋体" w:hAnsi="宋体" w:eastAsia="宋体" w:cs="宋体"/>
          <w:b w:val="0"/>
          <w:color w:val="auto"/>
          <w:sz w:val="24"/>
          <w:szCs w:val="24"/>
          <w:highlight w:val="none"/>
        </w:rPr>
        <w:t>2.1.2 本磋商文件有下列情形之一的，磋商小组应当停止评审：</w:t>
      </w:r>
      <w:bookmarkEnd w:id="228"/>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29" w:name="_Toc12951"/>
      <w:r>
        <w:rPr>
          <w:rFonts w:hint="eastAsia" w:ascii="宋体" w:hAnsi="宋体" w:eastAsia="宋体" w:cs="宋体"/>
          <w:b w:val="0"/>
          <w:color w:val="auto"/>
          <w:sz w:val="24"/>
          <w:szCs w:val="24"/>
          <w:highlight w:val="none"/>
        </w:rPr>
        <w:t>（1）磋商文件的规定存在歧义、重大缺陷的；</w:t>
      </w:r>
      <w:bookmarkEnd w:id="229"/>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0" w:name="_Toc11082"/>
      <w:r>
        <w:rPr>
          <w:rFonts w:hint="eastAsia" w:ascii="宋体" w:hAnsi="宋体" w:eastAsia="宋体" w:cs="宋体"/>
          <w:b w:val="0"/>
          <w:color w:val="auto"/>
          <w:sz w:val="24"/>
          <w:szCs w:val="24"/>
          <w:highlight w:val="none"/>
        </w:rPr>
        <w:t>（2）磋商文件明显以不合理条件对供应商实行差别待遇或者歧视待遇的；</w:t>
      </w:r>
      <w:bookmarkEnd w:id="230"/>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1" w:name="_Toc28397"/>
      <w:r>
        <w:rPr>
          <w:rFonts w:hint="eastAsia" w:ascii="宋体" w:hAnsi="宋体" w:eastAsia="宋体" w:cs="宋体"/>
          <w:b w:val="0"/>
          <w:color w:val="auto"/>
          <w:sz w:val="24"/>
          <w:szCs w:val="24"/>
          <w:highlight w:val="none"/>
        </w:rPr>
        <w:t>（3）采购项目属于国家规定的优先、强制采购范围，但是磋商文件未依法体现优先、强制采购相关规定的；</w:t>
      </w:r>
      <w:bookmarkEnd w:id="231"/>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2" w:name="_Toc22845"/>
      <w:r>
        <w:rPr>
          <w:rFonts w:hint="eastAsia" w:ascii="宋体" w:hAnsi="宋体" w:eastAsia="宋体" w:cs="宋体"/>
          <w:b w:val="0"/>
          <w:color w:val="auto"/>
          <w:sz w:val="24"/>
          <w:szCs w:val="24"/>
          <w:highlight w:val="none"/>
        </w:rPr>
        <w:t>（4）采购项目属于政府采购促进中小企业发展的范围，但是磋商文件未依法体现促进中小企业发展相关规定的；</w:t>
      </w:r>
      <w:bookmarkEnd w:id="232"/>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3" w:name="_Toc32594"/>
      <w:r>
        <w:rPr>
          <w:rFonts w:hint="eastAsia" w:ascii="宋体" w:hAnsi="宋体" w:eastAsia="宋体" w:cs="宋体"/>
          <w:b w:val="0"/>
          <w:color w:val="auto"/>
          <w:sz w:val="24"/>
          <w:szCs w:val="24"/>
          <w:highlight w:val="none"/>
        </w:rPr>
        <w:t>（5）磋商文件将供应商的资格条件列为评分因素的；</w:t>
      </w:r>
      <w:bookmarkEnd w:id="233"/>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4" w:name="_Toc4088"/>
      <w:r>
        <w:rPr>
          <w:rFonts w:hint="eastAsia" w:ascii="宋体" w:hAnsi="宋体" w:eastAsia="宋体" w:cs="宋体"/>
          <w:b w:val="0"/>
          <w:color w:val="auto"/>
          <w:sz w:val="24"/>
          <w:szCs w:val="24"/>
          <w:highlight w:val="none"/>
        </w:rPr>
        <w:t>（6）磋商文件载明的成交原则不合法的；</w:t>
      </w:r>
      <w:bookmarkEnd w:id="234"/>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5" w:name="_Toc32648"/>
      <w:r>
        <w:rPr>
          <w:rFonts w:hint="eastAsia" w:ascii="宋体" w:hAnsi="宋体" w:eastAsia="宋体" w:cs="宋体"/>
          <w:b w:val="0"/>
          <w:color w:val="auto"/>
          <w:sz w:val="24"/>
          <w:szCs w:val="24"/>
          <w:highlight w:val="none"/>
        </w:rPr>
        <w:t>（7）磋商文件有违反国家其他有关强制性规定的情形。</w:t>
      </w:r>
      <w:bookmarkEnd w:id="235"/>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6" w:name="_Toc3523"/>
      <w:r>
        <w:rPr>
          <w:rFonts w:hint="eastAsia" w:ascii="宋体" w:hAnsi="宋体" w:eastAsia="宋体" w:cs="宋体"/>
          <w:b w:val="0"/>
          <w:color w:val="auto"/>
          <w:sz w:val="24"/>
          <w:szCs w:val="24"/>
          <w:highlight w:val="none"/>
        </w:rPr>
        <w:t>2.1.3 出现本条2.1.2规定应当停止评审情形的，磋商小组应当向采购人书面说明情况。除本条规定的情形外，磋商小组不得以任何方式和理由停止评审。</w:t>
      </w:r>
      <w:bookmarkEnd w:id="236"/>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7" w:name="_Toc18432"/>
      <w:r>
        <w:rPr>
          <w:rFonts w:hint="eastAsia" w:ascii="宋体" w:hAnsi="宋体" w:eastAsia="宋体" w:cs="宋体"/>
          <w:b w:val="0"/>
          <w:color w:val="auto"/>
          <w:sz w:val="24"/>
          <w:szCs w:val="24"/>
          <w:highlight w:val="none"/>
        </w:rPr>
        <w:t>2.2资格性审查。</w:t>
      </w:r>
      <w:bookmarkEnd w:id="237"/>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8" w:name="_Toc14189"/>
      <w:r>
        <w:rPr>
          <w:rFonts w:hint="eastAsia" w:ascii="宋体" w:hAnsi="宋体" w:eastAsia="宋体" w:cs="宋体"/>
          <w:b w:val="0"/>
          <w:color w:val="auto"/>
          <w:sz w:val="24"/>
          <w:szCs w:val="24"/>
          <w:highlight w:val="none"/>
        </w:rPr>
        <w:t>2.2.1本项目需要磋商小组进行资格性检查。</w:t>
      </w:r>
      <w:bookmarkEnd w:id="238"/>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39" w:name="_Toc26601"/>
      <w:r>
        <w:rPr>
          <w:rFonts w:hint="eastAsia" w:ascii="宋体" w:hAnsi="宋体" w:eastAsia="宋体" w:cs="宋体"/>
          <w:b w:val="0"/>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bookmarkEnd w:id="239"/>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0" w:name="_Toc3741"/>
      <w:r>
        <w:rPr>
          <w:rFonts w:hint="eastAsia" w:ascii="宋体" w:hAnsi="宋体" w:eastAsia="宋体" w:cs="宋体"/>
          <w:b w:val="0"/>
          <w:color w:val="auto"/>
          <w:sz w:val="24"/>
          <w:szCs w:val="24"/>
          <w:highlight w:val="none"/>
        </w:rPr>
        <w:t>2.2.2资格性审查结束后，磋商小组应当出具资格性审查报告，没有通过资格审查的供应商，磋商小组应当在资格审查报告中说明原因。</w:t>
      </w:r>
      <w:bookmarkEnd w:id="240"/>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1" w:name="_Toc5302"/>
      <w:r>
        <w:rPr>
          <w:rFonts w:hint="eastAsia" w:ascii="宋体" w:hAnsi="宋体" w:eastAsia="宋体" w:cs="宋体"/>
          <w:b w:val="0"/>
          <w:color w:val="auto"/>
          <w:sz w:val="24"/>
          <w:szCs w:val="24"/>
          <w:highlight w:val="none"/>
        </w:rPr>
        <w:t>2.2.3磋商小组应依据磋商文件规定的实质性要求，对符合资格的响应文件进行有效性、完整性和响应程度审查，以确定参加磋商的供应商名单。</w:t>
      </w:r>
      <w:bookmarkEnd w:id="241"/>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2" w:name="_Toc27580"/>
      <w:r>
        <w:rPr>
          <w:rFonts w:hint="eastAsia" w:ascii="宋体" w:hAnsi="宋体" w:eastAsia="宋体" w:cs="宋体"/>
          <w:b w:val="0"/>
          <w:color w:val="auto"/>
          <w:sz w:val="24"/>
          <w:szCs w:val="24"/>
          <w:highlight w:val="none"/>
        </w:rPr>
        <w:t>2.2.4采购人或者采购代理机构宣布未通过资格性审查的供应商名单时，应当告知供应商未通过审查的原因。</w:t>
      </w:r>
      <w:bookmarkEnd w:id="242"/>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3" w:name="_Toc25320"/>
      <w:r>
        <w:rPr>
          <w:rFonts w:hint="eastAsia" w:ascii="宋体" w:hAnsi="宋体" w:eastAsia="宋体" w:cs="宋体"/>
          <w:b w:val="0"/>
          <w:color w:val="auto"/>
          <w:sz w:val="24"/>
          <w:szCs w:val="24"/>
          <w:highlight w:val="none"/>
        </w:rPr>
        <w:t>2.3 通过资格性审查的供应商不足3家的，终止本次采购活动，并发布终止采购活动公告。</w:t>
      </w:r>
      <w:bookmarkEnd w:id="243"/>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4" w:name="_Toc8215"/>
      <w:r>
        <w:rPr>
          <w:rFonts w:hint="eastAsia" w:ascii="宋体" w:hAnsi="宋体" w:eastAsia="宋体" w:cs="宋体"/>
          <w:b w:val="0"/>
          <w:color w:val="auto"/>
          <w:sz w:val="24"/>
          <w:szCs w:val="24"/>
          <w:highlight w:val="none"/>
        </w:rPr>
        <w:t>2.4磋商。</w:t>
      </w:r>
      <w:bookmarkEnd w:id="244"/>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5" w:name="_Toc31266"/>
      <w:r>
        <w:rPr>
          <w:rFonts w:hint="eastAsia" w:ascii="宋体" w:hAnsi="宋体" w:eastAsia="宋体" w:cs="宋体"/>
          <w:b w:val="0"/>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245"/>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6" w:name="_Toc2602"/>
      <w:r>
        <w:rPr>
          <w:rFonts w:hint="eastAsia" w:ascii="宋体" w:hAnsi="宋体" w:eastAsia="宋体" w:cs="宋体"/>
          <w:b w:val="0"/>
          <w:color w:val="auto"/>
          <w:sz w:val="24"/>
          <w:szCs w:val="24"/>
          <w:highlight w:val="none"/>
        </w:rPr>
        <w:t>2.4.2每轮磋商开始前，磋商小组应根据磋商文件的规定，并结合各供应商的响应文件拟定磋商内容。</w:t>
      </w:r>
      <w:bookmarkEnd w:id="246"/>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7" w:name="_Toc18120"/>
      <w:r>
        <w:rPr>
          <w:rFonts w:hint="eastAsia" w:ascii="宋体" w:hAnsi="宋体" w:eastAsia="宋体" w:cs="宋体"/>
          <w:b w:val="0"/>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bookmarkEnd w:id="247"/>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8" w:name="_Toc13623"/>
      <w:r>
        <w:rPr>
          <w:rFonts w:hint="eastAsia" w:ascii="宋体" w:hAnsi="宋体" w:eastAsia="宋体" w:cs="宋体"/>
          <w:b w:val="0"/>
          <w:color w:val="auto"/>
          <w:sz w:val="24"/>
          <w:szCs w:val="24"/>
          <w:highlight w:val="none"/>
        </w:rPr>
        <w:t>2.4.4对磋商文件作出的实质性变动是磋商文件的有效组成部分，磋商小组应当及时以书面形式同时通知所有参加磋商的供应商。</w:t>
      </w:r>
      <w:bookmarkEnd w:id="248"/>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49" w:name="_Toc32193"/>
      <w:r>
        <w:rPr>
          <w:rFonts w:hint="eastAsia" w:ascii="宋体" w:hAnsi="宋体" w:eastAsia="宋体" w:cs="宋体"/>
          <w:b w:val="0"/>
          <w:color w:val="auto"/>
          <w:sz w:val="24"/>
          <w:szCs w:val="24"/>
          <w:highlight w:val="none"/>
        </w:rPr>
        <w:t>2.4.5磋商过程中，磋商文件变动的，供应商应当按照磋商文件的变动情况和磋商小组的要求重新提交响应文件，并由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49"/>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50" w:name="_Toc9873"/>
      <w:r>
        <w:rPr>
          <w:rFonts w:hint="eastAsia" w:ascii="宋体" w:hAnsi="宋体" w:eastAsia="宋体" w:cs="宋体"/>
          <w:b w:val="0"/>
          <w:color w:val="auto"/>
          <w:sz w:val="24"/>
          <w:szCs w:val="24"/>
          <w:highlight w:val="none"/>
        </w:rPr>
        <w:t>2.4.6磋商过程中，磋商的任何一方不得透露与磋商有关的其他供应商的技术资料、价格和其他信息。</w:t>
      </w:r>
      <w:bookmarkEnd w:id="250"/>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51" w:name="_Toc11021"/>
      <w:r>
        <w:rPr>
          <w:rFonts w:hint="eastAsia" w:ascii="宋体" w:hAnsi="宋体" w:eastAsia="宋体" w:cs="宋体"/>
          <w:b w:val="0"/>
          <w:color w:val="auto"/>
          <w:sz w:val="24"/>
          <w:szCs w:val="24"/>
          <w:highlight w:val="none"/>
        </w:rPr>
        <w:t>2.4.7磋商过程中，磋商小组发现或者知晓供应商存在违法、违纪行为的，磋商小组应当将该供应商响应文件作无效处理，不允许其提交最后报价。</w:t>
      </w:r>
      <w:bookmarkEnd w:id="251"/>
    </w:p>
    <w:p>
      <w:pPr>
        <w:pStyle w:val="4"/>
        <w:keepNext w:val="0"/>
        <w:keepLines w:val="0"/>
        <w:spacing w:before="0" w:after="0" w:line="360" w:lineRule="auto"/>
        <w:ind w:firstLine="470" w:firstLineChars="196"/>
        <w:rPr>
          <w:rFonts w:hint="eastAsia" w:ascii="宋体" w:hAnsi="宋体" w:eastAsia="宋体" w:cs="宋体"/>
          <w:b w:val="0"/>
          <w:color w:val="auto"/>
          <w:sz w:val="24"/>
          <w:szCs w:val="24"/>
          <w:highlight w:val="none"/>
        </w:rPr>
      </w:pPr>
      <w:bookmarkStart w:id="252" w:name="_Toc20035"/>
      <w:r>
        <w:rPr>
          <w:rFonts w:hint="eastAsia" w:ascii="宋体" w:hAnsi="宋体" w:eastAsia="宋体" w:cs="宋体"/>
          <w:b w:val="0"/>
          <w:color w:val="auto"/>
          <w:sz w:val="24"/>
          <w:szCs w:val="24"/>
          <w:highlight w:val="none"/>
        </w:rPr>
        <w:t>2.4.8磋商完成后，磋商小组应出具磋商情况记录表，磋商情况记录表需包含磋商内容、磋商意见、实质性变动内容等。</w:t>
      </w:r>
      <w:bookmarkEnd w:id="252"/>
      <w:r>
        <w:rPr>
          <w:rFonts w:hint="eastAsia" w:ascii="宋体" w:hAnsi="宋体" w:eastAsia="宋体" w:cs="宋体"/>
          <w:b w:val="0"/>
          <w:color w:val="auto"/>
          <w:sz w:val="24"/>
          <w:szCs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2.5最后报价。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磋商文件能够详细列明采购标的的技术、服务要求的，磋商结束后，磋商小组应当要求所有实质性响应的供应商在规定时间内提交最后报价，提交最后报价的供应商不得少于2家。最后报价是供应商响应文件的有效组成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2.5.3供应商最后报价应当由法定代表人或其授权代表签字确认或加盖公章。最后报价是供应商响应文件的有效组成部分。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2.9采购组织单位现场复核评审结果。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（1）资格性审查认定错误的；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（2）分值汇总计算错误的；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（3）分项评分超出评分标准范围的；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（4）客观评分不一致的。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采购代理机构复核过程中，磋商小组成员不得离开评审现场。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2.9.2有下列情形之一的，不得现场修改评审结果：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（1）磋商小组已经出具磋商报告并且离开评审现场的；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（2）采购代理机构现场复核时，复核工作人员数量不足的；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（3）采购代理机构现场复核时，没有采购监督人员现场监督的；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（4）采购代理机构现场复核内容超出规定范围的；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（5）采购代理机构未提供书面建议的。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2.10编写磋商报告。磋商小组推荐成交候选供应商后，应向采购代理机构出具磋商报告。磋商报告应当包括以下主要内容：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（1）邀请供应商参加采购活动的具体方式和相关情况；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（2）响应文件开启日期和地点；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（3）获取磋商文件的供应商名单和磋商小组成员名单；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（4）评审情况记录和说明，包括对供应商的资格审查情况、供应商响应文件审查情况、磋商情况、报价情况等；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（5）提出的成交候选供应商的排序名单及理由。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2.12供应商澄清、说明</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2.13终止磋商采购活动。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（3）在采购过程中符合要求的供应商或者报价未超过采购预算的供应商不足2家的。</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3.综合评分</w:t>
      </w:r>
    </w:p>
    <w:p>
      <w:pPr>
        <w:pStyle w:val="9"/>
        <w:tabs>
          <w:tab w:val="left" w:pos="60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3.1本次综合评分的因素是：</w:t>
      </w:r>
      <w:r>
        <w:rPr>
          <w:rFonts w:hint="eastAsia" w:ascii="宋体" w:hAnsi="宋体" w:cs="宋体"/>
          <w:color w:val="auto"/>
          <w:sz w:val="24"/>
          <w:highlight w:val="none"/>
        </w:rPr>
        <w:t>详见</w:t>
      </w:r>
      <w:r>
        <w:rPr>
          <w:rFonts w:hint="eastAsia" w:ascii="宋体" w:hAnsi="宋体" w:cs="宋体"/>
          <w:color w:val="auto"/>
          <w:sz w:val="24"/>
          <w:szCs w:val="24"/>
          <w:highlight w:val="none"/>
        </w:rPr>
        <w:t>3.3综合评分明细表。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9"/>
        <w:tabs>
          <w:tab w:val="left" w:pos="600"/>
        </w:tabs>
        <w:spacing w:line="360" w:lineRule="auto"/>
        <w:ind w:firstLine="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3.3综合评分明细表</w:t>
      </w:r>
    </w:p>
    <w:tbl>
      <w:tblPr>
        <w:tblStyle w:val="23"/>
        <w:tblW w:w="9798" w:type="dxa"/>
        <w:tblInd w:w="0" w:type="dxa"/>
        <w:shd w:val="clear" w:color="auto" w:fill="FFFFFF"/>
        <w:tblLayout w:type="fixed"/>
        <w:tblCellMar>
          <w:top w:w="0" w:type="dxa"/>
          <w:left w:w="0" w:type="dxa"/>
          <w:bottom w:w="0" w:type="dxa"/>
          <w:right w:w="0" w:type="dxa"/>
        </w:tblCellMar>
      </w:tblPr>
      <w:tblGrid>
        <w:gridCol w:w="573"/>
        <w:gridCol w:w="1830"/>
        <w:gridCol w:w="855"/>
        <w:gridCol w:w="5895"/>
        <w:gridCol w:w="645"/>
      </w:tblGrid>
      <w:tr>
        <w:tblPrEx>
          <w:tblCellMar>
            <w:top w:w="0" w:type="dxa"/>
            <w:left w:w="0" w:type="dxa"/>
            <w:bottom w:w="0" w:type="dxa"/>
            <w:right w:w="0" w:type="dxa"/>
          </w:tblCellMar>
        </w:tblPrEx>
        <w:trPr>
          <w:trHeight w:val="402" w:hRule="atLeast"/>
        </w:trPr>
        <w:tc>
          <w:tcPr>
            <w:tcW w:w="5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8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评分因素及权重</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8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tc>
      </w:tr>
      <w:tr>
        <w:tblPrEx>
          <w:tblCellMar>
            <w:top w:w="0" w:type="dxa"/>
            <w:left w:w="0" w:type="dxa"/>
            <w:bottom w:w="0" w:type="dxa"/>
            <w:right w:w="0" w:type="dxa"/>
          </w:tblCellMar>
        </w:tblPrEx>
        <w:trPr>
          <w:trHeight w:val="1603" w:hRule="atLeast"/>
        </w:trPr>
        <w:tc>
          <w:tcPr>
            <w:tcW w:w="5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8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报价15%</w:t>
            </w:r>
          </w:p>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共同评分因素</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58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480" w:firstLineChars="20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满足磋商文件要求且最终有效单价合计报价最低的为评审基准价，其报价分为满分。其他供应商的价格分按此公式计算：报价得分=(评审基准价／最终有效单价合计报价)×</w:t>
            </w:r>
            <w:r>
              <w:rPr>
                <w:rFonts w:hint="eastAsia" w:ascii="宋体" w:hAnsi="宋体" w:eastAsia="宋体" w:cs="宋体"/>
                <w:color w:val="auto"/>
                <w:sz w:val="24"/>
                <w:szCs w:val="24"/>
                <w:highlight w:val="none"/>
                <w:vertAlign w:val="baseline"/>
                <w:lang w:val="en-US" w:eastAsia="zh-CN"/>
              </w:rPr>
              <w:t>15.</w:t>
            </w:r>
          </w:p>
          <w:p>
            <w:pPr>
              <w:pStyle w:val="9"/>
              <w:tabs>
                <w:tab w:val="left" w:pos="600"/>
              </w:tabs>
              <w:spacing w:line="360" w:lineRule="auto"/>
              <w:ind w:firstLine="482" w:firstLineChars="200"/>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vertAlign w:val="baseline"/>
              </w:rPr>
              <w:t>注：涉及政策规定的价格扣除或加成按磋商文件第二章供应商须知前附表执行。</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p>
        </w:tc>
      </w:tr>
      <w:tr>
        <w:tblPrEx>
          <w:tblCellMar>
            <w:top w:w="0" w:type="dxa"/>
            <w:left w:w="0" w:type="dxa"/>
            <w:bottom w:w="0" w:type="dxa"/>
            <w:right w:w="0" w:type="dxa"/>
          </w:tblCellMar>
        </w:tblPrEx>
        <w:trPr>
          <w:trHeight w:val="1256" w:hRule="atLeast"/>
        </w:trPr>
        <w:tc>
          <w:tcPr>
            <w:tcW w:w="5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8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项目技术思路方案35%</w:t>
            </w:r>
          </w:p>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技术类评分因素</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p>
        </w:tc>
        <w:tc>
          <w:tcPr>
            <w:tcW w:w="58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技术思路方案：结合本项目实际情况及供应商相关工作经验，制定技术思路方案。至少应包括：①清晰阐述项目开展的背景、目的和意义；②有明确的开展城市体检的方法和技术手段；③能够围绕“生态宜居、健康舒适、安全韧性、交通便捷、风貌特色、整洁有序、多元包容、创新活力”8个方面建立科学准确的指标体系；④对开展城市体检的工作方向有清晰认知；⑤对于城市体检结果的应用有明确表达。</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评审小组</w:t>
            </w:r>
            <w:r>
              <w:rPr>
                <w:rFonts w:hint="eastAsia" w:ascii="宋体" w:hAnsi="宋体" w:cs="宋体"/>
                <w:color w:val="auto"/>
                <w:sz w:val="24"/>
                <w:szCs w:val="24"/>
                <w:highlight w:val="none"/>
              </w:rPr>
              <w:t>根据供应商提供的技术思路方案进行综合评审，</w:t>
            </w:r>
            <w:r>
              <w:rPr>
                <w:rFonts w:hint="eastAsia" w:ascii="宋体" w:hAnsi="宋体" w:cs="宋体"/>
                <w:color w:val="auto"/>
                <w:sz w:val="24"/>
                <w:szCs w:val="24"/>
                <w:highlight w:val="none"/>
                <w:lang w:val="en-US" w:eastAsia="zh-CN"/>
              </w:rPr>
              <w:t>满分</w:t>
            </w:r>
            <w:r>
              <w:rPr>
                <w:rFonts w:hint="eastAsia" w:ascii="宋体" w:hAnsi="宋体" w:cs="宋体"/>
                <w:color w:val="auto"/>
                <w:sz w:val="24"/>
                <w:szCs w:val="24"/>
                <w:highlight w:val="none"/>
              </w:rPr>
              <w:t>35分，</w:t>
            </w:r>
            <w:r>
              <w:rPr>
                <w:color w:val="auto"/>
                <w:spacing w:val="0"/>
                <w:w w:val="100"/>
                <w:position w:val="0"/>
                <w:sz w:val="24"/>
                <w:szCs w:val="24"/>
                <w:highlight w:val="none"/>
              </w:rPr>
              <w:t>每有一项与本项目无关或</w:t>
            </w:r>
            <w:r>
              <w:rPr>
                <w:rFonts w:hint="eastAsia"/>
                <w:color w:val="auto"/>
                <w:spacing w:val="0"/>
                <w:w w:val="100"/>
                <w:position w:val="0"/>
                <w:sz w:val="24"/>
                <w:szCs w:val="24"/>
                <w:highlight w:val="none"/>
                <w:lang w:val="en-US" w:eastAsia="zh-CN"/>
              </w:rPr>
              <w:t>未提供方案</w:t>
            </w:r>
            <w:r>
              <w:rPr>
                <w:rFonts w:hint="eastAsia" w:ascii="宋体" w:hAnsi="宋体" w:cs="宋体"/>
                <w:color w:val="auto"/>
                <w:sz w:val="24"/>
                <w:szCs w:val="24"/>
                <w:highlight w:val="none"/>
                <w:vertAlign w:val="baseline"/>
                <w:lang w:val="en-US" w:eastAsia="zh-CN"/>
              </w:rPr>
              <w:t>扣7分</w:t>
            </w:r>
            <w:r>
              <w:rPr>
                <w:rFonts w:hint="eastAsia"/>
                <w:color w:val="auto"/>
                <w:spacing w:val="0"/>
                <w:w w:val="100"/>
                <w:position w:val="0"/>
                <w:sz w:val="24"/>
                <w:szCs w:val="24"/>
                <w:highlight w:val="none"/>
                <w:lang w:val="en-US" w:eastAsia="zh-CN"/>
              </w:rPr>
              <w:t>，每有一项</w:t>
            </w:r>
            <w:r>
              <w:rPr>
                <w:color w:val="auto"/>
                <w:spacing w:val="0"/>
                <w:w w:val="100"/>
                <w:position w:val="0"/>
                <w:sz w:val="24"/>
                <w:szCs w:val="24"/>
                <w:highlight w:val="none"/>
              </w:rPr>
              <w:t>内容存在缺陷或内容不完整扣</w:t>
            </w:r>
            <w:r>
              <w:rPr>
                <w:rFonts w:hint="eastAsia"/>
                <w:color w:val="auto"/>
                <w:spacing w:val="0"/>
                <w:w w:val="100"/>
                <w:position w:val="0"/>
                <w:sz w:val="22"/>
                <w:szCs w:val="22"/>
                <w:highlight w:val="none"/>
                <w:lang w:val="en-US" w:eastAsia="zh-CN"/>
              </w:rPr>
              <w:t>3.5</w:t>
            </w:r>
            <w:r>
              <w:rPr>
                <w:color w:val="auto"/>
                <w:spacing w:val="0"/>
                <w:w w:val="100"/>
                <w:position w:val="0"/>
                <w:sz w:val="24"/>
                <w:szCs w:val="24"/>
                <w:highlight w:val="none"/>
              </w:rPr>
              <w:t>分，直至本项分数扣完为止，无方案不得分。</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p>
        </w:tc>
      </w:tr>
      <w:tr>
        <w:tblPrEx>
          <w:shd w:val="clear" w:color="auto" w:fill="FFFFFF"/>
          <w:tblCellMar>
            <w:top w:w="0" w:type="dxa"/>
            <w:left w:w="0" w:type="dxa"/>
            <w:bottom w:w="0" w:type="dxa"/>
            <w:right w:w="0" w:type="dxa"/>
          </w:tblCellMar>
        </w:tblPrEx>
        <w:trPr>
          <w:trHeight w:val="231" w:hRule="atLeast"/>
        </w:trPr>
        <w:tc>
          <w:tcPr>
            <w:tcW w:w="5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8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服务方案1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p>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技术类评分因素</w:t>
            </w:r>
          </w:p>
          <w:p>
            <w:pPr>
              <w:pStyle w:val="9"/>
              <w:tabs>
                <w:tab w:val="left" w:pos="600"/>
              </w:tabs>
              <w:spacing w:line="360" w:lineRule="auto"/>
              <w:ind w:firstLine="480" w:firstLineChars="200"/>
              <w:jc w:val="center"/>
              <w:rPr>
                <w:rFonts w:hint="eastAsia" w:ascii="宋体" w:hAnsi="宋体" w:cs="宋体"/>
                <w:color w:val="auto"/>
                <w:sz w:val="24"/>
                <w:szCs w:val="24"/>
                <w:highlight w:val="none"/>
              </w:rPr>
            </w:pP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58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服务方案：供应商针对本项目制定服务方案，内容包括但不限于①工作组织程序；②工作进度控制方案；③成果质量保障。</w:t>
            </w:r>
            <w:r>
              <w:rPr>
                <w:rFonts w:hint="eastAsia" w:ascii="宋体" w:hAnsi="宋体" w:cs="宋体"/>
                <w:color w:val="auto"/>
                <w:sz w:val="24"/>
                <w:szCs w:val="24"/>
                <w:highlight w:val="none"/>
                <w:lang w:val="en-US" w:eastAsia="zh-CN"/>
              </w:rPr>
              <w:t>评审小组</w:t>
            </w:r>
            <w:r>
              <w:rPr>
                <w:rFonts w:hint="eastAsia" w:ascii="宋体" w:hAnsi="宋体" w:cs="宋体"/>
                <w:color w:val="auto"/>
                <w:sz w:val="24"/>
                <w:szCs w:val="24"/>
                <w:highlight w:val="none"/>
              </w:rPr>
              <w:t>根据供应商提供的服务方案进行综合评审，</w:t>
            </w:r>
            <w:r>
              <w:rPr>
                <w:rFonts w:hint="eastAsia" w:ascii="宋体" w:hAnsi="宋体" w:cs="宋体"/>
                <w:color w:val="auto"/>
                <w:sz w:val="24"/>
                <w:szCs w:val="24"/>
                <w:highlight w:val="none"/>
                <w:lang w:val="en-US" w:eastAsia="zh-CN"/>
              </w:rPr>
              <w:t>满分15分，</w:t>
            </w:r>
            <w:r>
              <w:rPr>
                <w:color w:val="auto"/>
                <w:spacing w:val="0"/>
                <w:w w:val="100"/>
                <w:position w:val="0"/>
                <w:sz w:val="24"/>
                <w:szCs w:val="24"/>
                <w:highlight w:val="none"/>
              </w:rPr>
              <w:t>每有一项与本项目无关或</w:t>
            </w:r>
            <w:r>
              <w:rPr>
                <w:rFonts w:hint="eastAsia"/>
                <w:color w:val="auto"/>
                <w:spacing w:val="0"/>
                <w:w w:val="100"/>
                <w:position w:val="0"/>
                <w:sz w:val="24"/>
                <w:szCs w:val="24"/>
                <w:highlight w:val="none"/>
                <w:lang w:val="en-US" w:eastAsia="zh-CN"/>
              </w:rPr>
              <w:t>未提供方案</w:t>
            </w:r>
            <w:r>
              <w:rPr>
                <w:rFonts w:hint="eastAsia" w:ascii="宋体" w:hAnsi="宋体" w:cs="宋体"/>
                <w:color w:val="auto"/>
                <w:sz w:val="24"/>
                <w:szCs w:val="24"/>
                <w:highlight w:val="none"/>
                <w:vertAlign w:val="baseline"/>
                <w:lang w:val="en-US" w:eastAsia="zh-CN"/>
              </w:rPr>
              <w:t>扣5分</w:t>
            </w:r>
            <w:r>
              <w:rPr>
                <w:rFonts w:hint="eastAsia"/>
                <w:color w:val="auto"/>
                <w:spacing w:val="0"/>
                <w:w w:val="100"/>
                <w:position w:val="0"/>
                <w:sz w:val="24"/>
                <w:szCs w:val="24"/>
                <w:highlight w:val="none"/>
                <w:lang w:val="en-US" w:eastAsia="zh-CN"/>
              </w:rPr>
              <w:t>，每有一项</w:t>
            </w:r>
            <w:r>
              <w:rPr>
                <w:color w:val="auto"/>
                <w:spacing w:val="0"/>
                <w:w w:val="100"/>
                <w:position w:val="0"/>
                <w:sz w:val="24"/>
                <w:szCs w:val="24"/>
                <w:highlight w:val="none"/>
              </w:rPr>
              <w:t>内容存在缺陷或内容不完整扣</w:t>
            </w:r>
            <w:r>
              <w:rPr>
                <w:rFonts w:hint="eastAsia"/>
                <w:color w:val="auto"/>
                <w:spacing w:val="0"/>
                <w:w w:val="100"/>
                <w:position w:val="0"/>
                <w:sz w:val="22"/>
                <w:szCs w:val="22"/>
                <w:highlight w:val="none"/>
                <w:lang w:val="en-US" w:eastAsia="zh-CN"/>
              </w:rPr>
              <w:t>2.5</w:t>
            </w:r>
            <w:r>
              <w:rPr>
                <w:color w:val="auto"/>
                <w:spacing w:val="0"/>
                <w:w w:val="100"/>
                <w:position w:val="0"/>
                <w:sz w:val="24"/>
                <w:szCs w:val="24"/>
                <w:highlight w:val="none"/>
              </w:rPr>
              <w:t>分，直至本项分数扣完为止，无方案不得分。</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p>
        </w:tc>
      </w:tr>
      <w:tr>
        <w:tblPrEx>
          <w:tblCellMar>
            <w:top w:w="0" w:type="dxa"/>
            <w:left w:w="0" w:type="dxa"/>
            <w:bottom w:w="0" w:type="dxa"/>
            <w:right w:w="0" w:type="dxa"/>
          </w:tblCellMar>
        </w:tblPrEx>
        <w:trPr>
          <w:trHeight w:val="6265" w:hRule="atLeast"/>
        </w:trPr>
        <w:tc>
          <w:tcPr>
            <w:tcW w:w="5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8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人员配置25%</w:t>
            </w:r>
          </w:p>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共同</w:t>
            </w:r>
            <w:r>
              <w:rPr>
                <w:rFonts w:hint="eastAsia" w:ascii="宋体" w:hAnsi="宋体" w:cs="宋体"/>
                <w:color w:val="auto"/>
                <w:sz w:val="24"/>
                <w:szCs w:val="24"/>
                <w:highlight w:val="none"/>
              </w:rPr>
              <w:t>类评分因素</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w:t>
            </w:r>
          </w:p>
        </w:tc>
        <w:tc>
          <w:tcPr>
            <w:tcW w:w="58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1、项目负责人：具备注册规划师或城乡（城市）规划师得3分, 同时具有规划类高级及以上技术职称资格加2分，本项最高得5分。</w:t>
            </w:r>
          </w:p>
          <w:p>
            <w:pPr>
              <w:pStyle w:val="9"/>
              <w:tabs>
                <w:tab w:val="left" w:pos="60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注：须提供相关资格证书复印件，并加盖供应商单位公章。</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2、本项目配备的专业技术人员:</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拟任项目组成员各专业齐备（含建筑类、规划类、交通类、市政类、风景园林类、经济类），成员具有本专业职称的，每个得2分，本项最高得1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分(每类只计一次分)。</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3.拟任项目组成员具有咨询工程师每个得2分，本项最多得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注：1、须提供相关资格证书复印件，并加盖投标人单位公章,以上专业技术人员同一人不重复加分。</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p>
        </w:tc>
      </w:tr>
      <w:tr>
        <w:tblPrEx>
          <w:tblCellMar>
            <w:top w:w="0" w:type="dxa"/>
            <w:left w:w="0" w:type="dxa"/>
            <w:bottom w:w="0" w:type="dxa"/>
            <w:right w:w="0" w:type="dxa"/>
          </w:tblCellMar>
        </w:tblPrEx>
        <w:trPr>
          <w:trHeight w:val="1875" w:hRule="atLeast"/>
        </w:trPr>
        <w:tc>
          <w:tcPr>
            <w:tcW w:w="57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8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履约能力10%</w:t>
            </w:r>
          </w:p>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共同评分因素</w:t>
            </w:r>
          </w:p>
        </w:tc>
        <w:tc>
          <w:tcPr>
            <w:tcW w:w="85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left="0" w:lef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58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供应商提供201</w:t>
            </w:r>
            <w:r>
              <w:rPr>
                <w:rFonts w:ascii="宋体" w:hAnsi="宋体" w:cs="宋体"/>
                <w:color w:val="auto"/>
                <w:sz w:val="24"/>
                <w:szCs w:val="24"/>
                <w:highlight w:val="none"/>
              </w:rPr>
              <w:t>7</w:t>
            </w:r>
            <w:r>
              <w:rPr>
                <w:rFonts w:hint="eastAsia" w:ascii="宋体" w:hAnsi="宋体" w:cs="宋体"/>
                <w:color w:val="auto"/>
                <w:sz w:val="24"/>
                <w:szCs w:val="24"/>
                <w:highlight w:val="none"/>
              </w:rPr>
              <w:t>年1月1日至今类似业绩的得2.5分，本项最多得10分。</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说明：1、类似业绩：城乡规划策划类等相关业绩。</w:t>
            </w:r>
          </w:p>
          <w:p>
            <w:pPr>
              <w:pStyle w:val="9"/>
              <w:tabs>
                <w:tab w:val="left" w:pos="60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2、提供采购合同或中标（成交）通知书（合同复印件加盖公章）。</w:t>
            </w:r>
          </w:p>
        </w:tc>
        <w:tc>
          <w:tcPr>
            <w:tcW w:w="64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
              <w:tabs>
                <w:tab w:val="left" w:pos="600"/>
              </w:tabs>
              <w:spacing w:line="360" w:lineRule="auto"/>
              <w:ind w:firstLine="480" w:firstLineChars="200"/>
              <w:rPr>
                <w:rFonts w:hint="eastAsia" w:ascii="宋体" w:hAnsi="宋体" w:cs="宋体"/>
                <w:color w:val="auto"/>
                <w:sz w:val="24"/>
                <w:szCs w:val="24"/>
                <w:highlight w:val="none"/>
              </w:rPr>
            </w:pPr>
          </w:p>
        </w:tc>
      </w:tr>
    </w:tbl>
    <w:p>
      <w:pPr>
        <w:pStyle w:val="9"/>
        <w:tabs>
          <w:tab w:val="left" w:pos="600"/>
        </w:tabs>
        <w:spacing w:line="360" w:lineRule="auto"/>
        <w:ind w:firstLine="0"/>
        <w:rPr>
          <w:rFonts w:hint="eastAsia" w:ascii="宋体" w:hAnsi="宋体" w:cs="宋体"/>
          <w:color w:val="auto"/>
          <w:sz w:val="24"/>
          <w:szCs w:val="24"/>
          <w:highlight w:val="none"/>
        </w:rPr>
      </w:pP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注：评分的取值按四舍五入法，保留小数点后两位。</w:t>
      </w:r>
      <w:bookmarkEnd w:id="207"/>
      <w:bookmarkEnd w:id="208"/>
      <w:bookmarkEnd w:id="209"/>
      <w:bookmarkEnd w:id="210"/>
    </w:p>
    <w:p>
      <w:pPr>
        <w:pStyle w:val="74"/>
        <w:rPr>
          <w:rFonts w:hint="eastAsia" w:hAnsi="宋体"/>
          <w:color w:val="auto"/>
          <w:highlight w:val="none"/>
        </w:rPr>
      </w:pPr>
    </w:p>
    <w:p>
      <w:pPr>
        <w:tabs>
          <w:tab w:val="left" w:pos="851"/>
        </w:tabs>
        <w:spacing w:line="360" w:lineRule="auto"/>
        <w:ind w:firstLine="482" w:firstLineChars="200"/>
        <w:rPr>
          <w:rFonts w:hint="eastAsia" w:ascii="宋体" w:hAnsi="宋体" w:cs="宋体"/>
          <w:b/>
          <w:color w:val="auto"/>
          <w:sz w:val="24"/>
          <w:highlight w:val="none"/>
        </w:rPr>
      </w:pPr>
    </w:p>
    <w:p>
      <w:pPr>
        <w:tabs>
          <w:tab w:val="left" w:pos="851"/>
        </w:tabs>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4.磋商纪律及注意事项</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4.3对各供应商的商业秘密，磋商小组成员应予以保密，不得泄露给其他供应商。</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 磋商小组独立评判，推荐成交候选人，并写出书面报告。</w:t>
      </w:r>
    </w:p>
    <w:p>
      <w:pPr>
        <w:tabs>
          <w:tab w:val="left" w:pos="851"/>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磋商小组可根据需要对供应商进行实地考察。</w:t>
      </w:r>
    </w:p>
    <w:p>
      <w:pPr>
        <w:spacing w:line="360" w:lineRule="auto"/>
        <w:ind w:firstLine="480" w:firstLineChars="200"/>
        <w:rPr>
          <w:rFonts w:hint="eastAsia" w:ascii="宋体" w:hAnsi="宋体" w:cs="宋体"/>
          <w:color w:val="auto"/>
          <w:sz w:val="24"/>
          <w:highlight w:val="none"/>
        </w:rPr>
      </w:pPr>
    </w:p>
    <w:p>
      <w:pPr>
        <w:tabs>
          <w:tab w:val="left" w:pos="7665"/>
        </w:tabs>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5.</w:t>
      </w:r>
      <w:bookmarkEnd w:id="211"/>
      <w:r>
        <w:rPr>
          <w:rFonts w:hint="eastAsia" w:ascii="宋体" w:hAnsi="宋体" w:cs="宋体"/>
          <w:b/>
          <w:color w:val="auto"/>
          <w:sz w:val="24"/>
          <w:highlight w:val="none"/>
        </w:rPr>
        <w:t>磋商小组在政府采购活动中承担以下义务：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（一）遵守评审工作纪律；</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（二）按照客观、公正、审慎的原则，根据磋商文件规定的评审程序、评审方法和评审标准进行独立评审；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（六）及时向财政、监察等部门举报在评审过程中受到非法干预的情况；</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（七）配合答复处理供应商的询问、质疑和投诉等事项；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（八）法律、法规和规章规定的其他义务。</w:t>
      </w:r>
    </w:p>
    <w:p>
      <w:pPr>
        <w:tabs>
          <w:tab w:val="left" w:pos="7665"/>
        </w:tabs>
        <w:spacing w:line="360" w:lineRule="auto"/>
        <w:rPr>
          <w:rFonts w:hint="eastAsia" w:ascii="宋体" w:hAnsi="宋体" w:cs="宋体"/>
          <w:color w:val="auto"/>
          <w:sz w:val="24"/>
          <w:highlight w:val="none"/>
        </w:rPr>
      </w:pPr>
    </w:p>
    <w:p>
      <w:pPr>
        <w:tabs>
          <w:tab w:val="left" w:pos="7665"/>
        </w:tabs>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6.评审专家在政府采购活动中应当遵守以下工作纪律：</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（二）评审前，应当将通讯工具或者相关电子设备交由采购代理机构统一保管；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（六）评审现场服从采购代理机构工作人员的管理，接受现场监督人员的合法监督；</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（七）遵守有关廉洁自律规定，不得私下接触供应商，不得收受供应商及有关业务单位和个人的财物或好处，不得接受采购代理机构的请托。</w:t>
      </w: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74"/>
        <w:rPr>
          <w:rFonts w:hint="eastAsia" w:hAnsi="宋体"/>
          <w:color w:val="auto"/>
          <w:highlight w:val="none"/>
        </w:rPr>
      </w:pPr>
    </w:p>
    <w:p>
      <w:pPr>
        <w:pStyle w:val="4"/>
        <w:jc w:val="center"/>
        <w:rPr>
          <w:rFonts w:hint="eastAsia" w:ascii="宋体" w:hAnsi="宋体" w:eastAsia="宋体" w:cs="宋体"/>
          <w:color w:val="auto"/>
          <w:sz w:val="24"/>
          <w:highlight w:val="none"/>
        </w:rPr>
      </w:pPr>
      <w:bookmarkStart w:id="253" w:name="_Toc32258"/>
      <w:r>
        <w:rPr>
          <w:rFonts w:hint="eastAsia" w:ascii="宋体" w:hAnsi="宋体" w:eastAsia="宋体" w:cs="宋体"/>
          <w:color w:val="auto"/>
          <w:highlight w:val="none"/>
        </w:rPr>
        <w:t>第八章  政府采购合同</w:t>
      </w:r>
      <w:bookmarkEnd w:id="116"/>
      <w:bookmarkEnd w:id="117"/>
      <w:bookmarkEnd w:id="118"/>
      <w:bookmarkEnd w:id="253"/>
      <w:bookmarkStart w:id="254" w:name="_Hlt101846155"/>
      <w:bookmarkEnd w:id="254"/>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合同编号：与项目编号一致。</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签订地点：XXXX。</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签订时间：XXXX 年 XX 月 XX 日。</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采购人(甲方)：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供应商(乙方)：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依据《中华人民共和国民法典》、《中华人民共和国政府采购法》与项目行业有关的法律法规，以及 XXXX 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项目基本情况</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合同期限</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服务内容与质量标准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1、XXXX；</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2、XXXX；</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3、XXXX．</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服务费用及支付方式</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(一)本项目服务费用由以下组成：</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1、XX 万元；</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2、XX 万元；</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3、XX 万元。</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(二)服务费支付方式：</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知识产权</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乙方应保证所提供的服务或其任何一部分均不会侵犯任何第三方的专利权、商标权或著作权。</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无产权瑕疵条款</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乙方保证所提供的服务的所有权完全属于乙方且无任何抵押、查封等产权瑕疵。如有产权瑕疵的，视为乙方违约。乙方应负担由此而产生的一切损失。</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履约保证金</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本项目不收取履约保证金。</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甲方的权利和义务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2、负责检查监督乙方管理工作的实施及制度的执行情况。</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3、根据本合同规定，按时向乙方支付应付服务费用。</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4、国家法律、法规所规定由甲方承担的其它责任。</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乙方的权利和义务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1、对本合同规定的委托服务范围内的项目享有管理权及服务义务。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2、根据本合同的规定向甲方收取相关服务费用，并有权在本项目管理范围内管理及合理使用。</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3、及时向甲方通告本项目服务范围内有关服务的重大事项，及时配合处理投诉。</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4、接受项目行业管理部门及政府有关部门的指导，接受甲方的监督。</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5、国家法律、法规所规定由乙方承担的其它责任。</w:t>
      </w:r>
    </w:p>
    <w:p>
      <w:pPr>
        <w:pStyle w:val="2"/>
        <w:rPr>
          <w:color w:val="auto"/>
          <w:highlight w:val="none"/>
        </w:rPr>
      </w:pPr>
      <w:r>
        <w:rPr>
          <w:rFonts w:hint="eastAsia" w:ascii="宋体" w:hAnsi="宋体" w:cs="宋体"/>
          <w:color w:val="auto"/>
          <w:sz w:val="24"/>
          <w:highlight w:val="none"/>
        </w:rPr>
        <w:t xml:space="preserve">    6、乙方应当在规定的期限内向甲方提供书面检测报告。</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违约责任</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1、甲乙双方必须遵守本合同并执行合同中的各项规定，保证本合同的正常履行。</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第十一条 不可抗力事件处理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 XX 天以上，双方应通过友好协商，确定是否继续履行合同。</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 解决合同纠纷的方式</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1、在执行本合同中发生的或与本合同有关的争端，双方应通过友好协商解决，经协商在XX 天内不能达成协议时，应提交当地仲裁委员会仲裁。</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2、仲裁裁决应为最终决定，并对双方具有约束力。</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3、除另有裁决外，仲裁费应由败诉方负担。</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4、在仲裁期间，除正在进行仲裁部分外，合同其他部分继续执行。</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第十三条 合同生效及其他</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1、合同经双方法定代表人或授权委托代理人签字并加盖单位公章后生效。</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3、本合同一式 XX 份，自双方签章之日起起效。甲方 XX 份，乙方 XX 份，政府采购代理机构 XX 份，同级财政部门备案 XX 份，具有同等法律效力。</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第十四条 附件</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1、项目竞争性磋商文件</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2、项目修改澄清文件</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3、项目响应文件</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4、成交通知书</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甲方： (盖章)                           乙方： (盖章)</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法定代表人(授权代表)：                  法定代表人(授权代表)：</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地 址：                                 地 址：</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                              开户银行：</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账号：                                  账号：</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电 话：                                 电 话：</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传 真：                                 传 真：</w:t>
      </w:r>
    </w:p>
    <w:p>
      <w:pPr>
        <w:tabs>
          <w:tab w:val="left" w:pos="7665"/>
        </w:tabs>
        <w:spacing w:line="360" w:lineRule="auto"/>
        <w:rPr>
          <w:rFonts w:hint="eastAsia" w:ascii="宋体" w:hAnsi="宋体" w:cs="宋体"/>
          <w:color w:val="auto"/>
          <w:sz w:val="24"/>
          <w:highlight w:val="none"/>
        </w:rPr>
      </w:pPr>
      <w:r>
        <w:rPr>
          <w:rFonts w:hint="eastAsia" w:ascii="宋体" w:hAnsi="宋体" w:cs="宋体"/>
          <w:color w:val="auto"/>
          <w:sz w:val="24"/>
          <w:highlight w:val="none"/>
        </w:rPr>
        <w:t>签约日期：XX 年 XX 月 XX 日             签约日期：XX 年 XX 月 XX 日</w:t>
      </w:r>
    </w:p>
    <w:p>
      <w:pPr>
        <w:pStyle w:val="4"/>
        <w:rPr>
          <w:rFonts w:hint="eastAsia" w:ascii="宋体" w:hAnsi="宋体" w:eastAsia="宋体" w:cs="宋体"/>
          <w:color w:val="auto"/>
          <w:sz w:val="24"/>
          <w:highlight w:val="none"/>
        </w:rPr>
      </w:pPr>
    </w:p>
    <w:p>
      <w:pPr>
        <w:rPr>
          <w:rFonts w:hint="eastAsia" w:ascii="宋体" w:hAnsi="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cs="宋体"/>
          <w:color w:val="auto"/>
          <w:sz w:val="24"/>
          <w:highlight w:val="none"/>
        </w:rPr>
      </w:pPr>
    </w:p>
    <w:p>
      <w:pPr>
        <w:pStyle w:val="4"/>
        <w:rPr>
          <w:rFonts w:hint="eastAsia" w:ascii="宋体" w:hAnsi="宋体" w:eastAsia="宋体" w:cs="宋体"/>
          <w:color w:val="auto"/>
          <w:highlight w:val="none"/>
        </w:rPr>
      </w:pPr>
    </w:p>
    <w:sectPr>
      <w:footerReference r:id="rId17" w:type="default"/>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Times New (W1)">
    <w:altName w:val="Times New Roman"/>
    <w:panose1 w:val="00000000000000000000"/>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lQNcoBAACa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lQNcoBAACaAwAADgAAAAAAAAABACAAAAAeAQAAZHJzL2Uyb0Rv&#10;Yy54bWxQSwUGAAAAAAYABgBZAQAAWgU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0xDsgBAACaAwAADgAAAGRycy9lMm9Eb2MueG1srVPNjtMwEL4j8Q6W&#10;79TZI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a8pcdziwM/fv51//Dr//EqW&#10;RZ8+QI1pjwET03DvB9yarFv2Azoz7UFFm79IiGAc1T1d1JVDIiI/Wi1XqwpDAmPzBXHY9XmIkN5K&#10;b0k2GhpxfEVVfnwPaUydU3I15x+0MWWExv3lQMzsYdces5WG3TA1vvPtCfn0OPmGOlx0Ssw7h8Lm&#10;JZmNOBu72TiEqPdd2aJcD8Ld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z9MQ7IAQAAmg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mIMgBAACa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fUmJ4xYHfvn+7fLj1+XnV1L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KM5iDIAQAAmg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q5ssgBAACa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Slx3OLAL9+/XX78uvz8Suq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CKubLIAQAAmg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8j8c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67yPxyQEAAJo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fldChar w:fldCharType="begin"/>
    </w:r>
    <w:r>
      <w:rPr>
        <w:rStyle w:val="27"/>
      </w:rPr>
      <w:instrText xml:space="preserve">PAGE  </w:instrText>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26B23"/>
    <w:multiLevelType w:val="singleLevel"/>
    <w:tmpl w:val="90926B23"/>
    <w:lvl w:ilvl="0" w:tentative="0">
      <w:start w:val="2"/>
      <w:numFmt w:val="decimal"/>
      <w:suff w:val="nothing"/>
      <w:lvlText w:val="%1、"/>
      <w:lvlJc w:val="left"/>
      <w:rPr>
        <w:rFonts w:hint="default"/>
        <w:b/>
        <w:bCs/>
      </w:rPr>
    </w:lvl>
  </w:abstractNum>
  <w:abstractNum w:abstractNumId="1">
    <w:nsid w:val="C258D847"/>
    <w:multiLevelType w:val="singleLevel"/>
    <w:tmpl w:val="C258D847"/>
    <w:lvl w:ilvl="0" w:tentative="0">
      <w:start w:val="5"/>
      <w:numFmt w:val="chineseCounting"/>
      <w:suff w:val="space"/>
      <w:lvlText w:val="第%1章"/>
      <w:lvlJc w:val="left"/>
      <w:rPr>
        <w:rFonts w:hint="eastAsia"/>
      </w:rPr>
    </w:lvl>
  </w:abstractNum>
  <w:abstractNum w:abstractNumId="2">
    <w:nsid w:val="E6BC58B1"/>
    <w:multiLevelType w:val="singleLevel"/>
    <w:tmpl w:val="E6BC58B1"/>
    <w:lvl w:ilvl="0" w:tentative="0">
      <w:start w:val="2"/>
      <w:numFmt w:val="chineseCounting"/>
      <w:suff w:val="space"/>
      <w:lvlText w:val="第%1章"/>
      <w:lvlJc w:val="left"/>
      <w:rPr>
        <w:rFonts w:hint="eastAsia"/>
      </w:rPr>
    </w:lvl>
  </w:abstractNum>
  <w:abstractNum w:abstractNumId="3">
    <w:nsid w:val="272858C2"/>
    <w:multiLevelType w:val="singleLevel"/>
    <w:tmpl w:val="272858C2"/>
    <w:lvl w:ilvl="0" w:tentative="0">
      <w:start w:val="4"/>
      <w:numFmt w:val="chineseCounting"/>
      <w:suff w:val="space"/>
      <w:lvlText w:val="第%1章"/>
      <w:lvlJc w:val="left"/>
      <w:rPr>
        <w:rFonts w:hint="eastAsia"/>
      </w:rPr>
    </w:lvl>
  </w:abstractNum>
  <w:abstractNum w:abstractNumId="4">
    <w:nsid w:val="3B20F473"/>
    <w:multiLevelType w:val="singleLevel"/>
    <w:tmpl w:val="3B20F47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9795758"/>
    <w:multiLevelType w:val="singleLevel"/>
    <w:tmpl w:val="59795758"/>
    <w:lvl w:ilvl="0" w:tentative="0">
      <w:start w:val="3"/>
      <w:numFmt w:val="chineseCounting"/>
      <w:suff w:val="nothing"/>
      <w:lvlText w:val="%1、"/>
      <w:lvlJc w:val="left"/>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06556"/>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6B7"/>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B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282C"/>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4D72"/>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020"/>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5493"/>
    <w:rsid w:val="00206D18"/>
    <w:rsid w:val="0021013C"/>
    <w:rsid w:val="002120D0"/>
    <w:rsid w:val="002125E6"/>
    <w:rsid w:val="00215638"/>
    <w:rsid w:val="0021668E"/>
    <w:rsid w:val="00220283"/>
    <w:rsid w:val="002237AB"/>
    <w:rsid w:val="00224333"/>
    <w:rsid w:val="00224CDC"/>
    <w:rsid w:val="002270B2"/>
    <w:rsid w:val="00230304"/>
    <w:rsid w:val="00230D10"/>
    <w:rsid w:val="002320BC"/>
    <w:rsid w:val="002332EA"/>
    <w:rsid w:val="002342C9"/>
    <w:rsid w:val="0024059F"/>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239"/>
    <w:rsid w:val="00262A61"/>
    <w:rsid w:val="00263B9A"/>
    <w:rsid w:val="00265F18"/>
    <w:rsid w:val="002665C5"/>
    <w:rsid w:val="002703E3"/>
    <w:rsid w:val="00272326"/>
    <w:rsid w:val="0027252A"/>
    <w:rsid w:val="00277B58"/>
    <w:rsid w:val="00280D8F"/>
    <w:rsid w:val="00281347"/>
    <w:rsid w:val="002857AA"/>
    <w:rsid w:val="00286859"/>
    <w:rsid w:val="0029048E"/>
    <w:rsid w:val="00290AEB"/>
    <w:rsid w:val="00291539"/>
    <w:rsid w:val="00292632"/>
    <w:rsid w:val="00294EBC"/>
    <w:rsid w:val="0029626C"/>
    <w:rsid w:val="00297B8B"/>
    <w:rsid w:val="002A0B7A"/>
    <w:rsid w:val="002A0C3D"/>
    <w:rsid w:val="002A0C82"/>
    <w:rsid w:val="002A1E56"/>
    <w:rsid w:val="002A4317"/>
    <w:rsid w:val="002A70EE"/>
    <w:rsid w:val="002A7D03"/>
    <w:rsid w:val="002B067F"/>
    <w:rsid w:val="002B06DF"/>
    <w:rsid w:val="002B23F1"/>
    <w:rsid w:val="002B3263"/>
    <w:rsid w:val="002B3FE9"/>
    <w:rsid w:val="002B4920"/>
    <w:rsid w:val="002B5EB0"/>
    <w:rsid w:val="002B6D25"/>
    <w:rsid w:val="002B7D1D"/>
    <w:rsid w:val="002C0169"/>
    <w:rsid w:val="002C0185"/>
    <w:rsid w:val="002C0964"/>
    <w:rsid w:val="002C177E"/>
    <w:rsid w:val="002C2154"/>
    <w:rsid w:val="002C3905"/>
    <w:rsid w:val="002C67ED"/>
    <w:rsid w:val="002C7DDE"/>
    <w:rsid w:val="002D14CC"/>
    <w:rsid w:val="002D23E6"/>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AE2"/>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35C"/>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E35F5"/>
    <w:rsid w:val="003E44CB"/>
    <w:rsid w:val="003E7E42"/>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22F2"/>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3C1D"/>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A58"/>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2E9"/>
    <w:rsid w:val="00555666"/>
    <w:rsid w:val="005557AE"/>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5A0"/>
    <w:rsid w:val="00583ED8"/>
    <w:rsid w:val="00585C10"/>
    <w:rsid w:val="00585D18"/>
    <w:rsid w:val="00586DE8"/>
    <w:rsid w:val="005873E6"/>
    <w:rsid w:val="005876D8"/>
    <w:rsid w:val="00590091"/>
    <w:rsid w:val="00591013"/>
    <w:rsid w:val="0059168E"/>
    <w:rsid w:val="00591E80"/>
    <w:rsid w:val="0059553F"/>
    <w:rsid w:val="00595B7E"/>
    <w:rsid w:val="005A5500"/>
    <w:rsid w:val="005A6B6C"/>
    <w:rsid w:val="005B0EA2"/>
    <w:rsid w:val="005B3818"/>
    <w:rsid w:val="005B4B72"/>
    <w:rsid w:val="005B52B1"/>
    <w:rsid w:val="005B5AEB"/>
    <w:rsid w:val="005C08FA"/>
    <w:rsid w:val="005C10F2"/>
    <w:rsid w:val="005C3E17"/>
    <w:rsid w:val="005C42F9"/>
    <w:rsid w:val="005D1258"/>
    <w:rsid w:val="005D3DE5"/>
    <w:rsid w:val="005D691C"/>
    <w:rsid w:val="005D72BC"/>
    <w:rsid w:val="005D7BAC"/>
    <w:rsid w:val="005E0927"/>
    <w:rsid w:val="005E0EB8"/>
    <w:rsid w:val="005E1042"/>
    <w:rsid w:val="005E290B"/>
    <w:rsid w:val="005E61DB"/>
    <w:rsid w:val="005F038E"/>
    <w:rsid w:val="005F28F4"/>
    <w:rsid w:val="005F39AC"/>
    <w:rsid w:val="005F61B5"/>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0B6"/>
    <w:rsid w:val="006733AC"/>
    <w:rsid w:val="0067344A"/>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E7E49"/>
    <w:rsid w:val="006F19FC"/>
    <w:rsid w:val="006F6CDE"/>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69B3"/>
    <w:rsid w:val="00757287"/>
    <w:rsid w:val="00757D3C"/>
    <w:rsid w:val="007604E9"/>
    <w:rsid w:val="00762466"/>
    <w:rsid w:val="00763F24"/>
    <w:rsid w:val="00764146"/>
    <w:rsid w:val="007646F7"/>
    <w:rsid w:val="00764BF3"/>
    <w:rsid w:val="00765011"/>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4DF9"/>
    <w:rsid w:val="00845524"/>
    <w:rsid w:val="00847236"/>
    <w:rsid w:val="008510BC"/>
    <w:rsid w:val="00851335"/>
    <w:rsid w:val="00851D92"/>
    <w:rsid w:val="00852BC0"/>
    <w:rsid w:val="00852E08"/>
    <w:rsid w:val="00855B24"/>
    <w:rsid w:val="00855EDC"/>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A7D2F"/>
    <w:rsid w:val="008B0085"/>
    <w:rsid w:val="008B2B51"/>
    <w:rsid w:val="008B346E"/>
    <w:rsid w:val="008B4E2A"/>
    <w:rsid w:val="008B5136"/>
    <w:rsid w:val="008B68FD"/>
    <w:rsid w:val="008C2E09"/>
    <w:rsid w:val="008C32D0"/>
    <w:rsid w:val="008C3677"/>
    <w:rsid w:val="008C3970"/>
    <w:rsid w:val="008C48F8"/>
    <w:rsid w:val="008D3C61"/>
    <w:rsid w:val="008D46C0"/>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62F0"/>
    <w:rsid w:val="0093790A"/>
    <w:rsid w:val="009417EE"/>
    <w:rsid w:val="00945A9B"/>
    <w:rsid w:val="00951C0F"/>
    <w:rsid w:val="00952286"/>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5C6E"/>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56AE"/>
    <w:rsid w:val="00A46D08"/>
    <w:rsid w:val="00A47CB3"/>
    <w:rsid w:val="00A51A79"/>
    <w:rsid w:val="00A53021"/>
    <w:rsid w:val="00A53A2C"/>
    <w:rsid w:val="00A55909"/>
    <w:rsid w:val="00A56417"/>
    <w:rsid w:val="00A57448"/>
    <w:rsid w:val="00A65E47"/>
    <w:rsid w:val="00A66011"/>
    <w:rsid w:val="00A664D0"/>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C5E"/>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276"/>
    <w:rsid w:val="00BB767C"/>
    <w:rsid w:val="00BC045F"/>
    <w:rsid w:val="00BC12CD"/>
    <w:rsid w:val="00BC144C"/>
    <w:rsid w:val="00BC1890"/>
    <w:rsid w:val="00BC229A"/>
    <w:rsid w:val="00BC5C4C"/>
    <w:rsid w:val="00BC6B83"/>
    <w:rsid w:val="00BC6DAD"/>
    <w:rsid w:val="00BD1145"/>
    <w:rsid w:val="00BD1E02"/>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2259"/>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01EF"/>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0EF"/>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372C"/>
    <w:rsid w:val="00E0432C"/>
    <w:rsid w:val="00E048E5"/>
    <w:rsid w:val="00E061F3"/>
    <w:rsid w:val="00E07B26"/>
    <w:rsid w:val="00E07F21"/>
    <w:rsid w:val="00E13FB6"/>
    <w:rsid w:val="00E1487A"/>
    <w:rsid w:val="00E16DAB"/>
    <w:rsid w:val="00E2006D"/>
    <w:rsid w:val="00E22756"/>
    <w:rsid w:val="00E255E9"/>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871"/>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B64F2"/>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20F"/>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0A7C"/>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2B0B"/>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7D4368"/>
    <w:rsid w:val="01813682"/>
    <w:rsid w:val="01914598"/>
    <w:rsid w:val="01946A33"/>
    <w:rsid w:val="01E455E0"/>
    <w:rsid w:val="02166F99"/>
    <w:rsid w:val="02295A44"/>
    <w:rsid w:val="0246768E"/>
    <w:rsid w:val="02B908B4"/>
    <w:rsid w:val="02BB4615"/>
    <w:rsid w:val="02F137D4"/>
    <w:rsid w:val="03312716"/>
    <w:rsid w:val="035615FF"/>
    <w:rsid w:val="0365125B"/>
    <w:rsid w:val="03A34CCF"/>
    <w:rsid w:val="03B53620"/>
    <w:rsid w:val="05107A50"/>
    <w:rsid w:val="051C3731"/>
    <w:rsid w:val="053C5534"/>
    <w:rsid w:val="05503CDB"/>
    <w:rsid w:val="05573774"/>
    <w:rsid w:val="056A79D6"/>
    <w:rsid w:val="058857EE"/>
    <w:rsid w:val="05C76B61"/>
    <w:rsid w:val="05E30C72"/>
    <w:rsid w:val="05E941D8"/>
    <w:rsid w:val="06251E87"/>
    <w:rsid w:val="062B283F"/>
    <w:rsid w:val="06592D04"/>
    <w:rsid w:val="067D7810"/>
    <w:rsid w:val="06D5614F"/>
    <w:rsid w:val="07102D68"/>
    <w:rsid w:val="071E3E2A"/>
    <w:rsid w:val="076B1286"/>
    <w:rsid w:val="07A41CE0"/>
    <w:rsid w:val="07BA3BEA"/>
    <w:rsid w:val="07BF40AC"/>
    <w:rsid w:val="07E17917"/>
    <w:rsid w:val="081636D9"/>
    <w:rsid w:val="0822404C"/>
    <w:rsid w:val="088B63E0"/>
    <w:rsid w:val="08F37C57"/>
    <w:rsid w:val="09181E6A"/>
    <w:rsid w:val="098A335F"/>
    <w:rsid w:val="0A2211FC"/>
    <w:rsid w:val="0A404077"/>
    <w:rsid w:val="0A736EEB"/>
    <w:rsid w:val="0A832561"/>
    <w:rsid w:val="0A874D1D"/>
    <w:rsid w:val="0B0232EE"/>
    <w:rsid w:val="0B0B5171"/>
    <w:rsid w:val="0B1825C1"/>
    <w:rsid w:val="0B2922D0"/>
    <w:rsid w:val="0B3B522E"/>
    <w:rsid w:val="0B7F78E1"/>
    <w:rsid w:val="0BE110CD"/>
    <w:rsid w:val="0BE35FE6"/>
    <w:rsid w:val="0C297755"/>
    <w:rsid w:val="0C2F2532"/>
    <w:rsid w:val="0C473029"/>
    <w:rsid w:val="0C501B2C"/>
    <w:rsid w:val="0C514BFB"/>
    <w:rsid w:val="0CF72D51"/>
    <w:rsid w:val="0D37538B"/>
    <w:rsid w:val="0D396B6B"/>
    <w:rsid w:val="0D5A1E42"/>
    <w:rsid w:val="0D6018AF"/>
    <w:rsid w:val="0D677898"/>
    <w:rsid w:val="0D8C499D"/>
    <w:rsid w:val="0D903AB6"/>
    <w:rsid w:val="0DB216C8"/>
    <w:rsid w:val="0DBB6769"/>
    <w:rsid w:val="0E6C0F63"/>
    <w:rsid w:val="0E7C27A8"/>
    <w:rsid w:val="0EA90FB5"/>
    <w:rsid w:val="0F0F15E9"/>
    <w:rsid w:val="0F3A00E9"/>
    <w:rsid w:val="0F6058F5"/>
    <w:rsid w:val="0F8129C4"/>
    <w:rsid w:val="0FB25786"/>
    <w:rsid w:val="0FBB10EB"/>
    <w:rsid w:val="0FD904D1"/>
    <w:rsid w:val="10093E37"/>
    <w:rsid w:val="102E6181"/>
    <w:rsid w:val="105109E6"/>
    <w:rsid w:val="10A13BD5"/>
    <w:rsid w:val="10AF35D4"/>
    <w:rsid w:val="10D325C8"/>
    <w:rsid w:val="10EB2BD9"/>
    <w:rsid w:val="10F20792"/>
    <w:rsid w:val="10F307E9"/>
    <w:rsid w:val="115F43F4"/>
    <w:rsid w:val="11A73DD3"/>
    <w:rsid w:val="11DA7E41"/>
    <w:rsid w:val="11E45E13"/>
    <w:rsid w:val="121764F7"/>
    <w:rsid w:val="12595F3E"/>
    <w:rsid w:val="12AF3C98"/>
    <w:rsid w:val="12B64A20"/>
    <w:rsid w:val="12B767CB"/>
    <w:rsid w:val="12D14B85"/>
    <w:rsid w:val="12E2445A"/>
    <w:rsid w:val="130F279B"/>
    <w:rsid w:val="13241D62"/>
    <w:rsid w:val="13651CEC"/>
    <w:rsid w:val="136C253A"/>
    <w:rsid w:val="13720901"/>
    <w:rsid w:val="137F4E7B"/>
    <w:rsid w:val="13EC7FA0"/>
    <w:rsid w:val="14244D98"/>
    <w:rsid w:val="143A728D"/>
    <w:rsid w:val="15033247"/>
    <w:rsid w:val="15040B08"/>
    <w:rsid w:val="15101B33"/>
    <w:rsid w:val="15376753"/>
    <w:rsid w:val="153E6F2B"/>
    <w:rsid w:val="1552397E"/>
    <w:rsid w:val="15CA18B2"/>
    <w:rsid w:val="15D83A93"/>
    <w:rsid w:val="15E73A99"/>
    <w:rsid w:val="15FB74FE"/>
    <w:rsid w:val="160079CA"/>
    <w:rsid w:val="16811F84"/>
    <w:rsid w:val="169802DE"/>
    <w:rsid w:val="169B1705"/>
    <w:rsid w:val="169E17A5"/>
    <w:rsid w:val="16AC1FE9"/>
    <w:rsid w:val="16C4089B"/>
    <w:rsid w:val="16DF1879"/>
    <w:rsid w:val="16F35E12"/>
    <w:rsid w:val="17296213"/>
    <w:rsid w:val="17563F8E"/>
    <w:rsid w:val="17D10556"/>
    <w:rsid w:val="17DF76F8"/>
    <w:rsid w:val="18650639"/>
    <w:rsid w:val="18863C52"/>
    <w:rsid w:val="18C91426"/>
    <w:rsid w:val="18FE4776"/>
    <w:rsid w:val="192047A8"/>
    <w:rsid w:val="19425B49"/>
    <w:rsid w:val="195E2DFC"/>
    <w:rsid w:val="1992366E"/>
    <w:rsid w:val="19A20524"/>
    <w:rsid w:val="1A080F10"/>
    <w:rsid w:val="1A1D1757"/>
    <w:rsid w:val="1A847BF2"/>
    <w:rsid w:val="1A941AAF"/>
    <w:rsid w:val="1A9B3CAC"/>
    <w:rsid w:val="1AA3651D"/>
    <w:rsid w:val="1AEC0189"/>
    <w:rsid w:val="1B225213"/>
    <w:rsid w:val="1B2A6942"/>
    <w:rsid w:val="1B3E21AC"/>
    <w:rsid w:val="1B463B17"/>
    <w:rsid w:val="1B5C7889"/>
    <w:rsid w:val="1B666430"/>
    <w:rsid w:val="1BBE779D"/>
    <w:rsid w:val="1BC21F64"/>
    <w:rsid w:val="1BCA02A6"/>
    <w:rsid w:val="1BF26A1D"/>
    <w:rsid w:val="1C017BCE"/>
    <w:rsid w:val="1CA75489"/>
    <w:rsid w:val="1CC954EC"/>
    <w:rsid w:val="1CE36B90"/>
    <w:rsid w:val="1CF45805"/>
    <w:rsid w:val="1CF95239"/>
    <w:rsid w:val="1D082E0D"/>
    <w:rsid w:val="1D157C7A"/>
    <w:rsid w:val="1D9B4032"/>
    <w:rsid w:val="1E74516F"/>
    <w:rsid w:val="1E7758AA"/>
    <w:rsid w:val="1E957916"/>
    <w:rsid w:val="1EEB33A2"/>
    <w:rsid w:val="1EF940F9"/>
    <w:rsid w:val="1F0862C8"/>
    <w:rsid w:val="1F0D30A3"/>
    <w:rsid w:val="1F1E66D8"/>
    <w:rsid w:val="1F650E57"/>
    <w:rsid w:val="1F717A08"/>
    <w:rsid w:val="1F7D3D77"/>
    <w:rsid w:val="1FA97E1F"/>
    <w:rsid w:val="1FED6F81"/>
    <w:rsid w:val="20105A13"/>
    <w:rsid w:val="205D00B4"/>
    <w:rsid w:val="206A62CB"/>
    <w:rsid w:val="2085139A"/>
    <w:rsid w:val="20A3661E"/>
    <w:rsid w:val="20DA0E7B"/>
    <w:rsid w:val="20FD203C"/>
    <w:rsid w:val="21215C9A"/>
    <w:rsid w:val="21733676"/>
    <w:rsid w:val="218C4752"/>
    <w:rsid w:val="21B172AA"/>
    <w:rsid w:val="21C038E5"/>
    <w:rsid w:val="21F255AE"/>
    <w:rsid w:val="222A3A1D"/>
    <w:rsid w:val="226E020D"/>
    <w:rsid w:val="228B154E"/>
    <w:rsid w:val="22C14EFA"/>
    <w:rsid w:val="22F6610F"/>
    <w:rsid w:val="22F9490D"/>
    <w:rsid w:val="234B50E3"/>
    <w:rsid w:val="23543B9D"/>
    <w:rsid w:val="23647489"/>
    <w:rsid w:val="236E6DB2"/>
    <w:rsid w:val="238857BB"/>
    <w:rsid w:val="238A312E"/>
    <w:rsid w:val="239D2E0B"/>
    <w:rsid w:val="23C23F63"/>
    <w:rsid w:val="23CC48C0"/>
    <w:rsid w:val="240F082C"/>
    <w:rsid w:val="24127AB1"/>
    <w:rsid w:val="241B04F6"/>
    <w:rsid w:val="245F0C9E"/>
    <w:rsid w:val="24B07F63"/>
    <w:rsid w:val="24BF3E8B"/>
    <w:rsid w:val="24C7508A"/>
    <w:rsid w:val="24DF66ED"/>
    <w:rsid w:val="24F56189"/>
    <w:rsid w:val="254B1FF4"/>
    <w:rsid w:val="255D78D9"/>
    <w:rsid w:val="25622FA4"/>
    <w:rsid w:val="25683AEC"/>
    <w:rsid w:val="25701CBF"/>
    <w:rsid w:val="25BA5CBE"/>
    <w:rsid w:val="25D2677D"/>
    <w:rsid w:val="25E96B58"/>
    <w:rsid w:val="2621027A"/>
    <w:rsid w:val="2694304E"/>
    <w:rsid w:val="269F36B2"/>
    <w:rsid w:val="26B35A7D"/>
    <w:rsid w:val="26C13F50"/>
    <w:rsid w:val="27026407"/>
    <w:rsid w:val="278513C5"/>
    <w:rsid w:val="27B30DDE"/>
    <w:rsid w:val="28187061"/>
    <w:rsid w:val="28411E01"/>
    <w:rsid w:val="284561AD"/>
    <w:rsid w:val="28482F5D"/>
    <w:rsid w:val="28A071A4"/>
    <w:rsid w:val="28CC71B6"/>
    <w:rsid w:val="28D53FEE"/>
    <w:rsid w:val="28F52FB5"/>
    <w:rsid w:val="29150F7D"/>
    <w:rsid w:val="2932284F"/>
    <w:rsid w:val="296B121F"/>
    <w:rsid w:val="29AD5297"/>
    <w:rsid w:val="29BD7A6E"/>
    <w:rsid w:val="29E55F44"/>
    <w:rsid w:val="29EB475B"/>
    <w:rsid w:val="2A9955B3"/>
    <w:rsid w:val="2A9B30C0"/>
    <w:rsid w:val="2AAD3FF1"/>
    <w:rsid w:val="2AC64860"/>
    <w:rsid w:val="2B212381"/>
    <w:rsid w:val="2B467BAD"/>
    <w:rsid w:val="2B4D6250"/>
    <w:rsid w:val="2B5234B6"/>
    <w:rsid w:val="2B8E638B"/>
    <w:rsid w:val="2B92096C"/>
    <w:rsid w:val="2B9D0947"/>
    <w:rsid w:val="2BA51BCF"/>
    <w:rsid w:val="2BB9081C"/>
    <w:rsid w:val="2BB96CF1"/>
    <w:rsid w:val="2BF2410E"/>
    <w:rsid w:val="2C636B26"/>
    <w:rsid w:val="2C7F23E9"/>
    <w:rsid w:val="2C8A7054"/>
    <w:rsid w:val="2C9C1D8E"/>
    <w:rsid w:val="2CE85D3C"/>
    <w:rsid w:val="2D077227"/>
    <w:rsid w:val="2D5865B8"/>
    <w:rsid w:val="2D97032C"/>
    <w:rsid w:val="2DA34585"/>
    <w:rsid w:val="2DEC045F"/>
    <w:rsid w:val="2E5107EB"/>
    <w:rsid w:val="2E647D44"/>
    <w:rsid w:val="2E6837A8"/>
    <w:rsid w:val="2EA62E8E"/>
    <w:rsid w:val="2EC216B4"/>
    <w:rsid w:val="2F185226"/>
    <w:rsid w:val="2F25585B"/>
    <w:rsid w:val="2F2B3E6C"/>
    <w:rsid w:val="2F3C229A"/>
    <w:rsid w:val="2F4C6088"/>
    <w:rsid w:val="2F7F185E"/>
    <w:rsid w:val="2F9A6806"/>
    <w:rsid w:val="2F9A74C7"/>
    <w:rsid w:val="2FB019E9"/>
    <w:rsid w:val="2FDC6090"/>
    <w:rsid w:val="2FF54A82"/>
    <w:rsid w:val="30015080"/>
    <w:rsid w:val="30042259"/>
    <w:rsid w:val="304A39DE"/>
    <w:rsid w:val="305675E7"/>
    <w:rsid w:val="305D745A"/>
    <w:rsid w:val="30733591"/>
    <w:rsid w:val="30EB3836"/>
    <w:rsid w:val="310B0FA0"/>
    <w:rsid w:val="3112200A"/>
    <w:rsid w:val="316047DF"/>
    <w:rsid w:val="31942964"/>
    <w:rsid w:val="31C51E84"/>
    <w:rsid w:val="31E17BC6"/>
    <w:rsid w:val="322314F4"/>
    <w:rsid w:val="3223357F"/>
    <w:rsid w:val="326C6D93"/>
    <w:rsid w:val="32931FC9"/>
    <w:rsid w:val="32961437"/>
    <w:rsid w:val="329E7D50"/>
    <w:rsid w:val="32B1627B"/>
    <w:rsid w:val="3343167D"/>
    <w:rsid w:val="33437BE8"/>
    <w:rsid w:val="334B3F6D"/>
    <w:rsid w:val="337E3FFB"/>
    <w:rsid w:val="339E68B4"/>
    <w:rsid w:val="33B636DE"/>
    <w:rsid w:val="33B8008B"/>
    <w:rsid w:val="33ED5276"/>
    <w:rsid w:val="34174731"/>
    <w:rsid w:val="348C67DA"/>
    <w:rsid w:val="34A87069"/>
    <w:rsid w:val="34AB4C4F"/>
    <w:rsid w:val="34CA23CA"/>
    <w:rsid w:val="34FE11F5"/>
    <w:rsid w:val="350318A9"/>
    <w:rsid w:val="35056489"/>
    <w:rsid w:val="3518676F"/>
    <w:rsid w:val="35330C9E"/>
    <w:rsid w:val="358427FC"/>
    <w:rsid w:val="35C34396"/>
    <w:rsid w:val="35C95316"/>
    <w:rsid w:val="35DB36F0"/>
    <w:rsid w:val="36575EF3"/>
    <w:rsid w:val="36AA658F"/>
    <w:rsid w:val="36F2329E"/>
    <w:rsid w:val="370428D3"/>
    <w:rsid w:val="375132DB"/>
    <w:rsid w:val="37624337"/>
    <w:rsid w:val="37632FA4"/>
    <w:rsid w:val="37742EFC"/>
    <w:rsid w:val="3775113E"/>
    <w:rsid w:val="37910CA7"/>
    <w:rsid w:val="3795046C"/>
    <w:rsid w:val="37A81DBB"/>
    <w:rsid w:val="37AA49EC"/>
    <w:rsid w:val="37AF0717"/>
    <w:rsid w:val="37C2533F"/>
    <w:rsid w:val="380D6141"/>
    <w:rsid w:val="381B6A3C"/>
    <w:rsid w:val="383020BA"/>
    <w:rsid w:val="386418F5"/>
    <w:rsid w:val="386468CE"/>
    <w:rsid w:val="38760C47"/>
    <w:rsid w:val="38915912"/>
    <w:rsid w:val="389E3223"/>
    <w:rsid w:val="38AE17A3"/>
    <w:rsid w:val="38D82F06"/>
    <w:rsid w:val="39520077"/>
    <w:rsid w:val="396A3AC2"/>
    <w:rsid w:val="397E0A07"/>
    <w:rsid w:val="399929EF"/>
    <w:rsid w:val="39F64CD0"/>
    <w:rsid w:val="3A1C1D24"/>
    <w:rsid w:val="3A7633E7"/>
    <w:rsid w:val="3AB755C2"/>
    <w:rsid w:val="3B647D4A"/>
    <w:rsid w:val="3B6C7053"/>
    <w:rsid w:val="3B9027BA"/>
    <w:rsid w:val="3BBF214F"/>
    <w:rsid w:val="3BE23DE8"/>
    <w:rsid w:val="3C113874"/>
    <w:rsid w:val="3C333E11"/>
    <w:rsid w:val="3C3E149F"/>
    <w:rsid w:val="3C7A163B"/>
    <w:rsid w:val="3C941268"/>
    <w:rsid w:val="3C952DC1"/>
    <w:rsid w:val="3CB95DCE"/>
    <w:rsid w:val="3CE229E5"/>
    <w:rsid w:val="3D216F51"/>
    <w:rsid w:val="3D7645F3"/>
    <w:rsid w:val="3DBA3E7C"/>
    <w:rsid w:val="3DFE0568"/>
    <w:rsid w:val="3E491420"/>
    <w:rsid w:val="3E897AB1"/>
    <w:rsid w:val="3EB2119A"/>
    <w:rsid w:val="3EDE6D7A"/>
    <w:rsid w:val="3EFE1679"/>
    <w:rsid w:val="3F1F4FCE"/>
    <w:rsid w:val="3F475AA4"/>
    <w:rsid w:val="3F4B3E20"/>
    <w:rsid w:val="3F951464"/>
    <w:rsid w:val="3F970BF0"/>
    <w:rsid w:val="3FA55B11"/>
    <w:rsid w:val="3FAD5213"/>
    <w:rsid w:val="3FDE1482"/>
    <w:rsid w:val="3FFB4BBC"/>
    <w:rsid w:val="406B5905"/>
    <w:rsid w:val="40714BA7"/>
    <w:rsid w:val="4099507F"/>
    <w:rsid w:val="40F9279D"/>
    <w:rsid w:val="4108518D"/>
    <w:rsid w:val="415529A8"/>
    <w:rsid w:val="415A2C36"/>
    <w:rsid w:val="41FB0AEB"/>
    <w:rsid w:val="42A5142B"/>
    <w:rsid w:val="42D26646"/>
    <w:rsid w:val="42D7129A"/>
    <w:rsid w:val="42DA5CF4"/>
    <w:rsid w:val="43170677"/>
    <w:rsid w:val="43B94CEA"/>
    <w:rsid w:val="444C50DE"/>
    <w:rsid w:val="44571534"/>
    <w:rsid w:val="44992107"/>
    <w:rsid w:val="44FC53A7"/>
    <w:rsid w:val="4516477F"/>
    <w:rsid w:val="453C7A2C"/>
    <w:rsid w:val="45A52B5F"/>
    <w:rsid w:val="45B41F42"/>
    <w:rsid w:val="46143F72"/>
    <w:rsid w:val="463C57B2"/>
    <w:rsid w:val="4666656A"/>
    <w:rsid w:val="46BD4EB8"/>
    <w:rsid w:val="46D859A1"/>
    <w:rsid w:val="46EB4DF8"/>
    <w:rsid w:val="470E5B5B"/>
    <w:rsid w:val="47550C36"/>
    <w:rsid w:val="477675C6"/>
    <w:rsid w:val="47A1734D"/>
    <w:rsid w:val="47D35855"/>
    <w:rsid w:val="48240F36"/>
    <w:rsid w:val="48542B41"/>
    <w:rsid w:val="4875142C"/>
    <w:rsid w:val="48C33D10"/>
    <w:rsid w:val="48C90640"/>
    <w:rsid w:val="48C9671E"/>
    <w:rsid w:val="49130BEC"/>
    <w:rsid w:val="49566652"/>
    <w:rsid w:val="49873168"/>
    <w:rsid w:val="498C4B2D"/>
    <w:rsid w:val="49C64D64"/>
    <w:rsid w:val="49C845A0"/>
    <w:rsid w:val="49F05A71"/>
    <w:rsid w:val="4A16716B"/>
    <w:rsid w:val="4A1C2755"/>
    <w:rsid w:val="4A37453B"/>
    <w:rsid w:val="4A3C5304"/>
    <w:rsid w:val="4A4B6E08"/>
    <w:rsid w:val="4A7F7EF5"/>
    <w:rsid w:val="4A9152B0"/>
    <w:rsid w:val="4AD11774"/>
    <w:rsid w:val="4AD75B47"/>
    <w:rsid w:val="4B042CC3"/>
    <w:rsid w:val="4B0A411F"/>
    <w:rsid w:val="4B0C3D2A"/>
    <w:rsid w:val="4B146A14"/>
    <w:rsid w:val="4B231B0F"/>
    <w:rsid w:val="4B2D3399"/>
    <w:rsid w:val="4B9B5D4A"/>
    <w:rsid w:val="4BDE5EE3"/>
    <w:rsid w:val="4C017F30"/>
    <w:rsid w:val="4C214E9E"/>
    <w:rsid w:val="4C971CC6"/>
    <w:rsid w:val="4C9C27CE"/>
    <w:rsid w:val="4C9D26B8"/>
    <w:rsid w:val="4C9F5B11"/>
    <w:rsid w:val="4D114E8C"/>
    <w:rsid w:val="4D5F38BE"/>
    <w:rsid w:val="4D93750E"/>
    <w:rsid w:val="4D975C62"/>
    <w:rsid w:val="4DCE64DC"/>
    <w:rsid w:val="4E1464F3"/>
    <w:rsid w:val="4E784953"/>
    <w:rsid w:val="4ECF3F08"/>
    <w:rsid w:val="4EEC498B"/>
    <w:rsid w:val="4EED213E"/>
    <w:rsid w:val="4FAD3EDE"/>
    <w:rsid w:val="4FD51626"/>
    <w:rsid w:val="4FEE66EE"/>
    <w:rsid w:val="50061B91"/>
    <w:rsid w:val="50270759"/>
    <w:rsid w:val="503405B8"/>
    <w:rsid w:val="50BA1C94"/>
    <w:rsid w:val="50D25EFB"/>
    <w:rsid w:val="513B4853"/>
    <w:rsid w:val="514221E9"/>
    <w:rsid w:val="5143440C"/>
    <w:rsid w:val="51884A9F"/>
    <w:rsid w:val="518A559A"/>
    <w:rsid w:val="51BF4CFB"/>
    <w:rsid w:val="51CA51A3"/>
    <w:rsid w:val="52254B58"/>
    <w:rsid w:val="52316E46"/>
    <w:rsid w:val="52983305"/>
    <w:rsid w:val="52DD554B"/>
    <w:rsid w:val="52EE3F32"/>
    <w:rsid w:val="531E58E8"/>
    <w:rsid w:val="533158AB"/>
    <w:rsid w:val="537C41E5"/>
    <w:rsid w:val="53A92F79"/>
    <w:rsid w:val="54293EC2"/>
    <w:rsid w:val="549127A3"/>
    <w:rsid w:val="549C0F2F"/>
    <w:rsid w:val="54CD1A4C"/>
    <w:rsid w:val="54E25BC1"/>
    <w:rsid w:val="55393464"/>
    <w:rsid w:val="55C6627E"/>
    <w:rsid w:val="55D76BF5"/>
    <w:rsid w:val="55D9664A"/>
    <w:rsid w:val="562E0043"/>
    <w:rsid w:val="566B5531"/>
    <w:rsid w:val="567F3A22"/>
    <w:rsid w:val="56CA6A0D"/>
    <w:rsid w:val="571451E3"/>
    <w:rsid w:val="57463FD4"/>
    <w:rsid w:val="57474264"/>
    <w:rsid w:val="57705612"/>
    <w:rsid w:val="57766560"/>
    <w:rsid w:val="57D024EC"/>
    <w:rsid w:val="581461FA"/>
    <w:rsid w:val="584F6259"/>
    <w:rsid w:val="58506052"/>
    <w:rsid w:val="586174CF"/>
    <w:rsid w:val="58C73A59"/>
    <w:rsid w:val="5938549E"/>
    <w:rsid w:val="593B506D"/>
    <w:rsid w:val="598B6AA3"/>
    <w:rsid w:val="59A5352D"/>
    <w:rsid w:val="59AA0ACD"/>
    <w:rsid w:val="59B0214D"/>
    <w:rsid w:val="59BE1DB0"/>
    <w:rsid w:val="59E55820"/>
    <w:rsid w:val="5A09483E"/>
    <w:rsid w:val="5A2661E6"/>
    <w:rsid w:val="5A2A5610"/>
    <w:rsid w:val="5A6F1484"/>
    <w:rsid w:val="5ABF4624"/>
    <w:rsid w:val="5AE2129B"/>
    <w:rsid w:val="5AE468D4"/>
    <w:rsid w:val="5AF15C45"/>
    <w:rsid w:val="5B2D7BFC"/>
    <w:rsid w:val="5B3001E0"/>
    <w:rsid w:val="5B42795C"/>
    <w:rsid w:val="5BE62563"/>
    <w:rsid w:val="5BE921D0"/>
    <w:rsid w:val="5BEC43B1"/>
    <w:rsid w:val="5BEF35FC"/>
    <w:rsid w:val="5BFD5604"/>
    <w:rsid w:val="5C0A2F94"/>
    <w:rsid w:val="5C0F3456"/>
    <w:rsid w:val="5C693330"/>
    <w:rsid w:val="5C855BE8"/>
    <w:rsid w:val="5C93605A"/>
    <w:rsid w:val="5CB82EA4"/>
    <w:rsid w:val="5CDB5111"/>
    <w:rsid w:val="5D4922D7"/>
    <w:rsid w:val="5D771D30"/>
    <w:rsid w:val="5D973100"/>
    <w:rsid w:val="5DD15290"/>
    <w:rsid w:val="5DE14844"/>
    <w:rsid w:val="5E3C48B0"/>
    <w:rsid w:val="5E477529"/>
    <w:rsid w:val="5EC77E5B"/>
    <w:rsid w:val="5F213BB4"/>
    <w:rsid w:val="5F232641"/>
    <w:rsid w:val="5F4E2E05"/>
    <w:rsid w:val="5F5F0B8D"/>
    <w:rsid w:val="5F7D7B67"/>
    <w:rsid w:val="5FAE1852"/>
    <w:rsid w:val="5FC31F32"/>
    <w:rsid w:val="5FD25352"/>
    <w:rsid w:val="5FD75FCF"/>
    <w:rsid w:val="60141D45"/>
    <w:rsid w:val="6035762E"/>
    <w:rsid w:val="604A3AE8"/>
    <w:rsid w:val="605270D8"/>
    <w:rsid w:val="60681350"/>
    <w:rsid w:val="60A00656"/>
    <w:rsid w:val="611356F0"/>
    <w:rsid w:val="615101E5"/>
    <w:rsid w:val="61BF06D3"/>
    <w:rsid w:val="620736E2"/>
    <w:rsid w:val="62130CAE"/>
    <w:rsid w:val="624A7950"/>
    <w:rsid w:val="62514A93"/>
    <w:rsid w:val="625919BC"/>
    <w:rsid w:val="62621620"/>
    <w:rsid w:val="627D1648"/>
    <w:rsid w:val="62962CA9"/>
    <w:rsid w:val="62FC1956"/>
    <w:rsid w:val="63343EEA"/>
    <w:rsid w:val="633A71B0"/>
    <w:rsid w:val="63736F5F"/>
    <w:rsid w:val="63DB732D"/>
    <w:rsid w:val="64041887"/>
    <w:rsid w:val="643A3E9E"/>
    <w:rsid w:val="64463269"/>
    <w:rsid w:val="645B1598"/>
    <w:rsid w:val="645F1F90"/>
    <w:rsid w:val="64603181"/>
    <w:rsid w:val="64826A80"/>
    <w:rsid w:val="64895DD4"/>
    <w:rsid w:val="649810AE"/>
    <w:rsid w:val="64A80B0E"/>
    <w:rsid w:val="64C265CB"/>
    <w:rsid w:val="64CC5155"/>
    <w:rsid w:val="64D01364"/>
    <w:rsid w:val="652948F4"/>
    <w:rsid w:val="65492F86"/>
    <w:rsid w:val="655341F0"/>
    <w:rsid w:val="65544F6D"/>
    <w:rsid w:val="65A87FAF"/>
    <w:rsid w:val="65B52C94"/>
    <w:rsid w:val="65C92E4B"/>
    <w:rsid w:val="6609364A"/>
    <w:rsid w:val="6613635D"/>
    <w:rsid w:val="66447F07"/>
    <w:rsid w:val="6649349B"/>
    <w:rsid w:val="669F4FD8"/>
    <w:rsid w:val="66B53434"/>
    <w:rsid w:val="6722241D"/>
    <w:rsid w:val="678E2859"/>
    <w:rsid w:val="679326D0"/>
    <w:rsid w:val="67A83E6D"/>
    <w:rsid w:val="67F65FED"/>
    <w:rsid w:val="67FB1C20"/>
    <w:rsid w:val="681B430C"/>
    <w:rsid w:val="68281E23"/>
    <w:rsid w:val="68706475"/>
    <w:rsid w:val="68A62CBA"/>
    <w:rsid w:val="68AB509F"/>
    <w:rsid w:val="68BD6F8F"/>
    <w:rsid w:val="68D863A1"/>
    <w:rsid w:val="68E1670B"/>
    <w:rsid w:val="68F72A58"/>
    <w:rsid w:val="69037F81"/>
    <w:rsid w:val="690E414E"/>
    <w:rsid w:val="69461F71"/>
    <w:rsid w:val="698A048D"/>
    <w:rsid w:val="69BC0E96"/>
    <w:rsid w:val="69C2118F"/>
    <w:rsid w:val="69D078F7"/>
    <w:rsid w:val="6A06533F"/>
    <w:rsid w:val="6A5C4E20"/>
    <w:rsid w:val="6A6A1B77"/>
    <w:rsid w:val="6A6C5F70"/>
    <w:rsid w:val="6A910F4F"/>
    <w:rsid w:val="6A9A6878"/>
    <w:rsid w:val="6AC31419"/>
    <w:rsid w:val="6AD6534A"/>
    <w:rsid w:val="6AE173BB"/>
    <w:rsid w:val="6B0D149E"/>
    <w:rsid w:val="6B1349A4"/>
    <w:rsid w:val="6B4247ED"/>
    <w:rsid w:val="6B451A0C"/>
    <w:rsid w:val="6B4627A5"/>
    <w:rsid w:val="6B5F37EC"/>
    <w:rsid w:val="6B785B3D"/>
    <w:rsid w:val="6B7C458F"/>
    <w:rsid w:val="6B9042EB"/>
    <w:rsid w:val="6BCA3FD0"/>
    <w:rsid w:val="6BE102D0"/>
    <w:rsid w:val="6BF71B94"/>
    <w:rsid w:val="6C190DAD"/>
    <w:rsid w:val="6C2E4F91"/>
    <w:rsid w:val="6C4309A9"/>
    <w:rsid w:val="6C6818BD"/>
    <w:rsid w:val="6C705B03"/>
    <w:rsid w:val="6CDB520D"/>
    <w:rsid w:val="6D1E6B74"/>
    <w:rsid w:val="6D275E90"/>
    <w:rsid w:val="6D654FA0"/>
    <w:rsid w:val="6D9A25EB"/>
    <w:rsid w:val="6DC138BE"/>
    <w:rsid w:val="6DC21EAC"/>
    <w:rsid w:val="6DDF207F"/>
    <w:rsid w:val="6DEB7B40"/>
    <w:rsid w:val="6E5D5E40"/>
    <w:rsid w:val="6E6F33D3"/>
    <w:rsid w:val="6E8329A2"/>
    <w:rsid w:val="6E9C32F9"/>
    <w:rsid w:val="6E9C37F3"/>
    <w:rsid w:val="6EBC5FB9"/>
    <w:rsid w:val="6EBE76B8"/>
    <w:rsid w:val="6EDF7346"/>
    <w:rsid w:val="6EE14146"/>
    <w:rsid w:val="6EF379F1"/>
    <w:rsid w:val="6EF5256B"/>
    <w:rsid w:val="6F455F9D"/>
    <w:rsid w:val="6F4F6AA3"/>
    <w:rsid w:val="6F5172AB"/>
    <w:rsid w:val="6F5B46CA"/>
    <w:rsid w:val="6F607BC9"/>
    <w:rsid w:val="6F9D6F71"/>
    <w:rsid w:val="6FBD570C"/>
    <w:rsid w:val="6FD43C5F"/>
    <w:rsid w:val="6FEE7404"/>
    <w:rsid w:val="700369C0"/>
    <w:rsid w:val="700B17BD"/>
    <w:rsid w:val="7085135D"/>
    <w:rsid w:val="70871327"/>
    <w:rsid w:val="70B60963"/>
    <w:rsid w:val="70B62197"/>
    <w:rsid w:val="70E10B12"/>
    <w:rsid w:val="70F33624"/>
    <w:rsid w:val="711019F0"/>
    <w:rsid w:val="713C6128"/>
    <w:rsid w:val="71661719"/>
    <w:rsid w:val="71A3324E"/>
    <w:rsid w:val="71DC3008"/>
    <w:rsid w:val="72502070"/>
    <w:rsid w:val="72656DD3"/>
    <w:rsid w:val="726D5BC5"/>
    <w:rsid w:val="72D16458"/>
    <w:rsid w:val="732B1AD2"/>
    <w:rsid w:val="733F0D8F"/>
    <w:rsid w:val="738552C4"/>
    <w:rsid w:val="73BE570A"/>
    <w:rsid w:val="73C072E4"/>
    <w:rsid w:val="742626EE"/>
    <w:rsid w:val="748A7722"/>
    <w:rsid w:val="74E36E25"/>
    <w:rsid w:val="75007B1F"/>
    <w:rsid w:val="756C3081"/>
    <w:rsid w:val="75CA4F73"/>
    <w:rsid w:val="75F35E7C"/>
    <w:rsid w:val="75F532DE"/>
    <w:rsid w:val="76240F46"/>
    <w:rsid w:val="76631A62"/>
    <w:rsid w:val="768D257E"/>
    <w:rsid w:val="76AE13E1"/>
    <w:rsid w:val="76CC764E"/>
    <w:rsid w:val="76D850A0"/>
    <w:rsid w:val="77010E09"/>
    <w:rsid w:val="7739709A"/>
    <w:rsid w:val="777A429F"/>
    <w:rsid w:val="77E418BC"/>
    <w:rsid w:val="782A180D"/>
    <w:rsid w:val="78630D1F"/>
    <w:rsid w:val="787A3F90"/>
    <w:rsid w:val="78862114"/>
    <w:rsid w:val="78B10414"/>
    <w:rsid w:val="79057FBC"/>
    <w:rsid w:val="797B2A39"/>
    <w:rsid w:val="7987219A"/>
    <w:rsid w:val="79CE38C9"/>
    <w:rsid w:val="79FE48E4"/>
    <w:rsid w:val="7A3C7B91"/>
    <w:rsid w:val="7A7259C5"/>
    <w:rsid w:val="7A8416EF"/>
    <w:rsid w:val="7AA34A09"/>
    <w:rsid w:val="7AFD5FDC"/>
    <w:rsid w:val="7B2230AC"/>
    <w:rsid w:val="7B6C1BD3"/>
    <w:rsid w:val="7B6E248F"/>
    <w:rsid w:val="7B9417AA"/>
    <w:rsid w:val="7C4B6F3D"/>
    <w:rsid w:val="7C8E5650"/>
    <w:rsid w:val="7C9B019A"/>
    <w:rsid w:val="7CAC7093"/>
    <w:rsid w:val="7CDB7057"/>
    <w:rsid w:val="7CE74579"/>
    <w:rsid w:val="7CF0724E"/>
    <w:rsid w:val="7D0E4BEE"/>
    <w:rsid w:val="7D1D63E9"/>
    <w:rsid w:val="7D625FD1"/>
    <w:rsid w:val="7D740A5A"/>
    <w:rsid w:val="7DBF36EF"/>
    <w:rsid w:val="7DC23DF4"/>
    <w:rsid w:val="7DD015E4"/>
    <w:rsid w:val="7DD42C84"/>
    <w:rsid w:val="7E040B7A"/>
    <w:rsid w:val="7E690B9D"/>
    <w:rsid w:val="7E740E33"/>
    <w:rsid w:val="7E7F0644"/>
    <w:rsid w:val="7E845E2E"/>
    <w:rsid w:val="7E9275E4"/>
    <w:rsid w:val="7F015D9E"/>
    <w:rsid w:val="7F3B1D77"/>
    <w:rsid w:val="7F677401"/>
    <w:rsid w:val="7FCE4C47"/>
    <w:rsid w:val="7FE96180"/>
    <w:rsid w:val="7FF56F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2"/>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link w:val="32"/>
    <w:qFormat/>
    <w:uiPriority w:val="0"/>
    <w:pPr>
      <w:ind w:firstLine="420" w:firstLineChars="200"/>
    </w:pPr>
  </w:style>
  <w:style w:type="paragraph" w:styleId="8">
    <w:name w:val="annotation text"/>
    <w:basedOn w:val="1"/>
    <w:link w:val="33"/>
    <w:qFormat/>
    <w:uiPriority w:val="0"/>
    <w:pPr>
      <w:jc w:val="left"/>
    </w:pPr>
    <w:rPr>
      <w:sz w:val="18"/>
      <w:szCs w:val="20"/>
    </w:rPr>
  </w:style>
  <w:style w:type="paragraph" w:styleId="9">
    <w:name w:val="Body Text Indent"/>
    <w:basedOn w:val="1"/>
    <w:link w:val="34"/>
    <w:qFormat/>
    <w:uiPriority w:val="0"/>
    <w:pPr>
      <w:ind w:firstLine="630"/>
    </w:pPr>
    <w:rPr>
      <w:sz w:val="32"/>
      <w:szCs w:val="20"/>
    </w:rPr>
  </w:style>
  <w:style w:type="paragraph" w:styleId="10">
    <w:name w:val="toc 3"/>
    <w:basedOn w:val="1"/>
    <w:next w:val="1"/>
    <w:qFormat/>
    <w:uiPriority w:val="0"/>
    <w:pPr>
      <w:ind w:left="840" w:leftChars="400"/>
    </w:pPr>
  </w:style>
  <w:style w:type="paragraph" w:styleId="11">
    <w:name w:val="Plain Text"/>
    <w:basedOn w:val="1"/>
    <w:link w:val="35"/>
    <w:qFormat/>
    <w:uiPriority w:val="0"/>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6"/>
    <w:qFormat/>
    <w:uiPriority w:val="99"/>
    <w:pPr>
      <w:tabs>
        <w:tab w:val="center" w:pos="4153"/>
        <w:tab w:val="right" w:pos="8306"/>
      </w:tabs>
      <w:snapToGrid w:val="0"/>
      <w:jc w:val="left"/>
    </w:pPr>
    <w:rPr>
      <w:sz w:val="18"/>
      <w:szCs w:val="20"/>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20"/>
    </w:rPr>
  </w:style>
  <w:style w:type="paragraph" w:styleId="1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7">
    <w:name w:val="footnote text"/>
    <w:basedOn w:val="1"/>
    <w:qFormat/>
    <w:uiPriority w:val="0"/>
    <w:pPr>
      <w:snapToGrid w:val="0"/>
      <w:jc w:val="left"/>
    </w:pPr>
    <w:rPr>
      <w:sz w:val="18"/>
    </w:rPr>
  </w:style>
  <w:style w:type="paragraph" w:styleId="18">
    <w:name w:val="Body Text Indent 3"/>
    <w:basedOn w:val="1"/>
    <w:link w:val="38"/>
    <w:qFormat/>
    <w:uiPriority w:val="0"/>
    <w:pPr>
      <w:spacing w:after="120"/>
      <w:ind w:left="420" w:leftChars="200"/>
    </w:pPr>
    <w:rPr>
      <w:sz w:val="16"/>
      <w:szCs w:val="16"/>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annotation subject"/>
    <w:basedOn w:val="8"/>
    <w:next w:val="8"/>
    <w:link w:val="39"/>
    <w:qFormat/>
    <w:uiPriority w:val="0"/>
    <w:rPr>
      <w:b/>
      <w:bCs/>
      <w:sz w:val="21"/>
      <w:szCs w:val="24"/>
      <w:lang w:val="en-US" w:eastAsia="zh-CN"/>
    </w:rPr>
  </w:style>
  <w:style w:type="paragraph" w:styleId="22">
    <w:name w:val="Body Text First Indent"/>
    <w:basedOn w:val="2"/>
    <w:unhideWhenUsed/>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qFormat/>
    <w:uiPriority w:val="0"/>
  </w:style>
  <w:style w:type="character" w:styleId="28">
    <w:name w:val="FollowedHyperlink"/>
    <w:qFormat/>
    <w:uiPriority w:val="0"/>
    <w:rPr>
      <w:color w:val="000000"/>
      <w:sz w:val="18"/>
      <w:szCs w:val="18"/>
      <w:u w:val="none"/>
    </w:rPr>
  </w:style>
  <w:style w:type="character" w:styleId="29">
    <w:name w:val="Hyperlink"/>
    <w:qFormat/>
    <w:uiPriority w:val="0"/>
    <w:rPr>
      <w:color w:val="000000"/>
      <w:sz w:val="18"/>
      <w:szCs w:val="18"/>
      <w:u w:val="non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正文缩进 字符"/>
    <w:link w:val="7"/>
    <w:qFormat/>
    <w:uiPriority w:val="0"/>
    <w:rPr>
      <w:rFonts w:eastAsia="宋体"/>
      <w:kern w:val="2"/>
      <w:sz w:val="21"/>
      <w:szCs w:val="24"/>
      <w:lang w:val="en-US" w:eastAsia="zh-CN" w:bidi="ar-SA"/>
    </w:rPr>
  </w:style>
  <w:style w:type="character" w:customStyle="1" w:styleId="33">
    <w:name w:val="批注文字 字符"/>
    <w:link w:val="8"/>
    <w:qFormat/>
    <w:uiPriority w:val="0"/>
    <w:rPr>
      <w:kern w:val="2"/>
      <w:sz w:val="18"/>
      <w:lang w:bidi="ar-SA"/>
    </w:rPr>
  </w:style>
  <w:style w:type="character" w:customStyle="1" w:styleId="34">
    <w:name w:val="正文文本缩进 字符"/>
    <w:link w:val="9"/>
    <w:qFormat/>
    <w:uiPriority w:val="0"/>
    <w:rPr>
      <w:rFonts w:eastAsia="宋体"/>
      <w:kern w:val="2"/>
      <w:sz w:val="32"/>
      <w:lang w:val="en-US" w:eastAsia="zh-CN" w:bidi="ar-SA"/>
    </w:rPr>
  </w:style>
  <w:style w:type="character" w:customStyle="1" w:styleId="35">
    <w:name w:val="纯文本 字符"/>
    <w:link w:val="11"/>
    <w:unhideWhenUsed/>
    <w:qFormat/>
    <w:uiPriority w:val="0"/>
    <w:rPr>
      <w:rFonts w:ascii="宋体" w:hAnsi="Tms Rmn" w:eastAsia="宋体"/>
      <w:sz w:val="21"/>
      <w:lang w:val="en-US" w:eastAsia="zh-CN" w:bidi="ar-SA"/>
    </w:rPr>
  </w:style>
  <w:style w:type="character" w:customStyle="1" w:styleId="36">
    <w:name w:val="页脚 字符"/>
    <w:link w:val="14"/>
    <w:qFormat/>
    <w:uiPriority w:val="99"/>
    <w:rPr>
      <w:rFonts w:eastAsia="宋体"/>
      <w:kern w:val="2"/>
      <w:sz w:val="18"/>
      <w:lang w:val="en-US" w:eastAsia="zh-CN" w:bidi="ar-SA"/>
    </w:rPr>
  </w:style>
  <w:style w:type="character" w:customStyle="1" w:styleId="37">
    <w:name w:val="页眉 字符"/>
    <w:link w:val="15"/>
    <w:qFormat/>
    <w:uiPriority w:val="0"/>
    <w:rPr>
      <w:rFonts w:eastAsia="宋体"/>
      <w:kern w:val="2"/>
      <w:sz w:val="18"/>
      <w:lang w:val="en-US" w:eastAsia="zh-CN" w:bidi="ar-SA"/>
    </w:rPr>
  </w:style>
  <w:style w:type="character" w:customStyle="1" w:styleId="38">
    <w:name w:val="正文文本缩进 3 字符"/>
    <w:link w:val="18"/>
    <w:qFormat/>
    <w:uiPriority w:val="0"/>
    <w:rPr>
      <w:kern w:val="2"/>
      <w:sz w:val="16"/>
      <w:szCs w:val="16"/>
    </w:rPr>
  </w:style>
  <w:style w:type="character" w:customStyle="1" w:styleId="39">
    <w:name w:val="批注主题 字符"/>
    <w:link w:val="21"/>
    <w:qFormat/>
    <w:uiPriority w:val="0"/>
    <w:rPr>
      <w:b/>
      <w:bCs/>
      <w:kern w:val="2"/>
      <w:sz w:val="21"/>
      <w:szCs w:val="24"/>
      <w:lang w:bidi="ar-SA"/>
    </w:rPr>
  </w:style>
  <w:style w:type="paragraph" w:customStyle="1" w:styleId="40">
    <w:name w:val="样式  + 首行缩进:  2 字符"/>
    <w:basedOn w:val="1"/>
    <w:qFormat/>
    <w:uiPriority w:val="99"/>
    <w:pPr>
      <w:adjustRightInd w:val="0"/>
      <w:spacing w:line="360" w:lineRule="auto"/>
      <w:ind w:firstLine="524" w:firstLineChars="200"/>
    </w:pPr>
    <w:rPr>
      <w:rFonts w:ascii="宋体" w:hAnsi="宋体"/>
      <w:spacing w:val="11"/>
      <w:kern w:val="0"/>
      <w:sz w:val="24"/>
      <w:szCs w:val="24"/>
    </w:rPr>
  </w:style>
  <w:style w:type="character" w:customStyle="1" w:styleId="41">
    <w:name w:val="jbox-icon-loading"/>
    <w:qFormat/>
    <w:uiPriority w:val="0"/>
  </w:style>
  <w:style w:type="character" w:customStyle="1" w:styleId="42">
    <w:name w:val="jbox-icon-success"/>
    <w:qFormat/>
    <w:uiPriority w:val="0"/>
  </w:style>
  <w:style w:type="character" w:customStyle="1" w:styleId="43">
    <w:name w:val="jbox-icon-question"/>
    <w:qFormat/>
    <w:uiPriority w:val="0"/>
  </w:style>
  <w:style w:type="character" w:customStyle="1" w:styleId="44">
    <w:name w:val="jbox-icon-warning"/>
    <w:qFormat/>
    <w:uiPriority w:val="0"/>
  </w:style>
  <w:style w:type="character" w:customStyle="1" w:styleId="45">
    <w:name w:val=" Char Char9"/>
    <w:qFormat/>
    <w:uiPriority w:val="0"/>
    <w:rPr>
      <w:kern w:val="2"/>
      <w:sz w:val="21"/>
    </w:rPr>
  </w:style>
  <w:style w:type="character" w:customStyle="1" w:styleId="46">
    <w:name w:val="（符号）邀请函中一、"/>
    <w:qFormat/>
    <w:uiPriority w:val="0"/>
    <w:rPr>
      <w:rFonts w:ascii="黑体" w:hAnsi="黑体" w:eastAsia="黑体"/>
      <w:b/>
      <w:bCs/>
      <w:sz w:val="24"/>
    </w:rPr>
  </w:style>
  <w:style w:type="character" w:customStyle="1" w:styleId="47">
    <w:name w:val="GW-正文 Char"/>
    <w:link w:val="48"/>
    <w:qFormat/>
    <w:uiPriority w:val="0"/>
    <w:rPr>
      <w:rFonts w:eastAsia="仿宋_GB2312"/>
      <w:kern w:val="2"/>
      <w:sz w:val="24"/>
      <w:szCs w:val="24"/>
      <w:lang w:val="en-US" w:eastAsia="zh-CN" w:bidi="ar-SA"/>
    </w:rPr>
  </w:style>
  <w:style w:type="paragraph" w:customStyle="1" w:styleId="48">
    <w:name w:val="GW-正文"/>
    <w:basedOn w:val="1"/>
    <w:link w:val="47"/>
    <w:qFormat/>
    <w:uiPriority w:val="0"/>
    <w:pPr>
      <w:spacing w:line="360" w:lineRule="auto"/>
      <w:ind w:firstLine="200" w:firstLineChars="200"/>
    </w:pPr>
    <w:rPr>
      <w:rFonts w:eastAsia="仿宋_GB2312"/>
      <w:sz w:val="24"/>
    </w:rPr>
  </w:style>
  <w:style w:type="character" w:customStyle="1" w:styleId="49">
    <w:name w:val="jbox-icon-none"/>
    <w:qFormat/>
    <w:uiPriority w:val="0"/>
    <w:rPr>
      <w:vanish/>
    </w:rPr>
  </w:style>
  <w:style w:type="character" w:customStyle="1" w:styleId="50">
    <w:name w:val="批注文字 Char1"/>
    <w:qFormat/>
    <w:uiPriority w:val="0"/>
    <w:rPr>
      <w:kern w:val="2"/>
      <w:sz w:val="18"/>
      <w:lang w:bidi="ar-SA"/>
    </w:rPr>
  </w:style>
  <w:style w:type="character" w:customStyle="1" w:styleId="51">
    <w:name w:val="jbox-icon"/>
    <w:qFormat/>
    <w:uiPriority w:val="0"/>
  </w:style>
  <w:style w:type="character" w:customStyle="1" w:styleId="52">
    <w:name w:val="jbox-icon-error"/>
    <w:qFormat/>
    <w:uiPriority w:val="0"/>
  </w:style>
  <w:style w:type="character" w:customStyle="1" w:styleId="53">
    <w:name w:val="jbox-icon-info"/>
    <w:qFormat/>
    <w:uiPriority w:val="0"/>
  </w:style>
  <w:style w:type="character" w:customStyle="1" w:styleId="54">
    <w:name w:val="列表段落 字符"/>
    <w:link w:val="55"/>
    <w:qFormat/>
    <w:uiPriority w:val="0"/>
    <w:rPr>
      <w:rFonts w:eastAsia="宋体"/>
      <w:kern w:val="2"/>
      <w:sz w:val="21"/>
      <w:szCs w:val="24"/>
      <w:lang w:val="en-US" w:eastAsia="zh-CN" w:bidi="ar-SA"/>
    </w:rPr>
  </w:style>
  <w:style w:type="paragraph" w:styleId="55">
    <w:name w:val="List Paragraph"/>
    <w:basedOn w:val="1"/>
    <w:link w:val="54"/>
    <w:qFormat/>
    <w:uiPriority w:val="0"/>
    <w:pPr>
      <w:ind w:firstLine="420" w:firstLineChars="200"/>
    </w:pPr>
  </w:style>
  <w:style w:type="paragraph" w:customStyle="1" w:styleId="56">
    <w:name w:val="01、普通正文"/>
    <w:basedOn w:val="1"/>
    <w:qFormat/>
    <w:uiPriority w:val="0"/>
    <w:pPr>
      <w:tabs>
        <w:tab w:val="left" w:pos="0"/>
      </w:tabs>
      <w:wordWrap w:val="0"/>
      <w:topLinePunct/>
      <w:adjustRightInd w:val="0"/>
      <w:snapToGrid w:val="0"/>
      <w:spacing w:line="440" w:lineRule="exact"/>
      <w:jc w:val="left"/>
    </w:pPr>
    <w:rPr>
      <w:rFonts w:ascii="宋体" w:hAnsi="宋体" w:eastAsia="宋体"/>
      <w:snapToGrid w:val="0"/>
      <w:sz w:val="24"/>
      <w:szCs w:val="24"/>
    </w:rPr>
  </w:style>
  <w:style w:type="paragraph" w:customStyle="1" w:styleId="57">
    <w:name w:val="Char Char Char Char Char Char Char Char Char Char Char Char Char Char1 Char Char Char Char"/>
    <w:basedOn w:val="1"/>
    <w:qFormat/>
    <w:uiPriority w:val="0"/>
    <w:rPr>
      <w:szCs w:val="21"/>
    </w:rPr>
  </w:style>
  <w:style w:type="paragraph" w:customStyle="1" w:styleId="58">
    <w:name w:val="列出段落11"/>
    <w:basedOn w:val="1"/>
    <w:qFormat/>
    <w:uiPriority w:val="0"/>
    <w:pPr>
      <w:ind w:firstLine="420" w:firstLineChars="200"/>
    </w:pPr>
    <w:rPr>
      <w:rFonts w:ascii="Calibri" w:hAnsi="Calibri" w:eastAsia="宋体" w:cs="Times New Roman"/>
      <w:szCs w:val="22"/>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图名称"/>
    <w:basedOn w:val="1"/>
    <w:qFormat/>
    <w:uiPriority w:val="0"/>
    <w:pPr>
      <w:spacing w:after="156" w:afterLines="50"/>
      <w:jc w:val="center"/>
    </w:pPr>
    <w:rPr>
      <w:rFonts w:ascii="Times New Roman" w:hAnsi="Times New Roman"/>
      <w:szCs w:val="21"/>
    </w:rPr>
  </w:style>
  <w:style w:type="paragraph" w:customStyle="1" w:styleId="62">
    <w:name w:val="List Paragraph1"/>
    <w:basedOn w:val="1"/>
    <w:qFormat/>
    <w:uiPriority w:val="99"/>
    <w:pPr>
      <w:ind w:firstLine="420"/>
    </w:pPr>
    <w:rPr>
      <w:rFonts w:cs="Times New Roman"/>
      <w:szCs w:val="20"/>
    </w:rPr>
  </w:style>
  <w:style w:type="paragraph" w:customStyle="1" w:styleId="63">
    <w:name w:val="标题 5（有编号）（绿盟科技）"/>
    <w:basedOn w:val="1"/>
    <w:next w:val="6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样式 首行缩进:  2 字符"/>
    <w:basedOn w:val="1"/>
    <w:qFormat/>
    <w:uiPriority w:val="0"/>
    <w:pPr>
      <w:spacing w:line="400" w:lineRule="exact"/>
      <w:ind w:firstLine="200" w:firstLineChars="200"/>
    </w:pPr>
    <w:rPr>
      <w:rFonts w:cs="宋体"/>
      <w:sz w:val="24"/>
    </w:rPr>
  </w:style>
  <w:style w:type="paragraph" w:customStyle="1" w:styleId="66">
    <w:name w:val="Table Paragraph"/>
    <w:basedOn w:val="1"/>
    <w:qFormat/>
    <w:uiPriority w:val="1"/>
    <w:rPr>
      <w:rFonts w:ascii="仿宋" w:hAnsi="仿宋" w:eastAsia="仿宋" w:cs="仿宋"/>
      <w:lang w:val="zh-CN" w:eastAsia="zh-CN" w:bidi="zh-CN"/>
    </w:rPr>
  </w:style>
  <w:style w:type="paragraph" w:customStyle="1" w:styleId="67">
    <w:name w:val="_Style 2"/>
    <w:basedOn w:val="1"/>
    <w:qFormat/>
    <w:uiPriority w:val="0"/>
    <w:pPr>
      <w:widowControl w:val="0"/>
      <w:adjustRightInd/>
      <w:snapToGrid/>
      <w:spacing w:after="0"/>
      <w:ind w:firstLine="420" w:firstLineChars="200"/>
      <w:jc w:val="both"/>
    </w:pPr>
    <w:rPr>
      <w:rFonts w:ascii="Calibri" w:hAnsi="Calibri" w:eastAsia="方正仿宋" w:cs="Times New Roman"/>
      <w:kern w:val="2"/>
      <w:sz w:val="32"/>
      <w:szCs w:val="32"/>
    </w:rPr>
  </w:style>
  <w:style w:type="paragraph" w:customStyle="1" w:styleId="68">
    <w:name w:val="_Style 67"/>
    <w:basedOn w:val="1"/>
    <w:next w:val="1"/>
    <w:qFormat/>
    <w:uiPriority w:val="0"/>
    <w:pPr>
      <w:pBdr>
        <w:top w:val="single" w:color="auto" w:sz="6" w:space="1"/>
      </w:pBdr>
      <w:jc w:val="center"/>
    </w:pPr>
    <w:rPr>
      <w:rFonts w:ascii="Arial" w:eastAsia="宋体"/>
      <w:vanish/>
      <w:sz w:val="16"/>
    </w:rPr>
  </w:style>
  <w:style w:type="paragraph" w:customStyle="1" w:styleId="69">
    <w:name w:val="02、首行缩进2字符正文"/>
    <w:basedOn w:val="1"/>
    <w:qFormat/>
    <w:uiPriority w:val="0"/>
    <w:pPr>
      <w:tabs>
        <w:tab w:val="left" w:pos="0"/>
      </w:tabs>
      <w:wordWrap w:val="0"/>
      <w:topLinePunct/>
      <w:adjustRightInd w:val="0"/>
      <w:snapToGrid w:val="0"/>
      <w:spacing w:line="440" w:lineRule="exact"/>
      <w:ind w:firstLine="480" w:firstLineChars="200"/>
      <w:jc w:val="left"/>
    </w:pPr>
    <w:rPr>
      <w:rFonts w:ascii="宋体" w:hAnsi="宋体" w:eastAsia="宋体"/>
      <w:sz w:val="24"/>
      <w:szCs w:val="24"/>
    </w:rPr>
  </w:style>
  <w:style w:type="paragraph" w:customStyle="1" w:styleId="70">
    <w:name w:val="正文首行缩进两字符"/>
    <w:basedOn w:val="1"/>
    <w:qFormat/>
    <w:uiPriority w:val="0"/>
    <w:pPr>
      <w:spacing w:line="360" w:lineRule="auto"/>
      <w:ind w:firstLine="200" w:firstLineChars="200"/>
    </w:pPr>
  </w:style>
  <w:style w:type="paragraph" w:customStyle="1" w:styleId="71">
    <w:name w:val="列出段落1"/>
    <w:basedOn w:val="1"/>
    <w:qFormat/>
    <w:uiPriority w:val="99"/>
    <w:pPr>
      <w:ind w:firstLine="420"/>
    </w:pPr>
    <w:rPr>
      <w:rFonts w:cs="Times New Roman"/>
      <w:szCs w:val="20"/>
    </w:rPr>
  </w:style>
  <w:style w:type="paragraph" w:customStyle="1" w:styleId="72">
    <w:name w:val="表格"/>
    <w:basedOn w:val="1"/>
    <w:qFormat/>
    <w:uiPriority w:val="0"/>
    <w:pPr>
      <w:spacing w:line="400" w:lineRule="exact"/>
    </w:pPr>
    <w:rPr>
      <w:sz w:val="24"/>
    </w:rPr>
  </w:style>
  <w:style w:type="paragraph" w:customStyle="1" w:styleId="73">
    <w:name w:val="_Style 72"/>
    <w:basedOn w:val="1"/>
    <w:next w:val="1"/>
    <w:qFormat/>
    <w:uiPriority w:val="0"/>
    <w:pPr>
      <w:pBdr>
        <w:bottom w:val="single" w:color="auto" w:sz="6" w:space="1"/>
      </w:pBdr>
      <w:jc w:val="center"/>
    </w:pPr>
    <w:rPr>
      <w:rFonts w:ascii="Arial" w:eastAsia="宋体"/>
      <w:vanish/>
      <w:sz w:val="16"/>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_Style 74"/>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表格文字"/>
    <w:basedOn w:val="1"/>
    <w:next w:val="2"/>
    <w:qFormat/>
    <w:uiPriority w:val="0"/>
    <w:pPr>
      <w:widowControl w:val="0"/>
      <w:spacing w:before="78" w:beforeLines="25" w:after="78" w:afterLines="25"/>
      <w:jc w:val="both"/>
    </w:pPr>
    <w:rPr>
      <w:rFonts w:ascii="Times New (W1)" w:hAnsi="Times New (W1)"/>
      <w:spacing w:val="10"/>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70</Pages>
  <Words>5452</Words>
  <Characters>31081</Characters>
  <Lines>259</Lines>
  <Paragraphs>72</Paragraphs>
  <TotalTime>62</TotalTime>
  <ScaleCrop>false</ScaleCrop>
  <LinksUpToDate>false</LinksUpToDate>
  <CharactersWithSpaces>36461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2021-06-28T14:09:00Z</dcterms:created>
  <dc:creator>林传雨</dc:creator>
  <cp:lastModifiedBy>阔落加干冰~</cp:lastModifiedBy>
  <cp:lastPrinted>2021-06-28T14:20:00Z</cp:lastPrinted>
  <dcterms:modified xsi:type="dcterms:W3CDTF">2021-09-27T03:22:30Z</dcterms:modified>
  <dc:title>四川建茂同方工程项目管理有限公司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FF2F8F3AA87345F49C230E9DC669440A</vt:lpwstr>
  </property>
</Properties>
</file>