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color w:val="000000"/>
          <w:sz w:val="30"/>
          <w:szCs w:val="30"/>
          <w:highlight w:val="none"/>
          <w:lang w:eastAsia="zh-CN"/>
        </w:rPr>
      </w:pPr>
      <w:r>
        <w:rPr>
          <w:rFonts w:hint="eastAsia" w:ascii="宋体"/>
          <w:b/>
          <w:color w:val="000000"/>
          <w:sz w:val="30"/>
          <w:szCs w:val="30"/>
          <w:highlight w:val="none"/>
        </w:rPr>
        <w:t>采购编号：详见</w:t>
      </w:r>
      <w:r>
        <w:rPr>
          <w:rFonts w:hint="eastAsia" w:ascii="宋体"/>
          <w:b/>
          <w:color w:val="000000"/>
          <w:sz w:val="30"/>
          <w:szCs w:val="30"/>
          <w:highlight w:val="none"/>
          <w:lang w:eastAsia="zh-CN"/>
        </w:rPr>
        <w:t>四川</w:t>
      </w:r>
      <w:r>
        <w:rPr>
          <w:rFonts w:hint="eastAsia" w:ascii="宋体"/>
          <w:b/>
          <w:color w:val="000000"/>
          <w:sz w:val="30"/>
          <w:szCs w:val="30"/>
          <w:highlight w:val="none"/>
        </w:rPr>
        <w:t>政府采购网</w:t>
      </w:r>
      <w:r>
        <w:rPr>
          <w:rFonts w:hint="eastAsia" w:ascii="宋体"/>
          <w:b/>
          <w:color w:val="000000"/>
          <w:sz w:val="30"/>
          <w:szCs w:val="30"/>
          <w:highlight w:val="none"/>
          <w:lang w:eastAsia="zh-CN"/>
        </w:rPr>
        <w:t>本项目采购公告</w:t>
      </w:r>
    </w:p>
    <w:p>
      <w:pPr>
        <w:rPr>
          <w:rFonts w:ascii="宋体"/>
          <w:b/>
          <w:color w:val="000000"/>
          <w:sz w:val="36"/>
          <w:szCs w:val="36"/>
          <w:highlight w:val="none"/>
        </w:rPr>
      </w:pPr>
    </w:p>
    <w:p>
      <w:pPr>
        <w:jc w:val="center"/>
        <w:rPr>
          <w:rFonts w:ascii="宋体"/>
          <w:b/>
          <w:color w:val="000000"/>
          <w:sz w:val="52"/>
          <w:szCs w:val="52"/>
          <w:highlight w:val="none"/>
        </w:rPr>
      </w:pPr>
    </w:p>
    <w:p>
      <w:pPr>
        <w:jc w:val="center"/>
        <w:rPr>
          <w:rFonts w:hint="eastAsia" w:ascii="仿宋_GB2312" w:hAnsi="Times New Roman" w:eastAsia="仿宋_GB2312" w:cs="Times New Roman"/>
          <w:b/>
          <w:color w:val="000000"/>
          <w:sz w:val="48"/>
          <w:szCs w:val="48"/>
          <w:highlight w:val="none"/>
          <w:lang w:eastAsia="zh-CN"/>
        </w:rPr>
      </w:pPr>
      <w:r>
        <w:rPr>
          <w:rFonts w:hint="eastAsia" w:ascii="仿宋_GB2312" w:hAnsi="Times New Roman" w:eastAsia="仿宋_GB2312" w:cs="Times New Roman"/>
          <w:b/>
          <w:color w:val="000000"/>
          <w:sz w:val="48"/>
          <w:szCs w:val="48"/>
          <w:highlight w:val="none"/>
          <w:lang w:eastAsia="zh-CN"/>
        </w:rPr>
        <w:t>成都东部新区草池街道办事处食堂服务</w:t>
      </w:r>
    </w:p>
    <w:p>
      <w:pPr>
        <w:jc w:val="center"/>
        <w:rPr>
          <w:rFonts w:ascii="宋体"/>
          <w:b/>
          <w:color w:val="000000"/>
          <w:sz w:val="48"/>
          <w:szCs w:val="48"/>
          <w:highlight w:val="none"/>
        </w:rPr>
      </w:pPr>
      <w:r>
        <w:rPr>
          <w:rFonts w:hint="eastAsia" w:ascii="仿宋_GB2312" w:hAnsi="Times New Roman" w:eastAsia="仿宋_GB2312" w:cs="Times New Roman"/>
          <w:b/>
          <w:color w:val="000000"/>
          <w:sz w:val="48"/>
          <w:szCs w:val="48"/>
          <w:highlight w:val="none"/>
          <w:lang w:eastAsia="zh-CN"/>
        </w:rPr>
        <w:t>外包项目</w:t>
      </w:r>
    </w:p>
    <w:p>
      <w:pPr>
        <w:jc w:val="center"/>
        <w:rPr>
          <w:b/>
          <w:color w:val="000000"/>
          <w:sz w:val="52"/>
          <w:szCs w:val="52"/>
          <w:highlight w:val="none"/>
        </w:rPr>
      </w:pPr>
    </w:p>
    <w:p>
      <w:pPr>
        <w:pStyle w:val="8"/>
        <w:rPr>
          <w:highlight w:val="none"/>
        </w:rPr>
      </w:pPr>
    </w:p>
    <w:p>
      <w:pPr>
        <w:jc w:val="center"/>
        <w:rPr>
          <w:rFonts w:ascii="宋体"/>
          <w:b/>
          <w:color w:val="000000"/>
          <w:sz w:val="52"/>
          <w:szCs w:val="52"/>
          <w:highlight w:val="none"/>
        </w:rPr>
      </w:pPr>
      <w:r>
        <w:rPr>
          <w:rFonts w:hint="eastAsia" w:ascii="宋体"/>
          <w:b/>
          <w:color w:val="000000"/>
          <w:sz w:val="52"/>
          <w:szCs w:val="52"/>
          <w:highlight w:val="none"/>
        </w:rPr>
        <w:t>竞</w:t>
      </w:r>
    </w:p>
    <w:p>
      <w:pPr>
        <w:jc w:val="center"/>
        <w:rPr>
          <w:rFonts w:ascii="宋体"/>
          <w:b/>
          <w:color w:val="000000"/>
          <w:sz w:val="52"/>
          <w:szCs w:val="52"/>
          <w:highlight w:val="none"/>
        </w:rPr>
      </w:pPr>
      <w:r>
        <w:rPr>
          <w:rFonts w:hint="eastAsia" w:ascii="宋体"/>
          <w:b/>
          <w:color w:val="000000"/>
          <w:sz w:val="52"/>
          <w:szCs w:val="52"/>
          <w:highlight w:val="none"/>
        </w:rPr>
        <w:t>争</w:t>
      </w:r>
    </w:p>
    <w:p>
      <w:pPr>
        <w:jc w:val="center"/>
        <w:rPr>
          <w:rFonts w:ascii="宋体"/>
          <w:b/>
          <w:color w:val="000000"/>
          <w:sz w:val="52"/>
          <w:szCs w:val="52"/>
          <w:highlight w:val="none"/>
        </w:rPr>
      </w:pPr>
      <w:r>
        <w:rPr>
          <w:rFonts w:hint="eastAsia" w:ascii="宋体"/>
          <w:b/>
          <w:color w:val="000000"/>
          <w:sz w:val="52"/>
          <w:szCs w:val="52"/>
          <w:highlight w:val="none"/>
        </w:rPr>
        <w:t>性</w:t>
      </w:r>
    </w:p>
    <w:p>
      <w:pPr>
        <w:jc w:val="center"/>
        <w:rPr>
          <w:rFonts w:ascii="宋体"/>
          <w:b/>
          <w:color w:val="000000"/>
          <w:sz w:val="52"/>
          <w:szCs w:val="52"/>
          <w:highlight w:val="none"/>
        </w:rPr>
      </w:pPr>
      <w:r>
        <w:rPr>
          <w:rFonts w:hint="eastAsia" w:ascii="宋体"/>
          <w:b/>
          <w:color w:val="000000"/>
          <w:sz w:val="52"/>
          <w:szCs w:val="52"/>
          <w:highlight w:val="none"/>
        </w:rPr>
        <w:t>磋</w:t>
      </w:r>
    </w:p>
    <w:p>
      <w:pPr>
        <w:jc w:val="center"/>
        <w:rPr>
          <w:b/>
          <w:color w:val="000000"/>
          <w:sz w:val="52"/>
          <w:szCs w:val="52"/>
          <w:highlight w:val="none"/>
        </w:rPr>
      </w:pPr>
      <w:r>
        <w:rPr>
          <w:rFonts w:hint="eastAsia" w:ascii="宋体"/>
          <w:b/>
          <w:color w:val="000000"/>
          <w:sz w:val="52"/>
          <w:szCs w:val="52"/>
          <w:highlight w:val="none"/>
        </w:rPr>
        <w:t>商</w:t>
      </w:r>
    </w:p>
    <w:p>
      <w:pPr>
        <w:jc w:val="center"/>
        <w:rPr>
          <w:b/>
          <w:color w:val="000000"/>
          <w:sz w:val="52"/>
          <w:szCs w:val="52"/>
          <w:highlight w:val="none"/>
        </w:rPr>
      </w:pPr>
      <w:r>
        <w:rPr>
          <w:rFonts w:hint="eastAsia"/>
          <w:b/>
          <w:color w:val="000000"/>
          <w:sz w:val="52"/>
          <w:szCs w:val="52"/>
          <w:highlight w:val="none"/>
        </w:rPr>
        <w:t>文</w:t>
      </w:r>
    </w:p>
    <w:p>
      <w:pPr>
        <w:jc w:val="center"/>
        <w:rPr>
          <w:b/>
          <w:color w:val="000000"/>
          <w:sz w:val="52"/>
          <w:szCs w:val="52"/>
          <w:highlight w:val="none"/>
        </w:rPr>
      </w:pPr>
      <w:r>
        <w:rPr>
          <w:rFonts w:hint="eastAsia"/>
          <w:b/>
          <w:color w:val="000000"/>
          <w:sz w:val="52"/>
          <w:szCs w:val="52"/>
          <w:highlight w:val="none"/>
        </w:rPr>
        <w:t>件</w:t>
      </w:r>
    </w:p>
    <w:p>
      <w:pPr>
        <w:jc w:val="center"/>
        <w:rPr>
          <w:b/>
          <w:color w:val="000000"/>
          <w:sz w:val="52"/>
          <w:szCs w:val="52"/>
          <w:highlight w:val="none"/>
        </w:rPr>
      </w:pPr>
    </w:p>
    <w:p>
      <w:pPr>
        <w:jc w:val="center"/>
        <w:rPr>
          <w:b/>
          <w:color w:val="000000"/>
          <w:sz w:val="52"/>
          <w:szCs w:val="52"/>
          <w:highlight w:val="none"/>
        </w:rPr>
      </w:pPr>
    </w:p>
    <w:p>
      <w:pPr>
        <w:spacing w:line="360" w:lineRule="auto"/>
        <w:jc w:val="center"/>
        <w:rPr>
          <w:b/>
          <w:color w:val="000000"/>
          <w:sz w:val="32"/>
          <w:szCs w:val="32"/>
          <w:highlight w:val="none"/>
        </w:rPr>
      </w:pPr>
    </w:p>
    <w:p>
      <w:pPr>
        <w:spacing w:line="360" w:lineRule="auto"/>
        <w:jc w:val="center"/>
        <w:rPr>
          <w:b/>
          <w:color w:val="000000"/>
          <w:sz w:val="32"/>
          <w:szCs w:val="32"/>
          <w:highlight w:val="none"/>
        </w:rPr>
      </w:pPr>
      <w:r>
        <w:rPr>
          <w:rFonts w:hint="eastAsia"/>
          <w:b/>
          <w:color w:val="000000"/>
          <w:sz w:val="32"/>
          <w:szCs w:val="32"/>
          <w:highlight w:val="none"/>
        </w:rPr>
        <w:t>中国·四川</w:t>
      </w:r>
    </w:p>
    <w:p>
      <w:pPr>
        <w:spacing w:line="360" w:lineRule="auto"/>
        <w:jc w:val="center"/>
        <w:rPr>
          <w:b/>
          <w:sz w:val="32"/>
          <w:szCs w:val="32"/>
          <w:highlight w:val="none"/>
        </w:rPr>
      </w:pPr>
      <w:r>
        <w:rPr>
          <w:rFonts w:hint="eastAsia" w:ascii="宋体"/>
          <w:b/>
          <w:sz w:val="30"/>
          <w:szCs w:val="30"/>
          <w:highlight w:val="none"/>
        </w:rPr>
        <w:t>四川达通工程管理咨询有限公司</w:t>
      </w:r>
      <w:r>
        <w:rPr>
          <w:rFonts w:hint="eastAsia" w:ascii="宋体"/>
          <w:b/>
          <w:sz w:val="30"/>
          <w:szCs w:val="30"/>
          <w:highlight w:val="none"/>
          <w:lang w:eastAsia="zh-CN"/>
        </w:rPr>
        <w:t>、成都东部新区草池街道办事处</w:t>
      </w:r>
      <w:r>
        <w:rPr>
          <w:rFonts w:hint="eastAsia" w:ascii="宋体"/>
          <w:b/>
          <w:sz w:val="30"/>
          <w:szCs w:val="30"/>
          <w:highlight w:val="none"/>
          <w:lang w:val="en-US" w:eastAsia="zh-CN"/>
        </w:rPr>
        <w:t>/</w:t>
      </w:r>
      <w:r>
        <w:rPr>
          <w:rFonts w:hint="eastAsia" w:ascii="宋体"/>
          <w:b/>
          <w:sz w:val="30"/>
          <w:szCs w:val="30"/>
          <w:highlight w:val="none"/>
          <w:lang w:eastAsia="zh-CN"/>
        </w:rPr>
        <w:t>共同</w:t>
      </w:r>
      <w:r>
        <w:rPr>
          <w:rFonts w:hint="eastAsia" w:ascii="宋体"/>
          <w:b/>
          <w:sz w:val="30"/>
          <w:szCs w:val="30"/>
          <w:highlight w:val="none"/>
        </w:rPr>
        <w:t>编制</w:t>
      </w:r>
    </w:p>
    <w:p>
      <w:pPr>
        <w:spacing w:line="360" w:lineRule="auto"/>
        <w:ind w:firstLine="3753" w:firstLineChars="1246"/>
        <w:jc w:val="left"/>
        <w:rPr>
          <w:b/>
          <w:bCs/>
          <w:color w:val="000000"/>
          <w:sz w:val="32"/>
          <w:szCs w:val="32"/>
          <w:highlight w:val="none"/>
          <w:lang w:val="zh-CN"/>
        </w:rPr>
      </w:pPr>
      <w:r>
        <w:rPr>
          <w:rFonts w:hint="eastAsia" w:ascii="宋体"/>
          <w:b/>
          <w:color w:val="000000"/>
          <w:sz w:val="30"/>
          <w:szCs w:val="30"/>
          <w:highlight w:val="none"/>
        </w:rPr>
        <w:t>202</w:t>
      </w:r>
      <w:r>
        <w:rPr>
          <w:rFonts w:hint="eastAsia" w:ascii="宋体"/>
          <w:b/>
          <w:color w:val="000000"/>
          <w:sz w:val="30"/>
          <w:szCs w:val="30"/>
          <w:highlight w:val="none"/>
          <w:lang w:val="en-US" w:eastAsia="zh-CN"/>
        </w:rPr>
        <w:t>1</w:t>
      </w:r>
      <w:r>
        <w:rPr>
          <w:b/>
          <w:bCs/>
          <w:color w:val="000000"/>
          <w:sz w:val="32"/>
          <w:szCs w:val="32"/>
          <w:highlight w:val="none"/>
          <w:lang w:val="zh-CN"/>
        </w:rPr>
        <w:t>年</w:t>
      </w:r>
      <w:r>
        <w:rPr>
          <w:rFonts w:hint="eastAsia" w:ascii="宋体"/>
          <w:b/>
          <w:color w:val="000000"/>
          <w:sz w:val="30"/>
          <w:szCs w:val="30"/>
          <w:highlight w:val="none"/>
          <w:lang w:val="en-US" w:eastAsia="zh-CN"/>
        </w:rPr>
        <w:t>5</w:t>
      </w:r>
      <w:r>
        <w:rPr>
          <w:b/>
          <w:bCs/>
          <w:color w:val="000000"/>
          <w:sz w:val="32"/>
          <w:szCs w:val="32"/>
          <w:highlight w:val="none"/>
          <w:lang w:val="zh-CN"/>
        </w:rPr>
        <w:t>月</w:t>
      </w:r>
    </w:p>
    <w:p>
      <w:pPr>
        <w:spacing w:line="400" w:lineRule="exact"/>
        <w:rPr>
          <w:rFonts w:ascii="宋体" w:hAnsi="宋体"/>
          <w:color w:val="000000"/>
          <w:sz w:val="32"/>
          <w:highlight w:val="none"/>
        </w:rPr>
      </w:pPr>
    </w:p>
    <w:p>
      <w:pPr>
        <w:spacing w:line="400" w:lineRule="exact"/>
        <w:rPr>
          <w:rFonts w:ascii="宋体" w:hAnsi="宋体"/>
          <w:color w:val="000000"/>
          <w:sz w:val="32"/>
          <w:highlight w:val="none"/>
        </w:rPr>
        <w:sectPr>
          <w:footerReference r:id="rId7" w:type="first"/>
          <w:headerReference r:id="rId3" w:type="default"/>
          <w:footerReference r:id="rId5" w:type="default"/>
          <w:headerReference r:id="rId4" w:type="even"/>
          <w:footerReference r:id="rId6" w:type="even"/>
          <w:pgSz w:w="11906" w:h="16838"/>
          <w:pgMar w:top="1417" w:right="1417" w:bottom="1417" w:left="1417" w:header="850" w:footer="992" w:gutter="0"/>
          <w:pgNumType w:fmt="numberInDash" w:start="1"/>
          <w:cols w:space="0" w:num="1"/>
          <w:rtlGutter w:val="0"/>
          <w:docGrid w:linePitch="312" w:charSpace="0"/>
        </w:sectPr>
      </w:pPr>
    </w:p>
    <w:p>
      <w:pPr>
        <w:pStyle w:val="4"/>
        <w:keepNext w:val="0"/>
        <w:keepLines w:val="0"/>
        <w:spacing w:line="360" w:lineRule="exact"/>
        <w:jc w:val="center"/>
        <w:rPr>
          <w:rFonts w:ascii="宋体" w:eastAsia="宋体"/>
          <w:b w:val="0"/>
          <w:bCs w:val="0"/>
          <w:color w:val="000000"/>
          <w:sz w:val="36"/>
          <w:highlight w:val="none"/>
        </w:rPr>
      </w:pPr>
    </w:p>
    <w:p>
      <w:pPr>
        <w:pStyle w:val="4"/>
        <w:keepNext w:val="0"/>
        <w:keepLines w:val="0"/>
        <w:spacing w:line="360" w:lineRule="exact"/>
        <w:jc w:val="center"/>
        <w:rPr>
          <w:rFonts w:ascii="宋体" w:eastAsia="宋体"/>
          <w:bCs w:val="0"/>
          <w:color w:val="000000"/>
          <w:sz w:val="36"/>
          <w:highlight w:val="none"/>
        </w:rPr>
      </w:pPr>
      <w:r>
        <w:rPr>
          <w:rFonts w:hint="eastAsia" w:ascii="宋体" w:eastAsia="宋体"/>
          <w:bCs w:val="0"/>
          <w:color w:val="000000"/>
          <w:sz w:val="36"/>
          <w:highlight w:val="none"/>
        </w:rPr>
        <w:t>目    录</w:t>
      </w:r>
    </w:p>
    <w:p>
      <w:pPr>
        <w:rPr>
          <w:color w:val="000000"/>
          <w:highlight w:val="none"/>
        </w:rPr>
      </w:pPr>
    </w:p>
    <w:p>
      <w:pPr>
        <w:rPr>
          <w:color w:val="000000"/>
          <w:highlight w:val="none"/>
        </w:rPr>
      </w:pPr>
    </w:p>
    <w:p>
      <w:pPr>
        <w:pStyle w:val="18"/>
        <w:tabs>
          <w:tab w:val="right" w:leader="dot" w:pos="9997"/>
        </w:tabs>
        <w:rPr>
          <w:rStyle w:val="31"/>
          <w:rFonts w:ascii="宋体"/>
          <w:sz w:val="32"/>
          <w:highlight w:val="none"/>
        </w:rPr>
      </w:pPr>
      <w:r>
        <w:rPr>
          <w:rFonts w:ascii="宋体" w:hAnsi="宋体"/>
          <w:bCs/>
          <w:color w:val="000000"/>
          <w:sz w:val="40"/>
          <w:highlight w:val="none"/>
        </w:rPr>
        <w:fldChar w:fldCharType="begin"/>
      </w:r>
      <w:r>
        <w:rPr>
          <w:rFonts w:ascii="宋体" w:hAnsi="宋体"/>
          <w:bCs/>
          <w:color w:val="000000"/>
          <w:sz w:val="40"/>
          <w:highlight w:val="none"/>
        </w:rPr>
        <w:instrText xml:space="preserve"> TOC \o "1-1" \h \z \u </w:instrText>
      </w:r>
      <w:r>
        <w:rPr>
          <w:rFonts w:ascii="宋体" w:hAnsi="宋体"/>
          <w:bCs/>
          <w:color w:val="000000"/>
          <w:sz w:val="40"/>
          <w:highlight w:val="none"/>
        </w:rPr>
        <w:fldChar w:fldCharType="separate"/>
      </w:r>
      <w:r>
        <w:rPr>
          <w:highlight w:val="none"/>
        </w:rPr>
        <w:fldChar w:fldCharType="begin"/>
      </w:r>
      <w:r>
        <w:rPr>
          <w:highlight w:val="none"/>
        </w:rPr>
        <w:instrText xml:space="preserve"> HYPERLINK \l "_Toc533424971" </w:instrText>
      </w:r>
      <w:r>
        <w:rPr>
          <w:highlight w:val="none"/>
        </w:rPr>
        <w:fldChar w:fldCharType="separate"/>
      </w:r>
      <w:r>
        <w:rPr>
          <w:rStyle w:val="31"/>
          <w:rFonts w:ascii="宋体"/>
          <w:sz w:val="32"/>
          <w:highlight w:val="none"/>
        </w:rPr>
        <w:t>第一章  磋商邀请</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_Toc533424971 \h </w:instrText>
      </w:r>
      <w:r>
        <w:rPr>
          <w:rStyle w:val="31"/>
          <w:rFonts w:ascii="宋体"/>
          <w:sz w:val="32"/>
          <w:highlight w:val="none"/>
        </w:rPr>
        <w:fldChar w:fldCharType="separate"/>
      </w:r>
      <w:r>
        <w:rPr>
          <w:rStyle w:val="31"/>
          <w:rFonts w:ascii="宋体"/>
          <w:sz w:val="32"/>
          <w:highlight w:val="none"/>
        </w:rPr>
        <w:t>- 3 -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"_Toc533424972" </w:instrText>
      </w:r>
      <w:r>
        <w:rPr>
          <w:highlight w:val="none"/>
        </w:rPr>
        <w:fldChar w:fldCharType="separate"/>
      </w:r>
      <w:r>
        <w:rPr>
          <w:rStyle w:val="31"/>
          <w:rFonts w:ascii="宋体"/>
          <w:sz w:val="32"/>
          <w:highlight w:val="none"/>
        </w:rPr>
        <w:t>第二章  磋商须知</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_Toc533424972 \h </w:instrText>
      </w:r>
      <w:r>
        <w:rPr>
          <w:rStyle w:val="31"/>
          <w:rFonts w:ascii="宋体"/>
          <w:sz w:val="32"/>
          <w:highlight w:val="none"/>
        </w:rPr>
        <w:fldChar w:fldCharType="separate"/>
      </w:r>
      <w:r>
        <w:rPr>
          <w:rStyle w:val="31"/>
          <w:rFonts w:ascii="宋体"/>
          <w:sz w:val="32"/>
          <w:highlight w:val="none"/>
        </w:rPr>
        <w:t>- 5 -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"_Toc533424973" </w:instrText>
      </w:r>
      <w:r>
        <w:rPr>
          <w:highlight w:val="none"/>
        </w:rPr>
        <w:fldChar w:fldCharType="separate"/>
      </w:r>
      <w:r>
        <w:rPr>
          <w:rStyle w:val="31"/>
          <w:rFonts w:ascii="宋体"/>
          <w:sz w:val="32"/>
          <w:highlight w:val="none"/>
        </w:rPr>
        <w:t>第三章  供应商资格条件要求</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_Toc533424973 \h </w:instrText>
      </w:r>
      <w:r>
        <w:rPr>
          <w:rStyle w:val="31"/>
          <w:rFonts w:ascii="宋体"/>
          <w:sz w:val="32"/>
          <w:highlight w:val="none"/>
        </w:rPr>
        <w:fldChar w:fldCharType="separate"/>
      </w:r>
      <w:r>
        <w:rPr>
          <w:rStyle w:val="31"/>
          <w:rFonts w:ascii="宋体"/>
          <w:sz w:val="32"/>
          <w:highlight w:val="none"/>
        </w:rPr>
        <w:t>- 16 -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"_Toc533424974" </w:instrText>
      </w:r>
      <w:r>
        <w:rPr>
          <w:highlight w:val="none"/>
        </w:rPr>
        <w:fldChar w:fldCharType="separate"/>
      </w:r>
      <w:r>
        <w:rPr>
          <w:rStyle w:val="31"/>
          <w:rFonts w:ascii="宋体"/>
          <w:sz w:val="32"/>
          <w:highlight w:val="none"/>
        </w:rPr>
        <w:t>第四章  供应商资格证明材料</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_Toc533424974 \h </w:instrText>
      </w:r>
      <w:r>
        <w:rPr>
          <w:rStyle w:val="31"/>
          <w:rFonts w:ascii="宋体"/>
          <w:sz w:val="32"/>
          <w:highlight w:val="none"/>
        </w:rPr>
        <w:fldChar w:fldCharType="separate"/>
      </w:r>
      <w:r>
        <w:rPr>
          <w:rStyle w:val="31"/>
          <w:rFonts w:ascii="宋体"/>
          <w:sz w:val="32"/>
          <w:highlight w:val="none"/>
        </w:rPr>
        <w:t>- 17 -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"_Toc533424975" </w:instrText>
      </w:r>
      <w:r>
        <w:rPr>
          <w:highlight w:val="none"/>
        </w:rPr>
        <w:fldChar w:fldCharType="separate"/>
      </w:r>
      <w:r>
        <w:rPr>
          <w:rStyle w:val="31"/>
          <w:rFonts w:ascii="宋体"/>
          <w:sz w:val="32"/>
          <w:highlight w:val="none"/>
        </w:rPr>
        <w:t>第五章  采购项目技术、服务及其他商务要求</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_Toc533424975 \h </w:instrText>
      </w:r>
      <w:r>
        <w:rPr>
          <w:rStyle w:val="31"/>
          <w:rFonts w:ascii="宋体"/>
          <w:sz w:val="32"/>
          <w:highlight w:val="none"/>
        </w:rPr>
        <w:fldChar w:fldCharType="separate"/>
      </w:r>
      <w:r>
        <w:rPr>
          <w:rStyle w:val="31"/>
          <w:rFonts w:ascii="宋体"/>
          <w:sz w:val="32"/>
          <w:highlight w:val="none"/>
        </w:rPr>
        <w:t>- 18 -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"_Toc533424976" </w:instrText>
      </w:r>
      <w:r>
        <w:rPr>
          <w:highlight w:val="none"/>
        </w:rPr>
        <w:fldChar w:fldCharType="separate"/>
      </w:r>
      <w:r>
        <w:rPr>
          <w:rStyle w:val="31"/>
          <w:rFonts w:ascii="宋体"/>
          <w:sz w:val="32"/>
          <w:highlight w:val="none"/>
        </w:rPr>
        <w:t>第六章  磋商内容、磋商过程中可实质性变动的内容</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_Toc533424976 \h </w:instrText>
      </w:r>
      <w:r>
        <w:rPr>
          <w:rStyle w:val="31"/>
          <w:rFonts w:ascii="宋体"/>
          <w:sz w:val="32"/>
          <w:highlight w:val="none"/>
        </w:rPr>
        <w:fldChar w:fldCharType="separate"/>
      </w:r>
      <w:r>
        <w:rPr>
          <w:rStyle w:val="31"/>
          <w:rFonts w:ascii="宋体"/>
          <w:sz w:val="32"/>
          <w:highlight w:val="none"/>
        </w:rPr>
        <w:t>- 33 -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"_Toc533424977" </w:instrText>
      </w:r>
      <w:r>
        <w:rPr>
          <w:highlight w:val="none"/>
        </w:rPr>
        <w:fldChar w:fldCharType="separate"/>
      </w:r>
      <w:r>
        <w:rPr>
          <w:rStyle w:val="31"/>
          <w:rFonts w:ascii="宋体"/>
          <w:sz w:val="32"/>
          <w:highlight w:val="none"/>
        </w:rPr>
        <w:t>第七章  响应文件格式</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_Toc533424977 \h </w:instrText>
      </w:r>
      <w:r>
        <w:rPr>
          <w:rStyle w:val="31"/>
          <w:rFonts w:ascii="宋体"/>
          <w:sz w:val="32"/>
          <w:highlight w:val="none"/>
        </w:rPr>
        <w:fldChar w:fldCharType="separate"/>
      </w:r>
      <w:r>
        <w:rPr>
          <w:rStyle w:val="31"/>
          <w:rFonts w:ascii="宋体"/>
          <w:sz w:val="32"/>
          <w:highlight w:val="none"/>
        </w:rPr>
        <w:t>- 34 -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Style w:val="31"/>
          <w:rFonts w:ascii="宋体"/>
          <w:sz w:val="32"/>
          <w:highlight w:val="none"/>
        </w:rPr>
      </w:pPr>
      <w:r>
        <w:rPr>
          <w:highlight w:val="none"/>
        </w:rPr>
        <w:fldChar w:fldCharType="begin"/>
      </w:r>
      <w:r>
        <w:rPr>
          <w:highlight w:val="none"/>
        </w:rPr>
        <w:instrText xml:space="preserve"> HYPERLINK \l "_Toc533424978" </w:instrText>
      </w:r>
      <w:r>
        <w:rPr>
          <w:highlight w:val="none"/>
        </w:rPr>
        <w:fldChar w:fldCharType="separate"/>
      </w:r>
      <w:r>
        <w:rPr>
          <w:rStyle w:val="31"/>
          <w:rFonts w:ascii="宋体"/>
          <w:sz w:val="32"/>
          <w:highlight w:val="none"/>
        </w:rPr>
        <w:t>第八章  评审方法</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_Toc533424978 \h </w:instrText>
      </w:r>
      <w:r>
        <w:rPr>
          <w:rStyle w:val="31"/>
          <w:rFonts w:ascii="宋体"/>
          <w:sz w:val="32"/>
          <w:highlight w:val="none"/>
        </w:rPr>
        <w:fldChar w:fldCharType="separate"/>
      </w:r>
      <w:r>
        <w:rPr>
          <w:rStyle w:val="31"/>
          <w:rFonts w:ascii="宋体"/>
          <w:sz w:val="32"/>
          <w:highlight w:val="none"/>
        </w:rPr>
        <w:t>- 49 -</w:t>
      </w:r>
      <w:r>
        <w:rPr>
          <w:rStyle w:val="31"/>
          <w:rFonts w:ascii="宋体"/>
          <w:sz w:val="32"/>
          <w:highlight w:val="none"/>
        </w:rPr>
        <w:fldChar w:fldCharType="end"/>
      </w:r>
      <w:r>
        <w:rPr>
          <w:rStyle w:val="31"/>
          <w:rFonts w:ascii="宋体"/>
          <w:sz w:val="32"/>
          <w:highlight w:val="none"/>
        </w:rPr>
        <w:fldChar w:fldCharType="end"/>
      </w:r>
    </w:p>
    <w:p>
      <w:pPr>
        <w:pStyle w:val="18"/>
        <w:tabs>
          <w:tab w:val="right" w:leader="dot" w:pos="9997"/>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"_Toc533424979" </w:instrText>
      </w:r>
      <w:r>
        <w:rPr>
          <w:highlight w:val="none"/>
        </w:rPr>
        <w:fldChar w:fldCharType="separate"/>
      </w:r>
      <w:r>
        <w:rPr>
          <w:rStyle w:val="31"/>
          <w:rFonts w:ascii="宋体"/>
          <w:sz w:val="32"/>
          <w:highlight w:val="none"/>
        </w:rPr>
        <w:t>第九章  采购合同实质性条款</w:t>
      </w:r>
      <w:r>
        <w:rPr>
          <w:rStyle w:val="31"/>
          <w:rFonts w:ascii="宋体"/>
          <w:sz w:val="32"/>
          <w:highlight w:val="none"/>
        </w:rPr>
        <w:tab/>
      </w:r>
      <w:r>
        <w:rPr>
          <w:rStyle w:val="31"/>
          <w:rFonts w:ascii="宋体"/>
          <w:sz w:val="32"/>
          <w:highlight w:val="none"/>
        </w:rPr>
        <w:fldChar w:fldCharType="begin"/>
      </w:r>
      <w:r>
        <w:rPr>
          <w:rStyle w:val="31"/>
          <w:rFonts w:ascii="宋体"/>
          <w:sz w:val="32"/>
          <w:highlight w:val="none"/>
        </w:rPr>
        <w:instrText xml:space="preserve"> PAGEREF _Toc533424979 \h </w:instrText>
      </w:r>
      <w:r>
        <w:rPr>
          <w:rStyle w:val="31"/>
          <w:rFonts w:ascii="宋体"/>
          <w:sz w:val="32"/>
          <w:highlight w:val="none"/>
        </w:rPr>
        <w:fldChar w:fldCharType="separate"/>
      </w:r>
      <w:r>
        <w:rPr>
          <w:rStyle w:val="31"/>
          <w:rFonts w:ascii="宋体"/>
          <w:sz w:val="32"/>
          <w:highlight w:val="none"/>
        </w:rPr>
        <w:t>- 56 -</w:t>
      </w:r>
      <w:r>
        <w:rPr>
          <w:rStyle w:val="31"/>
          <w:rFonts w:ascii="宋体"/>
          <w:sz w:val="32"/>
          <w:highlight w:val="none"/>
        </w:rPr>
        <w:fldChar w:fldCharType="end"/>
      </w:r>
      <w:r>
        <w:rPr>
          <w:rStyle w:val="31"/>
          <w:rFonts w:ascii="宋体"/>
          <w:sz w:val="32"/>
          <w:highlight w:val="none"/>
        </w:rPr>
        <w:fldChar w:fldCharType="end"/>
      </w:r>
    </w:p>
    <w:p>
      <w:pPr>
        <w:ind w:firstLine="800" w:firstLineChars="200"/>
        <w:rPr>
          <w:rFonts w:ascii="宋体" w:hAnsi="宋体"/>
          <w:bCs/>
          <w:color w:val="000000"/>
          <w:sz w:val="40"/>
          <w:highlight w:val="none"/>
        </w:rPr>
      </w:pPr>
      <w:r>
        <w:rPr>
          <w:rFonts w:ascii="宋体" w:hAnsi="宋体"/>
          <w:bCs/>
          <w:color w:val="000000"/>
          <w:sz w:val="40"/>
          <w:highlight w:val="none"/>
        </w:rPr>
        <w:fldChar w:fldCharType="end"/>
      </w: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rPr>
          <w:rFonts w:ascii="宋体" w:hAnsi="宋体"/>
          <w:bCs/>
          <w:color w:val="000000"/>
          <w:sz w:val="24"/>
          <w:highlight w:val="none"/>
        </w:rPr>
      </w:pPr>
    </w:p>
    <w:p>
      <w:pPr>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pStyle w:val="8"/>
        <w:rPr>
          <w:highlight w:val="none"/>
        </w:rPr>
      </w:pPr>
    </w:p>
    <w:p>
      <w:pPr>
        <w:pStyle w:val="8"/>
        <w:rPr>
          <w:highlight w:val="none"/>
        </w:rPr>
      </w:pPr>
    </w:p>
    <w:p>
      <w:pPr>
        <w:pStyle w:val="4"/>
        <w:keepNext w:val="0"/>
        <w:keepLines w:val="0"/>
        <w:spacing w:line="360" w:lineRule="exact"/>
        <w:jc w:val="center"/>
        <w:rPr>
          <w:rFonts w:ascii="宋体" w:eastAsia="宋体"/>
          <w:bCs w:val="0"/>
          <w:color w:val="000000"/>
          <w:sz w:val="36"/>
          <w:highlight w:val="none"/>
        </w:rPr>
      </w:pPr>
    </w:p>
    <w:p>
      <w:pPr>
        <w:pStyle w:val="4"/>
        <w:keepNext w:val="0"/>
        <w:keepLines w:val="0"/>
        <w:spacing w:line="360" w:lineRule="exact"/>
        <w:jc w:val="center"/>
        <w:rPr>
          <w:rFonts w:ascii="宋体" w:eastAsia="宋体"/>
          <w:bCs w:val="0"/>
          <w:color w:val="000000"/>
          <w:sz w:val="36"/>
          <w:highlight w:val="none"/>
        </w:rPr>
      </w:pPr>
    </w:p>
    <w:p>
      <w:pPr>
        <w:pStyle w:val="3"/>
        <w:pageBreakBefore/>
        <w:spacing w:before="0" w:after="20" w:line="360" w:lineRule="auto"/>
        <w:jc w:val="center"/>
        <w:rPr>
          <w:rFonts w:asciiTheme="minorEastAsia" w:hAnsiTheme="minorEastAsia" w:eastAsiaTheme="minorEastAsia"/>
          <w:color w:val="000000"/>
          <w:sz w:val="24"/>
          <w:highlight w:val="none"/>
          <w:u w:val="single"/>
        </w:rPr>
      </w:pPr>
      <w:bookmarkStart w:id="0" w:name="_Toc533424971"/>
      <w:r>
        <w:rPr>
          <w:rFonts w:hint="eastAsia" w:ascii="宋体"/>
          <w:bCs w:val="0"/>
          <w:color w:val="000000"/>
          <w:sz w:val="36"/>
          <w:highlight w:val="none"/>
        </w:rPr>
        <w:t>第一章  磋商邀请</w:t>
      </w:r>
      <w:bookmarkEnd w:id="0"/>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color w:val="000000"/>
          <w:sz w:val="24"/>
          <w:highlight w:val="none"/>
          <w:u w:val="single"/>
        </w:rPr>
        <w:t>四川达通工程管理咨询有限公司</w:t>
      </w:r>
      <w:r>
        <w:rPr>
          <w:rFonts w:hint="eastAsia" w:asciiTheme="minorEastAsia" w:hAnsiTheme="minorEastAsia" w:eastAsiaTheme="minorEastAsia"/>
          <w:color w:val="000000"/>
          <w:sz w:val="24"/>
          <w:highlight w:val="none"/>
        </w:rPr>
        <w:t>（采购代理机构）受</w:t>
      </w:r>
      <w:r>
        <w:rPr>
          <w:rFonts w:hint="eastAsia" w:asciiTheme="minorEastAsia" w:hAnsiTheme="minorEastAsia" w:eastAsiaTheme="minorEastAsia"/>
          <w:color w:val="000000"/>
          <w:sz w:val="24"/>
          <w:highlight w:val="none"/>
          <w:u w:val="single"/>
        </w:rPr>
        <w:t>成都东部新区</w:t>
      </w:r>
      <w:r>
        <w:rPr>
          <w:rFonts w:hint="eastAsia" w:asciiTheme="minorEastAsia" w:hAnsiTheme="minorEastAsia" w:eastAsiaTheme="minorEastAsia"/>
          <w:color w:val="000000"/>
          <w:sz w:val="24"/>
          <w:highlight w:val="none"/>
          <w:u w:val="single"/>
          <w:lang w:eastAsia="zh-CN"/>
        </w:rPr>
        <w:t>草池街道</w:t>
      </w:r>
      <w:r>
        <w:rPr>
          <w:rFonts w:hint="eastAsia" w:asciiTheme="minorEastAsia" w:hAnsiTheme="minorEastAsia" w:eastAsiaTheme="minorEastAsia"/>
          <w:color w:val="000000"/>
          <w:sz w:val="24"/>
          <w:highlight w:val="none"/>
          <w:u w:val="single"/>
        </w:rPr>
        <w:t>办事处</w:t>
      </w:r>
      <w:r>
        <w:rPr>
          <w:rFonts w:hint="eastAsia" w:asciiTheme="minorEastAsia" w:hAnsiTheme="minorEastAsia" w:eastAsiaTheme="minorEastAsia"/>
          <w:color w:val="000000"/>
          <w:sz w:val="24"/>
          <w:highlight w:val="none"/>
        </w:rPr>
        <w:t>委托，拟对</w:t>
      </w:r>
      <w:r>
        <w:rPr>
          <w:rFonts w:hint="eastAsia" w:asciiTheme="minorEastAsia" w:hAnsiTheme="minorEastAsia" w:eastAsiaTheme="minorEastAsia"/>
          <w:color w:val="000000"/>
          <w:sz w:val="24"/>
          <w:highlight w:val="none"/>
          <w:u w:val="single"/>
          <w:lang w:eastAsia="zh-CN"/>
        </w:rPr>
        <w:t>成都东部新区草池街道办事处食堂服务外包项目</w:t>
      </w:r>
      <w:r>
        <w:rPr>
          <w:rFonts w:hint="eastAsia" w:asciiTheme="minorEastAsia" w:hAnsiTheme="minorEastAsia" w:eastAsiaTheme="minorEastAsia"/>
          <w:color w:val="000000"/>
          <w:sz w:val="24"/>
          <w:szCs w:val="32"/>
          <w:highlight w:val="none"/>
        </w:rPr>
        <w:t>采用竞争性磋商方式</w:t>
      </w:r>
      <w:r>
        <w:rPr>
          <w:rFonts w:hint="eastAsia" w:asciiTheme="minorEastAsia" w:hAnsiTheme="minorEastAsia" w:eastAsiaTheme="minorEastAsia"/>
          <w:color w:val="000000"/>
          <w:sz w:val="24"/>
          <w:highlight w:val="none"/>
        </w:rPr>
        <w:t>进行采购，特</w:t>
      </w:r>
      <w:r>
        <w:rPr>
          <w:rFonts w:hint="eastAsia" w:asciiTheme="minorEastAsia" w:hAnsiTheme="minorEastAsia" w:eastAsiaTheme="minorEastAsia"/>
          <w:color w:val="000000"/>
          <w:sz w:val="24"/>
          <w:szCs w:val="28"/>
          <w:highlight w:val="none"/>
        </w:rPr>
        <w:t>邀请符合本次采购要求的供应商参加</w:t>
      </w:r>
      <w:r>
        <w:rPr>
          <w:rFonts w:hint="eastAsia" w:asciiTheme="minorEastAsia" w:hAnsiTheme="minorEastAsia" w:eastAsiaTheme="minorEastAsia"/>
          <w:color w:val="000000"/>
          <w:sz w:val="24"/>
          <w:highlight w:val="none"/>
        </w:rPr>
        <w:t>本项目的竞争性磋商</w:t>
      </w:r>
      <w:r>
        <w:rPr>
          <w:rFonts w:hint="eastAsia" w:asciiTheme="minorEastAsia" w:hAnsiTheme="minorEastAsia" w:eastAsiaTheme="minorEastAsia"/>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1.项目编号：详见</w:t>
      </w:r>
      <w:r>
        <w:rPr>
          <w:rFonts w:hint="eastAsia" w:asciiTheme="minorEastAsia" w:hAnsiTheme="minorEastAsia" w:eastAsiaTheme="minorEastAsia"/>
          <w:color w:val="000000"/>
          <w:sz w:val="24"/>
          <w:highlight w:val="none"/>
          <w:lang w:eastAsia="zh-CN"/>
        </w:rPr>
        <w:t>四川</w:t>
      </w:r>
      <w:r>
        <w:rPr>
          <w:rFonts w:hint="eastAsia" w:asciiTheme="minorEastAsia" w:hAnsiTheme="minorEastAsia" w:eastAsiaTheme="minorEastAsia"/>
          <w:color w:val="000000"/>
          <w:sz w:val="24"/>
          <w:highlight w:val="none"/>
        </w:rPr>
        <w:t>政府采购网</w:t>
      </w:r>
      <w:r>
        <w:rPr>
          <w:rFonts w:hint="eastAsia" w:asciiTheme="minorEastAsia" w:hAnsiTheme="minorEastAsia" w:eastAsiaTheme="minorEastAsia"/>
          <w:color w:val="000000"/>
          <w:sz w:val="24"/>
          <w:highlight w:val="none"/>
          <w:lang w:eastAsia="zh-CN"/>
        </w:rPr>
        <w:t>本项目采购公告</w:t>
      </w:r>
      <w:r>
        <w:rPr>
          <w:rFonts w:hint="eastAsia"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2.采购项目名称：</w:t>
      </w:r>
      <w:r>
        <w:rPr>
          <w:rFonts w:hint="eastAsia" w:asciiTheme="minorEastAsia" w:hAnsiTheme="minorEastAsia" w:eastAsiaTheme="minorEastAsia"/>
          <w:color w:val="000000"/>
          <w:sz w:val="24"/>
          <w:highlight w:val="none"/>
          <w:u w:val="none"/>
          <w:lang w:eastAsia="zh-CN"/>
        </w:rPr>
        <w:t>成都东部新区草池街道办事处食堂服务外包项目</w:t>
      </w:r>
      <w:r>
        <w:rPr>
          <w:rFonts w:hint="eastAsia"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3.采购人：</w:t>
      </w:r>
      <w:r>
        <w:rPr>
          <w:rFonts w:hint="eastAsia" w:asciiTheme="minorEastAsia" w:hAnsiTheme="minorEastAsia" w:eastAsiaTheme="minorEastAsia"/>
          <w:color w:val="000000"/>
          <w:sz w:val="24"/>
          <w:highlight w:val="none"/>
          <w:u w:val="none"/>
        </w:rPr>
        <w:t>成都东部新区</w:t>
      </w:r>
      <w:r>
        <w:rPr>
          <w:rFonts w:hint="eastAsia" w:asciiTheme="minorEastAsia" w:hAnsiTheme="minorEastAsia" w:eastAsiaTheme="minorEastAsia"/>
          <w:color w:val="000000"/>
          <w:sz w:val="24"/>
          <w:highlight w:val="none"/>
          <w:u w:val="none"/>
          <w:lang w:eastAsia="zh-CN"/>
        </w:rPr>
        <w:t>草池街道</w:t>
      </w:r>
      <w:r>
        <w:rPr>
          <w:rFonts w:hint="eastAsia" w:asciiTheme="minorEastAsia" w:hAnsiTheme="minorEastAsia" w:eastAsiaTheme="minorEastAsia"/>
          <w:color w:val="000000"/>
          <w:sz w:val="24"/>
          <w:highlight w:val="none"/>
          <w:u w:val="none"/>
        </w:rPr>
        <w:t>办事处</w:t>
      </w:r>
      <w:r>
        <w:rPr>
          <w:rFonts w:hint="eastAsia"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4.采购代理机构：四川达通工程管理咨询有限公司。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exact"/>
        <w:ind w:right="31" w:rightChars="15" w:firstLine="480" w:firstLineChars="200"/>
        <w:textAlignment w:val="auto"/>
        <w:rPr>
          <w:rFonts w:asciiTheme="minorEastAsia" w:hAnsiTheme="minorEastAsia" w:eastAsiaTheme="minorEastAsia"/>
          <w:b/>
          <w:bCs/>
          <w:color w:val="000000"/>
          <w:sz w:val="24"/>
          <w:highlight w:val="none"/>
        </w:rPr>
      </w:pPr>
      <w:r>
        <w:rPr>
          <w:rFonts w:hint="eastAsia" w:asciiTheme="minorEastAsia" w:hAnsiTheme="minorEastAsia" w:eastAsiaTheme="minorEastAsia"/>
          <w:color w:val="000000"/>
          <w:sz w:val="24"/>
          <w:highlight w:val="none"/>
        </w:rPr>
        <w:t>资金来源及金额：财政</w:t>
      </w:r>
      <w:r>
        <w:rPr>
          <w:rFonts w:hint="eastAsia" w:asciiTheme="minorEastAsia" w:hAnsiTheme="minorEastAsia" w:eastAsiaTheme="minorEastAsia"/>
          <w:color w:val="000000"/>
          <w:sz w:val="24"/>
          <w:highlight w:val="none"/>
          <w:lang w:eastAsia="zh-CN"/>
        </w:rPr>
        <w:t>资金。采购预</w:t>
      </w:r>
      <w:r>
        <w:rPr>
          <w:rFonts w:hint="eastAsia" w:cs="Times New Roman" w:asciiTheme="minorEastAsia" w:hAnsiTheme="minorEastAsia" w:eastAsiaTheme="minorEastAsia"/>
          <w:color w:val="000000"/>
          <w:sz w:val="24"/>
          <w:highlight w:val="none"/>
          <w:lang w:eastAsia="zh-CN"/>
        </w:rPr>
        <w:t>算：</w:t>
      </w:r>
      <w:r>
        <w:rPr>
          <w:rFonts w:hint="eastAsia" w:cs="Times New Roman" w:asciiTheme="minorEastAsia" w:hAnsiTheme="minorEastAsia" w:eastAsiaTheme="minorEastAsia"/>
          <w:color w:val="000000"/>
          <w:sz w:val="24"/>
          <w:highlight w:val="none"/>
          <w:lang w:val="en-US" w:eastAsia="zh-CN"/>
        </w:rPr>
        <w:t>1221400</w:t>
      </w:r>
      <w:r>
        <w:rPr>
          <w:rFonts w:hint="eastAsia" w:ascii="宋体" w:hAnsi="宋体"/>
          <w:bCs/>
          <w:sz w:val="24"/>
          <w:highlight w:val="none"/>
        </w:rPr>
        <w:t>元</w:t>
      </w:r>
      <w:r>
        <w:rPr>
          <w:rFonts w:hint="eastAsia"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b/>
          <w:color w:val="000000"/>
          <w:sz w:val="24"/>
          <w:highlight w:val="none"/>
        </w:rPr>
        <w:t>三</w:t>
      </w:r>
      <w:r>
        <w:rPr>
          <w:rFonts w:hint="eastAsia" w:asciiTheme="minorEastAsia" w:hAnsiTheme="minorEastAsia" w:eastAsiaTheme="minorEastAsia"/>
          <w:b/>
          <w:bCs/>
          <w:color w:val="000000"/>
          <w:sz w:val="24"/>
          <w:highlight w:val="none"/>
        </w:rPr>
        <w:t>、</w:t>
      </w:r>
      <w:r>
        <w:rPr>
          <w:rFonts w:hint="eastAsia" w:asciiTheme="minorEastAsia" w:hAnsiTheme="minorEastAsia" w:eastAsiaTheme="minorEastAsia"/>
          <w:b/>
          <w:color w:val="000000"/>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color w:val="000000"/>
          <w:sz w:val="24"/>
          <w:szCs w:val="28"/>
          <w:highlight w:val="none"/>
        </w:rPr>
        <w:t>（详见磋商文件第五章）。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bCs/>
          <w:color w:val="000000"/>
          <w:sz w:val="24"/>
          <w:highlight w:val="none"/>
        </w:rPr>
      </w:pPr>
      <w:r>
        <w:rPr>
          <w:rFonts w:hint="eastAsia" w:asciiTheme="minorEastAsia" w:hAnsiTheme="minorEastAsia" w:eastAsiaTheme="minorEastAsia"/>
          <w:b/>
          <w:bCs/>
          <w:color w:val="000000"/>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bCs/>
          <w:color w:val="000000"/>
          <w:sz w:val="24"/>
          <w:highlight w:val="none"/>
        </w:rPr>
      </w:pPr>
      <w:r>
        <w:rPr>
          <w:rFonts w:hint="eastAsia" w:asciiTheme="minorEastAsia" w:hAnsiTheme="minorEastAsia" w:eastAsiaTheme="minorEastAsia"/>
          <w:bCs/>
          <w:color w:val="000000"/>
          <w:sz w:val="24"/>
          <w:highlight w:val="none"/>
        </w:rPr>
        <w:t>公告方式：本次竞争性磋商邀请在四川政府采购网上以公告形式发布。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bCs/>
          <w:color w:val="000000"/>
          <w:sz w:val="24"/>
          <w:highlight w:val="none"/>
        </w:rPr>
      </w:pPr>
      <w:r>
        <w:rPr>
          <w:rFonts w:hint="eastAsia" w:asciiTheme="minorEastAsia" w:hAnsiTheme="minorEastAsia" w:eastAsiaTheme="minorEastAsia"/>
          <w:b/>
          <w:bCs/>
          <w:color w:val="000000"/>
          <w:sz w:val="24"/>
          <w:highlight w:val="none"/>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5.参加本次政府采购活动前3年内，在经营活动中没有重大违法记录；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w:t>
      </w:r>
      <w:r>
        <w:rPr>
          <w:rFonts w:hint="eastAsia" w:asciiTheme="minorEastAsia" w:hAnsiTheme="minorEastAsia" w:eastAsiaTheme="minorEastAsia"/>
          <w:color w:val="000000"/>
          <w:sz w:val="24"/>
          <w:highlight w:val="none"/>
          <w:lang w:eastAsia="zh-CN"/>
        </w:rPr>
        <w:t>供应商</w:t>
      </w:r>
      <w:r>
        <w:rPr>
          <w:rFonts w:hint="eastAsia" w:asciiTheme="minorEastAsia" w:hAnsiTheme="minorEastAsia" w:eastAsiaTheme="minorEastAsia"/>
          <w:color w:val="000000"/>
          <w:sz w:val="24"/>
          <w:highlight w:val="none"/>
          <w:lang w:val="en-US" w:eastAsia="zh-CN"/>
        </w:rPr>
        <w:t>具备有效的《食品经营许可证》</w:t>
      </w:r>
      <w:r>
        <w:rPr>
          <w:rFonts w:hint="eastAsia"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lang w:val="en-US" w:eastAsia="zh-CN"/>
        </w:rPr>
      </w:pPr>
      <w:r>
        <w:rPr>
          <w:rFonts w:hint="eastAsia" w:asciiTheme="minorEastAsia" w:hAnsiTheme="minorEastAsia" w:eastAsiaTheme="minorEastAsia"/>
          <w:color w:val="000000"/>
          <w:sz w:val="24"/>
          <w:highlight w:val="none"/>
          <w:lang w:val="en-US" w:eastAsia="zh-CN"/>
        </w:rPr>
        <w:t>2）本项目专门面向中小企业采购，供应商须为中小企业；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s="Times New Roman" w:asciiTheme="minorEastAsia" w:hAnsiTheme="minorEastAsia" w:eastAsiaTheme="minorEastAsia"/>
          <w:color w:val="000000"/>
          <w:sz w:val="24"/>
          <w:highlight w:val="none"/>
        </w:rPr>
      </w:pPr>
      <w:r>
        <w:rPr>
          <w:rFonts w:hint="eastAsia" w:cs="Times New Roman" w:asciiTheme="minorEastAsia" w:hAnsiTheme="minorEastAsia" w:eastAsiaTheme="minorEastAsia"/>
          <w:color w:val="000000"/>
          <w:sz w:val="24"/>
          <w:highlight w:val="none"/>
          <w:lang w:val="en-US" w:eastAsia="zh-CN"/>
        </w:rPr>
        <w:t>8.</w:t>
      </w:r>
      <w:r>
        <w:rPr>
          <w:rFonts w:hint="eastAsia" w:cs="Times New Roman" w:asciiTheme="minorEastAsia" w:hAnsiTheme="minorEastAsia" w:eastAsiaTheme="minorEastAsia"/>
          <w:color w:val="000000"/>
          <w:sz w:val="24"/>
          <w:highlight w:val="none"/>
        </w:rPr>
        <w:t>本项目不接受联合体</w:t>
      </w:r>
      <w:r>
        <w:rPr>
          <w:rFonts w:hint="eastAsia" w:cs="Times New Roman" w:asciiTheme="minorEastAsia" w:hAnsiTheme="minorEastAsia" w:eastAsiaTheme="minorEastAsia"/>
          <w:color w:val="000000"/>
          <w:sz w:val="24"/>
          <w:highlight w:val="none"/>
          <w:lang w:eastAsia="zh-CN"/>
        </w:rPr>
        <w:t>磋商</w:t>
      </w:r>
      <w:r>
        <w:rPr>
          <w:rFonts w:hint="eastAsia" w:cs="Times New Roman"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9.</w:t>
      </w:r>
      <w:r>
        <w:rPr>
          <w:rFonts w:hint="eastAsia" w:asciiTheme="minorEastAsia" w:hAnsiTheme="minorEastAsia" w:eastAsiaTheme="minorEastAsia"/>
          <w:color w:val="000000"/>
          <w:sz w:val="24"/>
          <w:highlight w:val="none"/>
        </w:rPr>
        <w:t>本项目参加政府采购活动的</w:t>
      </w:r>
      <w:r>
        <w:rPr>
          <w:rFonts w:hint="eastAsia" w:asciiTheme="minorEastAsia" w:hAnsiTheme="minorEastAsia" w:eastAsiaTheme="minorEastAsia"/>
          <w:color w:val="000000"/>
          <w:sz w:val="24"/>
          <w:highlight w:val="none"/>
          <w:lang w:eastAsia="zh-CN"/>
        </w:rPr>
        <w:t>供应商</w:t>
      </w:r>
      <w:r>
        <w:rPr>
          <w:rFonts w:hint="eastAsia" w:asciiTheme="minorEastAsia" w:hAnsiTheme="minorEastAsia" w:eastAsiaTheme="minorEastAsia"/>
          <w:color w:val="000000"/>
          <w:sz w:val="24"/>
          <w:highlight w:val="none"/>
        </w:rPr>
        <w:t>、法定代表人、主要负责人在前3年内不得具有行贿犯罪记录。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10.</w:t>
      </w:r>
      <w:r>
        <w:rPr>
          <w:rFonts w:hint="eastAsia" w:asciiTheme="minorEastAsia" w:hAnsiTheme="minorEastAsia" w:eastAsiaTheme="minorEastAsia"/>
          <w:color w:val="000000"/>
          <w:sz w:val="24"/>
          <w:highlight w:val="none"/>
        </w:rPr>
        <w:t>供应商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六、禁止参加本次采购活动的供应商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根据《关于在政府采购活动中查询及使用信用记录有关问题的通知》（财库〔2016〕125号）的要求，通过“信用中国”网站（www.creditchina.gov.cn）、“中国政府采购网”网站（www.ccgp.gov.cn）等渠道查询供应商在采购公告发布之日前的信用记录并保存信用记录结果网页截图，</w:t>
      </w:r>
      <w:r>
        <w:rPr>
          <w:rFonts w:hint="eastAsia" w:asciiTheme="minorEastAsia" w:hAnsiTheme="minorEastAsia" w:eastAsiaTheme="minorEastAsia"/>
          <w:sz w:val="24"/>
          <w:highlight w:val="none"/>
        </w:rPr>
        <w:t>拒绝列入</w:t>
      </w:r>
      <w:r>
        <w:rPr>
          <w:rFonts w:hint="eastAsia" w:asciiTheme="minorEastAsia" w:hAnsiTheme="minorEastAsia" w:eastAsiaTheme="minorEastAsia"/>
          <w:color w:val="000000"/>
          <w:sz w:val="24"/>
          <w:highlight w:val="none"/>
        </w:rPr>
        <w:t>失信被执行人名单、重大税收违法案件当事人名单、政府采购严重违法失信行为记录名单中的供应商报名参加本项目的采购活动。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七、磋商文件获取方式、时间、地点：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新宋体" w:hAnsi="新宋体" w:eastAsia="新宋体"/>
          <w:sz w:val="24"/>
          <w:highlight w:val="none"/>
        </w:rPr>
      </w:pPr>
      <w:r>
        <w:rPr>
          <w:rFonts w:hint="eastAsia" w:asciiTheme="minorEastAsia" w:hAnsiTheme="minorEastAsia" w:eastAsiaTheme="minorEastAsia"/>
          <w:color w:val="000000"/>
          <w:sz w:val="24"/>
          <w:highlight w:val="none"/>
        </w:rPr>
        <w:t>磋商文件自202</w:t>
      </w:r>
      <w:r>
        <w:rPr>
          <w:rFonts w:hint="eastAsia" w:asciiTheme="minorEastAsia" w:hAnsiTheme="minorEastAsia" w:eastAsiaTheme="minorEastAsia"/>
          <w:color w:val="000000"/>
          <w:sz w:val="24"/>
          <w:highlight w:val="none"/>
          <w:lang w:val="en-US" w:eastAsia="zh-CN"/>
        </w:rPr>
        <w:t>1</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val="en-US" w:eastAsia="zh-CN"/>
        </w:rPr>
        <w:t>6</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val="en-US" w:eastAsia="zh-CN"/>
        </w:rPr>
        <w:t>2</w:t>
      </w:r>
      <w:r>
        <w:rPr>
          <w:rFonts w:hint="eastAsia" w:asciiTheme="minorEastAsia" w:hAnsiTheme="minorEastAsia" w:eastAsiaTheme="minorEastAsia"/>
          <w:color w:val="000000"/>
          <w:sz w:val="24"/>
          <w:highlight w:val="none"/>
        </w:rPr>
        <w:t>日至202</w:t>
      </w:r>
      <w:r>
        <w:rPr>
          <w:rFonts w:hint="eastAsia" w:asciiTheme="minorEastAsia" w:hAnsiTheme="minorEastAsia" w:eastAsiaTheme="minorEastAsia"/>
          <w:color w:val="000000"/>
          <w:sz w:val="24"/>
          <w:highlight w:val="none"/>
          <w:lang w:val="en-US" w:eastAsia="zh-CN"/>
        </w:rPr>
        <w:t>1</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val="en-US" w:eastAsia="zh-CN"/>
        </w:rPr>
        <w:t>6</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val="en-US" w:eastAsia="zh-CN"/>
        </w:rPr>
        <w:t xml:space="preserve"> 9</w:t>
      </w:r>
      <w:r>
        <w:rPr>
          <w:rFonts w:hint="eastAsia" w:asciiTheme="minorEastAsia" w:hAnsiTheme="minorEastAsia" w:eastAsiaTheme="minorEastAsia"/>
          <w:color w:val="000000"/>
          <w:sz w:val="24"/>
          <w:highlight w:val="none"/>
        </w:rPr>
        <w:t>日09</w:t>
      </w:r>
      <w:r>
        <w:rPr>
          <w:rFonts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rPr>
        <w:t>00- 17</w:t>
      </w:r>
      <w:r>
        <w:rPr>
          <w:rFonts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rPr>
        <w:t>00</w:t>
      </w:r>
      <w:r>
        <w:rPr>
          <w:rFonts w:asciiTheme="minorEastAsia" w:hAnsiTheme="minorEastAsia" w:eastAsiaTheme="minorEastAsia"/>
          <w:color w:val="000000"/>
          <w:sz w:val="24"/>
          <w:szCs w:val="28"/>
          <w:highlight w:val="none"/>
        </w:rPr>
        <w:t>（北京时间</w:t>
      </w:r>
      <w:r>
        <w:rPr>
          <w:rFonts w:hint="eastAsia" w:asciiTheme="minorEastAsia" w:hAnsiTheme="minorEastAsia" w:eastAsiaTheme="minorEastAsia"/>
          <w:color w:val="000000"/>
          <w:sz w:val="24"/>
          <w:szCs w:val="28"/>
          <w:highlight w:val="none"/>
        </w:rPr>
        <w:t>，法定节假日除外</w:t>
      </w:r>
      <w:r>
        <w:rPr>
          <w:rFonts w:asciiTheme="minorEastAsia" w:hAnsiTheme="minorEastAsia" w:eastAsiaTheme="minorEastAsia"/>
          <w:color w:val="000000"/>
          <w:sz w:val="24"/>
          <w:szCs w:val="28"/>
          <w:highlight w:val="none"/>
        </w:rPr>
        <w:t>）</w:t>
      </w:r>
      <w:r>
        <w:rPr>
          <w:rFonts w:hint="eastAsia" w:asciiTheme="minorEastAsia" w:hAnsiTheme="minorEastAsia" w:eastAsiaTheme="minorEastAsia"/>
          <w:color w:val="000000"/>
          <w:sz w:val="24"/>
          <w:highlight w:val="none"/>
        </w:rPr>
        <w:t>在</w:t>
      </w:r>
      <w:r>
        <w:rPr>
          <w:rFonts w:hint="eastAsia" w:cs="Tahoma"/>
          <w:color w:val="000000"/>
          <w:sz w:val="24"/>
          <w:highlight w:val="none"/>
          <w:u w:val="single"/>
        </w:rPr>
        <w:t>成都市青羊区光华东三路489号西环广场2栋10楼（四川达通工程管理咨询有限公司）</w:t>
      </w:r>
      <w:r>
        <w:rPr>
          <w:rFonts w:hint="eastAsia" w:asciiTheme="minorEastAsia" w:hAnsiTheme="minorEastAsia" w:eastAsiaTheme="minorEastAsia"/>
          <w:color w:val="000000"/>
          <w:sz w:val="24"/>
          <w:highlight w:val="none"/>
        </w:rPr>
        <w:t>获取。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FF0000"/>
          <w:sz w:val="24"/>
          <w:highlight w:val="none"/>
        </w:rPr>
      </w:pPr>
      <w:bookmarkStart w:id="95" w:name="_GoBack"/>
      <w:bookmarkEnd w:id="95"/>
      <w:r>
        <w:rPr>
          <w:rFonts w:hint="eastAsia" w:cs="Times New Roman" w:asciiTheme="minorEastAsia" w:hAnsiTheme="minorEastAsia" w:eastAsiaTheme="minorEastAsia"/>
          <w:color w:val="auto"/>
          <w:sz w:val="24"/>
          <w:szCs w:val="18"/>
          <w:highlight w:val="none"/>
          <w:lang w:val="en-US" w:eastAsia="zh-CN"/>
        </w:rPr>
        <w:t>获取磋商文件时，供应商为法人或者其他组织的，只需提供单位介绍信、经办人身份证明；供应商为自然人的，只需提供本人身份证明；并将相应材料给采购代理机构留存（疫情期间供应商可通过邮箱方式进行报名，邮箱号：</w:t>
      </w:r>
      <w:r>
        <w:rPr>
          <w:rFonts w:hint="eastAsia" w:ascii="新宋体" w:hAnsi="新宋体" w:eastAsia="新宋体"/>
          <w:color w:val="auto"/>
          <w:sz w:val="24"/>
          <w:highlight w:val="none"/>
          <w:lang w:val="en-US" w:eastAsia="zh-CN"/>
        </w:rPr>
        <w:t>2630823131</w:t>
      </w:r>
      <w:r>
        <w:rPr>
          <w:rFonts w:hint="eastAsia" w:cs="Times New Roman" w:asciiTheme="minorEastAsia" w:hAnsiTheme="minorEastAsia" w:eastAsiaTheme="minorEastAsia"/>
          <w:color w:val="auto"/>
          <w:sz w:val="24"/>
          <w:szCs w:val="18"/>
          <w:highlight w:val="none"/>
          <w:lang w:val="en-US" w:eastAsia="zh-CN"/>
        </w:rPr>
        <w:t>@qq.com。采用网上报名的供应商，应在采购公告界面下载“项目招投标报名登记表”按照表格要求填写相关内容，将填写完整且加盖公章的项目招投标报名登记表、介绍信、经办人身份证复印件发送至代理机构邮箱）。</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b/>
          <w:color w:val="000000"/>
          <w:sz w:val="24"/>
          <w:szCs w:val="28"/>
          <w:highlight w:val="none"/>
        </w:rPr>
        <w:t>八、递交响应文件</w:t>
      </w:r>
      <w:r>
        <w:rPr>
          <w:rFonts w:hint="eastAsia" w:asciiTheme="minorEastAsia" w:hAnsiTheme="minorEastAsia" w:eastAsiaTheme="minorEastAsia"/>
          <w:b/>
          <w:color w:val="000000"/>
          <w:sz w:val="24"/>
          <w:highlight w:val="none"/>
        </w:rPr>
        <w:t>截止时间：</w:t>
      </w:r>
      <w:r>
        <w:rPr>
          <w:rFonts w:hint="eastAsia" w:asciiTheme="minorEastAsia" w:hAnsiTheme="minorEastAsia" w:eastAsiaTheme="minorEastAsia"/>
          <w:bCs/>
          <w:color w:val="000000"/>
          <w:sz w:val="24"/>
          <w:highlight w:val="none"/>
        </w:rPr>
        <w:t>202</w:t>
      </w:r>
      <w:r>
        <w:rPr>
          <w:rFonts w:hint="eastAsia" w:asciiTheme="minorEastAsia" w:hAnsiTheme="minorEastAsia" w:eastAsiaTheme="minorEastAsia"/>
          <w:bCs/>
          <w:color w:val="000000"/>
          <w:sz w:val="24"/>
          <w:highlight w:val="none"/>
          <w:lang w:val="en-US" w:eastAsia="zh-CN"/>
        </w:rPr>
        <w:t>1</w:t>
      </w:r>
      <w:r>
        <w:rPr>
          <w:rFonts w:hint="eastAsia" w:asciiTheme="minorEastAsia" w:hAnsiTheme="minorEastAsia" w:eastAsiaTheme="minorEastAsia"/>
          <w:bCs/>
          <w:color w:val="000000"/>
          <w:sz w:val="24"/>
          <w:highlight w:val="none"/>
        </w:rPr>
        <w:t>年</w:t>
      </w:r>
      <w:r>
        <w:rPr>
          <w:rFonts w:hint="eastAsia" w:asciiTheme="minorEastAsia" w:hAnsiTheme="minorEastAsia" w:eastAsiaTheme="minorEastAsia"/>
          <w:bCs/>
          <w:color w:val="000000"/>
          <w:sz w:val="24"/>
          <w:highlight w:val="none"/>
          <w:lang w:val="en-US" w:eastAsia="zh-CN"/>
        </w:rPr>
        <w:t>6</w:t>
      </w:r>
      <w:r>
        <w:rPr>
          <w:rFonts w:hint="eastAsia" w:asciiTheme="minorEastAsia" w:hAnsiTheme="minorEastAsia" w:eastAsiaTheme="minorEastAsia"/>
          <w:bCs/>
          <w:color w:val="000000"/>
          <w:sz w:val="24"/>
          <w:highlight w:val="none"/>
        </w:rPr>
        <w:t>月</w:t>
      </w:r>
      <w:r>
        <w:rPr>
          <w:rFonts w:hint="eastAsia" w:asciiTheme="minorEastAsia" w:hAnsiTheme="minorEastAsia" w:eastAsiaTheme="minorEastAsia"/>
          <w:bCs/>
          <w:color w:val="000000"/>
          <w:sz w:val="24"/>
          <w:highlight w:val="none"/>
          <w:lang w:val="en-US" w:eastAsia="zh-CN"/>
        </w:rPr>
        <w:t xml:space="preserve">15 </w:t>
      </w:r>
      <w:r>
        <w:rPr>
          <w:rFonts w:hint="eastAsia" w:asciiTheme="minorEastAsia" w:hAnsiTheme="minorEastAsia" w:eastAsiaTheme="minorEastAsia"/>
          <w:bCs/>
          <w:color w:val="000000"/>
          <w:sz w:val="24"/>
          <w:highlight w:val="none"/>
        </w:rPr>
        <w:t>日</w:t>
      </w:r>
      <w:r>
        <w:rPr>
          <w:rFonts w:asciiTheme="minorEastAsia" w:hAnsiTheme="minorEastAsia" w:eastAsiaTheme="minorEastAsia"/>
          <w:bCs/>
          <w:color w:val="000000"/>
          <w:sz w:val="24"/>
          <w:highlight w:val="none"/>
        </w:rPr>
        <w:t>1</w:t>
      </w:r>
      <w:r>
        <w:rPr>
          <w:rFonts w:hint="eastAsia" w:asciiTheme="minorEastAsia" w:hAnsiTheme="minorEastAsia" w:eastAsiaTheme="minorEastAsia"/>
          <w:bCs/>
          <w:color w:val="000000"/>
          <w:sz w:val="24"/>
          <w:highlight w:val="none"/>
        </w:rPr>
        <w:t>0</w:t>
      </w:r>
      <w:r>
        <w:rPr>
          <w:rFonts w:asciiTheme="minorEastAsia" w:hAnsiTheme="minorEastAsia" w:eastAsiaTheme="minorEastAsia"/>
          <w:bCs/>
          <w:color w:val="000000"/>
          <w:sz w:val="24"/>
          <w:highlight w:val="none"/>
        </w:rPr>
        <w:t>:0</w:t>
      </w:r>
      <w:r>
        <w:rPr>
          <w:rFonts w:hint="eastAsia" w:asciiTheme="minorEastAsia" w:hAnsiTheme="minorEastAsia" w:eastAsiaTheme="minorEastAsia"/>
          <w:bCs/>
          <w:color w:val="000000"/>
          <w:sz w:val="24"/>
          <w:highlight w:val="none"/>
        </w:rPr>
        <w:t>0</w:t>
      </w:r>
      <w:r>
        <w:rPr>
          <w:rFonts w:asciiTheme="minorEastAsia" w:hAnsiTheme="minorEastAsia" w:eastAsiaTheme="minorEastAsia"/>
          <w:color w:val="000000"/>
          <w:sz w:val="24"/>
          <w:szCs w:val="28"/>
          <w:highlight w:val="none"/>
        </w:rPr>
        <w:t>（北京时间）</w:t>
      </w:r>
      <w:r>
        <w:rPr>
          <w:rFonts w:hint="eastAsia" w:asciiTheme="minorEastAsia" w:hAnsiTheme="minorEastAsia" w:eastAsiaTheme="minorEastAsia"/>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b/>
          <w:color w:val="000000"/>
          <w:sz w:val="24"/>
          <w:szCs w:val="28"/>
          <w:highlight w:val="none"/>
        </w:rPr>
        <w:t>九</w:t>
      </w:r>
      <w:r>
        <w:rPr>
          <w:rFonts w:hint="eastAsia" w:asciiTheme="minorEastAsia" w:hAnsiTheme="minorEastAsia" w:eastAsiaTheme="minorEastAsia"/>
          <w:b/>
          <w:color w:val="000000"/>
          <w:sz w:val="24"/>
          <w:highlight w:val="none"/>
        </w:rPr>
        <w:t>、递交响应文件地点：</w:t>
      </w:r>
      <w:r>
        <w:rPr>
          <w:rFonts w:hint="eastAsia" w:asciiTheme="minorEastAsia" w:hAnsiTheme="minorEastAsia" w:eastAsiaTheme="minorEastAsia"/>
          <w:sz w:val="24"/>
          <w:highlight w:val="none"/>
        </w:rPr>
        <w:t>响应文件必须在递交响应文件截止时间前送达磋商地点。逾期送达、密封和标注错误的响应文件，</w:t>
      </w:r>
      <w:r>
        <w:rPr>
          <w:rFonts w:hint="eastAsia" w:asciiTheme="minorEastAsia" w:hAnsiTheme="minorEastAsia" w:eastAsiaTheme="minorEastAsia"/>
          <w:color w:val="000000"/>
          <w:sz w:val="24"/>
          <w:highlight w:val="none"/>
        </w:rPr>
        <w:t>采购代理机构</w:t>
      </w:r>
      <w:r>
        <w:rPr>
          <w:rFonts w:hint="eastAsia" w:asciiTheme="minorEastAsia" w:hAnsiTheme="minorEastAsia" w:eastAsiaTheme="minorEastAsia"/>
          <w:sz w:val="24"/>
          <w:highlight w:val="none"/>
        </w:rPr>
        <w:t>恕不接收。本次采购不接收邮寄的响应文件。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b/>
          <w:color w:val="000000"/>
          <w:sz w:val="24"/>
          <w:szCs w:val="28"/>
          <w:highlight w:val="none"/>
        </w:rPr>
        <w:t>十、响应文件开启时间：</w:t>
      </w:r>
      <w:r>
        <w:rPr>
          <w:rFonts w:hint="eastAsia" w:asciiTheme="minorEastAsia" w:hAnsiTheme="minorEastAsia" w:eastAsiaTheme="minorEastAsia"/>
          <w:bCs/>
          <w:color w:val="000000"/>
          <w:sz w:val="24"/>
          <w:highlight w:val="none"/>
        </w:rPr>
        <w:t>202</w:t>
      </w:r>
      <w:r>
        <w:rPr>
          <w:rFonts w:hint="eastAsia" w:asciiTheme="minorEastAsia" w:hAnsiTheme="minorEastAsia" w:eastAsiaTheme="minorEastAsia"/>
          <w:bCs/>
          <w:color w:val="000000"/>
          <w:sz w:val="24"/>
          <w:highlight w:val="none"/>
          <w:lang w:val="en-US" w:eastAsia="zh-CN"/>
        </w:rPr>
        <w:t>1</w:t>
      </w:r>
      <w:r>
        <w:rPr>
          <w:rFonts w:hint="eastAsia" w:asciiTheme="minorEastAsia" w:hAnsiTheme="minorEastAsia" w:eastAsiaTheme="minorEastAsia"/>
          <w:bCs/>
          <w:color w:val="000000"/>
          <w:sz w:val="24"/>
          <w:highlight w:val="none"/>
        </w:rPr>
        <w:t>年</w:t>
      </w:r>
      <w:r>
        <w:rPr>
          <w:rFonts w:hint="eastAsia" w:asciiTheme="minorEastAsia" w:hAnsiTheme="minorEastAsia" w:eastAsiaTheme="minorEastAsia"/>
          <w:bCs/>
          <w:color w:val="000000"/>
          <w:sz w:val="24"/>
          <w:highlight w:val="none"/>
          <w:lang w:val="en-US" w:eastAsia="zh-CN"/>
        </w:rPr>
        <w:t>6</w:t>
      </w:r>
      <w:r>
        <w:rPr>
          <w:rFonts w:hint="eastAsia" w:asciiTheme="minorEastAsia" w:hAnsiTheme="minorEastAsia" w:eastAsiaTheme="minorEastAsia"/>
          <w:bCs/>
          <w:color w:val="000000"/>
          <w:sz w:val="24"/>
          <w:highlight w:val="none"/>
        </w:rPr>
        <w:t>月</w:t>
      </w:r>
      <w:r>
        <w:rPr>
          <w:rFonts w:hint="eastAsia" w:asciiTheme="minorEastAsia" w:hAnsiTheme="minorEastAsia" w:eastAsiaTheme="minorEastAsia"/>
          <w:bCs/>
          <w:color w:val="000000"/>
          <w:sz w:val="24"/>
          <w:highlight w:val="none"/>
          <w:lang w:val="en-US" w:eastAsia="zh-CN"/>
        </w:rPr>
        <w:t>15</w:t>
      </w:r>
      <w:r>
        <w:rPr>
          <w:rFonts w:hint="eastAsia" w:asciiTheme="minorEastAsia" w:hAnsiTheme="minorEastAsia" w:eastAsiaTheme="minorEastAsia"/>
          <w:bCs/>
          <w:color w:val="000000"/>
          <w:sz w:val="24"/>
          <w:highlight w:val="none"/>
        </w:rPr>
        <w:t>日10:</w:t>
      </w:r>
      <w:r>
        <w:rPr>
          <w:rFonts w:asciiTheme="minorEastAsia" w:hAnsiTheme="minorEastAsia" w:eastAsiaTheme="minorEastAsia"/>
          <w:bCs/>
          <w:color w:val="000000"/>
          <w:sz w:val="24"/>
          <w:highlight w:val="none"/>
        </w:rPr>
        <w:t>0</w:t>
      </w:r>
      <w:r>
        <w:rPr>
          <w:rFonts w:hint="eastAsia" w:asciiTheme="minorEastAsia" w:hAnsiTheme="minorEastAsia" w:eastAsiaTheme="minorEastAsia"/>
          <w:bCs/>
          <w:color w:val="000000"/>
          <w:sz w:val="24"/>
          <w:highlight w:val="none"/>
        </w:rPr>
        <w:t>0</w:t>
      </w:r>
      <w:r>
        <w:rPr>
          <w:rFonts w:asciiTheme="minorEastAsia" w:hAnsiTheme="minorEastAsia" w:eastAsiaTheme="minorEastAsia"/>
          <w:color w:val="000000"/>
          <w:sz w:val="24"/>
          <w:szCs w:val="28"/>
          <w:highlight w:val="none"/>
        </w:rPr>
        <w:t>（北京时间）</w:t>
      </w:r>
      <w:r>
        <w:rPr>
          <w:rFonts w:hint="eastAsia" w:asciiTheme="minorEastAsia" w:hAnsiTheme="minorEastAsia" w:eastAsiaTheme="minorEastAsia"/>
          <w:color w:val="000000"/>
          <w:sz w:val="24"/>
          <w:szCs w:val="28"/>
          <w:highlight w:val="none"/>
        </w:rPr>
        <w:t>在磋商地点开启。</w:t>
      </w:r>
    </w:p>
    <w:p>
      <w:pPr>
        <w:keepNext w:val="0"/>
        <w:keepLines w:val="0"/>
        <w:pageBreakBefore w:val="0"/>
        <w:widowControl w:val="0"/>
        <w:kinsoku/>
        <w:wordWrap/>
        <w:overflowPunct/>
        <w:topLinePunct w:val="0"/>
        <w:autoSpaceDE/>
        <w:autoSpaceDN/>
        <w:bidi w:val="0"/>
        <w:adjustRightInd/>
        <w:snapToGrid/>
        <w:spacing w:line="360" w:lineRule="exact"/>
        <w:ind w:firstLine="489" w:firstLineChars="203"/>
        <w:textAlignment w:val="auto"/>
        <w:rPr>
          <w:rFonts w:asciiTheme="minorEastAsia" w:hAnsiTheme="minorEastAsia" w:eastAsiaTheme="minorEastAsia"/>
          <w:color w:val="000000"/>
          <w:sz w:val="24"/>
          <w:szCs w:val="28"/>
          <w:highlight w:val="none"/>
        </w:rPr>
      </w:pPr>
      <w:r>
        <w:rPr>
          <w:rFonts w:hint="eastAsia" w:asciiTheme="minorEastAsia" w:hAnsiTheme="minorEastAsia" w:eastAsiaTheme="minorEastAsia"/>
          <w:b/>
          <w:color w:val="000000"/>
          <w:sz w:val="24"/>
          <w:szCs w:val="28"/>
          <w:highlight w:val="none"/>
        </w:rPr>
        <w:t>十一、磋商</w:t>
      </w:r>
      <w:r>
        <w:rPr>
          <w:rFonts w:asciiTheme="minorEastAsia" w:hAnsiTheme="minorEastAsia" w:eastAsiaTheme="minorEastAsia"/>
          <w:b/>
          <w:color w:val="000000"/>
          <w:sz w:val="24"/>
          <w:szCs w:val="28"/>
          <w:highlight w:val="none"/>
        </w:rPr>
        <w:t>地点：</w:t>
      </w:r>
      <w:r>
        <w:rPr>
          <w:rFonts w:hint="eastAsia" w:cs="Tahoma"/>
          <w:color w:val="000000"/>
          <w:sz w:val="24"/>
          <w:highlight w:val="none"/>
          <w:u w:val="single"/>
        </w:rPr>
        <w:t>成都市青羊区光华东三路489号西环广场2栋10楼（四川达通工程管理咨询有限公司）</w:t>
      </w:r>
      <w:r>
        <w:rPr>
          <w:rFonts w:hint="eastAsia" w:asciiTheme="minorEastAsia" w:hAnsiTheme="minorEastAsia" w:eastAsiaTheme="minorEastAsia"/>
          <w:color w:val="000000"/>
          <w:sz w:val="24"/>
          <w:szCs w:val="28"/>
          <w:highlight w:val="none"/>
          <w:u w:val="single"/>
        </w:rPr>
        <w:t>。</w:t>
      </w:r>
    </w:p>
    <w:p>
      <w:pPr>
        <w:pStyle w:val="2"/>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十二、联系方式</w:t>
      </w:r>
    </w:p>
    <w:p>
      <w:pPr>
        <w:pStyle w:val="2"/>
        <w:keepNext w:val="0"/>
        <w:keepLines w:val="0"/>
        <w:pageBreakBefore w:val="0"/>
        <w:widowControl w:val="0"/>
        <w:kinsoku/>
        <w:wordWrap/>
        <w:overflowPunct/>
        <w:topLinePunct w:val="0"/>
        <w:autoSpaceDE/>
        <w:autoSpaceDN/>
        <w:bidi w:val="0"/>
        <w:adjustRightInd/>
        <w:snapToGrid/>
        <w:spacing w:line="360" w:lineRule="exact"/>
        <w:ind w:firstLine="954" w:firstLineChars="396"/>
        <w:textAlignment w:val="auto"/>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 xml:space="preserve">  采购人：</w:t>
      </w:r>
      <w:r>
        <w:rPr>
          <w:rFonts w:hint="eastAsia" w:asciiTheme="minorEastAsia" w:hAnsiTheme="minorEastAsia" w:eastAsiaTheme="minorEastAsia"/>
          <w:b/>
          <w:bCs/>
          <w:color w:val="000000"/>
          <w:sz w:val="24"/>
          <w:highlight w:val="none"/>
        </w:rPr>
        <w:t xml:space="preserve"> </w:t>
      </w:r>
      <w:r>
        <w:rPr>
          <w:rFonts w:hint="eastAsia" w:asciiTheme="minorEastAsia" w:hAnsiTheme="minorEastAsia" w:eastAsiaTheme="minorEastAsia"/>
          <w:b/>
          <w:color w:val="000000"/>
          <w:sz w:val="24"/>
          <w:highlight w:val="none"/>
          <w:lang w:eastAsia="zh-CN"/>
        </w:rPr>
        <w:t>成都东部新区草池街道办事处</w:t>
      </w:r>
    </w:p>
    <w:p>
      <w:pPr>
        <w:pStyle w:val="2"/>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hint="eastAsia" w:cs="Times New Roman" w:asciiTheme="minorEastAsia" w:hAnsiTheme="minorEastAsia" w:eastAsiaTheme="minorEastAsia"/>
          <w:bCs/>
          <w:color w:val="000000"/>
          <w:sz w:val="24"/>
          <w:highlight w:val="none"/>
        </w:rPr>
      </w:pPr>
      <w:r>
        <w:rPr>
          <w:rFonts w:hint="eastAsia" w:asciiTheme="minorEastAsia" w:hAnsiTheme="minorEastAsia" w:eastAsiaTheme="minorEastAsia"/>
          <w:bCs/>
          <w:color w:val="000000"/>
          <w:sz w:val="24"/>
          <w:highlight w:val="none"/>
        </w:rPr>
        <w:t>地    址：</w:t>
      </w:r>
      <w:r>
        <w:rPr>
          <w:rFonts w:ascii="宋体" w:hAnsi="宋体" w:eastAsia="宋体" w:cs="宋体"/>
          <w:sz w:val="24"/>
          <w:szCs w:val="24"/>
          <w:highlight w:val="none"/>
        </w:rPr>
        <w:t>成都东部新区草池街道绛溪街116号</w:t>
      </w:r>
    </w:p>
    <w:p>
      <w:pPr>
        <w:pStyle w:val="2"/>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Theme="minorEastAsia" w:hAnsiTheme="minorEastAsia" w:eastAsiaTheme="minorEastAsia"/>
          <w:bCs/>
          <w:color w:val="000000"/>
          <w:sz w:val="24"/>
          <w:highlight w:val="none"/>
        </w:rPr>
      </w:pPr>
      <w:r>
        <w:rPr>
          <w:rFonts w:hint="eastAsia" w:asciiTheme="minorEastAsia" w:hAnsiTheme="minorEastAsia" w:eastAsiaTheme="minorEastAsia"/>
          <w:bCs/>
          <w:color w:val="000000"/>
          <w:sz w:val="24"/>
          <w:highlight w:val="none"/>
        </w:rPr>
        <w:t>联 系 人：</w:t>
      </w:r>
      <w:r>
        <w:rPr>
          <w:rFonts w:hint="eastAsia" w:hAnsi="宋体"/>
          <w:color w:val="000000"/>
          <w:sz w:val="24"/>
          <w:szCs w:val="22"/>
          <w:highlight w:val="none"/>
          <w:lang w:eastAsia="zh-CN"/>
        </w:rPr>
        <w:t>周</w:t>
      </w:r>
      <w:r>
        <w:rPr>
          <w:rFonts w:hint="eastAsia" w:hAnsi="宋体"/>
          <w:color w:val="000000"/>
          <w:sz w:val="24"/>
          <w:szCs w:val="22"/>
          <w:highlight w:val="none"/>
        </w:rPr>
        <w:t>老师</w:t>
      </w:r>
    </w:p>
    <w:p>
      <w:pPr>
        <w:pStyle w:val="2"/>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Theme="minorEastAsia" w:hAnsiTheme="minorEastAsia" w:eastAsiaTheme="minorEastAsia"/>
          <w:color w:val="000000"/>
          <w:sz w:val="24"/>
          <w:highlight w:val="none"/>
        </w:rPr>
      </w:pPr>
      <w:r>
        <w:rPr>
          <w:rFonts w:hint="eastAsia" w:asciiTheme="minorEastAsia" w:hAnsiTheme="minorEastAsia" w:eastAsiaTheme="minorEastAsia"/>
          <w:bCs/>
          <w:color w:val="000000"/>
          <w:sz w:val="24"/>
          <w:highlight w:val="none"/>
        </w:rPr>
        <w:t>联系电话：</w:t>
      </w:r>
      <w:r>
        <w:rPr>
          <w:rFonts w:ascii="宋体" w:hAnsi="宋体" w:eastAsia="宋体" w:cs="宋体"/>
          <w:color w:val="000000"/>
          <w:sz w:val="24"/>
          <w:szCs w:val="24"/>
          <w:highlight w:val="none"/>
        </w:rPr>
        <w:t>028-27233758</w:t>
      </w:r>
    </w:p>
    <w:p>
      <w:pPr>
        <w:pStyle w:val="38"/>
        <w:keepNext w:val="0"/>
        <w:keepLines w:val="0"/>
        <w:pageBreakBefore w:val="0"/>
        <w:widowControl w:val="0"/>
        <w:kinsoku/>
        <w:wordWrap/>
        <w:overflowPunct/>
        <w:topLinePunct w:val="0"/>
        <w:autoSpaceDE/>
        <w:autoSpaceDN/>
        <w:bidi w:val="0"/>
        <w:adjustRightInd/>
        <w:snapToGrid/>
        <w:spacing w:line="360" w:lineRule="exact"/>
        <w:ind w:firstLine="894" w:firstLineChars="371"/>
        <w:textAlignment w:val="auto"/>
        <w:rPr>
          <w:b/>
          <w:sz w:val="24"/>
          <w:highlight w:val="none"/>
        </w:rPr>
      </w:pPr>
      <w:r>
        <w:rPr>
          <w:rFonts w:hint="eastAsia"/>
          <w:b/>
          <w:sz w:val="24"/>
          <w:highlight w:val="none"/>
        </w:rPr>
        <w:t>采购代理机构：</w:t>
      </w:r>
      <w:r>
        <w:rPr>
          <w:rFonts w:hint="eastAsia" w:ascii="宋体" w:hAnsi="宋体" w:cs="宋体"/>
          <w:b/>
          <w:color w:val="000000"/>
          <w:sz w:val="24"/>
          <w:highlight w:val="none"/>
        </w:rPr>
        <w:t>四川达通工程管理咨询有限公司</w:t>
      </w:r>
    </w:p>
    <w:p>
      <w:pPr>
        <w:pStyle w:val="38"/>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宋体"/>
          <w:bCs/>
          <w:sz w:val="24"/>
          <w:highlight w:val="none"/>
        </w:rPr>
      </w:pPr>
      <w:r>
        <w:rPr>
          <w:rFonts w:hint="eastAsia" w:ascii="宋体"/>
          <w:bCs/>
          <w:sz w:val="24"/>
          <w:highlight w:val="none"/>
        </w:rPr>
        <w:t>地    址： 成都市青羊区光华东三路489号西环广场2栋10楼</w:t>
      </w:r>
    </w:p>
    <w:p>
      <w:pPr>
        <w:pStyle w:val="38"/>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宋体"/>
          <w:bCs/>
          <w:sz w:val="24"/>
          <w:highlight w:val="none"/>
        </w:rPr>
      </w:pPr>
      <w:r>
        <w:rPr>
          <w:rFonts w:hint="eastAsia" w:ascii="宋体"/>
          <w:bCs/>
          <w:sz w:val="24"/>
          <w:highlight w:val="none"/>
        </w:rPr>
        <w:t>联 系 人： 朱女士</w:t>
      </w:r>
    </w:p>
    <w:p>
      <w:pPr>
        <w:keepNext w:val="0"/>
        <w:keepLines w:val="0"/>
        <w:pageBreakBefore w:val="0"/>
        <w:widowControl w:val="0"/>
        <w:tabs>
          <w:tab w:val="left" w:pos="2310"/>
        </w:tabs>
        <w:kinsoku/>
        <w:wordWrap/>
        <w:overflowPunct/>
        <w:topLinePunct w:val="0"/>
        <w:autoSpaceDE/>
        <w:autoSpaceDN/>
        <w:bidi w:val="0"/>
        <w:adjustRightInd/>
        <w:snapToGrid/>
        <w:spacing w:line="360" w:lineRule="exact"/>
        <w:ind w:right="420" w:rightChars="200" w:firstLine="1200" w:firstLineChars="500"/>
        <w:textAlignment w:val="auto"/>
        <w:rPr>
          <w:rFonts w:asciiTheme="minorEastAsia" w:hAnsiTheme="minorEastAsia" w:eastAsiaTheme="minorEastAsia"/>
          <w:color w:val="000000"/>
          <w:sz w:val="24"/>
          <w:highlight w:val="none"/>
        </w:rPr>
      </w:pPr>
      <w:r>
        <w:rPr>
          <w:rFonts w:hint="eastAsia" w:ascii="宋体"/>
          <w:bCs/>
          <w:sz w:val="24"/>
          <w:highlight w:val="none"/>
        </w:rPr>
        <w:t>联系电话：028-86983086</w:t>
      </w:r>
    </w:p>
    <w:p>
      <w:pPr>
        <w:pStyle w:val="3"/>
        <w:pageBreakBefore/>
        <w:numPr>
          <w:ilvl w:val="0"/>
          <w:numId w:val="1"/>
        </w:numPr>
        <w:spacing w:before="0" w:after="20" w:line="360" w:lineRule="auto"/>
        <w:jc w:val="center"/>
        <w:rPr>
          <w:color w:val="000000"/>
          <w:sz w:val="36"/>
          <w:szCs w:val="36"/>
          <w:highlight w:val="none"/>
        </w:rPr>
      </w:pPr>
      <w:bookmarkStart w:id="1" w:name="_Toc217446031"/>
      <w:bookmarkStart w:id="2" w:name="_Toc533424972"/>
      <w:bookmarkStart w:id="3" w:name="_Toc213397009"/>
      <w:bookmarkStart w:id="4" w:name="_Toc213396945"/>
      <w:bookmarkStart w:id="5" w:name="_Toc213396759"/>
      <w:bookmarkStart w:id="6" w:name="_Toc213496267"/>
      <w:r>
        <w:rPr>
          <w:rFonts w:hint="eastAsia"/>
          <w:color w:val="000000"/>
          <w:sz w:val="36"/>
          <w:szCs w:val="36"/>
          <w:highlight w:val="none"/>
        </w:rPr>
        <w:t>磋商须知</w:t>
      </w:r>
      <w:bookmarkEnd w:id="1"/>
      <w:bookmarkEnd w:id="2"/>
      <w:bookmarkEnd w:id="3"/>
      <w:bookmarkEnd w:id="4"/>
      <w:bookmarkEnd w:id="5"/>
      <w:bookmarkEnd w:id="6"/>
    </w:p>
    <w:p>
      <w:pPr>
        <w:pStyle w:val="3"/>
        <w:spacing w:before="20" w:after="20" w:line="360" w:lineRule="auto"/>
        <w:jc w:val="center"/>
        <w:rPr>
          <w:color w:val="000000"/>
          <w:sz w:val="28"/>
          <w:szCs w:val="28"/>
          <w:highlight w:val="none"/>
        </w:rPr>
      </w:pPr>
      <w:r>
        <w:rPr>
          <w:rFonts w:hint="eastAsia"/>
          <w:color w:val="000000"/>
          <w:sz w:val="28"/>
          <w:szCs w:val="28"/>
          <w:highlight w:val="none"/>
        </w:rPr>
        <w:t>一、供应商须知附表</w:t>
      </w:r>
    </w:p>
    <w:tbl>
      <w:tblPr>
        <w:tblStyle w:val="2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5" w:hRule="exact"/>
          <w:tblHeader/>
          <w:jc w:val="center"/>
        </w:trPr>
        <w:tc>
          <w:tcPr>
            <w:tcW w:w="1013" w:type="dxa"/>
            <w:vAlign w:val="center"/>
          </w:tcPr>
          <w:p>
            <w:pPr>
              <w:pStyle w:val="24"/>
              <w:ind w:left="9"/>
              <w:jc w:val="center"/>
              <w:rPr>
                <w:color w:val="000000"/>
                <w:sz w:val="21"/>
                <w:szCs w:val="21"/>
                <w:highlight w:val="none"/>
                <w:lang w:val="zh-CN"/>
              </w:rPr>
            </w:pPr>
            <w:r>
              <w:rPr>
                <w:rFonts w:hint="eastAsia"/>
                <w:color w:val="000000"/>
                <w:sz w:val="21"/>
                <w:szCs w:val="21"/>
                <w:highlight w:val="none"/>
                <w:lang w:val="zh-CN"/>
              </w:rPr>
              <w:t>序号</w:t>
            </w:r>
            <w:r>
              <w:rPr>
                <w:color w:val="000000"/>
                <w:sz w:val="21"/>
                <w:szCs w:val="21"/>
                <w:highlight w:val="none"/>
                <w:lang w:val="zh-CN"/>
              </w:rPr>
              <w:t xml:space="preserve"> </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应知事项</w:t>
            </w:r>
            <w:r>
              <w:rPr>
                <w:color w:val="000000"/>
                <w:sz w:val="21"/>
                <w:szCs w:val="21"/>
                <w:highlight w:val="none"/>
                <w:lang w:val="zh-CN"/>
              </w:rPr>
              <w:t xml:space="preserve"> </w:t>
            </w:r>
          </w:p>
        </w:tc>
        <w:tc>
          <w:tcPr>
            <w:tcW w:w="6084" w:type="dxa"/>
            <w:vAlign w:val="center"/>
          </w:tcPr>
          <w:p>
            <w:pPr>
              <w:pStyle w:val="24"/>
              <w:jc w:val="center"/>
              <w:rPr>
                <w:color w:val="000000"/>
                <w:sz w:val="21"/>
                <w:szCs w:val="21"/>
                <w:highlight w:val="none"/>
                <w:lang w:val="zh-CN"/>
              </w:rPr>
            </w:pPr>
            <w:r>
              <w:rPr>
                <w:rFonts w:hint="eastAsia"/>
                <w:color w:val="000000"/>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确定邀请磋商的供应商数量和方式</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本次采购采取公告的方式邀请参加磋商的供应商。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2</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采购预算（实质性要求）</w:t>
            </w:r>
          </w:p>
        </w:tc>
        <w:tc>
          <w:tcPr>
            <w:tcW w:w="6084" w:type="dxa"/>
            <w:vAlign w:val="center"/>
          </w:tcPr>
          <w:p>
            <w:pPr>
              <w:pStyle w:val="24"/>
              <w:spacing w:before="0" w:beforeAutospacing="0" w:after="0" w:afterAutospacing="0"/>
              <w:ind w:firstLine="210" w:firstLineChars="100"/>
              <w:jc w:val="both"/>
              <w:rPr>
                <w:rFonts w:hint="eastAsia" w:cs="Times New Roman"/>
                <w:color w:val="000000"/>
                <w:sz w:val="21"/>
                <w:szCs w:val="21"/>
                <w:highlight w:val="none"/>
                <w:lang w:val="zh-CN"/>
              </w:rPr>
            </w:pPr>
            <w:r>
              <w:rPr>
                <w:rFonts w:hint="eastAsia" w:cs="Times New Roman"/>
                <w:color w:val="000000"/>
                <w:sz w:val="21"/>
                <w:szCs w:val="21"/>
                <w:highlight w:val="none"/>
                <w:lang w:val="zh-CN"/>
              </w:rPr>
              <w:t>采购预算：</w:t>
            </w:r>
            <w:r>
              <w:rPr>
                <w:rFonts w:hint="eastAsia" w:cs="Times New Roman" w:asciiTheme="minorEastAsia" w:hAnsiTheme="minorEastAsia" w:eastAsiaTheme="minorEastAsia"/>
                <w:color w:val="000000"/>
                <w:sz w:val="24"/>
                <w:highlight w:val="none"/>
                <w:lang w:val="en-US" w:eastAsia="zh-CN"/>
              </w:rPr>
              <w:t>1221400</w:t>
            </w:r>
            <w:r>
              <w:rPr>
                <w:rFonts w:hint="eastAsia" w:ascii="宋体" w:hAnsi="宋体"/>
                <w:bCs/>
                <w:sz w:val="24"/>
                <w:highlight w:val="none"/>
              </w:rPr>
              <w:t>元</w:t>
            </w:r>
            <w:r>
              <w:rPr>
                <w:rFonts w:hint="eastAsia" w:cs="Times New Roman"/>
                <w:color w:val="000000"/>
                <w:sz w:val="21"/>
                <w:szCs w:val="21"/>
                <w:highlight w:val="none"/>
                <w:lang w:val="zh-CN"/>
              </w:rPr>
              <w:t>；</w:t>
            </w:r>
          </w:p>
          <w:p>
            <w:pPr>
              <w:pStyle w:val="24"/>
              <w:spacing w:before="0" w:beforeAutospacing="0" w:after="0" w:afterAutospacing="0"/>
              <w:ind w:firstLine="210" w:firstLineChars="100"/>
              <w:jc w:val="both"/>
              <w:rPr>
                <w:rFonts w:hint="eastAsia" w:cs="Times New Roman"/>
                <w:color w:val="000000"/>
                <w:sz w:val="21"/>
                <w:szCs w:val="21"/>
                <w:highlight w:val="none"/>
                <w:lang w:val="zh-CN"/>
              </w:rPr>
            </w:pPr>
            <w:r>
              <w:rPr>
                <w:rFonts w:hint="eastAsia" w:cs="Times New Roman"/>
                <w:color w:val="000000"/>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4"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3</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最高限价（实质性要求）</w:t>
            </w:r>
          </w:p>
        </w:tc>
        <w:tc>
          <w:tcPr>
            <w:tcW w:w="6084" w:type="dxa"/>
            <w:vAlign w:val="center"/>
          </w:tcPr>
          <w:p>
            <w:pPr>
              <w:pStyle w:val="24"/>
              <w:spacing w:before="0" w:beforeAutospacing="0" w:after="0" w:afterAutospacing="0"/>
              <w:ind w:firstLine="210" w:firstLineChars="100"/>
              <w:jc w:val="both"/>
              <w:rPr>
                <w:rFonts w:hint="eastAsia" w:cs="Times New Roman"/>
                <w:color w:val="000000"/>
                <w:sz w:val="21"/>
                <w:szCs w:val="21"/>
                <w:highlight w:val="none"/>
                <w:lang w:val="zh-CN"/>
              </w:rPr>
            </w:pPr>
            <w:r>
              <w:rPr>
                <w:rFonts w:hint="eastAsia" w:cs="Times New Roman"/>
                <w:color w:val="000000"/>
                <w:sz w:val="21"/>
                <w:szCs w:val="21"/>
                <w:highlight w:val="none"/>
                <w:lang w:val="zh-CN"/>
              </w:rPr>
              <w:t>最高限价：</w:t>
            </w:r>
            <w:r>
              <w:rPr>
                <w:rFonts w:hint="eastAsia" w:cs="Times New Roman" w:asciiTheme="minorEastAsia" w:hAnsiTheme="minorEastAsia" w:eastAsiaTheme="minorEastAsia"/>
                <w:color w:val="000000"/>
                <w:sz w:val="24"/>
                <w:highlight w:val="none"/>
                <w:lang w:val="en-US" w:eastAsia="zh-CN"/>
              </w:rPr>
              <w:t>1221400</w:t>
            </w:r>
            <w:r>
              <w:rPr>
                <w:rFonts w:hint="eastAsia" w:ascii="宋体" w:hAnsi="宋体"/>
                <w:bCs/>
                <w:sz w:val="24"/>
                <w:highlight w:val="none"/>
              </w:rPr>
              <w:t>元</w:t>
            </w:r>
            <w:r>
              <w:rPr>
                <w:rFonts w:hint="eastAsia" w:cs="Times New Roman"/>
                <w:color w:val="000000"/>
                <w:sz w:val="21"/>
                <w:szCs w:val="21"/>
                <w:highlight w:val="none"/>
                <w:lang w:val="zh-CN"/>
              </w:rPr>
              <w:t>；</w:t>
            </w:r>
          </w:p>
          <w:p>
            <w:pPr>
              <w:pStyle w:val="24"/>
              <w:spacing w:before="0" w:beforeAutospacing="0" w:after="0" w:afterAutospacing="0"/>
              <w:ind w:firstLine="210" w:firstLineChars="100"/>
              <w:jc w:val="both"/>
              <w:rPr>
                <w:rFonts w:hint="eastAsia" w:cs="Times New Roman"/>
                <w:color w:val="000000"/>
                <w:sz w:val="21"/>
                <w:szCs w:val="21"/>
                <w:highlight w:val="none"/>
                <w:lang w:val="zh-CN"/>
              </w:rPr>
            </w:pPr>
            <w:r>
              <w:rPr>
                <w:rFonts w:hint="eastAsia" w:cs="Times New Roman"/>
                <w:color w:val="000000"/>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4</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联合体</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6"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5</w:t>
            </w:r>
          </w:p>
        </w:tc>
        <w:tc>
          <w:tcPr>
            <w:tcW w:w="2409" w:type="dxa"/>
            <w:vAlign w:val="center"/>
          </w:tcPr>
          <w:p>
            <w:pPr>
              <w:pStyle w:val="24"/>
              <w:ind w:left="38"/>
              <w:jc w:val="center"/>
              <w:rPr>
                <w:sz w:val="21"/>
                <w:szCs w:val="21"/>
                <w:highlight w:val="none"/>
              </w:rPr>
            </w:pPr>
            <w:r>
              <w:rPr>
                <w:rFonts w:hint="eastAsia"/>
                <w:sz w:val="21"/>
                <w:szCs w:val="21"/>
                <w:highlight w:val="none"/>
              </w:rPr>
              <w:t>低于成本价</w:t>
            </w:r>
          </w:p>
          <w:p>
            <w:pPr>
              <w:pStyle w:val="24"/>
              <w:ind w:left="38"/>
              <w:jc w:val="center"/>
              <w:rPr>
                <w:sz w:val="21"/>
                <w:szCs w:val="21"/>
                <w:highlight w:val="none"/>
              </w:rPr>
            </w:pPr>
            <w:r>
              <w:rPr>
                <w:rFonts w:hint="eastAsia"/>
                <w:sz w:val="21"/>
                <w:szCs w:val="21"/>
                <w:highlight w:val="none"/>
              </w:rPr>
              <w:t>不正当竞争预防措施</w:t>
            </w:r>
          </w:p>
          <w:p>
            <w:pPr>
              <w:pStyle w:val="24"/>
              <w:ind w:left="38"/>
              <w:jc w:val="center"/>
              <w:rPr>
                <w:sz w:val="21"/>
                <w:szCs w:val="21"/>
                <w:highlight w:val="none"/>
              </w:rPr>
            </w:pP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1. 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 xml:space="preserve">2. 供应商书面说明应当签字确认或者加盖公章，否则无效。书面说明的签字确认，由其法定代表人或者其授权代表签字确认。 </w:t>
            </w:r>
          </w:p>
          <w:p>
            <w:pPr>
              <w:pStyle w:val="24"/>
              <w:spacing w:before="0" w:beforeAutospacing="0" w:after="0" w:afterAutospacing="0"/>
              <w:ind w:firstLine="210" w:firstLineChars="100"/>
              <w:jc w:val="both"/>
              <w:rPr>
                <w:color w:val="000000"/>
                <w:szCs w:val="21"/>
                <w:highlight w:val="none"/>
              </w:rPr>
            </w:pPr>
            <w:r>
              <w:rPr>
                <w:rFonts w:hint="eastAsia"/>
                <w:color w:val="000000"/>
                <w:sz w:val="21"/>
                <w:szCs w:val="21"/>
                <w:highlight w:val="none"/>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43" w:hRule="atLeas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6</w:t>
            </w:r>
          </w:p>
          <w:p>
            <w:pPr>
              <w:pStyle w:val="24"/>
              <w:ind w:right="230"/>
              <w:jc w:val="center"/>
              <w:rPr>
                <w:rFonts w:cs="Courier New"/>
                <w:color w:val="000000"/>
                <w:sz w:val="21"/>
                <w:szCs w:val="21"/>
                <w:highlight w:val="none"/>
                <w:lang w:val="zh-CN"/>
              </w:rPr>
            </w:pP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小微企业（ 企业、残疾人福利性单位视同小微企业）价格扣除和失信企业报价加成或者扣分</w:t>
            </w:r>
          </w:p>
          <w:p>
            <w:pPr>
              <w:pStyle w:val="24"/>
              <w:ind w:left="38"/>
              <w:jc w:val="center"/>
              <w:rPr>
                <w:color w:val="000000"/>
                <w:sz w:val="21"/>
                <w:szCs w:val="21"/>
                <w:highlight w:val="none"/>
                <w:lang w:val="zh-CN"/>
              </w:rPr>
            </w:pPr>
          </w:p>
          <w:p>
            <w:pPr>
              <w:pStyle w:val="24"/>
              <w:ind w:left="38"/>
              <w:jc w:val="center"/>
              <w:rPr>
                <w:color w:val="000000"/>
                <w:sz w:val="21"/>
                <w:szCs w:val="21"/>
                <w:highlight w:val="none"/>
                <w:lang w:val="zh-CN"/>
              </w:rPr>
            </w:pP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一、小微企业（监狱企业、残疾人福利性单位视同小微企业）价格扣除</w:t>
            </w:r>
          </w:p>
          <w:p>
            <w:pPr>
              <w:pStyle w:val="24"/>
              <w:spacing w:before="0" w:beforeAutospacing="0" w:after="0" w:afterAutospacing="0"/>
              <w:ind w:firstLine="210" w:firstLineChars="100"/>
              <w:jc w:val="both"/>
              <w:rPr>
                <w:rFonts w:hint="eastAsia"/>
                <w:color w:val="000000"/>
                <w:sz w:val="21"/>
                <w:szCs w:val="21"/>
                <w:highlight w:val="none"/>
                <w:lang w:val="zh-CN"/>
              </w:rPr>
            </w:pPr>
            <w:r>
              <w:rPr>
                <w:rFonts w:hint="eastAsia"/>
                <w:color w:val="000000"/>
                <w:sz w:val="21"/>
                <w:szCs w:val="21"/>
                <w:highlight w:val="none"/>
                <w:lang w:val="zh-CN"/>
              </w:rPr>
              <w:t>1.根据《政府采购促进中小企业发展暂行办法》（财库〔2020〕46号）的规定，</w:t>
            </w:r>
            <w:r>
              <w:rPr>
                <w:rFonts w:hint="eastAsia"/>
                <w:color w:val="000000"/>
                <w:sz w:val="21"/>
                <w:szCs w:val="21"/>
                <w:highlight w:val="none"/>
                <w:lang w:val="en-US" w:eastAsia="zh-CN"/>
              </w:rPr>
              <w:t>本项目为专门面向中小企业采购项目，对小型和微型企业产品的价格不再进行扣除。</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2.参加政府采购活动的中小企业应当提供《中小企业声明函》原件。残疾人福利性单位应当提供《残疾人福利性单位声明函》原件。</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w:t>
            </w:r>
            <w:r>
              <w:rPr>
                <w:rFonts w:hint="eastAsia"/>
                <w:color w:val="000000"/>
                <w:sz w:val="21"/>
                <w:szCs w:val="21"/>
                <w:highlight w:val="none"/>
              </w:rPr>
              <w:t>3</w:t>
            </w:r>
            <w:r>
              <w:rPr>
                <w:rFonts w:hint="eastAsia"/>
                <w:color w:val="000000"/>
                <w:sz w:val="21"/>
                <w:szCs w:val="21"/>
                <w:highlight w:val="none"/>
                <w:lang w:val="zh-CN"/>
              </w:rPr>
              <w:t xml:space="preserve">%的价格扣除。 </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二、失信企业报价加成或者扣分</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1.对记入诚信档案且在有效期内的失信供应商，</w:t>
            </w:r>
            <w:r>
              <w:rPr>
                <w:rFonts w:hint="eastAsia"/>
                <w:color w:val="000000"/>
                <w:sz w:val="21"/>
                <w:szCs w:val="21"/>
                <w:highlight w:val="none"/>
              </w:rPr>
              <w:t>在参加政府采购活动中实行直接从总分中扣除5分，且供应商失信行为惩戒实行无限制累加制，直至总分扣完为止。</w:t>
            </w:r>
          </w:p>
          <w:p>
            <w:pPr>
              <w:pStyle w:val="24"/>
              <w:spacing w:before="0" w:beforeAutospacing="0" w:after="0" w:afterAutospacing="0"/>
              <w:ind w:firstLine="210" w:firstLineChars="100"/>
              <w:jc w:val="both"/>
              <w:rPr>
                <w:color w:val="000000"/>
                <w:szCs w:val="21"/>
                <w:highlight w:val="none"/>
              </w:rPr>
            </w:pPr>
            <w:r>
              <w:rPr>
                <w:rFonts w:hint="eastAsia"/>
                <w:color w:val="000000"/>
                <w:sz w:val="21"/>
                <w:szCs w:val="21"/>
                <w:highlight w:val="none"/>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8"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7</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磋商情况公告</w:t>
            </w:r>
          </w:p>
        </w:tc>
        <w:tc>
          <w:tcPr>
            <w:tcW w:w="6084" w:type="dxa"/>
            <w:vAlign w:val="center"/>
          </w:tcPr>
          <w:p>
            <w:pPr>
              <w:pStyle w:val="24"/>
              <w:jc w:val="both"/>
              <w:rPr>
                <w:color w:val="000000"/>
                <w:sz w:val="21"/>
                <w:szCs w:val="21"/>
                <w:highlight w:val="none"/>
                <w:lang w:val="zh-CN"/>
              </w:rPr>
            </w:pPr>
            <w:r>
              <w:rPr>
                <w:rFonts w:hint="eastAsia"/>
                <w:color w:val="000000"/>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rPr>
              <w:t>8</w:t>
            </w:r>
          </w:p>
        </w:tc>
        <w:tc>
          <w:tcPr>
            <w:tcW w:w="2409"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履约保证金</w:t>
            </w:r>
          </w:p>
        </w:tc>
        <w:tc>
          <w:tcPr>
            <w:tcW w:w="6084" w:type="dxa"/>
            <w:vAlign w:val="center"/>
          </w:tcPr>
          <w:p>
            <w:pPr>
              <w:pStyle w:val="24"/>
              <w:spacing w:before="0" w:beforeAutospacing="0" w:after="0" w:afterAutospacing="0"/>
              <w:jc w:val="both"/>
              <w:rPr>
                <w:rFonts w:hint="eastAsia" w:ascii="宋体" w:hAnsi="宋体" w:eastAsia="宋体"/>
                <w:color w:val="000000"/>
                <w:sz w:val="21"/>
                <w:szCs w:val="21"/>
                <w:highlight w:val="none"/>
                <w:lang w:val="zh-CN"/>
              </w:rPr>
            </w:pPr>
            <w:r>
              <w:rPr>
                <w:rFonts w:hint="eastAsia" w:ascii="宋体" w:hAnsi="宋体" w:eastAsia="宋体"/>
                <w:color w:val="000000"/>
                <w:sz w:val="21"/>
                <w:szCs w:val="21"/>
                <w:highlight w:val="none"/>
                <w:lang w:val="zh-CN"/>
              </w:rPr>
              <w:t>金额：政府采购合同金额的10%。</w:t>
            </w:r>
          </w:p>
          <w:p>
            <w:pPr>
              <w:pStyle w:val="24"/>
              <w:spacing w:before="0" w:beforeAutospacing="0" w:after="0" w:afterAutospacing="0"/>
              <w:ind w:left="630" w:hanging="630" w:hangingChars="300"/>
              <w:jc w:val="both"/>
              <w:rPr>
                <w:rFonts w:hint="eastAsia" w:ascii="宋体" w:hAnsi="宋体" w:eastAsia="宋体"/>
                <w:color w:val="000000"/>
                <w:sz w:val="21"/>
                <w:szCs w:val="21"/>
                <w:highlight w:val="none"/>
                <w:lang w:val="zh-CN"/>
              </w:rPr>
            </w:pPr>
            <w:r>
              <w:rPr>
                <w:rFonts w:hint="eastAsia" w:ascii="宋体" w:hAnsi="宋体" w:eastAsia="宋体"/>
                <w:color w:val="000000"/>
                <w:sz w:val="21"/>
                <w:szCs w:val="21"/>
                <w:highlight w:val="none"/>
                <w:lang w:val="zh-CN"/>
              </w:rPr>
              <w:t>方式：转账方式或以银行出具的银行保函提交，银行保函有效期至少覆盖服务期。</w:t>
            </w:r>
          </w:p>
          <w:p>
            <w:pPr>
              <w:pStyle w:val="24"/>
              <w:spacing w:before="0" w:beforeAutospacing="0" w:after="0" w:afterAutospacing="0"/>
              <w:jc w:val="both"/>
              <w:rPr>
                <w:rFonts w:hint="eastAsia" w:ascii="宋体" w:hAnsi="宋体" w:eastAsia="宋体"/>
                <w:color w:val="000000"/>
                <w:sz w:val="21"/>
                <w:szCs w:val="21"/>
                <w:highlight w:val="none"/>
                <w:lang w:val="zh-CN"/>
              </w:rPr>
            </w:pPr>
            <w:r>
              <w:rPr>
                <w:rFonts w:hint="eastAsia" w:ascii="宋体" w:hAnsi="宋体" w:eastAsia="宋体"/>
                <w:color w:val="000000"/>
                <w:sz w:val="21"/>
                <w:szCs w:val="21"/>
                <w:highlight w:val="none"/>
                <w:lang w:val="zh-CN"/>
              </w:rPr>
              <w:t>时间：中标、成交通知书发放后，政府采购合同签订前。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rPr>
              <w:t>9</w:t>
            </w:r>
          </w:p>
        </w:tc>
        <w:tc>
          <w:tcPr>
            <w:tcW w:w="2409"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磋商文件咨询</w:t>
            </w: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联系人：朱女士     联系电话：028-86</w:t>
            </w:r>
            <w:r>
              <w:rPr>
                <w:rFonts w:hint="eastAsia"/>
                <w:color w:val="000000"/>
                <w:sz w:val="21"/>
                <w:szCs w:val="21"/>
                <w:highlight w:val="none"/>
              </w:rPr>
              <w:t>983086</w:t>
            </w:r>
            <w:r>
              <w:rPr>
                <w:rFonts w:hint="eastAsia"/>
                <w:color w:val="000000"/>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3" w:hRule="exact"/>
          <w:jc w:val="center"/>
        </w:trPr>
        <w:tc>
          <w:tcPr>
            <w:tcW w:w="1013" w:type="dxa"/>
            <w:vAlign w:val="center"/>
          </w:tcPr>
          <w:p>
            <w:pPr>
              <w:pStyle w:val="24"/>
              <w:ind w:right="230"/>
              <w:jc w:val="center"/>
              <w:rPr>
                <w:rFonts w:cs="Courier New"/>
                <w:color w:val="000000"/>
                <w:sz w:val="21"/>
                <w:szCs w:val="21"/>
                <w:highlight w:val="none"/>
              </w:rPr>
            </w:pPr>
            <w:r>
              <w:rPr>
                <w:rFonts w:hint="eastAsia" w:cs="Courier New"/>
                <w:color w:val="000000"/>
                <w:sz w:val="21"/>
                <w:szCs w:val="21"/>
                <w:highlight w:val="none"/>
              </w:rPr>
              <w:t>10</w:t>
            </w:r>
          </w:p>
        </w:tc>
        <w:tc>
          <w:tcPr>
            <w:tcW w:w="2409" w:type="dxa"/>
            <w:vAlign w:val="center"/>
          </w:tcPr>
          <w:p>
            <w:pPr>
              <w:pStyle w:val="24"/>
              <w:spacing w:before="0" w:beforeAutospacing="0" w:after="0" w:afterAutospacing="0"/>
              <w:jc w:val="both"/>
              <w:rPr>
                <w:color w:val="000000"/>
                <w:sz w:val="21"/>
                <w:szCs w:val="21"/>
                <w:highlight w:val="none"/>
                <w:lang w:val="zh-CN"/>
              </w:rPr>
            </w:pPr>
            <w:r>
              <w:rPr>
                <w:rFonts w:hint="eastAsia"/>
                <w:color w:val="000000"/>
                <w:sz w:val="21"/>
                <w:szCs w:val="21"/>
                <w:highlight w:val="none"/>
                <w:lang w:val="zh-CN"/>
              </w:rPr>
              <w:t>磋商过程、结果工作咨询</w:t>
            </w: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联系人：朱女士     联系电话：028-86</w:t>
            </w:r>
            <w:r>
              <w:rPr>
                <w:rFonts w:hint="eastAsia"/>
                <w:color w:val="000000"/>
                <w:sz w:val="21"/>
                <w:szCs w:val="21"/>
                <w:highlight w:val="none"/>
              </w:rPr>
              <w:t>983086</w:t>
            </w:r>
            <w:r>
              <w:rPr>
                <w:rFonts w:hint="eastAsia"/>
                <w:color w:val="000000"/>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0"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1</w:t>
            </w:r>
          </w:p>
        </w:tc>
        <w:tc>
          <w:tcPr>
            <w:tcW w:w="2409"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成交通知书领取</w:t>
            </w: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采购结果公告在四川政府采购网上发布后，请成交供应商凭有效</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身份证明证件到采购代理机构领取成交通知书。</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rPr>
              <w:t>028-86983086</w:t>
            </w:r>
            <w:r>
              <w:rPr>
                <w:rFonts w:hint="eastAsia"/>
                <w:color w:val="000000"/>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2</w:t>
            </w:r>
          </w:p>
        </w:tc>
        <w:tc>
          <w:tcPr>
            <w:tcW w:w="2409"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供应商询问</w:t>
            </w:r>
          </w:p>
        </w:tc>
        <w:tc>
          <w:tcPr>
            <w:tcW w:w="6084" w:type="dxa"/>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根据委托代理协议约定，供应商询问由采购代理机构负责答复。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3</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根据委托代理协议约定，对磋商文件的质疑由采购代理机构负责答复；</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对磋商过程的质疑由采购代理机构负责答复；对磋商结果的质疑由采购代理机构负责答复。</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联 系 人：朱女士</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rPr>
              <w:t>028-86983086</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8"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投诉受理单位：本项目同级财政部门。</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注：根据《中华人民共和国政府采购法实施条例》的规定，供应</w:t>
            </w:r>
          </w:p>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9"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政府采购合同公告备案</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rPr>
              <w:t>6</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代理服务费</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spacing w:before="0" w:beforeAutospacing="0" w:after="0" w:afterAutospacing="0"/>
              <w:ind w:firstLine="210" w:firstLineChars="100"/>
              <w:jc w:val="both"/>
              <w:rPr>
                <w:color w:val="000000"/>
                <w:sz w:val="21"/>
                <w:szCs w:val="21"/>
                <w:highlight w:val="none"/>
                <w:lang w:val="zh-CN"/>
              </w:rPr>
            </w:pPr>
            <w:r>
              <w:rPr>
                <w:rFonts w:hint="eastAsia"/>
                <w:color w:val="000000"/>
                <w:sz w:val="21"/>
                <w:szCs w:val="21"/>
                <w:highlight w:val="none"/>
                <w:lang w:val="zh-CN"/>
              </w:rPr>
              <w:t>代理</w:t>
            </w:r>
            <w:r>
              <w:rPr>
                <w:rFonts w:hint="eastAsia" w:cs="Times New Roman"/>
                <w:color w:val="000000"/>
                <w:sz w:val="21"/>
                <w:szCs w:val="21"/>
                <w:highlight w:val="none"/>
                <w:lang w:val="zh-CN"/>
              </w:rPr>
              <w:t>服务费：按</w:t>
            </w:r>
            <w:r>
              <w:rPr>
                <w:rFonts w:hint="eastAsia" w:cs="Times New Roman"/>
                <w:color w:val="000000"/>
                <w:sz w:val="21"/>
                <w:szCs w:val="21"/>
                <w:highlight w:val="none"/>
                <w:lang w:val="zh-CN" w:eastAsia="zh-CN"/>
              </w:rPr>
              <w:t>成交金额的</w:t>
            </w:r>
            <w:r>
              <w:rPr>
                <w:rFonts w:hint="eastAsia" w:cs="Times New Roman"/>
                <w:color w:val="000000"/>
                <w:sz w:val="21"/>
                <w:szCs w:val="21"/>
                <w:highlight w:val="none"/>
                <w:lang w:val="en-US" w:eastAsia="zh-CN"/>
              </w:rPr>
              <w:t>1.5%</w:t>
            </w:r>
            <w:r>
              <w:rPr>
                <w:rFonts w:hint="eastAsia" w:cs="Times New Roman"/>
                <w:color w:val="000000"/>
                <w:sz w:val="21"/>
                <w:szCs w:val="21"/>
                <w:highlight w:val="none"/>
                <w:lang w:val="zh-CN"/>
              </w:rPr>
              <w:t>计算出招标代理服务费；由中标人在领取中标通知书前向招标代理机构交纳代理服务费。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4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rPr>
            </w:pPr>
            <w:r>
              <w:rPr>
                <w:rFonts w:hint="eastAsia" w:cs="Courier New"/>
                <w:color w:val="000000"/>
                <w:sz w:val="21"/>
                <w:szCs w:val="21"/>
                <w:highlight w:val="none"/>
              </w:rPr>
              <w:t>17</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ind w:left="38"/>
              <w:jc w:val="center"/>
              <w:rPr>
                <w:szCs w:val="21"/>
                <w:highlight w:val="none"/>
                <w:lang w:val="zh-CN"/>
              </w:rPr>
            </w:pPr>
            <w:r>
              <w:rPr>
                <w:rFonts w:hint="eastAsia" w:cs="Times New Roman"/>
                <w:kern w:val="2"/>
                <w:sz w:val="21"/>
                <w:szCs w:val="21"/>
                <w:highlight w:val="none"/>
              </w:rPr>
              <w:t>政府采购政策</w:t>
            </w:r>
          </w:p>
        </w:tc>
        <w:tc>
          <w:tcPr>
            <w:tcW w:w="6084" w:type="dxa"/>
            <w:tcBorders>
              <w:top w:val="single" w:color="auto" w:sz="8" w:space="0"/>
              <w:left w:val="single" w:color="auto" w:sz="8" w:space="0"/>
              <w:bottom w:val="single" w:color="auto" w:sz="8" w:space="0"/>
              <w:right w:val="single" w:color="auto" w:sz="18" w:space="0"/>
            </w:tcBorders>
            <w:vAlign w:val="center"/>
          </w:tcPr>
          <w:p>
            <w:pPr>
              <w:rPr>
                <w:highlight w:val="none"/>
              </w:rPr>
            </w:pPr>
            <w:r>
              <w:rPr>
                <w:rFonts w:hint="eastAsia"/>
                <w:highlight w:val="none"/>
              </w:rPr>
              <w:t>一、节能产品政府采购品目清单</w:t>
            </w:r>
          </w:p>
          <w:p>
            <w:pPr>
              <w:rPr>
                <w:highlight w:val="none"/>
              </w:rPr>
            </w:pPr>
            <w:r>
              <w:rPr>
                <w:rFonts w:hint="eastAsia"/>
                <w:highlight w:val="none"/>
              </w:rPr>
              <w:t>本项目采购产品属于《节能产品政府采购品目清单》范围的，投标人须提供本次投标产品的国家确定的认证机构出具的、处于有效期之内的节能产品认证证书扫描件。采购产品属于强制采购的，投标产品未提供节能产品认证证书的，投标无效；采购产品属于优先采购的，未提供的不予认定。</w:t>
            </w:r>
          </w:p>
          <w:p>
            <w:pPr>
              <w:rPr>
                <w:highlight w:val="none"/>
              </w:rPr>
            </w:pPr>
            <w:r>
              <w:rPr>
                <w:highlight w:val="none"/>
              </w:rPr>
              <w:t xml:space="preserve">   </w:t>
            </w:r>
            <w:r>
              <w:rPr>
                <w:rFonts w:hint="eastAsia"/>
                <w:highlight w:val="none"/>
              </w:rPr>
              <w:t>二、环境标志产品政府采购品目清单</w:t>
            </w:r>
          </w:p>
          <w:p>
            <w:pPr>
              <w:rPr>
                <w:rFonts w:ascii="宋体"/>
                <w:szCs w:val="21"/>
                <w:highlight w:val="none"/>
                <w:lang w:val="zh-CN"/>
              </w:rPr>
            </w:pPr>
            <w:r>
              <w:rPr>
                <w:rFonts w:hint="eastAsia"/>
                <w:highlight w:val="none"/>
              </w:rPr>
              <w:t>本项目采购产品属于《环境标志产品政府采购品目清单》范围的实施优先采购，投标人须提供本次投标产品的国家确定的认证机构出具的、处于有效期之内的环境标志产品认证证书扫描件。未提供的不予认定。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color w:val="000000"/>
                <w:sz w:val="21"/>
                <w:szCs w:val="21"/>
                <w:highlight w:val="none"/>
              </w:rPr>
            </w:pPr>
            <w:r>
              <w:rPr>
                <w:rFonts w:hint="eastAsia" w:cs="Courier New"/>
                <w:color w:val="000000"/>
                <w:sz w:val="21"/>
                <w:szCs w:val="21"/>
                <w:highlight w:val="none"/>
              </w:rPr>
              <w:t>18</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ascii="宋体"/>
                <w:szCs w:val="21"/>
                <w:highlight w:val="none"/>
                <w:lang w:val="zh-CN"/>
              </w:rPr>
            </w:pPr>
            <w:r>
              <w:rPr>
                <w:rFonts w:hint="eastAsia" w:ascii="宋体"/>
                <w:szCs w:val="21"/>
                <w:highlight w:val="none"/>
              </w:rPr>
              <w:t>供应商信用融资</w:t>
            </w:r>
          </w:p>
        </w:tc>
        <w:tc>
          <w:tcPr>
            <w:tcW w:w="6084" w:type="dxa"/>
            <w:tcBorders>
              <w:top w:val="single" w:color="auto" w:sz="8" w:space="0"/>
              <w:left w:val="single" w:color="auto" w:sz="8" w:space="0"/>
              <w:bottom w:val="single" w:color="auto" w:sz="8" w:space="0"/>
              <w:right w:val="single" w:color="auto" w:sz="18" w:space="0"/>
            </w:tcBorders>
            <w:vAlign w:val="center"/>
          </w:tcPr>
          <w:p>
            <w:pPr>
              <w:rPr>
                <w:rFonts w:ascii="宋体"/>
                <w:szCs w:val="21"/>
                <w:highlight w:val="none"/>
              </w:rPr>
            </w:pPr>
            <w:r>
              <w:rPr>
                <w:rFonts w:hint="eastAsia" w:ascii="宋体" w:hAnsi="宋体"/>
                <w:szCs w:val="21"/>
                <w:highlight w:val="none"/>
              </w:rPr>
              <w:t>1</w:t>
            </w:r>
            <w:r>
              <w:rPr>
                <w:rFonts w:hint="eastAsia" w:ascii="宋体"/>
                <w:szCs w:val="21"/>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rPr>
                <w:rFonts w:ascii="宋体"/>
                <w:szCs w:val="21"/>
                <w:highlight w:val="none"/>
              </w:rPr>
            </w:pPr>
            <w:r>
              <w:rPr>
                <w:rFonts w:hint="eastAsia" w:ascii="宋体"/>
                <w:szCs w:val="21"/>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p>
            <w:pPr>
              <w:rPr>
                <w:rFonts w:ascii="宋体"/>
                <w:szCs w:val="21"/>
                <w:highlight w:val="none"/>
                <w:lang w:val="zh-CN"/>
              </w:rPr>
            </w:pPr>
          </w:p>
        </w:tc>
      </w:tr>
    </w:tbl>
    <w:p>
      <w:pPr>
        <w:pStyle w:val="4"/>
        <w:keepNext w:val="0"/>
        <w:keepLines w:val="0"/>
        <w:spacing w:before="0" w:after="0" w:line="400" w:lineRule="exact"/>
        <w:rPr>
          <w:rFonts w:ascii="黑体"/>
          <w:bCs w:val="0"/>
          <w:color w:val="000000"/>
          <w:highlight w:val="none"/>
        </w:rPr>
      </w:pPr>
    </w:p>
    <w:p>
      <w:pPr>
        <w:rPr>
          <w:highlight w:val="none"/>
        </w:rPr>
      </w:pPr>
    </w:p>
    <w:p>
      <w:pPr>
        <w:pStyle w:val="3"/>
        <w:spacing w:before="20" w:after="20" w:line="360" w:lineRule="auto"/>
        <w:jc w:val="center"/>
        <w:rPr>
          <w:rFonts w:ascii="宋体" w:hAnsi="宋体"/>
          <w:color w:val="000000"/>
          <w:sz w:val="24"/>
          <w:highlight w:val="none"/>
        </w:rPr>
      </w:pPr>
      <w:r>
        <w:rPr>
          <w:rFonts w:hint="eastAsia"/>
          <w:color w:val="000000"/>
          <w:sz w:val="28"/>
          <w:szCs w:val="28"/>
          <w:highlight w:val="none"/>
        </w:rPr>
        <w:t>二、总  则</w:t>
      </w:r>
      <w:bookmarkStart w:id="7" w:name="_Toc183582205"/>
      <w:bookmarkStart w:id="8" w:name="_Toc183682342"/>
      <w:bookmarkStart w:id="9" w:name="_Toc217446034"/>
    </w:p>
    <w:p>
      <w:pPr>
        <w:pStyle w:val="5"/>
        <w:keepNext w:val="0"/>
        <w:keepLines w:val="0"/>
        <w:spacing w:before="0" w:after="0" w:line="400" w:lineRule="exact"/>
        <w:ind w:firstLine="482" w:firstLineChars="200"/>
        <w:rPr>
          <w:rFonts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bookmarkEnd w:id="7"/>
      <w:bookmarkEnd w:id="8"/>
      <w:r>
        <w:rPr>
          <w:rFonts w:hint="eastAsia" w:ascii="宋体" w:hAnsi="宋体"/>
          <w:color w:val="000000"/>
          <w:sz w:val="24"/>
          <w:szCs w:val="24"/>
          <w:highlight w:val="none"/>
        </w:rPr>
        <w:t>适用范围</w:t>
      </w:r>
      <w:bookmarkEnd w:id="9"/>
    </w:p>
    <w:p>
      <w:pPr>
        <w:tabs>
          <w:tab w:val="left" w:pos="7665"/>
        </w:tabs>
        <w:spacing w:line="400" w:lineRule="exact"/>
        <w:ind w:firstLine="480" w:firstLineChars="200"/>
        <w:rPr>
          <w:rFonts w:ascii="宋体" w:hAnsi="宋体"/>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1 本磋商文件仅适用于本次磋商所叙述的</w:t>
      </w:r>
      <w:r>
        <w:rPr>
          <w:rFonts w:hint="eastAsia" w:ascii="宋体" w:hAnsi="宋体"/>
          <w:sz w:val="24"/>
          <w:highlight w:val="none"/>
        </w:rPr>
        <w:t>服务采购。</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1.2 本磋商文件的解释权</w:t>
      </w:r>
      <w:r>
        <w:rPr>
          <w:rFonts w:hint="eastAsia" w:ascii="宋体" w:hAnsi="宋体"/>
          <w:sz w:val="24"/>
          <w:highlight w:val="none"/>
        </w:rPr>
        <w:t>归</w:t>
      </w:r>
      <w:r>
        <w:rPr>
          <w:rFonts w:hint="eastAsia" w:ascii="宋体" w:hAnsi="宋体"/>
          <w:color w:val="000000"/>
          <w:sz w:val="24"/>
          <w:highlight w:val="none"/>
        </w:rPr>
        <w:t>采购人和采购代理机构</w:t>
      </w:r>
      <w:r>
        <w:rPr>
          <w:rFonts w:hint="eastAsia" w:ascii="宋体" w:hAnsi="宋体"/>
          <w:sz w:val="24"/>
          <w:highlight w:val="none"/>
        </w:rPr>
        <w:t>所有</w:t>
      </w:r>
      <w:r>
        <w:rPr>
          <w:rFonts w:hint="eastAsia" w:ascii="宋体" w:hAnsi="宋体"/>
          <w:color w:val="000000"/>
          <w:sz w:val="24"/>
          <w:highlight w:val="none"/>
        </w:rPr>
        <w:t>。</w:t>
      </w:r>
    </w:p>
    <w:p>
      <w:pPr>
        <w:pStyle w:val="5"/>
        <w:keepNext w:val="0"/>
        <w:keepLines w:val="0"/>
        <w:spacing w:before="0" w:after="0" w:line="400" w:lineRule="exact"/>
        <w:ind w:firstLine="482" w:firstLineChars="200"/>
        <w:rPr>
          <w:rFonts w:ascii="宋体" w:hAnsi="宋体"/>
          <w:color w:val="000000"/>
          <w:sz w:val="24"/>
          <w:highlight w:val="none"/>
        </w:rPr>
      </w:pPr>
      <w:bookmarkStart w:id="10" w:name="_Toc183682343"/>
      <w:bookmarkStart w:id="11" w:name="_Toc217446035"/>
      <w:bookmarkStart w:id="12" w:name="_Toc183582206"/>
      <w:r>
        <w:rPr>
          <w:rFonts w:ascii="宋体" w:hAnsi="宋体"/>
          <w:color w:val="000000"/>
          <w:sz w:val="24"/>
          <w:highlight w:val="none"/>
        </w:rPr>
        <w:t>2.</w:t>
      </w:r>
      <w:bookmarkEnd w:id="10"/>
      <w:bookmarkEnd w:id="11"/>
      <w:bookmarkEnd w:id="12"/>
      <w:r>
        <w:rPr>
          <w:rFonts w:hint="eastAsia" w:ascii="宋体" w:hAnsi="宋体"/>
          <w:color w:val="000000"/>
          <w:sz w:val="24"/>
          <w:highlight w:val="none"/>
        </w:rPr>
        <w:t>采购主体</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color w:val="000000"/>
          <w:sz w:val="24"/>
          <w:highlight w:val="none"/>
        </w:rPr>
        <w:t>1本次磋商的采购人是</w:t>
      </w:r>
      <w:r>
        <w:rPr>
          <w:rFonts w:hint="eastAsia" w:ascii="宋体" w:hAnsi="宋体" w:eastAsia="宋体"/>
          <w:color w:val="000000"/>
          <w:sz w:val="24"/>
          <w:highlight w:val="none"/>
          <w:u w:val="single"/>
          <w:lang w:eastAsia="zh-CN"/>
        </w:rPr>
        <w:t>成都东部新区草池街道办事处</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color w:val="000000"/>
          <w:sz w:val="24"/>
          <w:highlight w:val="none"/>
        </w:rPr>
        <w:t>2本次磋商的采购代理机构是</w:t>
      </w:r>
      <w:r>
        <w:rPr>
          <w:rFonts w:hint="eastAsia" w:ascii="宋体" w:hAnsi="宋体"/>
          <w:color w:val="000000"/>
          <w:sz w:val="24"/>
          <w:highlight w:val="none"/>
          <w:u w:val="single"/>
        </w:rPr>
        <w:t>四川达通工程管理咨询有限公司</w:t>
      </w:r>
      <w:r>
        <w:rPr>
          <w:rFonts w:hint="eastAsia" w:ascii="宋体" w:hAnsi="宋体"/>
          <w:color w:val="000000"/>
          <w:sz w:val="24"/>
          <w:highlight w:val="none"/>
        </w:rPr>
        <w:t>。</w:t>
      </w:r>
    </w:p>
    <w:p>
      <w:pPr>
        <w:pStyle w:val="5"/>
        <w:keepNext w:val="0"/>
        <w:keepLines w:val="0"/>
        <w:spacing w:before="0" w:after="0" w:line="400" w:lineRule="exact"/>
        <w:ind w:firstLine="482" w:firstLineChars="200"/>
        <w:rPr>
          <w:rFonts w:ascii="宋体" w:hAnsi="宋体"/>
          <w:color w:val="000000"/>
          <w:sz w:val="24"/>
          <w:highlight w:val="none"/>
        </w:rPr>
      </w:pPr>
      <w:bookmarkStart w:id="13" w:name="_Toc183582207"/>
      <w:bookmarkStart w:id="14" w:name="_Toc217390843"/>
      <w:bookmarkStart w:id="15" w:name="_Toc183682344"/>
      <w:bookmarkStart w:id="16" w:name="_Toc217446036"/>
      <w:r>
        <w:rPr>
          <w:rFonts w:ascii="宋体" w:hAnsi="宋体"/>
          <w:color w:val="000000"/>
          <w:sz w:val="24"/>
          <w:highlight w:val="none"/>
        </w:rPr>
        <w:t>3.</w:t>
      </w:r>
      <w:r>
        <w:rPr>
          <w:rFonts w:hint="eastAsia" w:ascii="宋体" w:hAnsi="宋体"/>
          <w:color w:val="000000"/>
          <w:sz w:val="24"/>
          <w:highlight w:val="none"/>
        </w:rPr>
        <w:t xml:space="preserve"> 合格</w:t>
      </w:r>
      <w:bookmarkEnd w:id="13"/>
      <w:bookmarkEnd w:id="14"/>
      <w:bookmarkEnd w:id="15"/>
      <w:bookmarkEnd w:id="16"/>
      <w:r>
        <w:rPr>
          <w:rFonts w:hint="eastAsia" w:ascii="宋体" w:hAnsi="宋体"/>
          <w:color w:val="000000"/>
          <w:sz w:val="24"/>
          <w:highlight w:val="none"/>
        </w:rPr>
        <w:t>供应商（实质性要求）</w:t>
      </w:r>
    </w:p>
    <w:p>
      <w:pPr>
        <w:tabs>
          <w:tab w:val="left" w:pos="7665"/>
        </w:tabs>
        <w:spacing w:line="400" w:lineRule="exact"/>
        <w:rPr>
          <w:rFonts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合格供应商应具备以下条件：</w:t>
      </w:r>
    </w:p>
    <w:p>
      <w:pPr>
        <w:tabs>
          <w:tab w:val="left" w:pos="7665"/>
        </w:tabs>
        <w:spacing w:line="400" w:lineRule="exact"/>
        <w:ind w:firstLine="480" w:firstLineChars="200"/>
        <w:rPr>
          <w:rFonts w:ascii="宋体" w:hAnsi="宋体"/>
          <w:color w:val="000000"/>
          <w:spacing w:val="-4"/>
          <w:sz w:val="24"/>
          <w:highlight w:val="none"/>
        </w:rPr>
      </w:pPr>
      <w:r>
        <w:rPr>
          <w:rFonts w:hint="eastAsia" w:ascii="宋体" w:hAnsi="宋体"/>
          <w:color w:val="000000"/>
          <w:sz w:val="24"/>
          <w:highlight w:val="none"/>
        </w:rPr>
        <w:t>3.1 具备法律法规和本采购文件规定的资格条件</w:t>
      </w:r>
      <w:r>
        <w:rPr>
          <w:rFonts w:hint="eastAsia" w:ascii="宋体" w:hAnsi="宋体"/>
          <w:color w:val="000000"/>
          <w:spacing w:val="-4"/>
          <w:sz w:val="24"/>
          <w:highlight w:val="none"/>
        </w:rPr>
        <w:t>；</w:t>
      </w:r>
    </w:p>
    <w:p>
      <w:pPr>
        <w:tabs>
          <w:tab w:val="left" w:pos="7665"/>
        </w:tabs>
        <w:spacing w:line="400" w:lineRule="exact"/>
        <w:ind w:firstLine="464" w:firstLineChars="200"/>
        <w:rPr>
          <w:rFonts w:ascii="宋体" w:hAnsi="宋体"/>
          <w:color w:val="000000"/>
          <w:spacing w:val="-4"/>
          <w:sz w:val="24"/>
          <w:highlight w:val="none"/>
        </w:rPr>
      </w:pPr>
      <w:r>
        <w:rPr>
          <w:rFonts w:hint="eastAsia" w:ascii="宋体" w:hAnsi="宋体"/>
          <w:color w:val="000000"/>
          <w:spacing w:val="-4"/>
          <w:sz w:val="24"/>
          <w:highlight w:val="none"/>
        </w:rPr>
        <w:t>3.2 不属于禁止参加本项目采购活动的</w:t>
      </w:r>
      <w:r>
        <w:rPr>
          <w:rFonts w:hint="eastAsia" w:ascii="宋体" w:hAnsi="宋体"/>
          <w:spacing w:val="-4"/>
          <w:sz w:val="24"/>
          <w:highlight w:val="none"/>
        </w:rPr>
        <w:t>供应商</w:t>
      </w:r>
      <w:r>
        <w:rPr>
          <w:rFonts w:hint="eastAsia" w:ascii="宋体" w:hAnsi="宋体"/>
          <w:color w:val="000000"/>
          <w:spacing w:val="-4"/>
          <w:sz w:val="24"/>
          <w:highlight w:val="none"/>
        </w:rPr>
        <w:t>；</w:t>
      </w:r>
    </w:p>
    <w:p>
      <w:pPr>
        <w:tabs>
          <w:tab w:val="left" w:pos="7665"/>
        </w:tabs>
        <w:spacing w:line="400" w:lineRule="exact"/>
        <w:ind w:firstLine="464" w:firstLineChars="200"/>
        <w:rPr>
          <w:rFonts w:ascii="宋体" w:hAnsi="宋体"/>
          <w:color w:val="000000"/>
          <w:sz w:val="24"/>
          <w:highlight w:val="none"/>
        </w:rPr>
      </w:pPr>
      <w:r>
        <w:rPr>
          <w:rFonts w:hint="eastAsia" w:ascii="宋体" w:hAnsi="宋体"/>
          <w:color w:val="000000"/>
          <w:spacing w:val="-4"/>
          <w:sz w:val="24"/>
          <w:highlight w:val="none"/>
        </w:rPr>
        <w:t>3.3 按照规定</w:t>
      </w:r>
      <w:r>
        <w:rPr>
          <w:rFonts w:hint="eastAsia" w:ascii="宋体" w:hAnsi="宋体"/>
          <w:color w:val="000000"/>
          <w:sz w:val="24"/>
          <w:highlight w:val="none"/>
        </w:rPr>
        <w:t>获取了磋商文件，属于实质性参加政府采购活动的供应商。</w:t>
      </w:r>
      <w:bookmarkStart w:id="17" w:name="_Toc217446037"/>
      <w:bookmarkStart w:id="18" w:name="_Toc183682345"/>
      <w:bookmarkStart w:id="19" w:name="_Toc183582208"/>
    </w:p>
    <w:p>
      <w:pPr>
        <w:pStyle w:val="5"/>
        <w:keepNext w:val="0"/>
        <w:keepLines w:val="0"/>
        <w:spacing w:before="0" w:after="0" w:line="400" w:lineRule="exact"/>
        <w:ind w:firstLine="482" w:firstLineChars="200"/>
        <w:rPr>
          <w:rFonts w:ascii="宋体" w:hAnsi="宋体"/>
          <w:color w:val="000000"/>
          <w:sz w:val="24"/>
          <w:highlight w:val="none"/>
        </w:rPr>
      </w:pPr>
      <w:r>
        <w:rPr>
          <w:rFonts w:hint="eastAsia" w:ascii="宋体" w:hAnsi="宋体"/>
          <w:color w:val="000000"/>
          <w:sz w:val="24"/>
          <w:highlight w:val="none"/>
        </w:rPr>
        <w:t>4. 磋商费用</w:t>
      </w:r>
      <w:bookmarkEnd w:id="17"/>
      <w:bookmarkEnd w:id="18"/>
      <w:bookmarkEnd w:id="19"/>
    </w:p>
    <w:p>
      <w:pPr>
        <w:tabs>
          <w:tab w:val="left" w:pos="7665"/>
        </w:tabs>
        <w:spacing w:line="400" w:lineRule="exact"/>
        <w:ind w:firstLine="480"/>
        <w:rPr>
          <w:highlight w:val="none"/>
        </w:rPr>
      </w:pPr>
      <w:r>
        <w:rPr>
          <w:rFonts w:hint="eastAsia" w:ascii="宋体" w:hAnsi="宋体"/>
          <w:color w:val="000000"/>
          <w:sz w:val="24"/>
          <w:highlight w:val="none"/>
        </w:rPr>
        <w:t>供应商应自行承担参加磋商活动的全部费用。</w:t>
      </w:r>
    </w:p>
    <w:p>
      <w:pPr>
        <w:spacing w:line="400" w:lineRule="exact"/>
        <w:ind w:left="1" w:firstLine="482" w:firstLineChars="200"/>
        <w:rPr>
          <w:rFonts w:hAnsi="宋体"/>
          <w:b/>
          <w:color w:val="000000"/>
          <w:sz w:val="24"/>
          <w:highlight w:val="none"/>
        </w:rPr>
      </w:pPr>
      <w:r>
        <w:rPr>
          <w:rFonts w:hint="eastAsia" w:hAnsi="宋体"/>
          <w:b/>
          <w:color w:val="000000"/>
          <w:sz w:val="24"/>
          <w:highlight w:val="none"/>
        </w:rPr>
        <w:t>5.充分、公平竞争保障措施</w:t>
      </w:r>
    </w:p>
    <w:p>
      <w:pPr>
        <w:spacing w:line="400" w:lineRule="exact"/>
        <w:ind w:left="1" w:firstLine="480" w:firstLineChars="200"/>
        <w:rPr>
          <w:rFonts w:hAnsi="宋体"/>
          <w:color w:val="FF0000"/>
          <w:sz w:val="28"/>
          <w:szCs w:val="28"/>
          <w:highlight w:val="none"/>
        </w:rPr>
      </w:pPr>
      <w:r>
        <w:rPr>
          <w:rFonts w:hint="eastAsia" w:hAnsi="宋体"/>
          <w:color w:val="00000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400" w:lineRule="exact"/>
        <w:ind w:left="1" w:firstLine="480" w:firstLineChars="200"/>
        <w:rPr>
          <w:rFonts w:hAnsi="宋体"/>
          <w:color w:val="000000"/>
          <w:sz w:val="24"/>
          <w:highlight w:val="none"/>
        </w:rPr>
      </w:pPr>
      <w:r>
        <w:rPr>
          <w:rFonts w:hint="eastAsia" w:hAnsi="宋体"/>
          <w:color w:val="000000"/>
          <w:sz w:val="24"/>
          <w:highlight w:val="none"/>
        </w:rPr>
        <w:t>5.2利害关系授权代表处理。</w:t>
      </w:r>
      <w:r>
        <w:rPr>
          <w:rFonts w:hint="eastAsia" w:hAnsi="宋体"/>
          <w:sz w:val="24"/>
          <w:highlight w:val="none"/>
        </w:rPr>
        <w:t>两</w:t>
      </w:r>
      <w:r>
        <w:rPr>
          <w:rFonts w:hint="eastAsia" w:hAnsi="宋体"/>
          <w:color w:val="000000"/>
          <w:sz w:val="24"/>
          <w:highlight w:val="none"/>
        </w:rPr>
        <w:t>家以上的供应商不得在同一合同项下的采购项目中，委托同一个自然人、同一家庭的人员、同一单位的人员作为其授权代表，否则，其响应文件作为无效处理。</w:t>
      </w:r>
    </w:p>
    <w:p>
      <w:pPr>
        <w:spacing w:line="400" w:lineRule="exact"/>
        <w:ind w:left="1" w:firstLine="480" w:firstLineChars="200"/>
        <w:rPr>
          <w:rFonts w:hAnsi="宋体"/>
          <w:color w:val="000000"/>
          <w:sz w:val="24"/>
          <w:highlight w:val="none"/>
        </w:rPr>
      </w:pPr>
      <w:r>
        <w:rPr>
          <w:rFonts w:hint="eastAsia" w:hAnsi="宋体"/>
          <w:color w:val="00000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400" w:lineRule="exact"/>
        <w:ind w:left="1" w:firstLine="480" w:firstLineChars="200"/>
        <w:rPr>
          <w:rFonts w:hAnsi="宋体"/>
          <w:color w:val="000000"/>
          <w:sz w:val="24"/>
          <w:highlight w:val="none"/>
        </w:rPr>
      </w:pPr>
      <w:r>
        <w:rPr>
          <w:rFonts w:hint="eastAsia" w:hAnsi="宋体"/>
          <w:color w:val="000000"/>
          <w:sz w:val="24"/>
          <w:highlight w:val="none"/>
        </w:rPr>
        <w:t>5.4供应商实际控制人或者中高级管理人员，同时是采购代理机构工作人员，不得参与本项目政府采购活动。</w:t>
      </w:r>
    </w:p>
    <w:p>
      <w:pPr>
        <w:spacing w:line="400" w:lineRule="exact"/>
        <w:ind w:firstLine="480" w:firstLineChars="200"/>
        <w:rPr>
          <w:rFonts w:ascii="宋体" w:hAnsi="宋体"/>
          <w:sz w:val="24"/>
          <w:highlight w:val="none"/>
        </w:rPr>
      </w:pPr>
      <w:r>
        <w:rPr>
          <w:rFonts w:hint="eastAsia" w:ascii="宋体" w:hAnsi="宋体"/>
          <w:sz w:val="24"/>
          <w:highlight w:val="none"/>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宋体" w:hAnsi="宋体"/>
          <w:sz w:val="24"/>
          <w:highlight w:val="none"/>
        </w:rPr>
      </w:pPr>
      <w:r>
        <w:rPr>
          <w:rFonts w:hint="eastAsia" w:ascii="宋体" w:hAnsi="宋体"/>
          <w:sz w:val="24"/>
          <w:highlight w:val="none"/>
        </w:rPr>
        <w:t>5.6供应商与采购代理机构存在关联关系，或者是采购代理机构的母公司或子公司，不得参加本项目政府采购活动。</w:t>
      </w:r>
    </w:p>
    <w:p>
      <w:pPr>
        <w:spacing w:line="400" w:lineRule="exact"/>
        <w:ind w:left="1" w:firstLine="480" w:firstLineChars="200"/>
        <w:rPr>
          <w:rFonts w:hAnsi="宋体"/>
          <w:color w:val="000000"/>
          <w:sz w:val="24"/>
          <w:highlight w:val="none"/>
        </w:rPr>
      </w:pPr>
      <w:r>
        <w:rPr>
          <w:rFonts w:hint="eastAsia" w:hAnsi="宋体"/>
          <w:color w:val="000000"/>
          <w:sz w:val="24"/>
          <w:highlight w:val="none"/>
        </w:rPr>
        <w:t>5.7回避。政府采购活动中，采购人员及相关人员与供应商有下列利害关系之一的，应当回避：</w:t>
      </w:r>
    </w:p>
    <w:p>
      <w:pPr>
        <w:spacing w:line="400" w:lineRule="exact"/>
        <w:ind w:left="1" w:firstLine="480" w:firstLineChars="200"/>
        <w:rPr>
          <w:rFonts w:hAnsi="宋体"/>
          <w:color w:val="000000"/>
          <w:sz w:val="24"/>
          <w:highlight w:val="none"/>
        </w:rPr>
      </w:pPr>
      <w:r>
        <w:rPr>
          <w:rFonts w:hint="eastAsia" w:hAnsi="宋体"/>
          <w:color w:val="000000"/>
          <w:sz w:val="24"/>
          <w:highlight w:val="none"/>
        </w:rPr>
        <w:t>（1）参加采购活动前3年内与供应商存在劳动关系；</w:t>
      </w:r>
    </w:p>
    <w:p>
      <w:pPr>
        <w:spacing w:line="400" w:lineRule="exact"/>
        <w:ind w:left="1" w:firstLine="480" w:firstLineChars="200"/>
        <w:rPr>
          <w:rFonts w:hAnsi="宋体"/>
          <w:color w:val="000000"/>
          <w:sz w:val="24"/>
          <w:highlight w:val="none"/>
        </w:rPr>
      </w:pPr>
      <w:r>
        <w:rPr>
          <w:rFonts w:hint="eastAsia" w:hAnsi="宋体"/>
          <w:color w:val="000000"/>
          <w:sz w:val="24"/>
          <w:highlight w:val="none"/>
        </w:rPr>
        <w:t>（2）参加采购活动前3年内担任供应商的董事、监事；</w:t>
      </w:r>
    </w:p>
    <w:p>
      <w:pPr>
        <w:spacing w:line="400" w:lineRule="exact"/>
        <w:ind w:left="1" w:firstLine="480" w:firstLineChars="200"/>
        <w:rPr>
          <w:rFonts w:hAnsi="宋体"/>
          <w:color w:val="000000"/>
          <w:sz w:val="24"/>
          <w:highlight w:val="none"/>
        </w:rPr>
      </w:pPr>
      <w:r>
        <w:rPr>
          <w:rFonts w:hint="eastAsia" w:hAnsi="宋体"/>
          <w:color w:val="000000"/>
          <w:sz w:val="24"/>
          <w:highlight w:val="none"/>
        </w:rPr>
        <w:t>（3）参加采购活动前3年内是供应商的控股股东或者实际控制人；</w:t>
      </w:r>
    </w:p>
    <w:p>
      <w:pPr>
        <w:spacing w:line="400" w:lineRule="exact"/>
        <w:ind w:left="1" w:firstLine="480" w:firstLineChars="200"/>
        <w:rPr>
          <w:rFonts w:hAnsi="宋体"/>
          <w:color w:val="000000"/>
          <w:sz w:val="24"/>
          <w:highlight w:val="none"/>
        </w:rPr>
      </w:pPr>
      <w:r>
        <w:rPr>
          <w:rFonts w:hint="eastAsia" w:hAnsi="宋体"/>
          <w:color w:val="000000"/>
          <w:sz w:val="24"/>
          <w:highlight w:val="none"/>
        </w:rPr>
        <w:t>（4）与供应商的法定代表人或者负责人有夫妻、直系血亲、三代以内旁系血亲或者近姻亲关系；</w:t>
      </w:r>
    </w:p>
    <w:p>
      <w:pPr>
        <w:spacing w:line="400" w:lineRule="exact"/>
        <w:ind w:left="1" w:firstLine="480" w:firstLineChars="200"/>
        <w:rPr>
          <w:rFonts w:hAnsi="宋体"/>
          <w:color w:val="000000"/>
          <w:sz w:val="24"/>
          <w:highlight w:val="none"/>
        </w:rPr>
      </w:pPr>
      <w:r>
        <w:rPr>
          <w:rFonts w:hint="eastAsia" w:hAnsi="宋体"/>
          <w:color w:val="000000"/>
          <w:sz w:val="24"/>
          <w:highlight w:val="none"/>
        </w:rPr>
        <w:t>（5）与供应商有其他可能影响政府采购活动公平、公正进行的关系。</w:t>
      </w:r>
    </w:p>
    <w:p>
      <w:pPr>
        <w:spacing w:line="400" w:lineRule="exact"/>
        <w:ind w:left="1" w:firstLine="480" w:firstLineChars="200"/>
        <w:rPr>
          <w:rFonts w:hAnsi="宋体"/>
          <w:color w:val="000000"/>
          <w:sz w:val="24"/>
          <w:highlight w:val="none"/>
        </w:rPr>
      </w:pPr>
      <w:r>
        <w:rPr>
          <w:rFonts w:hint="eastAsia" w:hAnsi="宋体"/>
          <w:color w:val="00000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400" w:lineRule="exact"/>
        <w:ind w:left="1" w:firstLine="480" w:firstLineChars="200"/>
        <w:rPr>
          <w:rFonts w:hAnsi="宋体"/>
          <w:b/>
          <w:color w:val="000000"/>
          <w:sz w:val="24"/>
          <w:highlight w:val="none"/>
        </w:rPr>
      </w:pPr>
      <w:r>
        <w:rPr>
          <w:rFonts w:hint="eastAsia" w:hAnsi="宋体"/>
          <w:color w:val="000000"/>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400" w:lineRule="exact"/>
        <w:ind w:left="1" w:firstLine="482" w:firstLineChars="200"/>
        <w:rPr>
          <w:rFonts w:hAnsi="宋体"/>
          <w:b/>
          <w:color w:val="000000"/>
          <w:sz w:val="24"/>
          <w:highlight w:val="none"/>
        </w:rPr>
      </w:pPr>
      <w:r>
        <w:rPr>
          <w:rFonts w:hint="eastAsia" w:hAnsi="宋体"/>
          <w:b/>
          <w:color w:val="000000"/>
          <w:sz w:val="24"/>
          <w:highlight w:val="none"/>
        </w:rPr>
        <w:t>6.联合体竞争性磋商</w:t>
      </w:r>
    </w:p>
    <w:p>
      <w:pPr>
        <w:spacing w:line="400" w:lineRule="exact"/>
        <w:ind w:left="1" w:firstLine="480" w:firstLineChars="200"/>
        <w:rPr>
          <w:rFonts w:hAnsi="宋体"/>
          <w:color w:val="000000"/>
          <w:sz w:val="24"/>
          <w:highlight w:val="none"/>
        </w:rPr>
      </w:pPr>
      <w:r>
        <w:rPr>
          <w:rFonts w:hint="eastAsia" w:hAnsi="宋体"/>
          <w:color w:val="000000"/>
          <w:sz w:val="24"/>
          <w:highlight w:val="none"/>
        </w:rPr>
        <w:t>本项目不接受联合体投标。</w:t>
      </w:r>
    </w:p>
    <w:p>
      <w:pPr>
        <w:spacing w:line="400" w:lineRule="exact"/>
        <w:ind w:left="1" w:firstLine="482" w:firstLineChars="200"/>
        <w:rPr>
          <w:rFonts w:hAnsi="宋体"/>
          <w:b/>
          <w:color w:val="000000"/>
          <w:sz w:val="24"/>
          <w:highlight w:val="none"/>
        </w:rPr>
      </w:pPr>
      <w:r>
        <w:rPr>
          <w:rFonts w:hint="eastAsia" w:hAnsi="宋体"/>
          <w:b/>
          <w:color w:val="000000"/>
          <w:sz w:val="24"/>
          <w:highlight w:val="none"/>
        </w:rPr>
        <w:t>7.磋商保证金</w:t>
      </w:r>
    </w:p>
    <w:p>
      <w:pPr>
        <w:spacing w:line="400" w:lineRule="exact"/>
        <w:ind w:firstLine="470" w:firstLineChars="196"/>
        <w:rPr>
          <w:rFonts w:ascii="宋体" w:hAnsi="宋体"/>
          <w:color w:val="000000"/>
          <w:sz w:val="24"/>
          <w:highlight w:val="none"/>
        </w:rPr>
      </w:pPr>
      <w:r>
        <w:rPr>
          <w:rFonts w:hint="eastAsia" w:hAnsi="宋体"/>
          <w:color w:val="000000"/>
          <w:sz w:val="24"/>
          <w:highlight w:val="none"/>
        </w:rPr>
        <w:t>本项目不缴纳投标保证金。</w:t>
      </w:r>
    </w:p>
    <w:p>
      <w:pPr>
        <w:spacing w:line="400" w:lineRule="exact"/>
        <w:ind w:firstLine="472" w:firstLineChars="196"/>
        <w:rPr>
          <w:rFonts w:ascii="宋体" w:hAnsi="宋体"/>
          <w:b/>
          <w:color w:val="000000"/>
          <w:sz w:val="24"/>
          <w:highlight w:val="none"/>
        </w:rPr>
      </w:pPr>
      <w:r>
        <w:rPr>
          <w:rFonts w:hint="eastAsia" w:ascii="宋体" w:hAnsi="宋体"/>
          <w:b/>
          <w:color w:val="000000"/>
          <w:sz w:val="24"/>
          <w:highlight w:val="none"/>
        </w:rPr>
        <w:t>8.响应文件有效期</w:t>
      </w:r>
    </w:p>
    <w:p>
      <w:pPr>
        <w:spacing w:line="400" w:lineRule="exact"/>
        <w:ind w:firstLine="470" w:firstLineChars="196"/>
        <w:rPr>
          <w:highlight w:val="none"/>
        </w:rPr>
      </w:pPr>
      <w:r>
        <w:rPr>
          <w:rFonts w:hint="eastAsia" w:ascii="宋体" w:hAnsi="宋体"/>
          <w:color w:val="000000"/>
          <w:sz w:val="24"/>
          <w:highlight w:val="none"/>
        </w:rPr>
        <w:t>本项目响应文件有效期为递交磋商响应文件截止之日起60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361" w:firstLineChars="150"/>
        <w:rPr>
          <w:rFonts w:ascii="宋体" w:hAnsi="宋体"/>
          <w:b/>
          <w:color w:val="000000"/>
          <w:sz w:val="24"/>
          <w:highlight w:val="none"/>
        </w:rPr>
      </w:pPr>
      <w:r>
        <w:rPr>
          <w:rFonts w:hint="eastAsia" w:ascii="宋体" w:hAnsi="宋体"/>
          <w:b/>
          <w:color w:val="000000"/>
          <w:sz w:val="24"/>
          <w:highlight w:val="none"/>
        </w:rPr>
        <w:t>9.知识产权</w:t>
      </w:r>
    </w:p>
    <w:p>
      <w:pPr>
        <w:spacing w:line="400" w:lineRule="exact"/>
        <w:ind w:firstLine="360" w:firstLineChars="15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.1</w:t>
      </w:r>
      <w:r>
        <w:rPr>
          <w:rFonts w:hint="eastAsia" w:ascii="宋体" w:hAnsi="宋体"/>
          <w:color w:val="000000"/>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400" w:lineRule="exact"/>
        <w:ind w:firstLine="360" w:firstLineChars="15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.2</w:t>
      </w:r>
      <w:r>
        <w:rPr>
          <w:rFonts w:hint="eastAsia" w:ascii="宋体" w:hAnsi="宋体"/>
          <w:color w:val="000000"/>
          <w:sz w:val="24"/>
          <w:highlight w:val="none"/>
        </w:rPr>
        <w:t xml:space="preserve"> 除非磋商文件特别规定，采购人享有本项目实施过程中产生的知识成果及知识产权。</w:t>
      </w:r>
    </w:p>
    <w:p>
      <w:pPr>
        <w:spacing w:line="400" w:lineRule="exact"/>
        <w:ind w:firstLine="360" w:firstLineChars="15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.3</w:t>
      </w:r>
      <w:r>
        <w:rPr>
          <w:rFonts w:hint="eastAsia" w:ascii="宋体" w:hAnsi="宋体"/>
          <w:color w:val="000000"/>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360" w:firstLineChars="150"/>
        <w:rPr>
          <w:highlight w:val="none"/>
        </w:rPr>
      </w:pPr>
      <w:r>
        <w:rPr>
          <w:rFonts w:hint="eastAsia" w:ascii="宋体" w:hAnsi="宋体"/>
          <w:color w:val="000000"/>
          <w:sz w:val="24"/>
          <w:highlight w:val="none"/>
        </w:rPr>
        <w:t>9</w:t>
      </w:r>
      <w:r>
        <w:rPr>
          <w:rFonts w:ascii="宋体" w:hAnsi="宋体"/>
          <w:color w:val="000000"/>
          <w:sz w:val="24"/>
          <w:highlight w:val="none"/>
        </w:rPr>
        <w:t>.4</w:t>
      </w:r>
      <w:r>
        <w:rPr>
          <w:rFonts w:hint="eastAsia" w:ascii="宋体" w:hAnsi="宋体"/>
          <w:color w:val="000000"/>
          <w:sz w:val="24"/>
          <w:highlight w:val="none"/>
        </w:rPr>
        <w:t xml:space="preserve"> 如采用供应商所不拥有的知识产权，则在报价中必须包括合法获取该知识产权的相关费用。 </w:t>
      </w:r>
      <w:bookmarkStart w:id="20" w:name="_Toc77400779"/>
      <w:bookmarkStart w:id="21" w:name="_Toc217446038"/>
      <w:bookmarkStart w:id="22" w:name="_Toc89075875"/>
      <w:bookmarkStart w:id="23" w:name="_Toc183682346"/>
      <w:bookmarkStart w:id="24" w:name="_Toc183582209"/>
    </w:p>
    <w:p>
      <w:pPr>
        <w:pStyle w:val="3"/>
        <w:spacing w:before="20" w:after="20" w:line="360" w:lineRule="auto"/>
        <w:jc w:val="center"/>
        <w:rPr>
          <w:rFonts w:ascii="宋体" w:hAnsi="宋体"/>
          <w:color w:val="000000"/>
          <w:sz w:val="24"/>
          <w:highlight w:val="none"/>
        </w:rPr>
      </w:pPr>
      <w:r>
        <w:rPr>
          <w:rFonts w:hint="eastAsia"/>
          <w:color w:val="000000"/>
          <w:sz w:val="28"/>
          <w:szCs w:val="28"/>
          <w:highlight w:val="none"/>
        </w:rPr>
        <w:t>三、磋商文件</w:t>
      </w:r>
      <w:bookmarkEnd w:id="20"/>
      <w:bookmarkEnd w:id="21"/>
      <w:bookmarkEnd w:id="22"/>
      <w:bookmarkEnd w:id="23"/>
      <w:bookmarkEnd w:id="24"/>
      <w:bookmarkStart w:id="25" w:name="_Toc217446039"/>
      <w:bookmarkStart w:id="26" w:name="_Toc183582210"/>
      <w:bookmarkStart w:id="27" w:name="_Toc183682347"/>
    </w:p>
    <w:p>
      <w:pPr>
        <w:pStyle w:val="5"/>
        <w:keepNext w:val="0"/>
        <w:keepLines w:val="0"/>
        <w:spacing w:before="0" w:after="0" w:line="400" w:lineRule="exact"/>
        <w:ind w:firstLine="482" w:firstLineChars="200"/>
        <w:rPr>
          <w:rFonts w:ascii="宋体" w:hAnsi="宋体"/>
          <w:color w:val="000000"/>
          <w:sz w:val="24"/>
          <w:highlight w:val="none"/>
        </w:rPr>
      </w:pPr>
      <w:r>
        <w:rPr>
          <w:rFonts w:hint="eastAsia" w:ascii="宋体" w:hAnsi="宋体"/>
          <w:color w:val="000000"/>
          <w:sz w:val="24"/>
          <w:highlight w:val="none"/>
        </w:rPr>
        <w:t>10．磋商文件的构成</w:t>
      </w:r>
      <w:bookmarkEnd w:id="25"/>
      <w:bookmarkEnd w:id="26"/>
      <w:bookmarkEnd w:id="27"/>
    </w:p>
    <w:p>
      <w:pPr>
        <w:tabs>
          <w:tab w:val="left" w:pos="720"/>
        </w:tabs>
        <w:spacing w:line="400" w:lineRule="exact"/>
        <w:ind w:firstLine="480" w:firstLineChars="200"/>
        <w:rPr>
          <w:rFonts w:ascii="宋体" w:hAnsi="宋体"/>
          <w:color w:val="FF0000"/>
          <w:sz w:val="24"/>
          <w:highlight w:val="none"/>
        </w:rPr>
      </w:pPr>
      <w:r>
        <w:rPr>
          <w:rFonts w:hint="eastAsia" w:ascii="宋体" w:hAnsi="宋体"/>
          <w:color w:val="000000"/>
          <w:sz w:val="24"/>
          <w:highlight w:val="none"/>
        </w:rPr>
        <w:t>10</w:t>
      </w:r>
      <w:r>
        <w:rPr>
          <w:rFonts w:ascii="宋体" w:hAnsi="宋体"/>
          <w:b/>
          <w:bCs/>
          <w:color w:val="000000"/>
          <w:sz w:val="24"/>
          <w:highlight w:val="none"/>
        </w:rPr>
        <w:t>.</w:t>
      </w:r>
      <w:r>
        <w:rPr>
          <w:rFonts w:hint="eastAsia" w:ascii="宋体" w:hAnsi="宋体"/>
          <w:color w:val="000000"/>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10</w:t>
      </w:r>
      <w:r>
        <w:rPr>
          <w:rFonts w:hint="eastAsia" w:ascii="宋体" w:hAnsi="宋体"/>
          <w:b/>
          <w:bCs/>
          <w:color w:val="000000"/>
          <w:sz w:val="24"/>
          <w:highlight w:val="none"/>
        </w:rPr>
        <w:t>.</w:t>
      </w:r>
      <w:r>
        <w:rPr>
          <w:rFonts w:hint="eastAsia" w:ascii="宋体" w:hAnsi="宋体"/>
          <w:color w:val="000000"/>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8" w:name="_Toc183682348"/>
      <w:bookmarkStart w:id="29" w:name="_Toc183582211"/>
      <w:bookmarkStart w:id="30" w:name="_Toc217446040"/>
    </w:p>
    <w:p>
      <w:pPr>
        <w:pStyle w:val="5"/>
        <w:keepNext w:val="0"/>
        <w:keepLines w:val="0"/>
        <w:spacing w:before="0" w:after="0" w:line="400" w:lineRule="exact"/>
        <w:ind w:firstLine="482" w:firstLineChars="200"/>
        <w:rPr>
          <w:rFonts w:ascii="宋体" w:hAnsi="宋体"/>
          <w:color w:val="000000"/>
          <w:sz w:val="24"/>
          <w:highlight w:val="none"/>
        </w:rPr>
      </w:pPr>
      <w:r>
        <w:rPr>
          <w:rFonts w:hint="eastAsia" w:ascii="宋体" w:hAnsi="宋体"/>
          <w:color w:val="000000"/>
          <w:sz w:val="24"/>
          <w:highlight w:val="none"/>
        </w:rPr>
        <w:t>11. 磋商文件的澄清</w:t>
      </w:r>
      <w:bookmarkEnd w:id="28"/>
      <w:bookmarkEnd w:id="29"/>
      <w:r>
        <w:rPr>
          <w:rFonts w:hint="eastAsia" w:ascii="宋体" w:hAnsi="宋体"/>
          <w:color w:val="000000"/>
          <w:sz w:val="24"/>
          <w:highlight w:val="none"/>
        </w:rPr>
        <w:t>和修改</w:t>
      </w:r>
      <w:bookmarkEnd w:id="30"/>
    </w:p>
    <w:p>
      <w:pPr>
        <w:tabs>
          <w:tab w:val="left" w:pos="720"/>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11.1 在递交响应文件截止时间前，采购人、采购代理机构可以对磋商文件进行澄清或者修改。</w:t>
      </w:r>
    </w:p>
    <w:p>
      <w:pPr>
        <w:tabs>
          <w:tab w:val="left" w:pos="720"/>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11.3供应商对磋商文件如有疑点要求澄清，或认为有必要与采购人进行相关问题交流时，可以书面形式直接通知采购人，但通知不得迟于磋商前5 天。供应商在规定的时间内未对磋商文件澄清或提出疑问的，采购人将视其为同意。</w:t>
      </w:r>
    </w:p>
    <w:p>
      <w:pPr>
        <w:pStyle w:val="5"/>
        <w:keepNext w:val="0"/>
        <w:keepLines w:val="0"/>
        <w:spacing w:before="0" w:after="0" w:line="400" w:lineRule="exact"/>
        <w:ind w:firstLine="482" w:firstLineChars="200"/>
        <w:rPr>
          <w:rFonts w:ascii="宋体" w:hAnsi="宋体"/>
          <w:color w:val="000000"/>
          <w:sz w:val="24"/>
          <w:highlight w:val="none"/>
        </w:rPr>
      </w:pPr>
      <w:bookmarkStart w:id="31" w:name="_Toc208848971"/>
      <w:bookmarkStart w:id="32" w:name="_Toc217446041"/>
      <w:r>
        <w:rPr>
          <w:rFonts w:hint="eastAsia" w:ascii="宋体" w:hAnsi="宋体"/>
          <w:color w:val="000000"/>
          <w:sz w:val="24"/>
          <w:highlight w:val="none"/>
        </w:rPr>
        <w:t>12. 答疑会和现场考察</w:t>
      </w:r>
      <w:bookmarkEnd w:id="31"/>
      <w:bookmarkEnd w:id="32"/>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ascii="宋体" w:hAnsi="宋体"/>
          <w:sz w:val="24"/>
          <w:highlight w:val="none"/>
        </w:rPr>
      </w:pPr>
      <w:r>
        <w:rPr>
          <w:rFonts w:hint="eastAsia" w:ascii="宋体" w:hAnsi="宋体"/>
          <w:color w:val="000000"/>
          <w:sz w:val="24"/>
          <w:highlight w:val="none"/>
        </w:rPr>
        <w:t>12.2采购人、采购代理机构组织现场考察或者召开答疑会的，将以书面形式通知所有获取磋商文件的潜在供应商。</w:t>
      </w:r>
      <w:r>
        <w:rPr>
          <w:rFonts w:hint="eastAsia" w:ascii="宋体" w:hAnsi="宋体"/>
          <w:sz w:val="24"/>
          <w:highlight w:val="none"/>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00" w:lineRule="exact"/>
        <w:ind w:firstLine="420" w:firstLineChars="175"/>
        <w:rPr>
          <w:highlight w:val="none"/>
        </w:rPr>
      </w:pPr>
      <w:r>
        <w:rPr>
          <w:rFonts w:hint="eastAsia" w:ascii="宋体" w:hAnsi="宋体"/>
          <w:color w:val="000000"/>
          <w:sz w:val="24"/>
          <w:highlight w:val="none"/>
        </w:rPr>
        <w:t>12</w:t>
      </w:r>
      <w:r>
        <w:rPr>
          <w:rFonts w:ascii="宋体" w:hAnsi="宋体"/>
          <w:color w:val="000000"/>
          <w:sz w:val="24"/>
          <w:highlight w:val="none"/>
        </w:rPr>
        <w:t>.</w:t>
      </w:r>
      <w:r>
        <w:rPr>
          <w:rFonts w:hint="eastAsia" w:ascii="宋体" w:hAnsi="宋体"/>
          <w:color w:val="000000"/>
          <w:sz w:val="24"/>
          <w:highlight w:val="none"/>
        </w:rPr>
        <w:t>3 供应商考察现场或者参加答疑会所发生的一切费用由供应商自己承担。</w:t>
      </w:r>
      <w:bookmarkStart w:id="33" w:name="_Toc217446042"/>
      <w:bookmarkStart w:id="34" w:name="_Toc89075876"/>
      <w:bookmarkStart w:id="35" w:name="_Toc183582214"/>
      <w:bookmarkStart w:id="36" w:name="_Toc183682351"/>
      <w:bookmarkStart w:id="37" w:name="_Toc77400780"/>
    </w:p>
    <w:p>
      <w:pPr>
        <w:pStyle w:val="3"/>
        <w:adjustRightInd w:val="0"/>
        <w:snapToGrid w:val="0"/>
        <w:spacing w:before="20" w:after="20" w:line="360" w:lineRule="auto"/>
        <w:jc w:val="center"/>
        <w:rPr>
          <w:highlight w:val="none"/>
        </w:rPr>
      </w:pPr>
      <w:r>
        <w:rPr>
          <w:rFonts w:hint="eastAsia"/>
          <w:color w:val="000000"/>
          <w:sz w:val="28"/>
          <w:szCs w:val="28"/>
          <w:highlight w:val="none"/>
        </w:rPr>
        <w:t>四、响应文件</w:t>
      </w:r>
      <w:bookmarkEnd w:id="33"/>
      <w:bookmarkEnd w:id="34"/>
      <w:bookmarkEnd w:id="35"/>
      <w:bookmarkEnd w:id="36"/>
      <w:bookmarkEnd w:id="37"/>
    </w:p>
    <w:p>
      <w:pPr>
        <w:pStyle w:val="5"/>
        <w:keepNext w:val="0"/>
        <w:keepLines w:val="0"/>
        <w:spacing w:before="0" w:after="0" w:line="400" w:lineRule="exact"/>
        <w:ind w:firstLine="482" w:firstLineChars="200"/>
        <w:rPr>
          <w:rFonts w:ascii="宋体" w:hAnsi="宋体"/>
          <w:color w:val="000000"/>
          <w:sz w:val="24"/>
          <w:highlight w:val="none"/>
        </w:rPr>
      </w:pPr>
      <w:bookmarkStart w:id="38" w:name="_Toc183682352"/>
      <w:bookmarkStart w:id="39" w:name="_Toc183582215"/>
      <w:bookmarkStart w:id="40" w:name="_Toc217446043"/>
      <w:r>
        <w:rPr>
          <w:rFonts w:hint="eastAsia" w:ascii="宋体" w:hAnsi="宋体"/>
          <w:color w:val="000000"/>
          <w:sz w:val="24"/>
          <w:highlight w:val="none"/>
        </w:rPr>
        <w:t>13.响应文件的组成</w:t>
      </w:r>
    </w:p>
    <w:p>
      <w:pPr>
        <w:spacing w:line="400" w:lineRule="exact"/>
        <w:ind w:left="2" w:leftChars="1" w:firstLine="480" w:firstLineChars="200"/>
        <w:rPr>
          <w:rFonts w:ascii="宋体" w:hAnsi="宋体"/>
          <w:color w:val="000000"/>
          <w:sz w:val="24"/>
          <w:highlight w:val="none"/>
        </w:rPr>
      </w:pPr>
      <w:r>
        <w:rPr>
          <w:rFonts w:hint="eastAsia" w:ascii="宋体" w:hAnsi="宋体"/>
          <w:color w:val="000000"/>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keepNext w:val="0"/>
        <w:keepLines w:val="0"/>
        <w:spacing w:before="0" w:after="0" w:line="400" w:lineRule="exact"/>
        <w:ind w:firstLine="482" w:firstLineChars="200"/>
        <w:rPr>
          <w:rFonts w:ascii="宋体" w:hAnsi="宋体"/>
          <w:bCs w:val="0"/>
          <w:color w:val="000000"/>
          <w:sz w:val="24"/>
          <w:highlight w:val="none"/>
        </w:rPr>
      </w:pPr>
      <w:r>
        <w:rPr>
          <w:rFonts w:hint="eastAsia" w:ascii="宋体" w:hAnsi="宋体"/>
          <w:bCs w:val="0"/>
          <w:color w:val="000000"/>
          <w:sz w:val="24"/>
          <w:highlight w:val="none"/>
        </w:rPr>
        <w:t>14.响应文件的语言</w:t>
      </w:r>
      <w:bookmarkEnd w:id="38"/>
      <w:bookmarkEnd w:id="39"/>
      <w:bookmarkEnd w:id="40"/>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14.1</w:t>
      </w:r>
      <w:r>
        <w:rPr>
          <w:rFonts w:hint="eastAsia"/>
          <w:color w:val="000000"/>
          <w:sz w:val="24"/>
          <w:highlight w:val="none"/>
        </w:rPr>
        <w:t xml:space="preserve"> </w:t>
      </w:r>
      <w:r>
        <w:rPr>
          <w:rFonts w:hint="eastAsia" w:ascii="宋体" w:hAnsi="宋体"/>
          <w:color w:val="000000"/>
          <w:sz w:val="24"/>
          <w:highlight w:val="none"/>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2" w:firstLineChars="200"/>
        <w:rPr>
          <w:rFonts w:ascii="宋体" w:hAnsi="宋体"/>
          <w:color w:val="000000"/>
          <w:sz w:val="24"/>
          <w:highlight w:val="none"/>
        </w:rPr>
      </w:pPr>
      <w:bookmarkStart w:id="41" w:name="_Toc183582216"/>
      <w:bookmarkStart w:id="42" w:name="_Toc183682353"/>
      <w:bookmarkStart w:id="43" w:name="_Toc217446044"/>
      <w:r>
        <w:rPr>
          <w:rFonts w:hint="eastAsia" w:ascii="宋体" w:hAnsi="宋体"/>
          <w:color w:val="000000"/>
          <w:sz w:val="24"/>
          <w:highlight w:val="none"/>
        </w:rPr>
        <w:t>15．计量单位</w:t>
      </w:r>
      <w:bookmarkEnd w:id="41"/>
      <w:bookmarkEnd w:id="42"/>
      <w:bookmarkEnd w:id="43"/>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除磋商文件中另有规定外，本次采购项目所有合同项下的报价均采用国家法定的计量单位。</w:t>
      </w:r>
    </w:p>
    <w:p>
      <w:pPr>
        <w:spacing w:line="400" w:lineRule="exact"/>
        <w:ind w:firstLine="470" w:firstLineChars="195"/>
        <w:rPr>
          <w:rFonts w:ascii="宋体" w:hAnsi="宋体"/>
          <w:b/>
          <w:bCs/>
          <w:color w:val="000000"/>
          <w:sz w:val="24"/>
          <w:highlight w:val="none"/>
        </w:rPr>
      </w:pPr>
      <w:bookmarkStart w:id="44" w:name="_Toc217446045"/>
      <w:r>
        <w:rPr>
          <w:rFonts w:hint="eastAsia" w:ascii="宋体" w:hAnsi="宋体"/>
          <w:b/>
          <w:bCs/>
          <w:color w:val="000000"/>
          <w:sz w:val="24"/>
          <w:highlight w:val="none"/>
        </w:rPr>
        <w:t xml:space="preserve">16. </w:t>
      </w:r>
      <w:r>
        <w:rPr>
          <w:rFonts w:hint="eastAsia" w:ascii="宋体" w:hAnsi="宋体"/>
          <w:b/>
          <w:color w:val="000000"/>
          <w:sz w:val="24"/>
          <w:highlight w:val="none"/>
        </w:rPr>
        <w:t>报价</w:t>
      </w:r>
      <w:r>
        <w:rPr>
          <w:rFonts w:hint="eastAsia" w:ascii="宋体" w:hAnsi="宋体"/>
          <w:b/>
          <w:bCs/>
          <w:color w:val="000000"/>
          <w:sz w:val="24"/>
          <w:highlight w:val="none"/>
        </w:rPr>
        <w:t>货币</w:t>
      </w:r>
    </w:p>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本次磋商项目的</w:t>
      </w:r>
      <w:r>
        <w:rPr>
          <w:rFonts w:hint="eastAsia" w:ascii="宋体" w:hAnsi="宋体"/>
          <w:color w:val="000000"/>
          <w:sz w:val="24"/>
          <w:highlight w:val="none"/>
        </w:rPr>
        <w:t>报价货币为</w:t>
      </w:r>
      <w:r>
        <w:rPr>
          <w:rFonts w:hint="eastAsia" w:ascii="宋体" w:hAnsi="宋体"/>
          <w:bCs/>
          <w:color w:val="000000"/>
          <w:sz w:val="24"/>
          <w:highlight w:val="none"/>
        </w:rPr>
        <w:t>人民币，报价以磋商文件规定为准。</w:t>
      </w:r>
    </w:p>
    <w:bookmarkEnd w:id="44"/>
    <w:p>
      <w:pPr>
        <w:spacing w:line="400" w:lineRule="exact"/>
        <w:ind w:left="2" w:leftChars="1" w:firstLine="482" w:firstLineChars="200"/>
        <w:rPr>
          <w:rFonts w:ascii="宋体" w:hAnsi="宋体"/>
          <w:b/>
          <w:bCs/>
          <w:color w:val="000000"/>
          <w:sz w:val="24"/>
          <w:highlight w:val="none"/>
        </w:rPr>
      </w:pPr>
      <w:r>
        <w:rPr>
          <w:rFonts w:hint="eastAsia" w:ascii="宋体" w:hAnsi="宋体"/>
          <w:b/>
          <w:bCs/>
          <w:color w:val="000000"/>
          <w:sz w:val="24"/>
          <w:highlight w:val="none"/>
        </w:rPr>
        <w:t>17.响应文件格式</w:t>
      </w:r>
    </w:p>
    <w:p>
      <w:pPr>
        <w:spacing w:line="400" w:lineRule="exact"/>
        <w:ind w:left="2" w:leftChars="1" w:firstLine="480" w:firstLineChars="200"/>
        <w:rPr>
          <w:rFonts w:ascii="宋体" w:hAnsi="宋体"/>
          <w:bCs/>
          <w:color w:val="000000"/>
          <w:sz w:val="24"/>
          <w:highlight w:val="none"/>
        </w:rPr>
      </w:pPr>
      <w:r>
        <w:rPr>
          <w:rFonts w:hint="eastAsia" w:ascii="宋体" w:hAnsi="宋体"/>
          <w:bCs/>
          <w:color w:val="000000"/>
          <w:sz w:val="24"/>
          <w:highlight w:val="none"/>
        </w:rPr>
        <w:t>17.1 供应商应执行</w:t>
      </w:r>
      <w:r>
        <w:rPr>
          <w:rFonts w:hint="eastAsia" w:ascii="宋体" w:hAnsi="宋体"/>
          <w:color w:val="000000"/>
          <w:sz w:val="24"/>
          <w:highlight w:val="none"/>
        </w:rPr>
        <w:t>磋商文件第七章的规定要</w:t>
      </w:r>
      <w:r>
        <w:rPr>
          <w:rFonts w:hint="eastAsia" w:ascii="宋体" w:hAnsi="宋体"/>
          <w:bCs/>
          <w:color w:val="000000"/>
          <w:sz w:val="24"/>
          <w:highlight w:val="none"/>
        </w:rPr>
        <w:t>求。</w:t>
      </w:r>
    </w:p>
    <w:p>
      <w:pPr>
        <w:spacing w:line="400" w:lineRule="exact"/>
        <w:ind w:left="2" w:leftChars="1" w:firstLine="480" w:firstLineChars="200"/>
        <w:rPr>
          <w:rFonts w:ascii="宋体" w:hAnsi="宋体"/>
          <w:color w:val="000000"/>
          <w:sz w:val="24"/>
          <w:highlight w:val="none"/>
        </w:rPr>
      </w:pPr>
      <w:r>
        <w:rPr>
          <w:rFonts w:hint="eastAsia" w:ascii="宋体" w:hAnsi="宋体"/>
          <w:color w:val="000000"/>
          <w:sz w:val="24"/>
          <w:highlight w:val="none"/>
        </w:rPr>
        <w:t>17.2 对于没有格式要求的磋商文件由供应商自行编写。</w:t>
      </w:r>
    </w:p>
    <w:p>
      <w:pPr>
        <w:spacing w:line="400" w:lineRule="exact"/>
        <w:ind w:firstLine="472" w:firstLineChars="196"/>
        <w:rPr>
          <w:rFonts w:ascii="宋体" w:hAnsi="宋体"/>
          <w:b/>
          <w:color w:val="000000"/>
          <w:sz w:val="24"/>
          <w:highlight w:val="none"/>
        </w:rPr>
      </w:pPr>
      <w:bookmarkStart w:id="45" w:name="_Toc217446051"/>
      <w:bookmarkStart w:id="46" w:name="_Toc183582224"/>
      <w:bookmarkStart w:id="47" w:name="_Toc183682361"/>
      <w:r>
        <w:rPr>
          <w:rFonts w:hint="eastAsia" w:ascii="宋体" w:hAnsi="宋体"/>
          <w:b/>
          <w:color w:val="000000"/>
          <w:sz w:val="24"/>
          <w:highlight w:val="none"/>
        </w:rPr>
        <w:t>18.响应文件的编制和签署</w:t>
      </w:r>
    </w:p>
    <w:p>
      <w:pPr>
        <w:spacing w:line="400" w:lineRule="exact"/>
        <w:ind w:firstLine="468" w:firstLineChars="195"/>
        <w:rPr>
          <w:rFonts w:ascii="宋体" w:hAnsi="宋体"/>
          <w:bCs/>
          <w:color w:val="000000"/>
          <w:sz w:val="24"/>
          <w:highlight w:val="none"/>
        </w:rPr>
      </w:pPr>
      <w:r>
        <w:rPr>
          <w:rFonts w:hint="eastAsia" w:ascii="宋体" w:hAnsi="宋体"/>
          <w:color w:val="000000"/>
          <w:sz w:val="24"/>
          <w:highlight w:val="none"/>
        </w:rPr>
        <w:t>18.1 资格性响应文件正本1份副本2份</w:t>
      </w:r>
      <w:r>
        <w:rPr>
          <w:rFonts w:hint="eastAsia" w:ascii="宋体" w:hAnsi="宋体"/>
          <w:bCs/>
          <w:color w:val="000000"/>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18.2 其他响应文件正本壹份副本贰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18.3 响应文件正本和副本均需在规定签章处签字和盖章。响应文件副本可采用正本的复印件，电子文档采用光盘或U盘制作。</w:t>
      </w:r>
    </w:p>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18.4响应文件的打印和书写应清楚工整，任何行间插字、涂改或增删，必须由供应商的法定代表人或其授权代表签字并盖供应商公章。</w:t>
      </w:r>
    </w:p>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18.5（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ascii="宋体" w:hAnsi="宋体"/>
          <w:bCs/>
          <w:color w:val="000000"/>
          <w:sz w:val="24"/>
          <w:highlight w:val="none"/>
        </w:rPr>
      </w:pPr>
      <w:r>
        <w:rPr>
          <w:rFonts w:hint="eastAsia" w:ascii="宋体" w:hAnsi="宋体"/>
          <w:bCs/>
          <w:color w:val="000000"/>
          <w:sz w:val="24"/>
          <w:highlight w:val="none"/>
        </w:rPr>
        <w:t>18.6响应文件正本和副本需要逐页编目编码。</w:t>
      </w:r>
    </w:p>
    <w:p>
      <w:pPr>
        <w:tabs>
          <w:tab w:val="left" w:pos="1080"/>
        </w:tabs>
        <w:spacing w:line="400" w:lineRule="exact"/>
        <w:ind w:firstLine="460" w:firstLineChars="192"/>
        <w:rPr>
          <w:rFonts w:ascii="宋体" w:hAnsi="宋体"/>
          <w:color w:val="000000"/>
          <w:sz w:val="24"/>
          <w:highlight w:val="none"/>
        </w:rPr>
      </w:pPr>
      <w:r>
        <w:rPr>
          <w:rFonts w:hint="eastAsia" w:ascii="宋体" w:hAnsi="宋体"/>
          <w:color w:val="000000"/>
          <w:sz w:val="24"/>
          <w:highlight w:val="none"/>
        </w:rPr>
        <w:t>18.7响应文件正本和副本应当采用胶装方式装订成册，不得散装或者合页装订。</w:t>
      </w:r>
    </w:p>
    <w:p>
      <w:pPr>
        <w:tabs>
          <w:tab w:val="left" w:pos="1080"/>
        </w:tabs>
        <w:spacing w:line="400" w:lineRule="exact"/>
        <w:ind w:firstLine="460" w:firstLineChars="192"/>
        <w:rPr>
          <w:rFonts w:ascii="宋体" w:hAnsi="宋体"/>
          <w:color w:val="000000"/>
          <w:sz w:val="24"/>
          <w:highlight w:val="none"/>
        </w:rPr>
      </w:pPr>
      <w:r>
        <w:rPr>
          <w:rFonts w:hint="eastAsia" w:ascii="宋体" w:hAnsi="宋体"/>
          <w:color w:val="000000"/>
          <w:sz w:val="24"/>
          <w:highlight w:val="none"/>
        </w:rPr>
        <w:t>18.8响应文件应根据磋商文件的要求制作，签署、盖章。（按照《四川省政府采购评审工作规程（修订）》规范）</w:t>
      </w:r>
    </w:p>
    <w:p>
      <w:pPr>
        <w:tabs>
          <w:tab w:val="left" w:pos="1080"/>
        </w:tabs>
        <w:spacing w:line="400" w:lineRule="exact"/>
        <w:ind w:firstLine="460" w:firstLineChars="192"/>
        <w:rPr>
          <w:rFonts w:ascii="宋体" w:hAnsi="宋体"/>
          <w:color w:val="000000"/>
          <w:sz w:val="24"/>
          <w:highlight w:val="none"/>
        </w:rPr>
      </w:pPr>
      <w:r>
        <w:rPr>
          <w:rFonts w:hint="eastAsia" w:ascii="宋体" w:hAnsi="宋体"/>
          <w:color w:val="000000"/>
          <w:sz w:val="24"/>
          <w:highlight w:val="none"/>
        </w:rPr>
        <w:t>18.9响应文件统一用</w:t>
      </w:r>
      <w:r>
        <w:rPr>
          <w:rFonts w:ascii="宋体" w:hAnsi="宋体"/>
          <w:color w:val="000000"/>
          <w:sz w:val="24"/>
          <w:highlight w:val="none"/>
        </w:rPr>
        <w:t>A4</w:t>
      </w:r>
      <w:r>
        <w:rPr>
          <w:rFonts w:hint="eastAsia" w:ascii="宋体" w:hAnsi="宋体"/>
          <w:color w:val="000000"/>
          <w:sz w:val="24"/>
          <w:highlight w:val="none"/>
        </w:rPr>
        <w:t>幅面纸印制，除另有规定外。</w:t>
      </w:r>
    </w:p>
    <w:p>
      <w:pPr>
        <w:tabs>
          <w:tab w:val="left" w:pos="1080"/>
        </w:tabs>
        <w:spacing w:line="400" w:lineRule="exact"/>
        <w:ind w:firstLine="463" w:firstLineChars="192"/>
        <w:rPr>
          <w:rFonts w:ascii="宋体"/>
          <w:b/>
          <w:color w:val="000000"/>
          <w:sz w:val="24"/>
          <w:highlight w:val="none"/>
        </w:rPr>
      </w:pPr>
      <w:bookmarkStart w:id="48" w:name="_Toc89075877"/>
      <w:bookmarkStart w:id="49" w:name="_Toc77400781"/>
      <w:bookmarkStart w:id="50" w:name="_Toc183582226"/>
      <w:bookmarkStart w:id="51" w:name="_Toc183682363"/>
      <w:bookmarkStart w:id="52" w:name="_Toc217446053"/>
      <w:r>
        <w:rPr>
          <w:rFonts w:hint="eastAsia" w:ascii="宋体"/>
          <w:b/>
          <w:color w:val="000000"/>
          <w:sz w:val="24"/>
          <w:highlight w:val="none"/>
        </w:rPr>
        <w:t>19.响应文件的密封和标注（不属于本项目磋商小组评审范畴，由采购人、采购代理机构在接收响应文件时及时处理）</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19.1 响应文件可以单独密封包装，也可以所有响应文件密封包装在一个密封袋内。</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 xml:space="preserve"> 19.3 所有外层密封袋的封口处应粘贴牢固。</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19.4 未按以上要求进行密封和标注的响应文件，采购人、采购代理机构将拒收或者在时间允许的范围内，要求修改完善后接收。</w:t>
      </w:r>
    </w:p>
    <w:p>
      <w:pPr>
        <w:tabs>
          <w:tab w:val="left" w:pos="1080"/>
        </w:tabs>
        <w:spacing w:line="400" w:lineRule="exact"/>
        <w:ind w:firstLine="463" w:firstLineChars="192"/>
        <w:rPr>
          <w:rFonts w:ascii="宋体"/>
          <w:b/>
          <w:color w:val="000000"/>
          <w:sz w:val="24"/>
          <w:highlight w:val="none"/>
        </w:rPr>
      </w:pPr>
      <w:r>
        <w:rPr>
          <w:rFonts w:hint="eastAsia" w:ascii="宋体"/>
          <w:b/>
          <w:color w:val="000000"/>
          <w:sz w:val="24"/>
          <w:highlight w:val="none"/>
        </w:rPr>
        <w:t>20.响应文件的递交</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20.2 采购代理机构将向通过资格审查的供应商发出磋商邀请；告知未通过资格审查的供应商未通过的原因。</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20.3 报价表在磋商后，磋商小组要求供应商进行最后报价时递交。</w:t>
      </w:r>
    </w:p>
    <w:p>
      <w:pPr>
        <w:tabs>
          <w:tab w:val="left" w:pos="1080"/>
        </w:tabs>
        <w:spacing w:line="400" w:lineRule="exact"/>
        <w:ind w:firstLine="460" w:firstLineChars="192"/>
        <w:rPr>
          <w:rFonts w:ascii="宋体"/>
          <w:color w:val="000000"/>
          <w:sz w:val="24"/>
          <w:highlight w:val="none"/>
        </w:rPr>
      </w:pPr>
      <w:r>
        <w:rPr>
          <w:rFonts w:hint="eastAsia" w:ascii="宋体"/>
          <w:color w:val="000000"/>
          <w:sz w:val="24"/>
          <w:highlight w:val="none"/>
        </w:rPr>
        <w:t>20.4 本次采购不接收邮寄的响应文件。</w:t>
      </w:r>
    </w:p>
    <w:bookmarkEnd w:id="48"/>
    <w:bookmarkEnd w:id="49"/>
    <w:bookmarkEnd w:id="50"/>
    <w:bookmarkEnd w:id="51"/>
    <w:bookmarkEnd w:id="52"/>
    <w:p>
      <w:pPr>
        <w:tabs>
          <w:tab w:val="left" w:pos="1080"/>
        </w:tabs>
        <w:spacing w:line="400" w:lineRule="exact"/>
        <w:ind w:firstLine="463" w:firstLineChars="192"/>
        <w:rPr>
          <w:rFonts w:ascii="宋体" w:hAnsi="宋体"/>
          <w:b/>
          <w:color w:val="000000"/>
          <w:sz w:val="24"/>
          <w:highlight w:val="none"/>
        </w:rPr>
      </w:pPr>
      <w:bookmarkStart w:id="53" w:name="_Toc183582228"/>
      <w:bookmarkStart w:id="54" w:name="_Toc217446055"/>
      <w:bookmarkStart w:id="55" w:name="_Toc183682365"/>
      <w:r>
        <w:rPr>
          <w:rFonts w:hint="eastAsia" w:ascii="宋体" w:hAnsi="宋体"/>
          <w:b/>
          <w:color w:val="000000"/>
          <w:sz w:val="24"/>
          <w:highlight w:val="none"/>
        </w:rPr>
        <w:t>21.响应文件的修改和撤回（补充、修改响应文件的</w:t>
      </w:r>
      <w:r>
        <w:rPr>
          <w:rFonts w:hint="eastAsia" w:ascii="宋体"/>
          <w:b/>
          <w:color w:val="000000"/>
          <w:sz w:val="24"/>
          <w:highlight w:val="none"/>
        </w:rPr>
        <w:t>密封和标注按照本章“19.响应文件的密封和标注”规定处理</w:t>
      </w:r>
      <w:r>
        <w:rPr>
          <w:rFonts w:hint="eastAsia" w:ascii="宋体" w:hAnsi="宋体"/>
          <w:b/>
          <w:color w:val="000000"/>
          <w:sz w:val="24"/>
          <w:highlight w:val="none"/>
        </w:rPr>
        <w:t>）</w:t>
      </w:r>
    </w:p>
    <w:p>
      <w:pPr>
        <w:spacing w:line="400" w:lineRule="exact"/>
        <w:ind w:firstLine="480"/>
        <w:rPr>
          <w:color w:val="000000"/>
          <w:sz w:val="24"/>
          <w:highlight w:val="none"/>
        </w:rPr>
      </w:pPr>
      <w:r>
        <w:rPr>
          <w:rFonts w:hint="eastAsia"/>
          <w:color w:val="000000"/>
          <w:sz w:val="24"/>
          <w:highlight w:val="none"/>
        </w:rPr>
        <w:t>21</w:t>
      </w:r>
      <w:r>
        <w:rPr>
          <w:color w:val="000000"/>
          <w:sz w:val="24"/>
          <w:highlight w:val="none"/>
        </w:rPr>
        <w:t>.</w:t>
      </w:r>
      <w:r>
        <w:rPr>
          <w:rFonts w:hint="eastAsia"/>
          <w:color w:val="000000"/>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400" w:lineRule="exact"/>
        <w:ind w:firstLine="480" w:firstLineChars="200"/>
        <w:rPr>
          <w:rFonts w:hAnsi="宋体"/>
          <w:color w:val="000000"/>
          <w:sz w:val="24"/>
          <w:highlight w:val="none"/>
        </w:rPr>
      </w:pPr>
      <w:r>
        <w:rPr>
          <w:rFonts w:hint="eastAsia" w:hAnsi="宋体"/>
          <w:color w:val="000000"/>
          <w:sz w:val="24"/>
          <w:highlight w:val="none"/>
        </w:rPr>
        <w:t>21</w:t>
      </w:r>
      <w:r>
        <w:rPr>
          <w:rFonts w:hAnsi="宋体"/>
          <w:color w:val="000000"/>
          <w:sz w:val="24"/>
          <w:highlight w:val="none"/>
        </w:rPr>
        <w:t>.</w:t>
      </w:r>
      <w:r>
        <w:rPr>
          <w:rFonts w:hint="eastAsia" w:hAnsi="宋体"/>
          <w:color w:val="000000"/>
          <w:sz w:val="24"/>
          <w:highlight w:val="none"/>
        </w:rPr>
        <w:t>2供应商对响应文件修改的书面材料或撤回的通知应该按规定进行编写、密封、标注和递送，并注明“修改响应文件”字样。</w:t>
      </w:r>
    </w:p>
    <w:p>
      <w:pPr>
        <w:spacing w:line="400" w:lineRule="exact"/>
        <w:ind w:firstLine="480" w:firstLineChars="200"/>
        <w:rPr>
          <w:rFonts w:hAnsi="宋体"/>
          <w:color w:val="000000"/>
          <w:sz w:val="24"/>
          <w:highlight w:val="none"/>
        </w:rPr>
      </w:pPr>
      <w:r>
        <w:rPr>
          <w:rFonts w:hint="eastAsia" w:hAnsi="宋体"/>
          <w:color w:val="000000"/>
          <w:sz w:val="24"/>
          <w:highlight w:val="none"/>
        </w:rPr>
        <w:t>21</w:t>
      </w:r>
      <w:r>
        <w:rPr>
          <w:rFonts w:hAnsi="宋体"/>
          <w:color w:val="000000"/>
          <w:sz w:val="24"/>
          <w:highlight w:val="none"/>
        </w:rPr>
        <w:t>.</w:t>
      </w:r>
      <w:r>
        <w:rPr>
          <w:rFonts w:hint="eastAsia" w:hAnsi="宋体"/>
          <w:color w:val="000000"/>
          <w:sz w:val="24"/>
          <w:highlight w:val="none"/>
        </w:rPr>
        <w:t>3供应商不得在递交截止时间起至响应文件有效期期满前撤销其响应文件。</w:t>
      </w:r>
    </w:p>
    <w:p>
      <w:pPr>
        <w:spacing w:line="400" w:lineRule="exact"/>
        <w:ind w:firstLine="480"/>
        <w:rPr>
          <w:rFonts w:hAnsi="宋体"/>
          <w:sz w:val="24"/>
          <w:highlight w:val="none"/>
        </w:rPr>
      </w:pPr>
      <w:r>
        <w:rPr>
          <w:rFonts w:hint="eastAsia" w:hAnsi="宋体"/>
          <w:sz w:val="24"/>
          <w:highlight w:val="none"/>
        </w:rPr>
        <w:t>21.4 响应文件中报价如果出现下列不一致的，可按以下原则进行修改：</w:t>
      </w:r>
    </w:p>
    <w:p>
      <w:pPr>
        <w:spacing w:line="400" w:lineRule="exact"/>
        <w:ind w:firstLine="480"/>
        <w:rPr>
          <w:rFonts w:ascii="宋体" w:hAnsi="宋体"/>
          <w:sz w:val="24"/>
          <w:highlight w:val="none"/>
        </w:rPr>
      </w:pPr>
      <w:r>
        <w:rPr>
          <w:rFonts w:hint="eastAsia" w:ascii="宋体" w:hAnsi="宋体"/>
          <w:sz w:val="24"/>
          <w:highlight w:val="none"/>
        </w:rPr>
        <w:t>（一）</w:t>
      </w:r>
      <w:r>
        <w:rPr>
          <w:rFonts w:hint="eastAsia" w:ascii="宋体" w:hAnsi="宋体" w:cs="宋体"/>
          <w:kern w:val="0"/>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pPr>
        <w:spacing w:line="400" w:lineRule="exact"/>
        <w:ind w:firstLine="480"/>
        <w:rPr>
          <w:rFonts w:ascii="宋体" w:hAnsi="宋体"/>
          <w:sz w:val="24"/>
          <w:highlight w:val="none"/>
        </w:rPr>
      </w:pPr>
      <w:r>
        <w:rPr>
          <w:rFonts w:hint="eastAsia" w:ascii="宋体" w:hAnsi="宋体"/>
          <w:sz w:val="24"/>
          <w:highlight w:val="none"/>
        </w:rPr>
        <w:t>（二）</w:t>
      </w:r>
      <w:r>
        <w:rPr>
          <w:rFonts w:hint="eastAsia" w:ascii="宋体" w:hAnsi="宋体" w:cs="宋体"/>
          <w:kern w:val="0"/>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kern w:val="0"/>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kern w:val="0"/>
          <w:sz w:val="24"/>
          <w:highlight w:val="none"/>
        </w:rPr>
        <w:t>数字或者</w:t>
      </w:r>
      <w:r>
        <w:rPr>
          <w:rFonts w:hint="eastAsia" w:ascii="宋体" w:hAnsi="宋体"/>
          <w:sz w:val="24"/>
          <w:highlight w:val="none"/>
        </w:rPr>
        <w:t>文字错误进行澄清、说明或者更正，再行修正。</w:t>
      </w:r>
    </w:p>
    <w:p>
      <w:pPr>
        <w:spacing w:line="400" w:lineRule="exact"/>
        <w:ind w:firstLine="480"/>
        <w:rPr>
          <w:rFonts w:ascii="宋体" w:hAnsi="宋体"/>
          <w:sz w:val="24"/>
          <w:highlight w:val="none"/>
        </w:rPr>
      </w:pPr>
      <w:r>
        <w:rPr>
          <w:rFonts w:hint="eastAsia" w:ascii="宋体" w:hAnsi="宋体"/>
          <w:sz w:val="24"/>
          <w:highlight w:val="none"/>
        </w:rPr>
        <w:t>（三）单价金额小数点</w:t>
      </w:r>
      <w:r>
        <w:rPr>
          <w:rFonts w:hint="eastAsia" w:ascii="宋体" w:hAnsi="宋体" w:cs="宋体"/>
          <w:kern w:val="0"/>
          <w:sz w:val="24"/>
          <w:highlight w:val="none"/>
        </w:rPr>
        <w:t>或者百分比有明显错位的</w:t>
      </w:r>
      <w:r>
        <w:rPr>
          <w:rFonts w:hint="eastAsia" w:ascii="宋体" w:hAnsi="宋体"/>
          <w:sz w:val="24"/>
          <w:highlight w:val="none"/>
        </w:rPr>
        <w:t>，以总价为准，修正单价。</w:t>
      </w:r>
    </w:p>
    <w:p>
      <w:pPr>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color w:val="000000"/>
          <w:sz w:val="24"/>
          <w:highlight w:val="none"/>
        </w:rPr>
      </w:pPr>
      <w:r>
        <w:rPr>
          <w:rFonts w:hint="eastAsia"/>
          <w:color w:val="000000"/>
          <w:sz w:val="24"/>
          <w:highlight w:val="none"/>
        </w:rPr>
        <w:t>21.5供应商对其提交的响应文件的真实性、合法性承担法律责任。</w:t>
      </w:r>
      <w:bookmarkEnd w:id="53"/>
      <w:bookmarkEnd w:id="54"/>
      <w:bookmarkEnd w:id="55"/>
    </w:p>
    <w:p>
      <w:pPr>
        <w:pStyle w:val="4"/>
        <w:keepNext w:val="0"/>
        <w:keepLines w:val="0"/>
        <w:spacing w:before="0" w:after="0" w:line="360" w:lineRule="auto"/>
        <w:jc w:val="center"/>
        <w:rPr>
          <w:color w:val="000000"/>
          <w:sz w:val="28"/>
          <w:szCs w:val="28"/>
          <w:highlight w:val="none"/>
        </w:rPr>
      </w:pPr>
      <w:bookmarkStart w:id="56" w:name="_Toc183582231"/>
      <w:bookmarkStart w:id="57" w:name="_Toc89075878"/>
      <w:bookmarkStart w:id="58" w:name="_Toc217446056"/>
      <w:bookmarkStart w:id="59" w:name="_Toc183682368"/>
      <w:bookmarkStart w:id="60" w:name="_Toc77400782"/>
      <w:r>
        <w:rPr>
          <w:rFonts w:hint="eastAsia"/>
          <w:color w:val="000000"/>
          <w:sz w:val="28"/>
          <w:szCs w:val="28"/>
          <w:highlight w:val="none"/>
        </w:rPr>
        <w:t>五、评审</w:t>
      </w:r>
    </w:p>
    <w:p>
      <w:pPr>
        <w:pStyle w:val="4"/>
        <w:keepNext w:val="0"/>
        <w:keepLines w:val="0"/>
        <w:spacing w:before="0" w:after="0" w:line="400" w:lineRule="exact"/>
        <w:ind w:firstLine="482" w:firstLineChars="200"/>
        <w:rPr>
          <w:rFonts w:ascii="宋体" w:hAnsi="宋体" w:eastAsia="宋体"/>
          <w:b w:val="0"/>
          <w:color w:val="000000"/>
          <w:sz w:val="24"/>
          <w:szCs w:val="24"/>
          <w:highlight w:val="none"/>
        </w:rPr>
      </w:pPr>
      <w:r>
        <w:rPr>
          <w:rFonts w:hint="eastAsia" w:ascii="宋体" w:hAnsi="宋体" w:eastAsia="宋体"/>
          <w:color w:val="000000"/>
          <w:sz w:val="24"/>
          <w:szCs w:val="24"/>
          <w:highlight w:val="none"/>
        </w:rPr>
        <w:t>22.</w:t>
      </w:r>
      <w:r>
        <w:rPr>
          <w:rFonts w:hint="eastAsia" w:ascii="宋体" w:hAnsi="宋体" w:eastAsia="宋体"/>
          <w:b w:val="0"/>
          <w:color w:val="000000"/>
          <w:sz w:val="24"/>
          <w:szCs w:val="24"/>
          <w:highlight w:val="none"/>
        </w:rPr>
        <w:t>磋商小组的组建及其评审工作按照有关法律制度和本文件的规定进行。</w:t>
      </w:r>
    </w:p>
    <w:p>
      <w:pPr>
        <w:pStyle w:val="4"/>
        <w:keepNext w:val="0"/>
        <w:keepLines w:val="0"/>
        <w:spacing w:before="0" w:after="0" w:line="400" w:lineRule="exact"/>
        <w:jc w:val="center"/>
        <w:rPr>
          <w:rFonts w:ascii="宋体" w:hAnsi="宋体" w:eastAsia="宋体"/>
          <w:b w:val="0"/>
          <w:color w:val="000000"/>
          <w:sz w:val="24"/>
          <w:szCs w:val="24"/>
          <w:highlight w:val="none"/>
        </w:rPr>
      </w:pPr>
    </w:p>
    <w:p>
      <w:pPr>
        <w:pStyle w:val="4"/>
        <w:keepNext w:val="0"/>
        <w:keepLines w:val="0"/>
        <w:spacing w:before="0" w:after="0" w:line="400" w:lineRule="exact"/>
        <w:jc w:val="center"/>
        <w:rPr>
          <w:rFonts w:ascii="黑体" w:hAnsi="宋体"/>
          <w:color w:val="000000"/>
          <w:highlight w:val="none"/>
        </w:rPr>
      </w:pPr>
      <w:r>
        <w:rPr>
          <w:rFonts w:hint="eastAsia" w:ascii="黑体" w:hAnsi="宋体"/>
          <w:color w:val="000000"/>
          <w:highlight w:val="none"/>
        </w:rPr>
        <w:t>六、成交事项</w:t>
      </w:r>
    </w:p>
    <w:p>
      <w:pPr>
        <w:pStyle w:val="4"/>
        <w:keepNext w:val="0"/>
        <w:keepLines w:val="0"/>
        <w:spacing w:before="0" w:after="0" w:line="400" w:lineRule="exact"/>
        <w:ind w:firstLine="482"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23.确定成交供应商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采购人将按磋商小组推荐的成交候选供应商顺序确定成交供应商。采购人授权磋商小组根据综合评分排名直接确定成交供应商。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23.1采购代理机构自评审结束后2个工作日内将磋商报告及有关资料送交采购人确定成交供应商。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23.3采购人确定成交供应商过程中，发现成交候选供应商有下列情形之一的，应当不予确定其为成交供应商：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（1）发现成交候选供应商存在禁止参加本项目采购活动的违法行为的；</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（2）成交候选供应商因不可抗力，不能继续参加政府采购活动；</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（3）成交候选供应商无偿赠与或者低于成本价竞争；</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（4）成交候选供应商提供虚假材料；</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（5）成交候选供应商恶意串通。</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400" w:lineRule="exact"/>
        <w:ind w:firstLine="482"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ascii="宋体" w:hAnsi="宋体" w:eastAsia="宋体"/>
          <w:color w:val="000000"/>
          <w:sz w:val="24"/>
          <w:szCs w:val="24"/>
          <w:highlight w:val="none"/>
        </w:rPr>
        <w:t>4</w:t>
      </w:r>
      <w:r>
        <w:rPr>
          <w:rFonts w:hint="eastAsia" w:ascii="宋体" w:hAnsi="宋体" w:eastAsia="宋体"/>
          <w:color w:val="000000"/>
          <w:sz w:val="24"/>
          <w:szCs w:val="24"/>
          <w:highlight w:val="none"/>
        </w:rPr>
        <w:t>.成交结果</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w:t>
      </w:r>
      <w:r>
        <w:rPr>
          <w:rFonts w:ascii="宋体" w:hAnsi="宋体" w:eastAsia="宋体"/>
          <w:b w:val="0"/>
          <w:color w:val="000000"/>
          <w:sz w:val="24"/>
          <w:szCs w:val="24"/>
          <w:highlight w:val="none"/>
        </w:rPr>
        <w:t>4</w:t>
      </w:r>
      <w:r>
        <w:rPr>
          <w:rFonts w:hint="eastAsia" w:ascii="宋体" w:hAnsi="宋体" w:eastAsia="宋体"/>
          <w:b w:val="0"/>
          <w:color w:val="000000"/>
          <w:sz w:val="24"/>
          <w:szCs w:val="24"/>
          <w:highlight w:val="none"/>
        </w:rPr>
        <w:t>.1采购人确定成交供应商后，将及时书面通知采购代理机构，发出成交通知书并发布成交结果公告。</w:t>
      </w:r>
    </w:p>
    <w:p>
      <w:pPr>
        <w:spacing w:line="400" w:lineRule="exact"/>
        <w:ind w:firstLine="480" w:firstLineChars="200"/>
        <w:rPr>
          <w:rFonts w:ascii="宋体" w:hAnsi="宋体"/>
          <w:bCs/>
          <w:sz w:val="24"/>
          <w:highlight w:val="none"/>
        </w:rPr>
      </w:pPr>
      <w:r>
        <w:rPr>
          <w:rFonts w:hint="eastAsia" w:ascii="宋体" w:hAnsi="宋体"/>
          <w:bCs/>
          <w:color w:val="000000"/>
          <w:sz w:val="24"/>
          <w:highlight w:val="none"/>
        </w:rPr>
        <w:t>2</w:t>
      </w:r>
      <w:r>
        <w:rPr>
          <w:rFonts w:ascii="宋体" w:hAnsi="宋体"/>
          <w:bCs/>
          <w:color w:val="000000"/>
          <w:sz w:val="24"/>
          <w:highlight w:val="none"/>
        </w:rPr>
        <w:t>4</w:t>
      </w:r>
      <w:r>
        <w:rPr>
          <w:rFonts w:hint="eastAsia" w:ascii="宋体" w:hAnsi="宋体"/>
          <w:bCs/>
          <w:sz w:val="24"/>
          <w:highlight w:val="none"/>
        </w:rPr>
        <w:t>.2成交供应商应当及时领取成交通知书。本项目</w:t>
      </w:r>
      <w:r>
        <w:rPr>
          <w:rFonts w:hint="eastAsia" w:ascii="宋体" w:hAnsi="宋体"/>
          <w:bCs/>
          <w:sz w:val="24"/>
          <w:highlight w:val="none"/>
          <w:lang w:eastAsia="zh-CN"/>
        </w:rPr>
        <w:t>如</w:t>
      </w:r>
      <w:r>
        <w:rPr>
          <w:rFonts w:hint="eastAsia" w:ascii="宋体" w:hAnsi="宋体"/>
          <w:bCs/>
          <w:sz w:val="24"/>
          <w:highlight w:val="none"/>
        </w:rPr>
        <w:t>需要交纳履约保证金的，成交供应商应当及时向采购人交纳。</w:t>
      </w:r>
    </w:p>
    <w:p>
      <w:pPr>
        <w:spacing w:line="400" w:lineRule="exact"/>
        <w:ind w:firstLine="465"/>
        <w:rPr>
          <w:rFonts w:ascii="宋体" w:hAnsi="宋体"/>
          <w:bCs/>
          <w:color w:val="000000"/>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.3成交供应商不能及时领取成交通知书，采购人或者采购代理机应当通过邮寄、快递等方式将项目成</w:t>
      </w:r>
      <w:r>
        <w:rPr>
          <w:rFonts w:hint="eastAsia" w:ascii="宋体" w:hAnsi="宋体"/>
          <w:bCs/>
          <w:color w:val="000000"/>
          <w:sz w:val="24"/>
          <w:highlight w:val="none"/>
        </w:rPr>
        <w:t>交通知书送达成交供应商。</w:t>
      </w:r>
    </w:p>
    <w:p>
      <w:pPr>
        <w:pStyle w:val="4"/>
        <w:keepNext w:val="0"/>
        <w:keepLines w:val="0"/>
        <w:spacing w:before="0" w:after="0" w:line="400" w:lineRule="exact"/>
        <w:ind w:firstLine="482"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ascii="宋体" w:hAnsi="宋体" w:eastAsia="宋体"/>
          <w:color w:val="000000"/>
          <w:sz w:val="24"/>
          <w:szCs w:val="24"/>
          <w:highlight w:val="none"/>
        </w:rPr>
        <w:t>5</w:t>
      </w:r>
      <w:r>
        <w:rPr>
          <w:rFonts w:hint="eastAsia" w:ascii="宋体" w:hAnsi="宋体" w:eastAsia="宋体"/>
          <w:color w:val="000000"/>
          <w:sz w:val="24"/>
          <w:szCs w:val="24"/>
          <w:highlight w:val="none"/>
        </w:rPr>
        <w:t>.成交通知书</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w:t>
      </w:r>
      <w:r>
        <w:rPr>
          <w:rFonts w:ascii="宋体" w:hAnsi="宋体" w:eastAsia="宋体"/>
          <w:b w:val="0"/>
          <w:color w:val="000000"/>
          <w:sz w:val="24"/>
          <w:szCs w:val="24"/>
          <w:highlight w:val="none"/>
        </w:rPr>
        <w:t>5</w:t>
      </w:r>
      <w:r>
        <w:rPr>
          <w:rFonts w:hint="eastAsia" w:ascii="宋体" w:hAnsi="宋体" w:eastAsia="宋体"/>
          <w:b w:val="0"/>
          <w:color w:val="000000"/>
          <w:sz w:val="24"/>
          <w:szCs w:val="24"/>
          <w:highlight w:val="none"/>
        </w:rPr>
        <w:t>.1成交通知书为签订政府采购合同的依据之一，是合同的有效组成部分。</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w:t>
      </w:r>
      <w:r>
        <w:rPr>
          <w:rFonts w:ascii="宋体" w:hAnsi="宋体" w:eastAsia="宋体"/>
          <w:b w:val="0"/>
          <w:color w:val="000000"/>
          <w:sz w:val="24"/>
          <w:szCs w:val="24"/>
          <w:highlight w:val="none"/>
        </w:rPr>
        <w:t>5</w:t>
      </w:r>
      <w:r>
        <w:rPr>
          <w:rFonts w:hint="eastAsia" w:ascii="宋体" w:hAnsi="宋体" w:eastAsia="宋体"/>
          <w:b w:val="0"/>
          <w:color w:val="000000"/>
          <w:sz w:val="24"/>
          <w:szCs w:val="24"/>
          <w:highlight w:val="none"/>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w:t>
      </w:r>
      <w:r>
        <w:rPr>
          <w:rFonts w:ascii="宋体" w:hAnsi="宋体" w:eastAsia="宋体"/>
          <w:b w:val="0"/>
          <w:color w:val="000000"/>
          <w:sz w:val="24"/>
          <w:szCs w:val="24"/>
          <w:highlight w:val="none"/>
        </w:rPr>
        <w:t>5</w:t>
      </w:r>
      <w:r>
        <w:rPr>
          <w:rFonts w:hint="eastAsia" w:ascii="宋体" w:hAnsi="宋体" w:eastAsia="宋体"/>
          <w:b w:val="0"/>
          <w:color w:val="000000"/>
          <w:sz w:val="24"/>
          <w:szCs w:val="24"/>
          <w:highlight w:val="none"/>
        </w:rPr>
        <w:t>.3成交供应商的响应文件作为无效响应文件处理或者有政府采购法律法规规章制度规定的成交无效情形的，采购代理机构在取得有权主体的认定以后，</w:t>
      </w:r>
      <w:r>
        <w:rPr>
          <w:rFonts w:hint="eastAsia" w:ascii="宋体" w:hAnsi="宋体" w:eastAsia="宋体"/>
          <w:b w:val="0"/>
          <w:sz w:val="24"/>
          <w:szCs w:val="24"/>
          <w:highlight w:val="none"/>
        </w:rPr>
        <w:t>有权</w:t>
      </w:r>
      <w:r>
        <w:rPr>
          <w:rFonts w:hint="eastAsia" w:ascii="宋体" w:hAnsi="宋体" w:eastAsia="宋体"/>
          <w:b w:val="0"/>
          <w:color w:val="000000"/>
          <w:sz w:val="24"/>
          <w:szCs w:val="24"/>
          <w:highlight w:val="none"/>
        </w:rPr>
        <w:t>宣布发出的成交通知书无效，并收回发出的成交通知书，依法重新确定成交供应商或者重新开展采购活动。</w:t>
      </w:r>
    </w:p>
    <w:p>
      <w:pPr>
        <w:pStyle w:val="4"/>
        <w:keepNext w:val="0"/>
        <w:keepLines w:val="0"/>
        <w:spacing w:before="0" w:after="0" w:line="360" w:lineRule="auto"/>
        <w:jc w:val="center"/>
        <w:rPr>
          <w:color w:val="000000"/>
          <w:sz w:val="28"/>
          <w:szCs w:val="28"/>
          <w:highlight w:val="none"/>
        </w:rPr>
      </w:pPr>
      <w:r>
        <w:rPr>
          <w:rFonts w:hint="eastAsia"/>
          <w:color w:val="000000"/>
          <w:sz w:val="28"/>
          <w:szCs w:val="28"/>
          <w:highlight w:val="none"/>
        </w:rPr>
        <w:t>七、合同事项</w:t>
      </w:r>
    </w:p>
    <w:p>
      <w:pPr>
        <w:pStyle w:val="4"/>
        <w:keepNext w:val="0"/>
        <w:keepLines w:val="0"/>
        <w:spacing w:before="0" w:after="0" w:line="400" w:lineRule="exact"/>
        <w:ind w:firstLine="472" w:firstLineChars="196"/>
        <w:rPr>
          <w:rFonts w:ascii="宋体" w:hAnsi="宋体" w:eastAsia="宋体"/>
          <w:sz w:val="24"/>
          <w:szCs w:val="24"/>
          <w:highlight w:val="none"/>
        </w:rPr>
      </w:pPr>
      <w:bookmarkStart w:id="61" w:name="_Toc101174151"/>
      <w:bookmarkStart w:id="62" w:name="_Toc101250646"/>
      <w:bookmarkStart w:id="63" w:name="_Toc209847069"/>
      <w:bookmarkStart w:id="64" w:name="_Toc101338364"/>
      <w:bookmarkStart w:id="65" w:name="_Toc430773927"/>
      <w:r>
        <w:rPr>
          <w:rFonts w:hint="eastAsia" w:ascii="宋体" w:hAnsi="宋体" w:eastAsia="宋体"/>
          <w:color w:val="000000"/>
          <w:sz w:val="24"/>
          <w:szCs w:val="24"/>
          <w:highlight w:val="none"/>
        </w:rPr>
        <w:t>2</w:t>
      </w:r>
      <w:r>
        <w:rPr>
          <w:rFonts w:ascii="宋体" w:hAnsi="宋体" w:eastAsia="宋体"/>
          <w:color w:val="000000"/>
          <w:sz w:val="24"/>
          <w:szCs w:val="24"/>
          <w:highlight w:val="none"/>
        </w:rPr>
        <w:t>6</w:t>
      </w:r>
      <w:r>
        <w:rPr>
          <w:rFonts w:hint="eastAsia" w:ascii="宋体" w:hAnsi="宋体" w:eastAsia="宋体"/>
          <w:color w:val="000000"/>
          <w:sz w:val="24"/>
          <w:szCs w:val="24"/>
          <w:highlight w:val="none"/>
        </w:rPr>
        <w:t>.签</w:t>
      </w:r>
      <w:r>
        <w:rPr>
          <w:rFonts w:hint="eastAsia" w:ascii="宋体" w:hAnsi="宋体" w:eastAsia="宋体"/>
          <w:sz w:val="24"/>
          <w:szCs w:val="24"/>
          <w:highlight w:val="none"/>
        </w:rPr>
        <w:t>订合同</w:t>
      </w:r>
      <w:bookmarkEnd w:id="61"/>
      <w:bookmarkEnd w:id="62"/>
      <w:bookmarkEnd w:id="63"/>
      <w:bookmarkEnd w:id="64"/>
      <w:bookmarkEnd w:id="65"/>
    </w:p>
    <w:p>
      <w:pPr>
        <w:spacing w:line="400" w:lineRule="exact"/>
        <w:ind w:firstLine="480" w:firstLineChars="200"/>
        <w:rPr>
          <w:rFonts w:ascii="宋体" w:hAnsi="宋体"/>
          <w:color w:val="000000"/>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.1 成交供应商应在成交通知书发出之日起</w:t>
      </w:r>
      <w:r>
        <w:rPr>
          <w:rFonts w:hint="eastAsia" w:ascii="宋体" w:hAnsi="宋体"/>
          <w:sz w:val="24"/>
          <w:highlight w:val="none"/>
          <w:lang w:eastAsia="zh-CN"/>
        </w:rPr>
        <w:t>三</w:t>
      </w:r>
      <w:r>
        <w:rPr>
          <w:rFonts w:hint="eastAsia" w:ascii="宋体" w:hAnsi="宋体"/>
          <w:sz w:val="24"/>
          <w:highlight w:val="none"/>
        </w:rPr>
        <w:t>十日内与采购人签订采购合同。由</w:t>
      </w:r>
      <w:r>
        <w:rPr>
          <w:rFonts w:hint="eastAsia" w:ascii="宋体" w:hAnsi="宋体"/>
          <w:color w:val="000000"/>
          <w:sz w:val="24"/>
          <w:highlight w:val="none"/>
        </w:rPr>
        <w:t>于成交供应商的原因逾期未与采购人签订采购合同的，将视为放弃成交，取消其成交资格并将按相关规定进行处理。</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6</w:t>
      </w:r>
      <w:r>
        <w:rPr>
          <w:rFonts w:hint="eastAsia" w:ascii="宋体" w:hAnsi="宋体"/>
          <w:color w:val="000000"/>
          <w:sz w:val="24"/>
          <w:highlight w:val="none"/>
        </w:rPr>
        <w:t>.2 磋商文件、成交供应商的响应文件及双方确认的澄清文件等，均为有法律约束力的合同组成部分。</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6</w:t>
      </w:r>
      <w:r>
        <w:rPr>
          <w:rFonts w:hint="eastAsia" w:ascii="宋体" w:hAnsi="宋体"/>
          <w:color w:val="000000"/>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6</w:t>
      </w:r>
      <w:r>
        <w:rPr>
          <w:rFonts w:hint="eastAsia" w:ascii="宋体" w:hAnsi="宋体"/>
          <w:color w:val="000000"/>
          <w:sz w:val="24"/>
          <w:highlight w:val="none"/>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6</w:t>
      </w:r>
      <w:r>
        <w:rPr>
          <w:rFonts w:hint="eastAsia" w:ascii="宋体" w:hAnsi="宋体"/>
          <w:color w:val="000000"/>
          <w:sz w:val="24"/>
          <w:highlight w:val="none"/>
        </w:rPr>
        <w:t>.5</w:t>
      </w:r>
      <w:r>
        <w:rPr>
          <w:rFonts w:hint="eastAsia" w:hAnsi="宋体"/>
          <w:color w:val="000000"/>
          <w:sz w:val="24"/>
          <w:highlight w:val="none"/>
        </w:rPr>
        <w:t>竞争性磋商文件、成交供应商提交的响应文件、磋商中的最后报价、成交供应商承诺书、成交通知书等均称为有法律约束力的合同组成内容。</w:t>
      </w:r>
    </w:p>
    <w:p>
      <w:pPr>
        <w:spacing w:line="400" w:lineRule="exact"/>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7</w:t>
      </w:r>
      <w:r>
        <w:rPr>
          <w:rFonts w:hint="eastAsia" w:ascii="宋体" w:hAnsi="宋体"/>
          <w:b/>
          <w:sz w:val="24"/>
          <w:highlight w:val="none"/>
        </w:rPr>
        <w:t>.合同分包</w:t>
      </w:r>
    </w:p>
    <w:p>
      <w:pPr>
        <w:spacing w:line="400" w:lineRule="exact"/>
        <w:ind w:firstLine="540" w:firstLineChars="225"/>
        <w:rPr>
          <w:rFonts w:ascii="宋体" w:hAnsi="宋体"/>
          <w:sz w:val="24"/>
          <w:highlight w:val="none"/>
        </w:rPr>
      </w:pPr>
      <w:r>
        <w:rPr>
          <w:rFonts w:hint="eastAsia" w:ascii="宋体" w:hAnsi="宋体"/>
          <w:sz w:val="24"/>
          <w:highlight w:val="none"/>
        </w:rPr>
        <w:t>本次项目不允许分包。</w:t>
      </w:r>
    </w:p>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8</w:t>
      </w:r>
      <w:r>
        <w:rPr>
          <w:rFonts w:hint="eastAsia" w:ascii="宋体" w:hAnsi="宋体"/>
          <w:b/>
          <w:color w:val="000000"/>
          <w:sz w:val="24"/>
          <w:highlight w:val="none"/>
        </w:rPr>
        <w:t>.合同转包</w:t>
      </w:r>
    </w:p>
    <w:p>
      <w:pPr>
        <w:spacing w:line="400" w:lineRule="exact"/>
        <w:ind w:firstLine="480" w:firstLineChars="200"/>
        <w:rPr>
          <w:rFonts w:hAnsi="宋体"/>
          <w:color w:val="000000"/>
          <w:sz w:val="24"/>
          <w:highlight w:val="none"/>
        </w:rPr>
      </w:pPr>
      <w:r>
        <w:rPr>
          <w:rFonts w:hint="eastAsia" w:hAnsi="宋体"/>
          <w:color w:val="000000"/>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000000"/>
          <w:sz w:val="24"/>
          <w:highlight w:val="none"/>
        </w:rPr>
      </w:pPr>
      <w:r>
        <w:rPr>
          <w:rFonts w:hint="eastAsia" w:hAnsi="宋体"/>
          <w:color w:val="000000"/>
          <w:sz w:val="24"/>
          <w:highlight w:val="none"/>
        </w:rPr>
        <w:t>成交供应商转包的，视同拒绝履行政府采购合同义务，将依法追究法律责任。</w:t>
      </w:r>
    </w:p>
    <w:p>
      <w:pPr>
        <w:spacing w:line="400" w:lineRule="exact"/>
        <w:ind w:firstLine="482" w:firstLineChars="200"/>
        <w:rPr>
          <w:rFonts w:ascii="宋体" w:hAnsi="宋体"/>
          <w:b/>
          <w:color w:val="000000"/>
          <w:sz w:val="24"/>
          <w:highlight w:val="none"/>
        </w:rPr>
      </w:pPr>
      <w:r>
        <w:rPr>
          <w:rFonts w:ascii="宋体" w:hAnsi="宋体"/>
          <w:b/>
          <w:color w:val="000000"/>
          <w:sz w:val="24"/>
          <w:highlight w:val="none"/>
        </w:rPr>
        <w:t>29</w:t>
      </w:r>
      <w:r>
        <w:rPr>
          <w:rFonts w:hint="eastAsia" w:ascii="宋体" w:hAnsi="宋体"/>
          <w:b/>
          <w:color w:val="000000"/>
          <w:sz w:val="24"/>
          <w:highlight w:val="none"/>
        </w:rPr>
        <w:t>.补充合同</w:t>
      </w:r>
    </w:p>
    <w:p>
      <w:pPr>
        <w:spacing w:line="400" w:lineRule="exact"/>
        <w:ind w:firstLine="480" w:firstLineChars="200"/>
        <w:rPr>
          <w:rFonts w:hAnsi="宋体"/>
          <w:color w:val="000000"/>
          <w:sz w:val="24"/>
          <w:highlight w:val="none"/>
        </w:rPr>
      </w:pPr>
      <w:r>
        <w:rPr>
          <w:rFonts w:hint="eastAsia" w:hAnsi="宋体"/>
          <w:color w:val="000000"/>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2" w:firstLineChars="200"/>
        <w:rPr>
          <w:rFonts w:hint="eastAsia" w:ascii="宋体" w:hAnsi="宋体" w:eastAsia="宋体"/>
          <w:b/>
          <w:color w:val="000000"/>
          <w:sz w:val="24"/>
          <w:highlight w:val="none"/>
          <w:lang w:eastAsia="zh-CN"/>
        </w:rPr>
      </w:pPr>
      <w:r>
        <w:rPr>
          <w:rFonts w:hint="eastAsia" w:ascii="宋体" w:hAnsi="宋体"/>
          <w:b/>
          <w:color w:val="000000"/>
          <w:sz w:val="24"/>
          <w:highlight w:val="none"/>
        </w:rPr>
        <w:t>3</w:t>
      </w:r>
      <w:r>
        <w:rPr>
          <w:rFonts w:ascii="宋体" w:hAnsi="宋体"/>
          <w:b/>
          <w:color w:val="000000"/>
          <w:sz w:val="24"/>
          <w:highlight w:val="none"/>
        </w:rPr>
        <w:t>0</w:t>
      </w:r>
      <w:r>
        <w:rPr>
          <w:rFonts w:hint="eastAsia" w:ascii="宋体" w:hAnsi="宋体"/>
          <w:b/>
          <w:color w:val="000000"/>
          <w:sz w:val="24"/>
          <w:highlight w:val="none"/>
        </w:rPr>
        <w:t>.履约保证金</w:t>
      </w:r>
      <w:r>
        <w:rPr>
          <w:rFonts w:hint="eastAsia" w:ascii="宋体" w:hAnsi="宋体"/>
          <w:b/>
          <w:color w:val="000000"/>
          <w:sz w:val="24"/>
          <w:highlight w:val="none"/>
          <w:lang w:eastAsia="zh-CN"/>
        </w:rPr>
        <w:t>（本项目不涉及）</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0</w:t>
      </w:r>
      <w:r>
        <w:rPr>
          <w:rFonts w:hint="eastAsia" w:ascii="宋体" w:hAnsi="宋体"/>
          <w:color w:val="000000"/>
          <w:sz w:val="24"/>
          <w:highlight w:val="none"/>
        </w:rPr>
        <w:t>.1 成交供应商应在合同签订之前交纳采购文件规定数额的履约保证金。</w:t>
      </w:r>
    </w:p>
    <w:p>
      <w:pPr>
        <w:spacing w:line="400" w:lineRule="exact"/>
        <w:ind w:firstLine="480" w:firstLineChars="200"/>
        <w:rPr>
          <w:rFonts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0</w:t>
      </w:r>
      <w:r>
        <w:rPr>
          <w:rFonts w:hint="eastAsia" w:ascii="宋体" w:hAnsi="宋体"/>
          <w:color w:val="000000"/>
          <w:sz w:val="24"/>
          <w:highlight w:val="none"/>
        </w:rPr>
        <w:t>.2 如果成交供应商在规定的合同签订时间内，没有按照采购文件的规定交纳履约保证金，且又无</w:t>
      </w:r>
      <w:r>
        <w:rPr>
          <w:rFonts w:hint="eastAsia" w:hAnsi="宋体"/>
          <w:color w:val="000000"/>
          <w:sz w:val="24"/>
          <w:highlight w:val="none"/>
        </w:rPr>
        <w:t>正当理由的，将视为放弃成交。</w:t>
      </w:r>
    </w:p>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w:t>
      </w:r>
      <w:r>
        <w:rPr>
          <w:rFonts w:ascii="宋体" w:hAnsi="宋体"/>
          <w:b/>
          <w:color w:val="000000"/>
          <w:sz w:val="24"/>
          <w:highlight w:val="none"/>
        </w:rPr>
        <w:t>1</w:t>
      </w:r>
      <w:r>
        <w:rPr>
          <w:rFonts w:hint="eastAsia" w:ascii="宋体" w:hAnsi="宋体"/>
          <w:b/>
          <w:color w:val="000000"/>
          <w:sz w:val="24"/>
          <w:highlight w:val="none"/>
        </w:rPr>
        <w:t>.合同公告</w:t>
      </w:r>
    </w:p>
    <w:p>
      <w:pPr>
        <w:spacing w:line="400" w:lineRule="exact"/>
        <w:ind w:firstLine="480" w:firstLineChars="200"/>
        <w:rPr>
          <w:rFonts w:hAnsi="宋体"/>
          <w:color w:val="000000"/>
          <w:sz w:val="24"/>
          <w:highlight w:val="none"/>
        </w:rPr>
      </w:pPr>
      <w:r>
        <w:rPr>
          <w:rFonts w:hint="eastAsia" w:hAnsi="宋体"/>
          <w:color w:val="000000"/>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w:t>
      </w:r>
      <w:r>
        <w:rPr>
          <w:rFonts w:ascii="宋体" w:hAnsi="宋体"/>
          <w:b/>
          <w:color w:val="000000"/>
          <w:sz w:val="24"/>
          <w:highlight w:val="none"/>
        </w:rPr>
        <w:t>2</w:t>
      </w:r>
      <w:r>
        <w:rPr>
          <w:rFonts w:hint="eastAsia" w:ascii="宋体" w:hAnsi="宋体"/>
          <w:b/>
          <w:color w:val="000000"/>
          <w:sz w:val="24"/>
          <w:highlight w:val="none"/>
        </w:rPr>
        <w:t>.合同备案</w:t>
      </w:r>
    </w:p>
    <w:p>
      <w:pPr>
        <w:spacing w:line="400" w:lineRule="exact"/>
        <w:ind w:firstLine="480" w:firstLineChars="200"/>
        <w:rPr>
          <w:rFonts w:hAnsi="宋体"/>
          <w:color w:val="000000"/>
          <w:sz w:val="24"/>
          <w:highlight w:val="none"/>
        </w:rPr>
      </w:pPr>
      <w:r>
        <w:rPr>
          <w:rFonts w:hint="eastAsia" w:hAnsi="宋体"/>
          <w:color w:val="000000"/>
          <w:sz w:val="24"/>
          <w:highlight w:val="none"/>
        </w:rPr>
        <w:t>采购人应当将政府采购合同副本自签订（双方当事人均已签字盖章）之日起七个工作日内通过四川政府采购网报同级财政部门备案。</w:t>
      </w:r>
    </w:p>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w:t>
      </w:r>
      <w:r>
        <w:rPr>
          <w:rFonts w:ascii="宋体" w:hAnsi="宋体"/>
          <w:b/>
          <w:color w:val="000000"/>
          <w:sz w:val="24"/>
          <w:highlight w:val="none"/>
        </w:rPr>
        <w:t>3</w:t>
      </w:r>
      <w:r>
        <w:rPr>
          <w:rFonts w:hint="eastAsia" w:ascii="宋体" w:hAnsi="宋体"/>
          <w:b/>
          <w:color w:val="000000"/>
          <w:sz w:val="24"/>
          <w:highlight w:val="none"/>
        </w:rPr>
        <w:t>.履行合同</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3</w:t>
      </w:r>
      <w:r>
        <w:rPr>
          <w:rFonts w:hint="eastAsia" w:ascii="宋体" w:hAnsi="宋体"/>
          <w:color w:val="000000"/>
          <w:sz w:val="24"/>
          <w:highlight w:val="none"/>
        </w:rPr>
        <w:t>.1 成交供应商与采购人签订合同后，合同双方应严格执行合同条款，履行合同规定的义务，保证合同的顺利完成。</w:t>
      </w:r>
    </w:p>
    <w:p>
      <w:pPr>
        <w:spacing w:line="400" w:lineRule="exact"/>
        <w:ind w:firstLine="480" w:firstLineChars="200"/>
        <w:rPr>
          <w:rFonts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3</w:t>
      </w:r>
      <w:r>
        <w:rPr>
          <w:rFonts w:hint="eastAsia" w:ascii="宋体" w:hAnsi="宋体"/>
          <w:color w:val="000000"/>
          <w:sz w:val="24"/>
          <w:highlight w:val="none"/>
        </w:rPr>
        <w:t>.2 在</w:t>
      </w:r>
      <w:r>
        <w:rPr>
          <w:rFonts w:hint="eastAsia" w:hAnsi="宋体"/>
          <w:color w:val="000000"/>
          <w:sz w:val="24"/>
          <w:highlight w:val="none"/>
        </w:rPr>
        <w:t>合同履行过程中，如发生合同纠纷，合同双方应按照《</w:t>
      </w:r>
      <w:r>
        <w:rPr>
          <w:rFonts w:hint="eastAsia" w:hAnsi="宋体"/>
          <w:color w:val="000000"/>
          <w:sz w:val="24"/>
          <w:highlight w:val="none"/>
          <w:lang w:eastAsia="zh-CN"/>
        </w:rPr>
        <w:t>中华人民共和国民法典</w:t>
      </w:r>
      <w:r>
        <w:rPr>
          <w:rFonts w:hint="eastAsia" w:hAnsi="宋体"/>
          <w:color w:val="000000"/>
          <w:sz w:val="24"/>
          <w:highlight w:val="none"/>
        </w:rPr>
        <w:t>》的有关规定进行处理。</w:t>
      </w:r>
    </w:p>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w:t>
      </w:r>
      <w:r>
        <w:rPr>
          <w:rFonts w:ascii="宋体" w:hAnsi="宋体"/>
          <w:b/>
          <w:color w:val="000000"/>
          <w:sz w:val="24"/>
          <w:highlight w:val="none"/>
        </w:rPr>
        <w:t>4</w:t>
      </w:r>
      <w:r>
        <w:rPr>
          <w:rFonts w:hint="eastAsia" w:ascii="宋体" w:hAnsi="宋体"/>
          <w:b/>
          <w:color w:val="000000"/>
          <w:sz w:val="24"/>
          <w:highlight w:val="none"/>
        </w:rPr>
        <w:t>.验收</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4</w:t>
      </w:r>
      <w:r>
        <w:rPr>
          <w:rFonts w:hint="eastAsia" w:ascii="宋体" w:hAnsi="宋体"/>
          <w:color w:val="000000"/>
          <w:sz w:val="24"/>
          <w:highlight w:val="none"/>
        </w:rPr>
        <w:t>.1本项目采购人及其委托的采购代理机构将严格按照政府采购相关法律法规以及</w:t>
      </w:r>
      <w:r>
        <w:rPr>
          <w:rFonts w:hint="eastAsia" w:ascii="宋体" w:hAnsi="宋体" w:cs="宋体"/>
          <w:color w:val="000000" w:themeColor="text1"/>
          <w:sz w:val="24"/>
          <w:highlight w:val="none"/>
          <w14:textFill>
            <w14:solidFill>
              <w14:schemeClr w14:val="tx1"/>
            </w14:solidFill>
          </w14:textFill>
        </w:rPr>
        <w:t>财政部关于进一步加强政府采购需求和履约验收管理的指导意见（财库〔2016〕205号）的要求</w:t>
      </w:r>
      <w:r>
        <w:rPr>
          <w:rFonts w:hint="eastAsia" w:ascii="宋体" w:hAnsi="宋体"/>
          <w:color w:val="000000"/>
          <w:sz w:val="24"/>
          <w:highlight w:val="none"/>
        </w:rPr>
        <w:t>进行验收。</w:t>
      </w:r>
    </w:p>
    <w:p>
      <w:pPr>
        <w:spacing w:line="400" w:lineRule="exact"/>
        <w:ind w:firstLine="480" w:firstLineChars="200"/>
        <w:rPr>
          <w:rFonts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4</w:t>
      </w:r>
      <w:r>
        <w:rPr>
          <w:rFonts w:hint="eastAsia" w:ascii="宋体" w:hAnsi="宋体"/>
          <w:color w:val="000000"/>
          <w:sz w:val="24"/>
          <w:highlight w:val="none"/>
        </w:rPr>
        <w:t>.2 验收结果合格的，成交供应商到采购人处办理履约保证金的退付手续；验收结果不合格的，履约保证金将不予退还，也将不予支付采购资金，还可能会报本项目同级财政部门按照政府采</w:t>
      </w:r>
      <w:r>
        <w:rPr>
          <w:rFonts w:hint="eastAsia" w:hAnsi="宋体"/>
          <w:color w:val="000000"/>
          <w:sz w:val="24"/>
          <w:highlight w:val="none"/>
        </w:rPr>
        <w:t>购法律法规及《四川省政府采购当事人诚信管理办法》（川财采〔2015〕33号）等有关规定给予行政处罚或者以失信行为记入诚信档案。</w:t>
      </w:r>
    </w:p>
    <w:p>
      <w:pPr>
        <w:spacing w:line="400" w:lineRule="exact"/>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5</w:t>
      </w:r>
      <w:r>
        <w:rPr>
          <w:rFonts w:hint="eastAsia" w:ascii="宋体" w:hAnsi="宋体"/>
          <w:b/>
          <w:sz w:val="24"/>
          <w:highlight w:val="none"/>
        </w:rPr>
        <w:t>.资金支付</w:t>
      </w:r>
    </w:p>
    <w:p>
      <w:pPr>
        <w:spacing w:line="400" w:lineRule="exact"/>
        <w:ind w:firstLine="480" w:firstLineChars="200"/>
        <w:rPr>
          <w:rFonts w:hint="eastAsia" w:ascii="宋体" w:hAnsi="宋体" w:cs="Times New Roman"/>
          <w:sz w:val="24"/>
          <w:highlight w:val="none"/>
        </w:rPr>
      </w:pPr>
      <w:r>
        <w:rPr>
          <w:rFonts w:hint="eastAsia" w:ascii="宋体" w:hAnsi="宋体"/>
          <w:sz w:val="24"/>
          <w:highlight w:val="none"/>
        </w:rPr>
        <w:t>采购人将按照政府采购合同规定，及时向中标供应商支付采购资金。</w:t>
      </w:r>
    </w:p>
    <w:p>
      <w:pPr>
        <w:pStyle w:val="4"/>
        <w:keepNext w:val="0"/>
        <w:keepLines w:val="0"/>
        <w:spacing w:before="0" w:after="0" w:line="360" w:lineRule="auto"/>
        <w:jc w:val="center"/>
        <w:rPr>
          <w:rFonts w:ascii="宋体" w:hAnsi="宋体"/>
          <w:color w:val="000000"/>
          <w:sz w:val="28"/>
          <w:szCs w:val="28"/>
          <w:highlight w:val="none"/>
        </w:rPr>
      </w:pPr>
      <w:r>
        <w:rPr>
          <w:rFonts w:hint="eastAsia"/>
          <w:color w:val="000000"/>
          <w:sz w:val="28"/>
          <w:szCs w:val="28"/>
          <w:highlight w:val="none"/>
        </w:rPr>
        <w:t>八、磋商纪律要求</w:t>
      </w:r>
    </w:p>
    <w:p>
      <w:pPr>
        <w:tabs>
          <w:tab w:val="left" w:pos="851"/>
        </w:tabs>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3</w:t>
      </w:r>
      <w:r>
        <w:rPr>
          <w:rFonts w:ascii="宋体" w:hAnsi="宋体"/>
          <w:b/>
          <w:color w:val="000000"/>
          <w:sz w:val="24"/>
          <w:highlight w:val="none"/>
        </w:rPr>
        <w:t>6</w:t>
      </w:r>
      <w:r>
        <w:rPr>
          <w:rFonts w:hint="eastAsia" w:ascii="宋体" w:hAnsi="宋体"/>
          <w:b/>
          <w:color w:val="000000"/>
          <w:sz w:val="24"/>
          <w:highlight w:val="none"/>
        </w:rPr>
        <w:t>.供应商不得具有的情形</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供应商参加本项目磋商不得有下列情形：</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（1）提供虚假材料谋取成交；</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（2）采取不正当手段诋毁、排挤其他供应商；</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（3）与采购人、采购代理机构、或其他供应商恶意串通；</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（4）向采购人、采购代理机构、磋商小组成员行贿或者提供其他不正当利益；</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（5）在磋商过程中与采购人、采购代理机构进行协商；</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（6）成交后无正当理由拒不与采购人签订政府采购合同；</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（7）未按照磋商文件确定的事项签订政府采购合同；</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（8）将政府采购合同转包或者违规分包；</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（9）提供假冒伪劣产品；</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（10）擅自变更、中止或者终止政府采购合同；</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（11）拒绝有关部门的监督检查或者向监督检查部门提供虚假情况；</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（12）法律法规规定的其他情形。</w:t>
      </w:r>
    </w:p>
    <w:p>
      <w:pPr>
        <w:tabs>
          <w:tab w:val="left" w:pos="851"/>
        </w:tabs>
        <w:spacing w:line="400" w:lineRule="exact"/>
        <w:ind w:firstLine="480" w:firstLineChars="200"/>
        <w:rPr>
          <w:rFonts w:hAnsi="宋体"/>
          <w:color w:val="000000"/>
          <w:sz w:val="24"/>
          <w:highlight w:val="none"/>
        </w:rPr>
      </w:pPr>
      <w:r>
        <w:rPr>
          <w:rFonts w:hint="eastAsia" w:hAnsi="宋体"/>
          <w:color w:val="000000"/>
          <w:sz w:val="24"/>
          <w:highlight w:val="none"/>
        </w:rPr>
        <w:t>供应商有上述情形的，按照规定追究法律责任，具备（1）-（10）条情形之一的，同时将取消被确认为成交供应商的资格或者认定成交无效。</w:t>
      </w:r>
    </w:p>
    <w:p>
      <w:pPr>
        <w:tabs>
          <w:tab w:val="left" w:pos="851"/>
        </w:tabs>
        <w:spacing w:line="400" w:lineRule="exact"/>
        <w:jc w:val="center"/>
        <w:rPr>
          <w:rFonts w:ascii="黑体" w:hAnsi="宋体" w:eastAsia="黑体"/>
          <w:b/>
          <w:color w:val="000000"/>
          <w:sz w:val="28"/>
          <w:szCs w:val="28"/>
          <w:highlight w:val="none"/>
        </w:rPr>
      </w:pPr>
      <w:r>
        <w:rPr>
          <w:rFonts w:hint="eastAsia" w:ascii="黑体" w:hAnsi="宋体" w:eastAsia="黑体"/>
          <w:b/>
          <w:color w:val="000000"/>
          <w:sz w:val="28"/>
          <w:szCs w:val="28"/>
          <w:highlight w:val="none"/>
        </w:rPr>
        <w:t>九、询问、质疑和投诉</w:t>
      </w:r>
    </w:p>
    <w:p>
      <w:pPr>
        <w:tabs>
          <w:tab w:val="left" w:pos="851"/>
        </w:tabs>
        <w:spacing w:line="400" w:lineRule="exact"/>
        <w:ind w:firstLine="495"/>
        <w:rPr>
          <w:rFonts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7</w:t>
      </w:r>
      <w:r>
        <w:rPr>
          <w:rFonts w:hint="eastAsia" w:ascii="宋体" w:hAnsi="宋体"/>
          <w:color w:val="000000"/>
          <w:sz w:val="24"/>
          <w:highlight w:val="none"/>
        </w:rPr>
        <w:t>.询问、质</w:t>
      </w:r>
      <w:r>
        <w:rPr>
          <w:rFonts w:hint="eastAsia" w:hAnsi="宋体"/>
          <w:color w:val="000000"/>
          <w:sz w:val="24"/>
          <w:highlight w:val="none"/>
        </w:rPr>
        <w:t>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400" w:lineRule="exact"/>
        <w:jc w:val="center"/>
        <w:rPr>
          <w:rFonts w:ascii="黑体" w:hAnsi="宋体" w:eastAsia="黑体"/>
          <w:b/>
          <w:color w:val="000000"/>
          <w:sz w:val="28"/>
          <w:szCs w:val="28"/>
          <w:highlight w:val="none"/>
        </w:rPr>
      </w:pPr>
      <w:r>
        <w:rPr>
          <w:rFonts w:hint="eastAsia" w:ascii="黑体" w:hAnsi="宋体" w:eastAsia="黑体"/>
          <w:b/>
          <w:color w:val="000000"/>
          <w:sz w:val="28"/>
          <w:szCs w:val="28"/>
          <w:highlight w:val="none"/>
        </w:rPr>
        <w:t>十、其  他</w:t>
      </w:r>
    </w:p>
    <w:p>
      <w:pPr>
        <w:tabs>
          <w:tab w:val="left" w:pos="851"/>
        </w:tabs>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8</w:t>
      </w:r>
      <w:r>
        <w:rPr>
          <w:rFonts w:hint="eastAsia" w:ascii="宋体" w:hAnsi="宋体"/>
          <w:color w:val="000000"/>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pPr>
        <w:tabs>
          <w:tab w:val="left" w:pos="851"/>
        </w:tabs>
        <w:spacing w:line="400" w:lineRule="exact"/>
        <w:rPr>
          <w:rFonts w:hAnsi="宋体"/>
          <w:color w:val="000000"/>
          <w:sz w:val="24"/>
          <w:highlight w:val="none"/>
        </w:rPr>
      </w:pPr>
      <w:r>
        <w:rPr>
          <w:rFonts w:hint="eastAsia" w:ascii="宋体" w:hAnsi="宋体"/>
          <w:color w:val="000000"/>
          <w:sz w:val="24"/>
          <w:highlight w:val="none"/>
        </w:rPr>
        <w:t>律制度规定执行，本磋</w:t>
      </w:r>
      <w:r>
        <w:rPr>
          <w:rFonts w:hint="eastAsia" w:hAnsi="宋体"/>
          <w:color w:val="000000"/>
          <w:sz w:val="24"/>
          <w:highlight w:val="none"/>
        </w:rPr>
        <w:t>商文件不再做调整。</w:t>
      </w:r>
    </w:p>
    <w:p>
      <w:pPr>
        <w:spacing w:line="400" w:lineRule="exact"/>
        <w:ind w:firstLine="480" w:firstLineChars="200"/>
        <w:jc w:val="left"/>
        <w:rPr>
          <w:color w:val="000000"/>
          <w:kern w:val="0"/>
          <w:sz w:val="24"/>
          <w:highlight w:val="none"/>
        </w:rPr>
      </w:pPr>
      <w:r>
        <w:rPr>
          <w:rFonts w:hint="eastAsia" w:ascii="宋体" w:hAnsi="宋体"/>
          <w:color w:val="000000"/>
          <w:sz w:val="24"/>
          <w:highlight w:val="none"/>
        </w:rPr>
        <w:t>39.</w:t>
      </w:r>
      <w:r>
        <w:rPr>
          <w:rFonts w:hAnsi="宋体"/>
          <w:color w:val="000000"/>
          <w:sz w:val="24"/>
          <w:highlight w:val="none"/>
        </w:rPr>
        <w:t>国家</w:t>
      </w:r>
      <w:r>
        <w:rPr>
          <w:rFonts w:hint="eastAsia" w:hAnsi="宋体"/>
          <w:color w:val="000000"/>
          <w:sz w:val="24"/>
          <w:highlight w:val="none"/>
        </w:rPr>
        <w:t>或行业主管部门</w:t>
      </w:r>
      <w:r>
        <w:rPr>
          <w:rFonts w:hAnsi="宋体"/>
          <w:color w:val="000000"/>
          <w:sz w:val="24"/>
          <w:highlight w:val="none"/>
        </w:rPr>
        <w:t>对</w:t>
      </w:r>
      <w:r>
        <w:rPr>
          <w:rFonts w:hint="eastAsia" w:hAnsi="宋体"/>
          <w:color w:val="000000"/>
          <w:sz w:val="24"/>
          <w:highlight w:val="none"/>
        </w:rPr>
        <w:t>供应商和采购产品的</w:t>
      </w:r>
      <w:r>
        <w:rPr>
          <w:rFonts w:hAnsi="宋体"/>
          <w:color w:val="000000"/>
          <w:sz w:val="24"/>
          <w:highlight w:val="none"/>
        </w:rPr>
        <w:t>技术</w:t>
      </w:r>
      <w:r>
        <w:rPr>
          <w:rFonts w:hint="eastAsia" w:hAnsi="宋体"/>
          <w:color w:val="000000"/>
          <w:sz w:val="24"/>
          <w:highlight w:val="none"/>
        </w:rPr>
        <w:t>标准、</w:t>
      </w:r>
      <w:r>
        <w:rPr>
          <w:rFonts w:hAnsi="宋体"/>
          <w:color w:val="000000"/>
          <w:sz w:val="24"/>
          <w:highlight w:val="none"/>
        </w:rPr>
        <w:t>质量</w:t>
      </w:r>
      <w:r>
        <w:rPr>
          <w:rFonts w:hint="eastAsia" w:hAnsi="宋体"/>
          <w:color w:val="000000"/>
          <w:sz w:val="24"/>
          <w:highlight w:val="none"/>
        </w:rPr>
        <w:t>标准和资格资质条件</w:t>
      </w:r>
      <w:r>
        <w:rPr>
          <w:rFonts w:hAnsi="宋体"/>
          <w:color w:val="000000"/>
          <w:sz w:val="24"/>
          <w:highlight w:val="none"/>
        </w:rPr>
        <w:t>等有</w:t>
      </w:r>
      <w:r>
        <w:rPr>
          <w:rFonts w:hint="eastAsia" w:hAnsi="宋体"/>
          <w:color w:val="000000"/>
          <w:sz w:val="24"/>
          <w:highlight w:val="none"/>
        </w:rPr>
        <w:t>强制性规定</w:t>
      </w:r>
      <w:r>
        <w:rPr>
          <w:rFonts w:hAnsi="宋体"/>
          <w:color w:val="000000"/>
          <w:sz w:val="24"/>
          <w:highlight w:val="none"/>
        </w:rPr>
        <w:t>的</w:t>
      </w:r>
      <w:r>
        <w:rPr>
          <w:rFonts w:hint="eastAsia" w:hAnsi="宋体"/>
          <w:color w:val="000000"/>
          <w:sz w:val="24"/>
          <w:highlight w:val="none"/>
        </w:rPr>
        <w:t>，必须符合其要求。</w:t>
      </w:r>
    </w:p>
    <w:p>
      <w:pPr>
        <w:rPr>
          <w:highlight w:val="none"/>
        </w:rPr>
      </w:pPr>
    </w:p>
    <w:p>
      <w:pPr>
        <w:pStyle w:val="3"/>
        <w:pageBreakBefore/>
        <w:spacing w:before="0" w:after="20" w:line="360" w:lineRule="auto"/>
        <w:jc w:val="center"/>
        <w:rPr>
          <w:rFonts w:ascii="黑体" w:eastAsia="黑体"/>
          <w:b w:val="0"/>
          <w:color w:val="000000"/>
          <w:sz w:val="32"/>
          <w:szCs w:val="32"/>
          <w:highlight w:val="none"/>
        </w:rPr>
      </w:pPr>
      <w:bookmarkStart w:id="66" w:name="_Toc533424973"/>
      <w:r>
        <w:rPr>
          <w:rFonts w:hint="eastAsia" w:ascii="黑体" w:eastAsia="黑体"/>
          <w:color w:val="000000"/>
          <w:sz w:val="32"/>
          <w:szCs w:val="32"/>
          <w:highlight w:val="none"/>
        </w:rPr>
        <w:t>第三章  供应商资格条件要求</w:t>
      </w:r>
      <w:bookmarkEnd w:id="66"/>
    </w:p>
    <w:p>
      <w:pPr>
        <w:rPr>
          <w:rFonts w:ascii="宋体" w:hAnsi="宋体"/>
          <w:b/>
          <w:color w:val="000000"/>
          <w:sz w:val="32"/>
          <w:szCs w:val="32"/>
          <w:highlight w:val="none"/>
        </w:rPr>
      </w:pPr>
    </w:p>
    <w:p>
      <w:pPr>
        <w:spacing w:line="400" w:lineRule="exact"/>
        <w:ind w:firstLine="540" w:firstLineChars="225"/>
        <w:rPr>
          <w:rFonts w:hAnsi="宋体"/>
          <w:color w:val="000000"/>
          <w:sz w:val="24"/>
          <w:highlight w:val="none"/>
        </w:rPr>
      </w:pPr>
      <w:r>
        <w:rPr>
          <w:rFonts w:hint="eastAsia" w:hAnsi="宋体"/>
          <w:color w:val="000000"/>
          <w:sz w:val="24"/>
          <w:highlight w:val="none"/>
        </w:rPr>
        <w:t>一、参加磋商的供应商应具备下列资格条件：</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1.具有独立承担民事责任的能力；</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2.具有良好的商业信誉和健全的财务会计制度；</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3.具有履行合同所必须的设备和专业技术能力；</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4.具有依法缴纳税收和社会保障资金的良好记录；</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5.参加本次政府采购活动前3年内，在经营活动中没有重大违法记录；</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6.法律、行政法规规定的其他条件；</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7.采购人根据采购项目提出的特殊条件：</w:t>
      </w:r>
    </w:p>
    <w:p>
      <w:pPr>
        <w:spacing w:line="400" w:lineRule="exact"/>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w:t>
      </w:r>
      <w:r>
        <w:rPr>
          <w:rFonts w:hint="eastAsia" w:asciiTheme="minorEastAsia" w:hAnsiTheme="minorEastAsia" w:eastAsiaTheme="minorEastAsia"/>
          <w:color w:val="000000"/>
          <w:sz w:val="24"/>
          <w:highlight w:val="none"/>
          <w:lang w:eastAsia="zh-CN"/>
        </w:rPr>
        <w:t>供应商</w:t>
      </w:r>
      <w:r>
        <w:rPr>
          <w:rFonts w:hint="eastAsia" w:asciiTheme="minorEastAsia" w:hAnsiTheme="minorEastAsia" w:eastAsiaTheme="minorEastAsia"/>
          <w:color w:val="000000"/>
          <w:sz w:val="24"/>
          <w:highlight w:val="none"/>
          <w:lang w:val="en-US" w:eastAsia="zh-CN"/>
        </w:rPr>
        <w:t>具备有效的《食品经营许可证》</w:t>
      </w:r>
      <w:r>
        <w:rPr>
          <w:rFonts w:hint="eastAsia" w:asciiTheme="minorEastAsia" w:hAnsiTheme="minorEastAsia" w:eastAsiaTheme="minorEastAsia"/>
          <w:color w:val="000000"/>
          <w:sz w:val="24"/>
          <w:highlight w:val="none"/>
        </w:rPr>
        <w:t>；</w:t>
      </w:r>
    </w:p>
    <w:p>
      <w:pPr>
        <w:spacing w:line="400" w:lineRule="exact"/>
        <w:ind w:firstLine="480" w:firstLineChars="200"/>
        <w:rPr>
          <w:rFonts w:hint="eastAsia" w:cs="Times New Roman"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2）本项目专门面向中小企业采购，供应商须为中小企业；</w:t>
      </w:r>
    </w:p>
    <w:p>
      <w:pPr>
        <w:spacing w:line="400" w:lineRule="exact"/>
        <w:ind w:firstLine="480" w:firstLineChars="200"/>
        <w:rPr>
          <w:rFonts w:hint="eastAsia" w:cs="Times New Roman" w:asciiTheme="minorEastAsia" w:hAnsiTheme="minorEastAsia" w:eastAsiaTheme="minorEastAsia"/>
          <w:color w:val="000000"/>
          <w:sz w:val="24"/>
          <w:highlight w:val="none"/>
        </w:rPr>
      </w:pPr>
      <w:r>
        <w:rPr>
          <w:rFonts w:hint="eastAsia" w:cs="Times New Roman" w:asciiTheme="minorEastAsia" w:hAnsiTheme="minorEastAsia" w:eastAsiaTheme="minorEastAsia"/>
          <w:color w:val="000000"/>
          <w:sz w:val="24"/>
          <w:highlight w:val="none"/>
          <w:lang w:val="en-US" w:eastAsia="zh-CN"/>
        </w:rPr>
        <w:t>8</w:t>
      </w:r>
      <w:r>
        <w:rPr>
          <w:rFonts w:hint="eastAsia" w:cs="Times New Roman" w:asciiTheme="minorEastAsia" w:hAnsiTheme="minorEastAsia" w:eastAsiaTheme="minorEastAsia"/>
          <w:color w:val="000000"/>
          <w:sz w:val="24"/>
          <w:highlight w:val="none"/>
        </w:rPr>
        <w:t>. 本项目不接受联合体</w:t>
      </w:r>
      <w:r>
        <w:rPr>
          <w:rFonts w:hint="eastAsia" w:cs="Times New Roman" w:asciiTheme="minorEastAsia" w:hAnsiTheme="minorEastAsia" w:eastAsiaTheme="minorEastAsia"/>
          <w:color w:val="000000"/>
          <w:sz w:val="24"/>
          <w:highlight w:val="none"/>
          <w:lang w:eastAsia="zh-CN"/>
        </w:rPr>
        <w:t>磋商</w:t>
      </w:r>
      <w:r>
        <w:rPr>
          <w:rFonts w:hint="eastAsia" w:cs="Times New Roman" w:asciiTheme="minorEastAsia" w:hAnsiTheme="minorEastAsia" w:eastAsiaTheme="minorEastAsia"/>
          <w:color w:val="000000"/>
          <w:sz w:val="24"/>
          <w:highlight w:val="none"/>
        </w:rPr>
        <w:t>。</w:t>
      </w:r>
    </w:p>
    <w:p>
      <w:pPr>
        <w:spacing w:line="400" w:lineRule="exact"/>
        <w:ind w:firstLine="480" w:firstLineChars="200"/>
        <w:rPr>
          <w:rFonts w:hint="eastAsia" w:cs="Times New Roman" w:asciiTheme="minorEastAsia" w:hAnsiTheme="minorEastAsia" w:eastAsiaTheme="minorEastAsia"/>
          <w:color w:val="000000"/>
          <w:sz w:val="24"/>
          <w:highlight w:val="none"/>
        </w:rPr>
      </w:pPr>
      <w:r>
        <w:rPr>
          <w:rFonts w:hint="eastAsia" w:cs="Times New Roman" w:asciiTheme="minorEastAsia" w:hAnsiTheme="minorEastAsia" w:eastAsiaTheme="minorEastAsia"/>
          <w:color w:val="000000"/>
          <w:sz w:val="24"/>
          <w:highlight w:val="none"/>
          <w:lang w:val="en-US" w:eastAsia="zh-CN"/>
        </w:rPr>
        <w:t>9</w:t>
      </w:r>
      <w:r>
        <w:rPr>
          <w:rFonts w:hint="eastAsia" w:cs="Times New Roman" w:asciiTheme="minorEastAsia" w:hAnsiTheme="minorEastAsia" w:eastAsiaTheme="minorEastAsia"/>
          <w:color w:val="000000"/>
          <w:sz w:val="24"/>
          <w:highlight w:val="none"/>
          <w:lang w:eastAsia="zh-CN"/>
        </w:rPr>
        <w:t>.</w:t>
      </w:r>
      <w:r>
        <w:rPr>
          <w:rFonts w:hint="eastAsia" w:cs="Times New Roman" w:asciiTheme="minorEastAsia" w:hAnsiTheme="minorEastAsia" w:eastAsiaTheme="minorEastAsia"/>
          <w:color w:val="000000"/>
          <w:sz w:val="24"/>
          <w:highlight w:val="none"/>
        </w:rPr>
        <w:t>本项目参加政府采购活动的</w:t>
      </w:r>
      <w:r>
        <w:rPr>
          <w:rFonts w:hint="eastAsia" w:cs="Times New Roman" w:asciiTheme="minorEastAsia" w:hAnsiTheme="minorEastAsia" w:eastAsiaTheme="minorEastAsia"/>
          <w:color w:val="000000"/>
          <w:sz w:val="24"/>
          <w:highlight w:val="none"/>
          <w:lang w:eastAsia="zh-CN"/>
        </w:rPr>
        <w:t>供应商</w:t>
      </w:r>
      <w:r>
        <w:rPr>
          <w:rFonts w:hint="eastAsia" w:cs="Times New Roman" w:asciiTheme="minorEastAsia" w:hAnsiTheme="minorEastAsia" w:eastAsiaTheme="minorEastAsia"/>
          <w:color w:val="000000"/>
          <w:sz w:val="24"/>
          <w:highlight w:val="none"/>
        </w:rPr>
        <w:t>、法定代表人、主要负责人在前3年内不得具有行贿犯罪记录。</w:t>
      </w:r>
    </w:p>
    <w:p>
      <w:pPr>
        <w:widowControl/>
        <w:spacing w:line="400" w:lineRule="exact"/>
        <w:ind w:firstLine="480" w:firstLineChars="200"/>
        <w:jc w:val="left"/>
        <w:rPr>
          <w:rFonts w:hAnsi="宋体"/>
          <w:sz w:val="24"/>
          <w:highlight w:val="none"/>
        </w:rPr>
      </w:pPr>
      <w:r>
        <w:rPr>
          <w:rFonts w:hint="eastAsia" w:asciiTheme="minorEastAsia" w:hAnsiTheme="minorEastAsia" w:eastAsiaTheme="minorEastAsia"/>
          <w:color w:val="000000"/>
          <w:sz w:val="24"/>
          <w:highlight w:val="none"/>
          <w:lang w:val="en-US" w:eastAsia="zh-CN"/>
        </w:rPr>
        <w:t>10</w:t>
      </w:r>
      <w:r>
        <w:rPr>
          <w:rFonts w:hint="eastAsia" w:asciiTheme="minorEastAsia" w:hAnsiTheme="minorEastAsia" w:eastAsiaTheme="minorEastAsia"/>
          <w:color w:val="000000"/>
          <w:sz w:val="24"/>
          <w:highlight w:val="none"/>
          <w:lang w:eastAsia="zh-CN"/>
        </w:rPr>
        <w:t>.</w:t>
      </w:r>
      <w:r>
        <w:rPr>
          <w:rFonts w:hint="eastAsia" w:asciiTheme="minorEastAsia" w:hAnsiTheme="minorEastAsia" w:eastAsiaTheme="minorEastAsia"/>
          <w:color w:val="000000"/>
          <w:sz w:val="24"/>
          <w:highlight w:val="none"/>
        </w:rPr>
        <w:t>供应商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供应商</w:t>
      </w:r>
      <w:r>
        <w:rPr>
          <w:rFonts w:hint="eastAsia" w:hAnsi="宋体"/>
          <w:sz w:val="24"/>
          <w:highlight w:val="none"/>
        </w:rPr>
        <w:t>。</w:t>
      </w:r>
    </w:p>
    <w:p>
      <w:pPr>
        <w:spacing w:line="400" w:lineRule="exact"/>
        <w:ind w:firstLine="480" w:firstLineChars="200"/>
        <w:rPr>
          <w:sz w:val="24"/>
          <w:highlight w:val="none"/>
        </w:rPr>
      </w:pPr>
      <w:r>
        <w:rPr>
          <w:rFonts w:hint="eastAsia"/>
          <w:sz w:val="24"/>
          <w:highlight w:val="none"/>
          <w:lang w:val="en-US" w:eastAsia="zh-CN"/>
        </w:rPr>
        <w:t>11</w:t>
      </w:r>
      <w:r>
        <w:rPr>
          <w:rFonts w:hint="eastAsia"/>
          <w:sz w:val="24"/>
          <w:highlight w:val="none"/>
          <w:lang w:eastAsia="zh-CN"/>
        </w:rPr>
        <w:t>.</w:t>
      </w:r>
      <w:r>
        <w:rPr>
          <w:rFonts w:hint="eastAsia"/>
          <w:sz w:val="24"/>
          <w:highlight w:val="none"/>
        </w:rPr>
        <w:t>法定代表人授权书。</w:t>
      </w:r>
    </w:p>
    <w:p>
      <w:pPr>
        <w:spacing w:line="400" w:lineRule="exact"/>
        <w:ind w:firstLine="480" w:firstLineChars="200"/>
        <w:rPr>
          <w:sz w:val="24"/>
          <w:highlight w:val="none"/>
        </w:rPr>
      </w:pPr>
      <w:r>
        <w:rPr>
          <w:rFonts w:hint="eastAsia"/>
          <w:sz w:val="24"/>
          <w:highlight w:val="none"/>
        </w:rPr>
        <w:t>1</w:t>
      </w:r>
      <w:r>
        <w:rPr>
          <w:rFonts w:hint="eastAsia"/>
          <w:sz w:val="24"/>
          <w:highlight w:val="none"/>
          <w:lang w:val="en-US" w:eastAsia="zh-CN"/>
        </w:rPr>
        <w:t>2</w:t>
      </w:r>
      <w:r>
        <w:rPr>
          <w:rFonts w:hint="eastAsia"/>
          <w:sz w:val="24"/>
          <w:highlight w:val="none"/>
          <w:lang w:eastAsia="zh-CN"/>
        </w:rPr>
        <w:t>.</w:t>
      </w:r>
      <w:r>
        <w:rPr>
          <w:rFonts w:hint="eastAsia"/>
          <w:sz w:val="24"/>
          <w:highlight w:val="none"/>
        </w:rPr>
        <w:t>法人代表及被授权代表身份证。</w:t>
      </w:r>
    </w:p>
    <w:p>
      <w:pPr>
        <w:spacing w:line="400" w:lineRule="exact"/>
        <w:ind w:firstLine="540" w:firstLineChars="225"/>
        <w:rPr>
          <w:rFonts w:hAnsi="宋体"/>
          <w:color w:val="000000"/>
          <w:sz w:val="24"/>
          <w:highlight w:val="none"/>
        </w:rPr>
      </w:pPr>
    </w:p>
    <w:p>
      <w:pPr>
        <w:spacing w:line="320" w:lineRule="exact"/>
        <w:rPr>
          <w:rFonts w:ascii="宋体" w:hAnsi="宋体"/>
          <w:b/>
          <w:bCs/>
          <w:color w:val="000000"/>
          <w:szCs w:val="21"/>
          <w:highlight w:val="none"/>
        </w:rPr>
      </w:pPr>
      <w:r>
        <w:rPr>
          <w:rFonts w:hint="eastAsia" w:hAnsi="宋体"/>
          <w:b/>
          <w:bCs/>
          <w:color w:val="000000"/>
          <w:szCs w:val="21"/>
          <w:highlight w:val="none"/>
        </w:rPr>
        <w:t>注：</w:t>
      </w:r>
      <w:r>
        <w:rPr>
          <w:rFonts w:hint="eastAsia" w:ascii="宋体" w:hAnsi="宋体"/>
          <w:b/>
          <w:bCs/>
          <w:color w:val="000000"/>
          <w:szCs w:val="21"/>
          <w:highlight w:val="none"/>
        </w:rPr>
        <w:t>1.</w:t>
      </w:r>
      <w:r>
        <w:rPr>
          <w:rFonts w:hint="eastAsia" w:ascii="宋体" w:hAnsi="宋体" w:eastAsia="宋体" w:cs="宋体"/>
          <w:b/>
          <w:color w:val="000000" w:themeColor="text1"/>
          <w:sz w:val="24"/>
          <w:highlight w:val="none"/>
          <w14:textFill>
            <w14:solidFill>
              <w14:schemeClr w14:val="tx1"/>
            </w14:solidFill>
          </w14:textFill>
        </w:rPr>
        <w:t>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w:t>
      </w:r>
      <w:r>
        <w:rPr>
          <w:rFonts w:hint="eastAsia" w:ascii="宋体" w:hAnsi="宋体" w:eastAsia="宋体" w:cs="宋体"/>
          <w:b/>
          <w:color w:val="000000" w:themeColor="text1"/>
          <w:sz w:val="24"/>
          <w:highlight w:val="none"/>
          <w:lang w:eastAsia="zh-CN"/>
          <w14:textFill>
            <w14:solidFill>
              <w14:schemeClr w14:val="tx1"/>
            </w14:solidFill>
          </w14:textFill>
        </w:rPr>
        <w:t>为准</w:t>
      </w:r>
      <w:r>
        <w:rPr>
          <w:rFonts w:hint="eastAsia"/>
          <w:b/>
          <w:szCs w:val="21"/>
          <w:highlight w:val="none"/>
        </w:rPr>
        <w:t>。</w:t>
      </w:r>
    </w:p>
    <w:p>
      <w:pPr>
        <w:spacing w:line="320" w:lineRule="exact"/>
        <w:ind w:firstLine="474" w:firstLineChars="225"/>
        <w:rPr>
          <w:rFonts w:hAnsi="宋体"/>
          <w:b/>
          <w:bCs/>
          <w:color w:val="000000"/>
          <w:szCs w:val="21"/>
          <w:highlight w:val="none"/>
        </w:rPr>
      </w:pPr>
      <w:r>
        <w:rPr>
          <w:rFonts w:hint="eastAsia" w:ascii="宋体" w:hAnsi="宋体"/>
          <w:b/>
          <w:bCs/>
          <w:color w:val="000000"/>
          <w:szCs w:val="21"/>
          <w:highlight w:val="none"/>
        </w:rPr>
        <w:t>2.供应</w:t>
      </w:r>
      <w:r>
        <w:rPr>
          <w:rFonts w:hint="eastAsia" w:hAnsi="宋体"/>
          <w:b/>
          <w:bCs/>
          <w:color w:val="000000"/>
          <w:szCs w:val="21"/>
          <w:highlight w:val="none"/>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8"/>
        <w:spacing w:after="0" w:line="320" w:lineRule="exact"/>
        <w:rPr>
          <w:highlight w:val="none"/>
        </w:rPr>
      </w:pPr>
    </w:p>
    <w:p>
      <w:pPr>
        <w:rPr>
          <w:highlight w:val="none"/>
        </w:rPr>
      </w:pPr>
    </w:p>
    <w:p>
      <w:pPr>
        <w:jc w:val="center"/>
        <w:rPr>
          <w:rFonts w:hAnsi="宋体"/>
          <w:color w:val="000000"/>
          <w:sz w:val="24"/>
          <w:highlight w:val="none"/>
        </w:rPr>
      </w:pPr>
    </w:p>
    <w:p>
      <w:pPr>
        <w:pStyle w:val="3"/>
        <w:pageBreakBefore/>
        <w:spacing w:before="0" w:after="20" w:line="360" w:lineRule="auto"/>
        <w:jc w:val="center"/>
        <w:rPr>
          <w:rFonts w:ascii="黑体" w:eastAsia="黑体"/>
          <w:color w:val="000000"/>
          <w:sz w:val="32"/>
          <w:szCs w:val="32"/>
          <w:highlight w:val="none"/>
        </w:rPr>
      </w:pPr>
      <w:bookmarkStart w:id="67" w:name="_Toc533424974"/>
      <w:r>
        <w:rPr>
          <w:rFonts w:hint="eastAsia" w:ascii="黑体" w:eastAsia="黑体"/>
          <w:color w:val="000000"/>
          <w:sz w:val="32"/>
          <w:szCs w:val="32"/>
          <w:highlight w:val="none"/>
        </w:rPr>
        <w:t>第四章  供应商资格证明材料</w:t>
      </w:r>
      <w:bookmarkEnd w:id="67"/>
    </w:p>
    <w:p>
      <w:pPr>
        <w:spacing w:line="400" w:lineRule="exact"/>
        <w:ind w:firstLine="472" w:firstLineChars="196"/>
        <w:rPr>
          <w:rFonts w:ascii="宋体" w:hAnsi="宋体"/>
          <w:b/>
          <w:color w:val="000000"/>
          <w:sz w:val="24"/>
          <w:highlight w:val="none"/>
        </w:rPr>
      </w:pPr>
      <w:r>
        <w:rPr>
          <w:rFonts w:ascii="宋体" w:hAnsi="宋体"/>
          <w:b/>
          <w:color w:val="000000"/>
          <w:sz w:val="24"/>
          <w:highlight w:val="none"/>
        </w:rPr>
        <w:t>一、</w:t>
      </w:r>
      <w:r>
        <w:rPr>
          <w:rFonts w:hint="eastAsia" w:ascii="宋体"/>
          <w:b/>
          <w:sz w:val="24"/>
          <w:highlight w:val="none"/>
        </w:rPr>
        <w:t>应当提供的供应商资格、资质性及其他类似效力要求的相关证明材料</w:t>
      </w:r>
    </w:p>
    <w:p>
      <w:pPr>
        <w:spacing w:line="400" w:lineRule="exact"/>
        <w:ind w:firstLine="236" w:firstLineChars="98"/>
        <w:rPr>
          <w:rFonts w:hAnsi="宋体"/>
          <w:b/>
          <w:bCs/>
          <w:sz w:val="24"/>
          <w:highlight w:val="none"/>
        </w:rPr>
      </w:pPr>
      <w:r>
        <w:rPr>
          <w:rFonts w:hint="eastAsia" w:hAnsi="宋体"/>
          <w:b/>
          <w:bCs/>
          <w:sz w:val="24"/>
          <w:highlight w:val="none"/>
        </w:rPr>
        <w:t>（一）资格要求相关证明材料：</w:t>
      </w:r>
    </w:p>
    <w:p>
      <w:pPr>
        <w:spacing w:line="360" w:lineRule="exact"/>
        <w:ind w:firstLine="480" w:firstLineChars="200"/>
        <w:rPr>
          <w:rFonts w:hint="eastAsia"/>
          <w:sz w:val="24"/>
          <w:highlight w:val="none"/>
        </w:rPr>
      </w:pPr>
      <w:r>
        <w:rPr>
          <w:rFonts w:hint="eastAsia"/>
          <w:sz w:val="24"/>
          <w:highlight w:val="none"/>
        </w:rPr>
        <w:t>1.具有独立承担民事责任的能力；（已完成三证合一或五证合一的，需提供营业执照副本复印件；未完成证照合并的，需提供合法有效的营业执照副本复印件、税务登记证副本复印件、组织机构代码副本复印件；事业单位提供法人证书及组织机构代码副本复印件；自然人提供本人身份证复印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2.具有良好的商业信誉和健全的财务会计制度；（</w:t>
      </w:r>
      <w:r>
        <w:rPr>
          <w:rFonts w:hint="eastAsia"/>
          <w:color w:val="000000"/>
          <w:sz w:val="24"/>
          <w:highlight w:val="none"/>
        </w:rPr>
        <w:t>具有良好的商业信誉提供承诺函，健全的财务会计制度</w:t>
      </w:r>
      <w:r>
        <w:rPr>
          <w:rFonts w:hint="eastAsia"/>
          <w:color w:val="000000"/>
          <w:sz w:val="24"/>
          <w:highlight w:val="none"/>
          <w:lang w:eastAsia="zh-CN"/>
        </w:rPr>
        <w:t>提供证明材料</w:t>
      </w:r>
      <w:r>
        <w:rPr>
          <w:rFonts w:hint="eastAsia"/>
          <w:color w:val="000000"/>
          <w:sz w:val="24"/>
          <w:highlight w:val="none"/>
        </w:rPr>
        <w:t>｛注：①可提供201</w:t>
      </w:r>
      <w:r>
        <w:rPr>
          <w:rFonts w:hint="eastAsia"/>
          <w:color w:val="000000"/>
          <w:sz w:val="24"/>
          <w:highlight w:val="none"/>
          <w:lang w:val="en-US" w:eastAsia="zh-CN"/>
        </w:rPr>
        <w:t>9</w:t>
      </w:r>
      <w:r>
        <w:rPr>
          <w:rFonts w:hint="eastAsia"/>
          <w:color w:val="000000"/>
          <w:sz w:val="24"/>
          <w:highlight w:val="none"/>
        </w:rPr>
        <w:t>或20</w:t>
      </w:r>
      <w:r>
        <w:rPr>
          <w:rFonts w:hint="eastAsia"/>
          <w:color w:val="000000"/>
          <w:sz w:val="24"/>
          <w:highlight w:val="none"/>
          <w:lang w:val="en-US" w:eastAsia="zh-CN"/>
        </w:rPr>
        <w:t>20</w:t>
      </w:r>
      <w:r>
        <w:rPr>
          <w:rFonts w:hint="eastAsia"/>
          <w:color w:val="000000"/>
          <w:sz w:val="24"/>
          <w:highlight w:val="none"/>
        </w:rPr>
        <w:t>年度经审计的财务报告复印件（包含审计报告和审计报告中所涉及的财务报表和报表附注）；②也可提供201</w:t>
      </w:r>
      <w:r>
        <w:rPr>
          <w:rFonts w:hint="eastAsia"/>
          <w:color w:val="000000"/>
          <w:sz w:val="24"/>
          <w:highlight w:val="none"/>
          <w:lang w:val="en-US" w:eastAsia="zh-CN"/>
        </w:rPr>
        <w:t>9</w:t>
      </w:r>
      <w:r>
        <w:rPr>
          <w:rFonts w:hint="eastAsia"/>
          <w:color w:val="000000"/>
          <w:sz w:val="24"/>
          <w:highlight w:val="none"/>
        </w:rPr>
        <w:t>或20</w:t>
      </w:r>
      <w:r>
        <w:rPr>
          <w:rFonts w:hint="eastAsia"/>
          <w:color w:val="000000"/>
          <w:sz w:val="24"/>
          <w:highlight w:val="none"/>
          <w:lang w:val="en-US" w:eastAsia="zh-CN"/>
        </w:rPr>
        <w:t>20</w:t>
      </w:r>
      <w:r>
        <w:rPr>
          <w:rFonts w:hint="eastAsia"/>
          <w:color w:val="000000"/>
          <w:sz w:val="24"/>
          <w:highlight w:val="none"/>
        </w:rPr>
        <w:t>年度供应商内部的财务报表复印件（至少包含资产负债表和利润表）；③也可提供投标文件递交截止日前一年内银行出具的有效资信证明；④供应商注册时间距投标文件递交截止日不足一年的，也可提供在工商备案的公司章程复印件｝</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3.具有履行合同所必须的设备和专业技术能力；（提供承诺函）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4.具有依法缴纳税收和社会保障资金的良好记录；（提供承诺函）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5.参加本次政府采购活动前3年内，在经营活动中没有重大违法记录；（提供承诺函）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6.法律、行政法规规定的其他条件；（提供承诺函）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rPr>
        <w:t>7.采购人根据采购项目提出的特殊条件：</w:t>
      </w:r>
    </w:p>
    <w:p>
      <w:pPr>
        <w:spacing w:line="400" w:lineRule="exact"/>
        <w:ind w:firstLine="480" w:firstLineChars="200"/>
        <w:rPr>
          <w:rFonts w:hint="eastAsia" w:asciiTheme="minorEastAsia" w:hAnsiTheme="minorEastAsia" w:eastAsiaTheme="minorEastAsia"/>
          <w:color w:val="000000"/>
          <w:sz w:val="24"/>
          <w:highlight w:val="none"/>
          <w:lang w:eastAsia="zh-CN"/>
        </w:rPr>
      </w:pPr>
      <w:r>
        <w:rPr>
          <w:rFonts w:hint="eastAsia" w:asciiTheme="minorEastAsia" w:hAnsiTheme="minorEastAsia" w:eastAsiaTheme="minorEastAsia"/>
          <w:color w:val="000000"/>
          <w:sz w:val="24"/>
          <w:highlight w:val="none"/>
        </w:rPr>
        <w:t>1）</w:t>
      </w:r>
      <w:r>
        <w:rPr>
          <w:rFonts w:hint="eastAsia" w:asciiTheme="minorEastAsia" w:hAnsiTheme="minorEastAsia" w:eastAsiaTheme="minorEastAsia"/>
          <w:color w:val="000000"/>
          <w:sz w:val="24"/>
          <w:highlight w:val="none"/>
          <w:lang w:eastAsia="zh-CN"/>
        </w:rPr>
        <w:t>供应商</w:t>
      </w:r>
      <w:r>
        <w:rPr>
          <w:rFonts w:hint="eastAsia" w:asciiTheme="minorEastAsia" w:hAnsiTheme="minorEastAsia" w:eastAsiaTheme="minorEastAsia"/>
          <w:color w:val="000000"/>
          <w:sz w:val="24"/>
          <w:highlight w:val="none"/>
          <w:lang w:val="en-US" w:eastAsia="zh-CN"/>
        </w:rPr>
        <w:t>具备有效的《食品经营许可证》</w:t>
      </w: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eastAsia="zh-CN"/>
        </w:rPr>
        <w:t>（提供证书复印件加盖公章）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cs="Times New Roman"/>
          <w:sz w:val="24"/>
          <w:highlight w:val="none"/>
        </w:rPr>
      </w:pPr>
      <w:r>
        <w:rPr>
          <w:rFonts w:hint="eastAsia" w:asciiTheme="minorEastAsia" w:hAnsiTheme="minorEastAsia" w:eastAsiaTheme="minorEastAsia"/>
          <w:color w:val="000000"/>
          <w:sz w:val="24"/>
          <w:highlight w:val="none"/>
          <w:lang w:val="en-US" w:eastAsia="zh-CN"/>
        </w:rPr>
        <w:t>2）本项目专门面向中小企业采购，供应商须为中小企业；（提供中小企业声明函）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cs="Times New Roman"/>
          <w:sz w:val="24"/>
          <w:highlight w:val="none"/>
        </w:rPr>
      </w:pPr>
      <w:r>
        <w:rPr>
          <w:rFonts w:hint="eastAsia" w:ascii="Times New Roman" w:hAnsi="Times New Roman" w:cs="Times New Roman"/>
          <w:sz w:val="24"/>
          <w:highlight w:val="none"/>
          <w:lang w:val="en-US" w:eastAsia="zh-CN"/>
        </w:rPr>
        <w:t>8</w:t>
      </w:r>
      <w:r>
        <w:rPr>
          <w:rFonts w:hint="eastAsia" w:cs="Times New Roman"/>
          <w:sz w:val="24"/>
          <w:highlight w:val="none"/>
          <w:lang w:val="en-US" w:eastAsia="zh-CN"/>
        </w:rPr>
        <w:t>.</w:t>
      </w:r>
      <w:r>
        <w:rPr>
          <w:rFonts w:hint="eastAsia" w:ascii="Times New Roman" w:hAnsi="Times New Roman" w:cs="Times New Roman"/>
          <w:sz w:val="24"/>
          <w:highlight w:val="none"/>
        </w:rPr>
        <w:t xml:space="preserve"> 本项目不接受联合体</w:t>
      </w:r>
      <w:r>
        <w:rPr>
          <w:rFonts w:hint="eastAsia" w:cs="Times New Roman" w:asciiTheme="minorEastAsia" w:hAnsiTheme="minorEastAsia" w:eastAsiaTheme="minorEastAsia"/>
          <w:color w:val="000000"/>
          <w:sz w:val="24"/>
          <w:highlight w:val="none"/>
          <w:lang w:eastAsia="zh-CN"/>
        </w:rPr>
        <w:t>磋商</w:t>
      </w:r>
      <w:r>
        <w:rPr>
          <w:rFonts w:hint="eastAsia"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ascii="Times New Roman" w:hAnsi="Times New Roman" w:cs="Times New Roman"/>
          <w:sz w:val="24"/>
          <w:highlight w:val="none"/>
          <w:lang w:val="en-US" w:eastAsia="zh-CN"/>
        </w:rPr>
        <w:t>9</w:t>
      </w:r>
      <w:r>
        <w:rPr>
          <w:rFonts w:hint="eastAsia" w:cs="Times New Roman"/>
          <w:sz w:val="24"/>
          <w:highlight w:val="none"/>
          <w:lang w:eastAsia="zh-CN"/>
        </w:rPr>
        <w:t>.</w:t>
      </w:r>
      <w:r>
        <w:rPr>
          <w:rFonts w:hint="eastAsia" w:ascii="Times New Roman" w:hAnsi="Times New Roman" w:cs="Times New Roman"/>
          <w:sz w:val="24"/>
          <w:highlight w:val="none"/>
        </w:rPr>
        <w:t>本项目参加政府采购活动的</w:t>
      </w:r>
      <w:r>
        <w:rPr>
          <w:rFonts w:hint="eastAsia" w:cs="Times New Roman" w:asciiTheme="minorEastAsia" w:hAnsiTheme="minorEastAsia" w:eastAsiaTheme="minorEastAsia"/>
          <w:color w:val="000000"/>
          <w:sz w:val="24"/>
          <w:highlight w:val="none"/>
          <w:lang w:eastAsia="zh-CN"/>
        </w:rPr>
        <w:t>供应商</w:t>
      </w:r>
      <w:r>
        <w:rPr>
          <w:rFonts w:hint="eastAsia" w:ascii="Times New Roman" w:hAnsi="Times New Roman" w:cs="Times New Roman"/>
          <w:sz w:val="24"/>
          <w:highlight w:val="none"/>
        </w:rPr>
        <w:t>、法定代表</w:t>
      </w:r>
      <w:r>
        <w:rPr>
          <w:rFonts w:hint="eastAsia"/>
          <w:sz w:val="24"/>
          <w:highlight w:val="none"/>
        </w:rPr>
        <w:t>人、主要负责人在前3年内不得具有行贿犯罪记录（提供承诺函）。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highlight w:val="none"/>
        </w:rPr>
      </w:pPr>
      <w:r>
        <w:rPr>
          <w:rFonts w:hint="eastAsia"/>
          <w:sz w:val="24"/>
          <w:highlight w:val="none"/>
          <w:lang w:val="en-US" w:eastAsia="zh-CN"/>
        </w:rPr>
        <w:t>10</w:t>
      </w:r>
      <w:r>
        <w:rPr>
          <w:rFonts w:hint="eastAsia"/>
          <w:sz w:val="24"/>
          <w:highlight w:val="none"/>
          <w:lang w:eastAsia="zh-CN"/>
        </w:rPr>
        <w:t>.</w:t>
      </w:r>
      <w:r>
        <w:rPr>
          <w:rFonts w:hint="eastAsia"/>
          <w:sz w:val="24"/>
          <w:highlight w:val="none"/>
        </w:rPr>
        <w:t>供应商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供应商。（提供承诺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highlight w:val="none"/>
        </w:rPr>
      </w:pPr>
      <w:r>
        <w:rPr>
          <w:rFonts w:hint="eastAsia"/>
          <w:sz w:val="24"/>
          <w:highlight w:val="none"/>
        </w:rPr>
        <w:t>1</w:t>
      </w:r>
      <w:r>
        <w:rPr>
          <w:rFonts w:hint="eastAsia"/>
          <w:sz w:val="24"/>
          <w:highlight w:val="none"/>
          <w:lang w:val="en-US" w:eastAsia="zh-CN"/>
        </w:rPr>
        <w:t>1</w:t>
      </w:r>
      <w:r>
        <w:rPr>
          <w:rFonts w:hint="eastAsia"/>
          <w:sz w:val="24"/>
          <w:highlight w:val="none"/>
          <w:lang w:eastAsia="zh-CN"/>
        </w:rPr>
        <w:t>.</w:t>
      </w:r>
      <w:r>
        <w:rPr>
          <w:rFonts w:hint="eastAsia"/>
          <w:sz w:val="24"/>
          <w:highlight w:val="none"/>
        </w:rPr>
        <w:t>法定代表人授权书。（原件加盖公章，委托代理时提供）</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highlight w:val="none"/>
        </w:rPr>
      </w:pPr>
      <w:r>
        <w:rPr>
          <w:rFonts w:hint="eastAsia"/>
          <w:sz w:val="24"/>
          <w:highlight w:val="none"/>
        </w:rPr>
        <w:t>1</w:t>
      </w:r>
      <w:r>
        <w:rPr>
          <w:rFonts w:hint="eastAsia"/>
          <w:sz w:val="24"/>
          <w:highlight w:val="none"/>
          <w:lang w:val="en-US" w:eastAsia="zh-CN"/>
        </w:rPr>
        <w:t>2</w:t>
      </w:r>
      <w:r>
        <w:rPr>
          <w:rFonts w:hint="eastAsia"/>
          <w:sz w:val="24"/>
          <w:highlight w:val="none"/>
          <w:lang w:eastAsia="zh-CN"/>
        </w:rPr>
        <w:t>.</w:t>
      </w:r>
      <w:r>
        <w:rPr>
          <w:rFonts w:hint="eastAsia"/>
          <w:sz w:val="24"/>
          <w:highlight w:val="none"/>
        </w:rPr>
        <w:t>法人代表及被授权代表身份证。（复印件加盖公章，被授权代表身份证原件随身携带备查）</w:t>
      </w:r>
    </w:p>
    <w:p>
      <w:pPr>
        <w:spacing w:line="400" w:lineRule="exact"/>
        <w:ind w:firstLine="480"/>
        <w:rPr>
          <w:rFonts w:asciiTheme="minorEastAsia" w:hAnsiTheme="minorEastAsia" w:eastAsiaTheme="minorEastAsia"/>
          <w:color w:val="000000"/>
          <w:sz w:val="24"/>
          <w:highlight w:val="none"/>
        </w:rPr>
      </w:pPr>
    </w:p>
    <w:p>
      <w:pPr>
        <w:spacing w:line="320" w:lineRule="exact"/>
        <w:rPr>
          <w:rFonts w:ascii="宋体" w:hAnsi="宋体"/>
          <w:b/>
          <w:bCs/>
          <w:color w:val="000000"/>
          <w:szCs w:val="21"/>
          <w:highlight w:val="none"/>
        </w:rPr>
      </w:pPr>
      <w:r>
        <w:rPr>
          <w:rFonts w:hint="eastAsia" w:ascii="宋体" w:hAnsi="宋体"/>
          <w:b/>
          <w:bCs/>
          <w:color w:val="000000"/>
          <w:szCs w:val="21"/>
          <w:highlight w:val="none"/>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20" w:lineRule="exact"/>
        <w:jc w:val="left"/>
        <w:rPr>
          <w:rFonts w:ascii="黑体" w:hAnsi="宋体" w:eastAsia="黑体"/>
          <w:b/>
          <w:color w:val="000000"/>
          <w:szCs w:val="21"/>
          <w:highlight w:val="none"/>
        </w:rPr>
      </w:pPr>
      <w:r>
        <w:rPr>
          <w:rFonts w:hint="eastAsia" w:ascii="宋体" w:hAnsi="宋体"/>
          <w:b/>
          <w:bCs/>
          <w:color w:val="000000"/>
          <w:szCs w:val="21"/>
          <w:highlight w:val="none"/>
        </w:rPr>
        <w:t>2.本章要求提供的相关证明材料应当结合采购项目具体情况和供应商的组织机构性质确定，不得一概而论。</w:t>
      </w:r>
    </w:p>
    <w:p>
      <w:pPr>
        <w:pStyle w:val="3"/>
        <w:pageBreakBefore/>
        <w:spacing w:before="0" w:after="20" w:line="360" w:lineRule="auto"/>
        <w:jc w:val="center"/>
        <w:rPr>
          <w:rFonts w:ascii="黑体" w:eastAsia="黑体"/>
          <w:color w:val="000000"/>
          <w:sz w:val="32"/>
          <w:szCs w:val="32"/>
          <w:highlight w:val="none"/>
        </w:rPr>
      </w:pPr>
      <w:bookmarkStart w:id="68" w:name="_Toc533424975"/>
      <w:r>
        <w:rPr>
          <w:rFonts w:hint="eastAsia" w:ascii="黑体" w:eastAsia="黑体"/>
          <w:color w:val="000000"/>
          <w:sz w:val="32"/>
          <w:szCs w:val="32"/>
          <w:highlight w:val="none"/>
        </w:rPr>
        <w:t>第五章  采购项目技术、服务及其他商务要求</w:t>
      </w:r>
      <w:bookmarkEnd w:id="68"/>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sz w:val="24"/>
          <w:szCs w:val="24"/>
          <w:highlight w:val="none"/>
        </w:rPr>
      </w:pPr>
      <w:bookmarkStart w:id="69" w:name="_Toc217446095"/>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1、项目名称</w:t>
      </w:r>
      <w:r>
        <w:rPr>
          <w:rFonts w:hint="eastAsia" w:ascii="宋体" w:hAnsi="宋体" w:eastAsia="宋体" w:cs="宋体"/>
          <w:bCs/>
          <w:sz w:val="24"/>
          <w:szCs w:val="24"/>
          <w:highlight w:val="none"/>
          <w:lang w:eastAsia="zh-CN"/>
        </w:rPr>
        <w:t>：</w:t>
      </w:r>
      <w:r>
        <w:rPr>
          <w:rFonts w:hint="eastAsia" w:hAnsi="宋体" w:eastAsia="宋体" w:cs="宋体"/>
          <w:bCs/>
          <w:sz w:val="24"/>
          <w:szCs w:val="24"/>
          <w:highlight w:val="none"/>
          <w:lang w:eastAsia="zh-CN"/>
        </w:rPr>
        <w:t>成都东部新区草池街道办事处</w:t>
      </w:r>
      <w:r>
        <w:rPr>
          <w:rFonts w:hint="eastAsia" w:ascii="宋体" w:hAnsi="宋体" w:eastAsia="宋体" w:cs="宋体"/>
          <w:bCs/>
          <w:sz w:val="24"/>
          <w:szCs w:val="24"/>
          <w:highlight w:val="none"/>
          <w:lang w:eastAsia="zh-CN"/>
        </w:rPr>
        <w:t>食堂服务外包项目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2、采购主体：</w:t>
      </w:r>
      <w:r>
        <w:rPr>
          <w:rFonts w:hint="eastAsia" w:hAnsi="宋体" w:eastAsia="宋体" w:cs="宋体"/>
          <w:bCs/>
          <w:sz w:val="24"/>
          <w:szCs w:val="24"/>
          <w:highlight w:val="none"/>
          <w:lang w:eastAsia="zh-CN"/>
        </w:rPr>
        <w:t>成都东部新区草池街道办事处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3、资金来源：财政资金。</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hAnsi="宋体" w:eastAsia="宋体" w:cs="宋体"/>
          <w:bCs/>
          <w:sz w:val="24"/>
          <w:szCs w:val="24"/>
          <w:highlight w:val="none"/>
          <w:lang w:val="en-US" w:eastAsia="zh-CN"/>
        </w:rPr>
      </w:pPr>
      <w:r>
        <w:rPr>
          <w:rFonts w:hint="eastAsia" w:ascii="宋体" w:hAnsi="宋体" w:eastAsia="宋体" w:cs="宋体"/>
          <w:bCs/>
          <w:sz w:val="24"/>
          <w:szCs w:val="24"/>
          <w:highlight w:val="none"/>
        </w:rPr>
        <w:t>4、采购金额：</w:t>
      </w:r>
      <w:r>
        <w:rPr>
          <w:rFonts w:hint="eastAsia" w:hAnsi="宋体" w:eastAsia="宋体" w:cs="宋体"/>
          <w:bCs/>
          <w:sz w:val="24"/>
          <w:szCs w:val="24"/>
          <w:highlight w:val="none"/>
          <w:lang w:val="en-US" w:eastAsia="zh-CN"/>
        </w:rPr>
        <w:t>1221400</w:t>
      </w:r>
      <w:r>
        <w:rPr>
          <w:rFonts w:hint="eastAsia" w:ascii="宋体" w:hAnsi="宋体" w:eastAsia="宋体" w:cs="宋体"/>
          <w:bCs/>
          <w:sz w:val="24"/>
          <w:szCs w:val="24"/>
          <w:highlight w:val="none"/>
        </w:rPr>
        <w:t>元</w:t>
      </w:r>
      <w:r>
        <w:rPr>
          <w:rFonts w:hint="eastAsia" w:hAnsi="宋体" w:eastAsia="宋体" w:cs="宋体"/>
          <w:bCs/>
          <w:sz w:val="24"/>
          <w:szCs w:val="24"/>
          <w:highlight w:val="none"/>
          <w:lang w:val="en-US" w:eastAsia="zh-CN"/>
        </w:rPr>
        <w:t>。</w:t>
      </w:r>
    </w:p>
    <w:p>
      <w:pPr>
        <w:pStyle w:val="8"/>
        <w:rPr>
          <w:rFonts w:hint="eastAsia" w:hAnsi="宋体" w:eastAsia="宋体" w:cs="宋体"/>
          <w:bCs/>
          <w:sz w:val="24"/>
          <w:szCs w:val="24"/>
          <w:highlight w:val="none"/>
          <w:lang w:val="en-US" w:eastAsia="zh-CN"/>
        </w:rPr>
      </w:pPr>
      <w:r>
        <w:rPr>
          <w:rFonts w:hint="eastAsia" w:hAnsi="宋体" w:eastAsia="宋体" w:cs="宋体"/>
          <w:bCs/>
          <w:sz w:val="24"/>
          <w:szCs w:val="24"/>
          <w:highlight w:val="none"/>
          <w:lang w:val="en-US" w:eastAsia="zh-CN"/>
        </w:rPr>
        <w:t>5、服务期限：</w:t>
      </w:r>
      <w:r>
        <w:rPr>
          <w:rFonts w:hint="eastAsia" w:hAnsi="宋体" w:cs="宋体"/>
          <w:bCs/>
          <w:sz w:val="24"/>
          <w:szCs w:val="24"/>
          <w:highlight w:val="none"/>
          <w:lang w:val="en-US" w:eastAsia="zh-CN"/>
        </w:rPr>
        <w:t>一</w:t>
      </w:r>
      <w:r>
        <w:rPr>
          <w:rFonts w:hint="eastAsia" w:hAnsi="宋体" w:eastAsia="宋体" w:cs="宋体"/>
          <w:bCs/>
          <w:sz w:val="24"/>
          <w:szCs w:val="24"/>
          <w:highlight w:val="none"/>
          <w:lang w:val="en-US" w:eastAsia="zh-CN"/>
        </w:rPr>
        <w:t>年。</w:t>
      </w:r>
    </w:p>
    <w:p>
      <w:pPr>
        <w:spacing w:line="400" w:lineRule="exact"/>
        <w:jc w:val="center"/>
        <w:rPr>
          <w:rFonts w:hint="eastAsia"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hAnsi="宋体"/>
          <w:b/>
          <w:color w:val="auto"/>
          <w:sz w:val="30"/>
          <w:szCs w:val="30"/>
          <w:highlight w:val="none"/>
        </w:rPr>
      </w:pPr>
      <w:bookmarkStart w:id="70" w:name="_Toc502563018"/>
      <w:r>
        <w:rPr>
          <w:rFonts w:hint="eastAsia" w:hAnsi="宋体"/>
          <w:b/>
          <w:color w:val="auto"/>
          <w:sz w:val="30"/>
          <w:szCs w:val="30"/>
          <w:highlight w:val="none"/>
          <w:lang w:eastAsia="zh-CN"/>
        </w:rPr>
        <w:t>一、</w:t>
      </w:r>
      <w:r>
        <w:rPr>
          <w:rFonts w:hint="eastAsia" w:hAnsi="宋体"/>
          <w:b/>
          <w:color w:val="auto"/>
          <w:sz w:val="30"/>
          <w:szCs w:val="30"/>
          <w:highlight w:val="none"/>
        </w:rPr>
        <w:t>商务要求</w:t>
      </w:r>
      <w:bookmarkEnd w:id="70"/>
    </w:p>
    <w:p>
      <w:pPr>
        <w:pStyle w:val="61"/>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一、项目概述</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本项目拟通过政府采购的方式确定</w:t>
      </w:r>
      <w:r>
        <w:rPr>
          <w:rFonts w:hint="eastAsia" w:ascii="宋体" w:hAnsi="宋体" w:cs="宋体"/>
          <w:color w:val="auto"/>
          <w:sz w:val="24"/>
          <w:szCs w:val="24"/>
          <w:highlight w:val="none"/>
        </w:rPr>
        <w:t>一名</w:t>
      </w:r>
      <w:r>
        <w:rPr>
          <w:rFonts w:hint="eastAsia" w:ascii="宋体" w:hAnsi="宋体" w:cs="宋体"/>
          <w:sz w:val="24"/>
          <w:szCs w:val="24"/>
          <w:highlight w:val="none"/>
          <w:lang w:eastAsia="zh-CN"/>
        </w:rPr>
        <w:t>成都东部新区草池街道办事处</w:t>
      </w:r>
      <w:r>
        <w:rPr>
          <w:rFonts w:hint="eastAsia" w:ascii="宋体" w:hAnsi="宋体" w:eastAsia="宋体" w:cs="宋体"/>
          <w:bCs/>
          <w:sz w:val="24"/>
          <w:szCs w:val="24"/>
          <w:highlight w:val="none"/>
          <w:lang w:eastAsia="zh-CN"/>
        </w:rPr>
        <w:t>食堂服务外包项目</w:t>
      </w:r>
      <w:r>
        <w:rPr>
          <w:rFonts w:hint="eastAsia" w:ascii="宋体" w:hAnsi="宋体" w:cs="宋体"/>
          <w:bCs/>
          <w:sz w:val="24"/>
          <w:szCs w:val="24"/>
          <w:highlight w:val="none"/>
          <w:lang w:eastAsia="zh-CN"/>
        </w:rPr>
        <w:t>的</w:t>
      </w:r>
      <w:r>
        <w:rPr>
          <w:rFonts w:hint="eastAsia" w:ascii="宋体" w:hAnsi="宋体" w:cs="宋体"/>
          <w:sz w:val="24"/>
          <w:szCs w:val="24"/>
          <w:highlight w:val="none"/>
        </w:rPr>
        <w:t>供应商，承包方式为全部承包，包括食材采购与制作等所有内容。成都</w:t>
      </w:r>
      <w:r>
        <w:rPr>
          <w:rFonts w:hint="eastAsia" w:ascii="宋体" w:hAnsi="宋体" w:cs="宋体"/>
          <w:sz w:val="24"/>
          <w:szCs w:val="24"/>
          <w:highlight w:val="none"/>
          <w:lang w:val="en-US" w:eastAsia="zh-CN"/>
        </w:rPr>
        <w:t>东部</w:t>
      </w:r>
      <w:r>
        <w:rPr>
          <w:rFonts w:hint="eastAsia" w:ascii="宋体" w:hAnsi="宋体" w:cs="宋体"/>
          <w:sz w:val="24"/>
          <w:szCs w:val="24"/>
          <w:highlight w:val="none"/>
        </w:rPr>
        <w:t>新区</w:t>
      </w:r>
      <w:r>
        <w:rPr>
          <w:rFonts w:hint="eastAsia" w:ascii="宋体" w:hAnsi="宋体" w:cs="宋体"/>
          <w:sz w:val="24"/>
          <w:szCs w:val="24"/>
          <w:highlight w:val="none"/>
          <w:lang w:val="en-US" w:eastAsia="zh-CN"/>
        </w:rPr>
        <w:t>草池</w:t>
      </w:r>
      <w:r>
        <w:rPr>
          <w:rFonts w:hint="eastAsia" w:ascii="宋体" w:hAnsi="宋体" w:cs="宋体"/>
          <w:sz w:val="24"/>
          <w:szCs w:val="24"/>
          <w:highlight w:val="none"/>
        </w:rPr>
        <w:t>街道办事处提供食堂硬件设备设施完好，食堂热菜区、操作间、洗碗区设备齐全、如中标供应商需要另行添加设备须自行考虑。中标供应商因操作或使用不当或故意损坏设施设备造成损失的，由中标供应商负责，造成严重后果的，依法承担相应责任。</w:t>
      </w:r>
    </w:p>
    <w:p>
      <w:pPr>
        <w:pStyle w:val="61"/>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（一）用餐明细表</w:t>
      </w:r>
      <w:r>
        <w:rPr>
          <w:rFonts w:hint="eastAsia" w:ascii="宋体" w:hAnsi="宋体" w:cs="宋体"/>
          <w:b/>
          <w:bCs/>
          <w:sz w:val="24"/>
          <w:szCs w:val="24"/>
          <w:highlight w:val="none"/>
          <w:lang w:eastAsia="zh-CN"/>
        </w:rPr>
        <w:t>及总限价。</w:t>
      </w:r>
    </w:p>
    <w:p>
      <w:pPr>
        <w:pStyle w:val="61"/>
        <w:spacing w:line="240" w:lineRule="auto"/>
        <w:rPr>
          <w:rFonts w:hint="eastAsia" w:ascii="宋体" w:hAnsi="宋体" w:cs="宋体"/>
          <w:sz w:val="24"/>
          <w:szCs w:val="24"/>
          <w:highlight w:val="none"/>
        </w:rPr>
      </w:pPr>
    </w:p>
    <w:tbl>
      <w:tblPr>
        <w:tblStyle w:val="2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682"/>
        <w:gridCol w:w="1582"/>
        <w:gridCol w:w="1308"/>
        <w:gridCol w:w="136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09" w:type="dxa"/>
            <w:noWrap w:val="0"/>
            <w:vAlign w:val="center"/>
          </w:tcPr>
          <w:p>
            <w:pPr>
              <w:pStyle w:val="61"/>
              <w:spacing w:line="240" w:lineRule="auto"/>
              <w:jc w:val="center"/>
              <w:rPr>
                <w:rFonts w:hint="eastAsia" w:ascii="宋体" w:hAnsi="宋体" w:cs="宋体"/>
                <w:sz w:val="24"/>
                <w:szCs w:val="24"/>
                <w:highlight w:val="none"/>
              </w:rPr>
            </w:pPr>
            <w:r>
              <w:rPr>
                <w:rFonts w:hint="eastAsia" w:ascii="宋体" w:hAnsi="宋体" w:cs="宋体"/>
                <w:sz w:val="24"/>
                <w:szCs w:val="24"/>
                <w:highlight w:val="none"/>
              </w:rPr>
              <w:t>内容</w:t>
            </w:r>
          </w:p>
        </w:tc>
        <w:tc>
          <w:tcPr>
            <w:tcW w:w="1682" w:type="dxa"/>
            <w:noWrap w:val="0"/>
            <w:vAlign w:val="center"/>
          </w:tcPr>
          <w:p>
            <w:pPr>
              <w:pStyle w:val="61"/>
              <w:spacing w:line="240" w:lineRule="auto"/>
              <w:jc w:val="center"/>
              <w:rPr>
                <w:rFonts w:hint="eastAsia" w:ascii="宋体" w:hAnsi="宋体" w:cs="宋体"/>
                <w:sz w:val="24"/>
                <w:szCs w:val="24"/>
                <w:highlight w:val="none"/>
              </w:rPr>
            </w:pPr>
            <w:r>
              <w:rPr>
                <w:rFonts w:hint="eastAsia" w:ascii="宋体" w:hAnsi="宋体" w:cs="宋体"/>
                <w:sz w:val="24"/>
                <w:szCs w:val="24"/>
                <w:highlight w:val="none"/>
              </w:rPr>
              <w:t>早餐</w:t>
            </w:r>
          </w:p>
        </w:tc>
        <w:tc>
          <w:tcPr>
            <w:tcW w:w="1582" w:type="dxa"/>
            <w:noWrap w:val="0"/>
            <w:vAlign w:val="center"/>
          </w:tcPr>
          <w:p>
            <w:pPr>
              <w:pStyle w:val="61"/>
              <w:spacing w:line="240" w:lineRule="auto"/>
              <w:jc w:val="center"/>
              <w:rPr>
                <w:rFonts w:hint="eastAsia" w:ascii="宋体" w:hAnsi="宋体" w:cs="宋体"/>
                <w:sz w:val="24"/>
                <w:szCs w:val="24"/>
                <w:highlight w:val="none"/>
              </w:rPr>
            </w:pPr>
            <w:r>
              <w:rPr>
                <w:rFonts w:hint="eastAsia" w:ascii="宋体" w:hAnsi="宋体" w:cs="宋体"/>
                <w:sz w:val="24"/>
                <w:szCs w:val="24"/>
                <w:highlight w:val="none"/>
              </w:rPr>
              <w:t>中餐</w:t>
            </w:r>
          </w:p>
        </w:tc>
        <w:tc>
          <w:tcPr>
            <w:tcW w:w="1308" w:type="dxa"/>
            <w:noWrap w:val="0"/>
            <w:vAlign w:val="center"/>
          </w:tcPr>
          <w:p>
            <w:pPr>
              <w:pStyle w:val="61"/>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晚餐</w:t>
            </w:r>
          </w:p>
        </w:tc>
        <w:tc>
          <w:tcPr>
            <w:tcW w:w="1364" w:type="dxa"/>
            <w:noWrap w:val="0"/>
            <w:vAlign w:val="center"/>
          </w:tcPr>
          <w:p>
            <w:pPr>
              <w:pStyle w:val="61"/>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中餐（周末节假日）</w:t>
            </w:r>
          </w:p>
        </w:tc>
        <w:tc>
          <w:tcPr>
            <w:tcW w:w="1595" w:type="dxa"/>
            <w:noWrap w:val="0"/>
            <w:vAlign w:val="center"/>
          </w:tcPr>
          <w:p>
            <w:pPr>
              <w:pStyle w:val="61"/>
              <w:spacing w:line="24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晚餐（周末节假日）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09" w:type="dxa"/>
            <w:noWrap w:val="0"/>
            <w:vAlign w:val="center"/>
          </w:tcPr>
          <w:p>
            <w:pPr>
              <w:pStyle w:val="61"/>
              <w:spacing w:line="240" w:lineRule="auto"/>
              <w:jc w:val="center"/>
              <w:rPr>
                <w:rFonts w:hint="eastAsia" w:ascii="宋体" w:hAnsi="宋体" w:cs="宋体"/>
                <w:sz w:val="24"/>
                <w:szCs w:val="24"/>
                <w:highlight w:val="none"/>
              </w:rPr>
            </w:pPr>
            <w:r>
              <w:rPr>
                <w:rFonts w:hint="eastAsia" w:ascii="宋体" w:hAnsi="宋体" w:cs="宋体"/>
                <w:sz w:val="24"/>
                <w:szCs w:val="24"/>
                <w:highlight w:val="none"/>
              </w:rPr>
              <w:t>用餐天数</w:t>
            </w:r>
          </w:p>
        </w:tc>
        <w:tc>
          <w:tcPr>
            <w:tcW w:w="1682" w:type="dxa"/>
            <w:noWrap w:val="0"/>
            <w:vAlign w:val="center"/>
          </w:tcPr>
          <w:p>
            <w:pPr>
              <w:pStyle w:val="61"/>
              <w:spacing w:line="24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260</w:t>
            </w:r>
            <w:r>
              <w:rPr>
                <w:rFonts w:hint="eastAsia" w:ascii="宋体" w:hAnsi="宋体" w:cs="宋体"/>
                <w:sz w:val="24"/>
                <w:szCs w:val="24"/>
                <w:highlight w:val="none"/>
              </w:rPr>
              <w:t>天</w:t>
            </w:r>
          </w:p>
        </w:tc>
        <w:tc>
          <w:tcPr>
            <w:tcW w:w="1582" w:type="dxa"/>
            <w:noWrap w:val="0"/>
            <w:vAlign w:val="center"/>
          </w:tcPr>
          <w:p>
            <w:pPr>
              <w:pStyle w:val="61"/>
              <w:spacing w:line="24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260</w:t>
            </w:r>
            <w:r>
              <w:rPr>
                <w:rFonts w:hint="eastAsia" w:ascii="宋体" w:hAnsi="宋体" w:cs="宋体"/>
                <w:sz w:val="24"/>
                <w:szCs w:val="24"/>
                <w:highlight w:val="none"/>
              </w:rPr>
              <w:t>天</w:t>
            </w:r>
          </w:p>
        </w:tc>
        <w:tc>
          <w:tcPr>
            <w:tcW w:w="1308"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260天</w:t>
            </w:r>
          </w:p>
        </w:tc>
        <w:tc>
          <w:tcPr>
            <w:tcW w:w="1364"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105</w:t>
            </w:r>
          </w:p>
        </w:tc>
        <w:tc>
          <w:tcPr>
            <w:tcW w:w="1595"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09" w:type="dxa"/>
            <w:noWrap w:val="0"/>
            <w:vAlign w:val="center"/>
          </w:tcPr>
          <w:p>
            <w:pPr>
              <w:pStyle w:val="61"/>
              <w:spacing w:line="240" w:lineRule="auto"/>
              <w:jc w:val="center"/>
              <w:rPr>
                <w:rFonts w:hint="eastAsia" w:ascii="宋体" w:hAnsi="宋体" w:cs="宋体"/>
                <w:sz w:val="24"/>
                <w:szCs w:val="24"/>
                <w:highlight w:val="none"/>
              </w:rPr>
            </w:pPr>
            <w:r>
              <w:rPr>
                <w:rFonts w:hint="eastAsia" w:ascii="宋体" w:hAnsi="宋体" w:cs="宋体"/>
                <w:sz w:val="24"/>
                <w:szCs w:val="24"/>
                <w:highlight w:val="none"/>
              </w:rPr>
              <w:t>用餐人数</w:t>
            </w:r>
          </w:p>
        </w:tc>
        <w:tc>
          <w:tcPr>
            <w:tcW w:w="1682" w:type="dxa"/>
            <w:noWrap w:val="0"/>
            <w:vAlign w:val="center"/>
          </w:tcPr>
          <w:p>
            <w:pPr>
              <w:pStyle w:val="61"/>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120人/天</w:t>
            </w:r>
          </w:p>
        </w:tc>
        <w:tc>
          <w:tcPr>
            <w:tcW w:w="1582" w:type="dxa"/>
            <w:noWrap w:val="0"/>
            <w:vAlign w:val="center"/>
          </w:tcPr>
          <w:p>
            <w:pPr>
              <w:pStyle w:val="61"/>
              <w:spacing w:line="240" w:lineRule="auto"/>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145人/天</w:t>
            </w:r>
          </w:p>
        </w:tc>
        <w:tc>
          <w:tcPr>
            <w:tcW w:w="1308"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60人/天</w:t>
            </w:r>
          </w:p>
        </w:tc>
        <w:tc>
          <w:tcPr>
            <w:tcW w:w="1364"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40人/天</w:t>
            </w:r>
          </w:p>
        </w:tc>
        <w:tc>
          <w:tcPr>
            <w:tcW w:w="1595" w:type="dxa"/>
            <w:noWrap w:val="0"/>
            <w:vAlign w:val="center"/>
          </w:tcPr>
          <w:p>
            <w:pPr>
              <w:pStyle w:val="61"/>
              <w:spacing w:line="24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09" w:type="dxa"/>
            <w:noWrap w:val="0"/>
            <w:vAlign w:val="center"/>
          </w:tcPr>
          <w:p>
            <w:pPr>
              <w:pStyle w:val="61"/>
              <w:spacing w:line="240" w:lineRule="auto"/>
              <w:jc w:val="center"/>
              <w:rPr>
                <w:rFonts w:ascii="宋体" w:hAnsi="宋体" w:cs="宋体"/>
                <w:sz w:val="24"/>
                <w:szCs w:val="24"/>
                <w:highlight w:val="none"/>
              </w:rPr>
            </w:pPr>
            <w:r>
              <w:rPr>
                <w:rFonts w:hint="eastAsia" w:ascii="宋体" w:hAnsi="宋体" w:cs="宋体"/>
                <w:sz w:val="24"/>
                <w:szCs w:val="24"/>
                <w:highlight w:val="none"/>
              </w:rPr>
              <w:t>单价最高限价（元/人/天)</w:t>
            </w:r>
          </w:p>
        </w:tc>
        <w:tc>
          <w:tcPr>
            <w:tcW w:w="1682" w:type="dxa"/>
            <w:noWrap w:val="0"/>
            <w:vAlign w:val="center"/>
          </w:tcPr>
          <w:p>
            <w:pPr>
              <w:pStyle w:val="61"/>
              <w:spacing w:line="24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元</w:t>
            </w:r>
          </w:p>
        </w:tc>
        <w:tc>
          <w:tcPr>
            <w:tcW w:w="1582" w:type="dxa"/>
            <w:noWrap w:val="0"/>
            <w:vAlign w:val="center"/>
          </w:tcPr>
          <w:p>
            <w:pPr>
              <w:pStyle w:val="61"/>
              <w:spacing w:line="24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14</w:t>
            </w:r>
            <w:r>
              <w:rPr>
                <w:rFonts w:hint="eastAsia" w:ascii="宋体" w:hAnsi="宋体" w:cs="宋体"/>
                <w:sz w:val="24"/>
                <w:szCs w:val="24"/>
                <w:highlight w:val="none"/>
              </w:rPr>
              <w:t>元</w:t>
            </w:r>
          </w:p>
        </w:tc>
        <w:tc>
          <w:tcPr>
            <w:tcW w:w="1308"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6元</w:t>
            </w:r>
          </w:p>
        </w:tc>
        <w:tc>
          <w:tcPr>
            <w:tcW w:w="1364"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14元</w:t>
            </w:r>
          </w:p>
        </w:tc>
        <w:tc>
          <w:tcPr>
            <w:tcW w:w="1595"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09" w:type="dxa"/>
            <w:noWrap w:val="0"/>
            <w:vAlign w:val="center"/>
          </w:tcPr>
          <w:p>
            <w:pPr>
              <w:pStyle w:val="61"/>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小计</w:t>
            </w:r>
          </w:p>
        </w:tc>
        <w:tc>
          <w:tcPr>
            <w:tcW w:w="1682" w:type="dxa"/>
            <w:noWrap w:val="0"/>
            <w:vAlign w:val="center"/>
          </w:tcPr>
          <w:p>
            <w:pPr>
              <w:pStyle w:val="61"/>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156000元</w:t>
            </w:r>
          </w:p>
        </w:tc>
        <w:tc>
          <w:tcPr>
            <w:tcW w:w="1582" w:type="dxa"/>
            <w:noWrap w:val="0"/>
            <w:vAlign w:val="center"/>
          </w:tcPr>
          <w:p>
            <w:pPr>
              <w:pStyle w:val="61"/>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527800元</w:t>
            </w:r>
          </w:p>
        </w:tc>
        <w:tc>
          <w:tcPr>
            <w:tcW w:w="1308"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93600元</w:t>
            </w:r>
          </w:p>
        </w:tc>
        <w:tc>
          <w:tcPr>
            <w:tcW w:w="1364"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58800元</w:t>
            </w:r>
          </w:p>
        </w:tc>
        <w:tc>
          <w:tcPr>
            <w:tcW w:w="1595" w:type="dxa"/>
            <w:noWrap w:val="0"/>
            <w:vAlign w:val="center"/>
          </w:tcPr>
          <w:p>
            <w:pPr>
              <w:pStyle w:val="61"/>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09" w:type="dxa"/>
            <w:noWrap w:val="0"/>
            <w:vAlign w:val="center"/>
          </w:tcPr>
          <w:p>
            <w:pPr>
              <w:pStyle w:val="61"/>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总计</w:t>
            </w:r>
          </w:p>
        </w:tc>
        <w:tc>
          <w:tcPr>
            <w:tcW w:w="7531" w:type="dxa"/>
            <w:gridSpan w:val="5"/>
            <w:noWrap w:val="0"/>
            <w:vAlign w:val="center"/>
          </w:tcPr>
          <w:p>
            <w:pPr>
              <w:pStyle w:val="61"/>
              <w:spacing w:line="24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861400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/年</w:t>
            </w:r>
          </w:p>
        </w:tc>
      </w:tr>
    </w:tbl>
    <w:p>
      <w:pPr>
        <w:pStyle w:val="61"/>
        <w:spacing w:line="240" w:lineRule="auto"/>
        <w:rPr>
          <w:rFonts w:hint="eastAsia" w:ascii="宋体" w:hAnsi="宋体" w:cs="宋体"/>
          <w:sz w:val="24"/>
          <w:szCs w:val="24"/>
          <w:highlight w:val="none"/>
        </w:rPr>
      </w:pPr>
    </w:p>
    <w:p>
      <w:pPr>
        <w:pStyle w:val="61"/>
        <w:numPr>
          <w:ilvl w:val="0"/>
          <w:numId w:val="2"/>
        </w:num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相关用餐要求：</w:t>
      </w:r>
    </w:p>
    <w:p>
      <w:pPr>
        <w:pStyle w:val="61"/>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1、工作日：早餐</w:t>
      </w:r>
      <w:r>
        <w:rPr>
          <w:rFonts w:hint="eastAsia" w:ascii="宋体" w:hAnsi="宋体" w:cs="宋体"/>
          <w:color w:val="000000"/>
          <w:sz w:val="24"/>
          <w:szCs w:val="24"/>
          <w:highlight w:val="none"/>
          <w:lang w:val="en-US" w:eastAsia="zh-CN"/>
        </w:rPr>
        <w:t>120</w:t>
      </w:r>
      <w:r>
        <w:rPr>
          <w:rFonts w:hint="eastAsia" w:ascii="宋体" w:hAnsi="宋体" w:cs="宋体"/>
          <w:color w:val="000000"/>
          <w:sz w:val="24"/>
          <w:szCs w:val="24"/>
          <w:highlight w:val="none"/>
        </w:rPr>
        <w:t>人，午餐</w:t>
      </w:r>
      <w:r>
        <w:rPr>
          <w:rFonts w:hint="eastAsia" w:ascii="宋体" w:hAnsi="宋体" w:cs="宋体"/>
          <w:color w:val="000000"/>
          <w:sz w:val="24"/>
          <w:szCs w:val="24"/>
          <w:highlight w:val="none"/>
          <w:lang w:val="en-US" w:eastAsia="zh-CN"/>
        </w:rPr>
        <w:t>145</w:t>
      </w:r>
      <w:r>
        <w:rPr>
          <w:rFonts w:hint="eastAsia" w:ascii="宋体" w:hAnsi="宋体" w:cs="宋体"/>
          <w:color w:val="000000"/>
          <w:sz w:val="24"/>
          <w:szCs w:val="24"/>
          <w:highlight w:val="none"/>
        </w:rPr>
        <w:t>人</w:t>
      </w:r>
      <w:r>
        <w:rPr>
          <w:rFonts w:hint="eastAsia" w:ascii="宋体" w:hAnsi="宋体" w:cs="宋体"/>
          <w:color w:val="000000"/>
          <w:sz w:val="24"/>
          <w:szCs w:val="24"/>
          <w:highlight w:val="none"/>
          <w:lang w:eastAsia="zh-CN"/>
        </w:rPr>
        <w:t>，晚餐</w:t>
      </w:r>
      <w:r>
        <w:rPr>
          <w:rFonts w:hint="eastAsia" w:ascii="宋体" w:hAnsi="宋体" w:cs="宋体"/>
          <w:color w:val="000000"/>
          <w:sz w:val="24"/>
          <w:szCs w:val="24"/>
          <w:highlight w:val="none"/>
          <w:lang w:val="en-US" w:eastAsia="zh-CN"/>
        </w:rPr>
        <w:t>60人。</w:t>
      </w:r>
    </w:p>
    <w:p>
      <w:pPr>
        <w:pStyle w:val="61"/>
        <w:spacing w:line="360" w:lineRule="auto"/>
        <w:ind w:firstLine="480" w:firstLineChars="200"/>
        <w:rPr>
          <w:rFonts w:hint="eastAsia" w:ascii="宋体" w:hAnsi="宋体" w:cs="宋体"/>
          <w:color w:val="FF0000"/>
          <w:sz w:val="24"/>
          <w:szCs w:val="24"/>
          <w:highlight w:val="none"/>
        </w:rPr>
      </w:pPr>
      <w:r>
        <w:rPr>
          <w:rFonts w:hint="eastAsia" w:ascii="宋体" w:hAnsi="宋体" w:cs="宋体"/>
          <w:color w:val="000000"/>
          <w:sz w:val="24"/>
          <w:szCs w:val="24"/>
          <w:highlight w:val="none"/>
        </w:rPr>
        <w:t>2、周末或节假日：按照实际值班</w:t>
      </w:r>
      <w:r>
        <w:rPr>
          <w:rFonts w:hint="eastAsia" w:ascii="宋体" w:hAnsi="宋体" w:cs="宋体"/>
          <w:color w:val="000000"/>
          <w:sz w:val="24"/>
          <w:szCs w:val="24"/>
          <w:highlight w:val="none"/>
          <w:lang w:eastAsia="zh-CN"/>
        </w:rPr>
        <w:t>、加班人数</w:t>
      </w:r>
      <w:r>
        <w:rPr>
          <w:rFonts w:hint="eastAsia" w:ascii="宋体" w:hAnsi="宋体" w:cs="宋体"/>
          <w:color w:val="000000"/>
          <w:sz w:val="24"/>
          <w:szCs w:val="24"/>
          <w:highlight w:val="none"/>
        </w:rPr>
        <w:t>核算。</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本次服务采购拟为本单位职工提供用餐服务提供标准为:</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早餐：每日早餐从下列餐品中任选七种提供。</w:t>
      </w:r>
    </w:p>
    <w:p>
      <w:pPr>
        <w:pStyle w:val="61"/>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排骨面、</w:t>
      </w:r>
      <w:r>
        <w:rPr>
          <w:rFonts w:hint="eastAsia" w:ascii="宋体" w:hAnsi="宋体" w:cs="宋体"/>
          <w:sz w:val="24"/>
          <w:szCs w:val="24"/>
          <w:highlight w:val="none"/>
          <w:lang w:eastAsia="zh-CN"/>
        </w:rPr>
        <w:t>杂酱</w:t>
      </w:r>
      <w:r>
        <w:rPr>
          <w:rFonts w:hint="eastAsia" w:ascii="宋体" w:hAnsi="宋体" w:cs="宋体"/>
          <w:sz w:val="24"/>
          <w:szCs w:val="24"/>
          <w:highlight w:val="none"/>
        </w:rPr>
        <w:t>面、牛肉面、煎蛋面、稀饭、包子、馒头、花卷、泡菜、鸡蛋、茶叶蛋、煎蛋、抄手、水饺、牛奶、豆浆、玉米、等</w:t>
      </w:r>
      <w:r>
        <w:rPr>
          <w:rFonts w:hint="eastAsia" w:ascii="宋体" w:hAnsi="宋体" w:cs="宋体"/>
          <w:sz w:val="24"/>
          <w:szCs w:val="24"/>
          <w:highlight w:val="none"/>
          <w:lang w:eastAsia="zh-CN"/>
        </w:rPr>
        <w:t>。</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午餐：</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荤两素一汤，每日提供一种时令水果。荤菜样式包括但不限于回锅肉、凉拌鸡、凉拌兔丁、酸菜鱼、烧鸡、烧鸭、、烧排骨、蒸菜、卤肉、牛肉羊肉等菜品。所有菜品做到荤素、咸淡搭配合理。</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晚餐：两荤两素，</w:t>
      </w:r>
      <w:r>
        <w:rPr>
          <w:rFonts w:hint="eastAsia" w:ascii="宋体" w:hAnsi="宋体" w:cs="宋体"/>
          <w:sz w:val="24"/>
          <w:szCs w:val="24"/>
          <w:highlight w:val="none"/>
        </w:rPr>
        <w:t>荤菜样式包括但不限于回锅肉、</w:t>
      </w:r>
      <w:r>
        <w:rPr>
          <w:rFonts w:hint="eastAsia" w:ascii="宋体" w:hAnsi="宋体" w:cs="宋体"/>
          <w:sz w:val="24"/>
          <w:szCs w:val="24"/>
          <w:highlight w:val="none"/>
          <w:lang w:val="en-US" w:eastAsia="zh-CN"/>
        </w:rPr>
        <w:t>青椒肉丝</w:t>
      </w:r>
      <w:r>
        <w:rPr>
          <w:rFonts w:hint="eastAsia" w:ascii="宋体" w:hAnsi="宋体" w:cs="宋体"/>
          <w:sz w:val="24"/>
          <w:szCs w:val="24"/>
          <w:highlight w:val="none"/>
        </w:rPr>
        <w:t>、</w:t>
      </w:r>
      <w:r>
        <w:rPr>
          <w:rFonts w:hint="eastAsia" w:ascii="宋体" w:hAnsi="宋体" w:cs="宋体"/>
          <w:sz w:val="24"/>
          <w:szCs w:val="24"/>
          <w:highlight w:val="none"/>
          <w:lang w:val="en-US" w:eastAsia="zh-CN"/>
        </w:rPr>
        <w:t>水煮肉片</w:t>
      </w:r>
      <w:r>
        <w:rPr>
          <w:rFonts w:hint="eastAsia" w:ascii="宋体" w:hAnsi="宋体" w:cs="宋体"/>
          <w:sz w:val="24"/>
          <w:szCs w:val="24"/>
          <w:highlight w:val="none"/>
        </w:rPr>
        <w:t>、</w:t>
      </w:r>
      <w:r>
        <w:rPr>
          <w:rFonts w:hint="eastAsia" w:ascii="宋体" w:hAnsi="宋体" w:cs="宋体"/>
          <w:sz w:val="24"/>
          <w:szCs w:val="24"/>
          <w:highlight w:val="none"/>
          <w:lang w:val="en-US" w:eastAsia="zh-CN"/>
        </w:rPr>
        <w:t>甜椒肉丝</w:t>
      </w:r>
      <w:r>
        <w:rPr>
          <w:rFonts w:hint="eastAsia" w:ascii="宋体" w:hAnsi="宋体" w:cs="宋体"/>
          <w:sz w:val="24"/>
          <w:szCs w:val="24"/>
          <w:highlight w:val="none"/>
        </w:rPr>
        <w:t>、</w:t>
      </w:r>
      <w:r>
        <w:rPr>
          <w:rFonts w:hint="eastAsia" w:ascii="宋体" w:hAnsi="宋体" w:cs="宋体"/>
          <w:sz w:val="24"/>
          <w:szCs w:val="24"/>
          <w:highlight w:val="none"/>
          <w:lang w:val="en-US" w:eastAsia="zh-CN"/>
        </w:rPr>
        <w:t>青笋肉片、时令蔬菜</w:t>
      </w:r>
      <w:r>
        <w:rPr>
          <w:rFonts w:hint="eastAsia" w:ascii="宋体" w:hAnsi="宋体" w:cs="宋体"/>
          <w:sz w:val="24"/>
          <w:szCs w:val="24"/>
          <w:highlight w:val="none"/>
        </w:rPr>
        <w:t>等菜品。所有菜品做到荤素、咸淡搭配合理。</w:t>
      </w:r>
    </w:p>
    <w:p>
      <w:pPr>
        <w:pStyle w:val="61"/>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用餐时间:早 上 ：8:00—8:55 </w:t>
      </w:r>
      <w:r>
        <w:rPr>
          <w:rFonts w:hint="eastAsia" w:ascii="宋体" w:hAnsi="宋体" w:cs="宋体"/>
          <w:sz w:val="24"/>
          <w:szCs w:val="24"/>
          <w:highlight w:val="none"/>
          <w:lang w:eastAsia="zh-CN"/>
        </w:rPr>
        <w:t>。</w:t>
      </w:r>
      <w:r>
        <w:rPr>
          <w:rFonts w:hint="eastAsia" w:ascii="宋体" w:hAnsi="宋体" w:cs="宋体"/>
          <w:sz w:val="24"/>
          <w:szCs w:val="24"/>
          <w:highlight w:val="none"/>
        </w:rPr>
        <w:t>中午：11:55—13:00 。</w:t>
      </w:r>
      <w:r>
        <w:rPr>
          <w:rFonts w:hint="eastAsia" w:ascii="宋体" w:hAnsi="宋体" w:cs="宋体"/>
          <w:sz w:val="24"/>
          <w:szCs w:val="24"/>
          <w:highlight w:val="none"/>
          <w:lang w:val="en-US" w:eastAsia="zh-CN"/>
        </w:rPr>
        <w:t>晚上：17：30-18：30</w:t>
      </w:r>
    </w:p>
    <w:p>
      <w:pPr>
        <w:pStyle w:val="61"/>
        <w:numPr>
          <w:ilvl w:val="0"/>
          <w:numId w:val="3"/>
        </w:num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人员配备要求</w:t>
      </w:r>
      <w:r>
        <w:rPr>
          <w:rFonts w:hint="eastAsia" w:ascii="宋体" w:hAnsi="宋体" w:cs="宋体"/>
          <w:b/>
          <w:bCs/>
          <w:sz w:val="24"/>
          <w:szCs w:val="24"/>
          <w:highlight w:val="none"/>
          <w:lang w:eastAsia="zh-CN"/>
        </w:rPr>
        <w:t>及服务费总限价。</w:t>
      </w:r>
    </w:p>
    <w:tbl>
      <w:tblPr>
        <w:tblStyle w:val="27"/>
        <w:tblW w:w="8041" w:type="dxa"/>
        <w:tblInd w:w="0" w:type="dxa"/>
        <w:tblLayout w:type="fixed"/>
        <w:tblCellMar>
          <w:top w:w="15" w:type="dxa"/>
          <w:left w:w="15" w:type="dxa"/>
          <w:bottom w:w="15" w:type="dxa"/>
          <w:right w:w="15" w:type="dxa"/>
        </w:tblCellMar>
      </w:tblPr>
      <w:tblGrid>
        <w:gridCol w:w="1442"/>
        <w:gridCol w:w="1034"/>
        <w:gridCol w:w="1050"/>
        <w:gridCol w:w="1055"/>
        <w:gridCol w:w="1050"/>
        <w:gridCol w:w="1029"/>
        <w:gridCol w:w="1381"/>
      </w:tblGrid>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项  目</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人数(人)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工资（元）</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社保费（元）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体检费（元）</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其他</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合计（元）</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厨师长</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5000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500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rPr>
            </w:pPr>
            <w:r>
              <w:rPr>
                <w:rFonts w:hint="eastAsia" w:hAnsi="宋体" w:eastAsia="宋体" w:cs="宋体"/>
                <w:color w:val="000000"/>
                <w:kern w:val="0"/>
                <w:sz w:val="24"/>
                <w:szCs w:val="24"/>
                <w:highlight w:val="none"/>
                <w:lang w:val="en-US" w:eastAsia="zh-CN"/>
              </w:rPr>
              <w:t>6400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rPr>
              <w:t>厨师</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000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500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5400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rPr>
              <w:t>面点师</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00</w:t>
            </w:r>
            <w:r>
              <w:rPr>
                <w:rFonts w:hint="eastAsia" w:ascii="宋体" w:hAnsi="宋体" w:eastAsia="宋体" w:cs="宋体"/>
                <w:color w:val="000000"/>
                <w:kern w:val="0"/>
                <w:sz w:val="24"/>
                <w:szCs w:val="24"/>
                <w:highlight w:val="none"/>
                <w:lang w:val="en-US" w:eastAsia="zh-CN"/>
              </w:rPr>
              <w:t>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500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4400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rPr>
              <w:t>勤杂工</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2600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10</w:t>
            </w:r>
            <w:r>
              <w:rPr>
                <w:rFonts w:hint="eastAsia" w:ascii="宋体" w:hAnsi="宋体" w:eastAsia="宋体" w:cs="宋体"/>
                <w:color w:val="000000"/>
                <w:kern w:val="0"/>
                <w:sz w:val="24"/>
                <w:szCs w:val="24"/>
                <w:highlight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500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4000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服务员</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2600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10</w:t>
            </w:r>
            <w:r>
              <w:rPr>
                <w:rFonts w:hint="eastAsia" w:ascii="宋体" w:hAnsi="宋体" w:eastAsia="宋体" w:cs="宋体"/>
                <w:color w:val="000000"/>
                <w:kern w:val="0"/>
                <w:sz w:val="24"/>
                <w:szCs w:val="24"/>
                <w:highlight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kern w:val="0"/>
                <w:sz w:val="24"/>
                <w:szCs w:val="24"/>
                <w:highlight w:val="none"/>
                <w:lang w:val="en-US" w:eastAsia="zh-CN"/>
              </w:rPr>
              <w:t>4000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水电气</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低值易耗品</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rPr>
            </w:pPr>
            <w:r>
              <w:rPr>
                <w:rFonts w:hint="eastAsia" w:hAnsi="宋体" w:eastAsia="宋体" w:cs="宋体"/>
                <w:color w:val="000000"/>
                <w:kern w:val="0"/>
                <w:sz w:val="24"/>
                <w:szCs w:val="24"/>
                <w:highlight w:val="none"/>
                <w:lang w:val="en-US" w:eastAsia="zh-CN"/>
              </w:rPr>
              <w:t>800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hAnsi="宋体" w:eastAsia="宋体" w:cs="宋体"/>
                <w:color w:val="000000"/>
                <w:kern w:val="0"/>
                <w:sz w:val="24"/>
                <w:szCs w:val="24"/>
                <w:highlight w:val="none"/>
                <w:lang w:eastAsia="zh-CN"/>
              </w:rPr>
              <w:t>小计</w:t>
            </w:r>
          </w:p>
        </w:tc>
        <w:tc>
          <w:tcPr>
            <w:tcW w:w="52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highlight w:val="none"/>
                <w:lang w:val="en-US" w:eastAsia="zh-CN"/>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30000</w:t>
            </w:r>
          </w:p>
        </w:tc>
      </w:tr>
      <w:tr>
        <w:tblPrEx>
          <w:tblCellMar>
            <w:top w:w="15" w:type="dxa"/>
            <w:left w:w="15" w:type="dxa"/>
            <w:bottom w:w="15" w:type="dxa"/>
            <w:right w:w="15" w:type="dxa"/>
          </w:tblCellMar>
        </w:tblPrEx>
        <w:trPr>
          <w:trHeight w:val="690" w:hRule="atLeast"/>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eastAsia="宋体" w:cs="宋体"/>
                <w:color w:val="000000"/>
                <w:kern w:val="0"/>
                <w:sz w:val="24"/>
                <w:szCs w:val="24"/>
                <w:highlight w:val="none"/>
                <w:lang w:eastAsia="zh-CN"/>
              </w:rPr>
            </w:pPr>
            <w:r>
              <w:rPr>
                <w:rFonts w:hint="eastAsia" w:hAnsi="宋体" w:eastAsia="宋体" w:cs="宋体"/>
                <w:color w:val="000000"/>
                <w:kern w:val="0"/>
                <w:sz w:val="24"/>
                <w:szCs w:val="24"/>
                <w:highlight w:val="none"/>
                <w:lang w:eastAsia="zh-CN"/>
              </w:rPr>
              <w:t>合计</w:t>
            </w:r>
          </w:p>
        </w:tc>
        <w:tc>
          <w:tcPr>
            <w:tcW w:w="52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360000元/年</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eastAsia="zh-CN"/>
              </w:rPr>
            </w:pPr>
          </w:p>
        </w:tc>
      </w:tr>
    </w:tbl>
    <w:p>
      <w:pPr>
        <w:pStyle w:val="61"/>
        <w:spacing w:line="360" w:lineRule="auto"/>
        <w:ind w:firstLine="482" w:firstLineChars="200"/>
        <w:rPr>
          <w:rFonts w:hint="default" w:ascii="宋体" w:hAnsi="宋体" w:eastAsia="宋体" w:cs="宋体"/>
          <w:b/>
          <w:bCs/>
          <w:sz w:val="24"/>
          <w:szCs w:val="24"/>
          <w:highlight w:val="none"/>
          <w:lang w:val="en-US" w:eastAsia="zh-CN"/>
        </w:rPr>
      </w:pPr>
    </w:p>
    <w:p>
      <w:pPr>
        <w:pStyle w:val="61"/>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（四）其他细节要求</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（1）投标人报价包含：食材成本、人员养老、失业、医疗、工伤、纳税等保险及劳保、工作服、胸卡、工资、加班费、过节费、福利、食宿、交通、管理费、利润、税金等一切费用。</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（2）食堂新增厨房设施设备、厨房设备维护以及烟道及排污系统清洁由采购方负责。</w:t>
      </w:r>
    </w:p>
    <w:p>
      <w:pPr>
        <w:pStyle w:val="61"/>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（3）食堂涉及的餐厅用品（卫生纸、筷子、碗、清洁易耗品等）由中标人负责，不再向采购人收取额外费用。</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（4）中标人对本次投标项目自负盈亏，本项目服务期间食材价格波动属于不可预见因素，中标人不得因为食材成本上涨降低菜品品质，否则采购人有权利按照考核标准与之解除合同。</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（5）中标人须保障所有职工待遇不得低于成都市年最低工资标准，并依法为所有人员购买社保等。</w:t>
      </w:r>
    </w:p>
    <w:p>
      <w:pPr>
        <w:pStyle w:val="61"/>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（6）中标人的员工在食堂工作期间发生意外伤害、安全事故等，由中标人承担全部经济及法律责任。</w:t>
      </w:r>
    </w:p>
    <w:p>
      <w:pPr>
        <w:pStyle w:val="61"/>
        <w:spacing w:line="360" w:lineRule="auto"/>
        <w:ind w:firstLine="562" w:firstLineChars="200"/>
        <w:rPr>
          <w:rFonts w:hint="eastAsia" w:ascii="宋体" w:hAnsi="宋体" w:cs="宋体"/>
          <w:sz w:val="24"/>
          <w:szCs w:val="24"/>
          <w:highlight w:val="none"/>
        </w:rPr>
      </w:pPr>
      <w:r>
        <w:rPr>
          <w:rFonts w:hint="eastAsia" w:ascii="宋体" w:hAnsi="宋体" w:cs="宋体"/>
          <w:b/>
          <w:bCs/>
          <w:sz w:val="28"/>
          <w:szCs w:val="28"/>
          <w:highlight w:val="none"/>
        </w:rPr>
        <w:t>二、技术服务要求</w:t>
      </w:r>
    </w:p>
    <w:p>
      <w:pPr>
        <w:pStyle w:val="61"/>
        <w:spacing w:line="360" w:lineRule="auto"/>
        <w:ind w:firstLine="562" w:firstLineChars="200"/>
        <w:rPr>
          <w:rFonts w:hint="eastAsia" w:ascii="宋体" w:hAnsi="宋体" w:cs="宋体"/>
          <w:b/>
          <w:bCs/>
          <w:sz w:val="24"/>
          <w:szCs w:val="24"/>
          <w:highlight w:val="none"/>
        </w:rPr>
      </w:pPr>
      <w:r>
        <w:rPr>
          <w:rFonts w:hint="eastAsia" w:ascii="宋体" w:hAnsi="宋体" w:cs="宋体"/>
          <w:b/>
          <w:bCs/>
          <w:sz w:val="28"/>
          <w:szCs w:val="28"/>
          <w:highlight w:val="none"/>
        </w:rPr>
        <w:t>（一）食材采购要求</w:t>
      </w:r>
    </w:p>
    <w:p>
      <w:pPr>
        <w:pStyle w:val="60"/>
        <w:tabs>
          <w:tab w:val="left" w:pos="1564"/>
        </w:tabs>
        <w:spacing w:line="360" w:lineRule="auto"/>
        <w:ind w:firstLine="412"/>
        <w:rPr>
          <w:rFonts w:hint="eastAsia" w:ascii="宋体" w:hAnsi="宋体" w:cs="宋体"/>
          <w:sz w:val="24"/>
          <w:highlight w:val="none"/>
        </w:rPr>
      </w:pPr>
      <w:r>
        <w:rPr>
          <w:rFonts w:hint="eastAsia" w:ascii="宋体" w:hAnsi="宋体" w:cs="宋体"/>
          <w:spacing w:val="-17"/>
          <w:sz w:val="24"/>
          <w:highlight w:val="none"/>
        </w:rPr>
        <w:t>1、食堂所有食材由中标人自行组织采购。食堂所需的米、面、油、</w:t>
      </w:r>
      <w:r>
        <w:rPr>
          <w:rFonts w:hint="eastAsia" w:ascii="宋体" w:hAnsi="宋体" w:cs="宋体"/>
          <w:spacing w:val="-7"/>
          <w:sz w:val="24"/>
          <w:highlight w:val="none"/>
        </w:rPr>
        <w:t>禽、肉、蛋、调料等大宗物品供应，需具有可追溯性，并需经使用人</w:t>
      </w:r>
      <w:r>
        <w:rPr>
          <w:rFonts w:hint="eastAsia" w:ascii="宋体" w:hAnsi="宋体" w:cs="宋体"/>
          <w:sz w:val="24"/>
          <w:highlight w:val="none"/>
        </w:rPr>
        <w:t>（</w:t>
      </w:r>
      <w:r>
        <w:rPr>
          <w:rFonts w:hint="eastAsia" w:hAnsi="宋体" w:cs="宋体"/>
          <w:sz w:val="24"/>
          <w:highlight w:val="none"/>
          <w:lang w:eastAsia="zh-CN"/>
        </w:rPr>
        <w:t>成都东部新区草池街道办事处</w:t>
      </w:r>
      <w:r>
        <w:rPr>
          <w:rFonts w:hint="eastAsia" w:ascii="宋体" w:hAnsi="宋体" w:cs="宋体"/>
          <w:sz w:val="24"/>
          <w:highlight w:val="none"/>
        </w:rPr>
        <w:t>）认可。</w:t>
      </w:r>
    </w:p>
    <w:p>
      <w:pPr>
        <w:pStyle w:val="8"/>
        <w:spacing w:after="0"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2、 </w:t>
      </w:r>
      <w:r>
        <w:rPr>
          <w:rFonts w:hint="eastAsia" w:hAnsi="宋体" w:cs="宋体"/>
          <w:spacing w:val="-11"/>
          <w:sz w:val="24"/>
          <w:szCs w:val="24"/>
          <w:highlight w:val="none"/>
        </w:rPr>
        <w:t>投标人需按照财政部、国务院扶贫办、供销总社印发的《政</w:t>
      </w:r>
      <w:r>
        <w:rPr>
          <w:rFonts w:hint="eastAsia" w:hAnsi="宋体" w:cs="宋体"/>
          <w:spacing w:val="-6"/>
          <w:sz w:val="24"/>
          <w:szCs w:val="24"/>
          <w:highlight w:val="none"/>
        </w:rPr>
        <w:t>府采购贫困地区农副产品实施方案》</w:t>
      </w:r>
      <w:r>
        <w:rPr>
          <w:rFonts w:hint="eastAsia" w:hAnsi="宋体" w:cs="宋体"/>
          <w:spacing w:val="-3"/>
          <w:sz w:val="24"/>
          <w:szCs w:val="24"/>
          <w:highlight w:val="none"/>
        </w:rPr>
        <w:t>（</w:t>
      </w:r>
      <w:r>
        <w:rPr>
          <w:rFonts w:hint="eastAsia" w:hAnsi="宋体" w:cs="宋体"/>
          <w:spacing w:val="-6"/>
          <w:sz w:val="24"/>
          <w:szCs w:val="24"/>
          <w:highlight w:val="none"/>
        </w:rPr>
        <w:t>财库〔</w:t>
      </w:r>
      <w:r>
        <w:rPr>
          <w:rFonts w:hint="eastAsia" w:hAnsi="宋体" w:cs="宋体"/>
          <w:sz w:val="24"/>
          <w:szCs w:val="24"/>
          <w:highlight w:val="none"/>
        </w:rPr>
        <w:t>2019</w:t>
      </w:r>
      <w:r>
        <w:rPr>
          <w:rFonts w:hint="eastAsia" w:hAnsi="宋体" w:cs="宋体"/>
          <w:spacing w:val="-15"/>
          <w:sz w:val="24"/>
          <w:szCs w:val="24"/>
          <w:highlight w:val="none"/>
        </w:rPr>
        <w:t>〕</w:t>
      </w:r>
      <w:r>
        <w:rPr>
          <w:rFonts w:hint="eastAsia" w:hAnsi="宋体" w:cs="宋体"/>
          <w:sz w:val="24"/>
          <w:szCs w:val="24"/>
          <w:highlight w:val="none"/>
        </w:rPr>
        <w:t xml:space="preserve">41 </w:t>
      </w:r>
      <w:r>
        <w:rPr>
          <w:rFonts w:hint="eastAsia" w:hAnsi="宋体" w:cs="宋体"/>
          <w:spacing w:val="-3"/>
          <w:sz w:val="24"/>
          <w:szCs w:val="24"/>
          <w:highlight w:val="none"/>
        </w:rPr>
        <w:t>号</w:t>
      </w:r>
      <w:r>
        <w:rPr>
          <w:rFonts w:hint="eastAsia" w:hAnsi="宋体" w:cs="宋体"/>
          <w:spacing w:val="-13"/>
          <w:sz w:val="24"/>
          <w:szCs w:val="24"/>
          <w:highlight w:val="none"/>
        </w:rPr>
        <w:t>）</w:t>
      </w:r>
      <w:r>
        <w:rPr>
          <w:rFonts w:hint="eastAsia" w:hAnsi="宋体" w:cs="宋体"/>
          <w:spacing w:val="-2"/>
          <w:sz w:val="24"/>
          <w:szCs w:val="24"/>
          <w:highlight w:val="none"/>
        </w:rPr>
        <w:t>有关精神</w:t>
      </w:r>
      <w:r>
        <w:rPr>
          <w:rFonts w:hint="eastAsia" w:hAnsi="宋体" w:cs="宋体"/>
          <w:spacing w:val="-3"/>
          <w:sz w:val="24"/>
          <w:szCs w:val="24"/>
          <w:highlight w:val="none"/>
        </w:rPr>
        <w:t>和《成都市财政局关于做好预算单位采购贫困地区农副产品填报工作</w:t>
      </w:r>
      <w:r>
        <w:rPr>
          <w:rFonts w:hint="eastAsia" w:hAnsi="宋体" w:cs="宋体"/>
          <w:spacing w:val="-8"/>
          <w:sz w:val="24"/>
          <w:szCs w:val="24"/>
          <w:highlight w:val="none"/>
        </w:rPr>
        <w:t>的通知》</w:t>
      </w:r>
      <w:r>
        <w:rPr>
          <w:rFonts w:hint="eastAsia" w:hAnsi="宋体" w:cs="宋体"/>
          <w:sz w:val="24"/>
          <w:szCs w:val="24"/>
          <w:highlight w:val="none"/>
        </w:rPr>
        <w:t>（</w:t>
      </w:r>
      <w:r>
        <w:rPr>
          <w:rFonts w:hint="eastAsia" w:hAnsi="宋体" w:cs="宋体"/>
          <w:spacing w:val="-4"/>
          <w:sz w:val="24"/>
          <w:szCs w:val="24"/>
          <w:highlight w:val="none"/>
        </w:rPr>
        <w:t>成财采发〔</w:t>
      </w:r>
      <w:r>
        <w:rPr>
          <w:rFonts w:hint="eastAsia" w:hAnsi="宋体" w:cs="宋体"/>
          <w:sz w:val="24"/>
          <w:szCs w:val="24"/>
          <w:highlight w:val="none"/>
        </w:rPr>
        <w:t>2019</w:t>
      </w:r>
      <w:r>
        <w:rPr>
          <w:rFonts w:hint="eastAsia" w:hAnsi="宋体" w:cs="宋体"/>
          <w:spacing w:val="-10"/>
          <w:sz w:val="24"/>
          <w:szCs w:val="24"/>
          <w:highlight w:val="none"/>
        </w:rPr>
        <w:t>〕</w:t>
      </w:r>
      <w:r>
        <w:rPr>
          <w:rFonts w:hint="eastAsia" w:hAnsi="宋体" w:cs="宋体"/>
          <w:sz w:val="24"/>
          <w:szCs w:val="24"/>
          <w:highlight w:val="none"/>
        </w:rPr>
        <w:t>25 号</w:t>
      </w:r>
      <w:r>
        <w:rPr>
          <w:rFonts w:hint="eastAsia" w:hAnsi="宋体" w:cs="宋体"/>
          <w:spacing w:val="-10"/>
          <w:sz w:val="24"/>
          <w:szCs w:val="24"/>
          <w:highlight w:val="none"/>
        </w:rPr>
        <w:t>）</w:t>
      </w:r>
      <w:r>
        <w:rPr>
          <w:rFonts w:hint="eastAsia" w:hAnsi="宋体" w:cs="宋体"/>
          <w:spacing w:val="-5"/>
          <w:sz w:val="24"/>
          <w:szCs w:val="24"/>
          <w:highlight w:val="none"/>
        </w:rPr>
        <w:t>要求，每年在财政部门规定的贫</w:t>
      </w:r>
      <w:r>
        <w:rPr>
          <w:rFonts w:hint="eastAsia" w:hAnsi="宋体" w:cs="宋体"/>
          <w:spacing w:val="-1"/>
          <w:sz w:val="24"/>
          <w:szCs w:val="24"/>
          <w:highlight w:val="none"/>
        </w:rPr>
        <w:t>困地区农副产品网络销售平台（https://</w:t>
      </w:r>
      <w:r>
        <w:rPr>
          <w:rFonts w:hint="eastAsia" w:hAnsi="宋体" w:cs="宋体"/>
          <w:sz w:val="24"/>
          <w:szCs w:val="24"/>
          <w:highlight w:val="none"/>
        </w:rPr>
        <w:fldChar w:fldCharType="begin"/>
      </w:r>
      <w:r>
        <w:rPr>
          <w:rFonts w:hint="eastAsia" w:hAnsi="宋体" w:cs="宋体"/>
          <w:sz w:val="24"/>
          <w:szCs w:val="24"/>
          <w:highlight w:val="none"/>
        </w:rPr>
        <w:instrText xml:space="preserve"> HYPERLINK "http://www.fupin832.com/" \h </w:instrText>
      </w:r>
      <w:r>
        <w:rPr>
          <w:rFonts w:hint="eastAsia" w:hAnsi="宋体" w:cs="宋体"/>
          <w:sz w:val="24"/>
          <w:szCs w:val="24"/>
          <w:highlight w:val="none"/>
        </w:rPr>
        <w:fldChar w:fldCharType="separate"/>
      </w:r>
      <w:r>
        <w:rPr>
          <w:rFonts w:hint="eastAsia" w:hAnsi="宋体" w:cs="宋体"/>
          <w:spacing w:val="-1"/>
          <w:sz w:val="24"/>
          <w:szCs w:val="24"/>
          <w:highlight w:val="none"/>
        </w:rPr>
        <w:t>www.fupin832.com/</w:t>
      </w:r>
      <w:r>
        <w:rPr>
          <w:rFonts w:hint="eastAsia" w:hAnsi="宋体" w:cs="宋体"/>
          <w:spacing w:val="-1"/>
          <w:sz w:val="24"/>
          <w:szCs w:val="24"/>
          <w:highlight w:val="none"/>
        </w:rPr>
        <w:fldChar w:fldCharType="end"/>
      </w:r>
      <w:r>
        <w:rPr>
          <w:rFonts w:hint="eastAsia" w:hAnsi="宋体" w:cs="宋体"/>
          <w:spacing w:val="-1"/>
          <w:sz w:val="24"/>
          <w:szCs w:val="24"/>
          <w:highlight w:val="none"/>
        </w:rPr>
        <w:t>）</w:t>
      </w:r>
      <w:r>
        <w:rPr>
          <w:rFonts w:hint="eastAsia" w:hAnsi="宋体" w:cs="宋体"/>
          <w:sz w:val="24"/>
          <w:szCs w:val="24"/>
          <w:highlight w:val="none"/>
        </w:rPr>
        <w:t>上采购农</w:t>
      </w:r>
      <w:r>
        <w:rPr>
          <w:rFonts w:hint="eastAsia" w:hAnsi="宋体" w:cs="宋体"/>
          <w:spacing w:val="-7"/>
          <w:sz w:val="24"/>
          <w:szCs w:val="24"/>
          <w:highlight w:val="none"/>
        </w:rPr>
        <w:t xml:space="preserve">副产品，采购额不低于年度农副产品总采购额的 </w:t>
      </w:r>
      <w:r>
        <w:rPr>
          <w:rFonts w:hint="eastAsia" w:hAnsi="宋体" w:cs="宋体"/>
          <w:sz w:val="24"/>
          <w:szCs w:val="24"/>
          <w:highlight w:val="none"/>
        </w:rPr>
        <w:t>5%。</w:t>
      </w:r>
    </w:p>
    <w:p>
      <w:pPr>
        <w:pStyle w:val="60"/>
        <w:tabs>
          <w:tab w:val="left" w:pos="1634"/>
        </w:tabs>
        <w:spacing w:line="360" w:lineRule="auto"/>
        <w:ind w:firstLine="468"/>
        <w:rPr>
          <w:rFonts w:hint="eastAsia" w:ascii="宋体" w:hAnsi="宋体" w:cs="宋体"/>
          <w:sz w:val="24"/>
          <w:highlight w:val="none"/>
        </w:rPr>
      </w:pPr>
      <w:r>
        <w:rPr>
          <w:rFonts w:hint="eastAsia" w:ascii="宋体" w:hAnsi="宋体" w:cs="宋体"/>
          <w:spacing w:val="-3"/>
          <w:sz w:val="24"/>
          <w:highlight w:val="none"/>
        </w:rPr>
        <w:t>3、食材应符合下表要求。</w:t>
      </w:r>
    </w:p>
    <w:tbl>
      <w:tblPr>
        <w:tblStyle w:val="27"/>
        <w:tblW w:w="0" w:type="auto"/>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355"/>
        <w:gridCol w:w="4515"/>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13" w:type="dxa"/>
            <w:noWrap w:val="0"/>
            <w:vAlign w:val="center"/>
          </w:tcPr>
          <w:p>
            <w:pPr>
              <w:pStyle w:val="62"/>
              <w:spacing w:line="360" w:lineRule="auto"/>
              <w:ind w:left="232"/>
              <w:jc w:val="both"/>
              <w:rPr>
                <w:rFonts w:hint="eastAsia"/>
                <w:b/>
                <w:sz w:val="24"/>
                <w:highlight w:val="none"/>
              </w:rPr>
            </w:pPr>
            <w:r>
              <w:rPr>
                <w:rFonts w:hint="eastAsia"/>
                <w:b/>
                <w:sz w:val="24"/>
                <w:highlight w:val="none"/>
              </w:rPr>
              <w:t>序号</w:t>
            </w:r>
          </w:p>
        </w:tc>
        <w:tc>
          <w:tcPr>
            <w:tcW w:w="1355" w:type="dxa"/>
            <w:noWrap w:val="0"/>
            <w:vAlign w:val="center"/>
          </w:tcPr>
          <w:p>
            <w:pPr>
              <w:pStyle w:val="62"/>
              <w:spacing w:line="360" w:lineRule="auto"/>
              <w:ind w:left="435"/>
              <w:jc w:val="both"/>
              <w:rPr>
                <w:rFonts w:hint="eastAsia"/>
                <w:b/>
                <w:sz w:val="24"/>
                <w:highlight w:val="none"/>
              </w:rPr>
            </w:pPr>
            <w:r>
              <w:rPr>
                <w:rFonts w:hint="eastAsia"/>
                <w:b/>
                <w:sz w:val="24"/>
                <w:highlight w:val="none"/>
              </w:rPr>
              <w:t>品类</w:t>
            </w:r>
          </w:p>
        </w:tc>
        <w:tc>
          <w:tcPr>
            <w:tcW w:w="4515" w:type="dxa"/>
            <w:noWrap w:val="0"/>
            <w:vAlign w:val="center"/>
          </w:tcPr>
          <w:p>
            <w:pPr>
              <w:pStyle w:val="62"/>
              <w:spacing w:line="360" w:lineRule="auto"/>
              <w:ind w:left="1755"/>
              <w:jc w:val="both"/>
              <w:rPr>
                <w:rFonts w:hint="eastAsia"/>
                <w:b/>
                <w:sz w:val="24"/>
                <w:highlight w:val="none"/>
              </w:rPr>
            </w:pPr>
            <w:r>
              <w:rPr>
                <w:rFonts w:hint="eastAsia"/>
                <w:b/>
                <w:sz w:val="24"/>
                <w:highlight w:val="none"/>
              </w:rPr>
              <w:t>质量要求</w:t>
            </w:r>
          </w:p>
        </w:tc>
        <w:tc>
          <w:tcPr>
            <w:tcW w:w="2117" w:type="dxa"/>
            <w:noWrap w:val="0"/>
            <w:vAlign w:val="center"/>
          </w:tcPr>
          <w:p>
            <w:pPr>
              <w:pStyle w:val="62"/>
              <w:spacing w:line="360" w:lineRule="auto"/>
              <w:ind w:left="486"/>
              <w:jc w:val="both"/>
              <w:rPr>
                <w:rFonts w:hint="eastAsia"/>
                <w:b/>
                <w:sz w:val="24"/>
                <w:highlight w:val="none"/>
              </w:rPr>
            </w:pPr>
            <w:r>
              <w:rPr>
                <w:rFonts w:hint="eastAsia"/>
                <w:b/>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spacing w:line="360" w:lineRule="auto"/>
              <w:jc w:val="center"/>
              <w:rPr>
                <w:rFonts w:hint="eastAsia"/>
                <w:sz w:val="24"/>
                <w:highlight w:val="none"/>
              </w:rPr>
            </w:pPr>
          </w:p>
          <w:p>
            <w:pPr>
              <w:pStyle w:val="62"/>
              <w:spacing w:line="360" w:lineRule="auto"/>
              <w:ind w:left="10"/>
              <w:jc w:val="center"/>
              <w:rPr>
                <w:rFonts w:hint="eastAsia"/>
                <w:sz w:val="24"/>
                <w:highlight w:val="none"/>
              </w:rPr>
            </w:pPr>
            <w:r>
              <w:rPr>
                <w:rFonts w:hint="eastAsia"/>
                <w:sz w:val="24"/>
                <w:highlight w:val="none"/>
              </w:rPr>
              <w:t>1</w:t>
            </w:r>
          </w:p>
        </w:tc>
        <w:tc>
          <w:tcPr>
            <w:tcW w:w="1355" w:type="dxa"/>
            <w:noWrap w:val="0"/>
            <w:vAlign w:val="center"/>
          </w:tcPr>
          <w:p>
            <w:pPr>
              <w:pStyle w:val="62"/>
              <w:spacing w:line="360" w:lineRule="auto"/>
              <w:jc w:val="both"/>
              <w:rPr>
                <w:rFonts w:hint="eastAsia"/>
                <w:sz w:val="24"/>
                <w:highlight w:val="none"/>
              </w:rPr>
            </w:pPr>
            <w:r>
              <w:rPr>
                <w:rFonts w:hint="eastAsia"/>
                <w:spacing w:val="-22"/>
                <w:sz w:val="24"/>
                <w:highlight w:val="none"/>
              </w:rPr>
              <w:t>新鲜蔬菜、水</w:t>
            </w:r>
            <w:r>
              <w:rPr>
                <w:rFonts w:hint="eastAsia"/>
                <w:sz w:val="24"/>
                <w:highlight w:val="none"/>
              </w:rPr>
              <w:t>果</w:t>
            </w:r>
          </w:p>
        </w:tc>
        <w:tc>
          <w:tcPr>
            <w:tcW w:w="4515" w:type="dxa"/>
            <w:noWrap w:val="0"/>
            <w:vAlign w:val="center"/>
          </w:tcPr>
          <w:p>
            <w:pPr>
              <w:pStyle w:val="62"/>
              <w:spacing w:line="360" w:lineRule="auto"/>
              <w:ind w:left="14"/>
              <w:jc w:val="both"/>
              <w:rPr>
                <w:rFonts w:hint="eastAsia"/>
                <w:sz w:val="24"/>
                <w:highlight w:val="none"/>
              </w:rPr>
            </w:pPr>
            <w:r>
              <w:rPr>
                <w:rFonts w:hint="eastAsia"/>
                <w:spacing w:val="-8"/>
                <w:sz w:val="24"/>
                <w:highlight w:val="none"/>
              </w:rPr>
              <w:t>蔬菜水果按需求等级配送，符合成都市溯源</w:t>
            </w:r>
            <w:r>
              <w:rPr>
                <w:rFonts w:hint="eastAsia"/>
                <w:sz w:val="24"/>
                <w:highlight w:val="none"/>
              </w:rPr>
              <w:t>体系的要求。</w:t>
            </w:r>
          </w:p>
        </w:tc>
        <w:tc>
          <w:tcPr>
            <w:tcW w:w="2117" w:type="dxa"/>
            <w:noWrap w:val="0"/>
            <w:vAlign w:val="center"/>
          </w:tcPr>
          <w:p>
            <w:pPr>
              <w:pStyle w:val="62"/>
              <w:spacing w:line="360" w:lineRule="auto"/>
              <w:ind w:left="13"/>
              <w:jc w:val="both"/>
              <w:rPr>
                <w:rFonts w:hint="eastAsia"/>
                <w:sz w:val="24"/>
                <w:highlight w:val="none"/>
              </w:rPr>
            </w:pPr>
            <w:r>
              <w:rPr>
                <w:rFonts w:hint="eastAsia"/>
                <w:spacing w:val="41"/>
                <w:sz w:val="24"/>
                <w:highlight w:val="none"/>
              </w:rPr>
              <w:t>包括各类时</w:t>
            </w:r>
            <w:r>
              <w:rPr>
                <w:rFonts w:hint="eastAsia"/>
                <w:spacing w:val="-6"/>
                <w:sz w:val="24"/>
                <w:highlight w:val="none"/>
              </w:rPr>
              <w:t>令蔬菜、各类</w:t>
            </w:r>
            <w:r>
              <w:rPr>
                <w:rFonts w:hint="eastAsia"/>
                <w:sz w:val="24"/>
                <w:highlight w:val="none"/>
              </w:rPr>
              <w:t>新鲜水果。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2</w:t>
            </w:r>
          </w:p>
        </w:tc>
        <w:tc>
          <w:tcPr>
            <w:tcW w:w="1355" w:type="dxa"/>
            <w:noWrap w:val="0"/>
            <w:vAlign w:val="center"/>
          </w:tcPr>
          <w:p>
            <w:pPr>
              <w:pStyle w:val="62"/>
              <w:ind w:left="435" w:leftChars="0"/>
              <w:jc w:val="both"/>
              <w:rPr>
                <w:rFonts w:hint="eastAsia" w:ascii="宋体" w:hAnsi="宋体" w:eastAsia="宋体" w:cs="宋体"/>
                <w:sz w:val="24"/>
                <w:highlight w:val="none"/>
                <w:lang w:val="zh-CN" w:eastAsia="zh-CN" w:bidi="zh-CN"/>
              </w:rPr>
            </w:pPr>
            <w:r>
              <w:rPr>
                <w:rFonts w:hint="eastAsia"/>
                <w:sz w:val="24"/>
                <w:highlight w:val="none"/>
              </w:rPr>
              <w:t>肉、禽、鱼蛋类</w:t>
            </w:r>
          </w:p>
        </w:tc>
        <w:tc>
          <w:tcPr>
            <w:tcW w:w="4515" w:type="dxa"/>
            <w:noWrap w:val="0"/>
            <w:vAlign w:val="center"/>
          </w:tcPr>
          <w:p>
            <w:pPr>
              <w:pStyle w:val="62"/>
              <w:ind w:left="14"/>
              <w:jc w:val="both"/>
              <w:rPr>
                <w:rFonts w:hint="eastAsia"/>
                <w:sz w:val="24"/>
                <w:highlight w:val="none"/>
              </w:rPr>
            </w:pPr>
            <w:r>
              <w:rPr>
                <w:rFonts w:hint="eastAsia"/>
                <w:sz w:val="24"/>
                <w:highlight w:val="none"/>
              </w:rPr>
              <w:t>1、鲜肉类须在定点屠宰场（生猪宰杀具备</w:t>
            </w:r>
          </w:p>
          <w:p>
            <w:pPr>
              <w:pStyle w:val="62"/>
              <w:ind w:left="14"/>
              <w:jc w:val="both"/>
              <w:rPr>
                <w:rFonts w:hint="eastAsia"/>
                <w:sz w:val="24"/>
                <w:highlight w:val="none"/>
              </w:rPr>
            </w:pPr>
            <w:r>
              <w:rPr>
                <w:rFonts w:hint="eastAsia"/>
                <w:spacing w:val="-3"/>
                <w:sz w:val="24"/>
                <w:highlight w:val="none"/>
              </w:rPr>
              <w:t>《生猪宰杀许可证》</w:t>
            </w:r>
            <w:r>
              <w:rPr>
                <w:rFonts w:hint="eastAsia"/>
                <w:spacing w:val="-27"/>
                <w:sz w:val="24"/>
                <w:highlight w:val="none"/>
              </w:rPr>
              <w:t>）</w:t>
            </w:r>
            <w:r>
              <w:rPr>
                <w:rFonts w:hint="eastAsia"/>
                <w:spacing w:val="-7"/>
                <w:sz w:val="24"/>
                <w:highlight w:val="none"/>
              </w:rPr>
              <w:t>宰杀加工，并经动物</w:t>
            </w:r>
            <w:r>
              <w:rPr>
                <w:rFonts w:hint="eastAsia"/>
                <w:spacing w:val="-8"/>
                <w:sz w:val="24"/>
                <w:highlight w:val="none"/>
              </w:rPr>
              <w:t>卫生检疫机构检疫合格，加盖检疫合格印章</w:t>
            </w:r>
            <w:r>
              <w:rPr>
                <w:rFonts w:hint="eastAsia"/>
                <w:spacing w:val="-10"/>
                <w:sz w:val="24"/>
                <w:highlight w:val="none"/>
              </w:rPr>
              <w:t>和屠宰场印章，并附有《动物产品检疫合格</w:t>
            </w:r>
            <w:r>
              <w:rPr>
                <w:rFonts w:hint="eastAsia"/>
                <w:sz w:val="24"/>
                <w:highlight w:val="none"/>
              </w:rPr>
              <w:t>证明》。</w:t>
            </w:r>
          </w:p>
          <w:p>
            <w:pPr>
              <w:pStyle w:val="62"/>
              <w:ind w:left="-142"/>
              <w:jc w:val="both"/>
              <w:rPr>
                <w:rFonts w:hint="eastAsia"/>
                <w:sz w:val="24"/>
                <w:highlight w:val="none"/>
              </w:rPr>
            </w:pPr>
            <w:r>
              <w:rPr>
                <w:rFonts w:hint="eastAsia"/>
                <w:sz w:val="24"/>
                <w:highlight w:val="none"/>
              </w:rPr>
              <w:t>、</w:t>
            </w:r>
          </w:p>
          <w:p>
            <w:pPr>
              <w:pStyle w:val="62"/>
              <w:ind w:left="14"/>
              <w:jc w:val="both"/>
              <w:rPr>
                <w:rFonts w:hint="eastAsia"/>
                <w:sz w:val="24"/>
                <w:highlight w:val="none"/>
              </w:rPr>
            </w:pPr>
            <w:r>
              <w:rPr>
                <w:rFonts w:hint="eastAsia"/>
                <w:sz w:val="24"/>
                <w:highlight w:val="none"/>
              </w:rPr>
              <w:t>2、蛋类按需求等级配送须保证新鲜，且符</w:t>
            </w:r>
          </w:p>
          <w:p>
            <w:pPr>
              <w:pStyle w:val="62"/>
              <w:ind w:left="14"/>
              <w:jc w:val="both"/>
              <w:rPr>
                <w:rFonts w:hint="eastAsia"/>
                <w:sz w:val="24"/>
                <w:highlight w:val="none"/>
              </w:rPr>
            </w:pPr>
            <w:r>
              <w:rPr>
                <w:rFonts w:hint="eastAsia"/>
                <w:spacing w:val="-8"/>
                <w:sz w:val="24"/>
                <w:highlight w:val="none"/>
              </w:rPr>
              <w:t>合食品安全法要求。提供相应《动物检疫合</w:t>
            </w:r>
            <w:r>
              <w:rPr>
                <w:rFonts w:hint="eastAsia"/>
                <w:spacing w:val="-11"/>
                <w:sz w:val="24"/>
                <w:highlight w:val="none"/>
              </w:rPr>
              <w:t>格证明》。保证新鲜、清洁、无破损；外壳</w:t>
            </w:r>
            <w:r>
              <w:rPr>
                <w:rFonts w:hint="eastAsia"/>
                <w:sz w:val="24"/>
                <w:highlight w:val="none"/>
              </w:rPr>
              <w:t>坚固完整，色泽自然有光泽。</w:t>
            </w:r>
          </w:p>
          <w:p>
            <w:pPr>
              <w:pStyle w:val="62"/>
              <w:ind w:left="14"/>
              <w:jc w:val="both"/>
              <w:rPr>
                <w:rFonts w:hint="eastAsia"/>
                <w:sz w:val="24"/>
                <w:highlight w:val="none"/>
              </w:rPr>
            </w:pPr>
            <w:r>
              <w:rPr>
                <w:rFonts w:hint="eastAsia"/>
                <w:sz w:val="24"/>
                <w:highlight w:val="none"/>
              </w:rPr>
              <w:t>3、淡水鱼须为活鱼配送至食堂，海鱼须为</w:t>
            </w:r>
          </w:p>
          <w:p>
            <w:pPr>
              <w:pStyle w:val="62"/>
              <w:ind w:left="14" w:leftChars="0"/>
              <w:jc w:val="both"/>
              <w:rPr>
                <w:rFonts w:hint="eastAsia" w:ascii="宋体" w:hAnsi="宋体" w:eastAsia="宋体" w:cs="宋体"/>
                <w:sz w:val="24"/>
                <w:highlight w:val="none"/>
                <w:lang w:val="zh-CN" w:eastAsia="zh-CN" w:bidi="zh-CN"/>
              </w:rPr>
            </w:pPr>
            <w:r>
              <w:rPr>
                <w:rFonts w:hint="eastAsia"/>
                <w:sz w:val="24"/>
                <w:highlight w:val="none"/>
              </w:rPr>
              <w:t>冰鲜鱼。</w:t>
            </w:r>
          </w:p>
        </w:tc>
        <w:tc>
          <w:tcPr>
            <w:tcW w:w="2117" w:type="dxa"/>
            <w:noWrap w:val="0"/>
            <w:vAlign w:val="center"/>
          </w:tcPr>
          <w:p>
            <w:pPr>
              <w:pStyle w:val="62"/>
              <w:jc w:val="both"/>
              <w:rPr>
                <w:rFonts w:hint="eastAsia"/>
                <w:sz w:val="24"/>
                <w:highlight w:val="none"/>
              </w:rPr>
            </w:pPr>
          </w:p>
          <w:p>
            <w:pPr>
              <w:pStyle w:val="62"/>
              <w:jc w:val="both"/>
              <w:rPr>
                <w:rFonts w:hint="eastAsia"/>
                <w:sz w:val="24"/>
                <w:highlight w:val="none"/>
              </w:rPr>
            </w:pPr>
          </w:p>
          <w:p>
            <w:pPr>
              <w:pStyle w:val="62"/>
              <w:ind w:left="13" w:leftChars="0"/>
              <w:jc w:val="both"/>
              <w:rPr>
                <w:rFonts w:hint="eastAsia" w:ascii="宋体" w:hAnsi="宋体" w:eastAsia="宋体" w:cs="宋体"/>
                <w:sz w:val="24"/>
                <w:highlight w:val="none"/>
                <w:lang w:val="zh-CN" w:eastAsia="zh-CN" w:bidi="zh-CN"/>
              </w:rPr>
            </w:pPr>
            <w:r>
              <w:rPr>
                <w:rFonts w:hint="eastAsia"/>
                <w:sz w:val="24"/>
                <w:highlight w:val="none"/>
              </w:rPr>
              <w:t>包括猪肉、牛肉、兔肉等畜类，鸡、鸭等禽类，鱼类， 鸡蛋等蛋类。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jc w:val="center"/>
              <w:rPr>
                <w:rFonts w:hint="eastAsia"/>
                <w:sz w:val="24"/>
                <w:highlight w:val="none"/>
              </w:rPr>
            </w:pPr>
          </w:p>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3</w:t>
            </w:r>
          </w:p>
        </w:tc>
        <w:tc>
          <w:tcPr>
            <w:tcW w:w="1355" w:type="dxa"/>
            <w:noWrap w:val="0"/>
            <w:vAlign w:val="center"/>
          </w:tcPr>
          <w:p>
            <w:pPr>
              <w:pStyle w:val="62"/>
              <w:ind w:left="295" w:leftChars="0"/>
              <w:jc w:val="both"/>
              <w:rPr>
                <w:rFonts w:hint="eastAsia" w:ascii="宋体" w:hAnsi="宋体" w:eastAsia="宋体" w:cs="宋体"/>
                <w:sz w:val="24"/>
                <w:highlight w:val="none"/>
                <w:lang w:val="zh-CN" w:eastAsia="zh-CN" w:bidi="zh-CN"/>
              </w:rPr>
            </w:pPr>
            <w:r>
              <w:rPr>
                <w:rFonts w:hint="eastAsia"/>
                <w:sz w:val="24"/>
                <w:highlight w:val="none"/>
              </w:rPr>
              <w:t>粮油类</w:t>
            </w:r>
          </w:p>
        </w:tc>
        <w:tc>
          <w:tcPr>
            <w:tcW w:w="4515" w:type="dxa"/>
            <w:noWrap w:val="0"/>
            <w:vAlign w:val="center"/>
          </w:tcPr>
          <w:p>
            <w:pPr>
              <w:pStyle w:val="62"/>
              <w:ind w:left="14"/>
              <w:jc w:val="both"/>
              <w:rPr>
                <w:rFonts w:hint="eastAsia"/>
                <w:sz w:val="24"/>
                <w:highlight w:val="none"/>
              </w:rPr>
            </w:pPr>
            <w:r>
              <w:rPr>
                <w:rFonts w:hint="eastAsia"/>
                <w:spacing w:val="-10"/>
                <w:sz w:val="24"/>
                <w:highlight w:val="none"/>
              </w:rPr>
              <w:t>在保质期内，米、面应符合粮食卫生国家标准；食用油符合食用植物油国家标准的</w:t>
            </w:r>
            <w:r>
              <w:rPr>
                <w:rFonts w:hint="eastAsia"/>
                <w:sz w:val="24"/>
                <w:highlight w:val="none"/>
              </w:rPr>
              <w:t>要求，有食品质量安全认证合格标志。</w:t>
            </w:r>
          </w:p>
          <w:p>
            <w:pPr>
              <w:pStyle w:val="62"/>
              <w:ind w:left="14"/>
              <w:jc w:val="both"/>
              <w:rPr>
                <w:rFonts w:hint="eastAsia"/>
                <w:sz w:val="24"/>
                <w:highlight w:val="none"/>
              </w:rPr>
            </w:pPr>
            <w:r>
              <w:rPr>
                <w:rFonts w:hint="eastAsia"/>
                <w:sz w:val="24"/>
                <w:highlight w:val="none"/>
              </w:rPr>
              <w:t>1.</w:t>
            </w:r>
            <w:r>
              <w:rPr>
                <w:rFonts w:hint="eastAsia"/>
                <w:spacing w:val="-3"/>
                <w:sz w:val="24"/>
                <w:highlight w:val="none"/>
              </w:rPr>
              <w:t>大米品种为一级优质珍珠米，非转基</w:t>
            </w:r>
            <w:r>
              <w:rPr>
                <w:rFonts w:hint="eastAsia"/>
                <w:sz w:val="24"/>
                <w:highlight w:val="none"/>
              </w:rPr>
              <w:t>因，袋装。</w:t>
            </w:r>
          </w:p>
          <w:p>
            <w:pPr>
              <w:pStyle w:val="62"/>
              <w:jc w:val="both"/>
              <w:rPr>
                <w:rFonts w:hint="eastAsia"/>
                <w:sz w:val="24"/>
                <w:highlight w:val="none"/>
              </w:rPr>
            </w:pPr>
            <w:r>
              <w:rPr>
                <w:rFonts w:hint="eastAsia"/>
                <w:sz w:val="24"/>
                <w:highlight w:val="none"/>
              </w:rPr>
              <w:t>2、面粉：面粉达国家一级及以上标准</w:t>
            </w:r>
          </w:p>
          <w:p>
            <w:pPr>
              <w:pStyle w:val="62"/>
              <w:ind w:left="14" w:leftChars="0"/>
              <w:jc w:val="both"/>
              <w:rPr>
                <w:rFonts w:hint="eastAsia" w:ascii="宋体" w:hAnsi="宋体" w:eastAsia="宋体" w:cs="宋体"/>
                <w:sz w:val="24"/>
                <w:highlight w:val="none"/>
                <w:lang w:val="zh-CN" w:eastAsia="zh-CN" w:bidi="zh-CN"/>
              </w:rPr>
            </w:pPr>
            <w:r>
              <w:rPr>
                <w:rFonts w:hint="eastAsia"/>
                <w:sz w:val="24"/>
                <w:highlight w:val="none"/>
              </w:rPr>
              <w:t>3、食用油：食用油为非转基因压榨菜籽油</w:t>
            </w:r>
          </w:p>
        </w:tc>
        <w:tc>
          <w:tcPr>
            <w:tcW w:w="2117" w:type="dxa"/>
            <w:noWrap w:val="0"/>
            <w:vAlign w:val="center"/>
          </w:tcPr>
          <w:p>
            <w:pPr>
              <w:pStyle w:val="62"/>
              <w:ind w:left="13" w:leftChars="0"/>
              <w:jc w:val="both"/>
              <w:rPr>
                <w:rFonts w:hint="eastAsia" w:ascii="宋体" w:hAnsi="宋体" w:eastAsia="宋体" w:cs="宋体"/>
                <w:sz w:val="24"/>
                <w:highlight w:val="none"/>
                <w:lang w:val="zh-CN" w:eastAsia="zh-CN" w:bidi="zh-CN"/>
              </w:rPr>
            </w:pPr>
            <w:r>
              <w:rPr>
                <w:rFonts w:hint="eastAsia"/>
                <w:spacing w:val="-6"/>
                <w:sz w:val="24"/>
                <w:highlight w:val="none"/>
              </w:rPr>
              <w:t>包括大米、食</w:t>
            </w:r>
            <w:r>
              <w:rPr>
                <w:rFonts w:hint="eastAsia"/>
                <w:spacing w:val="14"/>
                <w:sz w:val="24"/>
                <w:highlight w:val="none"/>
              </w:rPr>
              <w:t>用油、 面粉</w:t>
            </w:r>
            <w:r>
              <w:rPr>
                <w:rFonts w:hint="eastAsia"/>
                <w:sz w:val="24"/>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jc w:val="center"/>
              <w:rPr>
                <w:rFonts w:hint="eastAsia"/>
                <w:sz w:val="24"/>
                <w:highlight w:val="none"/>
              </w:rPr>
            </w:pPr>
          </w:p>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4</w:t>
            </w:r>
          </w:p>
        </w:tc>
        <w:tc>
          <w:tcPr>
            <w:tcW w:w="1355" w:type="dxa"/>
            <w:noWrap w:val="0"/>
            <w:vAlign w:val="center"/>
          </w:tcPr>
          <w:p>
            <w:pPr>
              <w:pStyle w:val="62"/>
              <w:jc w:val="both"/>
              <w:rPr>
                <w:rFonts w:hint="eastAsia"/>
                <w:sz w:val="24"/>
                <w:highlight w:val="none"/>
              </w:rPr>
            </w:pPr>
          </w:p>
          <w:p>
            <w:pPr>
              <w:pStyle w:val="62"/>
              <w:ind w:left="295" w:leftChars="0"/>
              <w:jc w:val="both"/>
              <w:rPr>
                <w:rFonts w:hint="eastAsia" w:ascii="宋体" w:hAnsi="宋体" w:eastAsia="宋体" w:cs="宋体"/>
                <w:sz w:val="24"/>
                <w:highlight w:val="none"/>
                <w:lang w:val="zh-CN" w:eastAsia="zh-CN" w:bidi="zh-CN"/>
              </w:rPr>
            </w:pPr>
            <w:r>
              <w:rPr>
                <w:rFonts w:hint="eastAsia"/>
                <w:sz w:val="24"/>
                <w:highlight w:val="none"/>
              </w:rPr>
              <w:t>点心类</w:t>
            </w:r>
          </w:p>
        </w:tc>
        <w:tc>
          <w:tcPr>
            <w:tcW w:w="4515" w:type="dxa"/>
            <w:noWrap w:val="0"/>
            <w:vAlign w:val="center"/>
          </w:tcPr>
          <w:p>
            <w:pPr>
              <w:pStyle w:val="62"/>
              <w:ind w:left="14" w:leftChars="0"/>
              <w:jc w:val="both"/>
              <w:rPr>
                <w:rFonts w:hint="eastAsia"/>
                <w:sz w:val="24"/>
                <w:highlight w:val="none"/>
                <w:lang w:val="zh-CN" w:eastAsia="zh-CN"/>
              </w:rPr>
            </w:pPr>
            <w:r>
              <w:rPr>
                <w:rFonts w:hint="eastAsia"/>
                <w:sz w:val="24"/>
                <w:highlight w:val="none"/>
              </w:rPr>
              <w:t>在保质期内，有食品质量安全认证合格标志。</w:t>
            </w:r>
          </w:p>
        </w:tc>
        <w:tc>
          <w:tcPr>
            <w:tcW w:w="2117" w:type="dxa"/>
            <w:noWrap w:val="0"/>
            <w:vAlign w:val="center"/>
          </w:tcPr>
          <w:p>
            <w:pPr>
              <w:pStyle w:val="62"/>
              <w:ind w:left="13" w:leftChars="0"/>
              <w:jc w:val="both"/>
              <w:rPr>
                <w:rFonts w:hint="eastAsia" w:ascii="宋体" w:hAnsi="宋体" w:eastAsia="宋体" w:cs="宋体"/>
                <w:sz w:val="24"/>
                <w:highlight w:val="none"/>
                <w:lang w:val="zh-CN" w:eastAsia="zh-CN" w:bidi="zh-CN"/>
              </w:rPr>
            </w:pPr>
            <w:r>
              <w:rPr>
                <w:rFonts w:hint="eastAsia"/>
                <w:sz w:val="24"/>
                <w:highlight w:val="none"/>
              </w:rPr>
              <w:t>包括牛奶、酸奶、饮料、蛋糕、面包等。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jc w:val="center"/>
              <w:rPr>
                <w:rFonts w:hint="eastAsia"/>
                <w:sz w:val="24"/>
                <w:highlight w:val="none"/>
              </w:rPr>
            </w:pPr>
          </w:p>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5</w:t>
            </w:r>
          </w:p>
        </w:tc>
        <w:tc>
          <w:tcPr>
            <w:tcW w:w="1355" w:type="dxa"/>
            <w:noWrap w:val="0"/>
            <w:vAlign w:val="center"/>
          </w:tcPr>
          <w:p>
            <w:pPr>
              <w:pStyle w:val="62"/>
              <w:jc w:val="both"/>
              <w:rPr>
                <w:rFonts w:hint="eastAsia"/>
                <w:sz w:val="24"/>
                <w:highlight w:val="none"/>
              </w:rPr>
            </w:pPr>
          </w:p>
          <w:p>
            <w:pPr>
              <w:pStyle w:val="62"/>
              <w:jc w:val="both"/>
              <w:rPr>
                <w:rFonts w:hint="eastAsia" w:ascii="宋体" w:hAnsi="宋体" w:eastAsia="宋体" w:cs="宋体"/>
                <w:sz w:val="24"/>
                <w:highlight w:val="none"/>
                <w:lang w:val="zh-CN" w:eastAsia="zh-CN" w:bidi="zh-CN"/>
              </w:rPr>
            </w:pPr>
            <w:r>
              <w:rPr>
                <w:rFonts w:hint="eastAsia"/>
                <w:sz w:val="24"/>
                <w:highlight w:val="none"/>
              </w:rPr>
              <w:t>调味品、干货类</w:t>
            </w:r>
          </w:p>
        </w:tc>
        <w:tc>
          <w:tcPr>
            <w:tcW w:w="4515" w:type="dxa"/>
            <w:noWrap w:val="0"/>
            <w:vAlign w:val="center"/>
          </w:tcPr>
          <w:p>
            <w:pPr>
              <w:pStyle w:val="62"/>
              <w:jc w:val="both"/>
              <w:rPr>
                <w:rFonts w:hint="eastAsia"/>
                <w:sz w:val="24"/>
                <w:highlight w:val="none"/>
              </w:rPr>
            </w:pPr>
          </w:p>
          <w:p>
            <w:pPr>
              <w:pStyle w:val="62"/>
              <w:ind w:left="14" w:leftChars="0"/>
              <w:jc w:val="both"/>
              <w:rPr>
                <w:rFonts w:hint="eastAsia" w:ascii="宋体" w:hAnsi="宋体" w:eastAsia="宋体" w:cs="宋体"/>
                <w:sz w:val="24"/>
                <w:highlight w:val="none"/>
                <w:lang w:val="zh-CN" w:eastAsia="zh-CN" w:bidi="zh-CN"/>
              </w:rPr>
            </w:pPr>
            <w:r>
              <w:rPr>
                <w:rFonts w:hint="eastAsia"/>
                <w:sz w:val="24"/>
                <w:highlight w:val="none"/>
              </w:rPr>
              <w:t>在保质期内，有食品质量安全认证合格标志。</w:t>
            </w:r>
          </w:p>
        </w:tc>
        <w:tc>
          <w:tcPr>
            <w:tcW w:w="2117" w:type="dxa"/>
            <w:noWrap w:val="0"/>
            <w:vAlign w:val="center"/>
          </w:tcPr>
          <w:p>
            <w:pPr>
              <w:pStyle w:val="62"/>
              <w:jc w:val="both"/>
              <w:rPr>
                <w:rFonts w:hint="eastAsia"/>
                <w:sz w:val="24"/>
                <w:highlight w:val="none"/>
              </w:rPr>
            </w:pPr>
          </w:p>
          <w:p>
            <w:pPr>
              <w:pStyle w:val="62"/>
              <w:ind w:left="13" w:leftChars="0"/>
              <w:jc w:val="both"/>
              <w:rPr>
                <w:rFonts w:hint="eastAsia" w:ascii="宋体" w:hAnsi="宋体" w:eastAsia="宋体" w:cs="宋体"/>
                <w:sz w:val="24"/>
                <w:highlight w:val="none"/>
                <w:lang w:val="zh-CN" w:eastAsia="zh-CN" w:bidi="zh-CN"/>
              </w:rPr>
            </w:pPr>
            <w:r>
              <w:rPr>
                <w:rFonts w:hint="eastAsia"/>
                <w:sz w:val="24"/>
                <w:highlight w:val="none"/>
              </w:rPr>
              <w:t>包括调味醋、酱油、大料等调味品，各类干货。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jc w:val="center"/>
              <w:rPr>
                <w:rFonts w:hint="eastAsia"/>
                <w:sz w:val="24"/>
                <w:highlight w:val="none"/>
              </w:rPr>
            </w:pPr>
          </w:p>
          <w:p>
            <w:pPr>
              <w:pStyle w:val="62"/>
              <w:jc w:val="center"/>
              <w:rPr>
                <w:rFonts w:hint="eastAsia"/>
                <w:sz w:val="24"/>
                <w:highlight w:val="none"/>
              </w:rPr>
            </w:pPr>
          </w:p>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6</w:t>
            </w:r>
          </w:p>
        </w:tc>
        <w:tc>
          <w:tcPr>
            <w:tcW w:w="1355" w:type="dxa"/>
            <w:noWrap w:val="0"/>
            <w:vAlign w:val="center"/>
          </w:tcPr>
          <w:p>
            <w:pPr>
              <w:pStyle w:val="62"/>
              <w:ind w:left="75" w:leftChars="0"/>
              <w:jc w:val="both"/>
              <w:rPr>
                <w:rFonts w:hint="eastAsia" w:ascii="宋体" w:hAnsi="宋体" w:eastAsia="宋体" w:cs="宋体"/>
                <w:sz w:val="24"/>
                <w:highlight w:val="none"/>
                <w:lang w:val="zh-CN" w:eastAsia="zh-CN" w:bidi="zh-CN"/>
              </w:rPr>
            </w:pPr>
            <w:r>
              <w:rPr>
                <w:rFonts w:hint="eastAsia"/>
                <w:sz w:val="24"/>
                <w:highlight w:val="none"/>
              </w:rPr>
              <w:t>豆 制 品 及冷冻食品</w:t>
            </w:r>
          </w:p>
        </w:tc>
        <w:tc>
          <w:tcPr>
            <w:tcW w:w="4515" w:type="dxa"/>
            <w:noWrap w:val="0"/>
            <w:vAlign w:val="center"/>
          </w:tcPr>
          <w:p>
            <w:pPr>
              <w:pStyle w:val="62"/>
              <w:jc w:val="both"/>
              <w:rPr>
                <w:rFonts w:hint="eastAsia"/>
                <w:sz w:val="24"/>
                <w:highlight w:val="none"/>
              </w:rPr>
            </w:pPr>
          </w:p>
          <w:p>
            <w:pPr>
              <w:pStyle w:val="62"/>
              <w:ind w:left="14" w:leftChars="0"/>
              <w:jc w:val="both"/>
              <w:rPr>
                <w:rFonts w:hint="eastAsia" w:ascii="宋体" w:hAnsi="宋体" w:eastAsia="宋体" w:cs="宋体"/>
                <w:sz w:val="24"/>
                <w:highlight w:val="none"/>
                <w:lang w:val="zh-CN" w:eastAsia="zh-CN" w:bidi="zh-CN"/>
              </w:rPr>
            </w:pPr>
            <w:r>
              <w:rPr>
                <w:rFonts w:hint="eastAsia"/>
                <w:sz w:val="24"/>
                <w:highlight w:val="none"/>
              </w:rPr>
              <w:t>在保质期内，有食品质量安全认证合格标志。</w:t>
            </w:r>
          </w:p>
        </w:tc>
        <w:tc>
          <w:tcPr>
            <w:tcW w:w="2117" w:type="dxa"/>
            <w:noWrap w:val="0"/>
            <w:vAlign w:val="center"/>
          </w:tcPr>
          <w:p>
            <w:pPr>
              <w:pStyle w:val="62"/>
              <w:ind w:left="13" w:leftChars="0"/>
              <w:jc w:val="both"/>
              <w:rPr>
                <w:rFonts w:hint="eastAsia" w:ascii="宋体" w:hAnsi="宋体" w:eastAsia="宋体" w:cs="宋体"/>
                <w:sz w:val="24"/>
                <w:highlight w:val="none"/>
                <w:lang w:val="zh-CN" w:eastAsia="zh-CN" w:bidi="zh-CN"/>
              </w:rPr>
            </w:pPr>
            <w:r>
              <w:rPr>
                <w:rFonts w:hint="eastAsia"/>
                <w:sz w:val="24"/>
                <w:highlight w:val="none"/>
              </w:rPr>
              <w:t xml:space="preserve">包括各类豆 </w:t>
            </w:r>
            <w:r>
              <w:rPr>
                <w:rFonts w:hint="eastAsia"/>
                <w:spacing w:val="-4"/>
                <w:sz w:val="24"/>
                <w:highlight w:val="none"/>
              </w:rPr>
              <w:t>腐、豆皮、豆</w:t>
            </w:r>
            <w:r>
              <w:rPr>
                <w:rFonts w:hint="eastAsia"/>
                <w:spacing w:val="-6"/>
                <w:sz w:val="24"/>
                <w:highlight w:val="none"/>
              </w:rPr>
              <w:t xml:space="preserve">干等豆制品， </w:t>
            </w:r>
            <w:r>
              <w:rPr>
                <w:rFonts w:hint="eastAsia"/>
                <w:sz w:val="24"/>
                <w:highlight w:val="none"/>
              </w:rPr>
              <w:t>各类冷冻食 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13" w:type="dxa"/>
            <w:noWrap w:val="0"/>
            <w:vAlign w:val="center"/>
          </w:tcPr>
          <w:p>
            <w:pPr>
              <w:pStyle w:val="62"/>
              <w:ind w:left="10" w:leftChars="0"/>
              <w:jc w:val="center"/>
              <w:rPr>
                <w:rFonts w:hint="eastAsia" w:ascii="宋体" w:hAnsi="宋体" w:eastAsia="宋体" w:cs="宋体"/>
                <w:sz w:val="24"/>
                <w:highlight w:val="none"/>
                <w:lang w:val="zh-CN" w:eastAsia="zh-CN" w:bidi="zh-CN"/>
              </w:rPr>
            </w:pPr>
            <w:r>
              <w:rPr>
                <w:rFonts w:hint="eastAsia"/>
                <w:sz w:val="24"/>
                <w:highlight w:val="none"/>
              </w:rPr>
              <w:t>7</w:t>
            </w:r>
          </w:p>
        </w:tc>
        <w:tc>
          <w:tcPr>
            <w:tcW w:w="1355" w:type="dxa"/>
            <w:noWrap w:val="0"/>
            <w:vAlign w:val="center"/>
          </w:tcPr>
          <w:p>
            <w:pPr>
              <w:pStyle w:val="62"/>
              <w:ind w:left="295" w:leftChars="0"/>
              <w:jc w:val="both"/>
              <w:rPr>
                <w:rFonts w:hint="eastAsia" w:ascii="宋体" w:hAnsi="宋体" w:eastAsia="宋体" w:cs="宋体"/>
                <w:sz w:val="24"/>
                <w:highlight w:val="none"/>
                <w:lang w:val="zh-CN" w:eastAsia="zh-CN" w:bidi="zh-CN"/>
              </w:rPr>
            </w:pPr>
            <w:r>
              <w:rPr>
                <w:rFonts w:hint="eastAsia"/>
                <w:sz w:val="24"/>
                <w:highlight w:val="none"/>
              </w:rPr>
              <w:t>其他</w:t>
            </w:r>
          </w:p>
        </w:tc>
        <w:tc>
          <w:tcPr>
            <w:tcW w:w="4515" w:type="dxa"/>
            <w:noWrap w:val="0"/>
            <w:vAlign w:val="center"/>
          </w:tcPr>
          <w:p>
            <w:pPr>
              <w:pStyle w:val="62"/>
              <w:ind w:left="14" w:leftChars="0"/>
              <w:jc w:val="both"/>
              <w:rPr>
                <w:rFonts w:hint="eastAsia" w:ascii="宋体" w:hAnsi="宋体" w:eastAsia="宋体" w:cs="宋体"/>
                <w:sz w:val="24"/>
                <w:highlight w:val="none"/>
                <w:lang w:val="zh-CN" w:eastAsia="zh-CN" w:bidi="zh-CN"/>
              </w:rPr>
            </w:pPr>
            <w:r>
              <w:rPr>
                <w:rFonts w:hint="eastAsia"/>
                <w:sz w:val="24"/>
                <w:highlight w:val="none"/>
              </w:rPr>
              <w:t>符合国家标准。</w:t>
            </w:r>
          </w:p>
        </w:tc>
        <w:tc>
          <w:tcPr>
            <w:tcW w:w="2117" w:type="dxa"/>
            <w:noWrap w:val="0"/>
            <w:vAlign w:val="center"/>
          </w:tcPr>
          <w:p>
            <w:pPr>
              <w:pStyle w:val="62"/>
              <w:ind w:left="13" w:leftChars="0"/>
              <w:jc w:val="both"/>
              <w:rPr>
                <w:rFonts w:hint="eastAsia" w:ascii="宋体" w:hAnsi="宋体" w:eastAsia="宋体" w:cs="宋体"/>
                <w:sz w:val="24"/>
                <w:highlight w:val="none"/>
                <w:lang w:val="zh-CN" w:eastAsia="zh-CN" w:bidi="zh-CN"/>
              </w:rPr>
            </w:pPr>
            <w:r>
              <w:rPr>
                <w:rFonts w:hint="eastAsia"/>
                <w:sz w:val="24"/>
                <w:highlight w:val="none"/>
              </w:rPr>
              <w:t>食堂所需其</w:t>
            </w:r>
            <w:r>
              <w:rPr>
                <w:rFonts w:hint="eastAsia"/>
                <w:spacing w:val="-3"/>
                <w:sz w:val="24"/>
                <w:highlight w:val="none"/>
              </w:rPr>
              <w:t>他相关产品。</w:t>
            </w:r>
          </w:p>
        </w:tc>
      </w:tr>
    </w:tbl>
    <w:p>
      <w:pPr>
        <w:pStyle w:val="60"/>
        <w:tabs>
          <w:tab w:val="left" w:pos="1636"/>
        </w:tabs>
        <w:spacing w:line="360" w:lineRule="auto"/>
        <w:ind w:firstLine="480"/>
        <w:jc w:val="left"/>
        <w:rPr>
          <w:rFonts w:hint="eastAsia" w:ascii="宋体" w:hAnsi="宋体" w:cs="宋体"/>
          <w:sz w:val="24"/>
          <w:highlight w:val="none"/>
        </w:rPr>
      </w:pPr>
    </w:p>
    <w:p>
      <w:pPr>
        <w:pStyle w:val="60"/>
        <w:tabs>
          <w:tab w:val="left" w:pos="1636"/>
        </w:tabs>
        <w:spacing w:line="360" w:lineRule="auto"/>
        <w:ind w:firstLine="480"/>
        <w:jc w:val="left"/>
        <w:rPr>
          <w:rFonts w:hint="eastAsia" w:ascii="宋体" w:hAnsi="宋体" w:cs="宋体"/>
          <w:sz w:val="24"/>
          <w:highlight w:val="none"/>
        </w:rPr>
      </w:pPr>
      <w:r>
        <w:rPr>
          <w:rFonts w:hint="eastAsia" w:ascii="宋体" w:hAnsi="宋体" w:cs="宋体"/>
          <w:sz w:val="24"/>
          <w:highlight w:val="none"/>
        </w:rPr>
        <w:t>4、投标人需提供有利于采购方对食堂采购、验收、保管实时监</w:t>
      </w:r>
      <w:r>
        <w:rPr>
          <w:rFonts w:hint="eastAsia" w:ascii="宋体" w:hAnsi="宋体" w:cs="宋体"/>
          <w:spacing w:val="-11"/>
          <w:sz w:val="24"/>
          <w:highlight w:val="none"/>
        </w:rPr>
        <w:t xml:space="preserve">督的组织形式和监督手段，包括但不限于：所有食材拍照、索取票证， </w:t>
      </w:r>
      <w:r>
        <w:rPr>
          <w:rFonts w:hint="eastAsia" w:ascii="宋体" w:hAnsi="宋体" w:cs="宋体"/>
          <w:spacing w:val="-14"/>
          <w:sz w:val="24"/>
          <w:highlight w:val="none"/>
        </w:rPr>
        <w:t xml:space="preserve">存档备查；配备农残检验仪，定期检查农产品残留，并做好相关记录； </w:t>
      </w:r>
      <w:r>
        <w:rPr>
          <w:rFonts w:hint="eastAsia" w:ascii="宋体" w:hAnsi="宋体" w:cs="宋体"/>
          <w:spacing w:val="-13"/>
          <w:sz w:val="24"/>
          <w:highlight w:val="none"/>
        </w:rPr>
        <w:t>库房通风、干燥，食材摆放有序，做好防虫防鼠工作，保持干净清洁。</w:t>
      </w:r>
    </w:p>
    <w:p>
      <w:pPr>
        <w:pStyle w:val="60"/>
        <w:tabs>
          <w:tab w:val="left" w:pos="1564"/>
        </w:tabs>
        <w:spacing w:line="360" w:lineRule="auto"/>
        <w:ind w:firstLine="440"/>
        <w:rPr>
          <w:rFonts w:hint="eastAsia" w:ascii="宋体" w:hAnsi="宋体" w:cs="宋体"/>
          <w:sz w:val="24"/>
          <w:highlight w:val="none"/>
        </w:rPr>
      </w:pPr>
      <w:r>
        <w:rPr>
          <w:rFonts w:hint="eastAsia" w:ascii="宋体" w:hAnsi="宋体" w:cs="宋体"/>
          <w:spacing w:val="-10"/>
          <w:sz w:val="24"/>
          <w:highlight w:val="none"/>
        </w:rPr>
        <w:t>5、投标人不得提供伪劣假冒食材及过期食品，如出现伪劣假冒食</w:t>
      </w:r>
      <w:r>
        <w:rPr>
          <w:rFonts w:hint="eastAsia" w:ascii="宋体" w:hAnsi="宋体" w:cs="宋体"/>
          <w:spacing w:val="7"/>
          <w:sz w:val="24"/>
          <w:highlight w:val="none"/>
        </w:rPr>
        <w:t>材及过期食品而引发的相关责任和由此产生的费用由投标人全部负</w:t>
      </w:r>
      <w:r>
        <w:rPr>
          <w:rFonts w:hint="eastAsia" w:ascii="宋体" w:hAnsi="宋体" w:cs="宋体"/>
          <w:spacing w:val="-9"/>
          <w:sz w:val="24"/>
          <w:highlight w:val="none"/>
        </w:rPr>
        <w:t>责，同时，采购人有权终止合同，并拒绝续签来年合同</w:t>
      </w:r>
      <w:r>
        <w:rPr>
          <w:rFonts w:hint="eastAsia" w:ascii="宋体" w:hAnsi="宋体" w:cs="宋体"/>
          <w:sz w:val="24"/>
          <w:highlight w:val="none"/>
        </w:rPr>
        <w:t>.</w:t>
      </w:r>
      <w:r>
        <w:rPr>
          <w:rFonts w:hint="eastAsia" w:ascii="宋体" w:hAnsi="宋体" w:cs="宋体"/>
          <w:spacing w:val="-3"/>
          <w:sz w:val="24"/>
          <w:highlight w:val="none"/>
        </w:rPr>
        <w:t>由此带来的经济损失和责任由投标人承担。</w:t>
      </w:r>
    </w:p>
    <w:p>
      <w:pPr>
        <w:pStyle w:val="60"/>
        <w:tabs>
          <w:tab w:val="left" w:pos="1564"/>
        </w:tabs>
        <w:spacing w:line="360" w:lineRule="auto"/>
        <w:ind w:firstLine="436"/>
        <w:rPr>
          <w:sz w:val="28"/>
          <w:highlight w:val="none"/>
        </w:rPr>
      </w:pPr>
      <w:r>
        <w:rPr>
          <w:rFonts w:hint="eastAsia" w:ascii="宋体" w:hAnsi="宋体" w:cs="宋体"/>
          <w:spacing w:val="-11"/>
          <w:sz w:val="24"/>
          <w:highlight w:val="none"/>
        </w:rPr>
        <w:t>6、投标人应建立与采购人的信息沟通平台，根据当日就餐人数及</w:t>
      </w:r>
      <w:r>
        <w:rPr>
          <w:rFonts w:hint="eastAsia" w:ascii="宋体" w:hAnsi="宋体" w:cs="宋体"/>
          <w:spacing w:val="-5"/>
          <w:sz w:val="24"/>
          <w:highlight w:val="none"/>
        </w:rPr>
        <w:t>时调整食材供应量，避免食材供应不足或浪费。</w:t>
      </w:r>
    </w:p>
    <w:p>
      <w:pPr>
        <w:pStyle w:val="5"/>
        <w:numPr>
          <w:ilvl w:val="0"/>
          <w:numId w:val="0"/>
        </w:numPr>
        <w:tabs>
          <w:tab w:val="left" w:pos="1495"/>
        </w:tabs>
        <w:ind w:firstLine="643" w:firstLineChars="200"/>
        <w:rPr>
          <w:highlight w:val="none"/>
        </w:rPr>
      </w:pPr>
      <w:r>
        <w:rPr>
          <w:rFonts w:hint="eastAsia"/>
          <w:highlight w:val="none"/>
        </w:rPr>
        <w:t>（二）</w:t>
      </w:r>
      <w:r>
        <w:rPr>
          <w:highlight w:val="none"/>
        </w:rPr>
        <w:t>餐厅管理要求</w:t>
      </w:r>
    </w:p>
    <w:p>
      <w:pPr>
        <w:pStyle w:val="8"/>
        <w:spacing w:after="0" w:line="360" w:lineRule="auto"/>
        <w:ind w:firstLine="460" w:firstLineChars="200"/>
        <w:rPr>
          <w:rFonts w:hint="eastAsia" w:hAnsi="宋体" w:cs="宋体"/>
          <w:sz w:val="24"/>
          <w:szCs w:val="24"/>
          <w:highlight w:val="none"/>
        </w:rPr>
      </w:pPr>
      <w:r>
        <w:rPr>
          <w:rFonts w:hint="eastAsia" w:hAnsi="宋体" w:cs="宋体"/>
          <w:spacing w:val="-5"/>
          <w:sz w:val="24"/>
          <w:szCs w:val="24"/>
          <w:highlight w:val="none"/>
        </w:rPr>
        <w:t>1、</w:t>
      </w:r>
      <w:r>
        <w:rPr>
          <w:rFonts w:hint="eastAsia" w:hAnsi="宋体" w:cs="宋体"/>
          <w:sz w:val="24"/>
          <w:szCs w:val="24"/>
          <w:highlight w:val="none"/>
        </w:rPr>
        <w:t>餐厅清洁范围包括餐具、地面、墙面、天花板等。餐具用具</w:t>
      </w:r>
      <w:r>
        <w:rPr>
          <w:rFonts w:hint="eastAsia" w:hAnsi="宋体" w:cs="宋体"/>
          <w:spacing w:val="-3"/>
          <w:sz w:val="24"/>
          <w:szCs w:val="24"/>
          <w:highlight w:val="none"/>
        </w:rPr>
        <w:t>餐后及时清洗消毒，做到安全卫生，摆放规范整齐；地面干净、无积水、无杂物、无污渍；墙面、门无明显积灰，窗户玻璃明亮清洁；天花板、灯具无积灰；桌椅摆放整齐，间距适中，桌上调料、餐巾纸、牙签等用品摆放充足有序。</w:t>
      </w:r>
    </w:p>
    <w:p>
      <w:pPr>
        <w:pStyle w:val="5"/>
        <w:numPr>
          <w:ilvl w:val="0"/>
          <w:numId w:val="0"/>
        </w:numPr>
        <w:tabs>
          <w:tab w:val="left" w:pos="1495"/>
        </w:tabs>
        <w:spacing w:line="357" w:lineRule="exact"/>
        <w:ind w:firstLine="643" w:firstLineChars="200"/>
        <w:rPr>
          <w:highlight w:val="none"/>
        </w:rPr>
      </w:pPr>
      <w:bookmarkStart w:id="71" w:name="4. 后厨管理要求"/>
      <w:bookmarkEnd w:id="71"/>
      <w:r>
        <w:rPr>
          <w:rFonts w:hint="eastAsia"/>
          <w:highlight w:val="none"/>
        </w:rPr>
        <w:t>（三)</w:t>
      </w:r>
      <w:r>
        <w:rPr>
          <w:highlight w:val="none"/>
        </w:rPr>
        <w:t>后厨管理要求</w:t>
      </w:r>
    </w:p>
    <w:p>
      <w:pPr>
        <w:pStyle w:val="8"/>
        <w:spacing w:line="360" w:lineRule="auto"/>
        <w:ind w:firstLine="444" w:firstLineChars="200"/>
        <w:rPr>
          <w:sz w:val="24"/>
          <w:szCs w:val="24"/>
          <w:highlight w:val="none"/>
        </w:rPr>
      </w:pPr>
      <w:r>
        <w:rPr>
          <w:rFonts w:hint="eastAsia"/>
          <w:spacing w:val="-9"/>
          <w:sz w:val="24"/>
          <w:szCs w:val="24"/>
          <w:highlight w:val="none"/>
        </w:rPr>
        <w:t>1、</w:t>
      </w:r>
      <w:r>
        <w:rPr>
          <w:spacing w:val="-9"/>
          <w:sz w:val="24"/>
          <w:szCs w:val="24"/>
          <w:highlight w:val="none"/>
        </w:rPr>
        <w:t>投标人对采购人提供的食堂的设施设备进行日常的保养，并对</w:t>
      </w:r>
      <w:r>
        <w:rPr>
          <w:spacing w:val="-3"/>
          <w:sz w:val="24"/>
          <w:szCs w:val="24"/>
          <w:highlight w:val="none"/>
        </w:rPr>
        <w:t>设施设备提出维修方案报采购人审核。审核通过后，投标人支付维修费用。如因维修方案未及时提出，造成的安全事故由投标人自行全权</w:t>
      </w:r>
      <w:r>
        <w:rPr>
          <w:sz w:val="24"/>
          <w:szCs w:val="24"/>
          <w:highlight w:val="none"/>
        </w:rPr>
        <w:t>负责，并承担法律责任。</w:t>
      </w:r>
    </w:p>
    <w:p>
      <w:pPr>
        <w:pStyle w:val="60"/>
        <w:tabs>
          <w:tab w:val="left" w:pos="1564"/>
        </w:tabs>
        <w:spacing w:line="360" w:lineRule="auto"/>
        <w:ind w:firstLine="468"/>
        <w:rPr>
          <w:sz w:val="24"/>
          <w:highlight w:val="none"/>
        </w:rPr>
      </w:pPr>
      <w:r>
        <w:rPr>
          <w:rFonts w:hint="eastAsia"/>
          <w:spacing w:val="-3"/>
          <w:sz w:val="24"/>
          <w:highlight w:val="none"/>
        </w:rPr>
        <w:t>2、</w:t>
      </w:r>
      <w:r>
        <w:rPr>
          <w:spacing w:val="-3"/>
          <w:sz w:val="24"/>
          <w:highlight w:val="none"/>
        </w:rPr>
        <w:t>投标人应爱护食堂场所的相关设施</w:t>
      </w:r>
      <w:r>
        <w:rPr>
          <w:rFonts w:ascii="Times New Roman" w:eastAsia="Times New Roman"/>
          <w:spacing w:val="2"/>
          <w:sz w:val="24"/>
          <w:highlight w:val="none"/>
        </w:rPr>
        <w:t xml:space="preserve">, </w:t>
      </w:r>
      <w:r>
        <w:rPr>
          <w:spacing w:val="-3"/>
          <w:sz w:val="24"/>
          <w:highlight w:val="none"/>
        </w:rPr>
        <w:t>不得自行拆移各种设施、设备。合同期间如需调整，需向采购人提出书面的调整变更申请，经采购人批准后方可实施。如因使用需要对该场所进行装修或者增加设备的，须征得采购人书面同意，若有损坏，必须按原样修复。</w:t>
      </w:r>
    </w:p>
    <w:p>
      <w:pPr>
        <w:pStyle w:val="60"/>
        <w:tabs>
          <w:tab w:val="left" w:pos="1569"/>
        </w:tabs>
        <w:spacing w:line="360" w:lineRule="auto"/>
        <w:ind w:firstLine="492"/>
        <w:rPr>
          <w:sz w:val="24"/>
          <w:highlight w:val="none"/>
        </w:rPr>
      </w:pPr>
      <w:r>
        <w:rPr>
          <w:rFonts w:hint="eastAsia"/>
          <w:spacing w:val="3"/>
          <w:sz w:val="24"/>
          <w:highlight w:val="none"/>
        </w:rPr>
        <w:t>3、</w:t>
      </w:r>
      <w:r>
        <w:rPr>
          <w:spacing w:val="3"/>
          <w:sz w:val="24"/>
          <w:highlight w:val="none"/>
        </w:rPr>
        <w:t>投标人应确保科学合理的膳食搭配，食用油和调味料使用适</w:t>
      </w:r>
      <w:r>
        <w:rPr>
          <w:spacing w:val="-3"/>
          <w:sz w:val="24"/>
          <w:highlight w:val="none"/>
        </w:rPr>
        <w:t>量，少味精，使用不加碘的盐。</w:t>
      </w:r>
    </w:p>
    <w:p>
      <w:pPr>
        <w:pStyle w:val="5"/>
        <w:numPr>
          <w:ilvl w:val="2"/>
          <w:numId w:val="0"/>
        </w:numPr>
        <w:tabs>
          <w:tab w:val="left" w:pos="1495"/>
        </w:tabs>
        <w:ind w:firstLine="643" w:firstLineChars="200"/>
        <w:rPr>
          <w:highlight w:val="none"/>
        </w:rPr>
      </w:pPr>
      <w:r>
        <w:rPr>
          <w:rFonts w:hint="eastAsia"/>
          <w:highlight w:val="none"/>
        </w:rPr>
        <w:t>（三）</w:t>
      </w:r>
      <w:r>
        <w:rPr>
          <w:highlight w:val="none"/>
        </w:rPr>
        <w:t>安全、消防管理要求</w:t>
      </w:r>
    </w:p>
    <w:p>
      <w:pPr>
        <w:pStyle w:val="60"/>
        <w:tabs>
          <w:tab w:val="left" w:pos="1564"/>
        </w:tabs>
        <w:spacing w:line="360" w:lineRule="auto"/>
        <w:ind w:firstLine="468"/>
        <w:jc w:val="left"/>
        <w:rPr>
          <w:sz w:val="24"/>
          <w:highlight w:val="none"/>
        </w:rPr>
      </w:pPr>
      <w:r>
        <w:rPr>
          <w:rFonts w:hint="eastAsia"/>
          <w:spacing w:val="-3"/>
          <w:sz w:val="24"/>
          <w:highlight w:val="none"/>
        </w:rPr>
        <w:t>1、</w:t>
      </w:r>
      <w:r>
        <w:rPr>
          <w:spacing w:val="-3"/>
          <w:sz w:val="24"/>
          <w:highlight w:val="none"/>
        </w:rPr>
        <w:t>投标人法定代表人是食堂安全管理和食品安全的第一责任人， 应安排专人负责管理各种设施设备，保证水、电、燃气的使用安全。</w:t>
      </w:r>
      <w:r>
        <w:rPr>
          <w:spacing w:val="-12"/>
          <w:sz w:val="24"/>
          <w:highlight w:val="none"/>
        </w:rPr>
        <w:t>负责管理电、燃气设施的人员必须经过培训，并持有有效上岗证上岗。</w:t>
      </w:r>
      <w:r>
        <w:rPr>
          <w:spacing w:val="-5"/>
          <w:sz w:val="24"/>
          <w:highlight w:val="none"/>
        </w:rPr>
        <w:t>应确定一名食品安全管理人员，牵头负责食堂食品安全相关工作，每</w:t>
      </w:r>
      <w:r>
        <w:rPr>
          <w:spacing w:val="-4"/>
          <w:sz w:val="24"/>
          <w:highlight w:val="none"/>
        </w:rPr>
        <w:t>天对从业人员上岗前的健康状况进行检查，定期对从业人员进行食品</w:t>
      </w:r>
      <w:r>
        <w:rPr>
          <w:spacing w:val="-3"/>
          <w:sz w:val="24"/>
          <w:highlight w:val="none"/>
        </w:rPr>
        <w:t>安全培训和考试。</w:t>
      </w:r>
    </w:p>
    <w:p>
      <w:pPr>
        <w:pStyle w:val="60"/>
        <w:tabs>
          <w:tab w:val="left" w:pos="1564"/>
        </w:tabs>
        <w:spacing w:line="360" w:lineRule="auto"/>
        <w:ind w:firstLine="436"/>
        <w:rPr>
          <w:sz w:val="24"/>
          <w:highlight w:val="none"/>
        </w:rPr>
      </w:pPr>
      <w:r>
        <w:rPr>
          <w:rFonts w:hint="eastAsia"/>
          <w:spacing w:val="-11"/>
          <w:sz w:val="24"/>
          <w:highlight w:val="none"/>
        </w:rPr>
        <w:t>2、</w:t>
      </w:r>
      <w:r>
        <w:rPr>
          <w:spacing w:val="-11"/>
          <w:sz w:val="24"/>
          <w:highlight w:val="none"/>
        </w:rPr>
        <w:t>投标人应与采购人签订消防安全责任书。保障食堂各项消防设</w:t>
      </w:r>
      <w:r>
        <w:rPr>
          <w:spacing w:val="-3"/>
          <w:sz w:val="24"/>
          <w:highlight w:val="none"/>
        </w:rPr>
        <w:t>施完好，并进行定期检查作好检查记录。培训员工掌握正确使用各项消防设施、使用天然气设备的方法，防漏、防爆、防火，确保消防安全。</w:t>
      </w:r>
    </w:p>
    <w:p>
      <w:pPr>
        <w:pStyle w:val="60"/>
        <w:tabs>
          <w:tab w:val="left" w:pos="1564"/>
        </w:tabs>
        <w:spacing w:line="360" w:lineRule="auto"/>
        <w:ind w:firstLine="468"/>
        <w:rPr>
          <w:sz w:val="28"/>
          <w:highlight w:val="none"/>
        </w:rPr>
      </w:pPr>
      <w:r>
        <w:rPr>
          <w:rFonts w:hint="eastAsia"/>
          <w:spacing w:val="-3"/>
          <w:sz w:val="24"/>
          <w:highlight w:val="none"/>
        </w:rPr>
        <w:t>3、</w:t>
      </w:r>
      <w:r>
        <w:rPr>
          <w:spacing w:val="-3"/>
          <w:sz w:val="24"/>
          <w:highlight w:val="none"/>
        </w:rPr>
        <w:t>对投标人的食品安全管理详细要求见下表：</w:t>
      </w:r>
    </w:p>
    <w:p>
      <w:pPr>
        <w:pStyle w:val="5"/>
        <w:numPr>
          <w:ilvl w:val="0"/>
          <w:numId w:val="0"/>
        </w:numPr>
        <w:spacing w:before="159" w:after="25"/>
        <w:ind w:left="44" w:right="618"/>
        <w:jc w:val="center"/>
        <w:rPr>
          <w:highlight w:val="none"/>
        </w:rPr>
      </w:pPr>
      <w:r>
        <w:rPr>
          <w:highlight w:val="none"/>
        </w:rPr>
        <w:t>食堂食品安全操作标准</w:t>
      </w:r>
    </w:p>
    <w:tbl>
      <w:tblPr>
        <w:tblStyle w:val="27"/>
        <w:tblW w:w="0" w:type="auto"/>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39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4" w:type="dxa"/>
            <w:noWrap w:val="0"/>
            <w:vAlign w:val="top"/>
          </w:tcPr>
          <w:p>
            <w:pPr>
              <w:pStyle w:val="62"/>
              <w:spacing w:before="179"/>
              <w:ind w:left="98" w:right="89"/>
              <w:jc w:val="center"/>
              <w:rPr>
                <w:b/>
                <w:sz w:val="24"/>
                <w:highlight w:val="none"/>
              </w:rPr>
            </w:pPr>
            <w:r>
              <w:rPr>
                <w:b/>
                <w:sz w:val="24"/>
                <w:highlight w:val="none"/>
              </w:rPr>
              <w:t>序号</w:t>
            </w:r>
          </w:p>
        </w:tc>
        <w:tc>
          <w:tcPr>
            <w:tcW w:w="1399" w:type="dxa"/>
            <w:noWrap w:val="0"/>
            <w:vAlign w:val="top"/>
          </w:tcPr>
          <w:p>
            <w:pPr>
              <w:pStyle w:val="62"/>
              <w:spacing w:before="179"/>
              <w:ind w:left="218"/>
              <w:rPr>
                <w:b/>
                <w:sz w:val="24"/>
                <w:highlight w:val="none"/>
              </w:rPr>
            </w:pPr>
            <w:r>
              <w:rPr>
                <w:b/>
                <w:sz w:val="24"/>
                <w:highlight w:val="none"/>
              </w:rPr>
              <w:t>检查项目</w:t>
            </w:r>
          </w:p>
        </w:tc>
        <w:tc>
          <w:tcPr>
            <w:tcW w:w="7080" w:type="dxa"/>
            <w:noWrap w:val="0"/>
            <w:vAlign w:val="top"/>
          </w:tcPr>
          <w:p>
            <w:pPr>
              <w:pStyle w:val="62"/>
              <w:spacing w:before="179"/>
              <w:ind w:left="2868" w:right="2856"/>
              <w:jc w:val="center"/>
              <w:rPr>
                <w:b/>
                <w:sz w:val="24"/>
                <w:highlight w:val="none"/>
              </w:rPr>
            </w:pPr>
            <w:r>
              <w:rPr>
                <w:b/>
                <w:sz w:val="24"/>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04" w:type="dxa"/>
            <w:noWrap w:val="0"/>
            <w:vAlign w:val="top"/>
          </w:tcPr>
          <w:p>
            <w:pPr>
              <w:pStyle w:val="62"/>
              <w:rPr>
                <w:b/>
                <w:sz w:val="26"/>
                <w:highlight w:val="none"/>
              </w:rPr>
            </w:pPr>
          </w:p>
          <w:p>
            <w:pPr>
              <w:pStyle w:val="62"/>
              <w:spacing w:before="4"/>
              <w:rPr>
                <w:b/>
                <w:sz w:val="18"/>
                <w:highlight w:val="none"/>
              </w:rPr>
            </w:pPr>
          </w:p>
          <w:p>
            <w:pPr>
              <w:pStyle w:val="62"/>
              <w:ind w:left="9"/>
              <w:jc w:val="center"/>
              <w:rPr>
                <w:rFonts w:ascii="Times New Roman"/>
                <w:sz w:val="24"/>
                <w:highlight w:val="none"/>
              </w:rPr>
            </w:pPr>
            <w:r>
              <w:rPr>
                <w:rFonts w:ascii="Times New Roman"/>
                <w:sz w:val="24"/>
                <w:highlight w:val="none"/>
              </w:rPr>
              <w:t>1</w:t>
            </w:r>
          </w:p>
        </w:tc>
        <w:tc>
          <w:tcPr>
            <w:tcW w:w="1399" w:type="dxa"/>
            <w:noWrap w:val="0"/>
            <w:vAlign w:val="top"/>
          </w:tcPr>
          <w:p>
            <w:pPr>
              <w:pStyle w:val="62"/>
              <w:rPr>
                <w:b/>
                <w:sz w:val="26"/>
                <w:highlight w:val="none"/>
              </w:rPr>
            </w:pPr>
          </w:p>
          <w:p>
            <w:pPr>
              <w:pStyle w:val="62"/>
              <w:spacing w:line="343" w:lineRule="auto"/>
              <w:ind w:left="458" w:right="448"/>
              <w:rPr>
                <w:sz w:val="24"/>
                <w:highlight w:val="none"/>
              </w:rPr>
            </w:pPr>
            <w:r>
              <w:rPr>
                <w:sz w:val="24"/>
                <w:highlight w:val="none"/>
              </w:rPr>
              <w:t>制度管理</w:t>
            </w:r>
          </w:p>
        </w:tc>
        <w:tc>
          <w:tcPr>
            <w:tcW w:w="7080" w:type="dxa"/>
            <w:noWrap w:val="0"/>
            <w:vAlign w:val="top"/>
          </w:tcPr>
          <w:p>
            <w:pPr>
              <w:pStyle w:val="62"/>
              <w:spacing w:before="113" w:line="343" w:lineRule="auto"/>
              <w:ind w:left="108" w:right="95" w:firstLine="240"/>
              <w:rPr>
                <w:sz w:val="24"/>
                <w:highlight w:val="none"/>
              </w:rPr>
            </w:pPr>
            <w:r>
              <w:rPr>
                <w:sz w:val="24"/>
                <w:highlight w:val="none"/>
              </w:rPr>
              <w:t>建立健全食品安全管理制度（进货查验和记录制度、从业人员健康管理及培训制度、食品贮存管理制度、食品安全追溯制</w:t>
            </w:r>
          </w:p>
          <w:p>
            <w:pPr>
              <w:pStyle w:val="62"/>
              <w:spacing w:before="1" w:line="306" w:lineRule="exact"/>
              <w:ind w:left="108" w:right="-29"/>
              <w:rPr>
                <w:sz w:val="24"/>
                <w:highlight w:val="none"/>
              </w:rPr>
            </w:pPr>
            <w:r>
              <w:rPr>
                <w:spacing w:val="-15"/>
                <w:sz w:val="24"/>
                <w:highlight w:val="none"/>
              </w:rPr>
              <w:t>度、废弃物处置制度、食品安全突发事件应急处置方案等制度</w:t>
            </w:r>
            <w:r>
              <w:rPr>
                <w:spacing w:val="-120"/>
                <w:sz w:val="24"/>
                <w:highlight w:val="none"/>
              </w:rPr>
              <w:t>）</w:t>
            </w:r>
            <w:r>
              <w:rPr>
                <w:spacing w:val="-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04" w:type="dxa"/>
            <w:vMerge w:val="restart"/>
            <w:noWrap w:val="0"/>
            <w:vAlign w:val="top"/>
          </w:tcPr>
          <w:p>
            <w:pPr>
              <w:pStyle w:val="62"/>
              <w:rPr>
                <w:b/>
                <w:sz w:val="26"/>
                <w:highlight w:val="none"/>
              </w:rPr>
            </w:pPr>
          </w:p>
          <w:p>
            <w:pPr>
              <w:pStyle w:val="62"/>
              <w:spacing w:before="12"/>
              <w:rPr>
                <w:b/>
                <w:sz w:val="19"/>
                <w:highlight w:val="none"/>
              </w:rPr>
            </w:pPr>
          </w:p>
          <w:p>
            <w:pPr>
              <w:pStyle w:val="62"/>
              <w:ind w:left="9"/>
              <w:jc w:val="center"/>
              <w:rPr>
                <w:rFonts w:ascii="Times New Roman"/>
                <w:sz w:val="24"/>
                <w:highlight w:val="none"/>
              </w:rPr>
            </w:pPr>
            <w:r>
              <w:rPr>
                <w:rFonts w:ascii="Times New Roman"/>
                <w:sz w:val="24"/>
                <w:highlight w:val="none"/>
              </w:rPr>
              <w:t>2</w:t>
            </w:r>
          </w:p>
        </w:tc>
        <w:tc>
          <w:tcPr>
            <w:tcW w:w="1399" w:type="dxa"/>
            <w:vMerge w:val="restart"/>
            <w:noWrap w:val="0"/>
            <w:vAlign w:val="top"/>
          </w:tcPr>
          <w:p>
            <w:pPr>
              <w:pStyle w:val="62"/>
              <w:spacing w:before="9"/>
              <w:rPr>
                <w:b/>
                <w:sz w:val="27"/>
                <w:highlight w:val="none"/>
              </w:rPr>
            </w:pPr>
          </w:p>
          <w:p>
            <w:pPr>
              <w:pStyle w:val="62"/>
              <w:spacing w:line="343" w:lineRule="auto"/>
              <w:ind w:left="458" w:right="208" w:hanging="240"/>
              <w:rPr>
                <w:sz w:val="24"/>
                <w:highlight w:val="none"/>
              </w:rPr>
            </w:pPr>
            <w:r>
              <w:rPr>
                <w:sz w:val="24"/>
                <w:highlight w:val="none"/>
              </w:rPr>
              <w:t>设施设备管理</w:t>
            </w:r>
          </w:p>
        </w:tc>
        <w:tc>
          <w:tcPr>
            <w:tcW w:w="7080" w:type="dxa"/>
            <w:noWrap w:val="0"/>
            <w:vAlign w:val="top"/>
          </w:tcPr>
          <w:p>
            <w:pPr>
              <w:pStyle w:val="62"/>
              <w:spacing w:before="124"/>
              <w:ind w:left="348"/>
              <w:rPr>
                <w:sz w:val="24"/>
                <w:highlight w:val="none"/>
              </w:rPr>
            </w:pPr>
            <w:r>
              <w:rPr>
                <w:sz w:val="24"/>
                <w:highlight w:val="none"/>
              </w:rPr>
              <w:t>定期维护食品加工、贮存等设施、设备。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4" w:type="dxa"/>
            <w:vMerge w:val="continue"/>
            <w:tcBorders>
              <w:top w:val="nil"/>
            </w:tcBorders>
            <w:noWrap w:val="0"/>
            <w:vAlign w:val="top"/>
          </w:tcPr>
          <w:p>
            <w:pPr>
              <w:rPr>
                <w:sz w:val="2"/>
                <w:szCs w:val="2"/>
                <w:highlight w:val="none"/>
              </w:rPr>
            </w:pPr>
          </w:p>
        </w:tc>
        <w:tc>
          <w:tcPr>
            <w:tcW w:w="1399" w:type="dxa"/>
            <w:vMerge w:val="continue"/>
            <w:tcBorders>
              <w:top w:val="nil"/>
            </w:tcBorders>
            <w:noWrap w:val="0"/>
            <w:vAlign w:val="top"/>
          </w:tcPr>
          <w:p>
            <w:pPr>
              <w:rPr>
                <w:sz w:val="2"/>
                <w:szCs w:val="2"/>
                <w:highlight w:val="none"/>
              </w:rPr>
            </w:pPr>
          </w:p>
        </w:tc>
        <w:tc>
          <w:tcPr>
            <w:tcW w:w="7080" w:type="dxa"/>
            <w:noWrap w:val="0"/>
            <w:vAlign w:val="top"/>
          </w:tcPr>
          <w:p>
            <w:pPr>
              <w:pStyle w:val="62"/>
              <w:spacing w:before="113" w:line="307" w:lineRule="exact"/>
              <w:ind w:left="348"/>
              <w:rPr>
                <w:sz w:val="24"/>
                <w:highlight w:val="none"/>
              </w:rPr>
            </w:pPr>
            <w:r>
              <w:rPr>
                <w:sz w:val="24"/>
                <w:highlight w:val="none"/>
              </w:rPr>
              <w:t>定期清洗、校验冷藏、冷冻设施。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top w:val="nil"/>
              <w:bottom w:val="single" w:color="auto" w:sz="4" w:space="0"/>
            </w:tcBorders>
            <w:noWrap w:val="0"/>
            <w:vAlign w:val="top"/>
          </w:tcPr>
          <w:p>
            <w:pPr>
              <w:rPr>
                <w:sz w:val="2"/>
                <w:szCs w:val="2"/>
                <w:highlight w:val="none"/>
              </w:rPr>
            </w:pPr>
          </w:p>
        </w:tc>
        <w:tc>
          <w:tcPr>
            <w:tcW w:w="1399" w:type="dxa"/>
            <w:vMerge w:val="continue"/>
            <w:tcBorders>
              <w:top w:val="nil"/>
              <w:bottom w:val="single" w:color="auto" w:sz="4" w:space="0"/>
            </w:tcBorders>
            <w:noWrap w:val="0"/>
            <w:vAlign w:val="top"/>
          </w:tcPr>
          <w:p>
            <w:pPr>
              <w:rPr>
                <w:sz w:val="2"/>
                <w:szCs w:val="2"/>
                <w:highlight w:val="none"/>
              </w:rPr>
            </w:pPr>
          </w:p>
        </w:tc>
        <w:tc>
          <w:tcPr>
            <w:tcW w:w="7080" w:type="dxa"/>
            <w:noWrap w:val="0"/>
            <w:vAlign w:val="top"/>
          </w:tcPr>
          <w:p>
            <w:pPr>
              <w:pStyle w:val="62"/>
              <w:spacing w:before="114" w:line="304" w:lineRule="exact"/>
              <w:ind w:left="348"/>
              <w:rPr>
                <w:sz w:val="24"/>
                <w:highlight w:val="none"/>
              </w:rPr>
            </w:pPr>
            <w:r>
              <w:rPr>
                <w:sz w:val="24"/>
                <w:highlight w:val="none"/>
              </w:rPr>
              <w:t>冷冻柜、冷藏柜有明显的区分标识。冷冻、冷藏柜（库）设有可正确显示内部温度的温度计，宜设置外显式温度计。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top w:val="single" w:color="auto" w:sz="4" w:space="0"/>
              <w:left w:val="single" w:color="auto" w:sz="4" w:space="0"/>
              <w:right w:val="single" w:color="auto" w:sz="4" w:space="0"/>
            </w:tcBorders>
            <w:noWrap w:val="0"/>
            <w:vAlign w:val="top"/>
          </w:tcPr>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rPr>
                <w:b w:val="0"/>
                <w:bCs/>
                <w:sz w:val="26"/>
                <w:highlight w:val="none"/>
              </w:rPr>
            </w:pPr>
          </w:p>
          <w:p>
            <w:pPr>
              <w:pStyle w:val="62"/>
              <w:spacing w:before="179"/>
              <w:ind w:left="9" w:leftChars="0"/>
              <w:jc w:val="center"/>
              <w:rPr>
                <w:rFonts w:ascii="Times New Roman" w:hAnsi="宋体" w:eastAsia="宋体" w:cs="宋体"/>
                <w:b w:val="0"/>
                <w:bCs/>
                <w:sz w:val="24"/>
                <w:highlight w:val="none"/>
                <w:lang w:val="zh-CN" w:eastAsia="zh-CN" w:bidi="zh-CN"/>
              </w:rPr>
            </w:pPr>
            <w:r>
              <w:rPr>
                <w:rFonts w:ascii="Times New Roman"/>
                <w:b w:val="0"/>
                <w:bCs/>
                <w:sz w:val="24"/>
                <w:highlight w:val="none"/>
              </w:rPr>
              <w:t>3</w:t>
            </w:r>
          </w:p>
        </w:tc>
        <w:tc>
          <w:tcPr>
            <w:tcW w:w="1399" w:type="dxa"/>
            <w:vMerge w:val="restart"/>
            <w:tcBorders>
              <w:top w:val="single" w:color="auto" w:sz="4" w:space="0"/>
              <w:left w:val="single" w:color="auto" w:sz="4" w:space="0"/>
              <w:right w:val="single" w:color="auto" w:sz="4" w:space="0"/>
            </w:tcBorders>
            <w:noWrap w:val="0"/>
            <w:vAlign w:val="top"/>
          </w:tcPr>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24"/>
                <w:highlight w:val="none"/>
              </w:rPr>
            </w:pPr>
          </w:p>
          <w:p>
            <w:pPr>
              <w:pStyle w:val="62"/>
              <w:rPr>
                <w:b w:val="0"/>
                <w:bCs/>
                <w:sz w:val="30"/>
                <w:highlight w:val="none"/>
              </w:rPr>
            </w:pPr>
          </w:p>
          <w:p>
            <w:pPr>
              <w:pStyle w:val="62"/>
              <w:spacing w:line="343" w:lineRule="auto"/>
              <w:ind w:left="100" w:leftChars="0" w:right="88" w:rightChars="0"/>
              <w:jc w:val="center"/>
              <w:rPr>
                <w:rFonts w:ascii="宋体" w:hAnsi="宋体" w:eastAsia="宋体" w:cs="宋体"/>
                <w:b w:val="0"/>
                <w:bCs/>
                <w:sz w:val="24"/>
                <w:highlight w:val="none"/>
                <w:lang w:val="zh-CN" w:eastAsia="zh-CN" w:bidi="zh-CN"/>
              </w:rPr>
            </w:pPr>
            <w:r>
              <w:rPr>
                <w:b w:val="0"/>
                <w:bCs/>
                <w:sz w:val="24"/>
                <w:highlight w:val="none"/>
              </w:rPr>
              <w:t>原料（含食品添加剂和食品相关产品）进货管理</w:t>
            </w:r>
          </w:p>
        </w:tc>
        <w:tc>
          <w:tcPr>
            <w:tcW w:w="7080" w:type="dxa"/>
            <w:tcBorders>
              <w:left w:val="single" w:color="auto" w:sz="4" w:space="0"/>
            </w:tcBorders>
            <w:noWrap w:val="0"/>
            <w:vAlign w:val="center"/>
          </w:tcPr>
          <w:p>
            <w:pPr>
              <w:pStyle w:val="62"/>
              <w:spacing w:before="114"/>
              <w:ind w:left="348"/>
              <w:jc w:val="both"/>
              <w:rPr>
                <w:b w:val="0"/>
                <w:bCs/>
                <w:sz w:val="24"/>
                <w:highlight w:val="none"/>
              </w:rPr>
            </w:pPr>
            <w:r>
              <w:rPr>
                <w:b w:val="0"/>
                <w:bCs/>
                <w:sz w:val="24"/>
                <w:highlight w:val="none"/>
              </w:rPr>
              <w:t>随货证明文件查验：</w:t>
            </w:r>
          </w:p>
          <w:p>
            <w:pPr>
              <w:pStyle w:val="62"/>
              <w:spacing w:before="131" w:line="343" w:lineRule="auto"/>
              <w:ind w:left="108" w:right="95" w:firstLine="240"/>
              <w:jc w:val="both"/>
              <w:rPr>
                <w:b w:val="0"/>
                <w:bCs/>
                <w:sz w:val="24"/>
                <w:highlight w:val="none"/>
              </w:rPr>
            </w:pPr>
            <w:r>
              <w:rPr>
                <w:rFonts w:ascii="Times New Roman" w:eastAsia="Times New Roman"/>
                <w:b w:val="0"/>
                <w:bCs/>
                <w:sz w:val="24"/>
                <w:highlight w:val="none"/>
              </w:rPr>
              <w:t>1</w:t>
            </w:r>
            <w:r>
              <w:rPr>
                <w:b w:val="0"/>
                <w:bCs/>
                <w:spacing w:val="-6"/>
                <w:sz w:val="24"/>
                <w:highlight w:val="none"/>
              </w:rPr>
              <w:t>、从食品销售者</w:t>
            </w:r>
            <w:r>
              <w:rPr>
                <w:b w:val="0"/>
                <w:bCs/>
                <w:sz w:val="24"/>
                <w:highlight w:val="none"/>
              </w:rPr>
              <w:t>（</w:t>
            </w:r>
            <w:r>
              <w:rPr>
                <w:b w:val="0"/>
                <w:bCs/>
                <w:spacing w:val="-5"/>
                <w:sz w:val="24"/>
                <w:highlight w:val="none"/>
              </w:rPr>
              <w:t>商场、超市、便利店等</w:t>
            </w:r>
            <w:r>
              <w:rPr>
                <w:b w:val="0"/>
                <w:bCs/>
                <w:spacing w:val="-15"/>
                <w:sz w:val="24"/>
                <w:highlight w:val="none"/>
              </w:rPr>
              <w:t>）</w:t>
            </w:r>
            <w:r>
              <w:rPr>
                <w:b w:val="0"/>
                <w:bCs/>
                <w:spacing w:val="-4"/>
                <w:sz w:val="24"/>
                <w:highlight w:val="none"/>
              </w:rPr>
              <w:t>采购食品的，查</w:t>
            </w:r>
            <w:r>
              <w:rPr>
                <w:b w:val="0"/>
                <w:bCs/>
                <w:spacing w:val="-1"/>
                <w:sz w:val="24"/>
                <w:highlight w:val="none"/>
              </w:rPr>
              <w:t xml:space="preserve">验其食品经营许可证等；采购食品添加剂、食品相关产品的， </w:t>
            </w:r>
            <w:r>
              <w:rPr>
                <w:b w:val="0"/>
                <w:bCs/>
                <w:sz w:val="24"/>
                <w:highlight w:val="none"/>
              </w:rPr>
              <w:t>查验其营业执照等；</w:t>
            </w:r>
          </w:p>
          <w:p>
            <w:pPr>
              <w:pStyle w:val="62"/>
              <w:spacing w:before="1" w:line="343" w:lineRule="auto"/>
              <w:ind w:left="108" w:right="95" w:firstLine="240"/>
              <w:jc w:val="both"/>
              <w:rPr>
                <w:b w:val="0"/>
                <w:bCs/>
                <w:sz w:val="24"/>
                <w:highlight w:val="none"/>
              </w:rPr>
            </w:pPr>
            <w:r>
              <w:rPr>
                <w:rFonts w:ascii="Times New Roman" w:eastAsia="Times New Roman"/>
                <w:b w:val="0"/>
                <w:bCs/>
                <w:sz w:val="24"/>
                <w:highlight w:val="none"/>
              </w:rPr>
              <w:t>2</w:t>
            </w:r>
            <w:r>
              <w:rPr>
                <w:b w:val="0"/>
                <w:bCs/>
                <w:spacing w:val="-10"/>
                <w:sz w:val="24"/>
                <w:highlight w:val="none"/>
              </w:rPr>
              <w:t>、从食用农产品个体生产者直接采购食用农产品的，查验其</w:t>
            </w:r>
            <w:r>
              <w:rPr>
                <w:b w:val="0"/>
                <w:bCs/>
                <w:sz w:val="24"/>
                <w:highlight w:val="none"/>
              </w:rPr>
              <w:t>有效身份证明；</w:t>
            </w:r>
          </w:p>
          <w:p>
            <w:pPr>
              <w:pStyle w:val="62"/>
              <w:spacing w:before="1" w:line="343" w:lineRule="auto"/>
              <w:ind w:left="108" w:right="95" w:firstLine="240"/>
              <w:jc w:val="both"/>
              <w:rPr>
                <w:b w:val="0"/>
                <w:bCs/>
                <w:sz w:val="24"/>
                <w:highlight w:val="none"/>
              </w:rPr>
            </w:pPr>
            <w:r>
              <w:rPr>
                <w:rFonts w:ascii="Times New Roman" w:eastAsia="Times New Roman"/>
                <w:b w:val="0"/>
                <w:bCs/>
                <w:sz w:val="24"/>
                <w:highlight w:val="none"/>
              </w:rPr>
              <w:t>3</w:t>
            </w:r>
            <w:r>
              <w:rPr>
                <w:b w:val="0"/>
                <w:bCs/>
                <w:spacing w:val="-10"/>
                <w:sz w:val="24"/>
                <w:highlight w:val="none"/>
              </w:rPr>
              <w:t>、从食用农产品生产企业和农民专业合作经济组织采购食用</w:t>
            </w:r>
            <w:r>
              <w:rPr>
                <w:b w:val="0"/>
                <w:bCs/>
                <w:sz w:val="24"/>
                <w:highlight w:val="none"/>
              </w:rPr>
              <w:t>农产品的，查验其社会信用代码和产品合格证明文件；</w:t>
            </w:r>
          </w:p>
          <w:p>
            <w:pPr>
              <w:pStyle w:val="62"/>
              <w:spacing w:line="345" w:lineRule="auto"/>
              <w:ind w:left="108" w:right="95" w:firstLine="240"/>
              <w:jc w:val="both"/>
              <w:rPr>
                <w:b w:val="0"/>
                <w:bCs/>
                <w:sz w:val="24"/>
                <w:highlight w:val="none"/>
              </w:rPr>
            </w:pPr>
            <w:r>
              <w:rPr>
                <w:rFonts w:ascii="Times New Roman" w:eastAsia="Times New Roman"/>
                <w:b w:val="0"/>
                <w:bCs/>
                <w:sz w:val="24"/>
                <w:highlight w:val="none"/>
              </w:rPr>
              <w:t>4</w:t>
            </w:r>
            <w:r>
              <w:rPr>
                <w:b w:val="0"/>
                <w:bCs/>
                <w:spacing w:val="-10"/>
                <w:sz w:val="24"/>
                <w:highlight w:val="none"/>
              </w:rPr>
              <w:t>、从集中交易市场采购食用农产品的，索取并留存市场管理</w:t>
            </w:r>
            <w:r>
              <w:rPr>
                <w:b w:val="0"/>
                <w:bCs/>
                <w:sz w:val="24"/>
                <w:highlight w:val="none"/>
              </w:rPr>
              <w:t>部门或经营者加盖公章（或负责人签字）的购货凭证；</w:t>
            </w:r>
          </w:p>
          <w:p>
            <w:pPr>
              <w:pStyle w:val="62"/>
              <w:spacing w:line="343" w:lineRule="auto"/>
              <w:ind w:left="108" w:right="95" w:firstLine="240"/>
              <w:jc w:val="both"/>
              <w:rPr>
                <w:b w:val="0"/>
                <w:bCs/>
                <w:sz w:val="24"/>
                <w:highlight w:val="none"/>
              </w:rPr>
            </w:pPr>
            <w:r>
              <w:rPr>
                <w:rFonts w:ascii="Times New Roman" w:eastAsia="Times New Roman"/>
                <w:b w:val="0"/>
                <w:bCs/>
                <w:sz w:val="24"/>
                <w:highlight w:val="none"/>
              </w:rPr>
              <w:t>5</w:t>
            </w:r>
            <w:r>
              <w:rPr>
                <w:b w:val="0"/>
                <w:bCs/>
                <w:spacing w:val="-10"/>
                <w:sz w:val="24"/>
                <w:highlight w:val="none"/>
              </w:rPr>
              <w:t>、采购畜禽肉类的，还应查验动物产品检疫合格证明；采购</w:t>
            </w:r>
            <w:r>
              <w:rPr>
                <w:b w:val="0"/>
                <w:bCs/>
                <w:sz w:val="24"/>
                <w:highlight w:val="none"/>
              </w:rPr>
              <w:t>猪肉的，还应查验肉品品质检验合格证明；</w:t>
            </w:r>
          </w:p>
          <w:p>
            <w:pPr>
              <w:pStyle w:val="62"/>
              <w:spacing w:line="343" w:lineRule="auto"/>
              <w:ind w:left="108" w:right="93" w:firstLine="240"/>
              <w:jc w:val="both"/>
              <w:rPr>
                <w:b w:val="0"/>
                <w:bCs/>
                <w:sz w:val="24"/>
                <w:highlight w:val="none"/>
              </w:rPr>
            </w:pPr>
            <w:r>
              <w:rPr>
                <w:rFonts w:ascii="Times New Roman" w:eastAsia="Times New Roman"/>
                <w:b w:val="0"/>
                <w:bCs/>
                <w:sz w:val="24"/>
                <w:highlight w:val="none"/>
              </w:rPr>
              <w:t>6</w:t>
            </w:r>
            <w:r>
              <w:rPr>
                <w:b w:val="0"/>
                <w:bCs/>
                <w:spacing w:val="-11"/>
                <w:sz w:val="24"/>
                <w:highlight w:val="none"/>
              </w:rPr>
              <w:t>、采购食品、食品添加剂、食品相关产品的，应留存每笔购</w:t>
            </w:r>
            <w:r>
              <w:rPr>
                <w:b w:val="0"/>
                <w:bCs/>
                <w:sz w:val="24"/>
                <w:highlight w:val="none"/>
              </w:rPr>
              <w:t>物或送货凭证。</w:t>
            </w:r>
          </w:p>
          <w:p>
            <w:pPr>
              <w:pStyle w:val="62"/>
              <w:spacing w:line="306" w:lineRule="exact"/>
              <w:ind w:left="348"/>
              <w:jc w:val="both"/>
              <w:rPr>
                <w:b w:val="0"/>
                <w:bCs/>
                <w:sz w:val="24"/>
                <w:highlight w:val="none"/>
              </w:rPr>
            </w:pPr>
            <w:r>
              <w:rPr>
                <w:b w:val="0"/>
                <w:bCs/>
                <w:sz w:val="24"/>
                <w:highlight w:val="none"/>
              </w:rPr>
              <w:t>入库查验：</w:t>
            </w:r>
          </w:p>
          <w:p>
            <w:pPr>
              <w:pStyle w:val="62"/>
              <w:spacing w:before="130"/>
              <w:ind w:left="348"/>
              <w:jc w:val="both"/>
              <w:rPr>
                <w:b w:val="0"/>
                <w:bCs/>
                <w:sz w:val="24"/>
                <w:highlight w:val="none"/>
              </w:rPr>
            </w:pPr>
            <w:r>
              <w:rPr>
                <w:rFonts w:ascii="Times New Roman" w:eastAsia="Times New Roman"/>
                <w:b w:val="0"/>
                <w:bCs/>
                <w:sz w:val="24"/>
                <w:highlight w:val="none"/>
              </w:rPr>
              <w:t>1</w:t>
            </w:r>
            <w:r>
              <w:rPr>
                <w:b w:val="0"/>
                <w:bCs/>
                <w:sz w:val="24"/>
                <w:highlight w:val="none"/>
              </w:rPr>
              <w:t>、外观查验</w:t>
            </w:r>
          </w:p>
          <w:p>
            <w:pPr>
              <w:pStyle w:val="62"/>
              <w:spacing w:before="132" w:line="343" w:lineRule="auto"/>
              <w:ind w:left="108" w:right="17" w:firstLine="240"/>
              <w:jc w:val="both"/>
              <w:rPr>
                <w:b w:val="0"/>
                <w:bCs/>
                <w:sz w:val="24"/>
                <w:highlight w:val="none"/>
              </w:rPr>
            </w:pPr>
            <w:r>
              <w:rPr>
                <w:b w:val="0"/>
                <w:bCs/>
                <w:sz w:val="24"/>
                <w:highlight w:val="none"/>
              </w:rPr>
              <w:t>（</w:t>
            </w:r>
            <w:r>
              <w:rPr>
                <w:rFonts w:ascii="Times New Roman" w:eastAsia="Times New Roman"/>
                <w:b w:val="0"/>
                <w:bCs/>
                <w:sz w:val="24"/>
                <w:highlight w:val="none"/>
              </w:rPr>
              <w:t>1</w:t>
            </w:r>
            <w:r>
              <w:rPr>
                <w:b w:val="0"/>
                <w:bCs/>
                <w:sz w:val="24"/>
                <w:highlight w:val="none"/>
              </w:rPr>
              <w:t>）预包装食品的包装完整、清洁、无破损，标识与内容物一致。预包装食品的包装上应当有标签，标签应当标明：</w:t>
            </w:r>
          </w:p>
          <w:p>
            <w:pPr>
              <w:pStyle w:val="62"/>
              <w:spacing w:before="1" w:line="343" w:lineRule="auto"/>
              <w:ind w:left="348" w:right="2527"/>
              <w:jc w:val="both"/>
              <w:rPr>
                <w:b w:val="0"/>
                <w:bCs/>
                <w:sz w:val="24"/>
                <w:highlight w:val="none"/>
              </w:rPr>
            </w:pPr>
            <w:r>
              <w:rPr>
                <w:rFonts w:ascii="Times New Roman" w:eastAsia="Times New Roman"/>
                <w:b w:val="0"/>
                <w:bCs/>
                <w:sz w:val="24"/>
                <w:highlight w:val="none"/>
              </w:rPr>
              <w:t>A.</w:t>
            </w:r>
            <w:r>
              <w:rPr>
                <w:b w:val="0"/>
                <w:bCs/>
                <w:sz w:val="24"/>
                <w:highlight w:val="none"/>
              </w:rPr>
              <w:t xml:space="preserve">名称、规格、净含量、生产日期； </w:t>
            </w:r>
            <w:r>
              <w:rPr>
                <w:rFonts w:ascii="Times New Roman" w:eastAsia="Times New Roman"/>
                <w:b w:val="0"/>
                <w:bCs/>
                <w:sz w:val="24"/>
                <w:highlight w:val="none"/>
              </w:rPr>
              <w:t>B.</w:t>
            </w:r>
            <w:r>
              <w:rPr>
                <w:b w:val="0"/>
                <w:bCs/>
                <w:sz w:val="24"/>
                <w:highlight w:val="none"/>
              </w:rPr>
              <w:t>成分或者配料表；</w:t>
            </w:r>
          </w:p>
          <w:p>
            <w:pPr>
              <w:pStyle w:val="62"/>
              <w:spacing w:line="345" w:lineRule="auto"/>
              <w:ind w:left="348" w:right="2540"/>
              <w:jc w:val="both"/>
              <w:rPr>
                <w:b w:val="0"/>
                <w:bCs/>
                <w:sz w:val="24"/>
                <w:highlight w:val="none"/>
              </w:rPr>
            </w:pPr>
            <w:r>
              <w:rPr>
                <w:rFonts w:ascii="Times New Roman" w:eastAsia="Times New Roman"/>
                <w:b w:val="0"/>
                <w:bCs/>
                <w:sz w:val="24"/>
                <w:highlight w:val="none"/>
              </w:rPr>
              <w:t>C.</w:t>
            </w:r>
            <w:r>
              <w:rPr>
                <w:b w:val="0"/>
                <w:bCs/>
                <w:sz w:val="24"/>
                <w:highlight w:val="none"/>
              </w:rPr>
              <w:t xml:space="preserve">生产者的名称、地址、联系方式； </w:t>
            </w:r>
            <w:r>
              <w:rPr>
                <w:rFonts w:ascii="Times New Roman" w:eastAsia="Times New Roman"/>
                <w:b w:val="0"/>
                <w:bCs/>
                <w:sz w:val="24"/>
                <w:highlight w:val="none"/>
              </w:rPr>
              <w:t>D.</w:t>
            </w:r>
            <w:r>
              <w:rPr>
                <w:b w:val="0"/>
                <w:bCs/>
                <w:sz w:val="24"/>
                <w:highlight w:val="none"/>
              </w:rPr>
              <w:t>保质期；</w:t>
            </w:r>
          </w:p>
          <w:p>
            <w:pPr>
              <w:pStyle w:val="62"/>
              <w:spacing w:line="343" w:lineRule="auto"/>
              <w:ind w:left="348" w:right="4474"/>
              <w:jc w:val="both"/>
              <w:rPr>
                <w:b w:val="0"/>
                <w:bCs/>
                <w:sz w:val="24"/>
                <w:highlight w:val="none"/>
              </w:rPr>
            </w:pPr>
            <w:r>
              <w:rPr>
                <w:rFonts w:ascii="Times New Roman" w:eastAsia="Times New Roman"/>
                <w:b w:val="0"/>
                <w:bCs/>
                <w:sz w:val="24"/>
                <w:highlight w:val="none"/>
              </w:rPr>
              <w:t>E.</w:t>
            </w:r>
            <w:r>
              <w:rPr>
                <w:b w:val="0"/>
                <w:bCs/>
                <w:sz w:val="24"/>
                <w:highlight w:val="none"/>
              </w:rPr>
              <w:t xml:space="preserve">产品标准代号； </w:t>
            </w:r>
            <w:r>
              <w:rPr>
                <w:rFonts w:ascii="Times New Roman" w:eastAsia="Times New Roman"/>
                <w:b w:val="0"/>
                <w:bCs/>
                <w:sz w:val="24"/>
                <w:highlight w:val="none"/>
              </w:rPr>
              <w:t>F.</w:t>
            </w:r>
            <w:r>
              <w:rPr>
                <w:b w:val="0"/>
                <w:bCs/>
                <w:sz w:val="24"/>
                <w:highlight w:val="none"/>
              </w:rPr>
              <w:t>贮存条件；</w:t>
            </w:r>
          </w:p>
          <w:p>
            <w:pPr>
              <w:pStyle w:val="62"/>
              <w:spacing w:line="343" w:lineRule="auto"/>
              <w:ind w:left="348" w:right="1106"/>
              <w:jc w:val="both"/>
              <w:rPr>
                <w:b w:val="0"/>
                <w:bCs/>
                <w:sz w:val="24"/>
                <w:highlight w:val="none"/>
              </w:rPr>
            </w:pPr>
            <w:r>
              <w:rPr>
                <w:rFonts w:ascii="Times New Roman" w:eastAsia="Times New Roman"/>
                <w:b w:val="0"/>
                <w:bCs/>
                <w:sz w:val="24"/>
                <w:highlight w:val="none"/>
              </w:rPr>
              <w:t>G.</w:t>
            </w:r>
            <w:r>
              <w:rPr>
                <w:b w:val="0"/>
                <w:bCs/>
                <w:sz w:val="24"/>
                <w:highlight w:val="none"/>
              </w:rPr>
              <w:t xml:space="preserve">所使用的食品添加剂在国家标准中的通用名称； </w:t>
            </w:r>
            <w:r>
              <w:rPr>
                <w:rFonts w:ascii="Times New Roman" w:eastAsia="Times New Roman"/>
                <w:b w:val="0"/>
                <w:bCs/>
                <w:sz w:val="24"/>
                <w:highlight w:val="none"/>
              </w:rPr>
              <w:t>H.</w:t>
            </w:r>
            <w:r>
              <w:rPr>
                <w:b w:val="0"/>
                <w:bCs/>
                <w:sz w:val="24"/>
                <w:highlight w:val="none"/>
              </w:rPr>
              <w:t>生产许可证编号。</w:t>
            </w:r>
          </w:p>
          <w:p>
            <w:pPr>
              <w:pStyle w:val="62"/>
              <w:numPr>
                <w:ilvl w:val="0"/>
                <w:numId w:val="4"/>
              </w:numPr>
              <w:tabs>
                <w:tab w:val="left" w:pos="950"/>
              </w:tabs>
              <w:spacing w:line="306" w:lineRule="exact"/>
              <w:ind w:hanging="602"/>
              <w:jc w:val="both"/>
              <w:rPr>
                <w:b w:val="0"/>
                <w:bCs/>
                <w:sz w:val="24"/>
                <w:highlight w:val="none"/>
              </w:rPr>
            </w:pPr>
            <w:r>
              <w:rPr>
                <w:b w:val="0"/>
                <w:bCs/>
                <w:sz w:val="24"/>
                <w:highlight w:val="none"/>
              </w:rPr>
              <w:t>冷冻食品无解冻后再次冷冻情形；</w:t>
            </w:r>
          </w:p>
          <w:p>
            <w:pPr>
              <w:pStyle w:val="62"/>
              <w:numPr>
                <w:ilvl w:val="0"/>
                <w:numId w:val="4"/>
              </w:numPr>
              <w:tabs>
                <w:tab w:val="left" w:pos="950"/>
              </w:tabs>
              <w:spacing w:before="130"/>
              <w:ind w:hanging="602"/>
              <w:jc w:val="both"/>
              <w:rPr>
                <w:b w:val="0"/>
                <w:bCs/>
                <w:sz w:val="24"/>
                <w:highlight w:val="none"/>
              </w:rPr>
            </w:pPr>
            <w:r>
              <w:rPr>
                <w:b w:val="0"/>
                <w:bCs/>
                <w:sz w:val="24"/>
                <w:highlight w:val="none"/>
              </w:rPr>
              <w:t>具有正常的感官性状；</w:t>
            </w:r>
          </w:p>
          <w:p>
            <w:pPr>
              <w:pStyle w:val="62"/>
              <w:numPr>
                <w:ilvl w:val="0"/>
                <w:numId w:val="4"/>
              </w:numPr>
              <w:tabs>
                <w:tab w:val="left" w:pos="950"/>
              </w:tabs>
              <w:spacing w:before="131"/>
              <w:ind w:hanging="602"/>
              <w:jc w:val="both"/>
              <w:rPr>
                <w:b w:val="0"/>
                <w:bCs/>
                <w:sz w:val="24"/>
                <w:highlight w:val="none"/>
              </w:rPr>
            </w:pPr>
            <w:r>
              <w:rPr>
                <w:b w:val="0"/>
                <w:bCs/>
                <w:sz w:val="24"/>
                <w:highlight w:val="none"/>
              </w:rPr>
              <w:t>食品在保质期内；</w:t>
            </w:r>
          </w:p>
          <w:p>
            <w:pPr>
              <w:pStyle w:val="62"/>
              <w:spacing w:before="112"/>
              <w:ind w:left="108"/>
              <w:jc w:val="both"/>
              <w:rPr>
                <w:sz w:val="24"/>
                <w:highlight w:val="none"/>
                <w:lang w:val="zh-CN" w:eastAsia="zh-CN"/>
              </w:rPr>
            </w:pPr>
            <w:r>
              <w:rPr>
                <w:rFonts w:ascii="Times New Roman" w:eastAsia="Times New Roman"/>
                <w:b w:val="0"/>
                <w:bCs/>
                <w:sz w:val="24"/>
                <w:highlight w:val="none"/>
              </w:rPr>
              <w:t>2</w:t>
            </w:r>
            <w:r>
              <w:rPr>
                <w:b w:val="0"/>
                <w:bCs/>
                <w:sz w:val="24"/>
                <w:highlight w:val="none"/>
              </w:rPr>
              <w:t>、温度查验。查验期间，尽可能减少食品的温度变化。冷藏</w:t>
            </w:r>
            <w:r>
              <w:rPr>
                <w:sz w:val="24"/>
                <w:highlight w:val="none"/>
              </w:rPr>
              <w:t>食品表面温度与标签标识的温度要求不得超过</w:t>
            </w:r>
            <w:r>
              <w:rPr>
                <w:rFonts w:ascii="Times New Roman" w:hAnsi="Times New Roman" w:eastAsia="Times New Roman"/>
                <w:sz w:val="24"/>
                <w:highlight w:val="none"/>
              </w:rPr>
              <w:t>+3℃</w:t>
            </w:r>
            <w:r>
              <w:rPr>
                <w:sz w:val="24"/>
                <w:highlight w:val="none"/>
              </w:rPr>
              <w:t>，冷冻食品表面温度不宜高于－</w:t>
            </w:r>
            <w:r>
              <w:rPr>
                <w:rFonts w:ascii="Times New Roman" w:hAnsi="Times New Roman" w:eastAsia="Times New Roman"/>
                <w:sz w:val="24"/>
                <w:highlight w:val="none"/>
              </w:rPr>
              <w:t>9℃</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bottom w:val="single" w:color="auto" w:sz="4" w:space="0"/>
              <w:right w:val="single" w:color="auto" w:sz="4" w:space="0"/>
            </w:tcBorders>
            <w:noWrap w:val="0"/>
            <w:vAlign w:val="top"/>
          </w:tcPr>
          <w:p>
            <w:pPr>
              <w:rPr>
                <w:b w:val="0"/>
                <w:bCs/>
                <w:sz w:val="2"/>
                <w:szCs w:val="2"/>
                <w:highlight w:val="none"/>
              </w:rPr>
            </w:pPr>
          </w:p>
        </w:tc>
        <w:tc>
          <w:tcPr>
            <w:tcW w:w="1399" w:type="dxa"/>
            <w:vMerge w:val="continue"/>
            <w:tcBorders>
              <w:left w:val="single" w:color="auto" w:sz="4" w:space="0"/>
              <w:bottom w:val="single" w:color="auto" w:sz="4" w:space="0"/>
              <w:right w:val="single" w:color="auto" w:sz="4" w:space="0"/>
            </w:tcBorders>
            <w:noWrap w:val="0"/>
            <w:vAlign w:val="top"/>
          </w:tcPr>
          <w:p>
            <w:pPr>
              <w:rPr>
                <w:b w:val="0"/>
                <w:bCs/>
                <w:sz w:val="2"/>
                <w:szCs w:val="2"/>
                <w:highlight w:val="none"/>
              </w:rPr>
            </w:pPr>
          </w:p>
        </w:tc>
        <w:tc>
          <w:tcPr>
            <w:tcW w:w="7080" w:type="dxa"/>
            <w:tcBorders>
              <w:left w:val="single" w:color="auto" w:sz="4" w:space="0"/>
            </w:tcBorders>
            <w:noWrap w:val="0"/>
            <w:vAlign w:val="top"/>
          </w:tcPr>
          <w:p>
            <w:pPr>
              <w:pStyle w:val="62"/>
              <w:spacing w:before="113" w:line="343" w:lineRule="auto"/>
              <w:ind w:left="108" w:right="-29" w:firstLine="240"/>
              <w:rPr>
                <w:sz w:val="24"/>
                <w:highlight w:val="none"/>
              </w:rPr>
            </w:pPr>
            <w:r>
              <w:rPr>
                <w:spacing w:val="-6"/>
                <w:sz w:val="24"/>
                <w:highlight w:val="none"/>
              </w:rPr>
              <w:t>落实食品进货查验和记录制度，如实记录食品的名称、规格、</w:t>
            </w:r>
            <w:r>
              <w:rPr>
                <w:sz w:val="24"/>
                <w:highlight w:val="none"/>
              </w:rPr>
              <w:t>数量、生产日期或者生产批号、保质期、进货日期以及供货者名称、地址、联系方式等内容，并保存相关凭证。记录和凭证</w:t>
            </w:r>
            <w:r>
              <w:rPr>
                <w:spacing w:val="-6"/>
                <w:sz w:val="24"/>
                <w:highlight w:val="none"/>
              </w:rPr>
              <w:t>保存期限不得少于产品保质期满后六个月；没有明确保质期的，</w:t>
            </w:r>
          </w:p>
          <w:p>
            <w:pPr>
              <w:pStyle w:val="62"/>
              <w:spacing w:before="114" w:line="304" w:lineRule="exact"/>
              <w:ind w:left="348"/>
              <w:rPr>
                <w:b w:val="0"/>
                <w:bCs/>
                <w:sz w:val="24"/>
                <w:highlight w:val="none"/>
              </w:rPr>
            </w:pPr>
            <w:r>
              <w:rPr>
                <w:spacing w:val="-9"/>
                <w:sz w:val="24"/>
                <w:highlight w:val="none"/>
              </w:rPr>
              <w:t>保存期限不得少于二年。宜采用电子方式记录和保存相关内容。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top w:val="single" w:color="auto" w:sz="4" w:space="0"/>
              <w:left w:val="single" w:color="auto" w:sz="4" w:space="0"/>
              <w:right w:val="single" w:color="auto" w:sz="4" w:space="0"/>
            </w:tcBorders>
            <w:noWrap w:val="0"/>
            <w:vAlign w:val="center"/>
          </w:tcPr>
          <w:p>
            <w:pPr>
              <w:jc w:val="center"/>
              <w:rPr>
                <w:rFonts w:hint="default" w:eastAsia="宋体"/>
                <w:sz w:val="2"/>
                <w:szCs w:val="2"/>
                <w:highlight w:val="none"/>
                <w:lang w:val="en-US" w:eastAsia="zh-CN"/>
              </w:rPr>
            </w:pPr>
            <w:r>
              <w:rPr>
                <w:rFonts w:hint="eastAsia"/>
                <w:sz w:val="24"/>
                <w:szCs w:val="22"/>
                <w:highlight w:val="none"/>
                <w:lang w:val="en-US" w:eastAsia="zh-CN"/>
              </w:rPr>
              <w:t>4</w:t>
            </w:r>
          </w:p>
        </w:tc>
        <w:tc>
          <w:tcPr>
            <w:tcW w:w="1399" w:type="dxa"/>
            <w:vMerge w:val="restart"/>
            <w:tcBorders>
              <w:top w:val="single" w:color="auto" w:sz="4" w:space="0"/>
              <w:left w:val="single" w:color="auto" w:sz="4" w:space="0"/>
              <w:right w:val="single" w:color="auto" w:sz="4" w:space="0"/>
            </w:tcBorders>
            <w:noWrap w:val="0"/>
            <w:vAlign w:val="center"/>
          </w:tcPr>
          <w:p>
            <w:pPr>
              <w:jc w:val="center"/>
              <w:rPr>
                <w:sz w:val="2"/>
                <w:szCs w:val="2"/>
                <w:highlight w:val="none"/>
              </w:rPr>
            </w:pPr>
            <w:r>
              <w:rPr>
                <w:sz w:val="24"/>
                <w:highlight w:val="none"/>
              </w:rPr>
              <w:t>原料贮存管理</w:t>
            </w:r>
          </w:p>
        </w:tc>
        <w:tc>
          <w:tcPr>
            <w:tcW w:w="7080" w:type="dxa"/>
            <w:tcBorders>
              <w:left w:val="single" w:color="auto" w:sz="4" w:space="0"/>
            </w:tcBorders>
            <w:noWrap w:val="0"/>
            <w:vAlign w:val="top"/>
          </w:tcPr>
          <w:p>
            <w:pPr>
              <w:pStyle w:val="62"/>
              <w:spacing w:before="1" w:line="440" w:lineRule="exact"/>
              <w:ind w:left="108" w:leftChars="0" w:right="17" w:rightChars="0" w:firstLine="240" w:firstLineChars="0"/>
              <w:rPr>
                <w:rFonts w:ascii="宋体" w:hAnsi="宋体" w:eastAsia="宋体" w:cs="宋体"/>
                <w:sz w:val="24"/>
                <w:highlight w:val="none"/>
                <w:lang w:val="zh-CN" w:eastAsia="zh-CN" w:bidi="zh-CN"/>
              </w:rPr>
            </w:pPr>
            <w:r>
              <w:rPr>
                <w:sz w:val="24"/>
                <w:highlight w:val="none"/>
              </w:rPr>
              <w:t>分区、分架、分类、离墙（</w:t>
            </w:r>
            <w:r>
              <w:rPr>
                <w:rFonts w:ascii="Times New Roman" w:eastAsia="Times New Roman"/>
                <w:sz w:val="24"/>
                <w:highlight w:val="none"/>
              </w:rPr>
              <w:t xml:space="preserve">15 </w:t>
            </w:r>
            <w:r>
              <w:rPr>
                <w:sz w:val="24"/>
                <w:highlight w:val="none"/>
              </w:rPr>
              <w:t>厘米）、离地（</w:t>
            </w:r>
            <w:r>
              <w:rPr>
                <w:rFonts w:ascii="Times New Roman" w:eastAsia="Times New Roman"/>
                <w:sz w:val="24"/>
                <w:highlight w:val="none"/>
              </w:rPr>
              <w:t xml:space="preserve">15 </w:t>
            </w:r>
            <w:r>
              <w:rPr>
                <w:sz w:val="24"/>
                <w:highlight w:val="none"/>
              </w:rPr>
              <w:t>厘米）存放食品。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7080" w:type="dxa"/>
            <w:tcBorders>
              <w:left w:val="single" w:color="auto" w:sz="4" w:space="0"/>
            </w:tcBorders>
            <w:noWrap w:val="0"/>
            <w:vAlign w:val="top"/>
          </w:tcPr>
          <w:p>
            <w:pPr>
              <w:pStyle w:val="62"/>
              <w:spacing w:before="1" w:line="440" w:lineRule="exact"/>
              <w:ind w:left="108" w:leftChars="0" w:right="95" w:rightChars="0" w:firstLine="240" w:firstLineChars="0"/>
              <w:rPr>
                <w:rFonts w:ascii="宋体" w:hAnsi="宋体" w:eastAsia="宋体" w:cs="宋体"/>
                <w:sz w:val="24"/>
                <w:highlight w:val="none"/>
                <w:lang w:val="zh-CN" w:eastAsia="zh-CN" w:bidi="zh-CN"/>
              </w:rPr>
            </w:pPr>
            <w:r>
              <w:rPr>
                <w:spacing w:val="-2"/>
                <w:sz w:val="24"/>
                <w:highlight w:val="none"/>
              </w:rPr>
              <w:t>有明确保存条件和保质期的，按照保存条件和保质期贮存</w:t>
            </w:r>
            <w:r>
              <w:rPr>
                <w:rFonts w:ascii="Times New Roman" w:eastAsia="Times New Roman"/>
                <w:sz w:val="24"/>
                <w:highlight w:val="none"/>
              </w:rPr>
              <w:t>;</w:t>
            </w:r>
            <w:r>
              <w:rPr>
                <w:spacing w:val="-17"/>
                <w:sz w:val="24"/>
                <w:highlight w:val="none"/>
              </w:rPr>
              <w:t>保</w:t>
            </w:r>
            <w:r>
              <w:rPr>
                <w:spacing w:val="-1"/>
                <w:sz w:val="24"/>
                <w:highlight w:val="none"/>
              </w:rPr>
              <w:t>存条件、保质期不明确的及开封后的，根据食品品种、加工制</w:t>
            </w:r>
            <w:r>
              <w:rPr>
                <w:sz w:val="24"/>
                <w:highlight w:val="none"/>
              </w:rPr>
              <w:t>作方式、包装形式等针对性的确定适宜的保存条件。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7080" w:type="dxa"/>
            <w:tcBorders>
              <w:left w:val="single" w:color="auto" w:sz="4" w:space="0"/>
            </w:tcBorders>
            <w:noWrap w:val="0"/>
            <w:vAlign w:val="top"/>
          </w:tcPr>
          <w:p>
            <w:pPr>
              <w:pStyle w:val="62"/>
              <w:spacing w:before="111" w:line="343" w:lineRule="auto"/>
              <w:ind w:left="108" w:right="95" w:firstLine="240"/>
              <w:rPr>
                <w:sz w:val="24"/>
                <w:highlight w:val="none"/>
              </w:rPr>
            </w:pPr>
            <w:r>
              <w:rPr>
                <w:sz w:val="24"/>
                <w:highlight w:val="none"/>
              </w:rPr>
              <w:t>在散装食品（食用农产品除外）贮存位置，应标明食品的名称、生产日期或者生产批号、使用期限等内容，使用密闭容器</w:t>
            </w:r>
          </w:p>
          <w:p>
            <w:pPr>
              <w:pStyle w:val="62"/>
              <w:spacing w:before="1" w:line="306" w:lineRule="exact"/>
              <w:ind w:left="108" w:leftChars="0"/>
              <w:rPr>
                <w:rFonts w:ascii="宋体" w:hAnsi="宋体" w:eastAsia="宋体" w:cs="宋体"/>
                <w:sz w:val="24"/>
                <w:highlight w:val="none"/>
                <w:lang w:val="zh-CN" w:eastAsia="zh-CN" w:bidi="zh-CN"/>
              </w:rPr>
            </w:pPr>
            <w:r>
              <w:rPr>
                <w:sz w:val="24"/>
                <w:highlight w:val="none"/>
              </w:rPr>
              <w:t>贮存。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7080" w:type="dxa"/>
            <w:tcBorders>
              <w:left w:val="single" w:color="auto" w:sz="4" w:space="0"/>
            </w:tcBorders>
            <w:noWrap w:val="0"/>
            <w:vAlign w:val="top"/>
          </w:tcPr>
          <w:p>
            <w:pPr>
              <w:pStyle w:val="62"/>
              <w:spacing w:before="113" w:line="343" w:lineRule="auto"/>
              <w:ind w:left="108" w:right="-29" w:firstLine="240"/>
              <w:rPr>
                <w:sz w:val="24"/>
                <w:highlight w:val="none"/>
              </w:rPr>
            </w:pPr>
            <w:r>
              <w:rPr>
                <w:spacing w:val="-8"/>
                <w:sz w:val="24"/>
                <w:highlight w:val="none"/>
              </w:rPr>
              <w:t>冷冻贮存食品前，宜分割食品，避免使用时反复解冻、冷冻。</w:t>
            </w:r>
            <w:r>
              <w:rPr>
                <w:sz w:val="24"/>
                <w:highlight w:val="none"/>
              </w:rPr>
              <w:t>冷冻（藏）贮存食品时，不宜堆积、挤压食品。冷藏环境温度</w:t>
            </w:r>
          </w:p>
          <w:p>
            <w:pPr>
              <w:pStyle w:val="62"/>
              <w:spacing w:before="1" w:line="306" w:lineRule="exact"/>
              <w:ind w:left="108" w:leftChars="0"/>
              <w:rPr>
                <w:rFonts w:ascii="宋体" w:hAnsi="宋体" w:eastAsia="宋体" w:cs="宋体"/>
                <w:sz w:val="24"/>
                <w:highlight w:val="none"/>
                <w:lang w:val="zh-CN" w:eastAsia="zh-CN" w:bidi="zh-CN"/>
              </w:rPr>
            </w:pPr>
            <w:r>
              <w:rPr>
                <w:sz w:val="24"/>
                <w:highlight w:val="none"/>
              </w:rPr>
              <w:t xml:space="preserve">的范围应在 </w:t>
            </w:r>
            <w:r>
              <w:rPr>
                <w:rFonts w:ascii="Times New Roman" w:hAnsi="Times New Roman" w:eastAsia="Times New Roman"/>
                <w:sz w:val="24"/>
                <w:highlight w:val="none"/>
              </w:rPr>
              <w:t>0℃</w:t>
            </w:r>
            <w:r>
              <w:rPr>
                <w:sz w:val="24"/>
                <w:highlight w:val="none"/>
              </w:rPr>
              <w:t>～</w:t>
            </w:r>
            <w:r>
              <w:rPr>
                <w:rFonts w:ascii="Times New Roman" w:hAnsi="Times New Roman" w:eastAsia="Times New Roman"/>
                <w:sz w:val="24"/>
                <w:highlight w:val="none"/>
              </w:rPr>
              <w:t>8℃</w:t>
            </w:r>
            <w:r>
              <w:rPr>
                <w:sz w:val="24"/>
                <w:highlight w:val="none"/>
              </w:rPr>
              <w:t>。冷冻温度的范围宜低于－</w:t>
            </w:r>
            <w:r>
              <w:rPr>
                <w:rFonts w:ascii="Times New Roman" w:hAnsi="Times New Roman" w:eastAsia="Times New Roman"/>
                <w:sz w:val="24"/>
                <w:highlight w:val="none"/>
              </w:rPr>
              <w:t>12℃</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7080" w:type="dxa"/>
            <w:tcBorders>
              <w:left w:val="single" w:color="auto" w:sz="4" w:space="0"/>
            </w:tcBorders>
            <w:noWrap w:val="0"/>
            <w:vAlign w:val="top"/>
          </w:tcPr>
          <w:p>
            <w:pPr>
              <w:pStyle w:val="62"/>
              <w:spacing w:before="71" w:line="440" w:lineRule="atLeast"/>
              <w:ind w:left="108" w:leftChars="0" w:right="-29" w:rightChars="0" w:firstLine="240" w:firstLineChars="0"/>
              <w:rPr>
                <w:rFonts w:ascii="宋体" w:hAnsi="宋体" w:eastAsia="宋体" w:cs="宋体"/>
                <w:sz w:val="24"/>
                <w:highlight w:val="none"/>
                <w:lang w:val="zh-CN" w:eastAsia="zh-CN" w:bidi="zh-CN"/>
              </w:rPr>
            </w:pPr>
            <w:r>
              <w:rPr>
                <w:sz w:val="24"/>
                <w:highlight w:val="none"/>
              </w:rPr>
              <w:t>定期检查食品库房或食品贮存区域、固定设施设备背面及其</w:t>
            </w:r>
            <w:r>
              <w:rPr>
                <w:spacing w:val="-9"/>
                <w:sz w:val="24"/>
                <w:highlight w:val="none"/>
              </w:rPr>
              <w:t xml:space="preserve">他阴暗、潮湿区域是否存在有害生物活动迹象。发现有害生物， </w:t>
            </w:r>
            <w:r>
              <w:rPr>
                <w:sz w:val="24"/>
                <w:highlight w:val="none"/>
              </w:rPr>
              <w:t>应尽快将其杀灭，并查找和消除其来源途径。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7080" w:type="dxa"/>
            <w:tcBorders>
              <w:left w:val="single" w:color="auto" w:sz="4" w:space="0"/>
            </w:tcBorders>
            <w:noWrap w:val="0"/>
            <w:vAlign w:val="top"/>
          </w:tcPr>
          <w:p>
            <w:pPr>
              <w:pStyle w:val="62"/>
              <w:spacing w:before="99" w:line="440" w:lineRule="atLeast"/>
              <w:ind w:left="108" w:leftChars="0" w:right="-29" w:rightChars="0" w:firstLine="240" w:firstLineChars="0"/>
              <w:rPr>
                <w:rFonts w:ascii="宋体" w:hAnsi="宋体" w:eastAsia="宋体" w:cs="宋体"/>
                <w:sz w:val="24"/>
                <w:highlight w:val="none"/>
                <w:lang w:val="zh-CN" w:eastAsia="zh-CN" w:bidi="zh-CN"/>
              </w:rPr>
            </w:pPr>
            <w:r>
              <w:rPr>
                <w:spacing w:val="-9"/>
                <w:sz w:val="24"/>
                <w:highlight w:val="none"/>
              </w:rPr>
              <w:t>遵循先进、先出、先用的原则，使用食品原料、食品添加剂、</w:t>
            </w:r>
            <w:r>
              <w:rPr>
                <w:sz w:val="24"/>
                <w:highlight w:val="none"/>
              </w:rPr>
              <w:t>食品相关产品。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highlight w:val="none"/>
              </w:rPr>
            </w:pPr>
          </w:p>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line="343" w:lineRule="auto"/>
              <w:ind w:left="108" w:right="95" w:firstLine="240"/>
              <w:rPr>
                <w:rFonts w:ascii="宋体" w:hAnsi="宋体" w:eastAsia="宋体" w:cs="宋体"/>
                <w:sz w:val="24"/>
                <w:highlight w:val="none"/>
                <w:lang w:val="zh-CN" w:eastAsia="zh-CN" w:bidi="zh-CN"/>
              </w:rPr>
            </w:pPr>
            <w:r>
              <w:rPr>
                <w:sz w:val="24"/>
                <w:highlight w:val="none"/>
              </w:rPr>
              <w:t>及时清理腐败变质等感官性状异常、超过保质期等的食品原料、食品添加剂、食品相关产品。对变质、超过保质期或者回收的食品进行显著标示或者单独存放在有明确标志的场所，及时采取无害化处理、销毁等措施并如实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8"/>
              <w:jc w:val="center"/>
              <w:rPr>
                <w:highlight w:val="none"/>
              </w:rPr>
            </w:pPr>
            <w:r>
              <w:rPr>
                <w:rFonts w:ascii="Times New Roman"/>
                <w:sz w:val="24"/>
                <w:highlight w:val="none"/>
              </w:rPr>
              <w:t>5</w:t>
            </w:r>
          </w:p>
        </w:tc>
        <w:tc>
          <w:tcPr>
            <w:tcW w:w="1399" w:type="dxa"/>
            <w:vMerge w:val="restart"/>
            <w:tcBorders>
              <w:left w:val="single" w:color="auto" w:sz="4" w:space="0"/>
              <w:right w:val="single" w:color="auto" w:sz="4" w:space="0"/>
            </w:tcBorders>
            <w:noWrap w:val="0"/>
            <w:vAlign w:val="center"/>
          </w:tcPr>
          <w:p>
            <w:pPr>
              <w:jc w:val="center"/>
              <w:rPr>
                <w:sz w:val="2"/>
                <w:szCs w:val="2"/>
                <w:highlight w:val="none"/>
              </w:rPr>
            </w:pPr>
            <w:r>
              <w:rPr>
                <w:sz w:val="24"/>
                <w:highlight w:val="none"/>
              </w:rPr>
              <w:t>加工制作基本要求</w:t>
            </w:r>
          </w:p>
        </w:tc>
        <w:tc>
          <w:tcPr>
            <w:tcW w:w="0" w:type="auto"/>
            <w:noWrap w:val="0"/>
            <w:vAlign w:val="top"/>
          </w:tcPr>
          <w:p>
            <w:pPr>
              <w:pStyle w:val="62"/>
              <w:spacing w:before="1"/>
              <w:ind w:left="108" w:leftChars="0"/>
              <w:rPr>
                <w:sz w:val="24"/>
                <w:highlight w:val="none"/>
              </w:rPr>
            </w:pPr>
            <w:r>
              <w:rPr>
                <w:sz w:val="24"/>
                <w:highlight w:val="none"/>
              </w:rPr>
              <w:t>严禁加工制作国家法律法规明令禁止的食品及原料。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4"/>
              <w:ind w:left="348"/>
              <w:rPr>
                <w:sz w:val="24"/>
                <w:highlight w:val="none"/>
              </w:rPr>
            </w:pPr>
            <w:r>
              <w:rPr>
                <w:sz w:val="24"/>
                <w:highlight w:val="none"/>
              </w:rPr>
              <w:t>加工制作食品过程中，采取下列措施，避免食品交叉污染：</w:t>
            </w:r>
          </w:p>
          <w:p>
            <w:pPr>
              <w:pStyle w:val="62"/>
              <w:spacing w:before="112" w:line="345" w:lineRule="auto"/>
              <w:ind w:left="108" w:right="95"/>
              <w:rPr>
                <w:sz w:val="24"/>
                <w:highlight w:val="none"/>
              </w:rPr>
            </w:pPr>
            <w:r>
              <w:rPr>
                <w:rFonts w:ascii="Times New Roman" w:eastAsia="Times New Roman"/>
                <w:sz w:val="24"/>
                <w:highlight w:val="none"/>
              </w:rPr>
              <w:t>1</w:t>
            </w:r>
            <w:r>
              <w:rPr>
                <w:spacing w:val="-8"/>
                <w:sz w:val="24"/>
                <w:highlight w:val="none"/>
              </w:rPr>
              <w:t>、不同类型的食品原料、不同存在形式的食品</w:t>
            </w:r>
            <w:r>
              <w:rPr>
                <w:sz w:val="24"/>
                <w:highlight w:val="none"/>
              </w:rPr>
              <w:t>（</w:t>
            </w:r>
            <w:r>
              <w:rPr>
                <w:spacing w:val="-5"/>
                <w:sz w:val="24"/>
                <w:highlight w:val="none"/>
              </w:rPr>
              <w:t>原料、半成</w:t>
            </w:r>
            <w:r>
              <w:rPr>
                <w:sz w:val="24"/>
                <w:highlight w:val="none"/>
              </w:rPr>
              <w:t>品、成品，下同）分开存放，其盛放容器和加工制作工具分类管理、分开使用，定位存放；</w:t>
            </w:r>
          </w:p>
          <w:p>
            <w:pPr>
              <w:pStyle w:val="62"/>
              <w:spacing w:line="343" w:lineRule="auto"/>
              <w:ind w:left="108" w:right="95" w:firstLine="240"/>
              <w:rPr>
                <w:sz w:val="24"/>
                <w:highlight w:val="none"/>
              </w:rPr>
            </w:pPr>
            <w:r>
              <w:rPr>
                <w:rFonts w:ascii="Times New Roman" w:eastAsia="Times New Roman"/>
                <w:sz w:val="24"/>
                <w:highlight w:val="none"/>
              </w:rPr>
              <w:t>2</w:t>
            </w:r>
            <w:r>
              <w:rPr>
                <w:spacing w:val="-10"/>
                <w:sz w:val="24"/>
                <w:highlight w:val="none"/>
              </w:rPr>
              <w:t>、接触食品的容器和工具不得直接放置在地面上或者接触不</w:t>
            </w:r>
            <w:r>
              <w:rPr>
                <w:sz w:val="24"/>
                <w:highlight w:val="none"/>
              </w:rPr>
              <w:t>洁物；</w:t>
            </w:r>
          </w:p>
          <w:p>
            <w:pPr>
              <w:pStyle w:val="62"/>
              <w:ind w:left="348"/>
              <w:rPr>
                <w:sz w:val="24"/>
                <w:highlight w:val="none"/>
              </w:rPr>
            </w:pPr>
            <w:r>
              <w:rPr>
                <w:rFonts w:ascii="Times New Roman" w:eastAsia="Times New Roman"/>
                <w:sz w:val="24"/>
                <w:highlight w:val="none"/>
              </w:rPr>
              <w:t>3</w:t>
            </w:r>
            <w:r>
              <w:rPr>
                <w:sz w:val="24"/>
                <w:highlight w:val="none"/>
              </w:rPr>
              <w:t>、食品处理区内不得从事可能污染食品的活动；</w:t>
            </w:r>
          </w:p>
          <w:p>
            <w:pPr>
              <w:pStyle w:val="62"/>
              <w:spacing w:before="1"/>
              <w:ind w:left="108" w:leftChars="0"/>
              <w:rPr>
                <w:sz w:val="24"/>
                <w:highlight w:val="none"/>
              </w:rPr>
            </w:pPr>
            <w:r>
              <w:rPr>
                <w:rFonts w:ascii="Times New Roman" w:eastAsia="Times New Roman"/>
                <w:sz w:val="24"/>
                <w:highlight w:val="none"/>
              </w:rPr>
              <w:t>4</w:t>
            </w:r>
            <w:r>
              <w:rPr>
                <w:sz w:val="24"/>
                <w:highlight w:val="none"/>
              </w:rPr>
              <w:t>、不得在辅助区（如更衣区等）内加工制作食品、清洗消毒餐饮具。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4"/>
              <w:ind w:left="348"/>
              <w:rPr>
                <w:sz w:val="24"/>
                <w:highlight w:val="none"/>
              </w:rPr>
            </w:pPr>
            <w:r>
              <w:rPr>
                <w:sz w:val="24"/>
                <w:highlight w:val="none"/>
              </w:rPr>
              <w:t>加工制作食品过程中，不得存在下列行为：</w:t>
            </w:r>
          </w:p>
          <w:p>
            <w:pPr>
              <w:pStyle w:val="62"/>
              <w:spacing w:before="131"/>
              <w:ind w:left="348"/>
              <w:rPr>
                <w:sz w:val="24"/>
                <w:highlight w:val="none"/>
              </w:rPr>
            </w:pPr>
            <w:r>
              <w:rPr>
                <w:rFonts w:ascii="Times New Roman" w:eastAsia="Times New Roman"/>
                <w:sz w:val="24"/>
                <w:highlight w:val="none"/>
              </w:rPr>
              <w:t>1</w:t>
            </w:r>
            <w:r>
              <w:rPr>
                <w:sz w:val="24"/>
                <w:highlight w:val="none"/>
              </w:rPr>
              <w:t>、使用非食品原料加工制作食品；</w:t>
            </w:r>
          </w:p>
          <w:p>
            <w:pPr>
              <w:pStyle w:val="62"/>
              <w:spacing w:before="132" w:line="345" w:lineRule="auto"/>
              <w:ind w:left="108" w:right="95" w:firstLine="240"/>
              <w:rPr>
                <w:sz w:val="24"/>
                <w:highlight w:val="none"/>
              </w:rPr>
            </w:pPr>
            <w:r>
              <w:rPr>
                <w:rFonts w:ascii="Times New Roman" w:eastAsia="Times New Roman"/>
                <w:sz w:val="24"/>
                <w:highlight w:val="none"/>
              </w:rPr>
              <w:t>2</w:t>
            </w:r>
            <w:r>
              <w:rPr>
                <w:spacing w:val="-10"/>
                <w:sz w:val="24"/>
                <w:highlight w:val="none"/>
              </w:rPr>
              <w:t>、在食品中添加食品添加剂以外的化学物质和其他可能危害</w:t>
            </w:r>
            <w:r>
              <w:rPr>
                <w:sz w:val="24"/>
                <w:highlight w:val="none"/>
              </w:rPr>
              <w:t>人体健康的物质；</w:t>
            </w:r>
          </w:p>
          <w:p>
            <w:pPr>
              <w:pStyle w:val="62"/>
              <w:spacing w:line="303" w:lineRule="exact"/>
              <w:ind w:left="348"/>
              <w:rPr>
                <w:sz w:val="24"/>
                <w:highlight w:val="none"/>
              </w:rPr>
            </w:pPr>
            <w:r>
              <w:rPr>
                <w:rFonts w:ascii="Times New Roman" w:eastAsia="Times New Roman"/>
                <w:sz w:val="24"/>
                <w:highlight w:val="none"/>
              </w:rPr>
              <w:t>3</w:t>
            </w:r>
            <w:r>
              <w:rPr>
                <w:sz w:val="24"/>
                <w:highlight w:val="none"/>
              </w:rPr>
              <w:t>、使用回收食品作为原料，再次加工制作食品；</w:t>
            </w:r>
          </w:p>
          <w:p>
            <w:pPr>
              <w:pStyle w:val="62"/>
              <w:spacing w:before="132"/>
              <w:ind w:left="348"/>
              <w:rPr>
                <w:sz w:val="24"/>
                <w:highlight w:val="none"/>
              </w:rPr>
            </w:pPr>
            <w:r>
              <w:rPr>
                <w:rFonts w:ascii="Times New Roman" w:eastAsia="Times New Roman"/>
                <w:sz w:val="24"/>
                <w:highlight w:val="none"/>
              </w:rPr>
              <w:t>4</w:t>
            </w:r>
            <w:r>
              <w:rPr>
                <w:sz w:val="24"/>
                <w:highlight w:val="none"/>
              </w:rPr>
              <w:t>、使用超过保质期的食品、食品添加剂；</w:t>
            </w:r>
          </w:p>
          <w:p>
            <w:pPr>
              <w:pStyle w:val="62"/>
              <w:spacing w:before="134"/>
              <w:ind w:left="348"/>
              <w:rPr>
                <w:sz w:val="24"/>
                <w:highlight w:val="none"/>
              </w:rPr>
            </w:pPr>
            <w:r>
              <w:rPr>
                <w:rFonts w:ascii="Times New Roman" w:eastAsia="Times New Roman"/>
                <w:sz w:val="24"/>
                <w:highlight w:val="none"/>
              </w:rPr>
              <w:t>5</w:t>
            </w:r>
            <w:r>
              <w:rPr>
                <w:sz w:val="24"/>
                <w:highlight w:val="none"/>
              </w:rPr>
              <w:t>、超范围、超限量使用食品添加剂；</w:t>
            </w:r>
          </w:p>
          <w:p>
            <w:pPr>
              <w:pStyle w:val="62"/>
              <w:spacing w:before="131" w:line="343" w:lineRule="auto"/>
              <w:ind w:left="108" w:right="93" w:firstLine="240"/>
              <w:rPr>
                <w:sz w:val="24"/>
                <w:highlight w:val="none"/>
              </w:rPr>
            </w:pPr>
            <w:r>
              <w:rPr>
                <w:rFonts w:ascii="Times New Roman" w:eastAsia="Times New Roman"/>
                <w:sz w:val="24"/>
                <w:highlight w:val="none"/>
              </w:rPr>
              <w:t>6</w:t>
            </w:r>
            <w:r>
              <w:rPr>
                <w:spacing w:val="-10"/>
                <w:sz w:val="24"/>
                <w:highlight w:val="none"/>
              </w:rPr>
              <w:t>、使用腐败变质、油脂酸败、霉变生虫、污秽不洁、混有异</w:t>
            </w:r>
            <w:r>
              <w:rPr>
                <w:sz w:val="24"/>
                <w:highlight w:val="none"/>
              </w:rPr>
              <w:t>物、掺假掺杂或者感官性状异常的食品、食品添加剂；</w:t>
            </w:r>
          </w:p>
          <w:p>
            <w:pPr>
              <w:pStyle w:val="62"/>
              <w:spacing w:before="2" w:line="343" w:lineRule="auto"/>
              <w:ind w:left="108" w:right="93" w:firstLine="240"/>
              <w:rPr>
                <w:sz w:val="24"/>
                <w:highlight w:val="none"/>
              </w:rPr>
            </w:pPr>
            <w:r>
              <w:rPr>
                <w:rFonts w:ascii="Times New Roman" w:eastAsia="Times New Roman"/>
                <w:sz w:val="24"/>
                <w:highlight w:val="none"/>
              </w:rPr>
              <w:t>7</w:t>
            </w:r>
            <w:r>
              <w:rPr>
                <w:spacing w:val="-11"/>
                <w:sz w:val="24"/>
                <w:highlight w:val="none"/>
              </w:rPr>
              <w:t>、使用被包装材料、容器、运输工具等污染的食品、食品添</w:t>
            </w:r>
            <w:r>
              <w:rPr>
                <w:sz w:val="24"/>
                <w:highlight w:val="none"/>
              </w:rPr>
              <w:t>加剂；</w:t>
            </w:r>
          </w:p>
          <w:p>
            <w:pPr>
              <w:pStyle w:val="62"/>
              <w:spacing w:line="306" w:lineRule="exact"/>
              <w:ind w:left="348"/>
              <w:rPr>
                <w:sz w:val="24"/>
                <w:highlight w:val="none"/>
              </w:rPr>
            </w:pPr>
            <w:r>
              <w:rPr>
                <w:rFonts w:ascii="Times New Roman" w:eastAsia="Times New Roman"/>
                <w:sz w:val="24"/>
                <w:highlight w:val="none"/>
              </w:rPr>
              <w:t>8</w:t>
            </w:r>
            <w:r>
              <w:rPr>
                <w:sz w:val="24"/>
                <w:highlight w:val="none"/>
              </w:rPr>
              <w:t>、使用无标签的预包装食品、食品添加剂；</w:t>
            </w:r>
          </w:p>
          <w:p>
            <w:pPr>
              <w:pStyle w:val="62"/>
              <w:spacing w:before="134" w:line="343" w:lineRule="auto"/>
              <w:ind w:left="108" w:right="18" w:firstLine="240"/>
              <w:rPr>
                <w:sz w:val="24"/>
                <w:highlight w:val="none"/>
              </w:rPr>
            </w:pPr>
            <w:r>
              <w:rPr>
                <w:rFonts w:ascii="Times New Roman" w:eastAsia="Times New Roman"/>
                <w:sz w:val="24"/>
                <w:highlight w:val="none"/>
              </w:rPr>
              <w:t>9</w:t>
            </w:r>
            <w:r>
              <w:rPr>
                <w:sz w:val="24"/>
                <w:highlight w:val="none"/>
              </w:rPr>
              <w:t>、使用国家为防病等特殊需要明令禁止经营的食品（如织纹螺等）；</w:t>
            </w:r>
          </w:p>
          <w:p>
            <w:pPr>
              <w:pStyle w:val="62"/>
              <w:spacing w:line="306" w:lineRule="exact"/>
              <w:ind w:left="348"/>
              <w:rPr>
                <w:sz w:val="24"/>
                <w:highlight w:val="none"/>
              </w:rPr>
            </w:pPr>
            <w:r>
              <w:rPr>
                <w:rFonts w:ascii="Times New Roman" w:eastAsia="Times New Roman"/>
                <w:sz w:val="24"/>
                <w:highlight w:val="none"/>
              </w:rPr>
              <w:t>10</w:t>
            </w:r>
            <w:r>
              <w:rPr>
                <w:sz w:val="24"/>
                <w:highlight w:val="none"/>
              </w:rPr>
              <w:t>、在食品中添加药品（按照传统既是食品又是中药材的物</w:t>
            </w:r>
          </w:p>
          <w:p>
            <w:pPr>
              <w:pStyle w:val="62"/>
              <w:spacing w:before="1"/>
              <w:ind w:left="108" w:leftChars="0"/>
              <w:rPr>
                <w:sz w:val="24"/>
                <w:highlight w:val="none"/>
              </w:rPr>
            </w:pPr>
            <w:r>
              <w:rPr>
                <w:sz w:val="24"/>
                <w:highlight w:val="none"/>
              </w:rPr>
              <w:t>质除外）。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
              <w:ind w:left="108" w:leftChars="0"/>
              <w:rPr>
                <w:sz w:val="24"/>
                <w:highlight w:val="none"/>
              </w:rPr>
            </w:pPr>
            <w:r>
              <w:rPr>
                <w:sz w:val="24"/>
                <w:highlight w:val="none"/>
              </w:rPr>
              <w:t>冷食类食品、果蔬拼盘加工制作应在专间内进行。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37"/>
                <w:highlight w:val="none"/>
              </w:rPr>
            </w:pPr>
          </w:p>
          <w:p>
            <w:pPr>
              <w:pStyle w:val="62"/>
              <w:ind w:left="9" w:leftChars="0"/>
              <w:jc w:val="center"/>
              <w:rPr>
                <w:rFonts w:ascii="Times New Roman" w:hAnsi="宋体" w:eastAsia="宋体" w:cs="宋体"/>
                <w:sz w:val="24"/>
                <w:highlight w:val="none"/>
                <w:lang w:val="zh-CN" w:eastAsia="zh-CN" w:bidi="zh-CN"/>
              </w:rPr>
            </w:pPr>
            <w:r>
              <w:rPr>
                <w:rFonts w:ascii="Times New Roman"/>
                <w:sz w:val="24"/>
                <w:highlight w:val="none"/>
              </w:rPr>
              <w:t>6</w:t>
            </w:r>
          </w:p>
        </w:tc>
        <w:tc>
          <w:tcPr>
            <w:tcW w:w="1399" w:type="dxa"/>
            <w:vMerge w:val="restart"/>
            <w:tcBorders>
              <w:left w:val="single" w:color="auto" w:sz="4" w:space="0"/>
              <w:right w:val="single" w:color="auto" w:sz="4" w:space="0"/>
            </w:tcBorders>
            <w:noWrap w:val="0"/>
            <w:vAlign w:val="top"/>
          </w:tcPr>
          <w:p>
            <w:pPr>
              <w:pStyle w:val="62"/>
              <w:rPr>
                <w:b/>
                <w:sz w:val="24"/>
                <w:highlight w:val="none"/>
              </w:rPr>
            </w:pPr>
          </w:p>
          <w:p>
            <w:pPr>
              <w:pStyle w:val="62"/>
              <w:rPr>
                <w:b/>
                <w:sz w:val="24"/>
                <w:highlight w:val="none"/>
              </w:rPr>
            </w:pPr>
          </w:p>
          <w:p>
            <w:pPr>
              <w:pStyle w:val="62"/>
              <w:spacing w:before="6"/>
              <w:rPr>
                <w:b/>
                <w:sz w:val="31"/>
                <w:highlight w:val="none"/>
              </w:rPr>
            </w:pPr>
          </w:p>
          <w:p>
            <w:pPr>
              <w:pStyle w:val="62"/>
              <w:spacing w:line="343" w:lineRule="auto"/>
              <w:ind w:left="218" w:leftChars="0" w:right="208" w:rightChars="0"/>
              <w:jc w:val="center"/>
              <w:rPr>
                <w:rFonts w:ascii="宋体" w:hAnsi="宋体" w:eastAsia="宋体" w:cs="宋体"/>
                <w:sz w:val="24"/>
                <w:highlight w:val="none"/>
                <w:lang w:val="zh-CN" w:eastAsia="zh-CN" w:bidi="zh-CN"/>
              </w:rPr>
            </w:pPr>
            <w:r>
              <w:rPr>
                <w:sz w:val="24"/>
                <w:highlight w:val="none"/>
              </w:rPr>
              <w:t>粗加工制作与切配管理</w:t>
            </w:r>
          </w:p>
        </w:tc>
        <w:tc>
          <w:tcPr>
            <w:tcW w:w="0" w:type="auto"/>
            <w:noWrap w:val="0"/>
            <w:vAlign w:val="top"/>
          </w:tcPr>
          <w:p>
            <w:pPr>
              <w:pStyle w:val="62"/>
              <w:spacing w:before="1" w:line="440" w:lineRule="exact"/>
              <w:ind w:left="108" w:leftChars="0" w:right="95" w:rightChars="0" w:firstLine="240" w:firstLineChars="0"/>
              <w:rPr>
                <w:rFonts w:ascii="宋体" w:hAnsi="宋体" w:eastAsia="宋体" w:cs="宋体"/>
                <w:sz w:val="24"/>
                <w:highlight w:val="none"/>
                <w:lang w:val="zh-CN" w:eastAsia="zh-CN" w:bidi="zh-CN"/>
              </w:rPr>
            </w:pPr>
            <w:r>
              <w:rPr>
                <w:sz w:val="24"/>
                <w:highlight w:val="none"/>
              </w:rPr>
              <w:t>冷冻（藏）食品出库后，应及时加工制作，不得反复解冻、冷冻。解冻时合理防护，避免受到污染。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5" w:line="440" w:lineRule="exact"/>
              <w:ind w:left="108" w:leftChars="0" w:right="95" w:rightChars="0" w:firstLine="240" w:firstLineChars="0"/>
              <w:rPr>
                <w:rFonts w:ascii="宋体" w:hAnsi="宋体" w:eastAsia="宋体" w:cs="宋体"/>
                <w:sz w:val="24"/>
                <w:highlight w:val="none"/>
                <w:lang w:val="zh-CN" w:eastAsia="zh-CN" w:bidi="zh-CN"/>
              </w:rPr>
            </w:pPr>
            <w:r>
              <w:rPr>
                <w:sz w:val="24"/>
                <w:highlight w:val="none"/>
              </w:rPr>
              <w:t xml:space="preserve">应缩短解冻后的高危易腐食品原料在常温下的存放时间，食品原料的表面温度不宜超过 </w:t>
            </w:r>
            <w:r>
              <w:rPr>
                <w:rFonts w:ascii="Times New Roman" w:hAnsi="Times New Roman" w:eastAsia="Times New Roman"/>
                <w:sz w:val="24"/>
                <w:highlight w:val="none"/>
              </w:rPr>
              <w:t>8℃</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3" w:line="343" w:lineRule="auto"/>
              <w:ind w:left="108" w:right="95" w:firstLine="240"/>
              <w:rPr>
                <w:sz w:val="24"/>
                <w:highlight w:val="none"/>
              </w:rPr>
            </w:pPr>
            <w:r>
              <w:rPr>
                <w:sz w:val="24"/>
                <w:highlight w:val="none"/>
              </w:rPr>
              <w:t>食品原料应洗净后使用。盛放或加工制作不同类型食品原料的工具和容器应分开使用。盛放或加工制作畜肉类原料、禽肉</w:t>
            </w:r>
          </w:p>
          <w:p>
            <w:pPr>
              <w:pStyle w:val="62"/>
              <w:spacing w:before="1" w:line="304" w:lineRule="exact"/>
              <w:ind w:left="108" w:leftChars="0"/>
              <w:rPr>
                <w:rFonts w:ascii="宋体" w:hAnsi="宋体" w:eastAsia="宋体" w:cs="宋体"/>
                <w:sz w:val="24"/>
                <w:highlight w:val="none"/>
                <w:lang w:val="zh-CN" w:eastAsia="zh-CN" w:bidi="zh-CN"/>
              </w:rPr>
            </w:pPr>
            <w:r>
              <w:rPr>
                <w:sz w:val="24"/>
                <w:highlight w:val="none"/>
              </w:rPr>
              <w:t>类原料及蛋类原料的工具和容器宜分开使用。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ind w:left="348"/>
              <w:rPr>
                <w:sz w:val="24"/>
                <w:highlight w:val="none"/>
              </w:rPr>
            </w:pPr>
            <w:r>
              <w:rPr>
                <w:sz w:val="24"/>
                <w:highlight w:val="none"/>
              </w:rPr>
              <w:t>使用禽蛋前，应清洗禽蛋的外壳，必要时消毒外壳。破蛋后</w:t>
            </w:r>
          </w:p>
          <w:p>
            <w:pPr>
              <w:pStyle w:val="62"/>
              <w:spacing w:before="134" w:line="306" w:lineRule="exact"/>
              <w:ind w:left="108" w:leftChars="0"/>
              <w:rPr>
                <w:rFonts w:ascii="宋体" w:hAnsi="宋体" w:eastAsia="宋体" w:cs="宋体"/>
                <w:sz w:val="24"/>
                <w:highlight w:val="none"/>
                <w:lang w:val="zh-CN" w:eastAsia="zh-CN" w:bidi="zh-CN"/>
              </w:rPr>
            </w:pPr>
            <w:r>
              <w:rPr>
                <w:sz w:val="24"/>
                <w:highlight w:val="none"/>
              </w:rPr>
              <w:t>应单独存放在暂存容器内，确认禽蛋未变质后再合并存放。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34"/>
              <w:ind w:left="348" w:leftChars="0"/>
              <w:rPr>
                <w:rFonts w:ascii="宋体" w:hAnsi="宋体" w:eastAsia="宋体" w:cs="宋体"/>
                <w:sz w:val="24"/>
                <w:highlight w:val="none"/>
                <w:lang w:val="zh-CN" w:eastAsia="zh-CN" w:bidi="zh-CN"/>
              </w:rPr>
            </w:pPr>
            <w:r>
              <w:rPr>
                <w:sz w:val="24"/>
                <w:highlight w:val="none"/>
              </w:rPr>
              <w:t>应及时使用或冷冻（藏）贮存切配好的半成品。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19"/>
                <w:highlight w:val="none"/>
              </w:rPr>
            </w:pPr>
          </w:p>
          <w:p>
            <w:pPr>
              <w:pStyle w:val="62"/>
              <w:ind w:left="9" w:leftChars="0"/>
              <w:jc w:val="center"/>
              <w:rPr>
                <w:rFonts w:ascii="Times New Roman" w:hAnsi="宋体" w:eastAsia="宋体" w:cs="宋体"/>
                <w:sz w:val="24"/>
                <w:highlight w:val="none"/>
                <w:lang w:val="zh-CN" w:eastAsia="zh-CN" w:bidi="zh-CN"/>
              </w:rPr>
            </w:pPr>
            <w:r>
              <w:rPr>
                <w:rFonts w:ascii="Times New Roman"/>
                <w:sz w:val="24"/>
                <w:highlight w:val="none"/>
              </w:rPr>
              <w:t>7</w:t>
            </w:r>
          </w:p>
        </w:tc>
        <w:tc>
          <w:tcPr>
            <w:tcW w:w="1399" w:type="dxa"/>
            <w:vMerge w:val="restart"/>
            <w:tcBorders>
              <w:left w:val="single" w:color="auto" w:sz="4" w:space="0"/>
              <w:right w:val="single" w:color="auto" w:sz="4" w:space="0"/>
            </w:tcBorders>
            <w:noWrap w:val="0"/>
            <w:vAlign w:val="top"/>
          </w:tcPr>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spacing w:before="9"/>
              <w:rPr>
                <w:b/>
                <w:sz w:val="22"/>
                <w:highlight w:val="none"/>
              </w:rPr>
            </w:pPr>
          </w:p>
          <w:p>
            <w:pPr>
              <w:pStyle w:val="62"/>
              <w:spacing w:line="343" w:lineRule="auto"/>
              <w:ind w:left="218" w:leftChars="0" w:right="208" w:rightChars="0"/>
              <w:rPr>
                <w:rFonts w:ascii="宋体" w:hAnsi="宋体" w:eastAsia="宋体" w:cs="宋体"/>
                <w:sz w:val="24"/>
                <w:highlight w:val="none"/>
                <w:lang w:val="zh-CN" w:eastAsia="zh-CN" w:bidi="zh-CN"/>
              </w:rPr>
            </w:pPr>
            <w:r>
              <w:rPr>
                <w:sz w:val="24"/>
                <w:highlight w:val="none"/>
              </w:rPr>
              <w:t>成品加工制作管理</w:t>
            </w:r>
          </w:p>
        </w:tc>
        <w:tc>
          <w:tcPr>
            <w:tcW w:w="0" w:type="auto"/>
            <w:noWrap w:val="0"/>
            <w:vAlign w:val="top"/>
          </w:tcPr>
          <w:p>
            <w:pPr>
              <w:pStyle w:val="62"/>
              <w:spacing w:before="112"/>
              <w:ind w:left="348" w:leftChars="0"/>
              <w:rPr>
                <w:rFonts w:ascii="宋体" w:hAnsi="宋体" w:eastAsia="宋体" w:cs="宋体"/>
                <w:sz w:val="24"/>
                <w:highlight w:val="none"/>
                <w:lang w:val="zh-CN" w:eastAsia="zh-CN" w:bidi="zh-CN"/>
              </w:rPr>
            </w:pPr>
            <w:r>
              <w:rPr>
                <w:sz w:val="24"/>
                <w:highlight w:val="none"/>
              </w:rPr>
              <w:t xml:space="preserve">应在专间内加工制作。专间内温度不得高于 </w:t>
            </w:r>
            <w:r>
              <w:rPr>
                <w:rFonts w:ascii="Times New Roman" w:hAnsi="Times New Roman" w:eastAsia="Times New Roman"/>
                <w:sz w:val="24"/>
                <w:highlight w:val="none"/>
              </w:rPr>
              <w:t>25℃</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 w:line="440" w:lineRule="exact"/>
              <w:ind w:left="108" w:leftChars="0" w:right="95" w:rightChars="0" w:firstLine="240" w:firstLineChars="0"/>
              <w:rPr>
                <w:rFonts w:ascii="宋体" w:hAnsi="宋体" w:eastAsia="宋体" w:cs="宋体"/>
                <w:sz w:val="24"/>
                <w:highlight w:val="none"/>
                <w:lang w:val="zh-CN" w:eastAsia="zh-CN" w:bidi="zh-CN"/>
              </w:rPr>
            </w:pPr>
            <w:r>
              <w:rPr>
                <w:sz w:val="24"/>
                <w:highlight w:val="none"/>
              </w:rPr>
              <w:t xml:space="preserve">每餐（或每次）使用专间前，应对专间空气进行消毒。消毒方法应遵循消毒设施使用说明书要求。使用紫外线灯消毒的， 应在无人加工制作时开启紫外线灯 </w:t>
            </w:r>
            <w:r>
              <w:rPr>
                <w:rFonts w:ascii="Times New Roman" w:eastAsia="Times New Roman"/>
                <w:sz w:val="24"/>
                <w:highlight w:val="none"/>
              </w:rPr>
              <w:t xml:space="preserve">30 </w:t>
            </w:r>
            <w:r>
              <w:rPr>
                <w:sz w:val="24"/>
                <w:highlight w:val="none"/>
              </w:rPr>
              <w:t>分钟以上并做好记录。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line="343" w:lineRule="auto"/>
              <w:ind w:left="108" w:right="-29" w:firstLine="240"/>
              <w:rPr>
                <w:sz w:val="24"/>
                <w:highlight w:val="none"/>
              </w:rPr>
            </w:pPr>
            <w:r>
              <w:rPr>
                <w:sz w:val="24"/>
                <w:highlight w:val="none"/>
              </w:rPr>
              <w:t>由专人加工制作，非专间加工制作人员不得擅自进入专间。</w:t>
            </w:r>
            <w:r>
              <w:rPr>
                <w:spacing w:val="-10"/>
                <w:sz w:val="24"/>
                <w:highlight w:val="none"/>
              </w:rPr>
              <w:t>进入专间前，加工制作人员应更换专用的工作衣帽并佩戴口罩。</w:t>
            </w:r>
            <w:r>
              <w:rPr>
                <w:sz w:val="24"/>
                <w:highlight w:val="none"/>
              </w:rPr>
              <w:t>加工制作人员在加工制作前应严格清洗消毒手部，加工制作过</w:t>
            </w:r>
          </w:p>
          <w:p>
            <w:pPr>
              <w:pStyle w:val="62"/>
              <w:spacing w:before="1" w:line="307" w:lineRule="exact"/>
              <w:ind w:left="108" w:leftChars="0"/>
              <w:rPr>
                <w:rFonts w:ascii="宋体" w:hAnsi="宋体" w:eastAsia="宋体" w:cs="宋体"/>
                <w:sz w:val="24"/>
                <w:highlight w:val="none"/>
                <w:lang w:val="zh-CN" w:eastAsia="zh-CN" w:bidi="zh-CN"/>
              </w:rPr>
            </w:pPr>
            <w:r>
              <w:rPr>
                <w:sz w:val="24"/>
                <w:highlight w:val="none"/>
              </w:rPr>
              <w:t>程中适时清洗消毒手部。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ind w:left="348"/>
              <w:rPr>
                <w:sz w:val="24"/>
                <w:highlight w:val="none"/>
              </w:rPr>
            </w:pPr>
            <w:r>
              <w:rPr>
                <w:sz w:val="24"/>
                <w:highlight w:val="none"/>
              </w:rPr>
              <w:t>应使用专用的工具、容器、设备，使用前使用专用清洗消毒</w:t>
            </w:r>
          </w:p>
          <w:p>
            <w:pPr>
              <w:pStyle w:val="62"/>
              <w:spacing w:before="134" w:line="306" w:lineRule="exact"/>
              <w:ind w:left="108" w:leftChars="0"/>
              <w:rPr>
                <w:rFonts w:ascii="宋体" w:hAnsi="宋体" w:eastAsia="宋体" w:cs="宋体"/>
                <w:sz w:val="24"/>
                <w:highlight w:val="none"/>
                <w:lang w:val="zh-CN" w:eastAsia="zh-CN" w:bidi="zh-CN"/>
              </w:rPr>
            </w:pPr>
            <w:r>
              <w:rPr>
                <w:sz w:val="24"/>
                <w:highlight w:val="none"/>
              </w:rPr>
              <w:t>设施进行清洗消毒并保持清洁。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ind w:left="348" w:leftChars="0"/>
              <w:rPr>
                <w:rFonts w:ascii="宋体" w:hAnsi="宋体" w:eastAsia="宋体" w:cs="宋体"/>
                <w:sz w:val="24"/>
                <w:highlight w:val="none"/>
                <w:lang w:val="zh-CN" w:eastAsia="zh-CN" w:bidi="zh-CN"/>
              </w:rPr>
            </w:pPr>
            <w:r>
              <w:rPr>
                <w:sz w:val="24"/>
                <w:highlight w:val="none"/>
              </w:rPr>
              <w:t>及时关闭专间的门和食品传递窗口。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 w:line="440" w:lineRule="exact"/>
              <w:ind w:left="108" w:leftChars="0" w:right="-29" w:rightChars="0" w:firstLine="240" w:firstLineChars="0"/>
              <w:rPr>
                <w:rFonts w:ascii="宋体" w:hAnsi="宋体" w:eastAsia="宋体" w:cs="宋体"/>
                <w:sz w:val="24"/>
                <w:highlight w:val="none"/>
                <w:lang w:val="zh-CN" w:eastAsia="zh-CN" w:bidi="zh-CN"/>
              </w:rPr>
            </w:pPr>
            <w:r>
              <w:rPr>
                <w:spacing w:val="-9"/>
                <w:sz w:val="24"/>
                <w:highlight w:val="none"/>
              </w:rPr>
              <w:t>蔬菜、水果等食品原料应清洗处理干净后，方可传递进专间。</w:t>
            </w:r>
            <w:r>
              <w:rPr>
                <w:sz w:val="24"/>
                <w:highlight w:val="none"/>
              </w:rPr>
              <w:t>预包装食品和一次性餐饮具应去除外层包装并保持最小包装清洁后，方可传递进专间。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line="440" w:lineRule="exact"/>
              <w:ind w:left="108" w:leftChars="0" w:right="95" w:rightChars="0" w:firstLine="240" w:firstLineChars="0"/>
              <w:rPr>
                <w:rFonts w:ascii="宋体" w:hAnsi="宋体" w:eastAsia="宋体" w:cs="宋体"/>
                <w:sz w:val="24"/>
                <w:highlight w:val="none"/>
                <w:lang w:val="zh-CN" w:eastAsia="zh-CN" w:bidi="zh-CN"/>
              </w:rPr>
            </w:pPr>
            <w:r>
              <w:rPr>
                <w:sz w:val="24"/>
                <w:highlight w:val="none"/>
              </w:rPr>
              <w:t>在专用冷冻或冷藏设备中存放食品时，宜将食品放置在密闭容器内或使用保鲜膜等进行无污染覆盖。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8"/>
              <w:rPr>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line="306" w:lineRule="exact"/>
              <w:ind w:left="348" w:leftChars="0"/>
              <w:rPr>
                <w:rFonts w:ascii="宋体" w:hAnsi="宋体" w:eastAsia="宋体" w:cs="宋体"/>
                <w:sz w:val="24"/>
                <w:highlight w:val="none"/>
                <w:lang w:val="zh-CN" w:eastAsia="zh-CN" w:bidi="zh-CN"/>
              </w:rPr>
            </w:pPr>
            <w:r>
              <w:rPr>
                <w:sz w:val="24"/>
                <w:highlight w:val="none"/>
              </w:rPr>
              <w:t>加工制作好的成品宜当餐供应。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ind w:left="348" w:leftChars="0"/>
              <w:rPr>
                <w:rFonts w:ascii="宋体" w:hAnsi="宋体" w:eastAsia="宋体" w:cs="宋体"/>
                <w:sz w:val="24"/>
                <w:highlight w:val="none"/>
                <w:lang w:val="zh-CN" w:eastAsia="zh-CN" w:bidi="zh-CN"/>
              </w:rPr>
            </w:pPr>
            <w:r>
              <w:rPr>
                <w:sz w:val="24"/>
                <w:highlight w:val="none"/>
              </w:rPr>
              <w:t>不得在专间内从事非清洁操作区的加工制作活动。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spacing w:before="3"/>
              <w:rPr>
                <w:b/>
                <w:sz w:val="37"/>
                <w:highlight w:val="none"/>
              </w:rPr>
            </w:pPr>
          </w:p>
          <w:p>
            <w:pPr>
              <w:pStyle w:val="62"/>
              <w:ind w:left="9" w:leftChars="0"/>
              <w:jc w:val="center"/>
              <w:rPr>
                <w:rFonts w:ascii="Times New Roman" w:hAnsi="宋体" w:eastAsia="宋体" w:cs="宋体"/>
                <w:sz w:val="24"/>
                <w:highlight w:val="none"/>
                <w:lang w:val="zh-CN" w:eastAsia="zh-CN" w:bidi="zh-CN"/>
              </w:rPr>
            </w:pPr>
            <w:r>
              <w:rPr>
                <w:rFonts w:ascii="Times New Roman"/>
                <w:sz w:val="24"/>
                <w:highlight w:val="none"/>
              </w:rPr>
              <w:t>8</w:t>
            </w:r>
          </w:p>
        </w:tc>
        <w:tc>
          <w:tcPr>
            <w:tcW w:w="1399" w:type="dxa"/>
            <w:vMerge w:val="restart"/>
            <w:tcBorders>
              <w:left w:val="single" w:color="auto" w:sz="4" w:space="0"/>
              <w:right w:val="single" w:color="auto" w:sz="4" w:space="0"/>
            </w:tcBorders>
            <w:noWrap w:val="0"/>
            <w:vAlign w:val="top"/>
          </w:tcPr>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spacing w:before="9"/>
              <w:rPr>
                <w:b/>
                <w:sz w:val="35"/>
                <w:highlight w:val="none"/>
              </w:rPr>
            </w:pPr>
          </w:p>
          <w:p>
            <w:pPr>
              <w:pStyle w:val="62"/>
              <w:spacing w:line="343" w:lineRule="auto"/>
              <w:ind w:left="218" w:leftChars="0" w:right="208" w:rightChars="0"/>
              <w:jc w:val="center"/>
              <w:rPr>
                <w:rFonts w:ascii="宋体" w:hAnsi="宋体" w:eastAsia="宋体" w:cs="宋体"/>
                <w:sz w:val="24"/>
                <w:highlight w:val="none"/>
                <w:lang w:val="zh-CN" w:eastAsia="zh-CN" w:bidi="zh-CN"/>
              </w:rPr>
            </w:pPr>
            <w:r>
              <w:rPr>
                <w:sz w:val="24"/>
                <w:highlight w:val="none"/>
              </w:rPr>
              <w:t>烹饪区内加工制作管理</w:t>
            </w:r>
          </w:p>
        </w:tc>
        <w:tc>
          <w:tcPr>
            <w:tcW w:w="0" w:type="auto"/>
            <w:noWrap w:val="0"/>
            <w:vAlign w:val="top"/>
          </w:tcPr>
          <w:p>
            <w:pPr>
              <w:pStyle w:val="62"/>
              <w:spacing w:before="135"/>
              <w:ind w:left="348" w:leftChars="0"/>
              <w:rPr>
                <w:rFonts w:ascii="宋体" w:hAnsi="宋体" w:eastAsia="宋体" w:cs="宋体"/>
                <w:sz w:val="24"/>
                <w:highlight w:val="none"/>
                <w:lang w:val="zh-CN" w:eastAsia="zh-CN" w:bidi="zh-CN"/>
              </w:rPr>
            </w:pPr>
            <w:r>
              <w:rPr>
                <w:sz w:val="24"/>
                <w:highlight w:val="none"/>
              </w:rPr>
              <w:t>烹饪食品的温度和时间应能保证食品安全。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2" w:line="343" w:lineRule="auto"/>
              <w:ind w:left="108" w:right="66" w:firstLine="240"/>
              <w:rPr>
                <w:sz w:val="24"/>
                <w:highlight w:val="none"/>
              </w:rPr>
            </w:pPr>
            <w:r>
              <w:rPr>
                <w:spacing w:val="9"/>
                <w:sz w:val="24"/>
                <w:highlight w:val="none"/>
              </w:rPr>
              <w:t>需要烧熟煮透的食品，加工制作时食品的中心温度应达到</w:t>
            </w:r>
            <w:r>
              <w:rPr>
                <w:rFonts w:ascii="Times New Roman" w:hAnsi="Times New Roman" w:eastAsia="Times New Roman"/>
                <w:spacing w:val="9"/>
                <w:sz w:val="24"/>
                <w:highlight w:val="none"/>
              </w:rPr>
              <w:t>70℃</w:t>
            </w:r>
            <w:r>
              <w:rPr>
                <w:spacing w:val="11"/>
                <w:sz w:val="24"/>
                <w:highlight w:val="none"/>
              </w:rPr>
              <w:t xml:space="preserve">以上。对特殊加工制作工艺，中心温度低于 </w:t>
            </w:r>
            <w:r>
              <w:rPr>
                <w:rFonts w:ascii="Times New Roman" w:hAnsi="Times New Roman" w:eastAsia="Times New Roman"/>
                <w:sz w:val="24"/>
                <w:highlight w:val="none"/>
              </w:rPr>
              <w:t>70℃</w:t>
            </w:r>
            <w:r>
              <w:rPr>
                <w:spacing w:val="-40"/>
                <w:sz w:val="24"/>
                <w:highlight w:val="none"/>
              </w:rPr>
              <w:t>的食品，</w:t>
            </w:r>
            <w:r>
              <w:rPr>
                <w:spacing w:val="-118"/>
                <w:sz w:val="24"/>
                <w:highlight w:val="none"/>
              </w:rPr>
              <w:t xml:space="preserve"> </w:t>
            </w:r>
            <w:r>
              <w:rPr>
                <w:sz w:val="24"/>
                <w:highlight w:val="none"/>
              </w:rPr>
              <w:t>应严格控制原料质量安全状态，确保经过特殊加工制作工艺制</w:t>
            </w:r>
          </w:p>
          <w:p>
            <w:pPr>
              <w:pStyle w:val="62"/>
              <w:spacing w:before="1"/>
              <w:ind w:left="108" w:leftChars="0"/>
              <w:rPr>
                <w:rFonts w:ascii="宋体" w:hAnsi="宋体" w:eastAsia="宋体" w:cs="宋体"/>
                <w:sz w:val="24"/>
                <w:highlight w:val="none"/>
                <w:lang w:val="zh-CN" w:eastAsia="zh-CN" w:bidi="zh-CN"/>
              </w:rPr>
            </w:pPr>
            <w:r>
              <w:rPr>
                <w:sz w:val="24"/>
                <w:highlight w:val="none"/>
              </w:rPr>
              <w:t>作成品的食品安全。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 w:line="440" w:lineRule="exact"/>
              <w:ind w:left="108" w:leftChars="0" w:right="-29" w:rightChars="0" w:firstLine="240" w:firstLineChars="0"/>
              <w:rPr>
                <w:rFonts w:ascii="宋体" w:hAnsi="宋体" w:eastAsia="宋体" w:cs="宋体"/>
                <w:sz w:val="24"/>
                <w:highlight w:val="none"/>
                <w:lang w:val="zh-CN" w:eastAsia="zh-CN" w:bidi="zh-CN"/>
              </w:rPr>
            </w:pPr>
            <w:r>
              <w:rPr>
                <w:sz w:val="24"/>
                <w:highlight w:val="none"/>
              </w:rPr>
              <w:t>盛放调味料的容器应保持清洁，使用后加盖存放，宜标注预</w:t>
            </w:r>
            <w:r>
              <w:rPr>
                <w:spacing w:val="-6"/>
                <w:sz w:val="24"/>
                <w:highlight w:val="none"/>
              </w:rPr>
              <w:t>包装调味料标签上标注的生产日期、保质期等内容及开封日期。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spacing w:before="113" w:line="360" w:lineRule="auto"/>
              <w:ind w:left="108" w:right="95" w:firstLine="240"/>
              <w:rPr>
                <w:sz w:val="24"/>
                <w:highlight w:val="none"/>
              </w:rPr>
            </w:pPr>
            <w:r>
              <w:rPr>
                <w:spacing w:val="-1"/>
                <w:sz w:val="24"/>
                <w:highlight w:val="none"/>
              </w:rPr>
              <w:t>油炸类食品，应选择热稳定性好、适合油炸的食用油脂。与炸油直接接触的设备、工具内表面应为耐腐蚀、耐高温的材质</w:t>
            </w:r>
          </w:p>
          <w:p>
            <w:pPr>
              <w:pStyle w:val="62"/>
              <w:spacing w:line="360" w:lineRule="auto"/>
              <w:ind w:left="108" w:leftChars="0"/>
              <w:rPr>
                <w:rFonts w:ascii="宋体" w:hAnsi="宋体" w:eastAsia="宋体" w:cs="宋体"/>
                <w:sz w:val="24"/>
                <w:highlight w:val="none"/>
                <w:lang w:val="zh-CN" w:eastAsia="zh-CN" w:bidi="zh-CN"/>
              </w:rPr>
            </w:pPr>
            <w:r>
              <w:rPr>
                <w:spacing w:val="-1"/>
                <w:sz w:val="24"/>
                <w:highlight w:val="none"/>
              </w:rPr>
              <w:t>（</w:t>
            </w:r>
            <w:r>
              <w:rPr>
                <w:sz w:val="24"/>
                <w:highlight w:val="none"/>
              </w:rPr>
              <w:t>如不锈钢等），易清洁、维护。油炸食品时，油温不宜超过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rFonts w:ascii="Times New Roman" w:hAnsi="Times New Roman" w:eastAsia="Times New Roman"/>
                <w:sz w:val="24"/>
                <w:highlight w:val="none"/>
              </w:rPr>
              <w:t>190℃</w:t>
            </w:r>
            <w:r>
              <w:rPr>
                <w:sz w:val="24"/>
                <w:highlight w:val="none"/>
              </w:rPr>
              <w:t>。定期过滤在用油，去除食物残渣。定期拆卸油炸设备，</w:t>
            </w:r>
          </w:p>
          <w:p>
            <w:pPr>
              <w:pStyle w:val="62"/>
              <w:rPr>
                <w:rFonts w:ascii="宋体" w:hAnsi="宋体" w:eastAsia="宋体" w:cs="宋体"/>
                <w:sz w:val="24"/>
                <w:highlight w:val="none"/>
                <w:lang w:val="zh-CN" w:eastAsia="zh-CN" w:bidi="zh-CN"/>
              </w:rPr>
            </w:pPr>
            <w:r>
              <w:rPr>
                <w:sz w:val="24"/>
                <w:highlight w:val="none"/>
              </w:rPr>
              <w:t>进行清洁维护。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Times New Roman" w:eastAsia="Times New Roman"/>
                <w:sz w:val="24"/>
                <w:highlight w:val="none"/>
              </w:rPr>
            </w:pPr>
            <w:r>
              <w:rPr>
                <w:sz w:val="24"/>
                <w:highlight w:val="none"/>
              </w:rPr>
              <w:t xml:space="preserve">煮沸生豆浆时，应将上涌泡沫除净，煮沸后保持沸腾状态 </w:t>
            </w:r>
            <w:r>
              <w:rPr>
                <w:rFonts w:ascii="Times New Roman" w:eastAsia="Times New Roman"/>
                <w:sz w:val="24"/>
                <w:highlight w:val="none"/>
              </w:rPr>
              <w:t>5</w:t>
            </w:r>
          </w:p>
          <w:p>
            <w:pPr>
              <w:pStyle w:val="62"/>
              <w:rPr>
                <w:rFonts w:ascii="宋体" w:hAnsi="宋体" w:eastAsia="宋体" w:cs="宋体"/>
                <w:sz w:val="24"/>
                <w:highlight w:val="none"/>
                <w:lang w:val="zh-CN" w:eastAsia="zh-CN" w:bidi="zh-CN"/>
              </w:rPr>
            </w:pPr>
            <w:r>
              <w:rPr>
                <w:sz w:val="24"/>
                <w:highlight w:val="none"/>
              </w:rPr>
              <w:t>分钟以上。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 xml:space="preserve">再加热时，食品的中心温度应达到 </w:t>
            </w:r>
            <w:r>
              <w:rPr>
                <w:rFonts w:ascii="Times New Roman" w:hAnsi="Times New Roman" w:eastAsia="Times New Roman"/>
                <w:sz w:val="24"/>
                <w:highlight w:val="none"/>
              </w:rPr>
              <w:t>70℃</w:t>
            </w:r>
            <w:r>
              <w:rPr>
                <w:sz w:val="24"/>
                <w:highlight w:val="none"/>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jc w:val="center"/>
              <w:rPr>
                <w:rFonts w:ascii="Times New Roman" w:hAnsi="宋体" w:eastAsia="宋体" w:cs="宋体"/>
                <w:sz w:val="24"/>
                <w:highlight w:val="none"/>
                <w:lang w:val="zh-CN" w:eastAsia="zh-CN" w:bidi="zh-CN"/>
              </w:rPr>
            </w:pPr>
            <w:r>
              <w:rPr>
                <w:rFonts w:ascii="Times New Roman"/>
                <w:sz w:val="24"/>
                <w:highlight w:val="none"/>
              </w:rPr>
              <w:t>9</w:t>
            </w:r>
          </w:p>
        </w:tc>
        <w:tc>
          <w:tcPr>
            <w:tcW w:w="1399" w:type="dxa"/>
            <w:vMerge w:val="restart"/>
            <w:tcBorders>
              <w:left w:val="single" w:color="auto" w:sz="4" w:space="0"/>
              <w:right w:val="single" w:color="auto" w:sz="4" w:space="0"/>
            </w:tcBorders>
            <w:noWrap w:val="0"/>
            <w:vAlign w:val="top"/>
          </w:tcPr>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0"/>
                <w:highlight w:val="none"/>
              </w:rPr>
            </w:pPr>
          </w:p>
          <w:p>
            <w:pPr>
              <w:pStyle w:val="62"/>
              <w:jc w:val="center"/>
              <w:rPr>
                <w:rFonts w:ascii="宋体" w:hAnsi="宋体" w:eastAsia="宋体" w:cs="宋体"/>
                <w:sz w:val="24"/>
                <w:highlight w:val="none"/>
                <w:lang w:val="zh-CN" w:eastAsia="zh-CN" w:bidi="zh-CN"/>
              </w:rPr>
            </w:pPr>
            <w:r>
              <w:rPr>
                <w:spacing w:val="-5"/>
                <w:sz w:val="24"/>
                <w:highlight w:val="none"/>
              </w:rPr>
              <w:t>食品添加</w:t>
            </w:r>
            <w:r>
              <w:rPr>
                <w:sz w:val="24"/>
                <w:highlight w:val="none"/>
              </w:rPr>
              <w:t>剂使用 管理</w:t>
            </w:r>
          </w:p>
        </w:tc>
        <w:tc>
          <w:tcPr>
            <w:tcW w:w="0" w:type="auto"/>
            <w:noWrap w:val="0"/>
            <w:vAlign w:val="top"/>
          </w:tcPr>
          <w:p>
            <w:pPr>
              <w:pStyle w:val="62"/>
              <w:rPr>
                <w:sz w:val="24"/>
                <w:highlight w:val="none"/>
              </w:rPr>
            </w:pPr>
            <w:r>
              <w:rPr>
                <w:sz w:val="24"/>
                <w:highlight w:val="none"/>
              </w:rPr>
              <w:t>使用食品添加剂的，应在技术上确有必要，并在达到预期效</w:t>
            </w:r>
          </w:p>
          <w:p>
            <w:pPr>
              <w:pStyle w:val="62"/>
              <w:rPr>
                <w:rFonts w:ascii="宋体" w:hAnsi="宋体" w:eastAsia="宋体" w:cs="宋体"/>
                <w:sz w:val="24"/>
                <w:highlight w:val="none"/>
                <w:lang w:val="zh-CN" w:eastAsia="zh-CN" w:bidi="zh-CN"/>
              </w:rPr>
            </w:pPr>
            <w:r>
              <w:rPr>
                <w:sz w:val="24"/>
                <w:highlight w:val="none"/>
              </w:rPr>
              <w:t>果的前提下尽可能降低使用量。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pacing w:val="-20"/>
                <w:sz w:val="24"/>
                <w:highlight w:val="none"/>
              </w:rPr>
              <w:t xml:space="preserve">按照 </w:t>
            </w:r>
            <w:r>
              <w:rPr>
                <w:rFonts w:ascii="Times New Roman" w:eastAsia="Times New Roman"/>
                <w:sz w:val="24"/>
                <w:highlight w:val="none"/>
              </w:rPr>
              <w:t xml:space="preserve">GB </w:t>
            </w:r>
            <w:r>
              <w:rPr>
                <w:rFonts w:ascii="Times New Roman" w:eastAsia="Times New Roman"/>
                <w:spacing w:val="-7"/>
                <w:sz w:val="24"/>
                <w:highlight w:val="none"/>
              </w:rPr>
              <w:t>2760</w:t>
            </w:r>
            <w:r>
              <w:rPr>
                <w:spacing w:val="-2"/>
                <w:sz w:val="24"/>
                <w:highlight w:val="none"/>
              </w:rPr>
              <w:t>《食品安全国家标准 食品添加剂使用标准》规</w:t>
            </w:r>
          </w:p>
          <w:p>
            <w:pPr>
              <w:pStyle w:val="62"/>
              <w:rPr>
                <w:rFonts w:ascii="宋体" w:hAnsi="宋体" w:eastAsia="宋体" w:cs="宋体"/>
                <w:sz w:val="24"/>
                <w:highlight w:val="none"/>
                <w:lang w:val="zh-CN" w:eastAsia="zh-CN" w:bidi="zh-CN"/>
              </w:rPr>
            </w:pPr>
            <w:r>
              <w:rPr>
                <w:sz w:val="24"/>
                <w:highlight w:val="none"/>
              </w:rPr>
              <w:t>定的食品添加剂品种、使用范围、使用量，使用食品添加剂。</w:t>
            </w:r>
            <w:r>
              <w:rPr>
                <w:spacing w:val="-7"/>
                <w:sz w:val="24"/>
                <w:highlight w:val="none"/>
              </w:rPr>
              <w:t>不得采购、贮存、使用亚硝酸盐</w:t>
            </w:r>
            <w:r>
              <w:rPr>
                <w:spacing w:val="-3"/>
                <w:sz w:val="24"/>
                <w:highlight w:val="none"/>
              </w:rPr>
              <w:t>（包括亚硝酸钠、亚硝酸钾</w:t>
            </w:r>
            <w:r>
              <w:rPr>
                <w:spacing w:val="-15"/>
                <w:sz w:val="24"/>
                <w:highlight w:val="none"/>
              </w:rPr>
              <w:t>）</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专柜（位）存放食品添加剂，并标注“食品添加剂”字样。</w:t>
            </w:r>
          </w:p>
          <w:p>
            <w:pPr>
              <w:pStyle w:val="62"/>
              <w:rPr>
                <w:rFonts w:ascii="宋体" w:hAnsi="宋体" w:eastAsia="宋体" w:cs="宋体"/>
                <w:sz w:val="24"/>
                <w:highlight w:val="none"/>
                <w:lang w:val="zh-CN" w:eastAsia="zh-CN" w:bidi="zh-CN"/>
              </w:rPr>
            </w:pPr>
            <w:r>
              <w:rPr>
                <w:sz w:val="24"/>
                <w:highlight w:val="none"/>
              </w:rPr>
              <w:t>使用容器盛放拆包后的食品添加剂的，应在盛放容器上标明食品添加剂名称，并保留原包装。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Times New Roman" w:eastAsia="Times New Roman"/>
                <w:sz w:val="24"/>
                <w:highlight w:val="none"/>
              </w:rPr>
            </w:pPr>
            <w:r>
              <w:rPr>
                <w:sz w:val="24"/>
                <w:highlight w:val="none"/>
              </w:rPr>
              <w:t>专册记录使用的食品添加剂名称、生产日期或批号、添加的</w:t>
            </w:r>
            <w:r>
              <w:rPr>
                <w:spacing w:val="-24"/>
                <w:sz w:val="24"/>
                <w:highlight w:val="none"/>
              </w:rPr>
              <w:t xml:space="preserve">食品品种、添加量、添加时间、操作人员等信息。使用有 </w:t>
            </w:r>
            <w:r>
              <w:rPr>
                <w:rFonts w:ascii="Times New Roman" w:eastAsia="Times New Roman"/>
                <w:sz w:val="24"/>
                <w:highlight w:val="none"/>
              </w:rPr>
              <w:t>GB</w:t>
            </w:r>
            <w:r>
              <w:rPr>
                <w:rFonts w:ascii="Times New Roman" w:eastAsia="Times New Roman"/>
                <w:spacing w:val="3"/>
                <w:sz w:val="24"/>
                <w:highlight w:val="none"/>
              </w:rPr>
              <w:t xml:space="preserve"> </w:t>
            </w:r>
            <w:r>
              <w:rPr>
                <w:rFonts w:ascii="Times New Roman" w:eastAsia="Times New Roman"/>
                <w:spacing w:val="-4"/>
                <w:sz w:val="24"/>
                <w:highlight w:val="none"/>
              </w:rPr>
              <w:t>2760</w:t>
            </w:r>
          </w:p>
          <w:p>
            <w:pPr>
              <w:pStyle w:val="62"/>
              <w:rPr>
                <w:sz w:val="24"/>
                <w:highlight w:val="none"/>
              </w:rPr>
            </w:pPr>
            <w:r>
              <w:rPr>
                <w:spacing w:val="-4"/>
                <w:sz w:val="24"/>
                <w:highlight w:val="none"/>
              </w:rPr>
              <w:t>《食品安全国家标准 食品添加剂使用标准》“最大使用量”规</w:t>
            </w:r>
          </w:p>
          <w:p>
            <w:pPr>
              <w:pStyle w:val="62"/>
              <w:rPr>
                <w:rFonts w:ascii="宋体" w:hAnsi="宋体" w:eastAsia="宋体" w:cs="宋体"/>
                <w:sz w:val="24"/>
                <w:highlight w:val="none"/>
                <w:lang w:val="zh-CN" w:eastAsia="zh-CN" w:bidi="zh-CN"/>
              </w:rPr>
            </w:pPr>
            <w:r>
              <w:rPr>
                <w:sz w:val="24"/>
                <w:highlight w:val="none"/>
              </w:rPr>
              <w:t>定的食品添加剂，应精准称量使用。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both"/>
              <w:rPr>
                <w:b/>
                <w:sz w:val="26"/>
                <w:highlight w:val="none"/>
              </w:rPr>
            </w:pPr>
          </w:p>
          <w:p>
            <w:pPr>
              <w:pStyle w:val="62"/>
              <w:jc w:val="both"/>
              <w:rPr>
                <w:rFonts w:ascii="Times New Roman" w:hAnsi="宋体" w:eastAsia="宋体" w:cs="宋体"/>
                <w:sz w:val="24"/>
                <w:highlight w:val="none"/>
                <w:lang w:val="zh-CN" w:eastAsia="zh-CN" w:bidi="zh-CN"/>
              </w:rPr>
            </w:pPr>
            <w:r>
              <w:rPr>
                <w:rFonts w:ascii="Times New Roman"/>
                <w:sz w:val="24"/>
                <w:highlight w:val="none"/>
              </w:rPr>
              <w:t>10</w:t>
            </w:r>
          </w:p>
        </w:tc>
        <w:tc>
          <w:tcPr>
            <w:tcW w:w="1399" w:type="dxa"/>
            <w:vMerge w:val="restart"/>
            <w:tcBorders>
              <w:left w:val="single" w:color="auto" w:sz="4" w:space="0"/>
              <w:right w:val="single" w:color="auto" w:sz="4" w:space="0"/>
            </w:tcBorders>
            <w:noWrap w:val="0"/>
            <w:vAlign w:val="center"/>
          </w:tcPr>
          <w:p>
            <w:pPr>
              <w:pStyle w:val="62"/>
              <w:jc w:val="both"/>
              <w:rPr>
                <w:b/>
                <w:sz w:val="24"/>
                <w:highlight w:val="none"/>
              </w:rPr>
            </w:pPr>
          </w:p>
          <w:p>
            <w:pPr>
              <w:pStyle w:val="62"/>
              <w:jc w:val="both"/>
              <w:rPr>
                <w:rFonts w:ascii="宋体" w:hAnsi="宋体" w:eastAsia="宋体" w:cs="宋体"/>
                <w:sz w:val="24"/>
                <w:highlight w:val="none"/>
                <w:lang w:val="zh-CN" w:eastAsia="zh-CN" w:bidi="zh-CN"/>
              </w:rPr>
            </w:pPr>
            <w:r>
              <w:rPr>
                <w:sz w:val="24"/>
                <w:highlight w:val="none"/>
              </w:rPr>
              <w:t>食品相关产品使用管理</w:t>
            </w: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各类工具和容器应有明显的区分标识。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pacing w:val="-11"/>
                <w:sz w:val="24"/>
                <w:highlight w:val="none"/>
              </w:rPr>
              <w:t>工具、容器和设备，宜使用不锈钢材料，不宜使用木质材料。</w:t>
            </w:r>
          </w:p>
          <w:p>
            <w:pPr>
              <w:pStyle w:val="62"/>
              <w:rPr>
                <w:rFonts w:ascii="宋体" w:hAnsi="宋体" w:eastAsia="宋体" w:cs="宋体"/>
                <w:sz w:val="24"/>
                <w:highlight w:val="none"/>
                <w:lang w:val="zh-CN" w:eastAsia="zh-CN" w:bidi="zh-CN"/>
              </w:rPr>
            </w:pPr>
            <w:r>
              <w:rPr>
                <w:sz w:val="24"/>
                <w:highlight w:val="none"/>
              </w:rPr>
              <w:t>必须使用木质材料时，应避免对食品造成污染。盛放热食类食品的容器不宜使用塑料材料。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 xml:space="preserve">添加邻苯二甲酸酯类物质制成的塑料制品不得盛装、接触油脂类食品和乙醇含量高于 </w:t>
            </w:r>
            <w:r>
              <w:rPr>
                <w:rFonts w:ascii="Times New Roman" w:eastAsia="Times New Roman"/>
                <w:sz w:val="24"/>
                <w:highlight w:val="none"/>
              </w:rPr>
              <w:t>20%</w:t>
            </w:r>
            <w:r>
              <w:rPr>
                <w:sz w:val="24"/>
                <w:highlight w:val="none"/>
              </w:rPr>
              <w:t>的食品。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不得重复使用一次性用品。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both"/>
              <w:rPr>
                <w:rFonts w:ascii="Times New Roman" w:hAnsi="宋体" w:eastAsia="宋体" w:cs="宋体"/>
                <w:sz w:val="24"/>
                <w:highlight w:val="none"/>
                <w:lang w:val="zh-CN" w:eastAsia="zh-CN" w:bidi="zh-CN"/>
              </w:rPr>
            </w:pPr>
            <w:r>
              <w:rPr>
                <w:rFonts w:ascii="Times New Roman"/>
                <w:sz w:val="24"/>
                <w:highlight w:val="none"/>
              </w:rPr>
              <w:t>11</w:t>
            </w:r>
          </w:p>
        </w:tc>
        <w:tc>
          <w:tcPr>
            <w:tcW w:w="1399" w:type="dxa"/>
            <w:vMerge w:val="restart"/>
            <w:tcBorders>
              <w:left w:val="single" w:color="auto" w:sz="4" w:space="0"/>
              <w:right w:val="single" w:color="auto" w:sz="4" w:space="0"/>
            </w:tcBorders>
            <w:noWrap w:val="0"/>
            <w:vAlign w:val="center"/>
          </w:tcPr>
          <w:p>
            <w:pPr>
              <w:pStyle w:val="62"/>
              <w:jc w:val="both"/>
              <w:rPr>
                <w:rFonts w:ascii="宋体" w:hAnsi="宋体" w:eastAsia="宋体" w:cs="宋体"/>
                <w:sz w:val="24"/>
                <w:highlight w:val="none"/>
                <w:lang w:val="zh-CN" w:eastAsia="zh-CN" w:bidi="zh-CN"/>
              </w:rPr>
            </w:pPr>
            <w:r>
              <w:rPr>
                <w:sz w:val="24"/>
                <w:highlight w:val="none"/>
              </w:rPr>
              <w:t>高危易腐食品管理</w:t>
            </w:r>
          </w:p>
        </w:tc>
        <w:tc>
          <w:tcPr>
            <w:tcW w:w="0" w:type="auto"/>
            <w:noWrap w:val="0"/>
            <w:vAlign w:val="top"/>
          </w:tcPr>
          <w:p>
            <w:pPr>
              <w:pStyle w:val="62"/>
              <w:rPr>
                <w:rFonts w:ascii="宋体" w:hAnsi="宋体" w:eastAsia="宋体" w:cs="宋体"/>
                <w:sz w:val="24"/>
                <w:highlight w:val="none"/>
                <w:lang w:val="zh-CN" w:eastAsia="zh-CN" w:bidi="zh-CN"/>
              </w:rPr>
            </w:pPr>
            <w:r>
              <w:rPr>
                <w:spacing w:val="-7"/>
                <w:sz w:val="24"/>
                <w:highlight w:val="none"/>
              </w:rPr>
              <w:t>需要冷冻</w:t>
            </w:r>
            <w:r>
              <w:rPr>
                <w:sz w:val="24"/>
                <w:highlight w:val="none"/>
              </w:rPr>
              <w:t>（藏</w:t>
            </w:r>
            <w:r>
              <w:rPr>
                <w:spacing w:val="-27"/>
                <w:sz w:val="24"/>
                <w:highlight w:val="none"/>
              </w:rPr>
              <w:t>）</w:t>
            </w:r>
            <w:r>
              <w:rPr>
                <w:spacing w:val="-4"/>
                <w:sz w:val="24"/>
                <w:highlight w:val="none"/>
              </w:rPr>
              <w:t>的熟制半成品或成品，应在熟制后立即冷却。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应在清洁操作区内进行熟制成品的冷却，并在盛放容器上标注加工制作时间等。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冷却时，可采用将食品切成小块、搅拌、冷水浴等措施或者</w:t>
            </w:r>
          </w:p>
          <w:p>
            <w:pPr>
              <w:pStyle w:val="62"/>
              <w:rPr>
                <w:rFonts w:ascii="宋体" w:hAnsi="宋体" w:eastAsia="宋体" w:cs="宋体"/>
                <w:sz w:val="24"/>
                <w:highlight w:val="none"/>
                <w:lang w:val="zh-CN" w:eastAsia="zh-CN" w:bidi="zh-CN"/>
              </w:rPr>
            </w:pPr>
            <w:r>
              <w:rPr>
                <w:spacing w:val="-5"/>
                <w:sz w:val="24"/>
                <w:highlight w:val="none"/>
              </w:rPr>
              <w:t xml:space="preserve">使用专用速冷设备，使食品的中心温度在 </w:t>
            </w:r>
            <w:r>
              <w:rPr>
                <w:rFonts w:ascii="Times New Roman" w:hAnsi="Times New Roman" w:eastAsia="Times New Roman"/>
                <w:sz w:val="24"/>
                <w:highlight w:val="none"/>
              </w:rPr>
              <w:t xml:space="preserve">2 </w:t>
            </w:r>
            <w:r>
              <w:rPr>
                <w:spacing w:val="-8"/>
                <w:sz w:val="24"/>
                <w:highlight w:val="none"/>
              </w:rPr>
              <w:t xml:space="preserve">小时内从 </w:t>
            </w:r>
            <w:r>
              <w:rPr>
                <w:rFonts w:ascii="Times New Roman" w:hAnsi="Times New Roman" w:eastAsia="Times New Roman"/>
                <w:sz w:val="24"/>
                <w:highlight w:val="none"/>
              </w:rPr>
              <w:t>60℃</w:t>
            </w:r>
            <w:r>
              <w:rPr>
                <w:spacing w:val="-44"/>
                <w:sz w:val="24"/>
                <w:highlight w:val="none"/>
              </w:rPr>
              <w:t>降至</w:t>
            </w:r>
            <w:r>
              <w:rPr>
                <w:rFonts w:ascii="Times New Roman" w:hAnsi="Times New Roman" w:eastAsia="Times New Roman"/>
                <w:sz w:val="24"/>
                <w:highlight w:val="none"/>
              </w:rPr>
              <w:t>21℃</w:t>
            </w:r>
            <w:r>
              <w:rPr>
                <w:spacing w:val="-15"/>
                <w:sz w:val="24"/>
                <w:highlight w:val="none"/>
              </w:rPr>
              <w:t xml:space="preserve">，再经 </w:t>
            </w:r>
            <w:r>
              <w:rPr>
                <w:rFonts w:ascii="Times New Roman" w:hAnsi="Times New Roman" w:eastAsia="Times New Roman"/>
                <w:sz w:val="24"/>
                <w:highlight w:val="none"/>
              </w:rPr>
              <w:t xml:space="preserve">2 </w:t>
            </w:r>
            <w:r>
              <w:rPr>
                <w:spacing w:val="-6"/>
                <w:sz w:val="24"/>
                <w:highlight w:val="none"/>
              </w:rPr>
              <w:t xml:space="preserve">小时或更短时间降至 </w:t>
            </w:r>
            <w:r>
              <w:rPr>
                <w:rFonts w:ascii="Times New Roman" w:hAnsi="Times New Roman" w:eastAsia="Times New Roman"/>
                <w:sz w:val="24"/>
                <w:highlight w:val="none"/>
              </w:rPr>
              <w:t>8℃</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在烹饪后至食用前需要较长时间（</w:t>
            </w:r>
            <w:r>
              <w:rPr>
                <w:spacing w:val="-15"/>
                <w:sz w:val="24"/>
                <w:highlight w:val="none"/>
              </w:rPr>
              <w:t xml:space="preserve">超过 </w:t>
            </w:r>
            <w:r>
              <w:rPr>
                <w:rFonts w:ascii="Times New Roman" w:hAnsi="Times New Roman" w:eastAsia="Times New Roman"/>
                <w:sz w:val="24"/>
                <w:highlight w:val="none"/>
              </w:rPr>
              <w:t xml:space="preserve">2 </w:t>
            </w:r>
            <w:r>
              <w:rPr>
                <w:sz w:val="24"/>
                <w:highlight w:val="none"/>
              </w:rPr>
              <w:t>小时）存放的高危</w:t>
            </w:r>
            <w:r>
              <w:rPr>
                <w:spacing w:val="1"/>
                <w:sz w:val="24"/>
                <w:highlight w:val="none"/>
              </w:rPr>
              <w:t xml:space="preserve">易腐食品，应在高于 </w:t>
            </w:r>
            <w:r>
              <w:rPr>
                <w:rFonts w:ascii="Times New Roman" w:hAnsi="Times New Roman" w:eastAsia="Times New Roman"/>
                <w:sz w:val="24"/>
                <w:highlight w:val="none"/>
              </w:rPr>
              <w:t>60℃</w:t>
            </w:r>
            <w:r>
              <w:rPr>
                <w:spacing w:val="6"/>
                <w:sz w:val="24"/>
                <w:highlight w:val="none"/>
              </w:rPr>
              <w:t xml:space="preserve">或低于 </w:t>
            </w:r>
            <w:r>
              <w:rPr>
                <w:rFonts w:ascii="Times New Roman" w:hAnsi="Times New Roman" w:eastAsia="Times New Roman"/>
                <w:sz w:val="24"/>
                <w:highlight w:val="none"/>
              </w:rPr>
              <w:t>8℃</w:t>
            </w:r>
            <w:r>
              <w:rPr>
                <w:spacing w:val="1"/>
                <w:sz w:val="24"/>
                <w:highlight w:val="none"/>
              </w:rPr>
              <w:t xml:space="preserve">的条件下存放。在 </w:t>
            </w:r>
            <w:r>
              <w:rPr>
                <w:rFonts w:ascii="Times New Roman" w:hAnsi="Times New Roman" w:eastAsia="Times New Roman"/>
                <w:spacing w:val="-70"/>
                <w:sz w:val="24"/>
                <w:highlight w:val="none"/>
              </w:rPr>
              <w:t>8℃</w:t>
            </w:r>
            <w:r>
              <w:rPr>
                <w:spacing w:val="-70"/>
                <w:sz w:val="24"/>
                <w:highlight w:val="none"/>
              </w:rPr>
              <w:t xml:space="preserve">～ </w:t>
            </w:r>
            <w:r>
              <w:rPr>
                <w:rFonts w:ascii="Times New Roman" w:hAnsi="Times New Roman" w:eastAsia="Times New Roman"/>
                <w:sz w:val="24"/>
                <w:highlight w:val="none"/>
              </w:rPr>
              <w:t>60℃</w:t>
            </w:r>
            <w:r>
              <w:rPr>
                <w:spacing w:val="-2"/>
                <w:sz w:val="24"/>
                <w:highlight w:val="none"/>
              </w:rPr>
              <w:t xml:space="preserve">条件下存放超过 </w:t>
            </w:r>
            <w:r>
              <w:rPr>
                <w:rFonts w:ascii="Times New Roman" w:hAnsi="Times New Roman" w:eastAsia="Times New Roman"/>
                <w:sz w:val="24"/>
                <w:highlight w:val="none"/>
              </w:rPr>
              <w:t xml:space="preserve">2 </w:t>
            </w:r>
            <w:r>
              <w:rPr>
                <w:spacing w:val="-5"/>
                <w:sz w:val="24"/>
                <w:highlight w:val="none"/>
              </w:rPr>
              <w:t>小时，且未发生感官性状变化的，食用</w:t>
            </w:r>
          </w:p>
          <w:p>
            <w:pPr>
              <w:pStyle w:val="62"/>
              <w:rPr>
                <w:spacing w:val="-5"/>
                <w:sz w:val="24"/>
                <w:highlight w:val="none"/>
              </w:rPr>
            </w:pPr>
            <w:r>
              <w:rPr>
                <w:sz w:val="24"/>
                <w:highlight w:val="none"/>
              </w:rPr>
              <w:t>前应进行再加热。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center"/>
              <w:rPr>
                <w:rFonts w:ascii="Times New Roman" w:hAnsi="宋体" w:eastAsia="宋体" w:cs="宋体"/>
                <w:sz w:val="24"/>
                <w:highlight w:val="none"/>
                <w:lang w:val="zh-CN" w:eastAsia="zh-CN" w:bidi="zh-CN"/>
              </w:rPr>
            </w:pPr>
            <w:r>
              <w:rPr>
                <w:rFonts w:ascii="Times New Roman"/>
                <w:sz w:val="24"/>
                <w:highlight w:val="none"/>
              </w:rPr>
              <w:t>12</w:t>
            </w:r>
          </w:p>
        </w:tc>
        <w:tc>
          <w:tcPr>
            <w:tcW w:w="1399" w:type="dxa"/>
            <w:vMerge w:val="restart"/>
            <w:tcBorders>
              <w:left w:val="single" w:color="auto" w:sz="4" w:space="0"/>
              <w:right w:val="single" w:color="auto" w:sz="4" w:space="0"/>
            </w:tcBorders>
            <w:noWrap w:val="0"/>
            <w:vAlign w:val="center"/>
          </w:tcPr>
          <w:p>
            <w:pPr>
              <w:pStyle w:val="62"/>
              <w:jc w:val="center"/>
              <w:rPr>
                <w:rFonts w:ascii="宋体" w:hAnsi="宋体" w:eastAsia="宋体" w:cs="宋体"/>
                <w:sz w:val="24"/>
                <w:highlight w:val="none"/>
                <w:lang w:val="zh-CN" w:eastAsia="zh-CN" w:bidi="zh-CN"/>
              </w:rPr>
            </w:pPr>
            <w:r>
              <w:rPr>
                <w:sz w:val="24"/>
                <w:highlight w:val="none"/>
              </w:rPr>
              <w:t>食品留样管理</w:t>
            </w: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每餐次的食品成品应留样。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pacing w:val="8"/>
                <w:sz w:val="24"/>
                <w:highlight w:val="none"/>
              </w:rPr>
              <w:t>留样食品按照品种分别盛放于清洗消毒后的专用密闭容器</w:t>
            </w:r>
            <w:r>
              <w:rPr>
                <w:spacing w:val="-11"/>
                <w:sz w:val="24"/>
                <w:highlight w:val="none"/>
              </w:rPr>
              <w:t xml:space="preserve">内，在专用冷藏设备中冷藏存放 </w:t>
            </w:r>
            <w:r>
              <w:rPr>
                <w:rFonts w:ascii="Times New Roman" w:eastAsia="Times New Roman"/>
                <w:sz w:val="24"/>
                <w:highlight w:val="none"/>
              </w:rPr>
              <w:t xml:space="preserve">48 </w:t>
            </w:r>
            <w:r>
              <w:rPr>
                <w:spacing w:val="-7"/>
                <w:sz w:val="24"/>
                <w:highlight w:val="none"/>
              </w:rPr>
              <w:t>小时以上。每个品种的留样</w:t>
            </w:r>
          </w:p>
          <w:p>
            <w:pPr>
              <w:pStyle w:val="62"/>
              <w:rPr>
                <w:rFonts w:ascii="宋体" w:hAnsi="宋体" w:eastAsia="宋体" w:cs="宋体"/>
                <w:sz w:val="24"/>
                <w:highlight w:val="none"/>
                <w:lang w:val="zh-CN" w:eastAsia="zh-CN" w:bidi="zh-CN"/>
              </w:rPr>
            </w:pPr>
            <w:r>
              <w:rPr>
                <w:sz w:val="24"/>
                <w:highlight w:val="none"/>
              </w:rPr>
              <w:t xml:space="preserve">量应能满足检验检测需要，且不少于 </w:t>
            </w:r>
            <w:r>
              <w:rPr>
                <w:rFonts w:ascii="Times New Roman" w:eastAsia="Times New Roman"/>
                <w:sz w:val="24"/>
                <w:highlight w:val="none"/>
              </w:rPr>
              <w:t>125g</w:t>
            </w: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在盛放留样食品的容器上应标注留样食品名称、留样时间</w:t>
            </w:r>
          </w:p>
          <w:p>
            <w:pPr>
              <w:pStyle w:val="62"/>
              <w:rPr>
                <w:rFonts w:ascii="宋体" w:hAnsi="宋体" w:eastAsia="宋体" w:cs="宋体"/>
                <w:sz w:val="24"/>
                <w:highlight w:val="none"/>
                <w:lang w:val="zh-CN" w:eastAsia="zh-CN" w:bidi="zh-CN"/>
              </w:rPr>
            </w:pPr>
            <w:r>
              <w:rPr>
                <w:sz w:val="24"/>
                <w:highlight w:val="none"/>
              </w:rPr>
              <w:t>（月、日、时），或者标注与留样记录相对应的标识。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由专人管理留样食品、记录留样情况，记录内容包括留样食品名称、留样时间（月、日、时）、留样人员等。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both"/>
              <w:rPr>
                <w:rFonts w:ascii="Times New Roman" w:hAnsi="宋体" w:eastAsia="宋体" w:cs="宋体"/>
                <w:sz w:val="24"/>
                <w:highlight w:val="none"/>
                <w:lang w:val="zh-CN" w:eastAsia="zh-CN" w:bidi="zh-CN"/>
              </w:rPr>
            </w:pPr>
            <w:r>
              <w:rPr>
                <w:rFonts w:ascii="Times New Roman"/>
                <w:sz w:val="24"/>
                <w:highlight w:val="none"/>
              </w:rPr>
              <w:t>13</w:t>
            </w:r>
          </w:p>
        </w:tc>
        <w:tc>
          <w:tcPr>
            <w:tcW w:w="1399" w:type="dxa"/>
            <w:vMerge w:val="restart"/>
            <w:tcBorders>
              <w:left w:val="single" w:color="auto" w:sz="4" w:space="0"/>
              <w:right w:val="single" w:color="auto" w:sz="4" w:space="0"/>
            </w:tcBorders>
            <w:noWrap w:val="0"/>
            <w:vAlign w:val="center"/>
          </w:tcPr>
          <w:p>
            <w:pPr>
              <w:pStyle w:val="62"/>
              <w:jc w:val="both"/>
              <w:rPr>
                <w:rFonts w:ascii="宋体" w:hAnsi="宋体" w:eastAsia="宋体" w:cs="宋体"/>
                <w:sz w:val="24"/>
                <w:highlight w:val="none"/>
                <w:lang w:val="zh-CN" w:eastAsia="zh-CN" w:bidi="zh-CN"/>
              </w:rPr>
            </w:pPr>
            <w:r>
              <w:rPr>
                <w:sz w:val="24"/>
                <w:highlight w:val="none"/>
              </w:rPr>
              <w:t>供餐管理</w:t>
            </w: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分派菜肴、整理造型的工具使用前应清洗消毒。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加工制作围边、盘花等的材料应符合食品安全要求，使用前应清洗消毒。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供餐过程中，应对食品采取有效防护措施，避免食品受到污</w:t>
            </w:r>
          </w:p>
          <w:p>
            <w:pPr>
              <w:pStyle w:val="62"/>
              <w:rPr>
                <w:rFonts w:ascii="宋体" w:hAnsi="宋体" w:eastAsia="宋体" w:cs="宋体"/>
                <w:sz w:val="24"/>
                <w:highlight w:val="none"/>
                <w:lang w:val="zh-CN" w:eastAsia="zh-CN" w:bidi="zh-CN"/>
              </w:rPr>
            </w:pPr>
            <w:r>
              <w:rPr>
                <w:sz w:val="24"/>
                <w:highlight w:val="none"/>
              </w:rPr>
              <w:t>染；应使用清洁的托盘等工具，避免从业人员的手部直接接触食品。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both"/>
              <w:rPr>
                <w:rFonts w:ascii="Times New Roman" w:hAnsi="宋体" w:eastAsia="宋体" w:cs="宋体"/>
                <w:sz w:val="24"/>
                <w:highlight w:val="none"/>
                <w:lang w:val="zh-CN" w:eastAsia="zh-CN" w:bidi="zh-CN"/>
              </w:rPr>
            </w:pPr>
            <w:r>
              <w:rPr>
                <w:rFonts w:ascii="Times New Roman"/>
                <w:sz w:val="24"/>
                <w:highlight w:val="none"/>
              </w:rPr>
              <w:t>14</w:t>
            </w:r>
          </w:p>
        </w:tc>
        <w:tc>
          <w:tcPr>
            <w:tcW w:w="1399" w:type="dxa"/>
            <w:vMerge w:val="restart"/>
            <w:tcBorders>
              <w:left w:val="single" w:color="auto" w:sz="4" w:space="0"/>
              <w:right w:val="single" w:color="auto" w:sz="4" w:space="0"/>
            </w:tcBorders>
            <w:noWrap w:val="0"/>
            <w:vAlign w:val="center"/>
          </w:tcPr>
          <w:p>
            <w:pPr>
              <w:pStyle w:val="62"/>
              <w:jc w:val="both"/>
              <w:rPr>
                <w:rFonts w:ascii="宋体" w:hAnsi="宋体" w:eastAsia="宋体" w:cs="宋体"/>
                <w:sz w:val="24"/>
                <w:highlight w:val="none"/>
                <w:lang w:val="zh-CN" w:eastAsia="zh-CN" w:bidi="zh-CN"/>
              </w:rPr>
            </w:pPr>
            <w:r>
              <w:rPr>
                <w:sz w:val="24"/>
                <w:highlight w:val="none"/>
              </w:rPr>
              <w:t>餐用具清洗消毒和保洁管理</w:t>
            </w: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餐用具使用后应及时洗净，餐饮具、盛放或接触直接入口食品的容器和工具使用前应消毒。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餐用具消毒设备（如自动消毒碗柜等）应连接电源，正常运</w:t>
            </w:r>
          </w:p>
          <w:p>
            <w:pPr>
              <w:pStyle w:val="62"/>
              <w:rPr>
                <w:rFonts w:ascii="宋体" w:hAnsi="宋体" w:eastAsia="宋体" w:cs="宋体"/>
                <w:sz w:val="24"/>
                <w:highlight w:val="none"/>
                <w:lang w:val="zh-CN" w:eastAsia="zh-CN" w:bidi="zh-CN"/>
              </w:rPr>
            </w:pPr>
            <w:r>
              <w:rPr>
                <w:sz w:val="24"/>
                <w:highlight w:val="none"/>
              </w:rPr>
              <w:t>转。定期检查餐用具消毒设备或设施的运行状态。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宜沥干、烘干清洗消毒后的餐用具，使用抹布擦干的，抹布</w:t>
            </w:r>
          </w:p>
          <w:p>
            <w:pPr>
              <w:pStyle w:val="62"/>
              <w:rPr>
                <w:rFonts w:ascii="宋体" w:hAnsi="宋体" w:eastAsia="宋体" w:cs="宋体"/>
                <w:sz w:val="24"/>
                <w:highlight w:val="none"/>
                <w:lang w:val="zh-CN" w:eastAsia="zh-CN" w:bidi="zh-CN"/>
              </w:rPr>
            </w:pPr>
            <w:r>
              <w:rPr>
                <w:sz w:val="24"/>
                <w:highlight w:val="none"/>
              </w:rPr>
              <w:t>应专用，并经清洗消毒后方可使用。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不得重复使用一次性餐饮具。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sz w:val="24"/>
                <w:highlight w:val="none"/>
              </w:rPr>
            </w:pPr>
            <w:r>
              <w:rPr>
                <w:sz w:val="24"/>
                <w:highlight w:val="none"/>
              </w:rPr>
              <w:t>消毒后的餐饮具、盛放或接触直接入口食品的容器和工具，</w:t>
            </w:r>
          </w:p>
          <w:p>
            <w:pPr>
              <w:pStyle w:val="62"/>
              <w:rPr>
                <w:rFonts w:ascii="宋体" w:hAnsi="宋体" w:eastAsia="宋体" w:cs="宋体"/>
                <w:sz w:val="24"/>
                <w:highlight w:val="none"/>
                <w:lang w:val="zh-CN" w:eastAsia="zh-CN" w:bidi="zh-CN"/>
              </w:rPr>
            </w:pPr>
            <w:r>
              <w:rPr>
                <w:sz w:val="24"/>
                <w:highlight w:val="none"/>
              </w:rPr>
              <w:t>应定位存放在专用的密闭保洁设施内，保持清洁。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保洁设施应正常运转，有明显的区分标识。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rPr>
                <w:sz w:val="2"/>
                <w:szCs w:val="2"/>
                <w:highlight w:val="none"/>
              </w:rPr>
            </w:pPr>
          </w:p>
        </w:tc>
        <w:tc>
          <w:tcPr>
            <w:tcW w:w="1399" w:type="dxa"/>
            <w:vMerge w:val="continue"/>
            <w:tcBorders>
              <w:left w:val="single" w:color="auto" w:sz="4" w:space="0"/>
              <w:right w:val="single" w:color="auto" w:sz="4" w:space="0"/>
            </w:tcBorders>
            <w:noWrap w:val="0"/>
            <w:vAlign w:val="top"/>
          </w:tcPr>
          <w:p>
            <w:pPr>
              <w:rPr>
                <w:sz w:val="2"/>
                <w:szCs w:val="2"/>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定期清洁保洁设施，防止清洗消毒后的餐用具受到污染。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left w:val="single" w:color="auto" w:sz="4" w:space="0"/>
              <w:right w:val="single" w:color="auto" w:sz="4" w:space="0"/>
            </w:tcBorders>
            <w:noWrap w:val="0"/>
            <w:vAlign w:val="center"/>
          </w:tcPr>
          <w:p>
            <w:pPr>
              <w:pStyle w:val="62"/>
              <w:jc w:val="center"/>
              <w:rPr>
                <w:rFonts w:ascii="Times New Roman" w:hAnsi="宋体" w:eastAsia="宋体" w:cs="宋体"/>
                <w:sz w:val="24"/>
                <w:highlight w:val="none"/>
                <w:lang w:val="zh-CN" w:eastAsia="zh-CN" w:bidi="zh-CN"/>
              </w:rPr>
            </w:pPr>
            <w:r>
              <w:rPr>
                <w:rFonts w:ascii="Times New Roman"/>
                <w:sz w:val="24"/>
                <w:highlight w:val="none"/>
              </w:rPr>
              <w:t>15</w:t>
            </w:r>
          </w:p>
        </w:tc>
        <w:tc>
          <w:tcPr>
            <w:tcW w:w="1399" w:type="dxa"/>
            <w:vMerge w:val="restart"/>
            <w:tcBorders>
              <w:left w:val="single" w:color="auto" w:sz="4" w:space="0"/>
              <w:right w:val="single" w:color="auto" w:sz="4" w:space="0"/>
            </w:tcBorders>
            <w:noWrap w:val="0"/>
            <w:vAlign w:val="center"/>
          </w:tcPr>
          <w:p>
            <w:pPr>
              <w:pStyle w:val="62"/>
              <w:jc w:val="center"/>
              <w:rPr>
                <w:rFonts w:ascii="宋体" w:hAnsi="宋体" w:eastAsia="宋体" w:cs="宋体"/>
                <w:sz w:val="24"/>
                <w:highlight w:val="none"/>
                <w:lang w:val="zh-CN" w:eastAsia="zh-CN" w:bidi="zh-CN"/>
              </w:rPr>
            </w:pPr>
            <w:r>
              <w:rPr>
                <w:sz w:val="24"/>
                <w:highlight w:val="none"/>
              </w:rPr>
              <w:t>废弃物处置管理</w:t>
            </w: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餐厨废弃物分类放置、及时清理，不得溢出存放容器。餐厨废弃物的存放容器应及时清洁，必要时进行消毒。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62"/>
              <w:rPr>
                <w:rFonts w:ascii="Times New Roman"/>
                <w:sz w:val="24"/>
                <w:highlight w:val="none"/>
              </w:rPr>
            </w:pPr>
          </w:p>
        </w:tc>
        <w:tc>
          <w:tcPr>
            <w:tcW w:w="1399" w:type="dxa"/>
            <w:vMerge w:val="continue"/>
            <w:tcBorders>
              <w:left w:val="single" w:color="auto" w:sz="4" w:space="0"/>
              <w:right w:val="single" w:color="auto" w:sz="4" w:space="0"/>
            </w:tcBorders>
            <w:noWrap w:val="0"/>
            <w:vAlign w:val="top"/>
          </w:tcPr>
          <w:p>
            <w:pPr>
              <w:pStyle w:val="62"/>
              <w:rPr>
                <w:sz w:val="24"/>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z w:val="24"/>
                <w:highlight w:val="none"/>
              </w:rPr>
              <w:t>索取并留存餐厨废弃物收运者的资质证明复印件（需加盖收运者公章或由收运者签字），并与其签订收运合同，明确各自的食品安全责任和义务。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bottom w:val="single" w:color="auto" w:sz="4" w:space="0"/>
              <w:right w:val="single" w:color="auto" w:sz="4" w:space="0"/>
            </w:tcBorders>
            <w:noWrap w:val="0"/>
            <w:vAlign w:val="top"/>
          </w:tcPr>
          <w:p>
            <w:pPr>
              <w:pStyle w:val="62"/>
              <w:rPr>
                <w:rFonts w:ascii="Times New Roman"/>
                <w:sz w:val="24"/>
                <w:highlight w:val="none"/>
              </w:rPr>
            </w:pPr>
          </w:p>
        </w:tc>
        <w:tc>
          <w:tcPr>
            <w:tcW w:w="1399" w:type="dxa"/>
            <w:vMerge w:val="continue"/>
            <w:tcBorders>
              <w:left w:val="single" w:color="auto" w:sz="4" w:space="0"/>
              <w:bottom w:val="single" w:color="auto" w:sz="4" w:space="0"/>
              <w:right w:val="single" w:color="auto" w:sz="4" w:space="0"/>
            </w:tcBorders>
            <w:noWrap w:val="0"/>
            <w:vAlign w:val="top"/>
          </w:tcPr>
          <w:p>
            <w:pPr>
              <w:pStyle w:val="62"/>
              <w:rPr>
                <w:sz w:val="24"/>
                <w:highlight w:val="none"/>
              </w:rPr>
            </w:pPr>
          </w:p>
        </w:tc>
        <w:tc>
          <w:tcPr>
            <w:tcW w:w="0" w:type="auto"/>
            <w:noWrap w:val="0"/>
            <w:vAlign w:val="top"/>
          </w:tcPr>
          <w:p>
            <w:pPr>
              <w:pStyle w:val="62"/>
              <w:rPr>
                <w:rFonts w:ascii="宋体" w:hAnsi="宋体" w:eastAsia="宋体" w:cs="宋体"/>
                <w:sz w:val="24"/>
                <w:highlight w:val="none"/>
                <w:lang w:val="zh-CN" w:eastAsia="zh-CN" w:bidi="zh-CN"/>
              </w:rPr>
            </w:pPr>
            <w:r>
              <w:rPr>
                <w:spacing w:val="-8"/>
                <w:sz w:val="24"/>
                <w:highlight w:val="none"/>
              </w:rPr>
              <w:t>建立餐厨废弃物处置台账，详细记录餐厨废弃物的处置时间、</w:t>
            </w:r>
            <w:r>
              <w:rPr>
                <w:sz w:val="24"/>
                <w:highlight w:val="none"/>
              </w:rPr>
              <w:t>种类、数量、收运者等信息。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restart"/>
            <w:tcBorders>
              <w:top w:val="single" w:color="auto" w:sz="4" w:space="0"/>
              <w:left w:val="single" w:color="auto" w:sz="4" w:space="0"/>
              <w:right w:val="single" w:color="auto" w:sz="4" w:space="0"/>
            </w:tcBorders>
            <w:noWrap w:val="0"/>
            <w:vAlign w:val="center"/>
          </w:tcPr>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b/>
                <w:sz w:val="26"/>
                <w:highlight w:val="none"/>
              </w:rPr>
            </w:pPr>
          </w:p>
          <w:p>
            <w:pPr>
              <w:pStyle w:val="62"/>
              <w:spacing w:line="360" w:lineRule="auto"/>
              <w:jc w:val="center"/>
              <w:rPr>
                <w:rFonts w:ascii="Times New Roman" w:hAnsi="宋体" w:eastAsia="宋体" w:cs="宋体"/>
                <w:sz w:val="24"/>
                <w:highlight w:val="none"/>
                <w:lang w:val="zh-CN" w:eastAsia="zh-CN" w:bidi="zh-CN"/>
              </w:rPr>
            </w:pPr>
            <w:r>
              <w:rPr>
                <w:rFonts w:ascii="Times New Roman"/>
                <w:sz w:val="24"/>
                <w:highlight w:val="none"/>
              </w:rPr>
              <w:t>16</w:t>
            </w:r>
          </w:p>
        </w:tc>
        <w:tc>
          <w:tcPr>
            <w:tcW w:w="1399" w:type="dxa"/>
            <w:vMerge w:val="restart"/>
            <w:tcBorders>
              <w:top w:val="single" w:color="auto" w:sz="4" w:space="0"/>
              <w:left w:val="single" w:color="auto" w:sz="4" w:space="0"/>
              <w:right w:val="single" w:color="auto" w:sz="4" w:space="0"/>
            </w:tcBorders>
            <w:noWrap w:val="0"/>
            <w:vAlign w:val="top"/>
          </w:tcPr>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b/>
                <w:sz w:val="24"/>
                <w:highlight w:val="none"/>
              </w:rPr>
            </w:pPr>
          </w:p>
          <w:p>
            <w:pPr>
              <w:pStyle w:val="62"/>
              <w:spacing w:line="360" w:lineRule="auto"/>
              <w:rPr>
                <w:rFonts w:ascii="宋体" w:hAnsi="宋体" w:eastAsia="宋体" w:cs="宋体"/>
                <w:sz w:val="24"/>
                <w:highlight w:val="none"/>
                <w:lang w:val="zh-CN" w:eastAsia="zh-CN" w:bidi="zh-CN"/>
              </w:rPr>
            </w:pPr>
            <w:r>
              <w:rPr>
                <w:sz w:val="24"/>
                <w:highlight w:val="none"/>
              </w:rPr>
              <w:t>从业人员管理</w:t>
            </w:r>
          </w:p>
        </w:tc>
        <w:tc>
          <w:tcPr>
            <w:tcW w:w="0" w:type="auto"/>
            <w:noWrap w:val="0"/>
            <w:vAlign w:val="top"/>
          </w:tcPr>
          <w:p>
            <w:pPr>
              <w:pStyle w:val="62"/>
              <w:spacing w:line="360" w:lineRule="auto"/>
              <w:rPr>
                <w:sz w:val="24"/>
                <w:highlight w:val="none"/>
              </w:rPr>
            </w:pPr>
            <w:r>
              <w:rPr>
                <w:sz w:val="24"/>
                <w:highlight w:val="none"/>
              </w:rPr>
              <w:t>患有发热、腹泻、咽部炎症等病症及皮肤有伤口或感染的从业人员，应主动向食品安全管理人员等报告，暂停从事接触直接入口食品的工作，必要时进行临时健康检查，待查明原因并</w:t>
            </w:r>
          </w:p>
          <w:p>
            <w:pPr>
              <w:pStyle w:val="62"/>
              <w:rPr>
                <w:sz w:val="24"/>
                <w:highlight w:val="none"/>
              </w:rPr>
            </w:pPr>
            <w:r>
              <w:rPr>
                <w:sz w:val="24"/>
                <w:highlight w:val="none"/>
              </w:rPr>
              <w:t>将有碍食品安全的疾病治愈后方可重新上岗。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vMerge w:val="continue"/>
            <w:tcBorders>
              <w:left w:val="single" w:color="auto" w:sz="4" w:space="0"/>
              <w:right w:val="single" w:color="auto" w:sz="4" w:space="0"/>
            </w:tcBorders>
            <w:noWrap w:val="0"/>
            <w:vAlign w:val="top"/>
          </w:tcPr>
          <w:p>
            <w:pPr>
              <w:pStyle w:val="62"/>
              <w:rPr>
                <w:rFonts w:ascii="Times New Roman"/>
                <w:sz w:val="24"/>
                <w:highlight w:val="none"/>
              </w:rPr>
            </w:pPr>
          </w:p>
        </w:tc>
        <w:tc>
          <w:tcPr>
            <w:tcW w:w="1399" w:type="dxa"/>
            <w:vMerge w:val="continue"/>
            <w:tcBorders>
              <w:left w:val="single" w:color="auto" w:sz="4" w:space="0"/>
              <w:right w:val="single" w:color="auto" w:sz="4" w:space="0"/>
            </w:tcBorders>
            <w:noWrap w:val="0"/>
            <w:vAlign w:val="top"/>
          </w:tcPr>
          <w:p>
            <w:pPr>
              <w:pStyle w:val="62"/>
              <w:rPr>
                <w:sz w:val="24"/>
                <w:highlight w:val="none"/>
              </w:rPr>
            </w:pPr>
          </w:p>
        </w:tc>
        <w:tc>
          <w:tcPr>
            <w:tcW w:w="0" w:type="auto"/>
            <w:noWrap w:val="0"/>
            <w:vAlign w:val="top"/>
          </w:tcPr>
          <w:p>
            <w:pPr>
              <w:pStyle w:val="62"/>
              <w:spacing w:line="360" w:lineRule="auto"/>
              <w:rPr>
                <w:sz w:val="24"/>
                <w:highlight w:val="none"/>
              </w:rPr>
            </w:pPr>
            <w:r>
              <w:rPr>
                <w:sz w:val="24"/>
                <w:highlight w:val="none"/>
              </w:rPr>
              <w:t>患有霍乱、细菌性和阿米巴性痢疾、伤寒和副伤寒、病毒性肝炎（甲型、戊型）、活动性肺结核、化脓性或者渗出性皮肤病等国务院卫生行政部门规定的有碍食品安全疾病的人员，不</w:t>
            </w:r>
          </w:p>
          <w:p>
            <w:pPr>
              <w:pStyle w:val="62"/>
              <w:spacing w:line="360" w:lineRule="auto"/>
              <w:rPr>
                <w:rFonts w:ascii="宋体" w:hAnsi="宋体" w:eastAsia="宋体" w:cs="宋体"/>
                <w:sz w:val="24"/>
                <w:highlight w:val="none"/>
                <w:lang w:val="zh-CN" w:eastAsia="zh-CN" w:bidi="zh-CN"/>
              </w:rPr>
            </w:pPr>
            <w:r>
              <w:rPr>
                <w:sz w:val="24"/>
                <w:highlight w:val="none"/>
              </w:rPr>
              <w:t>得从事接触直接入口食品的工作。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004" w:type="dxa"/>
            <w:vMerge w:val="continue"/>
            <w:tcBorders>
              <w:left w:val="single" w:color="auto" w:sz="4" w:space="0"/>
              <w:bottom w:val="single" w:color="auto" w:sz="4" w:space="0"/>
              <w:right w:val="single" w:color="auto" w:sz="4" w:space="0"/>
            </w:tcBorders>
            <w:noWrap w:val="0"/>
            <w:vAlign w:val="top"/>
          </w:tcPr>
          <w:p>
            <w:pPr>
              <w:pStyle w:val="62"/>
              <w:rPr>
                <w:rFonts w:ascii="Times New Roman"/>
                <w:sz w:val="24"/>
                <w:highlight w:val="none"/>
              </w:rPr>
            </w:pPr>
          </w:p>
        </w:tc>
        <w:tc>
          <w:tcPr>
            <w:tcW w:w="1399" w:type="dxa"/>
            <w:vMerge w:val="continue"/>
            <w:tcBorders>
              <w:left w:val="single" w:color="auto" w:sz="4" w:space="0"/>
              <w:right w:val="single" w:color="auto" w:sz="4" w:space="0"/>
            </w:tcBorders>
            <w:noWrap w:val="0"/>
            <w:vAlign w:val="top"/>
          </w:tcPr>
          <w:p>
            <w:pPr>
              <w:pStyle w:val="62"/>
              <w:rPr>
                <w:sz w:val="24"/>
                <w:highlight w:val="none"/>
              </w:rPr>
            </w:pPr>
          </w:p>
        </w:tc>
        <w:tc>
          <w:tcPr>
            <w:tcW w:w="0" w:type="auto"/>
            <w:noWrap w:val="0"/>
            <w:vAlign w:val="top"/>
          </w:tcPr>
          <w:p>
            <w:pPr>
              <w:pStyle w:val="62"/>
              <w:spacing w:line="360" w:lineRule="auto"/>
              <w:rPr>
                <w:sz w:val="24"/>
                <w:highlight w:val="none"/>
              </w:rPr>
            </w:pPr>
            <w:r>
              <w:rPr>
                <w:sz w:val="24"/>
                <w:highlight w:val="none"/>
              </w:rPr>
              <w:t>从业人员应根据采购人要求提交“健康证”，在加工制作食品前，应洗净手部。加工制作过程中，应保持手部清洁。出现下列情形时，应重新洗净手部：</w:t>
            </w:r>
          </w:p>
          <w:p>
            <w:pPr>
              <w:pStyle w:val="62"/>
              <w:spacing w:line="360" w:lineRule="auto"/>
              <w:rPr>
                <w:sz w:val="24"/>
                <w:highlight w:val="none"/>
              </w:rPr>
            </w:pPr>
            <w:r>
              <w:rPr>
                <w:rFonts w:ascii="Times New Roman" w:eastAsia="Times New Roman"/>
                <w:sz w:val="24"/>
                <w:highlight w:val="none"/>
              </w:rPr>
              <w:t>1</w:t>
            </w:r>
            <w:r>
              <w:rPr>
                <w:sz w:val="24"/>
                <w:highlight w:val="none"/>
              </w:rPr>
              <w:t>、加工制作不同存在形式的食品前；</w:t>
            </w:r>
          </w:p>
          <w:p>
            <w:pPr>
              <w:pStyle w:val="62"/>
              <w:spacing w:line="360" w:lineRule="auto"/>
              <w:rPr>
                <w:sz w:val="24"/>
                <w:highlight w:val="none"/>
              </w:rPr>
            </w:pPr>
            <w:r>
              <w:rPr>
                <w:rFonts w:ascii="Times New Roman" w:eastAsia="Times New Roman"/>
                <w:sz w:val="24"/>
                <w:highlight w:val="none"/>
              </w:rPr>
              <w:t>2</w:t>
            </w:r>
            <w:r>
              <w:rPr>
                <w:sz w:val="24"/>
                <w:highlight w:val="none"/>
              </w:rPr>
              <w:t>、清理环境卫生、接触化学物品或不洁物品（落地的食品、</w:t>
            </w:r>
            <w:r>
              <w:rPr>
                <w:spacing w:val="-4"/>
                <w:sz w:val="24"/>
                <w:highlight w:val="none"/>
              </w:rPr>
              <w:t>受到污染的工具容器和设备、餐厨废弃物、钱币、手机等</w:t>
            </w:r>
            <w:r>
              <w:rPr>
                <w:spacing w:val="-20"/>
                <w:sz w:val="24"/>
                <w:highlight w:val="none"/>
              </w:rPr>
              <w:t>）</w:t>
            </w:r>
            <w:r>
              <w:rPr>
                <w:spacing w:val="-6"/>
                <w:sz w:val="24"/>
                <w:highlight w:val="none"/>
              </w:rPr>
              <w:t>后；</w:t>
            </w:r>
          </w:p>
          <w:p>
            <w:pPr>
              <w:pStyle w:val="62"/>
              <w:spacing w:line="360" w:lineRule="auto"/>
              <w:rPr>
                <w:rFonts w:ascii="宋体" w:hAnsi="宋体" w:eastAsia="宋体" w:cs="宋体"/>
                <w:sz w:val="24"/>
                <w:highlight w:val="none"/>
                <w:lang w:val="zh-CN" w:eastAsia="zh-CN" w:bidi="zh-CN"/>
              </w:rPr>
            </w:pPr>
            <w:r>
              <w:rPr>
                <w:rFonts w:ascii="Times New Roman" w:eastAsia="Times New Roman"/>
                <w:sz w:val="24"/>
                <w:highlight w:val="none"/>
              </w:rPr>
              <w:t>3</w:t>
            </w:r>
            <w:r>
              <w:rPr>
                <w:sz w:val="24"/>
                <w:highlight w:val="none"/>
              </w:rPr>
              <w:t>、咳嗽、打喷嚏及擤鼻涕后。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04" w:type="dxa"/>
            <w:tcBorders>
              <w:top w:val="single" w:color="auto" w:sz="4" w:space="0"/>
              <w:left w:val="single" w:color="auto" w:sz="4" w:space="0"/>
              <w:right w:val="single" w:color="auto" w:sz="4" w:space="0"/>
            </w:tcBorders>
            <w:noWrap w:val="0"/>
            <w:vAlign w:val="top"/>
          </w:tcPr>
          <w:p>
            <w:pPr>
              <w:pStyle w:val="62"/>
              <w:rPr>
                <w:rFonts w:ascii="Times New Roman"/>
                <w:sz w:val="24"/>
                <w:highlight w:val="none"/>
              </w:rPr>
            </w:pPr>
          </w:p>
        </w:tc>
        <w:tc>
          <w:tcPr>
            <w:tcW w:w="1399" w:type="dxa"/>
            <w:tcBorders>
              <w:left w:val="single" w:color="auto" w:sz="4" w:space="0"/>
              <w:right w:val="single" w:color="auto" w:sz="4" w:space="0"/>
            </w:tcBorders>
            <w:noWrap w:val="0"/>
            <w:vAlign w:val="top"/>
          </w:tcPr>
          <w:p>
            <w:pPr>
              <w:pStyle w:val="62"/>
              <w:rPr>
                <w:sz w:val="24"/>
                <w:highlight w:val="none"/>
              </w:rPr>
            </w:pPr>
          </w:p>
        </w:tc>
        <w:tc>
          <w:tcPr>
            <w:tcW w:w="0" w:type="auto"/>
            <w:noWrap w:val="0"/>
            <w:vAlign w:val="top"/>
          </w:tcPr>
          <w:p>
            <w:pPr>
              <w:pStyle w:val="62"/>
              <w:spacing w:line="360" w:lineRule="auto"/>
              <w:rPr>
                <w:rFonts w:ascii="宋体" w:hAnsi="宋体" w:eastAsia="宋体" w:cs="宋体"/>
                <w:sz w:val="24"/>
                <w:highlight w:val="none"/>
                <w:lang w:val="zh-CN" w:eastAsia="zh-CN" w:bidi="zh-CN"/>
              </w:rPr>
            </w:pPr>
            <w:r>
              <w:rPr>
                <w:sz w:val="24"/>
                <w:highlight w:val="none"/>
              </w:rPr>
              <w:t>专间内从业人员离开专间时，应脱去专间专用工作服。</w:t>
            </w:r>
          </w:p>
        </w:tc>
      </w:tr>
    </w:tbl>
    <w:p>
      <w:pPr>
        <w:pStyle w:val="60"/>
        <w:tabs>
          <w:tab w:val="left" w:pos="1634"/>
        </w:tabs>
        <w:spacing w:before="71" w:line="360" w:lineRule="auto"/>
        <w:ind w:left="0" w:leftChars="0" w:firstLine="0" w:firstLineChars="0"/>
        <w:rPr>
          <w:rFonts w:hint="eastAsia"/>
          <w:b/>
          <w:sz w:val="28"/>
          <w:highlight w:val="none"/>
        </w:rPr>
      </w:pPr>
    </w:p>
    <w:p>
      <w:pPr>
        <w:pStyle w:val="60"/>
        <w:tabs>
          <w:tab w:val="left" w:pos="1634"/>
        </w:tabs>
        <w:spacing w:before="71" w:line="360" w:lineRule="auto"/>
        <w:ind w:left="420" w:leftChars="200" w:firstLine="0" w:firstLineChars="0"/>
        <w:rPr>
          <w:b/>
          <w:sz w:val="28"/>
          <w:highlight w:val="none"/>
        </w:rPr>
      </w:pPr>
      <w:r>
        <w:rPr>
          <w:rFonts w:hint="eastAsia"/>
          <w:b/>
          <w:sz w:val="28"/>
          <w:highlight w:val="none"/>
        </w:rPr>
        <w:t>（四）</w:t>
      </w:r>
      <w:r>
        <w:rPr>
          <w:b/>
          <w:sz w:val="28"/>
          <w:highlight w:val="none"/>
        </w:rPr>
        <w:t>监督、考核要求</w:t>
      </w:r>
    </w:p>
    <w:p>
      <w:pPr>
        <w:pStyle w:val="60"/>
        <w:tabs>
          <w:tab w:val="left" w:pos="1564"/>
        </w:tabs>
        <w:spacing w:line="360" w:lineRule="auto"/>
        <w:ind w:firstLine="468"/>
        <w:rPr>
          <w:rFonts w:hint="eastAsia" w:ascii="宋体" w:hAnsi="宋体" w:cs="宋体"/>
          <w:sz w:val="24"/>
          <w:highlight w:val="none"/>
        </w:rPr>
      </w:pPr>
      <w:r>
        <w:rPr>
          <w:rFonts w:hint="eastAsia" w:ascii="宋体" w:hAnsi="宋体" w:cs="宋体"/>
          <w:spacing w:val="-3"/>
          <w:sz w:val="24"/>
          <w:highlight w:val="none"/>
        </w:rPr>
        <w:t>1、投标人应提供能够高效、全面地对投标人食堂服务进行评判、满意度调查、意见反馈及整改跟进的组织手段和设备。</w:t>
      </w:r>
    </w:p>
    <w:p>
      <w:pPr>
        <w:pStyle w:val="60"/>
        <w:tabs>
          <w:tab w:val="left" w:pos="1564"/>
        </w:tabs>
        <w:spacing w:line="360" w:lineRule="auto"/>
        <w:ind w:firstLine="436"/>
        <w:rPr>
          <w:sz w:val="28"/>
          <w:highlight w:val="none"/>
        </w:rPr>
      </w:pPr>
      <w:r>
        <w:rPr>
          <w:rFonts w:hint="eastAsia" w:ascii="宋体" w:hAnsi="宋体" w:cs="宋体"/>
          <w:spacing w:val="-11"/>
          <w:sz w:val="24"/>
          <w:highlight w:val="none"/>
        </w:rPr>
        <w:t>2、食堂实行政府食品安全主管部门、采购人、投标人进行三重监</w:t>
      </w:r>
      <w:r>
        <w:rPr>
          <w:rFonts w:hint="eastAsia" w:ascii="宋体" w:hAnsi="宋体" w:cs="宋体"/>
          <w:spacing w:val="-5"/>
          <w:sz w:val="24"/>
          <w:highlight w:val="none"/>
        </w:rPr>
        <w:t>管，监管的内容包括重点项、一般项、现场精细化管理项三个方面。</w:t>
      </w:r>
      <w:r>
        <w:rPr>
          <w:rFonts w:hint="eastAsia" w:ascii="宋体" w:hAnsi="宋体" w:cs="宋体"/>
          <w:spacing w:val="-4"/>
          <w:sz w:val="24"/>
          <w:highlight w:val="none"/>
        </w:rPr>
        <w:t>重点项为食品安全包括原料、半成品、成品存放和使用，盛用具、餐</w:t>
      </w:r>
      <w:r>
        <w:rPr>
          <w:rFonts w:hint="eastAsia" w:ascii="宋体" w:hAnsi="宋体" w:cs="宋体"/>
          <w:spacing w:val="-13"/>
          <w:sz w:val="24"/>
          <w:highlight w:val="none"/>
        </w:rPr>
        <w:t>具存放和使用，设备、设施和其他操作规范、冰箱、冷库管理等内容；</w:t>
      </w:r>
      <w:r>
        <w:rPr>
          <w:rFonts w:hint="eastAsia" w:ascii="宋体" w:hAnsi="宋体" w:cs="宋体"/>
          <w:sz w:val="24"/>
          <w:highlight w:val="none"/>
        </w:rPr>
        <w:t>一般项包括员工日常管理、员工操作规范要求、环境卫生要求等；现场精细化管理包括办公室管理、卫生间管理、餐厅管理等。监管应充分发挥考核“监督、检查、牵引、推动”职能作用，确保食堂安全管理特别是食品安全“零事故”。</w:t>
      </w:r>
    </w:p>
    <w:p>
      <w:pPr>
        <w:pStyle w:val="60"/>
        <w:tabs>
          <w:tab w:val="left" w:pos="1569"/>
        </w:tabs>
        <w:spacing w:line="360" w:lineRule="auto"/>
        <w:ind w:firstLine="496"/>
        <w:jc w:val="left"/>
        <w:rPr>
          <w:rFonts w:hint="eastAsia" w:ascii="宋体" w:hAnsi="宋体" w:cs="宋体"/>
          <w:sz w:val="24"/>
          <w:highlight w:val="none"/>
        </w:rPr>
      </w:pPr>
      <w:r>
        <w:rPr>
          <w:rFonts w:hint="eastAsia" w:ascii="宋体" w:hAnsi="宋体" w:cs="宋体"/>
          <w:spacing w:val="4"/>
          <w:sz w:val="24"/>
          <w:highlight w:val="none"/>
        </w:rPr>
        <w:t>3、投标人每季度开展一次采购人员工对食堂运营情况（</w:t>
      </w:r>
      <w:r>
        <w:rPr>
          <w:rFonts w:hint="eastAsia" w:ascii="宋体" w:hAnsi="宋体" w:cs="宋体"/>
          <w:spacing w:val="2"/>
          <w:sz w:val="24"/>
          <w:highlight w:val="none"/>
        </w:rPr>
        <w:t>菜品种</w:t>
      </w:r>
      <w:r>
        <w:rPr>
          <w:rFonts w:hint="eastAsia" w:ascii="宋体" w:hAnsi="宋体" w:cs="宋体"/>
          <w:spacing w:val="-3"/>
          <w:sz w:val="24"/>
          <w:highlight w:val="none"/>
        </w:rPr>
        <w:t>类、菜品味道、环境卫生、增值服务等</w:t>
      </w:r>
      <w:r>
        <w:rPr>
          <w:rFonts w:hint="eastAsia" w:ascii="宋体" w:hAnsi="宋体" w:cs="宋体"/>
          <w:sz w:val="24"/>
          <w:highlight w:val="none"/>
        </w:rPr>
        <w:t>）</w:t>
      </w:r>
      <w:r>
        <w:rPr>
          <w:rFonts w:hint="eastAsia" w:ascii="宋体" w:hAnsi="宋体" w:cs="宋体"/>
          <w:spacing w:val="-2"/>
          <w:sz w:val="24"/>
          <w:highlight w:val="none"/>
        </w:rPr>
        <w:t>的满意度调查；不定期接受</w:t>
      </w:r>
      <w:r>
        <w:rPr>
          <w:rFonts w:hint="eastAsia" w:ascii="宋体" w:hAnsi="宋体" w:cs="宋体"/>
          <w:spacing w:val="-11"/>
          <w:sz w:val="24"/>
          <w:highlight w:val="none"/>
        </w:rPr>
        <w:t>第三方满意度调查机构对投标人食堂运营情况进行综合</w:t>
      </w:r>
      <w:r>
        <w:rPr>
          <w:rFonts w:hint="eastAsia" w:ascii="宋体" w:hAnsi="宋体" w:cs="宋体"/>
          <w:spacing w:val="-10"/>
          <w:sz w:val="24"/>
          <w:highlight w:val="none"/>
        </w:rPr>
        <w:t>（配送服务、菜</w:t>
      </w:r>
      <w:r>
        <w:rPr>
          <w:rFonts w:hint="eastAsia" w:ascii="宋体" w:hAnsi="宋体" w:cs="宋体"/>
          <w:spacing w:val="-21"/>
          <w:sz w:val="24"/>
          <w:highlight w:val="none"/>
        </w:rPr>
        <w:t>品质量、食品安全管理、食堂环境卫生、日常考评情况等</w:t>
      </w:r>
      <w:r>
        <w:rPr>
          <w:rFonts w:hint="eastAsia" w:ascii="宋体" w:hAnsi="宋体" w:cs="宋体"/>
          <w:spacing w:val="-49"/>
          <w:sz w:val="24"/>
          <w:highlight w:val="none"/>
        </w:rPr>
        <w:t>）</w:t>
      </w:r>
      <w:r>
        <w:rPr>
          <w:rFonts w:hint="eastAsia" w:ascii="宋体" w:hAnsi="宋体" w:cs="宋体"/>
          <w:spacing w:val="-9"/>
          <w:sz w:val="24"/>
          <w:highlight w:val="none"/>
        </w:rPr>
        <w:t xml:space="preserve">满意度测评； </w:t>
      </w:r>
      <w:r>
        <w:rPr>
          <w:rFonts w:hint="eastAsia" w:ascii="宋体" w:hAnsi="宋体" w:cs="宋体"/>
          <w:spacing w:val="-3"/>
          <w:sz w:val="24"/>
          <w:highlight w:val="none"/>
        </w:rPr>
        <w:t>接受食品安全管理主管部门对投标人日常监督考核。</w:t>
      </w:r>
    </w:p>
    <w:p>
      <w:pPr>
        <w:pStyle w:val="60"/>
        <w:tabs>
          <w:tab w:val="left" w:pos="1538"/>
        </w:tabs>
        <w:spacing w:line="360" w:lineRule="auto"/>
        <w:ind w:firstLine="456"/>
        <w:rPr>
          <w:rFonts w:hint="eastAsia" w:ascii="宋体" w:hAnsi="宋体" w:cs="宋体"/>
          <w:sz w:val="24"/>
          <w:highlight w:val="none"/>
        </w:rPr>
      </w:pPr>
      <w:r>
        <w:rPr>
          <w:rFonts w:hint="eastAsia" w:ascii="宋体" w:hAnsi="宋体" w:cs="宋体"/>
          <w:spacing w:val="-6"/>
          <w:sz w:val="24"/>
          <w:highlight w:val="none"/>
        </w:rPr>
        <w:t>4、投标人应建立餐厅顾客投诉意见和满意度调查平台。统一顾客</w:t>
      </w:r>
      <w:r>
        <w:rPr>
          <w:rFonts w:hint="eastAsia" w:ascii="宋体" w:hAnsi="宋体" w:cs="宋体"/>
          <w:spacing w:val="-9"/>
          <w:sz w:val="24"/>
          <w:highlight w:val="none"/>
        </w:rPr>
        <w:t>投诉受理渠道</w:t>
      </w:r>
      <w:r>
        <w:rPr>
          <w:rFonts w:hint="eastAsia" w:ascii="宋体" w:hAnsi="宋体" w:cs="宋体"/>
          <w:spacing w:val="-4"/>
          <w:sz w:val="24"/>
          <w:highlight w:val="none"/>
        </w:rPr>
        <w:t>,</w:t>
      </w:r>
      <w:r>
        <w:rPr>
          <w:rFonts w:hint="eastAsia" w:ascii="宋体" w:hAnsi="宋体" w:cs="宋体"/>
          <w:spacing w:val="-8"/>
          <w:sz w:val="24"/>
          <w:highlight w:val="none"/>
        </w:rPr>
        <w:t>规范顾客投诉处理流程</w:t>
      </w:r>
      <w:r>
        <w:rPr>
          <w:rFonts w:hint="eastAsia" w:ascii="宋体" w:hAnsi="宋体" w:cs="宋体"/>
          <w:sz w:val="24"/>
          <w:highlight w:val="none"/>
        </w:rPr>
        <w:t>,</w:t>
      </w:r>
      <w:r>
        <w:rPr>
          <w:rFonts w:hint="eastAsia" w:ascii="宋体" w:hAnsi="宋体" w:cs="宋体"/>
          <w:spacing w:val="-9"/>
          <w:sz w:val="24"/>
          <w:highlight w:val="none"/>
        </w:rPr>
        <w:t>提高顾客投诉处理的效率与质量</w:t>
      </w:r>
      <w:r>
        <w:rPr>
          <w:rFonts w:hint="eastAsia" w:ascii="宋体" w:hAnsi="宋体" w:cs="宋体"/>
          <w:sz w:val="24"/>
          <w:highlight w:val="none"/>
        </w:rPr>
        <w:t xml:space="preserve">, </w:t>
      </w:r>
      <w:r>
        <w:rPr>
          <w:rFonts w:hint="eastAsia" w:ascii="宋体" w:hAnsi="宋体" w:cs="宋体"/>
          <w:spacing w:val="-13"/>
          <w:sz w:val="24"/>
          <w:highlight w:val="none"/>
        </w:rPr>
        <w:t>提高顾客满意度。要做好职工的饮食服务回访活动，及时了解职工对饭</w:t>
      </w:r>
      <w:r>
        <w:rPr>
          <w:rFonts w:hint="eastAsia" w:ascii="宋体" w:hAnsi="宋体" w:cs="宋体"/>
          <w:spacing w:val="-10"/>
          <w:sz w:val="24"/>
          <w:highlight w:val="none"/>
        </w:rPr>
        <w:t>菜质量和服务满意度情况，做好饮食保障协调和调整工作。</w:t>
      </w:r>
    </w:p>
    <w:p>
      <w:pPr>
        <w:pStyle w:val="60"/>
        <w:tabs>
          <w:tab w:val="left" w:pos="1564"/>
        </w:tabs>
        <w:spacing w:line="360" w:lineRule="auto"/>
        <w:ind w:firstLine="424"/>
        <w:rPr>
          <w:highlight w:val="none"/>
        </w:rPr>
      </w:pPr>
      <w:r>
        <w:rPr>
          <w:rFonts w:hint="eastAsia" w:ascii="宋体" w:hAnsi="宋体" w:cs="宋体"/>
          <w:spacing w:val="-14"/>
          <w:sz w:val="24"/>
          <w:highlight w:val="none"/>
        </w:rPr>
        <w:t>5、采购人按照“双随机、一公开”原则对投标人整体运营情况进</w:t>
      </w:r>
      <w:r>
        <w:rPr>
          <w:rFonts w:hint="eastAsia" w:ascii="宋体" w:hAnsi="宋体" w:cs="宋体"/>
          <w:spacing w:val="-7"/>
          <w:sz w:val="24"/>
          <w:highlight w:val="none"/>
        </w:rPr>
        <w:t>行抽查。投标人对监督考核发现问题及时列出整改方案进行整改，采</w:t>
      </w:r>
      <w:r>
        <w:rPr>
          <w:rFonts w:hint="eastAsia" w:ascii="宋体" w:hAnsi="宋体" w:cs="宋体"/>
          <w:spacing w:val="-3"/>
          <w:sz w:val="24"/>
          <w:highlight w:val="none"/>
        </w:rPr>
        <w:t xml:space="preserve">购人有权按整改或整改不到位问题进行处罚 </w:t>
      </w:r>
      <w:r>
        <w:rPr>
          <w:rFonts w:hint="eastAsia" w:ascii="宋体" w:hAnsi="宋体" w:cs="宋体"/>
          <w:sz w:val="24"/>
          <w:highlight w:val="none"/>
        </w:rPr>
        <w:t>500</w:t>
      </w:r>
      <w:r>
        <w:rPr>
          <w:rFonts w:hint="eastAsia" w:ascii="宋体" w:hAnsi="宋体" w:cs="宋体"/>
          <w:spacing w:val="23"/>
          <w:sz w:val="24"/>
          <w:highlight w:val="none"/>
        </w:rPr>
        <w:t xml:space="preserve"> </w:t>
      </w:r>
      <w:r>
        <w:rPr>
          <w:rFonts w:hint="eastAsia" w:ascii="宋体" w:hAnsi="宋体" w:cs="宋体"/>
          <w:spacing w:val="4"/>
          <w:sz w:val="24"/>
          <w:highlight w:val="none"/>
        </w:rPr>
        <w:t>元</w:t>
      </w:r>
      <w:r>
        <w:rPr>
          <w:rFonts w:hint="eastAsia" w:ascii="宋体" w:hAnsi="宋体" w:cs="宋体"/>
          <w:spacing w:val="3"/>
          <w:sz w:val="24"/>
          <w:highlight w:val="none"/>
        </w:rPr>
        <w:t>/</w:t>
      </w:r>
      <w:r>
        <w:rPr>
          <w:rFonts w:hint="eastAsia" w:ascii="宋体" w:hAnsi="宋体" w:cs="宋体"/>
          <w:spacing w:val="4"/>
          <w:sz w:val="24"/>
          <w:highlight w:val="none"/>
        </w:rPr>
        <w:t>次</w:t>
      </w:r>
      <w:r>
        <w:rPr>
          <w:rFonts w:hint="eastAsia" w:ascii="宋体" w:hAnsi="宋体" w:cs="宋体"/>
          <w:spacing w:val="3"/>
          <w:sz w:val="24"/>
          <w:highlight w:val="none"/>
        </w:rPr>
        <w:t>/</w:t>
      </w:r>
      <w:r>
        <w:rPr>
          <w:rFonts w:hint="eastAsia" w:ascii="宋体" w:hAnsi="宋体" w:cs="宋体"/>
          <w:sz w:val="24"/>
          <w:highlight w:val="none"/>
        </w:rPr>
        <w:t>项，处罚资金</w:t>
      </w:r>
      <w:r>
        <w:rPr>
          <w:rFonts w:hint="eastAsia" w:ascii="宋体" w:hAnsi="宋体" w:cs="宋体"/>
          <w:spacing w:val="-3"/>
          <w:sz w:val="24"/>
          <w:highlight w:val="none"/>
        </w:rPr>
        <w:t>留作采购人对投标人的管理考核基金，在后续考核中使用；年度平均</w:t>
      </w:r>
      <w:r>
        <w:rPr>
          <w:rFonts w:hint="eastAsia" w:ascii="宋体" w:hAnsi="宋体" w:cs="宋体"/>
          <w:spacing w:val="-14"/>
          <w:sz w:val="24"/>
          <w:highlight w:val="none"/>
        </w:rPr>
        <w:t xml:space="preserve">满意度测评结果低于 </w:t>
      </w:r>
      <w:r>
        <w:rPr>
          <w:rFonts w:hint="eastAsia" w:ascii="宋体" w:hAnsi="宋体" w:cs="宋体"/>
          <w:spacing w:val="-13"/>
          <w:sz w:val="24"/>
          <w:highlight w:val="none"/>
        </w:rPr>
        <w:t>80%，采购人有权立即终止合同，并拒绝续签后续合同，由此带来的经济损失和责任由投标人承担；因整改不到位造成的</w:t>
      </w:r>
      <w:r>
        <w:rPr>
          <w:rFonts w:hint="eastAsia" w:ascii="宋体" w:hAnsi="宋体" w:cs="宋体"/>
          <w:spacing w:val="-12"/>
          <w:sz w:val="24"/>
          <w:highlight w:val="none"/>
        </w:rPr>
        <w:t>损失和责任由投标人承担，包括政府行政部门的所有罚款和行政、法律</w:t>
      </w:r>
      <w:r>
        <w:rPr>
          <w:rFonts w:hint="eastAsia" w:ascii="宋体" w:hAnsi="宋体" w:cs="宋体"/>
          <w:spacing w:val="-10"/>
          <w:sz w:val="24"/>
          <w:highlight w:val="none"/>
        </w:rPr>
        <w:t>责任、对个人、集体的赔偿费用及由此给采购人造成的其他损失。</w:t>
      </w:r>
    </w:p>
    <w:p>
      <w:pPr>
        <w:pStyle w:val="5"/>
        <w:numPr>
          <w:ilvl w:val="0"/>
          <w:numId w:val="0"/>
        </w:numPr>
        <w:spacing w:line="240" w:lineRule="auto"/>
        <w:jc w:val="center"/>
        <w:rPr>
          <w:highlight w:val="none"/>
        </w:rPr>
      </w:pPr>
      <w:r>
        <w:rPr>
          <w:highlight w:val="none"/>
        </w:rPr>
        <w:t>考评标准</w:t>
      </w:r>
    </w:p>
    <w:p>
      <w:pPr>
        <w:pStyle w:val="8"/>
        <w:spacing w:after="0"/>
        <w:rPr>
          <w:b/>
          <w:sz w:val="10"/>
          <w:highlight w:val="none"/>
        </w:rPr>
      </w:pPr>
    </w:p>
    <w:tbl>
      <w:tblPr>
        <w:tblStyle w:val="27"/>
        <w:tblW w:w="0" w:type="auto"/>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418"/>
        <w:gridCol w:w="814"/>
        <w:gridCol w:w="6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248" w:type="dxa"/>
            <w:noWrap w:val="0"/>
            <w:vAlign w:val="top"/>
          </w:tcPr>
          <w:p>
            <w:pPr>
              <w:pStyle w:val="62"/>
              <w:rPr>
                <w:b/>
                <w:sz w:val="17"/>
                <w:highlight w:val="none"/>
              </w:rPr>
            </w:pPr>
          </w:p>
          <w:p>
            <w:pPr>
              <w:pStyle w:val="62"/>
              <w:jc w:val="center"/>
              <w:rPr>
                <w:b/>
                <w:sz w:val="24"/>
                <w:highlight w:val="none"/>
              </w:rPr>
            </w:pPr>
            <w:r>
              <w:rPr>
                <w:b/>
                <w:sz w:val="24"/>
                <w:highlight w:val="none"/>
              </w:rPr>
              <w:t>序号</w:t>
            </w:r>
          </w:p>
        </w:tc>
        <w:tc>
          <w:tcPr>
            <w:tcW w:w="1418" w:type="dxa"/>
            <w:noWrap w:val="0"/>
            <w:vAlign w:val="top"/>
          </w:tcPr>
          <w:p>
            <w:pPr>
              <w:pStyle w:val="62"/>
              <w:rPr>
                <w:b/>
                <w:sz w:val="17"/>
                <w:highlight w:val="none"/>
              </w:rPr>
            </w:pPr>
          </w:p>
          <w:p>
            <w:pPr>
              <w:pStyle w:val="62"/>
              <w:rPr>
                <w:b/>
                <w:sz w:val="24"/>
                <w:highlight w:val="none"/>
              </w:rPr>
            </w:pPr>
            <w:r>
              <w:rPr>
                <w:b/>
                <w:sz w:val="24"/>
                <w:highlight w:val="none"/>
              </w:rPr>
              <w:t>考评指标</w:t>
            </w:r>
          </w:p>
        </w:tc>
        <w:tc>
          <w:tcPr>
            <w:tcW w:w="814" w:type="dxa"/>
            <w:noWrap w:val="0"/>
            <w:vAlign w:val="top"/>
          </w:tcPr>
          <w:p>
            <w:pPr>
              <w:pStyle w:val="62"/>
              <w:rPr>
                <w:b/>
                <w:sz w:val="17"/>
                <w:highlight w:val="none"/>
              </w:rPr>
            </w:pPr>
          </w:p>
          <w:p>
            <w:pPr>
              <w:pStyle w:val="62"/>
              <w:rPr>
                <w:b/>
                <w:sz w:val="24"/>
                <w:highlight w:val="none"/>
              </w:rPr>
            </w:pPr>
            <w:r>
              <w:rPr>
                <w:b/>
                <w:sz w:val="24"/>
                <w:highlight w:val="none"/>
              </w:rPr>
              <w:t>分值</w:t>
            </w:r>
          </w:p>
        </w:tc>
        <w:tc>
          <w:tcPr>
            <w:tcW w:w="6036" w:type="dxa"/>
            <w:noWrap w:val="0"/>
            <w:vAlign w:val="top"/>
          </w:tcPr>
          <w:p>
            <w:pPr>
              <w:pStyle w:val="62"/>
              <w:rPr>
                <w:b/>
                <w:sz w:val="17"/>
                <w:highlight w:val="none"/>
              </w:rPr>
            </w:pPr>
          </w:p>
          <w:p>
            <w:pPr>
              <w:pStyle w:val="62"/>
              <w:jc w:val="center"/>
              <w:rPr>
                <w:b/>
                <w:sz w:val="24"/>
                <w:highlight w:val="none"/>
              </w:rPr>
            </w:pPr>
            <w:r>
              <w:rPr>
                <w:b/>
                <w:sz w:val="24"/>
                <w:highlight w:val="none"/>
              </w:rPr>
              <w:t>考评细则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48" w:type="dxa"/>
            <w:noWrap w:val="0"/>
            <w:vAlign w:val="top"/>
          </w:tcPr>
          <w:p>
            <w:pPr>
              <w:pStyle w:val="62"/>
              <w:rPr>
                <w:b/>
                <w:sz w:val="38"/>
                <w:highlight w:val="none"/>
              </w:rPr>
            </w:pPr>
          </w:p>
          <w:p>
            <w:pPr>
              <w:pStyle w:val="62"/>
              <w:jc w:val="center"/>
              <w:rPr>
                <w:rFonts w:ascii="Times New Roman"/>
                <w:sz w:val="24"/>
                <w:highlight w:val="none"/>
              </w:rPr>
            </w:pPr>
            <w:r>
              <w:rPr>
                <w:rFonts w:ascii="Times New Roman"/>
                <w:sz w:val="24"/>
                <w:highlight w:val="none"/>
              </w:rPr>
              <w:t>1</w:t>
            </w:r>
          </w:p>
        </w:tc>
        <w:tc>
          <w:tcPr>
            <w:tcW w:w="1418" w:type="dxa"/>
            <w:noWrap w:val="0"/>
            <w:vAlign w:val="top"/>
          </w:tcPr>
          <w:p>
            <w:pPr>
              <w:pStyle w:val="62"/>
              <w:rPr>
                <w:b/>
                <w:sz w:val="24"/>
                <w:highlight w:val="none"/>
              </w:rPr>
            </w:pPr>
          </w:p>
          <w:p>
            <w:pPr>
              <w:pStyle w:val="62"/>
              <w:rPr>
                <w:sz w:val="24"/>
                <w:highlight w:val="none"/>
              </w:rPr>
            </w:pPr>
            <w:r>
              <w:rPr>
                <w:sz w:val="24"/>
                <w:highlight w:val="none"/>
              </w:rPr>
              <w:t>管理制度</w:t>
            </w:r>
          </w:p>
        </w:tc>
        <w:tc>
          <w:tcPr>
            <w:tcW w:w="814" w:type="dxa"/>
            <w:noWrap w:val="0"/>
            <w:vAlign w:val="top"/>
          </w:tcPr>
          <w:p>
            <w:pPr>
              <w:pStyle w:val="62"/>
              <w:rPr>
                <w:b/>
                <w:sz w:val="37"/>
                <w:highlight w:val="none"/>
              </w:rPr>
            </w:pPr>
          </w:p>
          <w:p>
            <w:pPr>
              <w:pStyle w:val="62"/>
              <w:rPr>
                <w:sz w:val="24"/>
                <w:highlight w:val="none"/>
              </w:rPr>
            </w:pPr>
            <w:r>
              <w:rPr>
                <w:rFonts w:ascii="Times New Roman" w:eastAsia="Times New Roman"/>
                <w:sz w:val="24"/>
                <w:highlight w:val="none"/>
              </w:rPr>
              <w:t xml:space="preserve">20 </w:t>
            </w:r>
            <w:r>
              <w:rPr>
                <w:sz w:val="24"/>
                <w:highlight w:val="none"/>
              </w:rPr>
              <w:t>分</w:t>
            </w:r>
          </w:p>
        </w:tc>
        <w:tc>
          <w:tcPr>
            <w:tcW w:w="6036" w:type="dxa"/>
            <w:noWrap w:val="0"/>
            <w:vAlign w:val="top"/>
          </w:tcPr>
          <w:p>
            <w:pPr>
              <w:pStyle w:val="62"/>
              <w:rPr>
                <w:sz w:val="24"/>
                <w:highlight w:val="none"/>
              </w:rPr>
            </w:pPr>
            <w:r>
              <w:rPr>
                <w:spacing w:val="3"/>
                <w:sz w:val="24"/>
                <w:highlight w:val="none"/>
              </w:rPr>
              <w:t>餐厅经营过程中不得违反投标文件中的各项承诺制</w:t>
            </w:r>
          </w:p>
          <w:p>
            <w:pPr>
              <w:pStyle w:val="62"/>
              <w:rPr>
                <w:sz w:val="24"/>
                <w:highlight w:val="none"/>
              </w:rPr>
            </w:pPr>
            <w:r>
              <w:rPr>
                <w:spacing w:val="-6"/>
                <w:sz w:val="24"/>
                <w:highlight w:val="none"/>
              </w:rPr>
              <w:t xml:space="preserve">度，各工种按岗位制度规范操作。违反一次扣 </w:t>
            </w:r>
            <w:r>
              <w:rPr>
                <w:rFonts w:ascii="Times New Roman" w:eastAsia="Times New Roman"/>
                <w:sz w:val="24"/>
                <w:highlight w:val="none"/>
              </w:rPr>
              <w:t>1</w:t>
            </w:r>
            <w:r>
              <w:rPr>
                <w:rFonts w:ascii="Times New Roman" w:eastAsia="Times New Roman"/>
                <w:spacing w:val="2"/>
                <w:sz w:val="24"/>
                <w:highlight w:val="none"/>
              </w:rPr>
              <w:t xml:space="preserve"> </w:t>
            </w:r>
            <w:r>
              <w:rPr>
                <w:spacing w:val="-6"/>
                <w:sz w:val="24"/>
                <w:highlight w:val="none"/>
              </w:rPr>
              <w:t xml:space="preserve">分， </w:t>
            </w:r>
            <w:r>
              <w:rPr>
                <w:sz w:val="24"/>
                <w:highlight w:val="none"/>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248" w:type="dxa"/>
            <w:noWrap w:val="0"/>
            <w:vAlign w:val="center"/>
          </w:tcPr>
          <w:p>
            <w:pPr>
              <w:pStyle w:val="62"/>
              <w:jc w:val="center"/>
              <w:rPr>
                <w:rFonts w:ascii="Times New Roman"/>
                <w:sz w:val="24"/>
                <w:highlight w:val="none"/>
              </w:rPr>
            </w:pPr>
            <w:r>
              <w:rPr>
                <w:rFonts w:ascii="Times New Roman"/>
                <w:sz w:val="24"/>
                <w:highlight w:val="none"/>
              </w:rPr>
              <w:t>2</w:t>
            </w:r>
          </w:p>
        </w:tc>
        <w:tc>
          <w:tcPr>
            <w:tcW w:w="1418" w:type="dxa"/>
            <w:noWrap w:val="0"/>
            <w:vAlign w:val="center"/>
          </w:tcPr>
          <w:p>
            <w:pPr>
              <w:pStyle w:val="62"/>
              <w:jc w:val="center"/>
              <w:rPr>
                <w:sz w:val="24"/>
                <w:highlight w:val="none"/>
              </w:rPr>
            </w:pPr>
            <w:r>
              <w:rPr>
                <w:sz w:val="24"/>
                <w:highlight w:val="none"/>
              </w:rPr>
              <w:t>食品质量</w:t>
            </w:r>
          </w:p>
        </w:tc>
        <w:tc>
          <w:tcPr>
            <w:tcW w:w="814" w:type="dxa"/>
            <w:noWrap w:val="0"/>
            <w:vAlign w:val="center"/>
          </w:tcPr>
          <w:p>
            <w:pPr>
              <w:pStyle w:val="62"/>
              <w:jc w:val="center"/>
              <w:rPr>
                <w:sz w:val="24"/>
                <w:highlight w:val="none"/>
              </w:rPr>
            </w:pPr>
            <w:r>
              <w:rPr>
                <w:rFonts w:ascii="Times New Roman" w:eastAsia="Times New Roman"/>
                <w:sz w:val="24"/>
                <w:highlight w:val="none"/>
              </w:rPr>
              <w:t xml:space="preserve">30 </w:t>
            </w:r>
            <w:r>
              <w:rPr>
                <w:sz w:val="24"/>
                <w:highlight w:val="none"/>
              </w:rPr>
              <w:t>分</w:t>
            </w:r>
          </w:p>
        </w:tc>
        <w:tc>
          <w:tcPr>
            <w:tcW w:w="6036" w:type="dxa"/>
            <w:noWrap w:val="0"/>
            <w:vAlign w:val="top"/>
          </w:tcPr>
          <w:p>
            <w:pPr>
              <w:pStyle w:val="62"/>
              <w:jc w:val="center"/>
              <w:rPr>
                <w:sz w:val="24"/>
                <w:highlight w:val="none"/>
              </w:rPr>
            </w:pPr>
            <w:r>
              <w:rPr>
                <w:sz w:val="24"/>
                <w:highlight w:val="none"/>
              </w:rPr>
              <w:t>食品出现焦糊、夹生现象，出现异物，菜品一周内</w:t>
            </w:r>
          </w:p>
          <w:p>
            <w:pPr>
              <w:pStyle w:val="62"/>
              <w:rPr>
                <w:sz w:val="24"/>
                <w:highlight w:val="none"/>
              </w:rPr>
            </w:pPr>
            <w:r>
              <w:rPr>
                <w:sz w:val="24"/>
                <w:highlight w:val="none"/>
              </w:rPr>
              <w:t xml:space="preserve">有重复，分餐分量不达标，未按时供餐。以上情形出现一次扣 </w:t>
            </w:r>
            <w:r>
              <w:rPr>
                <w:rFonts w:ascii="Times New Roman" w:eastAsia="Times New Roman"/>
                <w:sz w:val="24"/>
                <w:highlight w:val="none"/>
              </w:rPr>
              <w:t xml:space="preserve">1 </w:t>
            </w:r>
            <w:r>
              <w:rPr>
                <w:sz w:val="24"/>
                <w:highlight w:val="none"/>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0" w:hRule="atLeast"/>
        </w:trPr>
        <w:tc>
          <w:tcPr>
            <w:tcW w:w="1248" w:type="dxa"/>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30"/>
                <w:highlight w:val="none"/>
              </w:rPr>
            </w:pPr>
          </w:p>
          <w:p>
            <w:pPr>
              <w:pStyle w:val="62"/>
              <w:jc w:val="center"/>
              <w:rPr>
                <w:rFonts w:ascii="Times New Roman"/>
                <w:sz w:val="24"/>
                <w:highlight w:val="none"/>
              </w:rPr>
            </w:pPr>
            <w:r>
              <w:rPr>
                <w:rFonts w:ascii="Times New Roman"/>
                <w:sz w:val="24"/>
                <w:highlight w:val="none"/>
              </w:rPr>
              <w:t>3</w:t>
            </w:r>
          </w:p>
        </w:tc>
        <w:tc>
          <w:tcPr>
            <w:tcW w:w="1418" w:type="dxa"/>
            <w:noWrap w:val="0"/>
            <w:vAlign w:val="top"/>
          </w:tcPr>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b/>
                <w:sz w:val="24"/>
                <w:highlight w:val="none"/>
              </w:rPr>
            </w:pPr>
          </w:p>
          <w:p>
            <w:pPr>
              <w:pStyle w:val="62"/>
              <w:rPr>
                <w:sz w:val="24"/>
                <w:highlight w:val="none"/>
              </w:rPr>
            </w:pPr>
            <w:r>
              <w:rPr>
                <w:sz w:val="24"/>
                <w:highlight w:val="none"/>
              </w:rPr>
              <w:t>食品安全</w:t>
            </w:r>
          </w:p>
        </w:tc>
        <w:tc>
          <w:tcPr>
            <w:tcW w:w="814" w:type="dxa"/>
            <w:noWrap w:val="0"/>
            <w:vAlign w:val="top"/>
          </w:tcPr>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6"/>
                <w:highlight w:val="none"/>
              </w:rPr>
            </w:pPr>
          </w:p>
          <w:p>
            <w:pPr>
              <w:pStyle w:val="62"/>
              <w:rPr>
                <w:b/>
                <w:sz w:val="28"/>
                <w:highlight w:val="none"/>
              </w:rPr>
            </w:pPr>
          </w:p>
          <w:p>
            <w:pPr>
              <w:pStyle w:val="62"/>
              <w:rPr>
                <w:sz w:val="24"/>
                <w:highlight w:val="none"/>
              </w:rPr>
            </w:pPr>
            <w:r>
              <w:rPr>
                <w:rFonts w:ascii="Times New Roman" w:eastAsia="Times New Roman"/>
                <w:sz w:val="24"/>
                <w:highlight w:val="none"/>
              </w:rPr>
              <w:t xml:space="preserve">30 </w:t>
            </w:r>
            <w:r>
              <w:rPr>
                <w:sz w:val="24"/>
                <w:highlight w:val="none"/>
              </w:rPr>
              <w:t>分</w:t>
            </w:r>
          </w:p>
        </w:tc>
        <w:tc>
          <w:tcPr>
            <w:tcW w:w="6036" w:type="dxa"/>
            <w:noWrap w:val="0"/>
            <w:vAlign w:val="top"/>
          </w:tcPr>
          <w:p>
            <w:pPr>
              <w:pStyle w:val="62"/>
              <w:rPr>
                <w:sz w:val="24"/>
                <w:highlight w:val="none"/>
              </w:rPr>
            </w:pPr>
            <w:r>
              <w:rPr>
                <w:sz w:val="24"/>
                <w:highlight w:val="none"/>
              </w:rPr>
              <w:t>严格贯彻执行《中华人民共和国食品安全法》及地方政府有关法规，加强食品安全与卫生管理，达到餐具卫生标准、饭菜不能出现异味、变质等现象， 就餐者不能出现腹泻、呕吐及食物中毒现象。</w:t>
            </w:r>
          </w:p>
          <w:p>
            <w:pPr>
              <w:pStyle w:val="62"/>
              <w:rPr>
                <w:sz w:val="24"/>
                <w:highlight w:val="none"/>
              </w:rPr>
            </w:pPr>
            <w:r>
              <w:rPr>
                <w:sz w:val="24"/>
                <w:highlight w:val="none"/>
              </w:rPr>
              <w:t xml:space="preserve">餐具卫生标准每违反一次扣 </w:t>
            </w:r>
            <w:r>
              <w:rPr>
                <w:rFonts w:ascii="Times New Roman" w:eastAsia="Times New Roman"/>
                <w:sz w:val="24"/>
                <w:highlight w:val="none"/>
              </w:rPr>
              <w:t xml:space="preserve">0.2 </w:t>
            </w:r>
            <w:r>
              <w:rPr>
                <w:sz w:val="24"/>
                <w:highlight w:val="none"/>
              </w:rPr>
              <w:t>分；</w:t>
            </w:r>
          </w:p>
          <w:p>
            <w:pPr>
              <w:pStyle w:val="62"/>
              <w:rPr>
                <w:sz w:val="24"/>
                <w:highlight w:val="none"/>
              </w:rPr>
            </w:pPr>
            <w:r>
              <w:rPr>
                <w:sz w:val="24"/>
                <w:highlight w:val="none"/>
              </w:rPr>
              <w:t xml:space="preserve">菜品因处理不当而出现异味每发生一次扣 </w:t>
            </w:r>
            <w:r>
              <w:rPr>
                <w:rFonts w:ascii="Times New Roman" w:eastAsia="Times New Roman"/>
                <w:sz w:val="24"/>
                <w:highlight w:val="none"/>
              </w:rPr>
              <w:t xml:space="preserve">0.3 </w:t>
            </w:r>
            <w:r>
              <w:rPr>
                <w:sz w:val="24"/>
                <w:highlight w:val="none"/>
              </w:rPr>
              <w:t>分；</w:t>
            </w:r>
          </w:p>
          <w:p>
            <w:pPr>
              <w:pStyle w:val="62"/>
              <w:rPr>
                <w:sz w:val="24"/>
                <w:highlight w:val="none"/>
              </w:rPr>
            </w:pPr>
            <w:r>
              <w:rPr>
                <w:sz w:val="24"/>
                <w:highlight w:val="none"/>
              </w:rPr>
              <w:t xml:space="preserve">菜品若发现变质等现象每发生一次扣 </w:t>
            </w:r>
            <w:r>
              <w:rPr>
                <w:rFonts w:ascii="Times New Roman" w:eastAsia="Times New Roman"/>
                <w:sz w:val="24"/>
                <w:highlight w:val="none"/>
              </w:rPr>
              <w:t xml:space="preserve">0.5 </w:t>
            </w:r>
            <w:r>
              <w:rPr>
                <w:sz w:val="24"/>
                <w:highlight w:val="none"/>
              </w:rPr>
              <w:t>分；</w:t>
            </w:r>
          </w:p>
          <w:p>
            <w:pPr>
              <w:pStyle w:val="62"/>
              <w:rPr>
                <w:b/>
                <w:sz w:val="31"/>
                <w:highlight w:val="none"/>
              </w:rPr>
            </w:pPr>
          </w:p>
          <w:p>
            <w:pPr>
              <w:pStyle w:val="62"/>
              <w:rPr>
                <w:sz w:val="24"/>
                <w:highlight w:val="none"/>
              </w:rPr>
            </w:pPr>
            <w:r>
              <w:rPr>
                <w:sz w:val="24"/>
                <w:highlight w:val="none"/>
              </w:rPr>
              <w:t>以上各项累加计算，本项总分扣完为止，如出现严</w:t>
            </w:r>
          </w:p>
          <w:p>
            <w:pPr>
              <w:pStyle w:val="62"/>
              <w:rPr>
                <w:sz w:val="24"/>
                <w:highlight w:val="none"/>
              </w:rPr>
            </w:pPr>
            <w:r>
              <w:rPr>
                <w:sz w:val="24"/>
                <w:highlight w:val="none"/>
              </w:rPr>
              <w:t xml:space="preserve">重食物中毒事件，本项直接为 </w:t>
            </w:r>
            <w:r>
              <w:rPr>
                <w:rFonts w:ascii="Times New Roman" w:eastAsia="Times New Roman"/>
                <w:sz w:val="24"/>
                <w:highlight w:val="none"/>
              </w:rPr>
              <w:t xml:space="preserve">0 </w:t>
            </w:r>
            <w:r>
              <w:rPr>
                <w:sz w:val="24"/>
                <w:highlight w:val="none"/>
              </w:rPr>
              <w:t>分，采购人立即中止合同并依法追究投标人法律责任。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1248" w:type="dxa"/>
            <w:noWrap w:val="0"/>
            <w:vAlign w:val="top"/>
          </w:tcPr>
          <w:p>
            <w:pPr>
              <w:pStyle w:val="62"/>
              <w:rPr>
                <w:b/>
                <w:sz w:val="26"/>
                <w:highlight w:val="none"/>
              </w:rPr>
            </w:pPr>
          </w:p>
          <w:p>
            <w:pPr>
              <w:pStyle w:val="62"/>
              <w:jc w:val="center"/>
              <w:rPr>
                <w:rFonts w:ascii="Times New Roman"/>
                <w:sz w:val="24"/>
                <w:highlight w:val="none"/>
              </w:rPr>
            </w:pPr>
            <w:r>
              <w:rPr>
                <w:rFonts w:ascii="Times New Roman"/>
                <w:sz w:val="24"/>
                <w:highlight w:val="none"/>
              </w:rPr>
              <w:t>4</w:t>
            </w:r>
          </w:p>
        </w:tc>
        <w:tc>
          <w:tcPr>
            <w:tcW w:w="1418" w:type="dxa"/>
            <w:noWrap w:val="0"/>
            <w:vAlign w:val="top"/>
          </w:tcPr>
          <w:p>
            <w:pPr>
              <w:pStyle w:val="62"/>
              <w:rPr>
                <w:sz w:val="24"/>
                <w:highlight w:val="none"/>
              </w:rPr>
            </w:pPr>
            <w:r>
              <w:rPr>
                <w:sz w:val="24"/>
                <w:highlight w:val="none"/>
              </w:rPr>
              <w:t>设施设备使</w:t>
            </w:r>
          </w:p>
          <w:p>
            <w:pPr>
              <w:pStyle w:val="62"/>
              <w:rPr>
                <w:sz w:val="24"/>
                <w:highlight w:val="none"/>
              </w:rPr>
            </w:pPr>
            <w:r>
              <w:rPr>
                <w:sz w:val="24"/>
                <w:highlight w:val="none"/>
              </w:rPr>
              <w:t>用安全及维护保养</w:t>
            </w:r>
          </w:p>
        </w:tc>
        <w:tc>
          <w:tcPr>
            <w:tcW w:w="814" w:type="dxa"/>
            <w:noWrap w:val="0"/>
            <w:vAlign w:val="top"/>
          </w:tcPr>
          <w:p>
            <w:pPr>
              <w:pStyle w:val="62"/>
              <w:rPr>
                <w:b/>
                <w:sz w:val="26"/>
                <w:highlight w:val="none"/>
              </w:rPr>
            </w:pPr>
          </w:p>
          <w:p>
            <w:pPr>
              <w:pStyle w:val="62"/>
              <w:rPr>
                <w:sz w:val="24"/>
                <w:highlight w:val="none"/>
              </w:rPr>
            </w:pPr>
            <w:r>
              <w:rPr>
                <w:rFonts w:ascii="Times New Roman" w:eastAsia="Times New Roman"/>
                <w:sz w:val="24"/>
                <w:highlight w:val="none"/>
              </w:rPr>
              <w:t xml:space="preserve">10 </w:t>
            </w:r>
            <w:r>
              <w:rPr>
                <w:sz w:val="24"/>
                <w:highlight w:val="none"/>
              </w:rPr>
              <w:t>分</w:t>
            </w:r>
          </w:p>
        </w:tc>
        <w:tc>
          <w:tcPr>
            <w:tcW w:w="6036" w:type="dxa"/>
            <w:noWrap w:val="0"/>
            <w:vAlign w:val="top"/>
          </w:tcPr>
          <w:p>
            <w:pPr>
              <w:pStyle w:val="62"/>
              <w:rPr>
                <w:sz w:val="24"/>
                <w:highlight w:val="none"/>
              </w:rPr>
            </w:pPr>
            <w:r>
              <w:rPr>
                <w:sz w:val="24"/>
                <w:highlight w:val="none"/>
              </w:rPr>
              <w:t>食堂水、电、气、刀具、消防等设施设备使用及维</w:t>
            </w:r>
          </w:p>
          <w:p>
            <w:pPr>
              <w:pStyle w:val="62"/>
              <w:rPr>
                <w:sz w:val="24"/>
                <w:highlight w:val="none"/>
              </w:rPr>
            </w:pPr>
            <w:r>
              <w:rPr>
                <w:sz w:val="24"/>
                <w:highlight w:val="none"/>
              </w:rPr>
              <w:t xml:space="preserve">护保养不规范，存在安全隐患；每季度餐厨用具破损率超过 </w:t>
            </w:r>
            <w:r>
              <w:rPr>
                <w:rFonts w:ascii="Times New Roman" w:eastAsia="Times New Roman"/>
                <w:sz w:val="24"/>
                <w:highlight w:val="none"/>
              </w:rPr>
              <w:t>2%</w:t>
            </w:r>
            <w:r>
              <w:rPr>
                <w:sz w:val="24"/>
                <w:highlight w:val="none"/>
              </w:rPr>
              <w:t xml:space="preserve">。每发现一次扣 </w:t>
            </w:r>
            <w:r>
              <w:rPr>
                <w:rFonts w:ascii="Times New Roman" w:eastAsia="Times New Roman"/>
                <w:sz w:val="24"/>
                <w:highlight w:val="none"/>
              </w:rPr>
              <w:t xml:space="preserve">3 </w:t>
            </w:r>
            <w:r>
              <w:rPr>
                <w:sz w:val="24"/>
                <w:highlight w:val="none"/>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48" w:type="dxa"/>
            <w:noWrap w:val="0"/>
            <w:vAlign w:val="top"/>
          </w:tcPr>
          <w:p>
            <w:pPr>
              <w:pStyle w:val="62"/>
              <w:rPr>
                <w:b/>
                <w:sz w:val="26"/>
                <w:highlight w:val="none"/>
              </w:rPr>
            </w:pPr>
          </w:p>
          <w:p>
            <w:pPr>
              <w:pStyle w:val="62"/>
              <w:rPr>
                <w:b/>
                <w:sz w:val="28"/>
                <w:highlight w:val="none"/>
              </w:rPr>
            </w:pPr>
          </w:p>
          <w:p>
            <w:pPr>
              <w:pStyle w:val="62"/>
              <w:jc w:val="center"/>
              <w:rPr>
                <w:rFonts w:ascii="Times New Roman"/>
                <w:sz w:val="24"/>
                <w:highlight w:val="none"/>
              </w:rPr>
            </w:pPr>
            <w:r>
              <w:rPr>
                <w:rFonts w:ascii="Times New Roman"/>
                <w:sz w:val="24"/>
                <w:highlight w:val="none"/>
              </w:rPr>
              <w:t>5</w:t>
            </w:r>
          </w:p>
        </w:tc>
        <w:tc>
          <w:tcPr>
            <w:tcW w:w="1418" w:type="dxa"/>
            <w:noWrap w:val="0"/>
            <w:vAlign w:val="top"/>
          </w:tcPr>
          <w:p>
            <w:pPr>
              <w:pStyle w:val="62"/>
              <w:rPr>
                <w:b/>
                <w:sz w:val="24"/>
                <w:highlight w:val="none"/>
              </w:rPr>
            </w:pPr>
          </w:p>
          <w:p>
            <w:pPr>
              <w:pStyle w:val="62"/>
              <w:rPr>
                <w:sz w:val="24"/>
                <w:highlight w:val="none"/>
              </w:rPr>
            </w:pPr>
            <w:r>
              <w:rPr>
                <w:sz w:val="24"/>
                <w:highlight w:val="none"/>
              </w:rPr>
              <w:t>满意度调查</w:t>
            </w:r>
          </w:p>
        </w:tc>
        <w:tc>
          <w:tcPr>
            <w:tcW w:w="814" w:type="dxa"/>
            <w:noWrap w:val="0"/>
            <w:vAlign w:val="top"/>
          </w:tcPr>
          <w:p>
            <w:pPr>
              <w:pStyle w:val="62"/>
              <w:rPr>
                <w:b/>
                <w:sz w:val="26"/>
                <w:highlight w:val="none"/>
              </w:rPr>
            </w:pPr>
          </w:p>
          <w:p>
            <w:pPr>
              <w:pStyle w:val="62"/>
              <w:rPr>
                <w:b/>
                <w:sz w:val="27"/>
                <w:highlight w:val="none"/>
              </w:rPr>
            </w:pPr>
          </w:p>
          <w:p>
            <w:pPr>
              <w:pStyle w:val="62"/>
              <w:rPr>
                <w:sz w:val="24"/>
                <w:highlight w:val="none"/>
              </w:rPr>
            </w:pPr>
            <w:r>
              <w:rPr>
                <w:rFonts w:ascii="Times New Roman" w:eastAsia="Times New Roman"/>
                <w:sz w:val="24"/>
                <w:highlight w:val="none"/>
              </w:rPr>
              <w:t xml:space="preserve">5 </w:t>
            </w:r>
            <w:r>
              <w:rPr>
                <w:sz w:val="24"/>
                <w:highlight w:val="none"/>
              </w:rPr>
              <w:t>分</w:t>
            </w:r>
          </w:p>
        </w:tc>
        <w:tc>
          <w:tcPr>
            <w:tcW w:w="6036" w:type="dxa"/>
            <w:noWrap w:val="0"/>
            <w:vAlign w:val="top"/>
          </w:tcPr>
          <w:p>
            <w:pPr>
              <w:pStyle w:val="62"/>
              <w:rPr>
                <w:sz w:val="24"/>
                <w:highlight w:val="none"/>
              </w:rPr>
            </w:pPr>
            <w:r>
              <w:rPr>
                <w:spacing w:val="-5"/>
                <w:sz w:val="24"/>
                <w:highlight w:val="none"/>
              </w:rPr>
              <w:t xml:space="preserve">本单位职工就餐满意度达到 </w:t>
            </w:r>
            <w:r>
              <w:rPr>
                <w:rFonts w:ascii="Times New Roman" w:eastAsia="Times New Roman"/>
                <w:spacing w:val="-3"/>
                <w:sz w:val="24"/>
                <w:highlight w:val="none"/>
              </w:rPr>
              <w:t>95%</w:t>
            </w:r>
            <w:r>
              <w:rPr>
                <w:spacing w:val="-3"/>
                <w:sz w:val="24"/>
                <w:highlight w:val="none"/>
              </w:rPr>
              <w:t>（</w:t>
            </w:r>
            <w:r>
              <w:rPr>
                <w:sz w:val="24"/>
                <w:highlight w:val="none"/>
              </w:rPr>
              <w:t>含</w:t>
            </w:r>
            <w:r>
              <w:rPr>
                <w:spacing w:val="-10"/>
                <w:sz w:val="24"/>
                <w:highlight w:val="none"/>
              </w:rPr>
              <w:t>）</w:t>
            </w:r>
            <w:r>
              <w:rPr>
                <w:spacing w:val="-15"/>
                <w:sz w:val="24"/>
                <w:highlight w:val="none"/>
              </w:rPr>
              <w:t xml:space="preserve">以上得 </w:t>
            </w:r>
            <w:r>
              <w:rPr>
                <w:rFonts w:ascii="Times New Roman" w:eastAsia="Times New Roman"/>
                <w:sz w:val="24"/>
                <w:highlight w:val="none"/>
              </w:rPr>
              <w:t xml:space="preserve">5 </w:t>
            </w:r>
            <w:r>
              <w:rPr>
                <w:spacing w:val="-6"/>
                <w:sz w:val="24"/>
                <w:highlight w:val="none"/>
              </w:rPr>
              <w:t xml:space="preserve">分， </w:t>
            </w:r>
            <w:r>
              <w:rPr>
                <w:spacing w:val="-27"/>
                <w:sz w:val="24"/>
                <w:highlight w:val="none"/>
              </w:rPr>
              <w:t xml:space="preserve">在 </w:t>
            </w:r>
            <w:r>
              <w:rPr>
                <w:rFonts w:ascii="Times New Roman" w:eastAsia="Times New Roman"/>
                <w:sz w:val="24"/>
                <w:highlight w:val="none"/>
              </w:rPr>
              <w:t>90%</w:t>
            </w:r>
            <w:r>
              <w:rPr>
                <w:sz w:val="24"/>
                <w:highlight w:val="none"/>
              </w:rPr>
              <w:t>（含）</w:t>
            </w:r>
            <w:r>
              <w:rPr>
                <w:rFonts w:ascii="Times New Roman" w:eastAsia="Times New Roman"/>
                <w:sz w:val="24"/>
                <w:highlight w:val="none"/>
              </w:rPr>
              <w:t>-95%</w:t>
            </w:r>
            <w:r>
              <w:rPr>
                <w:sz w:val="24"/>
                <w:highlight w:val="none"/>
              </w:rPr>
              <w:t>（不含）</w:t>
            </w:r>
            <w:r>
              <w:rPr>
                <w:spacing w:val="-27"/>
                <w:sz w:val="24"/>
                <w:highlight w:val="none"/>
              </w:rPr>
              <w:t xml:space="preserve">得 </w:t>
            </w:r>
            <w:r>
              <w:rPr>
                <w:rFonts w:ascii="Times New Roman" w:eastAsia="Times New Roman"/>
                <w:sz w:val="24"/>
                <w:highlight w:val="none"/>
              </w:rPr>
              <w:t>4</w:t>
            </w:r>
            <w:r>
              <w:rPr>
                <w:rFonts w:ascii="Times New Roman" w:eastAsia="Times New Roman"/>
                <w:spacing w:val="5"/>
                <w:sz w:val="24"/>
                <w:highlight w:val="none"/>
              </w:rPr>
              <w:t xml:space="preserve"> </w:t>
            </w:r>
            <w:r>
              <w:rPr>
                <w:spacing w:val="-14"/>
                <w:sz w:val="24"/>
                <w:highlight w:val="none"/>
              </w:rPr>
              <w:t xml:space="preserve">分；在 </w:t>
            </w:r>
            <w:r>
              <w:rPr>
                <w:rFonts w:ascii="Times New Roman" w:eastAsia="Times New Roman"/>
                <w:sz w:val="24"/>
                <w:highlight w:val="none"/>
              </w:rPr>
              <w:t>85%</w:t>
            </w:r>
            <w:r>
              <w:rPr>
                <w:sz w:val="24"/>
                <w:highlight w:val="none"/>
              </w:rPr>
              <w:t>（含）</w:t>
            </w:r>
          </w:p>
          <w:p>
            <w:pPr>
              <w:pStyle w:val="62"/>
              <w:rPr>
                <w:sz w:val="24"/>
                <w:highlight w:val="none"/>
              </w:rPr>
            </w:pPr>
            <w:r>
              <w:rPr>
                <w:rFonts w:ascii="Times New Roman" w:eastAsia="Times New Roman"/>
                <w:sz w:val="24"/>
                <w:highlight w:val="none"/>
              </w:rPr>
              <w:t>-90%</w:t>
            </w:r>
            <w:r>
              <w:rPr>
                <w:sz w:val="24"/>
                <w:highlight w:val="none"/>
              </w:rPr>
              <w:t>（不含）</w:t>
            </w:r>
            <w:r>
              <w:rPr>
                <w:spacing w:val="-29"/>
                <w:sz w:val="24"/>
                <w:highlight w:val="none"/>
              </w:rPr>
              <w:t xml:space="preserve">得 </w:t>
            </w:r>
            <w:r>
              <w:rPr>
                <w:rFonts w:ascii="Times New Roman" w:eastAsia="Times New Roman"/>
                <w:sz w:val="24"/>
                <w:highlight w:val="none"/>
              </w:rPr>
              <w:t>3</w:t>
            </w:r>
            <w:r>
              <w:rPr>
                <w:rFonts w:ascii="Times New Roman" w:eastAsia="Times New Roman"/>
                <w:spacing w:val="6"/>
                <w:sz w:val="24"/>
                <w:highlight w:val="none"/>
              </w:rPr>
              <w:t xml:space="preserve"> </w:t>
            </w:r>
            <w:r>
              <w:rPr>
                <w:spacing w:val="-14"/>
                <w:sz w:val="24"/>
                <w:highlight w:val="none"/>
              </w:rPr>
              <w:t xml:space="preserve">分；在 </w:t>
            </w:r>
            <w:r>
              <w:rPr>
                <w:rFonts w:ascii="Times New Roman" w:eastAsia="Times New Roman"/>
                <w:sz w:val="24"/>
                <w:highlight w:val="none"/>
              </w:rPr>
              <w:t>80%</w:t>
            </w:r>
            <w:r>
              <w:rPr>
                <w:sz w:val="24"/>
                <w:highlight w:val="none"/>
              </w:rPr>
              <w:t>（含）</w:t>
            </w:r>
            <w:r>
              <w:rPr>
                <w:rFonts w:ascii="Times New Roman" w:eastAsia="Times New Roman"/>
                <w:sz w:val="24"/>
                <w:highlight w:val="none"/>
              </w:rPr>
              <w:t>-85%</w:t>
            </w:r>
            <w:r>
              <w:rPr>
                <w:sz w:val="24"/>
                <w:highlight w:val="none"/>
              </w:rPr>
              <w:t>（不含）</w:t>
            </w:r>
          </w:p>
          <w:p>
            <w:pPr>
              <w:pStyle w:val="62"/>
              <w:rPr>
                <w:sz w:val="24"/>
                <w:highlight w:val="none"/>
              </w:rPr>
            </w:pPr>
            <w:r>
              <w:rPr>
                <w:sz w:val="24"/>
                <w:highlight w:val="none"/>
              </w:rPr>
              <w:t xml:space="preserve">得 </w:t>
            </w:r>
            <w:r>
              <w:rPr>
                <w:rFonts w:ascii="Times New Roman" w:eastAsia="Times New Roman"/>
                <w:sz w:val="24"/>
                <w:highlight w:val="none"/>
              </w:rPr>
              <w:t xml:space="preserve">2 </w:t>
            </w:r>
            <w:r>
              <w:rPr>
                <w:sz w:val="24"/>
                <w:highlight w:val="none"/>
              </w:rPr>
              <w:t xml:space="preserve">分；低于 </w:t>
            </w:r>
            <w:r>
              <w:rPr>
                <w:rFonts w:ascii="Times New Roman" w:eastAsia="Times New Roman"/>
                <w:sz w:val="24"/>
                <w:highlight w:val="none"/>
              </w:rPr>
              <w:t>80%</w:t>
            </w:r>
            <w:r>
              <w:rPr>
                <w:sz w:val="24"/>
                <w:highlight w:val="none"/>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48" w:type="dxa"/>
            <w:noWrap w:val="0"/>
            <w:vAlign w:val="top"/>
          </w:tcPr>
          <w:p>
            <w:pPr>
              <w:pStyle w:val="62"/>
              <w:rPr>
                <w:b/>
                <w:sz w:val="26"/>
                <w:highlight w:val="none"/>
              </w:rPr>
            </w:pPr>
          </w:p>
          <w:p>
            <w:pPr>
              <w:pStyle w:val="62"/>
              <w:rPr>
                <w:b/>
                <w:sz w:val="28"/>
                <w:highlight w:val="none"/>
              </w:rPr>
            </w:pPr>
          </w:p>
          <w:p>
            <w:pPr>
              <w:pStyle w:val="62"/>
              <w:jc w:val="center"/>
              <w:rPr>
                <w:rFonts w:ascii="Times New Roman"/>
                <w:sz w:val="24"/>
                <w:highlight w:val="none"/>
              </w:rPr>
            </w:pPr>
            <w:r>
              <w:rPr>
                <w:rFonts w:ascii="Times New Roman"/>
                <w:sz w:val="24"/>
                <w:highlight w:val="none"/>
              </w:rPr>
              <w:t>6</w:t>
            </w:r>
          </w:p>
        </w:tc>
        <w:tc>
          <w:tcPr>
            <w:tcW w:w="1418" w:type="dxa"/>
            <w:noWrap w:val="0"/>
            <w:vAlign w:val="top"/>
          </w:tcPr>
          <w:p>
            <w:pPr>
              <w:pStyle w:val="62"/>
              <w:rPr>
                <w:b/>
                <w:sz w:val="24"/>
                <w:highlight w:val="none"/>
              </w:rPr>
            </w:pPr>
          </w:p>
          <w:p>
            <w:pPr>
              <w:pStyle w:val="62"/>
              <w:rPr>
                <w:sz w:val="24"/>
                <w:highlight w:val="none"/>
              </w:rPr>
            </w:pPr>
            <w:r>
              <w:rPr>
                <w:sz w:val="24"/>
                <w:highlight w:val="none"/>
              </w:rPr>
              <w:t>档案管理规范</w:t>
            </w:r>
          </w:p>
        </w:tc>
        <w:tc>
          <w:tcPr>
            <w:tcW w:w="814" w:type="dxa"/>
            <w:noWrap w:val="0"/>
            <w:vAlign w:val="top"/>
          </w:tcPr>
          <w:p>
            <w:pPr>
              <w:pStyle w:val="62"/>
              <w:rPr>
                <w:b/>
                <w:sz w:val="26"/>
                <w:highlight w:val="none"/>
              </w:rPr>
            </w:pPr>
          </w:p>
          <w:p>
            <w:pPr>
              <w:pStyle w:val="62"/>
              <w:rPr>
                <w:b/>
                <w:sz w:val="27"/>
                <w:highlight w:val="none"/>
              </w:rPr>
            </w:pPr>
          </w:p>
          <w:p>
            <w:pPr>
              <w:pStyle w:val="62"/>
              <w:rPr>
                <w:sz w:val="24"/>
                <w:highlight w:val="none"/>
              </w:rPr>
            </w:pPr>
            <w:r>
              <w:rPr>
                <w:rFonts w:ascii="Times New Roman" w:eastAsia="Times New Roman"/>
                <w:sz w:val="24"/>
                <w:highlight w:val="none"/>
              </w:rPr>
              <w:t xml:space="preserve">5 </w:t>
            </w:r>
            <w:r>
              <w:rPr>
                <w:sz w:val="24"/>
                <w:highlight w:val="none"/>
              </w:rPr>
              <w:t>分</w:t>
            </w:r>
          </w:p>
        </w:tc>
        <w:tc>
          <w:tcPr>
            <w:tcW w:w="6036" w:type="dxa"/>
            <w:noWrap w:val="0"/>
            <w:vAlign w:val="top"/>
          </w:tcPr>
          <w:p>
            <w:pPr>
              <w:pStyle w:val="62"/>
              <w:rPr>
                <w:sz w:val="24"/>
                <w:highlight w:val="none"/>
              </w:rPr>
            </w:pPr>
            <w:r>
              <w:rPr>
                <w:sz w:val="24"/>
                <w:highlight w:val="none"/>
              </w:rPr>
              <w:t>按照成都市标准化示范食堂管理要求，做到食品文档管理规范，厨房物资出入登记清楚，基础管理台账健全，日常运行管理服务有效。检查发现不规范、</w:t>
            </w:r>
          </w:p>
          <w:p>
            <w:pPr>
              <w:pStyle w:val="62"/>
              <w:rPr>
                <w:sz w:val="24"/>
                <w:highlight w:val="none"/>
              </w:rPr>
            </w:pPr>
            <w:r>
              <w:rPr>
                <w:sz w:val="24"/>
                <w:highlight w:val="none"/>
              </w:rPr>
              <w:t xml:space="preserve">不清楚、不健全一次扣 </w:t>
            </w:r>
            <w:r>
              <w:rPr>
                <w:rFonts w:ascii="Times New Roman" w:eastAsia="Times New Roman"/>
                <w:sz w:val="24"/>
                <w:highlight w:val="none"/>
              </w:rPr>
              <w:t xml:space="preserve">0.2 </w:t>
            </w:r>
            <w:r>
              <w:rPr>
                <w:sz w:val="24"/>
                <w:highlight w:val="none"/>
              </w:rPr>
              <w:t>分，扣完为止。</w:t>
            </w:r>
          </w:p>
        </w:tc>
      </w:tr>
    </w:tbl>
    <w:p>
      <w:pPr>
        <w:rPr>
          <w:sz w:val="24"/>
          <w:highlight w:val="none"/>
        </w:rPr>
      </w:pPr>
    </w:p>
    <w:p>
      <w:pPr>
        <w:pStyle w:val="8"/>
        <w:rPr>
          <w:sz w:val="24"/>
          <w:highlight w:val="none"/>
        </w:rPr>
      </w:pPr>
    </w:p>
    <w:p>
      <w:pPr>
        <w:pStyle w:val="60"/>
        <w:tabs>
          <w:tab w:val="left" w:pos="1634"/>
        </w:tabs>
        <w:spacing w:line="360" w:lineRule="auto"/>
        <w:ind w:firstLine="562"/>
        <w:rPr>
          <w:rFonts w:hint="eastAsia" w:ascii="宋体" w:hAnsi="宋体" w:cs="宋体"/>
          <w:b/>
          <w:sz w:val="28"/>
          <w:szCs w:val="28"/>
          <w:highlight w:val="none"/>
        </w:rPr>
      </w:pPr>
      <w:r>
        <w:rPr>
          <w:rFonts w:hint="eastAsia" w:ascii="宋体" w:hAnsi="宋体" w:cs="宋体"/>
          <w:b/>
          <w:sz w:val="28"/>
          <w:szCs w:val="28"/>
          <w:highlight w:val="none"/>
        </w:rPr>
        <w:t>（五）应急管理要求</w:t>
      </w:r>
    </w:p>
    <w:p>
      <w:pPr>
        <w:pStyle w:val="60"/>
        <w:tabs>
          <w:tab w:val="left" w:pos="1600"/>
        </w:tabs>
        <w:spacing w:line="360" w:lineRule="auto"/>
        <w:ind w:firstLine="448"/>
        <w:rPr>
          <w:rFonts w:hint="eastAsia" w:ascii="宋体" w:hAnsi="宋体" w:cs="宋体"/>
          <w:sz w:val="24"/>
          <w:highlight w:val="none"/>
        </w:rPr>
      </w:pPr>
      <w:r>
        <w:rPr>
          <w:rFonts w:hint="eastAsia" w:ascii="宋体" w:hAnsi="宋体" w:cs="宋体"/>
          <w:spacing w:val="-8"/>
          <w:sz w:val="24"/>
          <w:highlight w:val="none"/>
        </w:rPr>
        <w:t>1、投标人应建立突发断水、断电、停气的应急预案，水、电、气</w:t>
      </w:r>
      <w:r>
        <w:rPr>
          <w:rFonts w:hint="eastAsia" w:ascii="宋体" w:hAnsi="宋体" w:cs="宋体"/>
          <w:spacing w:val="-23"/>
          <w:sz w:val="24"/>
          <w:highlight w:val="none"/>
        </w:rPr>
        <w:t>无法供应时，食堂不能正常工作的，投标人须负责在此期间的餐饮供应。</w:t>
      </w:r>
    </w:p>
    <w:p>
      <w:pPr>
        <w:pStyle w:val="60"/>
        <w:tabs>
          <w:tab w:val="left" w:pos="1538"/>
        </w:tabs>
        <w:spacing w:line="360" w:lineRule="auto"/>
        <w:ind w:firstLine="456"/>
        <w:rPr>
          <w:rFonts w:hint="eastAsia" w:ascii="宋体" w:hAnsi="宋体" w:cs="宋体"/>
          <w:sz w:val="24"/>
          <w:highlight w:val="none"/>
        </w:rPr>
      </w:pPr>
      <w:r>
        <w:rPr>
          <w:rFonts w:hint="eastAsia" w:ascii="宋体" w:hAnsi="宋体" w:cs="宋体"/>
          <w:spacing w:val="-6"/>
          <w:sz w:val="24"/>
          <w:highlight w:val="none"/>
        </w:rPr>
        <w:t>2、投标人应建立餐厅危机公关处理机制和方案，建立起有效的沟</w:t>
      </w:r>
      <w:r>
        <w:rPr>
          <w:rFonts w:hint="eastAsia" w:ascii="宋体" w:hAnsi="宋体" w:cs="宋体"/>
          <w:spacing w:val="-15"/>
          <w:sz w:val="24"/>
          <w:highlight w:val="none"/>
        </w:rPr>
        <w:t>通渠道，通过对危机的监测、防范、决策和处理，达到避免和减少危机</w:t>
      </w:r>
      <w:r>
        <w:rPr>
          <w:rFonts w:hint="eastAsia" w:ascii="宋体" w:hAnsi="宋体" w:cs="宋体"/>
          <w:spacing w:val="-9"/>
          <w:sz w:val="24"/>
          <w:highlight w:val="none"/>
        </w:rPr>
        <w:t>产生的危害。</w:t>
      </w:r>
    </w:p>
    <w:p>
      <w:pPr>
        <w:pStyle w:val="60"/>
        <w:tabs>
          <w:tab w:val="left" w:pos="1677"/>
        </w:tabs>
        <w:spacing w:line="360" w:lineRule="auto"/>
        <w:ind w:firstLine="448"/>
        <w:rPr>
          <w:rFonts w:hint="eastAsia" w:ascii="宋体" w:hAnsi="宋体" w:cs="宋体"/>
          <w:sz w:val="24"/>
          <w:highlight w:val="none"/>
        </w:rPr>
      </w:pPr>
      <w:r>
        <w:rPr>
          <w:rFonts w:hint="eastAsia" w:ascii="宋体" w:hAnsi="宋体" w:cs="宋体"/>
          <w:spacing w:val="-8"/>
          <w:sz w:val="24"/>
          <w:highlight w:val="none"/>
        </w:rPr>
        <w:t>3、投标人应建立消防突发事件应急处置方案、食品安全突发事件</w:t>
      </w:r>
      <w:r>
        <w:rPr>
          <w:rFonts w:hint="eastAsia" w:ascii="宋体" w:hAnsi="宋体" w:cs="宋体"/>
          <w:spacing w:val="-9"/>
          <w:sz w:val="24"/>
          <w:highlight w:val="none"/>
        </w:rPr>
        <w:t>应急处置方案；</w:t>
      </w:r>
    </w:p>
    <w:p>
      <w:pPr>
        <w:pStyle w:val="60"/>
        <w:tabs>
          <w:tab w:val="left" w:pos="1677"/>
        </w:tabs>
        <w:spacing w:line="360" w:lineRule="auto"/>
        <w:ind w:firstLine="448"/>
        <w:rPr>
          <w:rFonts w:hint="eastAsia" w:ascii="宋体" w:hAnsi="宋体" w:cs="宋体"/>
          <w:sz w:val="24"/>
          <w:highlight w:val="none"/>
        </w:rPr>
      </w:pPr>
      <w:r>
        <w:rPr>
          <w:rFonts w:hint="eastAsia" w:ascii="宋体" w:hAnsi="宋体" w:cs="宋体"/>
          <w:spacing w:val="-8"/>
          <w:sz w:val="24"/>
          <w:highlight w:val="none"/>
        </w:rPr>
        <w:t>4、其他必要的应急预案，包括但不限于：发生盗窃处置预案、发</w:t>
      </w:r>
      <w:r>
        <w:rPr>
          <w:rFonts w:hint="eastAsia" w:ascii="宋体" w:hAnsi="宋体" w:cs="宋体"/>
          <w:spacing w:val="-16"/>
          <w:sz w:val="24"/>
          <w:highlight w:val="none"/>
        </w:rPr>
        <w:t>生打架斗殴事件处置预案、公共设施损坏应急预案、食堂设备伤人事故</w:t>
      </w:r>
      <w:r>
        <w:rPr>
          <w:rFonts w:hint="eastAsia" w:ascii="宋体" w:hAnsi="宋体" w:cs="宋体"/>
          <w:spacing w:val="-10"/>
          <w:sz w:val="24"/>
          <w:highlight w:val="none"/>
        </w:rPr>
        <w:t>应急预案、烫伤应急预案、突发地震事故处置应急预案等。</w:t>
      </w:r>
    </w:p>
    <w:p>
      <w:pPr>
        <w:pStyle w:val="5"/>
        <w:numPr>
          <w:ilvl w:val="0"/>
          <w:numId w:val="0"/>
        </w:numPr>
        <w:tabs>
          <w:tab w:val="left" w:pos="1634"/>
        </w:tabs>
        <w:spacing w:line="240" w:lineRule="auto"/>
        <w:ind w:firstLine="643" w:firstLineChars="200"/>
        <w:rPr>
          <w:rFonts w:hint="eastAsia" w:cs="宋体"/>
          <w:highlight w:val="none"/>
        </w:rPr>
      </w:pPr>
      <w:bookmarkStart w:id="72" w:name="8. 其他要求"/>
      <w:bookmarkEnd w:id="72"/>
      <w:r>
        <w:rPr>
          <w:rFonts w:hint="eastAsia" w:cs="宋体"/>
          <w:highlight w:val="none"/>
        </w:rPr>
        <w:t>（六）其他要求</w:t>
      </w:r>
    </w:p>
    <w:p>
      <w:pPr>
        <w:pStyle w:val="60"/>
        <w:tabs>
          <w:tab w:val="left" w:pos="1564"/>
        </w:tabs>
        <w:spacing w:line="360" w:lineRule="auto"/>
        <w:ind w:firstLine="436"/>
        <w:rPr>
          <w:rFonts w:hint="eastAsia" w:ascii="宋体" w:hAnsi="宋体" w:cs="宋体"/>
          <w:sz w:val="24"/>
          <w:highlight w:val="none"/>
        </w:rPr>
      </w:pPr>
      <w:r>
        <w:rPr>
          <w:rFonts w:hint="eastAsia" w:ascii="宋体" w:hAnsi="宋体" w:cs="宋体"/>
          <w:spacing w:val="-11"/>
          <w:sz w:val="24"/>
          <w:highlight w:val="none"/>
        </w:rPr>
        <w:t>1、食堂的经营范围为就餐员工餐饮伙食。投标人应严格按照本合</w:t>
      </w:r>
      <w:r>
        <w:rPr>
          <w:rFonts w:hint="eastAsia" w:ascii="宋体" w:hAnsi="宋体" w:cs="宋体"/>
          <w:spacing w:val="-3"/>
          <w:sz w:val="24"/>
          <w:highlight w:val="none"/>
        </w:rPr>
        <w:t>同的约定提供服务，不得超出经营范围、不得将该经营场所用于本合同以外的用途，不得向第三方分包、转包。一经发现，采购人有权单方面终止合同。</w:t>
      </w:r>
    </w:p>
    <w:p>
      <w:pPr>
        <w:pStyle w:val="60"/>
        <w:tabs>
          <w:tab w:val="left" w:pos="1564"/>
        </w:tabs>
        <w:spacing w:line="360" w:lineRule="auto"/>
        <w:ind w:firstLine="424"/>
        <w:rPr>
          <w:rFonts w:hint="eastAsia" w:ascii="宋体" w:hAnsi="宋体" w:cs="宋体"/>
          <w:sz w:val="24"/>
          <w:highlight w:val="none"/>
        </w:rPr>
      </w:pPr>
      <w:r>
        <w:rPr>
          <w:rFonts w:hint="eastAsia" w:ascii="宋体" w:hAnsi="宋体" w:cs="宋体"/>
          <w:spacing w:val="-14"/>
          <w:sz w:val="24"/>
          <w:highlight w:val="none"/>
        </w:rPr>
        <w:t>2、投标人如因食品卫生、伙食品种和质量等问题引起采购</w:t>
      </w:r>
      <w:r>
        <w:rPr>
          <w:rFonts w:hint="eastAsia" w:ascii="宋体" w:hAnsi="宋体" w:cs="宋体"/>
          <w:spacing w:val="-3"/>
          <w:sz w:val="24"/>
          <w:highlight w:val="none"/>
        </w:rPr>
        <w:t>人员工普遍不满，必须做出书面的、公开的解释，提出解决方案并赔偿采购人因此而遭受的全部损失；如加工出售的食品引起病源性传播或食物中毒，由此所造成的损失由投标人负责并承担相应的法律和经济责任；不得加工出售政府明令禁止的食物，如有违反，将依法移交有关部门进行处理。</w:t>
      </w:r>
    </w:p>
    <w:p>
      <w:pPr>
        <w:pStyle w:val="60"/>
        <w:tabs>
          <w:tab w:val="left" w:pos="1636"/>
        </w:tabs>
        <w:spacing w:line="360" w:lineRule="auto"/>
        <w:ind w:firstLine="480"/>
        <w:rPr>
          <w:rFonts w:hint="eastAsia" w:ascii="宋体" w:hAnsi="宋体" w:cs="宋体"/>
          <w:sz w:val="24"/>
          <w:highlight w:val="none"/>
        </w:rPr>
      </w:pPr>
      <w:r>
        <w:rPr>
          <w:rFonts w:hint="eastAsia" w:ascii="宋体" w:hAnsi="宋体" w:cs="宋体"/>
          <w:sz w:val="24"/>
          <w:highlight w:val="none"/>
        </w:rPr>
        <w:t>3、投标人需加强对员工和财产的管理，并按照相关法律法规为</w:t>
      </w:r>
      <w:r>
        <w:rPr>
          <w:rFonts w:hint="eastAsia" w:ascii="宋体" w:hAnsi="宋体" w:cs="宋体"/>
          <w:spacing w:val="-3"/>
          <w:sz w:val="24"/>
          <w:highlight w:val="none"/>
        </w:rPr>
        <w:t>其员工购买保险，经营期间所发生的人员伤亡、财产损失，均由投标</w:t>
      </w:r>
      <w:r>
        <w:rPr>
          <w:rFonts w:hint="eastAsia" w:ascii="宋体" w:hAnsi="宋体" w:cs="宋体"/>
          <w:spacing w:val="-2"/>
          <w:sz w:val="24"/>
          <w:highlight w:val="none"/>
        </w:rPr>
        <w:t>人负责。</w:t>
      </w:r>
    </w:p>
    <w:p>
      <w:pPr>
        <w:pStyle w:val="60"/>
        <w:tabs>
          <w:tab w:val="left" w:pos="1564"/>
        </w:tabs>
        <w:spacing w:line="360" w:lineRule="auto"/>
        <w:ind w:firstLine="444"/>
        <w:rPr>
          <w:rFonts w:hint="eastAsia" w:ascii="宋体" w:hAnsi="宋体" w:cs="宋体"/>
          <w:sz w:val="24"/>
          <w:highlight w:val="none"/>
        </w:rPr>
      </w:pPr>
      <w:r>
        <w:rPr>
          <w:rFonts w:hint="eastAsia" w:ascii="宋体" w:hAnsi="宋体" w:cs="宋体"/>
          <w:spacing w:val="-9"/>
          <w:sz w:val="24"/>
          <w:highlight w:val="none"/>
        </w:rPr>
        <w:t>4、投标人应根据劳动法等相关法律法规保障员工的合法权益，妥</w:t>
      </w:r>
      <w:r>
        <w:rPr>
          <w:rFonts w:hint="eastAsia" w:ascii="宋体" w:hAnsi="宋体" w:cs="宋体"/>
          <w:spacing w:val="-3"/>
          <w:sz w:val="24"/>
          <w:highlight w:val="none"/>
        </w:rPr>
        <w:t>善处理劳资纠纷，并不得因此影响食堂的正常服务以及采购人的正常工作秩序，否则，采购人有权追究投标人的责任。</w:t>
      </w:r>
    </w:p>
    <w:p>
      <w:pPr>
        <w:pStyle w:val="60"/>
        <w:tabs>
          <w:tab w:val="left" w:pos="1564"/>
        </w:tabs>
        <w:spacing w:line="360" w:lineRule="auto"/>
        <w:ind w:firstLine="444"/>
        <w:rPr>
          <w:rFonts w:hint="eastAsia" w:ascii="宋体" w:hAnsi="宋体" w:cs="宋体"/>
          <w:spacing w:val="-3"/>
          <w:sz w:val="24"/>
          <w:highlight w:val="none"/>
        </w:rPr>
      </w:pPr>
      <w:r>
        <w:rPr>
          <w:rFonts w:hint="eastAsia" w:ascii="宋体" w:hAnsi="宋体" w:cs="宋体"/>
          <w:spacing w:val="-9"/>
          <w:sz w:val="24"/>
          <w:highlight w:val="none"/>
        </w:rPr>
        <w:t>5、投标人的经营活动必须以投标时投标主体的名义开展。不得以</w:t>
      </w:r>
      <w:r>
        <w:rPr>
          <w:rFonts w:hint="eastAsia" w:ascii="宋体" w:hAnsi="宋体" w:cs="宋体"/>
          <w:spacing w:val="-3"/>
          <w:sz w:val="24"/>
          <w:highlight w:val="none"/>
        </w:rPr>
        <w:t>采购人的名义开展经营活动，不得在对外宣传、经营活动以及票据的使用中使用采购人的标志、名称或者字样，不得做出任何有可能使第三方认为投标人经营主体是采购人的代表、雇员或者代理人的行为。一经发现，采购人有权单方面终止合同。</w:t>
      </w:r>
    </w:p>
    <w:p>
      <w:pPr>
        <w:pStyle w:val="60"/>
        <w:tabs>
          <w:tab w:val="left" w:pos="1564"/>
        </w:tabs>
        <w:spacing w:line="360" w:lineRule="auto"/>
        <w:ind w:firstLine="408"/>
        <w:rPr>
          <w:spacing w:val="-10"/>
          <w:sz w:val="24"/>
          <w:highlight w:val="none"/>
        </w:rPr>
      </w:pPr>
      <w:r>
        <w:rPr>
          <w:rFonts w:hint="eastAsia"/>
          <w:spacing w:val="-10"/>
          <w:sz w:val="24"/>
          <w:highlight w:val="none"/>
        </w:rPr>
        <w:t>6</w:t>
      </w:r>
      <w:r>
        <w:rPr>
          <w:spacing w:val="-10"/>
          <w:sz w:val="24"/>
          <w:highlight w:val="none"/>
        </w:rPr>
        <w:t>、中标人必须</w:t>
      </w:r>
      <w:r>
        <w:rPr>
          <w:rFonts w:hint="eastAsia"/>
          <w:spacing w:val="-10"/>
          <w:sz w:val="24"/>
          <w:highlight w:val="none"/>
        </w:rPr>
        <w:t>购</w:t>
      </w:r>
      <w:r>
        <w:rPr>
          <w:spacing w:val="-10"/>
          <w:sz w:val="24"/>
          <w:highlight w:val="none"/>
        </w:rPr>
        <w:t>买与之相对应的《食品安全责任险》</w:t>
      </w:r>
      <w:r>
        <w:rPr>
          <w:rFonts w:hint="eastAsia"/>
          <w:spacing w:val="-10"/>
          <w:sz w:val="24"/>
          <w:highlight w:val="none"/>
        </w:rPr>
        <w:t>不低于500万元</w:t>
      </w:r>
      <w:r>
        <w:rPr>
          <w:spacing w:val="-10"/>
          <w:sz w:val="24"/>
          <w:highlight w:val="none"/>
        </w:rPr>
        <w:t>，并在合同签订后、首次结算费用前向采购人提供保险购买凭证，否则采购人有权拒绝结算费用。</w:t>
      </w:r>
    </w:p>
    <w:p>
      <w:pPr>
        <w:pStyle w:val="60"/>
        <w:tabs>
          <w:tab w:val="left" w:pos="1564"/>
        </w:tabs>
        <w:spacing w:line="360" w:lineRule="auto"/>
        <w:ind w:firstLine="408"/>
        <w:rPr>
          <w:rFonts w:hint="eastAsia"/>
          <w:spacing w:val="-10"/>
          <w:sz w:val="24"/>
          <w:highlight w:val="none"/>
          <w:lang w:val="en-US" w:eastAsia="zh-CN"/>
        </w:rPr>
      </w:pPr>
      <w:r>
        <w:rPr>
          <w:rFonts w:hint="eastAsia"/>
          <w:spacing w:val="-10"/>
          <w:sz w:val="24"/>
          <w:highlight w:val="none"/>
        </w:rPr>
        <w:t>7、投标人须结合采购人的工作性质和特点，在特别节假日（包括但不限于三八妇女节、五四青年节、端午节、国庆节、中秋节、春节以及采购人特定的活动期间等）应增加菜品数量并升级菜品品类。</w:t>
      </w:r>
    </w:p>
    <w:p>
      <w:pPr>
        <w:pStyle w:val="5"/>
        <w:numPr>
          <w:ilvl w:val="0"/>
          <w:numId w:val="0"/>
        </w:numPr>
        <w:tabs>
          <w:tab w:val="left" w:pos="1634"/>
        </w:tabs>
        <w:spacing w:line="240" w:lineRule="auto"/>
        <w:ind w:firstLine="643" w:firstLineChars="200"/>
        <w:rPr>
          <w:rFonts w:hint="eastAsia" w:ascii="Times New Roman" w:hAnsi="Times New Roman" w:cs="宋体"/>
          <w:highlight w:val="none"/>
          <w:lang w:val="zh-CN"/>
        </w:rPr>
      </w:pPr>
      <w:r>
        <w:rPr>
          <w:rFonts w:hint="eastAsia" w:ascii="Times New Roman" w:hAnsi="Times New Roman" w:cs="宋体"/>
          <w:highlight w:val="none"/>
          <w:lang w:val="zh-CN"/>
        </w:rPr>
        <w:t>（七）验收及售后</w:t>
      </w:r>
    </w:p>
    <w:p>
      <w:pPr>
        <w:widowControl/>
        <w:spacing w:line="360" w:lineRule="auto"/>
        <w:ind w:firstLine="480" w:firstLineChars="200"/>
        <w:jc w:val="left"/>
        <w:textAlignment w:val="baseline"/>
        <w:rPr>
          <w:rFonts w:hint="eastAsia" w:ascii="宋体" w:hAnsi="宋体" w:cs="宋体"/>
          <w:color w:val="000000"/>
          <w:sz w:val="24"/>
          <w:highlight w:val="none"/>
          <w:lang w:val="zh-CN" w:bidi="ar"/>
        </w:rPr>
      </w:pPr>
      <w:r>
        <w:rPr>
          <w:rFonts w:hint="eastAsia" w:ascii="宋体" w:hAnsi="宋体" w:cs="宋体"/>
          <w:color w:val="000000"/>
          <w:sz w:val="24"/>
          <w:highlight w:val="none"/>
          <w:lang w:val="zh-CN" w:bidi="ar"/>
        </w:rPr>
        <w:t>（1) 验收：本项目采购人参照采购相关法律法规以及《四川省政府采购项目需求论证和履约验收管理办法》 (川财采（2015) 32 号）的要求进行验收。</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hAnsi="宋体" w:eastAsia="宋体" w:cs="宋体"/>
          <w:b/>
          <w:bCs w:val="0"/>
          <w:color w:val="auto"/>
          <w:sz w:val="24"/>
          <w:szCs w:val="24"/>
          <w:highlight w:val="none"/>
          <w:lang w:val="en-US" w:eastAsia="zh-CN"/>
        </w:rPr>
      </w:pPr>
    </w:p>
    <w:bookmarkEnd w:id="56"/>
    <w:bookmarkEnd w:id="57"/>
    <w:bookmarkEnd w:id="58"/>
    <w:bookmarkEnd w:id="59"/>
    <w:bookmarkEnd w:id="60"/>
    <w:bookmarkEnd w:id="69"/>
    <w:p>
      <w:pPr>
        <w:pStyle w:val="3"/>
        <w:pageBreakBefore/>
        <w:spacing w:before="0" w:after="20" w:line="360" w:lineRule="auto"/>
        <w:jc w:val="center"/>
        <w:rPr>
          <w:rFonts w:ascii="黑体" w:eastAsia="黑体"/>
          <w:color w:val="000000"/>
          <w:sz w:val="32"/>
          <w:szCs w:val="32"/>
          <w:highlight w:val="none"/>
        </w:rPr>
      </w:pPr>
      <w:bookmarkStart w:id="73" w:name="_Toc533424976"/>
      <w:bookmarkStart w:id="74" w:name="_Toc217446057"/>
      <w:bookmarkStart w:id="75" w:name="_Toc183682369"/>
      <w:bookmarkStart w:id="76" w:name="_Toc183582232"/>
      <w:r>
        <w:rPr>
          <w:rFonts w:hint="eastAsia" w:ascii="黑体" w:eastAsia="黑体"/>
          <w:color w:val="000000"/>
          <w:sz w:val="32"/>
          <w:szCs w:val="32"/>
          <w:highlight w:val="none"/>
        </w:rPr>
        <w:t>第六章  磋商内容、磋商过程中可实质性变动的内容</w:t>
      </w:r>
      <w:bookmarkEnd w:id="73"/>
    </w:p>
    <w:p>
      <w:pPr>
        <w:pStyle w:val="4"/>
        <w:keepNext w:val="0"/>
        <w:keepLines w:val="0"/>
        <w:spacing w:before="0" w:after="0" w:line="400" w:lineRule="exact"/>
        <w:rPr>
          <w:rFonts w:ascii="宋体" w:hAnsi="宋体" w:eastAsia="宋体"/>
          <w:color w:val="000000"/>
          <w:sz w:val="24"/>
          <w:szCs w:val="24"/>
          <w:highlight w:val="none"/>
        </w:rPr>
      </w:pPr>
    </w:p>
    <w:p>
      <w:pPr>
        <w:tabs>
          <w:tab w:val="left" w:pos="7665"/>
        </w:tabs>
        <w:spacing w:line="400" w:lineRule="exact"/>
        <w:ind w:firstLine="480"/>
        <w:rPr>
          <w:rFonts w:ascii="宋体" w:hAnsi="宋体"/>
          <w:bCs/>
          <w:color w:val="000000"/>
          <w:sz w:val="24"/>
          <w:highlight w:val="none"/>
        </w:rPr>
      </w:pPr>
      <w:r>
        <w:rPr>
          <w:rFonts w:hAnsi="宋体"/>
          <w:sz w:val="24"/>
          <w:highlight w:val="none"/>
        </w:rPr>
        <w:t>针对</w:t>
      </w:r>
      <w:r>
        <w:rPr>
          <w:rFonts w:hint="eastAsia" w:hAnsi="宋体"/>
          <w:sz w:val="24"/>
          <w:highlight w:val="none"/>
        </w:rPr>
        <w:t>第五章、第九章</w:t>
      </w:r>
      <w:r>
        <w:rPr>
          <w:rFonts w:hAnsi="宋体"/>
          <w:sz w:val="24"/>
          <w:highlight w:val="none"/>
        </w:rPr>
        <w:t>所包含的</w:t>
      </w:r>
      <w:r>
        <w:rPr>
          <w:rFonts w:hint="eastAsia" w:hAnsi="宋体"/>
          <w:sz w:val="24"/>
          <w:highlight w:val="none"/>
        </w:rPr>
        <w:t>技术、服务要求以及合同草案条款</w:t>
      </w:r>
      <w:r>
        <w:rPr>
          <w:rFonts w:hAnsi="宋体"/>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ascii="宋体" w:hAnsi="宋体"/>
          <w:bCs/>
          <w:color w:val="000000"/>
          <w:sz w:val="24"/>
          <w:highlight w:val="none"/>
        </w:rPr>
      </w:pPr>
    </w:p>
    <w:p>
      <w:pPr>
        <w:tabs>
          <w:tab w:val="left" w:pos="7665"/>
        </w:tabs>
        <w:spacing w:line="400" w:lineRule="exact"/>
        <w:ind w:firstLine="480"/>
        <w:rPr>
          <w:rFonts w:ascii="宋体" w:hAnsi="宋体"/>
          <w:bCs/>
          <w:color w:val="000000"/>
          <w:sz w:val="24"/>
          <w:highlight w:val="none"/>
        </w:rPr>
      </w:pPr>
    </w:p>
    <w:p>
      <w:pPr>
        <w:tabs>
          <w:tab w:val="left" w:pos="7665"/>
        </w:tabs>
        <w:spacing w:line="400" w:lineRule="exact"/>
        <w:ind w:firstLine="480"/>
        <w:rPr>
          <w:rFonts w:ascii="宋体" w:hAnsi="宋体"/>
          <w:bCs/>
          <w:color w:val="000000"/>
          <w:sz w:val="24"/>
          <w:highlight w:val="none"/>
        </w:rPr>
      </w:pPr>
    </w:p>
    <w:p>
      <w:pPr>
        <w:tabs>
          <w:tab w:val="left" w:pos="7665"/>
        </w:tabs>
        <w:spacing w:line="400" w:lineRule="exact"/>
        <w:ind w:firstLine="480"/>
        <w:rPr>
          <w:rFonts w:ascii="宋体" w:hAnsi="宋体"/>
          <w:bCs/>
          <w:color w:val="000000"/>
          <w:sz w:val="24"/>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ind w:firstLine="480"/>
        <w:jc w:val="center"/>
        <w:rPr>
          <w:rFonts w:ascii="黑体" w:hAnsi="宋体" w:eastAsia="黑体"/>
          <w:b/>
          <w:bCs/>
          <w:color w:val="000000"/>
          <w:sz w:val="32"/>
          <w:szCs w:val="32"/>
          <w:highlight w:val="none"/>
        </w:rPr>
      </w:pPr>
    </w:p>
    <w:p>
      <w:pPr>
        <w:tabs>
          <w:tab w:val="left" w:pos="7665"/>
        </w:tabs>
        <w:spacing w:line="400" w:lineRule="exact"/>
        <w:ind w:firstLine="480"/>
        <w:jc w:val="center"/>
        <w:rPr>
          <w:rFonts w:ascii="黑体" w:hAnsi="宋体" w:eastAsia="黑体"/>
          <w:b/>
          <w:bCs/>
          <w:color w:val="000000"/>
          <w:sz w:val="32"/>
          <w:szCs w:val="32"/>
          <w:highlight w:val="none"/>
        </w:rPr>
      </w:pPr>
    </w:p>
    <w:p>
      <w:pPr>
        <w:tabs>
          <w:tab w:val="left" w:pos="7665"/>
        </w:tabs>
        <w:spacing w:line="400" w:lineRule="exact"/>
        <w:ind w:firstLine="480"/>
        <w:jc w:val="center"/>
        <w:rPr>
          <w:rFonts w:ascii="黑体" w:hAnsi="宋体" w:eastAsia="黑体"/>
          <w:b/>
          <w:bCs/>
          <w:color w:val="000000"/>
          <w:sz w:val="32"/>
          <w:szCs w:val="32"/>
          <w:highlight w:val="none"/>
        </w:rPr>
      </w:pPr>
    </w:p>
    <w:p>
      <w:pPr>
        <w:tabs>
          <w:tab w:val="left" w:pos="7665"/>
        </w:tabs>
        <w:spacing w:line="400" w:lineRule="exact"/>
        <w:ind w:firstLine="480"/>
        <w:jc w:val="center"/>
        <w:rPr>
          <w:rFonts w:ascii="黑体" w:hAnsi="宋体" w:eastAsia="黑体"/>
          <w:b/>
          <w:bCs/>
          <w:color w:val="000000"/>
          <w:sz w:val="32"/>
          <w:szCs w:val="32"/>
          <w:highlight w:val="none"/>
        </w:rPr>
      </w:pPr>
    </w:p>
    <w:p>
      <w:pPr>
        <w:tabs>
          <w:tab w:val="left" w:pos="7665"/>
        </w:tabs>
        <w:spacing w:line="400" w:lineRule="exact"/>
        <w:ind w:firstLine="480"/>
        <w:jc w:val="center"/>
        <w:rPr>
          <w:rFonts w:ascii="黑体" w:hAnsi="宋体" w:eastAsia="黑体"/>
          <w:b/>
          <w:bCs/>
          <w:color w:val="000000"/>
          <w:sz w:val="32"/>
          <w:szCs w:val="32"/>
          <w:highlight w:val="none"/>
        </w:rPr>
      </w:pPr>
    </w:p>
    <w:p>
      <w:pPr>
        <w:tabs>
          <w:tab w:val="left" w:pos="7665"/>
        </w:tabs>
        <w:spacing w:line="400" w:lineRule="exact"/>
        <w:ind w:firstLine="480"/>
        <w:rPr>
          <w:rFonts w:ascii="宋体" w:hAnsi="宋体"/>
          <w:b/>
          <w:color w:val="000000"/>
          <w:sz w:val="24"/>
          <w:highlight w:val="none"/>
        </w:rPr>
      </w:pPr>
      <w:r>
        <w:rPr>
          <w:rFonts w:hint="eastAsia" w:ascii="宋体" w:hAnsi="宋体"/>
          <w:b/>
          <w:color w:val="000000"/>
          <w:sz w:val="24"/>
          <w:highlight w:val="none"/>
        </w:rPr>
        <w:t>注：采购人不同意磋商文件在磋商过程中有任何变动的，可以不规定此章内容。</w:t>
      </w:r>
    </w:p>
    <w:p>
      <w:pPr>
        <w:tabs>
          <w:tab w:val="left" w:pos="7665"/>
        </w:tabs>
        <w:spacing w:line="400" w:lineRule="exact"/>
        <w:ind w:firstLine="480"/>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tabs>
          <w:tab w:val="left" w:pos="7665"/>
        </w:tabs>
        <w:spacing w:line="400" w:lineRule="exact"/>
        <w:rPr>
          <w:rFonts w:ascii="黑体" w:hAnsi="宋体" w:eastAsia="黑体"/>
          <w:b/>
          <w:bCs/>
          <w:color w:val="000000"/>
          <w:sz w:val="32"/>
          <w:szCs w:val="32"/>
          <w:highlight w:val="none"/>
        </w:rPr>
      </w:pPr>
    </w:p>
    <w:p>
      <w:pPr>
        <w:pStyle w:val="3"/>
        <w:pageBreakBefore/>
        <w:spacing w:before="0" w:after="20" w:line="360" w:lineRule="auto"/>
        <w:jc w:val="center"/>
        <w:rPr>
          <w:rFonts w:ascii="黑体" w:eastAsia="黑体"/>
          <w:color w:val="000000"/>
          <w:sz w:val="32"/>
          <w:szCs w:val="32"/>
          <w:highlight w:val="none"/>
        </w:rPr>
      </w:pPr>
      <w:bookmarkStart w:id="77" w:name="_Toc533424977"/>
      <w:r>
        <w:rPr>
          <w:rFonts w:hint="eastAsia" w:ascii="黑体" w:eastAsia="黑体"/>
          <w:color w:val="000000"/>
          <w:sz w:val="32"/>
          <w:szCs w:val="32"/>
          <w:highlight w:val="none"/>
        </w:rPr>
        <w:t>第七章  响应文件格式</w:t>
      </w:r>
      <w:bookmarkEnd w:id="77"/>
    </w:p>
    <w:p>
      <w:pPr>
        <w:tabs>
          <w:tab w:val="left" w:pos="7665"/>
        </w:tabs>
        <w:spacing w:line="400" w:lineRule="exact"/>
        <w:ind w:firstLine="480"/>
        <w:rPr>
          <w:rFonts w:ascii="宋体" w:hAnsi="宋体"/>
          <w:bCs/>
          <w:color w:val="000000"/>
          <w:sz w:val="24"/>
          <w:highlight w:val="none"/>
        </w:rPr>
      </w:pPr>
    </w:p>
    <w:p>
      <w:pPr>
        <w:jc w:val="left"/>
        <w:rPr>
          <w:b/>
          <w:color w:val="000000"/>
          <w:sz w:val="32"/>
          <w:szCs w:val="32"/>
          <w:highlight w:val="none"/>
        </w:rPr>
      </w:pPr>
    </w:p>
    <w:p>
      <w:pPr>
        <w:jc w:val="left"/>
        <w:rPr>
          <w:color w:val="000000"/>
          <w:sz w:val="24"/>
          <w:highlight w:val="none"/>
        </w:rPr>
      </w:pPr>
      <w:r>
        <w:rPr>
          <w:rFonts w:hint="eastAsia"/>
          <w:color w:val="000000"/>
          <w:sz w:val="24"/>
          <w:highlight w:val="none"/>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jc w:val="left"/>
        <w:rPr>
          <w:color w:val="000000"/>
          <w:sz w:val="24"/>
          <w:highlight w:val="none"/>
        </w:rPr>
      </w:pPr>
      <w:r>
        <w:rPr>
          <w:rFonts w:hint="eastAsia"/>
          <w:color w:val="000000"/>
          <w:sz w:val="24"/>
          <w:highlight w:val="none"/>
        </w:rPr>
        <w:t xml:space="preserve">    二、本章所制响应文件格式有关表格中的备注栏，由供应商根据自身响应情况作解释性说明，不作为必填项。</w:t>
      </w:r>
    </w:p>
    <w:p>
      <w:pPr>
        <w:ind w:firstLine="480" w:firstLineChars="200"/>
        <w:rPr>
          <w:b/>
          <w:color w:val="000000"/>
          <w:sz w:val="32"/>
          <w:szCs w:val="32"/>
          <w:highlight w:val="none"/>
        </w:rPr>
      </w:pPr>
      <w:r>
        <w:rPr>
          <w:rFonts w:hint="eastAsia"/>
          <w:color w:val="000000"/>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b/>
          <w:color w:val="000000"/>
          <w:sz w:val="32"/>
          <w:szCs w:val="32"/>
          <w:highlight w:val="none"/>
        </w:rPr>
      </w:pPr>
    </w:p>
    <w:p>
      <w:pPr>
        <w:jc w:val="center"/>
        <w:rPr>
          <w:b/>
          <w:color w:val="000000"/>
          <w:sz w:val="32"/>
          <w:szCs w:val="32"/>
          <w:highlight w:val="none"/>
        </w:rPr>
      </w:pPr>
    </w:p>
    <w:p>
      <w:pPr>
        <w:rPr>
          <w:b/>
          <w:color w:val="000000"/>
          <w:sz w:val="32"/>
          <w:szCs w:val="32"/>
          <w:highlight w:val="none"/>
        </w:rPr>
      </w:pPr>
    </w:p>
    <w:p>
      <w:pPr>
        <w:pStyle w:val="8"/>
        <w:rPr>
          <w:b/>
          <w:color w:val="000000"/>
          <w:sz w:val="32"/>
          <w:szCs w:val="32"/>
          <w:highlight w:val="none"/>
        </w:rPr>
      </w:pPr>
    </w:p>
    <w:p>
      <w:pPr>
        <w:rPr>
          <w:b/>
          <w:color w:val="000000"/>
          <w:sz w:val="32"/>
          <w:szCs w:val="32"/>
          <w:highlight w:val="none"/>
        </w:rPr>
      </w:pPr>
    </w:p>
    <w:p>
      <w:pPr>
        <w:rPr>
          <w:highlight w:val="none"/>
        </w:rPr>
      </w:pPr>
      <w:r>
        <w:rPr>
          <w:highlight w:val="none"/>
        </w:rPr>
        <w:br w:type="page"/>
      </w:r>
    </w:p>
    <w:p>
      <w:pPr>
        <w:pStyle w:val="8"/>
        <w:rPr>
          <w:highlight w:val="none"/>
        </w:rPr>
      </w:pPr>
    </w:p>
    <w:p>
      <w:pPr>
        <w:rPr>
          <w:highlight w:val="none"/>
        </w:rPr>
      </w:pPr>
    </w:p>
    <w:p>
      <w:pPr>
        <w:pStyle w:val="8"/>
        <w:rPr>
          <w:highlight w:val="none"/>
        </w:rPr>
      </w:pPr>
    </w:p>
    <w:p>
      <w:pPr>
        <w:spacing w:line="360" w:lineRule="auto"/>
        <w:ind w:left="43"/>
        <w:rPr>
          <w:rFonts w:ascii="宋体" w:hAnsi="宋体" w:cs="宋体"/>
          <w:b/>
          <w:sz w:val="24"/>
          <w:highlight w:val="none"/>
          <w:u w:val="single"/>
        </w:rPr>
      </w:pPr>
      <w:r>
        <w:rPr>
          <w:rFonts w:ascii="宋体" w:hAnsi="宋体" w:cs="宋体"/>
          <w:b/>
          <w:sz w:val="30"/>
          <w:highlight w:val="none"/>
        </w:rPr>
        <w:t>项目名称</w:t>
      </w:r>
      <w:r>
        <w:rPr>
          <w:rFonts w:ascii="宋体" w:hAnsi="宋体" w:cs="MS PGothic"/>
          <w:b/>
          <w:sz w:val="30"/>
          <w:highlight w:val="none"/>
        </w:rPr>
        <w:t>：</w:t>
      </w:r>
      <w:r>
        <w:rPr>
          <w:rFonts w:hint="eastAsia" w:ascii="宋体" w:hAnsi="宋体" w:cs="MS PGothic"/>
          <w:b/>
          <w:sz w:val="30"/>
          <w:highlight w:val="none"/>
          <w:u w:val="single"/>
        </w:rPr>
        <w:t xml:space="preserve">                           </w:t>
      </w:r>
    </w:p>
    <w:p>
      <w:pPr>
        <w:spacing w:line="360" w:lineRule="auto"/>
        <w:ind w:left="43"/>
        <w:jc w:val="center"/>
        <w:rPr>
          <w:rFonts w:ascii="宋体" w:hAnsi="宋体" w:cs="宋体"/>
          <w:b/>
          <w:sz w:val="30"/>
          <w:highlight w:val="none"/>
        </w:rPr>
      </w:pPr>
    </w:p>
    <w:p>
      <w:pPr>
        <w:spacing w:line="360" w:lineRule="auto"/>
        <w:ind w:left="43"/>
        <w:rPr>
          <w:rFonts w:ascii="宋体" w:hAnsi="宋体" w:cs="宋体"/>
          <w:b/>
          <w:sz w:val="30"/>
          <w:highlight w:val="none"/>
          <w:u w:val="single"/>
        </w:rPr>
      </w:pPr>
      <w:r>
        <w:rPr>
          <w:rFonts w:ascii="宋体" w:hAnsi="宋体" w:cs="宋体"/>
          <w:b/>
          <w:sz w:val="30"/>
          <w:highlight w:val="none"/>
        </w:rPr>
        <w:t>采购编号</w:t>
      </w:r>
      <w:r>
        <w:rPr>
          <w:rFonts w:ascii="宋体" w:hAnsi="宋体" w:cs="MS PGothic"/>
          <w:b/>
          <w:sz w:val="30"/>
          <w:highlight w:val="none"/>
        </w:rPr>
        <w:t>：</w:t>
      </w:r>
      <w:r>
        <w:rPr>
          <w:rFonts w:hint="eastAsia" w:ascii="宋体" w:hAnsi="宋体" w:cs="宋体"/>
          <w:b/>
          <w:sz w:val="30"/>
          <w:highlight w:val="none"/>
          <w:u w:val="single"/>
        </w:rPr>
        <w:t xml:space="preserve">   </w:t>
      </w:r>
      <w:r>
        <w:rPr>
          <w:rFonts w:hint="eastAsia" w:ascii="宋体" w:hAnsi="宋体" w:cs="MS PGothic"/>
          <w:b/>
          <w:sz w:val="30"/>
          <w:highlight w:val="none"/>
          <w:u w:val="single"/>
        </w:rPr>
        <w:t xml:space="preserve">                      </w:t>
      </w:r>
    </w:p>
    <w:p>
      <w:pPr>
        <w:spacing w:line="360" w:lineRule="auto"/>
        <w:jc w:val="center"/>
        <w:rPr>
          <w:rFonts w:ascii="宋体" w:hAnsi="宋体" w:cs="宋体"/>
          <w:b/>
          <w:sz w:val="30"/>
          <w:highlight w:val="none"/>
        </w:rPr>
      </w:pPr>
    </w:p>
    <w:p>
      <w:pPr>
        <w:pStyle w:val="8"/>
        <w:rPr>
          <w:rFonts w:ascii="宋体" w:hAnsi="宋体" w:cs="宋体"/>
          <w:b/>
          <w:sz w:val="30"/>
          <w:highlight w:val="none"/>
        </w:rPr>
      </w:pPr>
    </w:p>
    <w:p>
      <w:pPr>
        <w:rPr>
          <w:highlight w:val="none"/>
        </w:rPr>
      </w:pPr>
    </w:p>
    <w:p>
      <w:pPr>
        <w:spacing w:line="360" w:lineRule="auto"/>
        <w:jc w:val="center"/>
        <w:rPr>
          <w:rFonts w:ascii="宋体" w:hAnsi="宋体"/>
          <w:b/>
          <w:sz w:val="44"/>
          <w:szCs w:val="44"/>
          <w:highlight w:val="none"/>
        </w:rPr>
      </w:pPr>
      <w:r>
        <w:rPr>
          <w:rFonts w:ascii="宋体" w:hAnsi="宋体" w:cs="宋体"/>
          <w:b/>
          <w:sz w:val="44"/>
          <w:szCs w:val="44"/>
          <w:highlight w:val="none"/>
        </w:rPr>
        <w:t>资格性响应文件</w:t>
      </w:r>
    </w:p>
    <w:p>
      <w:pPr>
        <w:spacing w:line="360" w:lineRule="auto"/>
        <w:jc w:val="center"/>
        <w:rPr>
          <w:rFonts w:ascii="宋体" w:hAnsi="宋体" w:cs="MS PGothic"/>
          <w:b/>
          <w:sz w:val="30"/>
          <w:highlight w:val="none"/>
        </w:rPr>
      </w:pPr>
    </w:p>
    <w:p>
      <w:pPr>
        <w:spacing w:line="360" w:lineRule="auto"/>
        <w:jc w:val="center"/>
        <w:rPr>
          <w:rFonts w:ascii="宋体" w:hAnsi="宋体" w:cs="MS PGothic"/>
          <w:b/>
          <w:sz w:val="30"/>
          <w:highlight w:val="none"/>
        </w:rPr>
      </w:pPr>
    </w:p>
    <w:p>
      <w:pPr>
        <w:spacing w:line="360" w:lineRule="auto"/>
        <w:jc w:val="center"/>
        <w:rPr>
          <w:rFonts w:ascii="宋体" w:hAnsi="宋体"/>
          <w:b/>
          <w:sz w:val="30"/>
          <w:highlight w:val="none"/>
        </w:rPr>
      </w:pPr>
      <w:r>
        <w:rPr>
          <w:rFonts w:ascii="宋体" w:hAnsi="宋体" w:cs="MS PGothic"/>
          <w:b/>
          <w:sz w:val="30"/>
          <w:highlight w:val="none"/>
        </w:rPr>
        <w:t>（</w:t>
      </w:r>
      <w:r>
        <w:rPr>
          <w:rFonts w:ascii="宋体" w:hAnsi="宋体" w:cs="宋体"/>
          <w:b/>
          <w:sz w:val="30"/>
          <w:highlight w:val="none"/>
        </w:rPr>
        <w:t>正本或副本</w:t>
      </w:r>
      <w:r>
        <w:rPr>
          <w:rFonts w:ascii="宋体" w:hAnsi="宋体" w:cs="MS PGothic"/>
          <w:b/>
          <w:sz w:val="30"/>
          <w:highlight w:val="none"/>
        </w:rPr>
        <w:t>）</w:t>
      </w: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u w:val="single"/>
        </w:rPr>
      </w:pPr>
      <w:r>
        <w:rPr>
          <w:rFonts w:ascii="宋体" w:hAnsi="宋体" w:cs="宋体"/>
          <w:b/>
          <w:sz w:val="30"/>
          <w:highlight w:val="none"/>
        </w:rPr>
        <w:t>供应商名称</w:t>
      </w:r>
      <w:r>
        <w:rPr>
          <w:rFonts w:ascii="宋体" w:hAnsi="宋体" w:cs="MS PGothic"/>
          <w:b/>
          <w:sz w:val="30"/>
          <w:highlight w:val="none"/>
        </w:rPr>
        <w:t>：</w:t>
      </w:r>
      <w:r>
        <w:rPr>
          <w:rFonts w:hint="eastAsia" w:ascii="宋体" w:hAnsi="宋体" w:cs="MS PGothic"/>
          <w:b/>
          <w:sz w:val="30"/>
          <w:highlight w:val="none"/>
          <w:u w:val="single"/>
        </w:rPr>
        <w:t xml:space="preserve">                        </w:t>
      </w:r>
      <w:r>
        <w:rPr>
          <w:rFonts w:ascii="宋体" w:hAnsi="宋体" w:cs="MS PGothic"/>
          <w:b/>
          <w:sz w:val="30"/>
          <w:highlight w:val="none"/>
        </w:rPr>
        <w:t>（</w:t>
      </w:r>
      <w:r>
        <w:rPr>
          <w:rFonts w:ascii="宋体" w:hAnsi="宋体" w:cs="宋体"/>
          <w:b/>
          <w:sz w:val="30"/>
          <w:highlight w:val="none"/>
        </w:rPr>
        <w:t>加盖公章</w:t>
      </w:r>
      <w:r>
        <w:rPr>
          <w:rFonts w:ascii="宋体" w:hAnsi="宋体" w:cs="MS PGothic"/>
          <w:b/>
          <w:sz w:val="30"/>
          <w:highlight w:val="none"/>
        </w:rPr>
        <w:t>）</w:t>
      </w:r>
    </w:p>
    <w:p>
      <w:pPr>
        <w:spacing w:line="360" w:lineRule="auto"/>
        <w:jc w:val="center"/>
        <w:rPr>
          <w:rFonts w:ascii="宋体" w:hAnsi="宋体" w:cs="宋体"/>
          <w:b/>
          <w:sz w:val="30"/>
          <w:highlight w:val="none"/>
        </w:rPr>
      </w:pPr>
    </w:p>
    <w:p>
      <w:pPr>
        <w:spacing w:line="360" w:lineRule="auto"/>
        <w:jc w:val="center"/>
        <w:rPr>
          <w:rFonts w:ascii="宋体" w:hAnsi="宋体"/>
          <w:sz w:val="24"/>
          <w:highlight w:val="none"/>
        </w:rPr>
      </w:pPr>
      <w:r>
        <w:rPr>
          <w:rFonts w:hint="eastAsia" w:ascii="宋体" w:hAnsi="宋体" w:cs="宋体"/>
          <w:b/>
          <w:sz w:val="30"/>
          <w:highlight w:val="none"/>
        </w:rPr>
        <w:t>日期：  年  月   日</w:t>
      </w:r>
    </w:p>
    <w:p>
      <w:pPr>
        <w:pStyle w:val="8"/>
        <w:rPr>
          <w:highlight w:val="none"/>
        </w:rPr>
      </w:pPr>
    </w:p>
    <w:p>
      <w:pPr>
        <w:rPr>
          <w:highlight w:val="none"/>
        </w:rPr>
      </w:pPr>
      <w:r>
        <w:rPr>
          <w:highlight w:val="none"/>
        </w:rPr>
        <w:br w:type="page"/>
      </w:r>
    </w:p>
    <w:p>
      <w:pPr>
        <w:jc w:val="center"/>
        <w:rPr>
          <w:b/>
          <w:color w:val="000000"/>
          <w:sz w:val="28"/>
          <w:szCs w:val="28"/>
          <w:highlight w:val="none"/>
        </w:rPr>
      </w:pPr>
      <w:r>
        <w:rPr>
          <w:rFonts w:hint="eastAsia"/>
          <w:b/>
          <w:color w:val="000000"/>
          <w:sz w:val="28"/>
          <w:szCs w:val="28"/>
          <w:highlight w:val="none"/>
        </w:rPr>
        <w:t>一、法定代表人授权书</w:t>
      </w:r>
    </w:p>
    <w:p>
      <w:pPr>
        <w:jc w:val="center"/>
        <w:rPr>
          <w:b/>
          <w:color w:val="000000"/>
          <w:sz w:val="44"/>
          <w:highlight w:val="none"/>
        </w:rPr>
      </w:pPr>
    </w:p>
    <w:p>
      <w:pPr>
        <w:spacing w:line="400" w:lineRule="exact"/>
        <w:rPr>
          <w:rFonts w:ascii="宋体" w:hAnsi="宋体"/>
          <w:color w:val="000000"/>
          <w:sz w:val="24"/>
          <w:highlight w:val="none"/>
        </w:rPr>
      </w:pPr>
      <w:r>
        <w:rPr>
          <w:rFonts w:hint="eastAsia" w:ascii="宋体" w:hAnsi="宋体"/>
          <w:color w:val="000000"/>
          <w:sz w:val="24"/>
          <w:highlight w:val="none"/>
        </w:rPr>
        <w:t>XXX（采购</w:t>
      </w:r>
      <w:r>
        <w:rPr>
          <w:rFonts w:hint="eastAsia" w:ascii="宋体" w:hAnsi="宋体"/>
          <w:color w:val="000000"/>
          <w:sz w:val="24"/>
          <w:highlight w:val="none"/>
          <w:lang w:eastAsia="zh-CN"/>
        </w:rPr>
        <w:t>人</w:t>
      </w:r>
      <w:r>
        <w:rPr>
          <w:rFonts w:hint="eastAsia" w:ascii="宋体" w:hAnsi="宋体"/>
          <w:color w:val="000000"/>
          <w:sz w:val="24"/>
          <w:highlight w:val="none"/>
        </w:rPr>
        <w:t>名称）：</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本授权声明：XXX（单位名称）,XXX（法定代表人姓名、职务）授权XXX</w:t>
      </w:r>
      <w:r>
        <w:rPr>
          <w:rFonts w:hint="eastAsia" w:ascii="宋体" w:hAnsi="宋体"/>
          <w:color w:val="000000"/>
          <w:sz w:val="24"/>
          <w:highlight w:val="none"/>
          <w:u w:val="single"/>
        </w:rPr>
        <w:t xml:space="preserve">                   </w:t>
      </w:r>
      <w:r>
        <w:rPr>
          <w:rFonts w:hint="eastAsia" w:ascii="宋体" w:hAnsi="宋体"/>
          <w:color w:val="000000"/>
          <w:sz w:val="24"/>
          <w:highlight w:val="none"/>
        </w:rPr>
        <w:t>（被授权人姓名、职务）为我方参加XXX项目（采购编号：XXX）磋商采购活动的合法代表，以我方名义全权处理该项目有关磋商、报价、签订合同以及执行合同等一切事宜。</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特此声明。</w:t>
      </w:r>
    </w:p>
    <w:p>
      <w:pPr>
        <w:spacing w:line="400" w:lineRule="exact"/>
        <w:rPr>
          <w:rFonts w:ascii="宋体" w:hAnsi="宋体"/>
          <w:color w:val="000000"/>
          <w:sz w:val="24"/>
          <w:highlight w:val="none"/>
        </w:rPr>
      </w:pP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供应商名称：XXX（盖单位公章）</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法定代表人（签字或盖章）：XXX</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职    务：XXX</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被授权人签字：XXX</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职    务：XXX</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日    期：XXX年XXX月XXX</w:t>
      </w:r>
    </w:p>
    <w:p>
      <w:pPr>
        <w:rPr>
          <w:highlight w:val="none"/>
        </w:rPr>
      </w:pPr>
    </w:p>
    <w:p>
      <w:pPr>
        <w:pStyle w:val="8"/>
        <w:rPr>
          <w:highlight w:val="none"/>
        </w:rPr>
      </w:pPr>
    </w:p>
    <w:p>
      <w:pPr>
        <w:rPr>
          <w:highlight w:val="none"/>
        </w:rPr>
      </w:pPr>
    </w:p>
    <w:p>
      <w:pPr>
        <w:pStyle w:val="8"/>
        <w:rPr>
          <w:highlight w:val="none"/>
        </w:rPr>
      </w:pPr>
    </w:p>
    <w:p>
      <w:pPr>
        <w:rPr>
          <w:highlight w:val="none"/>
        </w:rPr>
      </w:pPr>
    </w:p>
    <w:p>
      <w:pPr>
        <w:jc w:val="center"/>
        <w:rPr>
          <w:b/>
          <w:color w:val="000000"/>
          <w:sz w:val="28"/>
          <w:szCs w:val="28"/>
          <w:highlight w:val="none"/>
        </w:rPr>
      </w:pPr>
      <w:r>
        <w:rPr>
          <w:rFonts w:hint="eastAsia"/>
          <w:b/>
          <w:color w:val="000000"/>
          <w:sz w:val="28"/>
          <w:szCs w:val="28"/>
          <w:highlight w:val="none"/>
        </w:rPr>
        <w:t>二、法人代表及被授权代表身份证</w:t>
      </w:r>
    </w:p>
    <w:p>
      <w:pPr>
        <w:pStyle w:val="8"/>
        <w:rPr>
          <w:highlight w:val="none"/>
        </w:rPr>
      </w:pPr>
    </w:p>
    <w:p>
      <w:pPr>
        <w:rPr>
          <w:highlight w:val="none"/>
        </w:rPr>
      </w:pPr>
    </w:p>
    <w:p>
      <w:pPr>
        <w:rPr>
          <w:highlight w:val="none"/>
        </w:rPr>
      </w:pPr>
    </w:p>
    <w:p>
      <w:pPr>
        <w:pStyle w:val="8"/>
        <w:jc w:val="center"/>
        <w:rPr>
          <w:sz w:val="24"/>
          <w:highlight w:val="none"/>
        </w:rPr>
      </w:pPr>
      <w:r>
        <w:rPr>
          <w:rFonts w:hint="eastAsia"/>
          <w:sz w:val="24"/>
          <w:highlight w:val="none"/>
        </w:rPr>
        <w:t>（格式自拟）</w:t>
      </w:r>
    </w:p>
    <w:p>
      <w:pPr>
        <w:pStyle w:val="8"/>
        <w:rPr>
          <w:highlight w:val="none"/>
        </w:rPr>
      </w:pPr>
    </w:p>
    <w:p>
      <w:pPr>
        <w:rPr>
          <w:highlight w:val="none"/>
        </w:rPr>
      </w:pPr>
    </w:p>
    <w:p>
      <w:pPr>
        <w:rPr>
          <w:highlight w:val="none"/>
        </w:rPr>
      </w:pPr>
      <w:r>
        <w:rPr>
          <w:highlight w:val="none"/>
        </w:rPr>
        <w:br w:type="page"/>
      </w:r>
    </w:p>
    <w:p>
      <w:pPr>
        <w:pageBreakBefore/>
        <w:jc w:val="center"/>
        <w:rPr>
          <w:rFonts w:ascii="宋体" w:hAnsi="宋体" w:cs="Arial"/>
          <w:b/>
          <w:bCs/>
          <w:color w:val="000000"/>
          <w:sz w:val="32"/>
          <w:szCs w:val="32"/>
          <w:highlight w:val="none"/>
        </w:rPr>
      </w:pPr>
      <w:r>
        <w:rPr>
          <w:rFonts w:hint="eastAsia" w:ascii="Times New Roman" w:hAnsi="Times New Roman" w:cs="Times New Roman"/>
          <w:b/>
          <w:color w:val="000000"/>
          <w:sz w:val="28"/>
          <w:szCs w:val="28"/>
          <w:highlight w:val="none"/>
          <w:lang w:eastAsia="zh-CN"/>
        </w:rPr>
        <w:t>三</w:t>
      </w:r>
      <w:r>
        <w:rPr>
          <w:rFonts w:hint="eastAsia" w:ascii="Times New Roman" w:hAnsi="Times New Roman" w:cs="Times New Roman"/>
          <w:b/>
          <w:color w:val="000000"/>
          <w:sz w:val="28"/>
          <w:szCs w:val="28"/>
          <w:highlight w:val="none"/>
        </w:rPr>
        <w:t>、承诺函</w:t>
      </w:r>
    </w:p>
    <w:p>
      <w:pPr>
        <w:spacing w:line="400" w:lineRule="exact"/>
        <w:ind w:firstLine="562" w:firstLineChars="200"/>
        <w:jc w:val="center"/>
        <w:rPr>
          <w:rFonts w:ascii="宋体" w:hAnsi="宋体" w:eastAsia="黑体"/>
          <w:b/>
          <w:color w:val="000000"/>
          <w:sz w:val="28"/>
          <w:szCs w:val="28"/>
          <w:highlight w:val="none"/>
        </w:rPr>
      </w:pPr>
    </w:p>
    <w:p>
      <w:pPr>
        <w:rPr>
          <w:rFonts w:ascii="宋体" w:hAnsi="宋体"/>
          <w:color w:val="000000"/>
          <w:sz w:val="24"/>
          <w:highlight w:val="none"/>
        </w:rPr>
      </w:pPr>
      <w:r>
        <w:rPr>
          <w:rFonts w:hint="eastAsia" w:ascii="宋体" w:hAnsi="宋体"/>
          <w:color w:val="000000"/>
          <w:sz w:val="24"/>
          <w:highlight w:val="none"/>
        </w:rPr>
        <w:t>XXX（采购</w:t>
      </w:r>
      <w:r>
        <w:rPr>
          <w:rFonts w:hint="eastAsia" w:ascii="宋体" w:hAnsi="宋体"/>
          <w:color w:val="000000"/>
          <w:sz w:val="24"/>
          <w:highlight w:val="none"/>
          <w:lang w:eastAsia="zh-CN"/>
        </w:rPr>
        <w:t>人</w:t>
      </w:r>
      <w:r>
        <w:rPr>
          <w:rFonts w:hint="eastAsia" w:ascii="宋体" w:hAnsi="宋体"/>
          <w:color w:val="000000"/>
          <w:sz w:val="24"/>
          <w:highlight w:val="none"/>
        </w:rPr>
        <w:t>名称）：</w:t>
      </w:r>
    </w:p>
    <w:p>
      <w:pPr>
        <w:ind w:firstLine="480" w:firstLineChars="200"/>
        <w:rPr>
          <w:rFonts w:ascii="宋体" w:hAnsi="宋体"/>
          <w:color w:val="000000"/>
          <w:sz w:val="24"/>
          <w:highlight w:val="none"/>
        </w:rPr>
      </w:pPr>
      <w:r>
        <w:rPr>
          <w:rFonts w:hint="eastAsia" w:ascii="宋体" w:hAnsi="宋体"/>
          <w:color w:val="000000"/>
          <w:sz w:val="24"/>
          <w:highlight w:val="none"/>
        </w:rPr>
        <w:t>我公司作为本次采购项目的供应商，根据磋商文件要求，现郑重承诺如下：</w:t>
      </w:r>
    </w:p>
    <w:p>
      <w:pPr>
        <w:ind w:firstLine="480" w:firstLineChars="200"/>
        <w:rPr>
          <w:rFonts w:ascii="宋体" w:hAnsi="宋体"/>
          <w:color w:val="000000"/>
          <w:sz w:val="24"/>
          <w:highlight w:val="none"/>
        </w:rPr>
      </w:pPr>
      <w:r>
        <w:rPr>
          <w:rFonts w:hint="eastAsia" w:ascii="宋体" w:hAnsi="宋体"/>
          <w:color w:val="000000"/>
          <w:sz w:val="24"/>
          <w:highlight w:val="none"/>
        </w:rPr>
        <w:t>一、具备《中华人民共和国政府采购法》第二十二条第一款和本项目规定的条件：</w:t>
      </w:r>
    </w:p>
    <w:p>
      <w:pPr>
        <w:ind w:firstLine="480" w:firstLineChars="200"/>
        <w:rPr>
          <w:rFonts w:ascii="宋体" w:hAnsi="宋体"/>
          <w:color w:val="000000"/>
          <w:sz w:val="24"/>
          <w:highlight w:val="none"/>
        </w:rPr>
      </w:pPr>
      <w:r>
        <w:rPr>
          <w:rFonts w:hint="eastAsia" w:ascii="宋体" w:hAnsi="宋体"/>
          <w:color w:val="000000"/>
          <w:sz w:val="24"/>
          <w:highlight w:val="none"/>
        </w:rPr>
        <w:t>（一）具有独立承担民事责任的能力；</w:t>
      </w:r>
    </w:p>
    <w:p>
      <w:pPr>
        <w:ind w:firstLine="480" w:firstLineChars="200"/>
        <w:rPr>
          <w:rFonts w:ascii="宋体" w:hAnsi="宋体"/>
          <w:color w:val="000000"/>
          <w:sz w:val="24"/>
          <w:highlight w:val="none"/>
        </w:rPr>
      </w:pPr>
      <w:r>
        <w:rPr>
          <w:rFonts w:hint="eastAsia" w:ascii="宋体" w:hAnsi="宋体"/>
          <w:color w:val="000000"/>
          <w:sz w:val="24"/>
          <w:highlight w:val="none"/>
        </w:rPr>
        <w:t>（二）具有良好的商业信誉和健全的财务会计制度；</w:t>
      </w:r>
    </w:p>
    <w:p>
      <w:pPr>
        <w:ind w:firstLine="480" w:firstLineChars="200"/>
        <w:rPr>
          <w:rFonts w:ascii="宋体" w:hAnsi="宋体"/>
          <w:color w:val="000000"/>
          <w:sz w:val="24"/>
          <w:highlight w:val="none"/>
        </w:rPr>
      </w:pPr>
      <w:r>
        <w:rPr>
          <w:rFonts w:hint="eastAsia" w:ascii="宋体" w:hAnsi="宋体"/>
          <w:color w:val="000000"/>
          <w:sz w:val="24"/>
          <w:highlight w:val="none"/>
        </w:rPr>
        <w:t>（三）具有履行合同所必需的设备和专业技术能力；</w:t>
      </w:r>
    </w:p>
    <w:p>
      <w:pPr>
        <w:ind w:firstLine="480" w:firstLineChars="200"/>
        <w:rPr>
          <w:rFonts w:ascii="宋体" w:hAnsi="宋体"/>
          <w:color w:val="000000"/>
          <w:sz w:val="24"/>
          <w:highlight w:val="none"/>
        </w:rPr>
      </w:pPr>
      <w:r>
        <w:rPr>
          <w:rFonts w:hint="eastAsia" w:ascii="宋体" w:hAnsi="宋体"/>
          <w:color w:val="000000"/>
          <w:sz w:val="24"/>
          <w:highlight w:val="none"/>
        </w:rPr>
        <w:t>（四）有依法缴纳税收和社会保障资金的良好记录；</w:t>
      </w:r>
    </w:p>
    <w:p>
      <w:pPr>
        <w:ind w:firstLine="480" w:firstLineChars="200"/>
        <w:rPr>
          <w:rFonts w:ascii="宋体" w:hAnsi="宋体"/>
          <w:color w:val="000000"/>
          <w:sz w:val="24"/>
          <w:highlight w:val="none"/>
        </w:rPr>
      </w:pPr>
      <w:r>
        <w:rPr>
          <w:rFonts w:hint="eastAsia" w:ascii="宋体" w:hAnsi="宋体"/>
          <w:color w:val="000000"/>
          <w:sz w:val="24"/>
          <w:highlight w:val="none"/>
        </w:rPr>
        <w:t>（五）参加政府采购活动前三年内，在经营活动中没有重大违法记录；</w:t>
      </w:r>
    </w:p>
    <w:p>
      <w:pPr>
        <w:ind w:firstLine="480" w:firstLineChars="200"/>
        <w:rPr>
          <w:rFonts w:ascii="宋体" w:hAnsi="宋体"/>
          <w:color w:val="000000"/>
          <w:sz w:val="24"/>
          <w:highlight w:val="none"/>
        </w:rPr>
      </w:pPr>
      <w:r>
        <w:rPr>
          <w:rFonts w:hint="eastAsia" w:ascii="宋体" w:hAnsi="宋体"/>
          <w:color w:val="000000"/>
          <w:sz w:val="24"/>
          <w:highlight w:val="none"/>
        </w:rPr>
        <w:t>（六）法律、行政法规规定的其他条件；</w:t>
      </w:r>
    </w:p>
    <w:p>
      <w:pPr>
        <w:ind w:firstLine="480" w:firstLineChars="200"/>
        <w:rPr>
          <w:rFonts w:ascii="宋体" w:hAnsi="宋体"/>
          <w:color w:val="000000"/>
          <w:sz w:val="24"/>
          <w:highlight w:val="none"/>
        </w:rPr>
      </w:pPr>
      <w:r>
        <w:rPr>
          <w:rFonts w:hint="eastAsia" w:ascii="宋体" w:hAnsi="宋体"/>
          <w:color w:val="000000"/>
          <w:sz w:val="24"/>
          <w:highlight w:val="none"/>
        </w:rPr>
        <w:t>（七）根据采购项目提出的特殊条件。</w:t>
      </w:r>
    </w:p>
    <w:p>
      <w:pPr>
        <w:spacing w:line="360" w:lineRule="auto"/>
        <w:ind w:firstLine="540" w:firstLineChars="225"/>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本项目参加政府采购活动的供应商单位及其现任法定代表人/主要负责人不得具有行贿犯罪记录。</w:t>
      </w:r>
    </w:p>
    <w:p>
      <w:pPr>
        <w:ind w:firstLine="480" w:firstLineChars="200"/>
        <w:rPr>
          <w:rFonts w:ascii="宋体" w:hAnsi="宋体"/>
          <w:color w:val="000000"/>
          <w:sz w:val="24"/>
          <w:highlight w:val="none"/>
        </w:rPr>
      </w:pPr>
      <w:r>
        <w:rPr>
          <w:rFonts w:hint="eastAsia" w:ascii="宋体" w:hAnsi="宋体"/>
          <w:color w:val="000000"/>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rPr>
          <w:rFonts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sz w:val="24"/>
          <w:highlight w:val="none"/>
        </w:rPr>
      </w:pPr>
      <w:r>
        <w:rPr>
          <w:rFonts w:hint="eastAsia" w:ascii="宋体" w:hAnsi="宋体"/>
          <w:color w:val="000000"/>
          <w:sz w:val="24"/>
          <w:highlight w:val="none"/>
        </w:rPr>
        <w:t>五、如果有《四川省政府采购当事人诚信管理办法》（川财采[2015]33号）规定的记入诚信档案的失信行为，将在响应文件中全面如实反映。</w:t>
      </w:r>
    </w:p>
    <w:p>
      <w:pPr>
        <w:ind w:firstLine="480" w:firstLineChars="200"/>
        <w:rPr>
          <w:rFonts w:ascii="宋体" w:hAnsi="宋体"/>
          <w:color w:val="000000"/>
          <w:sz w:val="24"/>
          <w:highlight w:val="none"/>
        </w:rPr>
      </w:pPr>
      <w:r>
        <w:rPr>
          <w:rFonts w:hint="eastAsia" w:ascii="宋体" w:hAnsi="宋体"/>
          <w:color w:val="000000"/>
          <w:sz w:val="24"/>
          <w:highlight w:val="none"/>
        </w:rPr>
        <w:t>六、响应文件中提供的任何资料和技术、服务、商务等响应承诺情况都是真实的、有效的、合法的。</w:t>
      </w:r>
    </w:p>
    <w:p>
      <w:pPr>
        <w:ind w:firstLine="480" w:firstLineChars="200"/>
        <w:rPr>
          <w:rFonts w:ascii="宋体" w:hAnsi="宋体"/>
          <w:color w:val="000000"/>
          <w:sz w:val="24"/>
          <w:highlight w:val="none"/>
        </w:rPr>
      </w:pPr>
      <w:r>
        <w:rPr>
          <w:rFonts w:hint="eastAsia" w:ascii="宋体" w:hAnsi="宋体"/>
          <w:color w:val="000000"/>
          <w:sz w:val="24"/>
          <w:highlight w:val="none"/>
        </w:rPr>
        <w:t>本公司对上述承诺的内容事项真实性负责。如经</w:t>
      </w:r>
      <w:r>
        <w:rPr>
          <w:rFonts w:hint="eastAsia" w:ascii="宋体" w:hAnsi="宋体"/>
          <w:sz w:val="24"/>
          <w:highlight w:val="none"/>
        </w:rPr>
        <w:t>查实上述承诺的内容事项存在虚假，我公司愿意接受以提供虚假材料谋取成交的法</w:t>
      </w:r>
      <w:r>
        <w:rPr>
          <w:rFonts w:hint="eastAsia" w:ascii="宋体" w:hAnsi="宋体"/>
          <w:color w:val="000000"/>
          <w:sz w:val="24"/>
          <w:highlight w:val="none"/>
        </w:rPr>
        <w:t>律责任。</w:t>
      </w:r>
    </w:p>
    <w:p>
      <w:pPr>
        <w:rPr>
          <w:rFonts w:ascii="宋体" w:hAnsi="宋体"/>
          <w:color w:val="000000"/>
          <w:sz w:val="24"/>
          <w:highlight w:val="none"/>
        </w:rPr>
      </w:pPr>
    </w:p>
    <w:p>
      <w:pPr>
        <w:rPr>
          <w:rFonts w:ascii="宋体" w:hAnsi="宋体"/>
          <w:color w:val="000000"/>
          <w:sz w:val="24"/>
          <w:highlight w:val="none"/>
        </w:rPr>
      </w:pPr>
    </w:p>
    <w:p>
      <w:pPr>
        <w:ind w:firstLine="480" w:firstLineChars="200"/>
        <w:rPr>
          <w:rFonts w:ascii="宋体" w:hAnsi="宋体"/>
          <w:color w:val="000000"/>
          <w:sz w:val="24"/>
          <w:highlight w:val="none"/>
        </w:rPr>
      </w:pPr>
      <w:r>
        <w:rPr>
          <w:rFonts w:hint="eastAsia" w:ascii="宋体" w:hAnsi="宋体"/>
          <w:color w:val="000000"/>
          <w:sz w:val="24"/>
          <w:highlight w:val="none"/>
        </w:rPr>
        <w:t>法定代表人签字或者加盖个人私章：XXXX</w:t>
      </w:r>
    </w:p>
    <w:p>
      <w:pPr>
        <w:ind w:firstLine="480" w:firstLineChars="200"/>
        <w:rPr>
          <w:rFonts w:ascii="宋体" w:hAnsi="宋体"/>
          <w:color w:val="000000"/>
          <w:sz w:val="24"/>
          <w:highlight w:val="none"/>
        </w:rPr>
      </w:pPr>
      <w:r>
        <w:rPr>
          <w:rFonts w:hint="eastAsia" w:ascii="宋体" w:hAnsi="宋体"/>
          <w:color w:val="000000"/>
          <w:sz w:val="24"/>
          <w:highlight w:val="none"/>
        </w:rPr>
        <w:t>授权代表签字：XXXX</w:t>
      </w:r>
    </w:p>
    <w:p>
      <w:pPr>
        <w:ind w:firstLine="480" w:firstLineChars="200"/>
        <w:rPr>
          <w:rFonts w:ascii="宋体" w:hAnsi="宋体"/>
          <w:color w:val="000000"/>
          <w:sz w:val="24"/>
          <w:highlight w:val="none"/>
        </w:rPr>
      </w:pPr>
      <w:r>
        <w:rPr>
          <w:rFonts w:hint="eastAsia" w:ascii="宋体" w:hAnsi="宋体"/>
          <w:color w:val="000000"/>
          <w:sz w:val="24"/>
          <w:highlight w:val="none"/>
        </w:rPr>
        <w:t>供应商名称：XXXX（盖章）</w:t>
      </w:r>
    </w:p>
    <w:p>
      <w:pPr>
        <w:pStyle w:val="12"/>
        <w:ind w:firstLine="480" w:firstLineChars="200"/>
        <w:rPr>
          <w:highlight w:val="none"/>
        </w:rPr>
      </w:pPr>
      <w:r>
        <w:rPr>
          <w:rFonts w:hint="eastAsia" w:ascii="宋体" w:hAnsi="宋体"/>
          <w:color w:val="000000"/>
          <w:sz w:val="24"/>
          <w:highlight w:val="none"/>
        </w:rPr>
        <w:t>日    期：XXX年XXX月XXX日</w:t>
      </w:r>
    </w:p>
    <w:p>
      <w:pPr>
        <w:pStyle w:val="8"/>
        <w:rPr>
          <w:highlight w:val="none"/>
        </w:rPr>
      </w:pPr>
    </w:p>
    <w:p>
      <w:pPr>
        <w:pStyle w:val="12"/>
        <w:rPr>
          <w:highlight w:val="none"/>
        </w:rPr>
      </w:pPr>
    </w:p>
    <w:p>
      <w:pPr>
        <w:pStyle w:val="12"/>
        <w:rPr>
          <w:highlight w:val="none"/>
        </w:rPr>
      </w:pPr>
    </w:p>
    <w:p>
      <w:pPr>
        <w:rPr>
          <w:highlight w:val="none"/>
        </w:rPr>
      </w:pPr>
    </w:p>
    <w:p>
      <w:pPr>
        <w:jc w:val="center"/>
        <w:rPr>
          <w:b/>
          <w:color w:val="000000"/>
          <w:sz w:val="28"/>
          <w:szCs w:val="28"/>
          <w:highlight w:val="none"/>
        </w:rPr>
      </w:pPr>
      <w:r>
        <w:rPr>
          <w:rFonts w:hint="eastAsia"/>
          <w:b/>
          <w:color w:val="000000"/>
          <w:sz w:val="28"/>
          <w:szCs w:val="28"/>
          <w:highlight w:val="none"/>
          <w:lang w:eastAsia="zh-CN"/>
        </w:rPr>
        <w:t>四</w:t>
      </w:r>
      <w:r>
        <w:rPr>
          <w:rFonts w:hint="eastAsia"/>
          <w:b/>
          <w:color w:val="000000"/>
          <w:sz w:val="28"/>
          <w:szCs w:val="28"/>
          <w:highlight w:val="none"/>
        </w:rPr>
        <w:t>、磋商文件第四章要求供应商提供的资格证明材料</w:t>
      </w:r>
    </w:p>
    <w:p>
      <w:pPr>
        <w:rPr>
          <w:highlight w:val="none"/>
        </w:rPr>
      </w:pPr>
    </w:p>
    <w:p>
      <w:pPr>
        <w:rPr>
          <w:highlight w:val="none"/>
        </w:rPr>
      </w:pPr>
    </w:p>
    <w:p>
      <w:pPr>
        <w:pStyle w:val="8"/>
        <w:jc w:val="center"/>
        <w:rPr>
          <w:sz w:val="24"/>
          <w:highlight w:val="none"/>
        </w:rPr>
      </w:pPr>
      <w:r>
        <w:rPr>
          <w:rFonts w:hint="eastAsia"/>
          <w:sz w:val="24"/>
          <w:highlight w:val="none"/>
        </w:rPr>
        <w:t>（格式自拟）</w:t>
      </w:r>
    </w:p>
    <w:p>
      <w:pPr>
        <w:pStyle w:val="8"/>
        <w:rPr>
          <w:highlight w:val="none"/>
        </w:rPr>
      </w:pPr>
    </w:p>
    <w:p>
      <w:pPr>
        <w:rPr>
          <w:highlight w:val="none"/>
        </w:rPr>
      </w:pPr>
    </w:p>
    <w:p>
      <w:pPr>
        <w:rPr>
          <w:highlight w:val="none"/>
        </w:rPr>
      </w:pPr>
      <w:r>
        <w:rPr>
          <w:highlight w:val="none"/>
        </w:rPr>
        <w:br w:type="page"/>
      </w:r>
    </w:p>
    <w:p>
      <w:pPr>
        <w:pStyle w:val="8"/>
        <w:rPr>
          <w:highlight w:val="none"/>
        </w:rPr>
      </w:pPr>
    </w:p>
    <w:p>
      <w:pPr>
        <w:rPr>
          <w:highlight w:val="none"/>
        </w:rPr>
      </w:pPr>
    </w:p>
    <w:p>
      <w:pPr>
        <w:pStyle w:val="8"/>
        <w:rPr>
          <w:highlight w:val="none"/>
        </w:rPr>
      </w:pPr>
    </w:p>
    <w:p>
      <w:pPr>
        <w:spacing w:line="360" w:lineRule="auto"/>
        <w:ind w:left="43"/>
        <w:rPr>
          <w:rFonts w:ascii="宋体" w:hAnsi="宋体" w:cs="宋体"/>
          <w:b/>
          <w:sz w:val="24"/>
          <w:highlight w:val="none"/>
          <w:u w:val="single"/>
        </w:rPr>
      </w:pPr>
      <w:r>
        <w:rPr>
          <w:rFonts w:ascii="宋体" w:hAnsi="宋体" w:cs="宋体"/>
          <w:b/>
          <w:sz w:val="30"/>
          <w:highlight w:val="none"/>
        </w:rPr>
        <w:t>项目名称</w:t>
      </w:r>
      <w:r>
        <w:rPr>
          <w:rFonts w:ascii="宋体" w:hAnsi="宋体" w:cs="MS PGothic"/>
          <w:b/>
          <w:sz w:val="30"/>
          <w:highlight w:val="none"/>
        </w:rPr>
        <w:t>：</w:t>
      </w:r>
      <w:r>
        <w:rPr>
          <w:rFonts w:hint="eastAsia" w:ascii="宋体" w:hAnsi="宋体" w:cs="MS PGothic"/>
          <w:b/>
          <w:sz w:val="30"/>
          <w:highlight w:val="none"/>
          <w:u w:val="single"/>
        </w:rPr>
        <w:t xml:space="preserve">                           </w:t>
      </w:r>
    </w:p>
    <w:p>
      <w:pPr>
        <w:spacing w:line="360" w:lineRule="auto"/>
        <w:ind w:left="43"/>
        <w:jc w:val="center"/>
        <w:rPr>
          <w:rFonts w:ascii="宋体" w:hAnsi="宋体" w:cs="宋体"/>
          <w:b/>
          <w:sz w:val="30"/>
          <w:highlight w:val="none"/>
        </w:rPr>
      </w:pPr>
    </w:p>
    <w:p>
      <w:pPr>
        <w:spacing w:line="360" w:lineRule="auto"/>
        <w:ind w:left="43"/>
        <w:rPr>
          <w:rFonts w:ascii="宋体" w:hAnsi="宋体" w:cs="宋体"/>
          <w:b/>
          <w:sz w:val="30"/>
          <w:highlight w:val="none"/>
          <w:u w:val="single"/>
        </w:rPr>
      </w:pPr>
      <w:r>
        <w:rPr>
          <w:rFonts w:ascii="宋体" w:hAnsi="宋体" w:cs="宋体"/>
          <w:b/>
          <w:sz w:val="30"/>
          <w:highlight w:val="none"/>
        </w:rPr>
        <w:t>采购编号</w:t>
      </w:r>
      <w:r>
        <w:rPr>
          <w:rFonts w:ascii="宋体" w:hAnsi="宋体" w:cs="MS PGothic"/>
          <w:b/>
          <w:sz w:val="30"/>
          <w:highlight w:val="none"/>
        </w:rPr>
        <w:t>：</w:t>
      </w:r>
      <w:r>
        <w:rPr>
          <w:rFonts w:hint="eastAsia" w:ascii="宋体" w:hAnsi="宋体" w:cs="宋体"/>
          <w:b/>
          <w:sz w:val="30"/>
          <w:highlight w:val="none"/>
          <w:u w:val="single"/>
        </w:rPr>
        <w:t xml:space="preserve">   </w:t>
      </w:r>
      <w:r>
        <w:rPr>
          <w:rFonts w:hint="eastAsia" w:ascii="宋体" w:hAnsi="宋体" w:cs="MS PGothic"/>
          <w:b/>
          <w:sz w:val="30"/>
          <w:highlight w:val="none"/>
          <w:u w:val="single"/>
        </w:rPr>
        <w:t xml:space="preserve">                      </w:t>
      </w:r>
    </w:p>
    <w:p>
      <w:pPr>
        <w:spacing w:line="360" w:lineRule="auto"/>
        <w:jc w:val="center"/>
        <w:rPr>
          <w:rFonts w:ascii="宋体" w:hAnsi="宋体" w:cs="宋体"/>
          <w:b/>
          <w:sz w:val="30"/>
          <w:highlight w:val="none"/>
        </w:rPr>
      </w:pPr>
    </w:p>
    <w:p>
      <w:pPr>
        <w:pStyle w:val="8"/>
        <w:rPr>
          <w:rFonts w:ascii="宋体" w:hAnsi="宋体" w:cs="宋体"/>
          <w:b/>
          <w:sz w:val="30"/>
          <w:highlight w:val="none"/>
        </w:rPr>
      </w:pPr>
    </w:p>
    <w:p>
      <w:pPr>
        <w:rPr>
          <w:highlight w:val="none"/>
        </w:rPr>
      </w:pPr>
    </w:p>
    <w:p>
      <w:pPr>
        <w:spacing w:line="360" w:lineRule="auto"/>
        <w:jc w:val="center"/>
        <w:rPr>
          <w:rFonts w:ascii="宋体" w:hAnsi="宋体"/>
          <w:b/>
          <w:sz w:val="44"/>
          <w:szCs w:val="44"/>
          <w:highlight w:val="none"/>
        </w:rPr>
      </w:pPr>
      <w:r>
        <w:rPr>
          <w:rFonts w:hint="eastAsia" w:ascii="宋体" w:hAnsi="宋体" w:cs="宋体"/>
          <w:b/>
          <w:sz w:val="44"/>
          <w:szCs w:val="44"/>
          <w:highlight w:val="none"/>
        </w:rPr>
        <w:t>其他</w:t>
      </w:r>
      <w:r>
        <w:rPr>
          <w:rFonts w:ascii="宋体" w:hAnsi="宋体" w:cs="宋体"/>
          <w:b/>
          <w:sz w:val="44"/>
          <w:szCs w:val="44"/>
          <w:highlight w:val="none"/>
        </w:rPr>
        <w:t>响应文件</w:t>
      </w:r>
    </w:p>
    <w:p>
      <w:pPr>
        <w:spacing w:line="360" w:lineRule="auto"/>
        <w:jc w:val="center"/>
        <w:rPr>
          <w:rFonts w:ascii="宋体" w:hAnsi="宋体" w:cs="MS PGothic"/>
          <w:b/>
          <w:sz w:val="30"/>
          <w:highlight w:val="none"/>
        </w:rPr>
      </w:pPr>
    </w:p>
    <w:p>
      <w:pPr>
        <w:spacing w:line="360" w:lineRule="auto"/>
        <w:jc w:val="center"/>
        <w:rPr>
          <w:rFonts w:ascii="宋体" w:hAnsi="宋体" w:cs="MS PGothic"/>
          <w:b/>
          <w:sz w:val="30"/>
          <w:highlight w:val="none"/>
        </w:rPr>
      </w:pPr>
    </w:p>
    <w:p>
      <w:pPr>
        <w:spacing w:line="360" w:lineRule="auto"/>
        <w:jc w:val="center"/>
        <w:rPr>
          <w:rFonts w:ascii="宋体" w:hAnsi="宋体"/>
          <w:b/>
          <w:sz w:val="30"/>
          <w:highlight w:val="none"/>
        </w:rPr>
      </w:pPr>
      <w:r>
        <w:rPr>
          <w:rFonts w:ascii="宋体" w:hAnsi="宋体" w:cs="MS PGothic"/>
          <w:b/>
          <w:sz w:val="30"/>
          <w:highlight w:val="none"/>
        </w:rPr>
        <w:t>（</w:t>
      </w:r>
      <w:r>
        <w:rPr>
          <w:rFonts w:ascii="宋体" w:hAnsi="宋体" w:cs="宋体"/>
          <w:b/>
          <w:sz w:val="30"/>
          <w:highlight w:val="none"/>
        </w:rPr>
        <w:t>正本或副本</w:t>
      </w:r>
      <w:r>
        <w:rPr>
          <w:rFonts w:ascii="宋体" w:hAnsi="宋体" w:cs="MS PGothic"/>
          <w:b/>
          <w:sz w:val="30"/>
          <w:highlight w:val="none"/>
        </w:rPr>
        <w:t>）</w:t>
      </w: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rPr>
      </w:pPr>
    </w:p>
    <w:p>
      <w:pPr>
        <w:spacing w:line="360" w:lineRule="auto"/>
        <w:ind w:left="43"/>
        <w:jc w:val="center"/>
        <w:rPr>
          <w:rFonts w:ascii="宋体" w:hAnsi="宋体" w:cs="宋体"/>
          <w:b/>
          <w:sz w:val="30"/>
          <w:highlight w:val="none"/>
          <w:u w:val="single"/>
        </w:rPr>
      </w:pPr>
      <w:r>
        <w:rPr>
          <w:rFonts w:ascii="宋体" w:hAnsi="宋体" w:cs="宋体"/>
          <w:b/>
          <w:sz w:val="30"/>
          <w:highlight w:val="none"/>
        </w:rPr>
        <w:t>供应商名称</w:t>
      </w:r>
      <w:r>
        <w:rPr>
          <w:rFonts w:ascii="宋体" w:hAnsi="宋体" w:cs="MS PGothic"/>
          <w:b/>
          <w:sz w:val="30"/>
          <w:highlight w:val="none"/>
        </w:rPr>
        <w:t>：</w:t>
      </w:r>
      <w:r>
        <w:rPr>
          <w:rFonts w:hint="eastAsia" w:ascii="宋体" w:hAnsi="宋体" w:cs="MS PGothic"/>
          <w:b/>
          <w:sz w:val="30"/>
          <w:highlight w:val="none"/>
          <w:u w:val="single"/>
        </w:rPr>
        <w:t xml:space="preserve">                        </w:t>
      </w:r>
      <w:r>
        <w:rPr>
          <w:rFonts w:ascii="宋体" w:hAnsi="宋体" w:cs="MS PGothic"/>
          <w:b/>
          <w:sz w:val="30"/>
          <w:highlight w:val="none"/>
        </w:rPr>
        <w:t>（</w:t>
      </w:r>
      <w:r>
        <w:rPr>
          <w:rFonts w:ascii="宋体" w:hAnsi="宋体" w:cs="宋体"/>
          <w:b/>
          <w:sz w:val="30"/>
          <w:highlight w:val="none"/>
        </w:rPr>
        <w:t>加盖公章</w:t>
      </w:r>
      <w:r>
        <w:rPr>
          <w:rFonts w:ascii="宋体" w:hAnsi="宋体" w:cs="MS PGothic"/>
          <w:b/>
          <w:sz w:val="30"/>
          <w:highlight w:val="none"/>
        </w:rPr>
        <w:t>）</w:t>
      </w:r>
    </w:p>
    <w:p>
      <w:pPr>
        <w:spacing w:line="360" w:lineRule="auto"/>
        <w:jc w:val="center"/>
        <w:rPr>
          <w:rFonts w:ascii="宋体" w:hAnsi="宋体" w:cs="宋体"/>
          <w:b/>
          <w:sz w:val="30"/>
          <w:highlight w:val="none"/>
        </w:rPr>
      </w:pPr>
    </w:p>
    <w:p>
      <w:pPr>
        <w:spacing w:line="360" w:lineRule="auto"/>
        <w:jc w:val="center"/>
        <w:rPr>
          <w:rFonts w:ascii="宋体" w:hAnsi="宋体"/>
          <w:sz w:val="24"/>
          <w:highlight w:val="none"/>
        </w:rPr>
      </w:pPr>
      <w:r>
        <w:rPr>
          <w:rFonts w:hint="eastAsia" w:ascii="宋体" w:hAnsi="宋体" w:cs="宋体"/>
          <w:b/>
          <w:sz w:val="30"/>
          <w:highlight w:val="none"/>
        </w:rPr>
        <w:t>日期：  年  月   日</w:t>
      </w:r>
    </w:p>
    <w:p>
      <w:pPr>
        <w:rPr>
          <w:highlight w:val="none"/>
        </w:rPr>
      </w:pPr>
    </w:p>
    <w:p>
      <w:pPr>
        <w:pStyle w:val="8"/>
        <w:rPr>
          <w:rFonts w:ascii="宋体" w:hAnsi="宋体" w:cs="Arial"/>
          <w:b/>
          <w:bCs/>
          <w:color w:val="000000"/>
          <w:sz w:val="32"/>
          <w:szCs w:val="32"/>
          <w:highlight w:val="none"/>
        </w:rPr>
      </w:pPr>
    </w:p>
    <w:p>
      <w:pPr>
        <w:rPr>
          <w:rFonts w:ascii="宋体" w:hAnsi="宋体" w:cs="Arial"/>
          <w:b/>
          <w:bCs/>
          <w:color w:val="000000"/>
          <w:sz w:val="32"/>
          <w:szCs w:val="32"/>
          <w:highlight w:val="none"/>
        </w:rPr>
      </w:pPr>
      <w:r>
        <w:rPr>
          <w:rFonts w:hint="eastAsia" w:ascii="宋体" w:hAnsi="宋体" w:cs="Arial"/>
          <w:b/>
          <w:bCs/>
          <w:color w:val="000000"/>
          <w:sz w:val="32"/>
          <w:szCs w:val="32"/>
          <w:highlight w:val="none"/>
        </w:rPr>
        <w:br w:type="page"/>
      </w: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rPr>
        <w:t>一、供应商基本情况表</w:t>
      </w:r>
    </w:p>
    <w:p>
      <w:pPr>
        <w:jc w:val="center"/>
        <w:rPr>
          <w:rFonts w:ascii="宋体" w:hAnsi="宋体" w:cs="Arial"/>
          <w:b/>
          <w:bCs/>
          <w:color w:val="000000"/>
          <w:sz w:val="32"/>
          <w:szCs w:val="32"/>
          <w:highlight w:val="none"/>
        </w:rPr>
      </w:pP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供应商名称</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注册地址</w:t>
            </w:r>
          </w:p>
        </w:tc>
        <w:tc>
          <w:tcPr>
            <w:tcW w:w="46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邮政编码</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联系方式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联系人</w:t>
            </w:r>
          </w:p>
        </w:tc>
        <w:tc>
          <w:tcPr>
            <w:tcW w:w="36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传真</w:t>
            </w:r>
          </w:p>
        </w:tc>
        <w:tc>
          <w:tcPr>
            <w:tcW w:w="36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网址</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组织结构</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法定代表人</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技术负责人</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成立时间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c>
          <w:tcPr>
            <w:tcW w:w="50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企业资质等级</w:t>
            </w:r>
          </w:p>
        </w:tc>
        <w:tc>
          <w:tcPr>
            <w:tcW w:w="2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项目经理</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营业执照</w:t>
            </w:r>
            <w:r>
              <w:rPr>
                <w:rFonts w:hint="eastAsia"/>
                <w:highlight w:val="none"/>
              </w:rPr>
              <w:t>号</w:t>
            </w:r>
          </w:p>
        </w:tc>
        <w:tc>
          <w:tcPr>
            <w:tcW w:w="2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高级职称人员</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注册资金</w:t>
            </w:r>
          </w:p>
        </w:tc>
        <w:tc>
          <w:tcPr>
            <w:tcW w:w="2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中级职称人员</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开户银行</w:t>
            </w:r>
          </w:p>
        </w:tc>
        <w:tc>
          <w:tcPr>
            <w:tcW w:w="2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初级职称人员</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账号</w:t>
            </w:r>
          </w:p>
        </w:tc>
        <w:tc>
          <w:tcPr>
            <w:tcW w:w="2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技工</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经营范围</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备注</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Cs w:val="21"/>
                <w:highlight w:val="none"/>
              </w:rPr>
            </w:pPr>
          </w:p>
        </w:tc>
      </w:tr>
    </w:tbl>
    <w:p>
      <w:pPr>
        <w:adjustRightInd w:val="0"/>
        <w:spacing w:line="400" w:lineRule="exact"/>
        <w:jc w:val="left"/>
        <w:rPr>
          <w:rFonts w:ascii="宋体" w:hAnsi="宋体"/>
          <w:color w:val="000000"/>
          <w:sz w:val="24"/>
          <w:highlight w:val="none"/>
        </w:rPr>
      </w:pP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供应商名称：XXX（盖单位公章）</w:t>
      </w:r>
    </w:p>
    <w:p>
      <w:pPr>
        <w:adjustRightInd w:val="0"/>
        <w:spacing w:line="400" w:lineRule="exact"/>
        <w:jc w:val="left"/>
        <w:rPr>
          <w:bCs/>
          <w:color w:val="000000"/>
          <w:sz w:val="24"/>
          <w:highlight w:val="none"/>
        </w:rPr>
      </w:pPr>
      <w:r>
        <w:rPr>
          <w:rFonts w:hint="eastAsia"/>
          <w:bCs/>
          <w:color w:val="000000"/>
          <w:sz w:val="24"/>
          <w:highlight w:val="none"/>
        </w:rPr>
        <w:t>法定代表人或授权代表（签字或盖章）：XXX</w:t>
      </w:r>
    </w:p>
    <w:p>
      <w:pPr>
        <w:adjustRightInd w:val="0"/>
        <w:spacing w:line="400" w:lineRule="exact"/>
        <w:jc w:val="left"/>
        <w:rPr>
          <w:bCs/>
          <w:color w:val="000000"/>
          <w:sz w:val="24"/>
          <w:highlight w:val="none"/>
        </w:rPr>
      </w:pPr>
      <w:r>
        <w:rPr>
          <w:rFonts w:hint="eastAsia"/>
          <w:bCs/>
          <w:color w:val="000000"/>
          <w:sz w:val="24"/>
          <w:highlight w:val="none"/>
        </w:rPr>
        <w:t>日  期：XXX年XXX月XXX日</w:t>
      </w:r>
    </w:p>
    <w:p>
      <w:pPr>
        <w:rPr>
          <w:rFonts w:ascii="宋体" w:hAnsi="宋体"/>
          <w:b/>
          <w:bCs/>
          <w:color w:val="000000"/>
          <w:sz w:val="36"/>
          <w:highlight w:val="none"/>
        </w:rPr>
      </w:pPr>
    </w:p>
    <w:p>
      <w:pPr>
        <w:spacing w:line="400" w:lineRule="exact"/>
        <w:ind w:firstLine="562" w:firstLineChars="200"/>
        <w:jc w:val="center"/>
        <w:rPr>
          <w:rFonts w:ascii="宋体" w:hAnsi="宋体" w:eastAsia="黑体"/>
          <w:b/>
          <w:color w:val="000000"/>
          <w:sz w:val="28"/>
          <w:szCs w:val="28"/>
          <w:highlight w:val="none"/>
        </w:rPr>
      </w:pPr>
    </w:p>
    <w:p>
      <w:pPr>
        <w:spacing w:line="400" w:lineRule="exact"/>
        <w:ind w:firstLine="562" w:firstLineChars="200"/>
        <w:jc w:val="center"/>
        <w:rPr>
          <w:rFonts w:ascii="宋体" w:hAnsi="宋体" w:eastAsia="黑体"/>
          <w:b/>
          <w:color w:val="000000"/>
          <w:sz w:val="28"/>
          <w:szCs w:val="28"/>
          <w:highlight w:val="none"/>
        </w:rPr>
      </w:pPr>
    </w:p>
    <w:p>
      <w:pPr>
        <w:pStyle w:val="8"/>
        <w:rPr>
          <w:highlight w:val="none"/>
        </w:rPr>
      </w:pPr>
    </w:p>
    <w:p>
      <w:pPr>
        <w:pStyle w:val="8"/>
        <w:rPr>
          <w:highlight w:val="none"/>
        </w:rPr>
      </w:pPr>
    </w:p>
    <w:p>
      <w:pPr>
        <w:pStyle w:val="8"/>
        <w:rPr>
          <w:highlight w:val="none"/>
        </w:r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二</w:t>
      </w:r>
      <w:r>
        <w:rPr>
          <w:rFonts w:hint="eastAsia" w:ascii="宋体" w:hAnsi="宋体" w:cs="Arial"/>
          <w:b/>
          <w:bCs/>
          <w:color w:val="000000"/>
          <w:sz w:val="32"/>
          <w:szCs w:val="32"/>
          <w:highlight w:val="none"/>
        </w:rPr>
        <w:t>、报价函</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XXX（采购</w:t>
      </w:r>
      <w:r>
        <w:rPr>
          <w:rFonts w:hint="eastAsia" w:ascii="宋体" w:hAnsi="宋体"/>
          <w:color w:val="000000"/>
          <w:sz w:val="24"/>
          <w:highlight w:val="none"/>
          <w:lang w:eastAsia="zh-CN"/>
        </w:rPr>
        <w:t>人</w:t>
      </w:r>
      <w:r>
        <w:rPr>
          <w:rFonts w:hint="eastAsia" w:ascii="宋体" w:hAnsi="宋体"/>
          <w:color w:val="000000"/>
          <w:sz w:val="24"/>
          <w:highlight w:val="none"/>
        </w:rPr>
        <w:t>名称）：</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1.我方全面研究了“XXXXXX”项目磋商文件（项目编号：XXXX），决定参加贵单位组织的本项目磋商采购。</w:t>
      </w:r>
    </w:p>
    <w:p>
      <w:pPr>
        <w:keepNext w:val="0"/>
        <w:keepLines w:val="0"/>
        <w:widowControl/>
        <w:suppressLineNumbers w:val="0"/>
        <w:ind w:firstLine="480" w:firstLineChars="200"/>
        <w:jc w:val="left"/>
        <w:rPr>
          <w:rFonts w:ascii="宋体" w:hAnsi="宋体"/>
          <w:color w:val="000000"/>
          <w:sz w:val="24"/>
          <w:highlight w:val="none"/>
        </w:rPr>
      </w:pPr>
      <w:r>
        <w:rPr>
          <w:rFonts w:hint="eastAsia" w:ascii="宋体" w:hAnsi="宋体"/>
          <w:color w:val="000000"/>
          <w:sz w:val="24"/>
          <w:highlight w:val="none"/>
        </w:rPr>
        <w:t>2.我方自愿按照磋商文件规定的各项要求向采购人提供所需服务，总报价为人民币</w:t>
      </w:r>
      <w:r>
        <w:rPr>
          <w:rFonts w:hint="eastAsia" w:ascii="宋体" w:hAnsi="宋体"/>
          <w:color w:val="000000"/>
          <w:sz w:val="24"/>
          <w:highlight w:val="none"/>
          <w:u w:val="single"/>
        </w:rPr>
        <w:t>XX</w:t>
      </w:r>
      <w:r>
        <w:rPr>
          <w:rFonts w:hint="eastAsia" w:ascii="宋体" w:hAnsi="宋体"/>
          <w:color w:val="000000"/>
          <w:sz w:val="24"/>
          <w:highlight w:val="none"/>
        </w:rPr>
        <w:t>元（大写：</w:t>
      </w:r>
      <w:r>
        <w:rPr>
          <w:rFonts w:hint="eastAsia" w:ascii="宋体" w:hAnsi="宋体"/>
          <w:color w:val="000000"/>
          <w:sz w:val="24"/>
          <w:highlight w:val="none"/>
          <w:u w:val="single"/>
        </w:rPr>
        <w:t>XXXX</w:t>
      </w:r>
      <w:r>
        <w:rPr>
          <w:rFonts w:hint="eastAsia" w:ascii="宋体" w:hAnsi="宋体"/>
          <w:color w:val="000000"/>
          <w:sz w:val="24"/>
          <w:highlight w:val="none"/>
          <w:u w:val="none"/>
          <w:lang w:eastAsia="zh-CN"/>
        </w:rPr>
        <w:t>元</w:t>
      </w:r>
      <w:r>
        <w:rPr>
          <w:rFonts w:hint="eastAsia" w:ascii="宋体" w:hAnsi="宋体"/>
          <w:color w:val="000000"/>
          <w:sz w:val="24"/>
          <w:highlight w:val="none"/>
        </w:rPr>
        <w:t>）。</w:t>
      </w:r>
      <w:r>
        <w:rPr>
          <w:rFonts w:hint="eastAsia" w:ascii="宋体" w:hAnsi="宋体" w:eastAsia="宋体" w:cs="宋体"/>
          <w:color w:val="000000"/>
          <w:kern w:val="0"/>
          <w:sz w:val="24"/>
          <w:szCs w:val="24"/>
          <w:highlight w:val="none"/>
          <w:lang w:val="en-US" w:eastAsia="zh-CN" w:bidi="ar"/>
        </w:rPr>
        <w:t xml:space="preserve"> </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3.一旦我方成交，我方将严格履行政府采购合同规定的责任和义务。</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4.我方同意本磋商文件依据《四川省政府采购当事人诚信管理办法》（川财采〔2015〕33号文件）对我方可能存在的失信行为进行惩戒。</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5.我方为本项目提交的响应文件正本1份，副本XX份，用于磋商报价。</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6.我方愿意提供贵单位可能另外要求的，与磋商报价有关的文件资料，并保证我方已提供和将要提供的文件资料是真实、准确的。</w:t>
      </w:r>
    </w:p>
    <w:p>
      <w:pPr>
        <w:spacing w:line="360" w:lineRule="auto"/>
        <w:ind w:firstLine="480" w:firstLineChars="200"/>
        <w:jc w:val="left"/>
        <w:rPr>
          <w:color w:val="000000"/>
          <w:sz w:val="24"/>
          <w:highlight w:val="none"/>
        </w:rPr>
      </w:pPr>
      <w:r>
        <w:rPr>
          <w:rFonts w:hint="eastAsia" w:ascii="宋体" w:hAnsi="宋体"/>
          <w:color w:val="000000"/>
          <w:sz w:val="24"/>
          <w:highlight w:val="none"/>
        </w:rPr>
        <w:t>7.本次磋商，我方递交的响应文件有效期为</w:t>
      </w:r>
      <w:r>
        <w:rPr>
          <w:rFonts w:hint="eastAsia"/>
          <w:color w:val="000000"/>
          <w:sz w:val="24"/>
          <w:highlight w:val="none"/>
        </w:rPr>
        <w:t>磋商文件规定起算之日起</w:t>
      </w:r>
      <w:r>
        <w:rPr>
          <w:rFonts w:hint="eastAsia" w:ascii="宋体" w:hAnsi="宋体"/>
          <w:color w:val="000000"/>
          <w:sz w:val="24"/>
          <w:highlight w:val="none"/>
        </w:rPr>
        <w:t>XX</w:t>
      </w:r>
      <w:r>
        <w:rPr>
          <w:rFonts w:hint="eastAsia"/>
          <w:color w:val="000000"/>
          <w:sz w:val="24"/>
          <w:highlight w:val="none"/>
        </w:rPr>
        <w:t>天。</w:t>
      </w:r>
    </w:p>
    <w:p>
      <w:pPr>
        <w:adjustRightInd w:val="0"/>
        <w:spacing w:line="400" w:lineRule="exact"/>
        <w:ind w:firstLine="480" w:firstLineChars="200"/>
        <w:jc w:val="left"/>
        <w:rPr>
          <w:rFonts w:ascii="宋体" w:hAnsi="宋体"/>
          <w:color w:val="000000"/>
          <w:sz w:val="24"/>
          <w:highlight w:val="none"/>
        </w:rPr>
      </w:pPr>
    </w:p>
    <w:p>
      <w:pPr>
        <w:adjustRightInd w:val="0"/>
        <w:spacing w:line="400" w:lineRule="exact"/>
        <w:ind w:firstLine="480" w:firstLineChars="200"/>
        <w:jc w:val="left"/>
        <w:rPr>
          <w:rFonts w:ascii="宋体" w:hAnsi="宋体"/>
          <w:color w:val="000000"/>
          <w:sz w:val="24"/>
          <w:highlight w:val="none"/>
        </w:rPr>
      </w:pPr>
    </w:p>
    <w:p>
      <w:pPr>
        <w:adjustRightInd w:val="0"/>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供应商名称：XXX（盖单位公章）</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法定代表人或授权代表（签字或盖章）：XXX</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通讯地址：XXX</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邮政编码：XXX</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联系电话：XXX</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传    真：XXX</w:t>
      </w:r>
    </w:p>
    <w:p>
      <w:pPr>
        <w:spacing w:line="400" w:lineRule="exact"/>
        <w:ind w:firstLine="470" w:firstLineChars="196"/>
        <w:rPr>
          <w:color w:val="000000"/>
          <w:sz w:val="24"/>
          <w:highlight w:val="none"/>
        </w:rPr>
      </w:pPr>
      <w:r>
        <w:rPr>
          <w:rFonts w:hint="eastAsia" w:ascii="宋体" w:hAnsi="宋体"/>
          <w:color w:val="000000"/>
          <w:sz w:val="24"/>
          <w:highlight w:val="none"/>
        </w:rPr>
        <w:t>日    期：XXX年XXX月XXX日</w:t>
      </w:r>
    </w:p>
    <w:p>
      <w:pPr>
        <w:jc w:val="center"/>
        <w:rPr>
          <w:rFonts w:ascii="宋体" w:hAnsi="宋体"/>
          <w:color w:val="000000"/>
          <w:sz w:val="24"/>
          <w:highlight w:val="none"/>
        </w:rPr>
      </w:pPr>
    </w:p>
    <w:p>
      <w:pPr>
        <w:jc w:val="center"/>
        <w:rPr>
          <w:b/>
          <w:color w:val="000000"/>
          <w:sz w:val="32"/>
          <w:szCs w:val="32"/>
          <w:highlight w:val="none"/>
        </w:rPr>
      </w:pPr>
    </w:p>
    <w:p>
      <w:pPr>
        <w:rPr>
          <w:color w:val="000000"/>
          <w:sz w:val="36"/>
          <w:szCs w:val="36"/>
          <w:highlight w:val="none"/>
        </w:rPr>
        <w:sectPr>
          <w:headerReference r:id="rId8" w:type="default"/>
          <w:footerReference r:id="rId9" w:type="default"/>
          <w:pgSz w:w="11906" w:h="16838"/>
          <w:pgMar w:top="1417" w:right="1417" w:bottom="1417" w:left="1417" w:header="850" w:footer="992" w:gutter="0"/>
          <w:pgNumType w:fmt="numberInDash"/>
          <w:cols w:space="0" w:num="1"/>
          <w:rtlGutter w:val="0"/>
          <w:docGrid w:linePitch="312" w:charSpace="0"/>
        </w:sect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三</w:t>
      </w:r>
      <w:r>
        <w:rPr>
          <w:rFonts w:hint="eastAsia" w:ascii="宋体" w:hAnsi="宋体" w:cs="Arial"/>
          <w:b/>
          <w:bCs/>
          <w:color w:val="000000"/>
          <w:sz w:val="32"/>
          <w:szCs w:val="32"/>
          <w:highlight w:val="none"/>
        </w:rPr>
        <w:t>、报价一览表</w:t>
      </w:r>
    </w:p>
    <w:p>
      <w:pPr>
        <w:pStyle w:val="8"/>
        <w:rPr>
          <w:highlight w:val="none"/>
        </w:rPr>
      </w:pPr>
    </w:p>
    <w:tbl>
      <w:tblPr>
        <w:tblStyle w:val="27"/>
        <w:tblW w:w="9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269"/>
        <w:gridCol w:w="2464"/>
        <w:gridCol w:w="223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6" w:type="dxa"/>
            <w:vAlign w:val="center"/>
          </w:tcPr>
          <w:p>
            <w:pPr>
              <w:jc w:val="center"/>
              <w:rPr>
                <w:color w:val="000000"/>
                <w:sz w:val="24"/>
                <w:highlight w:val="none"/>
              </w:rPr>
            </w:pPr>
            <w:r>
              <w:rPr>
                <w:rFonts w:hint="eastAsia"/>
                <w:color w:val="000000"/>
                <w:sz w:val="24"/>
                <w:highlight w:val="none"/>
              </w:rPr>
              <w:t>序号</w:t>
            </w:r>
          </w:p>
        </w:tc>
        <w:tc>
          <w:tcPr>
            <w:tcW w:w="2269" w:type="dxa"/>
            <w:vAlign w:val="center"/>
          </w:tcPr>
          <w:p>
            <w:pPr>
              <w:jc w:val="center"/>
              <w:rPr>
                <w:color w:val="000000"/>
                <w:sz w:val="24"/>
                <w:highlight w:val="none"/>
              </w:rPr>
            </w:pPr>
            <w:r>
              <w:rPr>
                <w:rFonts w:hint="eastAsia"/>
                <w:color w:val="000000"/>
                <w:sz w:val="24"/>
                <w:highlight w:val="none"/>
              </w:rPr>
              <w:t>项目名称</w:t>
            </w:r>
          </w:p>
        </w:tc>
        <w:tc>
          <w:tcPr>
            <w:tcW w:w="2464" w:type="dxa"/>
            <w:vAlign w:val="center"/>
          </w:tcPr>
          <w:p>
            <w:pPr>
              <w:jc w:val="center"/>
              <w:rPr>
                <w:rFonts w:hint="default" w:eastAsia="宋体"/>
                <w:color w:val="000000"/>
                <w:sz w:val="24"/>
                <w:highlight w:val="none"/>
                <w:lang w:val="en-US" w:eastAsia="zh-CN"/>
              </w:rPr>
            </w:pPr>
            <w:r>
              <w:rPr>
                <w:rFonts w:hint="eastAsia"/>
                <w:color w:val="000000"/>
                <w:sz w:val="24"/>
                <w:highlight w:val="none"/>
                <w:lang w:eastAsia="zh-CN"/>
              </w:rPr>
              <w:t>报价</w:t>
            </w:r>
          </w:p>
        </w:tc>
        <w:tc>
          <w:tcPr>
            <w:tcW w:w="2230" w:type="dxa"/>
            <w:vAlign w:val="center"/>
          </w:tcPr>
          <w:p>
            <w:pPr>
              <w:ind w:left="355" w:hanging="355" w:hangingChars="148"/>
              <w:jc w:val="center"/>
              <w:rPr>
                <w:rFonts w:hint="eastAsia" w:eastAsia="宋体"/>
                <w:color w:val="000000"/>
                <w:sz w:val="24"/>
                <w:highlight w:val="none"/>
                <w:lang w:eastAsia="zh-CN"/>
              </w:rPr>
            </w:pPr>
            <w:r>
              <w:rPr>
                <w:rFonts w:hint="eastAsia"/>
                <w:color w:val="000000"/>
                <w:sz w:val="24"/>
                <w:highlight w:val="none"/>
              </w:rPr>
              <w:t>服务</w:t>
            </w:r>
            <w:r>
              <w:rPr>
                <w:rFonts w:hint="eastAsia"/>
                <w:color w:val="000000"/>
                <w:sz w:val="24"/>
                <w:highlight w:val="none"/>
                <w:lang w:eastAsia="zh-CN"/>
              </w:rPr>
              <w:t>期限</w:t>
            </w:r>
          </w:p>
        </w:tc>
        <w:tc>
          <w:tcPr>
            <w:tcW w:w="1968" w:type="dxa"/>
            <w:vAlign w:val="center"/>
          </w:tcPr>
          <w:p>
            <w:pPr>
              <w:ind w:left="355" w:hanging="355" w:hangingChars="148"/>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6" w:type="dxa"/>
            <w:vAlign w:val="center"/>
          </w:tcPr>
          <w:p>
            <w:pPr>
              <w:jc w:val="center"/>
              <w:rPr>
                <w:color w:val="000000"/>
                <w:sz w:val="24"/>
                <w:highlight w:val="none"/>
              </w:rPr>
            </w:pPr>
          </w:p>
        </w:tc>
        <w:tc>
          <w:tcPr>
            <w:tcW w:w="2269" w:type="dxa"/>
            <w:vAlign w:val="center"/>
          </w:tcPr>
          <w:p>
            <w:pPr>
              <w:jc w:val="center"/>
              <w:rPr>
                <w:color w:val="000000"/>
                <w:sz w:val="24"/>
                <w:highlight w:val="none"/>
              </w:rPr>
            </w:pPr>
          </w:p>
        </w:tc>
        <w:tc>
          <w:tcPr>
            <w:tcW w:w="2464" w:type="dxa"/>
            <w:vAlign w:val="center"/>
          </w:tcPr>
          <w:p>
            <w:pPr>
              <w:jc w:val="center"/>
              <w:rPr>
                <w:color w:val="000000"/>
                <w:sz w:val="24"/>
                <w:highlight w:val="none"/>
              </w:rPr>
            </w:pPr>
          </w:p>
        </w:tc>
        <w:tc>
          <w:tcPr>
            <w:tcW w:w="2230" w:type="dxa"/>
            <w:vAlign w:val="center"/>
          </w:tcPr>
          <w:p>
            <w:pPr>
              <w:ind w:left="355" w:hanging="355" w:hangingChars="148"/>
              <w:jc w:val="center"/>
              <w:rPr>
                <w:color w:val="000000"/>
                <w:sz w:val="24"/>
                <w:highlight w:val="none"/>
              </w:rPr>
            </w:pPr>
          </w:p>
        </w:tc>
        <w:tc>
          <w:tcPr>
            <w:tcW w:w="1968" w:type="dxa"/>
            <w:vAlign w:val="center"/>
          </w:tcPr>
          <w:p>
            <w:pPr>
              <w:ind w:left="355" w:hanging="355" w:hangingChars="148"/>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6" w:type="dxa"/>
            <w:vAlign w:val="center"/>
          </w:tcPr>
          <w:p>
            <w:pPr>
              <w:jc w:val="center"/>
              <w:rPr>
                <w:color w:val="000000"/>
                <w:sz w:val="24"/>
                <w:highlight w:val="none"/>
              </w:rPr>
            </w:pPr>
          </w:p>
        </w:tc>
        <w:tc>
          <w:tcPr>
            <w:tcW w:w="2269" w:type="dxa"/>
            <w:vAlign w:val="center"/>
          </w:tcPr>
          <w:p>
            <w:pPr>
              <w:jc w:val="center"/>
              <w:rPr>
                <w:color w:val="000000"/>
                <w:sz w:val="24"/>
                <w:highlight w:val="none"/>
              </w:rPr>
            </w:pPr>
          </w:p>
        </w:tc>
        <w:tc>
          <w:tcPr>
            <w:tcW w:w="2464" w:type="dxa"/>
            <w:vAlign w:val="center"/>
          </w:tcPr>
          <w:p>
            <w:pPr>
              <w:jc w:val="center"/>
              <w:rPr>
                <w:color w:val="000000"/>
                <w:sz w:val="24"/>
                <w:highlight w:val="none"/>
              </w:rPr>
            </w:pPr>
          </w:p>
        </w:tc>
        <w:tc>
          <w:tcPr>
            <w:tcW w:w="2230" w:type="dxa"/>
            <w:vAlign w:val="center"/>
          </w:tcPr>
          <w:p>
            <w:pPr>
              <w:ind w:left="355" w:hanging="355" w:hangingChars="148"/>
              <w:jc w:val="center"/>
              <w:rPr>
                <w:color w:val="000000"/>
                <w:sz w:val="24"/>
                <w:highlight w:val="none"/>
              </w:rPr>
            </w:pPr>
          </w:p>
        </w:tc>
        <w:tc>
          <w:tcPr>
            <w:tcW w:w="1968" w:type="dxa"/>
            <w:vAlign w:val="center"/>
          </w:tcPr>
          <w:p>
            <w:pPr>
              <w:ind w:left="355" w:hanging="355" w:hangingChars="148"/>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6" w:type="dxa"/>
            <w:vAlign w:val="center"/>
          </w:tcPr>
          <w:p>
            <w:pPr>
              <w:jc w:val="center"/>
              <w:rPr>
                <w:color w:val="000000"/>
                <w:sz w:val="24"/>
                <w:highlight w:val="none"/>
              </w:rPr>
            </w:pPr>
          </w:p>
        </w:tc>
        <w:tc>
          <w:tcPr>
            <w:tcW w:w="2269" w:type="dxa"/>
            <w:vAlign w:val="center"/>
          </w:tcPr>
          <w:p>
            <w:pPr>
              <w:jc w:val="center"/>
              <w:rPr>
                <w:color w:val="000000"/>
                <w:sz w:val="24"/>
                <w:highlight w:val="none"/>
              </w:rPr>
            </w:pPr>
          </w:p>
        </w:tc>
        <w:tc>
          <w:tcPr>
            <w:tcW w:w="2464" w:type="dxa"/>
            <w:vAlign w:val="center"/>
          </w:tcPr>
          <w:p>
            <w:pPr>
              <w:jc w:val="center"/>
              <w:rPr>
                <w:color w:val="000000"/>
                <w:sz w:val="24"/>
                <w:highlight w:val="none"/>
              </w:rPr>
            </w:pPr>
          </w:p>
        </w:tc>
        <w:tc>
          <w:tcPr>
            <w:tcW w:w="2230" w:type="dxa"/>
            <w:vAlign w:val="center"/>
          </w:tcPr>
          <w:p>
            <w:pPr>
              <w:ind w:left="355" w:hanging="355" w:hangingChars="148"/>
              <w:jc w:val="center"/>
              <w:rPr>
                <w:color w:val="000000"/>
                <w:sz w:val="24"/>
                <w:highlight w:val="none"/>
              </w:rPr>
            </w:pPr>
          </w:p>
        </w:tc>
        <w:tc>
          <w:tcPr>
            <w:tcW w:w="1968" w:type="dxa"/>
            <w:vAlign w:val="center"/>
          </w:tcPr>
          <w:p>
            <w:pPr>
              <w:ind w:left="355" w:hanging="355" w:hangingChars="148"/>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477" w:type="dxa"/>
            <w:gridSpan w:val="5"/>
            <w:vAlign w:val="center"/>
          </w:tcPr>
          <w:p>
            <w:pPr>
              <w:rPr>
                <w:color w:val="000000"/>
                <w:sz w:val="24"/>
                <w:highlight w:val="none"/>
              </w:rPr>
            </w:pPr>
            <w:r>
              <w:rPr>
                <w:rFonts w:hint="eastAsia"/>
                <w:color w:val="000000"/>
                <w:sz w:val="24"/>
                <w:highlight w:val="none"/>
              </w:rPr>
              <w:t>合计金额（大写）：</w:t>
            </w:r>
          </w:p>
        </w:tc>
      </w:tr>
    </w:tbl>
    <w:p>
      <w:pPr>
        <w:rPr>
          <w:highlight w:val="none"/>
        </w:rPr>
      </w:pPr>
    </w:p>
    <w:p>
      <w:pPr>
        <w:pStyle w:val="8"/>
        <w:rPr>
          <w:highlight w:val="none"/>
        </w:rPr>
      </w:pPr>
    </w:p>
    <w:p>
      <w:pPr>
        <w:rPr>
          <w:highlight w:val="none"/>
        </w:rPr>
      </w:pPr>
    </w:p>
    <w:p>
      <w:pPr>
        <w:jc w:val="center"/>
        <w:rPr>
          <w:color w:val="000000" w:themeColor="text1"/>
          <w:sz w:val="28"/>
          <w:szCs w:val="28"/>
          <w:highlight w:val="none"/>
          <w14:textFill>
            <w14:solidFill>
              <w14:schemeClr w14:val="tx1"/>
            </w14:solidFill>
          </w14:textFill>
        </w:rPr>
      </w:pPr>
    </w:p>
    <w:p>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 .所有报价均用人民币表示,所报价格是项目市场化服务的验收价格，其总价即为履行合同的固定价格。运输、安装、调试、检验、培训、税金和保险等费用以及采购文件规定的其他费用均应包含在报价中。</w:t>
      </w:r>
    </w:p>
    <w:p>
      <w:pPr>
        <w:rPr>
          <w:color w:val="FF0000"/>
          <w:sz w:val="32"/>
          <w:highlight w:val="none"/>
        </w:rPr>
      </w:pPr>
    </w:p>
    <w:p>
      <w:pPr>
        <w:adjustRightInd w:val="0"/>
        <w:spacing w:line="400" w:lineRule="exact"/>
        <w:ind w:firstLine="600" w:firstLineChars="250"/>
        <w:jc w:val="left"/>
        <w:rPr>
          <w:rFonts w:ascii="宋体" w:hAnsi="宋体"/>
          <w:color w:val="000000"/>
          <w:sz w:val="24"/>
          <w:highlight w:val="none"/>
        </w:rPr>
      </w:pPr>
      <w:r>
        <w:rPr>
          <w:rFonts w:hint="eastAsia" w:ascii="宋体" w:hAnsi="宋体"/>
          <w:color w:val="000000"/>
          <w:sz w:val="24"/>
          <w:highlight w:val="none"/>
        </w:rPr>
        <w:t>供应商名称：XXX（盖单位公章）</w:t>
      </w:r>
    </w:p>
    <w:p>
      <w:pPr>
        <w:ind w:firstLine="616" w:firstLineChars="257"/>
        <w:rPr>
          <w:color w:val="000000"/>
          <w:sz w:val="24"/>
          <w:highlight w:val="none"/>
        </w:rPr>
      </w:pPr>
      <w:r>
        <w:rPr>
          <w:rFonts w:hint="eastAsia"/>
          <w:color w:val="000000"/>
          <w:sz w:val="24"/>
          <w:highlight w:val="none"/>
        </w:rPr>
        <w:t>法定代表人或授权代表（签字或盖章）：XXX</w:t>
      </w:r>
    </w:p>
    <w:p>
      <w:pPr>
        <w:ind w:firstLine="616" w:firstLineChars="257"/>
        <w:rPr>
          <w:color w:val="000000"/>
          <w:sz w:val="24"/>
          <w:highlight w:val="none"/>
        </w:rPr>
      </w:pPr>
      <w:r>
        <w:rPr>
          <w:rFonts w:hint="eastAsia"/>
          <w:color w:val="000000"/>
          <w:sz w:val="24"/>
          <w:highlight w:val="none"/>
        </w:rPr>
        <w:t xml:space="preserve">日      期：XXX年XXX月XXX日 </w:t>
      </w:r>
    </w:p>
    <w:p>
      <w:pPr>
        <w:pStyle w:val="8"/>
        <w:rPr>
          <w:color w:val="000000"/>
          <w:sz w:val="24"/>
          <w:highlight w:val="none"/>
        </w:rPr>
      </w:pPr>
    </w:p>
    <w:p>
      <w:pPr>
        <w:rPr>
          <w:color w:val="000000"/>
          <w:sz w:val="24"/>
          <w:highlight w:val="none"/>
        </w:rPr>
      </w:pPr>
    </w:p>
    <w:p>
      <w:pPr>
        <w:pStyle w:val="8"/>
        <w:rPr>
          <w:color w:val="000000"/>
          <w:sz w:val="24"/>
          <w:highlight w:val="none"/>
        </w:rPr>
      </w:pPr>
    </w:p>
    <w:p>
      <w:pPr>
        <w:rPr>
          <w:highlight w:val="none"/>
        </w:rPr>
        <w:sectPr>
          <w:footerReference r:id="rId10" w:type="default"/>
          <w:pgSz w:w="11906" w:h="16838"/>
          <w:pgMar w:top="1417" w:right="1417" w:bottom="1417" w:left="1417" w:header="850" w:footer="992" w:gutter="0"/>
          <w:pgNumType w:fmt="numberInDash"/>
          <w:cols w:space="0" w:num="1"/>
          <w:rtlGutter w:val="0"/>
          <w:docGrid w:linePitch="312" w:charSpace="0"/>
        </w:sect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四</w:t>
      </w:r>
      <w:r>
        <w:rPr>
          <w:rFonts w:hint="eastAsia" w:ascii="宋体" w:hAnsi="宋体" w:cs="Arial"/>
          <w:b/>
          <w:bCs/>
          <w:color w:val="000000"/>
          <w:sz w:val="32"/>
          <w:szCs w:val="32"/>
          <w:highlight w:val="none"/>
        </w:rPr>
        <w:t>、中小企业声明函</w:t>
      </w:r>
    </w:p>
    <w:p>
      <w:pPr>
        <w:widowControl/>
        <w:spacing w:before="100" w:beforeAutospacing="1" w:after="100" w:afterAutospacing="1" w:line="432" w:lineRule="auto"/>
        <w:jc w:val="left"/>
        <w:rPr>
          <w:rFonts w:ascii="ˎ̥" w:hAnsi="ˎ̥" w:cs="宋体"/>
          <w:color w:val="000000"/>
          <w:kern w:val="0"/>
          <w:sz w:val="24"/>
          <w:highlight w:val="none"/>
        </w:rPr>
      </w:pPr>
      <w:r>
        <w:rPr>
          <w:rFonts w:ascii="ˎ̥" w:hAnsi="ˎ̥" w:cs="宋体"/>
          <w:color w:val="000000"/>
          <w:kern w:val="0"/>
          <w:sz w:val="24"/>
          <w:highlight w:val="none"/>
        </w:rPr>
        <w:t> </w:t>
      </w:r>
    </w:p>
    <w:p>
      <w:pPr>
        <w:spacing w:after="0" w:line="360" w:lineRule="auto"/>
        <w:ind w:firstLine="480" w:firstLineChars="200"/>
        <w:jc w:val="left"/>
        <w:rPr>
          <w:rFonts w:ascii="仿宋" w:hAnsi="仿宋" w:eastAsia="仿宋"/>
          <w:sz w:val="24"/>
          <w:highlight w:val="none"/>
        </w:rPr>
      </w:pPr>
      <w:r>
        <w:rPr>
          <w:rFonts w:hint="eastAsia" w:ascii="ˎ̥" w:hAnsi="ˎ̥" w:cs="宋体"/>
          <w:color w:val="000000"/>
          <w:kern w:val="0"/>
          <w:sz w:val="24"/>
          <w:highlight w:val="none"/>
        </w:rPr>
        <w:t>　　</w:t>
      </w:r>
      <w:r>
        <w:rPr>
          <w:rFonts w:hint="eastAsia" w:ascii="仿宋" w:hAnsi="仿宋" w:eastAsia="仿宋"/>
          <w:sz w:val="24"/>
          <w:highlight w:val="none"/>
        </w:rPr>
        <w:t>本公司郑重声明，根据《政府采购促进中小企业发展管理办法》（财库〔2020</w:t>
      </w:r>
      <w:r>
        <w:rPr>
          <w:rFonts w:ascii="仿宋" w:hAnsi="仿宋" w:eastAsia="仿宋"/>
          <w:sz w:val="24"/>
          <w:highlight w:val="none"/>
        </w:rPr>
        <w:t>〕</w:t>
      </w:r>
      <w:r>
        <w:rPr>
          <w:rFonts w:hint="eastAsia" w:ascii="仿宋" w:hAnsi="仿宋" w:eastAsia="仿宋"/>
          <w:sz w:val="24"/>
          <w:highlight w:val="none"/>
        </w:rPr>
        <w:t>46 号）</w:t>
      </w:r>
      <w:r>
        <w:rPr>
          <w:rFonts w:ascii="仿宋" w:hAnsi="仿宋" w:eastAsia="仿宋"/>
          <w:sz w:val="24"/>
          <w:highlight w:val="none"/>
        </w:rPr>
        <w:t>的规定，</w:t>
      </w:r>
      <w:r>
        <w:rPr>
          <w:rFonts w:hint="eastAsia" w:ascii="仿宋" w:hAnsi="仿宋" w:eastAsia="仿宋"/>
          <w:sz w:val="24"/>
          <w:highlight w:val="none"/>
        </w:rPr>
        <w:t xml:space="preserve">本公司（联合体）参加 </w:t>
      </w:r>
      <w:r>
        <w:rPr>
          <w:rFonts w:hint="eastAsia" w:ascii="仿宋" w:hAnsi="仿宋" w:eastAsia="仿宋"/>
          <w:sz w:val="24"/>
          <w:highlight w:val="none"/>
          <w:u w:val="single"/>
        </w:rPr>
        <w:t xml:space="preserve">（单位名称） </w:t>
      </w:r>
      <w:r>
        <w:rPr>
          <w:rFonts w:hint="eastAsia" w:ascii="仿宋" w:hAnsi="仿宋" w:eastAsia="仿宋"/>
          <w:sz w:val="24"/>
          <w:highlight w:val="none"/>
        </w:rPr>
        <w:t xml:space="preserve">的 </w:t>
      </w:r>
      <w:r>
        <w:rPr>
          <w:rFonts w:hint="eastAsia" w:ascii="仿宋" w:hAnsi="仿宋" w:eastAsia="仿宋"/>
          <w:sz w:val="24"/>
          <w:highlight w:val="none"/>
          <w:u w:val="single"/>
        </w:rPr>
        <w:t xml:space="preserve">（项目名称） </w:t>
      </w:r>
      <w:r>
        <w:rPr>
          <w:rFonts w:hint="eastAsia" w:ascii="仿宋" w:hAnsi="仿宋" w:eastAsia="仿宋"/>
          <w:sz w:val="24"/>
          <w:highlight w:val="none"/>
        </w:rPr>
        <w:t>采购活动，服务全部由符合政策要求的中小企业承接。相关企业（含联合</w:t>
      </w:r>
    </w:p>
    <w:p>
      <w:pPr>
        <w:spacing w:after="0" w:line="360" w:lineRule="auto"/>
        <w:jc w:val="left"/>
        <w:rPr>
          <w:rFonts w:ascii="仿宋" w:hAnsi="仿宋" w:eastAsia="仿宋"/>
          <w:sz w:val="24"/>
          <w:highlight w:val="none"/>
        </w:rPr>
      </w:pPr>
      <w:r>
        <w:rPr>
          <w:rFonts w:hint="eastAsia" w:ascii="仿宋" w:hAnsi="仿宋" w:eastAsia="仿宋"/>
          <w:sz w:val="24"/>
          <w:highlight w:val="none"/>
        </w:rPr>
        <w:t>体中的中小企业、签订分包意向协议的中小企业）的具体情况如下：</w:t>
      </w:r>
      <w:r>
        <w:rPr>
          <w:rFonts w:ascii="仿宋" w:hAnsi="仿宋" w:eastAsia="仿宋"/>
          <w:sz w:val="24"/>
          <w:highlight w:val="none"/>
        </w:rPr>
        <w:br w:type="textWrapping"/>
      </w:r>
      <w:r>
        <w:rPr>
          <w:rFonts w:hint="eastAsia" w:ascii="仿宋" w:hAnsi="仿宋" w:eastAsia="仿宋"/>
          <w:sz w:val="24"/>
          <w:highlight w:val="none"/>
        </w:rPr>
        <w:t>　　</w:t>
      </w:r>
      <w:bookmarkStart w:id="78" w:name="_Toc419811733"/>
      <w:bookmarkStart w:id="79" w:name="_Toc387147344"/>
      <w:bookmarkStart w:id="80" w:name="_Toc413748654"/>
      <w:bookmarkStart w:id="81" w:name="_Toc387658050"/>
      <w:bookmarkStart w:id="82" w:name="_Toc417911732"/>
      <w:r>
        <w:rPr>
          <w:rFonts w:hint="eastAsia" w:ascii="仿宋" w:hAnsi="仿宋" w:eastAsia="仿宋"/>
          <w:sz w:val="24"/>
          <w:highlight w:val="none"/>
        </w:rPr>
        <w:t xml:space="preserve">1. </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sz w:val="24"/>
          <w:highlight w:val="none"/>
          <w:u w:val="single"/>
        </w:rPr>
        <w:t xml:space="preserve"> （采购文件中明确的所属行业） </w:t>
      </w:r>
      <w:r>
        <w:rPr>
          <w:rFonts w:hint="eastAsia" w:ascii="仿宋" w:hAnsi="仿宋" w:eastAsia="仿宋"/>
          <w:sz w:val="24"/>
          <w:highlight w:val="none"/>
        </w:rPr>
        <w:t>；承接企业为</w:t>
      </w:r>
      <w:r>
        <w:rPr>
          <w:rFonts w:hint="eastAsia" w:ascii="仿宋" w:hAnsi="仿宋" w:eastAsia="仿宋"/>
          <w:sz w:val="24"/>
          <w:highlight w:val="none"/>
          <w:u w:val="single"/>
        </w:rPr>
        <w:t xml:space="preserve"> （企业名称） </w:t>
      </w:r>
      <w:r>
        <w:rPr>
          <w:rFonts w:hint="eastAsia" w:ascii="仿宋" w:hAnsi="仿宋" w:eastAsia="仿宋"/>
          <w:sz w:val="24"/>
          <w:highlight w:val="none"/>
        </w:rPr>
        <w:t>，从业人员</w:t>
      </w:r>
      <w:r>
        <w:rPr>
          <w:rFonts w:ascii="仿宋" w:hAnsi="仿宋" w:eastAsia="仿宋"/>
          <w:sz w:val="24"/>
          <w:highlight w:val="none"/>
          <w:u w:val="single"/>
        </w:rPr>
        <w:t xml:space="preserve">   </w:t>
      </w:r>
      <w:r>
        <w:rPr>
          <w:rFonts w:hint="eastAsia" w:ascii="仿宋" w:hAnsi="仿宋" w:eastAsia="仿宋"/>
          <w:sz w:val="24"/>
          <w:highlight w:val="none"/>
        </w:rPr>
        <w:t>人，营业收入为</w:t>
      </w:r>
      <w:r>
        <w:rPr>
          <w:rFonts w:ascii="仿宋" w:hAnsi="仿宋" w:eastAsia="仿宋"/>
          <w:sz w:val="24"/>
          <w:highlight w:val="none"/>
          <w:u w:val="single"/>
        </w:rPr>
        <w:t xml:space="preserve">    </w:t>
      </w:r>
      <w:r>
        <w:rPr>
          <w:rFonts w:hint="eastAsia" w:ascii="仿宋" w:hAnsi="仿宋" w:eastAsia="仿宋"/>
          <w:sz w:val="24"/>
          <w:highlight w:val="none"/>
        </w:rPr>
        <w:t>万元，资产总额为</w:t>
      </w:r>
      <w:r>
        <w:rPr>
          <w:rFonts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after="0" w:line="360" w:lineRule="auto"/>
        <w:ind w:firstLine="600" w:firstLineChars="25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 （标的名称） </w:t>
      </w:r>
      <w:r>
        <w:rPr>
          <w:rFonts w:hint="eastAsia" w:ascii="仿宋" w:hAnsi="仿宋" w:eastAsia="仿宋"/>
          <w:sz w:val="24"/>
          <w:highlight w:val="none"/>
        </w:rPr>
        <w:t>，属于</w:t>
      </w:r>
      <w:r>
        <w:rPr>
          <w:rFonts w:hint="eastAsia" w:ascii="仿宋" w:hAnsi="仿宋" w:eastAsia="仿宋"/>
          <w:sz w:val="24"/>
          <w:highlight w:val="none"/>
          <w:u w:val="single"/>
        </w:rPr>
        <w:t xml:space="preserve"> （采购文件中明确的所属行业） </w:t>
      </w:r>
      <w:r>
        <w:rPr>
          <w:rFonts w:hint="eastAsia" w:ascii="仿宋" w:hAnsi="仿宋" w:eastAsia="仿宋"/>
          <w:sz w:val="24"/>
          <w:highlight w:val="none"/>
        </w:rPr>
        <w:t>；承接企业为</w:t>
      </w:r>
      <w:r>
        <w:rPr>
          <w:rFonts w:hint="eastAsia" w:ascii="仿宋" w:hAnsi="仿宋" w:eastAsia="仿宋"/>
          <w:sz w:val="24"/>
          <w:highlight w:val="none"/>
          <w:u w:val="single"/>
        </w:rPr>
        <w:t xml:space="preserve"> （企业名称） </w:t>
      </w:r>
      <w:r>
        <w:rPr>
          <w:rFonts w:hint="eastAsia" w:ascii="仿宋" w:hAnsi="仿宋" w:eastAsia="仿宋"/>
          <w:sz w:val="24"/>
          <w:highlight w:val="none"/>
        </w:rPr>
        <w:t>，从业人员</w:t>
      </w:r>
      <w:r>
        <w:rPr>
          <w:rFonts w:ascii="仿宋" w:hAnsi="仿宋" w:eastAsia="仿宋"/>
          <w:sz w:val="24"/>
          <w:highlight w:val="none"/>
          <w:u w:val="single"/>
        </w:rPr>
        <w:t xml:space="preserve">   </w:t>
      </w:r>
      <w:r>
        <w:rPr>
          <w:rFonts w:hint="eastAsia" w:ascii="仿宋" w:hAnsi="仿宋" w:eastAsia="仿宋"/>
          <w:sz w:val="24"/>
          <w:highlight w:val="none"/>
        </w:rPr>
        <w:t>人，营业收入为</w:t>
      </w:r>
      <w:r>
        <w:rPr>
          <w:rFonts w:ascii="仿宋" w:hAnsi="仿宋" w:eastAsia="仿宋"/>
          <w:sz w:val="24"/>
          <w:highlight w:val="none"/>
          <w:u w:val="single"/>
        </w:rPr>
        <w:t xml:space="preserve">    </w:t>
      </w:r>
      <w:r>
        <w:rPr>
          <w:rFonts w:hint="eastAsia" w:ascii="仿宋" w:hAnsi="仿宋" w:eastAsia="仿宋"/>
          <w:sz w:val="24"/>
          <w:highlight w:val="none"/>
        </w:rPr>
        <w:t>万元，资产总额为</w:t>
      </w:r>
      <w:r>
        <w:rPr>
          <w:rFonts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after="0" w:line="360" w:lineRule="auto"/>
        <w:ind w:firstLine="600" w:firstLineChars="250"/>
        <w:jc w:val="left"/>
        <w:rPr>
          <w:rFonts w:ascii="仿宋" w:hAnsi="仿宋" w:eastAsia="仿宋"/>
          <w:sz w:val="24"/>
          <w:highlight w:val="none"/>
        </w:rPr>
      </w:pPr>
      <w:r>
        <w:rPr>
          <w:rFonts w:hint="eastAsia" w:ascii="仿宋" w:hAnsi="仿宋" w:eastAsia="仿宋"/>
          <w:sz w:val="24"/>
          <w:highlight w:val="none"/>
        </w:rPr>
        <w:t>……</w:t>
      </w:r>
    </w:p>
    <w:p>
      <w:pPr>
        <w:spacing w:after="0" w:line="360" w:lineRule="auto"/>
        <w:ind w:firstLine="600" w:firstLineChars="25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after="0" w:line="360" w:lineRule="auto"/>
        <w:ind w:firstLine="600" w:firstLineChars="25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pacing w:after="0" w:line="360" w:lineRule="auto"/>
        <w:jc w:val="center"/>
        <w:rPr>
          <w:rFonts w:ascii="仿宋" w:hAnsi="仿宋" w:eastAsia="仿宋"/>
          <w:sz w:val="24"/>
          <w:highlight w:val="none"/>
        </w:rPr>
      </w:pPr>
      <w:r>
        <w:rPr>
          <w:rFonts w:hint="eastAsia" w:ascii="仿宋" w:hAnsi="仿宋" w:eastAsia="仿宋"/>
          <w:sz w:val="24"/>
          <w:highlight w:val="none"/>
        </w:rPr>
        <w:t xml:space="preserve">                                 企业名称（盖章）：</w:t>
      </w:r>
    </w:p>
    <w:p>
      <w:pPr>
        <w:spacing w:after="0" w:line="360" w:lineRule="auto"/>
        <w:jc w:val="center"/>
        <w:rPr>
          <w:rFonts w:ascii="仿宋" w:hAnsi="仿宋" w:eastAsia="仿宋"/>
          <w:sz w:val="24"/>
          <w:highlight w:val="none"/>
        </w:rPr>
      </w:pPr>
      <w:r>
        <w:rPr>
          <w:rFonts w:hint="eastAsia" w:ascii="仿宋" w:hAnsi="仿宋" w:eastAsia="仿宋"/>
          <w:sz w:val="24"/>
          <w:highlight w:val="none"/>
        </w:rPr>
        <w:t xml:space="preserve">                        日 期：</w:t>
      </w:r>
    </w:p>
    <w:p>
      <w:pPr>
        <w:spacing w:after="0" w:line="360" w:lineRule="auto"/>
        <w:jc w:val="left"/>
        <w:rPr>
          <w:rFonts w:hint="eastAsia" w:ascii="仿宋" w:hAnsi="仿宋" w:eastAsia="仿宋" w:cs="宋体"/>
          <w:sz w:val="24"/>
          <w:highlight w:val="none"/>
        </w:rPr>
      </w:pPr>
    </w:p>
    <w:p>
      <w:pPr>
        <w:spacing w:after="0" w:line="360" w:lineRule="auto"/>
        <w:jc w:val="left"/>
        <w:rPr>
          <w:rFonts w:ascii="仿宋" w:hAnsi="仿宋" w:eastAsia="仿宋" w:cs="宋体"/>
          <w:sz w:val="24"/>
          <w:highlight w:val="none"/>
        </w:rPr>
      </w:pPr>
      <w:r>
        <w:rPr>
          <w:rFonts w:hint="eastAsia" w:ascii="仿宋" w:hAnsi="仿宋" w:eastAsia="仿宋" w:cs="宋体"/>
          <w:sz w:val="24"/>
          <w:highlight w:val="none"/>
        </w:rPr>
        <w:t>注：</w:t>
      </w:r>
    </w:p>
    <w:p>
      <w:pPr>
        <w:ind w:firstLine="480" w:firstLineChars="200"/>
        <w:jc w:val="left"/>
        <w:rPr>
          <w:rFonts w:ascii="宋体" w:hAnsi="宋体"/>
          <w:color w:val="000000"/>
          <w:sz w:val="24"/>
          <w:highlight w:val="none"/>
        </w:rPr>
      </w:pPr>
      <w:r>
        <w:rPr>
          <w:rFonts w:ascii="仿宋" w:hAnsi="仿宋" w:eastAsia="仿宋" w:cs="宋体"/>
          <w:sz w:val="24"/>
          <w:highlight w:val="none"/>
        </w:rPr>
        <w:t>1、</w:t>
      </w:r>
      <w:bookmarkEnd w:id="78"/>
      <w:bookmarkEnd w:id="79"/>
      <w:bookmarkEnd w:id="80"/>
      <w:bookmarkEnd w:id="81"/>
      <w:bookmarkEnd w:id="82"/>
      <w:r>
        <w:rPr>
          <w:rFonts w:hint="eastAsia" w:ascii="仿宋" w:hAnsi="仿宋" w:eastAsia="仿宋" w:cs="宋体"/>
          <w:sz w:val="24"/>
          <w:highlight w:val="none"/>
        </w:rPr>
        <w:t>从业人员、营业收入、资产总额填报上一年度数据，无上一年度数据的新成立企业可不填报。</w:t>
      </w:r>
    </w:p>
    <w:p>
      <w:pPr>
        <w:rPr>
          <w:sz w:val="32"/>
          <w:szCs w:val="32"/>
          <w:highlight w:val="none"/>
        </w:rPr>
      </w:pPr>
    </w:p>
    <w:p>
      <w:pPr>
        <w:pStyle w:val="4"/>
        <w:rPr>
          <w:highlight w:val="none"/>
        </w:rPr>
      </w:pPr>
    </w:p>
    <w:p>
      <w:pPr>
        <w:rPr>
          <w:sz w:val="32"/>
          <w:szCs w:val="32"/>
          <w:highlight w:val="none"/>
        </w:rPr>
      </w:pPr>
    </w:p>
    <w:p>
      <w:pPr>
        <w:rPr>
          <w:highlight w:val="none"/>
        </w:rPr>
      </w:pPr>
    </w:p>
    <w:p>
      <w:pPr>
        <w:rPr>
          <w:highlight w:val="none"/>
        </w:r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五</w:t>
      </w:r>
      <w:r>
        <w:rPr>
          <w:rFonts w:hint="eastAsia" w:ascii="宋体" w:hAnsi="宋体" w:cs="Arial"/>
          <w:b/>
          <w:bCs/>
          <w:color w:val="000000"/>
          <w:sz w:val="32"/>
          <w:szCs w:val="32"/>
          <w:highlight w:val="none"/>
        </w:rPr>
        <w:t>、残疾人福利性单位声明函</w:t>
      </w:r>
    </w:p>
    <w:p>
      <w:pPr>
        <w:spacing w:line="588" w:lineRule="exact"/>
        <w:rPr>
          <w:rFonts w:ascii="仿宋_GB2312" w:eastAsia="仿宋_GB2312"/>
          <w:b/>
          <w:spacing w:val="6"/>
          <w:sz w:val="30"/>
          <w:szCs w:val="30"/>
          <w:highlight w:val="none"/>
        </w:rPr>
      </w:pPr>
    </w:p>
    <w:p>
      <w:pPr>
        <w:spacing w:line="588" w:lineRule="exact"/>
        <w:ind w:firstLine="504" w:firstLineChars="200"/>
        <w:rPr>
          <w:rFonts w:ascii="仿宋" w:hAnsi="仿宋" w:eastAsia="仿宋" w:cs="宋体"/>
          <w:spacing w:val="6"/>
          <w:sz w:val="24"/>
          <w:highlight w:val="none"/>
        </w:rPr>
      </w:pPr>
      <w:r>
        <w:rPr>
          <w:rFonts w:hint="eastAsia" w:ascii="仿宋" w:hAnsi="仿宋" w:eastAsia="仿宋" w:cs="宋体"/>
          <w:spacing w:val="6"/>
          <w:sz w:val="24"/>
          <w:highlight w:val="none"/>
        </w:rPr>
        <w:t>本单位郑重声明，根据《财政部</w:t>
      </w:r>
      <w:r>
        <w:rPr>
          <w:rFonts w:ascii="仿宋" w:hAnsi="仿宋" w:eastAsia="仿宋" w:cs="宋体"/>
          <w:spacing w:val="6"/>
          <w:sz w:val="24"/>
          <w:highlight w:val="none"/>
        </w:rPr>
        <w:t xml:space="preserve"> </w:t>
      </w:r>
      <w:r>
        <w:rPr>
          <w:rFonts w:hint="eastAsia" w:ascii="仿宋" w:hAnsi="仿宋" w:eastAsia="仿宋" w:cs="宋体"/>
          <w:spacing w:val="6"/>
          <w:sz w:val="24"/>
          <w:highlight w:val="none"/>
        </w:rPr>
        <w:t>民政部</w:t>
      </w:r>
      <w:r>
        <w:rPr>
          <w:rFonts w:ascii="仿宋" w:hAnsi="仿宋" w:eastAsia="仿宋" w:cs="宋体"/>
          <w:spacing w:val="6"/>
          <w:sz w:val="24"/>
          <w:highlight w:val="none"/>
        </w:rPr>
        <w:t xml:space="preserve"> </w:t>
      </w:r>
      <w:r>
        <w:rPr>
          <w:rFonts w:hint="eastAsia" w:ascii="仿宋" w:hAnsi="仿宋" w:eastAsia="仿宋" w:cs="宋体"/>
          <w:spacing w:val="6"/>
          <w:sz w:val="24"/>
          <w:highlight w:val="none"/>
        </w:rPr>
        <w:t>中国残疾人联合会关于促进残疾人就业政府采购政策的通知》（财库</w:t>
      </w:r>
      <w:r>
        <w:rPr>
          <w:rFonts w:hint="eastAsia" w:ascii="仿宋" w:hAnsi="仿宋" w:eastAsia="仿宋" w:cs="宋体"/>
          <w:sz w:val="24"/>
          <w:highlight w:val="none"/>
        </w:rPr>
        <w:t>〔</w:t>
      </w:r>
      <w:r>
        <w:rPr>
          <w:rFonts w:ascii="仿宋" w:hAnsi="仿宋" w:eastAsia="仿宋" w:cs="宋体"/>
          <w:sz w:val="24"/>
          <w:highlight w:val="none"/>
        </w:rPr>
        <w:t>2017〕 141</w:t>
      </w:r>
      <w:r>
        <w:rPr>
          <w:rFonts w:hint="eastAsia" w:ascii="仿宋" w:hAnsi="仿宋" w:eastAsia="仿宋" w:cs="宋体"/>
          <w:spacing w:val="6"/>
          <w:sz w:val="24"/>
          <w:highlight w:val="none"/>
        </w:rPr>
        <w:t>号）的规定，本单位为符合条件的残疾人福利性单位，且本单位参加</w:t>
      </w:r>
      <w:r>
        <w:rPr>
          <w:rFonts w:ascii="仿宋" w:hAnsi="仿宋" w:eastAsia="仿宋" w:cs="宋体"/>
          <w:spacing w:val="6"/>
          <w:sz w:val="24"/>
          <w:highlight w:val="none"/>
        </w:rPr>
        <w:t>_</w:t>
      </w:r>
      <w:r>
        <w:rPr>
          <w:rFonts w:ascii="仿宋" w:hAnsi="仿宋" w:eastAsia="仿宋"/>
          <w:sz w:val="24"/>
          <w:highlight w:val="none"/>
          <w:u w:val="single"/>
        </w:rPr>
        <w:t>XXXX</w:t>
      </w:r>
      <w:r>
        <w:rPr>
          <w:rFonts w:ascii="仿宋" w:hAnsi="仿宋" w:eastAsia="仿宋" w:cs="宋体"/>
          <w:spacing w:val="6"/>
          <w:sz w:val="24"/>
          <w:highlight w:val="none"/>
        </w:rPr>
        <w:t>_单位的</w:t>
      </w:r>
      <w:r>
        <w:rPr>
          <w:rFonts w:ascii="仿宋" w:hAnsi="仿宋" w:eastAsia="仿宋"/>
          <w:sz w:val="24"/>
          <w:highlight w:val="none"/>
          <w:u w:val="single"/>
        </w:rPr>
        <w:t>XXXX</w:t>
      </w:r>
      <w:r>
        <w:rPr>
          <w:rFonts w:ascii="仿宋" w:hAnsi="仿宋" w:eastAsia="仿宋" w:cs="宋体"/>
          <w:spacing w:val="6"/>
          <w:sz w:val="24"/>
          <w:highlight w:val="none"/>
        </w:rPr>
        <w:t>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宋体"/>
          <w:spacing w:val="6"/>
          <w:sz w:val="24"/>
          <w:highlight w:val="none"/>
        </w:rPr>
      </w:pPr>
      <w:r>
        <w:rPr>
          <w:rFonts w:hint="eastAsia" w:ascii="仿宋" w:hAnsi="仿宋" w:eastAsia="仿宋" w:cs="宋体"/>
          <w:spacing w:val="6"/>
          <w:sz w:val="24"/>
          <w:highlight w:val="none"/>
        </w:rPr>
        <w:t>本单位对上述声明的真实性负责。如有虚假，将依法承担相应责任。</w:t>
      </w:r>
    </w:p>
    <w:p>
      <w:pPr>
        <w:spacing w:line="588" w:lineRule="exact"/>
        <w:rPr>
          <w:rFonts w:ascii="仿宋" w:hAnsi="仿宋" w:eastAsia="仿宋" w:cs="宋体"/>
          <w:spacing w:val="6"/>
          <w:sz w:val="24"/>
          <w:highlight w:val="none"/>
        </w:rPr>
      </w:pPr>
    </w:p>
    <w:p>
      <w:pPr>
        <w:tabs>
          <w:tab w:val="left" w:pos="4860"/>
        </w:tabs>
        <w:spacing w:line="588" w:lineRule="exact"/>
        <w:ind w:right="1560"/>
        <w:rPr>
          <w:rFonts w:ascii="仿宋" w:hAnsi="仿宋" w:eastAsia="仿宋" w:cs="宋体"/>
          <w:spacing w:val="6"/>
          <w:sz w:val="24"/>
          <w:highlight w:val="none"/>
        </w:rPr>
      </w:pPr>
      <w:r>
        <w:rPr>
          <w:rFonts w:hint="eastAsia" w:ascii="仿宋" w:hAnsi="仿宋" w:eastAsia="仿宋" w:cs="宋体"/>
          <w:spacing w:val="6"/>
          <w:sz w:val="24"/>
          <w:highlight w:val="none"/>
        </w:rPr>
        <w:t>单位名称（盖章）：</w:t>
      </w:r>
    </w:p>
    <w:p>
      <w:pPr>
        <w:rPr>
          <w:rFonts w:ascii="仿宋" w:hAnsi="仿宋" w:eastAsia="仿宋" w:cs="宋体"/>
          <w:spacing w:val="6"/>
          <w:sz w:val="24"/>
          <w:highlight w:val="none"/>
        </w:rPr>
      </w:pPr>
      <w:r>
        <w:rPr>
          <w:rFonts w:hint="eastAsia" w:ascii="仿宋" w:hAnsi="仿宋" w:eastAsia="仿宋" w:cs="宋体"/>
          <w:spacing w:val="6"/>
          <w:sz w:val="24"/>
          <w:highlight w:val="none"/>
        </w:rPr>
        <w:t>日</w:t>
      </w:r>
      <w:r>
        <w:rPr>
          <w:rFonts w:ascii="仿宋" w:hAnsi="仿宋" w:eastAsia="仿宋" w:cs="宋体"/>
          <w:spacing w:val="6"/>
          <w:sz w:val="24"/>
          <w:highlight w:val="none"/>
        </w:rPr>
        <w:t xml:space="preserve">  </w:t>
      </w:r>
      <w:r>
        <w:rPr>
          <w:rFonts w:hint="eastAsia" w:ascii="仿宋" w:hAnsi="仿宋" w:eastAsia="仿宋" w:cs="宋体"/>
          <w:spacing w:val="6"/>
          <w:sz w:val="24"/>
          <w:highlight w:val="none"/>
        </w:rPr>
        <w:t>期：</w:t>
      </w:r>
    </w:p>
    <w:p>
      <w:pPr>
        <w:spacing w:line="360" w:lineRule="auto"/>
        <w:rPr>
          <w:rFonts w:ascii="仿宋" w:hAnsi="仿宋" w:eastAsia="仿宋" w:cs="宋体"/>
          <w:sz w:val="24"/>
          <w:highlight w:val="none"/>
        </w:rPr>
      </w:pPr>
    </w:p>
    <w:p>
      <w:pPr>
        <w:spacing w:line="360" w:lineRule="auto"/>
        <w:rPr>
          <w:rFonts w:hint="eastAsia" w:ascii="仿宋" w:hAnsi="仿宋" w:eastAsia="仿宋" w:cs="宋体"/>
          <w:sz w:val="24"/>
          <w:highlight w:val="none"/>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注：</w:t>
      </w:r>
    </w:p>
    <w:p>
      <w:pPr>
        <w:numPr>
          <w:ilvl w:val="0"/>
          <w:numId w:val="5"/>
        </w:numPr>
        <w:spacing w:line="360" w:lineRule="auto"/>
        <w:rPr>
          <w:rFonts w:ascii="仿宋" w:hAnsi="仿宋" w:eastAsia="仿宋" w:cs="宋体"/>
          <w:sz w:val="24"/>
          <w:highlight w:val="none"/>
        </w:rPr>
      </w:pPr>
      <w:r>
        <w:rPr>
          <w:rFonts w:hint="eastAsia" w:ascii="仿宋" w:hAnsi="仿宋" w:eastAsia="仿宋" w:cs="宋体"/>
          <w:sz w:val="24"/>
          <w:highlight w:val="none"/>
        </w:rPr>
        <w:t>残疾人福利性单位视同小型、微型企业，享受预留份额、评审中价格扣除等促进中小企业发展的政府采购政策。残疾人福利性单位属于小型、微型企业的，不重复享受政策。</w:t>
      </w:r>
    </w:p>
    <w:p>
      <w:pPr>
        <w:pStyle w:val="3"/>
        <w:keepNext w:val="0"/>
        <w:keepLines w:val="0"/>
        <w:rPr>
          <w:rFonts w:hint="eastAsia" w:ascii="仿宋" w:hAnsi="仿宋" w:eastAsia="仿宋" w:cs="宋体"/>
          <w:b w:val="0"/>
          <w:bCs w:val="0"/>
          <w:kern w:val="2"/>
          <w:sz w:val="24"/>
          <w:szCs w:val="24"/>
          <w:highlight w:val="none"/>
          <w:lang w:val="en-US" w:eastAsia="zh-CN" w:bidi="ar-SA"/>
        </w:rPr>
      </w:pPr>
      <w:r>
        <w:rPr>
          <w:rFonts w:hint="eastAsia" w:ascii="仿宋" w:hAnsi="仿宋" w:eastAsia="仿宋" w:cs="宋体"/>
          <w:b w:val="0"/>
          <w:bCs w:val="0"/>
          <w:kern w:val="2"/>
          <w:sz w:val="24"/>
          <w:szCs w:val="24"/>
          <w:highlight w:val="none"/>
          <w:lang w:val="en-US" w:eastAsia="zh-CN" w:bidi="ar-SA"/>
        </w:rPr>
        <w:t>2、投标人为非残疾人福利性单位的，可不提供此声明。</w:t>
      </w:r>
    </w:p>
    <w:p>
      <w:pPr>
        <w:rPr>
          <w:highlight w:val="none"/>
        </w:rPr>
      </w:pPr>
      <w:r>
        <w:rPr>
          <w:highlight w:val="none"/>
        </w:rPr>
        <w:br w:type="page"/>
      </w:r>
    </w:p>
    <w:p>
      <w:pPr>
        <w:jc w:val="center"/>
        <w:rPr>
          <w:rFonts w:ascii="仿宋" w:hAnsi="仿宋" w:eastAsia="仿宋"/>
          <w:b/>
          <w:sz w:val="32"/>
          <w:szCs w:val="32"/>
          <w:highlight w:val="none"/>
        </w:rPr>
      </w:pP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、监狱企业</w:t>
      </w:r>
    </w:p>
    <w:p>
      <w:pPr>
        <w:rPr>
          <w:rFonts w:ascii="仿宋" w:hAnsi="仿宋" w:eastAsia="仿宋" w:cs="宋体"/>
          <w:b/>
          <w:spacing w:val="6"/>
          <w:sz w:val="24"/>
          <w:highlight w:val="none"/>
        </w:rPr>
      </w:pPr>
    </w:p>
    <w:p>
      <w:pPr>
        <w:spacing w:after="0"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根据</w:t>
      </w:r>
      <w:r>
        <w:rPr>
          <w:rFonts w:hint="eastAsia" w:ascii="仿宋" w:hAnsi="仿宋" w:eastAsia="仿宋" w:cs="仿宋"/>
          <w:sz w:val="24"/>
          <w:highlight w:val="none"/>
        </w:rPr>
        <w:t>《政府采购支持监狱企业发展有关问题的通知》</w:t>
      </w:r>
      <w:r>
        <w:rPr>
          <w:rFonts w:hint="eastAsia" w:ascii="仿宋" w:hAnsi="仿宋" w:eastAsia="仿宋"/>
          <w:sz w:val="24"/>
          <w:highlight w:val="none"/>
        </w:rPr>
        <w:t>（财库〔</w:t>
      </w:r>
      <w:r>
        <w:rPr>
          <w:rFonts w:ascii="仿宋" w:hAnsi="仿宋" w:eastAsia="仿宋"/>
          <w:sz w:val="24"/>
          <w:highlight w:val="none"/>
        </w:rPr>
        <w:t>2014〕68号）的规定</w:t>
      </w:r>
      <w:r>
        <w:rPr>
          <w:rFonts w:hint="eastAsia" w:ascii="仿宋" w:hAnsi="仿宋" w:eastAsia="仿宋"/>
          <w:sz w:val="24"/>
          <w:highlight w:val="none"/>
        </w:rPr>
        <w:t>监狱企业参加采购活动的，应</w:t>
      </w:r>
      <w:r>
        <w:rPr>
          <w:rFonts w:hint="eastAsia" w:ascii="仿宋" w:hAnsi="仿宋" w:eastAsia="仿宋" w:cs="宋体"/>
          <w:sz w:val="24"/>
          <w:highlight w:val="none"/>
        </w:rPr>
        <w:t>提供由省级以上监狱管理局、戒毒管理局</w:t>
      </w:r>
      <w:r>
        <w:rPr>
          <w:rFonts w:ascii="仿宋" w:hAnsi="仿宋" w:eastAsia="仿宋" w:cs="宋体"/>
          <w:sz w:val="24"/>
          <w:highlight w:val="none"/>
        </w:rPr>
        <w:t>(含新疆生产建设兵团)出具的属于监狱企业的证明文件。</w:t>
      </w:r>
    </w:p>
    <w:p>
      <w:pPr>
        <w:spacing w:after="0" w:line="360" w:lineRule="auto"/>
        <w:jc w:val="left"/>
        <w:rPr>
          <w:rFonts w:ascii="仿宋" w:hAnsi="仿宋" w:eastAsia="仿宋" w:cs="宋体"/>
          <w:sz w:val="24"/>
          <w:highlight w:val="none"/>
        </w:rPr>
      </w:pPr>
      <w:r>
        <w:rPr>
          <w:rFonts w:hint="eastAsia" w:ascii="仿宋" w:hAnsi="仿宋" w:eastAsia="仿宋" w:cs="宋体"/>
          <w:sz w:val="24"/>
          <w:highlight w:val="none"/>
        </w:rPr>
        <w:t>注：</w:t>
      </w:r>
    </w:p>
    <w:p>
      <w:pPr>
        <w:spacing w:after="0" w:line="360" w:lineRule="auto"/>
        <w:rPr>
          <w:rFonts w:ascii="仿宋" w:hAnsi="仿宋" w:eastAsia="仿宋" w:cs="宋体"/>
          <w:sz w:val="24"/>
          <w:highlight w:val="none"/>
        </w:rPr>
      </w:pPr>
      <w:r>
        <w:rPr>
          <w:rFonts w:ascii="仿宋" w:hAnsi="仿宋" w:eastAsia="仿宋" w:cs="宋体"/>
          <w:sz w:val="24"/>
          <w:highlight w:val="none"/>
        </w:rPr>
        <w:t>1、投标人符合《政府采购支持监狱企业发展有关问题的通知》（财库〔2014〕68号）规定的划分标准为监狱企业适用。</w:t>
      </w:r>
    </w:p>
    <w:p>
      <w:pPr>
        <w:rPr>
          <w:highlight w:val="none"/>
        </w:rPr>
      </w:pPr>
      <w:r>
        <w:rPr>
          <w:rFonts w:ascii="仿宋" w:hAnsi="仿宋" w:eastAsia="仿宋" w:cs="宋体"/>
          <w:sz w:val="24"/>
          <w:highlight w:val="none"/>
        </w:rPr>
        <w:t>2、在政府采购活动中，监狱企业视同小型、微型企业，享受预留份额、评审中</w:t>
      </w:r>
      <w:r>
        <w:rPr>
          <w:rFonts w:hint="eastAsia" w:ascii="仿宋" w:hAnsi="仿宋" w:eastAsia="仿宋" w:cs="宋体"/>
          <w:sz w:val="24"/>
          <w:highlight w:val="none"/>
        </w:rPr>
        <w:t>价格扣除等政府采购促进中小企业发展的政府采购政策。</w:t>
      </w:r>
    </w:p>
    <w:p>
      <w:pPr>
        <w:rPr>
          <w:highlight w:val="none"/>
        </w:rPr>
      </w:pPr>
    </w:p>
    <w:p>
      <w:pPr>
        <w:rPr>
          <w:highlight w:val="none"/>
        </w:rPr>
      </w:pPr>
    </w:p>
    <w:p>
      <w:pPr>
        <w:rPr>
          <w:highlight w:val="none"/>
        </w:rPr>
      </w:pPr>
    </w:p>
    <w:p>
      <w:pPr>
        <w:ind w:firstLine="480"/>
        <w:rPr>
          <w:rFonts w:ascii="宋体" w:hAnsi="宋体"/>
          <w:color w:val="000000"/>
          <w:sz w:val="24"/>
          <w:highlight w:val="none"/>
        </w:rPr>
      </w:pPr>
    </w:p>
    <w:p>
      <w:pPr>
        <w:rPr>
          <w:rFonts w:ascii="宋体" w:hAnsi="宋体"/>
          <w:b/>
          <w:bCs/>
          <w:color w:val="000000"/>
          <w:sz w:val="28"/>
          <w:szCs w:val="28"/>
          <w:highlight w:val="none"/>
        </w:rPr>
        <w:sectPr>
          <w:pgSz w:w="11906" w:h="16838"/>
          <w:pgMar w:top="1417" w:right="1417" w:bottom="1417" w:left="1417" w:header="850" w:footer="992" w:gutter="0"/>
          <w:pgNumType w:fmt="numberInDash"/>
          <w:cols w:space="0" w:num="1"/>
          <w:rtlGutter w:val="0"/>
          <w:docGrid w:linePitch="312" w:charSpace="0"/>
        </w:sect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七</w:t>
      </w:r>
      <w:r>
        <w:rPr>
          <w:rFonts w:hint="eastAsia" w:ascii="宋体" w:hAnsi="宋体" w:cs="Arial"/>
          <w:b/>
          <w:bCs/>
          <w:color w:val="000000"/>
          <w:sz w:val="32"/>
          <w:szCs w:val="32"/>
          <w:highlight w:val="none"/>
        </w:rPr>
        <w:t>、技术、服务要求应答表</w:t>
      </w:r>
    </w:p>
    <w:p>
      <w:pPr>
        <w:rPr>
          <w:rFonts w:ascii="宋体" w:hAnsi="宋体"/>
          <w:color w:val="000000"/>
          <w:sz w:val="24"/>
          <w:highlight w:val="none"/>
        </w:rPr>
      </w:pPr>
    </w:p>
    <w:p>
      <w:pPr>
        <w:pStyle w:val="8"/>
        <w:rPr>
          <w:highlight w:val="none"/>
        </w:rPr>
      </w:pPr>
    </w:p>
    <w:tbl>
      <w:tblPr>
        <w:tblStyle w:val="27"/>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26"/>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vAlign w:val="center"/>
          </w:tcPr>
          <w:p>
            <w:pPr>
              <w:jc w:val="center"/>
              <w:rPr>
                <w:rFonts w:ascii="宋体" w:hAnsi="宋体"/>
                <w:color w:val="000000"/>
                <w:sz w:val="24"/>
                <w:highlight w:val="none"/>
              </w:rPr>
            </w:pPr>
            <w:r>
              <w:rPr>
                <w:rFonts w:hint="eastAsia" w:ascii="宋体" w:hAnsi="宋体"/>
                <w:color w:val="000000"/>
                <w:sz w:val="24"/>
                <w:highlight w:val="none"/>
              </w:rPr>
              <w:t>序号</w:t>
            </w:r>
          </w:p>
        </w:tc>
        <w:tc>
          <w:tcPr>
            <w:tcW w:w="3526" w:type="dxa"/>
            <w:vAlign w:val="center"/>
          </w:tcPr>
          <w:p>
            <w:pPr>
              <w:jc w:val="center"/>
              <w:rPr>
                <w:rFonts w:ascii="宋体" w:hAnsi="宋体"/>
                <w:color w:val="000000"/>
                <w:sz w:val="24"/>
                <w:highlight w:val="none"/>
              </w:rPr>
            </w:pPr>
            <w:r>
              <w:rPr>
                <w:rFonts w:hint="eastAsia" w:ascii="宋体" w:hAnsi="宋体"/>
                <w:color w:val="000000"/>
                <w:sz w:val="24"/>
                <w:highlight w:val="none"/>
              </w:rPr>
              <w:t>采购文件要求</w:t>
            </w:r>
          </w:p>
        </w:tc>
        <w:tc>
          <w:tcPr>
            <w:tcW w:w="3526" w:type="dxa"/>
            <w:vAlign w:val="center"/>
          </w:tcPr>
          <w:p>
            <w:pPr>
              <w:jc w:val="center"/>
              <w:rPr>
                <w:rFonts w:ascii="宋体" w:hAnsi="宋体"/>
                <w:color w:val="000000"/>
                <w:sz w:val="24"/>
                <w:highlight w:val="none"/>
              </w:rPr>
            </w:pPr>
            <w:r>
              <w:rPr>
                <w:rFonts w:hint="eastAsia" w:ascii="宋体" w:hAnsi="宋体"/>
                <w:color w:val="000000"/>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0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0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0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0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c>
          <w:tcPr>
            <w:tcW w:w="3526" w:type="dxa"/>
          </w:tcPr>
          <w:p>
            <w:pPr>
              <w:jc w:val="center"/>
              <w:rPr>
                <w:rFonts w:ascii="宋体" w:hAnsi="宋体"/>
                <w:color w:val="000000"/>
                <w:sz w:val="24"/>
                <w:highlight w:val="none"/>
              </w:rPr>
            </w:pPr>
          </w:p>
        </w:tc>
      </w:tr>
    </w:tbl>
    <w:p>
      <w:pPr>
        <w:ind w:firstLine="482" w:firstLineChars="200"/>
        <w:rPr>
          <w:rFonts w:ascii="宋体" w:hAnsi="宋体"/>
          <w:b/>
          <w:color w:val="000000"/>
          <w:sz w:val="24"/>
          <w:highlight w:val="none"/>
        </w:rPr>
      </w:pPr>
    </w:p>
    <w:p>
      <w:pPr>
        <w:ind w:firstLine="480" w:firstLineChars="200"/>
        <w:rPr>
          <w:rFonts w:ascii="宋体" w:hAnsi="宋体"/>
          <w:b/>
          <w:color w:val="000000"/>
          <w:sz w:val="24"/>
          <w:highlight w:val="none"/>
        </w:rPr>
      </w:pPr>
      <w:r>
        <w:rPr>
          <w:rFonts w:hint="eastAsia" w:ascii="宋体" w:hAnsi="宋体"/>
          <w:color w:val="000000"/>
          <w:sz w:val="24"/>
          <w:highlight w:val="none"/>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eastAsia="宋体"/>
          <w:color w:val="000000"/>
          <w:sz w:val="24"/>
          <w:highlight w:val="none"/>
          <w:lang w:eastAsia="zh-CN"/>
        </w:rPr>
      </w:pPr>
      <w:r>
        <w:rPr>
          <w:rFonts w:hint="eastAsia" w:ascii="宋体" w:hAnsi="宋体" w:eastAsia="宋体" w:cs="宋体"/>
          <w:color w:val="000000" w:themeColor="text1"/>
          <w:sz w:val="24"/>
          <w:highlight w:val="none"/>
          <w14:textFill>
            <w14:solidFill>
              <w14:schemeClr w14:val="tx1"/>
            </w14:solidFill>
          </w14:textFill>
        </w:rPr>
        <w:t>若无偏离可不填此表，视为完全响应磋商文件要求</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4"/>
        <w:rPr>
          <w:highlight w:val="none"/>
        </w:rPr>
      </w:pPr>
    </w:p>
    <w:p>
      <w:pPr>
        <w:adjustRightInd w:val="0"/>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供应商名称：XXX（盖单位公章）</w:t>
      </w:r>
    </w:p>
    <w:p>
      <w:pPr>
        <w:adjustRightInd w:val="0"/>
        <w:spacing w:line="400" w:lineRule="exact"/>
        <w:ind w:firstLine="480" w:firstLineChars="200"/>
        <w:jc w:val="left"/>
        <w:rPr>
          <w:bCs/>
          <w:color w:val="000000"/>
          <w:sz w:val="24"/>
          <w:highlight w:val="none"/>
        </w:rPr>
      </w:pPr>
      <w:r>
        <w:rPr>
          <w:rFonts w:hint="eastAsia"/>
          <w:bCs/>
          <w:color w:val="000000"/>
          <w:sz w:val="24"/>
          <w:highlight w:val="none"/>
        </w:rPr>
        <w:t>法定代表人或授权代表（签字或盖章）：XXX</w:t>
      </w:r>
    </w:p>
    <w:p>
      <w:pPr>
        <w:adjustRightInd w:val="0"/>
        <w:spacing w:line="400" w:lineRule="exact"/>
        <w:ind w:firstLine="540" w:firstLineChars="225"/>
        <w:jc w:val="left"/>
        <w:rPr>
          <w:bCs/>
          <w:color w:val="000000"/>
          <w:sz w:val="24"/>
          <w:highlight w:val="none"/>
        </w:rPr>
      </w:pPr>
      <w:r>
        <w:rPr>
          <w:rFonts w:hint="eastAsia"/>
          <w:bCs/>
          <w:color w:val="000000"/>
          <w:sz w:val="24"/>
          <w:highlight w:val="none"/>
        </w:rPr>
        <w:t>日  期</w:t>
      </w:r>
      <w:r>
        <w:rPr>
          <w:rFonts w:hint="eastAsia" w:ascii="宋体" w:hAnsi="宋体"/>
          <w:color w:val="000000"/>
          <w:sz w:val="24"/>
          <w:highlight w:val="none"/>
        </w:rPr>
        <w:t>：</w:t>
      </w:r>
      <w:r>
        <w:rPr>
          <w:rFonts w:hint="eastAsia"/>
          <w:bCs/>
          <w:color w:val="000000"/>
          <w:sz w:val="24"/>
          <w:highlight w:val="none"/>
        </w:rPr>
        <w:t>XXX年XXX月XXX日</w:t>
      </w:r>
    </w:p>
    <w:p>
      <w:pPr>
        <w:spacing w:line="400" w:lineRule="exact"/>
        <w:rPr>
          <w:rFonts w:ascii="宋体" w:hAnsi="宋体"/>
          <w:color w:val="000000"/>
          <w:highlight w:val="none"/>
        </w:rPr>
      </w:pPr>
    </w:p>
    <w:p>
      <w:pPr>
        <w:spacing w:line="400" w:lineRule="exact"/>
        <w:rPr>
          <w:rFonts w:ascii="宋体" w:hAnsi="宋体"/>
          <w:color w:val="000000"/>
          <w:highlight w:val="none"/>
        </w:rPr>
      </w:pPr>
    </w:p>
    <w:p>
      <w:pPr>
        <w:spacing w:line="400" w:lineRule="exact"/>
        <w:rPr>
          <w:rFonts w:ascii="宋体" w:hAnsi="宋体"/>
          <w:color w:val="000000"/>
          <w:highlight w:val="none"/>
        </w:rPr>
      </w:pPr>
    </w:p>
    <w:p>
      <w:pPr>
        <w:pStyle w:val="9"/>
        <w:tabs>
          <w:tab w:val="left" w:pos="0"/>
        </w:tabs>
        <w:spacing w:line="400" w:lineRule="exact"/>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Style w:val="9"/>
        <w:tabs>
          <w:tab w:val="left" w:pos="0"/>
        </w:tabs>
        <w:rPr>
          <w:color w:val="000000"/>
          <w:highlight w:val="none"/>
        </w:r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八</w:t>
      </w:r>
      <w:r>
        <w:rPr>
          <w:rFonts w:hint="eastAsia" w:ascii="宋体" w:hAnsi="宋体" w:cs="Arial"/>
          <w:b/>
          <w:bCs/>
          <w:color w:val="000000"/>
          <w:sz w:val="32"/>
          <w:szCs w:val="32"/>
          <w:highlight w:val="none"/>
        </w:rPr>
        <w:t>、商务应答表</w:t>
      </w:r>
    </w:p>
    <w:p>
      <w:pPr>
        <w:pStyle w:val="9"/>
        <w:tabs>
          <w:tab w:val="left" w:pos="0"/>
        </w:tabs>
        <w:ind w:firstLine="0"/>
        <w:rPr>
          <w:b/>
          <w:color w:val="000000"/>
          <w:szCs w:val="32"/>
          <w:highlight w:val="none"/>
        </w:rPr>
      </w:pPr>
    </w:p>
    <w:tbl>
      <w:tblPr>
        <w:tblStyle w:val="27"/>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509"/>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00" w:type="dxa"/>
            <w:vAlign w:val="center"/>
          </w:tcPr>
          <w:p>
            <w:pPr>
              <w:jc w:val="center"/>
              <w:rPr>
                <w:rFonts w:ascii="宋体" w:hAnsi="宋体"/>
                <w:color w:val="000000"/>
                <w:sz w:val="24"/>
                <w:highlight w:val="none"/>
              </w:rPr>
            </w:pPr>
            <w:r>
              <w:rPr>
                <w:rFonts w:hint="eastAsia" w:ascii="宋体" w:hAnsi="宋体"/>
                <w:color w:val="000000"/>
                <w:sz w:val="24"/>
                <w:highlight w:val="none"/>
              </w:rPr>
              <w:t>序号</w:t>
            </w:r>
          </w:p>
        </w:tc>
        <w:tc>
          <w:tcPr>
            <w:tcW w:w="3509" w:type="dxa"/>
            <w:vAlign w:val="center"/>
          </w:tcPr>
          <w:p>
            <w:pPr>
              <w:jc w:val="center"/>
              <w:rPr>
                <w:rFonts w:ascii="宋体" w:hAnsi="宋体"/>
                <w:color w:val="000000"/>
                <w:sz w:val="24"/>
                <w:highlight w:val="none"/>
              </w:rPr>
            </w:pPr>
            <w:r>
              <w:rPr>
                <w:rFonts w:hint="eastAsia" w:ascii="宋体" w:hAnsi="宋体"/>
                <w:color w:val="000000"/>
                <w:sz w:val="24"/>
                <w:highlight w:val="none"/>
              </w:rPr>
              <w:t>采购文件要求</w:t>
            </w:r>
          </w:p>
        </w:tc>
        <w:tc>
          <w:tcPr>
            <w:tcW w:w="3509" w:type="dxa"/>
            <w:vAlign w:val="center"/>
          </w:tcPr>
          <w:p>
            <w:pPr>
              <w:jc w:val="center"/>
              <w:rPr>
                <w:rFonts w:ascii="宋体" w:hAnsi="宋体"/>
                <w:color w:val="000000"/>
                <w:sz w:val="24"/>
                <w:highlight w:val="none"/>
              </w:rPr>
            </w:pPr>
            <w:r>
              <w:rPr>
                <w:rFonts w:hint="eastAsia" w:ascii="宋体" w:hAnsi="宋体"/>
                <w:color w:val="000000"/>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00"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00"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00"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00"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c>
          <w:tcPr>
            <w:tcW w:w="3509" w:type="dxa"/>
          </w:tcPr>
          <w:p>
            <w:pPr>
              <w:jc w:val="center"/>
              <w:rPr>
                <w:rFonts w:ascii="宋体" w:hAnsi="宋体"/>
                <w:color w:val="000000"/>
                <w:sz w:val="24"/>
                <w:highlight w:val="none"/>
              </w:rPr>
            </w:pPr>
          </w:p>
        </w:tc>
      </w:tr>
    </w:tbl>
    <w:p>
      <w:pPr>
        <w:ind w:firstLine="482" w:firstLineChars="200"/>
        <w:rPr>
          <w:rFonts w:ascii="宋体" w:hAnsi="宋体"/>
          <w:b/>
          <w:color w:val="000000"/>
          <w:sz w:val="24"/>
          <w:highlight w:val="none"/>
        </w:rPr>
      </w:pPr>
    </w:p>
    <w:p>
      <w:pPr>
        <w:ind w:firstLine="480" w:firstLineChars="200"/>
        <w:rPr>
          <w:rFonts w:ascii="宋体" w:hAnsi="宋体"/>
          <w:b/>
          <w:color w:val="000000"/>
          <w:sz w:val="24"/>
          <w:highlight w:val="none"/>
        </w:rPr>
      </w:pPr>
      <w:r>
        <w:rPr>
          <w:rFonts w:hint="eastAsia" w:ascii="宋体" w:hAnsi="宋体"/>
          <w:color w:val="000000"/>
          <w:sz w:val="24"/>
          <w:highlight w:val="none"/>
        </w:rPr>
        <w:t>注意：供应商必须据实填写，不得虚假响应，虚假响应的，其响应文件无效并按规定追究其相关责任。</w:t>
      </w:r>
    </w:p>
    <w:p>
      <w:pPr>
        <w:adjustRightInd w:val="0"/>
        <w:spacing w:line="400" w:lineRule="exact"/>
        <w:ind w:firstLine="480" w:firstLineChars="200"/>
        <w:jc w:val="left"/>
        <w:rPr>
          <w:rFonts w:ascii="宋体" w:hAnsi="宋体"/>
          <w:color w:val="000000"/>
          <w:sz w:val="24"/>
          <w:highlight w:val="none"/>
        </w:rPr>
      </w:pPr>
      <w:r>
        <w:rPr>
          <w:rFonts w:hint="eastAsia" w:ascii="宋体" w:hAnsi="宋体" w:eastAsia="宋体" w:cs="宋体"/>
          <w:color w:val="000000" w:themeColor="text1"/>
          <w:sz w:val="24"/>
          <w:highlight w:val="none"/>
          <w14:textFill>
            <w14:solidFill>
              <w14:schemeClr w14:val="tx1"/>
            </w14:solidFill>
          </w14:textFill>
        </w:rPr>
        <w:t>若无偏离可不填此表，视为完全响应磋商文件要求</w:t>
      </w:r>
      <w:r>
        <w:rPr>
          <w:rFonts w:hint="eastAsia" w:ascii="宋体" w:hAnsi="宋体" w:eastAsia="宋体" w:cs="宋体"/>
          <w:color w:val="000000" w:themeColor="text1"/>
          <w:sz w:val="24"/>
          <w:highlight w:val="none"/>
          <w:lang w:eastAsia="zh-CN"/>
          <w14:textFill>
            <w14:solidFill>
              <w14:schemeClr w14:val="tx1"/>
            </w14:solidFill>
          </w14:textFill>
        </w:rPr>
        <w:t>。</w:t>
      </w:r>
    </w:p>
    <w:p>
      <w:pPr>
        <w:adjustRightInd w:val="0"/>
        <w:spacing w:line="400" w:lineRule="exact"/>
        <w:ind w:firstLine="480" w:firstLineChars="200"/>
        <w:jc w:val="left"/>
        <w:rPr>
          <w:rFonts w:hint="eastAsia" w:ascii="宋体" w:hAnsi="宋体"/>
          <w:color w:val="000000"/>
          <w:sz w:val="24"/>
          <w:highlight w:val="none"/>
        </w:rPr>
      </w:pPr>
    </w:p>
    <w:p>
      <w:pPr>
        <w:adjustRightInd w:val="0"/>
        <w:spacing w:line="400" w:lineRule="exact"/>
        <w:ind w:firstLine="480" w:firstLineChars="200"/>
        <w:jc w:val="left"/>
        <w:rPr>
          <w:rFonts w:hint="eastAsia" w:ascii="宋体" w:hAnsi="宋体"/>
          <w:color w:val="000000"/>
          <w:sz w:val="24"/>
          <w:highlight w:val="none"/>
        </w:rPr>
      </w:pPr>
    </w:p>
    <w:p>
      <w:pPr>
        <w:adjustRightInd w:val="0"/>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供应商人名称：XXX（盖单位公章）</w:t>
      </w:r>
    </w:p>
    <w:p>
      <w:pPr>
        <w:adjustRightInd w:val="0"/>
        <w:spacing w:line="400" w:lineRule="exact"/>
        <w:ind w:firstLine="540" w:firstLineChars="225"/>
        <w:jc w:val="left"/>
        <w:rPr>
          <w:bCs/>
          <w:color w:val="000000"/>
          <w:sz w:val="24"/>
          <w:highlight w:val="none"/>
        </w:rPr>
      </w:pPr>
      <w:r>
        <w:rPr>
          <w:rFonts w:hint="eastAsia"/>
          <w:bCs/>
          <w:color w:val="000000"/>
          <w:sz w:val="24"/>
          <w:highlight w:val="none"/>
        </w:rPr>
        <w:t>法定代表人或授权代表（签字或盖章）：XXX</w:t>
      </w:r>
    </w:p>
    <w:p>
      <w:pPr>
        <w:adjustRightInd w:val="0"/>
        <w:spacing w:line="400" w:lineRule="exact"/>
        <w:ind w:firstLine="540" w:firstLineChars="225"/>
        <w:jc w:val="left"/>
        <w:rPr>
          <w:bCs/>
          <w:color w:val="000000"/>
          <w:sz w:val="24"/>
          <w:highlight w:val="none"/>
        </w:rPr>
      </w:pPr>
      <w:r>
        <w:rPr>
          <w:rFonts w:hint="eastAsia"/>
          <w:bCs/>
          <w:color w:val="000000"/>
          <w:sz w:val="24"/>
          <w:highlight w:val="none"/>
        </w:rPr>
        <w:t>日  期：XXX年XXX月XXX日</w:t>
      </w:r>
    </w:p>
    <w:p>
      <w:pPr>
        <w:pStyle w:val="9"/>
        <w:tabs>
          <w:tab w:val="left" w:pos="0"/>
        </w:tabs>
        <w:jc w:val="center"/>
        <w:rPr>
          <w:color w:val="000000"/>
          <w:highlight w:val="none"/>
        </w:rPr>
      </w:pPr>
    </w:p>
    <w:p>
      <w:pPr>
        <w:pStyle w:val="9"/>
        <w:tabs>
          <w:tab w:val="left" w:pos="0"/>
        </w:tabs>
        <w:jc w:val="center"/>
        <w:rPr>
          <w:color w:val="000000"/>
          <w:highlight w:val="none"/>
        </w:rPr>
      </w:pPr>
    </w:p>
    <w:p>
      <w:pPr>
        <w:pStyle w:val="9"/>
        <w:tabs>
          <w:tab w:val="left" w:pos="0"/>
        </w:tabs>
        <w:jc w:val="center"/>
        <w:rPr>
          <w:color w:val="000000"/>
          <w:highlight w:val="none"/>
        </w:rPr>
      </w:pPr>
    </w:p>
    <w:p>
      <w:pPr>
        <w:adjustRightInd w:val="0"/>
        <w:spacing w:line="400" w:lineRule="exact"/>
        <w:jc w:val="left"/>
        <w:rPr>
          <w:rFonts w:ascii="宋体" w:hAnsi="宋体"/>
          <w:color w:val="000000"/>
          <w:sz w:val="28"/>
          <w:highlight w:val="none"/>
        </w:rPr>
        <w:sectPr>
          <w:pgSz w:w="11906" w:h="16838"/>
          <w:pgMar w:top="1417" w:right="1417" w:bottom="1417" w:left="1417" w:header="850" w:footer="992" w:gutter="0"/>
          <w:pgNumType w:fmt="numberInDash"/>
          <w:cols w:space="0" w:num="1"/>
          <w:rtlGutter w:val="0"/>
          <w:docGrid w:linePitch="312" w:charSpace="0"/>
        </w:sect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九</w:t>
      </w:r>
      <w:r>
        <w:rPr>
          <w:rFonts w:hint="eastAsia" w:ascii="宋体" w:hAnsi="宋体" w:cs="Arial"/>
          <w:b/>
          <w:bCs/>
          <w:color w:val="000000"/>
          <w:sz w:val="32"/>
          <w:szCs w:val="32"/>
          <w:highlight w:val="none"/>
        </w:rPr>
        <w:t>、供应商类似项目业绩一览表</w:t>
      </w:r>
    </w:p>
    <w:p>
      <w:pPr>
        <w:pStyle w:val="8"/>
        <w:rPr>
          <w:highlight w:val="none"/>
        </w:rPr>
      </w:pPr>
    </w:p>
    <w:tbl>
      <w:tblPr>
        <w:tblStyle w:val="2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Arial"/>
                <w:b/>
                <w:color w:val="000000"/>
                <w:highlight w:val="none"/>
              </w:rPr>
            </w:pPr>
            <w:r>
              <w:rPr>
                <w:rFonts w:hint="eastAsia" w:ascii="宋体" w:hAnsi="宋体" w:cs="Arial"/>
                <w:b/>
                <w:color w:val="000000"/>
                <w:highlight w:val="none"/>
              </w:rPr>
              <w:t>年份</w:t>
            </w:r>
          </w:p>
        </w:tc>
        <w:tc>
          <w:tcPr>
            <w:tcW w:w="1439" w:type="dxa"/>
            <w:vAlign w:val="center"/>
          </w:tcPr>
          <w:p>
            <w:pPr>
              <w:spacing w:line="400" w:lineRule="exact"/>
              <w:jc w:val="center"/>
              <w:rPr>
                <w:rFonts w:ascii="宋体" w:hAnsi="宋体" w:cs="Arial"/>
                <w:b/>
                <w:color w:val="000000"/>
                <w:highlight w:val="none"/>
              </w:rPr>
            </w:pPr>
            <w:r>
              <w:rPr>
                <w:rFonts w:hint="eastAsia" w:ascii="宋体" w:hAnsi="宋体" w:cs="Arial"/>
                <w:b/>
                <w:color w:val="000000"/>
                <w:highlight w:val="none"/>
              </w:rPr>
              <w:t>用户名称</w:t>
            </w:r>
          </w:p>
        </w:tc>
        <w:tc>
          <w:tcPr>
            <w:tcW w:w="1319" w:type="dxa"/>
            <w:vAlign w:val="center"/>
          </w:tcPr>
          <w:p>
            <w:pPr>
              <w:spacing w:line="400" w:lineRule="exact"/>
              <w:jc w:val="center"/>
              <w:rPr>
                <w:rFonts w:ascii="宋体" w:hAnsi="宋体" w:cs="Arial"/>
                <w:b/>
                <w:color w:val="000000"/>
                <w:highlight w:val="none"/>
              </w:rPr>
            </w:pPr>
            <w:r>
              <w:rPr>
                <w:rFonts w:ascii="宋体" w:hAnsi="宋体" w:cs="Arial"/>
                <w:b/>
                <w:color w:val="000000"/>
                <w:highlight w:val="none"/>
              </w:rPr>
              <w:t>项目名称</w:t>
            </w:r>
          </w:p>
        </w:tc>
        <w:tc>
          <w:tcPr>
            <w:tcW w:w="1160" w:type="dxa"/>
            <w:vAlign w:val="center"/>
          </w:tcPr>
          <w:p>
            <w:pPr>
              <w:spacing w:line="400" w:lineRule="exact"/>
              <w:jc w:val="center"/>
              <w:rPr>
                <w:rFonts w:ascii="宋体" w:hAnsi="宋体" w:cs="Arial"/>
                <w:b/>
                <w:color w:val="000000"/>
                <w:highlight w:val="none"/>
              </w:rPr>
            </w:pPr>
            <w:r>
              <w:rPr>
                <w:rFonts w:ascii="宋体" w:hAnsi="宋体" w:cs="Arial"/>
                <w:b/>
                <w:color w:val="000000"/>
                <w:highlight w:val="none"/>
              </w:rPr>
              <w:t>完成时间</w:t>
            </w:r>
          </w:p>
        </w:tc>
        <w:tc>
          <w:tcPr>
            <w:tcW w:w="1421" w:type="dxa"/>
            <w:gridSpan w:val="2"/>
            <w:vAlign w:val="center"/>
          </w:tcPr>
          <w:p>
            <w:pPr>
              <w:spacing w:line="400" w:lineRule="exact"/>
              <w:ind w:firstLine="105" w:firstLineChars="50"/>
              <w:jc w:val="center"/>
              <w:rPr>
                <w:rFonts w:ascii="宋体" w:hAnsi="宋体" w:cs="Arial"/>
                <w:b/>
                <w:color w:val="000000"/>
                <w:highlight w:val="none"/>
              </w:rPr>
            </w:pPr>
            <w:r>
              <w:rPr>
                <w:rFonts w:ascii="宋体" w:hAnsi="宋体" w:cs="Arial"/>
                <w:b/>
                <w:color w:val="000000"/>
                <w:highlight w:val="none"/>
              </w:rPr>
              <w:t>合同金额</w:t>
            </w:r>
          </w:p>
        </w:tc>
        <w:tc>
          <w:tcPr>
            <w:tcW w:w="1614" w:type="dxa"/>
            <w:gridSpan w:val="2"/>
            <w:tcBorders>
              <w:right w:val="single" w:color="auto" w:sz="4" w:space="0"/>
            </w:tcBorders>
            <w:vAlign w:val="center"/>
          </w:tcPr>
          <w:p>
            <w:pPr>
              <w:spacing w:line="400" w:lineRule="exact"/>
              <w:jc w:val="center"/>
              <w:rPr>
                <w:rFonts w:ascii="宋体" w:hAnsi="宋体" w:cs="Arial"/>
                <w:b/>
                <w:color w:val="000000"/>
                <w:highlight w:val="none"/>
              </w:rPr>
            </w:pPr>
            <w:r>
              <w:rPr>
                <w:rFonts w:hint="eastAsia" w:ascii="宋体" w:hAnsi="宋体" w:cs="Arial"/>
                <w:b/>
                <w:color w:val="000000"/>
                <w:highlight w:val="none"/>
              </w:rPr>
              <w:t>是否通过验收</w:t>
            </w:r>
          </w:p>
        </w:tc>
        <w:tc>
          <w:tcPr>
            <w:tcW w:w="1387" w:type="dxa"/>
            <w:gridSpan w:val="2"/>
            <w:tcBorders>
              <w:left w:val="single" w:color="auto" w:sz="4" w:space="0"/>
            </w:tcBorders>
            <w:vAlign w:val="center"/>
          </w:tcPr>
          <w:p>
            <w:pPr>
              <w:spacing w:line="400" w:lineRule="exact"/>
              <w:jc w:val="center"/>
              <w:rPr>
                <w:rFonts w:ascii="宋体" w:hAnsi="宋体" w:cs="Arial"/>
                <w:b/>
                <w:color w:val="000000"/>
                <w:highlight w:val="none"/>
              </w:rPr>
            </w:pPr>
            <w:r>
              <w:rPr>
                <w:rFonts w:hint="eastAsia" w:ascii="宋体" w:hAnsi="宋体" w:cs="Arial"/>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vAlign w:val="center"/>
          </w:tcPr>
          <w:p>
            <w:pPr>
              <w:spacing w:line="400" w:lineRule="exact"/>
              <w:jc w:val="center"/>
              <w:rPr>
                <w:rFonts w:ascii="宋体" w:hAnsi="宋体" w:cs="Arial"/>
                <w:color w:val="000000"/>
                <w:highlight w:val="none"/>
              </w:rPr>
            </w:pPr>
          </w:p>
        </w:tc>
        <w:tc>
          <w:tcPr>
            <w:tcW w:w="1319" w:type="dxa"/>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vAlign w:val="center"/>
          </w:tcPr>
          <w:p>
            <w:pPr>
              <w:spacing w:line="400" w:lineRule="exact"/>
              <w:jc w:val="center"/>
              <w:rPr>
                <w:rFonts w:ascii="宋体" w:hAnsi="宋体" w:cs="Arial"/>
                <w:color w:val="000000"/>
                <w:highlight w:val="none"/>
              </w:rPr>
            </w:pPr>
          </w:p>
        </w:tc>
        <w:tc>
          <w:tcPr>
            <w:tcW w:w="1614"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vAlign w:val="center"/>
          </w:tcPr>
          <w:p>
            <w:pPr>
              <w:spacing w:line="400" w:lineRule="exact"/>
              <w:jc w:val="center"/>
              <w:rPr>
                <w:rFonts w:ascii="宋体" w:hAnsi="宋体" w:cs="Arial"/>
                <w:color w:val="000000"/>
                <w:highlight w:val="none"/>
              </w:rPr>
            </w:pPr>
          </w:p>
        </w:tc>
        <w:tc>
          <w:tcPr>
            <w:tcW w:w="1319" w:type="dxa"/>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vAlign w:val="center"/>
          </w:tcPr>
          <w:p>
            <w:pPr>
              <w:spacing w:line="400" w:lineRule="exact"/>
              <w:jc w:val="center"/>
              <w:rPr>
                <w:rFonts w:ascii="宋体" w:hAnsi="宋体" w:cs="Arial"/>
                <w:color w:val="000000"/>
                <w:highlight w:val="none"/>
              </w:rPr>
            </w:pPr>
          </w:p>
        </w:tc>
        <w:tc>
          <w:tcPr>
            <w:tcW w:w="1614"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vAlign w:val="center"/>
          </w:tcPr>
          <w:p>
            <w:pPr>
              <w:spacing w:line="400" w:lineRule="exact"/>
              <w:jc w:val="center"/>
              <w:rPr>
                <w:rFonts w:ascii="宋体" w:hAnsi="宋体" w:cs="Arial"/>
                <w:color w:val="000000"/>
                <w:highlight w:val="none"/>
              </w:rPr>
            </w:pPr>
          </w:p>
        </w:tc>
        <w:tc>
          <w:tcPr>
            <w:tcW w:w="1319" w:type="dxa"/>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vAlign w:val="center"/>
          </w:tcPr>
          <w:p>
            <w:pPr>
              <w:spacing w:line="400" w:lineRule="exact"/>
              <w:jc w:val="center"/>
              <w:rPr>
                <w:rFonts w:ascii="宋体" w:hAnsi="宋体" w:cs="Arial"/>
                <w:color w:val="000000"/>
                <w:highlight w:val="none"/>
              </w:rPr>
            </w:pPr>
          </w:p>
        </w:tc>
        <w:tc>
          <w:tcPr>
            <w:tcW w:w="1614"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tcBorders>
              <w:right w:val="single" w:color="auto" w:sz="4" w:space="0"/>
            </w:tcBorders>
            <w:vAlign w:val="center"/>
          </w:tcPr>
          <w:p>
            <w:pPr>
              <w:spacing w:line="400" w:lineRule="exact"/>
              <w:jc w:val="center"/>
              <w:rPr>
                <w:rFonts w:ascii="宋体" w:hAnsi="宋体" w:cs="Arial"/>
                <w:color w:val="000000"/>
                <w:highlight w:val="none"/>
              </w:rPr>
            </w:pPr>
          </w:p>
        </w:tc>
        <w:tc>
          <w:tcPr>
            <w:tcW w:w="1319" w:type="dxa"/>
            <w:tcBorders>
              <w:left w:val="single" w:color="auto" w:sz="4" w:space="0"/>
            </w:tcBorders>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vAlign w:val="center"/>
          </w:tcPr>
          <w:p>
            <w:pPr>
              <w:spacing w:line="400" w:lineRule="exact"/>
              <w:jc w:val="center"/>
              <w:rPr>
                <w:rFonts w:ascii="宋体" w:hAnsi="宋体" w:cs="Arial"/>
                <w:color w:val="000000"/>
                <w:highlight w:val="none"/>
              </w:rPr>
            </w:pPr>
          </w:p>
        </w:tc>
        <w:tc>
          <w:tcPr>
            <w:tcW w:w="1614"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Arial"/>
                <w:color w:val="000000"/>
                <w:highlight w:val="none"/>
              </w:rPr>
            </w:pPr>
          </w:p>
        </w:tc>
        <w:tc>
          <w:tcPr>
            <w:tcW w:w="1439" w:type="dxa"/>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319" w:type="dxa"/>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160" w:type="dxa"/>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415" w:type="dxa"/>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605" w:type="dxa"/>
            <w:gridSpan w:val="2"/>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392" w:type="dxa"/>
            <w:gridSpan w:val="2"/>
            <w:tcBorders>
              <w:left w:val="single" w:color="auto" w:sz="4" w:space="0"/>
            </w:tcBorders>
            <w:vAlign w:val="center"/>
          </w:tcPr>
          <w:p>
            <w:pPr>
              <w:spacing w:line="400" w:lineRule="exact"/>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Arial"/>
                <w:color w:val="000000"/>
                <w:highlight w:val="none"/>
              </w:rPr>
            </w:pPr>
          </w:p>
        </w:tc>
        <w:tc>
          <w:tcPr>
            <w:tcW w:w="1439" w:type="dxa"/>
            <w:vAlign w:val="center"/>
          </w:tcPr>
          <w:p>
            <w:pPr>
              <w:spacing w:line="400" w:lineRule="exact"/>
              <w:rPr>
                <w:rFonts w:ascii="宋体" w:hAnsi="宋体" w:cs="Arial"/>
                <w:color w:val="000000"/>
                <w:highlight w:val="none"/>
              </w:rPr>
            </w:pPr>
          </w:p>
        </w:tc>
        <w:tc>
          <w:tcPr>
            <w:tcW w:w="1319" w:type="dxa"/>
            <w:vAlign w:val="center"/>
          </w:tcPr>
          <w:p>
            <w:pPr>
              <w:spacing w:line="400" w:lineRule="exact"/>
              <w:rPr>
                <w:rFonts w:ascii="宋体" w:hAnsi="宋体" w:cs="Arial"/>
                <w:color w:val="000000"/>
                <w:highlight w:val="none"/>
              </w:rPr>
            </w:pPr>
          </w:p>
        </w:tc>
        <w:tc>
          <w:tcPr>
            <w:tcW w:w="1160" w:type="dxa"/>
            <w:vAlign w:val="center"/>
          </w:tcPr>
          <w:p>
            <w:pPr>
              <w:spacing w:line="400" w:lineRule="exact"/>
              <w:rPr>
                <w:rFonts w:ascii="宋体" w:hAnsi="宋体" w:cs="Arial"/>
                <w:color w:val="000000"/>
                <w:highlight w:val="none"/>
              </w:rPr>
            </w:pPr>
          </w:p>
        </w:tc>
        <w:tc>
          <w:tcPr>
            <w:tcW w:w="1421" w:type="dxa"/>
            <w:gridSpan w:val="2"/>
            <w:tcBorders>
              <w:right w:val="single" w:color="auto" w:sz="4" w:space="0"/>
            </w:tcBorders>
            <w:vAlign w:val="center"/>
          </w:tcPr>
          <w:p>
            <w:pPr>
              <w:spacing w:line="400" w:lineRule="exact"/>
              <w:rPr>
                <w:rFonts w:ascii="宋体" w:hAnsi="宋体" w:cs="Arial"/>
                <w:color w:val="000000"/>
                <w:highlight w:val="none"/>
              </w:rPr>
            </w:pPr>
          </w:p>
        </w:tc>
        <w:tc>
          <w:tcPr>
            <w:tcW w:w="1614" w:type="dxa"/>
            <w:gridSpan w:val="2"/>
            <w:tcBorders>
              <w:left w:val="single" w:color="auto" w:sz="4" w:space="0"/>
              <w:right w:val="single" w:color="auto" w:sz="4" w:space="0"/>
            </w:tcBorders>
            <w:vAlign w:val="center"/>
          </w:tcPr>
          <w:p>
            <w:pPr>
              <w:spacing w:line="400" w:lineRule="exact"/>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vAlign w:val="center"/>
          </w:tcPr>
          <w:p>
            <w:pPr>
              <w:spacing w:line="400" w:lineRule="exact"/>
              <w:jc w:val="center"/>
              <w:rPr>
                <w:rFonts w:ascii="宋体" w:hAnsi="宋体" w:cs="Arial"/>
                <w:color w:val="000000"/>
                <w:highlight w:val="none"/>
              </w:rPr>
            </w:pPr>
          </w:p>
        </w:tc>
        <w:tc>
          <w:tcPr>
            <w:tcW w:w="1319" w:type="dxa"/>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color w:val="000000"/>
                <w:highlight w:val="none"/>
              </w:rPr>
            </w:pPr>
          </w:p>
        </w:tc>
        <w:tc>
          <w:tcPr>
            <w:tcW w:w="1439" w:type="dxa"/>
            <w:vAlign w:val="center"/>
          </w:tcPr>
          <w:p>
            <w:pPr>
              <w:spacing w:line="400" w:lineRule="exact"/>
              <w:jc w:val="center"/>
              <w:rPr>
                <w:rFonts w:ascii="宋体" w:hAnsi="宋体" w:cs="Arial"/>
                <w:color w:val="000000"/>
                <w:highlight w:val="none"/>
              </w:rPr>
            </w:pPr>
          </w:p>
        </w:tc>
        <w:tc>
          <w:tcPr>
            <w:tcW w:w="1319" w:type="dxa"/>
            <w:vAlign w:val="center"/>
          </w:tcPr>
          <w:p>
            <w:pPr>
              <w:spacing w:line="400" w:lineRule="exact"/>
              <w:jc w:val="center"/>
              <w:rPr>
                <w:rFonts w:ascii="宋体" w:hAnsi="宋体" w:cs="Arial"/>
                <w:color w:val="000000"/>
                <w:highlight w:val="none"/>
              </w:rPr>
            </w:pPr>
          </w:p>
        </w:tc>
        <w:tc>
          <w:tcPr>
            <w:tcW w:w="1160" w:type="dxa"/>
            <w:vAlign w:val="center"/>
          </w:tcPr>
          <w:p>
            <w:pPr>
              <w:spacing w:line="400" w:lineRule="exact"/>
              <w:jc w:val="center"/>
              <w:rPr>
                <w:rFonts w:ascii="宋体" w:hAnsi="宋体" w:cs="Arial"/>
                <w:color w:val="000000"/>
                <w:highlight w:val="none"/>
              </w:rPr>
            </w:pPr>
          </w:p>
        </w:tc>
        <w:tc>
          <w:tcPr>
            <w:tcW w:w="1421" w:type="dxa"/>
            <w:gridSpan w:val="2"/>
            <w:tcBorders>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Arial"/>
                <w:color w:val="000000"/>
                <w:highlight w:val="none"/>
              </w:rPr>
            </w:pPr>
          </w:p>
        </w:tc>
        <w:tc>
          <w:tcPr>
            <w:tcW w:w="1439" w:type="dxa"/>
            <w:tcBorders>
              <w:bottom w:val="single" w:color="auto" w:sz="4" w:space="0"/>
            </w:tcBorders>
            <w:vAlign w:val="center"/>
          </w:tcPr>
          <w:p>
            <w:pPr>
              <w:spacing w:line="400" w:lineRule="exact"/>
              <w:jc w:val="center"/>
              <w:rPr>
                <w:rFonts w:ascii="宋体" w:hAnsi="宋体" w:cs="Arial"/>
                <w:color w:val="000000"/>
                <w:highlight w:val="none"/>
              </w:rPr>
            </w:pPr>
          </w:p>
        </w:tc>
        <w:tc>
          <w:tcPr>
            <w:tcW w:w="1319" w:type="dxa"/>
            <w:tcBorders>
              <w:bottom w:val="single" w:color="auto" w:sz="4" w:space="0"/>
            </w:tcBorders>
            <w:vAlign w:val="center"/>
          </w:tcPr>
          <w:p>
            <w:pPr>
              <w:spacing w:line="400" w:lineRule="exact"/>
              <w:jc w:val="center"/>
              <w:rPr>
                <w:rFonts w:ascii="宋体" w:hAnsi="宋体" w:cs="Arial"/>
                <w:color w:val="000000"/>
                <w:highlight w:val="none"/>
              </w:rPr>
            </w:pPr>
          </w:p>
        </w:tc>
        <w:tc>
          <w:tcPr>
            <w:tcW w:w="1160" w:type="dxa"/>
            <w:tcBorders>
              <w:bottom w:val="single" w:color="auto" w:sz="4" w:space="0"/>
            </w:tcBorders>
            <w:vAlign w:val="center"/>
          </w:tcPr>
          <w:p>
            <w:pPr>
              <w:spacing w:line="400" w:lineRule="exact"/>
              <w:jc w:val="center"/>
              <w:rPr>
                <w:rFonts w:ascii="宋体" w:hAnsi="宋体" w:cs="Arial"/>
                <w:color w:val="000000"/>
                <w:highlight w:val="none"/>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color w:val="000000"/>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宋体" w:hAnsi="宋体" w:cs="Arial"/>
                <w:color w:val="000000"/>
                <w:highlight w:val="none"/>
              </w:rPr>
            </w:pPr>
          </w:p>
        </w:tc>
        <w:tc>
          <w:tcPr>
            <w:tcW w:w="1439" w:type="dxa"/>
            <w:tcBorders>
              <w:top w:val="single" w:color="auto" w:sz="4" w:space="0"/>
            </w:tcBorders>
            <w:vAlign w:val="center"/>
          </w:tcPr>
          <w:p>
            <w:pPr>
              <w:spacing w:line="400" w:lineRule="exact"/>
              <w:jc w:val="center"/>
              <w:rPr>
                <w:rFonts w:ascii="宋体" w:hAnsi="宋体" w:cs="Arial"/>
                <w:color w:val="000000"/>
                <w:highlight w:val="none"/>
              </w:rPr>
            </w:pPr>
          </w:p>
        </w:tc>
        <w:tc>
          <w:tcPr>
            <w:tcW w:w="1319" w:type="dxa"/>
            <w:tcBorders>
              <w:top w:val="single" w:color="auto" w:sz="4" w:space="0"/>
            </w:tcBorders>
            <w:vAlign w:val="center"/>
          </w:tcPr>
          <w:p>
            <w:pPr>
              <w:spacing w:line="400" w:lineRule="exact"/>
              <w:jc w:val="center"/>
              <w:rPr>
                <w:rFonts w:ascii="宋体" w:hAnsi="宋体" w:cs="Arial"/>
                <w:color w:val="000000"/>
                <w:highlight w:val="none"/>
              </w:rPr>
            </w:pPr>
          </w:p>
        </w:tc>
        <w:tc>
          <w:tcPr>
            <w:tcW w:w="1160" w:type="dxa"/>
            <w:tcBorders>
              <w:top w:val="single" w:color="auto" w:sz="4" w:space="0"/>
            </w:tcBorders>
            <w:vAlign w:val="center"/>
          </w:tcPr>
          <w:p>
            <w:pPr>
              <w:spacing w:line="400" w:lineRule="exact"/>
              <w:jc w:val="center"/>
              <w:rPr>
                <w:rFonts w:ascii="宋体" w:hAnsi="宋体" w:cs="Arial"/>
                <w:color w:val="000000"/>
                <w:highlight w:val="none"/>
              </w:rPr>
            </w:pPr>
          </w:p>
        </w:tc>
        <w:tc>
          <w:tcPr>
            <w:tcW w:w="1421" w:type="dxa"/>
            <w:gridSpan w:val="2"/>
            <w:tcBorders>
              <w:top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Arial"/>
                <w:color w:val="000000"/>
                <w:highlight w:val="none"/>
              </w:rPr>
            </w:pP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Arial"/>
                <w:color w:val="000000"/>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highlight w:val="none"/>
        </w:rPr>
      </w:pPr>
      <w:r>
        <w:rPr>
          <w:rFonts w:hint="eastAsia" w:ascii="宋体" w:hAnsi="宋体" w:cs="Arial"/>
          <w:sz w:val="24"/>
          <w:highlight w:val="none"/>
        </w:rPr>
        <w:t>注：供应商（仅限于供应商自己的）以上业绩需提供有关书面证明材料。“合同金额”需提供合同复印件；</w:t>
      </w:r>
    </w:p>
    <w:p>
      <w:pPr>
        <w:spacing w:line="400" w:lineRule="exact"/>
        <w:ind w:left="360"/>
        <w:jc w:val="center"/>
        <w:rPr>
          <w:rFonts w:ascii="宋体" w:hAnsi="宋体" w:cs="Arial"/>
          <w:color w:val="000000"/>
          <w:sz w:val="24"/>
          <w:highlight w:val="none"/>
        </w:rPr>
      </w:pPr>
    </w:p>
    <w:p>
      <w:pPr>
        <w:jc w:val="left"/>
        <w:rPr>
          <w:rFonts w:ascii="宋体" w:hAnsi="宋体" w:cs="Arial"/>
          <w:color w:val="000000"/>
          <w:highlight w:val="none"/>
        </w:rPr>
      </w:pPr>
    </w:p>
    <w:p>
      <w:pPr>
        <w:ind w:firstLine="480" w:firstLineChars="200"/>
        <w:jc w:val="left"/>
        <w:rPr>
          <w:rFonts w:ascii="宋体" w:hAnsi="宋体"/>
          <w:color w:val="000000"/>
          <w:sz w:val="24"/>
          <w:highlight w:val="none"/>
        </w:rPr>
      </w:pPr>
      <w:r>
        <w:rPr>
          <w:rFonts w:hint="eastAsia" w:ascii="宋体" w:hAnsi="宋体"/>
          <w:color w:val="000000"/>
          <w:sz w:val="24"/>
          <w:highlight w:val="none"/>
        </w:rPr>
        <w:t>供应商名称：XXXX（盖单位公章）</w:t>
      </w:r>
    </w:p>
    <w:p>
      <w:pPr>
        <w:ind w:firstLine="480" w:firstLineChars="200"/>
        <w:jc w:val="left"/>
        <w:rPr>
          <w:rFonts w:ascii="宋体" w:hAnsi="宋体"/>
          <w:color w:val="000000"/>
          <w:sz w:val="24"/>
          <w:highlight w:val="none"/>
        </w:rPr>
      </w:pPr>
      <w:r>
        <w:rPr>
          <w:rFonts w:hint="eastAsia" w:ascii="宋体" w:hAnsi="宋体"/>
          <w:color w:val="000000"/>
          <w:sz w:val="24"/>
          <w:highlight w:val="none"/>
        </w:rPr>
        <w:t>法定代表人或授权代表（签字）：XXXX</w:t>
      </w:r>
    </w:p>
    <w:p>
      <w:pPr>
        <w:ind w:firstLine="480" w:firstLineChars="200"/>
        <w:jc w:val="left"/>
        <w:rPr>
          <w:rFonts w:ascii="宋体" w:hAnsi="宋体"/>
          <w:color w:val="000000"/>
          <w:sz w:val="24"/>
          <w:highlight w:val="none"/>
        </w:rPr>
      </w:pPr>
      <w:r>
        <w:rPr>
          <w:rFonts w:hint="eastAsia" w:ascii="宋体" w:hAnsi="宋体"/>
          <w:color w:val="000000"/>
          <w:sz w:val="24"/>
          <w:highlight w:val="none"/>
        </w:rPr>
        <w:t>日期: XXXX</w:t>
      </w:r>
    </w:p>
    <w:p>
      <w:pPr>
        <w:jc w:val="left"/>
        <w:rPr>
          <w:rFonts w:ascii="宋体" w:hAnsi="宋体"/>
          <w:color w:val="000000"/>
          <w:sz w:val="24"/>
          <w:highlight w:val="none"/>
        </w:rPr>
      </w:pPr>
    </w:p>
    <w:p>
      <w:pPr>
        <w:pStyle w:val="4"/>
        <w:keepNext w:val="0"/>
        <w:keepLines w:val="0"/>
        <w:spacing w:line="400" w:lineRule="exact"/>
        <w:jc w:val="center"/>
        <w:rPr>
          <w:rFonts w:ascii="黑体" w:hAnsi="宋体"/>
          <w:color w:val="000000"/>
          <w:szCs w:val="28"/>
          <w:highlight w:val="none"/>
        </w:rPr>
      </w:pPr>
      <w:bookmarkStart w:id="83" w:name="_Toc436385992"/>
      <w:bookmarkStart w:id="84" w:name="_Toc436820890"/>
      <w:bookmarkStart w:id="85" w:name="_Toc436410129"/>
      <w:bookmarkStart w:id="86" w:name="_Toc436404120"/>
      <w:bookmarkStart w:id="87" w:name="_Toc307564880"/>
    </w:p>
    <w:bookmarkEnd w:id="83"/>
    <w:bookmarkEnd w:id="84"/>
    <w:bookmarkEnd w:id="85"/>
    <w:bookmarkEnd w:id="86"/>
    <w:bookmarkEnd w:id="87"/>
    <w:p>
      <w:pPr>
        <w:rPr>
          <w:sz w:val="32"/>
          <w:szCs w:val="32"/>
          <w:highlight w:val="none"/>
        </w:rPr>
      </w:pPr>
    </w:p>
    <w:p>
      <w:pPr>
        <w:rPr>
          <w:sz w:val="32"/>
          <w:szCs w:val="32"/>
          <w:highlight w:val="none"/>
        </w:rPr>
      </w:pPr>
    </w:p>
    <w:p>
      <w:pPr>
        <w:pStyle w:val="8"/>
        <w:rPr>
          <w:highlight w:val="none"/>
        </w:rPr>
      </w:pPr>
    </w:p>
    <w:p>
      <w:pPr>
        <w:pageBreakBefore/>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lang w:eastAsia="zh-CN"/>
        </w:rPr>
        <w:t>十</w:t>
      </w:r>
      <w:r>
        <w:rPr>
          <w:rFonts w:hint="eastAsia" w:ascii="宋体" w:hAnsi="宋体" w:cs="Arial"/>
          <w:b/>
          <w:bCs/>
          <w:color w:val="000000"/>
          <w:sz w:val="32"/>
          <w:szCs w:val="32"/>
          <w:highlight w:val="none"/>
        </w:rPr>
        <w:t>、供应商本项目管理、技术、服务人员情况表</w:t>
      </w:r>
    </w:p>
    <w:p>
      <w:pPr>
        <w:rPr>
          <w:sz w:val="32"/>
          <w:szCs w:val="32"/>
          <w:highlight w:val="none"/>
        </w:rPr>
      </w:pPr>
    </w:p>
    <w:p>
      <w:pPr>
        <w:rPr>
          <w:sz w:val="24"/>
          <w:highlight w:val="none"/>
        </w:rPr>
      </w:pPr>
      <w:r>
        <w:rPr>
          <w:rFonts w:hint="eastAsia"/>
          <w:sz w:val="24"/>
          <w:highlight w:val="none"/>
        </w:rPr>
        <w:t>采购编号：</w:t>
      </w:r>
    </w:p>
    <w:tbl>
      <w:tblPr>
        <w:tblStyle w:val="27"/>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1"/>
        <w:gridCol w:w="1031"/>
        <w:gridCol w:w="1031"/>
        <w:gridCol w:w="1031"/>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0" w:type="dxa"/>
            <w:vMerge w:val="restart"/>
            <w:vAlign w:val="center"/>
          </w:tcPr>
          <w:p>
            <w:pPr>
              <w:jc w:val="center"/>
              <w:rPr>
                <w:sz w:val="24"/>
                <w:highlight w:val="none"/>
              </w:rPr>
            </w:pPr>
            <w:r>
              <w:rPr>
                <w:rFonts w:hint="eastAsia"/>
                <w:sz w:val="24"/>
                <w:highlight w:val="none"/>
              </w:rPr>
              <w:t>类别</w:t>
            </w:r>
          </w:p>
        </w:tc>
        <w:tc>
          <w:tcPr>
            <w:tcW w:w="1031" w:type="dxa"/>
            <w:vMerge w:val="restart"/>
            <w:vAlign w:val="center"/>
          </w:tcPr>
          <w:p>
            <w:pPr>
              <w:jc w:val="center"/>
              <w:rPr>
                <w:sz w:val="24"/>
                <w:highlight w:val="none"/>
              </w:rPr>
            </w:pPr>
            <w:r>
              <w:rPr>
                <w:rFonts w:hint="eastAsia"/>
                <w:sz w:val="24"/>
                <w:highlight w:val="none"/>
              </w:rPr>
              <w:t>职务</w:t>
            </w:r>
          </w:p>
        </w:tc>
        <w:tc>
          <w:tcPr>
            <w:tcW w:w="1031" w:type="dxa"/>
            <w:vMerge w:val="restart"/>
            <w:vAlign w:val="center"/>
          </w:tcPr>
          <w:p>
            <w:pPr>
              <w:jc w:val="center"/>
              <w:rPr>
                <w:sz w:val="24"/>
                <w:highlight w:val="none"/>
              </w:rPr>
            </w:pPr>
            <w:r>
              <w:rPr>
                <w:rFonts w:hint="eastAsia"/>
                <w:sz w:val="24"/>
                <w:highlight w:val="none"/>
              </w:rPr>
              <w:t>姓名</w:t>
            </w:r>
          </w:p>
        </w:tc>
        <w:tc>
          <w:tcPr>
            <w:tcW w:w="1031" w:type="dxa"/>
            <w:vMerge w:val="restart"/>
            <w:vAlign w:val="center"/>
          </w:tcPr>
          <w:p>
            <w:pPr>
              <w:jc w:val="center"/>
              <w:rPr>
                <w:sz w:val="24"/>
                <w:highlight w:val="none"/>
              </w:rPr>
            </w:pPr>
            <w:r>
              <w:rPr>
                <w:rFonts w:hint="eastAsia"/>
                <w:sz w:val="24"/>
                <w:highlight w:val="none"/>
              </w:rPr>
              <w:t>职称</w:t>
            </w:r>
          </w:p>
        </w:tc>
        <w:tc>
          <w:tcPr>
            <w:tcW w:w="1031" w:type="dxa"/>
            <w:vMerge w:val="restart"/>
            <w:vAlign w:val="center"/>
          </w:tcPr>
          <w:p>
            <w:pPr>
              <w:jc w:val="center"/>
              <w:rPr>
                <w:sz w:val="24"/>
                <w:highlight w:val="none"/>
              </w:rPr>
            </w:pPr>
            <w:r>
              <w:rPr>
                <w:rFonts w:hint="eastAsia"/>
                <w:sz w:val="24"/>
                <w:highlight w:val="none"/>
              </w:rPr>
              <w:t>常住地</w:t>
            </w:r>
          </w:p>
        </w:tc>
        <w:tc>
          <w:tcPr>
            <w:tcW w:w="4124" w:type="dxa"/>
            <w:gridSpan w:val="4"/>
            <w:vAlign w:val="center"/>
          </w:tcPr>
          <w:p>
            <w:pPr>
              <w:jc w:val="center"/>
              <w:rPr>
                <w:sz w:val="24"/>
                <w:highlight w:val="none"/>
              </w:rPr>
            </w:pPr>
            <w:r>
              <w:rPr>
                <w:rFonts w:hint="eastAsia"/>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30" w:type="dxa"/>
            <w:vMerge w:val="continue"/>
            <w:vAlign w:val="center"/>
          </w:tcPr>
          <w:p>
            <w:pPr>
              <w:jc w:val="center"/>
              <w:rPr>
                <w:sz w:val="24"/>
                <w:highlight w:val="none"/>
              </w:rPr>
            </w:pPr>
          </w:p>
        </w:tc>
        <w:tc>
          <w:tcPr>
            <w:tcW w:w="1031" w:type="dxa"/>
            <w:vMerge w:val="continue"/>
            <w:vAlign w:val="center"/>
          </w:tcPr>
          <w:p>
            <w:pPr>
              <w:jc w:val="center"/>
              <w:rPr>
                <w:sz w:val="24"/>
                <w:highlight w:val="none"/>
              </w:rPr>
            </w:pPr>
          </w:p>
        </w:tc>
        <w:tc>
          <w:tcPr>
            <w:tcW w:w="1031" w:type="dxa"/>
            <w:vMerge w:val="continue"/>
            <w:vAlign w:val="center"/>
          </w:tcPr>
          <w:p>
            <w:pPr>
              <w:jc w:val="center"/>
              <w:rPr>
                <w:sz w:val="24"/>
                <w:highlight w:val="none"/>
              </w:rPr>
            </w:pPr>
          </w:p>
        </w:tc>
        <w:tc>
          <w:tcPr>
            <w:tcW w:w="1031" w:type="dxa"/>
            <w:vMerge w:val="continue"/>
            <w:vAlign w:val="center"/>
          </w:tcPr>
          <w:p>
            <w:pPr>
              <w:jc w:val="center"/>
              <w:rPr>
                <w:sz w:val="24"/>
                <w:highlight w:val="none"/>
              </w:rPr>
            </w:pPr>
          </w:p>
        </w:tc>
        <w:tc>
          <w:tcPr>
            <w:tcW w:w="1031" w:type="dxa"/>
            <w:vMerge w:val="continue"/>
            <w:vAlign w:val="center"/>
          </w:tcPr>
          <w:p>
            <w:pPr>
              <w:jc w:val="center"/>
              <w:rPr>
                <w:sz w:val="24"/>
                <w:highlight w:val="none"/>
              </w:rPr>
            </w:pPr>
          </w:p>
        </w:tc>
        <w:tc>
          <w:tcPr>
            <w:tcW w:w="1031" w:type="dxa"/>
            <w:vAlign w:val="center"/>
          </w:tcPr>
          <w:p>
            <w:pPr>
              <w:jc w:val="center"/>
              <w:rPr>
                <w:sz w:val="24"/>
                <w:highlight w:val="none"/>
              </w:rPr>
            </w:pPr>
            <w:r>
              <w:rPr>
                <w:rFonts w:hint="eastAsia"/>
                <w:sz w:val="24"/>
                <w:highlight w:val="none"/>
              </w:rPr>
              <w:t>证书</w:t>
            </w:r>
          </w:p>
          <w:p>
            <w:pPr>
              <w:jc w:val="center"/>
              <w:rPr>
                <w:sz w:val="24"/>
                <w:highlight w:val="none"/>
              </w:rPr>
            </w:pPr>
            <w:r>
              <w:rPr>
                <w:rFonts w:hint="eastAsia"/>
                <w:sz w:val="24"/>
                <w:highlight w:val="none"/>
              </w:rPr>
              <w:t>名称</w:t>
            </w:r>
          </w:p>
        </w:tc>
        <w:tc>
          <w:tcPr>
            <w:tcW w:w="1031" w:type="dxa"/>
            <w:vAlign w:val="center"/>
          </w:tcPr>
          <w:p>
            <w:pPr>
              <w:jc w:val="center"/>
              <w:rPr>
                <w:sz w:val="24"/>
                <w:highlight w:val="none"/>
              </w:rPr>
            </w:pPr>
            <w:r>
              <w:rPr>
                <w:rFonts w:hint="eastAsia"/>
                <w:sz w:val="24"/>
                <w:highlight w:val="none"/>
              </w:rPr>
              <w:t>级别</w:t>
            </w:r>
          </w:p>
        </w:tc>
        <w:tc>
          <w:tcPr>
            <w:tcW w:w="1031" w:type="dxa"/>
            <w:vAlign w:val="center"/>
          </w:tcPr>
          <w:p>
            <w:pPr>
              <w:jc w:val="center"/>
              <w:rPr>
                <w:sz w:val="24"/>
                <w:highlight w:val="none"/>
              </w:rPr>
            </w:pPr>
            <w:r>
              <w:rPr>
                <w:rFonts w:hint="eastAsia"/>
                <w:sz w:val="24"/>
                <w:highlight w:val="none"/>
              </w:rPr>
              <w:t>证号</w:t>
            </w:r>
          </w:p>
        </w:tc>
        <w:tc>
          <w:tcPr>
            <w:tcW w:w="1031" w:type="dxa"/>
            <w:vAlign w:val="center"/>
          </w:tcPr>
          <w:p>
            <w:pPr>
              <w:jc w:val="center"/>
              <w:rPr>
                <w:sz w:val="24"/>
                <w:highlight w:val="none"/>
              </w:rPr>
            </w:pPr>
            <w:r>
              <w:rPr>
                <w:rFonts w:hint="eastAsia"/>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restart"/>
            <w:vAlign w:val="center"/>
          </w:tcPr>
          <w:p>
            <w:pPr>
              <w:jc w:val="center"/>
              <w:rPr>
                <w:sz w:val="24"/>
                <w:highlight w:val="none"/>
              </w:rPr>
            </w:pPr>
            <w:r>
              <w:rPr>
                <w:rFonts w:hint="eastAsia"/>
                <w:sz w:val="24"/>
                <w:highlight w:val="none"/>
              </w:rPr>
              <w:t>管理</w:t>
            </w:r>
          </w:p>
          <w:p>
            <w:pPr>
              <w:jc w:val="center"/>
              <w:rPr>
                <w:sz w:val="24"/>
                <w:highlight w:val="none"/>
              </w:rPr>
            </w:pPr>
            <w:r>
              <w:rPr>
                <w:rFonts w:hint="eastAsia"/>
                <w:sz w:val="24"/>
                <w:highlight w:val="none"/>
              </w:rPr>
              <w:t>人员</w:t>
            </w: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continue"/>
            <w:vAlign w:val="center"/>
          </w:tcPr>
          <w:p>
            <w:pPr>
              <w:jc w:val="cente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continue"/>
            <w:vAlign w:val="center"/>
          </w:tcPr>
          <w:p>
            <w:pPr>
              <w:jc w:val="cente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restart"/>
            <w:vAlign w:val="center"/>
          </w:tcPr>
          <w:p>
            <w:pPr>
              <w:jc w:val="center"/>
              <w:rPr>
                <w:sz w:val="24"/>
                <w:highlight w:val="none"/>
              </w:rPr>
            </w:pPr>
            <w:r>
              <w:rPr>
                <w:rFonts w:hint="eastAsia"/>
                <w:sz w:val="24"/>
                <w:highlight w:val="none"/>
              </w:rPr>
              <w:t>技术</w:t>
            </w:r>
          </w:p>
          <w:p>
            <w:pPr>
              <w:jc w:val="center"/>
              <w:rPr>
                <w:sz w:val="24"/>
                <w:highlight w:val="none"/>
              </w:rPr>
            </w:pPr>
            <w:r>
              <w:rPr>
                <w:rFonts w:hint="eastAsia"/>
                <w:sz w:val="24"/>
                <w:highlight w:val="none"/>
              </w:rPr>
              <w:t>人员</w:t>
            </w: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continue"/>
            <w:vAlign w:val="center"/>
          </w:tcPr>
          <w:p>
            <w:pPr>
              <w:jc w:val="cente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continue"/>
            <w:vAlign w:val="center"/>
          </w:tcPr>
          <w:p>
            <w:pPr>
              <w:jc w:val="cente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restart"/>
            <w:vAlign w:val="center"/>
          </w:tcPr>
          <w:p>
            <w:pPr>
              <w:jc w:val="center"/>
              <w:rPr>
                <w:sz w:val="24"/>
                <w:highlight w:val="none"/>
              </w:rPr>
            </w:pPr>
            <w:r>
              <w:rPr>
                <w:rFonts w:hint="eastAsia"/>
                <w:sz w:val="24"/>
                <w:highlight w:val="none"/>
              </w:rPr>
              <w:t>服务</w:t>
            </w:r>
          </w:p>
          <w:p>
            <w:pPr>
              <w:jc w:val="center"/>
              <w:rPr>
                <w:sz w:val="24"/>
                <w:highlight w:val="none"/>
              </w:rPr>
            </w:pPr>
            <w:r>
              <w:rPr>
                <w:rFonts w:hint="eastAsia"/>
                <w:sz w:val="24"/>
                <w:highlight w:val="none"/>
              </w:rPr>
              <w:t>人员</w:t>
            </w: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30" w:type="dxa"/>
            <w:vMerge w:val="continue"/>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30" w:type="dxa"/>
            <w:vMerge w:val="continue"/>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c>
          <w:tcPr>
            <w:tcW w:w="1031" w:type="dxa"/>
          </w:tcPr>
          <w:p>
            <w:pPr>
              <w:rPr>
                <w:sz w:val="24"/>
                <w:highlight w:val="none"/>
              </w:rPr>
            </w:pPr>
          </w:p>
        </w:tc>
      </w:tr>
    </w:tbl>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sz w:val="24"/>
          <w:highlight w:val="none"/>
        </w:rPr>
      </w:pPr>
      <w:r>
        <w:rPr>
          <w:rFonts w:hint="eastAsia"/>
          <w:sz w:val="24"/>
          <w:highlight w:val="none"/>
        </w:rPr>
        <w:t>供应商名称：XXX（盖单位公章）</w:t>
      </w:r>
    </w:p>
    <w:p>
      <w:pPr>
        <w:rPr>
          <w:sz w:val="24"/>
          <w:highlight w:val="none"/>
        </w:rPr>
      </w:pPr>
      <w:r>
        <w:rPr>
          <w:rFonts w:hint="eastAsia"/>
          <w:sz w:val="24"/>
          <w:highlight w:val="none"/>
        </w:rPr>
        <w:t>法定代表人或授权代表（签字）：XXX</w:t>
      </w:r>
    </w:p>
    <w:p>
      <w:pPr>
        <w:rPr>
          <w:sz w:val="24"/>
          <w:highlight w:val="none"/>
        </w:rPr>
      </w:pPr>
      <w:r>
        <w:rPr>
          <w:rFonts w:hint="eastAsia"/>
          <w:sz w:val="24"/>
          <w:highlight w:val="none"/>
        </w:rPr>
        <w:t>日      期</w:t>
      </w:r>
      <w:r>
        <w:rPr>
          <w:rFonts w:hint="eastAsia" w:ascii="宋体" w:hAnsi="宋体"/>
          <w:color w:val="000000"/>
          <w:sz w:val="24"/>
          <w:highlight w:val="none"/>
        </w:rPr>
        <w:t>：</w:t>
      </w:r>
      <w:r>
        <w:rPr>
          <w:rFonts w:hint="eastAsia"/>
          <w:sz w:val="24"/>
          <w:highlight w:val="none"/>
        </w:rPr>
        <w:t>XXX</w:t>
      </w:r>
    </w:p>
    <w:p>
      <w:pPr>
        <w:rPr>
          <w:sz w:val="32"/>
          <w:szCs w:val="32"/>
          <w:highlight w:val="none"/>
        </w:rPr>
      </w:pPr>
    </w:p>
    <w:p>
      <w:pPr>
        <w:rPr>
          <w:sz w:val="32"/>
          <w:szCs w:val="32"/>
          <w:highlight w:val="none"/>
        </w:rPr>
      </w:pPr>
    </w:p>
    <w:p>
      <w:pPr>
        <w:pStyle w:val="8"/>
        <w:rPr>
          <w:highlight w:val="none"/>
        </w:rPr>
      </w:pPr>
    </w:p>
    <w:p>
      <w:pPr>
        <w:rPr>
          <w:sz w:val="32"/>
          <w:szCs w:val="32"/>
          <w:highlight w:val="none"/>
        </w:rPr>
      </w:pPr>
    </w:p>
    <w:p>
      <w:pPr>
        <w:jc w:val="center"/>
        <w:rPr>
          <w:rFonts w:hint="eastAsia" w:ascii="宋体" w:hAnsi="宋体" w:eastAsia="宋体" w:cs="Arial"/>
          <w:b/>
          <w:bCs/>
          <w:color w:val="000000"/>
          <w:sz w:val="32"/>
          <w:szCs w:val="32"/>
          <w:highlight w:val="none"/>
          <w:lang w:eastAsia="zh-CN"/>
        </w:rPr>
      </w:pPr>
      <w:r>
        <w:rPr>
          <w:rFonts w:hint="eastAsia" w:ascii="宋体" w:hAnsi="宋体" w:cs="Arial"/>
          <w:b/>
          <w:bCs/>
          <w:color w:val="000000"/>
          <w:sz w:val="32"/>
          <w:szCs w:val="32"/>
          <w:highlight w:val="none"/>
        </w:rPr>
        <w:t>十</w:t>
      </w:r>
      <w:r>
        <w:rPr>
          <w:rFonts w:hint="eastAsia" w:ascii="宋体" w:hAnsi="宋体" w:cs="Arial"/>
          <w:b/>
          <w:bCs/>
          <w:color w:val="000000"/>
          <w:sz w:val="32"/>
          <w:szCs w:val="32"/>
          <w:highlight w:val="none"/>
          <w:lang w:eastAsia="zh-CN"/>
        </w:rPr>
        <w:t>一</w:t>
      </w:r>
      <w:r>
        <w:rPr>
          <w:rFonts w:hint="eastAsia" w:ascii="宋体" w:hAnsi="宋体" w:cs="Arial"/>
          <w:b/>
          <w:bCs/>
          <w:color w:val="000000"/>
          <w:sz w:val="32"/>
          <w:szCs w:val="32"/>
          <w:highlight w:val="none"/>
        </w:rPr>
        <w:t>、服务方案</w:t>
      </w:r>
      <w:r>
        <w:rPr>
          <w:rFonts w:hint="eastAsia" w:ascii="宋体" w:hAnsi="宋体" w:cs="Arial"/>
          <w:b/>
          <w:bCs/>
          <w:color w:val="000000"/>
          <w:sz w:val="32"/>
          <w:szCs w:val="32"/>
          <w:highlight w:val="none"/>
          <w:lang w:eastAsia="zh-CN"/>
        </w:rPr>
        <w:t>、售后服务方案</w:t>
      </w:r>
    </w:p>
    <w:p>
      <w:pPr>
        <w:pStyle w:val="8"/>
        <w:rPr>
          <w:highlight w:val="none"/>
        </w:rPr>
      </w:pPr>
    </w:p>
    <w:p>
      <w:pPr>
        <w:jc w:val="center"/>
        <w:rPr>
          <w:sz w:val="28"/>
          <w:szCs w:val="28"/>
          <w:highlight w:val="none"/>
        </w:rPr>
      </w:pPr>
      <w:r>
        <w:rPr>
          <w:rFonts w:hint="eastAsia"/>
          <w:sz w:val="28"/>
          <w:szCs w:val="28"/>
          <w:highlight w:val="none"/>
        </w:rPr>
        <w:t>（格式自拟）</w:t>
      </w:r>
    </w:p>
    <w:p>
      <w:pPr>
        <w:rPr>
          <w:sz w:val="32"/>
          <w:szCs w:val="32"/>
          <w:highlight w:val="none"/>
        </w:rPr>
      </w:pPr>
    </w:p>
    <w:p>
      <w:pPr>
        <w:jc w:val="center"/>
        <w:rPr>
          <w:rFonts w:ascii="宋体" w:hAnsi="宋体" w:cs="Arial"/>
          <w:b/>
          <w:bCs/>
          <w:color w:val="000000"/>
          <w:sz w:val="32"/>
          <w:szCs w:val="32"/>
          <w:highlight w:val="none"/>
        </w:rPr>
      </w:pPr>
    </w:p>
    <w:p>
      <w:pPr>
        <w:jc w:val="center"/>
        <w:rPr>
          <w:rFonts w:ascii="宋体" w:hAnsi="宋体" w:cs="Arial"/>
          <w:b/>
          <w:bCs/>
          <w:color w:val="000000"/>
          <w:sz w:val="32"/>
          <w:szCs w:val="32"/>
          <w:highlight w:val="none"/>
        </w:rPr>
      </w:pPr>
      <w:r>
        <w:rPr>
          <w:rFonts w:hint="eastAsia" w:ascii="宋体" w:hAnsi="宋体" w:cs="Arial"/>
          <w:b/>
          <w:bCs/>
          <w:color w:val="000000"/>
          <w:sz w:val="32"/>
          <w:szCs w:val="32"/>
          <w:highlight w:val="none"/>
        </w:rPr>
        <w:t>十</w:t>
      </w:r>
      <w:r>
        <w:rPr>
          <w:rFonts w:hint="eastAsia" w:ascii="宋体" w:hAnsi="宋体" w:cs="Arial"/>
          <w:b/>
          <w:bCs/>
          <w:color w:val="000000"/>
          <w:sz w:val="32"/>
          <w:szCs w:val="32"/>
          <w:highlight w:val="none"/>
          <w:lang w:eastAsia="zh-CN"/>
        </w:rPr>
        <w:t>二</w:t>
      </w:r>
      <w:r>
        <w:rPr>
          <w:rFonts w:hint="eastAsia" w:ascii="宋体" w:hAnsi="宋体" w:cs="Arial"/>
          <w:b/>
          <w:bCs/>
          <w:color w:val="000000"/>
          <w:sz w:val="32"/>
          <w:szCs w:val="32"/>
          <w:highlight w:val="none"/>
        </w:rPr>
        <w:t>、供应商认为需要提供的其他资料</w:t>
      </w:r>
    </w:p>
    <w:p>
      <w:pPr>
        <w:rPr>
          <w:sz w:val="24"/>
          <w:highlight w:val="none"/>
        </w:rPr>
      </w:pPr>
    </w:p>
    <w:p>
      <w:pPr>
        <w:jc w:val="center"/>
        <w:rPr>
          <w:sz w:val="28"/>
          <w:szCs w:val="28"/>
          <w:highlight w:val="none"/>
        </w:rPr>
      </w:pPr>
      <w:r>
        <w:rPr>
          <w:rFonts w:hint="eastAsia"/>
          <w:sz w:val="28"/>
          <w:szCs w:val="28"/>
          <w:highlight w:val="none"/>
        </w:rPr>
        <w:t>（格式自拟）</w:t>
      </w:r>
    </w:p>
    <w:p>
      <w:pPr>
        <w:pStyle w:val="8"/>
        <w:rPr>
          <w:highlight w:val="none"/>
        </w:rPr>
      </w:pPr>
    </w:p>
    <w:p>
      <w:pPr>
        <w:rPr>
          <w:highlight w:val="none"/>
        </w:rPr>
      </w:pPr>
    </w:p>
    <w:p>
      <w:pPr>
        <w:pStyle w:val="8"/>
        <w:rPr>
          <w:highlight w:val="none"/>
        </w:rPr>
      </w:pPr>
    </w:p>
    <w:p>
      <w:pPr>
        <w:rPr>
          <w:highlight w:val="none"/>
        </w:rPr>
        <w:sectPr>
          <w:footerReference r:id="rId11" w:type="default"/>
          <w:footerReference r:id="rId12" w:type="even"/>
          <w:pgSz w:w="11906" w:h="16838"/>
          <w:pgMar w:top="1417" w:right="1417" w:bottom="1417" w:left="1417" w:header="850" w:footer="992" w:gutter="0"/>
          <w:pgNumType w:fmt="numberInDash"/>
          <w:cols w:space="0" w:num="1"/>
          <w:rtlGutter w:val="0"/>
          <w:docGrid w:linePitch="312" w:charSpace="0"/>
        </w:sectPr>
      </w:pPr>
    </w:p>
    <w:p>
      <w:pPr>
        <w:pStyle w:val="3"/>
        <w:pageBreakBefore/>
        <w:spacing w:before="0" w:after="20" w:line="360" w:lineRule="auto"/>
        <w:jc w:val="center"/>
        <w:rPr>
          <w:rFonts w:ascii="黑体" w:eastAsia="黑体"/>
          <w:color w:val="000000"/>
          <w:sz w:val="32"/>
          <w:szCs w:val="32"/>
          <w:highlight w:val="none"/>
        </w:rPr>
      </w:pPr>
      <w:bookmarkStart w:id="88" w:name="_Toc533424978"/>
      <w:r>
        <w:rPr>
          <w:rFonts w:hint="eastAsia" w:ascii="黑体" w:eastAsia="黑体"/>
          <w:color w:val="000000"/>
          <w:sz w:val="32"/>
          <w:szCs w:val="32"/>
          <w:highlight w:val="none"/>
        </w:rPr>
        <w:t>第八章  评审方法</w:t>
      </w:r>
      <w:bookmarkEnd w:id="88"/>
    </w:p>
    <w:p>
      <w:pPr>
        <w:pStyle w:val="4"/>
        <w:keepNext w:val="0"/>
        <w:keepLines w:val="0"/>
        <w:spacing w:before="0" w:after="0" w:line="400" w:lineRule="exact"/>
        <w:ind w:firstLine="472" w:firstLineChars="196"/>
        <w:rPr>
          <w:rFonts w:ascii="宋体" w:hAnsi="宋体" w:eastAsia="宋体"/>
          <w:color w:val="000000"/>
          <w:sz w:val="24"/>
          <w:szCs w:val="24"/>
          <w:highlight w:val="none"/>
        </w:rPr>
      </w:pPr>
      <w:bookmarkStart w:id="89" w:name="_Toc209847065"/>
      <w:bookmarkStart w:id="90" w:name="_Toc430773924"/>
      <w:bookmarkStart w:id="91" w:name="_Toc101338358"/>
      <w:bookmarkStart w:id="92" w:name="_Toc101250640"/>
      <w:bookmarkStart w:id="93" w:name="_Toc101174146"/>
      <w:r>
        <w:rPr>
          <w:rFonts w:hint="eastAsia" w:ascii="宋体" w:hAnsi="宋体" w:eastAsia="宋体"/>
          <w:color w:val="000000"/>
          <w:sz w:val="24"/>
          <w:szCs w:val="24"/>
          <w:highlight w:val="none"/>
        </w:rPr>
        <w:t>1.总则</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（五）起草评审报告并进行签署；</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（六）向采购代理机构、财政部门或者其他监督部门报告非法干预评审工作的行为；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（七）法律、法规和规章规定的其他职责。</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1.5 磋商过程独立、保密。供应商非法干预磋商过程的，其响应文件作无效处理。</w:t>
      </w:r>
    </w:p>
    <w:p>
      <w:pPr>
        <w:ind w:firstLine="413"/>
        <w:rPr>
          <w:highlight w:val="none"/>
        </w:rPr>
      </w:pPr>
    </w:p>
    <w:p>
      <w:pPr>
        <w:pStyle w:val="4"/>
        <w:keepNext w:val="0"/>
        <w:keepLines w:val="0"/>
        <w:spacing w:before="0" w:after="0" w:line="400" w:lineRule="exact"/>
        <w:ind w:firstLine="472" w:firstLineChars="196"/>
        <w:rPr>
          <w:rFonts w:ascii="宋体" w:hAnsi="宋体" w:eastAsia="宋体"/>
          <w:color w:val="000000"/>
          <w:sz w:val="24"/>
          <w:szCs w:val="24"/>
          <w:highlight w:val="none"/>
        </w:rPr>
      </w:pPr>
      <w:r>
        <w:rPr>
          <w:rFonts w:hint="eastAsia" w:ascii="宋体" w:hAnsi="宋体" w:eastAsia="宋体"/>
          <w:color w:val="000000"/>
          <w:sz w:val="24"/>
          <w:szCs w:val="24"/>
          <w:highlight w:val="none"/>
        </w:rPr>
        <w:t>2.磋商程序</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2.1审查磋商文件和停止评审。</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（1）磋商文件的规定存在歧义、重大缺陷的；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（4）采购项目属于政府采购促进中小企业发展的范围，但是磋商文件未依法体现促进中小企业发展相关规定的；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（5）磋商文件将供应商的资格条件列为评分因素的；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（6）磋商文件载明的成交原则不合法的；</w:t>
      </w:r>
    </w:p>
    <w:p>
      <w:pPr>
        <w:pStyle w:val="4"/>
        <w:keepNext w:val="0"/>
        <w:keepLines w:val="0"/>
        <w:spacing w:before="0" w:after="0" w:line="400" w:lineRule="exact"/>
        <w:ind w:firstLine="470" w:firstLineChars="196"/>
        <w:rPr>
          <w:rFonts w:ascii="宋体" w:hAnsi="宋体" w:eastAsia="宋体"/>
          <w:b w:val="0"/>
          <w:color w:val="000000"/>
          <w:sz w:val="24"/>
          <w:szCs w:val="24"/>
          <w:highlight w:val="none"/>
        </w:rPr>
      </w:pPr>
      <w:r>
        <w:rPr>
          <w:rFonts w:hint="eastAsia" w:ascii="宋体" w:hAnsi="宋体" w:eastAsia="宋体"/>
          <w:b w:val="0"/>
          <w:color w:val="000000"/>
          <w:sz w:val="24"/>
          <w:szCs w:val="24"/>
          <w:highlight w:val="none"/>
        </w:rPr>
        <w:t>（7）磋商文件有违反国家其他有关强制性规定的情形。</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2.2资格性审查。</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2.2.1本项目需要磋商小组进行资格性检查。</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2.3 通过资格性审查的供应商不足3家的，终止本次采购活动，并发布终止采购活动公告。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2.4磋商。</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color w:val="000000"/>
          <w:sz w:val="24"/>
          <w:szCs w:val="24"/>
          <w:highlight w:val="none"/>
        </w:rPr>
        <w:t>2.4.8磋商完成后，磋商小组应出具磋商情况记录表，磋商情况记录表需包含磋商内容、磋商意见、实质性变动内容等。</w:t>
      </w:r>
      <w:r>
        <w:rPr>
          <w:rFonts w:hint="eastAsia" w:ascii="宋体" w:hAnsi="宋体" w:eastAsia="宋体"/>
          <w:b w:val="0"/>
          <w:sz w:val="24"/>
          <w:szCs w:val="24"/>
          <w:highlight w:val="none"/>
        </w:rPr>
        <w:t xml:space="preserve">   </w:t>
      </w:r>
    </w:p>
    <w:p>
      <w:pPr>
        <w:spacing w:line="400" w:lineRule="exact"/>
        <w:ind w:firstLine="480" w:firstLineChars="200"/>
        <w:rPr>
          <w:rFonts w:ascii="宋体" w:hAnsi="宋体"/>
          <w:sz w:val="24"/>
          <w:highlight w:val="none"/>
        </w:rPr>
      </w:pPr>
      <w:r>
        <w:rPr>
          <w:rFonts w:hint="eastAsia" w:ascii="宋体" w:hAnsi="宋体"/>
          <w:sz w:val="24"/>
          <w:highlight w:val="none"/>
        </w:rPr>
        <w:t>2.5最后报价。</w:t>
      </w:r>
    </w:p>
    <w:p>
      <w:pPr>
        <w:spacing w:line="400" w:lineRule="exact"/>
        <w:ind w:firstLine="480" w:firstLineChars="200"/>
        <w:rPr>
          <w:rFonts w:ascii="宋体" w:hAnsi="宋体"/>
          <w:sz w:val="24"/>
          <w:highlight w:val="none"/>
        </w:rPr>
      </w:pPr>
      <w:r>
        <w:rPr>
          <w:rFonts w:hint="eastAsia" w:ascii="宋体" w:hAnsi="宋体"/>
          <w:sz w:val="24"/>
          <w:highlight w:val="none"/>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0" w:lineRule="exact"/>
        <w:ind w:firstLine="480" w:firstLineChars="200"/>
        <w:rPr>
          <w:rFonts w:ascii="宋体" w:hAnsi="宋体"/>
          <w:sz w:val="24"/>
          <w:highlight w:val="none"/>
        </w:rPr>
      </w:pPr>
      <w:r>
        <w:rPr>
          <w:rFonts w:hint="eastAsia" w:ascii="宋体" w:hAnsi="宋体"/>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ascii="宋体" w:hAnsi="宋体"/>
          <w:sz w:val="24"/>
          <w:highlight w:val="none"/>
        </w:rPr>
      </w:pPr>
      <w:r>
        <w:rPr>
          <w:rFonts w:hint="eastAsia" w:ascii="宋体" w:hAnsi="宋体"/>
          <w:sz w:val="24"/>
          <w:highlight w:val="none"/>
        </w:rPr>
        <w:t>2.5.3供应商最后报价应当由法定代表人或其授权代表签字确认或加盖公章。最后报价是供应商响应文件的有效组成部分。</w:t>
      </w:r>
    </w:p>
    <w:p>
      <w:pPr>
        <w:spacing w:line="400" w:lineRule="exact"/>
        <w:ind w:firstLine="480" w:firstLineChars="200"/>
        <w:rPr>
          <w:rFonts w:ascii="宋体" w:hAnsi="宋体"/>
          <w:sz w:val="24"/>
          <w:highlight w:val="none"/>
        </w:rPr>
      </w:pPr>
      <w:r>
        <w:rPr>
          <w:rFonts w:hint="eastAsia" w:ascii="宋体" w:hAnsi="宋体"/>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宋体" w:hAnsi="宋体"/>
          <w:sz w:val="24"/>
          <w:highlight w:val="none"/>
        </w:rPr>
      </w:pPr>
      <w:r>
        <w:rPr>
          <w:rFonts w:hint="eastAsia" w:ascii="宋体" w:hAnsi="宋体"/>
          <w:sz w:val="24"/>
          <w:highlight w:val="none"/>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hint="eastAsia" w:ascii="宋体" w:hAnsi="宋体" w:eastAsia="宋体"/>
          <w:sz w:val="24"/>
          <w:highlight w:val="none"/>
        </w:rPr>
      </w:pPr>
      <w:r>
        <w:rPr>
          <w:rFonts w:hint="eastAsia" w:ascii="宋体" w:hAnsi="宋体"/>
          <w:sz w:val="24"/>
          <w:highlight w:val="none"/>
        </w:rPr>
        <w:t>2.7推荐成交候选供应商</w:t>
      </w:r>
      <w:r>
        <w:rPr>
          <w:rFonts w:hint="eastAsia" w:ascii="宋体" w:hAnsi="宋体"/>
          <w:sz w:val="24"/>
          <w:highlight w:val="none"/>
          <w:lang w:eastAsia="zh-CN"/>
        </w:rPr>
        <w:t>，</w:t>
      </w:r>
      <w:r>
        <w:rPr>
          <w:rFonts w:hint="eastAsia" w:ascii="宋体" w:hAnsi="宋体"/>
          <w:sz w:val="24"/>
          <w:highlight w:val="none"/>
        </w:rPr>
        <w:t>磋商小组应当根据综合评分情况，按照评审得分由高到低顺序推荐3家以上成交候选供应商，并编写磋商报告</w:t>
      </w:r>
      <w:r>
        <w:rPr>
          <w:rFonts w:hint="eastAsia" w:ascii="宋体" w:hAnsi="宋体" w:eastAsia="宋体"/>
          <w:sz w:val="24"/>
          <w:highlight w:val="none"/>
        </w:rPr>
        <w:t>。</w:t>
      </w:r>
      <w:r>
        <w:rPr>
          <w:rFonts w:hint="eastAsia" w:ascii="宋体" w:hAnsi="宋体" w:eastAsia="宋体"/>
          <w:sz w:val="24"/>
          <w:highlight w:val="none"/>
          <w:lang w:eastAsia="zh-CN"/>
        </w:rPr>
        <w:t>成交</w:t>
      </w:r>
      <w:r>
        <w:rPr>
          <w:rFonts w:hint="eastAsia" w:ascii="宋体" w:hAnsi="宋体" w:eastAsia="宋体"/>
          <w:sz w:val="24"/>
          <w:highlight w:val="none"/>
        </w:rPr>
        <w:t>候选供应商应当排序。本项目采用综合评分法，评标结果按评审后得分由高到低顺序排列。得分相同的，按</w:t>
      </w:r>
      <w:r>
        <w:rPr>
          <w:rFonts w:hint="eastAsia" w:ascii="宋体" w:hAnsi="宋体" w:eastAsia="宋体"/>
          <w:sz w:val="24"/>
          <w:highlight w:val="none"/>
          <w:lang w:eastAsia="zh-CN"/>
        </w:rPr>
        <w:t>最后</w:t>
      </w:r>
      <w:r>
        <w:rPr>
          <w:rFonts w:hint="eastAsia" w:ascii="宋体" w:hAnsi="宋体" w:eastAsia="宋体"/>
          <w:sz w:val="24"/>
          <w:highlight w:val="none"/>
        </w:rPr>
        <w:t>报价由低到高顺序排列；得分且</w:t>
      </w:r>
      <w:r>
        <w:rPr>
          <w:rFonts w:hint="eastAsia" w:ascii="宋体" w:hAnsi="宋体" w:eastAsia="宋体"/>
          <w:sz w:val="24"/>
          <w:highlight w:val="none"/>
          <w:lang w:eastAsia="zh-CN"/>
        </w:rPr>
        <w:t>最后</w:t>
      </w:r>
      <w:r>
        <w:rPr>
          <w:rFonts w:hint="eastAsia" w:ascii="宋体" w:hAnsi="宋体" w:eastAsia="宋体"/>
          <w:sz w:val="24"/>
          <w:highlight w:val="none"/>
        </w:rPr>
        <w:t>报价相同的，不发达地区或少数民族地区的供应商排列顺序在非不发达地区或少数民族地区的供应商之前；得分且</w:t>
      </w:r>
      <w:r>
        <w:rPr>
          <w:rFonts w:hint="eastAsia" w:ascii="宋体" w:hAnsi="宋体" w:eastAsia="宋体"/>
          <w:sz w:val="24"/>
          <w:highlight w:val="none"/>
          <w:lang w:eastAsia="zh-CN"/>
        </w:rPr>
        <w:t>最后</w:t>
      </w:r>
      <w:r>
        <w:rPr>
          <w:rFonts w:hint="eastAsia" w:ascii="宋体" w:hAnsi="宋体" w:eastAsia="宋体"/>
          <w:sz w:val="24"/>
          <w:highlight w:val="none"/>
        </w:rPr>
        <w:t>报价相同的，且均为不发达地区或少数民族地区的供应商并列；得分且</w:t>
      </w:r>
      <w:r>
        <w:rPr>
          <w:rFonts w:hint="eastAsia" w:ascii="宋体" w:hAnsi="宋体" w:eastAsia="宋体"/>
          <w:sz w:val="24"/>
          <w:highlight w:val="none"/>
          <w:lang w:eastAsia="zh-CN"/>
        </w:rPr>
        <w:t>最后</w:t>
      </w:r>
      <w:r>
        <w:rPr>
          <w:rFonts w:hint="eastAsia" w:ascii="宋体" w:hAnsi="宋体" w:eastAsia="宋体"/>
          <w:sz w:val="24"/>
          <w:highlight w:val="none"/>
        </w:rPr>
        <w:t>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宋体" w:hAnsi="宋体"/>
          <w:sz w:val="24"/>
          <w:highlight w:val="none"/>
        </w:rPr>
      </w:pPr>
      <w:r>
        <w:rPr>
          <w:rFonts w:hint="eastAsia" w:ascii="宋体" w:hAnsi="宋体"/>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sz w:val="24"/>
          <w:highlight w:val="none"/>
        </w:rPr>
      </w:pPr>
      <w:r>
        <w:rPr>
          <w:rFonts w:hint="eastAsia" w:ascii="宋体" w:hAnsi="宋体"/>
          <w:sz w:val="24"/>
          <w:highlight w:val="none"/>
        </w:rPr>
        <w:t>2.9采购组织单位现场复核评审结果。</w:t>
      </w:r>
    </w:p>
    <w:p>
      <w:pPr>
        <w:spacing w:line="400" w:lineRule="exact"/>
        <w:ind w:firstLine="480" w:firstLineChars="200"/>
        <w:rPr>
          <w:rFonts w:ascii="宋体" w:hAnsi="宋体"/>
          <w:sz w:val="24"/>
          <w:highlight w:val="none"/>
        </w:rPr>
      </w:pPr>
      <w:r>
        <w:rPr>
          <w:rFonts w:hint="eastAsia" w:ascii="宋体" w:hAnsi="宋体"/>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宋体" w:hAnsi="宋体"/>
          <w:sz w:val="24"/>
          <w:highlight w:val="none"/>
        </w:rPr>
      </w:pPr>
      <w:r>
        <w:rPr>
          <w:rFonts w:hint="eastAsia" w:ascii="宋体" w:hAnsi="宋体"/>
          <w:sz w:val="24"/>
          <w:highlight w:val="none"/>
        </w:rPr>
        <w:t>（1）资格性审查认定错误的；</w:t>
      </w:r>
    </w:p>
    <w:p>
      <w:pPr>
        <w:spacing w:line="400" w:lineRule="exact"/>
        <w:ind w:firstLine="480" w:firstLineChars="200"/>
        <w:rPr>
          <w:rFonts w:ascii="宋体" w:hAnsi="宋体"/>
          <w:sz w:val="24"/>
          <w:highlight w:val="none"/>
        </w:rPr>
      </w:pPr>
      <w:r>
        <w:rPr>
          <w:rFonts w:hint="eastAsia" w:ascii="宋体" w:hAnsi="宋体"/>
          <w:sz w:val="24"/>
          <w:highlight w:val="none"/>
        </w:rPr>
        <w:t>（2）分值汇总计算错误的；</w:t>
      </w:r>
    </w:p>
    <w:p>
      <w:pPr>
        <w:spacing w:line="400" w:lineRule="exact"/>
        <w:ind w:firstLine="480" w:firstLineChars="200"/>
        <w:rPr>
          <w:rFonts w:ascii="宋体" w:hAnsi="宋体"/>
          <w:sz w:val="24"/>
          <w:highlight w:val="none"/>
        </w:rPr>
      </w:pPr>
      <w:r>
        <w:rPr>
          <w:rFonts w:hint="eastAsia" w:ascii="宋体" w:hAnsi="宋体"/>
          <w:sz w:val="24"/>
          <w:highlight w:val="none"/>
        </w:rPr>
        <w:t>（3）分项评分超出评分标准范围的；</w:t>
      </w:r>
    </w:p>
    <w:p>
      <w:pPr>
        <w:spacing w:line="400" w:lineRule="exact"/>
        <w:ind w:firstLine="480" w:firstLineChars="200"/>
        <w:rPr>
          <w:rFonts w:ascii="宋体" w:hAnsi="宋体"/>
          <w:sz w:val="24"/>
          <w:highlight w:val="none"/>
        </w:rPr>
      </w:pPr>
      <w:r>
        <w:rPr>
          <w:rFonts w:hint="eastAsia" w:ascii="宋体" w:hAnsi="宋体"/>
          <w:sz w:val="24"/>
          <w:highlight w:val="none"/>
        </w:rPr>
        <w:t>（4）客观评分不一致的。</w:t>
      </w:r>
    </w:p>
    <w:p>
      <w:pPr>
        <w:spacing w:line="400" w:lineRule="exact"/>
        <w:ind w:firstLine="480" w:firstLineChars="200"/>
        <w:rPr>
          <w:rFonts w:ascii="宋体" w:hAnsi="宋体"/>
          <w:sz w:val="24"/>
          <w:highlight w:val="none"/>
        </w:rPr>
      </w:pPr>
      <w:r>
        <w:rPr>
          <w:rFonts w:hint="eastAsia" w:ascii="宋体" w:hAnsi="宋体"/>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ascii="宋体" w:hAnsi="宋体"/>
          <w:sz w:val="24"/>
          <w:highlight w:val="none"/>
        </w:rPr>
      </w:pPr>
      <w:r>
        <w:rPr>
          <w:rFonts w:hint="eastAsia" w:ascii="宋体" w:hAnsi="宋体"/>
          <w:sz w:val="24"/>
          <w:highlight w:val="none"/>
        </w:rPr>
        <w:t>采购代理机构复核过程中，磋商小组成员不得离开评审现场。</w:t>
      </w:r>
    </w:p>
    <w:p>
      <w:pPr>
        <w:spacing w:line="400" w:lineRule="exact"/>
        <w:ind w:firstLine="480" w:firstLineChars="200"/>
        <w:rPr>
          <w:rFonts w:ascii="宋体" w:hAnsi="宋体"/>
          <w:sz w:val="24"/>
          <w:highlight w:val="none"/>
        </w:rPr>
      </w:pPr>
      <w:r>
        <w:rPr>
          <w:rFonts w:hint="eastAsia" w:ascii="宋体" w:hAnsi="宋体"/>
          <w:sz w:val="24"/>
          <w:highlight w:val="none"/>
        </w:rPr>
        <w:t>2.9.2有下列情形之一的，不得现场修改评审结果：</w:t>
      </w:r>
    </w:p>
    <w:p>
      <w:pPr>
        <w:spacing w:line="400" w:lineRule="exact"/>
        <w:ind w:firstLine="480" w:firstLineChars="200"/>
        <w:rPr>
          <w:rFonts w:ascii="宋体" w:hAnsi="宋体"/>
          <w:sz w:val="24"/>
          <w:highlight w:val="none"/>
        </w:rPr>
      </w:pPr>
      <w:r>
        <w:rPr>
          <w:rFonts w:hint="eastAsia" w:ascii="宋体" w:hAnsi="宋体"/>
          <w:sz w:val="24"/>
          <w:highlight w:val="none"/>
        </w:rPr>
        <w:t>（1）磋商小组已经出具磋商报告并且离开评审现场的；</w:t>
      </w:r>
    </w:p>
    <w:p>
      <w:pPr>
        <w:spacing w:line="400" w:lineRule="exact"/>
        <w:ind w:firstLine="480" w:firstLineChars="200"/>
        <w:rPr>
          <w:rFonts w:ascii="宋体" w:hAnsi="宋体"/>
          <w:sz w:val="24"/>
          <w:highlight w:val="none"/>
        </w:rPr>
      </w:pPr>
      <w:r>
        <w:rPr>
          <w:rFonts w:hint="eastAsia" w:ascii="宋体" w:hAnsi="宋体"/>
          <w:sz w:val="24"/>
          <w:highlight w:val="none"/>
        </w:rPr>
        <w:t>（2）采购代理机构现场复核时，复核工作人员数量不足的；</w:t>
      </w:r>
    </w:p>
    <w:p>
      <w:pPr>
        <w:spacing w:line="400" w:lineRule="exact"/>
        <w:ind w:firstLine="480" w:firstLineChars="200"/>
        <w:rPr>
          <w:rFonts w:ascii="宋体" w:hAnsi="宋体"/>
          <w:sz w:val="24"/>
          <w:highlight w:val="none"/>
        </w:rPr>
      </w:pPr>
      <w:r>
        <w:rPr>
          <w:rFonts w:hint="eastAsia" w:ascii="宋体" w:hAnsi="宋体"/>
          <w:sz w:val="24"/>
          <w:highlight w:val="none"/>
        </w:rPr>
        <w:t>（3）采购代理机构现场复核时，没有采购监督人员现场监督的；</w:t>
      </w:r>
    </w:p>
    <w:p>
      <w:pPr>
        <w:spacing w:line="400" w:lineRule="exact"/>
        <w:ind w:firstLine="480" w:firstLineChars="200"/>
        <w:rPr>
          <w:rFonts w:ascii="宋体" w:hAnsi="宋体"/>
          <w:sz w:val="24"/>
          <w:highlight w:val="none"/>
        </w:rPr>
      </w:pPr>
      <w:r>
        <w:rPr>
          <w:rFonts w:hint="eastAsia" w:ascii="宋体" w:hAnsi="宋体"/>
          <w:sz w:val="24"/>
          <w:highlight w:val="none"/>
        </w:rPr>
        <w:t>（4）采购代理机构现场复核内容超出规定范围的；</w:t>
      </w:r>
    </w:p>
    <w:p>
      <w:pPr>
        <w:spacing w:line="400" w:lineRule="exact"/>
        <w:ind w:firstLine="480" w:firstLineChars="200"/>
        <w:rPr>
          <w:rFonts w:ascii="宋体" w:hAnsi="宋体"/>
          <w:sz w:val="24"/>
          <w:highlight w:val="none"/>
        </w:rPr>
      </w:pPr>
      <w:r>
        <w:rPr>
          <w:rFonts w:hint="eastAsia" w:ascii="宋体" w:hAnsi="宋体"/>
          <w:sz w:val="24"/>
          <w:highlight w:val="none"/>
        </w:rPr>
        <w:t>（5）采购代理机构未提供书面建议的。</w:t>
      </w:r>
    </w:p>
    <w:p>
      <w:pPr>
        <w:spacing w:line="400" w:lineRule="exact"/>
        <w:ind w:firstLine="480" w:firstLineChars="200"/>
        <w:rPr>
          <w:rFonts w:ascii="宋体" w:hAnsi="宋体"/>
          <w:sz w:val="24"/>
          <w:highlight w:val="none"/>
        </w:rPr>
      </w:pPr>
      <w:r>
        <w:rPr>
          <w:rFonts w:hint="eastAsia" w:ascii="宋体" w:hAnsi="宋体"/>
          <w:sz w:val="24"/>
          <w:highlight w:val="none"/>
        </w:rPr>
        <w:t>2.10编写磋商报告。磋商小组推荐成交候选供应商后，应向采购代理机构出具磋商报告。磋商报告应当包括以下主要内容：</w:t>
      </w:r>
    </w:p>
    <w:p>
      <w:pPr>
        <w:spacing w:line="400" w:lineRule="exact"/>
        <w:ind w:firstLine="480" w:firstLineChars="200"/>
        <w:rPr>
          <w:rFonts w:ascii="宋体" w:hAnsi="宋体"/>
          <w:sz w:val="24"/>
          <w:highlight w:val="none"/>
        </w:rPr>
      </w:pPr>
      <w:r>
        <w:rPr>
          <w:rFonts w:hint="eastAsia" w:ascii="宋体" w:hAnsi="宋体"/>
          <w:sz w:val="24"/>
          <w:highlight w:val="none"/>
        </w:rPr>
        <w:t>（1）邀请供应商参加采购活动的具体方式和相关情况；</w:t>
      </w:r>
    </w:p>
    <w:p>
      <w:pPr>
        <w:spacing w:line="400" w:lineRule="exact"/>
        <w:ind w:firstLine="480" w:firstLineChars="200"/>
        <w:rPr>
          <w:rFonts w:ascii="宋体" w:hAnsi="宋体"/>
          <w:sz w:val="24"/>
          <w:highlight w:val="none"/>
        </w:rPr>
      </w:pPr>
      <w:r>
        <w:rPr>
          <w:rFonts w:hint="eastAsia" w:ascii="宋体" w:hAnsi="宋体"/>
          <w:sz w:val="24"/>
          <w:highlight w:val="none"/>
        </w:rPr>
        <w:t>（2）响应文件开启日期和地点；</w:t>
      </w:r>
    </w:p>
    <w:p>
      <w:pPr>
        <w:spacing w:line="400" w:lineRule="exact"/>
        <w:ind w:firstLine="480" w:firstLineChars="200"/>
        <w:rPr>
          <w:rFonts w:ascii="宋体" w:hAnsi="宋体"/>
          <w:sz w:val="24"/>
          <w:highlight w:val="none"/>
        </w:rPr>
      </w:pPr>
      <w:r>
        <w:rPr>
          <w:rFonts w:hint="eastAsia" w:ascii="宋体" w:hAnsi="宋体"/>
          <w:sz w:val="24"/>
          <w:highlight w:val="none"/>
        </w:rPr>
        <w:t>（3）获取磋商文件的供应商名单和磋商小组成员名单；</w:t>
      </w:r>
    </w:p>
    <w:p>
      <w:pPr>
        <w:spacing w:line="400" w:lineRule="exact"/>
        <w:ind w:firstLine="480" w:firstLineChars="200"/>
        <w:rPr>
          <w:rFonts w:ascii="宋体" w:hAnsi="宋体"/>
          <w:sz w:val="24"/>
          <w:highlight w:val="none"/>
        </w:rPr>
      </w:pPr>
      <w:r>
        <w:rPr>
          <w:rFonts w:hint="eastAsia" w:ascii="宋体" w:hAnsi="宋体"/>
          <w:sz w:val="24"/>
          <w:highlight w:val="none"/>
        </w:rPr>
        <w:t>（4）评审情况记录和说明，包括对供应商的资格审查情况、供应商响应文件审查情况、磋商情况、报价情况等；</w:t>
      </w:r>
    </w:p>
    <w:p>
      <w:pPr>
        <w:spacing w:line="400" w:lineRule="exact"/>
        <w:ind w:firstLine="480" w:firstLineChars="200"/>
        <w:rPr>
          <w:rFonts w:ascii="宋体" w:hAnsi="宋体"/>
          <w:sz w:val="24"/>
          <w:highlight w:val="none"/>
        </w:rPr>
      </w:pPr>
      <w:r>
        <w:rPr>
          <w:rFonts w:hint="eastAsia" w:ascii="宋体" w:hAnsi="宋体"/>
          <w:sz w:val="24"/>
          <w:highlight w:val="none"/>
        </w:rPr>
        <w:t>（5）提出的成交候选供应商的排序名单及理由。</w:t>
      </w:r>
    </w:p>
    <w:p>
      <w:pPr>
        <w:spacing w:line="400" w:lineRule="exact"/>
        <w:ind w:firstLine="480" w:firstLineChars="200"/>
        <w:rPr>
          <w:rFonts w:ascii="宋体" w:hAnsi="宋体"/>
          <w:sz w:val="24"/>
          <w:highlight w:val="none"/>
        </w:rPr>
      </w:pPr>
      <w:r>
        <w:rPr>
          <w:rFonts w:hint="eastAsia" w:ascii="宋体" w:hAnsi="宋体"/>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sz w:val="24"/>
          <w:highlight w:val="none"/>
        </w:rPr>
      </w:pPr>
      <w:r>
        <w:rPr>
          <w:rFonts w:hint="eastAsia" w:ascii="宋体" w:hAnsi="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sz w:val="24"/>
          <w:highlight w:val="none"/>
        </w:rPr>
      </w:pPr>
      <w:r>
        <w:rPr>
          <w:rFonts w:hint="eastAsia" w:ascii="宋体" w:hAnsi="宋体"/>
          <w:sz w:val="24"/>
          <w:highlight w:val="none"/>
        </w:rPr>
        <w:t>2.12供应商澄清、说明</w:t>
      </w:r>
    </w:p>
    <w:p>
      <w:pPr>
        <w:spacing w:line="400" w:lineRule="exact"/>
        <w:ind w:firstLine="480" w:firstLineChars="200"/>
        <w:rPr>
          <w:rFonts w:ascii="宋体" w:hAnsi="宋体"/>
          <w:sz w:val="24"/>
          <w:highlight w:val="none"/>
        </w:rPr>
      </w:pPr>
      <w:r>
        <w:rPr>
          <w:rFonts w:hint="eastAsia" w:ascii="宋体" w:hAnsi="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sz w:val="24"/>
          <w:highlight w:val="none"/>
        </w:rPr>
      </w:pPr>
      <w:r>
        <w:rPr>
          <w:rFonts w:hint="eastAsia" w:ascii="宋体" w:hAnsi="宋体"/>
          <w:sz w:val="24"/>
          <w:highlight w:val="none"/>
        </w:rPr>
        <w:t>2.12.2磋商小组要求供应商澄清、说明或者更正响应文件应当以书面形式作出。供应商的澄清、说明或者更正应当由法定代表人或其授权代表签字或者加盖公章。</w:t>
      </w:r>
    </w:p>
    <w:p>
      <w:pPr>
        <w:spacing w:line="400" w:lineRule="exact"/>
        <w:ind w:firstLine="480" w:firstLineChars="200"/>
        <w:rPr>
          <w:rFonts w:ascii="宋体" w:hAnsi="宋体"/>
          <w:sz w:val="24"/>
          <w:highlight w:val="none"/>
        </w:rPr>
      </w:pPr>
      <w:r>
        <w:rPr>
          <w:rFonts w:hint="eastAsia" w:ascii="宋体" w:hAnsi="宋体"/>
          <w:sz w:val="24"/>
          <w:highlight w:val="none"/>
        </w:rPr>
        <w:t>2.13终止磋商采购活动。</w:t>
      </w:r>
    </w:p>
    <w:p>
      <w:pPr>
        <w:spacing w:line="400" w:lineRule="exact"/>
        <w:ind w:firstLine="480" w:firstLineChars="200"/>
        <w:rPr>
          <w:rFonts w:ascii="宋体" w:hAnsi="宋体"/>
          <w:sz w:val="24"/>
          <w:highlight w:val="none"/>
        </w:rPr>
      </w:pPr>
      <w:r>
        <w:rPr>
          <w:rFonts w:hint="eastAsia" w:ascii="宋体" w:hAnsi="宋体"/>
          <w:sz w:val="24"/>
          <w:highlight w:val="none"/>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sz w:val="24"/>
          <w:highlight w:val="none"/>
        </w:rPr>
      </w:pPr>
      <w:r>
        <w:rPr>
          <w:rFonts w:hint="eastAsia" w:ascii="宋体" w:hAnsi="宋体"/>
          <w:sz w:val="24"/>
          <w:highlight w:val="none"/>
        </w:rPr>
        <w:t>（1）因情况变化，不再符合规定的竞争性磋商采购方式适用情形的；</w:t>
      </w:r>
    </w:p>
    <w:p>
      <w:pPr>
        <w:spacing w:line="400" w:lineRule="exact"/>
        <w:ind w:firstLine="480" w:firstLineChars="200"/>
        <w:rPr>
          <w:rFonts w:ascii="宋体" w:hAnsi="宋体"/>
          <w:sz w:val="24"/>
          <w:highlight w:val="none"/>
        </w:rPr>
      </w:pPr>
      <w:r>
        <w:rPr>
          <w:rFonts w:hint="eastAsia" w:ascii="宋体" w:hAnsi="宋体"/>
          <w:sz w:val="24"/>
          <w:highlight w:val="none"/>
        </w:rPr>
        <w:t>（2）出现影响采购公正的违法、违规行为的；</w:t>
      </w:r>
    </w:p>
    <w:p>
      <w:pPr>
        <w:spacing w:line="400" w:lineRule="exact"/>
        <w:ind w:firstLine="480" w:firstLineChars="200"/>
        <w:rPr>
          <w:rFonts w:ascii="宋体"/>
          <w:color w:val="FF0000"/>
          <w:sz w:val="24"/>
          <w:highlight w:val="none"/>
        </w:rPr>
      </w:pPr>
      <w:r>
        <w:rPr>
          <w:rFonts w:hint="eastAsia" w:ascii="宋体" w:hAnsi="宋体"/>
          <w:sz w:val="24"/>
          <w:highlight w:val="none"/>
        </w:rPr>
        <w:t>（3）在采购过程中符合要求的供应商或者报价未超过最高限价的供应商不足3家的。</w:t>
      </w:r>
    </w:p>
    <w:p>
      <w:pPr>
        <w:spacing w:line="400" w:lineRule="exact"/>
        <w:ind w:firstLine="482" w:firstLineChars="200"/>
        <w:rPr>
          <w:rFonts w:ascii="宋体"/>
          <w:b/>
          <w:color w:val="000000"/>
          <w:sz w:val="24"/>
          <w:highlight w:val="none"/>
        </w:rPr>
      </w:pPr>
      <w:r>
        <w:rPr>
          <w:rFonts w:hint="eastAsia" w:ascii="宋体"/>
          <w:b/>
          <w:color w:val="000000"/>
          <w:sz w:val="24"/>
          <w:highlight w:val="none"/>
        </w:rPr>
        <w:t>3.综合评分</w:t>
      </w:r>
    </w:p>
    <w:p>
      <w:pPr>
        <w:spacing w:line="400" w:lineRule="exact"/>
        <w:ind w:firstLine="480" w:firstLineChars="200"/>
        <w:rPr>
          <w:sz w:val="24"/>
          <w:highlight w:val="none"/>
        </w:rPr>
      </w:pPr>
      <w:r>
        <w:rPr>
          <w:rFonts w:hint="eastAsia" w:ascii="宋体"/>
          <w:color w:val="000000"/>
          <w:sz w:val="24"/>
          <w:highlight w:val="none"/>
        </w:rPr>
        <w:t>3.1</w:t>
      </w:r>
      <w:r>
        <w:rPr>
          <w:rFonts w:hint="eastAsia"/>
          <w:sz w:val="24"/>
          <w:highlight w:val="none"/>
        </w:rPr>
        <w:t>本次综合评分的因素是：详见综合评分明细表。</w:t>
      </w:r>
    </w:p>
    <w:p>
      <w:pPr>
        <w:spacing w:line="400" w:lineRule="exact"/>
        <w:ind w:firstLine="480" w:firstLineChars="200"/>
        <w:rPr>
          <w:rFonts w:ascii="宋体"/>
          <w:color w:val="000000"/>
          <w:sz w:val="24"/>
          <w:highlight w:val="none"/>
        </w:rPr>
      </w:pPr>
      <w:r>
        <w:rPr>
          <w:rFonts w:hint="eastAsia" w:ascii="宋体"/>
          <w:color w:val="000000"/>
          <w:sz w:val="24"/>
          <w:highlight w:val="none"/>
        </w:rPr>
        <w:t>3.2</w:t>
      </w:r>
      <w:r>
        <w:rPr>
          <w:rFonts w:hint="eastAsia"/>
          <w:sz w:val="24"/>
          <w:highlight w:val="none"/>
        </w:rPr>
        <w:t xml:space="preserve"> 除价格因素外</w:t>
      </w:r>
      <w:r>
        <w:rPr>
          <w:rFonts w:hint="eastAsia" w:ascii="宋体"/>
          <w:color w:val="000000"/>
          <w:sz w:val="24"/>
          <w:highlight w:val="none"/>
        </w:rPr>
        <w:t>，磋商小组成员应当根据自身专业情况独立对每个有效供应商的响应文件进行评价、打分。</w:t>
      </w:r>
    </w:p>
    <w:p>
      <w:pPr>
        <w:pStyle w:val="9"/>
        <w:tabs>
          <w:tab w:val="left" w:pos="600"/>
        </w:tabs>
        <w:spacing w:line="400" w:lineRule="exact"/>
        <w:ind w:firstLine="480" w:firstLineChars="200"/>
        <w:rPr>
          <w:rFonts w:ascii="宋体"/>
          <w:color w:val="000000"/>
          <w:sz w:val="24"/>
          <w:szCs w:val="24"/>
          <w:highlight w:val="none"/>
        </w:rPr>
      </w:pPr>
      <w:r>
        <w:rPr>
          <w:rFonts w:hint="eastAsia" w:ascii="宋体"/>
          <w:color w:val="000000"/>
          <w:sz w:val="24"/>
          <w:szCs w:val="24"/>
          <w:highlight w:val="none"/>
        </w:rPr>
        <w:t>3.3</w:t>
      </w:r>
      <w:r>
        <w:rPr>
          <w:rFonts w:hint="eastAsia" w:ascii="宋体"/>
          <w:sz w:val="24"/>
          <w:szCs w:val="24"/>
          <w:highlight w:val="none"/>
        </w:rPr>
        <w:t>综合评分明细表</w:t>
      </w:r>
    </w:p>
    <w:p>
      <w:pPr>
        <w:pStyle w:val="9"/>
        <w:tabs>
          <w:tab w:val="left" w:pos="600"/>
        </w:tabs>
        <w:spacing w:line="400" w:lineRule="exact"/>
        <w:ind w:firstLine="480" w:firstLineChars="200"/>
        <w:rPr>
          <w:rFonts w:ascii="宋体"/>
          <w:sz w:val="24"/>
          <w:szCs w:val="24"/>
          <w:highlight w:val="none"/>
        </w:rPr>
      </w:pPr>
      <w:r>
        <w:rPr>
          <w:rFonts w:hint="eastAsia" w:ascii="宋体"/>
          <w:sz w:val="24"/>
          <w:szCs w:val="24"/>
          <w:highlight w:val="none"/>
        </w:rPr>
        <w:t>3.3.1综合评分明细表的制定以科学合理、降低评委会自由裁量权为原则。</w:t>
      </w:r>
    </w:p>
    <w:p>
      <w:pPr>
        <w:pStyle w:val="4"/>
        <w:keepNext w:val="0"/>
        <w:keepLines w:val="0"/>
        <w:spacing w:before="0" w:after="0" w:line="400" w:lineRule="exact"/>
        <w:ind w:firstLine="470" w:firstLineChars="196"/>
        <w:rPr>
          <w:rFonts w:hint="eastAsia" w:ascii="宋体" w:hAnsi="宋体" w:eastAsia="宋体"/>
          <w:b w:val="0"/>
          <w:sz w:val="24"/>
          <w:szCs w:val="24"/>
          <w:highlight w:val="none"/>
        </w:rPr>
      </w:pP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3.3.2综合评分明细表</w:t>
      </w:r>
    </w:p>
    <w:tbl>
      <w:tblPr>
        <w:tblStyle w:val="27"/>
        <w:tblW w:w="10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276"/>
        <w:gridCol w:w="1276"/>
        <w:gridCol w:w="5988"/>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616" w:type="dxa"/>
            <w:noWrap w:val="0"/>
            <w:vAlign w:val="top"/>
          </w:tcPr>
          <w:p>
            <w:pPr>
              <w:pStyle w:val="62"/>
              <w:spacing w:before="2"/>
              <w:ind w:left="18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w:t>
            </w:r>
          </w:p>
          <w:p>
            <w:pPr>
              <w:pStyle w:val="62"/>
              <w:spacing w:before="4" w:line="289" w:lineRule="exact"/>
              <w:ind w:left="18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号</w:t>
            </w:r>
          </w:p>
        </w:tc>
        <w:tc>
          <w:tcPr>
            <w:tcW w:w="1276" w:type="dxa"/>
            <w:noWrap w:val="0"/>
            <w:vAlign w:val="top"/>
          </w:tcPr>
          <w:p>
            <w:pPr>
              <w:pStyle w:val="62"/>
              <w:spacing w:before="2"/>
              <w:ind w:left="15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评分因素</w:t>
            </w:r>
          </w:p>
          <w:p>
            <w:pPr>
              <w:pStyle w:val="62"/>
              <w:spacing w:before="4" w:line="289" w:lineRule="exact"/>
              <w:ind w:left="27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及权重</w:t>
            </w:r>
          </w:p>
        </w:tc>
        <w:tc>
          <w:tcPr>
            <w:tcW w:w="1276" w:type="dxa"/>
            <w:noWrap w:val="0"/>
            <w:vAlign w:val="top"/>
          </w:tcPr>
          <w:p>
            <w:pPr>
              <w:pStyle w:val="62"/>
              <w:spacing w:before="158"/>
              <w:ind w:left="135" w:right="128"/>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分值</w:t>
            </w:r>
          </w:p>
        </w:tc>
        <w:tc>
          <w:tcPr>
            <w:tcW w:w="5988" w:type="dxa"/>
            <w:noWrap w:val="0"/>
            <w:vAlign w:val="top"/>
          </w:tcPr>
          <w:p>
            <w:pPr>
              <w:pStyle w:val="62"/>
              <w:spacing w:before="158"/>
              <w:ind w:left="2494" w:right="248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评分标准</w:t>
            </w:r>
          </w:p>
        </w:tc>
        <w:tc>
          <w:tcPr>
            <w:tcW w:w="1116" w:type="dxa"/>
            <w:noWrap w:val="0"/>
            <w:vAlign w:val="top"/>
          </w:tcPr>
          <w:p>
            <w:pPr>
              <w:pStyle w:val="62"/>
              <w:spacing w:before="158"/>
              <w:ind w:left="31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6" w:type="dxa"/>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spacing w:before="5"/>
              <w:rPr>
                <w:color w:val="000000" w:themeColor="text1"/>
                <w:sz w:val="19"/>
                <w:highlight w:val="none"/>
                <w14:textFill>
                  <w14:solidFill>
                    <w14:schemeClr w14:val="tx1"/>
                  </w14:solidFill>
                </w14:textFill>
              </w:rPr>
            </w:pPr>
          </w:p>
          <w:p>
            <w:pPr>
              <w:pStyle w:val="62"/>
              <w:ind w:left="11"/>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276" w:type="dxa"/>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spacing w:before="5"/>
              <w:rPr>
                <w:color w:val="000000" w:themeColor="text1"/>
                <w:sz w:val="19"/>
                <w:highlight w:val="none"/>
                <w14:textFill>
                  <w14:solidFill>
                    <w14:schemeClr w14:val="tx1"/>
                  </w14:solidFill>
                </w14:textFill>
              </w:rPr>
            </w:pPr>
          </w:p>
          <w:p>
            <w:pPr>
              <w:pStyle w:val="62"/>
              <w:ind w:left="136" w:right="128"/>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报价 </w:t>
            </w:r>
            <w:r>
              <w:rPr>
                <w:rFonts w:hint="eastAsia"/>
                <w:color w:val="000000" w:themeColor="text1"/>
                <w:sz w:val="24"/>
                <w:highlight w:val="none"/>
                <w:lang w:val="en-US"/>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0</w:t>
            </w:r>
            <w:r>
              <w:rPr>
                <w:color w:val="000000" w:themeColor="text1"/>
                <w:sz w:val="24"/>
                <w:highlight w:val="none"/>
                <w14:textFill>
                  <w14:solidFill>
                    <w14:schemeClr w14:val="tx1"/>
                  </w14:solidFill>
                </w14:textFill>
              </w:rPr>
              <w:t>%</w:t>
            </w:r>
          </w:p>
        </w:tc>
        <w:tc>
          <w:tcPr>
            <w:tcW w:w="1276" w:type="dxa"/>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spacing w:before="5"/>
              <w:rPr>
                <w:color w:val="000000" w:themeColor="text1"/>
                <w:sz w:val="19"/>
                <w:highlight w:val="none"/>
                <w14:textFill>
                  <w14:solidFill>
                    <w14:schemeClr w14:val="tx1"/>
                  </w14:solidFill>
                </w14:textFill>
              </w:rPr>
            </w:pPr>
          </w:p>
          <w:p>
            <w:pPr>
              <w:pStyle w:val="62"/>
              <w:ind w:left="135" w:right="128"/>
              <w:jc w:val="center"/>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0</w:t>
            </w:r>
            <w:r>
              <w:rPr>
                <w:rFonts w:hint="eastAsia"/>
                <w:color w:val="000000" w:themeColor="text1"/>
                <w:sz w:val="24"/>
                <w:highlight w:val="none"/>
                <w:lang w:val="en-US"/>
                <w14:textFill>
                  <w14:solidFill>
                    <w14:schemeClr w14:val="tx1"/>
                  </w14:solidFill>
                </w14:textFill>
              </w:rPr>
              <w:t>分</w:t>
            </w:r>
          </w:p>
        </w:tc>
        <w:tc>
          <w:tcPr>
            <w:tcW w:w="5988" w:type="dxa"/>
            <w:noWrap w:val="0"/>
            <w:vAlign w:val="top"/>
          </w:tcPr>
          <w:p>
            <w:pPr>
              <w:keepNext w:val="0"/>
              <w:keepLines w:val="0"/>
              <w:pageBreakBefore w:val="0"/>
              <w:widowControl w:val="0"/>
              <w:kinsoku/>
              <w:wordWrap/>
              <w:overflowPunct/>
              <w:topLinePunct w:val="0"/>
              <w:autoSpaceDN/>
              <w:bidi w:val="0"/>
              <w:adjustRightInd w:val="0"/>
              <w:snapToGrid w:val="0"/>
              <w:spacing w:line="240" w:lineRule="auto"/>
              <w:ind w:firstLine="420" w:firstLineChars="200"/>
              <w:textAlignment w:val="auto"/>
              <w:rPr>
                <w:rFonts w:hint="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240" w:lineRule="auto"/>
              <w:textAlignment w:val="auto"/>
              <w:rPr>
                <w:color w:val="000000" w:themeColor="text1"/>
                <w:sz w:val="24"/>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以本次有效的最低投标报价为基准价，投标报价得分=(基准价／投标报价)* </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0分*100%</w:t>
            </w:r>
          </w:p>
        </w:tc>
        <w:tc>
          <w:tcPr>
            <w:tcW w:w="1116" w:type="dxa"/>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31"/>
                <w:highlight w:val="none"/>
                <w14:textFill>
                  <w14:solidFill>
                    <w14:schemeClr w14:val="tx1"/>
                  </w14:solidFill>
                </w14:textFill>
              </w:rPr>
            </w:pPr>
            <w:r>
              <w:rPr>
                <w:color w:val="000000" w:themeColor="text1"/>
                <w:highlight w:val="none"/>
                <w14:textFill>
                  <w14:solidFill>
                    <w14:schemeClr w14:val="tx1"/>
                  </w14:solidFill>
                </w14:textFill>
              </w:rPr>
              <w:t>失信行为惩戒</w:t>
            </w:r>
            <w:r>
              <w:rPr>
                <w:rFonts w:hint="eastAsia"/>
                <w:color w:val="000000" w:themeColor="text1"/>
                <w:highlight w:val="none"/>
                <w:lang w:eastAsia="zh-CN"/>
                <w14:textFill>
                  <w14:solidFill>
                    <w14:schemeClr w14:val="tx1"/>
                  </w14:solidFill>
                </w14:textFill>
              </w:rPr>
              <w:t>按须知前附表执行。</w:t>
            </w:r>
          </w:p>
          <w:p>
            <w:pPr>
              <w:pStyle w:val="62"/>
              <w:spacing w:before="1" w:line="242" w:lineRule="auto"/>
              <w:ind w:left="198" w:right="185"/>
              <w:rPr>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616" w:type="dxa"/>
            <w:vMerge w:val="restart"/>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spacing w:before="10"/>
              <w:rPr>
                <w:color w:val="000000" w:themeColor="text1"/>
                <w:sz w:val="18"/>
                <w:highlight w:val="none"/>
                <w14:textFill>
                  <w14:solidFill>
                    <w14:schemeClr w14:val="tx1"/>
                  </w14:solidFill>
                </w14:textFill>
              </w:rPr>
            </w:pPr>
          </w:p>
          <w:p>
            <w:pPr>
              <w:pStyle w:val="62"/>
              <w:ind w:left="11"/>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276" w:type="dxa"/>
            <w:vMerge w:val="restart"/>
            <w:noWrap w:val="0"/>
            <w:vAlign w:val="top"/>
          </w:tcPr>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p>
          <w:p>
            <w:pPr>
              <w:pStyle w:val="62"/>
              <w:spacing w:before="5"/>
              <w:rPr>
                <w:color w:val="000000" w:themeColor="text1"/>
                <w:sz w:val="18"/>
                <w:highlight w:val="none"/>
                <w14:textFill>
                  <w14:solidFill>
                    <w14:schemeClr w14:val="tx1"/>
                  </w14:solidFill>
                </w14:textFill>
              </w:rPr>
            </w:pPr>
          </w:p>
          <w:p>
            <w:pPr>
              <w:pStyle w:val="6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管理服务方案</w:t>
            </w:r>
            <w:r>
              <w:rPr>
                <w:rFonts w:hint="eastAsia"/>
                <w:color w:val="000000" w:themeColor="text1"/>
                <w:sz w:val="24"/>
                <w:highlight w:val="none"/>
                <w:lang w:val="en-US"/>
                <w14:textFill>
                  <w14:solidFill>
                    <w14:schemeClr w14:val="tx1"/>
                  </w14:solidFill>
                </w14:textFill>
              </w:rPr>
              <w:t>5</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w:t>
            </w:r>
          </w:p>
        </w:tc>
        <w:tc>
          <w:tcPr>
            <w:tcW w:w="1276" w:type="dxa"/>
            <w:noWrap w:val="0"/>
            <w:vAlign w:val="top"/>
          </w:tcPr>
          <w:p>
            <w:pPr>
              <w:pStyle w:val="62"/>
              <w:spacing w:before="172" w:line="242" w:lineRule="auto"/>
              <w:ind w:left="108" w:right="19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食材采购环节规范操作管理制度 </w:t>
            </w:r>
          </w:p>
          <w:p>
            <w:pPr>
              <w:pStyle w:val="62"/>
              <w:spacing w:before="172" w:line="242" w:lineRule="auto"/>
              <w:ind w:left="108" w:right="195"/>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16</w:t>
            </w:r>
            <w:r>
              <w:rPr>
                <w:rFonts w:hint="eastAsia"/>
                <w:color w:val="000000" w:themeColor="text1"/>
                <w:sz w:val="24"/>
                <w:highlight w:val="none"/>
                <w14:textFill>
                  <w14:solidFill>
                    <w14:schemeClr w14:val="tx1"/>
                  </w14:solidFill>
                </w14:textFill>
              </w:rPr>
              <w:t>分</w:t>
            </w:r>
            <w:r>
              <w:rPr>
                <w:rFonts w:hint="eastAsia"/>
                <w:color w:val="000000" w:themeColor="text1"/>
                <w:sz w:val="24"/>
                <w:highlight w:val="none"/>
                <w:lang w:eastAsia="zh-CN"/>
                <w14:textFill>
                  <w14:solidFill>
                    <w14:schemeClr w14:val="tx1"/>
                  </w14:solidFill>
                </w14:textFill>
              </w:rPr>
              <w:t>）</w:t>
            </w:r>
          </w:p>
        </w:tc>
        <w:tc>
          <w:tcPr>
            <w:tcW w:w="5988" w:type="dxa"/>
            <w:noWrap w:val="0"/>
            <w:vAlign w:val="top"/>
          </w:tcPr>
          <w:p>
            <w:pPr>
              <w:pStyle w:val="62"/>
              <w:spacing w:before="16" w:line="242" w:lineRule="auto"/>
              <w:ind w:left="107" w:right="-2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供应商针对本项目提供食材采购管理制度（包含但不限</w:t>
            </w:r>
            <w:r>
              <w:rPr>
                <w:color w:val="000000" w:themeColor="text1"/>
                <w:spacing w:val="-11"/>
                <w:sz w:val="24"/>
                <w:highlight w:val="none"/>
                <w14:textFill>
                  <w14:solidFill>
                    <w14:schemeClr w14:val="tx1"/>
                  </w14:solidFill>
                </w14:textFill>
              </w:rPr>
              <w:t>于①食材溯源、②食材采购流程、③食材质量保证措施、</w:t>
            </w:r>
          </w:p>
          <w:p>
            <w:pPr>
              <w:pStyle w:val="62"/>
              <w:spacing w:line="305" w:lineRule="exact"/>
              <w:ind w:left="107"/>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④食材安全措施），符合本项目要求、内容详尽、可操作性强的得 16 分，</w:t>
            </w:r>
            <w:r>
              <w:rPr>
                <w:color w:val="000000" w:themeColor="text1"/>
                <w:spacing w:val="-12"/>
                <w:sz w:val="24"/>
                <w:highlight w:val="none"/>
                <w14:textFill>
                  <w14:solidFill>
                    <w14:schemeClr w14:val="tx1"/>
                  </w14:solidFill>
                </w14:textFill>
              </w:rPr>
              <w:t>每有一项缺项</w:t>
            </w:r>
            <w:r>
              <w:rPr>
                <w:rFonts w:hint="eastAsia"/>
                <w:color w:val="000000" w:themeColor="text1"/>
                <w:spacing w:val="-12"/>
                <w:sz w:val="24"/>
                <w:highlight w:val="none"/>
                <w:lang w:eastAsia="zh-CN"/>
                <w14:textFill>
                  <w14:solidFill>
                    <w14:schemeClr w14:val="tx1"/>
                  </w14:solidFill>
                </w14:textFill>
              </w:rPr>
              <w:t>扣</w:t>
            </w:r>
            <w:r>
              <w:rPr>
                <w:rFonts w:hint="eastAsia"/>
                <w:color w:val="000000" w:themeColor="text1"/>
                <w:spacing w:val="-12"/>
                <w:sz w:val="24"/>
                <w:highlight w:val="none"/>
                <w:lang w:val="en-US" w:eastAsia="zh-CN"/>
                <w14:textFill>
                  <w14:solidFill>
                    <w14:schemeClr w14:val="tx1"/>
                  </w14:solidFill>
                </w14:textFill>
              </w:rPr>
              <w:t>4分，</w:t>
            </w:r>
            <w:r>
              <w:rPr>
                <w:rFonts w:hint="eastAsia"/>
                <w:color w:val="000000" w:themeColor="text1"/>
                <w:spacing w:val="-4"/>
                <w:sz w:val="24"/>
                <w:highlight w:val="none"/>
                <w:lang w:eastAsia="zh-CN"/>
                <w14:textFill>
                  <w14:solidFill>
                    <w14:schemeClr w14:val="tx1"/>
                  </w14:solidFill>
                </w14:textFill>
              </w:rPr>
              <w:t>每有一项</w:t>
            </w:r>
            <w:r>
              <w:rPr>
                <w:color w:val="000000" w:themeColor="text1"/>
                <w:spacing w:val="-4"/>
                <w:sz w:val="24"/>
                <w:highlight w:val="none"/>
                <w14:textFill>
                  <w14:solidFill>
                    <w14:schemeClr w14:val="tx1"/>
                  </w14:solidFill>
                </w14:textFill>
              </w:rPr>
              <w:t xml:space="preserve">针对性不强或不满足要求的扣 </w:t>
            </w:r>
            <w:r>
              <w:rPr>
                <w:rFonts w:hint="eastAsia"/>
                <w:color w:val="000000" w:themeColor="text1"/>
                <w:spacing w:val="-4"/>
                <w:sz w:val="24"/>
                <w:highlight w:val="none"/>
                <w:lang w:val="en-US" w:eastAsia="zh-CN"/>
                <w14:textFill>
                  <w14:solidFill>
                    <w14:schemeClr w14:val="tx1"/>
                  </w14:solidFill>
                </w14:textFill>
              </w:rPr>
              <w:t>2</w:t>
            </w:r>
            <w:r>
              <w:rPr>
                <w:color w:val="000000" w:themeColor="text1"/>
                <w:spacing w:val="-8"/>
                <w:sz w:val="24"/>
                <w:highlight w:val="none"/>
                <w14:textFill>
                  <w14:solidFill>
                    <w14:schemeClr w14:val="tx1"/>
                  </w14:solidFill>
                </w14:textFill>
              </w:rPr>
              <w:t>分,扣完为止</w:t>
            </w:r>
            <w:r>
              <w:rPr>
                <w:color w:val="000000" w:themeColor="text1"/>
                <w:sz w:val="24"/>
                <w:highlight w:val="none"/>
                <w14:textFill>
                  <w14:solidFill>
                    <w14:schemeClr w14:val="tx1"/>
                  </w14:solidFill>
                </w14:textFill>
              </w:rPr>
              <w:t>。</w:t>
            </w:r>
          </w:p>
        </w:tc>
        <w:tc>
          <w:tcPr>
            <w:tcW w:w="1116" w:type="dxa"/>
            <w:vMerge w:val="restart"/>
            <w:noWrap w:val="0"/>
            <w:vAlign w:val="top"/>
          </w:tcPr>
          <w:p>
            <w:pPr>
              <w:pStyle w:val="62"/>
              <w:spacing w:before="1" w:line="242" w:lineRule="auto"/>
              <w:ind w:left="198" w:right="185"/>
              <w:jc w:val="center"/>
              <w:rPr>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6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noWrap w:val="0"/>
            <w:vAlign w:val="top"/>
          </w:tcPr>
          <w:p>
            <w:pPr>
              <w:pStyle w:val="62"/>
              <w:rPr>
                <w:color w:val="000000" w:themeColor="text1"/>
                <w:sz w:val="24"/>
                <w:highlight w:val="none"/>
                <w14:textFill>
                  <w14:solidFill>
                    <w14:schemeClr w14:val="tx1"/>
                  </w14:solidFill>
                </w14:textFill>
              </w:rPr>
            </w:pPr>
          </w:p>
          <w:p>
            <w:pPr>
              <w:pStyle w:val="62"/>
              <w:spacing w:before="9"/>
              <w:rPr>
                <w:color w:val="000000" w:themeColor="text1"/>
                <w:sz w:val="24"/>
                <w:highlight w:val="none"/>
                <w14:textFill>
                  <w14:solidFill>
                    <w14:schemeClr w14:val="tx1"/>
                  </w14:solidFill>
                </w14:textFill>
              </w:rPr>
            </w:pPr>
          </w:p>
          <w:p>
            <w:pPr>
              <w:pStyle w:val="62"/>
              <w:spacing w:line="242" w:lineRule="auto"/>
              <w:ind w:left="247" w:right="147" w:hanging="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配餐服务</w:t>
            </w:r>
          </w:p>
          <w:p>
            <w:pPr>
              <w:pStyle w:val="62"/>
              <w:spacing w:line="242" w:lineRule="auto"/>
              <w:ind w:left="247" w:right="147" w:hanging="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方案</w:t>
            </w:r>
          </w:p>
          <w:p>
            <w:pPr>
              <w:pStyle w:val="62"/>
              <w:spacing w:line="242" w:lineRule="auto"/>
              <w:ind w:left="247" w:right="147" w:hanging="92"/>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分</w:t>
            </w:r>
            <w:r>
              <w:rPr>
                <w:rFonts w:hint="eastAsia"/>
                <w:color w:val="000000" w:themeColor="text1"/>
                <w:sz w:val="24"/>
                <w:highlight w:val="none"/>
                <w:lang w:eastAsia="zh-CN"/>
                <w14:textFill>
                  <w14:solidFill>
                    <w14:schemeClr w14:val="tx1"/>
                  </w14:solidFill>
                </w14:textFill>
              </w:rPr>
              <w:t>）</w:t>
            </w:r>
          </w:p>
        </w:tc>
        <w:tc>
          <w:tcPr>
            <w:tcW w:w="5988" w:type="dxa"/>
            <w:noWrap w:val="0"/>
            <w:vAlign w:val="top"/>
          </w:tcPr>
          <w:p>
            <w:pPr>
              <w:pStyle w:val="62"/>
              <w:spacing w:before="4" w:line="290" w:lineRule="exact"/>
              <w:ind w:left="10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供应商针对本项目提供有配餐方案完整（至少包括①供</w:t>
            </w:r>
            <w:r>
              <w:rPr>
                <w:color w:val="000000" w:themeColor="text1"/>
                <w:spacing w:val="-12"/>
                <w:sz w:val="24"/>
                <w:highlight w:val="none"/>
                <w14:textFill>
                  <w14:solidFill>
                    <w14:schemeClr w14:val="tx1"/>
                  </w14:solidFill>
                </w14:textFill>
              </w:rPr>
              <w:t>餐安排、② 饭菜搭配标准、③每周饭菜安排、④食材营</w:t>
            </w:r>
            <w:r>
              <w:rPr>
                <w:color w:val="000000" w:themeColor="text1"/>
                <w:sz w:val="24"/>
                <w:highlight w:val="none"/>
                <w14:textFill>
                  <w14:solidFill>
                    <w14:schemeClr w14:val="tx1"/>
                  </w14:solidFill>
                </w14:textFill>
              </w:rPr>
              <w:t>养搭配、⑤公务接待就餐人员应急安排等）且符合本项目要求、内容详尽、可操作性强的得 1</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 xml:space="preserve"> 分，</w:t>
            </w:r>
            <w:r>
              <w:rPr>
                <w:color w:val="000000" w:themeColor="text1"/>
                <w:spacing w:val="-12"/>
                <w:sz w:val="24"/>
                <w:highlight w:val="none"/>
                <w14:textFill>
                  <w14:solidFill>
                    <w14:schemeClr w14:val="tx1"/>
                  </w14:solidFill>
                </w14:textFill>
              </w:rPr>
              <w:t>每有一项缺项</w:t>
            </w:r>
            <w:r>
              <w:rPr>
                <w:rFonts w:hint="eastAsia"/>
                <w:color w:val="000000" w:themeColor="text1"/>
                <w:spacing w:val="-12"/>
                <w:sz w:val="24"/>
                <w:highlight w:val="none"/>
                <w:lang w:eastAsia="zh-CN"/>
                <w14:textFill>
                  <w14:solidFill>
                    <w14:schemeClr w14:val="tx1"/>
                  </w14:solidFill>
                </w14:textFill>
              </w:rPr>
              <w:t>扣</w:t>
            </w:r>
            <w:r>
              <w:rPr>
                <w:rFonts w:hint="eastAsia"/>
                <w:color w:val="000000" w:themeColor="text1"/>
                <w:spacing w:val="-12"/>
                <w:sz w:val="24"/>
                <w:highlight w:val="none"/>
                <w:lang w:val="en-US" w:eastAsia="zh-CN"/>
                <w14:textFill>
                  <w14:solidFill>
                    <w14:schemeClr w14:val="tx1"/>
                  </w14:solidFill>
                </w14:textFill>
              </w:rPr>
              <w:t>3分，</w:t>
            </w:r>
            <w:r>
              <w:rPr>
                <w:rFonts w:hint="eastAsia"/>
                <w:color w:val="000000" w:themeColor="text1"/>
                <w:spacing w:val="-4"/>
                <w:sz w:val="24"/>
                <w:highlight w:val="none"/>
                <w:lang w:eastAsia="zh-CN"/>
                <w14:textFill>
                  <w14:solidFill>
                    <w14:schemeClr w14:val="tx1"/>
                  </w14:solidFill>
                </w14:textFill>
              </w:rPr>
              <w:t>每有一项</w:t>
            </w:r>
            <w:r>
              <w:rPr>
                <w:color w:val="000000" w:themeColor="text1"/>
                <w:spacing w:val="-4"/>
                <w:sz w:val="24"/>
                <w:highlight w:val="none"/>
                <w14:textFill>
                  <w14:solidFill>
                    <w14:schemeClr w14:val="tx1"/>
                  </w14:solidFill>
                </w14:textFill>
              </w:rPr>
              <w:t xml:space="preserve">针对性不强或不满足要求的扣 </w:t>
            </w:r>
            <w:r>
              <w:rPr>
                <w:rFonts w:hint="eastAsia"/>
                <w:color w:val="000000" w:themeColor="text1"/>
                <w:spacing w:val="-4"/>
                <w:sz w:val="24"/>
                <w:highlight w:val="none"/>
                <w:lang w:val="en-US" w:eastAsia="zh-CN"/>
                <w14:textFill>
                  <w14:solidFill>
                    <w14:schemeClr w14:val="tx1"/>
                  </w14:solidFill>
                </w14:textFill>
              </w:rPr>
              <w:t>1.5</w:t>
            </w:r>
            <w:r>
              <w:rPr>
                <w:color w:val="000000" w:themeColor="text1"/>
                <w:spacing w:val="-8"/>
                <w:sz w:val="24"/>
                <w:highlight w:val="none"/>
                <w14:textFill>
                  <w14:solidFill>
                    <w14:schemeClr w14:val="tx1"/>
                  </w14:solidFill>
                </w14:textFill>
              </w:rPr>
              <w:t>分,扣完为止</w:t>
            </w:r>
            <w:r>
              <w:rPr>
                <w:color w:val="000000" w:themeColor="text1"/>
                <w:sz w:val="24"/>
                <w:highlight w:val="none"/>
                <w14:textFill>
                  <w14:solidFill>
                    <w14:schemeClr w14:val="tx1"/>
                  </w14:solidFill>
                </w14:textFill>
              </w:rPr>
              <w:t>。</w:t>
            </w:r>
          </w:p>
        </w:tc>
        <w:tc>
          <w:tcPr>
            <w:tcW w:w="11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6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noWrap w:val="0"/>
            <w:vAlign w:val="top"/>
          </w:tcPr>
          <w:p>
            <w:pPr>
              <w:pStyle w:val="62"/>
              <w:spacing w:before="7"/>
              <w:rPr>
                <w:color w:val="000000" w:themeColor="text1"/>
                <w:sz w:val="25"/>
                <w:highlight w:val="none"/>
                <w14:textFill>
                  <w14:solidFill>
                    <w14:schemeClr w14:val="tx1"/>
                  </w14:solidFill>
                </w14:textFill>
              </w:rPr>
            </w:pPr>
          </w:p>
          <w:p>
            <w:pPr>
              <w:pStyle w:val="62"/>
              <w:spacing w:before="1" w:line="242" w:lineRule="auto"/>
              <w:ind w:left="108" w:right="195"/>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卫生管理</w:t>
            </w:r>
            <w:r>
              <w:rPr>
                <w:color w:val="000000" w:themeColor="text1"/>
                <w:sz w:val="24"/>
                <w:highlight w:val="none"/>
                <w14:textFill>
                  <w14:solidFill>
                    <w14:schemeClr w14:val="tx1"/>
                  </w14:solidFill>
                </w14:textFill>
              </w:rPr>
              <w:t>方案</w:t>
            </w:r>
          </w:p>
          <w:p>
            <w:pPr>
              <w:pStyle w:val="62"/>
              <w:spacing w:before="1" w:line="242" w:lineRule="auto"/>
              <w:ind w:left="108" w:right="195"/>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分</w:t>
            </w:r>
            <w:r>
              <w:rPr>
                <w:rFonts w:hint="eastAsia"/>
                <w:color w:val="000000" w:themeColor="text1"/>
                <w:sz w:val="24"/>
                <w:highlight w:val="none"/>
                <w:lang w:eastAsia="zh-CN"/>
                <w14:textFill>
                  <w14:solidFill>
                    <w14:schemeClr w14:val="tx1"/>
                  </w14:solidFill>
                </w14:textFill>
              </w:rPr>
              <w:t>）</w:t>
            </w:r>
          </w:p>
        </w:tc>
        <w:tc>
          <w:tcPr>
            <w:tcW w:w="5988" w:type="dxa"/>
            <w:noWrap w:val="0"/>
            <w:vAlign w:val="top"/>
          </w:tcPr>
          <w:p>
            <w:pPr>
              <w:pStyle w:val="62"/>
              <w:spacing w:before="16" w:line="242" w:lineRule="auto"/>
              <w:ind w:left="107" w:right="10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供应商针对本项目提供卫生管理方案（</w:t>
            </w:r>
            <w:r>
              <w:rPr>
                <w:color w:val="000000" w:themeColor="text1"/>
                <w:spacing w:val="-3"/>
                <w:sz w:val="24"/>
                <w:highlight w:val="none"/>
                <w14:textFill>
                  <w14:solidFill>
                    <w14:schemeClr w14:val="tx1"/>
                  </w14:solidFill>
                </w14:textFill>
              </w:rPr>
              <w:t xml:space="preserve">包含但不限于① </w:t>
            </w:r>
            <w:r>
              <w:rPr>
                <w:color w:val="000000" w:themeColor="text1"/>
                <w:spacing w:val="-1"/>
                <w:sz w:val="24"/>
                <w:highlight w:val="none"/>
                <w14:textFill>
                  <w14:solidFill>
                    <w14:schemeClr w14:val="tx1"/>
                  </w14:solidFill>
                </w14:textFill>
              </w:rPr>
              <w:t>厨房及设备设施卫生、②餐厅卫生、③食品制作卫生、</w:t>
            </w:r>
          </w:p>
          <w:p>
            <w:pPr>
              <w:pStyle w:val="62"/>
              <w:spacing w:before="3" w:line="305" w:lineRule="exact"/>
              <w:ind w:left="10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④个人卫生</w:t>
            </w:r>
            <w:r>
              <w:rPr>
                <w:color w:val="000000" w:themeColor="text1"/>
                <w:spacing w:val="-36"/>
                <w:sz w:val="24"/>
                <w:highlight w:val="none"/>
                <w14:textFill>
                  <w14:solidFill>
                    <w14:schemeClr w14:val="tx1"/>
                  </w14:solidFill>
                </w14:textFill>
              </w:rPr>
              <w:t>）</w:t>
            </w:r>
            <w:r>
              <w:rPr>
                <w:color w:val="000000" w:themeColor="text1"/>
                <w:spacing w:val="-7"/>
                <w:sz w:val="24"/>
                <w:highlight w:val="none"/>
                <w14:textFill>
                  <w14:solidFill>
                    <w14:schemeClr w14:val="tx1"/>
                  </w14:solidFill>
                </w14:textFill>
              </w:rPr>
              <w:t>方案符合本项目要求、 内容详尽、可操作</w:t>
            </w:r>
            <w:r>
              <w:rPr>
                <w:color w:val="000000" w:themeColor="text1"/>
                <w:spacing w:val="-12"/>
                <w:sz w:val="24"/>
                <w:highlight w:val="none"/>
                <w14:textFill>
                  <w14:solidFill>
                    <w14:schemeClr w14:val="tx1"/>
                  </w14:solidFill>
                </w14:textFill>
              </w:rPr>
              <w:t xml:space="preserve">性强的得 </w:t>
            </w:r>
            <w:r>
              <w:rPr>
                <w:color w:val="000000" w:themeColor="text1"/>
                <w:sz w:val="24"/>
                <w:highlight w:val="none"/>
                <w14:textFill>
                  <w14:solidFill>
                    <w14:schemeClr w14:val="tx1"/>
                  </w14:solidFill>
                </w14:textFill>
              </w:rPr>
              <w:t>12</w:t>
            </w:r>
            <w:r>
              <w:rPr>
                <w:color w:val="000000" w:themeColor="text1"/>
                <w:spacing w:val="-15"/>
                <w:sz w:val="24"/>
                <w:highlight w:val="none"/>
                <w14:textFill>
                  <w14:solidFill>
                    <w14:schemeClr w14:val="tx1"/>
                  </w14:solidFill>
                </w14:textFill>
              </w:rPr>
              <w:t xml:space="preserve"> 分，</w:t>
            </w:r>
            <w:r>
              <w:rPr>
                <w:color w:val="000000" w:themeColor="text1"/>
                <w:spacing w:val="-12"/>
                <w:sz w:val="24"/>
                <w:highlight w:val="none"/>
                <w14:textFill>
                  <w14:solidFill>
                    <w14:schemeClr w14:val="tx1"/>
                  </w14:solidFill>
                </w14:textFill>
              </w:rPr>
              <w:t>每有一项缺项</w:t>
            </w:r>
            <w:r>
              <w:rPr>
                <w:rFonts w:hint="eastAsia"/>
                <w:color w:val="000000" w:themeColor="text1"/>
                <w:spacing w:val="-12"/>
                <w:sz w:val="24"/>
                <w:highlight w:val="none"/>
                <w:lang w:eastAsia="zh-CN"/>
                <w14:textFill>
                  <w14:solidFill>
                    <w14:schemeClr w14:val="tx1"/>
                  </w14:solidFill>
                </w14:textFill>
              </w:rPr>
              <w:t>扣</w:t>
            </w:r>
            <w:r>
              <w:rPr>
                <w:rFonts w:hint="eastAsia"/>
                <w:color w:val="000000" w:themeColor="text1"/>
                <w:spacing w:val="-12"/>
                <w:sz w:val="24"/>
                <w:highlight w:val="none"/>
                <w:lang w:val="en-US" w:eastAsia="zh-CN"/>
                <w14:textFill>
                  <w14:solidFill>
                    <w14:schemeClr w14:val="tx1"/>
                  </w14:solidFill>
                </w14:textFill>
              </w:rPr>
              <w:t>3分，</w:t>
            </w:r>
            <w:r>
              <w:rPr>
                <w:rFonts w:hint="eastAsia"/>
                <w:color w:val="000000" w:themeColor="text1"/>
                <w:spacing w:val="-4"/>
                <w:sz w:val="24"/>
                <w:highlight w:val="none"/>
                <w:lang w:eastAsia="zh-CN"/>
                <w14:textFill>
                  <w14:solidFill>
                    <w14:schemeClr w14:val="tx1"/>
                  </w14:solidFill>
                </w14:textFill>
              </w:rPr>
              <w:t>每有一项</w:t>
            </w:r>
            <w:r>
              <w:rPr>
                <w:color w:val="000000" w:themeColor="text1"/>
                <w:spacing w:val="-4"/>
                <w:sz w:val="24"/>
                <w:highlight w:val="none"/>
                <w14:textFill>
                  <w14:solidFill>
                    <w14:schemeClr w14:val="tx1"/>
                  </w14:solidFill>
                </w14:textFill>
              </w:rPr>
              <w:t xml:space="preserve">针对性不强或不满足要求的扣 </w:t>
            </w:r>
            <w:r>
              <w:rPr>
                <w:rFonts w:hint="eastAsia"/>
                <w:color w:val="000000" w:themeColor="text1"/>
                <w:spacing w:val="-4"/>
                <w:sz w:val="24"/>
                <w:highlight w:val="none"/>
                <w:lang w:val="en-US" w:eastAsia="zh-CN"/>
                <w14:textFill>
                  <w14:solidFill>
                    <w14:schemeClr w14:val="tx1"/>
                  </w14:solidFill>
                </w14:textFill>
              </w:rPr>
              <w:t>1.5</w:t>
            </w:r>
            <w:r>
              <w:rPr>
                <w:color w:val="000000" w:themeColor="text1"/>
                <w:spacing w:val="-8"/>
                <w:sz w:val="24"/>
                <w:highlight w:val="none"/>
                <w14:textFill>
                  <w14:solidFill>
                    <w14:schemeClr w14:val="tx1"/>
                  </w14:solidFill>
                </w14:textFill>
              </w:rPr>
              <w:t>分,扣完为止</w:t>
            </w:r>
            <w:r>
              <w:rPr>
                <w:color w:val="000000" w:themeColor="text1"/>
                <w:sz w:val="24"/>
                <w:highlight w:val="none"/>
                <w14:textFill>
                  <w14:solidFill>
                    <w14:schemeClr w14:val="tx1"/>
                  </w14:solidFill>
                </w14:textFill>
              </w:rPr>
              <w:t>。</w:t>
            </w:r>
          </w:p>
        </w:tc>
        <w:tc>
          <w:tcPr>
            <w:tcW w:w="11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6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c>
          <w:tcPr>
            <w:tcW w:w="1276" w:type="dxa"/>
            <w:noWrap w:val="0"/>
            <w:vAlign w:val="top"/>
          </w:tcPr>
          <w:p>
            <w:pPr>
              <w:pStyle w:val="62"/>
              <w:rPr>
                <w:color w:val="000000" w:themeColor="text1"/>
                <w:sz w:val="24"/>
                <w:highlight w:val="none"/>
                <w14:textFill>
                  <w14:solidFill>
                    <w14:schemeClr w14:val="tx1"/>
                  </w14:solidFill>
                </w14:textFill>
              </w:rPr>
            </w:pPr>
          </w:p>
          <w:p>
            <w:pPr>
              <w:pStyle w:val="62"/>
              <w:spacing w:before="11"/>
              <w:rPr>
                <w:color w:val="000000" w:themeColor="text1"/>
                <w:sz w:val="19"/>
                <w:highlight w:val="none"/>
                <w14:textFill>
                  <w14:solidFill>
                    <w14:schemeClr w14:val="tx1"/>
                  </w14:solidFill>
                </w14:textFill>
              </w:rPr>
            </w:pPr>
          </w:p>
          <w:p>
            <w:pPr>
              <w:pStyle w:val="62"/>
              <w:spacing w:line="242" w:lineRule="auto"/>
              <w:ind w:left="348" w:right="147" w:hanging="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管理制度</w:t>
            </w:r>
          </w:p>
          <w:p>
            <w:pPr>
              <w:pStyle w:val="62"/>
              <w:spacing w:line="242" w:lineRule="auto"/>
              <w:ind w:left="348" w:right="147" w:hanging="192"/>
              <w:rPr>
                <w:rFonts w:hint="eastAsia"/>
                <w:color w:val="000000" w:themeColor="text1"/>
                <w:sz w:val="24"/>
                <w:highlight w:val="none"/>
                <w:lang w:val="en-US"/>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lang w:val="en-US"/>
                <w14:textFill>
                  <w14:solidFill>
                    <w14:schemeClr w14:val="tx1"/>
                  </w14:solidFill>
                </w14:textFill>
              </w:rPr>
              <w:t>5分</w:t>
            </w:r>
            <w:r>
              <w:rPr>
                <w:rFonts w:hint="eastAsia"/>
                <w:color w:val="000000" w:themeColor="text1"/>
                <w:sz w:val="24"/>
                <w:highlight w:val="none"/>
                <w:lang w:eastAsia="zh-CN"/>
                <w14:textFill>
                  <w14:solidFill>
                    <w14:schemeClr w14:val="tx1"/>
                  </w14:solidFill>
                </w14:textFill>
              </w:rPr>
              <w:t>）</w:t>
            </w:r>
          </w:p>
        </w:tc>
        <w:tc>
          <w:tcPr>
            <w:tcW w:w="5988" w:type="dxa"/>
            <w:noWrap w:val="0"/>
            <w:vAlign w:val="top"/>
          </w:tcPr>
          <w:p>
            <w:pPr>
              <w:pStyle w:val="62"/>
              <w:spacing w:before="1"/>
              <w:ind w:left="107" w:right="-29"/>
              <w:rPr>
                <w:color w:val="000000" w:themeColor="text1"/>
                <w:sz w:val="24"/>
                <w:highlight w:val="none"/>
                <w14:textFill>
                  <w14:solidFill>
                    <w14:schemeClr w14:val="tx1"/>
                  </w14:solidFill>
                </w14:textFill>
              </w:rPr>
            </w:pPr>
            <w:r>
              <w:rPr>
                <w:color w:val="000000" w:themeColor="text1"/>
                <w:spacing w:val="-9"/>
                <w:sz w:val="24"/>
                <w:highlight w:val="none"/>
                <w14:textFill>
                  <w14:solidFill>
                    <w14:schemeClr w14:val="tx1"/>
                  </w14:solidFill>
                </w14:textFill>
              </w:rPr>
              <w:t>供应商具有完善的食堂管理制度，包括①员工管理制度、</w:t>
            </w:r>
          </w:p>
          <w:p>
            <w:pPr>
              <w:pStyle w:val="62"/>
              <w:spacing w:before="1" w:line="291" w:lineRule="exact"/>
              <w:ind w:left="10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②库房管理制度、③食品留样制度、④清洗消毒保洁制度、⑤设施设备安全操作制度。制度标准符合本项目要</w:t>
            </w:r>
            <w:r>
              <w:rPr>
                <w:color w:val="000000" w:themeColor="text1"/>
                <w:spacing w:val="-6"/>
                <w:sz w:val="24"/>
                <w:highlight w:val="none"/>
                <w14:textFill>
                  <w14:solidFill>
                    <w14:schemeClr w14:val="tx1"/>
                  </w14:solidFill>
                </w14:textFill>
              </w:rPr>
              <w:t xml:space="preserve">求、 内容详尽、可操作性强的得 </w:t>
            </w:r>
            <w:r>
              <w:rPr>
                <w:color w:val="000000" w:themeColor="text1"/>
                <w:sz w:val="24"/>
                <w:highlight w:val="none"/>
                <w14:textFill>
                  <w14:solidFill>
                    <w14:schemeClr w14:val="tx1"/>
                  </w14:solidFill>
                </w14:textFill>
              </w:rPr>
              <w:t>1</w:t>
            </w:r>
            <w:r>
              <w:rPr>
                <w:rFonts w:hint="eastAsia"/>
                <w:color w:val="000000" w:themeColor="text1"/>
                <w:sz w:val="24"/>
                <w:highlight w:val="none"/>
                <w:lang w:val="en-US"/>
                <w14:textFill>
                  <w14:solidFill>
                    <w14:schemeClr w14:val="tx1"/>
                  </w14:solidFill>
                </w14:textFill>
              </w:rPr>
              <w:t>5</w:t>
            </w:r>
            <w:r>
              <w:rPr>
                <w:color w:val="000000" w:themeColor="text1"/>
                <w:spacing w:val="-12"/>
                <w:sz w:val="24"/>
                <w:highlight w:val="none"/>
                <w14:textFill>
                  <w14:solidFill>
                    <w14:schemeClr w14:val="tx1"/>
                  </w14:solidFill>
                </w14:textFill>
              </w:rPr>
              <w:t xml:space="preserve"> 分，每有一项缺项</w:t>
            </w:r>
            <w:r>
              <w:rPr>
                <w:rFonts w:hint="eastAsia"/>
                <w:color w:val="000000" w:themeColor="text1"/>
                <w:spacing w:val="-12"/>
                <w:sz w:val="24"/>
                <w:highlight w:val="none"/>
                <w:lang w:eastAsia="zh-CN"/>
                <w14:textFill>
                  <w14:solidFill>
                    <w14:schemeClr w14:val="tx1"/>
                  </w14:solidFill>
                </w14:textFill>
              </w:rPr>
              <w:t>扣</w:t>
            </w:r>
            <w:r>
              <w:rPr>
                <w:rFonts w:hint="eastAsia"/>
                <w:color w:val="000000" w:themeColor="text1"/>
                <w:spacing w:val="-12"/>
                <w:sz w:val="24"/>
                <w:highlight w:val="none"/>
                <w:lang w:val="en-US" w:eastAsia="zh-CN"/>
                <w14:textFill>
                  <w14:solidFill>
                    <w14:schemeClr w14:val="tx1"/>
                  </w14:solidFill>
                </w14:textFill>
              </w:rPr>
              <w:t>3分，</w:t>
            </w:r>
            <w:r>
              <w:rPr>
                <w:rFonts w:hint="eastAsia"/>
                <w:color w:val="000000" w:themeColor="text1"/>
                <w:spacing w:val="-4"/>
                <w:sz w:val="24"/>
                <w:highlight w:val="none"/>
                <w:lang w:eastAsia="zh-CN"/>
                <w14:textFill>
                  <w14:solidFill>
                    <w14:schemeClr w14:val="tx1"/>
                  </w14:solidFill>
                </w14:textFill>
              </w:rPr>
              <w:t>每有一项</w:t>
            </w:r>
            <w:r>
              <w:rPr>
                <w:color w:val="000000" w:themeColor="text1"/>
                <w:spacing w:val="-4"/>
                <w:sz w:val="24"/>
                <w:highlight w:val="none"/>
                <w14:textFill>
                  <w14:solidFill>
                    <w14:schemeClr w14:val="tx1"/>
                  </w14:solidFill>
                </w14:textFill>
              </w:rPr>
              <w:t xml:space="preserve">针对性不强或不满足要求的扣 </w:t>
            </w:r>
            <w:r>
              <w:rPr>
                <w:rFonts w:hint="eastAsia"/>
                <w:color w:val="000000" w:themeColor="text1"/>
                <w:spacing w:val="-4"/>
                <w:sz w:val="24"/>
                <w:highlight w:val="none"/>
                <w:lang w:val="en-US" w:eastAsia="zh-CN"/>
                <w14:textFill>
                  <w14:solidFill>
                    <w14:schemeClr w14:val="tx1"/>
                  </w14:solidFill>
                </w14:textFill>
              </w:rPr>
              <w:t>1.5</w:t>
            </w:r>
            <w:r>
              <w:rPr>
                <w:color w:val="000000" w:themeColor="text1"/>
                <w:spacing w:val="-8"/>
                <w:sz w:val="24"/>
                <w:highlight w:val="none"/>
                <w14:textFill>
                  <w14:solidFill>
                    <w14:schemeClr w14:val="tx1"/>
                  </w14:solidFill>
                </w14:textFill>
              </w:rPr>
              <w:t>分,扣完为止</w:t>
            </w:r>
            <w:r>
              <w:rPr>
                <w:color w:val="000000" w:themeColor="text1"/>
                <w:sz w:val="24"/>
                <w:highlight w:val="none"/>
                <w14:textFill>
                  <w14:solidFill>
                    <w14:schemeClr w14:val="tx1"/>
                  </w14:solidFill>
                </w14:textFill>
              </w:rPr>
              <w:t>。</w:t>
            </w:r>
          </w:p>
        </w:tc>
        <w:tc>
          <w:tcPr>
            <w:tcW w:w="1116" w:type="dxa"/>
            <w:vMerge w:val="continue"/>
            <w:tcBorders>
              <w:top w:val="nil"/>
            </w:tcBorders>
            <w:noWrap w:val="0"/>
            <w:vAlign w:val="top"/>
          </w:tcPr>
          <w:p>
            <w:pPr>
              <w:rPr>
                <w:color w:val="000000" w:themeColor="text1"/>
                <w:sz w:val="2"/>
                <w:szCs w:val="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16" w:type="dxa"/>
            <w:noWrap w:val="0"/>
            <w:vAlign w:val="center"/>
          </w:tcPr>
          <w:p>
            <w:pPr>
              <w:pStyle w:val="62"/>
              <w:spacing w:before="156"/>
              <w:ind w:left="11"/>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1276" w:type="dxa"/>
            <w:noWrap w:val="0"/>
            <w:vAlign w:val="center"/>
          </w:tcPr>
          <w:p>
            <w:pPr>
              <w:pStyle w:val="62"/>
              <w:ind w:left="137" w:right="127"/>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应急预案</w:t>
            </w:r>
          </w:p>
          <w:p>
            <w:pPr>
              <w:pStyle w:val="62"/>
              <w:spacing w:before="4" w:line="288" w:lineRule="exact"/>
              <w:ind w:left="137" w:right="127"/>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28</w:t>
            </w:r>
            <w:r>
              <w:rPr>
                <w:color w:val="000000" w:themeColor="text1"/>
                <w:sz w:val="24"/>
                <w:highlight w:val="none"/>
                <w14:textFill>
                  <w14:solidFill>
                    <w14:schemeClr w14:val="tx1"/>
                  </w14:solidFill>
                </w14:textFill>
              </w:rPr>
              <w:t>%</w:t>
            </w:r>
          </w:p>
        </w:tc>
        <w:tc>
          <w:tcPr>
            <w:tcW w:w="1276" w:type="dxa"/>
            <w:noWrap w:val="0"/>
            <w:vAlign w:val="center"/>
          </w:tcPr>
          <w:p>
            <w:pPr>
              <w:pStyle w:val="62"/>
              <w:spacing w:before="156"/>
              <w:ind w:left="135" w:right="128"/>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28分</w:t>
            </w:r>
          </w:p>
        </w:tc>
        <w:tc>
          <w:tcPr>
            <w:tcW w:w="5988" w:type="dxa"/>
            <w:noWrap w:val="0"/>
            <w:vAlign w:val="center"/>
          </w:tcPr>
          <w:p>
            <w:pPr>
              <w:pStyle w:val="62"/>
              <w:ind w:left="107"/>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供应商针对本项目提供有应急预案（包含但不限于①煤</w:t>
            </w:r>
          </w:p>
          <w:p>
            <w:pPr>
              <w:pStyle w:val="62"/>
              <w:spacing w:before="1" w:line="242" w:lineRule="auto"/>
              <w:ind w:left="107" w:right="108"/>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气泄漏，②食品中毒，③火灾、自然灾害等突发事件的预案，④停水停电停气的应急处置预案），预案符合本项目要求、内容详尽、可操作性强的得 </w:t>
            </w:r>
            <w:r>
              <w:rPr>
                <w:rFonts w:hint="eastAsia"/>
                <w:color w:val="000000" w:themeColor="text1"/>
                <w:sz w:val="24"/>
                <w:highlight w:val="none"/>
                <w:lang w:val="en-US" w:eastAsia="zh-CN"/>
                <w14:textFill>
                  <w14:solidFill>
                    <w14:schemeClr w14:val="tx1"/>
                  </w14:solidFill>
                </w14:textFill>
              </w:rPr>
              <w:t>28</w:t>
            </w:r>
            <w:r>
              <w:rPr>
                <w:color w:val="000000" w:themeColor="text1"/>
                <w:sz w:val="24"/>
                <w:highlight w:val="none"/>
                <w14:textFill>
                  <w14:solidFill>
                    <w14:schemeClr w14:val="tx1"/>
                  </w14:solidFill>
                </w14:textFill>
              </w:rPr>
              <w:t>分，每有一</w:t>
            </w:r>
          </w:p>
          <w:p>
            <w:pPr>
              <w:pStyle w:val="62"/>
              <w:spacing w:before="4" w:line="288" w:lineRule="exact"/>
              <w:ind w:left="107"/>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项缺项</w:t>
            </w:r>
            <w:r>
              <w:rPr>
                <w:rFonts w:hint="eastAsia"/>
                <w:color w:val="000000" w:themeColor="text1"/>
                <w:spacing w:val="-4"/>
                <w:sz w:val="24"/>
                <w:highlight w:val="none"/>
                <w:lang w:eastAsia="zh-CN"/>
                <w14:textFill>
                  <w14:solidFill>
                    <w14:schemeClr w14:val="tx1"/>
                  </w14:solidFill>
                </w14:textFill>
              </w:rPr>
              <w:t>扣</w:t>
            </w:r>
            <w:r>
              <w:rPr>
                <w:rFonts w:hint="eastAsia"/>
                <w:color w:val="000000" w:themeColor="text1"/>
                <w:spacing w:val="-4"/>
                <w:sz w:val="24"/>
                <w:highlight w:val="none"/>
                <w:lang w:val="en-US" w:eastAsia="zh-CN"/>
                <w14:textFill>
                  <w14:solidFill>
                    <w14:schemeClr w14:val="tx1"/>
                  </w14:solidFill>
                </w14:textFill>
              </w:rPr>
              <w:t>7分，</w:t>
            </w:r>
            <w:r>
              <w:rPr>
                <w:rFonts w:hint="eastAsia"/>
                <w:color w:val="000000" w:themeColor="text1"/>
                <w:spacing w:val="-4"/>
                <w:sz w:val="24"/>
                <w:highlight w:val="none"/>
                <w:lang w:eastAsia="zh-CN"/>
                <w14:textFill>
                  <w14:solidFill>
                    <w14:schemeClr w14:val="tx1"/>
                  </w14:solidFill>
                </w14:textFill>
              </w:rPr>
              <w:t>每有一项</w:t>
            </w:r>
            <w:r>
              <w:rPr>
                <w:color w:val="000000" w:themeColor="text1"/>
                <w:spacing w:val="-4"/>
                <w:sz w:val="24"/>
                <w:highlight w:val="none"/>
                <w14:textFill>
                  <w14:solidFill>
                    <w14:schemeClr w14:val="tx1"/>
                  </w14:solidFill>
                </w14:textFill>
              </w:rPr>
              <w:t>针对性不强或不满足要求的扣</w:t>
            </w:r>
            <w:r>
              <w:rPr>
                <w:rFonts w:hint="eastAsia"/>
                <w:color w:val="000000" w:themeColor="text1"/>
                <w:spacing w:val="-4"/>
                <w:sz w:val="24"/>
                <w:highlight w:val="none"/>
                <w:lang w:val="en-US" w:eastAsia="zh-CN"/>
                <w14:textFill>
                  <w14:solidFill>
                    <w14:schemeClr w14:val="tx1"/>
                  </w14:solidFill>
                </w14:textFill>
              </w:rPr>
              <w:t>3.5</w:t>
            </w:r>
            <w:r>
              <w:rPr>
                <w:color w:val="000000" w:themeColor="text1"/>
                <w:spacing w:val="-10"/>
                <w:sz w:val="24"/>
                <w:highlight w:val="none"/>
                <w14:textFill>
                  <w14:solidFill>
                    <w14:schemeClr w14:val="tx1"/>
                  </w14:solidFill>
                </w14:textFill>
              </w:rPr>
              <w:t xml:space="preserve"> 分,扣完为止</w:t>
            </w:r>
            <w:r>
              <w:rPr>
                <w:color w:val="000000" w:themeColor="text1"/>
                <w:sz w:val="24"/>
                <w:highlight w:val="none"/>
                <w14:textFill>
                  <w14:solidFill>
                    <w14:schemeClr w14:val="tx1"/>
                  </w14:solidFill>
                </w14:textFill>
              </w:rPr>
              <w:t>。</w:t>
            </w:r>
          </w:p>
        </w:tc>
        <w:tc>
          <w:tcPr>
            <w:tcW w:w="1116" w:type="dxa"/>
            <w:noWrap w:val="0"/>
            <w:vAlign w:val="center"/>
          </w:tcPr>
          <w:p>
            <w:pPr>
              <w:pStyle w:val="62"/>
              <w:spacing w:before="4" w:line="288" w:lineRule="exact"/>
              <w:ind w:left="198"/>
              <w:jc w:val="center"/>
              <w:rPr>
                <w:rFonts w:hint="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16" w:type="dxa"/>
            <w:noWrap w:val="0"/>
            <w:vAlign w:val="top"/>
          </w:tcPr>
          <w:p>
            <w:pPr>
              <w:pStyle w:val="62"/>
              <w:spacing w:before="4"/>
              <w:rPr>
                <w:color w:val="000000" w:themeColor="text1"/>
                <w:sz w:val="24"/>
                <w:highlight w:val="none"/>
                <w14:textFill>
                  <w14:solidFill>
                    <w14:schemeClr w14:val="tx1"/>
                  </w14:solidFill>
                </w14:textFill>
              </w:rPr>
            </w:pPr>
          </w:p>
          <w:p>
            <w:pPr>
              <w:pStyle w:val="62"/>
              <w:ind w:left="11"/>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1276" w:type="dxa"/>
            <w:noWrap w:val="0"/>
            <w:vAlign w:val="top"/>
          </w:tcPr>
          <w:p>
            <w:pPr>
              <w:pStyle w:val="62"/>
              <w:ind w:left="15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w:t>
            </w:r>
            <w:r>
              <w:rPr>
                <w:color w:val="000000" w:themeColor="text1"/>
                <w:sz w:val="24"/>
                <w:highlight w:val="none"/>
                <w14:textFill>
                  <w14:solidFill>
                    <w14:schemeClr w14:val="tx1"/>
                  </w14:solidFill>
                </w14:textFill>
              </w:rPr>
              <w:t>文件</w:t>
            </w:r>
          </w:p>
          <w:p>
            <w:pPr>
              <w:pStyle w:val="62"/>
              <w:spacing w:before="2" w:line="310" w:lineRule="atLeast"/>
              <w:ind w:left="518" w:right="145" w:hanging="36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的规范性</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w:t>
            </w:r>
          </w:p>
        </w:tc>
        <w:tc>
          <w:tcPr>
            <w:tcW w:w="1276" w:type="dxa"/>
            <w:noWrap w:val="0"/>
            <w:vAlign w:val="top"/>
          </w:tcPr>
          <w:p>
            <w:pPr>
              <w:pStyle w:val="62"/>
              <w:rPr>
                <w:color w:val="000000" w:themeColor="text1"/>
                <w:sz w:val="24"/>
                <w:highlight w:val="none"/>
                <w14:textFill>
                  <w14:solidFill>
                    <w14:schemeClr w14:val="tx1"/>
                  </w14:solidFill>
                </w14:textFill>
              </w:rPr>
            </w:pPr>
          </w:p>
          <w:p>
            <w:pPr>
              <w:pStyle w:val="62"/>
              <w:spacing w:before="160"/>
              <w:ind w:left="7"/>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4分</w:t>
            </w:r>
          </w:p>
        </w:tc>
        <w:tc>
          <w:tcPr>
            <w:tcW w:w="5988" w:type="dxa"/>
            <w:noWrap w:val="0"/>
            <w:vAlign w:val="top"/>
          </w:tcPr>
          <w:p>
            <w:pPr>
              <w:pStyle w:val="62"/>
              <w:spacing w:before="156"/>
              <w:ind w:left="107"/>
              <w:rPr>
                <w:color w:val="000000" w:themeColor="text1"/>
                <w:sz w:val="24"/>
                <w:highlight w:val="none"/>
                <w14:textFill>
                  <w14:solidFill>
                    <w14:schemeClr w14:val="tx1"/>
                  </w14:solidFill>
                </w14:textFill>
              </w:rPr>
            </w:pPr>
            <w:r>
              <w:rPr>
                <w:rFonts w:hint="eastAsia"/>
                <w:color w:val="000000" w:themeColor="text1"/>
                <w:spacing w:val="-3"/>
                <w:sz w:val="24"/>
                <w:highlight w:val="none"/>
                <w14:textFill>
                  <w14:solidFill>
                    <w14:schemeClr w14:val="tx1"/>
                  </w14:solidFill>
                </w14:textFill>
              </w:rPr>
              <w:t>投标</w:t>
            </w:r>
            <w:r>
              <w:rPr>
                <w:color w:val="000000" w:themeColor="text1"/>
                <w:spacing w:val="-3"/>
                <w:sz w:val="24"/>
                <w:highlight w:val="none"/>
                <w14:textFill>
                  <w14:solidFill>
                    <w14:schemeClr w14:val="tx1"/>
                  </w14:solidFill>
                </w14:textFill>
              </w:rPr>
              <w:t>文件制作规范，没有细微偏差情形的得</w:t>
            </w:r>
            <w:r>
              <w:rPr>
                <w:rFonts w:hint="eastAsia"/>
                <w:color w:val="000000" w:themeColor="text1"/>
                <w:spacing w:val="-3"/>
                <w:sz w:val="24"/>
                <w:highlight w:val="none"/>
                <w:lang w:val="en-US" w:eastAsia="zh-CN"/>
                <w14:textFill>
                  <w14:solidFill>
                    <w14:schemeClr w14:val="tx1"/>
                  </w14:solidFill>
                </w14:textFill>
              </w:rPr>
              <w:t>4</w:t>
            </w:r>
            <w:r>
              <w:rPr>
                <w:color w:val="000000" w:themeColor="text1"/>
                <w:spacing w:val="-12"/>
                <w:sz w:val="24"/>
                <w:highlight w:val="none"/>
                <w14:textFill>
                  <w14:solidFill>
                    <w14:schemeClr w14:val="tx1"/>
                  </w14:solidFill>
                </w14:textFill>
              </w:rPr>
              <w:t>分；有一</w:t>
            </w:r>
          </w:p>
          <w:p>
            <w:pPr>
              <w:pStyle w:val="62"/>
              <w:spacing w:before="4"/>
              <w:ind w:left="10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项细微偏差扣 0.5 分，直至该项分值扣完为止。</w:t>
            </w:r>
          </w:p>
        </w:tc>
        <w:tc>
          <w:tcPr>
            <w:tcW w:w="1116" w:type="dxa"/>
            <w:noWrap w:val="0"/>
            <w:vAlign w:val="top"/>
          </w:tcPr>
          <w:p>
            <w:pPr>
              <w:pStyle w:val="62"/>
              <w:spacing w:before="3" w:line="289" w:lineRule="exact"/>
              <w:ind w:left="318"/>
              <w:rPr>
                <w:color w:val="000000" w:themeColor="text1"/>
                <w:sz w:val="24"/>
                <w:highlight w:val="none"/>
                <w14:textFill>
                  <w14:solidFill>
                    <w14:schemeClr w14:val="tx1"/>
                  </w14:solidFill>
                </w14:textFill>
              </w:rPr>
            </w:pPr>
          </w:p>
        </w:tc>
      </w:tr>
    </w:tbl>
    <w:p>
      <w:pPr>
        <w:pStyle w:val="4"/>
        <w:keepNext w:val="0"/>
        <w:keepLines w:val="0"/>
        <w:spacing w:before="0" w:after="0" w:line="400" w:lineRule="exact"/>
        <w:rPr>
          <w:rFonts w:ascii="宋体" w:hAnsi="宋体" w:eastAsia="宋体"/>
          <w:color w:val="000000"/>
          <w:sz w:val="24"/>
          <w:szCs w:val="24"/>
          <w:highlight w:val="none"/>
        </w:rPr>
      </w:pPr>
    </w:p>
    <w:bookmarkEnd w:id="89"/>
    <w:bookmarkEnd w:id="90"/>
    <w:bookmarkEnd w:id="91"/>
    <w:bookmarkEnd w:id="92"/>
    <w:bookmarkEnd w:id="93"/>
    <w:p>
      <w:pPr>
        <w:ind w:firstLine="480" w:firstLineChars="200"/>
        <w:rPr>
          <w:sz w:val="24"/>
          <w:highlight w:val="none"/>
        </w:rPr>
      </w:pPr>
      <w:r>
        <w:rPr>
          <w:rFonts w:hint="eastAsia"/>
          <w:sz w:val="24"/>
          <w:highlight w:val="none"/>
        </w:rPr>
        <w:t>注：评分的取值按四舍五入法，保留小数点后两位。</w:t>
      </w:r>
    </w:p>
    <w:p>
      <w:pPr>
        <w:tabs>
          <w:tab w:val="left" w:pos="851"/>
        </w:tabs>
        <w:spacing w:line="400" w:lineRule="exact"/>
        <w:ind w:firstLine="482" w:firstLineChars="200"/>
        <w:rPr>
          <w:rFonts w:ascii="宋体" w:hAnsi="宋体"/>
          <w:b/>
          <w:color w:val="000000"/>
          <w:sz w:val="24"/>
          <w:highlight w:val="none"/>
        </w:rPr>
      </w:pPr>
    </w:p>
    <w:p>
      <w:pPr>
        <w:tabs>
          <w:tab w:val="left" w:pos="851"/>
        </w:tabs>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4.磋商纪律及注意事项</w:t>
      </w:r>
    </w:p>
    <w:p>
      <w:pPr>
        <w:tabs>
          <w:tab w:val="left" w:pos="851"/>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4.3</w:t>
      </w:r>
      <w:r>
        <w:rPr>
          <w:rFonts w:hint="eastAsia"/>
          <w:sz w:val="24"/>
          <w:highlight w:val="none"/>
        </w:rPr>
        <w:t>对各供应商的商业秘密，磋商小组成员应予以保密，不得泄露给其他供应商。</w:t>
      </w:r>
    </w:p>
    <w:p>
      <w:pPr>
        <w:tabs>
          <w:tab w:val="left" w:pos="851"/>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4.4 磋商小组独立评判，推荐成交候选人，并写出书面报告。</w:t>
      </w:r>
    </w:p>
    <w:p>
      <w:pPr>
        <w:tabs>
          <w:tab w:val="left" w:pos="851"/>
        </w:tabs>
        <w:spacing w:line="400" w:lineRule="exact"/>
        <w:ind w:firstLine="480" w:firstLineChars="200"/>
        <w:rPr>
          <w:rFonts w:ascii="宋体"/>
          <w:color w:val="FF0000"/>
          <w:sz w:val="24"/>
          <w:highlight w:val="none"/>
        </w:rPr>
      </w:pPr>
      <w:r>
        <w:rPr>
          <w:rFonts w:hint="eastAsia" w:ascii="宋体" w:hAnsi="宋体"/>
          <w:color w:val="000000"/>
          <w:sz w:val="24"/>
          <w:highlight w:val="none"/>
        </w:rPr>
        <w:t>4.5 磋商小组可根据需要对供应商进行实地考察。</w:t>
      </w:r>
    </w:p>
    <w:p>
      <w:pPr>
        <w:tabs>
          <w:tab w:val="left" w:pos="7665"/>
        </w:tabs>
        <w:spacing w:line="400" w:lineRule="exact"/>
        <w:ind w:firstLine="480" w:firstLineChars="200"/>
        <w:rPr>
          <w:rFonts w:ascii="宋体" w:hAnsi="宋体"/>
          <w:b/>
          <w:color w:val="000000"/>
          <w:sz w:val="24"/>
          <w:highlight w:val="none"/>
        </w:rPr>
      </w:pPr>
      <w:r>
        <w:rPr>
          <w:rFonts w:hint="eastAsia" w:ascii="宋体" w:hAnsi="宋体"/>
          <w:color w:val="000000"/>
          <w:sz w:val="24"/>
          <w:highlight w:val="none"/>
        </w:rPr>
        <w:t>5.</w:t>
      </w:r>
      <w:r>
        <w:rPr>
          <w:rFonts w:hint="eastAsia" w:ascii="宋体" w:hAnsi="宋体"/>
          <w:b/>
          <w:color w:val="000000"/>
          <w:sz w:val="24"/>
          <w:highlight w:val="none"/>
        </w:rPr>
        <w:t>磋商小组在政府采购活动中承担以下义务：</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（一）遵守评审工作纪律；</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（三）不得泄露评审文件、评审情况和在评审过程中获悉的商业秘密；</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（六）及时向财政、监察等部门举报在评审过程中受到非法干预的情况；</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（七）配合答复处理供应商的询问、质疑和投诉等事项；</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（八）法律、法规和规章规定的其他义务。</w:t>
      </w:r>
    </w:p>
    <w:p>
      <w:pPr>
        <w:tabs>
          <w:tab w:val="left" w:pos="7665"/>
        </w:tabs>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6.评审专家在政府采购活动中应当遵守以下工作纪律：</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（二）评审前，应当将通讯工具或者相关电子设备交由采购代理机构统一保管；</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（七）遵守有关廉洁自律规定，不得私下接触供应商，不得收受供应商及有关业务单位和个人的财物或好处，不得接受采购代理机构的请托。</w:t>
      </w:r>
    </w:p>
    <w:p>
      <w:pPr>
        <w:pStyle w:val="3"/>
        <w:pageBreakBefore/>
        <w:spacing w:before="0" w:after="20" w:line="360" w:lineRule="auto"/>
        <w:jc w:val="center"/>
        <w:rPr>
          <w:rFonts w:ascii="黑体" w:eastAsia="黑体"/>
          <w:color w:val="000000"/>
          <w:sz w:val="32"/>
          <w:szCs w:val="32"/>
          <w:highlight w:val="none"/>
        </w:rPr>
      </w:pPr>
      <w:bookmarkStart w:id="94" w:name="_Toc533424979"/>
      <w:r>
        <w:rPr>
          <w:rFonts w:hint="eastAsia" w:ascii="黑体" w:eastAsia="黑体"/>
          <w:color w:val="000000"/>
          <w:sz w:val="32"/>
          <w:szCs w:val="32"/>
          <w:highlight w:val="none"/>
        </w:rPr>
        <w:t>第九章  采购合同实质性条款</w:t>
      </w:r>
      <w:bookmarkEnd w:id="94"/>
    </w:p>
    <w:bookmarkEnd w:id="74"/>
    <w:bookmarkEnd w:id="75"/>
    <w:bookmarkEnd w:id="76"/>
    <w:p>
      <w:pPr>
        <w:pStyle w:val="12"/>
        <w:tabs>
          <w:tab w:val="left" w:pos="0"/>
        </w:tabs>
        <w:adjustRightInd/>
        <w:spacing w:line="400" w:lineRule="exact"/>
        <w:rPr>
          <w:rFonts w:hAnsi="宋体" w:cs="宋体"/>
          <w:sz w:val="24"/>
          <w:szCs w:val="24"/>
          <w:highlight w:val="none"/>
        </w:rPr>
      </w:pP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本合同仅供参考，主要内容可根据实际情况自行拟定，但磋商采购文件要约及响应文件承诺的实质性内容不得有任何负偏离 。</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合同编号：XXXX。</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签订地点：XXXX。</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签订时间：XXXX 年 XX 月 XX 日。</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采购人（甲方）：</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供应商（乙方）：</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w:t>
      </w:r>
      <w:r>
        <w:rPr>
          <w:rFonts w:hint="eastAsia" w:ascii="宋体" w:hAnsi="宋体" w:cs="宋体"/>
          <w:sz w:val="24"/>
          <w:szCs w:val="24"/>
          <w:highlight w:val="none"/>
          <w:lang w:eastAsia="zh-CN"/>
        </w:rPr>
        <w:t>民法典</w:t>
      </w:r>
      <w:r>
        <w:rPr>
          <w:rFonts w:hint="eastAsia" w:ascii="宋体" w:hAnsi="宋体" w:eastAsia="宋体" w:cs="宋体"/>
          <w:sz w:val="24"/>
          <w:szCs w:val="24"/>
          <w:highlight w:val="none"/>
        </w:rPr>
        <w:t>》及 XXXX 采购项目（项目编号：XX）的《竞争性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第一条 项目基本情况</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合同期限</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第三条 服务内容与质量标准</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 XXXX；</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 XXXX；</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 XXXX．</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第四条 服务费用及支付方式</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 ( 一) ) 本项目服务费用由以下组成：</w:t>
      </w:r>
    </w:p>
    <w:p>
      <w:pPr>
        <w:pStyle w:val="60"/>
        <w:tabs>
          <w:tab w:val="left" w:pos="6849"/>
        </w:tabs>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 XX 万元；</w:t>
      </w:r>
      <w:r>
        <w:rPr>
          <w:rFonts w:hint="eastAsia" w:ascii="宋体" w:hAnsi="宋体" w:eastAsia="宋体" w:cs="宋体"/>
          <w:sz w:val="24"/>
          <w:szCs w:val="24"/>
          <w:highlight w:val="none"/>
        </w:rPr>
        <w:tab/>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 XX 万元；</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 XX 万元。</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 (二) ) 服务费支付方式：</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第五条 知识产权</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乙方应保证所提供的服务或其任何一部分均不会侵犯任何第三方的专利权、商标权或著作权。</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第六条 无产权瑕疵条款</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乙方保证所提供的服务的所有权完全属于乙方且无任何抵押、查封等产权瑕疵。如有产权瑕疵的，视为乙方违约。乙方应负担由此而产生的一切损失。</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第七条 履约保证金</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1、乙方交纳人民币 XX 元作为本合同的履约保证金。</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2、履约保证金作为违约金的一部分及用于补偿采购人因乙方不能履行合同义务而蒙受的损失。</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第八条 甲方的权利和义务</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2、甲方有权依据双方签订的考评办法对乙方提供的服务进行定期考评。当考评结果未达到标准时，有权依据考评办法约定的数额扣除履约保证金。</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3、负责检查监督乙方管理工作的实施及制度的执行情况。</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4、根据本合同规定，按时向乙方支付应付服务费用。</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5、国家法律、法规所规定由甲方承担的其它责任。</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第九条 乙方的权利和义务</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1、对本合同规定的委托服务范围内的项目享有管理权及服务义务。</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2、根据本合同的规定向甲方收取相关服务费用，并有权在本项目管理范围内管理及合理使用。</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3、及时向甲方通告本项目服务范围内有关服务的重大事项，及时配合处理投诉。</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4、接受项目行业管理部门及政府有关部门的指导，接受甲方的监督。</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5、国家法律、法规所规定由乙方承担的其它责任。</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第十条 违约责任</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1、甲乙双方必须遵守本合同并执行合同中的各项规定，保证本合同的正常履行。</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不可抗力事件处理</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 XX 天以上，双方应通过友好协商，确定是否继续履行合同。</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解决合同纠纷的方式</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1、在执行本合同中发生的或与本合同有关的争端，双方应通过友好协商解决，经协商在XX 天内不能达成协议时，应提交成都仲裁委员会仲裁。</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2、仲裁裁决应为最终决定，并对双方具有约束力。</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3、除另有裁决外，仲裁费应由败诉方负担。</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4、在仲裁期间，除正在进行仲裁部分外，合同其他部分继续执行。</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合同生效及其他</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1、合同经双方法定代表人或授权委托代理人签字并加盖单位公章后生效。</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3、本合同一式 XX 份，自双方签章之日起起效。甲方 XX 份，乙方 XX 份，政府采购代理机构 XX 份，同级财政部门备案 XX 份，具有同等法律效力。</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附件</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1、项目磋商采购文件</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2、项目修改澄清文件</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3、项目响应文件</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4、成交通知书</w:t>
      </w:r>
    </w:p>
    <w:p>
      <w:pPr>
        <w:pStyle w:val="60"/>
        <w:spacing w:line="360" w:lineRule="auto"/>
        <w:ind w:left="120"/>
        <w:rPr>
          <w:rFonts w:hint="eastAsia" w:ascii="宋体" w:hAnsi="宋体" w:eastAsia="宋体" w:cs="宋体"/>
          <w:sz w:val="24"/>
          <w:szCs w:val="24"/>
          <w:highlight w:val="none"/>
        </w:rPr>
      </w:pPr>
      <w:r>
        <w:rPr>
          <w:rFonts w:hint="eastAsia" w:ascii="宋体" w:hAnsi="宋体" w:eastAsia="宋体" w:cs="宋体"/>
          <w:sz w:val="24"/>
          <w:szCs w:val="24"/>
          <w:highlight w:val="none"/>
        </w:rPr>
        <w:t>5、其他</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（盖单位公章）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乙方：   （盖单位公章）</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            法定代表人（授权代表）：</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                             账号：</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pPr>
        <w:spacing w:line="400" w:lineRule="exact"/>
        <w:ind w:left="1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pPr>
        <w:spacing w:after="120" w:afterLines="50" w:line="420" w:lineRule="exact"/>
        <w:rPr>
          <w:rFonts w:ascii="宋体" w:hAnsi="宋体"/>
          <w:b/>
          <w:color w:val="000000"/>
          <w:sz w:val="32"/>
          <w:highlight w:val="none"/>
        </w:rPr>
      </w:pPr>
      <w:r>
        <w:rPr>
          <w:rFonts w:hint="eastAsia" w:ascii="宋体" w:hAnsi="宋体" w:eastAsia="宋体" w:cs="宋体"/>
          <w:sz w:val="24"/>
          <w:szCs w:val="24"/>
          <w:highlight w:val="none"/>
        </w:rPr>
        <w:t xml:space="preserve">签约日期：XX年XX月XX日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签约日期：XX年XX月XX日</w:t>
      </w:r>
    </w:p>
    <w:sectPr>
      <w:footerReference r:id="rId13" w:type="default"/>
      <w:pgSz w:w="11906" w:h="16838"/>
      <w:pgMar w:top="1417" w:right="1417" w:bottom="1417" w:left="1417"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11 -</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30"/>
      </w:rPr>
    </w:pPr>
    <w:r>
      <w:rPr>
        <w:rStyle w:val="30"/>
      </w:rPr>
      <w:fldChar w:fldCharType="begin"/>
    </w:r>
    <w:r>
      <w:rPr>
        <w:rStyle w:val="30"/>
      </w:rPr>
      <w:instrText xml:space="preserve">PAGE  </w:instrText>
    </w:r>
    <w:r>
      <w:rPr>
        <w:rStyle w:val="30"/>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35 -</w:t>
                          </w:r>
                          <w:r>
                            <w:rPr>
                              <w:rFonts w:ascii="宋体" w:hAnsi="宋体"/>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35 -</w:t>
                    </w:r>
                    <w:r>
                      <w:rPr>
                        <w:rFonts w:ascii="宋体" w:hAnsi="宋体"/>
                        <w:sz w:val="32"/>
                        <w:szCs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Pr>
                              <w:rFonts w:ascii="宋体" w:hAnsi="宋体"/>
                              <w:szCs w:val="18"/>
                              <w:lang w:val="zh-CN"/>
                            </w:rPr>
                            <w:t>-</w:t>
                          </w:r>
                          <w:r>
                            <w:rPr>
                              <w:rFonts w:ascii="宋体" w:hAnsi="宋体"/>
                              <w:szCs w:val="18"/>
                            </w:rPr>
                            <w:t xml:space="preserve"> 38 -</w:t>
                          </w:r>
                          <w:r>
                            <w:rPr>
                              <w:rFonts w:ascii="宋体" w:hAnsi="宋体"/>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jc w:val="cente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Pr>
                        <w:rFonts w:ascii="宋体" w:hAnsi="宋体"/>
                        <w:szCs w:val="18"/>
                        <w:lang w:val="zh-CN"/>
                      </w:rPr>
                      <w:t>-</w:t>
                    </w:r>
                    <w:r>
                      <w:rPr>
                        <w:rFonts w:ascii="宋体" w:hAnsi="宋体"/>
                        <w:szCs w:val="18"/>
                      </w:rPr>
                      <w:t xml:space="preserve"> 38 -</w:t>
                    </w:r>
                    <w:r>
                      <w:rPr>
                        <w:rFonts w:ascii="宋体" w:hAnsi="宋体"/>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end"/>
    </w:r>
  </w:p>
  <w:p>
    <w:pPr>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9368D"/>
    <w:multiLevelType w:val="singleLevel"/>
    <w:tmpl w:val="AF69368D"/>
    <w:lvl w:ilvl="0" w:tentative="0">
      <w:start w:val="3"/>
      <w:numFmt w:val="chineseCounting"/>
      <w:suff w:val="nothing"/>
      <w:lvlText w:val="（%1）"/>
      <w:lvlJc w:val="left"/>
      <w:rPr>
        <w:rFonts w:hint="eastAsia"/>
      </w:rPr>
    </w:lvl>
  </w:abstractNum>
  <w:abstractNum w:abstractNumId="1">
    <w:nsid w:val="0A77DEB8"/>
    <w:multiLevelType w:val="singleLevel"/>
    <w:tmpl w:val="0A77DEB8"/>
    <w:lvl w:ilvl="0" w:tentative="0">
      <w:start w:val="2"/>
      <w:numFmt w:val="chineseCounting"/>
      <w:suff w:val="space"/>
      <w:lvlText w:val="第%1章"/>
      <w:lvlJc w:val="left"/>
      <w:rPr>
        <w:rFonts w:hint="eastAsia"/>
      </w:rPr>
    </w:lvl>
  </w:abstractNum>
  <w:abstractNum w:abstractNumId="2">
    <w:nsid w:val="499F8F63"/>
    <w:multiLevelType w:val="singleLevel"/>
    <w:tmpl w:val="499F8F63"/>
    <w:lvl w:ilvl="0" w:tentative="0">
      <w:start w:val="2"/>
      <w:numFmt w:val="chineseCounting"/>
      <w:suff w:val="nothing"/>
      <w:lvlText w:val="（%1）"/>
      <w:lvlJc w:val="left"/>
      <w:rPr>
        <w:rFonts w:hint="eastAsia"/>
      </w:rPr>
    </w:lvl>
  </w:abstractNum>
  <w:abstractNum w:abstractNumId="3">
    <w:nsid w:val="59C07086"/>
    <w:multiLevelType w:val="singleLevel"/>
    <w:tmpl w:val="59C07086"/>
    <w:lvl w:ilvl="0" w:tentative="0">
      <w:start w:val="1"/>
      <w:numFmt w:val="decimal"/>
      <w:suff w:val="nothing"/>
      <w:lvlText w:val="%1、"/>
      <w:lvlJc w:val="left"/>
    </w:lvl>
  </w:abstractNum>
  <w:abstractNum w:abstractNumId="4">
    <w:nsid w:val="60382F6E"/>
    <w:multiLevelType w:val="multilevel"/>
    <w:tmpl w:val="60382F6E"/>
    <w:lvl w:ilvl="0" w:tentative="0">
      <w:start w:val="2"/>
      <w:numFmt w:val="decimal"/>
      <w:lvlText w:val="（%1）"/>
      <w:lvlJc w:val="left"/>
      <w:pPr>
        <w:ind w:left="94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1518" w:hanging="601"/>
      </w:pPr>
      <w:rPr>
        <w:rFonts w:hint="default"/>
        <w:lang w:val="zh-CN" w:eastAsia="zh-CN" w:bidi="zh-CN"/>
      </w:rPr>
    </w:lvl>
    <w:lvl w:ilvl="2" w:tentative="0">
      <w:start w:val="0"/>
      <w:numFmt w:val="bullet"/>
      <w:lvlText w:val="•"/>
      <w:lvlJc w:val="left"/>
      <w:pPr>
        <w:ind w:left="2097" w:hanging="601"/>
      </w:pPr>
      <w:rPr>
        <w:rFonts w:hint="default"/>
        <w:lang w:val="zh-CN" w:eastAsia="zh-CN" w:bidi="zh-CN"/>
      </w:rPr>
    </w:lvl>
    <w:lvl w:ilvl="3" w:tentative="0">
      <w:start w:val="0"/>
      <w:numFmt w:val="bullet"/>
      <w:lvlText w:val="•"/>
      <w:lvlJc w:val="left"/>
      <w:pPr>
        <w:ind w:left="2676" w:hanging="601"/>
      </w:pPr>
      <w:rPr>
        <w:rFonts w:hint="default"/>
        <w:lang w:val="zh-CN" w:eastAsia="zh-CN" w:bidi="zh-CN"/>
      </w:rPr>
    </w:lvl>
    <w:lvl w:ilvl="4" w:tentative="0">
      <w:start w:val="0"/>
      <w:numFmt w:val="bullet"/>
      <w:lvlText w:val="•"/>
      <w:lvlJc w:val="left"/>
      <w:pPr>
        <w:ind w:left="3255" w:hanging="601"/>
      </w:pPr>
      <w:rPr>
        <w:rFonts w:hint="default"/>
        <w:lang w:val="zh-CN" w:eastAsia="zh-CN" w:bidi="zh-CN"/>
      </w:rPr>
    </w:lvl>
    <w:lvl w:ilvl="5" w:tentative="0">
      <w:start w:val="0"/>
      <w:numFmt w:val="bullet"/>
      <w:lvlText w:val="•"/>
      <w:lvlJc w:val="left"/>
      <w:pPr>
        <w:ind w:left="3834" w:hanging="601"/>
      </w:pPr>
      <w:rPr>
        <w:rFonts w:hint="default"/>
        <w:lang w:val="zh-CN" w:eastAsia="zh-CN" w:bidi="zh-CN"/>
      </w:rPr>
    </w:lvl>
    <w:lvl w:ilvl="6" w:tentative="0">
      <w:start w:val="0"/>
      <w:numFmt w:val="bullet"/>
      <w:lvlText w:val="•"/>
      <w:lvlJc w:val="left"/>
      <w:pPr>
        <w:ind w:left="4413" w:hanging="601"/>
      </w:pPr>
      <w:rPr>
        <w:rFonts w:hint="default"/>
        <w:lang w:val="zh-CN" w:eastAsia="zh-CN" w:bidi="zh-CN"/>
      </w:rPr>
    </w:lvl>
    <w:lvl w:ilvl="7" w:tentative="0">
      <w:start w:val="0"/>
      <w:numFmt w:val="bullet"/>
      <w:lvlText w:val="•"/>
      <w:lvlJc w:val="left"/>
      <w:pPr>
        <w:ind w:left="4992" w:hanging="601"/>
      </w:pPr>
      <w:rPr>
        <w:rFonts w:hint="default"/>
        <w:lang w:val="zh-CN" w:eastAsia="zh-CN" w:bidi="zh-CN"/>
      </w:rPr>
    </w:lvl>
    <w:lvl w:ilvl="8" w:tentative="0">
      <w:start w:val="0"/>
      <w:numFmt w:val="bullet"/>
      <w:lvlText w:val="•"/>
      <w:lvlJc w:val="left"/>
      <w:pPr>
        <w:ind w:left="5571" w:hanging="601"/>
      </w:pPr>
      <w:rPr>
        <w:rFonts w:hint="default"/>
        <w:lang w:val="zh-CN" w:eastAsia="zh-CN" w:bidi="zh-C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1660"/>
    <w:rsid w:val="00004B89"/>
    <w:rsid w:val="00013385"/>
    <w:rsid w:val="0001438F"/>
    <w:rsid w:val="00014483"/>
    <w:rsid w:val="00015216"/>
    <w:rsid w:val="00015AD4"/>
    <w:rsid w:val="000176E8"/>
    <w:rsid w:val="00021F2A"/>
    <w:rsid w:val="00022084"/>
    <w:rsid w:val="000222FA"/>
    <w:rsid w:val="0002293A"/>
    <w:rsid w:val="00022F39"/>
    <w:rsid w:val="00023E17"/>
    <w:rsid w:val="000246A1"/>
    <w:rsid w:val="00024A16"/>
    <w:rsid w:val="00026E80"/>
    <w:rsid w:val="00030DE6"/>
    <w:rsid w:val="00031286"/>
    <w:rsid w:val="00031558"/>
    <w:rsid w:val="00032335"/>
    <w:rsid w:val="00032783"/>
    <w:rsid w:val="0003373C"/>
    <w:rsid w:val="00035948"/>
    <w:rsid w:val="000408C4"/>
    <w:rsid w:val="00041FE4"/>
    <w:rsid w:val="00042AAF"/>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0500"/>
    <w:rsid w:val="00061464"/>
    <w:rsid w:val="00061E69"/>
    <w:rsid w:val="0006243C"/>
    <w:rsid w:val="0006264C"/>
    <w:rsid w:val="00064F74"/>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1FF3"/>
    <w:rsid w:val="000A229A"/>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3FE"/>
    <w:rsid w:val="000B7FD8"/>
    <w:rsid w:val="000C00DD"/>
    <w:rsid w:val="000C0146"/>
    <w:rsid w:val="000C22DB"/>
    <w:rsid w:val="000C2EFC"/>
    <w:rsid w:val="000C3B13"/>
    <w:rsid w:val="000C405E"/>
    <w:rsid w:val="000C4129"/>
    <w:rsid w:val="000C4762"/>
    <w:rsid w:val="000C562F"/>
    <w:rsid w:val="000C5D2D"/>
    <w:rsid w:val="000C5FC0"/>
    <w:rsid w:val="000C61A6"/>
    <w:rsid w:val="000C646A"/>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1C7"/>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778"/>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1E63"/>
    <w:rsid w:val="001746B3"/>
    <w:rsid w:val="00175AEB"/>
    <w:rsid w:val="001763A5"/>
    <w:rsid w:val="001813D2"/>
    <w:rsid w:val="001836F5"/>
    <w:rsid w:val="0018382C"/>
    <w:rsid w:val="0018390E"/>
    <w:rsid w:val="00183F9B"/>
    <w:rsid w:val="00185A39"/>
    <w:rsid w:val="00185F2C"/>
    <w:rsid w:val="00186A43"/>
    <w:rsid w:val="00186AEA"/>
    <w:rsid w:val="001876EA"/>
    <w:rsid w:val="00187C36"/>
    <w:rsid w:val="00187D88"/>
    <w:rsid w:val="0019037D"/>
    <w:rsid w:val="00191F16"/>
    <w:rsid w:val="00193802"/>
    <w:rsid w:val="00193E56"/>
    <w:rsid w:val="001961BF"/>
    <w:rsid w:val="00196A94"/>
    <w:rsid w:val="00196B7A"/>
    <w:rsid w:val="001974BF"/>
    <w:rsid w:val="0019756E"/>
    <w:rsid w:val="001A0BE4"/>
    <w:rsid w:val="001A4D34"/>
    <w:rsid w:val="001A67F1"/>
    <w:rsid w:val="001A761A"/>
    <w:rsid w:val="001B053F"/>
    <w:rsid w:val="001B1F0F"/>
    <w:rsid w:val="001B225D"/>
    <w:rsid w:val="001B22E9"/>
    <w:rsid w:val="001B334A"/>
    <w:rsid w:val="001B3E78"/>
    <w:rsid w:val="001B4B2D"/>
    <w:rsid w:val="001B60F8"/>
    <w:rsid w:val="001C20E9"/>
    <w:rsid w:val="001C2CAE"/>
    <w:rsid w:val="001C4A5B"/>
    <w:rsid w:val="001C5AF6"/>
    <w:rsid w:val="001C5EE6"/>
    <w:rsid w:val="001C76A7"/>
    <w:rsid w:val="001D0F62"/>
    <w:rsid w:val="001D2331"/>
    <w:rsid w:val="001D3913"/>
    <w:rsid w:val="001D486C"/>
    <w:rsid w:val="001E0521"/>
    <w:rsid w:val="001E0CB9"/>
    <w:rsid w:val="001E148C"/>
    <w:rsid w:val="001E3B05"/>
    <w:rsid w:val="001E5BB0"/>
    <w:rsid w:val="001E6EBF"/>
    <w:rsid w:val="001E6EC9"/>
    <w:rsid w:val="001E6EF9"/>
    <w:rsid w:val="001F035E"/>
    <w:rsid w:val="001F1E7D"/>
    <w:rsid w:val="001F2E29"/>
    <w:rsid w:val="001F492D"/>
    <w:rsid w:val="001F64F5"/>
    <w:rsid w:val="001F7860"/>
    <w:rsid w:val="001F79FC"/>
    <w:rsid w:val="001F7DBD"/>
    <w:rsid w:val="00203068"/>
    <w:rsid w:val="00205336"/>
    <w:rsid w:val="00206D18"/>
    <w:rsid w:val="0021013C"/>
    <w:rsid w:val="002120D0"/>
    <w:rsid w:val="002125E6"/>
    <w:rsid w:val="00215638"/>
    <w:rsid w:val="0021668E"/>
    <w:rsid w:val="00216DFE"/>
    <w:rsid w:val="00220283"/>
    <w:rsid w:val="00220C4F"/>
    <w:rsid w:val="00224333"/>
    <w:rsid w:val="00224CDC"/>
    <w:rsid w:val="002270B2"/>
    <w:rsid w:val="00230304"/>
    <w:rsid w:val="00230D10"/>
    <w:rsid w:val="002320BC"/>
    <w:rsid w:val="002332EA"/>
    <w:rsid w:val="002342C9"/>
    <w:rsid w:val="00235803"/>
    <w:rsid w:val="00241AF6"/>
    <w:rsid w:val="00242277"/>
    <w:rsid w:val="00242B0F"/>
    <w:rsid w:val="00244015"/>
    <w:rsid w:val="0024529B"/>
    <w:rsid w:val="00245E6C"/>
    <w:rsid w:val="002470DA"/>
    <w:rsid w:val="0025006F"/>
    <w:rsid w:val="00250692"/>
    <w:rsid w:val="002509D0"/>
    <w:rsid w:val="002510B3"/>
    <w:rsid w:val="00252DDB"/>
    <w:rsid w:val="0025359C"/>
    <w:rsid w:val="002554B2"/>
    <w:rsid w:val="00255D4B"/>
    <w:rsid w:val="00260AF9"/>
    <w:rsid w:val="002620C4"/>
    <w:rsid w:val="00262A61"/>
    <w:rsid w:val="00263B9A"/>
    <w:rsid w:val="00265423"/>
    <w:rsid w:val="00265F18"/>
    <w:rsid w:val="002665C5"/>
    <w:rsid w:val="002703E3"/>
    <w:rsid w:val="00272326"/>
    <w:rsid w:val="0027252A"/>
    <w:rsid w:val="00277B58"/>
    <w:rsid w:val="00280D8F"/>
    <w:rsid w:val="00281347"/>
    <w:rsid w:val="002857AA"/>
    <w:rsid w:val="00286763"/>
    <w:rsid w:val="0029048E"/>
    <w:rsid w:val="00290A46"/>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7D3"/>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09E"/>
    <w:rsid w:val="002E372F"/>
    <w:rsid w:val="002E38A1"/>
    <w:rsid w:val="002E53EC"/>
    <w:rsid w:val="002E7B45"/>
    <w:rsid w:val="002F0D48"/>
    <w:rsid w:val="002F3919"/>
    <w:rsid w:val="002F5A38"/>
    <w:rsid w:val="002F797B"/>
    <w:rsid w:val="002F7C6F"/>
    <w:rsid w:val="00302602"/>
    <w:rsid w:val="0030262F"/>
    <w:rsid w:val="00303C8B"/>
    <w:rsid w:val="00306772"/>
    <w:rsid w:val="00306A59"/>
    <w:rsid w:val="00306EED"/>
    <w:rsid w:val="00306F89"/>
    <w:rsid w:val="00311669"/>
    <w:rsid w:val="0031253B"/>
    <w:rsid w:val="00314009"/>
    <w:rsid w:val="00314671"/>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28EC"/>
    <w:rsid w:val="00343E79"/>
    <w:rsid w:val="00344879"/>
    <w:rsid w:val="00346A47"/>
    <w:rsid w:val="0035067D"/>
    <w:rsid w:val="00351E9C"/>
    <w:rsid w:val="00351FA9"/>
    <w:rsid w:val="00352BE5"/>
    <w:rsid w:val="003534C0"/>
    <w:rsid w:val="00354318"/>
    <w:rsid w:val="00354A64"/>
    <w:rsid w:val="00354A79"/>
    <w:rsid w:val="00355FC0"/>
    <w:rsid w:val="00356142"/>
    <w:rsid w:val="00356AD1"/>
    <w:rsid w:val="00361262"/>
    <w:rsid w:val="00361C9E"/>
    <w:rsid w:val="00363C67"/>
    <w:rsid w:val="00364647"/>
    <w:rsid w:val="0037029D"/>
    <w:rsid w:val="00370C8A"/>
    <w:rsid w:val="0037288F"/>
    <w:rsid w:val="00372E53"/>
    <w:rsid w:val="00373951"/>
    <w:rsid w:val="0037405F"/>
    <w:rsid w:val="00375F76"/>
    <w:rsid w:val="003765BA"/>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97811"/>
    <w:rsid w:val="003A44B1"/>
    <w:rsid w:val="003B01F6"/>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3C77"/>
    <w:rsid w:val="003D5B15"/>
    <w:rsid w:val="003D629B"/>
    <w:rsid w:val="003D64A2"/>
    <w:rsid w:val="003D6FFA"/>
    <w:rsid w:val="003D72B6"/>
    <w:rsid w:val="003E35F5"/>
    <w:rsid w:val="003E44CB"/>
    <w:rsid w:val="003E5C6E"/>
    <w:rsid w:val="003F2938"/>
    <w:rsid w:val="003F4247"/>
    <w:rsid w:val="003F4D73"/>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1550"/>
    <w:rsid w:val="004347BF"/>
    <w:rsid w:val="00434EDB"/>
    <w:rsid w:val="00436108"/>
    <w:rsid w:val="004368E1"/>
    <w:rsid w:val="00436A1E"/>
    <w:rsid w:val="00437349"/>
    <w:rsid w:val="00437F68"/>
    <w:rsid w:val="00440010"/>
    <w:rsid w:val="004404F3"/>
    <w:rsid w:val="00441691"/>
    <w:rsid w:val="00442203"/>
    <w:rsid w:val="004440D6"/>
    <w:rsid w:val="0044451B"/>
    <w:rsid w:val="00446C23"/>
    <w:rsid w:val="00447598"/>
    <w:rsid w:val="00447F5D"/>
    <w:rsid w:val="004500E6"/>
    <w:rsid w:val="00451934"/>
    <w:rsid w:val="004522CD"/>
    <w:rsid w:val="00453DA2"/>
    <w:rsid w:val="00454103"/>
    <w:rsid w:val="00455EEE"/>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515"/>
    <w:rsid w:val="004D2708"/>
    <w:rsid w:val="004D2D2B"/>
    <w:rsid w:val="004D438D"/>
    <w:rsid w:val="004D69C4"/>
    <w:rsid w:val="004D6AA0"/>
    <w:rsid w:val="004D6EA3"/>
    <w:rsid w:val="004D79D8"/>
    <w:rsid w:val="004D7C5A"/>
    <w:rsid w:val="004E095F"/>
    <w:rsid w:val="004E0DC1"/>
    <w:rsid w:val="004E2BA2"/>
    <w:rsid w:val="004E3AD2"/>
    <w:rsid w:val="004E4CDC"/>
    <w:rsid w:val="004E4ECE"/>
    <w:rsid w:val="004E77BC"/>
    <w:rsid w:val="004E7C5E"/>
    <w:rsid w:val="004F053A"/>
    <w:rsid w:val="004F104F"/>
    <w:rsid w:val="004F2BA1"/>
    <w:rsid w:val="004F4A10"/>
    <w:rsid w:val="004F6640"/>
    <w:rsid w:val="004F6D0A"/>
    <w:rsid w:val="00500450"/>
    <w:rsid w:val="005023EE"/>
    <w:rsid w:val="00503CA8"/>
    <w:rsid w:val="00507746"/>
    <w:rsid w:val="0051137A"/>
    <w:rsid w:val="00511759"/>
    <w:rsid w:val="00512F35"/>
    <w:rsid w:val="0051378E"/>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5A4F"/>
    <w:rsid w:val="0054613F"/>
    <w:rsid w:val="00546F02"/>
    <w:rsid w:val="0054726C"/>
    <w:rsid w:val="00547477"/>
    <w:rsid w:val="00550637"/>
    <w:rsid w:val="00550C15"/>
    <w:rsid w:val="00551E54"/>
    <w:rsid w:val="00552A5B"/>
    <w:rsid w:val="00553A9F"/>
    <w:rsid w:val="00555666"/>
    <w:rsid w:val="005557AE"/>
    <w:rsid w:val="005563F8"/>
    <w:rsid w:val="00556406"/>
    <w:rsid w:val="0055769A"/>
    <w:rsid w:val="005603D7"/>
    <w:rsid w:val="00560776"/>
    <w:rsid w:val="005651F2"/>
    <w:rsid w:val="00566BF2"/>
    <w:rsid w:val="00566C37"/>
    <w:rsid w:val="00567FBF"/>
    <w:rsid w:val="0057020D"/>
    <w:rsid w:val="005710B2"/>
    <w:rsid w:val="005715A3"/>
    <w:rsid w:val="005758DC"/>
    <w:rsid w:val="00575EC8"/>
    <w:rsid w:val="005770E1"/>
    <w:rsid w:val="00577AAA"/>
    <w:rsid w:val="00577D3B"/>
    <w:rsid w:val="00577FC6"/>
    <w:rsid w:val="00583ED8"/>
    <w:rsid w:val="00585907"/>
    <w:rsid w:val="00585C10"/>
    <w:rsid w:val="00585D18"/>
    <w:rsid w:val="00586DE8"/>
    <w:rsid w:val="0058724D"/>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C570D"/>
    <w:rsid w:val="005D1258"/>
    <w:rsid w:val="005D1F78"/>
    <w:rsid w:val="005D3DE5"/>
    <w:rsid w:val="005D691C"/>
    <w:rsid w:val="005D72BC"/>
    <w:rsid w:val="005D7BAC"/>
    <w:rsid w:val="005E0927"/>
    <w:rsid w:val="005E0EB8"/>
    <w:rsid w:val="005E1042"/>
    <w:rsid w:val="005E290B"/>
    <w:rsid w:val="005E61DB"/>
    <w:rsid w:val="005F038E"/>
    <w:rsid w:val="005F1201"/>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1A4"/>
    <w:rsid w:val="0062060B"/>
    <w:rsid w:val="00621870"/>
    <w:rsid w:val="00625588"/>
    <w:rsid w:val="00626234"/>
    <w:rsid w:val="006269AA"/>
    <w:rsid w:val="00627813"/>
    <w:rsid w:val="00630CE7"/>
    <w:rsid w:val="00633FA7"/>
    <w:rsid w:val="00634380"/>
    <w:rsid w:val="006345DE"/>
    <w:rsid w:val="00635F76"/>
    <w:rsid w:val="00643045"/>
    <w:rsid w:val="0064574D"/>
    <w:rsid w:val="00645C78"/>
    <w:rsid w:val="00646470"/>
    <w:rsid w:val="00646570"/>
    <w:rsid w:val="00650EC4"/>
    <w:rsid w:val="00652426"/>
    <w:rsid w:val="0065519A"/>
    <w:rsid w:val="0065793E"/>
    <w:rsid w:val="006622F0"/>
    <w:rsid w:val="0066255F"/>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0360"/>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229"/>
    <w:rsid w:val="006D1852"/>
    <w:rsid w:val="006D2D0E"/>
    <w:rsid w:val="006D4E10"/>
    <w:rsid w:val="006D539E"/>
    <w:rsid w:val="006D634E"/>
    <w:rsid w:val="006D73C5"/>
    <w:rsid w:val="006D7602"/>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07F65"/>
    <w:rsid w:val="00710A76"/>
    <w:rsid w:val="0071161C"/>
    <w:rsid w:val="00716115"/>
    <w:rsid w:val="00716B69"/>
    <w:rsid w:val="00721582"/>
    <w:rsid w:val="00721914"/>
    <w:rsid w:val="007236E6"/>
    <w:rsid w:val="00723C07"/>
    <w:rsid w:val="0072427E"/>
    <w:rsid w:val="0073057D"/>
    <w:rsid w:val="00730609"/>
    <w:rsid w:val="00731DA2"/>
    <w:rsid w:val="007324EC"/>
    <w:rsid w:val="0073276D"/>
    <w:rsid w:val="00734122"/>
    <w:rsid w:val="007352A4"/>
    <w:rsid w:val="00736FE3"/>
    <w:rsid w:val="00737F15"/>
    <w:rsid w:val="007400F0"/>
    <w:rsid w:val="0074082A"/>
    <w:rsid w:val="007423F5"/>
    <w:rsid w:val="00742877"/>
    <w:rsid w:val="0074393D"/>
    <w:rsid w:val="00743991"/>
    <w:rsid w:val="00746AD4"/>
    <w:rsid w:val="00750B7E"/>
    <w:rsid w:val="007515C4"/>
    <w:rsid w:val="007522B7"/>
    <w:rsid w:val="0075277D"/>
    <w:rsid w:val="00753A4B"/>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C58"/>
    <w:rsid w:val="00775F64"/>
    <w:rsid w:val="00776970"/>
    <w:rsid w:val="00777FA7"/>
    <w:rsid w:val="00777FC5"/>
    <w:rsid w:val="00780832"/>
    <w:rsid w:val="00780DCA"/>
    <w:rsid w:val="00781660"/>
    <w:rsid w:val="007818C9"/>
    <w:rsid w:val="00782920"/>
    <w:rsid w:val="007865E1"/>
    <w:rsid w:val="007866F2"/>
    <w:rsid w:val="00790706"/>
    <w:rsid w:val="00795E5D"/>
    <w:rsid w:val="0079716C"/>
    <w:rsid w:val="00797235"/>
    <w:rsid w:val="007A009E"/>
    <w:rsid w:val="007A01F7"/>
    <w:rsid w:val="007A0F8C"/>
    <w:rsid w:val="007A13C0"/>
    <w:rsid w:val="007A4490"/>
    <w:rsid w:val="007A47BF"/>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04AE"/>
    <w:rsid w:val="007D1EDC"/>
    <w:rsid w:val="007D2B50"/>
    <w:rsid w:val="007D39E5"/>
    <w:rsid w:val="007D425A"/>
    <w:rsid w:val="007D54E9"/>
    <w:rsid w:val="007D5A19"/>
    <w:rsid w:val="007E193D"/>
    <w:rsid w:val="007E31A6"/>
    <w:rsid w:val="007E37B8"/>
    <w:rsid w:val="007E4F90"/>
    <w:rsid w:val="007F00ED"/>
    <w:rsid w:val="007F069A"/>
    <w:rsid w:val="007F0BE1"/>
    <w:rsid w:val="007F2474"/>
    <w:rsid w:val="007F5FAD"/>
    <w:rsid w:val="007F620C"/>
    <w:rsid w:val="008004E8"/>
    <w:rsid w:val="00801B05"/>
    <w:rsid w:val="008025D3"/>
    <w:rsid w:val="00807A32"/>
    <w:rsid w:val="00807BB1"/>
    <w:rsid w:val="008102C8"/>
    <w:rsid w:val="00810C97"/>
    <w:rsid w:val="00810D49"/>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4DF5"/>
    <w:rsid w:val="00865464"/>
    <w:rsid w:val="0087069A"/>
    <w:rsid w:val="008708ED"/>
    <w:rsid w:val="0087135D"/>
    <w:rsid w:val="00874451"/>
    <w:rsid w:val="00875714"/>
    <w:rsid w:val="00877038"/>
    <w:rsid w:val="008805E8"/>
    <w:rsid w:val="00882E0C"/>
    <w:rsid w:val="008834FA"/>
    <w:rsid w:val="00885488"/>
    <w:rsid w:val="00887A37"/>
    <w:rsid w:val="0089430C"/>
    <w:rsid w:val="008944AF"/>
    <w:rsid w:val="0089587E"/>
    <w:rsid w:val="008970D5"/>
    <w:rsid w:val="00897B8F"/>
    <w:rsid w:val="008A0B92"/>
    <w:rsid w:val="008A0CE0"/>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763A"/>
    <w:rsid w:val="008D2154"/>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5164"/>
    <w:rsid w:val="008F6B8B"/>
    <w:rsid w:val="00901748"/>
    <w:rsid w:val="009018E5"/>
    <w:rsid w:val="009019CF"/>
    <w:rsid w:val="00901C1E"/>
    <w:rsid w:val="00902CF4"/>
    <w:rsid w:val="0090478A"/>
    <w:rsid w:val="009056D3"/>
    <w:rsid w:val="00905841"/>
    <w:rsid w:val="00907D77"/>
    <w:rsid w:val="00910F99"/>
    <w:rsid w:val="00914BDD"/>
    <w:rsid w:val="00916557"/>
    <w:rsid w:val="009172C2"/>
    <w:rsid w:val="0091761E"/>
    <w:rsid w:val="00920FF1"/>
    <w:rsid w:val="00921695"/>
    <w:rsid w:val="009221E3"/>
    <w:rsid w:val="00922FF6"/>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004B"/>
    <w:rsid w:val="00951C0F"/>
    <w:rsid w:val="00954A78"/>
    <w:rsid w:val="009618EC"/>
    <w:rsid w:val="00961BBD"/>
    <w:rsid w:val="0096295D"/>
    <w:rsid w:val="00964479"/>
    <w:rsid w:val="009654C2"/>
    <w:rsid w:val="00966E0E"/>
    <w:rsid w:val="0097195D"/>
    <w:rsid w:val="009721A4"/>
    <w:rsid w:val="009727F4"/>
    <w:rsid w:val="00972975"/>
    <w:rsid w:val="00973FEF"/>
    <w:rsid w:val="009752EE"/>
    <w:rsid w:val="00977F1D"/>
    <w:rsid w:val="00980F49"/>
    <w:rsid w:val="0098255F"/>
    <w:rsid w:val="0098261E"/>
    <w:rsid w:val="00982994"/>
    <w:rsid w:val="009836CA"/>
    <w:rsid w:val="009844F8"/>
    <w:rsid w:val="0098675D"/>
    <w:rsid w:val="00987223"/>
    <w:rsid w:val="00987F3D"/>
    <w:rsid w:val="00990E2B"/>
    <w:rsid w:val="0099514C"/>
    <w:rsid w:val="00996CE3"/>
    <w:rsid w:val="00996F0B"/>
    <w:rsid w:val="00996F6A"/>
    <w:rsid w:val="009A07C7"/>
    <w:rsid w:val="009A0958"/>
    <w:rsid w:val="009A1FE1"/>
    <w:rsid w:val="009A4BD5"/>
    <w:rsid w:val="009A4DCC"/>
    <w:rsid w:val="009A4F79"/>
    <w:rsid w:val="009A5259"/>
    <w:rsid w:val="009A636B"/>
    <w:rsid w:val="009A6CC8"/>
    <w:rsid w:val="009A7416"/>
    <w:rsid w:val="009B3A61"/>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3478"/>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1FED"/>
    <w:rsid w:val="00A33051"/>
    <w:rsid w:val="00A331CA"/>
    <w:rsid w:val="00A33805"/>
    <w:rsid w:val="00A34DB9"/>
    <w:rsid w:val="00A3546D"/>
    <w:rsid w:val="00A35DEB"/>
    <w:rsid w:val="00A365D7"/>
    <w:rsid w:val="00A36E24"/>
    <w:rsid w:val="00A3709F"/>
    <w:rsid w:val="00A3731C"/>
    <w:rsid w:val="00A3757E"/>
    <w:rsid w:val="00A37F63"/>
    <w:rsid w:val="00A40262"/>
    <w:rsid w:val="00A40333"/>
    <w:rsid w:val="00A40A39"/>
    <w:rsid w:val="00A40BCF"/>
    <w:rsid w:val="00A40FA5"/>
    <w:rsid w:val="00A42BBA"/>
    <w:rsid w:val="00A42DE8"/>
    <w:rsid w:val="00A450A0"/>
    <w:rsid w:val="00A4520A"/>
    <w:rsid w:val="00A46D08"/>
    <w:rsid w:val="00A47CB3"/>
    <w:rsid w:val="00A51A79"/>
    <w:rsid w:val="00A53021"/>
    <w:rsid w:val="00A53A2C"/>
    <w:rsid w:val="00A55909"/>
    <w:rsid w:val="00A56417"/>
    <w:rsid w:val="00A56EA4"/>
    <w:rsid w:val="00A57448"/>
    <w:rsid w:val="00A57662"/>
    <w:rsid w:val="00A65E47"/>
    <w:rsid w:val="00A66011"/>
    <w:rsid w:val="00A67908"/>
    <w:rsid w:val="00A708C8"/>
    <w:rsid w:val="00A70FA9"/>
    <w:rsid w:val="00A71F21"/>
    <w:rsid w:val="00A71F44"/>
    <w:rsid w:val="00A737B7"/>
    <w:rsid w:val="00A77774"/>
    <w:rsid w:val="00A80A3F"/>
    <w:rsid w:val="00A80B2E"/>
    <w:rsid w:val="00A8489E"/>
    <w:rsid w:val="00A85309"/>
    <w:rsid w:val="00A858C3"/>
    <w:rsid w:val="00A85B90"/>
    <w:rsid w:val="00A85D69"/>
    <w:rsid w:val="00A87F68"/>
    <w:rsid w:val="00A92AE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6409"/>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406B"/>
    <w:rsid w:val="00AF581C"/>
    <w:rsid w:val="00AF5C27"/>
    <w:rsid w:val="00AF613D"/>
    <w:rsid w:val="00AF6A7E"/>
    <w:rsid w:val="00AF71D4"/>
    <w:rsid w:val="00AF7313"/>
    <w:rsid w:val="00B01D46"/>
    <w:rsid w:val="00B03977"/>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996"/>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22B0"/>
    <w:rsid w:val="00B73120"/>
    <w:rsid w:val="00B7599E"/>
    <w:rsid w:val="00B761BB"/>
    <w:rsid w:val="00B80DFC"/>
    <w:rsid w:val="00B80EDE"/>
    <w:rsid w:val="00B84254"/>
    <w:rsid w:val="00B845BE"/>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73B"/>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208F"/>
    <w:rsid w:val="00C53BA5"/>
    <w:rsid w:val="00C53E7F"/>
    <w:rsid w:val="00C53F5E"/>
    <w:rsid w:val="00C543EA"/>
    <w:rsid w:val="00C56C4B"/>
    <w:rsid w:val="00C577CE"/>
    <w:rsid w:val="00C6063E"/>
    <w:rsid w:val="00C60BB5"/>
    <w:rsid w:val="00C62FBC"/>
    <w:rsid w:val="00C630C0"/>
    <w:rsid w:val="00C64E8B"/>
    <w:rsid w:val="00C64F46"/>
    <w:rsid w:val="00C65C54"/>
    <w:rsid w:val="00C65FAA"/>
    <w:rsid w:val="00C6749A"/>
    <w:rsid w:val="00C7317A"/>
    <w:rsid w:val="00C74A60"/>
    <w:rsid w:val="00C76857"/>
    <w:rsid w:val="00C77B4B"/>
    <w:rsid w:val="00C77FD7"/>
    <w:rsid w:val="00C81ECD"/>
    <w:rsid w:val="00C84043"/>
    <w:rsid w:val="00C84EF2"/>
    <w:rsid w:val="00C8530A"/>
    <w:rsid w:val="00C8595C"/>
    <w:rsid w:val="00C87CFF"/>
    <w:rsid w:val="00C91EEF"/>
    <w:rsid w:val="00C92B04"/>
    <w:rsid w:val="00C93302"/>
    <w:rsid w:val="00C933F8"/>
    <w:rsid w:val="00C96476"/>
    <w:rsid w:val="00C966E5"/>
    <w:rsid w:val="00C9746E"/>
    <w:rsid w:val="00C97D01"/>
    <w:rsid w:val="00CA07E5"/>
    <w:rsid w:val="00CA124D"/>
    <w:rsid w:val="00CA2F94"/>
    <w:rsid w:val="00CA5643"/>
    <w:rsid w:val="00CA5CD4"/>
    <w:rsid w:val="00CA64DE"/>
    <w:rsid w:val="00CB02E1"/>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657"/>
    <w:rsid w:val="00CC68F4"/>
    <w:rsid w:val="00CC770D"/>
    <w:rsid w:val="00CD1E58"/>
    <w:rsid w:val="00CD3365"/>
    <w:rsid w:val="00CD471E"/>
    <w:rsid w:val="00CD482D"/>
    <w:rsid w:val="00CD489B"/>
    <w:rsid w:val="00CD48A2"/>
    <w:rsid w:val="00CD4FD0"/>
    <w:rsid w:val="00CD64F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301C"/>
    <w:rsid w:val="00D04121"/>
    <w:rsid w:val="00D051E7"/>
    <w:rsid w:val="00D0793C"/>
    <w:rsid w:val="00D07B26"/>
    <w:rsid w:val="00D111BB"/>
    <w:rsid w:val="00D1246C"/>
    <w:rsid w:val="00D12661"/>
    <w:rsid w:val="00D127D2"/>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15AC"/>
    <w:rsid w:val="00D72E5B"/>
    <w:rsid w:val="00D73D89"/>
    <w:rsid w:val="00D745C3"/>
    <w:rsid w:val="00D75D8E"/>
    <w:rsid w:val="00D76FB8"/>
    <w:rsid w:val="00D80070"/>
    <w:rsid w:val="00D8053D"/>
    <w:rsid w:val="00D80B1A"/>
    <w:rsid w:val="00D816A7"/>
    <w:rsid w:val="00D828CE"/>
    <w:rsid w:val="00D83F62"/>
    <w:rsid w:val="00D85C6B"/>
    <w:rsid w:val="00D86DAC"/>
    <w:rsid w:val="00D90AE9"/>
    <w:rsid w:val="00D90CAD"/>
    <w:rsid w:val="00D929B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B557C"/>
    <w:rsid w:val="00DB74F7"/>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1C3D"/>
    <w:rsid w:val="00DF3882"/>
    <w:rsid w:val="00DF43EA"/>
    <w:rsid w:val="00DF52BC"/>
    <w:rsid w:val="00DF5FB1"/>
    <w:rsid w:val="00DF7393"/>
    <w:rsid w:val="00DF781B"/>
    <w:rsid w:val="00E009F3"/>
    <w:rsid w:val="00E00DDC"/>
    <w:rsid w:val="00E01FA7"/>
    <w:rsid w:val="00E0274F"/>
    <w:rsid w:val="00E02F94"/>
    <w:rsid w:val="00E03A7A"/>
    <w:rsid w:val="00E0432C"/>
    <w:rsid w:val="00E048E5"/>
    <w:rsid w:val="00E061F3"/>
    <w:rsid w:val="00E07B26"/>
    <w:rsid w:val="00E07F21"/>
    <w:rsid w:val="00E13FB6"/>
    <w:rsid w:val="00E1487A"/>
    <w:rsid w:val="00E16DAB"/>
    <w:rsid w:val="00E2006D"/>
    <w:rsid w:val="00E22756"/>
    <w:rsid w:val="00E25815"/>
    <w:rsid w:val="00E26F1D"/>
    <w:rsid w:val="00E270A6"/>
    <w:rsid w:val="00E30322"/>
    <w:rsid w:val="00E3140F"/>
    <w:rsid w:val="00E31A51"/>
    <w:rsid w:val="00E31F6C"/>
    <w:rsid w:val="00E3275C"/>
    <w:rsid w:val="00E33021"/>
    <w:rsid w:val="00E33342"/>
    <w:rsid w:val="00E3344C"/>
    <w:rsid w:val="00E339BB"/>
    <w:rsid w:val="00E35CC1"/>
    <w:rsid w:val="00E40738"/>
    <w:rsid w:val="00E42B06"/>
    <w:rsid w:val="00E43C88"/>
    <w:rsid w:val="00E45060"/>
    <w:rsid w:val="00E454D2"/>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2CE7"/>
    <w:rsid w:val="00E8554D"/>
    <w:rsid w:val="00E859F8"/>
    <w:rsid w:val="00E875DE"/>
    <w:rsid w:val="00E87C9B"/>
    <w:rsid w:val="00E9018A"/>
    <w:rsid w:val="00E93090"/>
    <w:rsid w:val="00E93C34"/>
    <w:rsid w:val="00EA2BCA"/>
    <w:rsid w:val="00EA2C71"/>
    <w:rsid w:val="00EA6512"/>
    <w:rsid w:val="00EA7155"/>
    <w:rsid w:val="00EA7E56"/>
    <w:rsid w:val="00EB021E"/>
    <w:rsid w:val="00EB05ED"/>
    <w:rsid w:val="00EB0C4B"/>
    <w:rsid w:val="00EB0DC4"/>
    <w:rsid w:val="00EB0E52"/>
    <w:rsid w:val="00EB1EA7"/>
    <w:rsid w:val="00EB1F77"/>
    <w:rsid w:val="00EB506E"/>
    <w:rsid w:val="00EC63A7"/>
    <w:rsid w:val="00ED0446"/>
    <w:rsid w:val="00ED0D35"/>
    <w:rsid w:val="00ED1E20"/>
    <w:rsid w:val="00ED2FB9"/>
    <w:rsid w:val="00ED4C47"/>
    <w:rsid w:val="00ED4D48"/>
    <w:rsid w:val="00ED70B4"/>
    <w:rsid w:val="00EE1CD6"/>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07D18"/>
    <w:rsid w:val="00F10C7F"/>
    <w:rsid w:val="00F11612"/>
    <w:rsid w:val="00F124CD"/>
    <w:rsid w:val="00F127FE"/>
    <w:rsid w:val="00F1285B"/>
    <w:rsid w:val="00F12ECA"/>
    <w:rsid w:val="00F14DB7"/>
    <w:rsid w:val="00F14F6E"/>
    <w:rsid w:val="00F20994"/>
    <w:rsid w:val="00F22C96"/>
    <w:rsid w:val="00F22ED1"/>
    <w:rsid w:val="00F24866"/>
    <w:rsid w:val="00F27225"/>
    <w:rsid w:val="00F30258"/>
    <w:rsid w:val="00F313E2"/>
    <w:rsid w:val="00F32B6C"/>
    <w:rsid w:val="00F361E3"/>
    <w:rsid w:val="00F401C9"/>
    <w:rsid w:val="00F407D9"/>
    <w:rsid w:val="00F40ED8"/>
    <w:rsid w:val="00F41844"/>
    <w:rsid w:val="00F41E24"/>
    <w:rsid w:val="00F43FE7"/>
    <w:rsid w:val="00F45A66"/>
    <w:rsid w:val="00F47A5A"/>
    <w:rsid w:val="00F504AD"/>
    <w:rsid w:val="00F51460"/>
    <w:rsid w:val="00F523BD"/>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680A"/>
    <w:rsid w:val="00F77C8E"/>
    <w:rsid w:val="00F80464"/>
    <w:rsid w:val="00F8342E"/>
    <w:rsid w:val="00F83D75"/>
    <w:rsid w:val="00F8456D"/>
    <w:rsid w:val="00F847C6"/>
    <w:rsid w:val="00F87CC2"/>
    <w:rsid w:val="00F9063F"/>
    <w:rsid w:val="00F90B81"/>
    <w:rsid w:val="00F912E2"/>
    <w:rsid w:val="00F91DD6"/>
    <w:rsid w:val="00F94BB9"/>
    <w:rsid w:val="00F9528D"/>
    <w:rsid w:val="00F96F2A"/>
    <w:rsid w:val="00F97818"/>
    <w:rsid w:val="00FA1933"/>
    <w:rsid w:val="00FA271F"/>
    <w:rsid w:val="00FA7E7A"/>
    <w:rsid w:val="00FA7E98"/>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D59A1"/>
    <w:rsid w:val="00FE0B80"/>
    <w:rsid w:val="00FE21DA"/>
    <w:rsid w:val="00FE2D09"/>
    <w:rsid w:val="00FE2E38"/>
    <w:rsid w:val="00FE37C0"/>
    <w:rsid w:val="00FE3E44"/>
    <w:rsid w:val="00FE44BB"/>
    <w:rsid w:val="00FE4E97"/>
    <w:rsid w:val="00FE51E3"/>
    <w:rsid w:val="00FE5708"/>
    <w:rsid w:val="00FE5D7D"/>
    <w:rsid w:val="00FF1AE9"/>
    <w:rsid w:val="00FF1DE6"/>
    <w:rsid w:val="00FF3D74"/>
    <w:rsid w:val="00FF44B7"/>
    <w:rsid w:val="00FF4EFD"/>
    <w:rsid w:val="00FF5CD6"/>
    <w:rsid w:val="00FF5E86"/>
    <w:rsid w:val="01192C59"/>
    <w:rsid w:val="01891C06"/>
    <w:rsid w:val="02757C9E"/>
    <w:rsid w:val="02AD2358"/>
    <w:rsid w:val="02DB45C0"/>
    <w:rsid w:val="030C1C55"/>
    <w:rsid w:val="032B4ED7"/>
    <w:rsid w:val="03A352E5"/>
    <w:rsid w:val="03EB7F6F"/>
    <w:rsid w:val="04320AC9"/>
    <w:rsid w:val="0443576E"/>
    <w:rsid w:val="04877E7B"/>
    <w:rsid w:val="04AF1318"/>
    <w:rsid w:val="04C83666"/>
    <w:rsid w:val="04D22AB5"/>
    <w:rsid w:val="050D3ECA"/>
    <w:rsid w:val="05620E35"/>
    <w:rsid w:val="05746F83"/>
    <w:rsid w:val="05BA77FA"/>
    <w:rsid w:val="05F03EBA"/>
    <w:rsid w:val="05F97D7A"/>
    <w:rsid w:val="06050655"/>
    <w:rsid w:val="062F4AC7"/>
    <w:rsid w:val="06572331"/>
    <w:rsid w:val="07571617"/>
    <w:rsid w:val="075C09EA"/>
    <w:rsid w:val="07BB579C"/>
    <w:rsid w:val="07EC5183"/>
    <w:rsid w:val="082C5BC7"/>
    <w:rsid w:val="088A1D6B"/>
    <w:rsid w:val="0918622F"/>
    <w:rsid w:val="093726DD"/>
    <w:rsid w:val="095042B4"/>
    <w:rsid w:val="0A3027BF"/>
    <w:rsid w:val="0A3F77FF"/>
    <w:rsid w:val="0A547C51"/>
    <w:rsid w:val="0A7C1A85"/>
    <w:rsid w:val="0AE174F0"/>
    <w:rsid w:val="0B091B55"/>
    <w:rsid w:val="0B910559"/>
    <w:rsid w:val="0BD30D12"/>
    <w:rsid w:val="0C436FF4"/>
    <w:rsid w:val="0CA26D17"/>
    <w:rsid w:val="0CCD125D"/>
    <w:rsid w:val="0CF65B9B"/>
    <w:rsid w:val="0DDF6F54"/>
    <w:rsid w:val="0E8F77FE"/>
    <w:rsid w:val="0E96107C"/>
    <w:rsid w:val="0EAA1C59"/>
    <w:rsid w:val="0EC915E2"/>
    <w:rsid w:val="0EDE2213"/>
    <w:rsid w:val="0F0E7C30"/>
    <w:rsid w:val="0F181557"/>
    <w:rsid w:val="0F2C6293"/>
    <w:rsid w:val="0F9606B9"/>
    <w:rsid w:val="0F9977AA"/>
    <w:rsid w:val="0FAA3A38"/>
    <w:rsid w:val="0FCB7088"/>
    <w:rsid w:val="0FF31ABA"/>
    <w:rsid w:val="104575CD"/>
    <w:rsid w:val="109F57E6"/>
    <w:rsid w:val="110E1A8B"/>
    <w:rsid w:val="111737AF"/>
    <w:rsid w:val="11A15A1A"/>
    <w:rsid w:val="11AA22C1"/>
    <w:rsid w:val="11EB2376"/>
    <w:rsid w:val="12092BD6"/>
    <w:rsid w:val="12580D1D"/>
    <w:rsid w:val="12737C28"/>
    <w:rsid w:val="129C1319"/>
    <w:rsid w:val="12A26A4D"/>
    <w:rsid w:val="130A6295"/>
    <w:rsid w:val="13154AB4"/>
    <w:rsid w:val="137F039F"/>
    <w:rsid w:val="1385324E"/>
    <w:rsid w:val="13A043DB"/>
    <w:rsid w:val="14437632"/>
    <w:rsid w:val="1490020F"/>
    <w:rsid w:val="14C962A9"/>
    <w:rsid w:val="14D74452"/>
    <w:rsid w:val="153E1C33"/>
    <w:rsid w:val="159071B8"/>
    <w:rsid w:val="15D93211"/>
    <w:rsid w:val="16116A97"/>
    <w:rsid w:val="163224C0"/>
    <w:rsid w:val="17E6409B"/>
    <w:rsid w:val="1828197A"/>
    <w:rsid w:val="18736639"/>
    <w:rsid w:val="18817A19"/>
    <w:rsid w:val="189F541F"/>
    <w:rsid w:val="18CD581F"/>
    <w:rsid w:val="18F57A70"/>
    <w:rsid w:val="190A02DE"/>
    <w:rsid w:val="192972DF"/>
    <w:rsid w:val="19656BEE"/>
    <w:rsid w:val="19763628"/>
    <w:rsid w:val="19A07AA0"/>
    <w:rsid w:val="19D65DDE"/>
    <w:rsid w:val="1B017F1D"/>
    <w:rsid w:val="1B0C6B86"/>
    <w:rsid w:val="1BB71B48"/>
    <w:rsid w:val="1BB975D5"/>
    <w:rsid w:val="1BD2629B"/>
    <w:rsid w:val="1C0B4EA5"/>
    <w:rsid w:val="1C946394"/>
    <w:rsid w:val="1D3830D3"/>
    <w:rsid w:val="1D844479"/>
    <w:rsid w:val="1DB863F7"/>
    <w:rsid w:val="1DC9492E"/>
    <w:rsid w:val="1DE94D71"/>
    <w:rsid w:val="1E7B42C1"/>
    <w:rsid w:val="1E7E0479"/>
    <w:rsid w:val="1EA64220"/>
    <w:rsid w:val="1EF338FF"/>
    <w:rsid w:val="1F255BAA"/>
    <w:rsid w:val="1F2A3EA7"/>
    <w:rsid w:val="1F4A6CC2"/>
    <w:rsid w:val="1F58191A"/>
    <w:rsid w:val="20002F47"/>
    <w:rsid w:val="20440109"/>
    <w:rsid w:val="20780FC5"/>
    <w:rsid w:val="207F6FEE"/>
    <w:rsid w:val="210E4975"/>
    <w:rsid w:val="21604B7C"/>
    <w:rsid w:val="22603489"/>
    <w:rsid w:val="227821CE"/>
    <w:rsid w:val="229C2B4F"/>
    <w:rsid w:val="22F0632C"/>
    <w:rsid w:val="22FC3445"/>
    <w:rsid w:val="230805E5"/>
    <w:rsid w:val="230A0859"/>
    <w:rsid w:val="236374BD"/>
    <w:rsid w:val="23A44005"/>
    <w:rsid w:val="23C660E7"/>
    <w:rsid w:val="24512A35"/>
    <w:rsid w:val="24E73C57"/>
    <w:rsid w:val="24E74AE0"/>
    <w:rsid w:val="25471D15"/>
    <w:rsid w:val="257D1565"/>
    <w:rsid w:val="259030CA"/>
    <w:rsid w:val="25B16263"/>
    <w:rsid w:val="25DD1B59"/>
    <w:rsid w:val="26020482"/>
    <w:rsid w:val="260A4B00"/>
    <w:rsid w:val="26DB5EED"/>
    <w:rsid w:val="26F961AE"/>
    <w:rsid w:val="271A344F"/>
    <w:rsid w:val="27DC23B9"/>
    <w:rsid w:val="285A53D1"/>
    <w:rsid w:val="28664C04"/>
    <w:rsid w:val="28675D88"/>
    <w:rsid w:val="28D66B19"/>
    <w:rsid w:val="28E10A3C"/>
    <w:rsid w:val="28E80AEF"/>
    <w:rsid w:val="29133B34"/>
    <w:rsid w:val="295F1D16"/>
    <w:rsid w:val="296B6C68"/>
    <w:rsid w:val="29EC1FC2"/>
    <w:rsid w:val="29F87A15"/>
    <w:rsid w:val="2A113E22"/>
    <w:rsid w:val="2A1B2A45"/>
    <w:rsid w:val="2A464F22"/>
    <w:rsid w:val="2A4C7643"/>
    <w:rsid w:val="2A5847FA"/>
    <w:rsid w:val="2A6A4836"/>
    <w:rsid w:val="2B0C20E7"/>
    <w:rsid w:val="2B147F99"/>
    <w:rsid w:val="2B36489B"/>
    <w:rsid w:val="2B3A3CA1"/>
    <w:rsid w:val="2B62597C"/>
    <w:rsid w:val="2C980758"/>
    <w:rsid w:val="2CD636DC"/>
    <w:rsid w:val="2CDC7E8D"/>
    <w:rsid w:val="2CF46FF1"/>
    <w:rsid w:val="2D2C1092"/>
    <w:rsid w:val="2D2E76EA"/>
    <w:rsid w:val="2DD737B0"/>
    <w:rsid w:val="2DF860FA"/>
    <w:rsid w:val="2E2C214E"/>
    <w:rsid w:val="2E805FCD"/>
    <w:rsid w:val="2E8A39B5"/>
    <w:rsid w:val="2EB50A6D"/>
    <w:rsid w:val="2EC54050"/>
    <w:rsid w:val="2F8C1204"/>
    <w:rsid w:val="2FD47A5F"/>
    <w:rsid w:val="307C4C53"/>
    <w:rsid w:val="30C31E19"/>
    <w:rsid w:val="310724C2"/>
    <w:rsid w:val="3134056B"/>
    <w:rsid w:val="31EF35B1"/>
    <w:rsid w:val="327B5E69"/>
    <w:rsid w:val="328338E1"/>
    <w:rsid w:val="32BF3D43"/>
    <w:rsid w:val="32FB2737"/>
    <w:rsid w:val="33066011"/>
    <w:rsid w:val="33DB05A0"/>
    <w:rsid w:val="353B2146"/>
    <w:rsid w:val="357037EB"/>
    <w:rsid w:val="357B637D"/>
    <w:rsid w:val="35A44B97"/>
    <w:rsid w:val="365E54A1"/>
    <w:rsid w:val="36674FD7"/>
    <w:rsid w:val="366C4937"/>
    <w:rsid w:val="368A6FD4"/>
    <w:rsid w:val="36FB59C8"/>
    <w:rsid w:val="371B73CD"/>
    <w:rsid w:val="37212B0F"/>
    <w:rsid w:val="373A2A2D"/>
    <w:rsid w:val="37F22BB2"/>
    <w:rsid w:val="38021382"/>
    <w:rsid w:val="38155B5F"/>
    <w:rsid w:val="384658DA"/>
    <w:rsid w:val="391812E3"/>
    <w:rsid w:val="393E5E29"/>
    <w:rsid w:val="396D7F7B"/>
    <w:rsid w:val="39E738FB"/>
    <w:rsid w:val="39FA45D8"/>
    <w:rsid w:val="3A106B26"/>
    <w:rsid w:val="3A742871"/>
    <w:rsid w:val="3A941543"/>
    <w:rsid w:val="3AAB4A61"/>
    <w:rsid w:val="3AB17EDA"/>
    <w:rsid w:val="3BA16ED7"/>
    <w:rsid w:val="3C0A6522"/>
    <w:rsid w:val="3C7A3D3E"/>
    <w:rsid w:val="3CD57C49"/>
    <w:rsid w:val="3D7F7391"/>
    <w:rsid w:val="3D81214D"/>
    <w:rsid w:val="3D9C1685"/>
    <w:rsid w:val="3E166720"/>
    <w:rsid w:val="3E3050EC"/>
    <w:rsid w:val="3E5E3ED8"/>
    <w:rsid w:val="3E7530DE"/>
    <w:rsid w:val="3EAF6787"/>
    <w:rsid w:val="3EB10AEA"/>
    <w:rsid w:val="3F2A7451"/>
    <w:rsid w:val="3F6235D0"/>
    <w:rsid w:val="3FEF558A"/>
    <w:rsid w:val="400826DF"/>
    <w:rsid w:val="4103627C"/>
    <w:rsid w:val="41323A94"/>
    <w:rsid w:val="41633AB8"/>
    <w:rsid w:val="41903AFE"/>
    <w:rsid w:val="41DD1A57"/>
    <w:rsid w:val="41FB4FD8"/>
    <w:rsid w:val="420245D8"/>
    <w:rsid w:val="42324864"/>
    <w:rsid w:val="42B21258"/>
    <w:rsid w:val="42C51CEA"/>
    <w:rsid w:val="42DD7224"/>
    <w:rsid w:val="42EB1C0B"/>
    <w:rsid w:val="43443F2D"/>
    <w:rsid w:val="438962DE"/>
    <w:rsid w:val="44306831"/>
    <w:rsid w:val="445D4FA0"/>
    <w:rsid w:val="44800BE8"/>
    <w:rsid w:val="45036047"/>
    <w:rsid w:val="45157D5B"/>
    <w:rsid w:val="45410908"/>
    <w:rsid w:val="45957116"/>
    <w:rsid w:val="46F175D4"/>
    <w:rsid w:val="46FC0FB6"/>
    <w:rsid w:val="4793161E"/>
    <w:rsid w:val="479F154F"/>
    <w:rsid w:val="47F85728"/>
    <w:rsid w:val="47FA6E12"/>
    <w:rsid w:val="481F55D6"/>
    <w:rsid w:val="48393D50"/>
    <w:rsid w:val="4848378E"/>
    <w:rsid w:val="486B1349"/>
    <w:rsid w:val="488302E4"/>
    <w:rsid w:val="48E07762"/>
    <w:rsid w:val="48FF5C27"/>
    <w:rsid w:val="493E4F84"/>
    <w:rsid w:val="493F1C34"/>
    <w:rsid w:val="49DE4293"/>
    <w:rsid w:val="4A5C6CEC"/>
    <w:rsid w:val="4A8A5B6B"/>
    <w:rsid w:val="4A944073"/>
    <w:rsid w:val="4AC236BE"/>
    <w:rsid w:val="4B491B87"/>
    <w:rsid w:val="4B704C53"/>
    <w:rsid w:val="4B746436"/>
    <w:rsid w:val="4B86634C"/>
    <w:rsid w:val="4BBC78F0"/>
    <w:rsid w:val="4BFA3EAF"/>
    <w:rsid w:val="4C1E15E4"/>
    <w:rsid w:val="4C902D4D"/>
    <w:rsid w:val="4CB27486"/>
    <w:rsid w:val="4CB37CF7"/>
    <w:rsid w:val="4D0D3F0E"/>
    <w:rsid w:val="4D2433B3"/>
    <w:rsid w:val="4D9D0706"/>
    <w:rsid w:val="4DA32B9D"/>
    <w:rsid w:val="4E0C055E"/>
    <w:rsid w:val="4E260BBB"/>
    <w:rsid w:val="4E2F3136"/>
    <w:rsid w:val="4E49767C"/>
    <w:rsid w:val="4E7E4F7F"/>
    <w:rsid w:val="4EDB3995"/>
    <w:rsid w:val="4F1D52D0"/>
    <w:rsid w:val="4F592A1E"/>
    <w:rsid w:val="4F880C70"/>
    <w:rsid w:val="4FA5132A"/>
    <w:rsid w:val="4FB13B63"/>
    <w:rsid w:val="4FB551C8"/>
    <w:rsid w:val="50106CF1"/>
    <w:rsid w:val="50661352"/>
    <w:rsid w:val="506B380E"/>
    <w:rsid w:val="50760CB8"/>
    <w:rsid w:val="50765BB5"/>
    <w:rsid w:val="509B1C00"/>
    <w:rsid w:val="509E593C"/>
    <w:rsid w:val="50E757E4"/>
    <w:rsid w:val="510D542E"/>
    <w:rsid w:val="514D7BD2"/>
    <w:rsid w:val="515C15A9"/>
    <w:rsid w:val="516A4112"/>
    <w:rsid w:val="518B73D0"/>
    <w:rsid w:val="51AE2B9E"/>
    <w:rsid w:val="51DD5447"/>
    <w:rsid w:val="524D5752"/>
    <w:rsid w:val="52D957B6"/>
    <w:rsid w:val="52EF680F"/>
    <w:rsid w:val="53051EEF"/>
    <w:rsid w:val="533D19C4"/>
    <w:rsid w:val="53491D2D"/>
    <w:rsid w:val="53700F01"/>
    <w:rsid w:val="53793EC7"/>
    <w:rsid w:val="53A17AE1"/>
    <w:rsid w:val="53BB24F0"/>
    <w:rsid w:val="54270FEE"/>
    <w:rsid w:val="547C1B31"/>
    <w:rsid w:val="547C5502"/>
    <w:rsid w:val="54AD555B"/>
    <w:rsid w:val="54AF2739"/>
    <w:rsid w:val="54D35CBD"/>
    <w:rsid w:val="54DC6E7E"/>
    <w:rsid w:val="55083AB0"/>
    <w:rsid w:val="557546F6"/>
    <w:rsid w:val="55B81BFA"/>
    <w:rsid w:val="55F804A1"/>
    <w:rsid w:val="569D54B4"/>
    <w:rsid w:val="56F16C1F"/>
    <w:rsid w:val="57481AAC"/>
    <w:rsid w:val="57494444"/>
    <w:rsid w:val="574C33DF"/>
    <w:rsid w:val="5778750E"/>
    <w:rsid w:val="57805B57"/>
    <w:rsid w:val="57AC7EC2"/>
    <w:rsid w:val="57C7046D"/>
    <w:rsid w:val="58020604"/>
    <w:rsid w:val="581056F0"/>
    <w:rsid w:val="58550E51"/>
    <w:rsid w:val="585E1E22"/>
    <w:rsid w:val="58D14EE5"/>
    <w:rsid w:val="58F632FF"/>
    <w:rsid w:val="5901556B"/>
    <w:rsid w:val="59027C28"/>
    <w:rsid w:val="59466CAA"/>
    <w:rsid w:val="59896D10"/>
    <w:rsid w:val="59E01331"/>
    <w:rsid w:val="5A9F32A0"/>
    <w:rsid w:val="5B180718"/>
    <w:rsid w:val="5B5B5B5E"/>
    <w:rsid w:val="5BDE07E9"/>
    <w:rsid w:val="5C934F26"/>
    <w:rsid w:val="5CCB1BBC"/>
    <w:rsid w:val="5D280636"/>
    <w:rsid w:val="5D794D0C"/>
    <w:rsid w:val="5D9810F6"/>
    <w:rsid w:val="5DA079A1"/>
    <w:rsid w:val="5DAC262D"/>
    <w:rsid w:val="5DCA3CDC"/>
    <w:rsid w:val="5E410DDC"/>
    <w:rsid w:val="5E531A6F"/>
    <w:rsid w:val="5EF50F8A"/>
    <w:rsid w:val="5F007AA1"/>
    <w:rsid w:val="5F0B5808"/>
    <w:rsid w:val="5F0F485F"/>
    <w:rsid w:val="5F4B248D"/>
    <w:rsid w:val="5F62388B"/>
    <w:rsid w:val="5FAF0BFE"/>
    <w:rsid w:val="5FB815AE"/>
    <w:rsid w:val="5FFC5B7D"/>
    <w:rsid w:val="60C16574"/>
    <w:rsid w:val="6141333F"/>
    <w:rsid w:val="615F2E17"/>
    <w:rsid w:val="617500B6"/>
    <w:rsid w:val="61BA36C6"/>
    <w:rsid w:val="61C639DF"/>
    <w:rsid w:val="62373402"/>
    <w:rsid w:val="623A4405"/>
    <w:rsid w:val="626066F4"/>
    <w:rsid w:val="629F38DF"/>
    <w:rsid w:val="62EB3F6F"/>
    <w:rsid w:val="62F9049D"/>
    <w:rsid w:val="630A5A2B"/>
    <w:rsid w:val="630E7207"/>
    <w:rsid w:val="633875DB"/>
    <w:rsid w:val="63724D8A"/>
    <w:rsid w:val="639F19B5"/>
    <w:rsid w:val="63C04A6C"/>
    <w:rsid w:val="63F74A4F"/>
    <w:rsid w:val="644212F1"/>
    <w:rsid w:val="646A52C6"/>
    <w:rsid w:val="647D150F"/>
    <w:rsid w:val="64D4102F"/>
    <w:rsid w:val="64F56EAD"/>
    <w:rsid w:val="650314E5"/>
    <w:rsid w:val="65605673"/>
    <w:rsid w:val="65672CF8"/>
    <w:rsid w:val="65DB65DF"/>
    <w:rsid w:val="662554F4"/>
    <w:rsid w:val="66437AD2"/>
    <w:rsid w:val="66A27FFD"/>
    <w:rsid w:val="67566D0A"/>
    <w:rsid w:val="67663AB4"/>
    <w:rsid w:val="67A60BC0"/>
    <w:rsid w:val="67C51E1B"/>
    <w:rsid w:val="67C976A1"/>
    <w:rsid w:val="67E25629"/>
    <w:rsid w:val="68A772B4"/>
    <w:rsid w:val="698D62F8"/>
    <w:rsid w:val="6A1662FE"/>
    <w:rsid w:val="6A2174F7"/>
    <w:rsid w:val="6A430C39"/>
    <w:rsid w:val="6A4C5C1B"/>
    <w:rsid w:val="6A756B64"/>
    <w:rsid w:val="6A886272"/>
    <w:rsid w:val="6A920CAF"/>
    <w:rsid w:val="6A9E6D5D"/>
    <w:rsid w:val="6AB6040B"/>
    <w:rsid w:val="6AD57941"/>
    <w:rsid w:val="6AF95770"/>
    <w:rsid w:val="6B2910D1"/>
    <w:rsid w:val="6B361803"/>
    <w:rsid w:val="6B636167"/>
    <w:rsid w:val="6BD07323"/>
    <w:rsid w:val="6BE36371"/>
    <w:rsid w:val="6C017F4E"/>
    <w:rsid w:val="6C5E31D9"/>
    <w:rsid w:val="6C6D5145"/>
    <w:rsid w:val="6C855C9C"/>
    <w:rsid w:val="6CC04C7A"/>
    <w:rsid w:val="6CEF159F"/>
    <w:rsid w:val="6CF03F0F"/>
    <w:rsid w:val="6D6D389D"/>
    <w:rsid w:val="6DAD2C34"/>
    <w:rsid w:val="6DE77765"/>
    <w:rsid w:val="6DFD657A"/>
    <w:rsid w:val="6E3900AA"/>
    <w:rsid w:val="6E96528D"/>
    <w:rsid w:val="6EE36BC0"/>
    <w:rsid w:val="6F342726"/>
    <w:rsid w:val="6F751386"/>
    <w:rsid w:val="6FF44AB4"/>
    <w:rsid w:val="700F5179"/>
    <w:rsid w:val="70713B36"/>
    <w:rsid w:val="707A32CE"/>
    <w:rsid w:val="708C4AF7"/>
    <w:rsid w:val="70A102E2"/>
    <w:rsid w:val="710209D3"/>
    <w:rsid w:val="719A6605"/>
    <w:rsid w:val="71EB67E4"/>
    <w:rsid w:val="71ED233D"/>
    <w:rsid w:val="7254132E"/>
    <w:rsid w:val="726E61C5"/>
    <w:rsid w:val="72923530"/>
    <w:rsid w:val="72955A12"/>
    <w:rsid w:val="729E3073"/>
    <w:rsid w:val="73582014"/>
    <w:rsid w:val="736F69C0"/>
    <w:rsid w:val="73846FA6"/>
    <w:rsid w:val="739573F4"/>
    <w:rsid w:val="73AA5B94"/>
    <w:rsid w:val="73B81A90"/>
    <w:rsid w:val="73D40030"/>
    <w:rsid w:val="73D74B7E"/>
    <w:rsid w:val="73F45452"/>
    <w:rsid w:val="741A7F4F"/>
    <w:rsid w:val="74570CFA"/>
    <w:rsid w:val="747F6DE7"/>
    <w:rsid w:val="7499188C"/>
    <w:rsid w:val="74C051EF"/>
    <w:rsid w:val="74D144E2"/>
    <w:rsid w:val="75476496"/>
    <w:rsid w:val="75AD5B23"/>
    <w:rsid w:val="75BC01BA"/>
    <w:rsid w:val="76450281"/>
    <w:rsid w:val="76846F8F"/>
    <w:rsid w:val="768B166E"/>
    <w:rsid w:val="76C91456"/>
    <w:rsid w:val="771503DC"/>
    <w:rsid w:val="779A3193"/>
    <w:rsid w:val="783872CD"/>
    <w:rsid w:val="7886114E"/>
    <w:rsid w:val="78B7737B"/>
    <w:rsid w:val="78C4260A"/>
    <w:rsid w:val="78D97D75"/>
    <w:rsid w:val="78FC53A1"/>
    <w:rsid w:val="79264FEB"/>
    <w:rsid w:val="79C22FD4"/>
    <w:rsid w:val="79F85892"/>
    <w:rsid w:val="7A48557F"/>
    <w:rsid w:val="7A6433ED"/>
    <w:rsid w:val="7A9F6527"/>
    <w:rsid w:val="7AA151A5"/>
    <w:rsid w:val="7B1571AC"/>
    <w:rsid w:val="7B2E020E"/>
    <w:rsid w:val="7BA55F26"/>
    <w:rsid w:val="7BAE5CB6"/>
    <w:rsid w:val="7BD867D1"/>
    <w:rsid w:val="7BE223D4"/>
    <w:rsid w:val="7C1244D2"/>
    <w:rsid w:val="7C353D8B"/>
    <w:rsid w:val="7C3910A6"/>
    <w:rsid w:val="7C64199F"/>
    <w:rsid w:val="7C76332A"/>
    <w:rsid w:val="7CAD4B82"/>
    <w:rsid w:val="7CD45B24"/>
    <w:rsid w:val="7CD62DDF"/>
    <w:rsid w:val="7D262E87"/>
    <w:rsid w:val="7DCE65FC"/>
    <w:rsid w:val="7E192084"/>
    <w:rsid w:val="7E3278DD"/>
    <w:rsid w:val="7E3714EF"/>
    <w:rsid w:val="7E6230E2"/>
    <w:rsid w:val="7E8A1860"/>
    <w:rsid w:val="7EAE701E"/>
    <w:rsid w:val="7ED733AC"/>
    <w:rsid w:val="7F01258D"/>
    <w:rsid w:val="7F1241F1"/>
    <w:rsid w:val="7F187494"/>
    <w:rsid w:val="7F3F0DFD"/>
    <w:rsid w:val="7F6C6F56"/>
    <w:rsid w:val="7F8260EF"/>
    <w:rsid w:val="7F986064"/>
    <w:rsid w:val="7FE1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4">
    <w:name w:val="heading 2"/>
    <w:basedOn w:val="3"/>
    <w:next w:val="1"/>
    <w:link w:val="33"/>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6"/>
    <w:qFormat/>
    <w:uiPriority w:val="0"/>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annotation text"/>
    <w:basedOn w:val="1"/>
    <w:link w:val="46"/>
    <w:qFormat/>
    <w:uiPriority w:val="0"/>
    <w:pPr>
      <w:jc w:val="left"/>
    </w:pPr>
    <w:rPr>
      <w:sz w:val="18"/>
      <w:szCs w:val="20"/>
    </w:rPr>
  </w:style>
  <w:style w:type="paragraph" w:styleId="8">
    <w:name w:val="Body Text"/>
    <w:basedOn w:val="1"/>
    <w:next w:val="1"/>
    <w:link w:val="55"/>
    <w:qFormat/>
    <w:uiPriority w:val="0"/>
    <w:pPr>
      <w:spacing w:after="120"/>
    </w:pPr>
  </w:style>
  <w:style w:type="paragraph" w:styleId="9">
    <w:name w:val="Body Text Indent"/>
    <w:basedOn w:val="1"/>
    <w:link w:val="37"/>
    <w:qFormat/>
    <w:uiPriority w:val="0"/>
    <w:pPr>
      <w:ind w:firstLine="630"/>
    </w:pPr>
    <w:rPr>
      <w:sz w:val="32"/>
      <w:szCs w:val="2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qFormat/>
    <w:uiPriority w:val="39"/>
    <w:pPr>
      <w:ind w:left="840" w:leftChars="400"/>
    </w:pPr>
  </w:style>
  <w:style w:type="paragraph" w:styleId="12">
    <w:name w:val="Plain Text"/>
    <w:basedOn w:val="1"/>
    <w:link w:val="47"/>
    <w:qFormat/>
    <w:uiPriority w:val="99"/>
    <w:pPr>
      <w:autoSpaceDE w:val="0"/>
      <w:autoSpaceDN w:val="0"/>
      <w:adjustRightInd w:val="0"/>
    </w:pPr>
    <w:rPr>
      <w:rFonts w:ascii="宋体" w:hAnsi="Tms Rmn"/>
      <w:kern w:val="0"/>
      <w:szCs w:val="20"/>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4"/>
    <w:qFormat/>
    <w:uiPriority w:val="99"/>
    <w:pPr>
      <w:tabs>
        <w:tab w:val="center" w:pos="4153"/>
        <w:tab w:val="right" w:pos="8306"/>
      </w:tabs>
      <w:snapToGrid w:val="0"/>
      <w:jc w:val="left"/>
    </w:pPr>
    <w:rPr>
      <w:sz w:val="18"/>
      <w:szCs w:val="20"/>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Body Text Indent 3"/>
    <w:basedOn w:val="1"/>
    <w:link w:val="40"/>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5">
    <w:name w:val="annotation subject"/>
    <w:basedOn w:val="7"/>
    <w:next w:val="7"/>
    <w:link w:val="52"/>
    <w:qFormat/>
    <w:uiPriority w:val="0"/>
    <w:rPr>
      <w:b/>
      <w:bCs/>
      <w:sz w:val="21"/>
      <w:szCs w:val="24"/>
    </w:rPr>
  </w:style>
  <w:style w:type="paragraph" w:styleId="26">
    <w:name w:val="Body Text First Indent"/>
    <w:basedOn w:val="8"/>
    <w:unhideWhenUsed/>
    <w:qFormat/>
    <w:uiPriority w:val="99"/>
    <w:pPr>
      <w:ind w:firstLine="420" w:firstLineChars="100"/>
    </w:pPr>
    <w:rPr>
      <w:rFonts w:eastAsia="宋体" w:cs="Times New Roman"/>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basedOn w:val="29"/>
    <w:qFormat/>
    <w:uiPriority w:val="99"/>
    <w:rPr>
      <w:color w:val="0000FF"/>
      <w:u w:val="single"/>
    </w:rPr>
  </w:style>
  <w:style w:type="character" w:styleId="32">
    <w:name w:val="annotation reference"/>
    <w:qFormat/>
    <w:uiPriority w:val="0"/>
    <w:rPr>
      <w:sz w:val="21"/>
      <w:szCs w:val="21"/>
    </w:rPr>
  </w:style>
  <w:style w:type="character" w:customStyle="1" w:styleId="33">
    <w:name w:val="标题 2 字符"/>
    <w:basedOn w:val="29"/>
    <w:link w:val="4"/>
    <w:qFormat/>
    <w:uiPriority w:val="0"/>
    <w:rPr>
      <w:rFonts w:ascii="Arial" w:hAnsi="Arial" w:eastAsia="黑体"/>
      <w:b/>
      <w:bCs/>
      <w:kern w:val="2"/>
      <w:sz w:val="32"/>
      <w:szCs w:val="32"/>
    </w:rPr>
  </w:style>
  <w:style w:type="character" w:customStyle="1" w:styleId="34">
    <w:name w:val="页脚 字符"/>
    <w:link w:val="16"/>
    <w:qFormat/>
    <w:uiPriority w:val="99"/>
    <w:rPr>
      <w:rFonts w:eastAsia="宋体"/>
      <w:kern w:val="2"/>
      <w:sz w:val="18"/>
      <w:lang w:val="en-US" w:eastAsia="zh-CN" w:bidi="ar-SA"/>
    </w:rPr>
  </w:style>
  <w:style w:type="character" w:customStyle="1" w:styleId="35">
    <w:name w:val="页眉 字符"/>
    <w:link w:val="17"/>
    <w:qFormat/>
    <w:uiPriority w:val="0"/>
    <w:rPr>
      <w:rFonts w:eastAsia="宋体"/>
      <w:kern w:val="2"/>
      <w:sz w:val="18"/>
      <w:lang w:val="en-US" w:eastAsia="zh-CN" w:bidi="ar-SA"/>
    </w:rPr>
  </w:style>
  <w:style w:type="character" w:customStyle="1" w:styleId="36">
    <w:name w:val="正文缩进 字符"/>
    <w:link w:val="2"/>
    <w:qFormat/>
    <w:uiPriority w:val="0"/>
    <w:rPr>
      <w:rFonts w:eastAsia="宋体"/>
      <w:kern w:val="2"/>
      <w:sz w:val="21"/>
      <w:szCs w:val="24"/>
      <w:lang w:val="en-US" w:eastAsia="zh-CN" w:bidi="ar-SA"/>
    </w:rPr>
  </w:style>
  <w:style w:type="character" w:customStyle="1" w:styleId="37">
    <w:name w:val="正文文本缩进 字符"/>
    <w:link w:val="9"/>
    <w:qFormat/>
    <w:uiPriority w:val="0"/>
    <w:rPr>
      <w:rFonts w:eastAsia="宋体"/>
      <w:kern w:val="2"/>
      <w:sz w:val="32"/>
      <w:lang w:val="en-US" w:eastAsia="zh-CN" w:bidi="ar-SA"/>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0">
    <w:name w:val="正文文本缩进 3 字符"/>
    <w:link w:val="21"/>
    <w:qFormat/>
    <w:uiPriority w:val="0"/>
    <w:rPr>
      <w:kern w:val="2"/>
      <w:sz w:val="16"/>
      <w:szCs w:val="16"/>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qFormat/>
    <w:uiPriority w:val="0"/>
    <w:pPr>
      <w:spacing w:line="400" w:lineRule="exact"/>
    </w:pPr>
    <w:rPr>
      <w:sz w:val="24"/>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character" w:customStyle="1" w:styleId="44">
    <w:name w:val="（符号）邀请函中一、"/>
    <w:qFormat/>
    <w:uiPriority w:val="0"/>
    <w:rPr>
      <w:rFonts w:ascii="黑体" w:hAnsi="黑体" w:eastAsia="黑体"/>
      <w:b/>
      <w:bCs/>
      <w:sz w:val="24"/>
    </w:rPr>
  </w:style>
  <w:style w:type="character" w:customStyle="1" w:styleId="45">
    <w:name w:val="Char Char9"/>
    <w:qFormat/>
    <w:uiPriority w:val="0"/>
    <w:rPr>
      <w:kern w:val="2"/>
      <w:sz w:val="21"/>
    </w:rPr>
  </w:style>
  <w:style w:type="character" w:customStyle="1" w:styleId="46">
    <w:name w:val="批注文字 字符"/>
    <w:link w:val="7"/>
    <w:qFormat/>
    <w:uiPriority w:val="0"/>
    <w:rPr>
      <w:kern w:val="2"/>
      <w:sz w:val="18"/>
      <w:lang w:bidi="ar-SA"/>
    </w:rPr>
  </w:style>
  <w:style w:type="character" w:customStyle="1" w:styleId="47">
    <w:name w:val="纯文本 字符"/>
    <w:link w:val="12"/>
    <w:unhideWhenUsed/>
    <w:qFormat/>
    <w:uiPriority w:val="0"/>
    <w:rPr>
      <w:rFonts w:ascii="宋体" w:hAnsi="Tms Rmn" w:eastAsia="宋体"/>
      <w:sz w:val="21"/>
      <w:lang w:val="en-US" w:eastAsia="zh-CN" w:bidi="ar-SA"/>
    </w:rPr>
  </w:style>
  <w:style w:type="paragraph" w:customStyle="1" w:styleId="48">
    <w:name w:val="GW-正文"/>
    <w:basedOn w:val="1"/>
    <w:link w:val="49"/>
    <w:qFormat/>
    <w:uiPriority w:val="0"/>
    <w:pPr>
      <w:spacing w:line="360" w:lineRule="auto"/>
      <w:ind w:firstLine="200" w:firstLineChars="200"/>
    </w:pPr>
    <w:rPr>
      <w:rFonts w:eastAsia="仿宋_GB2312"/>
      <w:sz w:val="24"/>
    </w:rPr>
  </w:style>
  <w:style w:type="character" w:customStyle="1" w:styleId="49">
    <w:name w:val="GW-正文 Char"/>
    <w:link w:val="48"/>
    <w:qFormat/>
    <w:uiPriority w:val="0"/>
    <w:rPr>
      <w:rFonts w:eastAsia="仿宋_GB2312"/>
      <w:kern w:val="2"/>
      <w:sz w:val="24"/>
      <w:szCs w:val="24"/>
      <w:lang w:val="en-US" w:eastAsia="zh-CN" w:bidi="ar-SA"/>
    </w:rPr>
  </w:style>
  <w:style w:type="paragraph" w:customStyle="1" w:styleId="50">
    <w:name w:val="列表段落1"/>
    <w:basedOn w:val="1"/>
    <w:link w:val="51"/>
    <w:qFormat/>
    <w:uiPriority w:val="0"/>
    <w:pPr>
      <w:ind w:firstLine="420" w:firstLineChars="200"/>
    </w:pPr>
  </w:style>
  <w:style w:type="character" w:customStyle="1" w:styleId="51">
    <w:name w:val="列表段落 字符"/>
    <w:link w:val="50"/>
    <w:qFormat/>
    <w:uiPriority w:val="0"/>
    <w:rPr>
      <w:rFonts w:eastAsia="宋体"/>
      <w:kern w:val="2"/>
      <w:sz w:val="21"/>
      <w:szCs w:val="24"/>
      <w:lang w:val="en-US" w:eastAsia="zh-CN" w:bidi="ar-SA"/>
    </w:rPr>
  </w:style>
  <w:style w:type="character" w:customStyle="1" w:styleId="52">
    <w:name w:val="批注主题 字符"/>
    <w:link w:val="25"/>
    <w:qFormat/>
    <w:uiPriority w:val="0"/>
    <w:rPr>
      <w:b/>
      <w:bCs/>
      <w:kern w:val="2"/>
      <w:sz w:val="21"/>
      <w:szCs w:val="24"/>
      <w:lang w:bidi="ar-SA"/>
    </w:rPr>
  </w:style>
  <w:style w:type="character" w:customStyle="1" w:styleId="53">
    <w:name w:val="批注文字 Char1"/>
    <w:qFormat/>
    <w:uiPriority w:val="0"/>
    <w:rPr>
      <w:kern w:val="2"/>
      <w:sz w:val="18"/>
      <w:lang w:bidi="ar-SA"/>
    </w:rPr>
  </w:style>
  <w:style w:type="paragraph" w:customStyle="1" w:styleId="54">
    <w:name w:val="Char Char Char Char Char Char Char Char Char Char Char Char Char Char1 Char Char Char Char"/>
    <w:basedOn w:val="1"/>
    <w:qFormat/>
    <w:uiPriority w:val="0"/>
    <w:rPr>
      <w:szCs w:val="21"/>
    </w:rPr>
  </w:style>
  <w:style w:type="character" w:customStyle="1" w:styleId="55">
    <w:name w:val="正文文本 字符"/>
    <w:basedOn w:val="29"/>
    <w:link w:val="8"/>
    <w:qFormat/>
    <w:uiPriority w:val="0"/>
    <w:rPr>
      <w:kern w:val="2"/>
      <w:sz w:val="21"/>
      <w:szCs w:val="24"/>
    </w:rPr>
  </w:style>
  <w:style w:type="paragraph" w:customStyle="1" w:styleId="5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批注文字 Char"/>
    <w:qFormat/>
    <w:uiPriority w:val="0"/>
    <w:rPr>
      <w:szCs w:val="24"/>
    </w:rPr>
  </w:style>
  <w:style w:type="paragraph" w:customStyle="1" w:styleId="58">
    <w:name w:val="样式 标题 2H22nd levelh2Header 2 + (西文) Times New Roman (中文) 仿宋..."/>
    <w:basedOn w:val="4"/>
    <w:next w:val="1"/>
    <w:qFormat/>
    <w:uiPriority w:val="0"/>
    <w:pPr>
      <w:spacing w:line="360" w:lineRule="auto"/>
      <w:jc w:val="left"/>
    </w:pPr>
    <w:rPr>
      <w:rFonts w:ascii="Times New Roman" w:hAnsi="Times New Roman"/>
      <w:kern w:val="2"/>
      <w:sz w:val="24"/>
      <w:szCs w:val="24"/>
    </w:rPr>
  </w:style>
  <w:style w:type="character" w:customStyle="1" w:styleId="59">
    <w:name w:val="fontstyle01"/>
    <w:qFormat/>
    <w:uiPriority w:val="0"/>
    <w:rPr>
      <w:rFonts w:hint="eastAsia" w:ascii="宋体" w:hAnsi="宋体" w:eastAsia="宋体" w:cs="宋体"/>
      <w:color w:val="000000"/>
      <w:sz w:val="24"/>
      <w:szCs w:val="24"/>
    </w:rPr>
  </w:style>
  <w:style w:type="paragraph" w:customStyle="1" w:styleId="60">
    <w:name w:val="List Paragraph"/>
    <w:basedOn w:val="1"/>
    <w:qFormat/>
    <w:uiPriority w:val="0"/>
    <w:pPr>
      <w:ind w:firstLine="420" w:firstLineChars="200"/>
    </w:pPr>
    <w:rPr>
      <w:szCs w:val="24"/>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CAC81-049F-41C3-B5FE-9264ACB92262}">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58</Pages>
  <Words>35080</Words>
  <Characters>36478</Characters>
  <Lines>35</Lines>
  <Paragraphs>64</Paragraphs>
  <TotalTime>217</TotalTime>
  <ScaleCrop>false</ScaleCrop>
  <LinksUpToDate>false</LinksUpToDate>
  <CharactersWithSpaces>37446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2019-03-18T03:15:00Z</dcterms:created>
  <dc:creator>吴正新</dc:creator>
  <cp:lastModifiedBy>Administrator</cp:lastModifiedBy>
  <cp:lastPrinted>2021-05-28T05:08:00Z</cp:lastPrinted>
  <dcterms:modified xsi:type="dcterms:W3CDTF">2021-06-01T03:47:42Z</dcterms:modified>
  <dc:title>招标编号：xx政采招[xxxx] xxx号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970B0B7410C245D68B06802C7933DC4D</vt:lpwstr>
  </property>
</Properties>
</file>