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color w:val="000000"/>
          <w:sz w:val="30"/>
          <w:szCs w:val="30"/>
          <w:highlight w:val="none"/>
          <w:lang w:eastAsia="zh-CN"/>
        </w:rPr>
      </w:pPr>
      <w:r>
        <w:rPr>
          <w:rFonts w:hint="eastAsia" w:ascii="宋体"/>
          <w:b/>
          <w:color w:val="000000"/>
          <w:sz w:val="30"/>
          <w:szCs w:val="30"/>
          <w:highlight w:val="none"/>
        </w:rPr>
        <w:t>采购编号：详见</w:t>
      </w:r>
      <w:r>
        <w:rPr>
          <w:rFonts w:hint="eastAsia" w:ascii="宋体"/>
          <w:b/>
          <w:color w:val="000000"/>
          <w:sz w:val="30"/>
          <w:szCs w:val="30"/>
          <w:highlight w:val="none"/>
          <w:lang w:eastAsia="zh-CN"/>
        </w:rPr>
        <w:t>四川</w:t>
      </w:r>
      <w:r>
        <w:rPr>
          <w:rFonts w:hint="eastAsia" w:ascii="宋体"/>
          <w:b/>
          <w:color w:val="000000"/>
          <w:sz w:val="30"/>
          <w:szCs w:val="30"/>
          <w:highlight w:val="none"/>
        </w:rPr>
        <w:t>政府采购网</w:t>
      </w:r>
      <w:r>
        <w:rPr>
          <w:rFonts w:hint="eastAsia" w:ascii="宋体"/>
          <w:b/>
          <w:color w:val="000000"/>
          <w:sz w:val="30"/>
          <w:szCs w:val="30"/>
          <w:highlight w:val="none"/>
          <w:lang w:eastAsia="zh-CN"/>
        </w:rPr>
        <w:t>本项目采购公告</w:t>
      </w:r>
    </w:p>
    <w:p>
      <w:pPr>
        <w:rPr>
          <w:rFonts w:ascii="宋体"/>
          <w:b/>
          <w:color w:val="000000"/>
          <w:sz w:val="36"/>
          <w:szCs w:val="36"/>
          <w:highlight w:val="none"/>
        </w:rPr>
      </w:pPr>
    </w:p>
    <w:p>
      <w:pPr>
        <w:jc w:val="center"/>
        <w:rPr>
          <w:rFonts w:ascii="宋体"/>
          <w:b/>
          <w:color w:val="000000"/>
          <w:sz w:val="52"/>
          <w:szCs w:val="52"/>
          <w:highlight w:val="none"/>
        </w:rPr>
      </w:pPr>
    </w:p>
    <w:p>
      <w:pPr>
        <w:jc w:val="center"/>
        <w:rPr>
          <w:rFonts w:hint="eastAsia" w:ascii="仿宋_GB2312" w:hAnsi="Times New Roman" w:eastAsia="仿宋_GB2312" w:cs="Times New Roman"/>
          <w:b/>
          <w:color w:val="000000"/>
          <w:sz w:val="48"/>
          <w:szCs w:val="48"/>
          <w:highlight w:val="none"/>
          <w:lang w:eastAsia="zh-CN"/>
        </w:rPr>
      </w:pPr>
      <w:r>
        <w:rPr>
          <w:rFonts w:hint="eastAsia" w:ascii="仿宋_GB2312" w:hAnsi="Times New Roman" w:eastAsia="仿宋_GB2312" w:cs="Times New Roman"/>
          <w:b/>
          <w:color w:val="000000"/>
          <w:sz w:val="48"/>
          <w:szCs w:val="48"/>
          <w:highlight w:val="none"/>
          <w:lang w:eastAsia="zh-CN"/>
        </w:rPr>
        <w:t>成都东部新区草池街道办事处食堂服务</w:t>
      </w:r>
    </w:p>
    <w:p>
      <w:pPr>
        <w:jc w:val="center"/>
        <w:rPr>
          <w:rFonts w:ascii="宋体"/>
          <w:b/>
          <w:color w:val="000000"/>
          <w:sz w:val="48"/>
          <w:szCs w:val="48"/>
          <w:highlight w:val="none"/>
        </w:rPr>
      </w:pPr>
      <w:r>
        <w:rPr>
          <w:rFonts w:hint="eastAsia" w:ascii="仿宋_GB2312" w:hAnsi="Times New Roman" w:eastAsia="仿宋_GB2312" w:cs="Times New Roman"/>
          <w:b/>
          <w:color w:val="000000"/>
          <w:sz w:val="48"/>
          <w:szCs w:val="48"/>
          <w:highlight w:val="none"/>
          <w:lang w:eastAsia="zh-CN"/>
        </w:rPr>
        <w:t>外包项目</w:t>
      </w:r>
    </w:p>
    <w:p>
      <w:pPr>
        <w:jc w:val="center"/>
        <w:rPr>
          <w:b/>
          <w:color w:val="000000"/>
          <w:sz w:val="52"/>
          <w:szCs w:val="52"/>
          <w:highlight w:val="none"/>
        </w:rPr>
      </w:pPr>
    </w:p>
    <w:p>
      <w:pPr>
        <w:pStyle w:val="8"/>
        <w:rPr>
          <w:highlight w:val="none"/>
        </w:rPr>
      </w:pPr>
    </w:p>
    <w:p>
      <w:pPr>
        <w:jc w:val="center"/>
        <w:rPr>
          <w:rFonts w:ascii="宋体"/>
          <w:b/>
          <w:color w:val="000000"/>
          <w:sz w:val="52"/>
          <w:szCs w:val="52"/>
          <w:highlight w:val="none"/>
        </w:rPr>
      </w:pPr>
      <w:r>
        <w:rPr>
          <w:rFonts w:hint="eastAsia" w:ascii="宋体"/>
          <w:b/>
          <w:color w:val="000000"/>
          <w:sz w:val="52"/>
          <w:szCs w:val="52"/>
          <w:highlight w:val="none"/>
        </w:rPr>
        <w:t>竞</w:t>
      </w:r>
    </w:p>
    <w:p>
      <w:pPr>
        <w:jc w:val="center"/>
        <w:rPr>
          <w:rFonts w:ascii="宋体"/>
          <w:b/>
          <w:color w:val="000000"/>
          <w:sz w:val="52"/>
          <w:szCs w:val="52"/>
          <w:highlight w:val="none"/>
        </w:rPr>
      </w:pPr>
      <w:r>
        <w:rPr>
          <w:rFonts w:hint="eastAsia" w:ascii="宋体"/>
          <w:b/>
          <w:color w:val="000000"/>
          <w:sz w:val="52"/>
          <w:szCs w:val="52"/>
          <w:highlight w:val="none"/>
        </w:rPr>
        <w:t>争</w:t>
      </w:r>
    </w:p>
    <w:p>
      <w:pPr>
        <w:jc w:val="center"/>
        <w:rPr>
          <w:rFonts w:ascii="宋体"/>
          <w:b/>
          <w:color w:val="000000"/>
          <w:sz w:val="52"/>
          <w:szCs w:val="52"/>
          <w:highlight w:val="none"/>
        </w:rPr>
      </w:pPr>
      <w:r>
        <w:rPr>
          <w:rFonts w:hint="eastAsia" w:ascii="宋体"/>
          <w:b/>
          <w:color w:val="000000"/>
          <w:sz w:val="52"/>
          <w:szCs w:val="52"/>
          <w:highlight w:val="none"/>
        </w:rPr>
        <w:t>性</w:t>
      </w:r>
    </w:p>
    <w:p>
      <w:pPr>
        <w:jc w:val="center"/>
        <w:rPr>
          <w:rFonts w:ascii="宋体"/>
          <w:b/>
          <w:color w:val="000000"/>
          <w:sz w:val="52"/>
          <w:szCs w:val="52"/>
          <w:highlight w:val="none"/>
        </w:rPr>
      </w:pPr>
      <w:r>
        <w:rPr>
          <w:rFonts w:hint="eastAsia" w:ascii="宋体"/>
          <w:b/>
          <w:color w:val="000000"/>
          <w:sz w:val="52"/>
          <w:szCs w:val="52"/>
          <w:highlight w:val="none"/>
        </w:rPr>
        <w:t>磋</w:t>
      </w:r>
    </w:p>
    <w:p>
      <w:pPr>
        <w:jc w:val="center"/>
        <w:rPr>
          <w:b/>
          <w:color w:val="000000"/>
          <w:sz w:val="52"/>
          <w:szCs w:val="52"/>
          <w:highlight w:val="none"/>
        </w:rPr>
      </w:pPr>
      <w:r>
        <w:rPr>
          <w:rFonts w:hint="eastAsia" w:ascii="宋体"/>
          <w:b/>
          <w:color w:val="000000"/>
          <w:sz w:val="52"/>
          <w:szCs w:val="52"/>
          <w:highlight w:val="none"/>
        </w:rPr>
        <w:t>商</w:t>
      </w:r>
    </w:p>
    <w:p>
      <w:pPr>
        <w:jc w:val="center"/>
        <w:rPr>
          <w:b/>
          <w:color w:val="000000"/>
          <w:sz w:val="52"/>
          <w:szCs w:val="52"/>
          <w:highlight w:val="none"/>
        </w:rPr>
      </w:pPr>
      <w:r>
        <w:rPr>
          <w:rFonts w:hint="eastAsia"/>
          <w:b/>
          <w:color w:val="000000"/>
          <w:sz w:val="52"/>
          <w:szCs w:val="52"/>
          <w:highlight w:val="none"/>
        </w:rPr>
        <w:t>文</w:t>
      </w:r>
    </w:p>
    <w:p>
      <w:pPr>
        <w:jc w:val="center"/>
        <w:rPr>
          <w:b/>
          <w:color w:val="000000"/>
          <w:sz w:val="52"/>
          <w:szCs w:val="52"/>
          <w:highlight w:val="none"/>
        </w:rPr>
      </w:pPr>
      <w:r>
        <w:rPr>
          <w:rFonts w:hint="eastAsia"/>
          <w:b/>
          <w:color w:val="000000"/>
          <w:sz w:val="52"/>
          <w:szCs w:val="52"/>
          <w:highlight w:val="none"/>
        </w:rPr>
        <w:t>件</w:t>
      </w:r>
    </w:p>
    <w:p>
      <w:pPr>
        <w:jc w:val="center"/>
        <w:rPr>
          <w:b/>
          <w:color w:val="000000"/>
          <w:sz w:val="52"/>
          <w:szCs w:val="52"/>
          <w:highlight w:val="none"/>
        </w:rPr>
      </w:pPr>
    </w:p>
    <w:p>
      <w:pPr>
        <w:jc w:val="center"/>
        <w:rPr>
          <w:b/>
          <w:color w:val="000000"/>
          <w:sz w:val="52"/>
          <w:szCs w:val="52"/>
          <w:highlight w:val="none"/>
        </w:rPr>
      </w:pPr>
    </w:p>
    <w:p>
      <w:pPr>
        <w:spacing w:line="360" w:lineRule="auto"/>
        <w:jc w:val="center"/>
        <w:rPr>
          <w:b/>
          <w:color w:val="000000"/>
          <w:sz w:val="32"/>
          <w:szCs w:val="32"/>
          <w:highlight w:val="none"/>
        </w:rPr>
      </w:pPr>
    </w:p>
    <w:p>
      <w:pPr>
        <w:spacing w:line="360" w:lineRule="auto"/>
        <w:jc w:val="center"/>
        <w:rPr>
          <w:b/>
          <w:color w:val="000000"/>
          <w:sz w:val="32"/>
          <w:szCs w:val="32"/>
          <w:highlight w:val="none"/>
        </w:rPr>
      </w:pPr>
      <w:r>
        <w:rPr>
          <w:rFonts w:hint="eastAsia"/>
          <w:b/>
          <w:color w:val="000000"/>
          <w:sz w:val="32"/>
          <w:szCs w:val="32"/>
          <w:highlight w:val="none"/>
        </w:rPr>
        <w:t>中国·四川</w:t>
      </w:r>
    </w:p>
    <w:p>
      <w:pPr>
        <w:spacing w:line="360" w:lineRule="auto"/>
        <w:jc w:val="center"/>
        <w:rPr>
          <w:b/>
          <w:sz w:val="32"/>
          <w:szCs w:val="32"/>
          <w:highlight w:val="none"/>
        </w:rPr>
      </w:pPr>
      <w:r>
        <w:rPr>
          <w:rFonts w:hint="eastAsia" w:ascii="宋体"/>
          <w:b/>
          <w:sz w:val="30"/>
          <w:szCs w:val="30"/>
          <w:highlight w:val="none"/>
        </w:rPr>
        <w:t>四川达通工程管理咨询有限公司</w:t>
      </w:r>
      <w:r>
        <w:rPr>
          <w:rFonts w:hint="eastAsia" w:ascii="宋体"/>
          <w:b/>
          <w:sz w:val="30"/>
          <w:szCs w:val="30"/>
          <w:highlight w:val="none"/>
          <w:lang w:eastAsia="zh-CN"/>
        </w:rPr>
        <w:t>、成都东部新区草池街道办事处</w:t>
      </w:r>
      <w:r>
        <w:rPr>
          <w:rFonts w:hint="eastAsia" w:ascii="宋体"/>
          <w:b/>
          <w:sz w:val="30"/>
          <w:szCs w:val="30"/>
          <w:highlight w:val="none"/>
          <w:lang w:val="en-US" w:eastAsia="zh-CN"/>
        </w:rPr>
        <w:t>/</w:t>
      </w:r>
      <w:r>
        <w:rPr>
          <w:rFonts w:hint="eastAsia" w:ascii="宋体"/>
          <w:b/>
          <w:sz w:val="30"/>
          <w:szCs w:val="30"/>
          <w:highlight w:val="none"/>
          <w:lang w:eastAsia="zh-CN"/>
        </w:rPr>
        <w:t>共同</w:t>
      </w:r>
      <w:r>
        <w:rPr>
          <w:rFonts w:hint="eastAsia" w:ascii="宋体"/>
          <w:b/>
          <w:sz w:val="30"/>
          <w:szCs w:val="30"/>
          <w:highlight w:val="none"/>
        </w:rPr>
        <w:t>编制</w:t>
      </w:r>
    </w:p>
    <w:p>
      <w:pPr>
        <w:spacing w:line="360" w:lineRule="auto"/>
        <w:ind w:firstLine="3753" w:firstLineChars="1246"/>
        <w:jc w:val="left"/>
        <w:rPr>
          <w:b/>
          <w:bCs/>
          <w:color w:val="000000"/>
          <w:sz w:val="32"/>
          <w:szCs w:val="32"/>
          <w:highlight w:val="none"/>
          <w:lang w:val="zh-CN"/>
        </w:rPr>
      </w:pPr>
      <w:r>
        <w:rPr>
          <w:rFonts w:hint="eastAsia" w:ascii="宋体"/>
          <w:b/>
          <w:color w:val="000000"/>
          <w:sz w:val="30"/>
          <w:szCs w:val="30"/>
          <w:highlight w:val="none"/>
        </w:rPr>
        <w:t>202</w:t>
      </w:r>
      <w:r>
        <w:rPr>
          <w:rFonts w:hint="eastAsia" w:ascii="宋体"/>
          <w:b/>
          <w:color w:val="000000"/>
          <w:sz w:val="30"/>
          <w:szCs w:val="30"/>
          <w:highlight w:val="none"/>
          <w:lang w:val="en-US" w:eastAsia="zh-CN"/>
        </w:rPr>
        <w:t>1</w:t>
      </w:r>
      <w:r>
        <w:rPr>
          <w:b/>
          <w:bCs/>
          <w:color w:val="000000"/>
          <w:sz w:val="32"/>
          <w:szCs w:val="32"/>
          <w:highlight w:val="none"/>
          <w:lang w:val="zh-CN"/>
        </w:rPr>
        <w:t>年</w:t>
      </w:r>
      <w:r>
        <w:rPr>
          <w:rFonts w:hint="eastAsia" w:ascii="宋体"/>
          <w:b/>
          <w:color w:val="000000"/>
          <w:sz w:val="30"/>
          <w:szCs w:val="30"/>
          <w:highlight w:val="none"/>
          <w:lang w:val="en-US" w:eastAsia="zh-CN"/>
        </w:rPr>
        <w:t>5</w:t>
      </w:r>
      <w:r>
        <w:rPr>
          <w:b/>
          <w:bCs/>
          <w:color w:val="000000"/>
          <w:sz w:val="32"/>
          <w:szCs w:val="32"/>
          <w:highlight w:val="none"/>
          <w:lang w:val="zh-CN"/>
        </w:rPr>
        <w:t>月</w:t>
      </w:r>
    </w:p>
    <w:p>
      <w:pPr>
        <w:spacing w:line="400" w:lineRule="exact"/>
        <w:rPr>
          <w:rFonts w:ascii="宋体" w:hAnsi="宋体"/>
          <w:color w:val="000000"/>
          <w:sz w:val="32"/>
          <w:highlight w:val="none"/>
        </w:rPr>
      </w:pPr>
    </w:p>
    <w:p>
      <w:pPr>
        <w:spacing w:line="400" w:lineRule="exact"/>
        <w:rPr>
          <w:rFonts w:ascii="宋体" w:hAnsi="宋体"/>
          <w:color w:val="000000"/>
          <w:sz w:val="32"/>
          <w:highlight w:val="none"/>
        </w:rPr>
        <w:sectPr>
          <w:footerReference r:id="rId7" w:type="first"/>
          <w:headerReference r:id="rId3" w:type="default"/>
          <w:footerReference r:id="rId5" w:type="default"/>
          <w:headerReference r:id="rId4" w:type="even"/>
          <w:footerReference r:id="rId6" w:type="even"/>
          <w:pgSz w:w="11906" w:h="16838"/>
          <w:pgMar w:top="1417" w:right="1417" w:bottom="1417" w:left="1417" w:header="850" w:footer="992" w:gutter="0"/>
          <w:pgNumType w:fmt="numberInDash" w:start="1"/>
          <w:cols w:space="0" w:num="1"/>
          <w:rtlGutter w:val="0"/>
          <w:docGrid w:linePitch="312" w:charSpace="0"/>
        </w:sectPr>
      </w:pPr>
    </w:p>
    <w:p>
      <w:pPr>
        <w:pStyle w:val="4"/>
        <w:keepNext w:val="0"/>
        <w:keepLines w:val="0"/>
        <w:spacing w:line="360" w:lineRule="exact"/>
        <w:jc w:val="center"/>
        <w:rPr>
          <w:rFonts w:ascii="宋体" w:eastAsia="宋体"/>
          <w:b w:val="0"/>
          <w:bCs w:val="0"/>
          <w:color w:val="000000"/>
          <w:sz w:val="36"/>
          <w:highlight w:val="none"/>
        </w:rPr>
      </w:pPr>
    </w:p>
    <w:p>
      <w:pPr>
        <w:pStyle w:val="4"/>
        <w:keepNext w:val="0"/>
        <w:keepLines w:val="0"/>
        <w:spacing w:line="360" w:lineRule="exact"/>
        <w:jc w:val="center"/>
        <w:rPr>
          <w:rFonts w:ascii="宋体" w:eastAsia="宋体"/>
          <w:bCs w:val="0"/>
          <w:color w:val="000000"/>
          <w:sz w:val="36"/>
          <w:highlight w:val="none"/>
        </w:rPr>
      </w:pPr>
      <w:r>
        <w:rPr>
          <w:rFonts w:hint="eastAsia" w:ascii="宋体" w:eastAsia="宋体"/>
          <w:bCs w:val="0"/>
          <w:color w:val="000000"/>
          <w:sz w:val="36"/>
          <w:highlight w:val="none"/>
        </w:rPr>
        <w:t>目    录</w:t>
      </w:r>
    </w:p>
    <w:p>
      <w:pPr>
        <w:rPr>
          <w:color w:val="000000"/>
          <w:highlight w:val="none"/>
        </w:rPr>
      </w:pPr>
    </w:p>
    <w:p>
      <w:pPr>
        <w:rPr>
          <w:color w:val="000000"/>
          <w:highlight w:val="none"/>
        </w:rPr>
      </w:pPr>
    </w:p>
    <w:p>
      <w:pPr>
        <w:pStyle w:val="18"/>
        <w:tabs>
          <w:tab w:val="right" w:leader="dot" w:pos="9997"/>
        </w:tabs>
        <w:rPr>
          <w:rStyle w:val="31"/>
          <w:rFonts w:ascii="宋体"/>
          <w:sz w:val="32"/>
          <w:highlight w:val="none"/>
        </w:rPr>
      </w:pPr>
      <w:r>
        <w:rPr>
          <w:rFonts w:ascii="宋体" w:hAnsi="宋体"/>
          <w:bCs/>
          <w:color w:val="000000"/>
          <w:sz w:val="40"/>
          <w:highlight w:val="none"/>
        </w:rPr>
        <w:fldChar w:fldCharType="begin"/>
      </w:r>
      <w:r>
        <w:rPr>
          <w:rFonts w:ascii="宋体" w:hAnsi="宋体"/>
          <w:bCs/>
          <w:color w:val="000000"/>
          <w:sz w:val="40"/>
          <w:highlight w:val="none"/>
        </w:rPr>
        <w:instrText xml:space="preserve"> TOC \o "1-1" \h \z \u </w:instrText>
      </w:r>
      <w:r>
        <w:rPr>
          <w:rFonts w:ascii="宋体" w:hAnsi="宋体"/>
          <w:bCs/>
          <w:color w:val="000000"/>
          <w:sz w:val="40"/>
          <w:highlight w:val="none"/>
        </w:rPr>
        <w:fldChar w:fldCharType="separate"/>
      </w:r>
      <w:r>
        <w:rPr>
          <w:highlight w:val="none"/>
        </w:rPr>
        <w:fldChar w:fldCharType="begin"/>
      </w:r>
      <w:r>
        <w:rPr>
          <w:highlight w:val="none"/>
        </w:rPr>
        <w:instrText xml:space="preserve"> HYPERLINK \l "_Toc533424971" </w:instrText>
      </w:r>
      <w:r>
        <w:rPr>
          <w:highlight w:val="none"/>
        </w:rPr>
        <w:fldChar w:fldCharType="separate"/>
      </w:r>
      <w:r>
        <w:rPr>
          <w:rStyle w:val="31"/>
          <w:rFonts w:ascii="宋体"/>
          <w:sz w:val="32"/>
          <w:highlight w:val="none"/>
        </w:rPr>
        <w:t>第一章  磋商邀请</w:t>
      </w:r>
      <w:r>
        <w:rPr>
          <w:rStyle w:val="31"/>
          <w:rFonts w:ascii="宋体"/>
          <w:sz w:val="32"/>
          <w:highlight w:val="none"/>
        </w:rPr>
        <w:tab/>
      </w:r>
      <w:r>
        <w:rPr>
          <w:rStyle w:val="31"/>
          <w:rFonts w:ascii="宋体"/>
          <w:sz w:val="32"/>
          <w:highlight w:val="none"/>
        </w:rPr>
        <w:fldChar w:fldCharType="begin"/>
      </w:r>
      <w:r>
        <w:rPr>
          <w:rStyle w:val="31"/>
          <w:rFonts w:ascii="宋体"/>
          <w:sz w:val="32"/>
          <w:highlight w:val="none"/>
        </w:rPr>
        <w:instrText xml:space="preserve"> PAGEREF _Toc533424971 \h </w:instrText>
      </w:r>
      <w:r>
        <w:rPr>
          <w:rStyle w:val="31"/>
          <w:rFonts w:ascii="宋体"/>
          <w:sz w:val="32"/>
          <w:highlight w:val="none"/>
        </w:rPr>
        <w:fldChar w:fldCharType="separate"/>
      </w:r>
      <w:r>
        <w:rPr>
          <w:rStyle w:val="31"/>
          <w:rFonts w:ascii="宋体"/>
          <w:sz w:val="32"/>
          <w:highlight w:val="none"/>
        </w:rPr>
        <w:t>- 3 -</w:t>
      </w:r>
      <w:r>
        <w:rPr>
          <w:rStyle w:val="31"/>
          <w:rFonts w:ascii="宋体"/>
          <w:sz w:val="32"/>
          <w:highlight w:val="none"/>
        </w:rPr>
        <w:fldChar w:fldCharType="end"/>
      </w:r>
      <w:r>
        <w:rPr>
          <w:rStyle w:val="31"/>
          <w:rFonts w:ascii="宋体"/>
          <w:sz w:val="32"/>
          <w:highlight w:val="none"/>
        </w:rPr>
        <w:fldChar w:fldCharType="end"/>
      </w:r>
    </w:p>
    <w:p>
      <w:pPr>
        <w:pStyle w:val="18"/>
        <w:tabs>
          <w:tab w:val="right" w:leader="dot" w:pos="9997"/>
        </w:tabs>
        <w:rPr>
          <w:rStyle w:val="31"/>
          <w:rFonts w:ascii="宋体"/>
          <w:sz w:val="32"/>
          <w:highlight w:val="none"/>
        </w:rPr>
      </w:pPr>
      <w:r>
        <w:rPr>
          <w:highlight w:val="none"/>
        </w:rPr>
        <w:fldChar w:fldCharType="begin"/>
      </w:r>
      <w:r>
        <w:rPr>
          <w:highlight w:val="none"/>
        </w:rPr>
        <w:instrText xml:space="preserve"> HYPERLINK \l "_Toc533424972" </w:instrText>
      </w:r>
      <w:r>
        <w:rPr>
          <w:highlight w:val="none"/>
        </w:rPr>
        <w:fldChar w:fldCharType="separate"/>
      </w:r>
      <w:r>
        <w:rPr>
          <w:rStyle w:val="31"/>
          <w:rFonts w:ascii="宋体"/>
          <w:sz w:val="32"/>
          <w:highlight w:val="none"/>
        </w:rPr>
        <w:t>第二章  磋商须知</w:t>
      </w:r>
      <w:r>
        <w:rPr>
          <w:rStyle w:val="31"/>
          <w:rFonts w:ascii="宋体"/>
          <w:sz w:val="32"/>
          <w:highlight w:val="none"/>
        </w:rPr>
        <w:tab/>
      </w:r>
      <w:r>
        <w:rPr>
          <w:rStyle w:val="31"/>
          <w:rFonts w:ascii="宋体"/>
          <w:sz w:val="32"/>
          <w:highlight w:val="none"/>
        </w:rPr>
        <w:fldChar w:fldCharType="begin"/>
      </w:r>
      <w:r>
        <w:rPr>
          <w:rStyle w:val="31"/>
          <w:rFonts w:ascii="宋体"/>
          <w:sz w:val="32"/>
          <w:highlight w:val="none"/>
        </w:rPr>
        <w:instrText xml:space="preserve"> PAGEREF _Toc533424972 \h </w:instrText>
      </w:r>
      <w:r>
        <w:rPr>
          <w:rStyle w:val="31"/>
          <w:rFonts w:ascii="宋体"/>
          <w:sz w:val="32"/>
          <w:highlight w:val="none"/>
        </w:rPr>
        <w:fldChar w:fldCharType="separate"/>
      </w:r>
      <w:r>
        <w:rPr>
          <w:rStyle w:val="31"/>
          <w:rFonts w:ascii="宋体"/>
          <w:sz w:val="32"/>
          <w:highlight w:val="none"/>
        </w:rPr>
        <w:t>- 5 -</w:t>
      </w:r>
      <w:r>
        <w:rPr>
          <w:rStyle w:val="31"/>
          <w:rFonts w:ascii="宋体"/>
          <w:sz w:val="32"/>
          <w:highlight w:val="none"/>
        </w:rPr>
        <w:fldChar w:fldCharType="end"/>
      </w:r>
      <w:r>
        <w:rPr>
          <w:rStyle w:val="31"/>
          <w:rFonts w:ascii="宋体"/>
          <w:sz w:val="32"/>
          <w:highlight w:val="none"/>
        </w:rPr>
        <w:fldChar w:fldCharType="end"/>
      </w:r>
    </w:p>
    <w:p>
      <w:pPr>
        <w:pStyle w:val="18"/>
        <w:tabs>
          <w:tab w:val="right" w:leader="dot" w:pos="9997"/>
        </w:tabs>
        <w:rPr>
          <w:rStyle w:val="31"/>
          <w:rFonts w:ascii="宋体"/>
          <w:sz w:val="32"/>
          <w:highlight w:val="none"/>
        </w:rPr>
      </w:pPr>
      <w:r>
        <w:rPr>
          <w:highlight w:val="none"/>
        </w:rPr>
        <w:fldChar w:fldCharType="begin"/>
      </w:r>
      <w:r>
        <w:rPr>
          <w:highlight w:val="none"/>
        </w:rPr>
        <w:instrText xml:space="preserve"> HYPERLINK \l "_Toc533424973" </w:instrText>
      </w:r>
      <w:r>
        <w:rPr>
          <w:highlight w:val="none"/>
        </w:rPr>
        <w:fldChar w:fldCharType="separate"/>
      </w:r>
      <w:r>
        <w:rPr>
          <w:rStyle w:val="31"/>
          <w:rFonts w:ascii="宋体"/>
          <w:sz w:val="32"/>
          <w:highlight w:val="none"/>
        </w:rPr>
        <w:t>第三章  供应商资格条件要求</w:t>
      </w:r>
      <w:r>
        <w:rPr>
          <w:rStyle w:val="31"/>
          <w:rFonts w:ascii="宋体"/>
          <w:sz w:val="32"/>
          <w:highlight w:val="none"/>
        </w:rPr>
        <w:tab/>
      </w:r>
      <w:r>
        <w:rPr>
          <w:rStyle w:val="31"/>
          <w:rFonts w:ascii="宋体"/>
          <w:sz w:val="32"/>
          <w:highlight w:val="none"/>
        </w:rPr>
        <w:fldChar w:fldCharType="begin"/>
      </w:r>
      <w:r>
        <w:rPr>
          <w:rStyle w:val="31"/>
          <w:rFonts w:ascii="宋体"/>
          <w:sz w:val="32"/>
          <w:highlight w:val="none"/>
        </w:rPr>
        <w:instrText xml:space="preserve"> PAGEREF _Toc533424973 \h </w:instrText>
      </w:r>
      <w:r>
        <w:rPr>
          <w:rStyle w:val="31"/>
          <w:rFonts w:ascii="宋体"/>
          <w:sz w:val="32"/>
          <w:highlight w:val="none"/>
        </w:rPr>
        <w:fldChar w:fldCharType="separate"/>
      </w:r>
      <w:r>
        <w:rPr>
          <w:rStyle w:val="31"/>
          <w:rFonts w:ascii="宋体"/>
          <w:sz w:val="32"/>
          <w:highlight w:val="none"/>
        </w:rPr>
        <w:t>- 16 -</w:t>
      </w:r>
      <w:r>
        <w:rPr>
          <w:rStyle w:val="31"/>
          <w:rFonts w:ascii="宋体"/>
          <w:sz w:val="32"/>
          <w:highlight w:val="none"/>
        </w:rPr>
        <w:fldChar w:fldCharType="end"/>
      </w:r>
      <w:r>
        <w:rPr>
          <w:rStyle w:val="31"/>
          <w:rFonts w:ascii="宋体"/>
          <w:sz w:val="32"/>
          <w:highlight w:val="none"/>
        </w:rPr>
        <w:fldChar w:fldCharType="end"/>
      </w:r>
    </w:p>
    <w:p>
      <w:pPr>
        <w:pStyle w:val="18"/>
        <w:tabs>
          <w:tab w:val="right" w:leader="dot" w:pos="9997"/>
        </w:tabs>
        <w:rPr>
          <w:rStyle w:val="31"/>
          <w:rFonts w:ascii="宋体"/>
          <w:sz w:val="32"/>
          <w:highlight w:val="none"/>
        </w:rPr>
      </w:pPr>
      <w:r>
        <w:rPr>
          <w:highlight w:val="none"/>
        </w:rPr>
        <w:fldChar w:fldCharType="begin"/>
      </w:r>
      <w:r>
        <w:rPr>
          <w:highlight w:val="none"/>
        </w:rPr>
        <w:instrText xml:space="preserve"> HYPERLINK \l "_Toc533424974" </w:instrText>
      </w:r>
      <w:r>
        <w:rPr>
          <w:highlight w:val="none"/>
        </w:rPr>
        <w:fldChar w:fldCharType="separate"/>
      </w:r>
      <w:r>
        <w:rPr>
          <w:rStyle w:val="31"/>
          <w:rFonts w:ascii="宋体"/>
          <w:sz w:val="32"/>
          <w:highlight w:val="none"/>
        </w:rPr>
        <w:t>第四章  供应商资格证明材料</w:t>
      </w:r>
      <w:r>
        <w:rPr>
          <w:rStyle w:val="31"/>
          <w:rFonts w:ascii="宋体"/>
          <w:sz w:val="32"/>
          <w:highlight w:val="none"/>
        </w:rPr>
        <w:tab/>
      </w:r>
      <w:r>
        <w:rPr>
          <w:rStyle w:val="31"/>
          <w:rFonts w:ascii="宋体"/>
          <w:sz w:val="32"/>
          <w:highlight w:val="none"/>
        </w:rPr>
        <w:fldChar w:fldCharType="begin"/>
      </w:r>
      <w:r>
        <w:rPr>
          <w:rStyle w:val="31"/>
          <w:rFonts w:ascii="宋体"/>
          <w:sz w:val="32"/>
          <w:highlight w:val="none"/>
        </w:rPr>
        <w:instrText xml:space="preserve"> PAGEREF _Toc533424974 \h </w:instrText>
      </w:r>
      <w:r>
        <w:rPr>
          <w:rStyle w:val="31"/>
          <w:rFonts w:ascii="宋体"/>
          <w:sz w:val="32"/>
          <w:highlight w:val="none"/>
        </w:rPr>
        <w:fldChar w:fldCharType="separate"/>
      </w:r>
      <w:r>
        <w:rPr>
          <w:rStyle w:val="31"/>
          <w:rFonts w:ascii="宋体"/>
          <w:sz w:val="32"/>
          <w:highlight w:val="none"/>
        </w:rPr>
        <w:t>- 17 -</w:t>
      </w:r>
      <w:r>
        <w:rPr>
          <w:rStyle w:val="31"/>
          <w:rFonts w:ascii="宋体"/>
          <w:sz w:val="32"/>
          <w:highlight w:val="none"/>
        </w:rPr>
        <w:fldChar w:fldCharType="end"/>
      </w:r>
      <w:r>
        <w:rPr>
          <w:rStyle w:val="31"/>
          <w:rFonts w:ascii="宋体"/>
          <w:sz w:val="32"/>
          <w:highlight w:val="none"/>
        </w:rPr>
        <w:fldChar w:fldCharType="end"/>
      </w:r>
    </w:p>
    <w:p>
      <w:pPr>
        <w:pStyle w:val="18"/>
        <w:tabs>
          <w:tab w:val="right" w:leader="dot" w:pos="9997"/>
        </w:tabs>
        <w:rPr>
          <w:rStyle w:val="31"/>
          <w:rFonts w:ascii="宋体"/>
          <w:sz w:val="32"/>
          <w:highlight w:val="none"/>
        </w:rPr>
      </w:pPr>
      <w:r>
        <w:rPr>
          <w:highlight w:val="none"/>
        </w:rPr>
        <w:fldChar w:fldCharType="begin"/>
      </w:r>
      <w:r>
        <w:rPr>
          <w:highlight w:val="none"/>
        </w:rPr>
        <w:instrText xml:space="preserve"> HYPERLINK \l "_Toc533424975" </w:instrText>
      </w:r>
      <w:r>
        <w:rPr>
          <w:highlight w:val="none"/>
        </w:rPr>
        <w:fldChar w:fldCharType="separate"/>
      </w:r>
      <w:r>
        <w:rPr>
          <w:rStyle w:val="31"/>
          <w:rFonts w:ascii="宋体"/>
          <w:sz w:val="32"/>
          <w:highlight w:val="none"/>
        </w:rPr>
        <w:t>第五章  采购项目技术、服务及其他商务要求</w:t>
      </w:r>
      <w:r>
        <w:rPr>
          <w:rStyle w:val="31"/>
          <w:rFonts w:ascii="宋体"/>
          <w:sz w:val="32"/>
          <w:highlight w:val="none"/>
        </w:rPr>
        <w:tab/>
      </w:r>
      <w:r>
        <w:rPr>
          <w:rStyle w:val="31"/>
          <w:rFonts w:ascii="宋体"/>
          <w:sz w:val="32"/>
          <w:highlight w:val="none"/>
        </w:rPr>
        <w:fldChar w:fldCharType="begin"/>
      </w:r>
      <w:r>
        <w:rPr>
          <w:rStyle w:val="31"/>
          <w:rFonts w:ascii="宋体"/>
          <w:sz w:val="32"/>
          <w:highlight w:val="none"/>
        </w:rPr>
        <w:instrText xml:space="preserve"> PAGEREF _Toc533424975 \h </w:instrText>
      </w:r>
      <w:r>
        <w:rPr>
          <w:rStyle w:val="31"/>
          <w:rFonts w:ascii="宋体"/>
          <w:sz w:val="32"/>
          <w:highlight w:val="none"/>
        </w:rPr>
        <w:fldChar w:fldCharType="separate"/>
      </w:r>
      <w:r>
        <w:rPr>
          <w:rStyle w:val="31"/>
          <w:rFonts w:ascii="宋体"/>
          <w:sz w:val="32"/>
          <w:highlight w:val="none"/>
        </w:rPr>
        <w:t>- 18 -</w:t>
      </w:r>
      <w:r>
        <w:rPr>
          <w:rStyle w:val="31"/>
          <w:rFonts w:ascii="宋体"/>
          <w:sz w:val="32"/>
          <w:highlight w:val="none"/>
        </w:rPr>
        <w:fldChar w:fldCharType="end"/>
      </w:r>
      <w:r>
        <w:rPr>
          <w:rStyle w:val="31"/>
          <w:rFonts w:ascii="宋体"/>
          <w:sz w:val="32"/>
          <w:highlight w:val="none"/>
        </w:rPr>
        <w:fldChar w:fldCharType="end"/>
      </w:r>
    </w:p>
    <w:p>
      <w:pPr>
        <w:pStyle w:val="18"/>
        <w:tabs>
          <w:tab w:val="right" w:leader="dot" w:pos="9997"/>
        </w:tabs>
        <w:rPr>
          <w:rStyle w:val="31"/>
          <w:rFonts w:ascii="宋体"/>
          <w:sz w:val="32"/>
          <w:highlight w:val="none"/>
        </w:rPr>
      </w:pPr>
      <w:r>
        <w:rPr>
          <w:highlight w:val="none"/>
        </w:rPr>
        <w:fldChar w:fldCharType="begin"/>
      </w:r>
      <w:r>
        <w:rPr>
          <w:highlight w:val="none"/>
        </w:rPr>
        <w:instrText xml:space="preserve"> HYPERLINK \l "_Toc533424976" </w:instrText>
      </w:r>
      <w:r>
        <w:rPr>
          <w:highlight w:val="none"/>
        </w:rPr>
        <w:fldChar w:fldCharType="separate"/>
      </w:r>
      <w:r>
        <w:rPr>
          <w:rStyle w:val="31"/>
          <w:rFonts w:ascii="宋体"/>
          <w:sz w:val="32"/>
          <w:highlight w:val="none"/>
        </w:rPr>
        <w:t>第六章  磋商内容、磋商过程中可实质性变动的内容</w:t>
      </w:r>
      <w:r>
        <w:rPr>
          <w:rStyle w:val="31"/>
          <w:rFonts w:ascii="宋体"/>
          <w:sz w:val="32"/>
          <w:highlight w:val="none"/>
        </w:rPr>
        <w:tab/>
      </w:r>
      <w:r>
        <w:rPr>
          <w:rStyle w:val="31"/>
          <w:rFonts w:ascii="宋体"/>
          <w:sz w:val="32"/>
          <w:highlight w:val="none"/>
        </w:rPr>
        <w:fldChar w:fldCharType="begin"/>
      </w:r>
      <w:r>
        <w:rPr>
          <w:rStyle w:val="31"/>
          <w:rFonts w:ascii="宋体"/>
          <w:sz w:val="32"/>
          <w:highlight w:val="none"/>
        </w:rPr>
        <w:instrText xml:space="preserve"> PAGEREF _Toc533424976 \h </w:instrText>
      </w:r>
      <w:r>
        <w:rPr>
          <w:rStyle w:val="31"/>
          <w:rFonts w:ascii="宋体"/>
          <w:sz w:val="32"/>
          <w:highlight w:val="none"/>
        </w:rPr>
        <w:fldChar w:fldCharType="separate"/>
      </w:r>
      <w:r>
        <w:rPr>
          <w:rStyle w:val="31"/>
          <w:rFonts w:ascii="宋体"/>
          <w:sz w:val="32"/>
          <w:highlight w:val="none"/>
        </w:rPr>
        <w:t>- 33 -</w:t>
      </w:r>
      <w:r>
        <w:rPr>
          <w:rStyle w:val="31"/>
          <w:rFonts w:ascii="宋体"/>
          <w:sz w:val="32"/>
          <w:highlight w:val="none"/>
        </w:rPr>
        <w:fldChar w:fldCharType="end"/>
      </w:r>
      <w:r>
        <w:rPr>
          <w:rStyle w:val="31"/>
          <w:rFonts w:ascii="宋体"/>
          <w:sz w:val="32"/>
          <w:highlight w:val="none"/>
        </w:rPr>
        <w:fldChar w:fldCharType="end"/>
      </w:r>
    </w:p>
    <w:p>
      <w:pPr>
        <w:pStyle w:val="18"/>
        <w:tabs>
          <w:tab w:val="right" w:leader="dot" w:pos="9997"/>
        </w:tabs>
        <w:rPr>
          <w:rStyle w:val="31"/>
          <w:rFonts w:ascii="宋体"/>
          <w:sz w:val="32"/>
          <w:highlight w:val="none"/>
        </w:rPr>
      </w:pPr>
      <w:r>
        <w:rPr>
          <w:highlight w:val="none"/>
        </w:rPr>
        <w:fldChar w:fldCharType="begin"/>
      </w:r>
      <w:r>
        <w:rPr>
          <w:highlight w:val="none"/>
        </w:rPr>
        <w:instrText xml:space="preserve"> HYPERLINK \l "_Toc533424977" </w:instrText>
      </w:r>
      <w:r>
        <w:rPr>
          <w:highlight w:val="none"/>
        </w:rPr>
        <w:fldChar w:fldCharType="separate"/>
      </w:r>
      <w:r>
        <w:rPr>
          <w:rStyle w:val="31"/>
          <w:rFonts w:ascii="宋体"/>
          <w:sz w:val="32"/>
          <w:highlight w:val="none"/>
        </w:rPr>
        <w:t>第七章  响应文件格式</w:t>
      </w:r>
      <w:r>
        <w:rPr>
          <w:rStyle w:val="31"/>
          <w:rFonts w:ascii="宋体"/>
          <w:sz w:val="32"/>
          <w:highlight w:val="none"/>
        </w:rPr>
        <w:tab/>
      </w:r>
      <w:r>
        <w:rPr>
          <w:rStyle w:val="31"/>
          <w:rFonts w:ascii="宋体"/>
          <w:sz w:val="32"/>
          <w:highlight w:val="none"/>
        </w:rPr>
        <w:fldChar w:fldCharType="begin"/>
      </w:r>
      <w:r>
        <w:rPr>
          <w:rStyle w:val="31"/>
          <w:rFonts w:ascii="宋体"/>
          <w:sz w:val="32"/>
          <w:highlight w:val="none"/>
        </w:rPr>
        <w:instrText xml:space="preserve"> PAGEREF _Toc533424977 \h </w:instrText>
      </w:r>
      <w:r>
        <w:rPr>
          <w:rStyle w:val="31"/>
          <w:rFonts w:ascii="宋体"/>
          <w:sz w:val="32"/>
          <w:highlight w:val="none"/>
        </w:rPr>
        <w:fldChar w:fldCharType="separate"/>
      </w:r>
      <w:r>
        <w:rPr>
          <w:rStyle w:val="31"/>
          <w:rFonts w:ascii="宋体"/>
          <w:sz w:val="32"/>
          <w:highlight w:val="none"/>
        </w:rPr>
        <w:t>- 34 -</w:t>
      </w:r>
      <w:r>
        <w:rPr>
          <w:rStyle w:val="31"/>
          <w:rFonts w:ascii="宋体"/>
          <w:sz w:val="32"/>
          <w:highlight w:val="none"/>
        </w:rPr>
        <w:fldChar w:fldCharType="end"/>
      </w:r>
      <w:r>
        <w:rPr>
          <w:rStyle w:val="31"/>
          <w:rFonts w:ascii="宋体"/>
          <w:sz w:val="32"/>
          <w:highlight w:val="none"/>
        </w:rPr>
        <w:fldChar w:fldCharType="end"/>
      </w:r>
    </w:p>
    <w:p>
      <w:pPr>
        <w:pStyle w:val="18"/>
        <w:tabs>
          <w:tab w:val="right" w:leader="dot" w:pos="9997"/>
        </w:tabs>
        <w:rPr>
          <w:rStyle w:val="31"/>
          <w:rFonts w:ascii="宋体"/>
          <w:sz w:val="32"/>
          <w:highlight w:val="none"/>
        </w:rPr>
      </w:pPr>
      <w:r>
        <w:rPr>
          <w:highlight w:val="none"/>
        </w:rPr>
        <w:fldChar w:fldCharType="begin"/>
      </w:r>
      <w:r>
        <w:rPr>
          <w:highlight w:val="none"/>
        </w:rPr>
        <w:instrText xml:space="preserve"> HYPERLINK \l "_Toc533424978" </w:instrText>
      </w:r>
      <w:r>
        <w:rPr>
          <w:highlight w:val="none"/>
        </w:rPr>
        <w:fldChar w:fldCharType="separate"/>
      </w:r>
      <w:r>
        <w:rPr>
          <w:rStyle w:val="31"/>
          <w:rFonts w:ascii="宋体"/>
          <w:sz w:val="32"/>
          <w:highlight w:val="none"/>
        </w:rPr>
        <w:t>第八章  评审方法</w:t>
      </w:r>
      <w:r>
        <w:rPr>
          <w:rStyle w:val="31"/>
          <w:rFonts w:ascii="宋体"/>
          <w:sz w:val="32"/>
          <w:highlight w:val="none"/>
        </w:rPr>
        <w:tab/>
      </w:r>
      <w:r>
        <w:rPr>
          <w:rStyle w:val="31"/>
          <w:rFonts w:ascii="宋体"/>
          <w:sz w:val="32"/>
          <w:highlight w:val="none"/>
        </w:rPr>
        <w:fldChar w:fldCharType="begin"/>
      </w:r>
      <w:r>
        <w:rPr>
          <w:rStyle w:val="31"/>
          <w:rFonts w:ascii="宋体"/>
          <w:sz w:val="32"/>
          <w:highlight w:val="none"/>
        </w:rPr>
        <w:instrText xml:space="preserve"> PAGEREF _Toc533424978 \h </w:instrText>
      </w:r>
      <w:r>
        <w:rPr>
          <w:rStyle w:val="31"/>
          <w:rFonts w:ascii="宋体"/>
          <w:sz w:val="32"/>
          <w:highlight w:val="none"/>
        </w:rPr>
        <w:fldChar w:fldCharType="separate"/>
      </w:r>
      <w:r>
        <w:rPr>
          <w:rStyle w:val="31"/>
          <w:rFonts w:ascii="宋体"/>
          <w:sz w:val="32"/>
          <w:highlight w:val="none"/>
        </w:rPr>
        <w:t>- 49 -</w:t>
      </w:r>
      <w:r>
        <w:rPr>
          <w:rStyle w:val="31"/>
          <w:rFonts w:ascii="宋体"/>
          <w:sz w:val="32"/>
          <w:highlight w:val="none"/>
        </w:rPr>
        <w:fldChar w:fldCharType="end"/>
      </w:r>
      <w:r>
        <w:rPr>
          <w:rStyle w:val="31"/>
          <w:rFonts w:ascii="宋体"/>
          <w:sz w:val="32"/>
          <w:highlight w:val="none"/>
        </w:rPr>
        <w:fldChar w:fldCharType="end"/>
      </w:r>
    </w:p>
    <w:p>
      <w:pPr>
        <w:pStyle w:val="18"/>
        <w:tabs>
          <w:tab w:val="right" w:leader="dot" w:pos="9997"/>
        </w:tabs>
        <w:rPr>
          <w:rFonts w:asciiTheme="minorHAnsi" w:hAnsiTheme="minorHAnsi" w:eastAsiaTheme="minorEastAsia" w:cstheme="minorBidi"/>
          <w:sz w:val="32"/>
          <w:szCs w:val="22"/>
          <w:highlight w:val="none"/>
        </w:rPr>
      </w:pPr>
      <w:r>
        <w:rPr>
          <w:highlight w:val="none"/>
        </w:rPr>
        <w:fldChar w:fldCharType="begin"/>
      </w:r>
      <w:r>
        <w:rPr>
          <w:highlight w:val="none"/>
        </w:rPr>
        <w:instrText xml:space="preserve"> HYPERLINK \l "_Toc533424979" </w:instrText>
      </w:r>
      <w:r>
        <w:rPr>
          <w:highlight w:val="none"/>
        </w:rPr>
        <w:fldChar w:fldCharType="separate"/>
      </w:r>
      <w:r>
        <w:rPr>
          <w:rStyle w:val="31"/>
          <w:rFonts w:ascii="宋体"/>
          <w:sz w:val="32"/>
          <w:highlight w:val="none"/>
        </w:rPr>
        <w:t>第九章  采购合同实质性条款</w:t>
      </w:r>
      <w:r>
        <w:rPr>
          <w:rStyle w:val="31"/>
          <w:rFonts w:ascii="宋体"/>
          <w:sz w:val="32"/>
          <w:highlight w:val="none"/>
        </w:rPr>
        <w:tab/>
      </w:r>
      <w:r>
        <w:rPr>
          <w:rStyle w:val="31"/>
          <w:rFonts w:ascii="宋体"/>
          <w:sz w:val="32"/>
          <w:highlight w:val="none"/>
        </w:rPr>
        <w:fldChar w:fldCharType="begin"/>
      </w:r>
      <w:r>
        <w:rPr>
          <w:rStyle w:val="31"/>
          <w:rFonts w:ascii="宋体"/>
          <w:sz w:val="32"/>
          <w:highlight w:val="none"/>
        </w:rPr>
        <w:instrText xml:space="preserve"> PAGEREF _Toc533424979 \h </w:instrText>
      </w:r>
      <w:r>
        <w:rPr>
          <w:rStyle w:val="31"/>
          <w:rFonts w:ascii="宋体"/>
          <w:sz w:val="32"/>
          <w:highlight w:val="none"/>
        </w:rPr>
        <w:fldChar w:fldCharType="separate"/>
      </w:r>
      <w:r>
        <w:rPr>
          <w:rStyle w:val="31"/>
          <w:rFonts w:ascii="宋体"/>
          <w:sz w:val="32"/>
          <w:highlight w:val="none"/>
        </w:rPr>
        <w:t>- 56 -</w:t>
      </w:r>
      <w:r>
        <w:rPr>
          <w:rStyle w:val="31"/>
          <w:rFonts w:ascii="宋体"/>
          <w:sz w:val="32"/>
          <w:highlight w:val="none"/>
        </w:rPr>
        <w:fldChar w:fldCharType="end"/>
      </w:r>
      <w:r>
        <w:rPr>
          <w:rStyle w:val="31"/>
          <w:rFonts w:ascii="宋体"/>
          <w:sz w:val="32"/>
          <w:highlight w:val="none"/>
        </w:rPr>
        <w:fldChar w:fldCharType="end"/>
      </w:r>
    </w:p>
    <w:p>
      <w:pPr>
        <w:ind w:firstLine="800" w:firstLineChars="200"/>
        <w:rPr>
          <w:rFonts w:ascii="宋体" w:hAnsi="宋体"/>
          <w:bCs/>
          <w:color w:val="000000"/>
          <w:sz w:val="40"/>
          <w:highlight w:val="none"/>
        </w:rPr>
      </w:pPr>
      <w:r>
        <w:rPr>
          <w:rFonts w:ascii="宋体" w:hAnsi="宋体"/>
          <w:bCs/>
          <w:color w:val="000000"/>
          <w:sz w:val="40"/>
          <w:highlight w:val="none"/>
        </w:rPr>
        <w:fldChar w:fldCharType="end"/>
      </w:r>
    </w:p>
    <w:p>
      <w:pPr>
        <w:ind w:firstLine="480" w:firstLineChars="200"/>
        <w:rPr>
          <w:rFonts w:ascii="宋体" w:hAnsi="宋体"/>
          <w:bCs/>
          <w:color w:val="000000"/>
          <w:sz w:val="24"/>
          <w:highlight w:val="none"/>
        </w:rPr>
      </w:pPr>
    </w:p>
    <w:p>
      <w:pPr>
        <w:ind w:firstLine="480" w:firstLineChars="200"/>
        <w:rPr>
          <w:rFonts w:ascii="宋体" w:hAnsi="宋体"/>
          <w:bCs/>
          <w:color w:val="000000"/>
          <w:sz w:val="24"/>
          <w:highlight w:val="none"/>
        </w:rPr>
      </w:pPr>
    </w:p>
    <w:p>
      <w:pPr>
        <w:ind w:firstLine="480" w:firstLineChars="200"/>
        <w:rPr>
          <w:rFonts w:ascii="宋体" w:hAnsi="宋体"/>
          <w:bCs/>
          <w:color w:val="000000"/>
          <w:sz w:val="24"/>
          <w:highlight w:val="none"/>
        </w:rPr>
      </w:pPr>
    </w:p>
    <w:p>
      <w:pPr>
        <w:ind w:firstLine="480" w:firstLineChars="200"/>
        <w:rPr>
          <w:rFonts w:ascii="宋体" w:hAnsi="宋体"/>
          <w:bCs/>
          <w:color w:val="000000"/>
          <w:sz w:val="24"/>
          <w:highlight w:val="none"/>
        </w:rPr>
      </w:pPr>
    </w:p>
    <w:p>
      <w:pPr>
        <w:ind w:firstLine="480" w:firstLineChars="200"/>
        <w:rPr>
          <w:rFonts w:ascii="宋体" w:hAnsi="宋体"/>
          <w:bCs/>
          <w:color w:val="000000"/>
          <w:sz w:val="24"/>
          <w:highlight w:val="none"/>
        </w:rPr>
      </w:pPr>
    </w:p>
    <w:p>
      <w:pPr>
        <w:ind w:firstLine="480" w:firstLineChars="200"/>
        <w:rPr>
          <w:rFonts w:ascii="宋体" w:hAnsi="宋体"/>
          <w:bCs/>
          <w:color w:val="000000"/>
          <w:sz w:val="24"/>
          <w:highlight w:val="none"/>
        </w:rPr>
      </w:pPr>
    </w:p>
    <w:p>
      <w:pPr>
        <w:rPr>
          <w:rFonts w:ascii="宋体" w:hAnsi="宋体"/>
          <w:bCs/>
          <w:color w:val="000000"/>
          <w:sz w:val="24"/>
          <w:highlight w:val="none"/>
        </w:rPr>
      </w:pPr>
    </w:p>
    <w:p>
      <w:pPr>
        <w:rPr>
          <w:rFonts w:ascii="宋体" w:hAnsi="宋体"/>
          <w:bCs/>
          <w:color w:val="000000"/>
          <w:sz w:val="24"/>
          <w:highlight w:val="none"/>
        </w:rPr>
      </w:pPr>
    </w:p>
    <w:p>
      <w:pPr>
        <w:ind w:firstLine="480" w:firstLineChars="200"/>
        <w:rPr>
          <w:rFonts w:ascii="宋体" w:hAnsi="宋体"/>
          <w:bCs/>
          <w:color w:val="000000"/>
          <w:sz w:val="24"/>
          <w:highlight w:val="none"/>
        </w:rPr>
      </w:pPr>
    </w:p>
    <w:p>
      <w:pPr>
        <w:ind w:firstLine="480" w:firstLineChars="200"/>
        <w:rPr>
          <w:rFonts w:ascii="宋体" w:hAnsi="宋体"/>
          <w:bCs/>
          <w:color w:val="000000"/>
          <w:sz w:val="24"/>
          <w:highlight w:val="none"/>
        </w:rPr>
      </w:pPr>
    </w:p>
    <w:p>
      <w:pPr>
        <w:ind w:firstLine="480" w:firstLineChars="200"/>
        <w:rPr>
          <w:rFonts w:ascii="宋体" w:hAnsi="宋体"/>
          <w:bCs/>
          <w:color w:val="000000"/>
          <w:sz w:val="24"/>
          <w:highlight w:val="none"/>
        </w:rPr>
      </w:pPr>
    </w:p>
    <w:p>
      <w:pPr>
        <w:ind w:firstLine="480" w:firstLineChars="200"/>
        <w:rPr>
          <w:rFonts w:ascii="宋体" w:hAnsi="宋体"/>
          <w:bCs/>
          <w:color w:val="000000"/>
          <w:sz w:val="24"/>
          <w:highlight w:val="none"/>
        </w:rPr>
      </w:pPr>
    </w:p>
    <w:p>
      <w:pPr>
        <w:ind w:firstLine="480" w:firstLineChars="200"/>
        <w:rPr>
          <w:rFonts w:ascii="宋体" w:hAnsi="宋体"/>
          <w:bCs/>
          <w:color w:val="000000"/>
          <w:sz w:val="24"/>
          <w:highlight w:val="none"/>
        </w:rPr>
      </w:pPr>
    </w:p>
    <w:p>
      <w:pPr>
        <w:pStyle w:val="8"/>
        <w:rPr>
          <w:highlight w:val="none"/>
        </w:rPr>
      </w:pPr>
    </w:p>
    <w:p>
      <w:pPr>
        <w:pStyle w:val="8"/>
        <w:rPr>
          <w:highlight w:val="none"/>
        </w:rPr>
      </w:pPr>
    </w:p>
    <w:p>
      <w:pPr>
        <w:pStyle w:val="4"/>
        <w:keepNext w:val="0"/>
        <w:keepLines w:val="0"/>
        <w:spacing w:line="360" w:lineRule="exact"/>
        <w:jc w:val="center"/>
        <w:rPr>
          <w:rFonts w:ascii="宋体" w:eastAsia="宋体"/>
          <w:bCs w:val="0"/>
          <w:color w:val="000000"/>
          <w:sz w:val="36"/>
          <w:highlight w:val="none"/>
        </w:rPr>
      </w:pPr>
    </w:p>
    <w:p>
      <w:pPr>
        <w:pStyle w:val="4"/>
        <w:keepNext w:val="0"/>
        <w:keepLines w:val="0"/>
        <w:spacing w:line="360" w:lineRule="exact"/>
        <w:jc w:val="center"/>
        <w:rPr>
          <w:rFonts w:ascii="宋体" w:eastAsia="宋体"/>
          <w:bCs w:val="0"/>
          <w:color w:val="000000"/>
          <w:sz w:val="36"/>
          <w:highlight w:val="none"/>
        </w:rPr>
      </w:pPr>
    </w:p>
    <w:p>
      <w:pPr>
        <w:pStyle w:val="3"/>
        <w:pageBreakBefore/>
        <w:spacing w:before="0" w:after="20" w:line="360" w:lineRule="auto"/>
        <w:jc w:val="center"/>
        <w:rPr>
          <w:rFonts w:asciiTheme="minorEastAsia" w:hAnsiTheme="minorEastAsia" w:eastAsiaTheme="minorEastAsia"/>
          <w:color w:val="000000"/>
          <w:sz w:val="24"/>
          <w:highlight w:val="none"/>
          <w:u w:val="single"/>
        </w:rPr>
      </w:pPr>
      <w:bookmarkStart w:id="0" w:name="_Toc533424971"/>
      <w:r>
        <w:rPr>
          <w:rFonts w:hint="eastAsia" w:ascii="宋体"/>
          <w:bCs w:val="0"/>
          <w:color w:val="000000"/>
          <w:sz w:val="36"/>
          <w:highlight w:val="none"/>
        </w:rPr>
        <w:t>第一章  磋商邀请</w:t>
      </w:r>
      <w:bookmarkEnd w:id="0"/>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eastAsiaTheme="minorEastAsia"/>
          <w:color w:val="000000"/>
          <w:sz w:val="24"/>
          <w:szCs w:val="28"/>
          <w:highlight w:val="none"/>
        </w:rPr>
      </w:pPr>
      <w:r>
        <w:rPr>
          <w:rFonts w:hint="eastAsia" w:asciiTheme="minorEastAsia" w:hAnsiTheme="minorEastAsia" w:eastAsiaTheme="minorEastAsia"/>
          <w:color w:val="000000"/>
          <w:sz w:val="24"/>
          <w:highlight w:val="none"/>
          <w:u w:val="single"/>
        </w:rPr>
        <w:t>四川达通工程管理咨询有限公司</w:t>
      </w:r>
      <w:r>
        <w:rPr>
          <w:rFonts w:hint="eastAsia" w:asciiTheme="minorEastAsia" w:hAnsiTheme="minorEastAsia" w:eastAsiaTheme="minorEastAsia"/>
          <w:color w:val="000000"/>
          <w:sz w:val="24"/>
          <w:highlight w:val="none"/>
        </w:rPr>
        <w:t>（采购代理机构）受</w:t>
      </w:r>
      <w:r>
        <w:rPr>
          <w:rFonts w:hint="eastAsia" w:asciiTheme="minorEastAsia" w:hAnsiTheme="minorEastAsia" w:eastAsiaTheme="minorEastAsia"/>
          <w:color w:val="000000"/>
          <w:sz w:val="24"/>
          <w:highlight w:val="none"/>
          <w:u w:val="single"/>
        </w:rPr>
        <w:t>成都东部新区</w:t>
      </w:r>
      <w:r>
        <w:rPr>
          <w:rFonts w:hint="eastAsia" w:asciiTheme="minorEastAsia" w:hAnsiTheme="minorEastAsia" w:eastAsiaTheme="minorEastAsia"/>
          <w:color w:val="000000"/>
          <w:sz w:val="24"/>
          <w:highlight w:val="none"/>
          <w:u w:val="single"/>
          <w:lang w:eastAsia="zh-CN"/>
        </w:rPr>
        <w:t>草池街道</w:t>
      </w:r>
      <w:r>
        <w:rPr>
          <w:rFonts w:hint="eastAsia" w:asciiTheme="minorEastAsia" w:hAnsiTheme="minorEastAsia" w:eastAsiaTheme="minorEastAsia"/>
          <w:color w:val="000000"/>
          <w:sz w:val="24"/>
          <w:highlight w:val="none"/>
          <w:u w:val="single"/>
        </w:rPr>
        <w:t>办事处</w:t>
      </w:r>
      <w:r>
        <w:rPr>
          <w:rFonts w:hint="eastAsia" w:asciiTheme="minorEastAsia" w:hAnsiTheme="minorEastAsia" w:eastAsiaTheme="minorEastAsia"/>
          <w:color w:val="000000"/>
          <w:sz w:val="24"/>
          <w:highlight w:val="none"/>
        </w:rPr>
        <w:t>委托，拟对</w:t>
      </w:r>
      <w:r>
        <w:rPr>
          <w:rFonts w:hint="eastAsia" w:asciiTheme="minorEastAsia" w:hAnsiTheme="minorEastAsia" w:eastAsiaTheme="minorEastAsia"/>
          <w:color w:val="000000"/>
          <w:sz w:val="24"/>
          <w:highlight w:val="none"/>
          <w:u w:val="single"/>
          <w:lang w:eastAsia="zh-CN"/>
        </w:rPr>
        <w:t>成都东部新区草池街道办事处食堂服务外包项目</w:t>
      </w:r>
      <w:r>
        <w:rPr>
          <w:rFonts w:hint="eastAsia" w:asciiTheme="minorEastAsia" w:hAnsiTheme="minorEastAsia" w:eastAsiaTheme="minorEastAsia"/>
          <w:color w:val="000000"/>
          <w:sz w:val="24"/>
          <w:szCs w:val="32"/>
          <w:highlight w:val="none"/>
        </w:rPr>
        <w:t>采用竞争性磋商方式</w:t>
      </w:r>
      <w:r>
        <w:rPr>
          <w:rFonts w:hint="eastAsia" w:asciiTheme="minorEastAsia" w:hAnsiTheme="minorEastAsia" w:eastAsiaTheme="minorEastAsia"/>
          <w:color w:val="000000"/>
          <w:sz w:val="24"/>
          <w:highlight w:val="none"/>
        </w:rPr>
        <w:t>进行采购，特</w:t>
      </w:r>
      <w:r>
        <w:rPr>
          <w:rFonts w:hint="eastAsia" w:asciiTheme="minorEastAsia" w:hAnsiTheme="minorEastAsia" w:eastAsiaTheme="minorEastAsia"/>
          <w:color w:val="000000"/>
          <w:sz w:val="24"/>
          <w:szCs w:val="28"/>
          <w:highlight w:val="none"/>
        </w:rPr>
        <w:t>邀请符合本次采购要求的供应商参加</w:t>
      </w:r>
      <w:r>
        <w:rPr>
          <w:rFonts w:hint="eastAsia" w:asciiTheme="minorEastAsia" w:hAnsiTheme="minorEastAsia" w:eastAsiaTheme="minorEastAsia"/>
          <w:color w:val="000000"/>
          <w:sz w:val="24"/>
          <w:highlight w:val="none"/>
        </w:rPr>
        <w:t>本项目的竞争性磋商</w:t>
      </w:r>
      <w:r>
        <w:rPr>
          <w:rFonts w:hint="eastAsia" w:asciiTheme="minorEastAsia" w:hAnsiTheme="minorEastAsia" w:eastAsiaTheme="minorEastAsia"/>
          <w:color w:val="000000"/>
          <w:sz w:val="24"/>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1.项目编号：详见</w:t>
      </w:r>
      <w:r>
        <w:rPr>
          <w:rFonts w:hint="eastAsia" w:asciiTheme="minorEastAsia" w:hAnsiTheme="minorEastAsia" w:eastAsiaTheme="minorEastAsia"/>
          <w:color w:val="000000"/>
          <w:sz w:val="24"/>
          <w:highlight w:val="none"/>
          <w:lang w:eastAsia="zh-CN"/>
        </w:rPr>
        <w:t>四川</w:t>
      </w:r>
      <w:r>
        <w:rPr>
          <w:rFonts w:hint="eastAsia" w:asciiTheme="minorEastAsia" w:hAnsiTheme="minorEastAsia" w:eastAsiaTheme="minorEastAsia"/>
          <w:color w:val="000000"/>
          <w:sz w:val="24"/>
          <w:highlight w:val="none"/>
        </w:rPr>
        <w:t>政府采购网</w:t>
      </w:r>
      <w:r>
        <w:rPr>
          <w:rFonts w:hint="eastAsia" w:asciiTheme="minorEastAsia" w:hAnsiTheme="minorEastAsia" w:eastAsiaTheme="minorEastAsia"/>
          <w:color w:val="000000"/>
          <w:sz w:val="24"/>
          <w:highlight w:val="none"/>
          <w:lang w:eastAsia="zh-CN"/>
        </w:rPr>
        <w:t>本项目采购公告</w:t>
      </w:r>
      <w:r>
        <w:rPr>
          <w:rFonts w:hint="eastAsia" w:asciiTheme="minorEastAsia" w:hAnsiTheme="minorEastAsia" w:eastAsiaTheme="minorEastAsia"/>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2.采购项目名称：</w:t>
      </w:r>
      <w:r>
        <w:rPr>
          <w:rFonts w:hint="eastAsia" w:asciiTheme="minorEastAsia" w:hAnsiTheme="minorEastAsia" w:eastAsiaTheme="minorEastAsia"/>
          <w:color w:val="000000"/>
          <w:sz w:val="24"/>
          <w:highlight w:val="none"/>
          <w:u w:val="none"/>
          <w:lang w:eastAsia="zh-CN"/>
        </w:rPr>
        <w:t>成都东部新区草池街道办事处食堂服务外包项目</w:t>
      </w:r>
      <w:r>
        <w:rPr>
          <w:rFonts w:hint="eastAsia" w:asciiTheme="minorEastAsia" w:hAnsiTheme="minorEastAsia" w:eastAsiaTheme="minorEastAsia"/>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3.采购人：</w:t>
      </w:r>
      <w:r>
        <w:rPr>
          <w:rFonts w:hint="eastAsia" w:asciiTheme="minorEastAsia" w:hAnsiTheme="minorEastAsia" w:eastAsiaTheme="minorEastAsia"/>
          <w:color w:val="000000"/>
          <w:sz w:val="24"/>
          <w:highlight w:val="none"/>
          <w:u w:val="none"/>
        </w:rPr>
        <w:t>成都东部新区</w:t>
      </w:r>
      <w:r>
        <w:rPr>
          <w:rFonts w:hint="eastAsia" w:asciiTheme="minorEastAsia" w:hAnsiTheme="minorEastAsia" w:eastAsiaTheme="minorEastAsia"/>
          <w:color w:val="000000"/>
          <w:sz w:val="24"/>
          <w:highlight w:val="none"/>
          <w:u w:val="none"/>
          <w:lang w:eastAsia="zh-CN"/>
        </w:rPr>
        <w:t>草池街道</w:t>
      </w:r>
      <w:r>
        <w:rPr>
          <w:rFonts w:hint="eastAsia" w:asciiTheme="minorEastAsia" w:hAnsiTheme="minorEastAsia" w:eastAsiaTheme="minorEastAsia"/>
          <w:color w:val="000000"/>
          <w:sz w:val="24"/>
          <w:highlight w:val="none"/>
          <w:u w:val="none"/>
        </w:rPr>
        <w:t>办事处</w:t>
      </w:r>
      <w:r>
        <w:rPr>
          <w:rFonts w:hint="eastAsia" w:asciiTheme="minorEastAsia" w:hAnsiTheme="minorEastAsia" w:eastAsiaTheme="minorEastAsia"/>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4.采购代理机构：四川达通工程管理咨询有限公司。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二、资金情况</w:t>
      </w:r>
    </w:p>
    <w:p>
      <w:pPr>
        <w:keepNext w:val="0"/>
        <w:keepLines w:val="0"/>
        <w:pageBreakBefore w:val="0"/>
        <w:widowControl w:val="0"/>
        <w:kinsoku/>
        <w:wordWrap/>
        <w:overflowPunct/>
        <w:topLinePunct w:val="0"/>
        <w:autoSpaceDE/>
        <w:autoSpaceDN/>
        <w:bidi w:val="0"/>
        <w:adjustRightInd/>
        <w:snapToGrid/>
        <w:spacing w:line="360" w:lineRule="exact"/>
        <w:ind w:right="31" w:rightChars="15" w:firstLine="480" w:firstLineChars="200"/>
        <w:textAlignment w:val="auto"/>
        <w:rPr>
          <w:rFonts w:asciiTheme="minorEastAsia" w:hAnsiTheme="minorEastAsia" w:eastAsiaTheme="minorEastAsia"/>
          <w:b/>
          <w:bCs/>
          <w:color w:val="000000"/>
          <w:sz w:val="24"/>
          <w:highlight w:val="none"/>
        </w:rPr>
      </w:pPr>
      <w:r>
        <w:rPr>
          <w:rFonts w:hint="eastAsia" w:asciiTheme="minorEastAsia" w:hAnsiTheme="minorEastAsia" w:eastAsiaTheme="minorEastAsia"/>
          <w:color w:val="000000"/>
          <w:sz w:val="24"/>
          <w:highlight w:val="none"/>
        </w:rPr>
        <w:t>资金来源及金额：财政</w:t>
      </w:r>
      <w:r>
        <w:rPr>
          <w:rFonts w:hint="eastAsia" w:asciiTheme="minorEastAsia" w:hAnsiTheme="minorEastAsia" w:eastAsiaTheme="minorEastAsia"/>
          <w:color w:val="000000"/>
          <w:sz w:val="24"/>
          <w:highlight w:val="none"/>
          <w:lang w:eastAsia="zh-CN"/>
        </w:rPr>
        <w:t>资金。采购预</w:t>
      </w:r>
      <w:r>
        <w:rPr>
          <w:rFonts w:hint="eastAsia" w:cs="Times New Roman" w:asciiTheme="minorEastAsia" w:hAnsiTheme="minorEastAsia" w:eastAsiaTheme="minorEastAsia"/>
          <w:color w:val="000000"/>
          <w:sz w:val="24"/>
          <w:highlight w:val="none"/>
          <w:lang w:eastAsia="zh-CN"/>
        </w:rPr>
        <w:t>算：</w:t>
      </w:r>
      <w:r>
        <w:rPr>
          <w:rFonts w:hint="eastAsia" w:cs="Times New Roman" w:asciiTheme="minorEastAsia" w:hAnsiTheme="minorEastAsia" w:eastAsiaTheme="minorEastAsia"/>
          <w:color w:val="000000"/>
          <w:sz w:val="24"/>
          <w:highlight w:val="none"/>
          <w:lang w:val="en-US" w:eastAsia="zh-CN"/>
        </w:rPr>
        <w:t>1221400</w:t>
      </w:r>
      <w:r>
        <w:rPr>
          <w:rFonts w:hint="eastAsia" w:ascii="宋体" w:hAnsi="宋体"/>
          <w:bCs/>
          <w:sz w:val="24"/>
          <w:highlight w:val="none"/>
        </w:rPr>
        <w:t>元</w:t>
      </w:r>
      <w:r>
        <w:rPr>
          <w:rFonts w:hint="eastAsia" w:asciiTheme="minorEastAsia" w:hAnsiTheme="minorEastAsia" w:eastAsiaTheme="minorEastAsia"/>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b/>
          <w:color w:val="000000"/>
          <w:sz w:val="24"/>
          <w:highlight w:val="none"/>
        </w:rPr>
        <w:t>三</w:t>
      </w:r>
      <w:r>
        <w:rPr>
          <w:rFonts w:hint="eastAsia" w:asciiTheme="minorEastAsia" w:hAnsiTheme="minorEastAsia" w:eastAsiaTheme="minorEastAsia"/>
          <w:b/>
          <w:bCs/>
          <w:color w:val="000000"/>
          <w:sz w:val="24"/>
          <w:highlight w:val="none"/>
        </w:rPr>
        <w:t>、</w:t>
      </w:r>
      <w:r>
        <w:rPr>
          <w:rFonts w:hint="eastAsia" w:asciiTheme="minorEastAsia" w:hAnsiTheme="minorEastAsia" w:eastAsiaTheme="minorEastAsia"/>
          <w:b/>
          <w:color w:val="000000"/>
          <w:sz w:val="24"/>
          <w:highlight w:val="none"/>
        </w:rPr>
        <w:t>采购项目简介：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000000"/>
          <w:sz w:val="24"/>
          <w:szCs w:val="28"/>
          <w:highlight w:val="none"/>
        </w:rPr>
      </w:pPr>
      <w:r>
        <w:rPr>
          <w:rFonts w:hint="eastAsia" w:asciiTheme="minorEastAsia" w:hAnsiTheme="minorEastAsia" w:eastAsiaTheme="minorEastAsia"/>
          <w:color w:val="000000"/>
          <w:sz w:val="24"/>
          <w:szCs w:val="28"/>
          <w:highlight w:val="none"/>
        </w:rPr>
        <w:t>（详见磋商文件第五章）。</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Theme="minorEastAsia" w:hAnsiTheme="minorEastAsia" w:eastAsiaTheme="minorEastAsia"/>
          <w:b/>
          <w:bCs/>
          <w:color w:val="000000"/>
          <w:sz w:val="24"/>
          <w:highlight w:val="none"/>
        </w:rPr>
      </w:pPr>
      <w:r>
        <w:rPr>
          <w:rFonts w:hint="eastAsia" w:asciiTheme="minorEastAsia" w:hAnsiTheme="minorEastAsia" w:eastAsiaTheme="minorEastAsia"/>
          <w:b/>
          <w:bCs/>
          <w:color w:val="000000"/>
          <w:sz w:val="24"/>
          <w:highlight w:val="none"/>
        </w:rPr>
        <w:t>四、供应商邀请方式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bCs/>
          <w:color w:val="000000"/>
          <w:sz w:val="24"/>
          <w:highlight w:val="none"/>
        </w:rPr>
      </w:pPr>
      <w:r>
        <w:rPr>
          <w:rFonts w:hint="eastAsia" w:asciiTheme="minorEastAsia" w:hAnsiTheme="minorEastAsia" w:eastAsiaTheme="minorEastAsia"/>
          <w:bCs/>
          <w:color w:val="000000"/>
          <w:sz w:val="24"/>
          <w:highlight w:val="none"/>
        </w:rPr>
        <w:t>公告方式：本次竞争性磋商邀请在四川政府采购网上以公告形式发布。</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Theme="minorEastAsia" w:hAnsiTheme="minorEastAsia" w:eastAsiaTheme="minorEastAsia"/>
          <w:b/>
          <w:bCs/>
          <w:color w:val="000000"/>
          <w:sz w:val="24"/>
          <w:highlight w:val="none"/>
        </w:rPr>
      </w:pPr>
      <w:r>
        <w:rPr>
          <w:rFonts w:hint="eastAsia" w:asciiTheme="minorEastAsia" w:hAnsiTheme="minorEastAsia" w:eastAsiaTheme="minorEastAsia"/>
          <w:b/>
          <w:bCs/>
          <w:color w:val="000000"/>
          <w:sz w:val="24"/>
          <w:highlight w:val="none"/>
        </w:rPr>
        <w:t>五、供应商参加本次政府采购活动应具备下列条件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5.参加本次政府采购活动前3年内，在经营活动中没有重大违法记录；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6.法律、行政法规规定的其他条件；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7.采购人根据采购项目提出的特殊条件：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w:t>
      </w:r>
      <w:r>
        <w:rPr>
          <w:rFonts w:hint="eastAsia" w:asciiTheme="minorEastAsia" w:hAnsiTheme="minorEastAsia" w:eastAsiaTheme="minorEastAsia"/>
          <w:color w:val="000000"/>
          <w:sz w:val="24"/>
          <w:highlight w:val="none"/>
          <w:lang w:eastAsia="zh-CN"/>
        </w:rPr>
        <w:t>供应商</w:t>
      </w:r>
      <w:r>
        <w:rPr>
          <w:rFonts w:hint="eastAsia" w:asciiTheme="minorEastAsia" w:hAnsiTheme="minorEastAsia" w:eastAsiaTheme="minorEastAsia"/>
          <w:color w:val="000000"/>
          <w:sz w:val="24"/>
          <w:highlight w:val="none"/>
          <w:lang w:val="en-US" w:eastAsia="zh-CN"/>
        </w:rPr>
        <w:t>具备有效的《食品经营许可证》</w:t>
      </w:r>
      <w:r>
        <w:rPr>
          <w:rFonts w:hint="eastAsia" w:asciiTheme="minorEastAsia" w:hAnsiTheme="minorEastAsia" w:eastAsiaTheme="minorEastAsia"/>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lang w:val="en-US" w:eastAsia="zh-CN"/>
        </w:rPr>
      </w:pPr>
      <w:r>
        <w:rPr>
          <w:rFonts w:hint="eastAsia" w:asciiTheme="minorEastAsia" w:hAnsiTheme="minorEastAsia" w:eastAsiaTheme="minorEastAsia"/>
          <w:color w:val="000000"/>
          <w:sz w:val="24"/>
          <w:highlight w:val="none"/>
          <w:lang w:val="en-US" w:eastAsia="zh-CN"/>
        </w:rPr>
        <w:t>2）本项目专门面向中小企业采购，供应商须为中小企业；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cs="Times New Roman" w:asciiTheme="minorEastAsia" w:hAnsiTheme="minorEastAsia" w:eastAsiaTheme="minorEastAsia"/>
          <w:color w:val="000000"/>
          <w:sz w:val="24"/>
          <w:highlight w:val="none"/>
        </w:rPr>
      </w:pPr>
      <w:r>
        <w:rPr>
          <w:rFonts w:hint="eastAsia" w:cs="Times New Roman" w:asciiTheme="minorEastAsia" w:hAnsiTheme="minorEastAsia" w:eastAsiaTheme="minorEastAsia"/>
          <w:color w:val="000000"/>
          <w:sz w:val="24"/>
          <w:highlight w:val="none"/>
          <w:lang w:val="en-US" w:eastAsia="zh-CN"/>
        </w:rPr>
        <w:t>8.</w:t>
      </w:r>
      <w:r>
        <w:rPr>
          <w:rFonts w:hint="eastAsia" w:cs="Times New Roman" w:asciiTheme="minorEastAsia" w:hAnsiTheme="minorEastAsia" w:eastAsiaTheme="minorEastAsia"/>
          <w:color w:val="000000"/>
          <w:sz w:val="24"/>
          <w:highlight w:val="none"/>
        </w:rPr>
        <w:t>本项目不接受联合体</w:t>
      </w:r>
      <w:r>
        <w:rPr>
          <w:rFonts w:hint="eastAsia" w:cs="Times New Roman" w:asciiTheme="minorEastAsia" w:hAnsiTheme="minorEastAsia" w:eastAsiaTheme="minorEastAsia"/>
          <w:color w:val="000000"/>
          <w:sz w:val="24"/>
          <w:highlight w:val="none"/>
          <w:lang w:eastAsia="zh-CN"/>
        </w:rPr>
        <w:t>磋商</w:t>
      </w:r>
      <w:r>
        <w:rPr>
          <w:rFonts w:hint="eastAsia" w:cs="Times New Roman" w:asciiTheme="minorEastAsia" w:hAnsiTheme="minorEastAsia" w:eastAsiaTheme="minorEastAsia"/>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lang w:val="en-US" w:eastAsia="zh-CN"/>
        </w:rPr>
        <w:t>9.</w:t>
      </w:r>
      <w:r>
        <w:rPr>
          <w:rFonts w:hint="eastAsia" w:asciiTheme="minorEastAsia" w:hAnsiTheme="minorEastAsia" w:eastAsiaTheme="minorEastAsia"/>
          <w:color w:val="000000"/>
          <w:sz w:val="24"/>
          <w:highlight w:val="none"/>
        </w:rPr>
        <w:t>本项目参加政府采购活动的</w:t>
      </w:r>
      <w:r>
        <w:rPr>
          <w:rFonts w:hint="eastAsia" w:asciiTheme="minorEastAsia" w:hAnsiTheme="minorEastAsia" w:eastAsiaTheme="minorEastAsia"/>
          <w:color w:val="000000"/>
          <w:sz w:val="24"/>
          <w:highlight w:val="none"/>
          <w:lang w:eastAsia="zh-CN"/>
        </w:rPr>
        <w:t>供应商</w:t>
      </w:r>
      <w:r>
        <w:rPr>
          <w:rFonts w:hint="eastAsia" w:asciiTheme="minorEastAsia" w:hAnsiTheme="minorEastAsia" w:eastAsiaTheme="minorEastAsia"/>
          <w:color w:val="000000"/>
          <w:sz w:val="24"/>
          <w:highlight w:val="none"/>
        </w:rPr>
        <w:t>、法定代表人、主要负责人在前3年内不得具有行贿犯罪记录。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lang w:val="en-US" w:eastAsia="zh-CN"/>
        </w:rPr>
        <w:t>10.</w:t>
      </w:r>
      <w:r>
        <w:rPr>
          <w:rFonts w:hint="eastAsia" w:asciiTheme="minorEastAsia" w:hAnsiTheme="minorEastAsia" w:eastAsiaTheme="minorEastAsia"/>
          <w:color w:val="000000"/>
          <w:sz w:val="24"/>
          <w:highlight w:val="none"/>
        </w:rPr>
        <w:t>供应商在采购公告发布之日前，不得为“信用中国”网站（www.creditchina.gov.cn）中列入失信被执行人和重大税收违法案件当事人名单，不得为中国政府采购网（www.ccgp.gov.cn)政府采购严重违法失信行为记录名单中被财政部门禁止参加政府采购活动的供应商。</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六、禁止参加本次采购活动的供应商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根据《关于在政府采购活动中查询及使用信用记录有关问题的通知》（财库〔2016〕125号）的要求，通过“信用中国”网站（www.creditchina.gov.cn）、“中国政府采购网”网站（www.ccgp.gov.cn）等渠道查询供应商在采购公告发布之日前的信用记录并保存信用记录结果网页截图，</w:t>
      </w:r>
      <w:r>
        <w:rPr>
          <w:rFonts w:hint="eastAsia" w:asciiTheme="minorEastAsia" w:hAnsiTheme="minorEastAsia" w:eastAsiaTheme="minorEastAsia"/>
          <w:sz w:val="24"/>
          <w:highlight w:val="none"/>
        </w:rPr>
        <w:t>拒绝列入</w:t>
      </w:r>
      <w:r>
        <w:rPr>
          <w:rFonts w:hint="eastAsia" w:asciiTheme="minorEastAsia" w:hAnsiTheme="minorEastAsia" w:eastAsiaTheme="minorEastAsia"/>
          <w:color w:val="000000"/>
          <w:sz w:val="24"/>
          <w:highlight w:val="none"/>
        </w:rPr>
        <w:t>失信被执行人名单、重大税收违法案件当事人名单、政府采购严重违法失信行为记录名单中的供应商报名参加本项目的采购活动。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七、磋商文件获取方式、时间、地点：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新宋体" w:hAnsi="新宋体" w:eastAsia="新宋体"/>
          <w:sz w:val="24"/>
          <w:highlight w:val="none"/>
        </w:rPr>
      </w:pPr>
      <w:r>
        <w:rPr>
          <w:rFonts w:hint="eastAsia" w:asciiTheme="minorEastAsia" w:hAnsiTheme="minorEastAsia" w:eastAsiaTheme="minorEastAsia"/>
          <w:color w:val="000000"/>
          <w:sz w:val="24"/>
          <w:highlight w:val="none"/>
        </w:rPr>
        <w:t>磋商文件自202</w:t>
      </w:r>
      <w:r>
        <w:rPr>
          <w:rFonts w:hint="eastAsia" w:asciiTheme="minorEastAsia" w:hAnsiTheme="minorEastAsia" w:eastAsiaTheme="minorEastAsia"/>
          <w:color w:val="000000"/>
          <w:sz w:val="24"/>
          <w:highlight w:val="none"/>
          <w:lang w:val="en-US" w:eastAsia="zh-CN"/>
        </w:rPr>
        <w:t>1</w:t>
      </w:r>
      <w:r>
        <w:rPr>
          <w:rFonts w:hint="eastAsia" w:asciiTheme="minorEastAsia" w:hAnsiTheme="minorEastAsia" w:eastAsiaTheme="minorEastAsia"/>
          <w:color w:val="000000"/>
          <w:sz w:val="24"/>
          <w:highlight w:val="none"/>
        </w:rPr>
        <w:t>年</w:t>
      </w:r>
      <w:r>
        <w:rPr>
          <w:rFonts w:hint="eastAsia" w:asciiTheme="minorEastAsia" w:hAnsiTheme="minorEastAsia" w:eastAsiaTheme="minorEastAsia"/>
          <w:color w:val="000000"/>
          <w:sz w:val="24"/>
          <w:highlight w:val="none"/>
          <w:lang w:val="en-US" w:eastAsia="zh-CN"/>
        </w:rPr>
        <w:t>6</w:t>
      </w:r>
      <w:r>
        <w:rPr>
          <w:rFonts w:hint="eastAsia" w:asciiTheme="minorEastAsia" w:hAnsiTheme="minorEastAsia" w:eastAsiaTheme="minorEastAsia"/>
          <w:color w:val="000000"/>
          <w:sz w:val="24"/>
          <w:highlight w:val="none"/>
        </w:rPr>
        <w:t>月</w:t>
      </w:r>
      <w:r>
        <w:rPr>
          <w:rFonts w:hint="eastAsia" w:asciiTheme="minorEastAsia" w:hAnsiTheme="minorEastAsia" w:eastAsiaTheme="minorEastAsia"/>
          <w:color w:val="000000"/>
          <w:sz w:val="24"/>
          <w:highlight w:val="none"/>
          <w:lang w:val="en-US" w:eastAsia="zh-CN"/>
        </w:rPr>
        <w:t>2</w:t>
      </w:r>
      <w:r>
        <w:rPr>
          <w:rFonts w:hint="eastAsia" w:asciiTheme="minorEastAsia" w:hAnsiTheme="minorEastAsia" w:eastAsiaTheme="minorEastAsia"/>
          <w:color w:val="000000"/>
          <w:sz w:val="24"/>
          <w:highlight w:val="none"/>
        </w:rPr>
        <w:t>日至202</w:t>
      </w:r>
      <w:r>
        <w:rPr>
          <w:rFonts w:hint="eastAsia" w:asciiTheme="minorEastAsia" w:hAnsiTheme="minorEastAsia" w:eastAsiaTheme="minorEastAsia"/>
          <w:color w:val="000000"/>
          <w:sz w:val="24"/>
          <w:highlight w:val="none"/>
          <w:lang w:val="en-US" w:eastAsia="zh-CN"/>
        </w:rPr>
        <w:t>1</w:t>
      </w:r>
      <w:r>
        <w:rPr>
          <w:rFonts w:hint="eastAsia" w:asciiTheme="minorEastAsia" w:hAnsiTheme="minorEastAsia" w:eastAsiaTheme="minorEastAsia"/>
          <w:color w:val="000000"/>
          <w:sz w:val="24"/>
          <w:highlight w:val="none"/>
        </w:rPr>
        <w:t>年</w:t>
      </w:r>
      <w:r>
        <w:rPr>
          <w:rFonts w:hint="eastAsia" w:asciiTheme="minorEastAsia" w:hAnsiTheme="minorEastAsia" w:eastAsiaTheme="minorEastAsia"/>
          <w:color w:val="000000"/>
          <w:sz w:val="24"/>
          <w:highlight w:val="none"/>
          <w:lang w:val="en-US" w:eastAsia="zh-CN"/>
        </w:rPr>
        <w:t>6</w:t>
      </w:r>
      <w:r>
        <w:rPr>
          <w:rFonts w:hint="eastAsia" w:asciiTheme="minorEastAsia" w:hAnsiTheme="minorEastAsia" w:eastAsiaTheme="minorEastAsia"/>
          <w:color w:val="000000"/>
          <w:sz w:val="24"/>
          <w:highlight w:val="none"/>
        </w:rPr>
        <w:t>月</w:t>
      </w:r>
      <w:r>
        <w:rPr>
          <w:rFonts w:hint="eastAsia" w:asciiTheme="minorEastAsia" w:hAnsiTheme="minorEastAsia" w:eastAsiaTheme="minorEastAsia"/>
          <w:color w:val="000000"/>
          <w:sz w:val="24"/>
          <w:highlight w:val="none"/>
          <w:lang w:val="en-US" w:eastAsia="zh-CN"/>
        </w:rPr>
        <w:t xml:space="preserve"> 9</w:t>
      </w:r>
      <w:r>
        <w:rPr>
          <w:rFonts w:hint="eastAsia" w:asciiTheme="minorEastAsia" w:hAnsiTheme="minorEastAsia" w:eastAsiaTheme="minorEastAsia"/>
          <w:color w:val="000000"/>
          <w:sz w:val="24"/>
          <w:highlight w:val="none"/>
        </w:rPr>
        <w:t>日09</w:t>
      </w:r>
      <w:r>
        <w:rPr>
          <w:rFonts w:asciiTheme="minorEastAsia" w:hAnsiTheme="minorEastAsia" w:eastAsiaTheme="minorEastAsia"/>
          <w:color w:val="000000"/>
          <w:sz w:val="24"/>
          <w:highlight w:val="none"/>
        </w:rPr>
        <w:t>:</w:t>
      </w:r>
      <w:r>
        <w:rPr>
          <w:rFonts w:hint="eastAsia" w:asciiTheme="minorEastAsia" w:hAnsiTheme="minorEastAsia" w:eastAsiaTheme="minorEastAsia"/>
          <w:color w:val="000000"/>
          <w:sz w:val="24"/>
          <w:highlight w:val="none"/>
        </w:rPr>
        <w:t>00- 17</w:t>
      </w:r>
      <w:r>
        <w:rPr>
          <w:rFonts w:asciiTheme="minorEastAsia" w:hAnsiTheme="minorEastAsia" w:eastAsiaTheme="minorEastAsia"/>
          <w:color w:val="000000"/>
          <w:sz w:val="24"/>
          <w:highlight w:val="none"/>
        </w:rPr>
        <w:t>:</w:t>
      </w:r>
      <w:r>
        <w:rPr>
          <w:rFonts w:hint="eastAsia" w:asciiTheme="minorEastAsia" w:hAnsiTheme="minorEastAsia" w:eastAsiaTheme="minorEastAsia"/>
          <w:color w:val="000000"/>
          <w:sz w:val="24"/>
          <w:highlight w:val="none"/>
        </w:rPr>
        <w:t>00</w:t>
      </w:r>
      <w:r>
        <w:rPr>
          <w:rFonts w:asciiTheme="minorEastAsia" w:hAnsiTheme="minorEastAsia" w:eastAsiaTheme="minorEastAsia"/>
          <w:color w:val="000000"/>
          <w:sz w:val="24"/>
          <w:szCs w:val="28"/>
          <w:highlight w:val="none"/>
        </w:rPr>
        <w:t>（北京时间</w:t>
      </w:r>
      <w:r>
        <w:rPr>
          <w:rFonts w:hint="eastAsia" w:asciiTheme="minorEastAsia" w:hAnsiTheme="minorEastAsia" w:eastAsiaTheme="minorEastAsia"/>
          <w:color w:val="000000"/>
          <w:sz w:val="24"/>
          <w:szCs w:val="28"/>
          <w:highlight w:val="none"/>
        </w:rPr>
        <w:t>，法定节假日除外</w:t>
      </w:r>
      <w:r>
        <w:rPr>
          <w:rFonts w:asciiTheme="minorEastAsia" w:hAnsiTheme="minorEastAsia" w:eastAsiaTheme="minorEastAsia"/>
          <w:color w:val="000000"/>
          <w:sz w:val="24"/>
          <w:szCs w:val="28"/>
          <w:highlight w:val="none"/>
        </w:rPr>
        <w:t>）</w:t>
      </w:r>
      <w:r>
        <w:rPr>
          <w:rFonts w:hint="eastAsia" w:asciiTheme="minorEastAsia" w:hAnsiTheme="minorEastAsia" w:eastAsiaTheme="minorEastAsia"/>
          <w:color w:val="000000"/>
          <w:sz w:val="24"/>
          <w:highlight w:val="none"/>
        </w:rPr>
        <w:t>在</w:t>
      </w:r>
      <w:r>
        <w:rPr>
          <w:rFonts w:hint="eastAsia" w:cs="Tahoma"/>
          <w:color w:val="000000"/>
          <w:sz w:val="24"/>
          <w:highlight w:val="none"/>
          <w:u w:val="single"/>
        </w:rPr>
        <w:t>成都市青羊区光华东三路489号西环广场2栋10楼（四川达通工程管理咨询有限公司）</w:t>
      </w:r>
      <w:r>
        <w:rPr>
          <w:rFonts w:hint="eastAsia" w:asciiTheme="minorEastAsia" w:hAnsiTheme="minorEastAsia" w:eastAsiaTheme="minorEastAsia"/>
          <w:color w:val="000000"/>
          <w:sz w:val="24"/>
          <w:highlight w:val="none"/>
        </w:rPr>
        <w:t>获取。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FF0000"/>
          <w:sz w:val="24"/>
          <w:highlight w:val="none"/>
        </w:rPr>
      </w:pPr>
      <w:bookmarkStart w:id="95" w:name="_GoBack"/>
      <w:bookmarkEnd w:id="95"/>
      <w:r>
        <w:rPr>
          <w:rFonts w:hint="eastAsia" w:cs="Times New Roman" w:asciiTheme="minorEastAsia" w:hAnsiTheme="minorEastAsia" w:eastAsiaTheme="minorEastAsia"/>
          <w:color w:val="auto"/>
          <w:sz w:val="24"/>
          <w:szCs w:val="18"/>
          <w:highlight w:val="none"/>
          <w:lang w:val="en-US" w:eastAsia="zh-CN"/>
        </w:rPr>
        <w:t>获取磋商文件时，供应商为法人或者其他组织的，只需提供单位介绍信、经办人身份证明；供应商为自然人的，只需提供本人身份证明；并将相应材料给采购代理机构留存（疫情期间供应商可通过邮箱方式进行报名，邮箱号：</w:t>
      </w:r>
      <w:r>
        <w:rPr>
          <w:rFonts w:hint="eastAsia" w:ascii="新宋体" w:hAnsi="新宋体" w:eastAsia="新宋体"/>
          <w:color w:val="auto"/>
          <w:sz w:val="24"/>
          <w:highlight w:val="none"/>
          <w:lang w:val="en-US" w:eastAsia="zh-CN"/>
        </w:rPr>
        <w:t>2630823131</w:t>
      </w:r>
      <w:r>
        <w:rPr>
          <w:rFonts w:hint="eastAsia" w:cs="Times New Roman" w:asciiTheme="minorEastAsia" w:hAnsiTheme="minorEastAsia" w:eastAsiaTheme="minorEastAsia"/>
          <w:color w:val="auto"/>
          <w:sz w:val="24"/>
          <w:szCs w:val="18"/>
          <w:highlight w:val="none"/>
          <w:lang w:val="en-US" w:eastAsia="zh-CN"/>
        </w:rPr>
        <w:t>@qq.com。采用网上报名的供应商，应在采购公告界面下载“项目招投标报名登记表”按照表格要求填写相关内容，将填写完整且加盖公章的项目招投标报名登记表、介绍信、经办人身份证复印件发送至代理机构邮箱）。</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Theme="minorEastAsia" w:hAnsiTheme="minorEastAsia" w:eastAsiaTheme="minorEastAsia"/>
          <w:color w:val="000000"/>
          <w:sz w:val="24"/>
          <w:szCs w:val="28"/>
          <w:highlight w:val="none"/>
        </w:rPr>
      </w:pPr>
      <w:r>
        <w:rPr>
          <w:rFonts w:hint="eastAsia" w:asciiTheme="minorEastAsia" w:hAnsiTheme="minorEastAsia" w:eastAsiaTheme="minorEastAsia"/>
          <w:b/>
          <w:color w:val="000000"/>
          <w:sz w:val="24"/>
          <w:szCs w:val="28"/>
          <w:highlight w:val="none"/>
        </w:rPr>
        <w:t>八、递交响应文件</w:t>
      </w:r>
      <w:r>
        <w:rPr>
          <w:rFonts w:hint="eastAsia" w:asciiTheme="minorEastAsia" w:hAnsiTheme="minorEastAsia" w:eastAsiaTheme="minorEastAsia"/>
          <w:b/>
          <w:color w:val="000000"/>
          <w:sz w:val="24"/>
          <w:highlight w:val="none"/>
        </w:rPr>
        <w:t>截止时间：</w:t>
      </w:r>
      <w:r>
        <w:rPr>
          <w:rFonts w:hint="eastAsia" w:asciiTheme="minorEastAsia" w:hAnsiTheme="minorEastAsia" w:eastAsiaTheme="minorEastAsia"/>
          <w:bCs/>
          <w:color w:val="000000"/>
          <w:sz w:val="24"/>
          <w:highlight w:val="none"/>
        </w:rPr>
        <w:t>202</w:t>
      </w:r>
      <w:r>
        <w:rPr>
          <w:rFonts w:hint="eastAsia" w:asciiTheme="minorEastAsia" w:hAnsiTheme="minorEastAsia" w:eastAsiaTheme="minorEastAsia"/>
          <w:bCs/>
          <w:color w:val="000000"/>
          <w:sz w:val="24"/>
          <w:highlight w:val="none"/>
          <w:lang w:val="en-US" w:eastAsia="zh-CN"/>
        </w:rPr>
        <w:t>1</w:t>
      </w:r>
      <w:r>
        <w:rPr>
          <w:rFonts w:hint="eastAsia" w:asciiTheme="minorEastAsia" w:hAnsiTheme="minorEastAsia" w:eastAsiaTheme="minorEastAsia"/>
          <w:bCs/>
          <w:color w:val="000000"/>
          <w:sz w:val="24"/>
          <w:highlight w:val="none"/>
        </w:rPr>
        <w:t>年</w:t>
      </w:r>
      <w:r>
        <w:rPr>
          <w:rFonts w:hint="eastAsia" w:asciiTheme="minorEastAsia" w:hAnsiTheme="minorEastAsia" w:eastAsiaTheme="minorEastAsia"/>
          <w:bCs/>
          <w:color w:val="000000"/>
          <w:sz w:val="24"/>
          <w:highlight w:val="none"/>
          <w:lang w:val="en-US" w:eastAsia="zh-CN"/>
        </w:rPr>
        <w:t>6</w:t>
      </w:r>
      <w:r>
        <w:rPr>
          <w:rFonts w:hint="eastAsia" w:asciiTheme="minorEastAsia" w:hAnsiTheme="minorEastAsia" w:eastAsiaTheme="minorEastAsia"/>
          <w:bCs/>
          <w:color w:val="000000"/>
          <w:sz w:val="24"/>
          <w:highlight w:val="none"/>
        </w:rPr>
        <w:t>月</w:t>
      </w:r>
      <w:r>
        <w:rPr>
          <w:rFonts w:hint="eastAsia" w:asciiTheme="minorEastAsia" w:hAnsiTheme="minorEastAsia" w:eastAsiaTheme="minorEastAsia"/>
          <w:bCs/>
          <w:color w:val="000000"/>
          <w:sz w:val="24"/>
          <w:highlight w:val="none"/>
          <w:lang w:val="en-US" w:eastAsia="zh-CN"/>
        </w:rPr>
        <w:t xml:space="preserve">15 </w:t>
      </w:r>
      <w:r>
        <w:rPr>
          <w:rFonts w:hint="eastAsia" w:asciiTheme="minorEastAsia" w:hAnsiTheme="minorEastAsia" w:eastAsiaTheme="minorEastAsia"/>
          <w:bCs/>
          <w:color w:val="000000"/>
          <w:sz w:val="24"/>
          <w:highlight w:val="none"/>
        </w:rPr>
        <w:t>日</w:t>
      </w:r>
      <w:r>
        <w:rPr>
          <w:rFonts w:asciiTheme="minorEastAsia" w:hAnsiTheme="minorEastAsia" w:eastAsiaTheme="minorEastAsia"/>
          <w:bCs/>
          <w:color w:val="000000"/>
          <w:sz w:val="24"/>
          <w:highlight w:val="none"/>
        </w:rPr>
        <w:t>1</w:t>
      </w:r>
      <w:r>
        <w:rPr>
          <w:rFonts w:hint="eastAsia" w:asciiTheme="minorEastAsia" w:hAnsiTheme="minorEastAsia" w:eastAsiaTheme="minorEastAsia"/>
          <w:bCs/>
          <w:color w:val="000000"/>
          <w:sz w:val="24"/>
          <w:highlight w:val="none"/>
        </w:rPr>
        <w:t>0</w:t>
      </w:r>
      <w:r>
        <w:rPr>
          <w:rFonts w:asciiTheme="minorEastAsia" w:hAnsiTheme="minorEastAsia" w:eastAsiaTheme="minorEastAsia"/>
          <w:bCs/>
          <w:color w:val="000000"/>
          <w:sz w:val="24"/>
          <w:highlight w:val="none"/>
        </w:rPr>
        <w:t>:0</w:t>
      </w:r>
      <w:r>
        <w:rPr>
          <w:rFonts w:hint="eastAsia" w:asciiTheme="minorEastAsia" w:hAnsiTheme="minorEastAsia" w:eastAsiaTheme="minorEastAsia"/>
          <w:bCs/>
          <w:color w:val="000000"/>
          <w:sz w:val="24"/>
          <w:highlight w:val="none"/>
        </w:rPr>
        <w:t>0</w:t>
      </w:r>
      <w:r>
        <w:rPr>
          <w:rFonts w:asciiTheme="minorEastAsia" w:hAnsiTheme="minorEastAsia" w:eastAsiaTheme="minorEastAsia"/>
          <w:color w:val="000000"/>
          <w:sz w:val="24"/>
          <w:szCs w:val="28"/>
          <w:highlight w:val="none"/>
        </w:rPr>
        <w:t>（北京时间）</w:t>
      </w:r>
      <w:r>
        <w:rPr>
          <w:rFonts w:hint="eastAsia" w:asciiTheme="minorEastAsia" w:hAnsiTheme="minorEastAsia" w:eastAsiaTheme="minorEastAsia"/>
          <w:color w:val="000000"/>
          <w:sz w:val="24"/>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Theme="minorEastAsia" w:hAnsiTheme="minorEastAsia" w:eastAsiaTheme="minorEastAsia"/>
          <w:color w:val="000000"/>
          <w:sz w:val="24"/>
          <w:szCs w:val="28"/>
          <w:highlight w:val="none"/>
        </w:rPr>
      </w:pPr>
      <w:r>
        <w:rPr>
          <w:rFonts w:hint="eastAsia" w:asciiTheme="minorEastAsia" w:hAnsiTheme="minorEastAsia" w:eastAsiaTheme="minorEastAsia"/>
          <w:b/>
          <w:color w:val="000000"/>
          <w:sz w:val="24"/>
          <w:szCs w:val="28"/>
          <w:highlight w:val="none"/>
        </w:rPr>
        <w:t>九</w:t>
      </w:r>
      <w:r>
        <w:rPr>
          <w:rFonts w:hint="eastAsia" w:asciiTheme="minorEastAsia" w:hAnsiTheme="minorEastAsia" w:eastAsiaTheme="minorEastAsia"/>
          <w:b/>
          <w:color w:val="000000"/>
          <w:sz w:val="24"/>
          <w:highlight w:val="none"/>
        </w:rPr>
        <w:t>、递交响应文件地点：</w:t>
      </w:r>
      <w:r>
        <w:rPr>
          <w:rFonts w:hint="eastAsia" w:asciiTheme="minorEastAsia" w:hAnsiTheme="minorEastAsia" w:eastAsiaTheme="minorEastAsia"/>
          <w:sz w:val="24"/>
          <w:highlight w:val="none"/>
        </w:rPr>
        <w:t>响应文件必须在递交响应文件截止时间前送达磋商地点。逾期送达、密封和标注错误的响应文件，</w:t>
      </w:r>
      <w:r>
        <w:rPr>
          <w:rFonts w:hint="eastAsia" w:asciiTheme="minorEastAsia" w:hAnsiTheme="minorEastAsia" w:eastAsiaTheme="minorEastAsia"/>
          <w:color w:val="000000"/>
          <w:sz w:val="24"/>
          <w:highlight w:val="none"/>
        </w:rPr>
        <w:t>采购代理机构</w:t>
      </w:r>
      <w:r>
        <w:rPr>
          <w:rFonts w:hint="eastAsia" w:asciiTheme="minorEastAsia" w:hAnsiTheme="minorEastAsia" w:eastAsiaTheme="minorEastAsia"/>
          <w:sz w:val="24"/>
          <w:highlight w:val="none"/>
        </w:rPr>
        <w:t>恕不接收。本次采购不接收邮寄的响应文件。</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Theme="minorEastAsia" w:hAnsiTheme="minorEastAsia" w:eastAsiaTheme="minorEastAsia"/>
          <w:color w:val="000000"/>
          <w:sz w:val="24"/>
          <w:szCs w:val="28"/>
          <w:highlight w:val="none"/>
        </w:rPr>
      </w:pPr>
      <w:r>
        <w:rPr>
          <w:rFonts w:hint="eastAsia" w:asciiTheme="minorEastAsia" w:hAnsiTheme="minorEastAsia" w:eastAsiaTheme="minorEastAsia"/>
          <w:b/>
          <w:color w:val="000000"/>
          <w:sz w:val="24"/>
          <w:szCs w:val="28"/>
          <w:highlight w:val="none"/>
        </w:rPr>
        <w:t>十、响应文件开启时间：</w:t>
      </w:r>
      <w:r>
        <w:rPr>
          <w:rFonts w:hint="eastAsia" w:asciiTheme="minorEastAsia" w:hAnsiTheme="minorEastAsia" w:eastAsiaTheme="minorEastAsia"/>
          <w:bCs/>
          <w:color w:val="000000"/>
          <w:sz w:val="24"/>
          <w:highlight w:val="none"/>
        </w:rPr>
        <w:t>202</w:t>
      </w:r>
      <w:r>
        <w:rPr>
          <w:rFonts w:hint="eastAsia" w:asciiTheme="minorEastAsia" w:hAnsiTheme="minorEastAsia" w:eastAsiaTheme="minorEastAsia"/>
          <w:bCs/>
          <w:color w:val="000000"/>
          <w:sz w:val="24"/>
          <w:highlight w:val="none"/>
          <w:lang w:val="en-US" w:eastAsia="zh-CN"/>
        </w:rPr>
        <w:t>1</w:t>
      </w:r>
      <w:r>
        <w:rPr>
          <w:rFonts w:hint="eastAsia" w:asciiTheme="minorEastAsia" w:hAnsiTheme="minorEastAsia" w:eastAsiaTheme="minorEastAsia"/>
          <w:bCs/>
          <w:color w:val="000000"/>
          <w:sz w:val="24"/>
          <w:highlight w:val="none"/>
        </w:rPr>
        <w:t>年</w:t>
      </w:r>
      <w:r>
        <w:rPr>
          <w:rFonts w:hint="eastAsia" w:asciiTheme="minorEastAsia" w:hAnsiTheme="minorEastAsia" w:eastAsiaTheme="minorEastAsia"/>
          <w:bCs/>
          <w:color w:val="000000"/>
          <w:sz w:val="24"/>
          <w:highlight w:val="none"/>
          <w:lang w:val="en-US" w:eastAsia="zh-CN"/>
        </w:rPr>
        <w:t>6</w:t>
      </w:r>
      <w:r>
        <w:rPr>
          <w:rFonts w:hint="eastAsia" w:asciiTheme="minorEastAsia" w:hAnsiTheme="minorEastAsia" w:eastAsiaTheme="minorEastAsia"/>
          <w:bCs/>
          <w:color w:val="000000"/>
          <w:sz w:val="24"/>
          <w:highlight w:val="none"/>
        </w:rPr>
        <w:t>月</w:t>
      </w:r>
      <w:r>
        <w:rPr>
          <w:rFonts w:hint="eastAsia" w:asciiTheme="minorEastAsia" w:hAnsiTheme="minorEastAsia" w:eastAsiaTheme="minorEastAsia"/>
          <w:bCs/>
          <w:color w:val="000000"/>
          <w:sz w:val="24"/>
          <w:highlight w:val="none"/>
          <w:lang w:val="en-US" w:eastAsia="zh-CN"/>
        </w:rPr>
        <w:t>15</w:t>
      </w:r>
      <w:r>
        <w:rPr>
          <w:rFonts w:hint="eastAsia" w:asciiTheme="minorEastAsia" w:hAnsiTheme="minorEastAsia" w:eastAsiaTheme="minorEastAsia"/>
          <w:bCs/>
          <w:color w:val="000000"/>
          <w:sz w:val="24"/>
          <w:highlight w:val="none"/>
        </w:rPr>
        <w:t>日10:</w:t>
      </w:r>
      <w:r>
        <w:rPr>
          <w:rFonts w:asciiTheme="minorEastAsia" w:hAnsiTheme="minorEastAsia" w:eastAsiaTheme="minorEastAsia"/>
          <w:bCs/>
          <w:color w:val="000000"/>
          <w:sz w:val="24"/>
          <w:highlight w:val="none"/>
        </w:rPr>
        <w:t>0</w:t>
      </w:r>
      <w:r>
        <w:rPr>
          <w:rFonts w:hint="eastAsia" w:asciiTheme="minorEastAsia" w:hAnsiTheme="minorEastAsia" w:eastAsiaTheme="minorEastAsia"/>
          <w:bCs/>
          <w:color w:val="000000"/>
          <w:sz w:val="24"/>
          <w:highlight w:val="none"/>
        </w:rPr>
        <w:t>0</w:t>
      </w:r>
      <w:r>
        <w:rPr>
          <w:rFonts w:asciiTheme="minorEastAsia" w:hAnsiTheme="minorEastAsia" w:eastAsiaTheme="minorEastAsia"/>
          <w:color w:val="000000"/>
          <w:sz w:val="24"/>
          <w:szCs w:val="28"/>
          <w:highlight w:val="none"/>
        </w:rPr>
        <w:t>（北京时间）</w:t>
      </w:r>
      <w:r>
        <w:rPr>
          <w:rFonts w:hint="eastAsia" w:asciiTheme="minorEastAsia" w:hAnsiTheme="minorEastAsia" w:eastAsiaTheme="minorEastAsia"/>
          <w:color w:val="000000"/>
          <w:sz w:val="24"/>
          <w:szCs w:val="28"/>
          <w:highlight w:val="none"/>
        </w:rPr>
        <w:t>在磋商地点开启。</w:t>
      </w:r>
    </w:p>
    <w:p>
      <w:pPr>
        <w:keepNext w:val="0"/>
        <w:keepLines w:val="0"/>
        <w:pageBreakBefore w:val="0"/>
        <w:widowControl w:val="0"/>
        <w:kinsoku/>
        <w:wordWrap/>
        <w:overflowPunct/>
        <w:topLinePunct w:val="0"/>
        <w:autoSpaceDE/>
        <w:autoSpaceDN/>
        <w:bidi w:val="0"/>
        <w:adjustRightInd/>
        <w:snapToGrid/>
        <w:spacing w:line="360" w:lineRule="exact"/>
        <w:ind w:firstLine="489" w:firstLineChars="203"/>
        <w:textAlignment w:val="auto"/>
        <w:rPr>
          <w:rFonts w:asciiTheme="minorEastAsia" w:hAnsiTheme="minorEastAsia" w:eastAsiaTheme="minorEastAsia"/>
          <w:color w:val="000000"/>
          <w:sz w:val="24"/>
          <w:szCs w:val="28"/>
          <w:highlight w:val="none"/>
        </w:rPr>
      </w:pPr>
      <w:r>
        <w:rPr>
          <w:rFonts w:hint="eastAsia" w:asciiTheme="minorEastAsia" w:hAnsiTheme="minorEastAsia" w:eastAsiaTheme="minorEastAsia"/>
          <w:b/>
          <w:color w:val="000000"/>
          <w:sz w:val="24"/>
          <w:szCs w:val="28"/>
          <w:highlight w:val="none"/>
        </w:rPr>
        <w:t>十一、磋商</w:t>
      </w:r>
      <w:r>
        <w:rPr>
          <w:rFonts w:asciiTheme="minorEastAsia" w:hAnsiTheme="minorEastAsia" w:eastAsiaTheme="minorEastAsia"/>
          <w:b/>
          <w:color w:val="000000"/>
          <w:sz w:val="24"/>
          <w:szCs w:val="28"/>
          <w:highlight w:val="none"/>
        </w:rPr>
        <w:t>地点：</w:t>
      </w:r>
      <w:r>
        <w:rPr>
          <w:rFonts w:hint="eastAsia" w:cs="Tahoma"/>
          <w:color w:val="000000"/>
          <w:sz w:val="24"/>
          <w:highlight w:val="none"/>
          <w:u w:val="single"/>
        </w:rPr>
        <w:t>成都市青羊区光华东三路489号西环广场2栋10楼（四川达通工程管理咨询有限公司）</w:t>
      </w:r>
      <w:r>
        <w:rPr>
          <w:rFonts w:hint="eastAsia" w:asciiTheme="minorEastAsia" w:hAnsiTheme="minorEastAsia" w:eastAsiaTheme="minorEastAsia"/>
          <w:color w:val="000000"/>
          <w:sz w:val="24"/>
          <w:szCs w:val="28"/>
          <w:highlight w:val="none"/>
          <w:u w:val="single"/>
        </w:rPr>
        <w:t>。</w:t>
      </w:r>
    </w:p>
    <w:p>
      <w:pPr>
        <w:pStyle w:val="2"/>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十二、联系方式</w:t>
      </w:r>
    </w:p>
    <w:p>
      <w:pPr>
        <w:pStyle w:val="2"/>
        <w:keepNext w:val="0"/>
        <w:keepLines w:val="0"/>
        <w:pageBreakBefore w:val="0"/>
        <w:widowControl w:val="0"/>
        <w:kinsoku/>
        <w:wordWrap/>
        <w:overflowPunct/>
        <w:topLinePunct w:val="0"/>
        <w:autoSpaceDE/>
        <w:autoSpaceDN/>
        <w:bidi w:val="0"/>
        <w:adjustRightInd/>
        <w:snapToGrid/>
        <w:spacing w:line="360" w:lineRule="exact"/>
        <w:ind w:firstLine="954" w:firstLineChars="396"/>
        <w:textAlignment w:val="auto"/>
        <w:rPr>
          <w:rFonts w:hint="eastAsia" w:asciiTheme="minorEastAsia" w:hAnsiTheme="minorEastAsia" w:eastAsiaTheme="minorEastAsia"/>
          <w:b/>
          <w:color w:val="000000"/>
          <w:sz w:val="24"/>
          <w:highlight w:val="none"/>
        </w:rPr>
      </w:pPr>
      <w:r>
        <w:rPr>
          <w:rFonts w:hint="eastAsia" w:asciiTheme="minorEastAsia" w:hAnsiTheme="minorEastAsia" w:eastAsiaTheme="minorEastAsia"/>
          <w:b/>
          <w:color w:val="000000"/>
          <w:sz w:val="24"/>
          <w:highlight w:val="none"/>
        </w:rPr>
        <w:t xml:space="preserve">  采购人：</w:t>
      </w:r>
      <w:r>
        <w:rPr>
          <w:rFonts w:hint="eastAsia" w:asciiTheme="minorEastAsia" w:hAnsiTheme="minorEastAsia" w:eastAsiaTheme="minorEastAsia"/>
          <w:b/>
          <w:bCs/>
          <w:color w:val="000000"/>
          <w:sz w:val="24"/>
          <w:highlight w:val="none"/>
        </w:rPr>
        <w:t xml:space="preserve"> </w:t>
      </w:r>
      <w:r>
        <w:rPr>
          <w:rFonts w:hint="eastAsia" w:asciiTheme="minorEastAsia" w:hAnsiTheme="minorEastAsia" w:eastAsiaTheme="minorEastAsia"/>
          <w:b/>
          <w:color w:val="000000"/>
          <w:sz w:val="24"/>
          <w:highlight w:val="none"/>
          <w:lang w:eastAsia="zh-CN"/>
        </w:rPr>
        <w:t>成都东部新区草池街道办事处</w:t>
      </w:r>
    </w:p>
    <w:p>
      <w:pPr>
        <w:pStyle w:val="2"/>
        <w:keepNext w:val="0"/>
        <w:keepLines w:val="0"/>
        <w:pageBreakBefore w:val="0"/>
        <w:widowControl w:val="0"/>
        <w:kinsoku/>
        <w:wordWrap/>
        <w:overflowPunct/>
        <w:topLinePunct w:val="0"/>
        <w:autoSpaceDE/>
        <w:autoSpaceDN/>
        <w:bidi w:val="0"/>
        <w:adjustRightInd/>
        <w:snapToGrid/>
        <w:spacing w:line="360" w:lineRule="exact"/>
        <w:ind w:firstLine="1200" w:firstLineChars="500"/>
        <w:textAlignment w:val="auto"/>
        <w:rPr>
          <w:rFonts w:hint="eastAsia" w:cs="Times New Roman" w:asciiTheme="minorEastAsia" w:hAnsiTheme="minorEastAsia" w:eastAsiaTheme="minorEastAsia"/>
          <w:bCs/>
          <w:color w:val="000000"/>
          <w:sz w:val="24"/>
          <w:highlight w:val="none"/>
        </w:rPr>
      </w:pPr>
      <w:r>
        <w:rPr>
          <w:rFonts w:hint="eastAsia" w:asciiTheme="minorEastAsia" w:hAnsiTheme="minorEastAsia" w:eastAsiaTheme="minorEastAsia"/>
          <w:bCs/>
          <w:color w:val="000000"/>
          <w:sz w:val="24"/>
          <w:highlight w:val="none"/>
        </w:rPr>
        <w:t>地    址：</w:t>
      </w:r>
      <w:r>
        <w:rPr>
          <w:rFonts w:ascii="宋体" w:hAnsi="宋体" w:eastAsia="宋体" w:cs="宋体"/>
          <w:sz w:val="24"/>
          <w:szCs w:val="24"/>
          <w:highlight w:val="none"/>
        </w:rPr>
        <w:t>成都东部新区草池街道绛溪街116号</w:t>
      </w:r>
    </w:p>
    <w:p>
      <w:pPr>
        <w:pStyle w:val="2"/>
        <w:keepNext w:val="0"/>
        <w:keepLines w:val="0"/>
        <w:pageBreakBefore w:val="0"/>
        <w:widowControl w:val="0"/>
        <w:kinsoku/>
        <w:wordWrap/>
        <w:overflowPunct/>
        <w:topLinePunct w:val="0"/>
        <w:autoSpaceDE/>
        <w:autoSpaceDN/>
        <w:bidi w:val="0"/>
        <w:adjustRightInd/>
        <w:snapToGrid/>
        <w:spacing w:line="360" w:lineRule="exact"/>
        <w:ind w:firstLine="1200" w:firstLineChars="500"/>
        <w:textAlignment w:val="auto"/>
        <w:rPr>
          <w:rFonts w:asciiTheme="minorEastAsia" w:hAnsiTheme="minorEastAsia" w:eastAsiaTheme="minorEastAsia"/>
          <w:bCs/>
          <w:color w:val="000000"/>
          <w:sz w:val="24"/>
          <w:highlight w:val="none"/>
        </w:rPr>
      </w:pPr>
      <w:r>
        <w:rPr>
          <w:rFonts w:hint="eastAsia" w:asciiTheme="minorEastAsia" w:hAnsiTheme="minorEastAsia" w:eastAsiaTheme="minorEastAsia"/>
          <w:bCs/>
          <w:color w:val="000000"/>
          <w:sz w:val="24"/>
          <w:highlight w:val="none"/>
        </w:rPr>
        <w:t>联 系 人：</w:t>
      </w:r>
      <w:r>
        <w:rPr>
          <w:rFonts w:hint="eastAsia" w:hAnsi="宋体"/>
          <w:color w:val="000000"/>
          <w:sz w:val="24"/>
          <w:szCs w:val="22"/>
          <w:highlight w:val="none"/>
          <w:lang w:eastAsia="zh-CN"/>
        </w:rPr>
        <w:t>周</w:t>
      </w:r>
      <w:r>
        <w:rPr>
          <w:rFonts w:hint="eastAsia" w:hAnsi="宋体"/>
          <w:color w:val="000000"/>
          <w:sz w:val="24"/>
          <w:szCs w:val="22"/>
          <w:highlight w:val="none"/>
        </w:rPr>
        <w:t>老师</w:t>
      </w:r>
    </w:p>
    <w:p>
      <w:pPr>
        <w:pStyle w:val="2"/>
        <w:keepNext w:val="0"/>
        <w:keepLines w:val="0"/>
        <w:pageBreakBefore w:val="0"/>
        <w:widowControl w:val="0"/>
        <w:kinsoku/>
        <w:wordWrap/>
        <w:overflowPunct/>
        <w:topLinePunct w:val="0"/>
        <w:autoSpaceDE/>
        <w:autoSpaceDN/>
        <w:bidi w:val="0"/>
        <w:adjustRightInd/>
        <w:snapToGrid/>
        <w:spacing w:line="360" w:lineRule="exact"/>
        <w:ind w:firstLine="1200" w:firstLineChars="500"/>
        <w:textAlignment w:val="auto"/>
        <w:rPr>
          <w:rFonts w:asciiTheme="minorEastAsia" w:hAnsiTheme="minorEastAsia" w:eastAsiaTheme="minorEastAsia"/>
          <w:color w:val="000000"/>
          <w:sz w:val="24"/>
          <w:highlight w:val="none"/>
        </w:rPr>
      </w:pPr>
      <w:r>
        <w:rPr>
          <w:rFonts w:hint="eastAsia" w:asciiTheme="minorEastAsia" w:hAnsiTheme="minorEastAsia" w:eastAsiaTheme="minorEastAsia"/>
          <w:bCs/>
          <w:color w:val="000000"/>
          <w:sz w:val="24"/>
          <w:highlight w:val="none"/>
        </w:rPr>
        <w:t>联系电话：</w:t>
      </w:r>
      <w:r>
        <w:rPr>
          <w:rFonts w:ascii="宋体" w:hAnsi="宋体" w:eastAsia="宋体" w:cs="宋体"/>
          <w:color w:val="000000"/>
          <w:sz w:val="24"/>
          <w:szCs w:val="24"/>
          <w:highlight w:val="none"/>
        </w:rPr>
        <w:t>028-27233758</w:t>
      </w:r>
    </w:p>
    <w:p>
      <w:pPr>
        <w:pStyle w:val="38"/>
        <w:keepNext w:val="0"/>
        <w:keepLines w:val="0"/>
        <w:pageBreakBefore w:val="0"/>
        <w:widowControl w:val="0"/>
        <w:kinsoku/>
        <w:wordWrap/>
        <w:overflowPunct/>
        <w:topLinePunct w:val="0"/>
        <w:autoSpaceDE/>
        <w:autoSpaceDN/>
        <w:bidi w:val="0"/>
        <w:adjustRightInd/>
        <w:snapToGrid/>
        <w:spacing w:line="360" w:lineRule="exact"/>
        <w:ind w:firstLine="894" w:firstLineChars="371"/>
        <w:textAlignment w:val="auto"/>
        <w:rPr>
          <w:b/>
          <w:sz w:val="24"/>
          <w:highlight w:val="none"/>
        </w:rPr>
      </w:pPr>
      <w:r>
        <w:rPr>
          <w:rFonts w:hint="eastAsia"/>
          <w:b/>
          <w:sz w:val="24"/>
          <w:highlight w:val="none"/>
        </w:rPr>
        <w:t>采购代理机构：</w:t>
      </w:r>
      <w:r>
        <w:rPr>
          <w:rFonts w:hint="eastAsia" w:ascii="宋体" w:hAnsi="宋体" w:cs="宋体"/>
          <w:b/>
          <w:color w:val="000000"/>
          <w:sz w:val="24"/>
          <w:highlight w:val="none"/>
        </w:rPr>
        <w:t>四川达通工程管理咨询有限公司</w:t>
      </w:r>
    </w:p>
    <w:p>
      <w:pPr>
        <w:pStyle w:val="38"/>
        <w:keepNext w:val="0"/>
        <w:keepLines w:val="0"/>
        <w:pageBreakBefore w:val="0"/>
        <w:widowControl w:val="0"/>
        <w:kinsoku/>
        <w:wordWrap/>
        <w:overflowPunct/>
        <w:topLinePunct w:val="0"/>
        <w:autoSpaceDE/>
        <w:autoSpaceDN/>
        <w:bidi w:val="0"/>
        <w:adjustRightInd/>
        <w:snapToGrid/>
        <w:spacing w:line="360" w:lineRule="exact"/>
        <w:ind w:firstLine="1200" w:firstLineChars="500"/>
        <w:textAlignment w:val="auto"/>
        <w:rPr>
          <w:rFonts w:ascii="宋体"/>
          <w:bCs/>
          <w:sz w:val="24"/>
          <w:highlight w:val="none"/>
        </w:rPr>
      </w:pPr>
      <w:r>
        <w:rPr>
          <w:rFonts w:hint="eastAsia" w:ascii="宋体"/>
          <w:bCs/>
          <w:sz w:val="24"/>
          <w:highlight w:val="none"/>
        </w:rPr>
        <w:t>地    址： 成都市青羊区光华东三路489号西环广场2栋10楼</w:t>
      </w:r>
    </w:p>
    <w:p>
      <w:pPr>
        <w:pStyle w:val="38"/>
        <w:keepNext w:val="0"/>
        <w:keepLines w:val="0"/>
        <w:pageBreakBefore w:val="0"/>
        <w:widowControl w:val="0"/>
        <w:kinsoku/>
        <w:wordWrap/>
        <w:overflowPunct/>
        <w:topLinePunct w:val="0"/>
        <w:autoSpaceDE/>
        <w:autoSpaceDN/>
        <w:bidi w:val="0"/>
        <w:adjustRightInd/>
        <w:snapToGrid/>
        <w:spacing w:line="360" w:lineRule="exact"/>
        <w:ind w:firstLine="1200" w:firstLineChars="500"/>
        <w:textAlignment w:val="auto"/>
        <w:rPr>
          <w:rFonts w:ascii="宋体"/>
          <w:bCs/>
          <w:sz w:val="24"/>
          <w:highlight w:val="none"/>
        </w:rPr>
      </w:pPr>
      <w:r>
        <w:rPr>
          <w:rFonts w:hint="eastAsia" w:ascii="宋体"/>
          <w:bCs/>
          <w:sz w:val="24"/>
          <w:highlight w:val="none"/>
        </w:rPr>
        <w:t>联 系 人： 朱女士</w:t>
      </w:r>
    </w:p>
    <w:p>
      <w:pPr>
        <w:keepNext w:val="0"/>
        <w:keepLines w:val="0"/>
        <w:pageBreakBefore w:val="0"/>
        <w:widowControl w:val="0"/>
        <w:tabs>
          <w:tab w:val="left" w:pos="2310"/>
        </w:tabs>
        <w:kinsoku/>
        <w:wordWrap/>
        <w:overflowPunct/>
        <w:topLinePunct w:val="0"/>
        <w:autoSpaceDE/>
        <w:autoSpaceDN/>
        <w:bidi w:val="0"/>
        <w:adjustRightInd/>
        <w:snapToGrid/>
        <w:spacing w:line="360" w:lineRule="exact"/>
        <w:ind w:right="420" w:rightChars="200" w:firstLine="1200" w:firstLineChars="500"/>
        <w:textAlignment w:val="auto"/>
        <w:rPr>
          <w:rFonts w:asciiTheme="minorEastAsia" w:hAnsiTheme="minorEastAsia" w:eastAsiaTheme="minorEastAsia"/>
          <w:color w:val="000000"/>
          <w:sz w:val="24"/>
          <w:highlight w:val="none"/>
        </w:rPr>
      </w:pPr>
      <w:r>
        <w:rPr>
          <w:rFonts w:hint="eastAsia" w:ascii="宋体"/>
          <w:bCs/>
          <w:sz w:val="24"/>
          <w:highlight w:val="none"/>
        </w:rPr>
        <w:t>联系电话：028-86983086</w:t>
      </w:r>
    </w:p>
    <w:p>
      <w:pPr>
        <w:pStyle w:val="3"/>
        <w:pageBreakBefore/>
        <w:numPr>
          <w:ilvl w:val="0"/>
          <w:numId w:val="1"/>
        </w:numPr>
        <w:spacing w:before="0" w:after="20" w:line="360" w:lineRule="auto"/>
        <w:jc w:val="center"/>
        <w:rPr>
          <w:color w:val="000000"/>
          <w:sz w:val="36"/>
          <w:szCs w:val="36"/>
          <w:highlight w:val="none"/>
        </w:rPr>
      </w:pPr>
      <w:bookmarkStart w:id="1" w:name="_Toc217446031"/>
      <w:bookmarkStart w:id="2" w:name="_Toc533424972"/>
      <w:bookmarkStart w:id="3" w:name="_Toc213397009"/>
      <w:bookmarkStart w:id="4" w:name="_Toc213396945"/>
      <w:bookmarkStart w:id="5" w:name="_Toc213396759"/>
      <w:bookmarkStart w:id="6" w:name="_Toc213496267"/>
      <w:r>
        <w:rPr>
          <w:rFonts w:hint="eastAsia"/>
          <w:color w:val="000000"/>
          <w:sz w:val="36"/>
          <w:szCs w:val="36"/>
          <w:highlight w:val="none"/>
        </w:rPr>
        <w:t>磋商须知</w:t>
      </w:r>
      <w:bookmarkEnd w:id="1"/>
      <w:bookmarkEnd w:id="2"/>
      <w:bookmarkEnd w:id="3"/>
      <w:bookmarkEnd w:id="4"/>
      <w:bookmarkEnd w:id="5"/>
      <w:bookmarkEnd w:id="6"/>
    </w:p>
    <w:p>
      <w:pPr>
        <w:pStyle w:val="3"/>
        <w:spacing w:before="20" w:after="20" w:line="360" w:lineRule="auto"/>
        <w:jc w:val="center"/>
        <w:rPr>
          <w:color w:val="000000"/>
          <w:sz w:val="28"/>
          <w:szCs w:val="28"/>
          <w:highlight w:val="none"/>
        </w:rPr>
      </w:pPr>
      <w:r>
        <w:rPr>
          <w:rFonts w:hint="eastAsia"/>
          <w:color w:val="000000"/>
          <w:sz w:val="28"/>
          <w:szCs w:val="28"/>
          <w:highlight w:val="none"/>
        </w:rPr>
        <w:t>一、供应商须知附表</w:t>
      </w:r>
    </w:p>
    <w:tbl>
      <w:tblPr>
        <w:tblStyle w:val="27"/>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5" w:hRule="exact"/>
          <w:tblHeader/>
          <w:jc w:val="center"/>
        </w:trPr>
        <w:tc>
          <w:tcPr>
            <w:tcW w:w="1013" w:type="dxa"/>
            <w:vAlign w:val="center"/>
          </w:tcPr>
          <w:p>
            <w:pPr>
              <w:pStyle w:val="24"/>
              <w:ind w:left="9"/>
              <w:jc w:val="center"/>
              <w:rPr>
                <w:color w:val="000000"/>
                <w:sz w:val="21"/>
                <w:szCs w:val="21"/>
                <w:highlight w:val="none"/>
                <w:lang w:val="zh-CN"/>
              </w:rPr>
            </w:pPr>
            <w:r>
              <w:rPr>
                <w:rFonts w:hint="eastAsia"/>
                <w:color w:val="000000"/>
                <w:sz w:val="21"/>
                <w:szCs w:val="21"/>
                <w:highlight w:val="none"/>
                <w:lang w:val="zh-CN"/>
              </w:rPr>
              <w:t>序号</w:t>
            </w:r>
            <w:r>
              <w:rPr>
                <w:color w:val="000000"/>
                <w:sz w:val="21"/>
                <w:szCs w:val="21"/>
                <w:highlight w:val="none"/>
                <w:lang w:val="zh-CN"/>
              </w:rPr>
              <w:t xml:space="preserve"> </w:t>
            </w:r>
          </w:p>
        </w:tc>
        <w:tc>
          <w:tcPr>
            <w:tcW w:w="2409" w:type="dxa"/>
            <w:vAlign w:val="center"/>
          </w:tcPr>
          <w:p>
            <w:pPr>
              <w:pStyle w:val="24"/>
              <w:ind w:left="38"/>
              <w:jc w:val="center"/>
              <w:rPr>
                <w:color w:val="000000"/>
                <w:sz w:val="21"/>
                <w:szCs w:val="21"/>
                <w:highlight w:val="none"/>
                <w:lang w:val="zh-CN"/>
              </w:rPr>
            </w:pPr>
            <w:r>
              <w:rPr>
                <w:rFonts w:hint="eastAsia"/>
                <w:color w:val="000000"/>
                <w:sz w:val="21"/>
                <w:szCs w:val="21"/>
                <w:highlight w:val="none"/>
                <w:lang w:val="zh-CN"/>
              </w:rPr>
              <w:t>应知事项</w:t>
            </w:r>
            <w:r>
              <w:rPr>
                <w:color w:val="000000"/>
                <w:sz w:val="21"/>
                <w:szCs w:val="21"/>
                <w:highlight w:val="none"/>
                <w:lang w:val="zh-CN"/>
              </w:rPr>
              <w:t xml:space="preserve"> </w:t>
            </w:r>
          </w:p>
        </w:tc>
        <w:tc>
          <w:tcPr>
            <w:tcW w:w="6084" w:type="dxa"/>
            <w:vAlign w:val="center"/>
          </w:tcPr>
          <w:p>
            <w:pPr>
              <w:pStyle w:val="24"/>
              <w:jc w:val="center"/>
              <w:rPr>
                <w:color w:val="000000"/>
                <w:sz w:val="21"/>
                <w:szCs w:val="21"/>
                <w:highlight w:val="none"/>
                <w:lang w:val="zh-CN"/>
              </w:rPr>
            </w:pPr>
            <w:r>
              <w:rPr>
                <w:rFonts w:hint="eastAsia"/>
                <w:color w:val="000000"/>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6"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1</w:t>
            </w:r>
          </w:p>
        </w:tc>
        <w:tc>
          <w:tcPr>
            <w:tcW w:w="2409" w:type="dxa"/>
            <w:vAlign w:val="center"/>
          </w:tcPr>
          <w:p>
            <w:pPr>
              <w:pStyle w:val="24"/>
              <w:ind w:left="38"/>
              <w:jc w:val="center"/>
              <w:rPr>
                <w:color w:val="000000"/>
                <w:sz w:val="21"/>
                <w:szCs w:val="21"/>
                <w:highlight w:val="none"/>
                <w:lang w:val="zh-CN"/>
              </w:rPr>
            </w:pPr>
            <w:r>
              <w:rPr>
                <w:rFonts w:hint="eastAsia"/>
                <w:color w:val="000000"/>
                <w:sz w:val="21"/>
                <w:szCs w:val="21"/>
                <w:highlight w:val="none"/>
                <w:lang w:val="zh-CN"/>
              </w:rPr>
              <w:t>确定邀请磋商的供应商数量和方式</w:t>
            </w:r>
          </w:p>
        </w:tc>
        <w:tc>
          <w:tcPr>
            <w:tcW w:w="6084" w:type="dxa"/>
            <w:vAlign w:val="center"/>
          </w:tcPr>
          <w:p>
            <w:pPr>
              <w:pStyle w:val="24"/>
              <w:ind w:firstLine="210" w:firstLineChars="100"/>
              <w:jc w:val="both"/>
              <w:rPr>
                <w:color w:val="000000"/>
                <w:sz w:val="21"/>
                <w:szCs w:val="21"/>
                <w:highlight w:val="none"/>
                <w:lang w:val="zh-CN"/>
              </w:rPr>
            </w:pPr>
            <w:r>
              <w:rPr>
                <w:rFonts w:hint="eastAsia"/>
                <w:color w:val="000000"/>
                <w:sz w:val="21"/>
                <w:szCs w:val="21"/>
                <w:highlight w:val="none"/>
                <w:lang w:val="zh-CN"/>
              </w:rPr>
              <w:t>本次采购采取公告的方式邀请参加磋商的供应商。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2</w:t>
            </w:r>
          </w:p>
        </w:tc>
        <w:tc>
          <w:tcPr>
            <w:tcW w:w="2409" w:type="dxa"/>
            <w:vAlign w:val="center"/>
          </w:tcPr>
          <w:p>
            <w:pPr>
              <w:pStyle w:val="24"/>
              <w:ind w:left="38"/>
              <w:jc w:val="center"/>
              <w:rPr>
                <w:color w:val="000000"/>
                <w:sz w:val="21"/>
                <w:szCs w:val="21"/>
                <w:highlight w:val="none"/>
                <w:lang w:val="zh-CN"/>
              </w:rPr>
            </w:pPr>
            <w:r>
              <w:rPr>
                <w:rFonts w:hint="eastAsia"/>
                <w:color w:val="000000"/>
                <w:sz w:val="21"/>
                <w:szCs w:val="21"/>
                <w:highlight w:val="none"/>
                <w:lang w:val="zh-CN"/>
              </w:rPr>
              <w:t>采购预算（实质性要求）</w:t>
            </w:r>
          </w:p>
        </w:tc>
        <w:tc>
          <w:tcPr>
            <w:tcW w:w="6084" w:type="dxa"/>
            <w:vAlign w:val="center"/>
          </w:tcPr>
          <w:p>
            <w:pPr>
              <w:pStyle w:val="24"/>
              <w:spacing w:before="0" w:beforeAutospacing="0" w:after="0" w:afterAutospacing="0"/>
              <w:ind w:firstLine="210" w:firstLineChars="100"/>
              <w:jc w:val="both"/>
              <w:rPr>
                <w:rFonts w:hint="eastAsia" w:cs="Times New Roman"/>
                <w:color w:val="000000"/>
                <w:sz w:val="21"/>
                <w:szCs w:val="21"/>
                <w:highlight w:val="none"/>
                <w:lang w:val="zh-CN"/>
              </w:rPr>
            </w:pPr>
            <w:r>
              <w:rPr>
                <w:rFonts w:hint="eastAsia" w:cs="Times New Roman"/>
                <w:color w:val="000000"/>
                <w:sz w:val="21"/>
                <w:szCs w:val="21"/>
                <w:highlight w:val="none"/>
                <w:lang w:val="zh-CN"/>
              </w:rPr>
              <w:t>采购预算：</w:t>
            </w:r>
            <w:r>
              <w:rPr>
                <w:rFonts w:hint="eastAsia" w:cs="Times New Roman" w:asciiTheme="minorEastAsia" w:hAnsiTheme="minorEastAsia" w:eastAsiaTheme="minorEastAsia"/>
                <w:color w:val="000000"/>
                <w:sz w:val="24"/>
                <w:highlight w:val="none"/>
                <w:lang w:val="en-US" w:eastAsia="zh-CN"/>
              </w:rPr>
              <w:t>1221400</w:t>
            </w:r>
            <w:r>
              <w:rPr>
                <w:rFonts w:hint="eastAsia" w:ascii="宋体" w:hAnsi="宋体"/>
                <w:bCs/>
                <w:sz w:val="24"/>
                <w:highlight w:val="none"/>
              </w:rPr>
              <w:t>元</w:t>
            </w:r>
            <w:r>
              <w:rPr>
                <w:rFonts w:hint="eastAsia" w:cs="Times New Roman"/>
                <w:color w:val="000000"/>
                <w:sz w:val="21"/>
                <w:szCs w:val="21"/>
                <w:highlight w:val="none"/>
                <w:lang w:val="zh-CN"/>
              </w:rPr>
              <w:t>；</w:t>
            </w:r>
          </w:p>
          <w:p>
            <w:pPr>
              <w:pStyle w:val="24"/>
              <w:spacing w:before="0" w:beforeAutospacing="0" w:after="0" w:afterAutospacing="0"/>
              <w:ind w:firstLine="210" w:firstLineChars="100"/>
              <w:jc w:val="both"/>
              <w:rPr>
                <w:rFonts w:hint="eastAsia" w:cs="Times New Roman"/>
                <w:color w:val="000000"/>
                <w:sz w:val="21"/>
                <w:szCs w:val="21"/>
                <w:highlight w:val="none"/>
                <w:lang w:val="zh-CN"/>
              </w:rPr>
            </w:pPr>
            <w:r>
              <w:rPr>
                <w:rFonts w:hint="eastAsia" w:cs="Times New Roman"/>
                <w:color w:val="000000"/>
                <w:sz w:val="21"/>
                <w:szCs w:val="21"/>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4"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3</w:t>
            </w:r>
          </w:p>
        </w:tc>
        <w:tc>
          <w:tcPr>
            <w:tcW w:w="2409" w:type="dxa"/>
            <w:vAlign w:val="center"/>
          </w:tcPr>
          <w:p>
            <w:pPr>
              <w:pStyle w:val="24"/>
              <w:ind w:left="38"/>
              <w:jc w:val="center"/>
              <w:rPr>
                <w:color w:val="000000"/>
                <w:sz w:val="21"/>
                <w:szCs w:val="21"/>
                <w:highlight w:val="none"/>
                <w:lang w:val="zh-CN"/>
              </w:rPr>
            </w:pPr>
            <w:r>
              <w:rPr>
                <w:rFonts w:hint="eastAsia"/>
                <w:color w:val="000000"/>
                <w:sz w:val="21"/>
                <w:szCs w:val="21"/>
                <w:highlight w:val="none"/>
                <w:lang w:val="zh-CN"/>
              </w:rPr>
              <w:t>最高限价（实质性要求）</w:t>
            </w:r>
          </w:p>
        </w:tc>
        <w:tc>
          <w:tcPr>
            <w:tcW w:w="6084" w:type="dxa"/>
            <w:vAlign w:val="center"/>
          </w:tcPr>
          <w:p>
            <w:pPr>
              <w:pStyle w:val="24"/>
              <w:spacing w:before="0" w:beforeAutospacing="0" w:after="0" w:afterAutospacing="0"/>
              <w:ind w:firstLine="210" w:firstLineChars="100"/>
              <w:jc w:val="both"/>
              <w:rPr>
                <w:rFonts w:hint="eastAsia" w:cs="Times New Roman"/>
                <w:color w:val="000000"/>
                <w:sz w:val="21"/>
                <w:szCs w:val="21"/>
                <w:highlight w:val="none"/>
                <w:lang w:val="zh-CN"/>
              </w:rPr>
            </w:pPr>
            <w:r>
              <w:rPr>
                <w:rFonts w:hint="eastAsia" w:cs="Times New Roman"/>
                <w:color w:val="000000"/>
                <w:sz w:val="21"/>
                <w:szCs w:val="21"/>
                <w:highlight w:val="none"/>
                <w:lang w:val="zh-CN"/>
              </w:rPr>
              <w:t>最高限价：</w:t>
            </w:r>
            <w:r>
              <w:rPr>
                <w:rFonts w:hint="eastAsia" w:cs="Times New Roman" w:asciiTheme="minorEastAsia" w:hAnsiTheme="minorEastAsia" w:eastAsiaTheme="minorEastAsia"/>
                <w:color w:val="000000"/>
                <w:sz w:val="24"/>
                <w:highlight w:val="none"/>
                <w:lang w:val="en-US" w:eastAsia="zh-CN"/>
              </w:rPr>
              <w:t>1221400</w:t>
            </w:r>
            <w:r>
              <w:rPr>
                <w:rFonts w:hint="eastAsia" w:ascii="宋体" w:hAnsi="宋体"/>
                <w:bCs/>
                <w:sz w:val="24"/>
                <w:highlight w:val="none"/>
              </w:rPr>
              <w:t>元</w:t>
            </w:r>
            <w:r>
              <w:rPr>
                <w:rFonts w:hint="eastAsia" w:cs="Times New Roman"/>
                <w:color w:val="000000"/>
                <w:sz w:val="21"/>
                <w:szCs w:val="21"/>
                <w:highlight w:val="none"/>
                <w:lang w:val="zh-CN"/>
              </w:rPr>
              <w:t>；</w:t>
            </w:r>
          </w:p>
          <w:p>
            <w:pPr>
              <w:pStyle w:val="24"/>
              <w:spacing w:before="0" w:beforeAutospacing="0" w:after="0" w:afterAutospacing="0"/>
              <w:ind w:firstLine="210" w:firstLineChars="100"/>
              <w:jc w:val="both"/>
              <w:rPr>
                <w:rFonts w:hint="eastAsia" w:cs="Times New Roman"/>
                <w:color w:val="000000"/>
                <w:sz w:val="21"/>
                <w:szCs w:val="21"/>
                <w:highlight w:val="none"/>
                <w:lang w:val="zh-CN"/>
              </w:rPr>
            </w:pPr>
            <w:r>
              <w:rPr>
                <w:rFonts w:hint="eastAsia" w:cs="Times New Roman"/>
                <w:color w:val="000000"/>
                <w:sz w:val="21"/>
                <w:szCs w:val="21"/>
                <w:highlight w:val="none"/>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4</w:t>
            </w:r>
          </w:p>
        </w:tc>
        <w:tc>
          <w:tcPr>
            <w:tcW w:w="2409" w:type="dxa"/>
            <w:vAlign w:val="center"/>
          </w:tcPr>
          <w:p>
            <w:pPr>
              <w:pStyle w:val="24"/>
              <w:ind w:left="38"/>
              <w:jc w:val="center"/>
              <w:rPr>
                <w:color w:val="000000"/>
                <w:sz w:val="21"/>
                <w:szCs w:val="21"/>
                <w:highlight w:val="none"/>
                <w:lang w:val="zh-CN"/>
              </w:rPr>
            </w:pPr>
            <w:r>
              <w:rPr>
                <w:rFonts w:hint="eastAsia"/>
                <w:color w:val="000000"/>
                <w:sz w:val="21"/>
                <w:szCs w:val="21"/>
                <w:highlight w:val="none"/>
                <w:lang w:val="zh-CN"/>
              </w:rPr>
              <w:t>联合体</w:t>
            </w:r>
          </w:p>
        </w:tc>
        <w:tc>
          <w:tcPr>
            <w:tcW w:w="6084" w:type="dxa"/>
            <w:vAlign w:val="center"/>
          </w:tcPr>
          <w:p>
            <w:pPr>
              <w:pStyle w:val="24"/>
              <w:ind w:firstLine="210" w:firstLineChars="100"/>
              <w:jc w:val="both"/>
              <w:rPr>
                <w:color w:val="000000"/>
                <w:sz w:val="21"/>
                <w:szCs w:val="21"/>
                <w:highlight w:val="none"/>
                <w:lang w:val="zh-CN"/>
              </w:rPr>
            </w:pPr>
            <w:r>
              <w:rPr>
                <w:rFonts w:hint="eastAsia"/>
                <w:color w:val="000000"/>
                <w:sz w:val="21"/>
                <w:szCs w:val="21"/>
                <w:highlight w:val="none"/>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66"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5</w:t>
            </w:r>
          </w:p>
        </w:tc>
        <w:tc>
          <w:tcPr>
            <w:tcW w:w="2409" w:type="dxa"/>
            <w:vAlign w:val="center"/>
          </w:tcPr>
          <w:p>
            <w:pPr>
              <w:pStyle w:val="24"/>
              <w:ind w:left="38"/>
              <w:jc w:val="center"/>
              <w:rPr>
                <w:sz w:val="21"/>
                <w:szCs w:val="21"/>
                <w:highlight w:val="none"/>
              </w:rPr>
            </w:pPr>
            <w:r>
              <w:rPr>
                <w:rFonts w:hint="eastAsia"/>
                <w:sz w:val="21"/>
                <w:szCs w:val="21"/>
                <w:highlight w:val="none"/>
              </w:rPr>
              <w:t>低于成本价</w:t>
            </w:r>
          </w:p>
          <w:p>
            <w:pPr>
              <w:pStyle w:val="24"/>
              <w:ind w:left="38"/>
              <w:jc w:val="center"/>
              <w:rPr>
                <w:sz w:val="21"/>
                <w:szCs w:val="21"/>
                <w:highlight w:val="none"/>
              </w:rPr>
            </w:pPr>
            <w:r>
              <w:rPr>
                <w:rFonts w:hint="eastAsia"/>
                <w:sz w:val="21"/>
                <w:szCs w:val="21"/>
                <w:highlight w:val="none"/>
              </w:rPr>
              <w:t>不正当竞争预防措施</w:t>
            </w:r>
          </w:p>
          <w:p>
            <w:pPr>
              <w:pStyle w:val="24"/>
              <w:ind w:left="38"/>
              <w:jc w:val="center"/>
              <w:rPr>
                <w:sz w:val="21"/>
                <w:szCs w:val="21"/>
                <w:highlight w:val="none"/>
              </w:rPr>
            </w:pPr>
          </w:p>
        </w:tc>
        <w:tc>
          <w:tcPr>
            <w:tcW w:w="6084"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1. 在评审过程中，供应商报价有可能影响产品质量或者不能诚信履约的，磋商小组应当要求其在磋商现场合理的时间内提供书面说明，并提交相关证明材料，供应商不能证明其报价合理性的，磋商小组应当将其作为无效处理。</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 xml:space="preserve">2. 供应商书面说明应当签字确认或者加盖公章，否则无效。书面说明的签字确认，由其法定代表人或者其授权代表签字确认。 </w:t>
            </w:r>
          </w:p>
          <w:p>
            <w:pPr>
              <w:pStyle w:val="24"/>
              <w:spacing w:before="0" w:beforeAutospacing="0" w:after="0" w:afterAutospacing="0"/>
              <w:ind w:firstLine="210" w:firstLineChars="100"/>
              <w:jc w:val="both"/>
              <w:rPr>
                <w:color w:val="000000"/>
                <w:szCs w:val="21"/>
                <w:highlight w:val="none"/>
              </w:rPr>
            </w:pPr>
            <w:r>
              <w:rPr>
                <w:rFonts w:hint="eastAsia"/>
                <w:color w:val="000000"/>
                <w:sz w:val="21"/>
                <w:szCs w:val="21"/>
                <w:highlight w:val="none"/>
                <w:lang w:val="zh-CN"/>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43" w:hRule="atLeas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6</w:t>
            </w:r>
          </w:p>
          <w:p>
            <w:pPr>
              <w:pStyle w:val="24"/>
              <w:ind w:right="230"/>
              <w:jc w:val="center"/>
              <w:rPr>
                <w:rFonts w:cs="Courier New"/>
                <w:color w:val="000000"/>
                <w:sz w:val="21"/>
                <w:szCs w:val="21"/>
                <w:highlight w:val="none"/>
                <w:lang w:val="zh-CN"/>
              </w:rPr>
            </w:pPr>
          </w:p>
        </w:tc>
        <w:tc>
          <w:tcPr>
            <w:tcW w:w="2409" w:type="dxa"/>
            <w:vAlign w:val="center"/>
          </w:tcPr>
          <w:p>
            <w:pPr>
              <w:pStyle w:val="24"/>
              <w:ind w:left="38"/>
              <w:jc w:val="center"/>
              <w:rPr>
                <w:color w:val="000000"/>
                <w:sz w:val="21"/>
                <w:szCs w:val="21"/>
                <w:highlight w:val="none"/>
                <w:lang w:val="zh-CN"/>
              </w:rPr>
            </w:pPr>
            <w:r>
              <w:rPr>
                <w:rFonts w:hint="eastAsia"/>
                <w:color w:val="000000"/>
                <w:sz w:val="21"/>
                <w:szCs w:val="21"/>
                <w:highlight w:val="none"/>
                <w:lang w:val="zh-CN"/>
              </w:rPr>
              <w:t>小微企业（ 企业、残疾人福利性单位视同小微企业）价格扣除和失信企业报价加成或者扣分</w:t>
            </w:r>
          </w:p>
          <w:p>
            <w:pPr>
              <w:pStyle w:val="24"/>
              <w:ind w:left="38"/>
              <w:jc w:val="center"/>
              <w:rPr>
                <w:color w:val="000000"/>
                <w:sz w:val="21"/>
                <w:szCs w:val="21"/>
                <w:highlight w:val="none"/>
                <w:lang w:val="zh-CN"/>
              </w:rPr>
            </w:pPr>
          </w:p>
          <w:p>
            <w:pPr>
              <w:pStyle w:val="24"/>
              <w:ind w:left="38"/>
              <w:jc w:val="center"/>
              <w:rPr>
                <w:color w:val="000000"/>
                <w:sz w:val="21"/>
                <w:szCs w:val="21"/>
                <w:highlight w:val="none"/>
                <w:lang w:val="zh-CN"/>
              </w:rPr>
            </w:pPr>
          </w:p>
        </w:tc>
        <w:tc>
          <w:tcPr>
            <w:tcW w:w="6084"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一、小微企业（监狱企业、残疾人福利性单位视同小微企业）价格扣除</w:t>
            </w:r>
          </w:p>
          <w:p>
            <w:pPr>
              <w:pStyle w:val="24"/>
              <w:spacing w:before="0" w:beforeAutospacing="0" w:after="0" w:afterAutospacing="0"/>
              <w:ind w:firstLine="210" w:firstLineChars="100"/>
              <w:jc w:val="both"/>
              <w:rPr>
                <w:rFonts w:hint="eastAsia"/>
                <w:color w:val="000000"/>
                <w:sz w:val="21"/>
                <w:szCs w:val="21"/>
                <w:highlight w:val="none"/>
                <w:lang w:val="zh-CN"/>
              </w:rPr>
            </w:pPr>
            <w:r>
              <w:rPr>
                <w:rFonts w:hint="eastAsia"/>
                <w:color w:val="000000"/>
                <w:sz w:val="21"/>
                <w:szCs w:val="21"/>
                <w:highlight w:val="none"/>
                <w:lang w:val="zh-CN"/>
              </w:rPr>
              <w:t>1.根据《政府采购促进中小企业发展暂行办法》（财库〔2020〕46号）的规定，</w:t>
            </w:r>
            <w:r>
              <w:rPr>
                <w:rFonts w:hint="eastAsia"/>
                <w:color w:val="000000"/>
                <w:sz w:val="21"/>
                <w:szCs w:val="21"/>
                <w:highlight w:val="none"/>
                <w:lang w:val="en-US" w:eastAsia="zh-CN"/>
              </w:rPr>
              <w:t>本项目为专门面向中小企业采购项目，对小型和微型企业产品的价格不再进行扣除。</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2.参加政府采购活动的中小企业应当提供《中小企业声明函》原件。残疾人福利性单位应当提供《残疾人福利性单位声明函》原件。</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w:t>
            </w:r>
            <w:r>
              <w:rPr>
                <w:rFonts w:hint="eastAsia"/>
                <w:color w:val="000000"/>
                <w:sz w:val="21"/>
                <w:szCs w:val="21"/>
                <w:highlight w:val="none"/>
              </w:rPr>
              <w:t>3</w:t>
            </w:r>
            <w:r>
              <w:rPr>
                <w:rFonts w:hint="eastAsia"/>
                <w:color w:val="000000"/>
                <w:sz w:val="21"/>
                <w:szCs w:val="21"/>
                <w:highlight w:val="none"/>
                <w:lang w:val="zh-CN"/>
              </w:rPr>
              <w:t xml:space="preserve">%的价格扣除。 </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 xml:space="preserve">联合体各方均为小型、微型企业的，联合体视同为小型、微型企业享受规定的扶持政策。组成联合体的大中型企业和其他自然人、法人或者其他组织，与小型、微型企业之间不得存在投资关系。 </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二、失信企业报价加成或者扣分</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1.对记入诚信档案且在有效期内的失信供应商，</w:t>
            </w:r>
            <w:r>
              <w:rPr>
                <w:rFonts w:hint="eastAsia"/>
                <w:color w:val="000000"/>
                <w:sz w:val="21"/>
                <w:szCs w:val="21"/>
                <w:highlight w:val="none"/>
              </w:rPr>
              <w:t>在参加政府采购活动中实行直接从总分中扣除5分，且供应商失信行为惩戒实行无限制累加制，直至总分扣完为止。</w:t>
            </w:r>
          </w:p>
          <w:p>
            <w:pPr>
              <w:pStyle w:val="24"/>
              <w:spacing w:before="0" w:beforeAutospacing="0" w:after="0" w:afterAutospacing="0"/>
              <w:ind w:firstLine="210" w:firstLineChars="100"/>
              <w:jc w:val="both"/>
              <w:rPr>
                <w:color w:val="000000"/>
                <w:szCs w:val="21"/>
                <w:highlight w:val="none"/>
              </w:rPr>
            </w:pPr>
            <w:r>
              <w:rPr>
                <w:rFonts w:hint="eastAsia"/>
                <w:color w:val="000000"/>
                <w:sz w:val="21"/>
                <w:szCs w:val="21"/>
                <w:highlight w:val="none"/>
                <w:lang w:val="zh-CN"/>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8"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7</w:t>
            </w:r>
          </w:p>
        </w:tc>
        <w:tc>
          <w:tcPr>
            <w:tcW w:w="2409" w:type="dxa"/>
            <w:vAlign w:val="center"/>
          </w:tcPr>
          <w:p>
            <w:pPr>
              <w:pStyle w:val="24"/>
              <w:ind w:left="38"/>
              <w:jc w:val="center"/>
              <w:rPr>
                <w:color w:val="000000"/>
                <w:sz w:val="21"/>
                <w:szCs w:val="21"/>
                <w:highlight w:val="none"/>
                <w:lang w:val="zh-CN"/>
              </w:rPr>
            </w:pPr>
            <w:r>
              <w:rPr>
                <w:rFonts w:hint="eastAsia"/>
                <w:color w:val="000000"/>
                <w:sz w:val="21"/>
                <w:szCs w:val="21"/>
                <w:highlight w:val="none"/>
                <w:lang w:val="zh-CN"/>
              </w:rPr>
              <w:t>磋商情况公告</w:t>
            </w:r>
          </w:p>
        </w:tc>
        <w:tc>
          <w:tcPr>
            <w:tcW w:w="6084" w:type="dxa"/>
            <w:vAlign w:val="center"/>
          </w:tcPr>
          <w:p>
            <w:pPr>
              <w:pStyle w:val="24"/>
              <w:jc w:val="both"/>
              <w:rPr>
                <w:color w:val="000000"/>
                <w:sz w:val="21"/>
                <w:szCs w:val="21"/>
                <w:highlight w:val="none"/>
                <w:lang w:val="zh-CN"/>
              </w:rPr>
            </w:pPr>
            <w:r>
              <w:rPr>
                <w:rFonts w:hint="eastAsia"/>
                <w:color w:val="000000"/>
                <w:sz w:val="21"/>
                <w:szCs w:val="21"/>
                <w:highlight w:val="none"/>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rPr>
              <w:t>8</w:t>
            </w:r>
          </w:p>
        </w:tc>
        <w:tc>
          <w:tcPr>
            <w:tcW w:w="2409"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履约保证金</w:t>
            </w:r>
          </w:p>
        </w:tc>
        <w:tc>
          <w:tcPr>
            <w:tcW w:w="6084" w:type="dxa"/>
            <w:vAlign w:val="center"/>
          </w:tcPr>
          <w:p>
            <w:pPr>
              <w:pStyle w:val="24"/>
              <w:spacing w:before="0" w:beforeAutospacing="0" w:after="0" w:afterAutospacing="0"/>
              <w:jc w:val="both"/>
              <w:rPr>
                <w:rFonts w:hint="eastAsia" w:ascii="宋体" w:hAnsi="宋体" w:eastAsia="宋体"/>
                <w:color w:val="000000"/>
                <w:sz w:val="21"/>
                <w:szCs w:val="21"/>
                <w:highlight w:val="none"/>
                <w:lang w:val="zh-CN"/>
              </w:rPr>
            </w:pPr>
            <w:r>
              <w:rPr>
                <w:rFonts w:hint="eastAsia" w:ascii="宋体" w:hAnsi="宋体" w:eastAsia="宋体"/>
                <w:color w:val="000000"/>
                <w:sz w:val="21"/>
                <w:szCs w:val="21"/>
                <w:highlight w:val="none"/>
                <w:lang w:val="zh-CN"/>
              </w:rPr>
              <w:t>金额：政府采购合同金额的10%。</w:t>
            </w:r>
          </w:p>
          <w:p>
            <w:pPr>
              <w:pStyle w:val="24"/>
              <w:spacing w:before="0" w:beforeAutospacing="0" w:after="0" w:afterAutospacing="0"/>
              <w:ind w:left="630" w:hanging="630" w:hangingChars="300"/>
              <w:jc w:val="both"/>
              <w:rPr>
                <w:rFonts w:hint="eastAsia" w:ascii="宋体" w:hAnsi="宋体" w:eastAsia="宋体"/>
                <w:color w:val="000000"/>
                <w:sz w:val="21"/>
                <w:szCs w:val="21"/>
                <w:highlight w:val="none"/>
                <w:lang w:val="zh-CN"/>
              </w:rPr>
            </w:pPr>
            <w:r>
              <w:rPr>
                <w:rFonts w:hint="eastAsia" w:ascii="宋体" w:hAnsi="宋体" w:eastAsia="宋体"/>
                <w:color w:val="000000"/>
                <w:sz w:val="21"/>
                <w:szCs w:val="21"/>
                <w:highlight w:val="none"/>
                <w:lang w:val="zh-CN"/>
              </w:rPr>
              <w:t>方式：转账方式或以银行出具的银行保函提交，银行保函有效期至少覆盖服务期。</w:t>
            </w:r>
          </w:p>
          <w:p>
            <w:pPr>
              <w:pStyle w:val="24"/>
              <w:spacing w:before="0" w:beforeAutospacing="0" w:after="0" w:afterAutospacing="0"/>
              <w:jc w:val="both"/>
              <w:rPr>
                <w:rFonts w:hint="eastAsia" w:ascii="宋体" w:hAnsi="宋体" w:eastAsia="宋体"/>
                <w:color w:val="000000"/>
                <w:sz w:val="21"/>
                <w:szCs w:val="21"/>
                <w:highlight w:val="none"/>
                <w:lang w:val="zh-CN"/>
              </w:rPr>
            </w:pPr>
            <w:r>
              <w:rPr>
                <w:rFonts w:hint="eastAsia" w:ascii="宋体" w:hAnsi="宋体" w:eastAsia="宋体"/>
                <w:color w:val="000000"/>
                <w:sz w:val="21"/>
                <w:szCs w:val="21"/>
                <w:highlight w:val="none"/>
                <w:lang w:val="zh-CN"/>
              </w:rPr>
              <w:t>时间：中标、成交通知书发放后，政府采购合同签订前。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8"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rPr>
              <w:t>9</w:t>
            </w:r>
          </w:p>
        </w:tc>
        <w:tc>
          <w:tcPr>
            <w:tcW w:w="2409"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磋商文件咨询</w:t>
            </w:r>
          </w:p>
        </w:tc>
        <w:tc>
          <w:tcPr>
            <w:tcW w:w="6084"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联系人：朱女士     联系电话：028-86</w:t>
            </w:r>
            <w:r>
              <w:rPr>
                <w:rFonts w:hint="eastAsia"/>
                <w:color w:val="000000"/>
                <w:sz w:val="21"/>
                <w:szCs w:val="21"/>
                <w:highlight w:val="none"/>
              </w:rPr>
              <w:t>983086</w:t>
            </w:r>
            <w:r>
              <w:rPr>
                <w:rFonts w:hint="eastAsia"/>
                <w:color w:val="000000"/>
                <w:sz w:val="21"/>
                <w:szCs w:val="21"/>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3" w:hRule="exact"/>
          <w:jc w:val="center"/>
        </w:trPr>
        <w:tc>
          <w:tcPr>
            <w:tcW w:w="1013" w:type="dxa"/>
            <w:vAlign w:val="center"/>
          </w:tcPr>
          <w:p>
            <w:pPr>
              <w:pStyle w:val="24"/>
              <w:ind w:right="230"/>
              <w:jc w:val="center"/>
              <w:rPr>
                <w:rFonts w:cs="Courier New"/>
                <w:color w:val="000000"/>
                <w:sz w:val="21"/>
                <w:szCs w:val="21"/>
                <w:highlight w:val="none"/>
              </w:rPr>
            </w:pPr>
            <w:r>
              <w:rPr>
                <w:rFonts w:hint="eastAsia" w:cs="Courier New"/>
                <w:color w:val="000000"/>
                <w:sz w:val="21"/>
                <w:szCs w:val="21"/>
                <w:highlight w:val="none"/>
              </w:rPr>
              <w:t>10</w:t>
            </w:r>
          </w:p>
        </w:tc>
        <w:tc>
          <w:tcPr>
            <w:tcW w:w="2409" w:type="dxa"/>
            <w:vAlign w:val="center"/>
          </w:tcPr>
          <w:p>
            <w:pPr>
              <w:pStyle w:val="24"/>
              <w:spacing w:before="0" w:beforeAutospacing="0" w:after="0" w:afterAutospacing="0"/>
              <w:jc w:val="both"/>
              <w:rPr>
                <w:color w:val="000000"/>
                <w:sz w:val="21"/>
                <w:szCs w:val="21"/>
                <w:highlight w:val="none"/>
                <w:lang w:val="zh-CN"/>
              </w:rPr>
            </w:pPr>
            <w:r>
              <w:rPr>
                <w:rFonts w:hint="eastAsia"/>
                <w:color w:val="000000"/>
                <w:sz w:val="21"/>
                <w:szCs w:val="21"/>
                <w:highlight w:val="none"/>
                <w:lang w:val="zh-CN"/>
              </w:rPr>
              <w:t>磋商过程、结果工作咨询</w:t>
            </w:r>
          </w:p>
        </w:tc>
        <w:tc>
          <w:tcPr>
            <w:tcW w:w="6084"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联系人：朱女士     联系电话：028-86</w:t>
            </w:r>
            <w:r>
              <w:rPr>
                <w:rFonts w:hint="eastAsia"/>
                <w:color w:val="000000"/>
                <w:sz w:val="21"/>
                <w:szCs w:val="21"/>
                <w:highlight w:val="none"/>
              </w:rPr>
              <w:t>983086</w:t>
            </w:r>
            <w:r>
              <w:rPr>
                <w:rFonts w:hint="eastAsia"/>
                <w:color w:val="000000"/>
                <w:sz w:val="21"/>
                <w:szCs w:val="21"/>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0"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1</w:t>
            </w:r>
            <w:r>
              <w:rPr>
                <w:rFonts w:hint="eastAsia" w:cs="Courier New"/>
                <w:color w:val="000000"/>
                <w:sz w:val="21"/>
                <w:szCs w:val="21"/>
                <w:highlight w:val="none"/>
              </w:rPr>
              <w:t>1</w:t>
            </w:r>
          </w:p>
        </w:tc>
        <w:tc>
          <w:tcPr>
            <w:tcW w:w="2409"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成交通知书领取</w:t>
            </w:r>
          </w:p>
        </w:tc>
        <w:tc>
          <w:tcPr>
            <w:tcW w:w="6084"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采购结果公告在四川政府采购网上发布后，请成交供应商凭有效</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身份证明证件到采购代理机构领取成交通知书。</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联系电话：</w:t>
            </w:r>
            <w:r>
              <w:rPr>
                <w:rFonts w:hint="eastAsia"/>
                <w:color w:val="000000"/>
                <w:sz w:val="21"/>
                <w:szCs w:val="21"/>
                <w:highlight w:val="none"/>
              </w:rPr>
              <w:t>028-86983086</w:t>
            </w:r>
            <w:r>
              <w:rPr>
                <w:rFonts w:hint="eastAsia"/>
                <w:color w:val="000000"/>
                <w:sz w:val="21"/>
                <w:szCs w:val="21"/>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7" w:hRule="exact"/>
          <w:jc w:val="center"/>
        </w:trPr>
        <w:tc>
          <w:tcPr>
            <w:tcW w:w="1013" w:type="dxa"/>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1</w:t>
            </w:r>
            <w:r>
              <w:rPr>
                <w:rFonts w:hint="eastAsia" w:cs="Courier New"/>
                <w:color w:val="000000"/>
                <w:sz w:val="21"/>
                <w:szCs w:val="21"/>
                <w:highlight w:val="none"/>
              </w:rPr>
              <w:t>2</w:t>
            </w:r>
          </w:p>
        </w:tc>
        <w:tc>
          <w:tcPr>
            <w:tcW w:w="2409"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供应商询问</w:t>
            </w:r>
          </w:p>
        </w:tc>
        <w:tc>
          <w:tcPr>
            <w:tcW w:w="6084" w:type="dxa"/>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根据委托代理协议约定，供应商询问由采购代理机构负责答复。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94"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1</w:t>
            </w:r>
            <w:r>
              <w:rPr>
                <w:rFonts w:hint="eastAsia" w:cs="Courier New"/>
                <w:color w:val="000000"/>
                <w:sz w:val="21"/>
                <w:szCs w:val="21"/>
                <w:highlight w:val="none"/>
              </w:rPr>
              <w:t>3</w:t>
            </w:r>
          </w:p>
        </w:tc>
        <w:tc>
          <w:tcPr>
            <w:tcW w:w="2409" w:type="dxa"/>
            <w:tcBorders>
              <w:top w:val="single" w:color="auto" w:sz="8" w:space="0"/>
              <w:left w:val="single" w:color="auto" w:sz="8" w:space="0"/>
              <w:bottom w:val="single" w:color="auto" w:sz="8" w:space="0"/>
              <w:right w:val="single" w:color="auto" w:sz="8" w:space="0"/>
            </w:tcBorders>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供应商质疑</w:t>
            </w:r>
          </w:p>
        </w:tc>
        <w:tc>
          <w:tcPr>
            <w:tcW w:w="6084" w:type="dxa"/>
            <w:tcBorders>
              <w:top w:val="single" w:color="auto" w:sz="8" w:space="0"/>
              <w:left w:val="single" w:color="auto" w:sz="8" w:space="0"/>
              <w:bottom w:val="single" w:color="auto" w:sz="8" w:space="0"/>
              <w:right w:val="single" w:color="auto" w:sz="18" w:space="0"/>
            </w:tcBorders>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根据委托代理协议约定，对磋商文件的质疑由采购代理机构负责答复；</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对磋商过程的质疑由采购代理机构负责答复；对磋商结果的质疑由采购代理机构负责答复。</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联 系 人：朱女士</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联系电话：</w:t>
            </w:r>
            <w:r>
              <w:rPr>
                <w:rFonts w:hint="eastAsia"/>
                <w:color w:val="000000"/>
                <w:sz w:val="21"/>
                <w:szCs w:val="21"/>
                <w:highlight w:val="none"/>
              </w:rPr>
              <w:t>028-86983086</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注：根据《中华人民共和国政府采购法》的规定，供应商质疑不得超出磋商文件、磋商过程、磋商结果的范围。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8"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1</w:t>
            </w:r>
            <w:r>
              <w:rPr>
                <w:rFonts w:hint="eastAsia" w:cs="Courier New"/>
                <w:color w:val="000000"/>
                <w:sz w:val="21"/>
                <w:szCs w:val="21"/>
                <w:highlight w:val="none"/>
              </w:rPr>
              <w:t>4</w:t>
            </w:r>
          </w:p>
        </w:tc>
        <w:tc>
          <w:tcPr>
            <w:tcW w:w="2409" w:type="dxa"/>
            <w:tcBorders>
              <w:top w:val="single" w:color="auto" w:sz="8" w:space="0"/>
              <w:left w:val="single" w:color="auto" w:sz="8" w:space="0"/>
              <w:bottom w:val="single" w:color="auto" w:sz="8" w:space="0"/>
              <w:right w:val="single" w:color="auto" w:sz="8" w:space="0"/>
            </w:tcBorders>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供应商投诉</w:t>
            </w:r>
          </w:p>
        </w:tc>
        <w:tc>
          <w:tcPr>
            <w:tcW w:w="6084" w:type="dxa"/>
            <w:tcBorders>
              <w:top w:val="single" w:color="auto" w:sz="8" w:space="0"/>
              <w:left w:val="single" w:color="auto" w:sz="8" w:space="0"/>
              <w:bottom w:val="single" w:color="auto" w:sz="8" w:space="0"/>
              <w:right w:val="single" w:color="auto" w:sz="18" w:space="0"/>
            </w:tcBorders>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投诉受理单位：本项目同级财政部门。</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注：根据《中华人民共和国政府采购法实施条例》的规定，供应</w:t>
            </w:r>
          </w:p>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9"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1</w:t>
            </w:r>
            <w:r>
              <w:rPr>
                <w:rFonts w:hint="eastAsia" w:cs="Courier New"/>
                <w:color w:val="000000"/>
                <w:sz w:val="21"/>
                <w:szCs w:val="21"/>
                <w:highlight w:val="none"/>
              </w:rPr>
              <w:t>5</w:t>
            </w:r>
          </w:p>
        </w:tc>
        <w:tc>
          <w:tcPr>
            <w:tcW w:w="2409" w:type="dxa"/>
            <w:tcBorders>
              <w:top w:val="single" w:color="auto" w:sz="8" w:space="0"/>
              <w:left w:val="single" w:color="auto" w:sz="8" w:space="0"/>
              <w:bottom w:val="single" w:color="auto" w:sz="8" w:space="0"/>
              <w:right w:val="single" w:color="auto" w:sz="8" w:space="0"/>
            </w:tcBorders>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政府采购合同公告备案</w:t>
            </w:r>
          </w:p>
        </w:tc>
        <w:tc>
          <w:tcPr>
            <w:tcW w:w="6084" w:type="dxa"/>
            <w:tcBorders>
              <w:top w:val="single" w:color="auto" w:sz="8" w:space="0"/>
              <w:left w:val="single" w:color="auto" w:sz="8" w:space="0"/>
              <w:bottom w:val="single" w:color="auto" w:sz="8" w:space="0"/>
              <w:right w:val="single" w:color="auto" w:sz="18" w:space="0"/>
            </w:tcBorders>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36"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24"/>
              <w:ind w:right="230"/>
              <w:jc w:val="center"/>
              <w:rPr>
                <w:rFonts w:cs="Courier New"/>
                <w:color w:val="000000"/>
                <w:sz w:val="21"/>
                <w:szCs w:val="21"/>
                <w:highlight w:val="none"/>
                <w:lang w:val="zh-CN"/>
              </w:rPr>
            </w:pPr>
            <w:r>
              <w:rPr>
                <w:rFonts w:hint="eastAsia" w:cs="Courier New"/>
                <w:color w:val="000000"/>
                <w:sz w:val="21"/>
                <w:szCs w:val="21"/>
                <w:highlight w:val="none"/>
                <w:lang w:val="zh-CN"/>
              </w:rPr>
              <w:t>1</w:t>
            </w:r>
            <w:r>
              <w:rPr>
                <w:rFonts w:hint="eastAsia" w:cs="Courier New"/>
                <w:color w:val="000000"/>
                <w:sz w:val="21"/>
                <w:szCs w:val="21"/>
                <w:highlight w:val="none"/>
              </w:rPr>
              <w:t>6</w:t>
            </w:r>
          </w:p>
        </w:tc>
        <w:tc>
          <w:tcPr>
            <w:tcW w:w="2409" w:type="dxa"/>
            <w:tcBorders>
              <w:top w:val="single" w:color="auto" w:sz="8" w:space="0"/>
              <w:left w:val="single" w:color="auto" w:sz="8" w:space="0"/>
              <w:bottom w:val="single" w:color="auto" w:sz="8" w:space="0"/>
              <w:right w:val="single" w:color="auto" w:sz="8" w:space="0"/>
            </w:tcBorders>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代理服务费</w:t>
            </w:r>
          </w:p>
        </w:tc>
        <w:tc>
          <w:tcPr>
            <w:tcW w:w="6084" w:type="dxa"/>
            <w:tcBorders>
              <w:top w:val="single" w:color="auto" w:sz="8" w:space="0"/>
              <w:left w:val="single" w:color="auto" w:sz="8" w:space="0"/>
              <w:bottom w:val="single" w:color="auto" w:sz="8" w:space="0"/>
              <w:right w:val="single" w:color="auto" w:sz="18" w:space="0"/>
            </w:tcBorders>
            <w:vAlign w:val="center"/>
          </w:tcPr>
          <w:p>
            <w:pPr>
              <w:pStyle w:val="24"/>
              <w:spacing w:before="0" w:beforeAutospacing="0" w:after="0" w:afterAutospacing="0"/>
              <w:ind w:firstLine="210" w:firstLineChars="100"/>
              <w:jc w:val="both"/>
              <w:rPr>
                <w:color w:val="000000"/>
                <w:sz w:val="21"/>
                <w:szCs w:val="21"/>
                <w:highlight w:val="none"/>
                <w:lang w:val="zh-CN"/>
              </w:rPr>
            </w:pPr>
            <w:r>
              <w:rPr>
                <w:rFonts w:hint="eastAsia"/>
                <w:color w:val="000000"/>
                <w:sz w:val="21"/>
                <w:szCs w:val="21"/>
                <w:highlight w:val="none"/>
                <w:lang w:val="zh-CN"/>
              </w:rPr>
              <w:t>代理</w:t>
            </w:r>
            <w:r>
              <w:rPr>
                <w:rFonts w:hint="eastAsia" w:cs="Times New Roman"/>
                <w:color w:val="000000"/>
                <w:sz w:val="21"/>
                <w:szCs w:val="21"/>
                <w:highlight w:val="none"/>
                <w:lang w:val="zh-CN"/>
              </w:rPr>
              <w:t>服务费：按</w:t>
            </w:r>
            <w:r>
              <w:rPr>
                <w:rFonts w:hint="eastAsia" w:cs="Times New Roman"/>
                <w:color w:val="000000"/>
                <w:sz w:val="21"/>
                <w:szCs w:val="21"/>
                <w:highlight w:val="none"/>
                <w:lang w:val="zh-CN" w:eastAsia="zh-CN"/>
              </w:rPr>
              <w:t>成交金额的</w:t>
            </w:r>
            <w:r>
              <w:rPr>
                <w:rFonts w:hint="eastAsia" w:cs="Times New Roman"/>
                <w:color w:val="000000"/>
                <w:sz w:val="21"/>
                <w:szCs w:val="21"/>
                <w:highlight w:val="none"/>
                <w:lang w:val="en-US" w:eastAsia="zh-CN"/>
              </w:rPr>
              <w:t>1.5%</w:t>
            </w:r>
            <w:r>
              <w:rPr>
                <w:rFonts w:hint="eastAsia" w:cs="Times New Roman"/>
                <w:color w:val="000000"/>
                <w:sz w:val="21"/>
                <w:szCs w:val="21"/>
                <w:highlight w:val="none"/>
                <w:lang w:val="zh-CN"/>
              </w:rPr>
              <w:t>计算出招标代理服务费；由中标人在领取中标通知书前向招标代理机构交纳代理服务费。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46"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24"/>
              <w:ind w:right="230"/>
              <w:jc w:val="center"/>
              <w:rPr>
                <w:rFonts w:cs="Courier New"/>
                <w:color w:val="000000"/>
                <w:sz w:val="21"/>
                <w:szCs w:val="21"/>
                <w:highlight w:val="none"/>
              </w:rPr>
            </w:pPr>
            <w:r>
              <w:rPr>
                <w:rFonts w:hint="eastAsia" w:cs="Courier New"/>
                <w:color w:val="000000"/>
                <w:sz w:val="21"/>
                <w:szCs w:val="21"/>
                <w:highlight w:val="none"/>
              </w:rPr>
              <w:t>17</w:t>
            </w:r>
          </w:p>
        </w:tc>
        <w:tc>
          <w:tcPr>
            <w:tcW w:w="2409" w:type="dxa"/>
            <w:tcBorders>
              <w:top w:val="single" w:color="auto" w:sz="8" w:space="0"/>
              <w:left w:val="single" w:color="auto" w:sz="8" w:space="0"/>
              <w:bottom w:val="single" w:color="auto" w:sz="8" w:space="0"/>
              <w:right w:val="single" w:color="auto" w:sz="8" w:space="0"/>
            </w:tcBorders>
            <w:vAlign w:val="center"/>
          </w:tcPr>
          <w:p>
            <w:pPr>
              <w:pStyle w:val="41"/>
              <w:ind w:left="38"/>
              <w:jc w:val="center"/>
              <w:rPr>
                <w:szCs w:val="21"/>
                <w:highlight w:val="none"/>
                <w:lang w:val="zh-CN"/>
              </w:rPr>
            </w:pPr>
            <w:r>
              <w:rPr>
                <w:rFonts w:hint="eastAsia" w:cs="Times New Roman"/>
                <w:kern w:val="2"/>
                <w:sz w:val="21"/>
                <w:szCs w:val="21"/>
                <w:highlight w:val="none"/>
              </w:rPr>
              <w:t>政府采购政策</w:t>
            </w:r>
          </w:p>
        </w:tc>
        <w:tc>
          <w:tcPr>
            <w:tcW w:w="6084" w:type="dxa"/>
            <w:tcBorders>
              <w:top w:val="single" w:color="auto" w:sz="8" w:space="0"/>
              <w:left w:val="single" w:color="auto" w:sz="8" w:space="0"/>
              <w:bottom w:val="single" w:color="auto" w:sz="8" w:space="0"/>
              <w:right w:val="single" w:color="auto" w:sz="18" w:space="0"/>
            </w:tcBorders>
            <w:vAlign w:val="center"/>
          </w:tcPr>
          <w:p>
            <w:pPr>
              <w:rPr>
                <w:highlight w:val="none"/>
              </w:rPr>
            </w:pPr>
            <w:r>
              <w:rPr>
                <w:rFonts w:hint="eastAsia"/>
                <w:highlight w:val="none"/>
              </w:rPr>
              <w:t>一、节能产品政府采购品目清单</w:t>
            </w:r>
          </w:p>
          <w:p>
            <w:pPr>
              <w:rPr>
                <w:highlight w:val="none"/>
              </w:rPr>
            </w:pPr>
            <w:r>
              <w:rPr>
                <w:rFonts w:hint="eastAsia"/>
                <w:highlight w:val="none"/>
              </w:rPr>
              <w:t>本项目采购产品属于《节能产品政府采购品目清单》范围的，投标人须提供本次投标产品的国家确定的认证机构出具的、处于有效期之内的节能产品认证证书扫描件。采购产品属于强制采购的，投标产品未提供节能产品认证证书的，投标无效；采购产品属于优先采购的，未提供的不予认定。</w:t>
            </w:r>
          </w:p>
          <w:p>
            <w:pPr>
              <w:rPr>
                <w:highlight w:val="none"/>
              </w:rPr>
            </w:pPr>
            <w:r>
              <w:rPr>
                <w:highlight w:val="none"/>
              </w:rPr>
              <w:t xml:space="preserve">   </w:t>
            </w:r>
            <w:r>
              <w:rPr>
                <w:rFonts w:hint="eastAsia"/>
                <w:highlight w:val="none"/>
              </w:rPr>
              <w:t>二、环境标志产品政府采购品目清单</w:t>
            </w:r>
          </w:p>
          <w:p>
            <w:pPr>
              <w:rPr>
                <w:rFonts w:ascii="宋体"/>
                <w:szCs w:val="21"/>
                <w:highlight w:val="none"/>
                <w:lang w:val="zh-CN"/>
              </w:rPr>
            </w:pPr>
            <w:r>
              <w:rPr>
                <w:rFonts w:hint="eastAsia"/>
                <w:highlight w:val="none"/>
              </w:rPr>
              <w:t>本项目采购产品属于《环境标志产品政府采购品目清单》范围的实施优先采购，投标人须提供本次投标产品的国家确定的认证机构出具的、处于有效期之内的环境标志产品认证证书扫描件。未提供的不予认定。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3"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24"/>
              <w:ind w:right="230"/>
              <w:jc w:val="center"/>
              <w:rPr>
                <w:rFonts w:cs="Courier New"/>
                <w:color w:val="000000"/>
                <w:sz w:val="21"/>
                <w:szCs w:val="21"/>
                <w:highlight w:val="none"/>
              </w:rPr>
            </w:pPr>
            <w:r>
              <w:rPr>
                <w:rFonts w:hint="eastAsia" w:cs="Courier New"/>
                <w:color w:val="000000"/>
                <w:sz w:val="21"/>
                <w:szCs w:val="21"/>
                <w:highlight w:val="none"/>
              </w:rPr>
              <w:t>18</w:t>
            </w:r>
          </w:p>
        </w:tc>
        <w:tc>
          <w:tcPr>
            <w:tcW w:w="2409" w:type="dxa"/>
            <w:tcBorders>
              <w:top w:val="single" w:color="auto" w:sz="8" w:space="0"/>
              <w:left w:val="single" w:color="auto" w:sz="8" w:space="0"/>
              <w:bottom w:val="single" w:color="auto" w:sz="8" w:space="0"/>
              <w:right w:val="single" w:color="auto" w:sz="8" w:space="0"/>
            </w:tcBorders>
            <w:vAlign w:val="center"/>
          </w:tcPr>
          <w:p>
            <w:pPr>
              <w:jc w:val="center"/>
              <w:rPr>
                <w:rFonts w:ascii="宋体"/>
                <w:szCs w:val="21"/>
                <w:highlight w:val="none"/>
                <w:lang w:val="zh-CN"/>
              </w:rPr>
            </w:pPr>
            <w:r>
              <w:rPr>
                <w:rFonts w:hint="eastAsia" w:ascii="宋体"/>
                <w:szCs w:val="21"/>
                <w:highlight w:val="none"/>
              </w:rPr>
              <w:t>供应商信用融资</w:t>
            </w:r>
          </w:p>
        </w:tc>
        <w:tc>
          <w:tcPr>
            <w:tcW w:w="6084" w:type="dxa"/>
            <w:tcBorders>
              <w:top w:val="single" w:color="auto" w:sz="8" w:space="0"/>
              <w:left w:val="single" w:color="auto" w:sz="8" w:space="0"/>
              <w:bottom w:val="single" w:color="auto" w:sz="8" w:space="0"/>
              <w:right w:val="single" w:color="auto" w:sz="18" w:space="0"/>
            </w:tcBorders>
            <w:vAlign w:val="center"/>
          </w:tcPr>
          <w:p>
            <w:pPr>
              <w:rPr>
                <w:rFonts w:ascii="宋体"/>
                <w:szCs w:val="21"/>
                <w:highlight w:val="none"/>
              </w:rPr>
            </w:pPr>
            <w:r>
              <w:rPr>
                <w:rFonts w:hint="eastAsia" w:ascii="宋体" w:hAnsi="宋体"/>
                <w:szCs w:val="21"/>
                <w:highlight w:val="none"/>
              </w:rPr>
              <w:t>1</w:t>
            </w:r>
            <w:r>
              <w:rPr>
                <w:rFonts w:hint="eastAsia" w:ascii="宋体"/>
                <w:szCs w:val="21"/>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rPr>
                <w:rFonts w:ascii="宋体"/>
                <w:szCs w:val="21"/>
                <w:highlight w:val="none"/>
              </w:rPr>
            </w:pPr>
            <w:r>
              <w:rPr>
                <w:rFonts w:hint="eastAsia" w:ascii="宋体"/>
                <w:szCs w:val="21"/>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p>
          <w:p>
            <w:pPr>
              <w:rPr>
                <w:rFonts w:ascii="宋体"/>
                <w:szCs w:val="21"/>
                <w:highlight w:val="none"/>
                <w:lang w:val="zh-CN"/>
              </w:rPr>
            </w:pPr>
          </w:p>
        </w:tc>
      </w:tr>
    </w:tbl>
    <w:p>
      <w:pPr>
        <w:pStyle w:val="4"/>
        <w:keepNext w:val="0"/>
        <w:keepLines w:val="0"/>
        <w:spacing w:before="0" w:after="0" w:line="400" w:lineRule="exact"/>
        <w:rPr>
          <w:rFonts w:ascii="黑体"/>
          <w:bCs w:val="0"/>
          <w:color w:val="000000"/>
          <w:highlight w:val="none"/>
        </w:rPr>
      </w:pPr>
    </w:p>
    <w:p>
      <w:pPr>
        <w:rPr>
          <w:highlight w:val="none"/>
        </w:rPr>
      </w:pPr>
    </w:p>
    <w:p>
      <w:pPr>
        <w:pStyle w:val="3"/>
        <w:spacing w:before="20" w:after="20" w:line="360" w:lineRule="auto"/>
        <w:jc w:val="center"/>
        <w:rPr>
          <w:rFonts w:ascii="宋体" w:hAnsi="宋体"/>
          <w:color w:val="000000"/>
          <w:sz w:val="24"/>
          <w:highlight w:val="none"/>
        </w:rPr>
      </w:pPr>
      <w:r>
        <w:rPr>
          <w:rFonts w:hint="eastAsia"/>
          <w:color w:val="000000"/>
          <w:sz w:val="28"/>
          <w:szCs w:val="28"/>
          <w:highlight w:val="none"/>
        </w:rPr>
        <w:t>二、总  则</w:t>
      </w:r>
      <w:bookmarkStart w:id="7" w:name="_Toc183582205"/>
      <w:bookmarkStart w:id="8" w:name="_Toc183682342"/>
      <w:bookmarkStart w:id="9" w:name="_Toc217446034"/>
    </w:p>
    <w:p>
      <w:pPr>
        <w:pStyle w:val="5"/>
        <w:keepNext w:val="0"/>
        <w:keepLines w:val="0"/>
        <w:spacing w:before="0" w:after="0" w:line="400" w:lineRule="exact"/>
        <w:ind w:firstLine="482"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w:t>
      </w:r>
      <w:bookmarkEnd w:id="7"/>
      <w:bookmarkEnd w:id="8"/>
      <w:r>
        <w:rPr>
          <w:rFonts w:hint="eastAsia" w:ascii="宋体" w:hAnsi="宋体"/>
          <w:color w:val="000000"/>
          <w:sz w:val="24"/>
          <w:szCs w:val="24"/>
          <w:highlight w:val="none"/>
        </w:rPr>
        <w:t>适用范围</w:t>
      </w:r>
      <w:bookmarkEnd w:id="9"/>
    </w:p>
    <w:p>
      <w:pPr>
        <w:tabs>
          <w:tab w:val="left" w:pos="7665"/>
        </w:tabs>
        <w:spacing w:line="400" w:lineRule="exact"/>
        <w:ind w:firstLine="480" w:firstLineChars="200"/>
        <w:rPr>
          <w:rFonts w:ascii="宋体" w:hAnsi="宋体"/>
          <w:sz w:val="24"/>
          <w:highlight w:val="none"/>
        </w:rPr>
      </w:pPr>
      <w:r>
        <w:rPr>
          <w:rFonts w:hint="eastAsia" w:ascii="宋体" w:hAnsi="宋体"/>
          <w:color w:val="000000"/>
          <w:sz w:val="24"/>
          <w:highlight w:val="none"/>
        </w:rPr>
        <w:t>1</w:t>
      </w:r>
      <w:r>
        <w:rPr>
          <w:rFonts w:ascii="宋体" w:hAnsi="宋体"/>
          <w:color w:val="000000"/>
          <w:sz w:val="24"/>
          <w:highlight w:val="none"/>
        </w:rPr>
        <w:t>.</w:t>
      </w:r>
      <w:r>
        <w:rPr>
          <w:rFonts w:hint="eastAsia" w:ascii="宋体" w:hAnsi="宋体"/>
          <w:color w:val="000000"/>
          <w:sz w:val="24"/>
          <w:highlight w:val="none"/>
        </w:rPr>
        <w:t>1 本磋商文件仅适用于本次磋商所叙述的</w:t>
      </w:r>
      <w:r>
        <w:rPr>
          <w:rFonts w:hint="eastAsia" w:ascii="宋体" w:hAnsi="宋体"/>
          <w:sz w:val="24"/>
          <w:highlight w:val="none"/>
        </w:rPr>
        <w:t>服务采购。</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1.2 本磋商文件的解释权</w:t>
      </w:r>
      <w:r>
        <w:rPr>
          <w:rFonts w:hint="eastAsia" w:ascii="宋体" w:hAnsi="宋体"/>
          <w:sz w:val="24"/>
          <w:highlight w:val="none"/>
        </w:rPr>
        <w:t>归</w:t>
      </w:r>
      <w:r>
        <w:rPr>
          <w:rFonts w:hint="eastAsia" w:ascii="宋体" w:hAnsi="宋体"/>
          <w:color w:val="000000"/>
          <w:sz w:val="24"/>
          <w:highlight w:val="none"/>
        </w:rPr>
        <w:t>采购人和采购代理机构</w:t>
      </w:r>
      <w:r>
        <w:rPr>
          <w:rFonts w:hint="eastAsia" w:ascii="宋体" w:hAnsi="宋体"/>
          <w:sz w:val="24"/>
          <w:highlight w:val="none"/>
        </w:rPr>
        <w:t>所有</w:t>
      </w:r>
      <w:r>
        <w:rPr>
          <w:rFonts w:hint="eastAsia" w:ascii="宋体" w:hAnsi="宋体"/>
          <w:color w:val="000000"/>
          <w:sz w:val="24"/>
          <w:highlight w:val="none"/>
        </w:rPr>
        <w:t>。</w:t>
      </w:r>
    </w:p>
    <w:p>
      <w:pPr>
        <w:pStyle w:val="5"/>
        <w:keepNext w:val="0"/>
        <w:keepLines w:val="0"/>
        <w:spacing w:before="0" w:after="0" w:line="400" w:lineRule="exact"/>
        <w:ind w:firstLine="482" w:firstLineChars="200"/>
        <w:rPr>
          <w:rFonts w:ascii="宋体" w:hAnsi="宋体"/>
          <w:color w:val="000000"/>
          <w:sz w:val="24"/>
          <w:highlight w:val="none"/>
        </w:rPr>
      </w:pPr>
      <w:bookmarkStart w:id="10" w:name="_Toc183682343"/>
      <w:bookmarkStart w:id="11" w:name="_Toc217446035"/>
      <w:bookmarkStart w:id="12" w:name="_Toc183582206"/>
      <w:r>
        <w:rPr>
          <w:rFonts w:ascii="宋体" w:hAnsi="宋体"/>
          <w:color w:val="000000"/>
          <w:sz w:val="24"/>
          <w:highlight w:val="none"/>
        </w:rPr>
        <w:t>2.</w:t>
      </w:r>
      <w:bookmarkEnd w:id="10"/>
      <w:bookmarkEnd w:id="11"/>
      <w:bookmarkEnd w:id="12"/>
      <w:r>
        <w:rPr>
          <w:rFonts w:hint="eastAsia" w:ascii="宋体" w:hAnsi="宋体"/>
          <w:color w:val="000000"/>
          <w:sz w:val="24"/>
          <w:highlight w:val="none"/>
        </w:rPr>
        <w:t>采购主体</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w:t>
      </w:r>
      <w:r>
        <w:rPr>
          <w:rFonts w:hint="eastAsia" w:ascii="宋体" w:hAnsi="宋体"/>
          <w:color w:val="000000"/>
          <w:sz w:val="24"/>
          <w:highlight w:val="none"/>
        </w:rPr>
        <w:t>1本次磋商的采购人是</w:t>
      </w:r>
      <w:r>
        <w:rPr>
          <w:rFonts w:hint="eastAsia" w:ascii="宋体" w:hAnsi="宋体" w:eastAsia="宋体"/>
          <w:color w:val="000000"/>
          <w:sz w:val="24"/>
          <w:highlight w:val="none"/>
          <w:u w:val="single"/>
          <w:lang w:eastAsia="zh-CN"/>
        </w:rPr>
        <w:t>成都东部新区草池街道办事处</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w:t>
      </w:r>
      <w:r>
        <w:rPr>
          <w:rFonts w:hint="eastAsia" w:ascii="宋体" w:hAnsi="宋体"/>
          <w:color w:val="000000"/>
          <w:sz w:val="24"/>
          <w:highlight w:val="none"/>
        </w:rPr>
        <w:t>2本次磋商的采购代理机构是</w:t>
      </w:r>
      <w:r>
        <w:rPr>
          <w:rFonts w:hint="eastAsia" w:ascii="宋体" w:hAnsi="宋体"/>
          <w:color w:val="000000"/>
          <w:sz w:val="24"/>
          <w:highlight w:val="none"/>
          <w:u w:val="single"/>
        </w:rPr>
        <w:t>四川达通工程管理咨询有限公司</w:t>
      </w:r>
      <w:r>
        <w:rPr>
          <w:rFonts w:hint="eastAsia" w:ascii="宋体" w:hAnsi="宋体"/>
          <w:color w:val="000000"/>
          <w:sz w:val="24"/>
          <w:highlight w:val="none"/>
        </w:rPr>
        <w:t>。</w:t>
      </w:r>
    </w:p>
    <w:p>
      <w:pPr>
        <w:pStyle w:val="5"/>
        <w:keepNext w:val="0"/>
        <w:keepLines w:val="0"/>
        <w:spacing w:before="0" w:after="0" w:line="400" w:lineRule="exact"/>
        <w:ind w:firstLine="482" w:firstLineChars="200"/>
        <w:rPr>
          <w:rFonts w:ascii="宋体" w:hAnsi="宋体"/>
          <w:color w:val="000000"/>
          <w:sz w:val="24"/>
          <w:highlight w:val="none"/>
        </w:rPr>
      </w:pPr>
      <w:bookmarkStart w:id="13" w:name="_Toc183582207"/>
      <w:bookmarkStart w:id="14" w:name="_Toc217390843"/>
      <w:bookmarkStart w:id="15" w:name="_Toc183682344"/>
      <w:bookmarkStart w:id="16" w:name="_Toc217446036"/>
      <w:r>
        <w:rPr>
          <w:rFonts w:ascii="宋体" w:hAnsi="宋体"/>
          <w:color w:val="000000"/>
          <w:sz w:val="24"/>
          <w:highlight w:val="none"/>
        </w:rPr>
        <w:t>3.</w:t>
      </w:r>
      <w:r>
        <w:rPr>
          <w:rFonts w:hint="eastAsia" w:ascii="宋体" w:hAnsi="宋体"/>
          <w:color w:val="000000"/>
          <w:sz w:val="24"/>
          <w:highlight w:val="none"/>
        </w:rPr>
        <w:t xml:space="preserve"> 合格</w:t>
      </w:r>
      <w:bookmarkEnd w:id="13"/>
      <w:bookmarkEnd w:id="14"/>
      <w:bookmarkEnd w:id="15"/>
      <w:bookmarkEnd w:id="16"/>
      <w:r>
        <w:rPr>
          <w:rFonts w:hint="eastAsia" w:ascii="宋体" w:hAnsi="宋体"/>
          <w:color w:val="000000"/>
          <w:sz w:val="24"/>
          <w:highlight w:val="none"/>
        </w:rPr>
        <w:t>供应商（实质性要求）</w:t>
      </w:r>
    </w:p>
    <w:p>
      <w:pPr>
        <w:tabs>
          <w:tab w:val="left" w:pos="7665"/>
        </w:tabs>
        <w:spacing w:line="400" w:lineRule="exact"/>
        <w:rPr>
          <w:rFonts w:ascii="宋体" w:hAnsi="宋体"/>
          <w:color w:val="000000"/>
          <w:sz w:val="24"/>
          <w:highlight w:val="none"/>
        </w:rPr>
      </w:pPr>
      <w:r>
        <w:rPr>
          <w:rFonts w:hint="eastAsia" w:ascii="宋体" w:hAnsi="宋体"/>
          <w:b/>
          <w:color w:val="000000"/>
          <w:sz w:val="24"/>
          <w:highlight w:val="none"/>
        </w:rPr>
        <w:t xml:space="preserve">    </w:t>
      </w:r>
      <w:r>
        <w:rPr>
          <w:rFonts w:hint="eastAsia" w:ascii="宋体" w:hAnsi="宋体"/>
          <w:color w:val="000000"/>
          <w:sz w:val="24"/>
          <w:highlight w:val="none"/>
        </w:rPr>
        <w:t>合格供应商应具备以下条件：</w:t>
      </w:r>
    </w:p>
    <w:p>
      <w:pPr>
        <w:tabs>
          <w:tab w:val="left" w:pos="7665"/>
        </w:tabs>
        <w:spacing w:line="400" w:lineRule="exact"/>
        <w:ind w:firstLine="480" w:firstLineChars="200"/>
        <w:rPr>
          <w:rFonts w:ascii="宋体" w:hAnsi="宋体"/>
          <w:color w:val="000000"/>
          <w:spacing w:val="-4"/>
          <w:sz w:val="24"/>
          <w:highlight w:val="none"/>
        </w:rPr>
      </w:pPr>
      <w:r>
        <w:rPr>
          <w:rFonts w:hint="eastAsia" w:ascii="宋体" w:hAnsi="宋体"/>
          <w:color w:val="000000"/>
          <w:sz w:val="24"/>
          <w:highlight w:val="none"/>
        </w:rPr>
        <w:t>3.1 具备法律法规和本采购文件规定的资格条件</w:t>
      </w:r>
      <w:r>
        <w:rPr>
          <w:rFonts w:hint="eastAsia" w:ascii="宋体" w:hAnsi="宋体"/>
          <w:color w:val="000000"/>
          <w:spacing w:val="-4"/>
          <w:sz w:val="24"/>
          <w:highlight w:val="none"/>
        </w:rPr>
        <w:t>；</w:t>
      </w:r>
    </w:p>
    <w:p>
      <w:pPr>
        <w:tabs>
          <w:tab w:val="left" w:pos="7665"/>
        </w:tabs>
        <w:spacing w:line="400" w:lineRule="exact"/>
        <w:ind w:firstLine="464" w:firstLineChars="200"/>
        <w:rPr>
          <w:rFonts w:ascii="宋体" w:hAnsi="宋体"/>
          <w:color w:val="000000"/>
          <w:spacing w:val="-4"/>
          <w:sz w:val="24"/>
          <w:highlight w:val="none"/>
        </w:rPr>
      </w:pPr>
      <w:r>
        <w:rPr>
          <w:rFonts w:hint="eastAsia" w:ascii="宋体" w:hAnsi="宋体"/>
          <w:color w:val="000000"/>
          <w:spacing w:val="-4"/>
          <w:sz w:val="24"/>
          <w:highlight w:val="none"/>
        </w:rPr>
        <w:t>3.2 不属于禁止参加本项目采购活动的</w:t>
      </w:r>
      <w:r>
        <w:rPr>
          <w:rFonts w:hint="eastAsia" w:ascii="宋体" w:hAnsi="宋体"/>
          <w:spacing w:val="-4"/>
          <w:sz w:val="24"/>
          <w:highlight w:val="none"/>
        </w:rPr>
        <w:t>供应商</w:t>
      </w:r>
      <w:r>
        <w:rPr>
          <w:rFonts w:hint="eastAsia" w:ascii="宋体" w:hAnsi="宋体"/>
          <w:color w:val="000000"/>
          <w:spacing w:val="-4"/>
          <w:sz w:val="24"/>
          <w:highlight w:val="none"/>
        </w:rPr>
        <w:t>；</w:t>
      </w:r>
    </w:p>
    <w:p>
      <w:pPr>
        <w:tabs>
          <w:tab w:val="left" w:pos="7665"/>
        </w:tabs>
        <w:spacing w:line="400" w:lineRule="exact"/>
        <w:ind w:firstLine="464" w:firstLineChars="200"/>
        <w:rPr>
          <w:rFonts w:ascii="宋体" w:hAnsi="宋体"/>
          <w:color w:val="000000"/>
          <w:sz w:val="24"/>
          <w:highlight w:val="none"/>
        </w:rPr>
      </w:pPr>
      <w:r>
        <w:rPr>
          <w:rFonts w:hint="eastAsia" w:ascii="宋体" w:hAnsi="宋体"/>
          <w:color w:val="000000"/>
          <w:spacing w:val="-4"/>
          <w:sz w:val="24"/>
          <w:highlight w:val="none"/>
        </w:rPr>
        <w:t>3.3 按照规定</w:t>
      </w:r>
      <w:r>
        <w:rPr>
          <w:rFonts w:hint="eastAsia" w:ascii="宋体" w:hAnsi="宋体"/>
          <w:color w:val="000000"/>
          <w:sz w:val="24"/>
          <w:highlight w:val="none"/>
        </w:rPr>
        <w:t>获取了磋商文件，属于实质性参加政府采购活动的供应商。</w:t>
      </w:r>
      <w:bookmarkStart w:id="17" w:name="_Toc217446037"/>
      <w:bookmarkStart w:id="18" w:name="_Toc183682345"/>
      <w:bookmarkStart w:id="19" w:name="_Toc183582208"/>
    </w:p>
    <w:p>
      <w:pPr>
        <w:pStyle w:val="5"/>
        <w:keepNext w:val="0"/>
        <w:keepLines w:val="0"/>
        <w:spacing w:before="0" w:after="0" w:line="400" w:lineRule="exact"/>
        <w:ind w:firstLine="482" w:firstLineChars="200"/>
        <w:rPr>
          <w:rFonts w:ascii="宋体" w:hAnsi="宋体"/>
          <w:color w:val="000000"/>
          <w:sz w:val="24"/>
          <w:highlight w:val="none"/>
        </w:rPr>
      </w:pPr>
      <w:r>
        <w:rPr>
          <w:rFonts w:hint="eastAsia" w:ascii="宋体" w:hAnsi="宋体"/>
          <w:color w:val="000000"/>
          <w:sz w:val="24"/>
          <w:highlight w:val="none"/>
        </w:rPr>
        <w:t>4. 磋商费用</w:t>
      </w:r>
      <w:bookmarkEnd w:id="17"/>
      <w:bookmarkEnd w:id="18"/>
      <w:bookmarkEnd w:id="19"/>
    </w:p>
    <w:p>
      <w:pPr>
        <w:tabs>
          <w:tab w:val="left" w:pos="7665"/>
        </w:tabs>
        <w:spacing w:line="400" w:lineRule="exact"/>
        <w:ind w:firstLine="480"/>
        <w:rPr>
          <w:highlight w:val="none"/>
        </w:rPr>
      </w:pPr>
      <w:r>
        <w:rPr>
          <w:rFonts w:hint="eastAsia" w:ascii="宋体" w:hAnsi="宋体"/>
          <w:color w:val="000000"/>
          <w:sz w:val="24"/>
          <w:highlight w:val="none"/>
        </w:rPr>
        <w:t>供应商应自行承担参加磋商活动的全部费用。</w:t>
      </w:r>
    </w:p>
    <w:p>
      <w:pPr>
        <w:spacing w:line="400" w:lineRule="exact"/>
        <w:ind w:left="1" w:firstLine="482" w:firstLineChars="200"/>
        <w:rPr>
          <w:rFonts w:hAnsi="宋体"/>
          <w:b/>
          <w:color w:val="000000"/>
          <w:sz w:val="24"/>
          <w:highlight w:val="none"/>
        </w:rPr>
      </w:pPr>
      <w:r>
        <w:rPr>
          <w:rFonts w:hint="eastAsia" w:hAnsi="宋体"/>
          <w:b/>
          <w:color w:val="000000"/>
          <w:sz w:val="24"/>
          <w:highlight w:val="none"/>
        </w:rPr>
        <w:t>5.充分、公平竞争保障措施</w:t>
      </w:r>
    </w:p>
    <w:p>
      <w:pPr>
        <w:spacing w:line="400" w:lineRule="exact"/>
        <w:ind w:left="1" w:firstLine="480" w:firstLineChars="200"/>
        <w:rPr>
          <w:rFonts w:hAnsi="宋体"/>
          <w:color w:val="FF0000"/>
          <w:sz w:val="28"/>
          <w:szCs w:val="28"/>
          <w:highlight w:val="none"/>
        </w:rPr>
      </w:pPr>
      <w:r>
        <w:rPr>
          <w:rFonts w:hint="eastAsia" w:hAnsi="宋体"/>
          <w:color w:val="000000"/>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400" w:lineRule="exact"/>
        <w:ind w:left="1" w:firstLine="480" w:firstLineChars="200"/>
        <w:rPr>
          <w:rFonts w:hAnsi="宋体"/>
          <w:color w:val="000000"/>
          <w:sz w:val="24"/>
          <w:highlight w:val="none"/>
        </w:rPr>
      </w:pPr>
      <w:r>
        <w:rPr>
          <w:rFonts w:hint="eastAsia" w:hAnsi="宋体"/>
          <w:color w:val="000000"/>
          <w:sz w:val="24"/>
          <w:highlight w:val="none"/>
        </w:rPr>
        <w:t>5.2利害关系授权代表处理。</w:t>
      </w:r>
      <w:r>
        <w:rPr>
          <w:rFonts w:hint="eastAsia" w:hAnsi="宋体"/>
          <w:sz w:val="24"/>
          <w:highlight w:val="none"/>
        </w:rPr>
        <w:t>两</w:t>
      </w:r>
      <w:r>
        <w:rPr>
          <w:rFonts w:hint="eastAsia" w:hAnsi="宋体"/>
          <w:color w:val="000000"/>
          <w:sz w:val="24"/>
          <w:highlight w:val="none"/>
        </w:rPr>
        <w:t>家以上的供应商不得在同一合同项下的采购项目中，委托同一个自然人、同一家庭的人员、同一单位的人员作为其授权代表，否则，其响应文件作为无效处理。</w:t>
      </w:r>
    </w:p>
    <w:p>
      <w:pPr>
        <w:spacing w:line="400" w:lineRule="exact"/>
        <w:ind w:left="1" w:firstLine="480" w:firstLineChars="200"/>
        <w:rPr>
          <w:rFonts w:hAnsi="宋体"/>
          <w:color w:val="000000"/>
          <w:sz w:val="24"/>
          <w:highlight w:val="none"/>
        </w:rPr>
      </w:pPr>
      <w:r>
        <w:rPr>
          <w:rFonts w:hint="eastAsia" w:hAnsi="宋体"/>
          <w:color w:val="000000"/>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400" w:lineRule="exact"/>
        <w:ind w:left="1" w:firstLine="480" w:firstLineChars="200"/>
        <w:rPr>
          <w:rFonts w:hAnsi="宋体"/>
          <w:color w:val="000000"/>
          <w:sz w:val="24"/>
          <w:highlight w:val="none"/>
        </w:rPr>
      </w:pPr>
      <w:r>
        <w:rPr>
          <w:rFonts w:hint="eastAsia" w:hAnsi="宋体"/>
          <w:color w:val="000000"/>
          <w:sz w:val="24"/>
          <w:highlight w:val="none"/>
        </w:rPr>
        <w:t>5.4供应商实际控制人或者中高级管理人员，同时是采购代理机构工作人员，不得参与本项目政府采购活动。</w:t>
      </w:r>
    </w:p>
    <w:p>
      <w:pPr>
        <w:spacing w:line="400" w:lineRule="exact"/>
        <w:ind w:firstLine="480" w:firstLineChars="200"/>
        <w:rPr>
          <w:rFonts w:ascii="宋体" w:hAnsi="宋体"/>
          <w:sz w:val="24"/>
          <w:highlight w:val="none"/>
        </w:rPr>
      </w:pPr>
      <w:r>
        <w:rPr>
          <w:rFonts w:hint="eastAsia" w:ascii="宋体" w:hAnsi="宋体"/>
          <w:sz w:val="24"/>
          <w:highlight w:val="none"/>
        </w:rPr>
        <w:t>5.5同一母公司的两家以上的子公司只能组成联合体参加本项目同一合同项下的采购活动，不得以不同供应商身份同时参加本项目同一合同项下的采购活动。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宋体" w:hAnsi="宋体"/>
          <w:sz w:val="24"/>
          <w:highlight w:val="none"/>
        </w:rPr>
      </w:pPr>
      <w:r>
        <w:rPr>
          <w:rFonts w:hint="eastAsia" w:ascii="宋体" w:hAnsi="宋体"/>
          <w:sz w:val="24"/>
          <w:highlight w:val="none"/>
        </w:rPr>
        <w:t>5.6供应商与采购代理机构存在关联关系，或者是采购代理机构的母公司或子公司，不得参加本项目政府采购活动。</w:t>
      </w:r>
    </w:p>
    <w:p>
      <w:pPr>
        <w:spacing w:line="400" w:lineRule="exact"/>
        <w:ind w:left="1" w:firstLine="480" w:firstLineChars="200"/>
        <w:rPr>
          <w:rFonts w:hAnsi="宋体"/>
          <w:color w:val="000000"/>
          <w:sz w:val="24"/>
          <w:highlight w:val="none"/>
        </w:rPr>
      </w:pPr>
      <w:r>
        <w:rPr>
          <w:rFonts w:hint="eastAsia" w:hAnsi="宋体"/>
          <w:color w:val="000000"/>
          <w:sz w:val="24"/>
          <w:highlight w:val="none"/>
        </w:rPr>
        <w:t>5.7回避。政府采购活动中，采购人员及相关人员与供应商有下列利害关系之一的，应当回避：</w:t>
      </w:r>
    </w:p>
    <w:p>
      <w:pPr>
        <w:spacing w:line="400" w:lineRule="exact"/>
        <w:ind w:left="1" w:firstLine="480" w:firstLineChars="200"/>
        <w:rPr>
          <w:rFonts w:hAnsi="宋体"/>
          <w:color w:val="000000"/>
          <w:sz w:val="24"/>
          <w:highlight w:val="none"/>
        </w:rPr>
      </w:pPr>
      <w:r>
        <w:rPr>
          <w:rFonts w:hint="eastAsia" w:hAnsi="宋体"/>
          <w:color w:val="000000"/>
          <w:sz w:val="24"/>
          <w:highlight w:val="none"/>
        </w:rPr>
        <w:t>（1）参加采购活动前3年内与供应商存在劳动关系；</w:t>
      </w:r>
    </w:p>
    <w:p>
      <w:pPr>
        <w:spacing w:line="400" w:lineRule="exact"/>
        <w:ind w:left="1" w:firstLine="480" w:firstLineChars="200"/>
        <w:rPr>
          <w:rFonts w:hAnsi="宋体"/>
          <w:color w:val="000000"/>
          <w:sz w:val="24"/>
          <w:highlight w:val="none"/>
        </w:rPr>
      </w:pPr>
      <w:r>
        <w:rPr>
          <w:rFonts w:hint="eastAsia" w:hAnsi="宋体"/>
          <w:color w:val="000000"/>
          <w:sz w:val="24"/>
          <w:highlight w:val="none"/>
        </w:rPr>
        <w:t>（2）参加采购活动前3年内担任供应商的董事、监事；</w:t>
      </w:r>
    </w:p>
    <w:p>
      <w:pPr>
        <w:spacing w:line="400" w:lineRule="exact"/>
        <w:ind w:left="1" w:firstLine="480" w:firstLineChars="200"/>
        <w:rPr>
          <w:rFonts w:hAnsi="宋体"/>
          <w:color w:val="000000"/>
          <w:sz w:val="24"/>
          <w:highlight w:val="none"/>
        </w:rPr>
      </w:pPr>
      <w:r>
        <w:rPr>
          <w:rFonts w:hint="eastAsia" w:hAnsi="宋体"/>
          <w:color w:val="000000"/>
          <w:sz w:val="24"/>
          <w:highlight w:val="none"/>
        </w:rPr>
        <w:t>（3）参加采购活动前3年内是供应商的控股股东或者实际控制人；</w:t>
      </w:r>
    </w:p>
    <w:p>
      <w:pPr>
        <w:spacing w:line="400" w:lineRule="exact"/>
        <w:ind w:left="1" w:firstLine="480" w:firstLineChars="200"/>
        <w:rPr>
          <w:rFonts w:hAnsi="宋体"/>
          <w:color w:val="000000"/>
          <w:sz w:val="24"/>
          <w:highlight w:val="none"/>
        </w:rPr>
      </w:pPr>
      <w:r>
        <w:rPr>
          <w:rFonts w:hint="eastAsia" w:hAnsi="宋体"/>
          <w:color w:val="000000"/>
          <w:sz w:val="24"/>
          <w:highlight w:val="none"/>
        </w:rPr>
        <w:t>（4）与供应商的法定代表人或者负责人有夫妻、直系血亲、三代以内旁系血亲或者近姻亲关系；</w:t>
      </w:r>
    </w:p>
    <w:p>
      <w:pPr>
        <w:spacing w:line="400" w:lineRule="exact"/>
        <w:ind w:left="1" w:firstLine="480" w:firstLineChars="200"/>
        <w:rPr>
          <w:rFonts w:hAnsi="宋体"/>
          <w:color w:val="000000"/>
          <w:sz w:val="24"/>
          <w:highlight w:val="none"/>
        </w:rPr>
      </w:pPr>
      <w:r>
        <w:rPr>
          <w:rFonts w:hint="eastAsia" w:hAnsi="宋体"/>
          <w:color w:val="000000"/>
          <w:sz w:val="24"/>
          <w:highlight w:val="none"/>
        </w:rPr>
        <w:t>（5）与供应商有其他可能影响政府采购活动公平、公正进行的关系。</w:t>
      </w:r>
    </w:p>
    <w:p>
      <w:pPr>
        <w:spacing w:line="400" w:lineRule="exact"/>
        <w:ind w:left="1" w:firstLine="480" w:firstLineChars="200"/>
        <w:rPr>
          <w:rFonts w:hAnsi="宋体"/>
          <w:color w:val="000000"/>
          <w:sz w:val="24"/>
          <w:highlight w:val="none"/>
        </w:rPr>
      </w:pPr>
      <w:r>
        <w:rPr>
          <w:rFonts w:hint="eastAsia" w:hAnsi="宋体"/>
          <w:color w:val="000000"/>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400" w:lineRule="exact"/>
        <w:ind w:left="1" w:firstLine="480" w:firstLineChars="200"/>
        <w:rPr>
          <w:rFonts w:hAnsi="宋体"/>
          <w:b/>
          <w:color w:val="000000"/>
          <w:sz w:val="24"/>
          <w:highlight w:val="none"/>
        </w:rPr>
      </w:pPr>
      <w:r>
        <w:rPr>
          <w:rFonts w:hint="eastAsia" w:hAnsi="宋体"/>
          <w:color w:val="000000"/>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400" w:lineRule="exact"/>
        <w:ind w:left="1" w:firstLine="482" w:firstLineChars="200"/>
        <w:rPr>
          <w:rFonts w:hAnsi="宋体"/>
          <w:b/>
          <w:color w:val="000000"/>
          <w:sz w:val="24"/>
          <w:highlight w:val="none"/>
        </w:rPr>
      </w:pPr>
      <w:r>
        <w:rPr>
          <w:rFonts w:hint="eastAsia" w:hAnsi="宋体"/>
          <w:b/>
          <w:color w:val="000000"/>
          <w:sz w:val="24"/>
          <w:highlight w:val="none"/>
        </w:rPr>
        <w:t>6.联合体竞争性磋商</w:t>
      </w:r>
    </w:p>
    <w:p>
      <w:pPr>
        <w:spacing w:line="400" w:lineRule="exact"/>
        <w:ind w:left="1" w:firstLine="480" w:firstLineChars="200"/>
        <w:rPr>
          <w:rFonts w:hAnsi="宋体"/>
          <w:color w:val="000000"/>
          <w:sz w:val="24"/>
          <w:highlight w:val="none"/>
        </w:rPr>
      </w:pPr>
      <w:r>
        <w:rPr>
          <w:rFonts w:hint="eastAsia" w:hAnsi="宋体"/>
          <w:color w:val="000000"/>
          <w:sz w:val="24"/>
          <w:highlight w:val="none"/>
        </w:rPr>
        <w:t>本项目不接受联合体投标。</w:t>
      </w:r>
    </w:p>
    <w:p>
      <w:pPr>
        <w:spacing w:line="400" w:lineRule="exact"/>
        <w:ind w:left="1" w:firstLine="482" w:firstLineChars="200"/>
        <w:rPr>
          <w:rFonts w:hAnsi="宋体"/>
          <w:b/>
          <w:color w:val="000000"/>
          <w:sz w:val="24"/>
          <w:highlight w:val="none"/>
        </w:rPr>
      </w:pPr>
      <w:r>
        <w:rPr>
          <w:rFonts w:hint="eastAsia" w:hAnsi="宋体"/>
          <w:b/>
          <w:color w:val="000000"/>
          <w:sz w:val="24"/>
          <w:highlight w:val="none"/>
        </w:rPr>
        <w:t>7.磋商保证金</w:t>
      </w:r>
    </w:p>
    <w:p>
      <w:pPr>
        <w:spacing w:line="400" w:lineRule="exact"/>
        <w:ind w:firstLine="470" w:firstLineChars="196"/>
        <w:rPr>
          <w:rFonts w:ascii="宋体" w:hAnsi="宋体"/>
          <w:color w:val="000000"/>
          <w:sz w:val="24"/>
          <w:highlight w:val="none"/>
        </w:rPr>
      </w:pPr>
      <w:r>
        <w:rPr>
          <w:rFonts w:hint="eastAsia" w:hAnsi="宋体"/>
          <w:color w:val="000000"/>
          <w:sz w:val="24"/>
          <w:highlight w:val="none"/>
        </w:rPr>
        <w:t>本项目不缴纳投标保证金。</w:t>
      </w:r>
    </w:p>
    <w:p>
      <w:pPr>
        <w:spacing w:line="400" w:lineRule="exact"/>
        <w:ind w:firstLine="472" w:firstLineChars="196"/>
        <w:rPr>
          <w:rFonts w:ascii="宋体" w:hAnsi="宋体"/>
          <w:b/>
          <w:color w:val="000000"/>
          <w:sz w:val="24"/>
          <w:highlight w:val="none"/>
        </w:rPr>
      </w:pPr>
      <w:r>
        <w:rPr>
          <w:rFonts w:hint="eastAsia" w:ascii="宋体" w:hAnsi="宋体"/>
          <w:b/>
          <w:color w:val="000000"/>
          <w:sz w:val="24"/>
          <w:highlight w:val="none"/>
        </w:rPr>
        <w:t>8.响应文件有效期</w:t>
      </w:r>
    </w:p>
    <w:p>
      <w:pPr>
        <w:spacing w:line="400" w:lineRule="exact"/>
        <w:ind w:firstLine="470" w:firstLineChars="196"/>
        <w:rPr>
          <w:highlight w:val="none"/>
        </w:rPr>
      </w:pPr>
      <w:r>
        <w:rPr>
          <w:rFonts w:hint="eastAsia" w:ascii="宋体" w:hAnsi="宋体"/>
          <w:color w:val="000000"/>
          <w:sz w:val="24"/>
          <w:highlight w:val="none"/>
        </w:rPr>
        <w:t>本项目响应文件有效期为递交磋商响应文件截止之日起60天。供应商响应文件中必须载明响应文件有效期，响应文件中载明的响应文件有效期可以长于磋商文件规定的期限，但不得短于磋商文件规定的期限。否则，其响应文件将作为无效处理。</w:t>
      </w:r>
    </w:p>
    <w:p>
      <w:pPr>
        <w:spacing w:line="400" w:lineRule="exact"/>
        <w:ind w:firstLine="361" w:firstLineChars="150"/>
        <w:rPr>
          <w:rFonts w:ascii="宋体" w:hAnsi="宋体"/>
          <w:b/>
          <w:color w:val="000000"/>
          <w:sz w:val="24"/>
          <w:highlight w:val="none"/>
        </w:rPr>
      </w:pPr>
      <w:r>
        <w:rPr>
          <w:rFonts w:hint="eastAsia" w:ascii="宋体" w:hAnsi="宋体"/>
          <w:b/>
          <w:color w:val="000000"/>
          <w:sz w:val="24"/>
          <w:highlight w:val="none"/>
        </w:rPr>
        <w:t>9.知识产权</w:t>
      </w:r>
    </w:p>
    <w:p>
      <w:pPr>
        <w:spacing w:line="400" w:lineRule="exact"/>
        <w:ind w:firstLine="360" w:firstLineChars="150"/>
        <w:rPr>
          <w:rFonts w:ascii="宋体" w:hAnsi="宋体"/>
          <w:color w:val="000000"/>
          <w:sz w:val="24"/>
          <w:highlight w:val="none"/>
        </w:rPr>
      </w:pPr>
      <w:r>
        <w:rPr>
          <w:rFonts w:hint="eastAsia" w:ascii="宋体" w:hAnsi="宋体"/>
          <w:color w:val="000000"/>
          <w:sz w:val="24"/>
          <w:highlight w:val="none"/>
        </w:rPr>
        <w:t>9</w:t>
      </w:r>
      <w:r>
        <w:rPr>
          <w:rFonts w:ascii="宋体" w:hAnsi="宋体"/>
          <w:color w:val="000000"/>
          <w:sz w:val="24"/>
          <w:highlight w:val="none"/>
        </w:rPr>
        <w:t>.1</w:t>
      </w:r>
      <w:r>
        <w:rPr>
          <w:rFonts w:hint="eastAsia" w:ascii="宋体" w:hAnsi="宋体"/>
          <w:color w:val="000000"/>
          <w:sz w:val="24"/>
          <w:highlight w:val="none"/>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400" w:lineRule="exact"/>
        <w:ind w:firstLine="360" w:firstLineChars="150"/>
        <w:rPr>
          <w:rFonts w:ascii="宋体" w:hAnsi="宋体"/>
          <w:color w:val="000000"/>
          <w:sz w:val="24"/>
          <w:highlight w:val="none"/>
        </w:rPr>
      </w:pPr>
      <w:r>
        <w:rPr>
          <w:rFonts w:hint="eastAsia" w:ascii="宋体" w:hAnsi="宋体"/>
          <w:color w:val="000000"/>
          <w:sz w:val="24"/>
          <w:highlight w:val="none"/>
        </w:rPr>
        <w:t>9</w:t>
      </w:r>
      <w:r>
        <w:rPr>
          <w:rFonts w:ascii="宋体" w:hAnsi="宋体"/>
          <w:color w:val="000000"/>
          <w:sz w:val="24"/>
          <w:highlight w:val="none"/>
        </w:rPr>
        <w:t>.2</w:t>
      </w:r>
      <w:r>
        <w:rPr>
          <w:rFonts w:hint="eastAsia" w:ascii="宋体" w:hAnsi="宋体"/>
          <w:color w:val="000000"/>
          <w:sz w:val="24"/>
          <w:highlight w:val="none"/>
        </w:rPr>
        <w:t xml:space="preserve"> 除非磋商文件特别规定，采购人享有本项目实施过程中产生的知识成果及知识产权。</w:t>
      </w:r>
    </w:p>
    <w:p>
      <w:pPr>
        <w:spacing w:line="400" w:lineRule="exact"/>
        <w:ind w:firstLine="360" w:firstLineChars="150"/>
        <w:rPr>
          <w:rFonts w:ascii="宋体" w:hAnsi="宋体"/>
          <w:color w:val="000000"/>
          <w:sz w:val="24"/>
          <w:highlight w:val="none"/>
        </w:rPr>
      </w:pPr>
      <w:r>
        <w:rPr>
          <w:rFonts w:hint="eastAsia" w:ascii="宋体" w:hAnsi="宋体"/>
          <w:color w:val="000000"/>
          <w:sz w:val="24"/>
          <w:highlight w:val="none"/>
        </w:rPr>
        <w:t>9</w:t>
      </w:r>
      <w:r>
        <w:rPr>
          <w:rFonts w:ascii="宋体" w:hAnsi="宋体"/>
          <w:color w:val="000000"/>
          <w:sz w:val="24"/>
          <w:highlight w:val="none"/>
        </w:rPr>
        <w:t>.3</w:t>
      </w:r>
      <w:r>
        <w:rPr>
          <w:rFonts w:hint="eastAsia" w:ascii="宋体" w:hAnsi="宋体"/>
          <w:color w:val="000000"/>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400" w:lineRule="exact"/>
        <w:ind w:firstLine="360" w:firstLineChars="150"/>
        <w:rPr>
          <w:highlight w:val="none"/>
        </w:rPr>
      </w:pPr>
      <w:r>
        <w:rPr>
          <w:rFonts w:hint="eastAsia" w:ascii="宋体" w:hAnsi="宋体"/>
          <w:color w:val="000000"/>
          <w:sz w:val="24"/>
          <w:highlight w:val="none"/>
        </w:rPr>
        <w:t>9</w:t>
      </w:r>
      <w:r>
        <w:rPr>
          <w:rFonts w:ascii="宋体" w:hAnsi="宋体"/>
          <w:color w:val="000000"/>
          <w:sz w:val="24"/>
          <w:highlight w:val="none"/>
        </w:rPr>
        <w:t>.4</w:t>
      </w:r>
      <w:r>
        <w:rPr>
          <w:rFonts w:hint="eastAsia" w:ascii="宋体" w:hAnsi="宋体"/>
          <w:color w:val="000000"/>
          <w:sz w:val="24"/>
          <w:highlight w:val="none"/>
        </w:rPr>
        <w:t xml:space="preserve"> 如采用供应商所不拥有的知识产权，则在报价中必须包括合法获取该知识产权的相关费用。 </w:t>
      </w:r>
      <w:bookmarkStart w:id="20" w:name="_Toc77400779"/>
      <w:bookmarkStart w:id="21" w:name="_Toc217446038"/>
      <w:bookmarkStart w:id="22" w:name="_Toc89075875"/>
      <w:bookmarkStart w:id="23" w:name="_Toc183682346"/>
      <w:bookmarkStart w:id="24" w:name="_Toc183582209"/>
    </w:p>
    <w:p>
      <w:pPr>
        <w:pStyle w:val="3"/>
        <w:spacing w:before="20" w:after="20" w:line="360" w:lineRule="auto"/>
        <w:jc w:val="center"/>
        <w:rPr>
          <w:rFonts w:ascii="宋体" w:hAnsi="宋体"/>
          <w:color w:val="000000"/>
          <w:sz w:val="24"/>
          <w:highlight w:val="none"/>
        </w:rPr>
      </w:pPr>
      <w:r>
        <w:rPr>
          <w:rFonts w:hint="eastAsia"/>
          <w:color w:val="000000"/>
          <w:sz w:val="28"/>
          <w:szCs w:val="28"/>
          <w:highlight w:val="none"/>
        </w:rPr>
        <w:t>三、磋商文件</w:t>
      </w:r>
      <w:bookmarkEnd w:id="20"/>
      <w:bookmarkEnd w:id="21"/>
      <w:bookmarkEnd w:id="22"/>
      <w:bookmarkEnd w:id="23"/>
      <w:bookmarkEnd w:id="24"/>
      <w:bookmarkStart w:id="25" w:name="_Toc217446039"/>
      <w:bookmarkStart w:id="26" w:name="_Toc183582210"/>
      <w:bookmarkStart w:id="27" w:name="_Toc183682347"/>
    </w:p>
    <w:p>
      <w:pPr>
        <w:pStyle w:val="5"/>
        <w:keepNext w:val="0"/>
        <w:keepLines w:val="0"/>
        <w:spacing w:before="0" w:after="0" w:line="400" w:lineRule="exact"/>
        <w:ind w:firstLine="482" w:firstLineChars="200"/>
        <w:rPr>
          <w:rFonts w:ascii="宋体" w:hAnsi="宋体"/>
          <w:color w:val="000000"/>
          <w:sz w:val="24"/>
          <w:highlight w:val="none"/>
        </w:rPr>
      </w:pPr>
      <w:r>
        <w:rPr>
          <w:rFonts w:hint="eastAsia" w:ascii="宋体" w:hAnsi="宋体"/>
          <w:color w:val="000000"/>
          <w:sz w:val="24"/>
          <w:highlight w:val="none"/>
        </w:rPr>
        <w:t>10．磋商文件的构成</w:t>
      </w:r>
      <w:bookmarkEnd w:id="25"/>
      <w:bookmarkEnd w:id="26"/>
      <w:bookmarkEnd w:id="27"/>
    </w:p>
    <w:p>
      <w:pPr>
        <w:tabs>
          <w:tab w:val="left" w:pos="720"/>
        </w:tabs>
        <w:spacing w:line="400" w:lineRule="exact"/>
        <w:ind w:firstLine="480" w:firstLineChars="200"/>
        <w:rPr>
          <w:rFonts w:ascii="宋体" w:hAnsi="宋体"/>
          <w:color w:val="FF0000"/>
          <w:sz w:val="24"/>
          <w:highlight w:val="none"/>
        </w:rPr>
      </w:pPr>
      <w:r>
        <w:rPr>
          <w:rFonts w:hint="eastAsia" w:ascii="宋体" w:hAnsi="宋体"/>
          <w:color w:val="000000"/>
          <w:sz w:val="24"/>
          <w:highlight w:val="none"/>
        </w:rPr>
        <w:t>10</w:t>
      </w:r>
      <w:r>
        <w:rPr>
          <w:rFonts w:ascii="宋体" w:hAnsi="宋体"/>
          <w:b/>
          <w:bCs/>
          <w:color w:val="000000"/>
          <w:sz w:val="24"/>
          <w:highlight w:val="none"/>
        </w:rPr>
        <w:t>.</w:t>
      </w:r>
      <w:r>
        <w:rPr>
          <w:rFonts w:hint="eastAsia" w:ascii="宋体" w:hAnsi="宋体"/>
          <w:color w:val="000000"/>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10</w:t>
      </w:r>
      <w:r>
        <w:rPr>
          <w:rFonts w:hint="eastAsia" w:ascii="宋体" w:hAnsi="宋体"/>
          <w:b/>
          <w:bCs/>
          <w:color w:val="000000"/>
          <w:sz w:val="24"/>
          <w:highlight w:val="none"/>
        </w:rPr>
        <w:t>.</w:t>
      </w:r>
      <w:r>
        <w:rPr>
          <w:rFonts w:hint="eastAsia" w:ascii="宋体" w:hAnsi="宋体"/>
          <w:color w:val="000000"/>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28" w:name="_Toc183682348"/>
      <w:bookmarkStart w:id="29" w:name="_Toc183582211"/>
      <w:bookmarkStart w:id="30" w:name="_Toc217446040"/>
    </w:p>
    <w:p>
      <w:pPr>
        <w:pStyle w:val="5"/>
        <w:keepNext w:val="0"/>
        <w:keepLines w:val="0"/>
        <w:spacing w:before="0" w:after="0" w:line="400" w:lineRule="exact"/>
        <w:ind w:firstLine="482" w:firstLineChars="200"/>
        <w:rPr>
          <w:rFonts w:ascii="宋体" w:hAnsi="宋体"/>
          <w:color w:val="000000"/>
          <w:sz w:val="24"/>
          <w:highlight w:val="none"/>
        </w:rPr>
      </w:pPr>
      <w:r>
        <w:rPr>
          <w:rFonts w:hint="eastAsia" w:ascii="宋体" w:hAnsi="宋体"/>
          <w:color w:val="000000"/>
          <w:sz w:val="24"/>
          <w:highlight w:val="none"/>
        </w:rPr>
        <w:t>11. 磋商文件的澄清</w:t>
      </w:r>
      <w:bookmarkEnd w:id="28"/>
      <w:bookmarkEnd w:id="29"/>
      <w:r>
        <w:rPr>
          <w:rFonts w:hint="eastAsia" w:ascii="宋体" w:hAnsi="宋体"/>
          <w:color w:val="000000"/>
          <w:sz w:val="24"/>
          <w:highlight w:val="none"/>
        </w:rPr>
        <w:t>和修改</w:t>
      </w:r>
      <w:bookmarkEnd w:id="30"/>
    </w:p>
    <w:p>
      <w:pPr>
        <w:tabs>
          <w:tab w:val="left" w:pos="720"/>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11.1 在递交响应文件截止时间前，采购人、采购代理机构可以对磋商文件进行澄清或者修改。</w:t>
      </w:r>
    </w:p>
    <w:p>
      <w:pPr>
        <w:tabs>
          <w:tab w:val="left" w:pos="720"/>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tabs>
          <w:tab w:val="left" w:pos="720"/>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11.3供应商对磋商文件如有疑点要求澄清，或认为有必要与采购人进行相关问题交流时，可以书面形式直接通知采购人，但通知不得迟于磋商前5 天。供应商在规定的时间内未对磋商文件澄清或提出疑问的，采购人将视其为同意。</w:t>
      </w:r>
    </w:p>
    <w:p>
      <w:pPr>
        <w:pStyle w:val="5"/>
        <w:keepNext w:val="0"/>
        <w:keepLines w:val="0"/>
        <w:spacing w:before="0" w:after="0" w:line="400" w:lineRule="exact"/>
        <w:ind w:firstLine="482" w:firstLineChars="200"/>
        <w:rPr>
          <w:rFonts w:ascii="宋体" w:hAnsi="宋体"/>
          <w:color w:val="000000"/>
          <w:sz w:val="24"/>
          <w:highlight w:val="none"/>
        </w:rPr>
      </w:pPr>
      <w:bookmarkStart w:id="31" w:name="_Toc208848971"/>
      <w:bookmarkStart w:id="32" w:name="_Toc217446041"/>
      <w:r>
        <w:rPr>
          <w:rFonts w:hint="eastAsia" w:ascii="宋体" w:hAnsi="宋体"/>
          <w:color w:val="000000"/>
          <w:sz w:val="24"/>
          <w:highlight w:val="none"/>
        </w:rPr>
        <w:t>12. 答疑会和现场考察</w:t>
      </w:r>
      <w:bookmarkEnd w:id="31"/>
      <w:bookmarkEnd w:id="32"/>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ascii="宋体" w:hAnsi="宋体"/>
          <w:sz w:val="24"/>
          <w:highlight w:val="none"/>
        </w:rPr>
      </w:pPr>
      <w:r>
        <w:rPr>
          <w:rFonts w:hint="eastAsia" w:ascii="宋体" w:hAnsi="宋体"/>
          <w:color w:val="000000"/>
          <w:sz w:val="24"/>
          <w:highlight w:val="none"/>
        </w:rPr>
        <w:t>12.2采购人、采购代理机构组织现场考察或者召开答疑会的，将以书面形式通知所有获取磋商文件的潜在供应商。</w:t>
      </w:r>
      <w:r>
        <w:rPr>
          <w:rFonts w:hint="eastAsia" w:ascii="宋体" w:hAnsi="宋体"/>
          <w:sz w:val="24"/>
          <w:highlight w:val="none"/>
        </w:rPr>
        <w:t>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400" w:lineRule="exact"/>
        <w:ind w:firstLine="420" w:firstLineChars="175"/>
        <w:rPr>
          <w:highlight w:val="none"/>
        </w:rPr>
      </w:pPr>
      <w:r>
        <w:rPr>
          <w:rFonts w:hint="eastAsia" w:ascii="宋体" w:hAnsi="宋体"/>
          <w:color w:val="000000"/>
          <w:sz w:val="24"/>
          <w:highlight w:val="none"/>
        </w:rPr>
        <w:t>12</w:t>
      </w:r>
      <w:r>
        <w:rPr>
          <w:rFonts w:ascii="宋体" w:hAnsi="宋体"/>
          <w:color w:val="000000"/>
          <w:sz w:val="24"/>
          <w:highlight w:val="none"/>
        </w:rPr>
        <w:t>.</w:t>
      </w:r>
      <w:r>
        <w:rPr>
          <w:rFonts w:hint="eastAsia" w:ascii="宋体" w:hAnsi="宋体"/>
          <w:color w:val="000000"/>
          <w:sz w:val="24"/>
          <w:highlight w:val="none"/>
        </w:rPr>
        <w:t>3 供应商考察现场或者参加答疑会所发生的一切费用由供应商自己承担。</w:t>
      </w:r>
      <w:bookmarkStart w:id="33" w:name="_Toc217446042"/>
      <w:bookmarkStart w:id="34" w:name="_Toc89075876"/>
      <w:bookmarkStart w:id="35" w:name="_Toc183582214"/>
      <w:bookmarkStart w:id="36" w:name="_Toc183682351"/>
      <w:bookmarkStart w:id="37" w:name="_Toc77400780"/>
    </w:p>
    <w:p>
      <w:pPr>
        <w:pStyle w:val="3"/>
        <w:adjustRightInd w:val="0"/>
        <w:snapToGrid w:val="0"/>
        <w:spacing w:before="20" w:after="20" w:line="360" w:lineRule="auto"/>
        <w:jc w:val="center"/>
        <w:rPr>
          <w:highlight w:val="none"/>
        </w:rPr>
      </w:pPr>
      <w:r>
        <w:rPr>
          <w:rFonts w:hint="eastAsia"/>
          <w:color w:val="000000"/>
          <w:sz w:val="28"/>
          <w:szCs w:val="28"/>
          <w:highlight w:val="none"/>
        </w:rPr>
        <w:t>四、响应文件</w:t>
      </w:r>
      <w:bookmarkEnd w:id="33"/>
      <w:bookmarkEnd w:id="34"/>
      <w:bookmarkEnd w:id="35"/>
      <w:bookmarkEnd w:id="36"/>
      <w:bookmarkEnd w:id="37"/>
    </w:p>
    <w:p>
      <w:pPr>
        <w:pStyle w:val="5"/>
        <w:keepNext w:val="0"/>
        <w:keepLines w:val="0"/>
        <w:spacing w:before="0" w:after="0" w:line="400" w:lineRule="exact"/>
        <w:ind w:firstLine="482" w:firstLineChars="200"/>
        <w:rPr>
          <w:rFonts w:ascii="宋体" w:hAnsi="宋体"/>
          <w:color w:val="000000"/>
          <w:sz w:val="24"/>
          <w:highlight w:val="none"/>
        </w:rPr>
      </w:pPr>
      <w:bookmarkStart w:id="38" w:name="_Toc183682352"/>
      <w:bookmarkStart w:id="39" w:name="_Toc183582215"/>
      <w:bookmarkStart w:id="40" w:name="_Toc217446043"/>
      <w:r>
        <w:rPr>
          <w:rFonts w:hint="eastAsia" w:ascii="宋体" w:hAnsi="宋体"/>
          <w:color w:val="000000"/>
          <w:sz w:val="24"/>
          <w:highlight w:val="none"/>
        </w:rPr>
        <w:t>13.响应文件的组成</w:t>
      </w:r>
    </w:p>
    <w:p>
      <w:pPr>
        <w:spacing w:line="400" w:lineRule="exact"/>
        <w:ind w:left="2" w:leftChars="1" w:firstLine="480" w:firstLineChars="200"/>
        <w:rPr>
          <w:rFonts w:ascii="宋体" w:hAnsi="宋体"/>
          <w:color w:val="000000"/>
          <w:sz w:val="24"/>
          <w:highlight w:val="none"/>
        </w:rPr>
      </w:pPr>
      <w:r>
        <w:rPr>
          <w:rFonts w:hint="eastAsia" w:ascii="宋体" w:hAnsi="宋体"/>
          <w:color w:val="000000"/>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pStyle w:val="5"/>
        <w:keepNext w:val="0"/>
        <w:keepLines w:val="0"/>
        <w:spacing w:before="0" w:after="0" w:line="400" w:lineRule="exact"/>
        <w:ind w:firstLine="482" w:firstLineChars="200"/>
        <w:rPr>
          <w:rFonts w:ascii="宋体" w:hAnsi="宋体"/>
          <w:bCs w:val="0"/>
          <w:color w:val="000000"/>
          <w:sz w:val="24"/>
          <w:highlight w:val="none"/>
        </w:rPr>
      </w:pPr>
      <w:r>
        <w:rPr>
          <w:rFonts w:hint="eastAsia" w:ascii="宋体" w:hAnsi="宋体"/>
          <w:bCs w:val="0"/>
          <w:color w:val="000000"/>
          <w:sz w:val="24"/>
          <w:highlight w:val="none"/>
        </w:rPr>
        <w:t>14.响应文件的语言</w:t>
      </w:r>
      <w:bookmarkEnd w:id="38"/>
      <w:bookmarkEnd w:id="39"/>
      <w:bookmarkEnd w:id="40"/>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14.1</w:t>
      </w:r>
      <w:r>
        <w:rPr>
          <w:rFonts w:hint="eastAsia"/>
          <w:color w:val="000000"/>
          <w:sz w:val="24"/>
          <w:highlight w:val="none"/>
        </w:rPr>
        <w:t xml:space="preserve"> </w:t>
      </w:r>
      <w:r>
        <w:rPr>
          <w:rFonts w:hint="eastAsia" w:ascii="宋体" w:hAnsi="宋体"/>
          <w:color w:val="000000"/>
          <w:sz w:val="24"/>
          <w:highlight w:val="none"/>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14.2 翻译的中文资料与外文资料如果出现差异和矛盾，以中文为准。但不能故意错误翻译，否则，供应商的响应文件将作为无效处理。</w:t>
      </w:r>
    </w:p>
    <w:p>
      <w:pPr>
        <w:pStyle w:val="5"/>
        <w:keepNext w:val="0"/>
        <w:keepLines w:val="0"/>
        <w:spacing w:before="0" w:after="0" w:line="400" w:lineRule="exact"/>
        <w:ind w:firstLine="482" w:firstLineChars="200"/>
        <w:rPr>
          <w:rFonts w:ascii="宋体" w:hAnsi="宋体"/>
          <w:color w:val="000000"/>
          <w:sz w:val="24"/>
          <w:highlight w:val="none"/>
        </w:rPr>
      </w:pPr>
      <w:bookmarkStart w:id="41" w:name="_Toc183582216"/>
      <w:bookmarkStart w:id="42" w:name="_Toc183682353"/>
      <w:bookmarkStart w:id="43" w:name="_Toc217446044"/>
      <w:r>
        <w:rPr>
          <w:rFonts w:hint="eastAsia" w:ascii="宋体" w:hAnsi="宋体"/>
          <w:color w:val="000000"/>
          <w:sz w:val="24"/>
          <w:highlight w:val="none"/>
        </w:rPr>
        <w:t>15．计量单位</w:t>
      </w:r>
      <w:bookmarkEnd w:id="41"/>
      <w:bookmarkEnd w:id="42"/>
      <w:bookmarkEnd w:id="43"/>
    </w:p>
    <w:p>
      <w:pPr>
        <w:spacing w:line="400" w:lineRule="exact"/>
        <w:ind w:firstLine="470" w:firstLineChars="196"/>
        <w:rPr>
          <w:rFonts w:ascii="宋体" w:hAnsi="宋体"/>
          <w:color w:val="000000"/>
          <w:sz w:val="24"/>
          <w:highlight w:val="none"/>
        </w:rPr>
      </w:pPr>
      <w:r>
        <w:rPr>
          <w:rFonts w:hint="eastAsia" w:ascii="宋体" w:hAnsi="宋体"/>
          <w:color w:val="000000"/>
          <w:sz w:val="24"/>
          <w:highlight w:val="none"/>
        </w:rPr>
        <w:t>除磋商文件中另有规定外，本次采购项目所有合同项下的报价均采用国家法定的计量单位。</w:t>
      </w:r>
    </w:p>
    <w:p>
      <w:pPr>
        <w:spacing w:line="400" w:lineRule="exact"/>
        <w:ind w:firstLine="470" w:firstLineChars="195"/>
        <w:rPr>
          <w:rFonts w:ascii="宋体" w:hAnsi="宋体"/>
          <w:b/>
          <w:bCs/>
          <w:color w:val="000000"/>
          <w:sz w:val="24"/>
          <w:highlight w:val="none"/>
        </w:rPr>
      </w:pPr>
      <w:bookmarkStart w:id="44" w:name="_Toc217446045"/>
      <w:r>
        <w:rPr>
          <w:rFonts w:hint="eastAsia" w:ascii="宋体" w:hAnsi="宋体"/>
          <w:b/>
          <w:bCs/>
          <w:color w:val="000000"/>
          <w:sz w:val="24"/>
          <w:highlight w:val="none"/>
        </w:rPr>
        <w:t xml:space="preserve">16. </w:t>
      </w:r>
      <w:r>
        <w:rPr>
          <w:rFonts w:hint="eastAsia" w:ascii="宋体" w:hAnsi="宋体"/>
          <w:b/>
          <w:color w:val="000000"/>
          <w:sz w:val="24"/>
          <w:highlight w:val="none"/>
        </w:rPr>
        <w:t>报价</w:t>
      </w:r>
      <w:r>
        <w:rPr>
          <w:rFonts w:hint="eastAsia" w:ascii="宋体" w:hAnsi="宋体"/>
          <w:b/>
          <w:bCs/>
          <w:color w:val="000000"/>
          <w:sz w:val="24"/>
          <w:highlight w:val="none"/>
        </w:rPr>
        <w:t>货币</w:t>
      </w:r>
    </w:p>
    <w:p>
      <w:pPr>
        <w:spacing w:line="400" w:lineRule="exact"/>
        <w:ind w:firstLine="468" w:firstLineChars="195"/>
        <w:rPr>
          <w:rFonts w:ascii="宋体" w:hAnsi="宋体"/>
          <w:bCs/>
          <w:color w:val="000000"/>
          <w:sz w:val="24"/>
          <w:highlight w:val="none"/>
        </w:rPr>
      </w:pPr>
      <w:r>
        <w:rPr>
          <w:rFonts w:hint="eastAsia" w:ascii="宋体" w:hAnsi="宋体"/>
          <w:bCs/>
          <w:color w:val="000000"/>
          <w:sz w:val="24"/>
          <w:highlight w:val="none"/>
        </w:rPr>
        <w:t>本次磋商项目的</w:t>
      </w:r>
      <w:r>
        <w:rPr>
          <w:rFonts w:hint="eastAsia" w:ascii="宋体" w:hAnsi="宋体"/>
          <w:color w:val="000000"/>
          <w:sz w:val="24"/>
          <w:highlight w:val="none"/>
        </w:rPr>
        <w:t>报价货币为</w:t>
      </w:r>
      <w:r>
        <w:rPr>
          <w:rFonts w:hint="eastAsia" w:ascii="宋体" w:hAnsi="宋体"/>
          <w:bCs/>
          <w:color w:val="000000"/>
          <w:sz w:val="24"/>
          <w:highlight w:val="none"/>
        </w:rPr>
        <w:t>人民币，报价以磋商文件规定为准。</w:t>
      </w:r>
    </w:p>
    <w:bookmarkEnd w:id="44"/>
    <w:p>
      <w:pPr>
        <w:spacing w:line="400" w:lineRule="exact"/>
        <w:ind w:left="2" w:leftChars="1" w:firstLine="482" w:firstLineChars="200"/>
        <w:rPr>
          <w:rFonts w:ascii="宋体" w:hAnsi="宋体"/>
          <w:b/>
          <w:bCs/>
          <w:color w:val="000000"/>
          <w:sz w:val="24"/>
          <w:highlight w:val="none"/>
        </w:rPr>
      </w:pPr>
      <w:r>
        <w:rPr>
          <w:rFonts w:hint="eastAsia" w:ascii="宋体" w:hAnsi="宋体"/>
          <w:b/>
          <w:bCs/>
          <w:color w:val="000000"/>
          <w:sz w:val="24"/>
          <w:highlight w:val="none"/>
        </w:rPr>
        <w:t>17.响应文件格式</w:t>
      </w:r>
    </w:p>
    <w:p>
      <w:pPr>
        <w:spacing w:line="400" w:lineRule="exact"/>
        <w:ind w:left="2" w:leftChars="1" w:firstLine="480" w:firstLineChars="200"/>
        <w:rPr>
          <w:rFonts w:ascii="宋体" w:hAnsi="宋体"/>
          <w:bCs/>
          <w:color w:val="000000"/>
          <w:sz w:val="24"/>
          <w:highlight w:val="none"/>
        </w:rPr>
      </w:pPr>
      <w:r>
        <w:rPr>
          <w:rFonts w:hint="eastAsia" w:ascii="宋体" w:hAnsi="宋体"/>
          <w:bCs/>
          <w:color w:val="000000"/>
          <w:sz w:val="24"/>
          <w:highlight w:val="none"/>
        </w:rPr>
        <w:t>17.1 供应商应执行</w:t>
      </w:r>
      <w:r>
        <w:rPr>
          <w:rFonts w:hint="eastAsia" w:ascii="宋体" w:hAnsi="宋体"/>
          <w:color w:val="000000"/>
          <w:sz w:val="24"/>
          <w:highlight w:val="none"/>
        </w:rPr>
        <w:t>磋商文件第七章的规定要</w:t>
      </w:r>
      <w:r>
        <w:rPr>
          <w:rFonts w:hint="eastAsia" w:ascii="宋体" w:hAnsi="宋体"/>
          <w:bCs/>
          <w:color w:val="000000"/>
          <w:sz w:val="24"/>
          <w:highlight w:val="none"/>
        </w:rPr>
        <w:t>求。</w:t>
      </w:r>
    </w:p>
    <w:p>
      <w:pPr>
        <w:spacing w:line="400" w:lineRule="exact"/>
        <w:ind w:left="2" w:leftChars="1" w:firstLine="480" w:firstLineChars="200"/>
        <w:rPr>
          <w:rFonts w:ascii="宋体" w:hAnsi="宋体"/>
          <w:color w:val="000000"/>
          <w:sz w:val="24"/>
          <w:highlight w:val="none"/>
        </w:rPr>
      </w:pPr>
      <w:r>
        <w:rPr>
          <w:rFonts w:hint="eastAsia" w:ascii="宋体" w:hAnsi="宋体"/>
          <w:color w:val="000000"/>
          <w:sz w:val="24"/>
          <w:highlight w:val="none"/>
        </w:rPr>
        <w:t>17.2 对于没有格式要求的磋商文件由供应商自行编写。</w:t>
      </w:r>
    </w:p>
    <w:p>
      <w:pPr>
        <w:spacing w:line="400" w:lineRule="exact"/>
        <w:ind w:firstLine="472" w:firstLineChars="196"/>
        <w:rPr>
          <w:rFonts w:ascii="宋体" w:hAnsi="宋体"/>
          <w:b/>
          <w:color w:val="000000"/>
          <w:sz w:val="24"/>
          <w:highlight w:val="none"/>
        </w:rPr>
      </w:pPr>
      <w:bookmarkStart w:id="45" w:name="_Toc217446051"/>
      <w:bookmarkStart w:id="46" w:name="_Toc183582224"/>
      <w:bookmarkStart w:id="47" w:name="_Toc183682361"/>
      <w:r>
        <w:rPr>
          <w:rFonts w:hint="eastAsia" w:ascii="宋体" w:hAnsi="宋体"/>
          <w:b/>
          <w:color w:val="000000"/>
          <w:sz w:val="24"/>
          <w:highlight w:val="none"/>
        </w:rPr>
        <w:t>18.响应文件的编制和签署</w:t>
      </w:r>
    </w:p>
    <w:p>
      <w:pPr>
        <w:spacing w:line="400" w:lineRule="exact"/>
        <w:ind w:firstLine="468" w:firstLineChars="195"/>
        <w:rPr>
          <w:rFonts w:ascii="宋体" w:hAnsi="宋体"/>
          <w:bCs/>
          <w:color w:val="000000"/>
          <w:sz w:val="24"/>
          <w:highlight w:val="none"/>
        </w:rPr>
      </w:pPr>
      <w:r>
        <w:rPr>
          <w:rFonts w:hint="eastAsia" w:ascii="宋体" w:hAnsi="宋体"/>
          <w:color w:val="000000"/>
          <w:sz w:val="24"/>
          <w:highlight w:val="none"/>
        </w:rPr>
        <w:t>18.1 资格性响应文件正本1份副本2份</w:t>
      </w:r>
      <w:r>
        <w:rPr>
          <w:rFonts w:hint="eastAsia" w:ascii="宋体" w:hAnsi="宋体"/>
          <w:bCs/>
          <w:color w:val="000000"/>
          <w:sz w:val="24"/>
          <w:highlight w:val="none"/>
        </w:rPr>
        <w:t>，并在其封面上清楚地标明资格性响应文件、采购项目名称、采购项目编号、包件号及名称（若有）、供应商名称以及“正本”或“副本”字样。若正本和副本有不一致的内容，以正本书面响应文件为准。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68" w:firstLineChars="195"/>
        <w:rPr>
          <w:rFonts w:ascii="宋体" w:hAnsi="宋体"/>
          <w:bCs/>
          <w:color w:val="000000"/>
          <w:sz w:val="24"/>
          <w:highlight w:val="none"/>
        </w:rPr>
      </w:pPr>
      <w:r>
        <w:rPr>
          <w:rFonts w:hint="eastAsia" w:ascii="宋体" w:hAnsi="宋体"/>
          <w:bCs/>
          <w:color w:val="000000"/>
          <w:sz w:val="24"/>
          <w:highlight w:val="none"/>
        </w:rPr>
        <w:t>18.2 其他响应文件正本壹份副本贰份，并在其封面上清楚地标明其他响应文件、采购项目名称、采购项目编号、包件号及名称（若有）、供应商名称以及“正本”或“副本”字样。若正本和副本有不一致的内容，以正本书面响应文件为准。</w:t>
      </w:r>
    </w:p>
    <w:bookmarkEnd w:id="45"/>
    <w:bookmarkEnd w:id="46"/>
    <w:bookmarkEnd w:id="47"/>
    <w:p>
      <w:pPr>
        <w:spacing w:line="400" w:lineRule="exact"/>
        <w:ind w:firstLine="468" w:firstLineChars="195"/>
        <w:rPr>
          <w:rFonts w:ascii="宋体" w:hAnsi="宋体"/>
          <w:bCs/>
          <w:color w:val="000000"/>
          <w:sz w:val="24"/>
          <w:highlight w:val="none"/>
        </w:rPr>
      </w:pPr>
      <w:r>
        <w:rPr>
          <w:rFonts w:hint="eastAsia" w:ascii="宋体" w:hAnsi="宋体"/>
          <w:bCs/>
          <w:color w:val="000000"/>
          <w:sz w:val="24"/>
          <w:highlight w:val="none"/>
        </w:rPr>
        <w:t>18.3 响应文件正本和副本均需在规定签章处签字和盖章。响应文件副本可采用正本的复印件，电子文档采用光盘或U盘制作。</w:t>
      </w:r>
    </w:p>
    <w:p>
      <w:pPr>
        <w:spacing w:line="400" w:lineRule="exact"/>
        <w:ind w:firstLine="468" w:firstLineChars="195"/>
        <w:rPr>
          <w:rFonts w:ascii="宋体" w:hAnsi="宋体"/>
          <w:bCs/>
          <w:color w:val="000000"/>
          <w:sz w:val="24"/>
          <w:highlight w:val="none"/>
        </w:rPr>
      </w:pPr>
      <w:r>
        <w:rPr>
          <w:rFonts w:hint="eastAsia" w:ascii="宋体" w:hAnsi="宋体"/>
          <w:bCs/>
          <w:color w:val="000000"/>
          <w:sz w:val="24"/>
          <w:highlight w:val="none"/>
        </w:rPr>
        <w:t>18.4响应文件的打印和书写应清楚工整，任何行间插字、涂改或增删，必须由供应商的法定代表人或其授权代表签字并盖供应商公章。</w:t>
      </w:r>
    </w:p>
    <w:p>
      <w:pPr>
        <w:spacing w:line="400" w:lineRule="exact"/>
        <w:ind w:firstLine="468" w:firstLineChars="195"/>
        <w:rPr>
          <w:rFonts w:ascii="宋体" w:hAnsi="宋体"/>
          <w:bCs/>
          <w:color w:val="000000"/>
          <w:sz w:val="24"/>
          <w:highlight w:val="none"/>
        </w:rPr>
      </w:pPr>
      <w:r>
        <w:rPr>
          <w:rFonts w:hint="eastAsia" w:ascii="宋体" w:hAnsi="宋体"/>
          <w:bCs/>
          <w:color w:val="000000"/>
          <w:sz w:val="24"/>
          <w:highlight w:val="none"/>
        </w:rPr>
        <w:t>18.5（实质性要求）响应文件应由供应商法定代表人或其授权代表在响应文件要求的地方签字（或加盖私人印章），要求加盖公章的地方加盖单位公章，不得使用专用章（如经济合同章、投标专用章等）或下属单位印章代替。</w:t>
      </w:r>
    </w:p>
    <w:p>
      <w:pPr>
        <w:spacing w:line="400" w:lineRule="exact"/>
        <w:ind w:firstLine="468" w:firstLineChars="195"/>
        <w:rPr>
          <w:rFonts w:ascii="宋体" w:hAnsi="宋体"/>
          <w:bCs/>
          <w:color w:val="000000"/>
          <w:sz w:val="24"/>
          <w:highlight w:val="none"/>
        </w:rPr>
      </w:pPr>
      <w:r>
        <w:rPr>
          <w:rFonts w:hint="eastAsia" w:ascii="宋体" w:hAnsi="宋体"/>
          <w:bCs/>
          <w:color w:val="000000"/>
          <w:sz w:val="24"/>
          <w:highlight w:val="none"/>
        </w:rPr>
        <w:t>18.6响应文件正本和副本需要逐页编目编码。</w:t>
      </w:r>
    </w:p>
    <w:p>
      <w:pPr>
        <w:tabs>
          <w:tab w:val="left" w:pos="1080"/>
        </w:tabs>
        <w:spacing w:line="400" w:lineRule="exact"/>
        <w:ind w:firstLine="460" w:firstLineChars="192"/>
        <w:rPr>
          <w:rFonts w:ascii="宋体" w:hAnsi="宋体"/>
          <w:color w:val="000000"/>
          <w:sz w:val="24"/>
          <w:highlight w:val="none"/>
        </w:rPr>
      </w:pPr>
      <w:r>
        <w:rPr>
          <w:rFonts w:hint="eastAsia" w:ascii="宋体" w:hAnsi="宋体"/>
          <w:color w:val="000000"/>
          <w:sz w:val="24"/>
          <w:highlight w:val="none"/>
        </w:rPr>
        <w:t>18.7响应文件正本和副本应当采用胶装方式装订成册，不得散装或者合页装订。</w:t>
      </w:r>
    </w:p>
    <w:p>
      <w:pPr>
        <w:tabs>
          <w:tab w:val="left" w:pos="1080"/>
        </w:tabs>
        <w:spacing w:line="400" w:lineRule="exact"/>
        <w:ind w:firstLine="460" w:firstLineChars="192"/>
        <w:rPr>
          <w:rFonts w:ascii="宋体" w:hAnsi="宋体"/>
          <w:color w:val="000000"/>
          <w:sz w:val="24"/>
          <w:highlight w:val="none"/>
        </w:rPr>
      </w:pPr>
      <w:r>
        <w:rPr>
          <w:rFonts w:hint="eastAsia" w:ascii="宋体" w:hAnsi="宋体"/>
          <w:color w:val="000000"/>
          <w:sz w:val="24"/>
          <w:highlight w:val="none"/>
        </w:rPr>
        <w:t>18.8响应文件应根据磋商文件的要求制作，签署、盖章。（按照《四川省政府采购评审工作规程（修订）》规范）</w:t>
      </w:r>
    </w:p>
    <w:p>
      <w:pPr>
        <w:tabs>
          <w:tab w:val="left" w:pos="1080"/>
        </w:tabs>
        <w:spacing w:line="400" w:lineRule="exact"/>
        <w:ind w:firstLine="460" w:firstLineChars="192"/>
        <w:rPr>
          <w:rFonts w:ascii="宋体" w:hAnsi="宋体"/>
          <w:color w:val="000000"/>
          <w:sz w:val="24"/>
          <w:highlight w:val="none"/>
        </w:rPr>
      </w:pPr>
      <w:r>
        <w:rPr>
          <w:rFonts w:hint="eastAsia" w:ascii="宋体" w:hAnsi="宋体"/>
          <w:color w:val="000000"/>
          <w:sz w:val="24"/>
          <w:highlight w:val="none"/>
        </w:rPr>
        <w:t>18.9响应文件统一用</w:t>
      </w:r>
      <w:r>
        <w:rPr>
          <w:rFonts w:ascii="宋体" w:hAnsi="宋体"/>
          <w:color w:val="000000"/>
          <w:sz w:val="24"/>
          <w:highlight w:val="none"/>
        </w:rPr>
        <w:t>A4</w:t>
      </w:r>
      <w:r>
        <w:rPr>
          <w:rFonts w:hint="eastAsia" w:ascii="宋体" w:hAnsi="宋体"/>
          <w:color w:val="000000"/>
          <w:sz w:val="24"/>
          <w:highlight w:val="none"/>
        </w:rPr>
        <w:t>幅面纸印制，除另有规定外。</w:t>
      </w:r>
    </w:p>
    <w:p>
      <w:pPr>
        <w:tabs>
          <w:tab w:val="left" w:pos="1080"/>
        </w:tabs>
        <w:spacing w:line="400" w:lineRule="exact"/>
        <w:ind w:firstLine="463" w:firstLineChars="192"/>
        <w:rPr>
          <w:rFonts w:ascii="宋体"/>
          <w:b/>
          <w:color w:val="000000"/>
          <w:sz w:val="24"/>
          <w:highlight w:val="none"/>
        </w:rPr>
      </w:pPr>
      <w:bookmarkStart w:id="48" w:name="_Toc89075877"/>
      <w:bookmarkStart w:id="49" w:name="_Toc77400781"/>
      <w:bookmarkStart w:id="50" w:name="_Toc183582226"/>
      <w:bookmarkStart w:id="51" w:name="_Toc183682363"/>
      <w:bookmarkStart w:id="52" w:name="_Toc217446053"/>
      <w:r>
        <w:rPr>
          <w:rFonts w:hint="eastAsia" w:ascii="宋体"/>
          <w:b/>
          <w:color w:val="000000"/>
          <w:sz w:val="24"/>
          <w:highlight w:val="none"/>
        </w:rPr>
        <w:t>19.响应文件的密封和标注（不属于本项目磋商小组评审范畴，由采购人、采购代理机构在接收响应文件时及时处理）</w:t>
      </w:r>
    </w:p>
    <w:p>
      <w:pPr>
        <w:tabs>
          <w:tab w:val="left" w:pos="1080"/>
        </w:tabs>
        <w:spacing w:line="400" w:lineRule="exact"/>
        <w:ind w:firstLine="460" w:firstLineChars="192"/>
        <w:rPr>
          <w:rFonts w:ascii="宋体"/>
          <w:color w:val="000000"/>
          <w:sz w:val="24"/>
          <w:highlight w:val="none"/>
        </w:rPr>
      </w:pPr>
      <w:r>
        <w:rPr>
          <w:rFonts w:hint="eastAsia" w:ascii="宋体"/>
          <w:color w:val="000000"/>
          <w:sz w:val="24"/>
          <w:highlight w:val="none"/>
        </w:rPr>
        <w:t>19.1 响应文件可以单独密封包装，也可以所有响应文件密封包装在一个密封袋内。</w:t>
      </w:r>
    </w:p>
    <w:p>
      <w:pPr>
        <w:tabs>
          <w:tab w:val="left" w:pos="1080"/>
        </w:tabs>
        <w:spacing w:line="400" w:lineRule="exact"/>
        <w:ind w:firstLine="460" w:firstLineChars="192"/>
        <w:rPr>
          <w:rFonts w:ascii="宋体"/>
          <w:color w:val="000000"/>
          <w:sz w:val="24"/>
          <w:highlight w:val="none"/>
        </w:rPr>
      </w:pPr>
      <w:r>
        <w:rPr>
          <w:rFonts w:hint="eastAsia" w:ascii="宋体"/>
          <w:color w:val="000000"/>
          <w:sz w:val="24"/>
          <w:highlight w:val="none"/>
        </w:rPr>
        <w:t>19.2 响应文件密封袋的最外层应清楚地标明采购项目名称、采购项目编号、包件号及名称（若有）、供应商名称。</w:t>
      </w:r>
    </w:p>
    <w:p>
      <w:pPr>
        <w:tabs>
          <w:tab w:val="left" w:pos="1080"/>
        </w:tabs>
        <w:spacing w:line="400" w:lineRule="exact"/>
        <w:ind w:firstLine="460" w:firstLineChars="192"/>
        <w:rPr>
          <w:rFonts w:ascii="宋体"/>
          <w:color w:val="000000"/>
          <w:sz w:val="24"/>
          <w:highlight w:val="none"/>
        </w:rPr>
      </w:pPr>
      <w:r>
        <w:rPr>
          <w:rFonts w:hint="eastAsia" w:ascii="宋体"/>
          <w:color w:val="000000"/>
          <w:sz w:val="24"/>
          <w:highlight w:val="none"/>
        </w:rPr>
        <w:t xml:space="preserve"> 19.3 所有外层密封袋的封口处应粘贴牢固。</w:t>
      </w:r>
    </w:p>
    <w:p>
      <w:pPr>
        <w:tabs>
          <w:tab w:val="left" w:pos="1080"/>
        </w:tabs>
        <w:spacing w:line="400" w:lineRule="exact"/>
        <w:ind w:firstLine="460" w:firstLineChars="192"/>
        <w:rPr>
          <w:rFonts w:ascii="宋体"/>
          <w:color w:val="000000"/>
          <w:sz w:val="24"/>
          <w:highlight w:val="none"/>
        </w:rPr>
      </w:pPr>
      <w:r>
        <w:rPr>
          <w:rFonts w:hint="eastAsia" w:ascii="宋体"/>
          <w:color w:val="000000"/>
          <w:sz w:val="24"/>
          <w:highlight w:val="none"/>
        </w:rPr>
        <w:t>19.4 未按以上要求进行密封和标注的响应文件，采购人、采购代理机构将拒收或者在时间允许的范围内，要求修改完善后接收。</w:t>
      </w:r>
    </w:p>
    <w:p>
      <w:pPr>
        <w:tabs>
          <w:tab w:val="left" w:pos="1080"/>
        </w:tabs>
        <w:spacing w:line="400" w:lineRule="exact"/>
        <w:ind w:firstLine="463" w:firstLineChars="192"/>
        <w:rPr>
          <w:rFonts w:ascii="宋体"/>
          <w:b/>
          <w:color w:val="000000"/>
          <w:sz w:val="24"/>
          <w:highlight w:val="none"/>
        </w:rPr>
      </w:pPr>
      <w:r>
        <w:rPr>
          <w:rFonts w:hint="eastAsia" w:ascii="宋体"/>
          <w:b/>
          <w:color w:val="000000"/>
          <w:sz w:val="24"/>
          <w:highlight w:val="none"/>
        </w:rPr>
        <w:t>20.响应文件的递交</w:t>
      </w:r>
    </w:p>
    <w:p>
      <w:pPr>
        <w:tabs>
          <w:tab w:val="left" w:pos="1080"/>
        </w:tabs>
        <w:spacing w:line="400" w:lineRule="exact"/>
        <w:ind w:firstLine="460" w:firstLineChars="192"/>
        <w:rPr>
          <w:rFonts w:ascii="宋体"/>
          <w:color w:val="000000"/>
          <w:sz w:val="24"/>
          <w:highlight w:val="none"/>
        </w:rPr>
      </w:pPr>
      <w:r>
        <w:rPr>
          <w:rFonts w:hint="eastAsia" w:ascii="宋体"/>
          <w:color w:val="000000"/>
          <w:sz w:val="24"/>
          <w:highlight w:val="none"/>
        </w:rPr>
        <w:t>20.1 资格性响应文件和其他响应文件应于递交响应文件截止时间前送达指定地点，采购代理机构拒绝接收截止时间后送达的响应文件。</w:t>
      </w:r>
    </w:p>
    <w:p>
      <w:pPr>
        <w:tabs>
          <w:tab w:val="left" w:pos="1080"/>
        </w:tabs>
        <w:spacing w:line="400" w:lineRule="exact"/>
        <w:ind w:firstLine="460" w:firstLineChars="192"/>
        <w:rPr>
          <w:rFonts w:ascii="宋体"/>
          <w:color w:val="000000"/>
          <w:sz w:val="24"/>
          <w:highlight w:val="none"/>
        </w:rPr>
      </w:pPr>
      <w:r>
        <w:rPr>
          <w:rFonts w:hint="eastAsia" w:ascii="宋体"/>
          <w:color w:val="000000"/>
          <w:sz w:val="24"/>
          <w:highlight w:val="none"/>
        </w:rPr>
        <w:t>20.2 采购代理机构将向通过资格审查的供应商发出磋商邀请；告知未通过资格审查的供应商未通过的原因。</w:t>
      </w:r>
    </w:p>
    <w:p>
      <w:pPr>
        <w:tabs>
          <w:tab w:val="left" w:pos="1080"/>
        </w:tabs>
        <w:spacing w:line="400" w:lineRule="exact"/>
        <w:ind w:firstLine="460" w:firstLineChars="192"/>
        <w:rPr>
          <w:rFonts w:ascii="宋体"/>
          <w:color w:val="000000"/>
          <w:sz w:val="24"/>
          <w:highlight w:val="none"/>
        </w:rPr>
      </w:pPr>
      <w:r>
        <w:rPr>
          <w:rFonts w:hint="eastAsia" w:ascii="宋体"/>
          <w:color w:val="000000"/>
          <w:sz w:val="24"/>
          <w:highlight w:val="none"/>
        </w:rPr>
        <w:t>20.3 报价表在磋商后，磋商小组要求供应商进行最后报价时递交。</w:t>
      </w:r>
    </w:p>
    <w:p>
      <w:pPr>
        <w:tabs>
          <w:tab w:val="left" w:pos="1080"/>
        </w:tabs>
        <w:spacing w:line="400" w:lineRule="exact"/>
        <w:ind w:firstLine="460" w:firstLineChars="192"/>
        <w:rPr>
          <w:rFonts w:ascii="宋体"/>
          <w:color w:val="000000"/>
          <w:sz w:val="24"/>
          <w:highlight w:val="none"/>
        </w:rPr>
      </w:pPr>
      <w:r>
        <w:rPr>
          <w:rFonts w:hint="eastAsia" w:ascii="宋体"/>
          <w:color w:val="000000"/>
          <w:sz w:val="24"/>
          <w:highlight w:val="none"/>
        </w:rPr>
        <w:t>20.4 本次采购不接收邮寄的响应文件。</w:t>
      </w:r>
    </w:p>
    <w:bookmarkEnd w:id="48"/>
    <w:bookmarkEnd w:id="49"/>
    <w:bookmarkEnd w:id="50"/>
    <w:bookmarkEnd w:id="51"/>
    <w:bookmarkEnd w:id="52"/>
    <w:p>
      <w:pPr>
        <w:tabs>
          <w:tab w:val="left" w:pos="1080"/>
        </w:tabs>
        <w:spacing w:line="400" w:lineRule="exact"/>
        <w:ind w:firstLine="463" w:firstLineChars="192"/>
        <w:rPr>
          <w:rFonts w:ascii="宋体" w:hAnsi="宋体"/>
          <w:b/>
          <w:color w:val="000000"/>
          <w:sz w:val="24"/>
          <w:highlight w:val="none"/>
        </w:rPr>
      </w:pPr>
      <w:bookmarkStart w:id="53" w:name="_Toc183582228"/>
      <w:bookmarkStart w:id="54" w:name="_Toc217446055"/>
      <w:bookmarkStart w:id="55" w:name="_Toc183682365"/>
      <w:r>
        <w:rPr>
          <w:rFonts w:hint="eastAsia" w:ascii="宋体" w:hAnsi="宋体"/>
          <w:b/>
          <w:color w:val="000000"/>
          <w:sz w:val="24"/>
          <w:highlight w:val="none"/>
        </w:rPr>
        <w:t>21.响应文件的修改和撤回（补充、修改响应文件的</w:t>
      </w:r>
      <w:r>
        <w:rPr>
          <w:rFonts w:hint="eastAsia" w:ascii="宋体"/>
          <w:b/>
          <w:color w:val="000000"/>
          <w:sz w:val="24"/>
          <w:highlight w:val="none"/>
        </w:rPr>
        <w:t>密封和标注按照本章“19.响应文件的密封和标注”规定处理</w:t>
      </w:r>
      <w:r>
        <w:rPr>
          <w:rFonts w:hint="eastAsia" w:ascii="宋体" w:hAnsi="宋体"/>
          <w:b/>
          <w:color w:val="000000"/>
          <w:sz w:val="24"/>
          <w:highlight w:val="none"/>
        </w:rPr>
        <w:t>）</w:t>
      </w:r>
    </w:p>
    <w:p>
      <w:pPr>
        <w:spacing w:line="400" w:lineRule="exact"/>
        <w:ind w:firstLine="480"/>
        <w:rPr>
          <w:color w:val="000000"/>
          <w:sz w:val="24"/>
          <w:highlight w:val="none"/>
        </w:rPr>
      </w:pPr>
      <w:r>
        <w:rPr>
          <w:rFonts w:hint="eastAsia"/>
          <w:color w:val="000000"/>
          <w:sz w:val="24"/>
          <w:highlight w:val="none"/>
        </w:rPr>
        <w:t>21</w:t>
      </w:r>
      <w:r>
        <w:rPr>
          <w:color w:val="000000"/>
          <w:sz w:val="24"/>
          <w:highlight w:val="none"/>
        </w:rPr>
        <w:t>.</w:t>
      </w:r>
      <w:r>
        <w:rPr>
          <w:rFonts w:hint="eastAsia"/>
          <w:color w:val="000000"/>
          <w:sz w:val="24"/>
          <w:highlight w:val="none"/>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pacing w:line="400" w:lineRule="exact"/>
        <w:ind w:firstLine="480" w:firstLineChars="200"/>
        <w:rPr>
          <w:rFonts w:hAnsi="宋体"/>
          <w:color w:val="000000"/>
          <w:sz w:val="24"/>
          <w:highlight w:val="none"/>
        </w:rPr>
      </w:pPr>
      <w:r>
        <w:rPr>
          <w:rFonts w:hint="eastAsia" w:hAnsi="宋体"/>
          <w:color w:val="000000"/>
          <w:sz w:val="24"/>
          <w:highlight w:val="none"/>
        </w:rPr>
        <w:t>21</w:t>
      </w:r>
      <w:r>
        <w:rPr>
          <w:rFonts w:hAnsi="宋体"/>
          <w:color w:val="000000"/>
          <w:sz w:val="24"/>
          <w:highlight w:val="none"/>
        </w:rPr>
        <w:t>.</w:t>
      </w:r>
      <w:r>
        <w:rPr>
          <w:rFonts w:hint="eastAsia" w:hAnsi="宋体"/>
          <w:color w:val="000000"/>
          <w:sz w:val="24"/>
          <w:highlight w:val="none"/>
        </w:rPr>
        <w:t>2供应商对响应文件修改的书面材料或撤回的通知应该按规定进行编写、密封、标注和递送，并注明“修改响应文件”字样。</w:t>
      </w:r>
    </w:p>
    <w:p>
      <w:pPr>
        <w:spacing w:line="400" w:lineRule="exact"/>
        <w:ind w:firstLine="480" w:firstLineChars="200"/>
        <w:rPr>
          <w:rFonts w:hAnsi="宋体"/>
          <w:color w:val="000000"/>
          <w:sz w:val="24"/>
          <w:highlight w:val="none"/>
        </w:rPr>
      </w:pPr>
      <w:r>
        <w:rPr>
          <w:rFonts w:hint="eastAsia" w:hAnsi="宋体"/>
          <w:color w:val="000000"/>
          <w:sz w:val="24"/>
          <w:highlight w:val="none"/>
        </w:rPr>
        <w:t>21</w:t>
      </w:r>
      <w:r>
        <w:rPr>
          <w:rFonts w:hAnsi="宋体"/>
          <w:color w:val="000000"/>
          <w:sz w:val="24"/>
          <w:highlight w:val="none"/>
        </w:rPr>
        <w:t>.</w:t>
      </w:r>
      <w:r>
        <w:rPr>
          <w:rFonts w:hint="eastAsia" w:hAnsi="宋体"/>
          <w:color w:val="000000"/>
          <w:sz w:val="24"/>
          <w:highlight w:val="none"/>
        </w:rPr>
        <w:t>3供应商不得在递交截止时间起至响应文件有效期期满前撤销其响应文件。</w:t>
      </w:r>
    </w:p>
    <w:p>
      <w:pPr>
        <w:spacing w:line="400" w:lineRule="exact"/>
        <w:ind w:firstLine="480"/>
        <w:rPr>
          <w:rFonts w:hAnsi="宋体"/>
          <w:sz w:val="24"/>
          <w:highlight w:val="none"/>
        </w:rPr>
      </w:pPr>
      <w:r>
        <w:rPr>
          <w:rFonts w:hint="eastAsia" w:hAnsi="宋体"/>
          <w:sz w:val="24"/>
          <w:highlight w:val="none"/>
        </w:rPr>
        <w:t>21.4 响应文件中报价如果出现下列不一致的，可按以下原则进行修改：</w:t>
      </w:r>
    </w:p>
    <w:p>
      <w:pPr>
        <w:spacing w:line="400" w:lineRule="exact"/>
        <w:ind w:firstLine="480"/>
        <w:rPr>
          <w:rFonts w:ascii="宋体" w:hAnsi="宋体"/>
          <w:sz w:val="24"/>
          <w:highlight w:val="none"/>
        </w:rPr>
      </w:pPr>
      <w:r>
        <w:rPr>
          <w:rFonts w:hint="eastAsia" w:ascii="宋体" w:hAnsi="宋体"/>
          <w:sz w:val="24"/>
          <w:highlight w:val="none"/>
        </w:rPr>
        <w:t>（一）</w:t>
      </w:r>
      <w:r>
        <w:rPr>
          <w:rFonts w:hint="eastAsia" w:ascii="宋体" w:hAnsi="宋体" w:cs="宋体"/>
          <w:kern w:val="0"/>
          <w:sz w:val="24"/>
          <w:highlight w:val="none"/>
        </w:rPr>
        <w:t>大写金额和小写金额不一致的，以大写金额为准</w:t>
      </w:r>
      <w:r>
        <w:rPr>
          <w:rFonts w:hint="eastAsia" w:ascii="宋体" w:hAnsi="宋体"/>
          <w:sz w:val="24"/>
          <w:highlight w:val="none"/>
        </w:rPr>
        <w:t>，但大写金额文字存在错误的，应当先对大写金额的文字错误进行澄清、说明或者更正，再行修正。</w:t>
      </w:r>
    </w:p>
    <w:p>
      <w:pPr>
        <w:spacing w:line="400" w:lineRule="exact"/>
        <w:ind w:firstLine="480"/>
        <w:rPr>
          <w:rFonts w:ascii="宋体" w:hAnsi="宋体"/>
          <w:sz w:val="24"/>
          <w:highlight w:val="none"/>
        </w:rPr>
      </w:pPr>
      <w:r>
        <w:rPr>
          <w:rFonts w:hint="eastAsia" w:ascii="宋体" w:hAnsi="宋体"/>
          <w:sz w:val="24"/>
          <w:highlight w:val="none"/>
        </w:rPr>
        <w:t>（二）</w:t>
      </w:r>
      <w:r>
        <w:rPr>
          <w:rFonts w:hint="eastAsia" w:ascii="宋体" w:hAnsi="宋体" w:cs="宋体"/>
          <w:kern w:val="0"/>
          <w:sz w:val="24"/>
          <w:highlight w:val="none"/>
        </w:rPr>
        <w:t>总价金额与按单价汇总金额不一致的，以单价金额计算结果为准，</w:t>
      </w:r>
      <w:r>
        <w:rPr>
          <w:rFonts w:hint="eastAsia" w:ascii="宋体" w:hAnsi="宋体"/>
          <w:sz w:val="24"/>
          <w:highlight w:val="none"/>
        </w:rPr>
        <w:t>但</w:t>
      </w:r>
      <w:r>
        <w:rPr>
          <w:rFonts w:hint="eastAsia" w:ascii="宋体" w:hAnsi="宋体" w:cs="宋体"/>
          <w:kern w:val="0"/>
          <w:sz w:val="24"/>
          <w:highlight w:val="none"/>
        </w:rPr>
        <w:t>单价或者单价汇总金额存在数字或者</w:t>
      </w:r>
      <w:r>
        <w:rPr>
          <w:rFonts w:hint="eastAsia" w:ascii="宋体" w:hAnsi="宋体"/>
          <w:sz w:val="24"/>
          <w:highlight w:val="none"/>
        </w:rPr>
        <w:t>文字错误的，应当先对</w:t>
      </w:r>
      <w:r>
        <w:rPr>
          <w:rFonts w:hint="eastAsia" w:ascii="宋体" w:hAnsi="宋体" w:cs="宋体"/>
          <w:kern w:val="0"/>
          <w:sz w:val="24"/>
          <w:highlight w:val="none"/>
        </w:rPr>
        <w:t>数字或者</w:t>
      </w:r>
      <w:r>
        <w:rPr>
          <w:rFonts w:hint="eastAsia" w:ascii="宋体" w:hAnsi="宋体"/>
          <w:sz w:val="24"/>
          <w:highlight w:val="none"/>
        </w:rPr>
        <w:t>文字错误进行澄清、说明或者更正，再行修正。</w:t>
      </w:r>
    </w:p>
    <w:p>
      <w:pPr>
        <w:spacing w:line="400" w:lineRule="exact"/>
        <w:ind w:firstLine="480"/>
        <w:rPr>
          <w:rFonts w:ascii="宋体" w:hAnsi="宋体"/>
          <w:sz w:val="24"/>
          <w:highlight w:val="none"/>
        </w:rPr>
      </w:pPr>
      <w:r>
        <w:rPr>
          <w:rFonts w:hint="eastAsia" w:ascii="宋体" w:hAnsi="宋体"/>
          <w:sz w:val="24"/>
          <w:highlight w:val="none"/>
        </w:rPr>
        <w:t>（三）单价金额小数点</w:t>
      </w:r>
      <w:r>
        <w:rPr>
          <w:rFonts w:hint="eastAsia" w:ascii="宋体" w:hAnsi="宋体" w:cs="宋体"/>
          <w:kern w:val="0"/>
          <w:sz w:val="24"/>
          <w:highlight w:val="none"/>
        </w:rPr>
        <w:t>或者百分比有明显错位的</w:t>
      </w:r>
      <w:r>
        <w:rPr>
          <w:rFonts w:hint="eastAsia" w:ascii="宋体" w:hAnsi="宋体"/>
          <w:sz w:val="24"/>
          <w:highlight w:val="none"/>
        </w:rPr>
        <w:t>，以总价为准，修正单价。</w:t>
      </w:r>
    </w:p>
    <w:p>
      <w:pPr>
        <w:spacing w:line="40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ascii="宋体" w:hAnsi="宋体"/>
          <w:color w:val="000000"/>
          <w:sz w:val="24"/>
          <w:highlight w:val="none"/>
        </w:rPr>
      </w:pPr>
      <w:r>
        <w:rPr>
          <w:rFonts w:hint="eastAsia"/>
          <w:color w:val="000000"/>
          <w:sz w:val="24"/>
          <w:highlight w:val="none"/>
        </w:rPr>
        <w:t>21.5供应商对其提交的响应文件的真实性、合法性承担法律责任。</w:t>
      </w:r>
      <w:bookmarkEnd w:id="53"/>
      <w:bookmarkEnd w:id="54"/>
      <w:bookmarkEnd w:id="55"/>
    </w:p>
    <w:p>
      <w:pPr>
        <w:pStyle w:val="4"/>
        <w:keepNext w:val="0"/>
        <w:keepLines w:val="0"/>
        <w:spacing w:before="0" w:after="0" w:line="360" w:lineRule="auto"/>
        <w:jc w:val="center"/>
        <w:rPr>
          <w:color w:val="000000"/>
          <w:sz w:val="28"/>
          <w:szCs w:val="28"/>
          <w:highlight w:val="none"/>
        </w:rPr>
      </w:pPr>
      <w:bookmarkStart w:id="56" w:name="_Toc183582231"/>
      <w:bookmarkStart w:id="57" w:name="_Toc89075878"/>
      <w:bookmarkStart w:id="58" w:name="_Toc217446056"/>
      <w:bookmarkStart w:id="59" w:name="_Toc183682368"/>
      <w:bookmarkStart w:id="60" w:name="_Toc77400782"/>
      <w:r>
        <w:rPr>
          <w:rFonts w:hint="eastAsia"/>
          <w:color w:val="000000"/>
          <w:sz w:val="28"/>
          <w:szCs w:val="28"/>
          <w:highlight w:val="none"/>
        </w:rPr>
        <w:t>五、评审</w:t>
      </w:r>
    </w:p>
    <w:p>
      <w:pPr>
        <w:pStyle w:val="4"/>
        <w:keepNext w:val="0"/>
        <w:keepLines w:val="0"/>
        <w:spacing w:before="0" w:after="0" w:line="400" w:lineRule="exact"/>
        <w:ind w:firstLine="482" w:firstLineChars="200"/>
        <w:rPr>
          <w:rFonts w:ascii="宋体" w:hAnsi="宋体" w:eastAsia="宋体"/>
          <w:b w:val="0"/>
          <w:color w:val="000000"/>
          <w:sz w:val="24"/>
          <w:szCs w:val="24"/>
          <w:highlight w:val="none"/>
        </w:rPr>
      </w:pPr>
      <w:r>
        <w:rPr>
          <w:rFonts w:hint="eastAsia" w:ascii="宋体" w:hAnsi="宋体" w:eastAsia="宋体"/>
          <w:color w:val="000000"/>
          <w:sz w:val="24"/>
          <w:szCs w:val="24"/>
          <w:highlight w:val="none"/>
        </w:rPr>
        <w:t>22.</w:t>
      </w:r>
      <w:r>
        <w:rPr>
          <w:rFonts w:hint="eastAsia" w:ascii="宋体" w:hAnsi="宋体" w:eastAsia="宋体"/>
          <w:b w:val="0"/>
          <w:color w:val="000000"/>
          <w:sz w:val="24"/>
          <w:szCs w:val="24"/>
          <w:highlight w:val="none"/>
        </w:rPr>
        <w:t>磋商小组的组建及其评审工作按照有关法律制度和本文件的规定进行。</w:t>
      </w:r>
    </w:p>
    <w:p>
      <w:pPr>
        <w:pStyle w:val="4"/>
        <w:keepNext w:val="0"/>
        <w:keepLines w:val="0"/>
        <w:spacing w:before="0" w:after="0" w:line="400" w:lineRule="exact"/>
        <w:jc w:val="center"/>
        <w:rPr>
          <w:rFonts w:ascii="宋体" w:hAnsi="宋体" w:eastAsia="宋体"/>
          <w:b w:val="0"/>
          <w:color w:val="000000"/>
          <w:sz w:val="24"/>
          <w:szCs w:val="24"/>
          <w:highlight w:val="none"/>
        </w:rPr>
      </w:pPr>
    </w:p>
    <w:p>
      <w:pPr>
        <w:pStyle w:val="4"/>
        <w:keepNext w:val="0"/>
        <w:keepLines w:val="0"/>
        <w:spacing w:before="0" w:after="0" w:line="400" w:lineRule="exact"/>
        <w:jc w:val="center"/>
        <w:rPr>
          <w:rFonts w:ascii="黑体" w:hAnsi="宋体"/>
          <w:color w:val="000000"/>
          <w:highlight w:val="none"/>
        </w:rPr>
      </w:pPr>
      <w:r>
        <w:rPr>
          <w:rFonts w:hint="eastAsia" w:ascii="黑体" w:hAnsi="宋体"/>
          <w:color w:val="000000"/>
          <w:highlight w:val="none"/>
        </w:rPr>
        <w:t>六、成交事项</w:t>
      </w:r>
    </w:p>
    <w:p>
      <w:pPr>
        <w:pStyle w:val="4"/>
        <w:keepNext w:val="0"/>
        <w:keepLines w:val="0"/>
        <w:spacing w:before="0" w:after="0" w:line="400" w:lineRule="exact"/>
        <w:ind w:firstLine="482"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23.确定成交供应商</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采购人将按磋商小组推荐的成交候选供应商顺序确定成交供应商。采购人授权磋商小组根据综合评分排名直接确定成交供应商。</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23.1采购代理机构自评审结束后2个工作日内将磋商报告及有关资料送交采购人确定成交供应商。</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23.3采购人确定成交供应商过程中，发现成交候选供应商有下列情形之一的，应当不予确定其为成交供应商：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（1）发现成交候选供应商存在禁止参加本项目采购活动的违法行为的；</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（2）成交候选供应商因不可抗力，不能继续参加政府采购活动；</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（3）成交候选供应商无偿赠与或者低于成本价竞争；</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（4）成交候选供应商提供虚假材料；</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（5）成交候选供应商恶意串通。</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成交候选供应商有本条情形之一的，采购人可以确定后一位成交候选供应商为成交供应商，依次类推。无法确定成交供应商的，应当重新组织采购。</w:t>
      </w:r>
    </w:p>
    <w:p>
      <w:pPr>
        <w:pStyle w:val="4"/>
        <w:keepNext w:val="0"/>
        <w:keepLines w:val="0"/>
        <w:spacing w:before="0" w:after="0" w:line="400" w:lineRule="exact"/>
        <w:ind w:firstLine="482"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w:t>
      </w:r>
      <w:r>
        <w:rPr>
          <w:rFonts w:ascii="宋体" w:hAnsi="宋体" w:eastAsia="宋体"/>
          <w:color w:val="000000"/>
          <w:sz w:val="24"/>
          <w:szCs w:val="24"/>
          <w:highlight w:val="none"/>
        </w:rPr>
        <w:t>4</w:t>
      </w:r>
      <w:r>
        <w:rPr>
          <w:rFonts w:hint="eastAsia" w:ascii="宋体" w:hAnsi="宋体" w:eastAsia="宋体"/>
          <w:color w:val="000000"/>
          <w:sz w:val="24"/>
          <w:szCs w:val="24"/>
          <w:highlight w:val="none"/>
        </w:rPr>
        <w:t>.成交结果</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w:t>
      </w:r>
      <w:r>
        <w:rPr>
          <w:rFonts w:ascii="宋体" w:hAnsi="宋体" w:eastAsia="宋体"/>
          <w:b w:val="0"/>
          <w:color w:val="000000"/>
          <w:sz w:val="24"/>
          <w:szCs w:val="24"/>
          <w:highlight w:val="none"/>
        </w:rPr>
        <w:t>4</w:t>
      </w:r>
      <w:r>
        <w:rPr>
          <w:rFonts w:hint="eastAsia" w:ascii="宋体" w:hAnsi="宋体" w:eastAsia="宋体"/>
          <w:b w:val="0"/>
          <w:color w:val="000000"/>
          <w:sz w:val="24"/>
          <w:szCs w:val="24"/>
          <w:highlight w:val="none"/>
        </w:rPr>
        <w:t>.1采购人确定成交供应商后，将及时书面通知采购代理机构，发出成交通知书并发布成交结果公告。</w:t>
      </w:r>
    </w:p>
    <w:p>
      <w:pPr>
        <w:spacing w:line="400" w:lineRule="exact"/>
        <w:ind w:firstLine="480" w:firstLineChars="200"/>
        <w:rPr>
          <w:rFonts w:ascii="宋体" w:hAnsi="宋体"/>
          <w:bCs/>
          <w:sz w:val="24"/>
          <w:highlight w:val="none"/>
        </w:rPr>
      </w:pPr>
      <w:r>
        <w:rPr>
          <w:rFonts w:hint="eastAsia" w:ascii="宋体" w:hAnsi="宋体"/>
          <w:bCs/>
          <w:color w:val="000000"/>
          <w:sz w:val="24"/>
          <w:highlight w:val="none"/>
        </w:rPr>
        <w:t>2</w:t>
      </w:r>
      <w:r>
        <w:rPr>
          <w:rFonts w:ascii="宋体" w:hAnsi="宋体"/>
          <w:bCs/>
          <w:color w:val="000000"/>
          <w:sz w:val="24"/>
          <w:highlight w:val="none"/>
        </w:rPr>
        <w:t>4</w:t>
      </w:r>
      <w:r>
        <w:rPr>
          <w:rFonts w:hint="eastAsia" w:ascii="宋体" w:hAnsi="宋体"/>
          <w:bCs/>
          <w:sz w:val="24"/>
          <w:highlight w:val="none"/>
        </w:rPr>
        <w:t>.2成交供应商应当及时领取成交通知书。本项目</w:t>
      </w:r>
      <w:r>
        <w:rPr>
          <w:rFonts w:hint="eastAsia" w:ascii="宋体" w:hAnsi="宋体"/>
          <w:bCs/>
          <w:sz w:val="24"/>
          <w:highlight w:val="none"/>
          <w:lang w:eastAsia="zh-CN"/>
        </w:rPr>
        <w:t>如</w:t>
      </w:r>
      <w:r>
        <w:rPr>
          <w:rFonts w:hint="eastAsia" w:ascii="宋体" w:hAnsi="宋体"/>
          <w:bCs/>
          <w:sz w:val="24"/>
          <w:highlight w:val="none"/>
        </w:rPr>
        <w:t>需要交纳履约保证金的，成交供应商应当及时向采购人交纳。</w:t>
      </w:r>
    </w:p>
    <w:p>
      <w:pPr>
        <w:spacing w:line="400" w:lineRule="exact"/>
        <w:ind w:firstLine="465"/>
        <w:rPr>
          <w:rFonts w:ascii="宋体" w:hAnsi="宋体"/>
          <w:bCs/>
          <w:color w:val="000000"/>
          <w:sz w:val="24"/>
          <w:highlight w:val="none"/>
        </w:rPr>
      </w:pPr>
      <w:r>
        <w:rPr>
          <w:rFonts w:hint="eastAsia" w:ascii="宋体" w:hAnsi="宋体"/>
          <w:bCs/>
          <w:sz w:val="24"/>
          <w:highlight w:val="none"/>
        </w:rPr>
        <w:t>2</w:t>
      </w:r>
      <w:r>
        <w:rPr>
          <w:rFonts w:ascii="宋体" w:hAnsi="宋体"/>
          <w:bCs/>
          <w:sz w:val="24"/>
          <w:highlight w:val="none"/>
        </w:rPr>
        <w:t>4</w:t>
      </w:r>
      <w:r>
        <w:rPr>
          <w:rFonts w:hint="eastAsia" w:ascii="宋体" w:hAnsi="宋体"/>
          <w:bCs/>
          <w:sz w:val="24"/>
          <w:highlight w:val="none"/>
        </w:rPr>
        <w:t>.3成交供应商不能及时领取成交通知书，采购人或者采购代理机应当通过邮寄、快递等方式将项目成</w:t>
      </w:r>
      <w:r>
        <w:rPr>
          <w:rFonts w:hint="eastAsia" w:ascii="宋体" w:hAnsi="宋体"/>
          <w:bCs/>
          <w:color w:val="000000"/>
          <w:sz w:val="24"/>
          <w:highlight w:val="none"/>
        </w:rPr>
        <w:t>交通知书送达成交供应商。</w:t>
      </w:r>
    </w:p>
    <w:p>
      <w:pPr>
        <w:pStyle w:val="4"/>
        <w:keepNext w:val="0"/>
        <w:keepLines w:val="0"/>
        <w:spacing w:before="0" w:after="0" w:line="400" w:lineRule="exact"/>
        <w:ind w:firstLine="482"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w:t>
      </w:r>
      <w:r>
        <w:rPr>
          <w:rFonts w:ascii="宋体" w:hAnsi="宋体" w:eastAsia="宋体"/>
          <w:color w:val="000000"/>
          <w:sz w:val="24"/>
          <w:szCs w:val="24"/>
          <w:highlight w:val="none"/>
        </w:rPr>
        <w:t>5</w:t>
      </w:r>
      <w:r>
        <w:rPr>
          <w:rFonts w:hint="eastAsia" w:ascii="宋体" w:hAnsi="宋体" w:eastAsia="宋体"/>
          <w:color w:val="000000"/>
          <w:sz w:val="24"/>
          <w:szCs w:val="24"/>
          <w:highlight w:val="none"/>
        </w:rPr>
        <w:t>.成交通知书</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w:t>
      </w:r>
      <w:r>
        <w:rPr>
          <w:rFonts w:ascii="宋体" w:hAnsi="宋体" w:eastAsia="宋体"/>
          <w:b w:val="0"/>
          <w:color w:val="000000"/>
          <w:sz w:val="24"/>
          <w:szCs w:val="24"/>
          <w:highlight w:val="none"/>
        </w:rPr>
        <w:t>5</w:t>
      </w:r>
      <w:r>
        <w:rPr>
          <w:rFonts w:hint="eastAsia" w:ascii="宋体" w:hAnsi="宋体" w:eastAsia="宋体"/>
          <w:b w:val="0"/>
          <w:color w:val="000000"/>
          <w:sz w:val="24"/>
          <w:szCs w:val="24"/>
          <w:highlight w:val="none"/>
        </w:rPr>
        <w:t>.1成交通知书为签订政府采购合同的依据之一，是合同的有效组成部分。</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w:t>
      </w:r>
      <w:r>
        <w:rPr>
          <w:rFonts w:ascii="宋体" w:hAnsi="宋体" w:eastAsia="宋体"/>
          <w:b w:val="0"/>
          <w:color w:val="000000"/>
          <w:sz w:val="24"/>
          <w:szCs w:val="24"/>
          <w:highlight w:val="none"/>
        </w:rPr>
        <w:t>5</w:t>
      </w:r>
      <w:r>
        <w:rPr>
          <w:rFonts w:hint="eastAsia" w:ascii="宋体" w:hAnsi="宋体" w:eastAsia="宋体"/>
          <w:b w:val="0"/>
          <w:color w:val="000000"/>
          <w:sz w:val="24"/>
          <w:szCs w:val="24"/>
          <w:highlight w:val="none"/>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w:t>
      </w:r>
      <w:r>
        <w:rPr>
          <w:rFonts w:ascii="宋体" w:hAnsi="宋体" w:eastAsia="宋体"/>
          <w:b w:val="0"/>
          <w:color w:val="000000"/>
          <w:sz w:val="24"/>
          <w:szCs w:val="24"/>
          <w:highlight w:val="none"/>
        </w:rPr>
        <w:t>5</w:t>
      </w:r>
      <w:r>
        <w:rPr>
          <w:rFonts w:hint="eastAsia" w:ascii="宋体" w:hAnsi="宋体" w:eastAsia="宋体"/>
          <w:b w:val="0"/>
          <w:color w:val="000000"/>
          <w:sz w:val="24"/>
          <w:szCs w:val="24"/>
          <w:highlight w:val="none"/>
        </w:rPr>
        <w:t>.3成交供应商的响应文件作为无效响应文件处理或者有政府采购法律法规规章制度规定的成交无效情形的，采购代理机构在取得有权主体的认定以后，</w:t>
      </w:r>
      <w:r>
        <w:rPr>
          <w:rFonts w:hint="eastAsia" w:ascii="宋体" w:hAnsi="宋体" w:eastAsia="宋体"/>
          <w:b w:val="0"/>
          <w:sz w:val="24"/>
          <w:szCs w:val="24"/>
          <w:highlight w:val="none"/>
        </w:rPr>
        <w:t>有权</w:t>
      </w:r>
      <w:r>
        <w:rPr>
          <w:rFonts w:hint="eastAsia" w:ascii="宋体" w:hAnsi="宋体" w:eastAsia="宋体"/>
          <w:b w:val="0"/>
          <w:color w:val="000000"/>
          <w:sz w:val="24"/>
          <w:szCs w:val="24"/>
          <w:highlight w:val="none"/>
        </w:rPr>
        <w:t>宣布发出的成交通知书无效，并收回发出的成交通知书，依法重新确定成交供应商或者重新开展采购活动。</w:t>
      </w:r>
    </w:p>
    <w:p>
      <w:pPr>
        <w:pStyle w:val="4"/>
        <w:keepNext w:val="0"/>
        <w:keepLines w:val="0"/>
        <w:spacing w:before="0" w:after="0" w:line="360" w:lineRule="auto"/>
        <w:jc w:val="center"/>
        <w:rPr>
          <w:color w:val="000000"/>
          <w:sz w:val="28"/>
          <w:szCs w:val="28"/>
          <w:highlight w:val="none"/>
        </w:rPr>
      </w:pPr>
      <w:r>
        <w:rPr>
          <w:rFonts w:hint="eastAsia"/>
          <w:color w:val="000000"/>
          <w:sz w:val="28"/>
          <w:szCs w:val="28"/>
          <w:highlight w:val="none"/>
        </w:rPr>
        <w:t>七、合同事项</w:t>
      </w:r>
    </w:p>
    <w:p>
      <w:pPr>
        <w:pStyle w:val="4"/>
        <w:keepNext w:val="0"/>
        <w:keepLines w:val="0"/>
        <w:spacing w:before="0" w:after="0" w:line="400" w:lineRule="exact"/>
        <w:ind w:firstLine="472" w:firstLineChars="196"/>
        <w:rPr>
          <w:rFonts w:ascii="宋体" w:hAnsi="宋体" w:eastAsia="宋体"/>
          <w:sz w:val="24"/>
          <w:szCs w:val="24"/>
          <w:highlight w:val="none"/>
        </w:rPr>
      </w:pPr>
      <w:bookmarkStart w:id="61" w:name="_Toc101174151"/>
      <w:bookmarkStart w:id="62" w:name="_Toc101250646"/>
      <w:bookmarkStart w:id="63" w:name="_Toc209847069"/>
      <w:bookmarkStart w:id="64" w:name="_Toc101338364"/>
      <w:bookmarkStart w:id="65" w:name="_Toc430773927"/>
      <w:r>
        <w:rPr>
          <w:rFonts w:hint="eastAsia" w:ascii="宋体" w:hAnsi="宋体" w:eastAsia="宋体"/>
          <w:color w:val="000000"/>
          <w:sz w:val="24"/>
          <w:szCs w:val="24"/>
          <w:highlight w:val="none"/>
        </w:rPr>
        <w:t>2</w:t>
      </w:r>
      <w:r>
        <w:rPr>
          <w:rFonts w:ascii="宋体" w:hAnsi="宋体" w:eastAsia="宋体"/>
          <w:color w:val="000000"/>
          <w:sz w:val="24"/>
          <w:szCs w:val="24"/>
          <w:highlight w:val="none"/>
        </w:rPr>
        <w:t>6</w:t>
      </w:r>
      <w:r>
        <w:rPr>
          <w:rFonts w:hint="eastAsia" w:ascii="宋体" w:hAnsi="宋体" w:eastAsia="宋体"/>
          <w:color w:val="000000"/>
          <w:sz w:val="24"/>
          <w:szCs w:val="24"/>
          <w:highlight w:val="none"/>
        </w:rPr>
        <w:t>.签</w:t>
      </w:r>
      <w:r>
        <w:rPr>
          <w:rFonts w:hint="eastAsia" w:ascii="宋体" w:hAnsi="宋体" w:eastAsia="宋体"/>
          <w:sz w:val="24"/>
          <w:szCs w:val="24"/>
          <w:highlight w:val="none"/>
        </w:rPr>
        <w:t>订合同</w:t>
      </w:r>
      <w:bookmarkEnd w:id="61"/>
      <w:bookmarkEnd w:id="62"/>
      <w:bookmarkEnd w:id="63"/>
      <w:bookmarkEnd w:id="64"/>
      <w:bookmarkEnd w:id="65"/>
    </w:p>
    <w:p>
      <w:pPr>
        <w:spacing w:line="400" w:lineRule="exact"/>
        <w:ind w:firstLine="480" w:firstLineChars="200"/>
        <w:rPr>
          <w:rFonts w:ascii="宋体" w:hAnsi="宋体"/>
          <w:color w:val="000000"/>
          <w:sz w:val="24"/>
          <w:highlight w:val="none"/>
        </w:rPr>
      </w:pPr>
      <w:r>
        <w:rPr>
          <w:rFonts w:hint="eastAsia" w:ascii="宋体" w:hAnsi="宋体"/>
          <w:sz w:val="24"/>
          <w:highlight w:val="none"/>
        </w:rPr>
        <w:t>2</w:t>
      </w:r>
      <w:r>
        <w:rPr>
          <w:rFonts w:ascii="宋体" w:hAnsi="宋体"/>
          <w:sz w:val="24"/>
          <w:highlight w:val="none"/>
        </w:rPr>
        <w:t>6</w:t>
      </w:r>
      <w:r>
        <w:rPr>
          <w:rFonts w:hint="eastAsia" w:ascii="宋体" w:hAnsi="宋体"/>
          <w:sz w:val="24"/>
          <w:highlight w:val="none"/>
        </w:rPr>
        <w:t>.1 成交供应商应在成交通知书发出之日起</w:t>
      </w:r>
      <w:r>
        <w:rPr>
          <w:rFonts w:hint="eastAsia" w:ascii="宋体" w:hAnsi="宋体"/>
          <w:sz w:val="24"/>
          <w:highlight w:val="none"/>
          <w:lang w:eastAsia="zh-CN"/>
        </w:rPr>
        <w:t>三</w:t>
      </w:r>
      <w:r>
        <w:rPr>
          <w:rFonts w:hint="eastAsia" w:ascii="宋体" w:hAnsi="宋体"/>
          <w:sz w:val="24"/>
          <w:highlight w:val="none"/>
        </w:rPr>
        <w:t>十日内与采购人签订采购合同。由</w:t>
      </w:r>
      <w:r>
        <w:rPr>
          <w:rFonts w:hint="eastAsia" w:ascii="宋体" w:hAnsi="宋体"/>
          <w:color w:val="000000"/>
          <w:sz w:val="24"/>
          <w:highlight w:val="none"/>
        </w:rPr>
        <w:t>于成交供应商的原因逾期未与采购人签订采购合同的，将视为放弃成交，取消其成交资格并将按相关规定进行处理。</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6</w:t>
      </w:r>
      <w:r>
        <w:rPr>
          <w:rFonts w:hint="eastAsia" w:ascii="宋体" w:hAnsi="宋体"/>
          <w:color w:val="000000"/>
          <w:sz w:val="24"/>
          <w:highlight w:val="none"/>
        </w:rPr>
        <w:t>.2 磋商文件、成交供应商的响应文件及双方确认的澄清文件等，均为有法律约束力的合同组成部分。</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6</w:t>
      </w:r>
      <w:r>
        <w:rPr>
          <w:rFonts w:hint="eastAsia" w:ascii="宋体" w:hAnsi="宋体"/>
          <w:color w:val="000000"/>
          <w:sz w:val="24"/>
          <w:highlight w:val="none"/>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6</w:t>
      </w:r>
      <w:r>
        <w:rPr>
          <w:rFonts w:hint="eastAsia" w:ascii="宋体" w:hAnsi="宋体"/>
          <w:color w:val="000000"/>
          <w:sz w:val="24"/>
          <w:highlight w:val="none"/>
        </w:rPr>
        <w:t>.4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6</w:t>
      </w:r>
      <w:r>
        <w:rPr>
          <w:rFonts w:hint="eastAsia" w:ascii="宋体" w:hAnsi="宋体"/>
          <w:color w:val="000000"/>
          <w:sz w:val="24"/>
          <w:highlight w:val="none"/>
        </w:rPr>
        <w:t>.5</w:t>
      </w:r>
      <w:r>
        <w:rPr>
          <w:rFonts w:hint="eastAsia" w:hAnsi="宋体"/>
          <w:color w:val="000000"/>
          <w:sz w:val="24"/>
          <w:highlight w:val="none"/>
        </w:rPr>
        <w:t>竞争性磋商文件、成交供应商提交的响应文件、磋商中的最后报价、成交供应商承诺书、成交通知书等均称为有法律约束力的合同组成内容。</w:t>
      </w:r>
    </w:p>
    <w:p>
      <w:pPr>
        <w:spacing w:line="400" w:lineRule="exact"/>
        <w:ind w:firstLine="482" w:firstLineChars="200"/>
        <w:rPr>
          <w:rFonts w:ascii="宋体" w:hAnsi="宋体"/>
          <w:b/>
          <w:sz w:val="24"/>
          <w:highlight w:val="none"/>
        </w:rPr>
      </w:pPr>
      <w:r>
        <w:rPr>
          <w:rFonts w:hint="eastAsia" w:ascii="宋体" w:hAnsi="宋体"/>
          <w:b/>
          <w:sz w:val="24"/>
          <w:highlight w:val="none"/>
        </w:rPr>
        <w:t>2</w:t>
      </w:r>
      <w:r>
        <w:rPr>
          <w:rFonts w:ascii="宋体" w:hAnsi="宋体"/>
          <w:b/>
          <w:sz w:val="24"/>
          <w:highlight w:val="none"/>
        </w:rPr>
        <w:t>7</w:t>
      </w:r>
      <w:r>
        <w:rPr>
          <w:rFonts w:hint="eastAsia" w:ascii="宋体" w:hAnsi="宋体"/>
          <w:b/>
          <w:sz w:val="24"/>
          <w:highlight w:val="none"/>
        </w:rPr>
        <w:t>.合同分包</w:t>
      </w:r>
    </w:p>
    <w:p>
      <w:pPr>
        <w:spacing w:line="400" w:lineRule="exact"/>
        <w:ind w:firstLine="540" w:firstLineChars="225"/>
        <w:rPr>
          <w:rFonts w:ascii="宋体" w:hAnsi="宋体"/>
          <w:sz w:val="24"/>
          <w:highlight w:val="none"/>
        </w:rPr>
      </w:pPr>
      <w:r>
        <w:rPr>
          <w:rFonts w:hint="eastAsia" w:ascii="宋体" w:hAnsi="宋体"/>
          <w:sz w:val="24"/>
          <w:highlight w:val="none"/>
        </w:rPr>
        <w:t>本次项目不允许分包。</w:t>
      </w:r>
    </w:p>
    <w:p>
      <w:pPr>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2</w:t>
      </w:r>
      <w:r>
        <w:rPr>
          <w:rFonts w:ascii="宋体" w:hAnsi="宋体"/>
          <w:b/>
          <w:color w:val="000000"/>
          <w:sz w:val="24"/>
          <w:highlight w:val="none"/>
        </w:rPr>
        <w:t>8</w:t>
      </w:r>
      <w:r>
        <w:rPr>
          <w:rFonts w:hint="eastAsia" w:ascii="宋体" w:hAnsi="宋体"/>
          <w:b/>
          <w:color w:val="000000"/>
          <w:sz w:val="24"/>
          <w:highlight w:val="none"/>
        </w:rPr>
        <w:t>.合同转包</w:t>
      </w:r>
    </w:p>
    <w:p>
      <w:pPr>
        <w:spacing w:line="400" w:lineRule="exact"/>
        <w:ind w:firstLine="480" w:firstLineChars="200"/>
        <w:rPr>
          <w:rFonts w:hAnsi="宋体"/>
          <w:color w:val="000000"/>
          <w:sz w:val="24"/>
          <w:highlight w:val="none"/>
        </w:rPr>
      </w:pPr>
      <w:r>
        <w:rPr>
          <w:rFonts w:hint="eastAsia" w:hAnsi="宋体"/>
          <w:color w:val="000000"/>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Ansi="宋体"/>
          <w:color w:val="000000"/>
          <w:sz w:val="24"/>
          <w:highlight w:val="none"/>
        </w:rPr>
      </w:pPr>
      <w:r>
        <w:rPr>
          <w:rFonts w:hint="eastAsia" w:hAnsi="宋体"/>
          <w:color w:val="000000"/>
          <w:sz w:val="24"/>
          <w:highlight w:val="none"/>
        </w:rPr>
        <w:t>成交供应商转包的，视同拒绝履行政府采购合同义务，将依法追究法律责任。</w:t>
      </w:r>
    </w:p>
    <w:p>
      <w:pPr>
        <w:spacing w:line="400" w:lineRule="exact"/>
        <w:ind w:firstLine="482" w:firstLineChars="200"/>
        <w:rPr>
          <w:rFonts w:ascii="宋体" w:hAnsi="宋体"/>
          <w:b/>
          <w:color w:val="000000"/>
          <w:sz w:val="24"/>
          <w:highlight w:val="none"/>
        </w:rPr>
      </w:pPr>
      <w:r>
        <w:rPr>
          <w:rFonts w:ascii="宋体" w:hAnsi="宋体"/>
          <w:b/>
          <w:color w:val="000000"/>
          <w:sz w:val="24"/>
          <w:highlight w:val="none"/>
        </w:rPr>
        <w:t>29</w:t>
      </w:r>
      <w:r>
        <w:rPr>
          <w:rFonts w:hint="eastAsia" w:ascii="宋体" w:hAnsi="宋体"/>
          <w:b/>
          <w:color w:val="000000"/>
          <w:sz w:val="24"/>
          <w:highlight w:val="none"/>
        </w:rPr>
        <w:t>.补充合同</w:t>
      </w:r>
    </w:p>
    <w:p>
      <w:pPr>
        <w:spacing w:line="400" w:lineRule="exact"/>
        <w:ind w:firstLine="480" w:firstLineChars="200"/>
        <w:rPr>
          <w:rFonts w:hAnsi="宋体"/>
          <w:color w:val="000000"/>
          <w:sz w:val="24"/>
          <w:highlight w:val="none"/>
        </w:rPr>
      </w:pPr>
      <w:r>
        <w:rPr>
          <w:rFonts w:hint="eastAsia" w:hAnsi="宋体"/>
          <w:color w:val="000000"/>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ind w:firstLine="482" w:firstLineChars="200"/>
        <w:rPr>
          <w:rFonts w:hint="eastAsia" w:ascii="宋体" w:hAnsi="宋体" w:eastAsia="宋体"/>
          <w:b/>
          <w:color w:val="000000"/>
          <w:sz w:val="24"/>
          <w:highlight w:val="none"/>
          <w:lang w:eastAsia="zh-CN"/>
        </w:rPr>
      </w:pPr>
      <w:r>
        <w:rPr>
          <w:rFonts w:hint="eastAsia" w:ascii="宋体" w:hAnsi="宋体"/>
          <w:b/>
          <w:color w:val="000000"/>
          <w:sz w:val="24"/>
          <w:highlight w:val="none"/>
        </w:rPr>
        <w:t>3</w:t>
      </w:r>
      <w:r>
        <w:rPr>
          <w:rFonts w:ascii="宋体" w:hAnsi="宋体"/>
          <w:b/>
          <w:color w:val="000000"/>
          <w:sz w:val="24"/>
          <w:highlight w:val="none"/>
        </w:rPr>
        <w:t>0</w:t>
      </w:r>
      <w:r>
        <w:rPr>
          <w:rFonts w:hint="eastAsia" w:ascii="宋体" w:hAnsi="宋体"/>
          <w:b/>
          <w:color w:val="000000"/>
          <w:sz w:val="24"/>
          <w:highlight w:val="none"/>
        </w:rPr>
        <w:t>.履约保证金</w:t>
      </w:r>
      <w:r>
        <w:rPr>
          <w:rFonts w:hint="eastAsia" w:ascii="宋体" w:hAnsi="宋体"/>
          <w:b/>
          <w:color w:val="000000"/>
          <w:sz w:val="24"/>
          <w:highlight w:val="none"/>
          <w:lang w:eastAsia="zh-CN"/>
        </w:rPr>
        <w:t>（本项目不涉及）</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0</w:t>
      </w:r>
      <w:r>
        <w:rPr>
          <w:rFonts w:hint="eastAsia" w:ascii="宋体" w:hAnsi="宋体"/>
          <w:color w:val="000000"/>
          <w:sz w:val="24"/>
          <w:highlight w:val="none"/>
        </w:rPr>
        <w:t>.1 成交供应商应在合同签订之前交纳采购文件规定数额的履约保证金。</w:t>
      </w:r>
    </w:p>
    <w:p>
      <w:pPr>
        <w:spacing w:line="400" w:lineRule="exact"/>
        <w:ind w:firstLine="480" w:firstLineChars="200"/>
        <w:rPr>
          <w:rFonts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0</w:t>
      </w:r>
      <w:r>
        <w:rPr>
          <w:rFonts w:hint="eastAsia" w:ascii="宋体" w:hAnsi="宋体"/>
          <w:color w:val="000000"/>
          <w:sz w:val="24"/>
          <w:highlight w:val="none"/>
        </w:rPr>
        <w:t>.2 如果成交供应商在规定的合同签订时间内，没有按照采购文件的规定交纳履约保证金，且又无</w:t>
      </w:r>
      <w:r>
        <w:rPr>
          <w:rFonts w:hint="eastAsia" w:hAnsi="宋体"/>
          <w:color w:val="000000"/>
          <w:sz w:val="24"/>
          <w:highlight w:val="none"/>
        </w:rPr>
        <w:t>正当理由的，将视为放弃成交。</w:t>
      </w:r>
    </w:p>
    <w:p>
      <w:pPr>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3</w:t>
      </w:r>
      <w:r>
        <w:rPr>
          <w:rFonts w:ascii="宋体" w:hAnsi="宋体"/>
          <w:b/>
          <w:color w:val="000000"/>
          <w:sz w:val="24"/>
          <w:highlight w:val="none"/>
        </w:rPr>
        <w:t>1</w:t>
      </w:r>
      <w:r>
        <w:rPr>
          <w:rFonts w:hint="eastAsia" w:ascii="宋体" w:hAnsi="宋体"/>
          <w:b/>
          <w:color w:val="000000"/>
          <w:sz w:val="24"/>
          <w:highlight w:val="none"/>
        </w:rPr>
        <w:t>.合同公告</w:t>
      </w:r>
    </w:p>
    <w:p>
      <w:pPr>
        <w:spacing w:line="400" w:lineRule="exact"/>
        <w:ind w:firstLine="480" w:firstLineChars="200"/>
        <w:rPr>
          <w:rFonts w:hAnsi="宋体"/>
          <w:color w:val="000000"/>
          <w:sz w:val="24"/>
          <w:highlight w:val="none"/>
        </w:rPr>
      </w:pPr>
      <w:r>
        <w:rPr>
          <w:rFonts w:hint="eastAsia" w:hAnsi="宋体"/>
          <w:color w:val="000000"/>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3</w:t>
      </w:r>
      <w:r>
        <w:rPr>
          <w:rFonts w:ascii="宋体" w:hAnsi="宋体"/>
          <w:b/>
          <w:color w:val="000000"/>
          <w:sz w:val="24"/>
          <w:highlight w:val="none"/>
        </w:rPr>
        <w:t>2</w:t>
      </w:r>
      <w:r>
        <w:rPr>
          <w:rFonts w:hint="eastAsia" w:ascii="宋体" w:hAnsi="宋体"/>
          <w:b/>
          <w:color w:val="000000"/>
          <w:sz w:val="24"/>
          <w:highlight w:val="none"/>
        </w:rPr>
        <w:t>.合同备案</w:t>
      </w:r>
    </w:p>
    <w:p>
      <w:pPr>
        <w:spacing w:line="400" w:lineRule="exact"/>
        <w:ind w:firstLine="480" w:firstLineChars="200"/>
        <w:rPr>
          <w:rFonts w:hAnsi="宋体"/>
          <w:color w:val="000000"/>
          <w:sz w:val="24"/>
          <w:highlight w:val="none"/>
        </w:rPr>
      </w:pPr>
      <w:r>
        <w:rPr>
          <w:rFonts w:hint="eastAsia" w:hAnsi="宋体"/>
          <w:color w:val="000000"/>
          <w:sz w:val="24"/>
          <w:highlight w:val="none"/>
        </w:rPr>
        <w:t>采购人应当将政府采购合同副本自签订（双方当事人均已签字盖章）之日起七个工作日内通过四川政府采购网报同级财政部门备案。</w:t>
      </w:r>
    </w:p>
    <w:p>
      <w:pPr>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3</w:t>
      </w:r>
      <w:r>
        <w:rPr>
          <w:rFonts w:ascii="宋体" w:hAnsi="宋体"/>
          <w:b/>
          <w:color w:val="000000"/>
          <w:sz w:val="24"/>
          <w:highlight w:val="none"/>
        </w:rPr>
        <w:t>3</w:t>
      </w:r>
      <w:r>
        <w:rPr>
          <w:rFonts w:hint="eastAsia" w:ascii="宋体" w:hAnsi="宋体"/>
          <w:b/>
          <w:color w:val="000000"/>
          <w:sz w:val="24"/>
          <w:highlight w:val="none"/>
        </w:rPr>
        <w:t>.履行合同</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3</w:t>
      </w:r>
      <w:r>
        <w:rPr>
          <w:rFonts w:hint="eastAsia" w:ascii="宋体" w:hAnsi="宋体"/>
          <w:color w:val="000000"/>
          <w:sz w:val="24"/>
          <w:highlight w:val="none"/>
        </w:rPr>
        <w:t>.1 成交供应商与采购人签订合同后，合同双方应严格执行合同条款，履行合同规定的义务，保证合同的顺利完成。</w:t>
      </w:r>
    </w:p>
    <w:p>
      <w:pPr>
        <w:spacing w:line="400" w:lineRule="exact"/>
        <w:ind w:firstLine="480" w:firstLineChars="200"/>
        <w:rPr>
          <w:rFonts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3</w:t>
      </w:r>
      <w:r>
        <w:rPr>
          <w:rFonts w:hint="eastAsia" w:ascii="宋体" w:hAnsi="宋体"/>
          <w:color w:val="000000"/>
          <w:sz w:val="24"/>
          <w:highlight w:val="none"/>
        </w:rPr>
        <w:t>.2 在</w:t>
      </w:r>
      <w:r>
        <w:rPr>
          <w:rFonts w:hint="eastAsia" w:hAnsi="宋体"/>
          <w:color w:val="000000"/>
          <w:sz w:val="24"/>
          <w:highlight w:val="none"/>
        </w:rPr>
        <w:t>合同履行过程中，如发生合同纠纷，合同双方应按照《</w:t>
      </w:r>
      <w:r>
        <w:rPr>
          <w:rFonts w:hint="eastAsia" w:hAnsi="宋体"/>
          <w:color w:val="000000"/>
          <w:sz w:val="24"/>
          <w:highlight w:val="none"/>
          <w:lang w:eastAsia="zh-CN"/>
        </w:rPr>
        <w:t>中华人民共和国民法典</w:t>
      </w:r>
      <w:r>
        <w:rPr>
          <w:rFonts w:hint="eastAsia" w:hAnsi="宋体"/>
          <w:color w:val="000000"/>
          <w:sz w:val="24"/>
          <w:highlight w:val="none"/>
        </w:rPr>
        <w:t>》的有关规定进行处理。</w:t>
      </w:r>
    </w:p>
    <w:p>
      <w:pPr>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3</w:t>
      </w:r>
      <w:r>
        <w:rPr>
          <w:rFonts w:ascii="宋体" w:hAnsi="宋体"/>
          <w:b/>
          <w:color w:val="000000"/>
          <w:sz w:val="24"/>
          <w:highlight w:val="none"/>
        </w:rPr>
        <w:t>4</w:t>
      </w:r>
      <w:r>
        <w:rPr>
          <w:rFonts w:hint="eastAsia" w:ascii="宋体" w:hAnsi="宋体"/>
          <w:b/>
          <w:color w:val="000000"/>
          <w:sz w:val="24"/>
          <w:highlight w:val="none"/>
        </w:rPr>
        <w:t>.验收</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4</w:t>
      </w:r>
      <w:r>
        <w:rPr>
          <w:rFonts w:hint="eastAsia" w:ascii="宋体" w:hAnsi="宋体"/>
          <w:color w:val="000000"/>
          <w:sz w:val="24"/>
          <w:highlight w:val="none"/>
        </w:rPr>
        <w:t>.1本项目采购人及其委托的采购代理机构将严格按照政府采购相关法律法规以及</w:t>
      </w:r>
      <w:r>
        <w:rPr>
          <w:rFonts w:hint="eastAsia" w:ascii="宋体" w:hAnsi="宋体" w:cs="宋体"/>
          <w:color w:val="000000" w:themeColor="text1"/>
          <w:sz w:val="24"/>
          <w:highlight w:val="none"/>
          <w14:textFill>
            <w14:solidFill>
              <w14:schemeClr w14:val="tx1"/>
            </w14:solidFill>
          </w14:textFill>
        </w:rPr>
        <w:t>财政部关于进一步加强政府采购需求和履约验收管理的指导意见（财库〔2016〕205号）的要求</w:t>
      </w:r>
      <w:r>
        <w:rPr>
          <w:rFonts w:hint="eastAsia" w:ascii="宋体" w:hAnsi="宋体"/>
          <w:color w:val="000000"/>
          <w:sz w:val="24"/>
          <w:highlight w:val="none"/>
        </w:rPr>
        <w:t>进行验收。</w:t>
      </w:r>
    </w:p>
    <w:p>
      <w:pPr>
        <w:spacing w:line="400" w:lineRule="exact"/>
        <w:ind w:firstLine="480" w:firstLineChars="200"/>
        <w:rPr>
          <w:rFonts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4</w:t>
      </w:r>
      <w:r>
        <w:rPr>
          <w:rFonts w:hint="eastAsia" w:ascii="宋体" w:hAnsi="宋体"/>
          <w:color w:val="000000"/>
          <w:sz w:val="24"/>
          <w:highlight w:val="none"/>
        </w:rPr>
        <w:t>.2 验收结果合格的，成交供应商到采购人处办理履约保证金的退付手续；验收结果不合格的，履约保证金将不予退还，也将不予支付采购资金，还可能会报本项目同级财政部门按照政府采</w:t>
      </w:r>
      <w:r>
        <w:rPr>
          <w:rFonts w:hint="eastAsia" w:hAnsi="宋体"/>
          <w:color w:val="000000"/>
          <w:sz w:val="24"/>
          <w:highlight w:val="none"/>
        </w:rPr>
        <w:t>购法律法规及《四川省政府采购当事人诚信管理办法》（川财采〔2015〕33号）等有关规定给予行政处罚或者以失信行为记入诚信档案。</w:t>
      </w:r>
    </w:p>
    <w:p>
      <w:pPr>
        <w:spacing w:line="400" w:lineRule="exact"/>
        <w:ind w:firstLine="482" w:firstLineChars="200"/>
        <w:rPr>
          <w:rFonts w:ascii="宋体" w:hAnsi="宋体"/>
          <w:b/>
          <w:sz w:val="24"/>
          <w:highlight w:val="none"/>
        </w:rPr>
      </w:pPr>
      <w:r>
        <w:rPr>
          <w:rFonts w:hint="eastAsia" w:ascii="宋体" w:hAnsi="宋体"/>
          <w:b/>
          <w:sz w:val="24"/>
          <w:highlight w:val="none"/>
        </w:rPr>
        <w:t>3</w:t>
      </w:r>
      <w:r>
        <w:rPr>
          <w:rFonts w:ascii="宋体" w:hAnsi="宋体"/>
          <w:b/>
          <w:sz w:val="24"/>
          <w:highlight w:val="none"/>
        </w:rPr>
        <w:t>5</w:t>
      </w:r>
      <w:r>
        <w:rPr>
          <w:rFonts w:hint="eastAsia" w:ascii="宋体" w:hAnsi="宋体"/>
          <w:b/>
          <w:sz w:val="24"/>
          <w:highlight w:val="none"/>
        </w:rPr>
        <w:t>.资金支付</w:t>
      </w:r>
    </w:p>
    <w:p>
      <w:pPr>
        <w:spacing w:line="400" w:lineRule="exact"/>
        <w:ind w:firstLine="480" w:firstLineChars="200"/>
        <w:rPr>
          <w:rFonts w:hint="eastAsia" w:ascii="宋体" w:hAnsi="宋体" w:cs="Times New Roman"/>
          <w:sz w:val="24"/>
          <w:highlight w:val="none"/>
        </w:rPr>
      </w:pPr>
      <w:r>
        <w:rPr>
          <w:rFonts w:hint="eastAsia" w:ascii="宋体" w:hAnsi="宋体"/>
          <w:sz w:val="24"/>
          <w:highlight w:val="none"/>
        </w:rPr>
        <w:t>采购人将按照政府采购合同规定，及时向中标供应商支付采购资金。</w:t>
      </w:r>
    </w:p>
    <w:p>
      <w:pPr>
        <w:pStyle w:val="4"/>
        <w:keepNext w:val="0"/>
        <w:keepLines w:val="0"/>
        <w:spacing w:before="0" w:after="0" w:line="360" w:lineRule="auto"/>
        <w:jc w:val="center"/>
        <w:rPr>
          <w:rFonts w:ascii="宋体" w:hAnsi="宋体"/>
          <w:color w:val="000000"/>
          <w:sz w:val="28"/>
          <w:szCs w:val="28"/>
          <w:highlight w:val="none"/>
        </w:rPr>
      </w:pPr>
      <w:r>
        <w:rPr>
          <w:rFonts w:hint="eastAsia"/>
          <w:color w:val="000000"/>
          <w:sz w:val="28"/>
          <w:szCs w:val="28"/>
          <w:highlight w:val="none"/>
        </w:rPr>
        <w:t>八、磋商纪律要求</w:t>
      </w:r>
    </w:p>
    <w:p>
      <w:pPr>
        <w:tabs>
          <w:tab w:val="left" w:pos="851"/>
        </w:tabs>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3</w:t>
      </w:r>
      <w:r>
        <w:rPr>
          <w:rFonts w:ascii="宋体" w:hAnsi="宋体"/>
          <w:b/>
          <w:color w:val="000000"/>
          <w:sz w:val="24"/>
          <w:highlight w:val="none"/>
        </w:rPr>
        <w:t>6</w:t>
      </w:r>
      <w:r>
        <w:rPr>
          <w:rFonts w:hint="eastAsia" w:ascii="宋体" w:hAnsi="宋体"/>
          <w:b/>
          <w:color w:val="000000"/>
          <w:sz w:val="24"/>
          <w:highlight w:val="none"/>
        </w:rPr>
        <w:t>.供应商不得具有的情形</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供应商参加本项目磋商不得有下列情形：</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（1）提供虚假材料谋取成交；</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（2）采取不正当手段诋毁、排挤其他供应商；</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（3）与采购人、采购代理机构、或其他供应商恶意串通；</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（4）向采购人、采购代理机构、磋商小组成员行贿或者提供其他不正当利益；</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（5）在磋商过程中与采购人、采购代理机构进行协商；</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（6）成交后无正当理由拒不与采购人签订政府采购合同；</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（7）未按照磋商文件确定的事项签订政府采购合同；</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（8）将政府采购合同转包或者违规分包；</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（9）提供假冒伪劣产品；</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（10）擅自变更、中止或者终止政府采购合同；</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（11）拒绝有关部门的监督检查或者向监督检查部门提供虚假情况；</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（12）法律法规规定的其他情形。</w:t>
      </w:r>
    </w:p>
    <w:p>
      <w:pPr>
        <w:tabs>
          <w:tab w:val="left" w:pos="851"/>
        </w:tabs>
        <w:spacing w:line="400" w:lineRule="exact"/>
        <w:ind w:firstLine="480" w:firstLineChars="200"/>
        <w:rPr>
          <w:rFonts w:hAnsi="宋体"/>
          <w:color w:val="000000"/>
          <w:sz w:val="24"/>
          <w:highlight w:val="none"/>
        </w:rPr>
      </w:pPr>
      <w:r>
        <w:rPr>
          <w:rFonts w:hint="eastAsia" w:hAnsi="宋体"/>
          <w:color w:val="000000"/>
          <w:sz w:val="24"/>
          <w:highlight w:val="none"/>
        </w:rPr>
        <w:t>供应商有上述情形的，按照规定追究法律责任，具备（1）-（10）条情形之一的，同时将取消被确认为成交供应商的资格或者认定成交无效。</w:t>
      </w:r>
    </w:p>
    <w:p>
      <w:pPr>
        <w:tabs>
          <w:tab w:val="left" w:pos="851"/>
        </w:tabs>
        <w:spacing w:line="400" w:lineRule="exact"/>
        <w:jc w:val="center"/>
        <w:rPr>
          <w:rFonts w:ascii="黑体" w:hAnsi="宋体" w:eastAsia="黑体"/>
          <w:b/>
          <w:color w:val="000000"/>
          <w:sz w:val="28"/>
          <w:szCs w:val="28"/>
          <w:highlight w:val="none"/>
        </w:rPr>
      </w:pPr>
      <w:r>
        <w:rPr>
          <w:rFonts w:hint="eastAsia" w:ascii="黑体" w:hAnsi="宋体" w:eastAsia="黑体"/>
          <w:b/>
          <w:color w:val="000000"/>
          <w:sz w:val="28"/>
          <w:szCs w:val="28"/>
          <w:highlight w:val="none"/>
        </w:rPr>
        <w:t>九、询问、质疑和投诉</w:t>
      </w:r>
    </w:p>
    <w:p>
      <w:pPr>
        <w:tabs>
          <w:tab w:val="left" w:pos="851"/>
        </w:tabs>
        <w:spacing w:line="400" w:lineRule="exact"/>
        <w:ind w:firstLine="495"/>
        <w:rPr>
          <w:rFonts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7</w:t>
      </w:r>
      <w:r>
        <w:rPr>
          <w:rFonts w:hint="eastAsia" w:ascii="宋体" w:hAnsi="宋体"/>
          <w:color w:val="000000"/>
          <w:sz w:val="24"/>
          <w:highlight w:val="none"/>
        </w:rPr>
        <w:t>.询问、质</w:t>
      </w:r>
      <w:r>
        <w:rPr>
          <w:rFonts w:hint="eastAsia" w:hAnsi="宋体"/>
          <w:color w:val="000000"/>
          <w:sz w:val="24"/>
          <w:highlight w:val="none"/>
        </w:rPr>
        <w:t>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400" w:lineRule="exact"/>
        <w:jc w:val="center"/>
        <w:rPr>
          <w:rFonts w:ascii="黑体" w:hAnsi="宋体" w:eastAsia="黑体"/>
          <w:b/>
          <w:color w:val="000000"/>
          <w:sz w:val="28"/>
          <w:szCs w:val="28"/>
          <w:highlight w:val="none"/>
        </w:rPr>
      </w:pPr>
      <w:r>
        <w:rPr>
          <w:rFonts w:hint="eastAsia" w:ascii="黑体" w:hAnsi="宋体" w:eastAsia="黑体"/>
          <w:b/>
          <w:color w:val="000000"/>
          <w:sz w:val="28"/>
          <w:szCs w:val="28"/>
          <w:highlight w:val="none"/>
        </w:rPr>
        <w:t>十、其  他</w:t>
      </w:r>
    </w:p>
    <w:p>
      <w:pPr>
        <w:tabs>
          <w:tab w:val="left" w:pos="851"/>
        </w:tabs>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8</w:t>
      </w:r>
      <w:r>
        <w:rPr>
          <w:rFonts w:hint="eastAsia" w:ascii="宋体" w:hAnsi="宋体"/>
          <w:color w:val="000000"/>
          <w:sz w:val="24"/>
          <w:highlight w:val="none"/>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w:t>
      </w:r>
    </w:p>
    <w:p>
      <w:pPr>
        <w:tabs>
          <w:tab w:val="left" w:pos="851"/>
        </w:tabs>
        <w:spacing w:line="400" w:lineRule="exact"/>
        <w:rPr>
          <w:rFonts w:hAnsi="宋体"/>
          <w:color w:val="000000"/>
          <w:sz w:val="24"/>
          <w:highlight w:val="none"/>
        </w:rPr>
      </w:pPr>
      <w:r>
        <w:rPr>
          <w:rFonts w:hint="eastAsia" w:ascii="宋体" w:hAnsi="宋体"/>
          <w:color w:val="000000"/>
          <w:sz w:val="24"/>
          <w:highlight w:val="none"/>
        </w:rPr>
        <w:t>律制度规定执行，本磋</w:t>
      </w:r>
      <w:r>
        <w:rPr>
          <w:rFonts w:hint="eastAsia" w:hAnsi="宋体"/>
          <w:color w:val="000000"/>
          <w:sz w:val="24"/>
          <w:highlight w:val="none"/>
        </w:rPr>
        <w:t>商文件不再做调整。</w:t>
      </w:r>
    </w:p>
    <w:p>
      <w:pPr>
        <w:spacing w:line="400" w:lineRule="exact"/>
        <w:ind w:firstLine="480" w:firstLineChars="200"/>
        <w:jc w:val="left"/>
        <w:rPr>
          <w:color w:val="000000"/>
          <w:kern w:val="0"/>
          <w:sz w:val="24"/>
          <w:highlight w:val="none"/>
        </w:rPr>
      </w:pPr>
      <w:r>
        <w:rPr>
          <w:rFonts w:hint="eastAsia" w:ascii="宋体" w:hAnsi="宋体"/>
          <w:color w:val="000000"/>
          <w:sz w:val="24"/>
          <w:highlight w:val="none"/>
        </w:rPr>
        <w:t>39.</w:t>
      </w:r>
      <w:r>
        <w:rPr>
          <w:rFonts w:hAnsi="宋体"/>
          <w:color w:val="000000"/>
          <w:sz w:val="24"/>
          <w:highlight w:val="none"/>
        </w:rPr>
        <w:t>国家</w:t>
      </w:r>
      <w:r>
        <w:rPr>
          <w:rFonts w:hint="eastAsia" w:hAnsi="宋体"/>
          <w:color w:val="000000"/>
          <w:sz w:val="24"/>
          <w:highlight w:val="none"/>
        </w:rPr>
        <w:t>或行业主管部门</w:t>
      </w:r>
      <w:r>
        <w:rPr>
          <w:rFonts w:hAnsi="宋体"/>
          <w:color w:val="000000"/>
          <w:sz w:val="24"/>
          <w:highlight w:val="none"/>
        </w:rPr>
        <w:t>对</w:t>
      </w:r>
      <w:r>
        <w:rPr>
          <w:rFonts w:hint="eastAsia" w:hAnsi="宋体"/>
          <w:color w:val="000000"/>
          <w:sz w:val="24"/>
          <w:highlight w:val="none"/>
        </w:rPr>
        <w:t>供应商和采购产品的</w:t>
      </w:r>
      <w:r>
        <w:rPr>
          <w:rFonts w:hAnsi="宋体"/>
          <w:color w:val="000000"/>
          <w:sz w:val="24"/>
          <w:highlight w:val="none"/>
        </w:rPr>
        <w:t>技术</w:t>
      </w:r>
      <w:r>
        <w:rPr>
          <w:rFonts w:hint="eastAsia" w:hAnsi="宋体"/>
          <w:color w:val="000000"/>
          <w:sz w:val="24"/>
          <w:highlight w:val="none"/>
        </w:rPr>
        <w:t>标准、</w:t>
      </w:r>
      <w:r>
        <w:rPr>
          <w:rFonts w:hAnsi="宋体"/>
          <w:color w:val="000000"/>
          <w:sz w:val="24"/>
          <w:highlight w:val="none"/>
        </w:rPr>
        <w:t>质量</w:t>
      </w:r>
      <w:r>
        <w:rPr>
          <w:rFonts w:hint="eastAsia" w:hAnsi="宋体"/>
          <w:color w:val="000000"/>
          <w:sz w:val="24"/>
          <w:highlight w:val="none"/>
        </w:rPr>
        <w:t>标准和资格资质条件</w:t>
      </w:r>
      <w:r>
        <w:rPr>
          <w:rFonts w:hAnsi="宋体"/>
          <w:color w:val="000000"/>
          <w:sz w:val="24"/>
          <w:highlight w:val="none"/>
        </w:rPr>
        <w:t>等有</w:t>
      </w:r>
      <w:r>
        <w:rPr>
          <w:rFonts w:hint="eastAsia" w:hAnsi="宋体"/>
          <w:color w:val="000000"/>
          <w:sz w:val="24"/>
          <w:highlight w:val="none"/>
        </w:rPr>
        <w:t>强制性规定</w:t>
      </w:r>
      <w:r>
        <w:rPr>
          <w:rFonts w:hAnsi="宋体"/>
          <w:color w:val="000000"/>
          <w:sz w:val="24"/>
          <w:highlight w:val="none"/>
        </w:rPr>
        <w:t>的</w:t>
      </w:r>
      <w:r>
        <w:rPr>
          <w:rFonts w:hint="eastAsia" w:hAnsi="宋体"/>
          <w:color w:val="000000"/>
          <w:sz w:val="24"/>
          <w:highlight w:val="none"/>
        </w:rPr>
        <w:t>，必须符合其要求。</w:t>
      </w:r>
    </w:p>
    <w:p>
      <w:pPr>
        <w:rPr>
          <w:highlight w:val="none"/>
        </w:rPr>
      </w:pPr>
    </w:p>
    <w:p>
      <w:pPr>
        <w:pStyle w:val="3"/>
        <w:pageBreakBefore/>
        <w:spacing w:before="0" w:after="20" w:line="360" w:lineRule="auto"/>
        <w:jc w:val="center"/>
        <w:rPr>
          <w:rFonts w:ascii="黑体" w:eastAsia="黑体"/>
          <w:b w:val="0"/>
          <w:color w:val="000000"/>
          <w:sz w:val="32"/>
          <w:szCs w:val="32"/>
          <w:highlight w:val="none"/>
        </w:rPr>
      </w:pPr>
      <w:bookmarkStart w:id="66" w:name="_Toc533424973"/>
      <w:r>
        <w:rPr>
          <w:rFonts w:hint="eastAsia" w:ascii="黑体" w:eastAsia="黑体"/>
          <w:color w:val="000000"/>
          <w:sz w:val="32"/>
          <w:szCs w:val="32"/>
          <w:highlight w:val="none"/>
        </w:rPr>
        <w:t>第三章  供应商资格条件要求</w:t>
      </w:r>
      <w:bookmarkEnd w:id="66"/>
    </w:p>
    <w:p>
      <w:pPr>
        <w:rPr>
          <w:rFonts w:ascii="宋体" w:hAnsi="宋体"/>
          <w:b/>
          <w:color w:val="000000"/>
          <w:sz w:val="32"/>
          <w:szCs w:val="32"/>
          <w:highlight w:val="none"/>
        </w:rPr>
      </w:pPr>
    </w:p>
    <w:p>
      <w:pPr>
        <w:spacing w:line="400" w:lineRule="exact"/>
        <w:ind w:firstLine="540" w:firstLineChars="225"/>
        <w:rPr>
          <w:rFonts w:hAnsi="宋体"/>
          <w:color w:val="000000"/>
          <w:sz w:val="24"/>
          <w:highlight w:val="none"/>
        </w:rPr>
      </w:pPr>
      <w:r>
        <w:rPr>
          <w:rFonts w:hint="eastAsia" w:hAnsi="宋体"/>
          <w:color w:val="000000"/>
          <w:sz w:val="24"/>
          <w:highlight w:val="none"/>
        </w:rPr>
        <w:t>一、参加磋商的供应商应具备下列资格条件：</w:t>
      </w:r>
    </w:p>
    <w:p>
      <w:pPr>
        <w:spacing w:line="400" w:lineRule="exact"/>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1.具有独立承担民事责任的能力；</w:t>
      </w:r>
    </w:p>
    <w:p>
      <w:pPr>
        <w:spacing w:line="400" w:lineRule="exact"/>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2.具有良好的商业信誉和健全的财务会计制度；</w:t>
      </w:r>
    </w:p>
    <w:p>
      <w:pPr>
        <w:spacing w:line="400" w:lineRule="exact"/>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3.具有履行合同所必须的设备和专业技术能力；</w:t>
      </w:r>
    </w:p>
    <w:p>
      <w:pPr>
        <w:spacing w:line="400" w:lineRule="exact"/>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4.具有依法缴纳税收和社会保障资金的良好记录；</w:t>
      </w:r>
    </w:p>
    <w:p>
      <w:pPr>
        <w:spacing w:line="400" w:lineRule="exact"/>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5.参加本次政府采购活动前3年内，在经营活动中没有重大违法记录；</w:t>
      </w:r>
    </w:p>
    <w:p>
      <w:pPr>
        <w:spacing w:line="400" w:lineRule="exact"/>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6.法律、行政法规规定的其他条件；</w:t>
      </w:r>
    </w:p>
    <w:p>
      <w:pPr>
        <w:spacing w:line="400" w:lineRule="exact"/>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7.采购人根据采购项目提出的特殊条件：</w:t>
      </w:r>
    </w:p>
    <w:p>
      <w:pPr>
        <w:spacing w:line="400" w:lineRule="exact"/>
        <w:ind w:firstLine="480" w:firstLineChars="2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1）</w:t>
      </w:r>
      <w:r>
        <w:rPr>
          <w:rFonts w:hint="eastAsia" w:asciiTheme="minorEastAsia" w:hAnsiTheme="minorEastAsia" w:eastAsiaTheme="minorEastAsia"/>
          <w:color w:val="000000"/>
          <w:sz w:val="24"/>
          <w:highlight w:val="none"/>
          <w:lang w:eastAsia="zh-CN"/>
        </w:rPr>
        <w:t>供应商</w:t>
      </w:r>
      <w:r>
        <w:rPr>
          <w:rFonts w:hint="eastAsia" w:asciiTheme="minorEastAsia" w:hAnsiTheme="minorEastAsia" w:eastAsiaTheme="minorEastAsia"/>
          <w:color w:val="000000"/>
          <w:sz w:val="24"/>
          <w:highlight w:val="none"/>
          <w:lang w:val="en-US" w:eastAsia="zh-CN"/>
        </w:rPr>
        <w:t>具备有效的《食品经营许可证》</w:t>
      </w:r>
      <w:r>
        <w:rPr>
          <w:rFonts w:hint="eastAsia" w:asciiTheme="minorEastAsia" w:hAnsiTheme="minorEastAsia" w:eastAsiaTheme="minorEastAsia"/>
          <w:color w:val="000000"/>
          <w:sz w:val="24"/>
          <w:highlight w:val="none"/>
        </w:rPr>
        <w:t>；</w:t>
      </w:r>
    </w:p>
    <w:p>
      <w:pPr>
        <w:spacing w:line="400" w:lineRule="exact"/>
        <w:ind w:firstLine="480" w:firstLineChars="200"/>
        <w:rPr>
          <w:rFonts w:hint="eastAsia" w:cs="Times New Roman"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lang w:val="en-US" w:eastAsia="zh-CN"/>
        </w:rPr>
        <w:t>2）本项目专门面向中小企业采购，供应商须为中小企业；</w:t>
      </w:r>
    </w:p>
    <w:p>
      <w:pPr>
        <w:spacing w:line="400" w:lineRule="exact"/>
        <w:ind w:firstLine="480" w:firstLineChars="200"/>
        <w:rPr>
          <w:rFonts w:hint="eastAsia" w:cs="Times New Roman" w:asciiTheme="minorEastAsia" w:hAnsiTheme="minorEastAsia" w:eastAsiaTheme="minorEastAsia"/>
          <w:color w:val="000000"/>
          <w:sz w:val="24"/>
          <w:highlight w:val="none"/>
        </w:rPr>
      </w:pPr>
      <w:r>
        <w:rPr>
          <w:rFonts w:hint="eastAsia" w:cs="Times New Roman" w:asciiTheme="minorEastAsia" w:hAnsiTheme="minorEastAsia" w:eastAsiaTheme="minorEastAsia"/>
          <w:color w:val="000000"/>
          <w:sz w:val="24"/>
          <w:highlight w:val="none"/>
          <w:lang w:val="en-US" w:eastAsia="zh-CN"/>
        </w:rPr>
        <w:t>8</w:t>
      </w:r>
      <w:r>
        <w:rPr>
          <w:rFonts w:hint="eastAsia" w:cs="Times New Roman" w:asciiTheme="minorEastAsia" w:hAnsiTheme="minorEastAsia" w:eastAsiaTheme="minorEastAsia"/>
          <w:color w:val="000000"/>
          <w:sz w:val="24"/>
          <w:highlight w:val="none"/>
        </w:rPr>
        <w:t>. 本项目不接受联合体</w:t>
      </w:r>
      <w:r>
        <w:rPr>
          <w:rFonts w:hint="eastAsia" w:cs="Times New Roman" w:asciiTheme="minorEastAsia" w:hAnsiTheme="minorEastAsia" w:eastAsiaTheme="minorEastAsia"/>
          <w:color w:val="000000"/>
          <w:sz w:val="24"/>
          <w:highlight w:val="none"/>
          <w:lang w:eastAsia="zh-CN"/>
        </w:rPr>
        <w:t>磋商</w:t>
      </w:r>
      <w:r>
        <w:rPr>
          <w:rFonts w:hint="eastAsia" w:cs="Times New Roman" w:asciiTheme="minorEastAsia" w:hAnsiTheme="minorEastAsia" w:eastAsiaTheme="minorEastAsia"/>
          <w:color w:val="000000"/>
          <w:sz w:val="24"/>
          <w:highlight w:val="none"/>
        </w:rPr>
        <w:t>。</w:t>
      </w:r>
    </w:p>
    <w:p>
      <w:pPr>
        <w:spacing w:line="400" w:lineRule="exact"/>
        <w:ind w:firstLine="480" w:firstLineChars="200"/>
        <w:rPr>
          <w:rFonts w:hint="eastAsia" w:cs="Times New Roman" w:asciiTheme="minorEastAsia" w:hAnsiTheme="minorEastAsia" w:eastAsiaTheme="minorEastAsia"/>
          <w:color w:val="000000"/>
          <w:sz w:val="24"/>
          <w:highlight w:val="none"/>
        </w:rPr>
      </w:pPr>
      <w:r>
        <w:rPr>
          <w:rFonts w:hint="eastAsia" w:cs="Times New Roman" w:asciiTheme="minorEastAsia" w:hAnsiTheme="minorEastAsia" w:eastAsiaTheme="minorEastAsia"/>
          <w:color w:val="000000"/>
          <w:sz w:val="24"/>
          <w:highlight w:val="none"/>
          <w:lang w:val="en-US" w:eastAsia="zh-CN"/>
        </w:rPr>
        <w:t>9</w:t>
      </w:r>
      <w:r>
        <w:rPr>
          <w:rFonts w:hint="eastAsia" w:cs="Times New Roman" w:asciiTheme="minorEastAsia" w:hAnsiTheme="minorEastAsia" w:eastAsiaTheme="minorEastAsia"/>
          <w:color w:val="000000"/>
          <w:sz w:val="24"/>
          <w:highlight w:val="none"/>
          <w:lang w:eastAsia="zh-CN"/>
        </w:rPr>
        <w:t>.</w:t>
      </w:r>
      <w:r>
        <w:rPr>
          <w:rFonts w:hint="eastAsia" w:cs="Times New Roman" w:asciiTheme="minorEastAsia" w:hAnsiTheme="minorEastAsia" w:eastAsiaTheme="minorEastAsia"/>
          <w:color w:val="000000"/>
          <w:sz w:val="24"/>
          <w:highlight w:val="none"/>
        </w:rPr>
        <w:t>本项目参加政府采购活动的</w:t>
      </w:r>
      <w:r>
        <w:rPr>
          <w:rFonts w:hint="eastAsia" w:cs="Times New Roman" w:asciiTheme="minorEastAsia" w:hAnsiTheme="minorEastAsia" w:eastAsiaTheme="minorEastAsia"/>
          <w:color w:val="000000"/>
          <w:sz w:val="24"/>
          <w:highlight w:val="none"/>
          <w:lang w:eastAsia="zh-CN"/>
        </w:rPr>
        <w:t>供应商</w:t>
      </w:r>
      <w:r>
        <w:rPr>
          <w:rFonts w:hint="eastAsia" w:cs="Times New Roman" w:asciiTheme="minorEastAsia" w:hAnsiTheme="minorEastAsia" w:eastAsiaTheme="minorEastAsia"/>
          <w:color w:val="000000"/>
          <w:sz w:val="24"/>
          <w:highlight w:val="none"/>
        </w:rPr>
        <w:t>、法定代表人、主要负责人在前3年内不得具有行贿犯罪记录。</w:t>
      </w:r>
    </w:p>
    <w:p>
      <w:pPr>
        <w:widowControl/>
        <w:spacing w:line="400" w:lineRule="exact"/>
        <w:ind w:firstLine="480" w:firstLineChars="200"/>
        <w:jc w:val="left"/>
        <w:rPr>
          <w:rFonts w:hAnsi="宋体"/>
          <w:sz w:val="24"/>
          <w:highlight w:val="none"/>
        </w:rPr>
      </w:pPr>
      <w:r>
        <w:rPr>
          <w:rFonts w:hint="eastAsia" w:asciiTheme="minorEastAsia" w:hAnsiTheme="minorEastAsia" w:eastAsiaTheme="minorEastAsia"/>
          <w:color w:val="000000"/>
          <w:sz w:val="24"/>
          <w:highlight w:val="none"/>
          <w:lang w:val="en-US" w:eastAsia="zh-CN"/>
        </w:rPr>
        <w:t>10</w:t>
      </w:r>
      <w:r>
        <w:rPr>
          <w:rFonts w:hint="eastAsia" w:asciiTheme="minorEastAsia" w:hAnsiTheme="minorEastAsia" w:eastAsiaTheme="minorEastAsia"/>
          <w:color w:val="000000"/>
          <w:sz w:val="24"/>
          <w:highlight w:val="none"/>
          <w:lang w:eastAsia="zh-CN"/>
        </w:rPr>
        <w:t>.</w:t>
      </w:r>
      <w:r>
        <w:rPr>
          <w:rFonts w:hint="eastAsia" w:asciiTheme="minorEastAsia" w:hAnsiTheme="minorEastAsia" w:eastAsiaTheme="minorEastAsia"/>
          <w:color w:val="000000"/>
          <w:sz w:val="24"/>
          <w:highlight w:val="none"/>
        </w:rPr>
        <w:t>供应商在采购公告发布之日前，不得为“信用中国”网站（www.creditchina.gov.cn）中列入失信被执行人和重大税收违法案件当事人名单，不得为中国政府采购网（www.ccgp.gov.cn)政府采购严重违法失信行为记录名单中被财政部门禁止参加政府采购活动的供应商</w:t>
      </w:r>
      <w:r>
        <w:rPr>
          <w:rFonts w:hint="eastAsia" w:hAnsi="宋体"/>
          <w:sz w:val="24"/>
          <w:highlight w:val="none"/>
        </w:rPr>
        <w:t>。</w:t>
      </w:r>
    </w:p>
    <w:p>
      <w:pPr>
        <w:spacing w:line="400" w:lineRule="exact"/>
        <w:ind w:firstLine="480" w:firstLineChars="200"/>
        <w:rPr>
          <w:sz w:val="24"/>
          <w:highlight w:val="none"/>
        </w:rPr>
      </w:pPr>
      <w:r>
        <w:rPr>
          <w:rFonts w:hint="eastAsia"/>
          <w:sz w:val="24"/>
          <w:highlight w:val="none"/>
          <w:lang w:val="en-US" w:eastAsia="zh-CN"/>
        </w:rPr>
        <w:t>11</w:t>
      </w:r>
      <w:r>
        <w:rPr>
          <w:rFonts w:hint="eastAsia"/>
          <w:sz w:val="24"/>
          <w:highlight w:val="none"/>
          <w:lang w:eastAsia="zh-CN"/>
        </w:rPr>
        <w:t>.</w:t>
      </w:r>
      <w:r>
        <w:rPr>
          <w:rFonts w:hint="eastAsia"/>
          <w:sz w:val="24"/>
          <w:highlight w:val="none"/>
        </w:rPr>
        <w:t>法定代表人授权书。</w:t>
      </w:r>
    </w:p>
    <w:p>
      <w:pPr>
        <w:spacing w:line="400" w:lineRule="exact"/>
        <w:ind w:firstLine="480" w:firstLineChars="200"/>
        <w:rPr>
          <w:sz w:val="24"/>
          <w:highlight w:val="none"/>
        </w:rPr>
      </w:pPr>
      <w:r>
        <w:rPr>
          <w:rFonts w:hint="eastAsia"/>
          <w:sz w:val="24"/>
          <w:highlight w:val="none"/>
        </w:rPr>
        <w:t>1</w:t>
      </w:r>
      <w:r>
        <w:rPr>
          <w:rFonts w:hint="eastAsia"/>
          <w:sz w:val="24"/>
          <w:highlight w:val="none"/>
          <w:lang w:val="en-US" w:eastAsia="zh-CN"/>
        </w:rPr>
        <w:t>2</w:t>
      </w:r>
      <w:r>
        <w:rPr>
          <w:rFonts w:hint="eastAsia"/>
          <w:sz w:val="24"/>
          <w:highlight w:val="none"/>
          <w:lang w:eastAsia="zh-CN"/>
        </w:rPr>
        <w:t>.</w:t>
      </w:r>
      <w:r>
        <w:rPr>
          <w:rFonts w:hint="eastAsia"/>
          <w:sz w:val="24"/>
          <w:highlight w:val="none"/>
        </w:rPr>
        <w:t>法人代表及被授权代表身份证。</w:t>
      </w:r>
    </w:p>
    <w:p>
      <w:pPr>
        <w:spacing w:line="400" w:lineRule="exact"/>
        <w:ind w:firstLine="540" w:firstLineChars="225"/>
        <w:rPr>
          <w:rFonts w:hAnsi="宋体"/>
          <w:color w:val="000000"/>
          <w:sz w:val="24"/>
          <w:highlight w:val="none"/>
        </w:rPr>
      </w:pPr>
    </w:p>
    <w:p>
      <w:pPr>
        <w:spacing w:line="320" w:lineRule="exact"/>
        <w:rPr>
          <w:rFonts w:ascii="宋体" w:hAnsi="宋体"/>
          <w:b/>
          <w:bCs/>
          <w:color w:val="000000"/>
          <w:szCs w:val="21"/>
          <w:highlight w:val="none"/>
        </w:rPr>
      </w:pPr>
      <w:r>
        <w:rPr>
          <w:rFonts w:hint="eastAsia" w:hAnsi="宋体"/>
          <w:b/>
          <w:bCs/>
          <w:color w:val="000000"/>
          <w:szCs w:val="21"/>
          <w:highlight w:val="none"/>
        </w:rPr>
        <w:t>注：</w:t>
      </w:r>
      <w:r>
        <w:rPr>
          <w:rFonts w:hint="eastAsia" w:ascii="宋体" w:hAnsi="宋体"/>
          <w:b/>
          <w:bCs/>
          <w:color w:val="000000"/>
          <w:szCs w:val="21"/>
          <w:highlight w:val="none"/>
        </w:rPr>
        <w:t>1.</w:t>
      </w:r>
      <w:r>
        <w:rPr>
          <w:rFonts w:hint="eastAsia" w:ascii="宋体" w:hAnsi="宋体" w:eastAsia="宋体" w:cs="宋体"/>
          <w:b/>
          <w:color w:val="000000" w:themeColor="text1"/>
          <w:sz w:val="24"/>
          <w:highlight w:val="none"/>
          <w14:textFill>
            <w14:solidFill>
              <w14:schemeClr w14:val="tx1"/>
            </w14:solidFill>
          </w14:textFill>
        </w:rPr>
        <w:t>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w:t>
      </w:r>
      <w:r>
        <w:rPr>
          <w:rFonts w:hint="eastAsia" w:ascii="宋体" w:hAnsi="宋体" w:eastAsia="宋体" w:cs="宋体"/>
          <w:b/>
          <w:color w:val="000000" w:themeColor="text1"/>
          <w:sz w:val="24"/>
          <w:highlight w:val="none"/>
          <w:lang w:eastAsia="zh-CN"/>
          <w14:textFill>
            <w14:solidFill>
              <w14:schemeClr w14:val="tx1"/>
            </w14:solidFill>
          </w14:textFill>
        </w:rPr>
        <w:t>为准</w:t>
      </w:r>
      <w:r>
        <w:rPr>
          <w:rFonts w:hint="eastAsia"/>
          <w:b/>
          <w:szCs w:val="21"/>
          <w:highlight w:val="none"/>
        </w:rPr>
        <w:t>。</w:t>
      </w:r>
    </w:p>
    <w:p>
      <w:pPr>
        <w:spacing w:line="320" w:lineRule="exact"/>
        <w:ind w:firstLine="474" w:firstLineChars="225"/>
        <w:rPr>
          <w:rFonts w:hAnsi="宋体"/>
          <w:b/>
          <w:bCs/>
          <w:color w:val="000000"/>
          <w:szCs w:val="21"/>
          <w:highlight w:val="none"/>
        </w:rPr>
      </w:pPr>
      <w:r>
        <w:rPr>
          <w:rFonts w:hint="eastAsia" w:ascii="宋体" w:hAnsi="宋体"/>
          <w:b/>
          <w:bCs/>
          <w:color w:val="000000"/>
          <w:szCs w:val="21"/>
          <w:highlight w:val="none"/>
        </w:rPr>
        <w:t>2.供应</w:t>
      </w:r>
      <w:r>
        <w:rPr>
          <w:rFonts w:hint="eastAsia" w:hAnsi="宋体"/>
          <w:b/>
          <w:bCs/>
          <w:color w:val="000000"/>
          <w:szCs w:val="21"/>
          <w:highlight w:val="none"/>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8"/>
        <w:spacing w:after="0" w:line="320" w:lineRule="exact"/>
        <w:rPr>
          <w:highlight w:val="none"/>
        </w:rPr>
      </w:pPr>
    </w:p>
    <w:p>
      <w:pPr>
        <w:rPr>
          <w:highlight w:val="none"/>
        </w:rPr>
      </w:pPr>
    </w:p>
    <w:p>
      <w:pPr>
        <w:jc w:val="center"/>
        <w:rPr>
          <w:rFonts w:hAnsi="宋体"/>
          <w:color w:val="000000"/>
          <w:sz w:val="24"/>
          <w:highlight w:val="none"/>
        </w:rPr>
      </w:pPr>
    </w:p>
    <w:p>
      <w:pPr>
        <w:pStyle w:val="3"/>
        <w:pageBreakBefore/>
        <w:spacing w:before="0" w:after="20" w:line="360" w:lineRule="auto"/>
        <w:jc w:val="center"/>
        <w:rPr>
          <w:rFonts w:ascii="黑体" w:eastAsia="黑体"/>
          <w:color w:val="000000"/>
          <w:sz w:val="32"/>
          <w:szCs w:val="32"/>
          <w:highlight w:val="none"/>
        </w:rPr>
      </w:pPr>
      <w:bookmarkStart w:id="67" w:name="_Toc533424974"/>
      <w:r>
        <w:rPr>
          <w:rFonts w:hint="eastAsia" w:ascii="黑体" w:eastAsia="黑体"/>
          <w:color w:val="000000"/>
          <w:sz w:val="32"/>
          <w:szCs w:val="32"/>
          <w:highlight w:val="none"/>
        </w:rPr>
        <w:t>第四章  供应商资格证明材料</w:t>
      </w:r>
      <w:bookmarkEnd w:id="67"/>
    </w:p>
    <w:p>
      <w:pPr>
        <w:spacing w:line="400" w:lineRule="exact"/>
        <w:ind w:firstLine="472" w:firstLineChars="196"/>
        <w:rPr>
          <w:rFonts w:ascii="宋体" w:hAnsi="宋体"/>
          <w:b/>
          <w:color w:val="000000"/>
          <w:sz w:val="24"/>
          <w:highlight w:val="none"/>
        </w:rPr>
      </w:pPr>
      <w:r>
        <w:rPr>
          <w:rFonts w:ascii="宋体" w:hAnsi="宋体"/>
          <w:b/>
          <w:color w:val="000000"/>
          <w:sz w:val="24"/>
          <w:highlight w:val="none"/>
        </w:rPr>
        <w:t>一、</w:t>
      </w:r>
      <w:r>
        <w:rPr>
          <w:rFonts w:hint="eastAsia" w:ascii="宋体"/>
          <w:b/>
          <w:sz w:val="24"/>
          <w:highlight w:val="none"/>
        </w:rPr>
        <w:t>应当提供的供应商资格、资质性及其他类似效力要求的相关证明材料</w:t>
      </w:r>
    </w:p>
    <w:p>
      <w:pPr>
        <w:spacing w:line="400" w:lineRule="exact"/>
        <w:ind w:firstLine="236" w:firstLineChars="98"/>
        <w:rPr>
          <w:rFonts w:hAnsi="宋体"/>
          <w:b/>
          <w:bCs/>
          <w:sz w:val="24"/>
          <w:highlight w:val="none"/>
        </w:rPr>
      </w:pPr>
      <w:r>
        <w:rPr>
          <w:rFonts w:hint="eastAsia" w:hAnsi="宋体"/>
          <w:b/>
          <w:bCs/>
          <w:sz w:val="24"/>
          <w:highlight w:val="none"/>
        </w:rPr>
        <w:t>（一）资格要求相关证明材料：</w:t>
      </w:r>
    </w:p>
    <w:p>
      <w:pPr>
        <w:spacing w:line="360" w:lineRule="exact"/>
        <w:ind w:firstLine="480" w:firstLineChars="200"/>
        <w:rPr>
          <w:rFonts w:hint="eastAsia"/>
          <w:sz w:val="24"/>
          <w:highlight w:val="none"/>
        </w:rPr>
      </w:pPr>
      <w:r>
        <w:rPr>
          <w:rFonts w:hint="eastAsia"/>
          <w:sz w:val="24"/>
          <w:highlight w:val="none"/>
        </w:rPr>
        <w:t>1.具有独立承担民事责任的能力；（已完成三证合一或五证合一的，需提供营业执照副本复印件；未完成证照合并的，需提供合法有效的营业执照副本复印件、税务登记证副本复印件、组织机构代码副本复印件；事业单位提供法人证书及组织机构代码副本复印件；自然人提供本人身份证复印件。）</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sz w:val="24"/>
          <w:highlight w:val="none"/>
        </w:rPr>
      </w:pPr>
      <w:r>
        <w:rPr>
          <w:rFonts w:hint="eastAsia"/>
          <w:sz w:val="24"/>
          <w:highlight w:val="none"/>
        </w:rPr>
        <w:t>2.具有良好的商业信誉和健全的财务会计制度；（</w:t>
      </w:r>
      <w:r>
        <w:rPr>
          <w:rFonts w:hint="eastAsia"/>
          <w:color w:val="000000"/>
          <w:sz w:val="24"/>
          <w:highlight w:val="none"/>
        </w:rPr>
        <w:t>具有良好的商业信誉提供承诺函，健全的财务会计制度</w:t>
      </w:r>
      <w:r>
        <w:rPr>
          <w:rFonts w:hint="eastAsia"/>
          <w:color w:val="000000"/>
          <w:sz w:val="24"/>
          <w:highlight w:val="none"/>
          <w:lang w:eastAsia="zh-CN"/>
        </w:rPr>
        <w:t>提供证明材料</w:t>
      </w:r>
      <w:r>
        <w:rPr>
          <w:rFonts w:hint="eastAsia"/>
          <w:color w:val="000000"/>
          <w:sz w:val="24"/>
          <w:highlight w:val="none"/>
        </w:rPr>
        <w:t>｛注：①可提供201</w:t>
      </w:r>
      <w:r>
        <w:rPr>
          <w:rFonts w:hint="eastAsia"/>
          <w:color w:val="000000"/>
          <w:sz w:val="24"/>
          <w:highlight w:val="none"/>
          <w:lang w:val="en-US" w:eastAsia="zh-CN"/>
        </w:rPr>
        <w:t>9</w:t>
      </w:r>
      <w:r>
        <w:rPr>
          <w:rFonts w:hint="eastAsia"/>
          <w:color w:val="000000"/>
          <w:sz w:val="24"/>
          <w:highlight w:val="none"/>
        </w:rPr>
        <w:t>或20</w:t>
      </w:r>
      <w:r>
        <w:rPr>
          <w:rFonts w:hint="eastAsia"/>
          <w:color w:val="000000"/>
          <w:sz w:val="24"/>
          <w:highlight w:val="none"/>
          <w:lang w:val="en-US" w:eastAsia="zh-CN"/>
        </w:rPr>
        <w:t>20</w:t>
      </w:r>
      <w:r>
        <w:rPr>
          <w:rFonts w:hint="eastAsia"/>
          <w:color w:val="000000"/>
          <w:sz w:val="24"/>
          <w:highlight w:val="none"/>
        </w:rPr>
        <w:t>年度经审计的财务报告复印件（包含审计报告和审计报告中所涉及的财务报表和报表附注）；②也可提供201</w:t>
      </w:r>
      <w:r>
        <w:rPr>
          <w:rFonts w:hint="eastAsia"/>
          <w:color w:val="000000"/>
          <w:sz w:val="24"/>
          <w:highlight w:val="none"/>
          <w:lang w:val="en-US" w:eastAsia="zh-CN"/>
        </w:rPr>
        <w:t>9</w:t>
      </w:r>
      <w:r>
        <w:rPr>
          <w:rFonts w:hint="eastAsia"/>
          <w:color w:val="000000"/>
          <w:sz w:val="24"/>
          <w:highlight w:val="none"/>
        </w:rPr>
        <w:t>或20</w:t>
      </w:r>
      <w:r>
        <w:rPr>
          <w:rFonts w:hint="eastAsia"/>
          <w:color w:val="000000"/>
          <w:sz w:val="24"/>
          <w:highlight w:val="none"/>
          <w:lang w:val="en-US" w:eastAsia="zh-CN"/>
        </w:rPr>
        <w:t>20</w:t>
      </w:r>
      <w:r>
        <w:rPr>
          <w:rFonts w:hint="eastAsia"/>
          <w:color w:val="000000"/>
          <w:sz w:val="24"/>
          <w:highlight w:val="none"/>
        </w:rPr>
        <w:t>年度供应商内部的财务报表复印件（至少包含资产负债表和利润表）；③也可提供投标文件递交截止日前一年内银行出具的有效资信证明；④供应商注册时间距投标文件递交截止日不足一年的，也可提供在工商备案的公司章程复印件｝</w:t>
      </w:r>
      <w:r>
        <w:rPr>
          <w:rFonts w:hint="eastAsia"/>
          <w:sz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sz w:val="24"/>
          <w:highlight w:val="none"/>
        </w:rPr>
      </w:pPr>
      <w:r>
        <w:rPr>
          <w:rFonts w:hint="eastAsia"/>
          <w:sz w:val="24"/>
          <w:highlight w:val="none"/>
        </w:rPr>
        <w:t>3.具有履行合同所必须的设备和专业技术能力；（提供承诺函）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sz w:val="24"/>
          <w:highlight w:val="none"/>
        </w:rPr>
      </w:pPr>
      <w:r>
        <w:rPr>
          <w:rFonts w:hint="eastAsia"/>
          <w:sz w:val="24"/>
          <w:highlight w:val="none"/>
        </w:rPr>
        <w:t>4.具有依法缴纳税收和社会保障资金的良好记录；（提供承诺函）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sz w:val="24"/>
          <w:highlight w:val="none"/>
        </w:rPr>
      </w:pPr>
      <w:r>
        <w:rPr>
          <w:rFonts w:hint="eastAsia"/>
          <w:sz w:val="24"/>
          <w:highlight w:val="none"/>
        </w:rPr>
        <w:t>5.参加本次政府采购活动前3年内，在经营活动中没有重大违法记录；（提供承诺函）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sz w:val="24"/>
          <w:highlight w:val="none"/>
        </w:rPr>
      </w:pPr>
      <w:r>
        <w:rPr>
          <w:rFonts w:hint="eastAsia"/>
          <w:sz w:val="24"/>
          <w:highlight w:val="none"/>
        </w:rPr>
        <w:t>6.法律、行政法规规定的其他条件；（提供承诺函）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sz w:val="24"/>
          <w:highlight w:val="none"/>
        </w:rPr>
      </w:pPr>
      <w:r>
        <w:rPr>
          <w:rFonts w:hint="eastAsia"/>
          <w:sz w:val="24"/>
          <w:highlight w:val="none"/>
        </w:rPr>
        <w:t>7.采购人根据采购项目提出的特殊条件：</w:t>
      </w:r>
    </w:p>
    <w:p>
      <w:pPr>
        <w:spacing w:line="400" w:lineRule="exact"/>
        <w:ind w:firstLine="480" w:firstLineChars="200"/>
        <w:rPr>
          <w:rFonts w:hint="eastAsia" w:asciiTheme="minorEastAsia" w:hAnsiTheme="minorEastAsia" w:eastAsiaTheme="minorEastAsia"/>
          <w:color w:val="000000"/>
          <w:sz w:val="24"/>
          <w:highlight w:val="none"/>
          <w:lang w:eastAsia="zh-CN"/>
        </w:rPr>
      </w:pPr>
      <w:r>
        <w:rPr>
          <w:rFonts w:hint="eastAsia" w:asciiTheme="minorEastAsia" w:hAnsiTheme="minorEastAsia" w:eastAsiaTheme="minorEastAsia"/>
          <w:color w:val="000000"/>
          <w:sz w:val="24"/>
          <w:highlight w:val="none"/>
        </w:rPr>
        <w:t>1）</w:t>
      </w:r>
      <w:r>
        <w:rPr>
          <w:rFonts w:hint="eastAsia" w:asciiTheme="minorEastAsia" w:hAnsiTheme="minorEastAsia" w:eastAsiaTheme="minorEastAsia"/>
          <w:color w:val="000000"/>
          <w:sz w:val="24"/>
          <w:highlight w:val="none"/>
          <w:lang w:eastAsia="zh-CN"/>
        </w:rPr>
        <w:t>供应商</w:t>
      </w:r>
      <w:r>
        <w:rPr>
          <w:rFonts w:hint="eastAsia" w:asciiTheme="minorEastAsia" w:hAnsiTheme="minorEastAsia" w:eastAsiaTheme="minorEastAsia"/>
          <w:color w:val="000000"/>
          <w:sz w:val="24"/>
          <w:highlight w:val="none"/>
          <w:lang w:val="en-US" w:eastAsia="zh-CN"/>
        </w:rPr>
        <w:t>具备有效的《食品经营许可证》</w:t>
      </w:r>
      <w:r>
        <w:rPr>
          <w:rFonts w:hint="eastAsia" w:asciiTheme="minorEastAsia" w:hAnsiTheme="minorEastAsia" w:eastAsiaTheme="minorEastAsia"/>
          <w:color w:val="000000"/>
          <w:sz w:val="24"/>
          <w:highlight w:val="none"/>
        </w:rPr>
        <w:t>；</w:t>
      </w:r>
      <w:r>
        <w:rPr>
          <w:rFonts w:hint="eastAsia" w:asciiTheme="minorEastAsia" w:hAnsiTheme="minorEastAsia" w:eastAsiaTheme="minorEastAsia"/>
          <w:color w:val="000000"/>
          <w:sz w:val="24"/>
          <w:highlight w:val="none"/>
          <w:lang w:eastAsia="zh-CN"/>
        </w:rPr>
        <w:t>（提供证书复印件加盖公章）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cs="Times New Roman"/>
          <w:sz w:val="24"/>
          <w:highlight w:val="none"/>
        </w:rPr>
      </w:pPr>
      <w:r>
        <w:rPr>
          <w:rFonts w:hint="eastAsia" w:asciiTheme="minorEastAsia" w:hAnsiTheme="minorEastAsia" w:eastAsiaTheme="minorEastAsia"/>
          <w:color w:val="000000"/>
          <w:sz w:val="24"/>
          <w:highlight w:val="none"/>
          <w:lang w:val="en-US" w:eastAsia="zh-CN"/>
        </w:rPr>
        <w:t>2）本项目专门面向中小企业采购，供应商须为中小企业；（提供中小企业声明函）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cs="Times New Roman"/>
          <w:sz w:val="24"/>
          <w:highlight w:val="none"/>
        </w:rPr>
      </w:pPr>
      <w:r>
        <w:rPr>
          <w:rFonts w:hint="eastAsia" w:ascii="Times New Roman" w:hAnsi="Times New Roman" w:cs="Times New Roman"/>
          <w:sz w:val="24"/>
          <w:highlight w:val="none"/>
          <w:lang w:val="en-US" w:eastAsia="zh-CN"/>
        </w:rPr>
        <w:t>8</w:t>
      </w:r>
      <w:r>
        <w:rPr>
          <w:rFonts w:hint="eastAsia" w:cs="Times New Roman"/>
          <w:sz w:val="24"/>
          <w:highlight w:val="none"/>
          <w:lang w:val="en-US" w:eastAsia="zh-CN"/>
        </w:rPr>
        <w:t>.</w:t>
      </w:r>
      <w:r>
        <w:rPr>
          <w:rFonts w:hint="eastAsia" w:ascii="Times New Roman" w:hAnsi="Times New Roman" w:cs="Times New Roman"/>
          <w:sz w:val="24"/>
          <w:highlight w:val="none"/>
        </w:rPr>
        <w:t xml:space="preserve"> 本项目不接受联合体</w:t>
      </w:r>
      <w:r>
        <w:rPr>
          <w:rFonts w:hint="eastAsia" w:cs="Times New Roman" w:asciiTheme="minorEastAsia" w:hAnsiTheme="minorEastAsia" w:eastAsiaTheme="minorEastAsia"/>
          <w:color w:val="000000"/>
          <w:sz w:val="24"/>
          <w:highlight w:val="none"/>
          <w:lang w:eastAsia="zh-CN"/>
        </w:rPr>
        <w:t>磋商</w:t>
      </w:r>
      <w:r>
        <w:rPr>
          <w:rFonts w:hint="eastAsia"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sz w:val="24"/>
          <w:highlight w:val="none"/>
        </w:rPr>
      </w:pPr>
      <w:r>
        <w:rPr>
          <w:rFonts w:hint="eastAsia" w:ascii="Times New Roman" w:hAnsi="Times New Roman" w:cs="Times New Roman"/>
          <w:sz w:val="24"/>
          <w:highlight w:val="none"/>
          <w:lang w:val="en-US" w:eastAsia="zh-CN"/>
        </w:rPr>
        <w:t>9</w:t>
      </w:r>
      <w:r>
        <w:rPr>
          <w:rFonts w:hint="eastAsia" w:cs="Times New Roman"/>
          <w:sz w:val="24"/>
          <w:highlight w:val="none"/>
          <w:lang w:eastAsia="zh-CN"/>
        </w:rPr>
        <w:t>.</w:t>
      </w:r>
      <w:r>
        <w:rPr>
          <w:rFonts w:hint="eastAsia" w:ascii="Times New Roman" w:hAnsi="Times New Roman" w:cs="Times New Roman"/>
          <w:sz w:val="24"/>
          <w:highlight w:val="none"/>
        </w:rPr>
        <w:t>本项目参加政府采购活动的</w:t>
      </w:r>
      <w:r>
        <w:rPr>
          <w:rFonts w:hint="eastAsia" w:cs="Times New Roman" w:asciiTheme="minorEastAsia" w:hAnsiTheme="minorEastAsia" w:eastAsiaTheme="minorEastAsia"/>
          <w:color w:val="000000"/>
          <w:sz w:val="24"/>
          <w:highlight w:val="none"/>
          <w:lang w:eastAsia="zh-CN"/>
        </w:rPr>
        <w:t>供应商</w:t>
      </w:r>
      <w:r>
        <w:rPr>
          <w:rFonts w:hint="eastAsia" w:ascii="Times New Roman" w:hAnsi="Times New Roman" w:cs="Times New Roman"/>
          <w:sz w:val="24"/>
          <w:highlight w:val="none"/>
        </w:rPr>
        <w:t>、法定代表</w:t>
      </w:r>
      <w:r>
        <w:rPr>
          <w:rFonts w:hint="eastAsia"/>
          <w:sz w:val="24"/>
          <w:highlight w:val="none"/>
        </w:rPr>
        <w:t>人、主要负责人在前3年内不得具有行贿犯罪记录（提供承诺函）。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sz w:val="24"/>
          <w:highlight w:val="none"/>
        </w:rPr>
      </w:pPr>
      <w:r>
        <w:rPr>
          <w:rFonts w:hint="eastAsia"/>
          <w:sz w:val="24"/>
          <w:highlight w:val="none"/>
          <w:lang w:val="en-US" w:eastAsia="zh-CN"/>
        </w:rPr>
        <w:t>10</w:t>
      </w:r>
      <w:r>
        <w:rPr>
          <w:rFonts w:hint="eastAsia"/>
          <w:sz w:val="24"/>
          <w:highlight w:val="none"/>
          <w:lang w:eastAsia="zh-CN"/>
        </w:rPr>
        <w:t>.</w:t>
      </w:r>
      <w:r>
        <w:rPr>
          <w:rFonts w:hint="eastAsia"/>
          <w:sz w:val="24"/>
          <w:highlight w:val="none"/>
        </w:rPr>
        <w:t>供应商在采购公告发布之日前，不得为“信用中国”网站（www.creditchina.gov.cn）中列入失信被执行人和重大税收违法案件当事人名单，不得为中国政府采购网（www.ccgp.gov.cn)政府采购严重违法失信行为记录名单中被财政部门禁止参加政府采购活动的供应商。（提供承诺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sz w:val="24"/>
          <w:highlight w:val="none"/>
        </w:rPr>
      </w:pPr>
      <w:r>
        <w:rPr>
          <w:rFonts w:hint="eastAsia"/>
          <w:sz w:val="24"/>
          <w:highlight w:val="none"/>
        </w:rPr>
        <w:t>1</w:t>
      </w:r>
      <w:r>
        <w:rPr>
          <w:rFonts w:hint="eastAsia"/>
          <w:sz w:val="24"/>
          <w:highlight w:val="none"/>
          <w:lang w:val="en-US" w:eastAsia="zh-CN"/>
        </w:rPr>
        <w:t>1</w:t>
      </w:r>
      <w:r>
        <w:rPr>
          <w:rFonts w:hint="eastAsia"/>
          <w:sz w:val="24"/>
          <w:highlight w:val="none"/>
          <w:lang w:eastAsia="zh-CN"/>
        </w:rPr>
        <w:t>.</w:t>
      </w:r>
      <w:r>
        <w:rPr>
          <w:rFonts w:hint="eastAsia"/>
          <w:sz w:val="24"/>
          <w:highlight w:val="none"/>
        </w:rPr>
        <w:t>法定代表人授权书。（原件加盖公章，委托代理时提供）</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sz w:val="24"/>
          <w:highlight w:val="none"/>
        </w:rPr>
      </w:pPr>
      <w:r>
        <w:rPr>
          <w:rFonts w:hint="eastAsia"/>
          <w:sz w:val="24"/>
          <w:highlight w:val="none"/>
        </w:rPr>
        <w:t>1</w:t>
      </w:r>
      <w:r>
        <w:rPr>
          <w:rFonts w:hint="eastAsia"/>
          <w:sz w:val="24"/>
          <w:highlight w:val="none"/>
          <w:lang w:val="en-US" w:eastAsia="zh-CN"/>
        </w:rPr>
        <w:t>2</w:t>
      </w:r>
      <w:r>
        <w:rPr>
          <w:rFonts w:hint="eastAsia"/>
          <w:sz w:val="24"/>
          <w:highlight w:val="none"/>
          <w:lang w:eastAsia="zh-CN"/>
        </w:rPr>
        <w:t>.</w:t>
      </w:r>
      <w:r>
        <w:rPr>
          <w:rFonts w:hint="eastAsia"/>
          <w:sz w:val="24"/>
          <w:highlight w:val="none"/>
        </w:rPr>
        <w:t>法人代表及被授权代表身份证。（复印件加盖公章，被授权代表身份证原件随身携带备查）</w:t>
      </w:r>
    </w:p>
    <w:p>
      <w:pPr>
        <w:spacing w:line="400" w:lineRule="exact"/>
        <w:ind w:firstLine="480"/>
        <w:rPr>
          <w:rFonts w:asciiTheme="minorEastAsia" w:hAnsiTheme="minorEastAsia" w:eastAsiaTheme="minorEastAsia"/>
          <w:color w:val="000000"/>
          <w:sz w:val="24"/>
          <w:highlight w:val="none"/>
        </w:rPr>
      </w:pPr>
    </w:p>
    <w:p>
      <w:pPr>
        <w:spacing w:line="320" w:lineRule="exact"/>
        <w:rPr>
          <w:rFonts w:ascii="宋体" w:hAnsi="宋体"/>
          <w:b/>
          <w:bCs/>
          <w:color w:val="000000"/>
          <w:szCs w:val="21"/>
          <w:highlight w:val="none"/>
        </w:rPr>
      </w:pPr>
      <w:r>
        <w:rPr>
          <w:rFonts w:hint="eastAsia" w:ascii="宋体" w:hAnsi="宋体"/>
          <w:b/>
          <w:bCs/>
          <w:color w:val="000000"/>
          <w:szCs w:val="21"/>
          <w:highlight w:val="none"/>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320" w:lineRule="exact"/>
        <w:jc w:val="left"/>
        <w:rPr>
          <w:rFonts w:ascii="黑体" w:hAnsi="宋体" w:eastAsia="黑体"/>
          <w:b/>
          <w:color w:val="000000"/>
          <w:szCs w:val="21"/>
          <w:highlight w:val="none"/>
        </w:rPr>
      </w:pPr>
      <w:r>
        <w:rPr>
          <w:rFonts w:hint="eastAsia" w:ascii="宋体" w:hAnsi="宋体"/>
          <w:b/>
          <w:bCs/>
          <w:color w:val="000000"/>
          <w:szCs w:val="21"/>
          <w:highlight w:val="none"/>
        </w:rPr>
        <w:t>2.本章要求提供的相关证明材料应当结合采购项目具体情况和供应商的组织机构性质确定，不得一概而论。</w:t>
      </w:r>
    </w:p>
    <w:p>
      <w:pPr>
        <w:pStyle w:val="3"/>
        <w:pageBreakBefore/>
        <w:spacing w:before="0" w:after="20" w:line="360" w:lineRule="auto"/>
        <w:jc w:val="center"/>
        <w:rPr>
          <w:rFonts w:ascii="黑体" w:eastAsia="黑体"/>
          <w:color w:val="000000"/>
          <w:sz w:val="32"/>
          <w:szCs w:val="32"/>
          <w:highlight w:val="none"/>
        </w:rPr>
      </w:pPr>
      <w:bookmarkStart w:id="68" w:name="_Toc533424975"/>
      <w:r>
        <w:rPr>
          <w:rFonts w:hint="eastAsia" w:ascii="黑体" w:eastAsia="黑体"/>
          <w:color w:val="000000"/>
          <w:sz w:val="32"/>
          <w:szCs w:val="32"/>
          <w:highlight w:val="none"/>
        </w:rPr>
        <w:t>第五章  采购项目技术、服务及其他商务要求</w:t>
      </w:r>
      <w:bookmarkEnd w:id="68"/>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Cs/>
          <w:sz w:val="24"/>
          <w:szCs w:val="24"/>
          <w:highlight w:val="none"/>
        </w:rPr>
      </w:pPr>
      <w:bookmarkStart w:id="69" w:name="_Toc217446095"/>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1、项目名称</w:t>
      </w:r>
      <w:r>
        <w:rPr>
          <w:rFonts w:hint="eastAsia" w:ascii="宋体" w:hAnsi="宋体" w:eastAsia="宋体" w:cs="宋体"/>
          <w:bCs/>
          <w:sz w:val="24"/>
          <w:szCs w:val="24"/>
          <w:highlight w:val="none"/>
          <w:lang w:eastAsia="zh-CN"/>
        </w:rPr>
        <w:t>：</w:t>
      </w:r>
      <w:r>
        <w:rPr>
          <w:rFonts w:hint="eastAsia" w:hAnsi="宋体" w:eastAsia="宋体" w:cs="宋体"/>
          <w:bCs/>
          <w:sz w:val="24"/>
          <w:szCs w:val="24"/>
          <w:highlight w:val="none"/>
          <w:lang w:eastAsia="zh-CN"/>
        </w:rPr>
        <w:t>成都东部新区草池街道办事处</w:t>
      </w:r>
      <w:r>
        <w:rPr>
          <w:rFonts w:hint="eastAsia" w:ascii="宋体" w:hAnsi="宋体" w:eastAsia="宋体" w:cs="宋体"/>
          <w:bCs/>
          <w:sz w:val="24"/>
          <w:szCs w:val="24"/>
          <w:highlight w:val="none"/>
          <w:lang w:eastAsia="zh-CN"/>
        </w:rPr>
        <w:t>食堂服务外包项目</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2、采购主体：</w:t>
      </w:r>
      <w:r>
        <w:rPr>
          <w:rFonts w:hint="eastAsia" w:hAnsi="宋体" w:eastAsia="宋体" w:cs="宋体"/>
          <w:bCs/>
          <w:sz w:val="24"/>
          <w:szCs w:val="24"/>
          <w:highlight w:val="none"/>
          <w:lang w:eastAsia="zh-CN"/>
        </w:rPr>
        <w:t>成都东部新区草池街道办事处</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3、资金来源：财政资金。</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hAnsi="宋体" w:eastAsia="宋体" w:cs="宋体"/>
          <w:bCs/>
          <w:sz w:val="24"/>
          <w:szCs w:val="24"/>
          <w:highlight w:val="none"/>
          <w:lang w:val="en-US" w:eastAsia="zh-CN"/>
        </w:rPr>
      </w:pPr>
      <w:r>
        <w:rPr>
          <w:rFonts w:hint="eastAsia" w:ascii="宋体" w:hAnsi="宋体" w:eastAsia="宋体" w:cs="宋体"/>
          <w:bCs/>
          <w:sz w:val="24"/>
          <w:szCs w:val="24"/>
          <w:highlight w:val="none"/>
        </w:rPr>
        <w:t>4、采购金额：</w:t>
      </w:r>
      <w:r>
        <w:rPr>
          <w:rFonts w:hint="eastAsia" w:hAnsi="宋体" w:eastAsia="宋体" w:cs="宋体"/>
          <w:bCs/>
          <w:sz w:val="24"/>
          <w:szCs w:val="24"/>
          <w:highlight w:val="none"/>
          <w:lang w:val="en-US" w:eastAsia="zh-CN"/>
        </w:rPr>
        <w:t>1221400</w:t>
      </w:r>
      <w:r>
        <w:rPr>
          <w:rFonts w:hint="eastAsia" w:ascii="宋体" w:hAnsi="宋体" w:eastAsia="宋体" w:cs="宋体"/>
          <w:bCs/>
          <w:sz w:val="24"/>
          <w:szCs w:val="24"/>
          <w:highlight w:val="none"/>
        </w:rPr>
        <w:t>元</w:t>
      </w:r>
      <w:r>
        <w:rPr>
          <w:rFonts w:hint="eastAsia" w:hAnsi="宋体" w:eastAsia="宋体" w:cs="宋体"/>
          <w:bCs/>
          <w:sz w:val="24"/>
          <w:szCs w:val="24"/>
          <w:highlight w:val="none"/>
          <w:lang w:val="en-US" w:eastAsia="zh-CN"/>
        </w:rPr>
        <w:t>。</w:t>
      </w:r>
    </w:p>
    <w:p>
      <w:pPr>
        <w:pStyle w:val="8"/>
        <w:rPr>
          <w:rFonts w:hint="eastAsia" w:hAnsi="宋体" w:eastAsia="宋体" w:cs="宋体"/>
          <w:bCs/>
          <w:sz w:val="24"/>
          <w:szCs w:val="24"/>
          <w:highlight w:val="none"/>
          <w:lang w:val="en-US" w:eastAsia="zh-CN"/>
        </w:rPr>
      </w:pPr>
      <w:r>
        <w:rPr>
          <w:rFonts w:hint="eastAsia" w:hAnsi="宋体" w:eastAsia="宋体" w:cs="宋体"/>
          <w:bCs/>
          <w:sz w:val="24"/>
          <w:szCs w:val="24"/>
          <w:highlight w:val="none"/>
          <w:lang w:val="en-US" w:eastAsia="zh-CN"/>
        </w:rPr>
        <w:t>5、服务期限：</w:t>
      </w:r>
      <w:r>
        <w:rPr>
          <w:rFonts w:hint="eastAsia" w:hAnsi="宋体" w:cs="宋体"/>
          <w:bCs/>
          <w:sz w:val="24"/>
          <w:szCs w:val="24"/>
          <w:highlight w:val="none"/>
          <w:lang w:val="en-US" w:eastAsia="zh-CN"/>
        </w:rPr>
        <w:t>一</w:t>
      </w:r>
      <w:r>
        <w:rPr>
          <w:rFonts w:hint="eastAsia" w:hAnsi="宋体" w:eastAsia="宋体" w:cs="宋体"/>
          <w:bCs/>
          <w:sz w:val="24"/>
          <w:szCs w:val="24"/>
          <w:highlight w:val="none"/>
          <w:lang w:val="en-US" w:eastAsia="zh-CN"/>
        </w:rPr>
        <w:t>年。</w:t>
      </w:r>
    </w:p>
    <w:p>
      <w:pPr>
        <w:spacing w:line="400" w:lineRule="exact"/>
        <w:jc w:val="center"/>
        <w:rPr>
          <w:rFonts w:hint="eastAsia" w:hAnsi="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hAnsi="宋体"/>
          <w:b/>
          <w:color w:val="auto"/>
          <w:sz w:val="30"/>
          <w:szCs w:val="30"/>
          <w:highlight w:val="none"/>
        </w:rPr>
      </w:pPr>
      <w:bookmarkStart w:id="70" w:name="_Toc502563018"/>
      <w:r>
        <w:rPr>
          <w:rFonts w:hint="eastAsia" w:hAnsi="宋体"/>
          <w:b/>
          <w:color w:val="auto"/>
          <w:sz w:val="30"/>
          <w:szCs w:val="30"/>
          <w:highlight w:val="none"/>
          <w:lang w:eastAsia="zh-CN"/>
        </w:rPr>
        <w:t>一、</w:t>
      </w:r>
      <w:r>
        <w:rPr>
          <w:rFonts w:hint="eastAsia" w:hAnsi="宋体"/>
          <w:b/>
          <w:color w:val="auto"/>
          <w:sz w:val="30"/>
          <w:szCs w:val="30"/>
          <w:highlight w:val="none"/>
        </w:rPr>
        <w:t>商务要求</w:t>
      </w:r>
      <w:bookmarkEnd w:id="70"/>
    </w:p>
    <w:p>
      <w:pPr>
        <w:pStyle w:val="61"/>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一、项目概述</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本项目拟通过政府采购的方式确定</w:t>
      </w:r>
      <w:r>
        <w:rPr>
          <w:rFonts w:hint="eastAsia" w:ascii="宋体" w:hAnsi="宋体" w:cs="宋体"/>
          <w:color w:val="auto"/>
          <w:sz w:val="24"/>
          <w:szCs w:val="24"/>
          <w:highlight w:val="none"/>
        </w:rPr>
        <w:t>一名</w:t>
      </w:r>
      <w:r>
        <w:rPr>
          <w:rFonts w:hint="eastAsia" w:ascii="宋体" w:hAnsi="宋体" w:cs="宋体"/>
          <w:sz w:val="24"/>
          <w:szCs w:val="24"/>
          <w:highlight w:val="none"/>
          <w:lang w:eastAsia="zh-CN"/>
        </w:rPr>
        <w:t>成都东部新区草池街道办事处</w:t>
      </w:r>
      <w:r>
        <w:rPr>
          <w:rFonts w:hint="eastAsia" w:ascii="宋体" w:hAnsi="宋体" w:eastAsia="宋体" w:cs="宋体"/>
          <w:bCs/>
          <w:sz w:val="24"/>
          <w:szCs w:val="24"/>
          <w:highlight w:val="none"/>
          <w:lang w:eastAsia="zh-CN"/>
        </w:rPr>
        <w:t>食堂服务外包项目</w:t>
      </w:r>
      <w:r>
        <w:rPr>
          <w:rFonts w:hint="eastAsia" w:ascii="宋体" w:hAnsi="宋体" w:cs="宋体"/>
          <w:bCs/>
          <w:sz w:val="24"/>
          <w:szCs w:val="24"/>
          <w:highlight w:val="none"/>
          <w:lang w:eastAsia="zh-CN"/>
        </w:rPr>
        <w:t>的</w:t>
      </w:r>
      <w:r>
        <w:rPr>
          <w:rFonts w:hint="eastAsia" w:ascii="宋体" w:hAnsi="宋体" w:cs="宋体"/>
          <w:sz w:val="24"/>
          <w:szCs w:val="24"/>
          <w:highlight w:val="none"/>
        </w:rPr>
        <w:t>供应商，承包方式为全部承包，包括食材采购与制作等所有内容。成都</w:t>
      </w:r>
      <w:r>
        <w:rPr>
          <w:rFonts w:hint="eastAsia" w:ascii="宋体" w:hAnsi="宋体" w:cs="宋体"/>
          <w:sz w:val="24"/>
          <w:szCs w:val="24"/>
          <w:highlight w:val="none"/>
          <w:lang w:val="en-US" w:eastAsia="zh-CN"/>
        </w:rPr>
        <w:t>东部</w:t>
      </w:r>
      <w:r>
        <w:rPr>
          <w:rFonts w:hint="eastAsia" w:ascii="宋体" w:hAnsi="宋体" w:cs="宋体"/>
          <w:sz w:val="24"/>
          <w:szCs w:val="24"/>
          <w:highlight w:val="none"/>
        </w:rPr>
        <w:t>新区</w:t>
      </w:r>
      <w:r>
        <w:rPr>
          <w:rFonts w:hint="eastAsia" w:ascii="宋体" w:hAnsi="宋体" w:cs="宋体"/>
          <w:sz w:val="24"/>
          <w:szCs w:val="24"/>
          <w:highlight w:val="none"/>
          <w:lang w:val="en-US" w:eastAsia="zh-CN"/>
        </w:rPr>
        <w:t>草池</w:t>
      </w:r>
      <w:r>
        <w:rPr>
          <w:rFonts w:hint="eastAsia" w:ascii="宋体" w:hAnsi="宋体" w:cs="宋体"/>
          <w:sz w:val="24"/>
          <w:szCs w:val="24"/>
          <w:highlight w:val="none"/>
        </w:rPr>
        <w:t>街道办事处提供食堂硬件设备设施完好，食堂热菜区、操作间、洗碗区设备齐全、如中标供应商需要另行添加设备须自行考虑。中标供应商因操作或使用不当或故意损坏设施设备造成损失的，由中标供应商负责，造成严重后果的，依法承担相应责任。</w:t>
      </w:r>
    </w:p>
    <w:p>
      <w:pPr>
        <w:pStyle w:val="61"/>
        <w:spacing w:line="360" w:lineRule="auto"/>
        <w:ind w:firstLine="482" w:firstLineChars="200"/>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rPr>
        <w:t>（一）用餐明细表</w:t>
      </w:r>
      <w:r>
        <w:rPr>
          <w:rFonts w:hint="eastAsia" w:ascii="宋体" w:hAnsi="宋体" w:cs="宋体"/>
          <w:b/>
          <w:bCs/>
          <w:sz w:val="24"/>
          <w:szCs w:val="24"/>
          <w:highlight w:val="none"/>
          <w:lang w:eastAsia="zh-CN"/>
        </w:rPr>
        <w:t>及总限价。</w:t>
      </w:r>
    </w:p>
    <w:p>
      <w:pPr>
        <w:pStyle w:val="61"/>
        <w:spacing w:line="240" w:lineRule="auto"/>
        <w:rPr>
          <w:rFonts w:hint="eastAsia" w:ascii="宋体" w:hAnsi="宋体" w:cs="宋体"/>
          <w:sz w:val="24"/>
          <w:szCs w:val="24"/>
          <w:highlight w:val="none"/>
        </w:rPr>
      </w:pPr>
    </w:p>
    <w:tbl>
      <w:tblPr>
        <w:tblStyle w:val="27"/>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9"/>
        <w:gridCol w:w="1682"/>
        <w:gridCol w:w="1582"/>
        <w:gridCol w:w="1308"/>
        <w:gridCol w:w="1364"/>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109" w:type="dxa"/>
            <w:noWrap w:val="0"/>
            <w:vAlign w:val="center"/>
          </w:tcPr>
          <w:p>
            <w:pPr>
              <w:pStyle w:val="61"/>
              <w:spacing w:line="240" w:lineRule="auto"/>
              <w:jc w:val="center"/>
              <w:rPr>
                <w:rFonts w:hint="eastAsia" w:ascii="宋体" w:hAnsi="宋体" w:cs="宋体"/>
                <w:sz w:val="24"/>
                <w:szCs w:val="24"/>
                <w:highlight w:val="none"/>
              </w:rPr>
            </w:pPr>
            <w:r>
              <w:rPr>
                <w:rFonts w:hint="eastAsia" w:ascii="宋体" w:hAnsi="宋体" w:cs="宋体"/>
                <w:sz w:val="24"/>
                <w:szCs w:val="24"/>
                <w:highlight w:val="none"/>
              </w:rPr>
              <w:t>内容</w:t>
            </w:r>
          </w:p>
        </w:tc>
        <w:tc>
          <w:tcPr>
            <w:tcW w:w="1682" w:type="dxa"/>
            <w:noWrap w:val="0"/>
            <w:vAlign w:val="center"/>
          </w:tcPr>
          <w:p>
            <w:pPr>
              <w:pStyle w:val="61"/>
              <w:spacing w:line="240" w:lineRule="auto"/>
              <w:jc w:val="center"/>
              <w:rPr>
                <w:rFonts w:hint="eastAsia" w:ascii="宋体" w:hAnsi="宋体" w:cs="宋体"/>
                <w:sz w:val="24"/>
                <w:szCs w:val="24"/>
                <w:highlight w:val="none"/>
              </w:rPr>
            </w:pPr>
            <w:r>
              <w:rPr>
                <w:rFonts w:hint="eastAsia" w:ascii="宋体" w:hAnsi="宋体" w:cs="宋体"/>
                <w:sz w:val="24"/>
                <w:szCs w:val="24"/>
                <w:highlight w:val="none"/>
              </w:rPr>
              <w:t>早餐</w:t>
            </w:r>
          </w:p>
        </w:tc>
        <w:tc>
          <w:tcPr>
            <w:tcW w:w="1582" w:type="dxa"/>
            <w:noWrap w:val="0"/>
            <w:vAlign w:val="center"/>
          </w:tcPr>
          <w:p>
            <w:pPr>
              <w:pStyle w:val="61"/>
              <w:spacing w:line="240" w:lineRule="auto"/>
              <w:jc w:val="center"/>
              <w:rPr>
                <w:rFonts w:hint="eastAsia" w:ascii="宋体" w:hAnsi="宋体" w:cs="宋体"/>
                <w:sz w:val="24"/>
                <w:szCs w:val="24"/>
                <w:highlight w:val="none"/>
              </w:rPr>
            </w:pPr>
            <w:r>
              <w:rPr>
                <w:rFonts w:hint="eastAsia" w:ascii="宋体" w:hAnsi="宋体" w:cs="宋体"/>
                <w:sz w:val="24"/>
                <w:szCs w:val="24"/>
                <w:highlight w:val="none"/>
              </w:rPr>
              <w:t>中餐</w:t>
            </w:r>
          </w:p>
        </w:tc>
        <w:tc>
          <w:tcPr>
            <w:tcW w:w="1308" w:type="dxa"/>
            <w:noWrap w:val="0"/>
            <w:vAlign w:val="center"/>
          </w:tcPr>
          <w:p>
            <w:pPr>
              <w:pStyle w:val="61"/>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晚餐</w:t>
            </w:r>
          </w:p>
        </w:tc>
        <w:tc>
          <w:tcPr>
            <w:tcW w:w="1364" w:type="dxa"/>
            <w:noWrap w:val="0"/>
            <w:vAlign w:val="center"/>
          </w:tcPr>
          <w:p>
            <w:pPr>
              <w:pStyle w:val="61"/>
              <w:spacing w:line="24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中餐（周末节假日）</w:t>
            </w:r>
          </w:p>
        </w:tc>
        <w:tc>
          <w:tcPr>
            <w:tcW w:w="1595" w:type="dxa"/>
            <w:noWrap w:val="0"/>
            <w:vAlign w:val="center"/>
          </w:tcPr>
          <w:p>
            <w:pPr>
              <w:pStyle w:val="61"/>
              <w:spacing w:line="240" w:lineRule="auto"/>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晚餐（周末节假日）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109" w:type="dxa"/>
            <w:noWrap w:val="0"/>
            <w:vAlign w:val="center"/>
          </w:tcPr>
          <w:p>
            <w:pPr>
              <w:pStyle w:val="61"/>
              <w:spacing w:line="240" w:lineRule="auto"/>
              <w:jc w:val="center"/>
              <w:rPr>
                <w:rFonts w:hint="eastAsia" w:ascii="宋体" w:hAnsi="宋体" w:cs="宋体"/>
                <w:sz w:val="24"/>
                <w:szCs w:val="24"/>
                <w:highlight w:val="none"/>
              </w:rPr>
            </w:pPr>
            <w:r>
              <w:rPr>
                <w:rFonts w:hint="eastAsia" w:ascii="宋体" w:hAnsi="宋体" w:cs="宋体"/>
                <w:sz w:val="24"/>
                <w:szCs w:val="24"/>
                <w:highlight w:val="none"/>
              </w:rPr>
              <w:t>用餐天数</w:t>
            </w:r>
          </w:p>
        </w:tc>
        <w:tc>
          <w:tcPr>
            <w:tcW w:w="1682" w:type="dxa"/>
            <w:noWrap w:val="0"/>
            <w:vAlign w:val="center"/>
          </w:tcPr>
          <w:p>
            <w:pPr>
              <w:pStyle w:val="61"/>
              <w:spacing w:line="240" w:lineRule="auto"/>
              <w:jc w:val="center"/>
              <w:rPr>
                <w:rFonts w:ascii="宋体" w:hAnsi="宋体" w:cs="宋体"/>
                <w:sz w:val="24"/>
                <w:szCs w:val="24"/>
                <w:highlight w:val="none"/>
              </w:rPr>
            </w:pPr>
            <w:r>
              <w:rPr>
                <w:rFonts w:hint="eastAsia" w:ascii="宋体" w:hAnsi="宋体" w:cs="宋体"/>
                <w:sz w:val="24"/>
                <w:szCs w:val="24"/>
                <w:highlight w:val="none"/>
                <w:lang w:val="en-US" w:eastAsia="zh-CN"/>
              </w:rPr>
              <w:t>260</w:t>
            </w:r>
            <w:r>
              <w:rPr>
                <w:rFonts w:hint="eastAsia" w:ascii="宋体" w:hAnsi="宋体" w:cs="宋体"/>
                <w:sz w:val="24"/>
                <w:szCs w:val="24"/>
                <w:highlight w:val="none"/>
              </w:rPr>
              <w:t>天</w:t>
            </w:r>
          </w:p>
        </w:tc>
        <w:tc>
          <w:tcPr>
            <w:tcW w:w="1582" w:type="dxa"/>
            <w:noWrap w:val="0"/>
            <w:vAlign w:val="center"/>
          </w:tcPr>
          <w:p>
            <w:pPr>
              <w:pStyle w:val="61"/>
              <w:spacing w:line="240" w:lineRule="auto"/>
              <w:jc w:val="center"/>
              <w:rPr>
                <w:rFonts w:ascii="宋体" w:hAnsi="宋体" w:cs="宋体"/>
                <w:sz w:val="24"/>
                <w:szCs w:val="24"/>
                <w:highlight w:val="none"/>
              </w:rPr>
            </w:pPr>
            <w:r>
              <w:rPr>
                <w:rFonts w:hint="eastAsia" w:ascii="宋体" w:hAnsi="宋体" w:cs="宋体"/>
                <w:sz w:val="24"/>
                <w:szCs w:val="24"/>
                <w:highlight w:val="none"/>
                <w:lang w:val="en-US" w:eastAsia="zh-CN"/>
              </w:rPr>
              <w:t>260</w:t>
            </w:r>
            <w:r>
              <w:rPr>
                <w:rFonts w:hint="eastAsia" w:ascii="宋体" w:hAnsi="宋体" w:cs="宋体"/>
                <w:sz w:val="24"/>
                <w:szCs w:val="24"/>
                <w:highlight w:val="none"/>
              </w:rPr>
              <w:t>天</w:t>
            </w:r>
          </w:p>
        </w:tc>
        <w:tc>
          <w:tcPr>
            <w:tcW w:w="1308"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260天</w:t>
            </w:r>
          </w:p>
        </w:tc>
        <w:tc>
          <w:tcPr>
            <w:tcW w:w="1364"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105</w:t>
            </w:r>
          </w:p>
        </w:tc>
        <w:tc>
          <w:tcPr>
            <w:tcW w:w="1595"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109" w:type="dxa"/>
            <w:noWrap w:val="0"/>
            <w:vAlign w:val="center"/>
          </w:tcPr>
          <w:p>
            <w:pPr>
              <w:pStyle w:val="61"/>
              <w:spacing w:line="240" w:lineRule="auto"/>
              <w:jc w:val="center"/>
              <w:rPr>
                <w:rFonts w:hint="eastAsia" w:ascii="宋体" w:hAnsi="宋体" w:cs="宋体"/>
                <w:sz w:val="24"/>
                <w:szCs w:val="24"/>
                <w:highlight w:val="none"/>
              </w:rPr>
            </w:pPr>
            <w:r>
              <w:rPr>
                <w:rFonts w:hint="eastAsia" w:ascii="宋体" w:hAnsi="宋体" w:cs="宋体"/>
                <w:sz w:val="24"/>
                <w:szCs w:val="24"/>
                <w:highlight w:val="none"/>
              </w:rPr>
              <w:t>用餐人数</w:t>
            </w:r>
          </w:p>
        </w:tc>
        <w:tc>
          <w:tcPr>
            <w:tcW w:w="1682" w:type="dxa"/>
            <w:noWrap w:val="0"/>
            <w:vAlign w:val="center"/>
          </w:tcPr>
          <w:p>
            <w:pPr>
              <w:pStyle w:val="61"/>
              <w:spacing w:line="24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120人/天</w:t>
            </w:r>
          </w:p>
        </w:tc>
        <w:tc>
          <w:tcPr>
            <w:tcW w:w="1582" w:type="dxa"/>
            <w:noWrap w:val="0"/>
            <w:vAlign w:val="center"/>
          </w:tcPr>
          <w:p>
            <w:pPr>
              <w:pStyle w:val="61"/>
              <w:spacing w:line="240" w:lineRule="auto"/>
              <w:jc w:val="center"/>
              <w:rPr>
                <w:rFonts w:hint="default" w:ascii="宋体" w:hAnsi="宋体" w:cs="宋体"/>
                <w:sz w:val="24"/>
                <w:szCs w:val="24"/>
                <w:highlight w:val="none"/>
                <w:lang w:val="en-US"/>
              </w:rPr>
            </w:pPr>
            <w:r>
              <w:rPr>
                <w:rFonts w:hint="eastAsia" w:ascii="宋体" w:hAnsi="宋体" w:cs="宋体"/>
                <w:sz w:val="24"/>
                <w:szCs w:val="24"/>
                <w:highlight w:val="none"/>
                <w:lang w:val="en-US" w:eastAsia="zh-CN"/>
              </w:rPr>
              <w:t>145人/天</w:t>
            </w:r>
          </w:p>
        </w:tc>
        <w:tc>
          <w:tcPr>
            <w:tcW w:w="1308"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60人/天</w:t>
            </w:r>
          </w:p>
        </w:tc>
        <w:tc>
          <w:tcPr>
            <w:tcW w:w="1364"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40人/天</w:t>
            </w:r>
          </w:p>
        </w:tc>
        <w:tc>
          <w:tcPr>
            <w:tcW w:w="1595" w:type="dxa"/>
            <w:noWrap w:val="0"/>
            <w:vAlign w:val="center"/>
          </w:tcPr>
          <w:p>
            <w:pPr>
              <w:pStyle w:val="61"/>
              <w:spacing w:line="240" w:lineRule="auto"/>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40人/天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2109" w:type="dxa"/>
            <w:noWrap w:val="0"/>
            <w:vAlign w:val="center"/>
          </w:tcPr>
          <w:p>
            <w:pPr>
              <w:pStyle w:val="61"/>
              <w:spacing w:line="240" w:lineRule="auto"/>
              <w:jc w:val="center"/>
              <w:rPr>
                <w:rFonts w:ascii="宋体" w:hAnsi="宋体" w:cs="宋体"/>
                <w:sz w:val="24"/>
                <w:szCs w:val="24"/>
                <w:highlight w:val="none"/>
              </w:rPr>
            </w:pPr>
            <w:r>
              <w:rPr>
                <w:rFonts w:hint="eastAsia" w:ascii="宋体" w:hAnsi="宋体" w:cs="宋体"/>
                <w:sz w:val="24"/>
                <w:szCs w:val="24"/>
                <w:highlight w:val="none"/>
              </w:rPr>
              <w:t>单价最高限价（元/人/天)</w:t>
            </w:r>
          </w:p>
        </w:tc>
        <w:tc>
          <w:tcPr>
            <w:tcW w:w="1682" w:type="dxa"/>
            <w:noWrap w:val="0"/>
            <w:vAlign w:val="center"/>
          </w:tcPr>
          <w:p>
            <w:pPr>
              <w:pStyle w:val="61"/>
              <w:spacing w:line="240" w:lineRule="auto"/>
              <w:jc w:val="center"/>
              <w:rPr>
                <w:rFonts w:ascii="宋体" w:hAnsi="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元</w:t>
            </w:r>
          </w:p>
        </w:tc>
        <w:tc>
          <w:tcPr>
            <w:tcW w:w="1582" w:type="dxa"/>
            <w:noWrap w:val="0"/>
            <w:vAlign w:val="center"/>
          </w:tcPr>
          <w:p>
            <w:pPr>
              <w:pStyle w:val="61"/>
              <w:spacing w:line="240" w:lineRule="auto"/>
              <w:jc w:val="center"/>
              <w:rPr>
                <w:rFonts w:ascii="宋体" w:hAnsi="宋体" w:cs="宋体"/>
                <w:sz w:val="24"/>
                <w:szCs w:val="24"/>
                <w:highlight w:val="none"/>
              </w:rPr>
            </w:pPr>
            <w:r>
              <w:rPr>
                <w:rFonts w:hint="eastAsia" w:ascii="宋体" w:hAnsi="宋体" w:cs="宋体"/>
                <w:sz w:val="24"/>
                <w:szCs w:val="24"/>
                <w:highlight w:val="none"/>
                <w:lang w:val="en-US" w:eastAsia="zh-CN"/>
              </w:rPr>
              <w:t>14</w:t>
            </w:r>
            <w:r>
              <w:rPr>
                <w:rFonts w:hint="eastAsia" w:ascii="宋体" w:hAnsi="宋体" w:cs="宋体"/>
                <w:sz w:val="24"/>
                <w:szCs w:val="24"/>
                <w:highlight w:val="none"/>
              </w:rPr>
              <w:t>元</w:t>
            </w:r>
          </w:p>
        </w:tc>
        <w:tc>
          <w:tcPr>
            <w:tcW w:w="1308"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6元</w:t>
            </w:r>
          </w:p>
        </w:tc>
        <w:tc>
          <w:tcPr>
            <w:tcW w:w="1364"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14元</w:t>
            </w:r>
          </w:p>
        </w:tc>
        <w:tc>
          <w:tcPr>
            <w:tcW w:w="1595"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109" w:type="dxa"/>
            <w:noWrap w:val="0"/>
            <w:vAlign w:val="center"/>
          </w:tcPr>
          <w:p>
            <w:pPr>
              <w:pStyle w:val="61"/>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小计</w:t>
            </w:r>
          </w:p>
        </w:tc>
        <w:tc>
          <w:tcPr>
            <w:tcW w:w="1682" w:type="dxa"/>
            <w:noWrap w:val="0"/>
            <w:vAlign w:val="center"/>
          </w:tcPr>
          <w:p>
            <w:pPr>
              <w:pStyle w:val="61"/>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156000元</w:t>
            </w:r>
          </w:p>
        </w:tc>
        <w:tc>
          <w:tcPr>
            <w:tcW w:w="1582" w:type="dxa"/>
            <w:noWrap w:val="0"/>
            <w:vAlign w:val="center"/>
          </w:tcPr>
          <w:p>
            <w:pPr>
              <w:pStyle w:val="61"/>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527800元</w:t>
            </w:r>
          </w:p>
        </w:tc>
        <w:tc>
          <w:tcPr>
            <w:tcW w:w="1308"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93600元</w:t>
            </w:r>
          </w:p>
        </w:tc>
        <w:tc>
          <w:tcPr>
            <w:tcW w:w="1364"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58800元</w:t>
            </w:r>
          </w:p>
        </w:tc>
        <w:tc>
          <w:tcPr>
            <w:tcW w:w="1595" w:type="dxa"/>
            <w:noWrap w:val="0"/>
            <w:vAlign w:val="center"/>
          </w:tcPr>
          <w:p>
            <w:pPr>
              <w:pStyle w:val="61"/>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25200元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109" w:type="dxa"/>
            <w:noWrap w:val="0"/>
            <w:vAlign w:val="center"/>
          </w:tcPr>
          <w:p>
            <w:pPr>
              <w:pStyle w:val="61"/>
              <w:spacing w:line="24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总计</w:t>
            </w:r>
          </w:p>
        </w:tc>
        <w:tc>
          <w:tcPr>
            <w:tcW w:w="7531" w:type="dxa"/>
            <w:gridSpan w:val="5"/>
            <w:noWrap w:val="0"/>
            <w:vAlign w:val="center"/>
          </w:tcPr>
          <w:p>
            <w:pPr>
              <w:pStyle w:val="61"/>
              <w:spacing w:line="240" w:lineRule="auto"/>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861400</w:t>
            </w:r>
            <w:r>
              <w:rPr>
                <w:rFonts w:hint="eastAsia" w:ascii="宋体" w:hAnsi="宋体" w:cs="宋体"/>
                <w:sz w:val="24"/>
                <w:szCs w:val="24"/>
                <w:highlight w:val="none"/>
              </w:rPr>
              <w:t>元</w:t>
            </w:r>
            <w:r>
              <w:rPr>
                <w:rFonts w:hint="eastAsia" w:ascii="宋体" w:hAnsi="宋体" w:cs="宋体"/>
                <w:sz w:val="24"/>
                <w:szCs w:val="24"/>
                <w:highlight w:val="none"/>
                <w:lang w:val="en-US" w:eastAsia="zh-CN"/>
              </w:rPr>
              <w:t>/年</w:t>
            </w:r>
          </w:p>
        </w:tc>
      </w:tr>
    </w:tbl>
    <w:p>
      <w:pPr>
        <w:pStyle w:val="61"/>
        <w:spacing w:line="240" w:lineRule="auto"/>
        <w:rPr>
          <w:rFonts w:hint="eastAsia" w:ascii="宋体" w:hAnsi="宋体" w:cs="宋体"/>
          <w:sz w:val="24"/>
          <w:szCs w:val="24"/>
          <w:highlight w:val="none"/>
        </w:rPr>
      </w:pPr>
    </w:p>
    <w:p>
      <w:pPr>
        <w:pStyle w:val="61"/>
        <w:numPr>
          <w:ilvl w:val="0"/>
          <w:numId w:val="2"/>
        </w:num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相关用餐要求：</w:t>
      </w:r>
    </w:p>
    <w:p>
      <w:pPr>
        <w:pStyle w:val="61"/>
        <w:spacing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1、工作日：早餐</w:t>
      </w:r>
      <w:r>
        <w:rPr>
          <w:rFonts w:hint="eastAsia" w:ascii="宋体" w:hAnsi="宋体" w:cs="宋体"/>
          <w:color w:val="000000"/>
          <w:sz w:val="24"/>
          <w:szCs w:val="24"/>
          <w:highlight w:val="none"/>
          <w:lang w:val="en-US" w:eastAsia="zh-CN"/>
        </w:rPr>
        <w:t>120</w:t>
      </w:r>
      <w:r>
        <w:rPr>
          <w:rFonts w:hint="eastAsia" w:ascii="宋体" w:hAnsi="宋体" w:cs="宋体"/>
          <w:color w:val="000000"/>
          <w:sz w:val="24"/>
          <w:szCs w:val="24"/>
          <w:highlight w:val="none"/>
        </w:rPr>
        <w:t>人，午餐</w:t>
      </w:r>
      <w:r>
        <w:rPr>
          <w:rFonts w:hint="eastAsia" w:ascii="宋体" w:hAnsi="宋体" w:cs="宋体"/>
          <w:color w:val="000000"/>
          <w:sz w:val="24"/>
          <w:szCs w:val="24"/>
          <w:highlight w:val="none"/>
          <w:lang w:val="en-US" w:eastAsia="zh-CN"/>
        </w:rPr>
        <w:t>145</w:t>
      </w:r>
      <w:r>
        <w:rPr>
          <w:rFonts w:hint="eastAsia" w:ascii="宋体" w:hAnsi="宋体" w:cs="宋体"/>
          <w:color w:val="000000"/>
          <w:sz w:val="24"/>
          <w:szCs w:val="24"/>
          <w:highlight w:val="none"/>
        </w:rPr>
        <w:t>人</w:t>
      </w:r>
      <w:r>
        <w:rPr>
          <w:rFonts w:hint="eastAsia" w:ascii="宋体" w:hAnsi="宋体" w:cs="宋体"/>
          <w:color w:val="000000"/>
          <w:sz w:val="24"/>
          <w:szCs w:val="24"/>
          <w:highlight w:val="none"/>
          <w:lang w:eastAsia="zh-CN"/>
        </w:rPr>
        <w:t>，晚餐</w:t>
      </w:r>
      <w:r>
        <w:rPr>
          <w:rFonts w:hint="eastAsia" w:ascii="宋体" w:hAnsi="宋体" w:cs="宋体"/>
          <w:color w:val="000000"/>
          <w:sz w:val="24"/>
          <w:szCs w:val="24"/>
          <w:highlight w:val="none"/>
          <w:lang w:val="en-US" w:eastAsia="zh-CN"/>
        </w:rPr>
        <w:t>60人。</w:t>
      </w:r>
    </w:p>
    <w:p>
      <w:pPr>
        <w:pStyle w:val="61"/>
        <w:spacing w:line="360" w:lineRule="auto"/>
        <w:ind w:firstLine="480" w:firstLineChars="200"/>
        <w:rPr>
          <w:rFonts w:hint="eastAsia" w:ascii="宋体" w:hAnsi="宋体" w:cs="宋体"/>
          <w:color w:val="FF0000"/>
          <w:sz w:val="24"/>
          <w:szCs w:val="24"/>
          <w:highlight w:val="none"/>
        </w:rPr>
      </w:pPr>
      <w:r>
        <w:rPr>
          <w:rFonts w:hint="eastAsia" w:ascii="宋体" w:hAnsi="宋体" w:cs="宋体"/>
          <w:color w:val="000000"/>
          <w:sz w:val="24"/>
          <w:szCs w:val="24"/>
          <w:highlight w:val="none"/>
        </w:rPr>
        <w:t>2、周末或节假日：按照实际值班</w:t>
      </w:r>
      <w:r>
        <w:rPr>
          <w:rFonts w:hint="eastAsia" w:ascii="宋体" w:hAnsi="宋体" w:cs="宋体"/>
          <w:color w:val="000000"/>
          <w:sz w:val="24"/>
          <w:szCs w:val="24"/>
          <w:highlight w:val="none"/>
          <w:lang w:eastAsia="zh-CN"/>
        </w:rPr>
        <w:t>、加班人数</w:t>
      </w:r>
      <w:r>
        <w:rPr>
          <w:rFonts w:hint="eastAsia" w:ascii="宋体" w:hAnsi="宋体" w:cs="宋体"/>
          <w:color w:val="000000"/>
          <w:sz w:val="24"/>
          <w:szCs w:val="24"/>
          <w:highlight w:val="none"/>
        </w:rPr>
        <w:t>核算。</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本次服务采购拟为本单位职工提供用餐服务提供标准为:</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早餐：每日早餐从下列餐品中任选七种提供。</w:t>
      </w:r>
    </w:p>
    <w:p>
      <w:pPr>
        <w:pStyle w:val="61"/>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排骨面、</w:t>
      </w:r>
      <w:r>
        <w:rPr>
          <w:rFonts w:hint="eastAsia" w:ascii="宋体" w:hAnsi="宋体" w:cs="宋体"/>
          <w:sz w:val="24"/>
          <w:szCs w:val="24"/>
          <w:highlight w:val="none"/>
          <w:lang w:eastAsia="zh-CN"/>
        </w:rPr>
        <w:t>杂酱</w:t>
      </w:r>
      <w:r>
        <w:rPr>
          <w:rFonts w:hint="eastAsia" w:ascii="宋体" w:hAnsi="宋体" w:cs="宋体"/>
          <w:sz w:val="24"/>
          <w:szCs w:val="24"/>
          <w:highlight w:val="none"/>
        </w:rPr>
        <w:t>面、牛肉面、煎蛋面、稀饭、包子、馒头、花卷、泡菜、鸡蛋、茶叶蛋、煎蛋、抄手、水饺、牛奶、豆浆、玉米、等</w:t>
      </w:r>
      <w:r>
        <w:rPr>
          <w:rFonts w:hint="eastAsia" w:ascii="宋体" w:hAnsi="宋体" w:cs="宋体"/>
          <w:sz w:val="24"/>
          <w:szCs w:val="24"/>
          <w:highlight w:val="none"/>
          <w:lang w:eastAsia="zh-CN"/>
        </w:rPr>
        <w:t>。</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午餐：</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四</w:t>
      </w:r>
      <w:r>
        <w:rPr>
          <w:rFonts w:hint="eastAsia" w:ascii="宋体" w:hAnsi="宋体" w:cs="宋体"/>
          <w:sz w:val="24"/>
          <w:szCs w:val="24"/>
          <w:highlight w:val="none"/>
        </w:rPr>
        <w:t>荤两素一汤，每日提供一种时令水果。荤菜样式包括但不限于回锅肉、凉拌鸡、凉拌兔丁、酸菜鱼、烧鸡、烧鸭、、烧排骨、蒸菜、卤肉、牛肉羊肉等菜品。所有菜品做到荤素、咸淡搭配合理。</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晚餐：两荤两素，</w:t>
      </w:r>
      <w:r>
        <w:rPr>
          <w:rFonts w:hint="eastAsia" w:ascii="宋体" w:hAnsi="宋体" w:cs="宋体"/>
          <w:sz w:val="24"/>
          <w:szCs w:val="24"/>
          <w:highlight w:val="none"/>
        </w:rPr>
        <w:t>荤菜样式包括但不限于回锅肉、</w:t>
      </w:r>
      <w:r>
        <w:rPr>
          <w:rFonts w:hint="eastAsia" w:ascii="宋体" w:hAnsi="宋体" w:cs="宋体"/>
          <w:sz w:val="24"/>
          <w:szCs w:val="24"/>
          <w:highlight w:val="none"/>
          <w:lang w:val="en-US" w:eastAsia="zh-CN"/>
        </w:rPr>
        <w:t>青椒肉丝</w:t>
      </w:r>
      <w:r>
        <w:rPr>
          <w:rFonts w:hint="eastAsia" w:ascii="宋体" w:hAnsi="宋体" w:cs="宋体"/>
          <w:sz w:val="24"/>
          <w:szCs w:val="24"/>
          <w:highlight w:val="none"/>
        </w:rPr>
        <w:t>、</w:t>
      </w:r>
      <w:r>
        <w:rPr>
          <w:rFonts w:hint="eastAsia" w:ascii="宋体" w:hAnsi="宋体" w:cs="宋体"/>
          <w:sz w:val="24"/>
          <w:szCs w:val="24"/>
          <w:highlight w:val="none"/>
          <w:lang w:val="en-US" w:eastAsia="zh-CN"/>
        </w:rPr>
        <w:t>水煮肉片</w:t>
      </w:r>
      <w:r>
        <w:rPr>
          <w:rFonts w:hint="eastAsia" w:ascii="宋体" w:hAnsi="宋体" w:cs="宋体"/>
          <w:sz w:val="24"/>
          <w:szCs w:val="24"/>
          <w:highlight w:val="none"/>
        </w:rPr>
        <w:t>、</w:t>
      </w:r>
      <w:r>
        <w:rPr>
          <w:rFonts w:hint="eastAsia" w:ascii="宋体" w:hAnsi="宋体" w:cs="宋体"/>
          <w:sz w:val="24"/>
          <w:szCs w:val="24"/>
          <w:highlight w:val="none"/>
          <w:lang w:val="en-US" w:eastAsia="zh-CN"/>
        </w:rPr>
        <w:t>甜椒肉丝</w:t>
      </w:r>
      <w:r>
        <w:rPr>
          <w:rFonts w:hint="eastAsia" w:ascii="宋体" w:hAnsi="宋体" w:cs="宋体"/>
          <w:sz w:val="24"/>
          <w:szCs w:val="24"/>
          <w:highlight w:val="none"/>
        </w:rPr>
        <w:t>、</w:t>
      </w:r>
      <w:r>
        <w:rPr>
          <w:rFonts w:hint="eastAsia" w:ascii="宋体" w:hAnsi="宋体" w:cs="宋体"/>
          <w:sz w:val="24"/>
          <w:szCs w:val="24"/>
          <w:highlight w:val="none"/>
          <w:lang w:val="en-US" w:eastAsia="zh-CN"/>
        </w:rPr>
        <w:t>青笋肉片、时令蔬菜</w:t>
      </w:r>
      <w:r>
        <w:rPr>
          <w:rFonts w:hint="eastAsia" w:ascii="宋体" w:hAnsi="宋体" w:cs="宋体"/>
          <w:sz w:val="24"/>
          <w:szCs w:val="24"/>
          <w:highlight w:val="none"/>
        </w:rPr>
        <w:t>等菜品。所有菜品做到荤素、咸淡搭配合理。</w:t>
      </w:r>
    </w:p>
    <w:p>
      <w:pPr>
        <w:pStyle w:val="61"/>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 xml:space="preserve">用餐时间:早 上 ：8:00—8:55 </w:t>
      </w:r>
      <w:r>
        <w:rPr>
          <w:rFonts w:hint="eastAsia" w:ascii="宋体" w:hAnsi="宋体" w:cs="宋体"/>
          <w:sz w:val="24"/>
          <w:szCs w:val="24"/>
          <w:highlight w:val="none"/>
          <w:lang w:eastAsia="zh-CN"/>
        </w:rPr>
        <w:t>。</w:t>
      </w:r>
      <w:r>
        <w:rPr>
          <w:rFonts w:hint="eastAsia" w:ascii="宋体" w:hAnsi="宋体" w:cs="宋体"/>
          <w:sz w:val="24"/>
          <w:szCs w:val="24"/>
          <w:highlight w:val="none"/>
        </w:rPr>
        <w:t>中午：11:55—13:00 。</w:t>
      </w:r>
      <w:r>
        <w:rPr>
          <w:rFonts w:hint="eastAsia" w:ascii="宋体" w:hAnsi="宋体" w:cs="宋体"/>
          <w:sz w:val="24"/>
          <w:szCs w:val="24"/>
          <w:highlight w:val="none"/>
          <w:lang w:val="en-US" w:eastAsia="zh-CN"/>
        </w:rPr>
        <w:t>晚上：17：30-18：30</w:t>
      </w:r>
    </w:p>
    <w:p>
      <w:pPr>
        <w:pStyle w:val="61"/>
        <w:numPr>
          <w:ilvl w:val="0"/>
          <w:numId w:val="3"/>
        </w:num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人员配备要求</w:t>
      </w:r>
      <w:r>
        <w:rPr>
          <w:rFonts w:hint="eastAsia" w:ascii="宋体" w:hAnsi="宋体" w:cs="宋体"/>
          <w:b/>
          <w:bCs/>
          <w:sz w:val="24"/>
          <w:szCs w:val="24"/>
          <w:highlight w:val="none"/>
          <w:lang w:eastAsia="zh-CN"/>
        </w:rPr>
        <w:t>及服务费总限价。</w:t>
      </w:r>
    </w:p>
    <w:tbl>
      <w:tblPr>
        <w:tblStyle w:val="27"/>
        <w:tblW w:w="8041" w:type="dxa"/>
        <w:tblInd w:w="0" w:type="dxa"/>
        <w:tblLayout w:type="fixed"/>
        <w:tblCellMar>
          <w:top w:w="15" w:type="dxa"/>
          <w:left w:w="15" w:type="dxa"/>
          <w:bottom w:w="15" w:type="dxa"/>
          <w:right w:w="15" w:type="dxa"/>
        </w:tblCellMar>
      </w:tblPr>
      <w:tblGrid>
        <w:gridCol w:w="1442"/>
        <w:gridCol w:w="1034"/>
        <w:gridCol w:w="1050"/>
        <w:gridCol w:w="1055"/>
        <w:gridCol w:w="1050"/>
        <w:gridCol w:w="1029"/>
        <w:gridCol w:w="1381"/>
      </w:tblGrid>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sz w:val="24"/>
                <w:szCs w:val="24"/>
                <w:highlight w:val="none"/>
              </w:rPr>
              <w:t>项  目</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sz w:val="24"/>
                <w:szCs w:val="24"/>
                <w:highlight w:val="none"/>
              </w:rPr>
              <w:t>人数(人)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工资（元）</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社保费（元）</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体检费（元）</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其他</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合计（元）</w:t>
            </w:r>
          </w:p>
        </w:tc>
      </w:tr>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厨师长</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5000</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kern w:val="0"/>
                <w:sz w:val="24"/>
                <w:szCs w:val="24"/>
                <w:highlight w:val="none"/>
                <w:lang w:val="en-US" w:eastAsia="zh-CN"/>
              </w:rPr>
              <w:t>800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100</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500</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rPr>
            </w:pPr>
            <w:r>
              <w:rPr>
                <w:rFonts w:hint="eastAsia" w:hAnsi="宋体" w:eastAsia="宋体" w:cs="宋体"/>
                <w:color w:val="000000"/>
                <w:kern w:val="0"/>
                <w:sz w:val="24"/>
                <w:szCs w:val="24"/>
                <w:highlight w:val="none"/>
                <w:lang w:val="en-US" w:eastAsia="zh-CN"/>
              </w:rPr>
              <w:t>6400</w:t>
            </w:r>
          </w:p>
        </w:tc>
      </w:tr>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eastAsia="zh-CN"/>
              </w:rPr>
              <w:t>厨师</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val="en-US" w:eastAsia="zh-CN"/>
              </w:rPr>
              <w:t>4</w:t>
            </w:r>
            <w:r>
              <w:rPr>
                <w:rFonts w:hint="eastAsia" w:ascii="宋体" w:hAnsi="宋体" w:eastAsia="宋体" w:cs="宋体"/>
                <w:color w:val="000000"/>
                <w:kern w:val="0"/>
                <w:sz w:val="24"/>
                <w:szCs w:val="24"/>
                <w:highlight w:val="none"/>
              </w:rPr>
              <w:t>000</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kern w:val="0"/>
                <w:sz w:val="24"/>
                <w:szCs w:val="24"/>
                <w:highlight w:val="none"/>
                <w:lang w:val="en-US" w:eastAsia="zh-CN"/>
              </w:rPr>
              <w:t>800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100</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500</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kern w:val="0"/>
                <w:sz w:val="24"/>
                <w:szCs w:val="24"/>
                <w:highlight w:val="none"/>
                <w:lang w:val="en-US" w:eastAsia="zh-CN"/>
              </w:rPr>
              <w:t>5400</w:t>
            </w:r>
          </w:p>
        </w:tc>
      </w:tr>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eastAsia="zh-CN"/>
              </w:rPr>
              <w:t>面点师</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00</w:t>
            </w:r>
            <w:r>
              <w:rPr>
                <w:rFonts w:hint="eastAsia" w:ascii="宋体" w:hAnsi="宋体" w:eastAsia="宋体" w:cs="宋体"/>
                <w:color w:val="000000"/>
                <w:kern w:val="0"/>
                <w:sz w:val="24"/>
                <w:szCs w:val="24"/>
                <w:highlight w:val="none"/>
                <w:lang w:val="en-US" w:eastAsia="zh-CN"/>
              </w:rPr>
              <w:t>0</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kern w:val="0"/>
                <w:sz w:val="24"/>
                <w:szCs w:val="24"/>
                <w:highlight w:val="none"/>
                <w:lang w:val="en-US" w:eastAsia="zh-CN"/>
              </w:rPr>
              <w:t>800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100</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500</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kern w:val="0"/>
                <w:sz w:val="24"/>
                <w:szCs w:val="24"/>
                <w:highlight w:val="none"/>
                <w:lang w:val="en-US" w:eastAsia="zh-CN"/>
              </w:rPr>
              <w:t>4400</w:t>
            </w:r>
          </w:p>
        </w:tc>
      </w:tr>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eastAsia="zh-CN"/>
              </w:rPr>
              <w:t>勤杂工</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2600</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kern w:val="0"/>
                <w:sz w:val="24"/>
                <w:szCs w:val="24"/>
                <w:highlight w:val="none"/>
                <w:lang w:val="en-US" w:eastAsia="zh-CN"/>
              </w:rPr>
              <w:t>800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rPr>
              <w:t>10</w:t>
            </w:r>
            <w:r>
              <w:rPr>
                <w:rFonts w:hint="eastAsia" w:ascii="宋体" w:hAnsi="宋体" w:eastAsia="宋体" w:cs="宋体"/>
                <w:color w:val="000000"/>
                <w:kern w:val="0"/>
                <w:sz w:val="24"/>
                <w:szCs w:val="24"/>
                <w:highlight w:val="none"/>
                <w:lang w:val="en-US" w:eastAsia="zh-CN"/>
              </w:rPr>
              <w:t>0</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500</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kern w:val="0"/>
                <w:sz w:val="24"/>
                <w:szCs w:val="24"/>
                <w:highlight w:val="none"/>
                <w:lang w:val="en-US" w:eastAsia="zh-CN"/>
              </w:rPr>
              <w:t>4000</w:t>
            </w:r>
          </w:p>
        </w:tc>
      </w:tr>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服务员</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2600</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800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rPr>
              <w:t>10</w:t>
            </w:r>
            <w:r>
              <w:rPr>
                <w:rFonts w:hint="eastAsia" w:ascii="宋体" w:hAnsi="宋体" w:eastAsia="宋体" w:cs="宋体"/>
                <w:color w:val="000000"/>
                <w:kern w:val="0"/>
                <w:sz w:val="24"/>
                <w:szCs w:val="24"/>
                <w:highlight w:val="none"/>
                <w:lang w:val="en-US" w:eastAsia="zh-CN"/>
              </w:rPr>
              <w:t>0</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500</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kern w:val="0"/>
                <w:sz w:val="24"/>
                <w:szCs w:val="24"/>
                <w:highlight w:val="none"/>
                <w:lang w:val="en-US" w:eastAsia="zh-CN"/>
              </w:rPr>
              <w:t>4000</w:t>
            </w:r>
          </w:p>
        </w:tc>
      </w:tr>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水电气</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5000</w:t>
            </w:r>
          </w:p>
        </w:tc>
      </w:tr>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低值易耗品</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4"/>
                <w:szCs w:val="24"/>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rPr>
            </w:pPr>
            <w:r>
              <w:rPr>
                <w:rFonts w:hint="eastAsia" w:hAnsi="宋体" w:eastAsia="宋体" w:cs="宋体"/>
                <w:color w:val="000000"/>
                <w:kern w:val="0"/>
                <w:sz w:val="24"/>
                <w:szCs w:val="24"/>
                <w:highlight w:val="none"/>
                <w:lang w:val="en-US" w:eastAsia="zh-CN"/>
              </w:rPr>
              <w:t>800</w:t>
            </w:r>
          </w:p>
        </w:tc>
      </w:tr>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lang w:eastAsia="zh-CN"/>
              </w:rPr>
            </w:pPr>
            <w:r>
              <w:rPr>
                <w:rFonts w:hint="eastAsia" w:hAnsi="宋体" w:eastAsia="宋体" w:cs="宋体"/>
                <w:color w:val="000000"/>
                <w:kern w:val="0"/>
                <w:sz w:val="24"/>
                <w:szCs w:val="24"/>
                <w:highlight w:val="none"/>
                <w:lang w:eastAsia="zh-CN"/>
              </w:rPr>
              <w:t>小计</w:t>
            </w:r>
          </w:p>
        </w:tc>
        <w:tc>
          <w:tcPr>
            <w:tcW w:w="5218"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szCs w:val="24"/>
                <w:highlight w:val="none"/>
                <w:lang w:val="en-US" w:eastAsia="zh-CN"/>
              </w:rPr>
            </w:pP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30000</w:t>
            </w:r>
          </w:p>
        </w:tc>
      </w:tr>
      <w:tr>
        <w:tblPrEx>
          <w:tblCellMar>
            <w:top w:w="15" w:type="dxa"/>
            <w:left w:w="15" w:type="dxa"/>
            <w:bottom w:w="15" w:type="dxa"/>
            <w:right w:w="15" w:type="dxa"/>
          </w:tblCellMar>
        </w:tblPrEx>
        <w:trPr>
          <w:trHeight w:val="690" w:hRule="atLeast"/>
        </w:trPr>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color w:val="000000"/>
                <w:kern w:val="0"/>
                <w:sz w:val="24"/>
                <w:szCs w:val="24"/>
                <w:highlight w:val="none"/>
                <w:lang w:eastAsia="zh-CN"/>
              </w:rPr>
            </w:pPr>
            <w:r>
              <w:rPr>
                <w:rFonts w:hint="eastAsia" w:hAnsi="宋体" w:eastAsia="宋体" w:cs="宋体"/>
                <w:color w:val="000000"/>
                <w:kern w:val="0"/>
                <w:sz w:val="24"/>
                <w:szCs w:val="24"/>
                <w:highlight w:val="none"/>
                <w:lang w:eastAsia="zh-CN"/>
              </w:rPr>
              <w:t>合计</w:t>
            </w:r>
          </w:p>
        </w:tc>
        <w:tc>
          <w:tcPr>
            <w:tcW w:w="5218"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360000元/年</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4"/>
                <w:szCs w:val="24"/>
                <w:highlight w:val="none"/>
                <w:lang w:val="en-US" w:eastAsia="zh-CN"/>
              </w:rPr>
            </w:pPr>
          </w:p>
        </w:tc>
      </w:tr>
    </w:tbl>
    <w:p>
      <w:pPr>
        <w:pStyle w:val="61"/>
        <w:spacing w:line="360" w:lineRule="auto"/>
        <w:ind w:firstLine="482" w:firstLineChars="200"/>
        <w:rPr>
          <w:rFonts w:hint="default" w:ascii="宋体" w:hAnsi="宋体" w:eastAsia="宋体" w:cs="宋体"/>
          <w:b/>
          <w:bCs/>
          <w:sz w:val="24"/>
          <w:szCs w:val="24"/>
          <w:highlight w:val="none"/>
          <w:lang w:val="en-US" w:eastAsia="zh-CN"/>
        </w:rPr>
      </w:pPr>
    </w:p>
    <w:p>
      <w:pPr>
        <w:pStyle w:val="61"/>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（四）其他细节要求</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（1）投标人报价包含：食材成本、人员养老、失业、医疗、工伤、纳税等保险及劳保、工作服、胸卡、工资、加班费、过节费、福利、食宿、交通、管理费、利润、税金等一切费用。</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（2）食堂新增厨房设施设备、厨房设备维护以及烟道及排污系统清洁由采购方负责。</w:t>
      </w:r>
    </w:p>
    <w:p>
      <w:pPr>
        <w:pStyle w:val="61"/>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（3）食堂涉及的餐厅用品（卫生纸、筷子、碗、清洁易耗品等）由中标人负责，不再向采购人收取额外费用。</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（4）中标人对本次投标项目自负盈亏，本项目服务期间食材价格波动属于不可预见因素，中标人不得因为食材成本上涨降低菜品品质，否则采购人有权利按照考核标准与之解除合同。</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（5）中标人须保障所有职工待遇不得低于成都市年最低工资标准，并依法为所有人员购买社保等。</w:t>
      </w:r>
    </w:p>
    <w:p>
      <w:pPr>
        <w:pStyle w:val="61"/>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（6）中标人的员工在食堂工作期间发生意外伤害、安全事故等，由中标人承担全部经济及法律责任。</w:t>
      </w:r>
    </w:p>
    <w:p>
      <w:pPr>
        <w:pStyle w:val="61"/>
        <w:spacing w:line="360" w:lineRule="auto"/>
        <w:ind w:firstLine="562" w:firstLineChars="200"/>
        <w:rPr>
          <w:rFonts w:hint="eastAsia" w:ascii="宋体" w:hAnsi="宋体" w:cs="宋体"/>
          <w:sz w:val="24"/>
          <w:szCs w:val="24"/>
          <w:highlight w:val="none"/>
        </w:rPr>
      </w:pPr>
      <w:r>
        <w:rPr>
          <w:rFonts w:hint="eastAsia" w:ascii="宋体" w:hAnsi="宋体" w:cs="宋体"/>
          <w:b/>
          <w:bCs/>
          <w:sz w:val="28"/>
          <w:szCs w:val="28"/>
          <w:highlight w:val="none"/>
        </w:rPr>
        <w:t>二、技术服务要求</w:t>
      </w:r>
    </w:p>
    <w:p>
      <w:pPr>
        <w:pStyle w:val="61"/>
        <w:spacing w:line="360" w:lineRule="auto"/>
        <w:ind w:firstLine="562" w:firstLineChars="200"/>
        <w:rPr>
          <w:rFonts w:hint="eastAsia" w:ascii="宋体" w:hAnsi="宋体" w:cs="宋体"/>
          <w:b/>
          <w:bCs/>
          <w:sz w:val="24"/>
          <w:szCs w:val="24"/>
          <w:highlight w:val="none"/>
        </w:rPr>
      </w:pPr>
      <w:r>
        <w:rPr>
          <w:rFonts w:hint="eastAsia" w:ascii="宋体" w:hAnsi="宋体" w:cs="宋体"/>
          <w:b/>
          <w:bCs/>
          <w:sz w:val="28"/>
          <w:szCs w:val="28"/>
          <w:highlight w:val="none"/>
        </w:rPr>
        <w:t>（一）食材采购要求</w:t>
      </w:r>
    </w:p>
    <w:p>
      <w:pPr>
        <w:pStyle w:val="60"/>
        <w:tabs>
          <w:tab w:val="left" w:pos="1564"/>
        </w:tabs>
        <w:spacing w:line="360" w:lineRule="auto"/>
        <w:ind w:firstLine="412"/>
        <w:rPr>
          <w:rFonts w:hint="eastAsia" w:ascii="宋体" w:hAnsi="宋体" w:cs="宋体"/>
          <w:sz w:val="24"/>
          <w:highlight w:val="none"/>
        </w:rPr>
      </w:pPr>
      <w:r>
        <w:rPr>
          <w:rFonts w:hint="eastAsia" w:ascii="宋体" w:hAnsi="宋体" w:cs="宋体"/>
          <w:spacing w:val="-17"/>
          <w:sz w:val="24"/>
          <w:highlight w:val="none"/>
        </w:rPr>
        <w:t>1、食堂所有食材由中标人自行组织采购。食堂所需的米、面、油、</w:t>
      </w:r>
      <w:r>
        <w:rPr>
          <w:rFonts w:hint="eastAsia" w:ascii="宋体" w:hAnsi="宋体" w:cs="宋体"/>
          <w:spacing w:val="-7"/>
          <w:sz w:val="24"/>
          <w:highlight w:val="none"/>
        </w:rPr>
        <w:t>禽、肉、蛋、调料等大宗物品供应，需具有可追溯性，并需经使用人</w:t>
      </w:r>
      <w:r>
        <w:rPr>
          <w:rFonts w:hint="eastAsia" w:ascii="宋体" w:hAnsi="宋体" w:cs="宋体"/>
          <w:sz w:val="24"/>
          <w:highlight w:val="none"/>
        </w:rPr>
        <w:t>（</w:t>
      </w:r>
      <w:r>
        <w:rPr>
          <w:rFonts w:hint="eastAsia" w:hAnsi="宋体" w:cs="宋体"/>
          <w:sz w:val="24"/>
          <w:highlight w:val="none"/>
          <w:lang w:eastAsia="zh-CN"/>
        </w:rPr>
        <w:t>成都东部新区草池街道办事处</w:t>
      </w:r>
      <w:r>
        <w:rPr>
          <w:rFonts w:hint="eastAsia" w:ascii="宋体" w:hAnsi="宋体" w:cs="宋体"/>
          <w:sz w:val="24"/>
          <w:highlight w:val="none"/>
        </w:rPr>
        <w:t>）认可。</w:t>
      </w:r>
    </w:p>
    <w:p>
      <w:pPr>
        <w:pStyle w:val="8"/>
        <w:spacing w:after="0" w:line="360" w:lineRule="auto"/>
        <w:ind w:firstLine="480" w:firstLineChars="200"/>
        <w:rPr>
          <w:rFonts w:hint="eastAsia" w:hAnsi="宋体" w:cs="宋体"/>
          <w:sz w:val="24"/>
          <w:szCs w:val="24"/>
          <w:highlight w:val="none"/>
        </w:rPr>
      </w:pPr>
      <w:r>
        <w:rPr>
          <w:rFonts w:hint="eastAsia" w:hAnsi="宋体" w:cs="宋体"/>
          <w:sz w:val="24"/>
          <w:szCs w:val="24"/>
          <w:highlight w:val="none"/>
        </w:rPr>
        <w:t xml:space="preserve">2、 </w:t>
      </w:r>
      <w:r>
        <w:rPr>
          <w:rFonts w:hint="eastAsia" w:hAnsi="宋体" w:cs="宋体"/>
          <w:spacing w:val="-11"/>
          <w:sz w:val="24"/>
          <w:szCs w:val="24"/>
          <w:highlight w:val="none"/>
        </w:rPr>
        <w:t>投标人需按照财政部、国务院扶贫办、供销总社印发的《政</w:t>
      </w:r>
      <w:r>
        <w:rPr>
          <w:rFonts w:hint="eastAsia" w:hAnsi="宋体" w:cs="宋体"/>
          <w:spacing w:val="-6"/>
          <w:sz w:val="24"/>
          <w:szCs w:val="24"/>
          <w:highlight w:val="none"/>
        </w:rPr>
        <w:t>府采购贫困地区农副产品实施方案》</w:t>
      </w:r>
      <w:r>
        <w:rPr>
          <w:rFonts w:hint="eastAsia" w:hAnsi="宋体" w:cs="宋体"/>
          <w:spacing w:val="-3"/>
          <w:sz w:val="24"/>
          <w:szCs w:val="24"/>
          <w:highlight w:val="none"/>
        </w:rPr>
        <w:t>（</w:t>
      </w:r>
      <w:r>
        <w:rPr>
          <w:rFonts w:hint="eastAsia" w:hAnsi="宋体" w:cs="宋体"/>
          <w:spacing w:val="-6"/>
          <w:sz w:val="24"/>
          <w:szCs w:val="24"/>
          <w:highlight w:val="none"/>
        </w:rPr>
        <w:t>财库〔</w:t>
      </w:r>
      <w:r>
        <w:rPr>
          <w:rFonts w:hint="eastAsia" w:hAnsi="宋体" w:cs="宋体"/>
          <w:sz w:val="24"/>
          <w:szCs w:val="24"/>
          <w:highlight w:val="none"/>
        </w:rPr>
        <w:t>2019</w:t>
      </w:r>
      <w:r>
        <w:rPr>
          <w:rFonts w:hint="eastAsia" w:hAnsi="宋体" w:cs="宋体"/>
          <w:spacing w:val="-15"/>
          <w:sz w:val="24"/>
          <w:szCs w:val="24"/>
          <w:highlight w:val="none"/>
        </w:rPr>
        <w:t>〕</w:t>
      </w:r>
      <w:r>
        <w:rPr>
          <w:rFonts w:hint="eastAsia" w:hAnsi="宋体" w:cs="宋体"/>
          <w:sz w:val="24"/>
          <w:szCs w:val="24"/>
          <w:highlight w:val="none"/>
        </w:rPr>
        <w:t xml:space="preserve">41 </w:t>
      </w:r>
      <w:r>
        <w:rPr>
          <w:rFonts w:hint="eastAsia" w:hAnsi="宋体" w:cs="宋体"/>
          <w:spacing w:val="-3"/>
          <w:sz w:val="24"/>
          <w:szCs w:val="24"/>
          <w:highlight w:val="none"/>
        </w:rPr>
        <w:t>号</w:t>
      </w:r>
      <w:r>
        <w:rPr>
          <w:rFonts w:hint="eastAsia" w:hAnsi="宋体" w:cs="宋体"/>
          <w:spacing w:val="-13"/>
          <w:sz w:val="24"/>
          <w:szCs w:val="24"/>
          <w:highlight w:val="none"/>
        </w:rPr>
        <w:t>）</w:t>
      </w:r>
      <w:r>
        <w:rPr>
          <w:rFonts w:hint="eastAsia" w:hAnsi="宋体" w:cs="宋体"/>
          <w:spacing w:val="-2"/>
          <w:sz w:val="24"/>
          <w:szCs w:val="24"/>
          <w:highlight w:val="none"/>
        </w:rPr>
        <w:t>有关精神</w:t>
      </w:r>
      <w:r>
        <w:rPr>
          <w:rFonts w:hint="eastAsia" w:hAnsi="宋体" w:cs="宋体"/>
          <w:spacing w:val="-3"/>
          <w:sz w:val="24"/>
          <w:szCs w:val="24"/>
          <w:highlight w:val="none"/>
        </w:rPr>
        <w:t>和《成都市财政局关于做好预算单位采购贫困地区农副产品填报工作</w:t>
      </w:r>
      <w:r>
        <w:rPr>
          <w:rFonts w:hint="eastAsia" w:hAnsi="宋体" w:cs="宋体"/>
          <w:spacing w:val="-8"/>
          <w:sz w:val="24"/>
          <w:szCs w:val="24"/>
          <w:highlight w:val="none"/>
        </w:rPr>
        <w:t>的通知》</w:t>
      </w:r>
      <w:r>
        <w:rPr>
          <w:rFonts w:hint="eastAsia" w:hAnsi="宋体" w:cs="宋体"/>
          <w:sz w:val="24"/>
          <w:szCs w:val="24"/>
          <w:highlight w:val="none"/>
        </w:rPr>
        <w:t>（</w:t>
      </w:r>
      <w:r>
        <w:rPr>
          <w:rFonts w:hint="eastAsia" w:hAnsi="宋体" w:cs="宋体"/>
          <w:spacing w:val="-4"/>
          <w:sz w:val="24"/>
          <w:szCs w:val="24"/>
          <w:highlight w:val="none"/>
        </w:rPr>
        <w:t>成财采发〔</w:t>
      </w:r>
      <w:r>
        <w:rPr>
          <w:rFonts w:hint="eastAsia" w:hAnsi="宋体" w:cs="宋体"/>
          <w:sz w:val="24"/>
          <w:szCs w:val="24"/>
          <w:highlight w:val="none"/>
        </w:rPr>
        <w:t>2019</w:t>
      </w:r>
      <w:r>
        <w:rPr>
          <w:rFonts w:hint="eastAsia" w:hAnsi="宋体" w:cs="宋体"/>
          <w:spacing w:val="-10"/>
          <w:sz w:val="24"/>
          <w:szCs w:val="24"/>
          <w:highlight w:val="none"/>
        </w:rPr>
        <w:t>〕</w:t>
      </w:r>
      <w:r>
        <w:rPr>
          <w:rFonts w:hint="eastAsia" w:hAnsi="宋体" w:cs="宋体"/>
          <w:sz w:val="24"/>
          <w:szCs w:val="24"/>
          <w:highlight w:val="none"/>
        </w:rPr>
        <w:t>25 号</w:t>
      </w:r>
      <w:r>
        <w:rPr>
          <w:rFonts w:hint="eastAsia" w:hAnsi="宋体" w:cs="宋体"/>
          <w:spacing w:val="-10"/>
          <w:sz w:val="24"/>
          <w:szCs w:val="24"/>
          <w:highlight w:val="none"/>
        </w:rPr>
        <w:t>）</w:t>
      </w:r>
      <w:r>
        <w:rPr>
          <w:rFonts w:hint="eastAsia" w:hAnsi="宋体" w:cs="宋体"/>
          <w:spacing w:val="-5"/>
          <w:sz w:val="24"/>
          <w:szCs w:val="24"/>
          <w:highlight w:val="none"/>
        </w:rPr>
        <w:t>要求，每年在财政部门规定的贫</w:t>
      </w:r>
      <w:r>
        <w:rPr>
          <w:rFonts w:hint="eastAsia" w:hAnsi="宋体" w:cs="宋体"/>
          <w:spacing w:val="-1"/>
          <w:sz w:val="24"/>
          <w:szCs w:val="24"/>
          <w:highlight w:val="none"/>
        </w:rPr>
        <w:t>困地区农副产品网络销售平台（https://</w:t>
      </w:r>
      <w:r>
        <w:rPr>
          <w:rFonts w:hint="eastAsia" w:hAnsi="宋体" w:cs="宋体"/>
          <w:sz w:val="24"/>
          <w:szCs w:val="24"/>
          <w:highlight w:val="none"/>
        </w:rPr>
        <w:fldChar w:fldCharType="begin"/>
      </w:r>
      <w:r>
        <w:rPr>
          <w:rFonts w:hint="eastAsia" w:hAnsi="宋体" w:cs="宋体"/>
          <w:sz w:val="24"/>
          <w:szCs w:val="24"/>
          <w:highlight w:val="none"/>
        </w:rPr>
        <w:instrText xml:space="preserve"> HYPERLINK "http://www.fupin832.com/" \h </w:instrText>
      </w:r>
      <w:r>
        <w:rPr>
          <w:rFonts w:hint="eastAsia" w:hAnsi="宋体" w:cs="宋体"/>
          <w:sz w:val="24"/>
          <w:szCs w:val="24"/>
          <w:highlight w:val="none"/>
        </w:rPr>
        <w:fldChar w:fldCharType="separate"/>
      </w:r>
      <w:r>
        <w:rPr>
          <w:rFonts w:hint="eastAsia" w:hAnsi="宋体" w:cs="宋体"/>
          <w:spacing w:val="-1"/>
          <w:sz w:val="24"/>
          <w:szCs w:val="24"/>
          <w:highlight w:val="none"/>
        </w:rPr>
        <w:t>www.fupin832.com/</w:t>
      </w:r>
      <w:r>
        <w:rPr>
          <w:rFonts w:hint="eastAsia" w:hAnsi="宋体" w:cs="宋体"/>
          <w:spacing w:val="-1"/>
          <w:sz w:val="24"/>
          <w:szCs w:val="24"/>
          <w:highlight w:val="none"/>
        </w:rPr>
        <w:fldChar w:fldCharType="end"/>
      </w:r>
      <w:r>
        <w:rPr>
          <w:rFonts w:hint="eastAsia" w:hAnsi="宋体" w:cs="宋体"/>
          <w:spacing w:val="-1"/>
          <w:sz w:val="24"/>
          <w:szCs w:val="24"/>
          <w:highlight w:val="none"/>
        </w:rPr>
        <w:t>）</w:t>
      </w:r>
      <w:r>
        <w:rPr>
          <w:rFonts w:hint="eastAsia" w:hAnsi="宋体" w:cs="宋体"/>
          <w:sz w:val="24"/>
          <w:szCs w:val="24"/>
          <w:highlight w:val="none"/>
        </w:rPr>
        <w:t>上采购农</w:t>
      </w:r>
      <w:r>
        <w:rPr>
          <w:rFonts w:hint="eastAsia" w:hAnsi="宋体" w:cs="宋体"/>
          <w:spacing w:val="-7"/>
          <w:sz w:val="24"/>
          <w:szCs w:val="24"/>
          <w:highlight w:val="none"/>
        </w:rPr>
        <w:t xml:space="preserve">副产品，采购额不低于年度农副产品总采购额的 </w:t>
      </w:r>
      <w:r>
        <w:rPr>
          <w:rFonts w:hint="eastAsia" w:hAnsi="宋体" w:cs="宋体"/>
          <w:sz w:val="24"/>
          <w:szCs w:val="24"/>
          <w:highlight w:val="none"/>
        </w:rPr>
        <w:t>5%。</w:t>
      </w:r>
    </w:p>
    <w:p>
      <w:pPr>
        <w:pStyle w:val="60"/>
        <w:tabs>
          <w:tab w:val="left" w:pos="1634"/>
        </w:tabs>
        <w:spacing w:line="360" w:lineRule="auto"/>
        <w:ind w:firstLine="468"/>
        <w:rPr>
          <w:rFonts w:hint="eastAsia" w:ascii="宋体" w:hAnsi="宋体" w:cs="宋体"/>
          <w:sz w:val="24"/>
          <w:highlight w:val="none"/>
        </w:rPr>
      </w:pPr>
      <w:r>
        <w:rPr>
          <w:rFonts w:hint="eastAsia" w:ascii="宋体" w:hAnsi="宋体" w:cs="宋体"/>
          <w:spacing w:val="-3"/>
          <w:sz w:val="24"/>
          <w:highlight w:val="none"/>
        </w:rPr>
        <w:t>3、食材应符合下表要求。</w:t>
      </w:r>
    </w:p>
    <w:tbl>
      <w:tblPr>
        <w:tblStyle w:val="27"/>
        <w:tblW w:w="0" w:type="auto"/>
        <w:tblInd w:w="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3"/>
        <w:gridCol w:w="1355"/>
        <w:gridCol w:w="4515"/>
        <w:gridCol w:w="2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513" w:type="dxa"/>
            <w:noWrap w:val="0"/>
            <w:vAlign w:val="center"/>
          </w:tcPr>
          <w:p>
            <w:pPr>
              <w:pStyle w:val="62"/>
              <w:spacing w:line="360" w:lineRule="auto"/>
              <w:ind w:left="232"/>
              <w:jc w:val="both"/>
              <w:rPr>
                <w:rFonts w:hint="eastAsia"/>
                <w:b/>
                <w:sz w:val="24"/>
                <w:highlight w:val="none"/>
              </w:rPr>
            </w:pPr>
            <w:r>
              <w:rPr>
                <w:rFonts w:hint="eastAsia"/>
                <w:b/>
                <w:sz w:val="24"/>
                <w:highlight w:val="none"/>
              </w:rPr>
              <w:t>序号</w:t>
            </w:r>
          </w:p>
        </w:tc>
        <w:tc>
          <w:tcPr>
            <w:tcW w:w="1355" w:type="dxa"/>
            <w:noWrap w:val="0"/>
            <w:vAlign w:val="center"/>
          </w:tcPr>
          <w:p>
            <w:pPr>
              <w:pStyle w:val="62"/>
              <w:spacing w:line="360" w:lineRule="auto"/>
              <w:ind w:left="435"/>
              <w:jc w:val="both"/>
              <w:rPr>
                <w:rFonts w:hint="eastAsia"/>
                <w:b/>
                <w:sz w:val="24"/>
                <w:highlight w:val="none"/>
              </w:rPr>
            </w:pPr>
            <w:r>
              <w:rPr>
                <w:rFonts w:hint="eastAsia"/>
                <w:b/>
                <w:sz w:val="24"/>
                <w:highlight w:val="none"/>
              </w:rPr>
              <w:t>品类</w:t>
            </w:r>
          </w:p>
        </w:tc>
        <w:tc>
          <w:tcPr>
            <w:tcW w:w="4515" w:type="dxa"/>
            <w:noWrap w:val="0"/>
            <w:vAlign w:val="center"/>
          </w:tcPr>
          <w:p>
            <w:pPr>
              <w:pStyle w:val="62"/>
              <w:spacing w:line="360" w:lineRule="auto"/>
              <w:ind w:left="1755"/>
              <w:jc w:val="both"/>
              <w:rPr>
                <w:rFonts w:hint="eastAsia"/>
                <w:b/>
                <w:sz w:val="24"/>
                <w:highlight w:val="none"/>
              </w:rPr>
            </w:pPr>
            <w:r>
              <w:rPr>
                <w:rFonts w:hint="eastAsia"/>
                <w:b/>
                <w:sz w:val="24"/>
                <w:highlight w:val="none"/>
              </w:rPr>
              <w:t>质量要求</w:t>
            </w:r>
          </w:p>
        </w:tc>
        <w:tc>
          <w:tcPr>
            <w:tcW w:w="2117" w:type="dxa"/>
            <w:noWrap w:val="0"/>
            <w:vAlign w:val="center"/>
          </w:tcPr>
          <w:p>
            <w:pPr>
              <w:pStyle w:val="62"/>
              <w:spacing w:line="360" w:lineRule="auto"/>
              <w:ind w:left="486"/>
              <w:jc w:val="both"/>
              <w:rPr>
                <w:rFonts w:hint="eastAsia"/>
                <w:b/>
                <w:sz w:val="24"/>
                <w:highlight w:val="none"/>
              </w:rPr>
            </w:pPr>
            <w:r>
              <w:rPr>
                <w:rFonts w:hint="eastAsia"/>
                <w:b/>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513" w:type="dxa"/>
            <w:noWrap w:val="0"/>
            <w:vAlign w:val="center"/>
          </w:tcPr>
          <w:p>
            <w:pPr>
              <w:pStyle w:val="62"/>
              <w:spacing w:line="360" w:lineRule="auto"/>
              <w:jc w:val="center"/>
              <w:rPr>
                <w:rFonts w:hint="eastAsia"/>
                <w:sz w:val="24"/>
                <w:highlight w:val="none"/>
              </w:rPr>
            </w:pPr>
          </w:p>
          <w:p>
            <w:pPr>
              <w:pStyle w:val="62"/>
              <w:spacing w:line="360" w:lineRule="auto"/>
              <w:ind w:left="10"/>
              <w:jc w:val="center"/>
              <w:rPr>
                <w:rFonts w:hint="eastAsia"/>
                <w:sz w:val="24"/>
                <w:highlight w:val="none"/>
              </w:rPr>
            </w:pPr>
            <w:r>
              <w:rPr>
                <w:rFonts w:hint="eastAsia"/>
                <w:sz w:val="24"/>
                <w:highlight w:val="none"/>
              </w:rPr>
              <w:t>1</w:t>
            </w:r>
          </w:p>
        </w:tc>
        <w:tc>
          <w:tcPr>
            <w:tcW w:w="1355" w:type="dxa"/>
            <w:noWrap w:val="0"/>
            <w:vAlign w:val="center"/>
          </w:tcPr>
          <w:p>
            <w:pPr>
              <w:pStyle w:val="62"/>
              <w:spacing w:line="360" w:lineRule="auto"/>
              <w:jc w:val="both"/>
              <w:rPr>
                <w:rFonts w:hint="eastAsia"/>
                <w:sz w:val="24"/>
                <w:highlight w:val="none"/>
              </w:rPr>
            </w:pPr>
            <w:r>
              <w:rPr>
                <w:rFonts w:hint="eastAsia"/>
                <w:spacing w:val="-22"/>
                <w:sz w:val="24"/>
                <w:highlight w:val="none"/>
              </w:rPr>
              <w:t>新鲜蔬菜、水</w:t>
            </w:r>
            <w:r>
              <w:rPr>
                <w:rFonts w:hint="eastAsia"/>
                <w:sz w:val="24"/>
                <w:highlight w:val="none"/>
              </w:rPr>
              <w:t>果</w:t>
            </w:r>
          </w:p>
        </w:tc>
        <w:tc>
          <w:tcPr>
            <w:tcW w:w="4515" w:type="dxa"/>
            <w:noWrap w:val="0"/>
            <w:vAlign w:val="center"/>
          </w:tcPr>
          <w:p>
            <w:pPr>
              <w:pStyle w:val="62"/>
              <w:spacing w:line="360" w:lineRule="auto"/>
              <w:ind w:left="14"/>
              <w:jc w:val="both"/>
              <w:rPr>
                <w:rFonts w:hint="eastAsia"/>
                <w:sz w:val="24"/>
                <w:highlight w:val="none"/>
              </w:rPr>
            </w:pPr>
            <w:r>
              <w:rPr>
                <w:rFonts w:hint="eastAsia"/>
                <w:spacing w:val="-8"/>
                <w:sz w:val="24"/>
                <w:highlight w:val="none"/>
              </w:rPr>
              <w:t>蔬菜水果按需求等级配送，符合成都市溯源</w:t>
            </w:r>
            <w:r>
              <w:rPr>
                <w:rFonts w:hint="eastAsia"/>
                <w:sz w:val="24"/>
                <w:highlight w:val="none"/>
              </w:rPr>
              <w:t>体系的要求。</w:t>
            </w:r>
          </w:p>
        </w:tc>
        <w:tc>
          <w:tcPr>
            <w:tcW w:w="2117" w:type="dxa"/>
            <w:noWrap w:val="0"/>
            <w:vAlign w:val="center"/>
          </w:tcPr>
          <w:p>
            <w:pPr>
              <w:pStyle w:val="62"/>
              <w:spacing w:line="360" w:lineRule="auto"/>
              <w:ind w:left="13"/>
              <w:jc w:val="both"/>
              <w:rPr>
                <w:rFonts w:hint="eastAsia"/>
                <w:sz w:val="24"/>
                <w:highlight w:val="none"/>
              </w:rPr>
            </w:pPr>
            <w:r>
              <w:rPr>
                <w:rFonts w:hint="eastAsia"/>
                <w:spacing w:val="41"/>
                <w:sz w:val="24"/>
                <w:highlight w:val="none"/>
              </w:rPr>
              <w:t>包括各类时</w:t>
            </w:r>
            <w:r>
              <w:rPr>
                <w:rFonts w:hint="eastAsia"/>
                <w:spacing w:val="-6"/>
                <w:sz w:val="24"/>
                <w:highlight w:val="none"/>
              </w:rPr>
              <w:t>令蔬菜、各类</w:t>
            </w:r>
            <w:r>
              <w:rPr>
                <w:rFonts w:hint="eastAsia"/>
                <w:sz w:val="24"/>
                <w:highlight w:val="none"/>
              </w:rPr>
              <w:t>新鲜水果。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513" w:type="dxa"/>
            <w:noWrap w:val="0"/>
            <w:vAlign w:val="center"/>
          </w:tcPr>
          <w:p>
            <w:pPr>
              <w:pStyle w:val="62"/>
              <w:ind w:left="10" w:leftChars="0"/>
              <w:jc w:val="center"/>
              <w:rPr>
                <w:rFonts w:hint="eastAsia" w:ascii="宋体" w:hAnsi="宋体" w:eastAsia="宋体" w:cs="宋体"/>
                <w:sz w:val="24"/>
                <w:highlight w:val="none"/>
                <w:lang w:val="zh-CN" w:eastAsia="zh-CN" w:bidi="zh-CN"/>
              </w:rPr>
            </w:pPr>
            <w:r>
              <w:rPr>
                <w:rFonts w:hint="eastAsia"/>
                <w:sz w:val="24"/>
                <w:highlight w:val="none"/>
              </w:rPr>
              <w:t>2</w:t>
            </w:r>
          </w:p>
        </w:tc>
        <w:tc>
          <w:tcPr>
            <w:tcW w:w="1355" w:type="dxa"/>
            <w:noWrap w:val="0"/>
            <w:vAlign w:val="center"/>
          </w:tcPr>
          <w:p>
            <w:pPr>
              <w:pStyle w:val="62"/>
              <w:ind w:left="435" w:leftChars="0"/>
              <w:jc w:val="both"/>
              <w:rPr>
                <w:rFonts w:hint="eastAsia" w:ascii="宋体" w:hAnsi="宋体" w:eastAsia="宋体" w:cs="宋体"/>
                <w:sz w:val="24"/>
                <w:highlight w:val="none"/>
                <w:lang w:val="zh-CN" w:eastAsia="zh-CN" w:bidi="zh-CN"/>
              </w:rPr>
            </w:pPr>
            <w:r>
              <w:rPr>
                <w:rFonts w:hint="eastAsia"/>
                <w:sz w:val="24"/>
                <w:highlight w:val="none"/>
              </w:rPr>
              <w:t>肉、禽、鱼蛋类</w:t>
            </w:r>
          </w:p>
        </w:tc>
        <w:tc>
          <w:tcPr>
            <w:tcW w:w="4515" w:type="dxa"/>
            <w:noWrap w:val="0"/>
            <w:vAlign w:val="center"/>
          </w:tcPr>
          <w:p>
            <w:pPr>
              <w:pStyle w:val="62"/>
              <w:ind w:left="14"/>
              <w:jc w:val="both"/>
              <w:rPr>
                <w:rFonts w:hint="eastAsia"/>
                <w:sz w:val="24"/>
                <w:highlight w:val="none"/>
              </w:rPr>
            </w:pPr>
            <w:r>
              <w:rPr>
                <w:rFonts w:hint="eastAsia"/>
                <w:sz w:val="24"/>
                <w:highlight w:val="none"/>
              </w:rPr>
              <w:t>1、鲜肉类须在定点屠宰场（生猪宰杀具备</w:t>
            </w:r>
          </w:p>
          <w:p>
            <w:pPr>
              <w:pStyle w:val="62"/>
              <w:ind w:left="14"/>
              <w:jc w:val="both"/>
              <w:rPr>
                <w:rFonts w:hint="eastAsia"/>
                <w:sz w:val="24"/>
                <w:highlight w:val="none"/>
              </w:rPr>
            </w:pPr>
            <w:r>
              <w:rPr>
                <w:rFonts w:hint="eastAsia"/>
                <w:spacing w:val="-3"/>
                <w:sz w:val="24"/>
                <w:highlight w:val="none"/>
              </w:rPr>
              <w:t>《生猪宰杀许可证》</w:t>
            </w:r>
            <w:r>
              <w:rPr>
                <w:rFonts w:hint="eastAsia"/>
                <w:spacing w:val="-27"/>
                <w:sz w:val="24"/>
                <w:highlight w:val="none"/>
              </w:rPr>
              <w:t>）</w:t>
            </w:r>
            <w:r>
              <w:rPr>
                <w:rFonts w:hint="eastAsia"/>
                <w:spacing w:val="-7"/>
                <w:sz w:val="24"/>
                <w:highlight w:val="none"/>
              </w:rPr>
              <w:t>宰杀加工，并经动物</w:t>
            </w:r>
            <w:r>
              <w:rPr>
                <w:rFonts w:hint="eastAsia"/>
                <w:spacing w:val="-8"/>
                <w:sz w:val="24"/>
                <w:highlight w:val="none"/>
              </w:rPr>
              <w:t>卫生检疫机构检疫合格，加盖检疫合格印章</w:t>
            </w:r>
            <w:r>
              <w:rPr>
                <w:rFonts w:hint="eastAsia"/>
                <w:spacing w:val="-10"/>
                <w:sz w:val="24"/>
                <w:highlight w:val="none"/>
              </w:rPr>
              <w:t>和屠宰场印章，并附有《动物产品检疫合格</w:t>
            </w:r>
            <w:r>
              <w:rPr>
                <w:rFonts w:hint="eastAsia"/>
                <w:sz w:val="24"/>
                <w:highlight w:val="none"/>
              </w:rPr>
              <w:t>证明》。</w:t>
            </w:r>
          </w:p>
          <w:p>
            <w:pPr>
              <w:pStyle w:val="62"/>
              <w:ind w:left="-142"/>
              <w:jc w:val="both"/>
              <w:rPr>
                <w:rFonts w:hint="eastAsia"/>
                <w:sz w:val="24"/>
                <w:highlight w:val="none"/>
              </w:rPr>
            </w:pPr>
            <w:r>
              <w:rPr>
                <w:rFonts w:hint="eastAsia"/>
                <w:sz w:val="24"/>
                <w:highlight w:val="none"/>
              </w:rPr>
              <w:t>、</w:t>
            </w:r>
          </w:p>
          <w:p>
            <w:pPr>
              <w:pStyle w:val="62"/>
              <w:ind w:left="14"/>
              <w:jc w:val="both"/>
              <w:rPr>
                <w:rFonts w:hint="eastAsia"/>
                <w:sz w:val="24"/>
                <w:highlight w:val="none"/>
              </w:rPr>
            </w:pPr>
            <w:r>
              <w:rPr>
                <w:rFonts w:hint="eastAsia"/>
                <w:sz w:val="24"/>
                <w:highlight w:val="none"/>
              </w:rPr>
              <w:t>2、蛋类按需求等级配送须保证新鲜，且符</w:t>
            </w:r>
          </w:p>
          <w:p>
            <w:pPr>
              <w:pStyle w:val="62"/>
              <w:ind w:left="14"/>
              <w:jc w:val="both"/>
              <w:rPr>
                <w:rFonts w:hint="eastAsia"/>
                <w:sz w:val="24"/>
                <w:highlight w:val="none"/>
              </w:rPr>
            </w:pPr>
            <w:r>
              <w:rPr>
                <w:rFonts w:hint="eastAsia"/>
                <w:spacing w:val="-8"/>
                <w:sz w:val="24"/>
                <w:highlight w:val="none"/>
              </w:rPr>
              <w:t>合食品安全法要求。提供相应《动物检疫合</w:t>
            </w:r>
            <w:r>
              <w:rPr>
                <w:rFonts w:hint="eastAsia"/>
                <w:spacing w:val="-11"/>
                <w:sz w:val="24"/>
                <w:highlight w:val="none"/>
              </w:rPr>
              <w:t>格证明》。保证新鲜、清洁、无破损；外壳</w:t>
            </w:r>
            <w:r>
              <w:rPr>
                <w:rFonts w:hint="eastAsia"/>
                <w:sz w:val="24"/>
                <w:highlight w:val="none"/>
              </w:rPr>
              <w:t>坚固完整，色泽自然有光泽。</w:t>
            </w:r>
          </w:p>
          <w:p>
            <w:pPr>
              <w:pStyle w:val="62"/>
              <w:ind w:left="14"/>
              <w:jc w:val="both"/>
              <w:rPr>
                <w:rFonts w:hint="eastAsia"/>
                <w:sz w:val="24"/>
                <w:highlight w:val="none"/>
              </w:rPr>
            </w:pPr>
            <w:r>
              <w:rPr>
                <w:rFonts w:hint="eastAsia"/>
                <w:sz w:val="24"/>
                <w:highlight w:val="none"/>
              </w:rPr>
              <w:t>3、淡水鱼须为活鱼配送至食堂，海鱼须为</w:t>
            </w:r>
          </w:p>
          <w:p>
            <w:pPr>
              <w:pStyle w:val="62"/>
              <w:ind w:left="14" w:leftChars="0"/>
              <w:jc w:val="both"/>
              <w:rPr>
                <w:rFonts w:hint="eastAsia" w:ascii="宋体" w:hAnsi="宋体" w:eastAsia="宋体" w:cs="宋体"/>
                <w:sz w:val="24"/>
                <w:highlight w:val="none"/>
                <w:lang w:val="zh-CN" w:eastAsia="zh-CN" w:bidi="zh-CN"/>
              </w:rPr>
            </w:pPr>
            <w:r>
              <w:rPr>
                <w:rFonts w:hint="eastAsia"/>
                <w:sz w:val="24"/>
                <w:highlight w:val="none"/>
              </w:rPr>
              <w:t>冰鲜鱼。</w:t>
            </w:r>
          </w:p>
        </w:tc>
        <w:tc>
          <w:tcPr>
            <w:tcW w:w="2117" w:type="dxa"/>
            <w:noWrap w:val="0"/>
            <w:vAlign w:val="center"/>
          </w:tcPr>
          <w:p>
            <w:pPr>
              <w:pStyle w:val="62"/>
              <w:jc w:val="both"/>
              <w:rPr>
                <w:rFonts w:hint="eastAsia"/>
                <w:sz w:val="24"/>
                <w:highlight w:val="none"/>
              </w:rPr>
            </w:pPr>
          </w:p>
          <w:p>
            <w:pPr>
              <w:pStyle w:val="62"/>
              <w:jc w:val="both"/>
              <w:rPr>
                <w:rFonts w:hint="eastAsia"/>
                <w:sz w:val="24"/>
                <w:highlight w:val="none"/>
              </w:rPr>
            </w:pPr>
          </w:p>
          <w:p>
            <w:pPr>
              <w:pStyle w:val="62"/>
              <w:ind w:left="13" w:leftChars="0"/>
              <w:jc w:val="both"/>
              <w:rPr>
                <w:rFonts w:hint="eastAsia" w:ascii="宋体" w:hAnsi="宋体" w:eastAsia="宋体" w:cs="宋体"/>
                <w:sz w:val="24"/>
                <w:highlight w:val="none"/>
                <w:lang w:val="zh-CN" w:eastAsia="zh-CN" w:bidi="zh-CN"/>
              </w:rPr>
            </w:pPr>
            <w:r>
              <w:rPr>
                <w:rFonts w:hint="eastAsia"/>
                <w:sz w:val="24"/>
                <w:highlight w:val="none"/>
              </w:rPr>
              <w:t>包括猪肉、牛肉、兔肉等畜类，鸡、鸭等禽类，鱼类， 鸡蛋等蛋类。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513" w:type="dxa"/>
            <w:noWrap w:val="0"/>
            <w:vAlign w:val="center"/>
          </w:tcPr>
          <w:p>
            <w:pPr>
              <w:pStyle w:val="62"/>
              <w:jc w:val="center"/>
              <w:rPr>
                <w:rFonts w:hint="eastAsia"/>
                <w:sz w:val="24"/>
                <w:highlight w:val="none"/>
              </w:rPr>
            </w:pPr>
          </w:p>
          <w:p>
            <w:pPr>
              <w:pStyle w:val="62"/>
              <w:ind w:left="10" w:leftChars="0"/>
              <w:jc w:val="center"/>
              <w:rPr>
                <w:rFonts w:hint="eastAsia" w:ascii="宋体" w:hAnsi="宋体" w:eastAsia="宋体" w:cs="宋体"/>
                <w:sz w:val="24"/>
                <w:highlight w:val="none"/>
                <w:lang w:val="zh-CN" w:eastAsia="zh-CN" w:bidi="zh-CN"/>
              </w:rPr>
            </w:pPr>
            <w:r>
              <w:rPr>
                <w:rFonts w:hint="eastAsia"/>
                <w:sz w:val="24"/>
                <w:highlight w:val="none"/>
              </w:rPr>
              <w:t>3</w:t>
            </w:r>
          </w:p>
        </w:tc>
        <w:tc>
          <w:tcPr>
            <w:tcW w:w="1355" w:type="dxa"/>
            <w:noWrap w:val="0"/>
            <w:vAlign w:val="center"/>
          </w:tcPr>
          <w:p>
            <w:pPr>
              <w:pStyle w:val="62"/>
              <w:ind w:left="295" w:leftChars="0"/>
              <w:jc w:val="both"/>
              <w:rPr>
                <w:rFonts w:hint="eastAsia" w:ascii="宋体" w:hAnsi="宋体" w:eastAsia="宋体" w:cs="宋体"/>
                <w:sz w:val="24"/>
                <w:highlight w:val="none"/>
                <w:lang w:val="zh-CN" w:eastAsia="zh-CN" w:bidi="zh-CN"/>
              </w:rPr>
            </w:pPr>
            <w:r>
              <w:rPr>
                <w:rFonts w:hint="eastAsia"/>
                <w:sz w:val="24"/>
                <w:highlight w:val="none"/>
              </w:rPr>
              <w:t>粮油类</w:t>
            </w:r>
          </w:p>
        </w:tc>
        <w:tc>
          <w:tcPr>
            <w:tcW w:w="4515" w:type="dxa"/>
            <w:noWrap w:val="0"/>
            <w:vAlign w:val="center"/>
          </w:tcPr>
          <w:p>
            <w:pPr>
              <w:pStyle w:val="62"/>
              <w:ind w:left="14"/>
              <w:jc w:val="both"/>
              <w:rPr>
                <w:rFonts w:hint="eastAsia"/>
                <w:sz w:val="24"/>
                <w:highlight w:val="none"/>
              </w:rPr>
            </w:pPr>
            <w:r>
              <w:rPr>
                <w:rFonts w:hint="eastAsia"/>
                <w:spacing w:val="-10"/>
                <w:sz w:val="24"/>
                <w:highlight w:val="none"/>
              </w:rPr>
              <w:t>在保质期内，米、面应符合粮食卫生国家标准；食用油符合食用植物油国家标准的</w:t>
            </w:r>
            <w:r>
              <w:rPr>
                <w:rFonts w:hint="eastAsia"/>
                <w:sz w:val="24"/>
                <w:highlight w:val="none"/>
              </w:rPr>
              <w:t>要求，有食品质量安全认证合格标志。</w:t>
            </w:r>
          </w:p>
          <w:p>
            <w:pPr>
              <w:pStyle w:val="62"/>
              <w:ind w:left="14"/>
              <w:jc w:val="both"/>
              <w:rPr>
                <w:rFonts w:hint="eastAsia"/>
                <w:sz w:val="24"/>
                <w:highlight w:val="none"/>
              </w:rPr>
            </w:pPr>
            <w:r>
              <w:rPr>
                <w:rFonts w:hint="eastAsia"/>
                <w:sz w:val="24"/>
                <w:highlight w:val="none"/>
              </w:rPr>
              <w:t>1.</w:t>
            </w:r>
            <w:r>
              <w:rPr>
                <w:rFonts w:hint="eastAsia"/>
                <w:spacing w:val="-3"/>
                <w:sz w:val="24"/>
                <w:highlight w:val="none"/>
              </w:rPr>
              <w:t>大米品种为一级优质珍珠米，非转基</w:t>
            </w:r>
            <w:r>
              <w:rPr>
                <w:rFonts w:hint="eastAsia"/>
                <w:sz w:val="24"/>
                <w:highlight w:val="none"/>
              </w:rPr>
              <w:t>因，袋装。</w:t>
            </w:r>
          </w:p>
          <w:p>
            <w:pPr>
              <w:pStyle w:val="62"/>
              <w:jc w:val="both"/>
              <w:rPr>
                <w:rFonts w:hint="eastAsia"/>
                <w:sz w:val="24"/>
                <w:highlight w:val="none"/>
              </w:rPr>
            </w:pPr>
            <w:r>
              <w:rPr>
                <w:rFonts w:hint="eastAsia"/>
                <w:sz w:val="24"/>
                <w:highlight w:val="none"/>
              </w:rPr>
              <w:t>2、面粉：面粉达国家一级及以上标准</w:t>
            </w:r>
          </w:p>
          <w:p>
            <w:pPr>
              <w:pStyle w:val="62"/>
              <w:ind w:left="14" w:leftChars="0"/>
              <w:jc w:val="both"/>
              <w:rPr>
                <w:rFonts w:hint="eastAsia" w:ascii="宋体" w:hAnsi="宋体" w:eastAsia="宋体" w:cs="宋体"/>
                <w:sz w:val="24"/>
                <w:highlight w:val="none"/>
                <w:lang w:val="zh-CN" w:eastAsia="zh-CN" w:bidi="zh-CN"/>
              </w:rPr>
            </w:pPr>
            <w:r>
              <w:rPr>
                <w:rFonts w:hint="eastAsia"/>
                <w:sz w:val="24"/>
                <w:highlight w:val="none"/>
              </w:rPr>
              <w:t>3、食用油：食用油为非转基因压榨菜籽油</w:t>
            </w:r>
          </w:p>
        </w:tc>
        <w:tc>
          <w:tcPr>
            <w:tcW w:w="2117" w:type="dxa"/>
            <w:noWrap w:val="0"/>
            <w:vAlign w:val="center"/>
          </w:tcPr>
          <w:p>
            <w:pPr>
              <w:pStyle w:val="62"/>
              <w:ind w:left="13" w:leftChars="0"/>
              <w:jc w:val="both"/>
              <w:rPr>
                <w:rFonts w:hint="eastAsia" w:ascii="宋体" w:hAnsi="宋体" w:eastAsia="宋体" w:cs="宋体"/>
                <w:sz w:val="24"/>
                <w:highlight w:val="none"/>
                <w:lang w:val="zh-CN" w:eastAsia="zh-CN" w:bidi="zh-CN"/>
              </w:rPr>
            </w:pPr>
            <w:r>
              <w:rPr>
                <w:rFonts w:hint="eastAsia"/>
                <w:spacing w:val="-6"/>
                <w:sz w:val="24"/>
                <w:highlight w:val="none"/>
              </w:rPr>
              <w:t>包括大米、食</w:t>
            </w:r>
            <w:r>
              <w:rPr>
                <w:rFonts w:hint="eastAsia"/>
                <w:spacing w:val="14"/>
                <w:sz w:val="24"/>
                <w:highlight w:val="none"/>
              </w:rPr>
              <w:t>用油、 面粉</w:t>
            </w:r>
            <w:r>
              <w:rPr>
                <w:rFonts w:hint="eastAsia"/>
                <w:sz w:val="24"/>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513" w:type="dxa"/>
            <w:noWrap w:val="0"/>
            <w:vAlign w:val="center"/>
          </w:tcPr>
          <w:p>
            <w:pPr>
              <w:pStyle w:val="62"/>
              <w:jc w:val="center"/>
              <w:rPr>
                <w:rFonts w:hint="eastAsia"/>
                <w:sz w:val="24"/>
                <w:highlight w:val="none"/>
              </w:rPr>
            </w:pPr>
          </w:p>
          <w:p>
            <w:pPr>
              <w:pStyle w:val="62"/>
              <w:ind w:left="10" w:leftChars="0"/>
              <w:jc w:val="center"/>
              <w:rPr>
                <w:rFonts w:hint="eastAsia" w:ascii="宋体" w:hAnsi="宋体" w:eastAsia="宋体" w:cs="宋体"/>
                <w:sz w:val="24"/>
                <w:highlight w:val="none"/>
                <w:lang w:val="zh-CN" w:eastAsia="zh-CN" w:bidi="zh-CN"/>
              </w:rPr>
            </w:pPr>
            <w:r>
              <w:rPr>
                <w:rFonts w:hint="eastAsia"/>
                <w:sz w:val="24"/>
                <w:highlight w:val="none"/>
              </w:rPr>
              <w:t>4</w:t>
            </w:r>
          </w:p>
        </w:tc>
        <w:tc>
          <w:tcPr>
            <w:tcW w:w="1355" w:type="dxa"/>
            <w:noWrap w:val="0"/>
            <w:vAlign w:val="center"/>
          </w:tcPr>
          <w:p>
            <w:pPr>
              <w:pStyle w:val="62"/>
              <w:jc w:val="both"/>
              <w:rPr>
                <w:rFonts w:hint="eastAsia"/>
                <w:sz w:val="24"/>
                <w:highlight w:val="none"/>
              </w:rPr>
            </w:pPr>
          </w:p>
          <w:p>
            <w:pPr>
              <w:pStyle w:val="62"/>
              <w:ind w:left="295" w:leftChars="0"/>
              <w:jc w:val="both"/>
              <w:rPr>
                <w:rFonts w:hint="eastAsia" w:ascii="宋体" w:hAnsi="宋体" w:eastAsia="宋体" w:cs="宋体"/>
                <w:sz w:val="24"/>
                <w:highlight w:val="none"/>
                <w:lang w:val="zh-CN" w:eastAsia="zh-CN" w:bidi="zh-CN"/>
              </w:rPr>
            </w:pPr>
            <w:r>
              <w:rPr>
                <w:rFonts w:hint="eastAsia"/>
                <w:sz w:val="24"/>
                <w:highlight w:val="none"/>
              </w:rPr>
              <w:t>点心类</w:t>
            </w:r>
          </w:p>
        </w:tc>
        <w:tc>
          <w:tcPr>
            <w:tcW w:w="4515" w:type="dxa"/>
            <w:noWrap w:val="0"/>
            <w:vAlign w:val="center"/>
          </w:tcPr>
          <w:p>
            <w:pPr>
              <w:pStyle w:val="62"/>
              <w:ind w:left="14" w:leftChars="0"/>
              <w:jc w:val="both"/>
              <w:rPr>
                <w:rFonts w:hint="eastAsia"/>
                <w:sz w:val="24"/>
                <w:highlight w:val="none"/>
                <w:lang w:val="zh-CN" w:eastAsia="zh-CN"/>
              </w:rPr>
            </w:pPr>
            <w:r>
              <w:rPr>
                <w:rFonts w:hint="eastAsia"/>
                <w:sz w:val="24"/>
                <w:highlight w:val="none"/>
              </w:rPr>
              <w:t>在保质期内，有食品质量安全认证合格标志。</w:t>
            </w:r>
          </w:p>
        </w:tc>
        <w:tc>
          <w:tcPr>
            <w:tcW w:w="2117" w:type="dxa"/>
            <w:noWrap w:val="0"/>
            <w:vAlign w:val="center"/>
          </w:tcPr>
          <w:p>
            <w:pPr>
              <w:pStyle w:val="62"/>
              <w:ind w:left="13" w:leftChars="0"/>
              <w:jc w:val="both"/>
              <w:rPr>
                <w:rFonts w:hint="eastAsia" w:ascii="宋体" w:hAnsi="宋体" w:eastAsia="宋体" w:cs="宋体"/>
                <w:sz w:val="24"/>
                <w:highlight w:val="none"/>
                <w:lang w:val="zh-CN" w:eastAsia="zh-CN" w:bidi="zh-CN"/>
              </w:rPr>
            </w:pPr>
            <w:r>
              <w:rPr>
                <w:rFonts w:hint="eastAsia"/>
                <w:sz w:val="24"/>
                <w:highlight w:val="none"/>
              </w:rPr>
              <w:t>包括牛奶、酸奶、饮料、蛋糕、面包等。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513" w:type="dxa"/>
            <w:noWrap w:val="0"/>
            <w:vAlign w:val="center"/>
          </w:tcPr>
          <w:p>
            <w:pPr>
              <w:pStyle w:val="62"/>
              <w:jc w:val="center"/>
              <w:rPr>
                <w:rFonts w:hint="eastAsia"/>
                <w:sz w:val="24"/>
                <w:highlight w:val="none"/>
              </w:rPr>
            </w:pPr>
          </w:p>
          <w:p>
            <w:pPr>
              <w:pStyle w:val="62"/>
              <w:ind w:left="10" w:leftChars="0"/>
              <w:jc w:val="center"/>
              <w:rPr>
                <w:rFonts w:hint="eastAsia" w:ascii="宋体" w:hAnsi="宋体" w:eastAsia="宋体" w:cs="宋体"/>
                <w:sz w:val="24"/>
                <w:highlight w:val="none"/>
                <w:lang w:val="zh-CN" w:eastAsia="zh-CN" w:bidi="zh-CN"/>
              </w:rPr>
            </w:pPr>
            <w:r>
              <w:rPr>
                <w:rFonts w:hint="eastAsia"/>
                <w:sz w:val="24"/>
                <w:highlight w:val="none"/>
              </w:rPr>
              <w:t>5</w:t>
            </w:r>
          </w:p>
        </w:tc>
        <w:tc>
          <w:tcPr>
            <w:tcW w:w="1355" w:type="dxa"/>
            <w:noWrap w:val="0"/>
            <w:vAlign w:val="center"/>
          </w:tcPr>
          <w:p>
            <w:pPr>
              <w:pStyle w:val="62"/>
              <w:jc w:val="both"/>
              <w:rPr>
                <w:rFonts w:hint="eastAsia"/>
                <w:sz w:val="24"/>
                <w:highlight w:val="none"/>
              </w:rPr>
            </w:pPr>
          </w:p>
          <w:p>
            <w:pPr>
              <w:pStyle w:val="62"/>
              <w:jc w:val="both"/>
              <w:rPr>
                <w:rFonts w:hint="eastAsia" w:ascii="宋体" w:hAnsi="宋体" w:eastAsia="宋体" w:cs="宋体"/>
                <w:sz w:val="24"/>
                <w:highlight w:val="none"/>
                <w:lang w:val="zh-CN" w:eastAsia="zh-CN" w:bidi="zh-CN"/>
              </w:rPr>
            </w:pPr>
            <w:r>
              <w:rPr>
                <w:rFonts w:hint="eastAsia"/>
                <w:sz w:val="24"/>
                <w:highlight w:val="none"/>
              </w:rPr>
              <w:t>调味品、干货类</w:t>
            </w:r>
          </w:p>
        </w:tc>
        <w:tc>
          <w:tcPr>
            <w:tcW w:w="4515" w:type="dxa"/>
            <w:noWrap w:val="0"/>
            <w:vAlign w:val="center"/>
          </w:tcPr>
          <w:p>
            <w:pPr>
              <w:pStyle w:val="62"/>
              <w:jc w:val="both"/>
              <w:rPr>
                <w:rFonts w:hint="eastAsia"/>
                <w:sz w:val="24"/>
                <w:highlight w:val="none"/>
              </w:rPr>
            </w:pPr>
          </w:p>
          <w:p>
            <w:pPr>
              <w:pStyle w:val="62"/>
              <w:ind w:left="14" w:leftChars="0"/>
              <w:jc w:val="both"/>
              <w:rPr>
                <w:rFonts w:hint="eastAsia" w:ascii="宋体" w:hAnsi="宋体" w:eastAsia="宋体" w:cs="宋体"/>
                <w:sz w:val="24"/>
                <w:highlight w:val="none"/>
                <w:lang w:val="zh-CN" w:eastAsia="zh-CN" w:bidi="zh-CN"/>
              </w:rPr>
            </w:pPr>
            <w:r>
              <w:rPr>
                <w:rFonts w:hint="eastAsia"/>
                <w:sz w:val="24"/>
                <w:highlight w:val="none"/>
              </w:rPr>
              <w:t>在保质期内，有食品质量安全认证合格标志。</w:t>
            </w:r>
          </w:p>
        </w:tc>
        <w:tc>
          <w:tcPr>
            <w:tcW w:w="2117" w:type="dxa"/>
            <w:noWrap w:val="0"/>
            <w:vAlign w:val="center"/>
          </w:tcPr>
          <w:p>
            <w:pPr>
              <w:pStyle w:val="62"/>
              <w:jc w:val="both"/>
              <w:rPr>
                <w:rFonts w:hint="eastAsia"/>
                <w:sz w:val="24"/>
                <w:highlight w:val="none"/>
              </w:rPr>
            </w:pPr>
          </w:p>
          <w:p>
            <w:pPr>
              <w:pStyle w:val="62"/>
              <w:ind w:left="13" w:leftChars="0"/>
              <w:jc w:val="both"/>
              <w:rPr>
                <w:rFonts w:hint="eastAsia" w:ascii="宋体" w:hAnsi="宋体" w:eastAsia="宋体" w:cs="宋体"/>
                <w:sz w:val="24"/>
                <w:highlight w:val="none"/>
                <w:lang w:val="zh-CN" w:eastAsia="zh-CN" w:bidi="zh-CN"/>
              </w:rPr>
            </w:pPr>
            <w:r>
              <w:rPr>
                <w:rFonts w:hint="eastAsia"/>
                <w:sz w:val="24"/>
                <w:highlight w:val="none"/>
              </w:rPr>
              <w:t>包括调味醋、酱油、大料等调味品，各类干货。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513" w:type="dxa"/>
            <w:noWrap w:val="0"/>
            <w:vAlign w:val="center"/>
          </w:tcPr>
          <w:p>
            <w:pPr>
              <w:pStyle w:val="62"/>
              <w:jc w:val="center"/>
              <w:rPr>
                <w:rFonts w:hint="eastAsia"/>
                <w:sz w:val="24"/>
                <w:highlight w:val="none"/>
              </w:rPr>
            </w:pPr>
          </w:p>
          <w:p>
            <w:pPr>
              <w:pStyle w:val="62"/>
              <w:jc w:val="center"/>
              <w:rPr>
                <w:rFonts w:hint="eastAsia"/>
                <w:sz w:val="24"/>
                <w:highlight w:val="none"/>
              </w:rPr>
            </w:pPr>
          </w:p>
          <w:p>
            <w:pPr>
              <w:pStyle w:val="62"/>
              <w:ind w:left="10" w:leftChars="0"/>
              <w:jc w:val="center"/>
              <w:rPr>
                <w:rFonts w:hint="eastAsia" w:ascii="宋体" w:hAnsi="宋体" w:eastAsia="宋体" w:cs="宋体"/>
                <w:sz w:val="24"/>
                <w:highlight w:val="none"/>
                <w:lang w:val="zh-CN" w:eastAsia="zh-CN" w:bidi="zh-CN"/>
              </w:rPr>
            </w:pPr>
            <w:r>
              <w:rPr>
                <w:rFonts w:hint="eastAsia"/>
                <w:sz w:val="24"/>
                <w:highlight w:val="none"/>
              </w:rPr>
              <w:t>6</w:t>
            </w:r>
          </w:p>
        </w:tc>
        <w:tc>
          <w:tcPr>
            <w:tcW w:w="1355" w:type="dxa"/>
            <w:noWrap w:val="0"/>
            <w:vAlign w:val="center"/>
          </w:tcPr>
          <w:p>
            <w:pPr>
              <w:pStyle w:val="62"/>
              <w:ind w:left="75" w:leftChars="0"/>
              <w:jc w:val="both"/>
              <w:rPr>
                <w:rFonts w:hint="eastAsia" w:ascii="宋体" w:hAnsi="宋体" w:eastAsia="宋体" w:cs="宋体"/>
                <w:sz w:val="24"/>
                <w:highlight w:val="none"/>
                <w:lang w:val="zh-CN" w:eastAsia="zh-CN" w:bidi="zh-CN"/>
              </w:rPr>
            </w:pPr>
            <w:r>
              <w:rPr>
                <w:rFonts w:hint="eastAsia"/>
                <w:sz w:val="24"/>
                <w:highlight w:val="none"/>
              </w:rPr>
              <w:t>豆 制 品 及冷冻食品</w:t>
            </w:r>
          </w:p>
        </w:tc>
        <w:tc>
          <w:tcPr>
            <w:tcW w:w="4515" w:type="dxa"/>
            <w:noWrap w:val="0"/>
            <w:vAlign w:val="center"/>
          </w:tcPr>
          <w:p>
            <w:pPr>
              <w:pStyle w:val="62"/>
              <w:jc w:val="both"/>
              <w:rPr>
                <w:rFonts w:hint="eastAsia"/>
                <w:sz w:val="24"/>
                <w:highlight w:val="none"/>
              </w:rPr>
            </w:pPr>
          </w:p>
          <w:p>
            <w:pPr>
              <w:pStyle w:val="62"/>
              <w:ind w:left="14" w:leftChars="0"/>
              <w:jc w:val="both"/>
              <w:rPr>
                <w:rFonts w:hint="eastAsia" w:ascii="宋体" w:hAnsi="宋体" w:eastAsia="宋体" w:cs="宋体"/>
                <w:sz w:val="24"/>
                <w:highlight w:val="none"/>
                <w:lang w:val="zh-CN" w:eastAsia="zh-CN" w:bidi="zh-CN"/>
              </w:rPr>
            </w:pPr>
            <w:r>
              <w:rPr>
                <w:rFonts w:hint="eastAsia"/>
                <w:sz w:val="24"/>
                <w:highlight w:val="none"/>
              </w:rPr>
              <w:t>在保质期内，有食品质量安全认证合格标志。</w:t>
            </w:r>
          </w:p>
        </w:tc>
        <w:tc>
          <w:tcPr>
            <w:tcW w:w="2117" w:type="dxa"/>
            <w:noWrap w:val="0"/>
            <w:vAlign w:val="center"/>
          </w:tcPr>
          <w:p>
            <w:pPr>
              <w:pStyle w:val="62"/>
              <w:ind w:left="13" w:leftChars="0"/>
              <w:jc w:val="both"/>
              <w:rPr>
                <w:rFonts w:hint="eastAsia" w:ascii="宋体" w:hAnsi="宋体" w:eastAsia="宋体" w:cs="宋体"/>
                <w:sz w:val="24"/>
                <w:highlight w:val="none"/>
                <w:lang w:val="zh-CN" w:eastAsia="zh-CN" w:bidi="zh-CN"/>
              </w:rPr>
            </w:pPr>
            <w:r>
              <w:rPr>
                <w:rFonts w:hint="eastAsia"/>
                <w:sz w:val="24"/>
                <w:highlight w:val="none"/>
              </w:rPr>
              <w:t xml:space="preserve">包括各类豆 </w:t>
            </w:r>
            <w:r>
              <w:rPr>
                <w:rFonts w:hint="eastAsia"/>
                <w:spacing w:val="-4"/>
                <w:sz w:val="24"/>
                <w:highlight w:val="none"/>
              </w:rPr>
              <w:t>腐、豆皮、豆</w:t>
            </w:r>
            <w:r>
              <w:rPr>
                <w:rFonts w:hint="eastAsia"/>
                <w:spacing w:val="-6"/>
                <w:sz w:val="24"/>
                <w:highlight w:val="none"/>
              </w:rPr>
              <w:t xml:space="preserve">干等豆制品， </w:t>
            </w:r>
            <w:r>
              <w:rPr>
                <w:rFonts w:hint="eastAsia"/>
                <w:sz w:val="24"/>
                <w:highlight w:val="none"/>
              </w:rPr>
              <w:t>各类冷冻食 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513" w:type="dxa"/>
            <w:noWrap w:val="0"/>
            <w:vAlign w:val="center"/>
          </w:tcPr>
          <w:p>
            <w:pPr>
              <w:pStyle w:val="62"/>
              <w:ind w:left="10" w:leftChars="0"/>
              <w:jc w:val="center"/>
              <w:rPr>
                <w:rFonts w:hint="eastAsia" w:ascii="宋体" w:hAnsi="宋体" w:eastAsia="宋体" w:cs="宋体"/>
                <w:sz w:val="24"/>
                <w:highlight w:val="none"/>
                <w:lang w:val="zh-CN" w:eastAsia="zh-CN" w:bidi="zh-CN"/>
              </w:rPr>
            </w:pPr>
            <w:r>
              <w:rPr>
                <w:rFonts w:hint="eastAsia"/>
                <w:sz w:val="24"/>
                <w:highlight w:val="none"/>
              </w:rPr>
              <w:t>7</w:t>
            </w:r>
          </w:p>
        </w:tc>
        <w:tc>
          <w:tcPr>
            <w:tcW w:w="1355" w:type="dxa"/>
            <w:noWrap w:val="0"/>
            <w:vAlign w:val="center"/>
          </w:tcPr>
          <w:p>
            <w:pPr>
              <w:pStyle w:val="62"/>
              <w:ind w:left="295" w:leftChars="0"/>
              <w:jc w:val="both"/>
              <w:rPr>
                <w:rFonts w:hint="eastAsia" w:ascii="宋体" w:hAnsi="宋体" w:eastAsia="宋体" w:cs="宋体"/>
                <w:sz w:val="24"/>
                <w:highlight w:val="none"/>
                <w:lang w:val="zh-CN" w:eastAsia="zh-CN" w:bidi="zh-CN"/>
              </w:rPr>
            </w:pPr>
            <w:r>
              <w:rPr>
                <w:rFonts w:hint="eastAsia"/>
                <w:sz w:val="24"/>
                <w:highlight w:val="none"/>
              </w:rPr>
              <w:t>其他</w:t>
            </w:r>
          </w:p>
        </w:tc>
        <w:tc>
          <w:tcPr>
            <w:tcW w:w="4515" w:type="dxa"/>
            <w:noWrap w:val="0"/>
            <w:vAlign w:val="center"/>
          </w:tcPr>
          <w:p>
            <w:pPr>
              <w:pStyle w:val="62"/>
              <w:ind w:left="14" w:leftChars="0"/>
              <w:jc w:val="both"/>
              <w:rPr>
                <w:rFonts w:hint="eastAsia" w:ascii="宋体" w:hAnsi="宋体" w:eastAsia="宋体" w:cs="宋体"/>
                <w:sz w:val="24"/>
                <w:highlight w:val="none"/>
                <w:lang w:val="zh-CN" w:eastAsia="zh-CN" w:bidi="zh-CN"/>
              </w:rPr>
            </w:pPr>
            <w:r>
              <w:rPr>
                <w:rFonts w:hint="eastAsia"/>
                <w:sz w:val="24"/>
                <w:highlight w:val="none"/>
              </w:rPr>
              <w:t>符合国家标准。</w:t>
            </w:r>
          </w:p>
        </w:tc>
        <w:tc>
          <w:tcPr>
            <w:tcW w:w="2117" w:type="dxa"/>
            <w:noWrap w:val="0"/>
            <w:vAlign w:val="center"/>
          </w:tcPr>
          <w:p>
            <w:pPr>
              <w:pStyle w:val="62"/>
              <w:ind w:left="13" w:leftChars="0"/>
              <w:jc w:val="both"/>
              <w:rPr>
                <w:rFonts w:hint="eastAsia" w:ascii="宋体" w:hAnsi="宋体" w:eastAsia="宋体" w:cs="宋体"/>
                <w:sz w:val="24"/>
                <w:highlight w:val="none"/>
                <w:lang w:val="zh-CN" w:eastAsia="zh-CN" w:bidi="zh-CN"/>
              </w:rPr>
            </w:pPr>
            <w:r>
              <w:rPr>
                <w:rFonts w:hint="eastAsia"/>
                <w:sz w:val="24"/>
                <w:highlight w:val="none"/>
              </w:rPr>
              <w:t>食堂所需其</w:t>
            </w:r>
            <w:r>
              <w:rPr>
                <w:rFonts w:hint="eastAsia"/>
                <w:spacing w:val="-3"/>
                <w:sz w:val="24"/>
                <w:highlight w:val="none"/>
              </w:rPr>
              <w:t>他相关产品。</w:t>
            </w:r>
          </w:p>
        </w:tc>
      </w:tr>
    </w:tbl>
    <w:p>
      <w:pPr>
        <w:pStyle w:val="60"/>
        <w:tabs>
          <w:tab w:val="left" w:pos="1636"/>
        </w:tabs>
        <w:spacing w:line="360" w:lineRule="auto"/>
        <w:ind w:firstLine="480"/>
        <w:jc w:val="left"/>
        <w:rPr>
          <w:rFonts w:hint="eastAsia" w:ascii="宋体" w:hAnsi="宋体" w:cs="宋体"/>
          <w:sz w:val="24"/>
          <w:highlight w:val="none"/>
        </w:rPr>
      </w:pPr>
    </w:p>
    <w:p>
      <w:pPr>
        <w:pStyle w:val="60"/>
        <w:tabs>
          <w:tab w:val="left" w:pos="1636"/>
        </w:tabs>
        <w:spacing w:line="360" w:lineRule="auto"/>
        <w:ind w:firstLine="480"/>
        <w:jc w:val="left"/>
        <w:rPr>
          <w:rFonts w:hint="eastAsia" w:ascii="宋体" w:hAnsi="宋体" w:cs="宋体"/>
          <w:sz w:val="24"/>
          <w:highlight w:val="none"/>
        </w:rPr>
      </w:pPr>
      <w:r>
        <w:rPr>
          <w:rFonts w:hint="eastAsia" w:ascii="宋体" w:hAnsi="宋体" w:cs="宋体"/>
          <w:sz w:val="24"/>
          <w:highlight w:val="none"/>
        </w:rPr>
        <w:t>4、投标人需提供有利于采购方对食堂采购、验收、保管实时监</w:t>
      </w:r>
      <w:r>
        <w:rPr>
          <w:rFonts w:hint="eastAsia" w:ascii="宋体" w:hAnsi="宋体" w:cs="宋体"/>
          <w:spacing w:val="-11"/>
          <w:sz w:val="24"/>
          <w:highlight w:val="none"/>
        </w:rPr>
        <w:t xml:space="preserve">督的组织形式和监督手段，包括但不限于：所有食材拍照、索取票证， </w:t>
      </w:r>
      <w:r>
        <w:rPr>
          <w:rFonts w:hint="eastAsia" w:ascii="宋体" w:hAnsi="宋体" w:cs="宋体"/>
          <w:spacing w:val="-14"/>
          <w:sz w:val="24"/>
          <w:highlight w:val="none"/>
        </w:rPr>
        <w:t xml:space="preserve">存档备查；配备农残检验仪，定期检查农产品残留，并做好相关记录； </w:t>
      </w:r>
      <w:r>
        <w:rPr>
          <w:rFonts w:hint="eastAsia" w:ascii="宋体" w:hAnsi="宋体" w:cs="宋体"/>
          <w:spacing w:val="-13"/>
          <w:sz w:val="24"/>
          <w:highlight w:val="none"/>
        </w:rPr>
        <w:t>库房通风、干燥，食材摆放有序，做好防虫防鼠工作，保持干净清洁。</w:t>
      </w:r>
    </w:p>
    <w:p>
      <w:pPr>
        <w:pStyle w:val="60"/>
        <w:tabs>
          <w:tab w:val="left" w:pos="1564"/>
        </w:tabs>
        <w:spacing w:line="360" w:lineRule="auto"/>
        <w:ind w:firstLine="440"/>
        <w:rPr>
          <w:rFonts w:hint="eastAsia" w:ascii="宋体" w:hAnsi="宋体" w:cs="宋体"/>
          <w:sz w:val="24"/>
          <w:highlight w:val="none"/>
        </w:rPr>
      </w:pPr>
      <w:r>
        <w:rPr>
          <w:rFonts w:hint="eastAsia" w:ascii="宋体" w:hAnsi="宋体" w:cs="宋体"/>
          <w:spacing w:val="-10"/>
          <w:sz w:val="24"/>
          <w:highlight w:val="none"/>
        </w:rPr>
        <w:t>5、投标人不得提供伪劣假冒食材及过期食品，如出现伪劣假冒食</w:t>
      </w:r>
      <w:r>
        <w:rPr>
          <w:rFonts w:hint="eastAsia" w:ascii="宋体" w:hAnsi="宋体" w:cs="宋体"/>
          <w:spacing w:val="7"/>
          <w:sz w:val="24"/>
          <w:highlight w:val="none"/>
        </w:rPr>
        <w:t>材及过期食品而引发的相关责任和由此产生的费用由投标人全部负</w:t>
      </w:r>
      <w:r>
        <w:rPr>
          <w:rFonts w:hint="eastAsia" w:ascii="宋体" w:hAnsi="宋体" w:cs="宋体"/>
          <w:spacing w:val="-9"/>
          <w:sz w:val="24"/>
          <w:highlight w:val="none"/>
        </w:rPr>
        <w:t>责，同时，采购人有权终止合同，并拒绝续签来年合同</w:t>
      </w:r>
      <w:r>
        <w:rPr>
          <w:rFonts w:hint="eastAsia" w:ascii="宋体" w:hAnsi="宋体" w:cs="宋体"/>
          <w:sz w:val="24"/>
          <w:highlight w:val="none"/>
        </w:rPr>
        <w:t>.</w:t>
      </w:r>
      <w:r>
        <w:rPr>
          <w:rFonts w:hint="eastAsia" w:ascii="宋体" w:hAnsi="宋体" w:cs="宋体"/>
          <w:spacing w:val="-3"/>
          <w:sz w:val="24"/>
          <w:highlight w:val="none"/>
        </w:rPr>
        <w:t>由此带来的经济损失和责任由投标人承担。</w:t>
      </w:r>
    </w:p>
    <w:p>
      <w:pPr>
        <w:pStyle w:val="60"/>
        <w:tabs>
          <w:tab w:val="left" w:pos="1564"/>
        </w:tabs>
        <w:spacing w:line="360" w:lineRule="auto"/>
        <w:ind w:firstLine="436"/>
        <w:rPr>
          <w:sz w:val="28"/>
          <w:highlight w:val="none"/>
        </w:rPr>
      </w:pPr>
      <w:r>
        <w:rPr>
          <w:rFonts w:hint="eastAsia" w:ascii="宋体" w:hAnsi="宋体" w:cs="宋体"/>
          <w:spacing w:val="-11"/>
          <w:sz w:val="24"/>
          <w:highlight w:val="none"/>
        </w:rPr>
        <w:t>6、投标人应建立与采购人的信息沟通平台，根据当日就餐人数及</w:t>
      </w:r>
      <w:r>
        <w:rPr>
          <w:rFonts w:hint="eastAsia" w:ascii="宋体" w:hAnsi="宋体" w:cs="宋体"/>
          <w:spacing w:val="-5"/>
          <w:sz w:val="24"/>
          <w:highlight w:val="none"/>
        </w:rPr>
        <w:t>时调整食材供应量，避免食材供应不足或浪费。</w:t>
      </w:r>
    </w:p>
    <w:p>
      <w:pPr>
        <w:pStyle w:val="5"/>
        <w:numPr>
          <w:ilvl w:val="0"/>
          <w:numId w:val="0"/>
        </w:numPr>
        <w:tabs>
          <w:tab w:val="left" w:pos="1495"/>
        </w:tabs>
        <w:ind w:firstLine="643" w:firstLineChars="200"/>
        <w:rPr>
          <w:highlight w:val="none"/>
        </w:rPr>
      </w:pPr>
      <w:r>
        <w:rPr>
          <w:rFonts w:hint="eastAsia"/>
          <w:highlight w:val="none"/>
        </w:rPr>
        <w:t>（二）</w:t>
      </w:r>
      <w:r>
        <w:rPr>
          <w:highlight w:val="none"/>
        </w:rPr>
        <w:t>餐厅管理要求</w:t>
      </w:r>
    </w:p>
    <w:p>
      <w:pPr>
        <w:pStyle w:val="8"/>
        <w:spacing w:after="0" w:line="360" w:lineRule="auto"/>
        <w:ind w:firstLine="460" w:firstLineChars="200"/>
        <w:rPr>
          <w:rFonts w:hint="eastAsia" w:hAnsi="宋体" w:cs="宋体"/>
          <w:sz w:val="24"/>
          <w:szCs w:val="24"/>
          <w:highlight w:val="none"/>
        </w:rPr>
      </w:pPr>
      <w:r>
        <w:rPr>
          <w:rFonts w:hint="eastAsia" w:hAnsi="宋体" w:cs="宋体"/>
          <w:spacing w:val="-5"/>
          <w:sz w:val="24"/>
          <w:szCs w:val="24"/>
          <w:highlight w:val="none"/>
        </w:rPr>
        <w:t>1、</w:t>
      </w:r>
      <w:r>
        <w:rPr>
          <w:rFonts w:hint="eastAsia" w:hAnsi="宋体" w:cs="宋体"/>
          <w:sz w:val="24"/>
          <w:szCs w:val="24"/>
          <w:highlight w:val="none"/>
        </w:rPr>
        <w:t>餐厅清洁范围包括餐具、地面、墙面、天花板等。餐具用具</w:t>
      </w:r>
      <w:r>
        <w:rPr>
          <w:rFonts w:hint="eastAsia" w:hAnsi="宋体" w:cs="宋体"/>
          <w:spacing w:val="-3"/>
          <w:sz w:val="24"/>
          <w:szCs w:val="24"/>
          <w:highlight w:val="none"/>
        </w:rPr>
        <w:t>餐后及时清洗消毒，做到安全卫生，摆放规范整齐；地面干净、无积水、无杂物、无污渍；墙面、门无明显积灰，窗户玻璃明亮清洁；天花板、灯具无积灰；桌椅摆放整齐，间距适中，桌上调料、餐巾纸、牙签等用品摆放充足有序。</w:t>
      </w:r>
    </w:p>
    <w:p>
      <w:pPr>
        <w:pStyle w:val="5"/>
        <w:numPr>
          <w:ilvl w:val="0"/>
          <w:numId w:val="0"/>
        </w:numPr>
        <w:tabs>
          <w:tab w:val="left" w:pos="1495"/>
        </w:tabs>
        <w:spacing w:line="357" w:lineRule="exact"/>
        <w:ind w:firstLine="643" w:firstLineChars="200"/>
        <w:rPr>
          <w:highlight w:val="none"/>
        </w:rPr>
      </w:pPr>
      <w:bookmarkStart w:id="71" w:name="4. 后厨管理要求"/>
      <w:bookmarkEnd w:id="71"/>
      <w:r>
        <w:rPr>
          <w:rFonts w:hint="eastAsia"/>
          <w:highlight w:val="none"/>
        </w:rPr>
        <w:t>（三)</w:t>
      </w:r>
      <w:r>
        <w:rPr>
          <w:highlight w:val="none"/>
        </w:rPr>
        <w:t>后厨管理要求</w:t>
      </w:r>
    </w:p>
    <w:p>
      <w:pPr>
        <w:pStyle w:val="8"/>
        <w:spacing w:line="360" w:lineRule="auto"/>
        <w:ind w:firstLine="444" w:firstLineChars="200"/>
        <w:rPr>
          <w:sz w:val="24"/>
          <w:szCs w:val="24"/>
          <w:highlight w:val="none"/>
        </w:rPr>
      </w:pPr>
      <w:r>
        <w:rPr>
          <w:rFonts w:hint="eastAsia"/>
          <w:spacing w:val="-9"/>
          <w:sz w:val="24"/>
          <w:szCs w:val="24"/>
          <w:highlight w:val="none"/>
        </w:rPr>
        <w:t>1、</w:t>
      </w:r>
      <w:r>
        <w:rPr>
          <w:spacing w:val="-9"/>
          <w:sz w:val="24"/>
          <w:szCs w:val="24"/>
          <w:highlight w:val="none"/>
        </w:rPr>
        <w:t>投标人对采购人提供的食堂的设施设备进行日常的保养，并对</w:t>
      </w:r>
      <w:r>
        <w:rPr>
          <w:spacing w:val="-3"/>
          <w:sz w:val="24"/>
          <w:szCs w:val="24"/>
          <w:highlight w:val="none"/>
        </w:rPr>
        <w:t>设施设备提出维修方案报采购人审核。审核通过后，投标人支付维修费用。如因维修方案未及时提出，造成的安全事故由投标人自行全权</w:t>
      </w:r>
      <w:r>
        <w:rPr>
          <w:sz w:val="24"/>
          <w:szCs w:val="24"/>
          <w:highlight w:val="none"/>
        </w:rPr>
        <w:t>负责，并承担法律责任。</w:t>
      </w:r>
    </w:p>
    <w:p>
      <w:pPr>
        <w:pStyle w:val="60"/>
        <w:tabs>
          <w:tab w:val="left" w:pos="1564"/>
        </w:tabs>
        <w:spacing w:line="360" w:lineRule="auto"/>
        <w:ind w:firstLine="468"/>
        <w:rPr>
          <w:sz w:val="24"/>
          <w:highlight w:val="none"/>
        </w:rPr>
      </w:pPr>
      <w:r>
        <w:rPr>
          <w:rFonts w:hint="eastAsia"/>
          <w:spacing w:val="-3"/>
          <w:sz w:val="24"/>
          <w:highlight w:val="none"/>
        </w:rPr>
        <w:t>2、</w:t>
      </w:r>
      <w:r>
        <w:rPr>
          <w:spacing w:val="-3"/>
          <w:sz w:val="24"/>
          <w:highlight w:val="none"/>
        </w:rPr>
        <w:t>投标人应爱护食堂场所的相关设施</w:t>
      </w:r>
      <w:r>
        <w:rPr>
          <w:rFonts w:ascii="Times New Roman" w:eastAsia="Times New Roman"/>
          <w:spacing w:val="2"/>
          <w:sz w:val="24"/>
          <w:highlight w:val="none"/>
        </w:rPr>
        <w:t xml:space="preserve">, </w:t>
      </w:r>
      <w:r>
        <w:rPr>
          <w:spacing w:val="-3"/>
          <w:sz w:val="24"/>
          <w:highlight w:val="none"/>
        </w:rPr>
        <w:t>不得自行拆移各种设施、设备。合同期间如需调整，需向采购人提出书面的调整变更申请，经采购人批准后方可实施。如因使用需要对该场所进行装修或者增加设备的，须征得采购人书面同意，若有损坏，必须按原样修复。</w:t>
      </w:r>
    </w:p>
    <w:p>
      <w:pPr>
        <w:pStyle w:val="60"/>
        <w:tabs>
          <w:tab w:val="left" w:pos="1569"/>
        </w:tabs>
        <w:spacing w:line="360" w:lineRule="auto"/>
        <w:ind w:firstLine="492"/>
        <w:rPr>
          <w:sz w:val="24"/>
          <w:highlight w:val="none"/>
        </w:rPr>
      </w:pPr>
      <w:r>
        <w:rPr>
          <w:rFonts w:hint="eastAsia"/>
          <w:spacing w:val="3"/>
          <w:sz w:val="24"/>
          <w:highlight w:val="none"/>
        </w:rPr>
        <w:t>3、</w:t>
      </w:r>
      <w:r>
        <w:rPr>
          <w:spacing w:val="3"/>
          <w:sz w:val="24"/>
          <w:highlight w:val="none"/>
        </w:rPr>
        <w:t>投标人应确保科学合理的膳食搭配，食用油和调味料使用适</w:t>
      </w:r>
      <w:r>
        <w:rPr>
          <w:spacing w:val="-3"/>
          <w:sz w:val="24"/>
          <w:highlight w:val="none"/>
        </w:rPr>
        <w:t>量，少味精，使用不加碘的盐。</w:t>
      </w:r>
    </w:p>
    <w:p>
      <w:pPr>
        <w:pStyle w:val="5"/>
        <w:numPr>
          <w:ilvl w:val="2"/>
          <w:numId w:val="0"/>
        </w:numPr>
        <w:tabs>
          <w:tab w:val="left" w:pos="1495"/>
        </w:tabs>
        <w:ind w:firstLine="643" w:firstLineChars="200"/>
        <w:rPr>
          <w:highlight w:val="none"/>
        </w:rPr>
      </w:pPr>
      <w:r>
        <w:rPr>
          <w:rFonts w:hint="eastAsia"/>
          <w:highlight w:val="none"/>
        </w:rPr>
        <w:t>（三）</w:t>
      </w:r>
      <w:r>
        <w:rPr>
          <w:highlight w:val="none"/>
        </w:rPr>
        <w:t>安全、消防管理要求</w:t>
      </w:r>
    </w:p>
    <w:p>
      <w:pPr>
        <w:pStyle w:val="60"/>
        <w:tabs>
          <w:tab w:val="left" w:pos="1564"/>
        </w:tabs>
        <w:spacing w:line="360" w:lineRule="auto"/>
        <w:ind w:firstLine="468"/>
        <w:jc w:val="left"/>
        <w:rPr>
          <w:sz w:val="24"/>
          <w:highlight w:val="none"/>
        </w:rPr>
      </w:pPr>
      <w:r>
        <w:rPr>
          <w:rFonts w:hint="eastAsia"/>
          <w:spacing w:val="-3"/>
          <w:sz w:val="24"/>
          <w:highlight w:val="none"/>
        </w:rPr>
        <w:t>1、</w:t>
      </w:r>
      <w:r>
        <w:rPr>
          <w:spacing w:val="-3"/>
          <w:sz w:val="24"/>
          <w:highlight w:val="none"/>
        </w:rPr>
        <w:t>投标人法定代表人是食堂安全管理和食品安全的第一责任人， 应安排专人负责管理各种设施设备，保证水、电、燃气的使用安全。</w:t>
      </w:r>
      <w:r>
        <w:rPr>
          <w:spacing w:val="-12"/>
          <w:sz w:val="24"/>
          <w:highlight w:val="none"/>
        </w:rPr>
        <w:t>负责管理电、燃气设施的人员必须经过培训，并持有有效上岗证上岗。</w:t>
      </w:r>
      <w:r>
        <w:rPr>
          <w:spacing w:val="-5"/>
          <w:sz w:val="24"/>
          <w:highlight w:val="none"/>
        </w:rPr>
        <w:t>应确定一名食品安全管理人员，牵头负责食堂食品安全相关工作，每</w:t>
      </w:r>
      <w:r>
        <w:rPr>
          <w:spacing w:val="-4"/>
          <w:sz w:val="24"/>
          <w:highlight w:val="none"/>
        </w:rPr>
        <w:t>天对从业人员上岗前的健康状况进行检查，定期对从业人员进行食品</w:t>
      </w:r>
      <w:r>
        <w:rPr>
          <w:spacing w:val="-3"/>
          <w:sz w:val="24"/>
          <w:highlight w:val="none"/>
        </w:rPr>
        <w:t>安全培训和考试。</w:t>
      </w:r>
    </w:p>
    <w:p>
      <w:pPr>
        <w:pStyle w:val="60"/>
        <w:tabs>
          <w:tab w:val="left" w:pos="1564"/>
        </w:tabs>
        <w:spacing w:line="360" w:lineRule="auto"/>
        <w:ind w:firstLine="436"/>
        <w:rPr>
          <w:sz w:val="24"/>
          <w:highlight w:val="none"/>
        </w:rPr>
      </w:pPr>
      <w:r>
        <w:rPr>
          <w:rFonts w:hint="eastAsia"/>
          <w:spacing w:val="-11"/>
          <w:sz w:val="24"/>
          <w:highlight w:val="none"/>
        </w:rPr>
        <w:t>2、</w:t>
      </w:r>
      <w:r>
        <w:rPr>
          <w:spacing w:val="-11"/>
          <w:sz w:val="24"/>
          <w:highlight w:val="none"/>
        </w:rPr>
        <w:t>投标人应与采购人签订消防安全责任书。保障食堂各项消防设</w:t>
      </w:r>
      <w:r>
        <w:rPr>
          <w:spacing w:val="-3"/>
          <w:sz w:val="24"/>
          <w:highlight w:val="none"/>
        </w:rPr>
        <w:t>施完好，并进行定期检查作好检查记录。培训员工掌握正确使用各项消防设施、使用天然气设备的方法，防漏、防爆、防火，确保消防安全。</w:t>
      </w:r>
    </w:p>
    <w:p>
      <w:pPr>
        <w:pStyle w:val="60"/>
        <w:tabs>
          <w:tab w:val="left" w:pos="1564"/>
        </w:tabs>
        <w:spacing w:line="360" w:lineRule="auto"/>
        <w:ind w:firstLine="468"/>
        <w:rPr>
          <w:sz w:val="28"/>
          <w:highlight w:val="none"/>
        </w:rPr>
      </w:pPr>
      <w:r>
        <w:rPr>
          <w:rFonts w:hint="eastAsia"/>
          <w:spacing w:val="-3"/>
          <w:sz w:val="24"/>
          <w:highlight w:val="none"/>
        </w:rPr>
        <w:t>3、</w:t>
      </w:r>
      <w:r>
        <w:rPr>
          <w:spacing w:val="-3"/>
          <w:sz w:val="24"/>
          <w:highlight w:val="none"/>
        </w:rPr>
        <w:t>对投标人的食品安全管理详细要求见下表：</w:t>
      </w:r>
    </w:p>
    <w:p>
      <w:pPr>
        <w:pStyle w:val="5"/>
        <w:numPr>
          <w:ilvl w:val="0"/>
          <w:numId w:val="0"/>
        </w:numPr>
        <w:spacing w:before="159" w:after="25"/>
        <w:ind w:left="44" w:right="618"/>
        <w:jc w:val="center"/>
        <w:rPr>
          <w:highlight w:val="none"/>
        </w:rPr>
      </w:pPr>
      <w:r>
        <w:rPr>
          <w:highlight w:val="none"/>
        </w:rPr>
        <w:t>食堂食品安全操作标准</w:t>
      </w:r>
    </w:p>
    <w:tbl>
      <w:tblPr>
        <w:tblStyle w:val="27"/>
        <w:tblW w:w="0" w:type="auto"/>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139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004" w:type="dxa"/>
            <w:noWrap w:val="0"/>
            <w:vAlign w:val="top"/>
          </w:tcPr>
          <w:p>
            <w:pPr>
              <w:pStyle w:val="62"/>
              <w:spacing w:before="179"/>
              <w:ind w:left="98" w:right="89"/>
              <w:jc w:val="center"/>
              <w:rPr>
                <w:b/>
                <w:sz w:val="24"/>
                <w:highlight w:val="none"/>
              </w:rPr>
            </w:pPr>
            <w:r>
              <w:rPr>
                <w:b/>
                <w:sz w:val="24"/>
                <w:highlight w:val="none"/>
              </w:rPr>
              <w:t>序号</w:t>
            </w:r>
          </w:p>
        </w:tc>
        <w:tc>
          <w:tcPr>
            <w:tcW w:w="1399" w:type="dxa"/>
            <w:noWrap w:val="0"/>
            <w:vAlign w:val="top"/>
          </w:tcPr>
          <w:p>
            <w:pPr>
              <w:pStyle w:val="62"/>
              <w:spacing w:before="179"/>
              <w:ind w:left="218"/>
              <w:rPr>
                <w:b/>
                <w:sz w:val="24"/>
                <w:highlight w:val="none"/>
              </w:rPr>
            </w:pPr>
            <w:r>
              <w:rPr>
                <w:b/>
                <w:sz w:val="24"/>
                <w:highlight w:val="none"/>
              </w:rPr>
              <w:t>检查项目</w:t>
            </w:r>
          </w:p>
        </w:tc>
        <w:tc>
          <w:tcPr>
            <w:tcW w:w="7080" w:type="dxa"/>
            <w:noWrap w:val="0"/>
            <w:vAlign w:val="top"/>
          </w:tcPr>
          <w:p>
            <w:pPr>
              <w:pStyle w:val="62"/>
              <w:spacing w:before="179"/>
              <w:ind w:left="2868" w:right="2856"/>
              <w:jc w:val="center"/>
              <w:rPr>
                <w:b/>
                <w:sz w:val="24"/>
                <w:highlight w:val="none"/>
              </w:rPr>
            </w:pPr>
            <w:r>
              <w:rPr>
                <w:b/>
                <w:sz w:val="24"/>
                <w:highlight w:val="none"/>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004" w:type="dxa"/>
            <w:noWrap w:val="0"/>
            <w:vAlign w:val="top"/>
          </w:tcPr>
          <w:p>
            <w:pPr>
              <w:pStyle w:val="62"/>
              <w:rPr>
                <w:b/>
                <w:sz w:val="26"/>
                <w:highlight w:val="none"/>
              </w:rPr>
            </w:pPr>
          </w:p>
          <w:p>
            <w:pPr>
              <w:pStyle w:val="62"/>
              <w:spacing w:before="4"/>
              <w:rPr>
                <w:b/>
                <w:sz w:val="18"/>
                <w:highlight w:val="none"/>
              </w:rPr>
            </w:pPr>
          </w:p>
          <w:p>
            <w:pPr>
              <w:pStyle w:val="62"/>
              <w:ind w:left="9"/>
              <w:jc w:val="center"/>
              <w:rPr>
                <w:rFonts w:ascii="Times New Roman"/>
                <w:sz w:val="24"/>
                <w:highlight w:val="none"/>
              </w:rPr>
            </w:pPr>
            <w:r>
              <w:rPr>
                <w:rFonts w:ascii="Times New Roman"/>
                <w:sz w:val="24"/>
                <w:highlight w:val="none"/>
              </w:rPr>
              <w:t>1</w:t>
            </w:r>
          </w:p>
        </w:tc>
        <w:tc>
          <w:tcPr>
            <w:tcW w:w="1399" w:type="dxa"/>
            <w:noWrap w:val="0"/>
            <w:vAlign w:val="top"/>
          </w:tcPr>
          <w:p>
            <w:pPr>
              <w:pStyle w:val="62"/>
              <w:rPr>
                <w:b/>
                <w:sz w:val="26"/>
                <w:highlight w:val="none"/>
              </w:rPr>
            </w:pPr>
          </w:p>
          <w:p>
            <w:pPr>
              <w:pStyle w:val="62"/>
              <w:spacing w:line="343" w:lineRule="auto"/>
              <w:ind w:left="458" w:right="448"/>
              <w:rPr>
                <w:sz w:val="24"/>
                <w:highlight w:val="none"/>
              </w:rPr>
            </w:pPr>
            <w:r>
              <w:rPr>
                <w:sz w:val="24"/>
                <w:highlight w:val="none"/>
              </w:rPr>
              <w:t>制度管理</w:t>
            </w:r>
          </w:p>
        </w:tc>
        <w:tc>
          <w:tcPr>
            <w:tcW w:w="7080" w:type="dxa"/>
            <w:noWrap w:val="0"/>
            <w:vAlign w:val="top"/>
          </w:tcPr>
          <w:p>
            <w:pPr>
              <w:pStyle w:val="62"/>
              <w:spacing w:before="113" w:line="343" w:lineRule="auto"/>
              <w:ind w:left="108" w:right="95" w:firstLine="240"/>
              <w:rPr>
                <w:sz w:val="24"/>
                <w:highlight w:val="none"/>
              </w:rPr>
            </w:pPr>
            <w:r>
              <w:rPr>
                <w:sz w:val="24"/>
                <w:highlight w:val="none"/>
              </w:rPr>
              <w:t>建立健全食品安全管理制度（进货查验和记录制度、从业人员健康管理及培训制度、食品贮存管理制度、食品安全追溯制</w:t>
            </w:r>
          </w:p>
          <w:p>
            <w:pPr>
              <w:pStyle w:val="62"/>
              <w:spacing w:before="1" w:line="306" w:lineRule="exact"/>
              <w:ind w:left="108" w:right="-29"/>
              <w:rPr>
                <w:sz w:val="24"/>
                <w:highlight w:val="none"/>
              </w:rPr>
            </w:pPr>
            <w:r>
              <w:rPr>
                <w:spacing w:val="-15"/>
                <w:sz w:val="24"/>
                <w:highlight w:val="none"/>
              </w:rPr>
              <w:t>度、废弃物处置制度、食品安全突发事件应急处置方案等制度</w:t>
            </w:r>
            <w:r>
              <w:rPr>
                <w:spacing w:val="-120"/>
                <w:sz w:val="24"/>
                <w:highlight w:val="none"/>
              </w:rPr>
              <w:t>）</w:t>
            </w:r>
            <w:r>
              <w:rPr>
                <w:spacing w:val="-12"/>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004" w:type="dxa"/>
            <w:vMerge w:val="restart"/>
            <w:noWrap w:val="0"/>
            <w:vAlign w:val="top"/>
          </w:tcPr>
          <w:p>
            <w:pPr>
              <w:pStyle w:val="62"/>
              <w:rPr>
                <w:b/>
                <w:sz w:val="26"/>
                <w:highlight w:val="none"/>
              </w:rPr>
            </w:pPr>
          </w:p>
          <w:p>
            <w:pPr>
              <w:pStyle w:val="62"/>
              <w:spacing w:before="12"/>
              <w:rPr>
                <w:b/>
                <w:sz w:val="19"/>
                <w:highlight w:val="none"/>
              </w:rPr>
            </w:pPr>
          </w:p>
          <w:p>
            <w:pPr>
              <w:pStyle w:val="62"/>
              <w:ind w:left="9"/>
              <w:jc w:val="center"/>
              <w:rPr>
                <w:rFonts w:ascii="Times New Roman"/>
                <w:sz w:val="24"/>
                <w:highlight w:val="none"/>
              </w:rPr>
            </w:pPr>
            <w:r>
              <w:rPr>
                <w:rFonts w:ascii="Times New Roman"/>
                <w:sz w:val="24"/>
                <w:highlight w:val="none"/>
              </w:rPr>
              <w:t>2</w:t>
            </w:r>
          </w:p>
        </w:tc>
        <w:tc>
          <w:tcPr>
            <w:tcW w:w="1399" w:type="dxa"/>
            <w:vMerge w:val="restart"/>
            <w:noWrap w:val="0"/>
            <w:vAlign w:val="top"/>
          </w:tcPr>
          <w:p>
            <w:pPr>
              <w:pStyle w:val="62"/>
              <w:spacing w:before="9"/>
              <w:rPr>
                <w:b/>
                <w:sz w:val="27"/>
                <w:highlight w:val="none"/>
              </w:rPr>
            </w:pPr>
          </w:p>
          <w:p>
            <w:pPr>
              <w:pStyle w:val="62"/>
              <w:spacing w:line="343" w:lineRule="auto"/>
              <w:ind w:left="458" w:right="208" w:hanging="240"/>
              <w:rPr>
                <w:sz w:val="24"/>
                <w:highlight w:val="none"/>
              </w:rPr>
            </w:pPr>
            <w:r>
              <w:rPr>
                <w:sz w:val="24"/>
                <w:highlight w:val="none"/>
              </w:rPr>
              <w:t>设施设备管理</w:t>
            </w:r>
          </w:p>
        </w:tc>
        <w:tc>
          <w:tcPr>
            <w:tcW w:w="7080" w:type="dxa"/>
            <w:noWrap w:val="0"/>
            <w:vAlign w:val="top"/>
          </w:tcPr>
          <w:p>
            <w:pPr>
              <w:pStyle w:val="62"/>
              <w:spacing w:before="124"/>
              <w:ind w:left="348"/>
              <w:rPr>
                <w:sz w:val="24"/>
                <w:highlight w:val="none"/>
              </w:rPr>
            </w:pPr>
            <w:r>
              <w:rPr>
                <w:sz w:val="24"/>
                <w:highlight w:val="none"/>
              </w:rPr>
              <w:t>定期维护食品加工、贮存等设施、设备。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04" w:type="dxa"/>
            <w:vMerge w:val="continue"/>
            <w:tcBorders>
              <w:top w:val="nil"/>
            </w:tcBorders>
            <w:noWrap w:val="0"/>
            <w:vAlign w:val="top"/>
          </w:tcPr>
          <w:p>
            <w:pPr>
              <w:rPr>
                <w:sz w:val="2"/>
                <w:szCs w:val="2"/>
                <w:highlight w:val="none"/>
              </w:rPr>
            </w:pPr>
          </w:p>
        </w:tc>
        <w:tc>
          <w:tcPr>
            <w:tcW w:w="1399" w:type="dxa"/>
            <w:vMerge w:val="continue"/>
            <w:tcBorders>
              <w:top w:val="nil"/>
            </w:tcBorders>
            <w:noWrap w:val="0"/>
            <w:vAlign w:val="top"/>
          </w:tcPr>
          <w:p>
            <w:pPr>
              <w:rPr>
                <w:sz w:val="2"/>
                <w:szCs w:val="2"/>
                <w:highlight w:val="none"/>
              </w:rPr>
            </w:pPr>
          </w:p>
        </w:tc>
        <w:tc>
          <w:tcPr>
            <w:tcW w:w="7080" w:type="dxa"/>
            <w:noWrap w:val="0"/>
            <w:vAlign w:val="top"/>
          </w:tcPr>
          <w:p>
            <w:pPr>
              <w:pStyle w:val="62"/>
              <w:spacing w:before="113" w:line="307" w:lineRule="exact"/>
              <w:ind w:left="348"/>
              <w:rPr>
                <w:sz w:val="24"/>
                <w:highlight w:val="none"/>
              </w:rPr>
            </w:pPr>
            <w:r>
              <w:rPr>
                <w:sz w:val="24"/>
                <w:highlight w:val="none"/>
              </w:rPr>
              <w:t>定期清洗、校验冷藏、冷冻设施。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top w:val="nil"/>
              <w:bottom w:val="single" w:color="auto" w:sz="4" w:space="0"/>
            </w:tcBorders>
            <w:noWrap w:val="0"/>
            <w:vAlign w:val="top"/>
          </w:tcPr>
          <w:p>
            <w:pPr>
              <w:rPr>
                <w:sz w:val="2"/>
                <w:szCs w:val="2"/>
                <w:highlight w:val="none"/>
              </w:rPr>
            </w:pPr>
          </w:p>
        </w:tc>
        <w:tc>
          <w:tcPr>
            <w:tcW w:w="1399" w:type="dxa"/>
            <w:vMerge w:val="continue"/>
            <w:tcBorders>
              <w:top w:val="nil"/>
              <w:bottom w:val="single" w:color="auto" w:sz="4" w:space="0"/>
            </w:tcBorders>
            <w:noWrap w:val="0"/>
            <w:vAlign w:val="top"/>
          </w:tcPr>
          <w:p>
            <w:pPr>
              <w:rPr>
                <w:sz w:val="2"/>
                <w:szCs w:val="2"/>
                <w:highlight w:val="none"/>
              </w:rPr>
            </w:pPr>
          </w:p>
        </w:tc>
        <w:tc>
          <w:tcPr>
            <w:tcW w:w="7080" w:type="dxa"/>
            <w:noWrap w:val="0"/>
            <w:vAlign w:val="top"/>
          </w:tcPr>
          <w:p>
            <w:pPr>
              <w:pStyle w:val="62"/>
              <w:spacing w:before="114" w:line="304" w:lineRule="exact"/>
              <w:ind w:left="348"/>
              <w:rPr>
                <w:sz w:val="24"/>
                <w:highlight w:val="none"/>
              </w:rPr>
            </w:pPr>
            <w:r>
              <w:rPr>
                <w:sz w:val="24"/>
                <w:highlight w:val="none"/>
              </w:rPr>
              <w:t>冷冻柜、冷藏柜有明显的区分标识。冷冻、冷藏柜（库）设有可正确显示内部温度的温度计，宜设置外显式温度计。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top w:val="single" w:color="auto" w:sz="4" w:space="0"/>
              <w:left w:val="single" w:color="auto" w:sz="4" w:space="0"/>
              <w:right w:val="single" w:color="auto" w:sz="4" w:space="0"/>
            </w:tcBorders>
            <w:noWrap w:val="0"/>
            <w:vAlign w:val="top"/>
          </w:tcPr>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rPr>
                <w:b w:val="0"/>
                <w:bCs/>
                <w:sz w:val="26"/>
                <w:highlight w:val="none"/>
              </w:rPr>
            </w:pPr>
          </w:p>
          <w:p>
            <w:pPr>
              <w:pStyle w:val="62"/>
              <w:spacing w:before="179"/>
              <w:ind w:left="9" w:leftChars="0"/>
              <w:jc w:val="center"/>
              <w:rPr>
                <w:rFonts w:ascii="Times New Roman" w:hAnsi="宋体" w:eastAsia="宋体" w:cs="宋体"/>
                <w:b w:val="0"/>
                <w:bCs/>
                <w:sz w:val="24"/>
                <w:highlight w:val="none"/>
                <w:lang w:val="zh-CN" w:eastAsia="zh-CN" w:bidi="zh-CN"/>
              </w:rPr>
            </w:pPr>
            <w:r>
              <w:rPr>
                <w:rFonts w:ascii="Times New Roman"/>
                <w:b w:val="0"/>
                <w:bCs/>
                <w:sz w:val="24"/>
                <w:highlight w:val="none"/>
              </w:rPr>
              <w:t>3</w:t>
            </w:r>
          </w:p>
        </w:tc>
        <w:tc>
          <w:tcPr>
            <w:tcW w:w="1399" w:type="dxa"/>
            <w:vMerge w:val="restart"/>
            <w:tcBorders>
              <w:top w:val="single" w:color="auto" w:sz="4" w:space="0"/>
              <w:left w:val="single" w:color="auto" w:sz="4" w:space="0"/>
              <w:right w:val="single" w:color="auto" w:sz="4" w:space="0"/>
            </w:tcBorders>
            <w:noWrap w:val="0"/>
            <w:vAlign w:val="top"/>
          </w:tcPr>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24"/>
                <w:highlight w:val="none"/>
              </w:rPr>
            </w:pPr>
          </w:p>
          <w:p>
            <w:pPr>
              <w:pStyle w:val="62"/>
              <w:rPr>
                <w:b w:val="0"/>
                <w:bCs/>
                <w:sz w:val="30"/>
                <w:highlight w:val="none"/>
              </w:rPr>
            </w:pPr>
          </w:p>
          <w:p>
            <w:pPr>
              <w:pStyle w:val="62"/>
              <w:spacing w:line="343" w:lineRule="auto"/>
              <w:ind w:left="100" w:leftChars="0" w:right="88" w:rightChars="0"/>
              <w:jc w:val="center"/>
              <w:rPr>
                <w:rFonts w:ascii="宋体" w:hAnsi="宋体" w:eastAsia="宋体" w:cs="宋体"/>
                <w:b w:val="0"/>
                <w:bCs/>
                <w:sz w:val="24"/>
                <w:highlight w:val="none"/>
                <w:lang w:val="zh-CN" w:eastAsia="zh-CN" w:bidi="zh-CN"/>
              </w:rPr>
            </w:pPr>
            <w:r>
              <w:rPr>
                <w:b w:val="0"/>
                <w:bCs/>
                <w:sz w:val="24"/>
                <w:highlight w:val="none"/>
              </w:rPr>
              <w:t>原料（含食品添加剂和食品相关产品）进货管理</w:t>
            </w:r>
          </w:p>
        </w:tc>
        <w:tc>
          <w:tcPr>
            <w:tcW w:w="7080" w:type="dxa"/>
            <w:tcBorders>
              <w:left w:val="single" w:color="auto" w:sz="4" w:space="0"/>
            </w:tcBorders>
            <w:noWrap w:val="0"/>
            <w:vAlign w:val="center"/>
          </w:tcPr>
          <w:p>
            <w:pPr>
              <w:pStyle w:val="62"/>
              <w:spacing w:before="114"/>
              <w:ind w:left="348"/>
              <w:jc w:val="both"/>
              <w:rPr>
                <w:b w:val="0"/>
                <w:bCs/>
                <w:sz w:val="24"/>
                <w:highlight w:val="none"/>
              </w:rPr>
            </w:pPr>
            <w:r>
              <w:rPr>
                <w:b w:val="0"/>
                <w:bCs/>
                <w:sz w:val="24"/>
                <w:highlight w:val="none"/>
              </w:rPr>
              <w:t>随货证明文件查验：</w:t>
            </w:r>
          </w:p>
          <w:p>
            <w:pPr>
              <w:pStyle w:val="62"/>
              <w:spacing w:before="131" w:line="343" w:lineRule="auto"/>
              <w:ind w:left="108" w:right="95" w:firstLine="240"/>
              <w:jc w:val="both"/>
              <w:rPr>
                <w:b w:val="0"/>
                <w:bCs/>
                <w:sz w:val="24"/>
                <w:highlight w:val="none"/>
              </w:rPr>
            </w:pPr>
            <w:r>
              <w:rPr>
                <w:rFonts w:ascii="Times New Roman" w:eastAsia="Times New Roman"/>
                <w:b w:val="0"/>
                <w:bCs/>
                <w:sz w:val="24"/>
                <w:highlight w:val="none"/>
              </w:rPr>
              <w:t>1</w:t>
            </w:r>
            <w:r>
              <w:rPr>
                <w:b w:val="0"/>
                <w:bCs/>
                <w:spacing w:val="-6"/>
                <w:sz w:val="24"/>
                <w:highlight w:val="none"/>
              </w:rPr>
              <w:t>、从食品销售者</w:t>
            </w:r>
            <w:r>
              <w:rPr>
                <w:b w:val="0"/>
                <w:bCs/>
                <w:sz w:val="24"/>
                <w:highlight w:val="none"/>
              </w:rPr>
              <w:t>（</w:t>
            </w:r>
            <w:r>
              <w:rPr>
                <w:b w:val="0"/>
                <w:bCs/>
                <w:spacing w:val="-5"/>
                <w:sz w:val="24"/>
                <w:highlight w:val="none"/>
              </w:rPr>
              <w:t>商场、超市、便利店等</w:t>
            </w:r>
            <w:r>
              <w:rPr>
                <w:b w:val="0"/>
                <w:bCs/>
                <w:spacing w:val="-15"/>
                <w:sz w:val="24"/>
                <w:highlight w:val="none"/>
              </w:rPr>
              <w:t>）</w:t>
            </w:r>
            <w:r>
              <w:rPr>
                <w:b w:val="0"/>
                <w:bCs/>
                <w:spacing w:val="-4"/>
                <w:sz w:val="24"/>
                <w:highlight w:val="none"/>
              </w:rPr>
              <w:t>采购食品的，查</w:t>
            </w:r>
            <w:r>
              <w:rPr>
                <w:b w:val="0"/>
                <w:bCs/>
                <w:spacing w:val="-1"/>
                <w:sz w:val="24"/>
                <w:highlight w:val="none"/>
              </w:rPr>
              <w:t xml:space="preserve">验其食品经营许可证等；采购食品添加剂、食品相关产品的， </w:t>
            </w:r>
            <w:r>
              <w:rPr>
                <w:b w:val="0"/>
                <w:bCs/>
                <w:sz w:val="24"/>
                <w:highlight w:val="none"/>
              </w:rPr>
              <w:t>查验其营业执照等；</w:t>
            </w:r>
          </w:p>
          <w:p>
            <w:pPr>
              <w:pStyle w:val="62"/>
              <w:spacing w:before="1" w:line="343" w:lineRule="auto"/>
              <w:ind w:left="108" w:right="95" w:firstLine="240"/>
              <w:jc w:val="both"/>
              <w:rPr>
                <w:b w:val="0"/>
                <w:bCs/>
                <w:sz w:val="24"/>
                <w:highlight w:val="none"/>
              </w:rPr>
            </w:pPr>
            <w:r>
              <w:rPr>
                <w:rFonts w:ascii="Times New Roman" w:eastAsia="Times New Roman"/>
                <w:b w:val="0"/>
                <w:bCs/>
                <w:sz w:val="24"/>
                <w:highlight w:val="none"/>
              </w:rPr>
              <w:t>2</w:t>
            </w:r>
            <w:r>
              <w:rPr>
                <w:b w:val="0"/>
                <w:bCs/>
                <w:spacing w:val="-10"/>
                <w:sz w:val="24"/>
                <w:highlight w:val="none"/>
              </w:rPr>
              <w:t>、从食用农产品个体生产者直接采购食用农产品的，查验其</w:t>
            </w:r>
            <w:r>
              <w:rPr>
                <w:b w:val="0"/>
                <w:bCs/>
                <w:sz w:val="24"/>
                <w:highlight w:val="none"/>
              </w:rPr>
              <w:t>有效身份证明；</w:t>
            </w:r>
          </w:p>
          <w:p>
            <w:pPr>
              <w:pStyle w:val="62"/>
              <w:spacing w:before="1" w:line="343" w:lineRule="auto"/>
              <w:ind w:left="108" w:right="95" w:firstLine="240"/>
              <w:jc w:val="both"/>
              <w:rPr>
                <w:b w:val="0"/>
                <w:bCs/>
                <w:sz w:val="24"/>
                <w:highlight w:val="none"/>
              </w:rPr>
            </w:pPr>
            <w:r>
              <w:rPr>
                <w:rFonts w:ascii="Times New Roman" w:eastAsia="Times New Roman"/>
                <w:b w:val="0"/>
                <w:bCs/>
                <w:sz w:val="24"/>
                <w:highlight w:val="none"/>
              </w:rPr>
              <w:t>3</w:t>
            </w:r>
            <w:r>
              <w:rPr>
                <w:b w:val="0"/>
                <w:bCs/>
                <w:spacing w:val="-10"/>
                <w:sz w:val="24"/>
                <w:highlight w:val="none"/>
              </w:rPr>
              <w:t>、从食用农产品生产企业和农民专业合作经济组织采购食用</w:t>
            </w:r>
            <w:r>
              <w:rPr>
                <w:b w:val="0"/>
                <w:bCs/>
                <w:sz w:val="24"/>
                <w:highlight w:val="none"/>
              </w:rPr>
              <w:t>农产品的，查验其社会信用代码和产品合格证明文件；</w:t>
            </w:r>
          </w:p>
          <w:p>
            <w:pPr>
              <w:pStyle w:val="62"/>
              <w:spacing w:line="345" w:lineRule="auto"/>
              <w:ind w:left="108" w:right="95" w:firstLine="240"/>
              <w:jc w:val="both"/>
              <w:rPr>
                <w:b w:val="0"/>
                <w:bCs/>
                <w:sz w:val="24"/>
                <w:highlight w:val="none"/>
              </w:rPr>
            </w:pPr>
            <w:r>
              <w:rPr>
                <w:rFonts w:ascii="Times New Roman" w:eastAsia="Times New Roman"/>
                <w:b w:val="0"/>
                <w:bCs/>
                <w:sz w:val="24"/>
                <w:highlight w:val="none"/>
              </w:rPr>
              <w:t>4</w:t>
            </w:r>
            <w:r>
              <w:rPr>
                <w:b w:val="0"/>
                <w:bCs/>
                <w:spacing w:val="-10"/>
                <w:sz w:val="24"/>
                <w:highlight w:val="none"/>
              </w:rPr>
              <w:t>、从集中交易市场采购食用农产品的，索取并留存市场管理</w:t>
            </w:r>
            <w:r>
              <w:rPr>
                <w:b w:val="0"/>
                <w:bCs/>
                <w:sz w:val="24"/>
                <w:highlight w:val="none"/>
              </w:rPr>
              <w:t>部门或经营者加盖公章（或负责人签字）的购货凭证；</w:t>
            </w:r>
          </w:p>
          <w:p>
            <w:pPr>
              <w:pStyle w:val="62"/>
              <w:spacing w:line="343" w:lineRule="auto"/>
              <w:ind w:left="108" w:right="95" w:firstLine="240"/>
              <w:jc w:val="both"/>
              <w:rPr>
                <w:b w:val="0"/>
                <w:bCs/>
                <w:sz w:val="24"/>
                <w:highlight w:val="none"/>
              </w:rPr>
            </w:pPr>
            <w:r>
              <w:rPr>
                <w:rFonts w:ascii="Times New Roman" w:eastAsia="Times New Roman"/>
                <w:b w:val="0"/>
                <w:bCs/>
                <w:sz w:val="24"/>
                <w:highlight w:val="none"/>
              </w:rPr>
              <w:t>5</w:t>
            </w:r>
            <w:r>
              <w:rPr>
                <w:b w:val="0"/>
                <w:bCs/>
                <w:spacing w:val="-10"/>
                <w:sz w:val="24"/>
                <w:highlight w:val="none"/>
              </w:rPr>
              <w:t>、采购畜禽肉类的，还应查验动物产品检疫合格证明；采购</w:t>
            </w:r>
            <w:r>
              <w:rPr>
                <w:b w:val="0"/>
                <w:bCs/>
                <w:sz w:val="24"/>
                <w:highlight w:val="none"/>
              </w:rPr>
              <w:t>猪肉的，还应查验肉品品质检验合格证明；</w:t>
            </w:r>
          </w:p>
          <w:p>
            <w:pPr>
              <w:pStyle w:val="62"/>
              <w:spacing w:line="343" w:lineRule="auto"/>
              <w:ind w:left="108" w:right="93" w:firstLine="240"/>
              <w:jc w:val="both"/>
              <w:rPr>
                <w:b w:val="0"/>
                <w:bCs/>
                <w:sz w:val="24"/>
                <w:highlight w:val="none"/>
              </w:rPr>
            </w:pPr>
            <w:r>
              <w:rPr>
                <w:rFonts w:ascii="Times New Roman" w:eastAsia="Times New Roman"/>
                <w:b w:val="0"/>
                <w:bCs/>
                <w:sz w:val="24"/>
                <w:highlight w:val="none"/>
              </w:rPr>
              <w:t>6</w:t>
            </w:r>
            <w:r>
              <w:rPr>
                <w:b w:val="0"/>
                <w:bCs/>
                <w:spacing w:val="-11"/>
                <w:sz w:val="24"/>
                <w:highlight w:val="none"/>
              </w:rPr>
              <w:t>、采购食品、食品添加剂、食品相关产品的，应留存每笔购</w:t>
            </w:r>
            <w:r>
              <w:rPr>
                <w:b w:val="0"/>
                <w:bCs/>
                <w:sz w:val="24"/>
                <w:highlight w:val="none"/>
              </w:rPr>
              <w:t>物或送货凭证。</w:t>
            </w:r>
          </w:p>
          <w:p>
            <w:pPr>
              <w:pStyle w:val="62"/>
              <w:spacing w:line="306" w:lineRule="exact"/>
              <w:ind w:left="348"/>
              <w:jc w:val="both"/>
              <w:rPr>
                <w:b w:val="0"/>
                <w:bCs/>
                <w:sz w:val="24"/>
                <w:highlight w:val="none"/>
              </w:rPr>
            </w:pPr>
            <w:r>
              <w:rPr>
                <w:b w:val="0"/>
                <w:bCs/>
                <w:sz w:val="24"/>
                <w:highlight w:val="none"/>
              </w:rPr>
              <w:t>入库查验：</w:t>
            </w:r>
          </w:p>
          <w:p>
            <w:pPr>
              <w:pStyle w:val="62"/>
              <w:spacing w:before="130"/>
              <w:ind w:left="348"/>
              <w:jc w:val="both"/>
              <w:rPr>
                <w:b w:val="0"/>
                <w:bCs/>
                <w:sz w:val="24"/>
                <w:highlight w:val="none"/>
              </w:rPr>
            </w:pPr>
            <w:r>
              <w:rPr>
                <w:rFonts w:ascii="Times New Roman" w:eastAsia="Times New Roman"/>
                <w:b w:val="0"/>
                <w:bCs/>
                <w:sz w:val="24"/>
                <w:highlight w:val="none"/>
              </w:rPr>
              <w:t>1</w:t>
            </w:r>
            <w:r>
              <w:rPr>
                <w:b w:val="0"/>
                <w:bCs/>
                <w:sz w:val="24"/>
                <w:highlight w:val="none"/>
              </w:rPr>
              <w:t>、外观查验</w:t>
            </w:r>
          </w:p>
          <w:p>
            <w:pPr>
              <w:pStyle w:val="62"/>
              <w:spacing w:before="132" w:line="343" w:lineRule="auto"/>
              <w:ind w:left="108" w:right="17" w:firstLine="240"/>
              <w:jc w:val="both"/>
              <w:rPr>
                <w:b w:val="0"/>
                <w:bCs/>
                <w:sz w:val="24"/>
                <w:highlight w:val="none"/>
              </w:rPr>
            </w:pPr>
            <w:r>
              <w:rPr>
                <w:b w:val="0"/>
                <w:bCs/>
                <w:sz w:val="24"/>
                <w:highlight w:val="none"/>
              </w:rPr>
              <w:t>（</w:t>
            </w:r>
            <w:r>
              <w:rPr>
                <w:rFonts w:ascii="Times New Roman" w:eastAsia="Times New Roman"/>
                <w:b w:val="0"/>
                <w:bCs/>
                <w:sz w:val="24"/>
                <w:highlight w:val="none"/>
              </w:rPr>
              <w:t>1</w:t>
            </w:r>
            <w:r>
              <w:rPr>
                <w:b w:val="0"/>
                <w:bCs/>
                <w:sz w:val="24"/>
                <w:highlight w:val="none"/>
              </w:rPr>
              <w:t>）预包装食品的包装完整、清洁、无破损，标识与内容物一致。预包装食品的包装上应当有标签，标签应当标明：</w:t>
            </w:r>
          </w:p>
          <w:p>
            <w:pPr>
              <w:pStyle w:val="62"/>
              <w:spacing w:before="1" w:line="343" w:lineRule="auto"/>
              <w:ind w:left="348" w:right="2527"/>
              <w:jc w:val="both"/>
              <w:rPr>
                <w:b w:val="0"/>
                <w:bCs/>
                <w:sz w:val="24"/>
                <w:highlight w:val="none"/>
              </w:rPr>
            </w:pPr>
            <w:r>
              <w:rPr>
                <w:rFonts w:ascii="Times New Roman" w:eastAsia="Times New Roman"/>
                <w:b w:val="0"/>
                <w:bCs/>
                <w:sz w:val="24"/>
                <w:highlight w:val="none"/>
              </w:rPr>
              <w:t>A.</w:t>
            </w:r>
            <w:r>
              <w:rPr>
                <w:b w:val="0"/>
                <w:bCs/>
                <w:sz w:val="24"/>
                <w:highlight w:val="none"/>
              </w:rPr>
              <w:t xml:space="preserve">名称、规格、净含量、生产日期； </w:t>
            </w:r>
            <w:r>
              <w:rPr>
                <w:rFonts w:ascii="Times New Roman" w:eastAsia="Times New Roman"/>
                <w:b w:val="0"/>
                <w:bCs/>
                <w:sz w:val="24"/>
                <w:highlight w:val="none"/>
              </w:rPr>
              <w:t>B.</w:t>
            </w:r>
            <w:r>
              <w:rPr>
                <w:b w:val="0"/>
                <w:bCs/>
                <w:sz w:val="24"/>
                <w:highlight w:val="none"/>
              </w:rPr>
              <w:t>成分或者配料表；</w:t>
            </w:r>
          </w:p>
          <w:p>
            <w:pPr>
              <w:pStyle w:val="62"/>
              <w:spacing w:line="345" w:lineRule="auto"/>
              <w:ind w:left="348" w:right="2540"/>
              <w:jc w:val="both"/>
              <w:rPr>
                <w:b w:val="0"/>
                <w:bCs/>
                <w:sz w:val="24"/>
                <w:highlight w:val="none"/>
              </w:rPr>
            </w:pPr>
            <w:r>
              <w:rPr>
                <w:rFonts w:ascii="Times New Roman" w:eastAsia="Times New Roman"/>
                <w:b w:val="0"/>
                <w:bCs/>
                <w:sz w:val="24"/>
                <w:highlight w:val="none"/>
              </w:rPr>
              <w:t>C.</w:t>
            </w:r>
            <w:r>
              <w:rPr>
                <w:b w:val="0"/>
                <w:bCs/>
                <w:sz w:val="24"/>
                <w:highlight w:val="none"/>
              </w:rPr>
              <w:t xml:space="preserve">生产者的名称、地址、联系方式； </w:t>
            </w:r>
            <w:r>
              <w:rPr>
                <w:rFonts w:ascii="Times New Roman" w:eastAsia="Times New Roman"/>
                <w:b w:val="0"/>
                <w:bCs/>
                <w:sz w:val="24"/>
                <w:highlight w:val="none"/>
              </w:rPr>
              <w:t>D.</w:t>
            </w:r>
            <w:r>
              <w:rPr>
                <w:b w:val="0"/>
                <w:bCs/>
                <w:sz w:val="24"/>
                <w:highlight w:val="none"/>
              </w:rPr>
              <w:t>保质期；</w:t>
            </w:r>
          </w:p>
          <w:p>
            <w:pPr>
              <w:pStyle w:val="62"/>
              <w:spacing w:line="343" w:lineRule="auto"/>
              <w:ind w:left="348" w:right="4474"/>
              <w:jc w:val="both"/>
              <w:rPr>
                <w:b w:val="0"/>
                <w:bCs/>
                <w:sz w:val="24"/>
                <w:highlight w:val="none"/>
              </w:rPr>
            </w:pPr>
            <w:r>
              <w:rPr>
                <w:rFonts w:ascii="Times New Roman" w:eastAsia="Times New Roman"/>
                <w:b w:val="0"/>
                <w:bCs/>
                <w:sz w:val="24"/>
                <w:highlight w:val="none"/>
              </w:rPr>
              <w:t>E.</w:t>
            </w:r>
            <w:r>
              <w:rPr>
                <w:b w:val="0"/>
                <w:bCs/>
                <w:sz w:val="24"/>
                <w:highlight w:val="none"/>
              </w:rPr>
              <w:t xml:space="preserve">产品标准代号； </w:t>
            </w:r>
            <w:r>
              <w:rPr>
                <w:rFonts w:ascii="Times New Roman" w:eastAsia="Times New Roman"/>
                <w:b w:val="0"/>
                <w:bCs/>
                <w:sz w:val="24"/>
                <w:highlight w:val="none"/>
              </w:rPr>
              <w:t>F.</w:t>
            </w:r>
            <w:r>
              <w:rPr>
                <w:b w:val="0"/>
                <w:bCs/>
                <w:sz w:val="24"/>
                <w:highlight w:val="none"/>
              </w:rPr>
              <w:t>贮存条件；</w:t>
            </w:r>
          </w:p>
          <w:p>
            <w:pPr>
              <w:pStyle w:val="62"/>
              <w:spacing w:line="343" w:lineRule="auto"/>
              <w:ind w:left="348" w:right="1106"/>
              <w:jc w:val="both"/>
              <w:rPr>
                <w:b w:val="0"/>
                <w:bCs/>
                <w:sz w:val="24"/>
                <w:highlight w:val="none"/>
              </w:rPr>
            </w:pPr>
            <w:r>
              <w:rPr>
                <w:rFonts w:ascii="Times New Roman" w:eastAsia="Times New Roman"/>
                <w:b w:val="0"/>
                <w:bCs/>
                <w:sz w:val="24"/>
                <w:highlight w:val="none"/>
              </w:rPr>
              <w:t>G.</w:t>
            </w:r>
            <w:r>
              <w:rPr>
                <w:b w:val="0"/>
                <w:bCs/>
                <w:sz w:val="24"/>
                <w:highlight w:val="none"/>
              </w:rPr>
              <w:t xml:space="preserve">所使用的食品添加剂在国家标准中的通用名称； </w:t>
            </w:r>
            <w:r>
              <w:rPr>
                <w:rFonts w:ascii="Times New Roman" w:eastAsia="Times New Roman"/>
                <w:b w:val="0"/>
                <w:bCs/>
                <w:sz w:val="24"/>
                <w:highlight w:val="none"/>
              </w:rPr>
              <w:t>H.</w:t>
            </w:r>
            <w:r>
              <w:rPr>
                <w:b w:val="0"/>
                <w:bCs/>
                <w:sz w:val="24"/>
                <w:highlight w:val="none"/>
              </w:rPr>
              <w:t>生产许可证编号。</w:t>
            </w:r>
          </w:p>
          <w:p>
            <w:pPr>
              <w:pStyle w:val="62"/>
              <w:numPr>
                <w:ilvl w:val="0"/>
                <w:numId w:val="4"/>
              </w:numPr>
              <w:tabs>
                <w:tab w:val="left" w:pos="950"/>
              </w:tabs>
              <w:spacing w:line="306" w:lineRule="exact"/>
              <w:ind w:hanging="602"/>
              <w:jc w:val="both"/>
              <w:rPr>
                <w:b w:val="0"/>
                <w:bCs/>
                <w:sz w:val="24"/>
                <w:highlight w:val="none"/>
              </w:rPr>
            </w:pPr>
            <w:r>
              <w:rPr>
                <w:b w:val="0"/>
                <w:bCs/>
                <w:sz w:val="24"/>
                <w:highlight w:val="none"/>
              </w:rPr>
              <w:t>冷冻食品无解冻后再次冷冻情形；</w:t>
            </w:r>
          </w:p>
          <w:p>
            <w:pPr>
              <w:pStyle w:val="62"/>
              <w:numPr>
                <w:ilvl w:val="0"/>
                <w:numId w:val="4"/>
              </w:numPr>
              <w:tabs>
                <w:tab w:val="left" w:pos="950"/>
              </w:tabs>
              <w:spacing w:before="130"/>
              <w:ind w:hanging="602"/>
              <w:jc w:val="both"/>
              <w:rPr>
                <w:b w:val="0"/>
                <w:bCs/>
                <w:sz w:val="24"/>
                <w:highlight w:val="none"/>
              </w:rPr>
            </w:pPr>
            <w:r>
              <w:rPr>
                <w:b w:val="0"/>
                <w:bCs/>
                <w:sz w:val="24"/>
                <w:highlight w:val="none"/>
              </w:rPr>
              <w:t>具有正常的感官性状；</w:t>
            </w:r>
          </w:p>
          <w:p>
            <w:pPr>
              <w:pStyle w:val="62"/>
              <w:numPr>
                <w:ilvl w:val="0"/>
                <w:numId w:val="4"/>
              </w:numPr>
              <w:tabs>
                <w:tab w:val="left" w:pos="950"/>
              </w:tabs>
              <w:spacing w:before="131"/>
              <w:ind w:hanging="602"/>
              <w:jc w:val="both"/>
              <w:rPr>
                <w:b w:val="0"/>
                <w:bCs/>
                <w:sz w:val="24"/>
                <w:highlight w:val="none"/>
              </w:rPr>
            </w:pPr>
            <w:r>
              <w:rPr>
                <w:b w:val="0"/>
                <w:bCs/>
                <w:sz w:val="24"/>
                <w:highlight w:val="none"/>
              </w:rPr>
              <w:t>食品在保质期内；</w:t>
            </w:r>
          </w:p>
          <w:p>
            <w:pPr>
              <w:pStyle w:val="62"/>
              <w:spacing w:before="112"/>
              <w:ind w:left="108"/>
              <w:jc w:val="both"/>
              <w:rPr>
                <w:sz w:val="24"/>
                <w:highlight w:val="none"/>
                <w:lang w:val="zh-CN" w:eastAsia="zh-CN"/>
              </w:rPr>
            </w:pPr>
            <w:r>
              <w:rPr>
                <w:rFonts w:ascii="Times New Roman" w:eastAsia="Times New Roman"/>
                <w:b w:val="0"/>
                <w:bCs/>
                <w:sz w:val="24"/>
                <w:highlight w:val="none"/>
              </w:rPr>
              <w:t>2</w:t>
            </w:r>
            <w:r>
              <w:rPr>
                <w:b w:val="0"/>
                <w:bCs/>
                <w:sz w:val="24"/>
                <w:highlight w:val="none"/>
              </w:rPr>
              <w:t>、温度查验。查验期间，尽可能减少食品的温度变化。冷藏</w:t>
            </w:r>
            <w:r>
              <w:rPr>
                <w:sz w:val="24"/>
                <w:highlight w:val="none"/>
              </w:rPr>
              <w:t>食品表面温度与标签标识的温度要求不得超过</w:t>
            </w:r>
            <w:r>
              <w:rPr>
                <w:rFonts w:ascii="Times New Roman" w:hAnsi="Times New Roman" w:eastAsia="Times New Roman"/>
                <w:sz w:val="24"/>
                <w:highlight w:val="none"/>
              </w:rPr>
              <w:t>+3℃</w:t>
            </w:r>
            <w:r>
              <w:rPr>
                <w:sz w:val="24"/>
                <w:highlight w:val="none"/>
              </w:rPr>
              <w:t>，冷冻食品表面温度不宜高于－</w:t>
            </w:r>
            <w:r>
              <w:rPr>
                <w:rFonts w:ascii="Times New Roman" w:hAnsi="Times New Roman" w:eastAsia="Times New Roman"/>
                <w:sz w:val="24"/>
                <w:highlight w:val="none"/>
              </w:rPr>
              <w:t>9℃</w:t>
            </w:r>
            <w:r>
              <w:rPr>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bottom w:val="single" w:color="auto" w:sz="4" w:space="0"/>
              <w:right w:val="single" w:color="auto" w:sz="4" w:space="0"/>
            </w:tcBorders>
            <w:noWrap w:val="0"/>
            <w:vAlign w:val="top"/>
          </w:tcPr>
          <w:p>
            <w:pPr>
              <w:rPr>
                <w:b w:val="0"/>
                <w:bCs/>
                <w:sz w:val="2"/>
                <w:szCs w:val="2"/>
                <w:highlight w:val="none"/>
              </w:rPr>
            </w:pPr>
          </w:p>
        </w:tc>
        <w:tc>
          <w:tcPr>
            <w:tcW w:w="1399" w:type="dxa"/>
            <w:vMerge w:val="continue"/>
            <w:tcBorders>
              <w:left w:val="single" w:color="auto" w:sz="4" w:space="0"/>
              <w:bottom w:val="single" w:color="auto" w:sz="4" w:space="0"/>
              <w:right w:val="single" w:color="auto" w:sz="4" w:space="0"/>
            </w:tcBorders>
            <w:noWrap w:val="0"/>
            <w:vAlign w:val="top"/>
          </w:tcPr>
          <w:p>
            <w:pPr>
              <w:rPr>
                <w:b w:val="0"/>
                <w:bCs/>
                <w:sz w:val="2"/>
                <w:szCs w:val="2"/>
                <w:highlight w:val="none"/>
              </w:rPr>
            </w:pPr>
          </w:p>
        </w:tc>
        <w:tc>
          <w:tcPr>
            <w:tcW w:w="7080" w:type="dxa"/>
            <w:tcBorders>
              <w:left w:val="single" w:color="auto" w:sz="4" w:space="0"/>
            </w:tcBorders>
            <w:noWrap w:val="0"/>
            <w:vAlign w:val="top"/>
          </w:tcPr>
          <w:p>
            <w:pPr>
              <w:pStyle w:val="62"/>
              <w:spacing w:before="113" w:line="343" w:lineRule="auto"/>
              <w:ind w:left="108" w:right="-29" w:firstLine="240"/>
              <w:rPr>
                <w:sz w:val="24"/>
                <w:highlight w:val="none"/>
              </w:rPr>
            </w:pPr>
            <w:r>
              <w:rPr>
                <w:spacing w:val="-6"/>
                <w:sz w:val="24"/>
                <w:highlight w:val="none"/>
              </w:rPr>
              <w:t>落实食品进货查验和记录制度，如实记录食品的名称、规格、</w:t>
            </w:r>
            <w:r>
              <w:rPr>
                <w:sz w:val="24"/>
                <w:highlight w:val="none"/>
              </w:rPr>
              <w:t>数量、生产日期或者生产批号、保质期、进货日期以及供货者名称、地址、联系方式等内容，并保存相关凭证。记录和凭证</w:t>
            </w:r>
            <w:r>
              <w:rPr>
                <w:spacing w:val="-6"/>
                <w:sz w:val="24"/>
                <w:highlight w:val="none"/>
              </w:rPr>
              <w:t>保存期限不得少于产品保质期满后六个月；没有明确保质期的，</w:t>
            </w:r>
          </w:p>
          <w:p>
            <w:pPr>
              <w:pStyle w:val="62"/>
              <w:spacing w:before="114" w:line="304" w:lineRule="exact"/>
              <w:ind w:left="348"/>
              <w:rPr>
                <w:b w:val="0"/>
                <w:bCs/>
                <w:sz w:val="24"/>
                <w:highlight w:val="none"/>
              </w:rPr>
            </w:pPr>
            <w:r>
              <w:rPr>
                <w:spacing w:val="-9"/>
                <w:sz w:val="24"/>
                <w:highlight w:val="none"/>
              </w:rPr>
              <w:t>保存期限不得少于二年。宜采用电子方式记录和保存相关内容。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top w:val="single" w:color="auto" w:sz="4" w:space="0"/>
              <w:left w:val="single" w:color="auto" w:sz="4" w:space="0"/>
              <w:right w:val="single" w:color="auto" w:sz="4" w:space="0"/>
            </w:tcBorders>
            <w:noWrap w:val="0"/>
            <w:vAlign w:val="center"/>
          </w:tcPr>
          <w:p>
            <w:pPr>
              <w:jc w:val="center"/>
              <w:rPr>
                <w:rFonts w:hint="default" w:eastAsia="宋体"/>
                <w:sz w:val="2"/>
                <w:szCs w:val="2"/>
                <w:highlight w:val="none"/>
                <w:lang w:val="en-US" w:eastAsia="zh-CN"/>
              </w:rPr>
            </w:pPr>
            <w:r>
              <w:rPr>
                <w:rFonts w:hint="eastAsia"/>
                <w:sz w:val="24"/>
                <w:szCs w:val="22"/>
                <w:highlight w:val="none"/>
                <w:lang w:val="en-US" w:eastAsia="zh-CN"/>
              </w:rPr>
              <w:t>4</w:t>
            </w:r>
          </w:p>
        </w:tc>
        <w:tc>
          <w:tcPr>
            <w:tcW w:w="1399" w:type="dxa"/>
            <w:vMerge w:val="restart"/>
            <w:tcBorders>
              <w:top w:val="single" w:color="auto" w:sz="4" w:space="0"/>
              <w:left w:val="single" w:color="auto" w:sz="4" w:space="0"/>
              <w:right w:val="single" w:color="auto" w:sz="4" w:space="0"/>
            </w:tcBorders>
            <w:noWrap w:val="0"/>
            <w:vAlign w:val="center"/>
          </w:tcPr>
          <w:p>
            <w:pPr>
              <w:jc w:val="center"/>
              <w:rPr>
                <w:sz w:val="2"/>
                <w:szCs w:val="2"/>
                <w:highlight w:val="none"/>
              </w:rPr>
            </w:pPr>
            <w:r>
              <w:rPr>
                <w:sz w:val="24"/>
                <w:highlight w:val="none"/>
              </w:rPr>
              <w:t>原料贮存管理</w:t>
            </w:r>
          </w:p>
        </w:tc>
        <w:tc>
          <w:tcPr>
            <w:tcW w:w="7080" w:type="dxa"/>
            <w:tcBorders>
              <w:left w:val="single" w:color="auto" w:sz="4" w:space="0"/>
            </w:tcBorders>
            <w:noWrap w:val="0"/>
            <w:vAlign w:val="top"/>
          </w:tcPr>
          <w:p>
            <w:pPr>
              <w:pStyle w:val="62"/>
              <w:spacing w:before="1" w:line="440" w:lineRule="exact"/>
              <w:ind w:left="108" w:leftChars="0" w:right="17" w:rightChars="0" w:firstLine="240" w:firstLineChars="0"/>
              <w:rPr>
                <w:rFonts w:ascii="宋体" w:hAnsi="宋体" w:eastAsia="宋体" w:cs="宋体"/>
                <w:sz w:val="24"/>
                <w:highlight w:val="none"/>
                <w:lang w:val="zh-CN" w:eastAsia="zh-CN" w:bidi="zh-CN"/>
              </w:rPr>
            </w:pPr>
            <w:r>
              <w:rPr>
                <w:sz w:val="24"/>
                <w:highlight w:val="none"/>
              </w:rPr>
              <w:t>分区、分架、分类、离墙（</w:t>
            </w:r>
            <w:r>
              <w:rPr>
                <w:rFonts w:ascii="Times New Roman" w:eastAsia="Times New Roman"/>
                <w:sz w:val="24"/>
                <w:highlight w:val="none"/>
              </w:rPr>
              <w:t xml:space="preserve">15 </w:t>
            </w:r>
            <w:r>
              <w:rPr>
                <w:sz w:val="24"/>
                <w:highlight w:val="none"/>
              </w:rPr>
              <w:t>厘米）、离地（</w:t>
            </w:r>
            <w:r>
              <w:rPr>
                <w:rFonts w:ascii="Times New Roman" w:eastAsia="Times New Roman"/>
                <w:sz w:val="24"/>
                <w:highlight w:val="none"/>
              </w:rPr>
              <w:t xml:space="preserve">15 </w:t>
            </w:r>
            <w:r>
              <w:rPr>
                <w:sz w:val="24"/>
                <w:highlight w:val="none"/>
              </w:rPr>
              <w:t>厘米）存放食品。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7080" w:type="dxa"/>
            <w:tcBorders>
              <w:left w:val="single" w:color="auto" w:sz="4" w:space="0"/>
            </w:tcBorders>
            <w:noWrap w:val="0"/>
            <w:vAlign w:val="top"/>
          </w:tcPr>
          <w:p>
            <w:pPr>
              <w:pStyle w:val="62"/>
              <w:spacing w:before="1" w:line="440" w:lineRule="exact"/>
              <w:ind w:left="108" w:leftChars="0" w:right="95" w:rightChars="0" w:firstLine="240" w:firstLineChars="0"/>
              <w:rPr>
                <w:rFonts w:ascii="宋体" w:hAnsi="宋体" w:eastAsia="宋体" w:cs="宋体"/>
                <w:sz w:val="24"/>
                <w:highlight w:val="none"/>
                <w:lang w:val="zh-CN" w:eastAsia="zh-CN" w:bidi="zh-CN"/>
              </w:rPr>
            </w:pPr>
            <w:r>
              <w:rPr>
                <w:spacing w:val="-2"/>
                <w:sz w:val="24"/>
                <w:highlight w:val="none"/>
              </w:rPr>
              <w:t>有明确保存条件和保质期的，按照保存条件和保质期贮存</w:t>
            </w:r>
            <w:r>
              <w:rPr>
                <w:rFonts w:ascii="Times New Roman" w:eastAsia="Times New Roman"/>
                <w:sz w:val="24"/>
                <w:highlight w:val="none"/>
              </w:rPr>
              <w:t>;</w:t>
            </w:r>
            <w:r>
              <w:rPr>
                <w:spacing w:val="-17"/>
                <w:sz w:val="24"/>
                <w:highlight w:val="none"/>
              </w:rPr>
              <w:t>保</w:t>
            </w:r>
            <w:r>
              <w:rPr>
                <w:spacing w:val="-1"/>
                <w:sz w:val="24"/>
                <w:highlight w:val="none"/>
              </w:rPr>
              <w:t>存条件、保质期不明确的及开封后的，根据食品品种、加工制</w:t>
            </w:r>
            <w:r>
              <w:rPr>
                <w:sz w:val="24"/>
                <w:highlight w:val="none"/>
              </w:rPr>
              <w:t>作方式、包装形式等针对性的确定适宜的保存条件。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7080" w:type="dxa"/>
            <w:tcBorders>
              <w:left w:val="single" w:color="auto" w:sz="4" w:space="0"/>
            </w:tcBorders>
            <w:noWrap w:val="0"/>
            <w:vAlign w:val="top"/>
          </w:tcPr>
          <w:p>
            <w:pPr>
              <w:pStyle w:val="62"/>
              <w:spacing w:before="111" w:line="343" w:lineRule="auto"/>
              <w:ind w:left="108" w:right="95" w:firstLine="240"/>
              <w:rPr>
                <w:sz w:val="24"/>
                <w:highlight w:val="none"/>
              </w:rPr>
            </w:pPr>
            <w:r>
              <w:rPr>
                <w:sz w:val="24"/>
                <w:highlight w:val="none"/>
              </w:rPr>
              <w:t>在散装食品（食用农产品除外）贮存位置，应标明食品的名称、生产日期或者生产批号、使用期限等内容，使用密闭容器</w:t>
            </w:r>
          </w:p>
          <w:p>
            <w:pPr>
              <w:pStyle w:val="62"/>
              <w:spacing w:before="1" w:line="306" w:lineRule="exact"/>
              <w:ind w:left="108" w:leftChars="0"/>
              <w:rPr>
                <w:rFonts w:ascii="宋体" w:hAnsi="宋体" w:eastAsia="宋体" w:cs="宋体"/>
                <w:sz w:val="24"/>
                <w:highlight w:val="none"/>
                <w:lang w:val="zh-CN" w:eastAsia="zh-CN" w:bidi="zh-CN"/>
              </w:rPr>
            </w:pPr>
            <w:r>
              <w:rPr>
                <w:sz w:val="24"/>
                <w:highlight w:val="none"/>
              </w:rPr>
              <w:t>贮存。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7080" w:type="dxa"/>
            <w:tcBorders>
              <w:left w:val="single" w:color="auto" w:sz="4" w:space="0"/>
            </w:tcBorders>
            <w:noWrap w:val="0"/>
            <w:vAlign w:val="top"/>
          </w:tcPr>
          <w:p>
            <w:pPr>
              <w:pStyle w:val="62"/>
              <w:spacing w:before="113" w:line="343" w:lineRule="auto"/>
              <w:ind w:left="108" w:right="-29" w:firstLine="240"/>
              <w:rPr>
                <w:sz w:val="24"/>
                <w:highlight w:val="none"/>
              </w:rPr>
            </w:pPr>
            <w:r>
              <w:rPr>
                <w:spacing w:val="-8"/>
                <w:sz w:val="24"/>
                <w:highlight w:val="none"/>
              </w:rPr>
              <w:t>冷冻贮存食品前，宜分割食品，避免使用时反复解冻、冷冻。</w:t>
            </w:r>
            <w:r>
              <w:rPr>
                <w:sz w:val="24"/>
                <w:highlight w:val="none"/>
              </w:rPr>
              <w:t>冷冻（藏）贮存食品时，不宜堆积、挤压食品。冷藏环境温度</w:t>
            </w:r>
          </w:p>
          <w:p>
            <w:pPr>
              <w:pStyle w:val="62"/>
              <w:spacing w:before="1" w:line="306" w:lineRule="exact"/>
              <w:ind w:left="108" w:leftChars="0"/>
              <w:rPr>
                <w:rFonts w:ascii="宋体" w:hAnsi="宋体" w:eastAsia="宋体" w:cs="宋体"/>
                <w:sz w:val="24"/>
                <w:highlight w:val="none"/>
                <w:lang w:val="zh-CN" w:eastAsia="zh-CN" w:bidi="zh-CN"/>
              </w:rPr>
            </w:pPr>
            <w:r>
              <w:rPr>
                <w:sz w:val="24"/>
                <w:highlight w:val="none"/>
              </w:rPr>
              <w:t xml:space="preserve">的范围应在 </w:t>
            </w:r>
            <w:r>
              <w:rPr>
                <w:rFonts w:ascii="Times New Roman" w:hAnsi="Times New Roman" w:eastAsia="Times New Roman"/>
                <w:sz w:val="24"/>
                <w:highlight w:val="none"/>
              </w:rPr>
              <w:t>0℃</w:t>
            </w:r>
            <w:r>
              <w:rPr>
                <w:sz w:val="24"/>
                <w:highlight w:val="none"/>
              </w:rPr>
              <w:t>～</w:t>
            </w:r>
            <w:r>
              <w:rPr>
                <w:rFonts w:ascii="Times New Roman" w:hAnsi="Times New Roman" w:eastAsia="Times New Roman"/>
                <w:sz w:val="24"/>
                <w:highlight w:val="none"/>
              </w:rPr>
              <w:t>8℃</w:t>
            </w:r>
            <w:r>
              <w:rPr>
                <w:sz w:val="24"/>
                <w:highlight w:val="none"/>
              </w:rPr>
              <w:t>。冷冻温度的范围宜低于－</w:t>
            </w:r>
            <w:r>
              <w:rPr>
                <w:rFonts w:ascii="Times New Roman" w:hAnsi="Times New Roman" w:eastAsia="Times New Roman"/>
                <w:sz w:val="24"/>
                <w:highlight w:val="none"/>
              </w:rPr>
              <w:t>12℃</w:t>
            </w:r>
            <w:r>
              <w:rPr>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7080" w:type="dxa"/>
            <w:tcBorders>
              <w:left w:val="single" w:color="auto" w:sz="4" w:space="0"/>
            </w:tcBorders>
            <w:noWrap w:val="0"/>
            <w:vAlign w:val="top"/>
          </w:tcPr>
          <w:p>
            <w:pPr>
              <w:pStyle w:val="62"/>
              <w:spacing w:before="71" w:line="440" w:lineRule="atLeast"/>
              <w:ind w:left="108" w:leftChars="0" w:right="-29" w:rightChars="0" w:firstLine="240" w:firstLineChars="0"/>
              <w:rPr>
                <w:rFonts w:ascii="宋体" w:hAnsi="宋体" w:eastAsia="宋体" w:cs="宋体"/>
                <w:sz w:val="24"/>
                <w:highlight w:val="none"/>
                <w:lang w:val="zh-CN" w:eastAsia="zh-CN" w:bidi="zh-CN"/>
              </w:rPr>
            </w:pPr>
            <w:r>
              <w:rPr>
                <w:sz w:val="24"/>
                <w:highlight w:val="none"/>
              </w:rPr>
              <w:t>定期检查食品库房或食品贮存区域、固定设施设备背面及其</w:t>
            </w:r>
            <w:r>
              <w:rPr>
                <w:spacing w:val="-9"/>
                <w:sz w:val="24"/>
                <w:highlight w:val="none"/>
              </w:rPr>
              <w:t xml:space="preserve">他阴暗、潮湿区域是否存在有害生物活动迹象。发现有害生物， </w:t>
            </w:r>
            <w:r>
              <w:rPr>
                <w:sz w:val="24"/>
                <w:highlight w:val="none"/>
              </w:rPr>
              <w:t>应尽快将其杀灭，并查找和消除其来源途径。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7080" w:type="dxa"/>
            <w:tcBorders>
              <w:left w:val="single" w:color="auto" w:sz="4" w:space="0"/>
            </w:tcBorders>
            <w:noWrap w:val="0"/>
            <w:vAlign w:val="top"/>
          </w:tcPr>
          <w:p>
            <w:pPr>
              <w:pStyle w:val="62"/>
              <w:spacing w:before="99" w:line="440" w:lineRule="atLeast"/>
              <w:ind w:left="108" w:leftChars="0" w:right="-29" w:rightChars="0" w:firstLine="240" w:firstLineChars="0"/>
              <w:rPr>
                <w:rFonts w:ascii="宋体" w:hAnsi="宋体" w:eastAsia="宋体" w:cs="宋体"/>
                <w:sz w:val="24"/>
                <w:highlight w:val="none"/>
                <w:lang w:val="zh-CN" w:eastAsia="zh-CN" w:bidi="zh-CN"/>
              </w:rPr>
            </w:pPr>
            <w:r>
              <w:rPr>
                <w:spacing w:val="-9"/>
                <w:sz w:val="24"/>
                <w:highlight w:val="none"/>
              </w:rPr>
              <w:t>遵循先进、先出、先用的原则，使用食品原料、食品添加剂、</w:t>
            </w:r>
            <w:r>
              <w:rPr>
                <w:sz w:val="24"/>
                <w:highlight w:val="none"/>
              </w:rPr>
              <w:t>食品相关产品。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highlight w:val="none"/>
              </w:rPr>
            </w:pPr>
          </w:p>
          <w:p>
            <w:pPr>
              <w:pStyle w:val="8"/>
              <w:rPr>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2" w:line="343" w:lineRule="auto"/>
              <w:ind w:left="108" w:right="95" w:firstLine="240"/>
              <w:rPr>
                <w:rFonts w:ascii="宋体" w:hAnsi="宋体" w:eastAsia="宋体" w:cs="宋体"/>
                <w:sz w:val="24"/>
                <w:highlight w:val="none"/>
                <w:lang w:val="zh-CN" w:eastAsia="zh-CN" w:bidi="zh-CN"/>
              </w:rPr>
            </w:pPr>
            <w:r>
              <w:rPr>
                <w:sz w:val="24"/>
                <w:highlight w:val="none"/>
              </w:rPr>
              <w:t>及时清理腐败变质等感官性状异常、超过保质期等的食品原料、食品添加剂、食品相关产品。对变质、超过保质期或者回收的食品进行显著标示或者单独存放在有明确标志的场所，及时采取无害化处理、销毁等措施并如实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center"/>
          </w:tcPr>
          <w:p>
            <w:pPr>
              <w:pStyle w:val="8"/>
              <w:jc w:val="center"/>
              <w:rPr>
                <w:highlight w:val="none"/>
              </w:rPr>
            </w:pPr>
            <w:r>
              <w:rPr>
                <w:rFonts w:ascii="Times New Roman"/>
                <w:sz w:val="24"/>
                <w:highlight w:val="none"/>
              </w:rPr>
              <w:t>5</w:t>
            </w:r>
          </w:p>
        </w:tc>
        <w:tc>
          <w:tcPr>
            <w:tcW w:w="1399" w:type="dxa"/>
            <w:vMerge w:val="restart"/>
            <w:tcBorders>
              <w:left w:val="single" w:color="auto" w:sz="4" w:space="0"/>
              <w:right w:val="single" w:color="auto" w:sz="4" w:space="0"/>
            </w:tcBorders>
            <w:noWrap w:val="0"/>
            <w:vAlign w:val="center"/>
          </w:tcPr>
          <w:p>
            <w:pPr>
              <w:jc w:val="center"/>
              <w:rPr>
                <w:sz w:val="2"/>
                <w:szCs w:val="2"/>
                <w:highlight w:val="none"/>
              </w:rPr>
            </w:pPr>
            <w:r>
              <w:rPr>
                <w:sz w:val="24"/>
                <w:highlight w:val="none"/>
              </w:rPr>
              <w:t>加工制作基本要求</w:t>
            </w:r>
          </w:p>
        </w:tc>
        <w:tc>
          <w:tcPr>
            <w:tcW w:w="0" w:type="auto"/>
            <w:noWrap w:val="0"/>
            <w:vAlign w:val="top"/>
          </w:tcPr>
          <w:p>
            <w:pPr>
              <w:pStyle w:val="62"/>
              <w:spacing w:before="1"/>
              <w:ind w:left="108" w:leftChars="0"/>
              <w:rPr>
                <w:sz w:val="24"/>
                <w:highlight w:val="none"/>
              </w:rPr>
            </w:pPr>
            <w:r>
              <w:rPr>
                <w:sz w:val="24"/>
                <w:highlight w:val="none"/>
              </w:rPr>
              <w:t>严禁加工制作国家法律法规明令禁止的食品及原料。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pStyle w:val="8"/>
              <w:rPr>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4"/>
              <w:ind w:left="348"/>
              <w:rPr>
                <w:sz w:val="24"/>
                <w:highlight w:val="none"/>
              </w:rPr>
            </w:pPr>
            <w:r>
              <w:rPr>
                <w:sz w:val="24"/>
                <w:highlight w:val="none"/>
              </w:rPr>
              <w:t>加工制作食品过程中，采取下列措施，避免食品交叉污染：</w:t>
            </w:r>
          </w:p>
          <w:p>
            <w:pPr>
              <w:pStyle w:val="62"/>
              <w:spacing w:before="112" w:line="345" w:lineRule="auto"/>
              <w:ind w:left="108" w:right="95"/>
              <w:rPr>
                <w:sz w:val="24"/>
                <w:highlight w:val="none"/>
              </w:rPr>
            </w:pPr>
            <w:r>
              <w:rPr>
                <w:rFonts w:ascii="Times New Roman" w:eastAsia="Times New Roman"/>
                <w:sz w:val="24"/>
                <w:highlight w:val="none"/>
              </w:rPr>
              <w:t>1</w:t>
            </w:r>
            <w:r>
              <w:rPr>
                <w:spacing w:val="-8"/>
                <w:sz w:val="24"/>
                <w:highlight w:val="none"/>
              </w:rPr>
              <w:t>、不同类型的食品原料、不同存在形式的食品</w:t>
            </w:r>
            <w:r>
              <w:rPr>
                <w:sz w:val="24"/>
                <w:highlight w:val="none"/>
              </w:rPr>
              <w:t>（</w:t>
            </w:r>
            <w:r>
              <w:rPr>
                <w:spacing w:val="-5"/>
                <w:sz w:val="24"/>
                <w:highlight w:val="none"/>
              </w:rPr>
              <w:t>原料、半成</w:t>
            </w:r>
            <w:r>
              <w:rPr>
                <w:sz w:val="24"/>
                <w:highlight w:val="none"/>
              </w:rPr>
              <w:t>品、成品，下同）分开存放，其盛放容器和加工制作工具分类管理、分开使用，定位存放；</w:t>
            </w:r>
          </w:p>
          <w:p>
            <w:pPr>
              <w:pStyle w:val="62"/>
              <w:spacing w:line="343" w:lineRule="auto"/>
              <w:ind w:left="108" w:right="95" w:firstLine="240"/>
              <w:rPr>
                <w:sz w:val="24"/>
                <w:highlight w:val="none"/>
              </w:rPr>
            </w:pPr>
            <w:r>
              <w:rPr>
                <w:rFonts w:ascii="Times New Roman" w:eastAsia="Times New Roman"/>
                <w:sz w:val="24"/>
                <w:highlight w:val="none"/>
              </w:rPr>
              <w:t>2</w:t>
            </w:r>
            <w:r>
              <w:rPr>
                <w:spacing w:val="-10"/>
                <w:sz w:val="24"/>
                <w:highlight w:val="none"/>
              </w:rPr>
              <w:t>、接触食品的容器和工具不得直接放置在地面上或者接触不</w:t>
            </w:r>
            <w:r>
              <w:rPr>
                <w:sz w:val="24"/>
                <w:highlight w:val="none"/>
              </w:rPr>
              <w:t>洁物；</w:t>
            </w:r>
          </w:p>
          <w:p>
            <w:pPr>
              <w:pStyle w:val="62"/>
              <w:ind w:left="348"/>
              <w:rPr>
                <w:sz w:val="24"/>
                <w:highlight w:val="none"/>
              </w:rPr>
            </w:pPr>
            <w:r>
              <w:rPr>
                <w:rFonts w:ascii="Times New Roman" w:eastAsia="Times New Roman"/>
                <w:sz w:val="24"/>
                <w:highlight w:val="none"/>
              </w:rPr>
              <w:t>3</w:t>
            </w:r>
            <w:r>
              <w:rPr>
                <w:sz w:val="24"/>
                <w:highlight w:val="none"/>
              </w:rPr>
              <w:t>、食品处理区内不得从事可能污染食品的活动；</w:t>
            </w:r>
          </w:p>
          <w:p>
            <w:pPr>
              <w:pStyle w:val="62"/>
              <w:spacing w:before="1"/>
              <w:ind w:left="108" w:leftChars="0"/>
              <w:rPr>
                <w:sz w:val="24"/>
                <w:highlight w:val="none"/>
              </w:rPr>
            </w:pPr>
            <w:r>
              <w:rPr>
                <w:rFonts w:ascii="Times New Roman" w:eastAsia="Times New Roman"/>
                <w:sz w:val="24"/>
                <w:highlight w:val="none"/>
              </w:rPr>
              <w:t>4</w:t>
            </w:r>
            <w:r>
              <w:rPr>
                <w:sz w:val="24"/>
                <w:highlight w:val="none"/>
              </w:rPr>
              <w:t>、不得在辅助区（如更衣区等）内加工制作食品、清洗消毒餐饮具。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pStyle w:val="8"/>
              <w:rPr>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4"/>
              <w:ind w:left="348"/>
              <w:rPr>
                <w:sz w:val="24"/>
                <w:highlight w:val="none"/>
              </w:rPr>
            </w:pPr>
            <w:r>
              <w:rPr>
                <w:sz w:val="24"/>
                <w:highlight w:val="none"/>
              </w:rPr>
              <w:t>加工制作食品过程中，不得存在下列行为：</w:t>
            </w:r>
          </w:p>
          <w:p>
            <w:pPr>
              <w:pStyle w:val="62"/>
              <w:spacing w:before="131"/>
              <w:ind w:left="348"/>
              <w:rPr>
                <w:sz w:val="24"/>
                <w:highlight w:val="none"/>
              </w:rPr>
            </w:pPr>
            <w:r>
              <w:rPr>
                <w:rFonts w:ascii="Times New Roman" w:eastAsia="Times New Roman"/>
                <w:sz w:val="24"/>
                <w:highlight w:val="none"/>
              </w:rPr>
              <w:t>1</w:t>
            </w:r>
            <w:r>
              <w:rPr>
                <w:sz w:val="24"/>
                <w:highlight w:val="none"/>
              </w:rPr>
              <w:t>、使用非食品原料加工制作食品；</w:t>
            </w:r>
          </w:p>
          <w:p>
            <w:pPr>
              <w:pStyle w:val="62"/>
              <w:spacing w:before="132" w:line="345" w:lineRule="auto"/>
              <w:ind w:left="108" w:right="95" w:firstLine="240"/>
              <w:rPr>
                <w:sz w:val="24"/>
                <w:highlight w:val="none"/>
              </w:rPr>
            </w:pPr>
            <w:r>
              <w:rPr>
                <w:rFonts w:ascii="Times New Roman" w:eastAsia="Times New Roman"/>
                <w:sz w:val="24"/>
                <w:highlight w:val="none"/>
              </w:rPr>
              <w:t>2</w:t>
            </w:r>
            <w:r>
              <w:rPr>
                <w:spacing w:val="-10"/>
                <w:sz w:val="24"/>
                <w:highlight w:val="none"/>
              </w:rPr>
              <w:t>、在食品中添加食品添加剂以外的化学物质和其他可能危害</w:t>
            </w:r>
            <w:r>
              <w:rPr>
                <w:sz w:val="24"/>
                <w:highlight w:val="none"/>
              </w:rPr>
              <w:t>人体健康的物质；</w:t>
            </w:r>
          </w:p>
          <w:p>
            <w:pPr>
              <w:pStyle w:val="62"/>
              <w:spacing w:line="303" w:lineRule="exact"/>
              <w:ind w:left="348"/>
              <w:rPr>
                <w:sz w:val="24"/>
                <w:highlight w:val="none"/>
              </w:rPr>
            </w:pPr>
            <w:r>
              <w:rPr>
                <w:rFonts w:ascii="Times New Roman" w:eastAsia="Times New Roman"/>
                <w:sz w:val="24"/>
                <w:highlight w:val="none"/>
              </w:rPr>
              <w:t>3</w:t>
            </w:r>
            <w:r>
              <w:rPr>
                <w:sz w:val="24"/>
                <w:highlight w:val="none"/>
              </w:rPr>
              <w:t>、使用回收食品作为原料，再次加工制作食品；</w:t>
            </w:r>
          </w:p>
          <w:p>
            <w:pPr>
              <w:pStyle w:val="62"/>
              <w:spacing w:before="132"/>
              <w:ind w:left="348"/>
              <w:rPr>
                <w:sz w:val="24"/>
                <w:highlight w:val="none"/>
              </w:rPr>
            </w:pPr>
            <w:r>
              <w:rPr>
                <w:rFonts w:ascii="Times New Roman" w:eastAsia="Times New Roman"/>
                <w:sz w:val="24"/>
                <w:highlight w:val="none"/>
              </w:rPr>
              <w:t>4</w:t>
            </w:r>
            <w:r>
              <w:rPr>
                <w:sz w:val="24"/>
                <w:highlight w:val="none"/>
              </w:rPr>
              <w:t>、使用超过保质期的食品、食品添加剂；</w:t>
            </w:r>
          </w:p>
          <w:p>
            <w:pPr>
              <w:pStyle w:val="62"/>
              <w:spacing w:before="134"/>
              <w:ind w:left="348"/>
              <w:rPr>
                <w:sz w:val="24"/>
                <w:highlight w:val="none"/>
              </w:rPr>
            </w:pPr>
            <w:r>
              <w:rPr>
                <w:rFonts w:ascii="Times New Roman" w:eastAsia="Times New Roman"/>
                <w:sz w:val="24"/>
                <w:highlight w:val="none"/>
              </w:rPr>
              <w:t>5</w:t>
            </w:r>
            <w:r>
              <w:rPr>
                <w:sz w:val="24"/>
                <w:highlight w:val="none"/>
              </w:rPr>
              <w:t>、超范围、超限量使用食品添加剂；</w:t>
            </w:r>
          </w:p>
          <w:p>
            <w:pPr>
              <w:pStyle w:val="62"/>
              <w:spacing w:before="131" w:line="343" w:lineRule="auto"/>
              <w:ind w:left="108" w:right="93" w:firstLine="240"/>
              <w:rPr>
                <w:sz w:val="24"/>
                <w:highlight w:val="none"/>
              </w:rPr>
            </w:pPr>
            <w:r>
              <w:rPr>
                <w:rFonts w:ascii="Times New Roman" w:eastAsia="Times New Roman"/>
                <w:sz w:val="24"/>
                <w:highlight w:val="none"/>
              </w:rPr>
              <w:t>6</w:t>
            </w:r>
            <w:r>
              <w:rPr>
                <w:spacing w:val="-10"/>
                <w:sz w:val="24"/>
                <w:highlight w:val="none"/>
              </w:rPr>
              <w:t>、使用腐败变质、油脂酸败、霉变生虫、污秽不洁、混有异</w:t>
            </w:r>
            <w:r>
              <w:rPr>
                <w:sz w:val="24"/>
                <w:highlight w:val="none"/>
              </w:rPr>
              <w:t>物、掺假掺杂或者感官性状异常的食品、食品添加剂；</w:t>
            </w:r>
          </w:p>
          <w:p>
            <w:pPr>
              <w:pStyle w:val="62"/>
              <w:spacing w:before="2" w:line="343" w:lineRule="auto"/>
              <w:ind w:left="108" w:right="93" w:firstLine="240"/>
              <w:rPr>
                <w:sz w:val="24"/>
                <w:highlight w:val="none"/>
              </w:rPr>
            </w:pPr>
            <w:r>
              <w:rPr>
                <w:rFonts w:ascii="Times New Roman" w:eastAsia="Times New Roman"/>
                <w:sz w:val="24"/>
                <w:highlight w:val="none"/>
              </w:rPr>
              <w:t>7</w:t>
            </w:r>
            <w:r>
              <w:rPr>
                <w:spacing w:val="-11"/>
                <w:sz w:val="24"/>
                <w:highlight w:val="none"/>
              </w:rPr>
              <w:t>、使用被包装材料、容器、运输工具等污染的食品、食品添</w:t>
            </w:r>
            <w:r>
              <w:rPr>
                <w:sz w:val="24"/>
                <w:highlight w:val="none"/>
              </w:rPr>
              <w:t>加剂；</w:t>
            </w:r>
          </w:p>
          <w:p>
            <w:pPr>
              <w:pStyle w:val="62"/>
              <w:spacing w:line="306" w:lineRule="exact"/>
              <w:ind w:left="348"/>
              <w:rPr>
                <w:sz w:val="24"/>
                <w:highlight w:val="none"/>
              </w:rPr>
            </w:pPr>
            <w:r>
              <w:rPr>
                <w:rFonts w:ascii="Times New Roman" w:eastAsia="Times New Roman"/>
                <w:sz w:val="24"/>
                <w:highlight w:val="none"/>
              </w:rPr>
              <w:t>8</w:t>
            </w:r>
            <w:r>
              <w:rPr>
                <w:sz w:val="24"/>
                <w:highlight w:val="none"/>
              </w:rPr>
              <w:t>、使用无标签的预包装食品、食品添加剂；</w:t>
            </w:r>
          </w:p>
          <w:p>
            <w:pPr>
              <w:pStyle w:val="62"/>
              <w:spacing w:before="134" w:line="343" w:lineRule="auto"/>
              <w:ind w:left="108" w:right="18" w:firstLine="240"/>
              <w:rPr>
                <w:sz w:val="24"/>
                <w:highlight w:val="none"/>
              </w:rPr>
            </w:pPr>
            <w:r>
              <w:rPr>
                <w:rFonts w:ascii="Times New Roman" w:eastAsia="Times New Roman"/>
                <w:sz w:val="24"/>
                <w:highlight w:val="none"/>
              </w:rPr>
              <w:t>9</w:t>
            </w:r>
            <w:r>
              <w:rPr>
                <w:sz w:val="24"/>
                <w:highlight w:val="none"/>
              </w:rPr>
              <w:t>、使用国家为防病等特殊需要明令禁止经营的食品（如织纹螺等）；</w:t>
            </w:r>
          </w:p>
          <w:p>
            <w:pPr>
              <w:pStyle w:val="62"/>
              <w:spacing w:line="306" w:lineRule="exact"/>
              <w:ind w:left="348"/>
              <w:rPr>
                <w:sz w:val="24"/>
                <w:highlight w:val="none"/>
              </w:rPr>
            </w:pPr>
            <w:r>
              <w:rPr>
                <w:rFonts w:ascii="Times New Roman" w:eastAsia="Times New Roman"/>
                <w:sz w:val="24"/>
                <w:highlight w:val="none"/>
              </w:rPr>
              <w:t>10</w:t>
            </w:r>
            <w:r>
              <w:rPr>
                <w:sz w:val="24"/>
                <w:highlight w:val="none"/>
              </w:rPr>
              <w:t>、在食品中添加药品（按照传统既是食品又是中药材的物</w:t>
            </w:r>
          </w:p>
          <w:p>
            <w:pPr>
              <w:pStyle w:val="62"/>
              <w:spacing w:before="1"/>
              <w:ind w:left="108" w:leftChars="0"/>
              <w:rPr>
                <w:sz w:val="24"/>
                <w:highlight w:val="none"/>
              </w:rPr>
            </w:pPr>
            <w:r>
              <w:rPr>
                <w:sz w:val="24"/>
                <w:highlight w:val="none"/>
              </w:rPr>
              <w:t>质除外）。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
              <w:ind w:left="108" w:leftChars="0"/>
              <w:rPr>
                <w:sz w:val="24"/>
                <w:highlight w:val="none"/>
              </w:rPr>
            </w:pPr>
            <w:r>
              <w:rPr>
                <w:sz w:val="24"/>
                <w:highlight w:val="none"/>
              </w:rPr>
              <w:t>冷食类食品、果蔬拼盘加工制作应在专间内进行。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top"/>
          </w:tcPr>
          <w:p>
            <w:pPr>
              <w:pStyle w:val="62"/>
              <w:rPr>
                <w:b/>
                <w:sz w:val="26"/>
                <w:highlight w:val="none"/>
              </w:rPr>
            </w:pPr>
          </w:p>
          <w:p>
            <w:pPr>
              <w:pStyle w:val="62"/>
              <w:rPr>
                <w:b/>
                <w:sz w:val="26"/>
                <w:highlight w:val="none"/>
              </w:rPr>
            </w:pPr>
          </w:p>
          <w:p>
            <w:pPr>
              <w:pStyle w:val="62"/>
              <w:rPr>
                <w:b/>
                <w:sz w:val="26"/>
                <w:highlight w:val="none"/>
              </w:rPr>
            </w:pPr>
          </w:p>
          <w:p>
            <w:pPr>
              <w:pStyle w:val="62"/>
              <w:rPr>
                <w:b/>
                <w:sz w:val="37"/>
                <w:highlight w:val="none"/>
              </w:rPr>
            </w:pPr>
          </w:p>
          <w:p>
            <w:pPr>
              <w:pStyle w:val="62"/>
              <w:ind w:left="9" w:leftChars="0"/>
              <w:jc w:val="center"/>
              <w:rPr>
                <w:rFonts w:ascii="Times New Roman" w:hAnsi="宋体" w:eastAsia="宋体" w:cs="宋体"/>
                <w:sz w:val="24"/>
                <w:highlight w:val="none"/>
                <w:lang w:val="zh-CN" w:eastAsia="zh-CN" w:bidi="zh-CN"/>
              </w:rPr>
            </w:pPr>
            <w:r>
              <w:rPr>
                <w:rFonts w:ascii="Times New Roman"/>
                <w:sz w:val="24"/>
                <w:highlight w:val="none"/>
              </w:rPr>
              <w:t>6</w:t>
            </w:r>
          </w:p>
        </w:tc>
        <w:tc>
          <w:tcPr>
            <w:tcW w:w="1399" w:type="dxa"/>
            <w:vMerge w:val="restart"/>
            <w:tcBorders>
              <w:left w:val="single" w:color="auto" w:sz="4" w:space="0"/>
              <w:right w:val="single" w:color="auto" w:sz="4" w:space="0"/>
            </w:tcBorders>
            <w:noWrap w:val="0"/>
            <w:vAlign w:val="top"/>
          </w:tcPr>
          <w:p>
            <w:pPr>
              <w:pStyle w:val="62"/>
              <w:rPr>
                <w:b/>
                <w:sz w:val="24"/>
                <w:highlight w:val="none"/>
              </w:rPr>
            </w:pPr>
          </w:p>
          <w:p>
            <w:pPr>
              <w:pStyle w:val="62"/>
              <w:rPr>
                <w:b/>
                <w:sz w:val="24"/>
                <w:highlight w:val="none"/>
              </w:rPr>
            </w:pPr>
          </w:p>
          <w:p>
            <w:pPr>
              <w:pStyle w:val="62"/>
              <w:spacing w:before="6"/>
              <w:rPr>
                <w:b/>
                <w:sz w:val="31"/>
                <w:highlight w:val="none"/>
              </w:rPr>
            </w:pPr>
          </w:p>
          <w:p>
            <w:pPr>
              <w:pStyle w:val="62"/>
              <w:spacing w:line="343" w:lineRule="auto"/>
              <w:ind w:left="218" w:leftChars="0" w:right="208" w:rightChars="0"/>
              <w:jc w:val="center"/>
              <w:rPr>
                <w:rFonts w:ascii="宋体" w:hAnsi="宋体" w:eastAsia="宋体" w:cs="宋体"/>
                <w:sz w:val="24"/>
                <w:highlight w:val="none"/>
                <w:lang w:val="zh-CN" w:eastAsia="zh-CN" w:bidi="zh-CN"/>
              </w:rPr>
            </w:pPr>
            <w:r>
              <w:rPr>
                <w:sz w:val="24"/>
                <w:highlight w:val="none"/>
              </w:rPr>
              <w:t>粗加工制作与切配管理</w:t>
            </w:r>
          </w:p>
        </w:tc>
        <w:tc>
          <w:tcPr>
            <w:tcW w:w="0" w:type="auto"/>
            <w:noWrap w:val="0"/>
            <w:vAlign w:val="top"/>
          </w:tcPr>
          <w:p>
            <w:pPr>
              <w:pStyle w:val="62"/>
              <w:spacing w:before="1" w:line="440" w:lineRule="exact"/>
              <w:ind w:left="108" w:leftChars="0" w:right="95" w:rightChars="0" w:firstLine="240" w:firstLineChars="0"/>
              <w:rPr>
                <w:rFonts w:ascii="宋体" w:hAnsi="宋体" w:eastAsia="宋体" w:cs="宋体"/>
                <w:sz w:val="24"/>
                <w:highlight w:val="none"/>
                <w:lang w:val="zh-CN" w:eastAsia="zh-CN" w:bidi="zh-CN"/>
              </w:rPr>
            </w:pPr>
            <w:r>
              <w:rPr>
                <w:sz w:val="24"/>
                <w:highlight w:val="none"/>
              </w:rPr>
              <w:t>冷冻（藏）食品出库后，应及时加工制作，不得反复解冻、冷冻。解冻时合理防护，避免受到污染。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5" w:line="440" w:lineRule="exact"/>
              <w:ind w:left="108" w:leftChars="0" w:right="95" w:rightChars="0" w:firstLine="240" w:firstLineChars="0"/>
              <w:rPr>
                <w:rFonts w:ascii="宋体" w:hAnsi="宋体" w:eastAsia="宋体" w:cs="宋体"/>
                <w:sz w:val="24"/>
                <w:highlight w:val="none"/>
                <w:lang w:val="zh-CN" w:eastAsia="zh-CN" w:bidi="zh-CN"/>
              </w:rPr>
            </w:pPr>
            <w:r>
              <w:rPr>
                <w:sz w:val="24"/>
                <w:highlight w:val="none"/>
              </w:rPr>
              <w:t xml:space="preserve">应缩短解冻后的高危易腐食品原料在常温下的存放时间，食品原料的表面温度不宜超过 </w:t>
            </w:r>
            <w:r>
              <w:rPr>
                <w:rFonts w:ascii="Times New Roman" w:hAnsi="Times New Roman" w:eastAsia="Times New Roman"/>
                <w:sz w:val="24"/>
                <w:highlight w:val="none"/>
              </w:rPr>
              <w:t>8℃</w:t>
            </w:r>
            <w:r>
              <w:rPr>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3" w:line="343" w:lineRule="auto"/>
              <w:ind w:left="108" w:right="95" w:firstLine="240"/>
              <w:rPr>
                <w:sz w:val="24"/>
                <w:highlight w:val="none"/>
              </w:rPr>
            </w:pPr>
            <w:r>
              <w:rPr>
                <w:sz w:val="24"/>
                <w:highlight w:val="none"/>
              </w:rPr>
              <w:t>食品原料应洗净后使用。盛放或加工制作不同类型食品原料的工具和容器应分开使用。盛放或加工制作畜肉类原料、禽肉</w:t>
            </w:r>
          </w:p>
          <w:p>
            <w:pPr>
              <w:pStyle w:val="62"/>
              <w:spacing w:before="1" w:line="304" w:lineRule="exact"/>
              <w:ind w:left="108" w:leftChars="0"/>
              <w:rPr>
                <w:rFonts w:ascii="宋体" w:hAnsi="宋体" w:eastAsia="宋体" w:cs="宋体"/>
                <w:sz w:val="24"/>
                <w:highlight w:val="none"/>
                <w:lang w:val="zh-CN" w:eastAsia="zh-CN" w:bidi="zh-CN"/>
              </w:rPr>
            </w:pPr>
            <w:r>
              <w:rPr>
                <w:sz w:val="24"/>
                <w:highlight w:val="none"/>
              </w:rPr>
              <w:t>类原料及蛋类原料的工具和容器宜分开使用。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2"/>
              <w:ind w:left="348"/>
              <w:rPr>
                <w:sz w:val="24"/>
                <w:highlight w:val="none"/>
              </w:rPr>
            </w:pPr>
            <w:r>
              <w:rPr>
                <w:sz w:val="24"/>
                <w:highlight w:val="none"/>
              </w:rPr>
              <w:t>使用禽蛋前，应清洗禽蛋的外壳，必要时消毒外壳。破蛋后</w:t>
            </w:r>
          </w:p>
          <w:p>
            <w:pPr>
              <w:pStyle w:val="62"/>
              <w:spacing w:before="134" w:line="306" w:lineRule="exact"/>
              <w:ind w:left="108" w:leftChars="0"/>
              <w:rPr>
                <w:rFonts w:ascii="宋体" w:hAnsi="宋体" w:eastAsia="宋体" w:cs="宋体"/>
                <w:sz w:val="24"/>
                <w:highlight w:val="none"/>
                <w:lang w:val="zh-CN" w:eastAsia="zh-CN" w:bidi="zh-CN"/>
              </w:rPr>
            </w:pPr>
            <w:r>
              <w:rPr>
                <w:sz w:val="24"/>
                <w:highlight w:val="none"/>
              </w:rPr>
              <w:t>应单独存放在暂存容器内，确认禽蛋未变质后再合并存放。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34"/>
              <w:ind w:left="348" w:leftChars="0"/>
              <w:rPr>
                <w:rFonts w:ascii="宋体" w:hAnsi="宋体" w:eastAsia="宋体" w:cs="宋体"/>
                <w:sz w:val="24"/>
                <w:highlight w:val="none"/>
                <w:lang w:val="zh-CN" w:eastAsia="zh-CN" w:bidi="zh-CN"/>
              </w:rPr>
            </w:pPr>
            <w:r>
              <w:rPr>
                <w:sz w:val="24"/>
                <w:highlight w:val="none"/>
              </w:rPr>
              <w:t>应及时使用或冷冻（藏）贮存切配好的半成品。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top"/>
          </w:tcPr>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19"/>
                <w:highlight w:val="none"/>
              </w:rPr>
            </w:pPr>
          </w:p>
          <w:p>
            <w:pPr>
              <w:pStyle w:val="62"/>
              <w:ind w:left="9" w:leftChars="0"/>
              <w:jc w:val="center"/>
              <w:rPr>
                <w:rFonts w:ascii="Times New Roman" w:hAnsi="宋体" w:eastAsia="宋体" w:cs="宋体"/>
                <w:sz w:val="24"/>
                <w:highlight w:val="none"/>
                <w:lang w:val="zh-CN" w:eastAsia="zh-CN" w:bidi="zh-CN"/>
              </w:rPr>
            </w:pPr>
            <w:r>
              <w:rPr>
                <w:rFonts w:ascii="Times New Roman"/>
                <w:sz w:val="24"/>
                <w:highlight w:val="none"/>
              </w:rPr>
              <w:t>7</w:t>
            </w:r>
          </w:p>
        </w:tc>
        <w:tc>
          <w:tcPr>
            <w:tcW w:w="1399" w:type="dxa"/>
            <w:vMerge w:val="restart"/>
            <w:tcBorders>
              <w:left w:val="single" w:color="auto" w:sz="4" w:space="0"/>
              <w:right w:val="single" w:color="auto" w:sz="4" w:space="0"/>
            </w:tcBorders>
            <w:noWrap w:val="0"/>
            <w:vAlign w:val="top"/>
          </w:tcPr>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spacing w:before="9"/>
              <w:rPr>
                <w:b/>
                <w:sz w:val="22"/>
                <w:highlight w:val="none"/>
              </w:rPr>
            </w:pPr>
          </w:p>
          <w:p>
            <w:pPr>
              <w:pStyle w:val="62"/>
              <w:spacing w:line="343" w:lineRule="auto"/>
              <w:ind w:left="218" w:leftChars="0" w:right="208" w:rightChars="0"/>
              <w:rPr>
                <w:rFonts w:ascii="宋体" w:hAnsi="宋体" w:eastAsia="宋体" w:cs="宋体"/>
                <w:sz w:val="24"/>
                <w:highlight w:val="none"/>
                <w:lang w:val="zh-CN" w:eastAsia="zh-CN" w:bidi="zh-CN"/>
              </w:rPr>
            </w:pPr>
            <w:r>
              <w:rPr>
                <w:sz w:val="24"/>
                <w:highlight w:val="none"/>
              </w:rPr>
              <w:t>成品加工制作管理</w:t>
            </w:r>
          </w:p>
        </w:tc>
        <w:tc>
          <w:tcPr>
            <w:tcW w:w="0" w:type="auto"/>
            <w:noWrap w:val="0"/>
            <w:vAlign w:val="top"/>
          </w:tcPr>
          <w:p>
            <w:pPr>
              <w:pStyle w:val="62"/>
              <w:spacing w:before="112"/>
              <w:ind w:left="348" w:leftChars="0"/>
              <w:rPr>
                <w:rFonts w:ascii="宋体" w:hAnsi="宋体" w:eastAsia="宋体" w:cs="宋体"/>
                <w:sz w:val="24"/>
                <w:highlight w:val="none"/>
                <w:lang w:val="zh-CN" w:eastAsia="zh-CN" w:bidi="zh-CN"/>
              </w:rPr>
            </w:pPr>
            <w:r>
              <w:rPr>
                <w:sz w:val="24"/>
                <w:highlight w:val="none"/>
              </w:rPr>
              <w:t xml:space="preserve">应在专间内加工制作。专间内温度不得高于 </w:t>
            </w:r>
            <w:r>
              <w:rPr>
                <w:rFonts w:ascii="Times New Roman" w:hAnsi="Times New Roman" w:eastAsia="Times New Roman"/>
                <w:sz w:val="24"/>
                <w:highlight w:val="none"/>
              </w:rPr>
              <w:t>25℃</w:t>
            </w:r>
            <w:r>
              <w:rPr>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 w:line="440" w:lineRule="exact"/>
              <w:ind w:left="108" w:leftChars="0" w:right="95" w:rightChars="0" w:firstLine="240" w:firstLineChars="0"/>
              <w:rPr>
                <w:rFonts w:ascii="宋体" w:hAnsi="宋体" w:eastAsia="宋体" w:cs="宋体"/>
                <w:sz w:val="24"/>
                <w:highlight w:val="none"/>
                <w:lang w:val="zh-CN" w:eastAsia="zh-CN" w:bidi="zh-CN"/>
              </w:rPr>
            </w:pPr>
            <w:r>
              <w:rPr>
                <w:sz w:val="24"/>
                <w:highlight w:val="none"/>
              </w:rPr>
              <w:t xml:space="preserve">每餐（或每次）使用专间前，应对专间空气进行消毒。消毒方法应遵循消毒设施使用说明书要求。使用紫外线灯消毒的， 应在无人加工制作时开启紫外线灯 </w:t>
            </w:r>
            <w:r>
              <w:rPr>
                <w:rFonts w:ascii="Times New Roman" w:eastAsia="Times New Roman"/>
                <w:sz w:val="24"/>
                <w:highlight w:val="none"/>
              </w:rPr>
              <w:t xml:space="preserve">30 </w:t>
            </w:r>
            <w:r>
              <w:rPr>
                <w:sz w:val="24"/>
                <w:highlight w:val="none"/>
              </w:rPr>
              <w:t>分钟以上并做好记录。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2" w:line="343" w:lineRule="auto"/>
              <w:ind w:left="108" w:right="-29" w:firstLine="240"/>
              <w:rPr>
                <w:sz w:val="24"/>
                <w:highlight w:val="none"/>
              </w:rPr>
            </w:pPr>
            <w:r>
              <w:rPr>
                <w:sz w:val="24"/>
                <w:highlight w:val="none"/>
              </w:rPr>
              <w:t>由专人加工制作，非专间加工制作人员不得擅自进入专间。</w:t>
            </w:r>
            <w:r>
              <w:rPr>
                <w:spacing w:val="-10"/>
                <w:sz w:val="24"/>
                <w:highlight w:val="none"/>
              </w:rPr>
              <w:t>进入专间前，加工制作人员应更换专用的工作衣帽并佩戴口罩。</w:t>
            </w:r>
            <w:r>
              <w:rPr>
                <w:sz w:val="24"/>
                <w:highlight w:val="none"/>
              </w:rPr>
              <w:t>加工制作人员在加工制作前应严格清洗消毒手部，加工制作过</w:t>
            </w:r>
          </w:p>
          <w:p>
            <w:pPr>
              <w:pStyle w:val="62"/>
              <w:spacing w:before="1" w:line="307" w:lineRule="exact"/>
              <w:ind w:left="108" w:leftChars="0"/>
              <w:rPr>
                <w:rFonts w:ascii="宋体" w:hAnsi="宋体" w:eastAsia="宋体" w:cs="宋体"/>
                <w:sz w:val="24"/>
                <w:highlight w:val="none"/>
                <w:lang w:val="zh-CN" w:eastAsia="zh-CN" w:bidi="zh-CN"/>
              </w:rPr>
            </w:pPr>
            <w:r>
              <w:rPr>
                <w:sz w:val="24"/>
                <w:highlight w:val="none"/>
              </w:rPr>
              <w:t>程中适时清洗消毒手部。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2"/>
              <w:ind w:left="348"/>
              <w:rPr>
                <w:sz w:val="24"/>
                <w:highlight w:val="none"/>
              </w:rPr>
            </w:pPr>
            <w:r>
              <w:rPr>
                <w:sz w:val="24"/>
                <w:highlight w:val="none"/>
              </w:rPr>
              <w:t>应使用专用的工具、容器、设备，使用前使用专用清洗消毒</w:t>
            </w:r>
          </w:p>
          <w:p>
            <w:pPr>
              <w:pStyle w:val="62"/>
              <w:spacing w:before="134" w:line="306" w:lineRule="exact"/>
              <w:ind w:left="108" w:leftChars="0"/>
              <w:rPr>
                <w:rFonts w:ascii="宋体" w:hAnsi="宋体" w:eastAsia="宋体" w:cs="宋体"/>
                <w:sz w:val="24"/>
                <w:highlight w:val="none"/>
                <w:lang w:val="zh-CN" w:eastAsia="zh-CN" w:bidi="zh-CN"/>
              </w:rPr>
            </w:pPr>
            <w:r>
              <w:rPr>
                <w:sz w:val="24"/>
                <w:highlight w:val="none"/>
              </w:rPr>
              <w:t>设施进行清洗消毒并保持清洁。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pStyle w:val="8"/>
              <w:rPr>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2"/>
              <w:ind w:left="348" w:leftChars="0"/>
              <w:rPr>
                <w:rFonts w:ascii="宋体" w:hAnsi="宋体" w:eastAsia="宋体" w:cs="宋体"/>
                <w:sz w:val="24"/>
                <w:highlight w:val="none"/>
                <w:lang w:val="zh-CN" w:eastAsia="zh-CN" w:bidi="zh-CN"/>
              </w:rPr>
            </w:pPr>
            <w:r>
              <w:rPr>
                <w:sz w:val="24"/>
                <w:highlight w:val="none"/>
              </w:rPr>
              <w:t>及时关闭专间的门和食品传递窗口。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pStyle w:val="8"/>
              <w:rPr>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 w:line="440" w:lineRule="exact"/>
              <w:ind w:left="108" w:leftChars="0" w:right="-29" w:rightChars="0" w:firstLine="240" w:firstLineChars="0"/>
              <w:rPr>
                <w:rFonts w:ascii="宋体" w:hAnsi="宋体" w:eastAsia="宋体" w:cs="宋体"/>
                <w:sz w:val="24"/>
                <w:highlight w:val="none"/>
                <w:lang w:val="zh-CN" w:eastAsia="zh-CN" w:bidi="zh-CN"/>
              </w:rPr>
            </w:pPr>
            <w:r>
              <w:rPr>
                <w:spacing w:val="-9"/>
                <w:sz w:val="24"/>
                <w:highlight w:val="none"/>
              </w:rPr>
              <w:t>蔬菜、水果等食品原料应清洗处理干净后，方可传递进专间。</w:t>
            </w:r>
            <w:r>
              <w:rPr>
                <w:sz w:val="24"/>
                <w:highlight w:val="none"/>
              </w:rPr>
              <w:t>预包装食品和一次性餐饮具应去除外层包装并保持最小包装清洁后，方可传递进专间。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pStyle w:val="8"/>
              <w:rPr>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line="440" w:lineRule="exact"/>
              <w:ind w:left="108" w:leftChars="0" w:right="95" w:rightChars="0" w:firstLine="240" w:firstLineChars="0"/>
              <w:rPr>
                <w:rFonts w:ascii="宋体" w:hAnsi="宋体" w:eastAsia="宋体" w:cs="宋体"/>
                <w:sz w:val="24"/>
                <w:highlight w:val="none"/>
                <w:lang w:val="zh-CN" w:eastAsia="zh-CN" w:bidi="zh-CN"/>
              </w:rPr>
            </w:pPr>
            <w:r>
              <w:rPr>
                <w:sz w:val="24"/>
                <w:highlight w:val="none"/>
              </w:rPr>
              <w:t>在专用冷冻或冷藏设备中存放食品时，宜将食品放置在密闭容器内或使用保鲜膜等进行无污染覆盖。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pStyle w:val="8"/>
              <w:rPr>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2" w:line="306" w:lineRule="exact"/>
              <w:ind w:left="348" w:leftChars="0"/>
              <w:rPr>
                <w:rFonts w:ascii="宋体" w:hAnsi="宋体" w:eastAsia="宋体" w:cs="宋体"/>
                <w:sz w:val="24"/>
                <w:highlight w:val="none"/>
                <w:lang w:val="zh-CN" w:eastAsia="zh-CN" w:bidi="zh-CN"/>
              </w:rPr>
            </w:pPr>
            <w:r>
              <w:rPr>
                <w:sz w:val="24"/>
                <w:highlight w:val="none"/>
              </w:rPr>
              <w:t>加工制作好的成品宜当餐供应。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2"/>
              <w:ind w:left="348" w:leftChars="0"/>
              <w:rPr>
                <w:rFonts w:ascii="宋体" w:hAnsi="宋体" w:eastAsia="宋体" w:cs="宋体"/>
                <w:sz w:val="24"/>
                <w:highlight w:val="none"/>
                <w:lang w:val="zh-CN" w:eastAsia="zh-CN" w:bidi="zh-CN"/>
              </w:rPr>
            </w:pPr>
            <w:r>
              <w:rPr>
                <w:sz w:val="24"/>
                <w:highlight w:val="none"/>
              </w:rPr>
              <w:t>不得在专间内从事非清洁操作区的加工制作活动。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top"/>
          </w:tcPr>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spacing w:before="3"/>
              <w:rPr>
                <w:b/>
                <w:sz w:val="37"/>
                <w:highlight w:val="none"/>
              </w:rPr>
            </w:pPr>
          </w:p>
          <w:p>
            <w:pPr>
              <w:pStyle w:val="62"/>
              <w:ind w:left="9" w:leftChars="0"/>
              <w:jc w:val="center"/>
              <w:rPr>
                <w:rFonts w:ascii="Times New Roman" w:hAnsi="宋体" w:eastAsia="宋体" w:cs="宋体"/>
                <w:sz w:val="24"/>
                <w:highlight w:val="none"/>
                <w:lang w:val="zh-CN" w:eastAsia="zh-CN" w:bidi="zh-CN"/>
              </w:rPr>
            </w:pPr>
            <w:r>
              <w:rPr>
                <w:rFonts w:ascii="Times New Roman"/>
                <w:sz w:val="24"/>
                <w:highlight w:val="none"/>
              </w:rPr>
              <w:t>8</w:t>
            </w:r>
          </w:p>
        </w:tc>
        <w:tc>
          <w:tcPr>
            <w:tcW w:w="1399" w:type="dxa"/>
            <w:vMerge w:val="restart"/>
            <w:tcBorders>
              <w:left w:val="single" w:color="auto" w:sz="4" w:space="0"/>
              <w:right w:val="single" w:color="auto" w:sz="4" w:space="0"/>
            </w:tcBorders>
            <w:noWrap w:val="0"/>
            <w:vAlign w:val="top"/>
          </w:tcPr>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spacing w:before="9"/>
              <w:rPr>
                <w:b/>
                <w:sz w:val="35"/>
                <w:highlight w:val="none"/>
              </w:rPr>
            </w:pPr>
          </w:p>
          <w:p>
            <w:pPr>
              <w:pStyle w:val="62"/>
              <w:spacing w:line="343" w:lineRule="auto"/>
              <w:ind w:left="218" w:leftChars="0" w:right="208" w:rightChars="0"/>
              <w:jc w:val="center"/>
              <w:rPr>
                <w:rFonts w:ascii="宋体" w:hAnsi="宋体" w:eastAsia="宋体" w:cs="宋体"/>
                <w:sz w:val="24"/>
                <w:highlight w:val="none"/>
                <w:lang w:val="zh-CN" w:eastAsia="zh-CN" w:bidi="zh-CN"/>
              </w:rPr>
            </w:pPr>
            <w:r>
              <w:rPr>
                <w:sz w:val="24"/>
                <w:highlight w:val="none"/>
              </w:rPr>
              <w:t>烹饪区内加工制作管理</w:t>
            </w:r>
          </w:p>
        </w:tc>
        <w:tc>
          <w:tcPr>
            <w:tcW w:w="0" w:type="auto"/>
            <w:noWrap w:val="0"/>
            <w:vAlign w:val="top"/>
          </w:tcPr>
          <w:p>
            <w:pPr>
              <w:pStyle w:val="62"/>
              <w:spacing w:before="135"/>
              <w:ind w:left="348" w:leftChars="0"/>
              <w:rPr>
                <w:rFonts w:ascii="宋体" w:hAnsi="宋体" w:eastAsia="宋体" w:cs="宋体"/>
                <w:sz w:val="24"/>
                <w:highlight w:val="none"/>
                <w:lang w:val="zh-CN" w:eastAsia="zh-CN" w:bidi="zh-CN"/>
              </w:rPr>
            </w:pPr>
            <w:r>
              <w:rPr>
                <w:sz w:val="24"/>
                <w:highlight w:val="none"/>
              </w:rPr>
              <w:t>烹饪食品的温度和时间应能保证食品安全。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2" w:line="343" w:lineRule="auto"/>
              <w:ind w:left="108" w:right="66" w:firstLine="240"/>
              <w:rPr>
                <w:sz w:val="24"/>
                <w:highlight w:val="none"/>
              </w:rPr>
            </w:pPr>
            <w:r>
              <w:rPr>
                <w:spacing w:val="9"/>
                <w:sz w:val="24"/>
                <w:highlight w:val="none"/>
              </w:rPr>
              <w:t>需要烧熟煮透的食品，加工制作时食品的中心温度应达到</w:t>
            </w:r>
            <w:r>
              <w:rPr>
                <w:rFonts w:ascii="Times New Roman" w:hAnsi="Times New Roman" w:eastAsia="Times New Roman"/>
                <w:spacing w:val="9"/>
                <w:sz w:val="24"/>
                <w:highlight w:val="none"/>
              </w:rPr>
              <w:t>70℃</w:t>
            </w:r>
            <w:r>
              <w:rPr>
                <w:spacing w:val="11"/>
                <w:sz w:val="24"/>
                <w:highlight w:val="none"/>
              </w:rPr>
              <w:t xml:space="preserve">以上。对特殊加工制作工艺，中心温度低于 </w:t>
            </w:r>
            <w:r>
              <w:rPr>
                <w:rFonts w:ascii="Times New Roman" w:hAnsi="Times New Roman" w:eastAsia="Times New Roman"/>
                <w:sz w:val="24"/>
                <w:highlight w:val="none"/>
              </w:rPr>
              <w:t>70℃</w:t>
            </w:r>
            <w:r>
              <w:rPr>
                <w:spacing w:val="-40"/>
                <w:sz w:val="24"/>
                <w:highlight w:val="none"/>
              </w:rPr>
              <w:t>的食品，</w:t>
            </w:r>
            <w:r>
              <w:rPr>
                <w:spacing w:val="-118"/>
                <w:sz w:val="24"/>
                <w:highlight w:val="none"/>
              </w:rPr>
              <w:t xml:space="preserve"> </w:t>
            </w:r>
            <w:r>
              <w:rPr>
                <w:sz w:val="24"/>
                <w:highlight w:val="none"/>
              </w:rPr>
              <w:t>应严格控制原料质量安全状态，确保经过特殊加工制作工艺制</w:t>
            </w:r>
          </w:p>
          <w:p>
            <w:pPr>
              <w:pStyle w:val="62"/>
              <w:spacing w:before="1"/>
              <w:ind w:left="108" w:leftChars="0"/>
              <w:rPr>
                <w:rFonts w:ascii="宋体" w:hAnsi="宋体" w:eastAsia="宋体" w:cs="宋体"/>
                <w:sz w:val="24"/>
                <w:highlight w:val="none"/>
                <w:lang w:val="zh-CN" w:eastAsia="zh-CN" w:bidi="zh-CN"/>
              </w:rPr>
            </w:pPr>
            <w:r>
              <w:rPr>
                <w:sz w:val="24"/>
                <w:highlight w:val="none"/>
              </w:rPr>
              <w:t>作成品的食品安全。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 w:line="440" w:lineRule="exact"/>
              <w:ind w:left="108" w:leftChars="0" w:right="-29" w:rightChars="0" w:firstLine="240" w:firstLineChars="0"/>
              <w:rPr>
                <w:rFonts w:ascii="宋体" w:hAnsi="宋体" w:eastAsia="宋体" w:cs="宋体"/>
                <w:sz w:val="24"/>
                <w:highlight w:val="none"/>
                <w:lang w:val="zh-CN" w:eastAsia="zh-CN" w:bidi="zh-CN"/>
              </w:rPr>
            </w:pPr>
            <w:r>
              <w:rPr>
                <w:sz w:val="24"/>
                <w:highlight w:val="none"/>
              </w:rPr>
              <w:t>盛放调味料的容器应保持清洁，使用后加盖存放，宜标注预</w:t>
            </w:r>
            <w:r>
              <w:rPr>
                <w:spacing w:val="-6"/>
                <w:sz w:val="24"/>
                <w:highlight w:val="none"/>
              </w:rPr>
              <w:t>包装调味料标签上标注的生产日期、保质期等内容及开封日期。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spacing w:before="113" w:line="360" w:lineRule="auto"/>
              <w:ind w:left="108" w:right="95" w:firstLine="240"/>
              <w:rPr>
                <w:sz w:val="24"/>
                <w:highlight w:val="none"/>
              </w:rPr>
            </w:pPr>
            <w:r>
              <w:rPr>
                <w:spacing w:val="-1"/>
                <w:sz w:val="24"/>
                <w:highlight w:val="none"/>
              </w:rPr>
              <w:t>油炸类食品，应选择热稳定性好、适合油炸的食用油脂。与炸油直接接触的设备、工具内表面应为耐腐蚀、耐高温的材质</w:t>
            </w:r>
          </w:p>
          <w:p>
            <w:pPr>
              <w:pStyle w:val="62"/>
              <w:spacing w:line="360" w:lineRule="auto"/>
              <w:ind w:left="108" w:leftChars="0"/>
              <w:rPr>
                <w:rFonts w:ascii="宋体" w:hAnsi="宋体" w:eastAsia="宋体" w:cs="宋体"/>
                <w:sz w:val="24"/>
                <w:highlight w:val="none"/>
                <w:lang w:val="zh-CN" w:eastAsia="zh-CN" w:bidi="zh-CN"/>
              </w:rPr>
            </w:pPr>
            <w:r>
              <w:rPr>
                <w:spacing w:val="-1"/>
                <w:sz w:val="24"/>
                <w:highlight w:val="none"/>
              </w:rPr>
              <w:t>（</w:t>
            </w:r>
            <w:r>
              <w:rPr>
                <w:sz w:val="24"/>
                <w:highlight w:val="none"/>
              </w:rPr>
              <w:t>如不锈钢等），易清洁、维护。油炸食品时，油温不宜超过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rFonts w:ascii="Times New Roman" w:hAnsi="Times New Roman" w:eastAsia="Times New Roman"/>
                <w:sz w:val="24"/>
                <w:highlight w:val="none"/>
              </w:rPr>
              <w:t>190℃</w:t>
            </w:r>
            <w:r>
              <w:rPr>
                <w:sz w:val="24"/>
                <w:highlight w:val="none"/>
              </w:rPr>
              <w:t>。定期过滤在用油，去除食物残渣。定期拆卸油炸设备，</w:t>
            </w:r>
          </w:p>
          <w:p>
            <w:pPr>
              <w:pStyle w:val="62"/>
              <w:rPr>
                <w:rFonts w:ascii="宋体" w:hAnsi="宋体" w:eastAsia="宋体" w:cs="宋体"/>
                <w:sz w:val="24"/>
                <w:highlight w:val="none"/>
                <w:lang w:val="zh-CN" w:eastAsia="zh-CN" w:bidi="zh-CN"/>
              </w:rPr>
            </w:pPr>
            <w:r>
              <w:rPr>
                <w:sz w:val="24"/>
                <w:highlight w:val="none"/>
              </w:rPr>
              <w:t>进行清洁维护。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Times New Roman" w:eastAsia="Times New Roman"/>
                <w:sz w:val="24"/>
                <w:highlight w:val="none"/>
              </w:rPr>
            </w:pPr>
            <w:r>
              <w:rPr>
                <w:sz w:val="24"/>
                <w:highlight w:val="none"/>
              </w:rPr>
              <w:t xml:space="preserve">煮沸生豆浆时，应将上涌泡沫除净，煮沸后保持沸腾状态 </w:t>
            </w:r>
            <w:r>
              <w:rPr>
                <w:rFonts w:ascii="Times New Roman" w:eastAsia="Times New Roman"/>
                <w:sz w:val="24"/>
                <w:highlight w:val="none"/>
              </w:rPr>
              <w:t>5</w:t>
            </w:r>
          </w:p>
          <w:p>
            <w:pPr>
              <w:pStyle w:val="62"/>
              <w:rPr>
                <w:rFonts w:ascii="宋体" w:hAnsi="宋体" w:eastAsia="宋体" w:cs="宋体"/>
                <w:sz w:val="24"/>
                <w:highlight w:val="none"/>
                <w:lang w:val="zh-CN" w:eastAsia="zh-CN" w:bidi="zh-CN"/>
              </w:rPr>
            </w:pPr>
            <w:r>
              <w:rPr>
                <w:sz w:val="24"/>
                <w:highlight w:val="none"/>
              </w:rPr>
              <w:t>分钟以上。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 xml:space="preserve">再加热时，食品的中心温度应达到 </w:t>
            </w:r>
            <w:r>
              <w:rPr>
                <w:rFonts w:ascii="Times New Roman" w:hAnsi="Times New Roman" w:eastAsia="Times New Roman"/>
                <w:sz w:val="24"/>
                <w:highlight w:val="none"/>
              </w:rPr>
              <w:t>70℃</w:t>
            </w:r>
            <w:r>
              <w:rPr>
                <w:sz w:val="24"/>
                <w:highlight w:val="none"/>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top"/>
          </w:tcPr>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jc w:val="center"/>
              <w:rPr>
                <w:rFonts w:ascii="Times New Roman" w:hAnsi="宋体" w:eastAsia="宋体" w:cs="宋体"/>
                <w:sz w:val="24"/>
                <w:highlight w:val="none"/>
                <w:lang w:val="zh-CN" w:eastAsia="zh-CN" w:bidi="zh-CN"/>
              </w:rPr>
            </w:pPr>
            <w:r>
              <w:rPr>
                <w:rFonts w:ascii="Times New Roman"/>
                <w:sz w:val="24"/>
                <w:highlight w:val="none"/>
              </w:rPr>
              <w:t>9</w:t>
            </w:r>
          </w:p>
        </w:tc>
        <w:tc>
          <w:tcPr>
            <w:tcW w:w="1399" w:type="dxa"/>
            <w:vMerge w:val="restart"/>
            <w:tcBorders>
              <w:left w:val="single" w:color="auto" w:sz="4" w:space="0"/>
              <w:right w:val="single" w:color="auto" w:sz="4" w:space="0"/>
            </w:tcBorders>
            <w:noWrap w:val="0"/>
            <w:vAlign w:val="top"/>
          </w:tcPr>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0"/>
                <w:highlight w:val="none"/>
              </w:rPr>
            </w:pPr>
          </w:p>
          <w:p>
            <w:pPr>
              <w:pStyle w:val="62"/>
              <w:jc w:val="center"/>
              <w:rPr>
                <w:rFonts w:ascii="宋体" w:hAnsi="宋体" w:eastAsia="宋体" w:cs="宋体"/>
                <w:sz w:val="24"/>
                <w:highlight w:val="none"/>
                <w:lang w:val="zh-CN" w:eastAsia="zh-CN" w:bidi="zh-CN"/>
              </w:rPr>
            </w:pPr>
            <w:r>
              <w:rPr>
                <w:spacing w:val="-5"/>
                <w:sz w:val="24"/>
                <w:highlight w:val="none"/>
              </w:rPr>
              <w:t>食品添加</w:t>
            </w:r>
            <w:r>
              <w:rPr>
                <w:sz w:val="24"/>
                <w:highlight w:val="none"/>
              </w:rPr>
              <w:t>剂使用 管理</w:t>
            </w:r>
          </w:p>
        </w:tc>
        <w:tc>
          <w:tcPr>
            <w:tcW w:w="0" w:type="auto"/>
            <w:noWrap w:val="0"/>
            <w:vAlign w:val="top"/>
          </w:tcPr>
          <w:p>
            <w:pPr>
              <w:pStyle w:val="62"/>
              <w:rPr>
                <w:sz w:val="24"/>
                <w:highlight w:val="none"/>
              </w:rPr>
            </w:pPr>
            <w:r>
              <w:rPr>
                <w:sz w:val="24"/>
                <w:highlight w:val="none"/>
              </w:rPr>
              <w:t>使用食品添加剂的，应在技术上确有必要，并在达到预期效</w:t>
            </w:r>
          </w:p>
          <w:p>
            <w:pPr>
              <w:pStyle w:val="62"/>
              <w:rPr>
                <w:rFonts w:ascii="宋体" w:hAnsi="宋体" w:eastAsia="宋体" w:cs="宋体"/>
                <w:sz w:val="24"/>
                <w:highlight w:val="none"/>
                <w:lang w:val="zh-CN" w:eastAsia="zh-CN" w:bidi="zh-CN"/>
              </w:rPr>
            </w:pPr>
            <w:r>
              <w:rPr>
                <w:sz w:val="24"/>
                <w:highlight w:val="none"/>
              </w:rPr>
              <w:t>果的前提下尽可能降低使用量。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pacing w:val="-20"/>
                <w:sz w:val="24"/>
                <w:highlight w:val="none"/>
              </w:rPr>
              <w:t xml:space="preserve">按照 </w:t>
            </w:r>
            <w:r>
              <w:rPr>
                <w:rFonts w:ascii="Times New Roman" w:eastAsia="Times New Roman"/>
                <w:sz w:val="24"/>
                <w:highlight w:val="none"/>
              </w:rPr>
              <w:t xml:space="preserve">GB </w:t>
            </w:r>
            <w:r>
              <w:rPr>
                <w:rFonts w:ascii="Times New Roman" w:eastAsia="Times New Roman"/>
                <w:spacing w:val="-7"/>
                <w:sz w:val="24"/>
                <w:highlight w:val="none"/>
              </w:rPr>
              <w:t>2760</w:t>
            </w:r>
            <w:r>
              <w:rPr>
                <w:spacing w:val="-2"/>
                <w:sz w:val="24"/>
                <w:highlight w:val="none"/>
              </w:rPr>
              <w:t>《食品安全国家标准 食品添加剂使用标准》规</w:t>
            </w:r>
          </w:p>
          <w:p>
            <w:pPr>
              <w:pStyle w:val="62"/>
              <w:rPr>
                <w:rFonts w:ascii="宋体" w:hAnsi="宋体" w:eastAsia="宋体" w:cs="宋体"/>
                <w:sz w:val="24"/>
                <w:highlight w:val="none"/>
                <w:lang w:val="zh-CN" w:eastAsia="zh-CN" w:bidi="zh-CN"/>
              </w:rPr>
            </w:pPr>
            <w:r>
              <w:rPr>
                <w:sz w:val="24"/>
                <w:highlight w:val="none"/>
              </w:rPr>
              <w:t>定的食品添加剂品种、使用范围、使用量，使用食品添加剂。</w:t>
            </w:r>
            <w:r>
              <w:rPr>
                <w:spacing w:val="-7"/>
                <w:sz w:val="24"/>
                <w:highlight w:val="none"/>
              </w:rPr>
              <w:t>不得采购、贮存、使用亚硝酸盐</w:t>
            </w:r>
            <w:r>
              <w:rPr>
                <w:spacing w:val="-3"/>
                <w:sz w:val="24"/>
                <w:highlight w:val="none"/>
              </w:rPr>
              <w:t>（包括亚硝酸钠、亚硝酸钾</w:t>
            </w:r>
            <w:r>
              <w:rPr>
                <w:spacing w:val="-15"/>
                <w:sz w:val="24"/>
                <w:highlight w:val="none"/>
              </w:rPr>
              <w:t>）</w:t>
            </w:r>
            <w:r>
              <w:rPr>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z w:val="24"/>
                <w:highlight w:val="none"/>
              </w:rPr>
              <w:t>专柜（位）存放食品添加剂，并标注“食品添加剂”字样。</w:t>
            </w:r>
          </w:p>
          <w:p>
            <w:pPr>
              <w:pStyle w:val="62"/>
              <w:rPr>
                <w:rFonts w:ascii="宋体" w:hAnsi="宋体" w:eastAsia="宋体" w:cs="宋体"/>
                <w:sz w:val="24"/>
                <w:highlight w:val="none"/>
                <w:lang w:val="zh-CN" w:eastAsia="zh-CN" w:bidi="zh-CN"/>
              </w:rPr>
            </w:pPr>
            <w:r>
              <w:rPr>
                <w:sz w:val="24"/>
                <w:highlight w:val="none"/>
              </w:rPr>
              <w:t>使用容器盛放拆包后的食品添加剂的，应在盛放容器上标明食品添加剂名称，并保留原包装。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Times New Roman" w:eastAsia="Times New Roman"/>
                <w:sz w:val="24"/>
                <w:highlight w:val="none"/>
              </w:rPr>
            </w:pPr>
            <w:r>
              <w:rPr>
                <w:sz w:val="24"/>
                <w:highlight w:val="none"/>
              </w:rPr>
              <w:t>专册记录使用的食品添加剂名称、生产日期或批号、添加的</w:t>
            </w:r>
            <w:r>
              <w:rPr>
                <w:spacing w:val="-24"/>
                <w:sz w:val="24"/>
                <w:highlight w:val="none"/>
              </w:rPr>
              <w:t xml:space="preserve">食品品种、添加量、添加时间、操作人员等信息。使用有 </w:t>
            </w:r>
            <w:r>
              <w:rPr>
                <w:rFonts w:ascii="Times New Roman" w:eastAsia="Times New Roman"/>
                <w:sz w:val="24"/>
                <w:highlight w:val="none"/>
              </w:rPr>
              <w:t>GB</w:t>
            </w:r>
            <w:r>
              <w:rPr>
                <w:rFonts w:ascii="Times New Roman" w:eastAsia="Times New Roman"/>
                <w:spacing w:val="3"/>
                <w:sz w:val="24"/>
                <w:highlight w:val="none"/>
              </w:rPr>
              <w:t xml:space="preserve"> </w:t>
            </w:r>
            <w:r>
              <w:rPr>
                <w:rFonts w:ascii="Times New Roman" w:eastAsia="Times New Roman"/>
                <w:spacing w:val="-4"/>
                <w:sz w:val="24"/>
                <w:highlight w:val="none"/>
              </w:rPr>
              <w:t>2760</w:t>
            </w:r>
          </w:p>
          <w:p>
            <w:pPr>
              <w:pStyle w:val="62"/>
              <w:rPr>
                <w:sz w:val="24"/>
                <w:highlight w:val="none"/>
              </w:rPr>
            </w:pPr>
            <w:r>
              <w:rPr>
                <w:spacing w:val="-4"/>
                <w:sz w:val="24"/>
                <w:highlight w:val="none"/>
              </w:rPr>
              <w:t>《食品安全国家标准 食品添加剂使用标准》“最大使用量”规</w:t>
            </w:r>
          </w:p>
          <w:p>
            <w:pPr>
              <w:pStyle w:val="62"/>
              <w:rPr>
                <w:rFonts w:ascii="宋体" w:hAnsi="宋体" w:eastAsia="宋体" w:cs="宋体"/>
                <w:sz w:val="24"/>
                <w:highlight w:val="none"/>
                <w:lang w:val="zh-CN" w:eastAsia="zh-CN" w:bidi="zh-CN"/>
              </w:rPr>
            </w:pPr>
            <w:r>
              <w:rPr>
                <w:sz w:val="24"/>
                <w:highlight w:val="none"/>
              </w:rPr>
              <w:t>定的食品添加剂，应精准称量使用。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center"/>
          </w:tcPr>
          <w:p>
            <w:pPr>
              <w:pStyle w:val="62"/>
              <w:jc w:val="both"/>
              <w:rPr>
                <w:b/>
                <w:sz w:val="26"/>
                <w:highlight w:val="none"/>
              </w:rPr>
            </w:pPr>
          </w:p>
          <w:p>
            <w:pPr>
              <w:pStyle w:val="62"/>
              <w:jc w:val="both"/>
              <w:rPr>
                <w:rFonts w:ascii="Times New Roman" w:hAnsi="宋体" w:eastAsia="宋体" w:cs="宋体"/>
                <w:sz w:val="24"/>
                <w:highlight w:val="none"/>
                <w:lang w:val="zh-CN" w:eastAsia="zh-CN" w:bidi="zh-CN"/>
              </w:rPr>
            </w:pPr>
            <w:r>
              <w:rPr>
                <w:rFonts w:ascii="Times New Roman"/>
                <w:sz w:val="24"/>
                <w:highlight w:val="none"/>
              </w:rPr>
              <w:t>10</w:t>
            </w:r>
          </w:p>
        </w:tc>
        <w:tc>
          <w:tcPr>
            <w:tcW w:w="1399" w:type="dxa"/>
            <w:vMerge w:val="restart"/>
            <w:tcBorders>
              <w:left w:val="single" w:color="auto" w:sz="4" w:space="0"/>
              <w:right w:val="single" w:color="auto" w:sz="4" w:space="0"/>
            </w:tcBorders>
            <w:noWrap w:val="0"/>
            <w:vAlign w:val="center"/>
          </w:tcPr>
          <w:p>
            <w:pPr>
              <w:pStyle w:val="62"/>
              <w:jc w:val="both"/>
              <w:rPr>
                <w:b/>
                <w:sz w:val="24"/>
                <w:highlight w:val="none"/>
              </w:rPr>
            </w:pPr>
          </w:p>
          <w:p>
            <w:pPr>
              <w:pStyle w:val="62"/>
              <w:jc w:val="both"/>
              <w:rPr>
                <w:rFonts w:ascii="宋体" w:hAnsi="宋体" w:eastAsia="宋体" w:cs="宋体"/>
                <w:sz w:val="24"/>
                <w:highlight w:val="none"/>
                <w:lang w:val="zh-CN" w:eastAsia="zh-CN" w:bidi="zh-CN"/>
              </w:rPr>
            </w:pPr>
            <w:r>
              <w:rPr>
                <w:sz w:val="24"/>
                <w:highlight w:val="none"/>
              </w:rPr>
              <w:t>食品相关产品使用管理</w:t>
            </w: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各类工具和容器应有明显的区分标识。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pacing w:val="-11"/>
                <w:sz w:val="24"/>
                <w:highlight w:val="none"/>
              </w:rPr>
              <w:t>工具、容器和设备，宜使用不锈钢材料，不宜使用木质材料。</w:t>
            </w:r>
          </w:p>
          <w:p>
            <w:pPr>
              <w:pStyle w:val="62"/>
              <w:rPr>
                <w:rFonts w:ascii="宋体" w:hAnsi="宋体" w:eastAsia="宋体" w:cs="宋体"/>
                <w:sz w:val="24"/>
                <w:highlight w:val="none"/>
                <w:lang w:val="zh-CN" w:eastAsia="zh-CN" w:bidi="zh-CN"/>
              </w:rPr>
            </w:pPr>
            <w:r>
              <w:rPr>
                <w:sz w:val="24"/>
                <w:highlight w:val="none"/>
              </w:rPr>
              <w:t>必须使用木质材料时，应避免对食品造成污染。盛放热食类食品的容器不宜使用塑料材料。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 xml:space="preserve">添加邻苯二甲酸酯类物质制成的塑料制品不得盛装、接触油脂类食品和乙醇含量高于 </w:t>
            </w:r>
            <w:r>
              <w:rPr>
                <w:rFonts w:ascii="Times New Roman" w:eastAsia="Times New Roman"/>
                <w:sz w:val="24"/>
                <w:highlight w:val="none"/>
              </w:rPr>
              <w:t>20%</w:t>
            </w:r>
            <w:r>
              <w:rPr>
                <w:sz w:val="24"/>
                <w:highlight w:val="none"/>
              </w:rPr>
              <w:t>的食品。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不得重复使用一次性用品。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center"/>
          </w:tcPr>
          <w:p>
            <w:pPr>
              <w:pStyle w:val="62"/>
              <w:jc w:val="both"/>
              <w:rPr>
                <w:rFonts w:ascii="Times New Roman" w:hAnsi="宋体" w:eastAsia="宋体" w:cs="宋体"/>
                <w:sz w:val="24"/>
                <w:highlight w:val="none"/>
                <w:lang w:val="zh-CN" w:eastAsia="zh-CN" w:bidi="zh-CN"/>
              </w:rPr>
            </w:pPr>
            <w:r>
              <w:rPr>
                <w:rFonts w:ascii="Times New Roman"/>
                <w:sz w:val="24"/>
                <w:highlight w:val="none"/>
              </w:rPr>
              <w:t>11</w:t>
            </w:r>
          </w:p>
        </w:tc>
        <w:tc>
          <w:tcPr>
            <w:tcW w:w="1399" w:type="dxa"/>
            <w:vMerge w:val="restart"/>
            <w:tcBorders>
              <w:left w:val="single" w:color="auto" w:sz="4" w:space="0"/>
              <w:right w:val="single" w:color="auto" w:sz="4" w:space="0"/>
            </w:tcBorders>
            <w:noWrap w:val="0"/>
            <w:vAlign w:val="center"/>
          </w:tcPr>
          <w:p>
            <w:pPr>
              <w:pStyle w:val="62"/>
              <w:jc w:val="both"/>
              <w:rPr>
                <w:rFonts w:ascii="宋体" w:hAnsi="宋体" w:eastAsia="宋体" w:cs="宋体"/>
                <w:sz w:val="24"/>
                <w:highlight w:val="none"/>
                <w:lang w:val="zh-CN" w:eastAsia="zh-CN" w:bidi="zh-CN"/>
              </w:rPr>
            </w:pPr>
            <w:r>
              <w:rPr>
                <w:sz w:val="24"/>
                <w:highlight w:val="none"/>
              </w:rPr>
              <w:t>高危易腐食品管理</w:t>
            </w:r>
          </w:p>
        </w:tc>
        <w:tc>
          <w:tcPr>
            <w:tcW w:w="0" w:type="auto"/>
            <w:noWrap w:val="0"/>
            <w:vAlign w:val="top"/>
          </w:tcPr>
          <w:p>
            <w:pPr>
              <w:pStyle w:val="62"/>
              <w:rPr>
                <w:rFonts w:ascii="宋体" w:hAnsi="宋体" w:eastAsia="宋体" w:cs="宋体"/>
                <w:sz w:val="24"/>
                <w:highlight w:val="none"/>
                <w:lang w:val="zh-CN" w:eastAsia="zh-CN" w:bidi="zh-CN"/>
              </w:rPr>
            </w:pPr>
            <w:r>
              <w:rPr>
                <w:spacing w:val="-7"/>
                <w:sz w:val="24"/>
                <w:highlight w:val="none"/>
              </w:rPr>
              <w:t>需要冷冻</w:t>
            </w:r>
            <w:r>
              <w:rPr>
                <w:sz w:val="24"/>
                <w:highlight w:val="none"/>
              </w:rPr>
              <w:t>（藏</w:t>
            </w:r>
            <w:r>
              <w:rPr>
                <w:spacing w:val="-27"/>
                <w:sz w:val="24"/>
                <w:highlight w:val="none"/>
              </w:rPr>
              <w:t>）</w:t>
            </w:r>
            <w:r>
              <w:rPr>
                <w:spacing w:val="-4"/>
                <w:sz w:val="24"/>
                <w:highlight w:val="none"/>
              </w:rPr>
              <w:t>的熟制半成品或成品，应在熟制后立即冷却。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应在清洁操作区内进行熟制成品的冷却，并在盛放容器上标注加工制作时间等。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z w:val="24"/>
                <w:highlight w:val="none"/>
              </w:rPr>
              <w:t>冷却时，可采用将食品切成小块、搅拌、冷水浴等措施或者</w:t>
            </w:r>
          </w:p>
          <w:p>
            <w:pPr>
              <w:pStyle w:val="62"/>
              <w:rPr>
                <w:rFonts w:ascii="宋体" w:hAnsi="宋体" w:eastAsia="宋体" w:cs="宋体"/>
                <w:sz w:val="24"/>
                <w:highlight w:val="none"/>
                <w:lang w:val="zh-CN" w:eastAsia="zh-CN" w:bidi="zh-CN"/>
              </w:rPr>
            </w:pPr>
            <w:r>
              <w:rPr>
                <w:spacing w:val="-5"/>
                <w:sz w:val="24"/>
                <w:highlight w:val="none"/>
              </w:rPr>
              <w:t xml:space="preserve">使用专用速冷设备，使食品的中心温度在 </w:t>
            </w:r>
            <w:r>
              <w:rPr>
                <w:rFonts w:ascii="Times New Roman" w:hAnsi="Times New Roman" w:eastAsia="Times New Roman"/>
                <w:sz w:val="24"/>
                <w:highlight w:val="none"/>
              </w:rPr>
              <w:t xml:space="preserve">2 </w:t>
            </w:r>
            <w:r>
              <w:rPr>
                <w:spacing w:val="-8"/>
                <w:sz w:val="24"/>
                <w:highlight w:val="none"/>
              </w:rPr>
              <w:t xml:space="preserve">小时内从 </w:t>
            </w:r>
            <w:r>
              <w:rPr>
                <w:rFonts w:ascii="Times New Roman" w:hAnsi="Times New Roman" w:eastAsia="Times New Roman"/>
                <w:sz w:val="24"/>
                <w:highlight w:val="none"/>
              </w:rPr>
              <w:t>60℃</w:t>
            </w:r>
            <w:r>
              <w:rPr>
                <w:spacing w:val="-44"/>
                <w:sz w:val="24"/>
                <w:highlight w:val="none"/>
              </w:rPr>
              <w:t>降至</w:t>
            </w:r>
            <w:r>
              <w:rPr>
                <w:rFonts w:ascii="Times New Roman" w:hAnsi="Times New Roman" w:eastAsia="Times New Roman"/>
                <w:sz w:val="24"/>
                <w:highlight w:val="none"/>
              </w:rPr>
              <w:t>21℃</w:t>
            </w:r>
            <w:r>
              <w:rPr>
                <w:spacing w:val="-15"/>
                <w:sz w:val="24"/>
                <w:highlight w:val="none"/>
              </w:rPr>
              <w:t xml:space="preserve">，再经 </w:t>
            </w:r>
            <w:r>
              <w:rPr>
                <w:rFonts w:ascii="Times New Roman" w:hAnsi="Times New Roman" w:eastAsia="Times New Roman"/>
                <w:sz w:val="24"/>
                <w:highlight w:val="none"/>
              </w:rPr>
              <w:t xml:space="preserve">2 </w:t>
            </w:r>
            <w:r>
              <w:rPr>
                <w:spacing w:val="-6"/>
                <w:sz w:val="24"/>
                <w:highlight w:val="none"/>
              </w:rPr>
              <w:t xml:space="preserve">小时或更短时间降至 </w:t>
            </w:r>
            <w:r>
              <w:rPr>
                <w:rFonts w:ascii="Times New Roman" w:hAnsi="Times New Roman" w:eastAsia="Times New Roman"/>
                <w:sz w:val="24"/>
                <w:highlight w:val="none"/>
              </w:rPr>
              <w:t>8℃</w:t>
            </w:r>
            <w:r>
              <w:rPr>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z w:val="24"/>
                <w:highlight w:val="none"/>
              </w:rPr>
              <w:t>在烹饪后至食用前需要较长时间（</w:t>
            </w:r>
            <w:r>
              <w:rPr>
                <w:spacing w:val="-15"/>
                <w:sz w:val="24"/>
                <w:highlight w:val="none"/>
              </w:rPr>
              <w:t xml:space="preserve">超过 </w:t>
            </w:r>
            <w:r>
              <w:rPr>
                <w:rFonts w:ascii="Times New Roman" w:hAnsi="Times New Roman" w:eastAsia="Times New Roman"/>
                <w:sz w:val="24"/>
                <w:highlight w:val="none"/>
              </w:rPr>
              <w:t xml:space="preserve">2 </w:t>
            </w:r>
            <w:r>
              <w:rPr>
                <w:sz w:val="24"/>
                <w:highlight w:val="none"/>
              </w:rPr>
              <w:t>小时）存放的高危</w:t>
            </w:r>
            <w:r>
              <w:rPr>
                <w:spacing w:val="1"/>
                <w:sz w:val="24"/>
                <w:highlight w:val="none"/>
              </w:rPr>
              <w:t xml:space="preserve">易腐食品，应在高于 </w:t>
            </w:r>
            <w:r>
              <w:rPr>
                <w:rFonts w:ascii="Times New Roman" w:hAnsi="Times New Roman" w:eastAsia="Times New Roman"/>
                <w:sz w:val="24"/>
                <w:highlight w:val="none"/>
              </w:rPr>
              <w:t>60℃</w:t>
            </w:r>
            <w:r>
              <w:rPr>
                <w:spacing w:val="6"/>
                <w:sz w:val="24"/>
                <w:highlight w:val="none"/>
              </w:rPr>
              <w:t xml:space="preserve">或低于 </w:t>
            </w:r>
            <w:r>
              <w:rPr>
                <w:rFonts w:ascii="Times New Roman" w:hAnsi="Times New Roman" w:eastAsia="Times New Roman"/>
                <w:sz w:val="24"/>
                <w:highlight w:val="none"/>
              </w:rPr>
              <w:t>8℃</w:t>
            </w:r>
            <w:r>
              <w:rPr>
                <w:spacing w:val="1"/>
                <w:sz w:val="24"/>
                <w:highlight w:val="none"/>
              </w:rPr>
              <w:t xml:space="preserve">的条件下存放。在 </w:t>
            </w:r>
            <w:r>
              <w:rPr>
                <w:rFonts w:ascii="Times New Roman" w:hAnsi="Times New Roman" w:eastAsia="Times New Roman"/>
                <w:spacing w:val="-70"/>
                <w:sz w:val="24"/>
                <w:highlight w:val="none"/>
              </w:rPr>
              <w:t>8℃</w:t>
            </w:r>
            <w:r>
              <w:rPr>
                <w:spacing w:val="-70"/>
                <w:sz w:val="24"/>
                <w:highlight w:val="none"/>
              </w:rPr>
              <w:t xml:space="preserve">～ </w:t>
            </w:r>
            <w:r>
              <w:rPr>
                <w:rFonts w:ascii="Times New Roman" w:hAnsi="Times New Roman" w:eastAsia="Times New Roman"/>
                <w:sz w:val="24"/>
                <w:highlight w:val="none"/>
              </w:rPr>
              <w:t>60℃</w:t>
            </w:r>
            <w:r>
              <w:rPr>
                <w:spacing w:val="-2"/>
                <w:sz w:val="24"/>
                <w:highlight w:val="none"/>
              </w:rPr>
              <w:t xml:space="preserve">条件下存放超过 </w:t>
            </w:r>
            <w:r>
              <w:rPr>
                <w:rFonts w:ascii="Times New Roman" w:hAnsi="Times New Roman" w:eastAsia="Times New Roman"/>
                <w:sz w:val="24"/>
                <w:highlight w:val="none"/>
              </w:rPr>
              <w:t xml:space="preserve">2 </w:t>
            </w:r>
            <w:r>
              <w:rPr>
                <w:spacing w:val="-5"/>
                <w:sz w:val="24"/>
                <w:highlight w:val="none"/>
              </w:rPr>
              <w:t>小时，且未发生感官性状变化的，食用</w:t>
            </w:r>
          </w:p>
          <w:p>
            <w:pPr>
              <w:pStyle w:val="62"/>
              <w:rPr>
                <w:spacing w:val="-5"/>
                <w:sz w:val="24"/>
                <w:highlight w:val="none"/>
              </w:rPr>
            </w:pPr>
            <w:r>
              <w:rPr>
                <w:sz w:val="24"/>
                <w:highlight w:val="none"/>
              </w:rPr>
              <w:t>前应进行再加热。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center"/>
          </w:tcPr>
          <w:p>
            <w:pPr>
              <w:pStyle w:val="62"/>
              <w:jc w:val="center"/>
              <w:rPr>
                <w:rFonts w:ascii="Times New Roman" w:hAnsi="宋体" w:eastAsia="宋体" w:cs="宋体"/>
                <w:sz w:val="24"/>
                <w:highlight w:val="none"/>
                <w:lang w:val="zh-CN" w:eastAsia="zh-CN" w:bidi="zh-CN"/>
              </w:rPr>
            </w:pPr>
            <w:r>
              <w:rPr>
                <w:rFonts w:ascii="Times New Roman"/>
                <w:sz w:val="24"/>
                <w:highlight w:val="none"/>
              </w:rPr>
              <w:t>12</w:t>
            </w:r>
          </w:p>
        </w:tc>
        <w:tc>
          <w:tcPr>
            <w:tcW w:w="1399" w:type="dxa"/>
            <w:vMerge w:val="restart"/>
            <w:tcBorders>
              <w:left w:val="single" w:color="auto" w:sz="4" w:space="0"/>
              <w:right w:val="single" w:color="auto" w:sz="4" w:space="0"/>
            </w:tcBorders>
            <w:noWrap w:val="0"/>
            <w:vAlign w:val="center"/>
          </w:tcPr>
          <w:p>
            <w:pPr>
              <w:pStyle w:val="62"/>
              <w:jc w:val="center"/>
              <w:rPr>
                <w:rFonts w:ascii="宋体" w:hAnsi="宋体" w:eastAsia="宋体" w:cs="宋体"/>
                <w:sz w:val="24"/>
                <w:highlight w:val="none"/>
                <w:lang w:val="zh-CN" w:eastAsia="zh-CN" w:bidi="zh-CN"/>
              </w:rPr>
            </w:pPr>
            <w:r>
              <w:rPr>
                <w:sz w:val="24"/>
                <w:highlight w:val="none"/>
              </w:rPr>
              <w:t>食品留样管理</w:t>
            </w: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每餐次的食品成品应留样。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pacing w:val="8"/>
                <w:sz w:val="24"/>
                <w:highlight w:val="none"/>
              </w:rPr>
              <w:t>留样食品按照品种分别盛放于清洗消毒后的专用密闭容器</w:t>
            </w:r>
            <w:r>
              <w:rPr>
                <w:spacing w:val="-11"/>
                <w:sz w:val="24"/>
                <w:highlight w:val="none"/>
              </w:rPr>
              <w:t xml:space="preserve">内，在专用冷藏设备中冷藏存放 </w:t>
            </w:r>
            <w:r>
              <w:rPr>
                <w:rFonts w:ascii="Times New Roman" w:eastAsia="Times New Roman"/>
                <w:sz w:val="24"/>
                <w:highlight w:val="none"/>
              </w:rPr>
              <w:t xml:space="preserve">48 </w:t>
            </w:r>
            <w:r>
              <w:rPr>
                <w:spacing w:val="-7"/>
                <w:sz w:val="24"/>
                <w:highlight w:val="none"/>
              </w:rPr>
              <w:t>小时以上。每个品种的留样</w:t>
            </w:r>
          </w:p>
          <w:p>
            <w:pPr>
              <w:pStyle w:val="62"/>
              <w:rPr>
                <w:rFonts w:ascii="宋体" w:hAnsi="宋体" w:eastAsia="宋体" w:cs="宋体"/>
                <w:sz w:val="24"/>
                <w:highlight w:val="none"/>
                <w:lang w:val="zh-CN" w:eastAsia="zh-CN" w:bidi="zh-CN"/>
              </w:rPr>
            </w:pPr>
            <w:r>
              <w:rPr>
                <w:sz w:val="24"/>
                <w:highlight w:val="none"/>
              </w:rPr>
              <w:t xml:space="preserve">量应能满足检验检测需要，且不少于 </w:t>
            </w:r>
            <w:r>
              <w:rPr>
                <w:rFonts w:ascii="Times New Roman" w:eastAsia="Times New Roman"/>
                <w:sz w:val="24"/>
                <w:highlight w:val="none"/>
              </w:rPr>
              <w:t>125g</w:t>
            </w:r>
            <w:r>
              <w:rPr>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z w:val="24"/>
                <w:highlight w:val="none"/>
              </w:rPr>
              <w:t>在盛放留样食品的容器上应标注留样食品名称、留样时间</w:t>
            </w:r>
          </w:p>
          <w:p>
            <w:pPr>
              <w:pStyle w:val="62"/>
              <w:rPr>
                <w:rFonts w:ascii="宋体" w:hAnsi="宋体" w:eastAsia="宋体" w:cs="宋体"/>
                <w:sz w:val="24"/>
                <w:highlight w:val="none"/>
                <w:lang w:val="zh-CN" w:eastAsia="zh-CN" w:bidi="zh-CN"/>
              </w:rPr>
            </w:pPr>
            <w:r>
              <w:rPr>
                <w:sz w:val="24"/>
                <w:highlight w:val="none"/>
              </w:rPr>
              <w:t>（月、日、时），或者标注与留样记录相对应的标识。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由专人管理留样食品、记录留样情况，记录内容包括留样食品名称、留样时间（月、日、时）、留样人员等。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center"/>
          </w:tcPr>
          <w:p>
            <w:pPr>
              <w:pStyle w:val="62"/>
              <w:jc w:val="both"/>
              <w:rPr>
                <w:rFonts w:ascii="Times New Roman" w:hAnsi="宋体" w:eastAsia="宋体" w:cs="宋体"/>
                <w:sz w:val="24"/>
                <w:highlight w:val="none"/>
                <w:lang w:val="zh-CN" w:eastAsia="zh-CN" w:bidi="zh-CN"/>
              </w:rPr>
            </w:pPr>
            <w:r>
              <w:rPr>
                <w:rFonts w:ascii="Times New Roman"/>
                <w:sz w:val="24"/>
                <w:highlight w:val="none"/>
              </w:rPr>
              <w:t>13</w:t>
            </w:r>
          </w:p>
        </w:tc>
        <w:tc>
          <w:tcPr>
            <w:tcW w:w="1399" w:type="dxa"/>
            <w:vMerge w:val="restart"/>
            <w:tcBorders>
              <w:left w:val="single" w:color="auto" w:sz="4" w:space="0"/>
              <w:right w:val="single" w:color="auto" w:sz="4" w:space="0"/>
            </w:tcBorders>
            <w:noWrap w:val="0"/>
            <w:vAlign w:val="center"/>
          </w:tcPr>
          <w:p>
            <w:pPr>
              <w:pStyle w:val="62"/>
              <w:jc w:val="both"/>
              <w:rPr>
                <w:rFonts w:ascii="宋体" w:hAnsi="宋体" w:eastAsia="宋体" w:cs="宋体"/>
                <w:sz w:val="24"/>
                <w:highlight w:val="none"/>
                <w:lang w:val="zh-CN" w:eastAsia="zh-CN" w:bidi="zh-CN"/>
              </w:rPr>
            </w:pPr>
            <w:r>
              <w:rPr>
                <w:sz w:val="24"/>
                <w:highlight w:val="none"/>
              </w:rPr>
              <w:t>供餐管理</w:t>
            </w: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分派菜肴、整理造型的工具使用前应清洗消毒。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加工制作围边、盘花等的材料应符合食品安全要求，使用前应清洗消毒。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z w:val="24"/>
                <w:highlight w:val="none"/>
              </w:rPr>
              <w:t>供餐过程中，应对食品采取有效防护措施，避免食品受到污</w:t>
            </w:r>
          </w:p>
          <w:p>
            <w:pPr>
              <w:pStyle w:val="62"/>
              <w:rPr>
                <w:rFonts w:ascii="宋体" w:hAnsi="宋体" w:eastAsia="宋体" w:cs="宋体"/>
                <w:sz w:val="24"/>
                <w:highlight w:val="none"/>
                <w:lang w:val="zh-CN" w:eastAsia="zh-CN" w:bidi="zh-CN"/>
              </w:rPr>
            </w:pPr>
            <w:r>
              <w:rPr>
                <w:sz w:val="24"/>
                <w:highlight w:val="none"/>
              </w:rPr>
              <w:t>染；应使用清洁的托盘等工具，避免从业人员的手部直接接触食品。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center"/>
          </w:tcPr>
          <w:p>
            <w:pPr>
              <w:pStyle w:val="62"/>
              <w:jc w:val="both"/>
              <w:rPr>
                <w:rFonts w:ascii="Times New Roman" w:hAnsi="宋体" w:eastAsia="宋体" w:cs="宋体"/>
                <w:sz w:val="24"/>
                <w:highlight w:val="none"/>
                <w:lang w:val="zh-CN" w:eastAsia="zh-CN" w:bidi="zh-CN"/>
              </w:rPr>
            </w:pPr>
            <w:r>
              <w:rPr>
                <w:rFonts w:ascii="Times New Roman"/>
                <w:sz w:val="24"/>
                <w:highlight w:val="none"/>
              </w:rPr>
              <w:t>14</w:t>
            </w:r>
          </w:p>
        </w:tc>
        <w:tc>
          <w:tcPr>
            <w:tcW w:w="1399" w:type="dxa"/>
            <w:vMerge w:val="restart"/>
            <w:tcBorders>
              <w:left w:val="single" w:color="auto" w:sz="4" w:space="0"/>
              <w:right w:val="single" w:color="auto" w:sz="4" w:space="0"/>
            </w:tcBorders>
            <w:noWrap w:val="0"/>
            <w:vAlign w:val="center"/>
          </w:tcPr>
          <w:p>
            <w:pPr>
              <w:pStyle w:val="62"/>
              <w:jc w:val="both"/>
              <w:rPr>
                <w:rFonts w:ascii="宋体" w:hAnsi="宋体" w:eastAsia="宋体" w:cs="宋体"/>
                <w:sz w:val="24"/>
                <w:highlight w:val="none"/>
                <w:lang w:val="zh-CN" w:eastAsia="zh-CN" w:bidi="zh-CN"/>
              </w:rPr>
            </w:pPr>
            <w:r>
              <w:rPr>
                <w:sz w:val="24"/>
                <w:highlight w:val="none"/>
              </w:rPr>
              <w:t>餐用具清洗消毒和保洁管理</w:t>
            </w: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餐用具使用后应及时洗净，餐饮具、盛放或接触直接入口食品的容器和工具使用前应消毒。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z w:val="24"/>
                <w:highlight w:val="none"/>
              </w:rPr>
              <w:t>餐用具消毒设备（如自动消毒碗柜等）应连接电源，正常运</w:t>
            </w:r>
          </w:p>
          <w:p>
            <w:pPr>
              <w:pStyle w:val="62"/>
              <w:rPr>
                <w:rFonts w:ascii="宋体" w:hAnsi="宋体" w:eastAsia="宋体" w:cs="宋体"/>
                <w:sz w:val="24"/>
                <w:highlight w:val="none"/>
                <w:lang w:val="zh-CN" w:eastAsia="zh-CN" w:bidi="zh-CN"/>
              </w:rPr>
            </w:pPr>
            <w:r>
              <w:rPr>
                <w:sz w:val="24"/>
                <w:highlight w:val="none"/>
              </w:rPr>
              <w:t>转。定期检查餐用具消毒设备或设施的运行状态。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z w:val="24"/>
                <w:highlight w:val="none"/>
              </w:rPr>
              <w:t>宜沥干、烘干清洗消毒后的餐用具，使用抹布擦干的，抹布</w:t>
            </w:r>
          </w:p>
          <w:p>
            <w:pPr>
              <w:pStyle w:val="62"/>
              <w:rPr>
                <w:rFonts w:ascii="宋体" w:hAnsi="宋体" w:eastAsia="宋体" w:cs="宋体"/>
                <w:sz w:val="24"/>
                <w:highlight w:val="none"/>
                <w:lang w:val="zh-CN" w:eastAsia="zh-CN" w:bidi="zh-CN"/>
              </w:rPr>
            </w:pPr>
            <w:r>
              <w:rPr>
                <w:sz w:val="24"/>
                <w:highlight w:val="none"/>
              </w:rPr>
              <w:t>应专用，并经清洗消毒后方可使用。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不得重复使用一次性餐饮具。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sz w:val="24"/>
                <w:highlight w:val="none"/>
              </w:rPr>
            </w:pPr>
            <w:r>
              <w:rPr>
                <w:sz w:val="24"/>
                <w:highlight w:val="none"/>
              </w:rPr>
              <w:t>消毒后的餐饮具、盛放或接触直接入口食品的容器和工具，</w:t>
            </w:r>
          </w:p>
          <w:p>
            <w:pPr>
              <w:pStyle w:val="62"/>
              <w:rPr>
                <w:rFonts w:ascii="宋体" w:hAnsi="宋体" w:eastAsia="宋体" w:cs="宋体"/>
                <w:sz w:val="24"/>
                <w:highlight w:val="none"/>
                <w:lang w:val="zh-CN" w:eastAsia="zh-CN" w:bidi="zh-CN"/>
              </w:rPr>
            </w:pPr>
            <w:r>
              <w:rPr>
                <w:sz w:val="24"/>
                <w:highlight w:val="none"/>
              </w:rPr>
              <w:t>应定位存放在专用的密闭保洁设施内，保持清洁。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保洁设施应正常运转，有明显的区分标识。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rPr>
                <w:sz w:val="2"/>
                <w:szCs w:val="2"/>
                <w:highlight w:val="none"/>
              </w:rPr>
            </w:pPr>
          </w:p>
        </w:tc>
        <w:tc>
          <w:tcPr>
            <w:tcW w:w="1399" w:type="dxa"/>
            <w:vMerge w:val="continue"/>
            <w:tcBorders>
              <w:left w:val="single" w:color="auto" w:sz="4" w:space="0"/>
              <w:right w:val="single" w:color="auto" w:sz="4" w:space="0"/>
            </w:tcBorders>
            <w:noWrap w:val="0"/>
            <w:vAlign w:val="top"/>
          </w:tcPr>
          <w:p>
            <w:pPr>
              <w:rPr>
                <w:sz w:val="2"/>
                <w:szCs w:val="2"/>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定期清洁保洁设施，防止清洗消毒后的餐用具受到污染。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left w:val="single" w:color="auto" w:sz="4" w:space="0"/>
              <w:right w:val="single" w:color="auto" w:sz="4" w:space="0"/>
            </w:tcBorders>
            <w:noWrap w:val="0"/>
            <w:vAlign w:val="center"/>
          </w:tcPr>
          <w:p>
            <w:pPr>
              <w:pStyle w:val="62"/>
              <w:jc w:val="center"/>
              <w:rPr>
                <w:rFonts w:ascii="Times New Roman" w:hAnsi="宋体" w:eastAsia="宋体" w:cs="宋体"/>
                <w:sz w:val="24"/>
                <w:highlight w:val="none"/>
                <w:lang w:val="zh-CN" w:eastAsia="zh-CN" w:bidi="zh-CN"/>
              </w:rPr>
            </w:pPr>
            <w:r>
              <w:rPr>
                <w:rFonts w:ascii="Times New Roman"/>
                <w:sz w:val="24"/>
                <w:highlight w:val="none"/>
              </w:rPr>
              <w:t>15</w:t>
            </w:r>
          </w:p>
        </w:tc>
        <w:tc>
          <w:tcPr>
            <w:tcW w:w="1399" w:type="dxa"/>
            <w:vMerge w:val="restart"/>
            <w:tcBorders>
              <w:left w:val="single" w:color="auto" w:sz="4" w:space="0"/>
              <w:right w:val="single" w:color="auto" w:sz="4" w:space="0"/>
            </w:tcBorders>
            <w:noWrap w:val="0"/>
            <w:vAlign w:val="center"/>
          </w:tcPr>
          <w:p>
            <w:pPr>
              <w:pStyle w:val="62"/>
              <w:jc w:val="center"/>
              <w:rPr>
                <w:rFonts w:ascii="宋体" w:hAnsi="宋体" w:eastAsia="宋体" w:cs="宋体"/>
                <w:sz w:val="24"/>
                <w:highlight w:val="none"/>
                <w:lang w:val="zh-CN" w:eastAsia="zh-CN" w:bidi="zh-CN"/>
              </w:rPr>
            </w:pPr>
            <w:r>
              <w:rPr>
                <w:sz w:val="24"/>
                <w:highlight w:val="none"/>
              </w:rPr>
              <w:t>废弃物处置管理</w:t>
            </w: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餐厨废弃物分类放置、及时清理，不得溢出存放容器。餐厨废弃物的存放容器应及时清洁，必要时进行消毒。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pStyle w:val="62"/>
              <w:rPr>
                <w:rFonts w:ascii="Times New Roman"/>
                <w:sz w:val="24"/>
                <w:highlight w:val="none"/>
              </w:rPr>
            </w:pPr>
          </w:p>
        </w:tc>
        <w:tc>
          <w:tcPr>
            <w:tcW w:w="1399" w:type="dxa"/>
            <w:vMerge w:val="continue"/>
            <w:tcBorders>
              <w:left w:val="single" w:color="auto" w:sz="4" w:space="0"/>
              <w:right w:val="single" w:color="auto" w:sz="4" w:space="0"/>
            </w:tcBorders>
            <w:noWrap w:val="0"/>
            <w:vAlign w:val="top"/>
          </w:tcPr>
          <w:p>
            <w:pPr>
              <w:pStyle w:val="62"/>
              <w:rPr>
                <w:sz w:val="24"/>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z w:val="24"/>
                <w:highlight w:val="none"/>
              </w:rPr>
              <w:t>索取并留存餐厨废弃物收运者的资质证明复印件（需加盖收运者公章或由收运者签字），并与其签订收运合同，明确各自的食品安全责任和义务。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bottom w:val="single" w:color="auto" w:sz="4" w:space="0"/>
              <w:right w:val="single" w:color="auto" w:sz="4" w:space="0"/>
            </w:tcBorders>
            <w:noWrap w:val="0"/>
            <w:vAlign w:val="top"/>
          </w:tcPr>
          <w:p>
            <w:pPr>
              <w:pStyle w:val="62"/>
              <w:rPr>
                <w:rFonts w:ascii="Times New Roman"/>
                <w:sz w:val="24"/>
                <w:highlight w:val="none"/>
              </w:rPr>
            </w:pPr>
          </w:p>
        </w:tc>
        <w:tc>
          <w:tcPr>
            <w:tcW w:w="1399" w:type="dxa"/>
            <w:vMerge w:val="continue"/>
            <w:tcBorders>
              <w:left w:val="single" w:color="auto" w:sz="4" w:space="0"/>
              <w:bottom w:val="single" w:color="auto" w:sz="4" w:space="0"/>
              <w:right w:val="single" w:color="auto" w:sz="4" w:space="0"/>
            </w:tcBorders>
            <w:noWrap w:val="0"/>
            <w:vAlign w:val="top"/>
          </w:tcPr>
          <w:p>
            <w:pPr>
              <w:pStyle w:val="62"/>
              <w:rPr>
                <w:sz w:val="24"/>
                <w:highlight w:val="none"/>
              </w:rPr>
            </w:pPr>
          </w:p>
        </w:tc>
        <w:tc>
          <w:tcPr>
            <w:tcW w:w="0" w:type="auto"/>
            <w:noWrap w:val="0"/>
            <w:vAlign w:val="top"/>
          </w:tcPr>
          <w:p>
            <w:pPr>
              <w:pStyle w:val="62"/>
              <w:rPr>
                <w:rFonts w:ascii="宋体" w:hAnsi="宋体" w:eastAsia="宋体" w:cs="宋体"/>
                <w:sz w:val="24"/>
                <w:highlight w:val="none"/>
                <w:lang w:val="zh-CN" w:eastAsia="zh-CN" w:bidi="zh-CN"/>
              </w:rPr>
            </w:pPr>
            <w:r>
              <w:rPr>
                <w:spacing w:val="-8"/>
                <w:sz w:val="24"/>
                <w:highlight w:val="none"/>
              </w:rPr>
              <w:t>建立餐厨废弃物处置台账，详细记录餐厨废弃物的处置时间、</w:t>
            </w:r>
            <w:r>
              <w:rPr>
                <w:sz w:val="24"/>
                <w:highlight w:val="none"/>
              </w:rPr>
              <w:t>种类、数量、收运者等信息。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restart"/>
            <w:tcBorders>
              <w:top w:val="single" w:color="auto" w:sz="4" w:space="0"/>
              <w:left w:val="single" w:color="auto" w:sz="4" w:space="0"/>
              <w:right w:val="single" w:color="auto" w:sz="4" w:space="0"/>
            </w:tcBorders>
            <w:noWrap w:val="0"/>
            <w:vAlign w:val="center"/>
          </w:tcPr>
          <w:p>
            <w:pPr>
              <w:pStyle w:val="62"/>
              <w:spacing w:line="360" w:lineRule="auto"/>
              <w:jc w:val="center"/>
              <w:rPr>
                <w:b/>
                <w:sz w:val="26"/>
                <w:highlight w:val="none"/>
              </w:rPr>
            </w:pPr>
          </w:p>
          <w:p>
            <w:pPr>
              <w:pStyle w:val="62"/>
              <w:spacing w:line="360" w:lineRule="auto"/>
              <w:jc w:val="center"/>
              <w:rPr>
                <w:b/>
                <w:sz w:val="26"/>
                <w:highlight w:val="none"/>
              </w:rPr>
            </w:pPr>
          </w:p>
          <w:p>
            <w:pPr>
              <w:pStyle w:val="62"/>
              <w:spacing w:line="360" w:lineRule="auto"/>
              <w:jc w:val="center"/>
              <w:rPr>
                <w:b/>
                <w:sz w:val="26"/>
                <w:highlight w:val="none"/>
              </w:rPr>
            </w:pPr>
          </w:p>
          <w:p>
            <w:pPr>
              <w:pStyle w:val="62"/>
              <w:spacing w:line="360" w:lineRule="auto"/>
              <w:jc w:val="center"/>
              <w:rPr>
                <w:b/>
                <w:sz w:val="26"/>
                <w:highlight w:val="none"/>
              </w:rPr>
            </w:pPr>
          </w:p>
          <w:p>
            <w:pPr>
              <w:pStyle w:val="62"/>
              <w:spacing w:line="360" w:lineRule="auto"/>
              <w:jc w:val="center"/>
              <w:rPr>
                <w:b/>
                <w:sz w:val="26"/>
                <w:highlight w:val="none"/>
              </w:rPr>
            </w:pPr>
          </w:p>
          <w:p>
            <w:pPr>
              <w:pStyle w:val="62"/>
              <w:spacing w:line="360" w:lineRule="auto"/>
              <w:jc w:val="center"/>
              <w:rPr>
                <w:b/>
                <w:sz w:val="26"/>
                <w:highlight w:val="none"/>
              </w:rPr>
            </w:pPr>
          </w:p>
          <w:p>
            <w:pPr>
              <w:pStyle w:val="62"/>
              <w:spacing w:line="360" w:lineRule="auto"/>
              <w:jc w:val="center"/>
              <w:rPr>
                <w:b/>
                <w:sz w:val="26"/>
                <w:highlight w:val="none"/>
              </w:rPr>
            </w:pPr>
          </w:p>
          <w:p>
            <w:pPr>
              <w:pStyle w:val="62"/>
              <w:spacing w:line="360" w:lineRule="auto"/>
              <w:jc w:val="center"/>
              <w:rPr>
                <w:b/>
                <w:sz w:val="26"/>
                <w:highlight w:val="none"/>
              </w:rPr>
            </w:pPr>
          </w:p>
          <w:p>
            <w:pPr>
              <w:pStyle w:val="62"/>
              <w:spacing w:line="360" w:lineRule="auto"/>
              <w:jc w:val="center"/>
              <w:rPr>
                <w:b/>
                <w:sz w:val="26"/>
                <w:highlight w:val="none"/>
              </w:rPr>
            </w:pPr>
          </w:p>
          <w:p>
            <w:pPr>
              <w:pStyle w:val="62"/>
              <w:spacing w:line="360" w:lineRule="auto"/>
              <w:jc w:val="center"/>
              <w:rPr>
                <w:rFonts w:ascii="Times New Roman" w:hAnsi="宋体" w:eastAsia="宋体" w:cs="宋体"/>
                <w:sz w:val="24"/>
                <w:highlight w:val="none"/>
                <w:lang w:val="zh-CN" w:eastAsia="zh-CN" w:bidi="zh-CN"/>
              </w:rPr>
            </w:pPr>
            <w:r>
              <w:rPr>
                <w:rFonts w:ascii="Times New Roman"/>
                <w:sz w:val="24"/>
                <w:highlight w:val="none"/>
              </w:rPr>
              <w:t>16</w:t>
            </w:r>
          </w:p>
        </w:tc>
        <w:tc>
          <w:tcPr>
            <w:tcW w:w="1399" w:type="dxa"/>
            <w:vMerge w:val="restart"/>
            <w:tcBorders>
              <w:top w:val="single" w:color="auto" w:sz="4" w:space="0"/>
              <w:left w:val="single" w:color="auto" w:sz="4" w:space="0"/>
              <w:right w:val="single" w:color="auto" w:sz="4" w:space="0"/>
            </w:tcBorders>
            <w:noWrap w:val="0"/>
            <w:vAlign w:val="top"/>
          </w:tcPr>
          <w:p>
            <w:pPr>
              <w:pStyle w:val="62"/>
              <w:spacing w:line="360" w:lineRule="auto"/>
              <w:rPr>
                <w:b/>
                <w:sz w:val="24"/>
                <w:highlight w:val="none"/>
              </w:rPr>
            </w:pPr>
          </w:p>
          <w:p>
            <w:pPr>
              <w:pStyle w:val="62"/>
              <w:spacing w:line="360" w:lineRule="auto"/>
              <w:rPr>
                <w:b/>
                <w:sz w:val="24"/>
                <w:highlight w:val="none"/>
              </w:rPr>
            </w:pPr>
          </w:p>
          <w:p>
            <w:pPr>
              <w:pStyle w:val="62"/>
              <w:spacing w:line="360" w:lineRule="auto"/>
              <w:rPr>
                <w:b/>
                <w:sz w:val="24"/>
                <w:highlight w:val="none"/>
              </w:rPr>
            </w:pPr>
          </w:p>
          <w:p>
            <w:pPr>
              <w:pStyle w:val="62"/>
              <w:spacing w:line="360" w:lineRule="auto"/>
              <w:rPr>
                <w:b/>
                <w:sz w:val="24"/>
                <w:highlight w:val="none"/>
              </w:rPr>
            </w:pPr>
          </w:p>
          <w:p>
            <w:pPr>
              <w:pStyle w:val="62"/>
              <w:spacing w:line="360" w:lineRule="auto"/>
              <w:rPr>
                <w:b/>
                <w:sz w:val="24"/>
                <w:highlight w:val="none"/>
              </w:rPr>
            </w:pPr>
          </w:p>
          <w:p>
            <w:pPr>
              <w:pStyle w:val="62"/>
              <w:spacing w:line="360" w:lineRule="auto"/>
              <w:rPr>
                <w:b/>
                <w:sz w:val="24"/>
                <w:highlight w:val="none"/>
              </w:rPr>
            </w:pPr>
          </w:p>
          <w:p>
            <w:pPr>
              <w:pStyle w:val="62"/>
              <w:spacing w:line="360" w:lineRule="auto"/>
              <w:rPr>
                <w:b/>
                <w:sz w:val="24"/>
                <w:highlight w:val="none"/>
              </w:rPr>
            </w:pPr>
          </w:p>
          <w:p>
            <w:pPr>
              <w:pStyle w:val="62"/>
              <w:spacing w:line="360" w:lineRule="auto"/>
              <w:rPr>
                <w:b/>
                <w:sz w:val="24"/>
                <w:highlight w:val="none"/>
              </w:rPr>
            </w:pPr>
          </w:p>
          <w:p>
            <w:pPr>
              <w:pStyle w:val="62"/>
              <w:spacing w:line="360" w:lineRule="auto"/>
              <w:rPr>
                <w:b/>
                <w:sz w:val="24"/>
                <w:highlight w:val="none"/>
              </w:rPr>
            </w:pPr>
          </w:p>
          <w:p>
            <w:pPr>
              <w:pStyle w:val="62"/>
              <w:spacing w:line="360" w:lineRule="auto"/>
              <w:rPr>
                <w:b/>
                <w:sz w:val="24"/>
                <w:highlight w:val="none"/>
              </w:rPr>
            </w:pPr>
          </w:p>
          <w:p>
            <w:pPr>
              <w:pStyle w:val="62"/>
              <w:spacing w:line="360" w:lineRule="auto"/>
              <w:rPr>
                <w:rFonts w:ascii="宋体" w:hAnsi="宋体" w:eastAsia="宋体" w:cs="宋体"/>
                <w:sz w:val="24"/>
                <w:highlight w:val="none"/>
                <w:lang w:val="zh-CN" w:eastAsia="zh-CN" w:bidi="zh-CN"/>
              </w:rPr>
            </w:pPr>
            <w:r>
              <w:rPr>
                <w:sz w:val="24"/>
                <w:highlight w:val="none"/>
              </w:rPr>
              <w:t>从业人员管理</w:t>
            </w:r>
          </w:p>
        </w:tc>
        <w:tc>
          <w:tcPr>
            <w:tcW w:w="0" w:type="auto"/>
            <w:noWrap w:val="0"/>
            <w:vAlign w:val="top"/>
          </w:tcPr>
          <w:p>
            <w:pPr>
              <w:pStyle w:val="62"/>
              <w:spacing w:line="360" w:lineRule="auto"/>
              <w:rPr>
                <w:sz w:val="24"/>
                <w:highlight w:val="none"/>
              </w:rPr>
            </w:pPr>
            <w:r>
              <w:rPr>
                <w:sz w:val="24"/>
                <w:highlight w:val="none"/>
              </w:rPr>
              <w:t>患有发热、腹泻、咽部炎症等病症及皮肤有伤口或感染的从业人员，应主动向食品安全管理人员等报告，暂停从事接触直接入口食品的工作，必要时进行临时健康检查，待查明原因并</w:t>
            </w:r>
          </w:p>
          <w:p>
            <w:pPr>
              <w:pStyle w:val="62"/>
              <w:rPr>
                <w:sz w:val="24"/>
                <w:highlight w:val="none"/>
              </w:rPr>
            </w:pPr>
            <w:r>
              <w:rPr>
                <w:sz w:val="24"/>
                <w:highlight w:val="none"/>
              </w:rPr>
              <w:t>将有碍食品安全的疾病治愈后方可重新上岗。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vMerge w:val="continue"/>
            <w:tcBorders>
              <w:left w:val="single" w:color="auto" w:sz="4" w:space="0"/>
              <w:right w:val="single" w:color="auto" w:sz="4" w:space="0"/>
            </w:tcBorders>
            <w:noWrap w:val="0"/>
            <w:vAlign w:val="top"/>
          </w:tcPr>
          <w:p>
            <w:pPr>
              <w:pStyle w:val="62"/>
              <w:rPr>
                <w:rFonts w:ascii="Times New Roman"/>
                <w:sz w:val="24"/>
                <w:highlight w:val="none"/>
              </w:rPr>
            </w:pPr>
          </w:p>
        </w:tc>
        <w:tc>
          <w:tcPr>
            <w:tcW w:w="1399" w:type="dxa"/>
            <w:vMerge w:val="continue"/>
            <w:tcBorders>
              <w:left w:val="single" w:color="auto" w:sz="4" w:space="0"/>
              <w:right w:val="single" w:color="auto" w:sz="4" w:space="0"/>
            </w:tcBorders>
            <w:noWrap w:val="0"/>
            <w:vAlign w:val="top"/>
          </w:tcPr>
          <w:p>
            <w:pPr>
              <w:pStyle w:val="62"/>
              <w:rPr>
                <w:sz w:val="24"/>
                <w:highlight w:val="none"/>
              </w:rPr>
            </w:pPr>
          </w:p>
        </w:tc>
        <w:tc>
          <w:tcPr>
            <w:tcW w:w="0" w:type="auto"/>
            <w:noWrap w:val="0"/>
            <w:vAlign w:val="top"/>
          </w:tcPr>
          <w:p>
            <w:pPr>
              <w:pStyle w:val="62"/>
              <w:spacing w:line="360" w:lineRule="auto"/>
              <w:rPr>
                <w:sz w:val="24"/>
                <w:highlight w:val="none"/>
              </w:rPr>
            </w:pPr>
            <w:r>
              <w:rPr>
                <w:sz w:val="24"/>
                <w:highlight w:val="none"/>
              </w:rPr>
              <w:t>患有霍乱、细菌性和阿米巴性痢疾、伤寒和副伤寒、病毒性肝炎（甲型、戊型）、活动性肺结核、化脓性或者渗出性皮肤病等国务院卫生行政部门规定的有碍食品安全疾病的人员，不</w:t>
            </w:r>
          </w:p>
          <w:p>
            <w:pPr>
              <w:pStyle w:val="62"/>
              <w:spacing w:line="360" w:lineRule="auto"/>
              <w:rPr>
                <w:rFonts w:ascii="宋体" w:hAnsi="宋体" w:eastAsia="宋体" w:cs="宋体"/>
                <w:sz w:val="24"/>
                <w:highlight w:val="none"/>
                <w:lang w:val="zh-CN" w:eastAsia="zh-CN" w:bidi="zh-CN"/>
              </w:rPr>
            </w:pPr>
            <w:r>
              <w:rPr>
                <w:sz w:val="24"/>
                <w:highlight w:val="none"/>
              </w:rPr>
              <w:t>得从事接触直接入口食品的工作。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1004" w:type="dxa"/>
            <w:vMerge w:val="continue"/>
            <w:tcBorders>
              <w:left w:val="single" w:color="auto" w:sz="4" w:space="0"/>
              <w:bottom w:val="single" w:color="auto" w:sz="4" w:space="0"/>
              <w:right w:val="single" w:color="auto" w:sz="4" w:space="0"/>
            </w:tcBorders>
            <w:noWrap w:val="0"/>
            <w:vAlign w:val="top"/>
          </w:tcPr>
          <w:p>
            <w:pPr>
              <w:pStyle w:val="62"/>
              <w:rPr>
                <w:rFonts w:ascii="Times New Roman"/>
                <w:sz w:val="24"/>
                <w:highlight w:val="none"/>
              </w:rPr>
            </w:pPr>
          </w:p>
        </w:tc>
        <w:tc>
          <w:tcPr>
            <w:tcW w:w="1399" w:type="dxa"/>
            <w:vMerge w:val="continue"/>
            <w:tcBorders>
              <w:left w:val="single" w:color="auto" w:sz="4" w:space="0"/>
              <w:right w:val="single" w:color="auto" w:sz="4" w:space="0"/>
            </w:tcBorders>
            <w:noWrap w:val="0"/>
            <w:vAlign w:val="top"/>
          </w:tcPr>
          <w:p>
            <w:pPr>
              <w:pStyle w:val="62"/>
              <w:rPr>
                <w:sz w:val="24"/>
                <w:highlight w:val="none"/>
              </w:rPr>
            </w:pPr>
          </w:p>
        </w:tc>
        <w:tc>
          <w:tcPr>
            <w:tcW w:w="0" w:type="auto"/>
            <w:noWrap w:val="0"/>
            <w:vAlign w:val="top"/>
          </w:tcPr>
          <w:p>
            <w:pPr>
              <w:pStyle w:val="62"/>
              <w:spacing w:line="360" w:lineRule="auto"/>
              <w:rPr>
                <w:sz w:val="24"/>
                <w:highlight w:val="none"/>
              </w:rPr>
            </w:pPr>
            <w:r>
              <w:rPr>
                <w:sz w:val="24"/>
                <w:highlight w:val="none"/>
              </w:rPr>
              <w:t>从业人员应根据采购人要求提交“健康证”，在加工制作食品前，应洗净手部。加工制作过程中，应保持手部清洁。出现下列情形时，应重新洗净手部：</w:t>
            </w:r>
          </w:p>
          <w:p>
            <w:pPr>
              <w:pStyle w:val="62"/>
              <w:spacing w:line="360" w:lineRule="auto"/>
              <w:rPr>
                <w:sz w:val="24"/>
                <w:highlight w:val="none"/>
              </w:rPr>
            </w:pPr>
            <w:r>
              <w:rPr>
                <w:rFonts w:ascii="Times New Roman" w:eastAsia="Times New Roman"/>
                <w:sz w:val="24"/>
                <w:highlight w:val="none"/>
              </w:rPr>
              <w:t>1</w:t>
            </w:r>
            <w:r>
              <w:rPr>
                <w:sz w:val="24"/>
                <w:highlight w:val="none"/>
              </w:rPr>
              <w:t>、加工制作不同存在形式的食品前；</w:t>
            </w:r>
          </w:p>
          <w:p>
            <w:pPr>
              <w:pStyle w:val="62"/>
              <w:spacing w:line="360" w:lineRule="auto"/>
              <w:rPr>
                <w:sz w:val="24"/>
                <w:highlight w:val="none"/>
              </w:rPr>
            </w:pPr>
            <w:r>
              <w:rPr>
                <w:rFonts w:ascii="Times New Roman" w:eastAsia="Times New Roman"/>
                <w:sz w:val="24"/>
                <w:highlight w:val="none"/>
              </w:rPr>
              <w:t>2</w:t>
            </w:r>
            <w:r>
              <w:rPr>
                <w:sz w:val="24"/>
                <w:highlight w:val="none"/>
              </w:rPr>
              <w:t>、清理环境卫生、接触化学物品或不洁物品（落地的食品、</w:t>
            </w:r>
            <w:r>
              <w:rPr>
                <w:spacing w:val="-4"/>
                <w:sz w:val="24"/>
                <w:highlight w:val="none"/>
              </w:rPr>
              <w:t>受到污染的工具容器和设备、餐厨废弃物、钱币、手机等</w:t>
            </w:r>
            <w:r>
              <w:rPr>
                <w:spacing w:val="-20"/>
                <w:sz w:val="24"/>
                <w:highlight w:val="none"/>
              </w:rPr>
              <w:t>）</w:t>
            </w:r>
            <w:r>
              <w:rPr>
                <w:spacing w:val="-6"/>
                <w:sz w:val="24"/>
                <w:highlight w:val="none"/>
              </w:rPr>
              <w:t>后；</w:t>
            </w:r>
          </w:p>
          <w:p>
            <w:pPr>
              <w:pStyle w:val="62"/>
              <w:spacing w:line="360" w:lineRule="auto"/>
              <w:rPr>
                <w:rFonts w:ascii="宋体" w:hAnsi="宋体" w:eastAsia="宋体" w:cs="宋体"/>
                <w:sz w:val="24"/>
                <w:highlight w:val="none"/>
                <w:lang w:val="zh-CN" w:eastAsia="zh-CN" w:bidi="zh-CN"/>
              </w:rPr>
            </w:pPr>
            <w:r>
              <w:rPr>
                <w:rFonts w:ascii="Times New Roman" w:eastAsia="Times New Roman"/>
                <w:sz w:val="24"/>
                <w:highlight w:val="none"/>
              </w:rPr>
              <w:t>3</w:t>
            </w:r>
            <w:r>
              <w:rPr>
                <w:sz w:val="24"/>
                <w:highlight w:val="none"/>
              </w:rPr>
              <w:t>、咳嗽、打喷嚏及擤鼻涕后。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04" w:type="dxa"/>
            <w:tcBorders>
              <w:top w:val="single" w:color="auto" w:sz="4" w:space="0"/>
              <w:left w:val="single" w:color="auto" w:sz="4" w:space="0"/>
              <w:right w:val="single" w:color="auto" w:sz="4" w:space="0"/>
            </w:tcBorders>
            <w:noWrap w:val="0"/>
            <w:vAlign w:val="top"/>
          </w:tcPr>
          <w:p>
            <w:pPr>
              <w:pStyle w:val="62"/>
              <w:rPr>
                <w:rFonts w:ascii="Times New Roman"/>
                <w:sz w:val="24"/>
                <w:highlight w:val="none"/>
              </w:rPr>
            </w:pPr>
          </w:p>
        </w:tc>
        <w:tc>
          <w:tcPr>
            <w:tcW w:w="1399" w:type="dxa"/>
            <w:tcBorders>
              <w:left w:val="single" w:color="auto" w:sz="4" w:space="0"/>
              <w:right w:val="single" w:color="auto" w:sz="4" w:space="0"/>
            </w:tcBorders>
            <w:noWrap w:val="0"/>
            <w:vAlign w:val="top"/>
          </w:tcPr>
          <w:p>
            <w:pPr>
              <w:pStyle w:val="62"/>
              <w:rPr>
                <w:sz w:val="24"/>
                <w:highlight w:val="none"/>
              </w:rPr>
            </w:pPr>
          </w:p>
        </w:tc>
        <w:tc>
          <w:tcPr>
            <w:tcW w:w="0" w:type="auto"/>
            <w:noWrap w:val="0"/>
            <w:vAlign w:val="top"/>
          </w:tcPr>
          <w:p>
            <w:pPr>
              <w:pStyle w:val="62"/>
              <w:spacing w:line="360" w:lineRule="auto"/>
              <w:rPr>
                <w:rFonts w:ascii="宋体" w:hAnsi="宋体" w:eastAsia="宋体" w:cs="宋体"/>
                <w:sz w:val="24"/>
                <w:highlight w:val="none"/>
                <w:lang w:val="zh-CN" w:eastAsia="zh-CN" w:bidi="zh-CN"/>
              </w:rPr>
            </w:pPr>
            <w:r>
              <w:rPr>
                <w:sz w:val="24"/>
                <w:highlight w:val="none"/>
              </w:rPr>
              <w:t>专间内从业人员离开专间时，应脱去专间专用工作服。</w:t>
            </w:r>
          </w:p>
        </w:tc>
      </w:tr>
    </w:tbl>
    <w:p>
      <w:pPr>
        <w:pStyle w:val="60"/>
        <w:tabs>
          <w:tab w:val="left" w:pos="1634"/>
        </w:tabs>
        <w:spacing w:before="71" w:line="360" w:lineRule="auto"/>
        <w:ind w:left="0" w:leftChars="0" w:firstLine="0" w:firstLineChars="0"/>
        <w:rPr>
          <w:rFonts w:hint="eastAsia"/>
          <w:b/>
          <w:sz w:val="28"/>
          <w:highlight w:val="none"/>
        </w:rPr>
      </w:pPr>
    </w:p>
    <w:p>
      <w:pPr>
        <w:pStyle w:val="60"/>
        <w:tabs>
          <w:tab w:val="left" w:pos="1634"/>
        </w:tabs>
        <w:spacing w:before="71" w:line="360" w:lineRule="auto"/>
        <w:ind w:left="420" w:leftChars="200" w:firstLine="0" w:firstLineChars="0"/>
        <w:rPr>
          <w:b/>
          <w:sz w:val="28"/>
          <w:highlight w:val="none"/>
        </w:rPr>
      </w:pPr>
      <w:r>
        <w:rPr>
          <w:rFonts w:hint="eastAsia"/>
          <w:b/>
          <w:sz w:val="28"/>
          <w:highlight w:val="none"/>
        </w:rPr>
        <w:t>（四）</w:t>
      </w:r>
      <w:r>
        <w:rPr>
          <w:b/>
          <w:sz w:val="28"/>
          <w:highlight w:val="none"/>
        </w:rPr>
        <w:t>监督、考核要求</w:t>
      </w:r>
    </w:p>
    <w:p>
      <w:pPr>
        <w:pStyle w:val="60"/>
        <w:tabs>
          <w:tab w:val="left" w:pos="1564"/>
        </w:tabs>
        <w:spacing w:line="360" w:lineRule="auto"/>
        <w:ind w:firstLine="468"/>
        <w:rPr>
          <w:rFonts w:hint="eastAsia" w:ascii="宋体" w:hAnsi="宋体" w:cs="宋体"/>
          <w:sz w:val="24"/>
          <w:highlight w:val="none"/>
        </w:rPr>
      </w:pPr>
      <w:r>
        <w:rPr>
          <w:rFonts w:hint="eastAsia" w:ascii="宋体" w:hAnsi="宋体" w:cs="宋体"/>
          <w:spacing w:val="-3"/>
          <w:sz w:val="24"/>
          <w:highlight w:val="none"/>
        </w:rPr>
        <w:t>1、投标人应提供能够高效、全面地对投标人食堂服务进行评判、满意度调查、意见反馈及整改跟进的组织手段和设备。</w:t>
      </w:r>
    </w:p>
    <w:p>
      <w:pPr>
        <w:pStyle w:val="60"/>
        <w:tabs>
          <w:tab w:val="left" w:pos="1564"/>
        </w:tabs>
        <w:spacing w:line="360" w:lineRule="auto"/>
        <w:ind w:firstLine="436"/>
        <w:rPr>
          <w:sz w:val="28"/>
          <w:highlight w:val="none"/>
        </w:rPr>
      </w:pPr>
      <w:r>
        <w:rPr>
          <w:rFonts w:hint="eastAsia" w:ascii="宋体" w:hAnsi="宋体" w:cs="宋体"/>
          <w:spacing w:val="-11"/>
          <w:sz w:val="24"/>
          <w:highlight w:val="none"/>
        </w:rPr>
        <w:t>2、食堂实行政府食品安全主管部门、采购人、投标人进行三重监</w:t>
      </w:r>
      <w:r>
        <w:rPr>
          <w:rFonts w:hint="eastAsia" w:ascii="宋体" w:hAnsi="宋体" w:cs="宋体"/>
          <w:spacing w:val="-5"/>
          <w:sz w:val="24"/>
          <w:highlight w:val="none"/>
        </w:rPr>
        <w:t>管，监管的内容包括重点项、一般项、现场精细化管理项三个方面。</w:t>
      </w:r>
      <w:r>
        <w:rPr>
          <w:rFonts w:hint="eastAsia" w:ascii="宋体" w:hAnsi="宋体" w:cs="宋体"/>
          <w:spacing w:val="-4"/>
          <w:sz w:val="24"/>
          <w:highlight w:val="none"/>
        </w:rPr>
        <w:t>重点项为食品安全包括原料、半成品、成品存放和使用，盛用具、餐</w:t>
      </w:r>
      <w:r>
        <w:rPr>
          <w:rFonts w:hint="eastAsia" w:ascii="宋体" w:hAnsi="宋体" w:cs="宋体"/>
          <w:spacing w:val="-13"/>
          <w:sz w:val="24"/>
          <w:highlight w:val="none"/>
        </w:rPr>
        <w:t>具存放和使用，设备、设施和其他操作规范、冰箱、冷库管理等内容；</w:t>
      </w:r>
      <w:r>
        <w:rPr>
          <w:rFonts w:hint="eastAsia" w:ascii="宋体" w:hAnsi="宋体" w:cs="宋体"/>
          <w:sz w:val="24"/>
          <w:highlight w:val="none"/>
        </w:rPr>
        <w:t>一般项包括员工日常管理、员工操作规范要求、环境卫生要求等；现场精细化管理包括办公室管理、卫生间管理、餐厅管理等。监管应充分发挥考核“监督、检查、牵引、推动”职能作用，确保食堂安全管理特别是食品安全“零事故”。</w:t>
      </w:r>
    </w:p>
    <w:p>
      <w:pPr>
        <w:pStyle w:val="60"/>
        <w:tabs>
          <w:tab w:val="left" w:pos="1569"/>
        </w:tabs>
        <w:spacing w:line="360" w:lineRule="auto"/>
        <w:ind w:firstLine="496"/>
        <w:jc w:val="left"/>
        <w:rPr>
          <w:rFonts w:hint="eastAsia" w:ascii="宋体" w:hAnsi="宋体" w:cs="宋体"/>
          <w:sz w:val="24"/>
          <w:highlight w:val="none"/>
        </w:rPr>
      </w:pPr>
      <w:r>
        <w:rPr>
          <w:rFonts w:hint="eastAsia" w:ascii="宋体" w:hAnsi="宋体" w:cs="宋体"/>
          <w:spacing w:val="4"/>
          <w:sz w:val="24"/>
          <w:highlight w:val="none"/>
        </w:rPr>
        <w:t>3、投标人每季度开展一次采购人员工对食堂运营情况（</w:t>
      </w:r>
      <w:r>
        <w:rPr>
          <w:rFonts w:hint="eastAsia" w:ascii="宋体" w:hAnsi="宋体" w:cs="宋体"/>
          <w:spacing w:val="2"/>
          <w:sz w:val="24"/>
          <w:highlight w:val="none"/>
        </w:rPr>
        <w:t>菜品种</w:t>
      </w:r>
      <w:r>
        <w:rPr>
          <w:rFonts w:hint="eastAsia" w:ascii="宋体" w:hAnsi="宋体" w:cs="宋体"/>
          <w:spacing w:val="-3"/>
          <w:sz w:val="24"/>
          <w:highlight w:val="none"/>
        </w:rPr>
        <w:t>类、菜品味道、环境卫生、增值服务等</w:t>
      </w:r>
      <w:r>
        <w:rPr>
          <w:rFonts w:hint="eastAsia" w:ascii="宋体" w:hAnsi="宋体" w:cs="宋体"/>
          <w:sz w:val="24"/>
          <w:highlight w:val="none"/>
        </w:rPr>
        <w:t>）</w:t>
      </w:r>
      <w:r>
        <w:rPr>
          <w:rFonts w:hint="eastAsia" w:ascii="宋体" w:hAnsi="宋体" w:cs="宋体"/>
          <w:spacing w:val="-2"/>
          <w:sz w:val="24"/>
          <w:highlight w:val="none"/>
        </w:rPr>
        <w:t>的满意度调查；不定期接受</w:t>
      </w:r>
      <w:r>
        <w:rPr>
          <w:rFonts w:hint="eastAsia" w:ascii="宋体" w:hAnsi="宋体" w:cs="宋体"/>
          <w:spacing w:val="-11"/>
          <w:sz w:val="24"/>
          <w:highlight w:val="none"/>
        </w:rPr>
        <w:t>第三方满意度调查机构对投标人食堂运营情况进行综合</w:t>
      </w:r>
      <w:r>
        <w:rPr>
          <w:rFonts w:hint="eastAsia" w:ascii="宋体" w:hAnsi="宋体" w:cs="宋体"/>
          <w:spacing w:val="-10"/>
          <w:sz w:val="24"/>
          <w:highlight w:val="none"/>
        </w:rPr>
        <w:t>（配送服务、菜</w:t>
      </w:r>
      <w:r>
        <w:rPr>
          <w:rFonts w:hint="eastAsia" w:ascii="宋体" w:hAnsi="宋体" w:cs="宋体"/>
          <w:spacing w:val="-21"/>
          <w:sz w:val="24"/>
          <w:highlight w:val="none"/>
        </w:rPr>
        <w:t>品质量、食品安全管理、食堂环境卫生、日常考评情况等</w:t>
      </w:r>
      <w:r>
        <w:rPr>
          <w:rFonts w:hint="eastAsia" w:ascii="宋体" w:hAnsi="宋体" w:cs="宋体"/>
          <w:spacing w:val="-49"/>
          <w:sz w:val="24"/>
          <w:highlight w:val="none"/>
        </w:rPr>
        <w:t>）</w:t>
      </w:r>
      <w:r>
        <w:rPr>
          <w:rFonts w:hint="eastAsia" w:ascii="宋体" w:hAnsi="宋体" w:cs="宋体"/>
          <w:spacing w:val="-9"/>
          <w:sz w:val="24"/>
          <w:highlight w:val="none"/>
        </w:rPr>
        <w:t xml:space="preserve">满意度测评； </w:t>
      </w:r>
      <w:r>
        <w:rPr>
          <w:rFonts w:hint="eastAsia" w:ascii="宋体" w:hAnsi="宋体" w:cs="宋体"/>
          <w:spacing w:val="-3"/>
          <w:sz w:val="24"/>
          <w:highlight w:val="none"/>
        </w:rPr>
        <w:t>接受食品安全管理主管部门对投标人日常监督考核。</w:t>
      </w:r>
    </w:p>
    <w:p>
      <w:pPr>
        <w:pStyle w:val="60"/>
        <w:tabs>
          <w:tab w:val="left" w:pos="1538"/>
        </w:tabs>
        <w:spacing w:line="360" w:lineRule="auto"/>
        <w:ind w:firstLine="456"/>
        <w:rPr>
          <w:rFonts w:hint="eastAsia" w:ascii="宋体" w:hAnsi="宋体" w:cs="宋体"/>
          <w:sz w:val="24"/>
          <w:highlight w:val="none"/>
        </w:rPr>
      </w:pPr>
      <w:r>
        <w:rPr>
          <w:rFonts w:hint="eastAsia" w:ascii="宋体" w:hAnsi="宋体" w:cs="宋体"/>
          <w:spacing w:val="-6"/>
          <w:sz w:val="24"/>
          <w:highlight w:val="none"/>
        </w:rPr>
        <w:t>4、投标人应建立餐厅顾客投诉意见和满意度调查平台。统一顾客</w:t>
      </w:r>
      <w:r>
        <w:rPr>
          <w:rFonts w:hint="eastAsia" w:ascii="宋体" w:hAnsi="宋体" w:cs="宋体"/>
          <w:spacing w:val="-9"/>
          <w:sz w:val="24"/>
          <w:highlight w:val="none"/>
        </w:rPr>
        <w:t>投诉受理渠道</w:t>
      </w:r>
      <w:r>
        <w:rPr>
          <w:rFonts w:hint="eastAsia" w:ascii="宋体" w:hAnsi="宋体" w:cs="宋体"/>
          <w:spacing w:val="-4"/>
          <w:sz w:val="24"/>
          <w:highlight w:val="none"/>
        </w:rPr>
        <w:t>,</w:t>
      </w:r>
      <w:r>
        <w:rPr>
          <w:rFonts w:hint="eastAsia" w:ascii="宋体" w:hAnsi="宋体" w:cs="宋体"/>
          <w:spacing w:val="-8"/>
          <w:sz w:val="24"/>
          <w:highlight w:val="none"/>
        </w:rPr>
        <w:t>规范顾客投诉处理流程</w:t>
      </w:r>
      <w:r>
        <w:rPr>
          <w:rFonts w:hint="eastAsia" w:ascii="宋体" w:hAnsi="宋体" w:cs="宋体"/>
          <w:sz w:val="24"/>
          <w:highlight w:val="none"/>
        </w:rPr>
        <w:t>,</w:t>
      </w:r>
      <w:r>
        <w:rPr>
          <w:rFonts w:hint="eastAsia" w:ascii="宋体" w:hAnsi="宋体" w:cs="宋体"/>
          <w:spacing w:val="-9"/>
          <w:sz w:val="24"/>
          <w:highlight w:val="none"/>
        </w:rPr>
        <w:t>提高顾客投诉处理的效率与质量</w:t>
      </w:r>
      <w:r>
        <w:rPr>
          <w:rFonts w:hint="eastAsia" w:ascii="宋体" w:hAnsi="宋体" w:cs="宋体"/>
          <w:sz w:val="24"/>
          <w:highlight w:val="none"/>
        </w:rPr>
        <w:t xml:space="preserve">, </w:t>
      </w:r>
      <w:r>
        <w:rPr>
          <w:rFonts w:hint="eastAsia" w:ascii="宋体" w:hAnsi="宋体" w:cs="宋体"/>
          <w:spacing w:val="-13"/>
          <w:sz w:val="24"/>
          <w:highlight w:val="none"/>
        </w:rPr>
        <w:t>提高顾客满意度。要做好职工的饮食服务回访活动，及时了解职工对饭</w:t>
      </w:r>
      <w:r>
        <w:rPr>
          <w:rFonts w:hint="eastAsia" w:ascii="宋体" w:hAnsi="宋体" w:cs="宋体"/>
          <w:spacing w:val="-10"/>
          <w:sz w:val="24"/>
          <w:highlight w:val="none"/>
        </w:rPr>
        <w:t>菜质量和服务满意度情况，做好饮食保障协调和调整工作。</w:t>
      </w:r>
    </w:p>
    <w:p>
      <w:pPr>
        <w:pStyle w:val="60"/>
        <w:tabs>
          <w:tab w:val="left" w:pos="1564"/>
        </w:tabs>
        <w:spacing w:line="360" w:lineRule="auto"/>
        <w:ind w:firstLine="424"/>
        <w:rPr>
          <w:highlight w:val="none"/>
        </w:rPr>
      </w:pPr>
      <w:r>
        <w:rPr>
          <w:rFonts w:hint="eastAsia" w:ascii="宋体" w:hAnsi="宋体" w:cs="宋体"/>
          <w:spacing w:val="-14"/>
          <w:sz w:val="24"/>
          <w:highlight w:val="none"/>
        </w:rPr>
        <w:t>5、采购人按照“双随机、一公开”原则对投标人整体运营情况进</w:t>
      </w:r>
      <w:r>
        <w:rPr>
          <w:rFonts w:hint="eastAsia" w:ascii="宋体" w:hAnsi="宋体" w:cs="宋体"/>
          <w:spacing w:val="-7"/>
          <w:sz w:val="24"/>
          <w:highlight w:val="none"/>
        </w:rPr>
        <w:t>行抽查。投标人对监督考核发现问题及时列出整改方案进行整改，采</w:t>
      </w:r>
      <w:r>
        <w:rPr>
          <w:rFonts w:hint="eastAsia" w:ascii="宋体" w:hAnsi="宋体" w:cs="宋体"/>
          <w:spacing w:val="-3"/>
          <w:sz w:val="24"/>
          <w:highlight w:val="none"/>
        </w:rPr>
        <w:t xml:space="preserve">购人有权按整改或整改不到位问题进行处罚 </w:t>
      </w:r>
      <w:r>
        <w:rPr>
          <w:rFonts w:hint="eastAsia" w:ascii="宋体" w:hAnsi="宋体" w:cs="宋体"/>
          <w:sz w:val="24"/>
          <w:highlight w:val="none"/>
        </w:rPr>
        <w:t>500</w:t>
      </w:r>
      <w:r>
        <w:rPr>
          <w:rFonts w:hint="eastAsia" w:ascii="宋体" w:hAnsi="宋体" w:cs="宋体"/>
          <w:spacing w:val="23"/>
          <w:sz w:val="24"/>
          <w:highlight w:val="none"/>
        </w:rPr>
        <w:t xml:space="preserve"> </w:t>
      </w:r>
      <w:r>
        <w:rPr>
          <w:rFonts w:hint="eastAsia" w:ascii="宋体" w:hAnsi="宋体" w:cs="宋体"/>
          <w:spacing w:val="4"/>
          <w:sz w:val="24"/>
          <w:highlight w:val="none"/>
        </w:rPr>
        <w:t>元</w:t>
      </w:r>
      <w:r>
        <w:rPr>
          <w:rFonts w:hint="eastAsia" w:ascii="宋体" w:hAnsi="宋体" w:cs="宋体"/>
          <w:spacing w:val="3"/>
          <w:sz w:val="24"/>
          <w:highlight w:val="none"/>
        </w:rPr>
        <w:t>/</w:t>
      </w:r>
      <w:r>
        <w:rPr>
          <w:rFonts w:hint="eastAsia" w:ascii="宋体" w:hAnsi="宋体" w:cs="宋体"/>
          <w:spacing w:val="4"/>
          <w:sz w:val="24"/>
          <w:highlight w:val="none"/>
        </w:rPr>
        <w:t>次</w:t>
      </w:r>
      <w:r>
        <w:rPr>
          <w:rFonts w:hint="eastAsia" w:ascii="宋体" w:hAnsi="宋体" w:cs="宋体"/>
          <w:spacing w:val="3"/>
          <w:sz w:val="24"/>
          <w:highlight w:val="none"/>
        </w:rPr>
        <w:t>/</w:t>
      </w:r>
      <w:r>
        <w:rPr>
          <w:rFonts w:hint="eastAsia" w:ascii="宋体" w:hAnsi="宋体" w:cs="宋体"/>
          <w:sz w:val="24"/>
          <w:highlight w:val="none"/>
        </w:rPr>
        <w:t>项，处罚资金</w:t>
      </w:r>
      <w:r>
        <w:rPr>
          <w:rFonts w:hint="eastAsia" w:ascii="宋体" w:hAnsi="宋体" w:cs="宋体"/>
          <w:spacing w:val="-3"/>
          <w:sz w:val="24"/>
          <w:highlight w:val="none"/>
        </w:rPr>
        <w:t>留作采购人对投标人的管理考核基金，在后续考核中使用；年度平均</w:t>
      </w:r>
      <w:r>
        <w:rPr>
          <w:rFonts w:hint="eastAsia" w:ascii="宋体" w:hAnsi="宋体" w:cs="宋体"/>
          <w:spacing w:val="-14"/>
          <w:sz w:val="24"/>
          <w:highlight w:val="none"/>
        </w:rPr>
        <w:t xml:space="preserve">满意度测评结果低于 </w:t>
      </w:r>
      <w:r>
        <w:rPr>
          <w:rFonts w:hint="eastAsia" w:ascii="宋体" w:hAnsi="宋体" w:cs="宋体"/>
          <w:spacing w:val="-13"/>
          <w:sz w:val="24"/>
          <w:highlight w:val="none"/>
        </w:rPr>
        <w:t>80%，采购人有权立即终止合同，并拒绝续签后续合同，由此带来的经济损失和责任由投标人承担；因整改不到位造成的</w:t>
      </w:r>
      <w:r>
        <w:rPr>
          <w:rFonts w:hint="eastAsia" w:ascii="宋体" w:hAnsi="宋体" w:cs="宋体"/>
          <w:spacing w:val="-12"/>
          <w:sz w:val="24"/>
          <w:highlight w:val="none"/>
        </w:rPr>
        <w:t>损失和责任由投标人承担，包括政府行政部门的所有罚款和行政、法律</w:t>
      </w:r>
      <w:r>
        <w:rPr>
          <w:rFonts w:hint="eastAsia" w:ascii="宋体" w:hAnsi="宋体" w:cs="宋体"/>
          <w:spacing w:val="-10"/>
          <w:sz w:val="24"/>
          <w:highlight w:val="none"/>
        </w:rPr>
        <w:t>责任、对个人、集体的赔偿费用及由此给采购人造成的其他损失。</w:t>
      </w:r>
    </w:p>
    <w:p>
      <w:pPr>
        <w:pStyle w:val="5"/>
        <w:numPr>
          <w:ilvl w:val="0"/>
          <w:numId w:val="0"/>
        </w:numPr>
        <w:spacing w:line="240" w:lineRule="auto"/>
        <w:jc w:val="center"/>
        <w:rPr>
          <w:highlight w:val="none"/>
        </w:rPr>
      </w:pPr>
      <w:r>
        <w:rPr>
          <w:highlight w:val="none"/>
        </w:rPr>
        <w:t>考评标准</w:t>
      </w:r>
    </w:p>
    <w:p>
      <w:pPr>
        <w:pStyle w:val="8"/>
        <w:spacing w:after="0"/>
        <w:rPr>
          <w:b/>
          <w:sz w:val="10"/>
          <w:highlight w:val="none"/>
        </w:rPr>
      </w:pPr>
    </w:p>
    <w:tbl>
      <w:tblPr>
        <w:tblStyle w:val="27"/>
        <w:tblW w:w="0" w:type="auto"/>
        <w:tblInd w:w="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8"/>
        <w:gridCol w:w="1418"/>
        <w:gridCol w:w="814"/>
        <w:gridCol w:w="6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248" w:type="dxa"/>
            <w:noWrap w:val="0"/>
            <w:vAlign w:val="top"/>
          </w:tcPr>
          <w:p>
            <w:pPr>
              <w:pStyle w:val="62"/>
              <w:rPr>
                <w:b/>
                <w:sz w:val="17"/>
                <w:highlight w:val="none"/>
              </w:rPr>
            </w:pPr>
          </w:p>
          <w:p>
            <w:pPr>
              <w:pStyle w:val="62"/>
              <w:jc w:val="center"/>
              <w:rPr>
                <w:b/>
                <w:sz w:val="24"/>
                <w:highlight w:val="none"/>
              </w:rPr>
            </w:pPr>
            <w:r>
              <w:rPr>
                <w:b/>
                <w:sz w:val="24"/>
                <w:highlight w:val="none"/>
              </w:rPr>
              <w:t>序号</w:t>
            </w:r>
          </w:p>
        </w:tc>
        <w:tc>
          <w:tcPr>
            <w:tcW w:w="1418" w:type="dxa"/>
            <w:noWrap w:val="0"/>
            <w:vAlign w:val="top"/>
          </w:tcPr>
          <w:p>
            <w:pPr>
              <w:pStyle w:val="62"/>
              <w:rPr>
                <w:b/>
                <w:sz w:val="17"/>
                <w:highlight w:val="none"/>
              </w:rPr>
            </w:pPr>
          </w:p>
          <w:p>
            <w:pPr>
              <w:pStyle w:val="62"/>
              <w:rPr>
                <w:b/>
                <w:sz w:val="24"/>
                <w:highlight w:val="none"/>
              </w:rPr>
            </w:pPr>
            <w:r>
              <w:rPr>
                <w:b/>
                <w:sz w:val="24"/>
                <w:highlight w:val="none"/>
              </w:rPr>
              <w:t>考评指标</w:t>
            </w:r>
          </w:p>
        </w:tc>
        <w:tc>
          <w:tcPr>
            <w:tcW w:w="814" w:type="dxa"/>
            <w:noWrap w:val="0"/>
            <w:vAlign w:val="top"/>
          </w:tcPr>
          <w:p>
            <w:pPr>
              <w:pStyle w:val="62"/>
              <w:rPr>
                <w:b/>
                <w:sz w:val="17"/>
                <w:highlight w:val="none"/>
              </w:rPr>
            </w:pPr>
          </w:p>
          <w:p>
            <w:pPr>
              <w:pStyle w:val="62"/>
              <w:rPr>
                <w:b/>
                <w:sz w:val="24"/>
                <w:highlight w:val="none"/>
              </w:rPr>
            </w:pPr>
            <w:r>
              <w:rPr>
                <w:b/>
                <w:sz w:val="24"/>
                <w:highlight w:val="none"/>
              </w:rPr>
              <w:t>分值</w:t>
            </w:r>
          </w:p>
        </w:tc>
        <w:tc>
          <w:tcPr>
            <w:tcW w:w="6036" w:type="dxa"/>
            <w:noWrap w:val="0"/>
            <w:vAlign w:val="top"/>
          </w:tcPr>
          <w:p>
            <w:pPr>
              <w:pStyle w:val="62"/>
              <w:rPr>
                <w:b/>
                <w:sz w:val="17"/>
                <w:highlight w:val="none"/>
              </w:rPr>
            </w:pPr>
          </w:p>
          <w:p>
            <w:pPr>
              <w:pStyle w:val="62"/>
              <w:jc w:val="center"/>
              <w:rPr>
                <w:b/>
                <w:sz w:val="24"/>
                <w:highlight w:val="none"/>
              </w:rPr>
            </w:pPr>
            <w:r>
              <w:rPr>
                <w:b/>
                <w:sz w:val="24"/>
                <w:highlight w:val="none"/>
              </w:rPr>
              <w:t>考评细则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48" w:type="dxa"/>
            <w:noWrap w:val="0"/>
            <w:vAlign w:val="top"/>
          </w:tcPr>
          <w:p>
            <w:pPr>
              <w:pStyle w:val="62"/>
              <w:rPr>
                <w:b/>
                <w:sz w:val="38"/>
                <w:highlight w:val="none"/>
              </w:rPr>
            </w:pPr>
          </w:p>
          <w:p>
            <w:pPr>
              <w:pStyle w:val="62"/>
              <w:jc w:val="center"/>
              <w:rPr>
                <w:rFonts w:ascii="Times New Roman"/>
                <w:sz w:val="24"/>
                <w:highlight w:val="none"/>
              </w:rPr>
            </w:pPr>
            <w:r>
              <w:rPr>
                <w:rFonts w:ascii="Times New Roman"/>
                <w:sz w:val="24"/>
                <w:highlight w:val="none"/>
              </w:rPr>
              <w:t>1</w:t>
            </w:r>
          </w:p>
        </w:tc>
        <w:tc>
          <w:tcPr>
            <w:tcW w:w="1418" w:type="dxa"/>
            <w:noWrap w:val="0"/>
            <w:vAlign w:val="top"/>
          </w:tcPr>
          <w:p>
            <w:pPr>
              <w:pStyle w:val="62"/>
              <w:rPr>
                <w:b/>
                <w:sz w:val="24"/>
                <w:highlight w:val="none"/>
              </w:rPr>
            </w:pPr>
          </w:p>
          <w:p>
            <w:pPr>
              <w:pStyle w:val="62"/>
              <w:rPr>
                <w:sz w:val="24"/>
                <w:highlight w:val="none"/>
              </w:rPr>
            </w:pPr>
            <w:r>
              <w:rPr>
                <w:sz w:val="24"/>
                <w:highlight w:val="none"/>
              </w:rPr>
              <w:t>管理制度</w:t>
            </w:r>
          </w:p>
        </w:tc>
        <w:tc>
          <w:tcPr>
            <w:tcW w:w="814" w:type="dxa"/>
            <w:noWrap w:val="0"/>
            <w:vAlign w:val="top"/>
          </w:tcPr>
          <w:p>
            <w:pPr>
              <w:pStyle w:val="62"/>
              <w:rPr>
                <w:b/>
                <w:sz w:val="37"/>
                <w:highlight w:val="none"/>
              </w:rPr>
            </w:pPr>
          </w:p>
          <w:p>
            <w:pPr>
              <w:pStyle w:val="62"/>
              <w:rPr>
                <w:sz w:val="24"/>
                <w:highlight w:val="none"/>
              </w:rPr>
            </w:pPr>
            <w:r>
              <w:rPr>
                <w:rFonts w:ascii="Times New Roman" w:eastAsia="Times New Roman"/>
                <w:sz w:val="24"/>
                <w:highlight w:val="none"/>
              </w:rPr>
              <w:t xml:space="preserve">20 </w:t>
            </w:r>
            <w:r>
              <w:rPr>
                <w:sz w:val="24"/>
                <w:highlight w:val="none"/>
              </w:rPr>
              <w:t>分</w:t>
            </w:r>
          </w:p>
        </w:tc>
        <w:tc>
          <w:tcPr>
            <w:tcW w:w="6036" w:type="dxa"/>
            <w:noWrap w:val="0"/>
            <w:vAlign w:val="top"/>
          </w:tcPr>
          <w:p>
            <w:pPr>
              <w:pStyle w:val="62"/>
              <w:rPr>
                <w:sz w:val="24"/>
                <w:highlight w:val="none"/>
              </w:rPr>
            </w:pPr>
            <w:r>
              <w:rPr>
                <w:spacing w:val="3"/>
                <w:sz w:val="24"/>
                <w:highlight w:val="none"/>
              </w:rPr>
              <w:t>餐厅经营过程中不得违反投标文件中的各项承诺制</w:t>
            </w:r>
          </w:p>
          <w:p>
            <w:pPr>
              <w:pStyle w:val="62"/>
              <w:rPr>
                <w:sz w:val="24"/>
                <w:highlight w:val="none"/>
              </w:rPr>
            </w:pPr>
            <w:r>
              <w:rPr>
                <w:spacing w:val="-6"/>
                <w:sz w:val="24"/>
                <w:highlight w:val="none"/>
              </w:rPr>
              <w:t xml:space="preserve">度，各工种按岗位制度规范操作。违反一次扣 </w:t>
            </w:r>
            <w:r>
              <w:rPr>
                <w:rFonts w:ascii="Times New Roman" w:eastAsia="Times New Roman"/>
                <w:sz w:val="24"/>
                <w:highlight w:val="none"/>
              </w:rPr>
              <w:t>1</w:t>
            </w:r>
            <w:r>
              <w:rPr>
                <w:rFonts w:ascii="Times New Roman" w:eastAsia="Times New Roman"/>
                <w:spacing w:val="2"/>
                <w:sz w:val="24"/>
                <w:highlight w:val="none"/>
              </w:rPr>
              <w:t xml:space="preserve"> </w:t>
            </w:r>
            <w:r>
              <w:rPr>
                <w:spacing w:val="-6"/>
                <w:sz w:val="24"/>
                <w:highlight w:val="none"/>
              </w:rPr>
              <w:t xml:space="preserve">分， </w:t>
            </w:r>
            <w:r>
              <w:rPr>
                <w:sz w:val="24"/>
                <w:highlight w:val="none"/>
              </w:rPr>
              <w:t>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1248" w:type="dxa"/>
            <w:noWrap w:val="0"/>
            <w:vAlign w:val="center"/>
          </w:tcPr>
          <w:p>
            <w:pPr>
              <w:pStyle w:val="62"/>
              <w:jc w:val="center"/>
              <w:rPr>
                <w:rFonts w:ascii="Times New Roman"/>
                <w:sz w:val="24"/>
                <w:highlight w:val="none"/>
              </w:rPr>
            </w:pPr>
            <w:r>
              <w:rPr>
                <w:rFonts w:ascii="Times New Roman"/>
                <w:sz w:val="24"/>
                <w:highlight w:val="none"/>
              </w:rPr>
              <w:t>2</w:t>
            </w:r>
          </w:p>
        </w:tc>
        <w:tc>
          <w:tcPr>
            <w:tcW w:w="1418" w:type="dxa"/>
            <w:noWrap w:val="0"/>
            <w:vAlign w:val="center"/>
          </w:tcPr>
          <w:p>
            <w:pPr>
              <w:pStyle w:val="62"/>
              <w:jc w:val="center"/>
              <w:rPr>
                <w:sz w:val="24"/>
                <w:highlight w:val="none"/>
              </w:rPr>
            </w:pPr>
            <w:r>
              <w:rPr>
                <w:sz w:val="24"/>
                <w:highlight w:val="none"/>
              </w:rPr>
              <w:t>食品质量</w:t>
            </w:r>
          </w:p>
        </w:tc>
        <w:tc>
          <w:tcPr>
            <w:tcW w:w="814" w:type="dxa"/>
            <w:noWrap w:val="0"/>
            <w:vAlign w:val="center"/>
          </w:tcPr>
          <w:p>
            <w:pPr>
              <w:pStyle w:val="62"/>
              <w:jc w:val="center"/>
              <w:rPr>
                <w:sz w:val="24"/>
                <w:highlight w:val="none"/>
              </w:rPr>
            </w:pPr>
            <w:r>
              <w:rPr>
                <w:rFonts w:ascii="Times New Roman" w:eastAsia="Times New Roman"/>
                <w:sz w:val="24"/>
                <w:highlight w:val="none"/>
              </w:rPr>
              <w:t xml:space="preserve">30 </w:t>
            </w:r>
            <w:r>
              <w:rPr>
                <w:sz w:val="24"/>
                <w:highlight w:val="none"/>
              </w:rPr>
              <w:t>分</w:t>
            </w:r>
          </w:p>
        </w:tc>
        <w:tc>
          <w:tcPr>
            <w:tcW w:w="6036" w:type="dxa"/>
            <w:noWrap w:val="0"/>
            <w:vAlign w:val="top"/>
          </w:tcPr>
          <w:p>
            <w:pPr>
              <w:pStyle w:val="62"/>
              <w:jc w:val="center"/>
              <w:rPr>
                <w:sz w:val="24"/>
                <w:highlight w:val="none"/>
              </w:rPr>
            </w:pPr>
            <w:r>
              <w:rPr>
                <w:sz w:val="24"/>
                <w:highlight w:val="none"/>
              </w:rPr>
              <w:t>食品出现焦糊、夹生现象，出现异物，菜品一周内</w:t>
            </w:r>
          </w:p>
          <w:p>
            <w:pPr>
              <w:pStyle w:val="62"/>
              <w:rPr>
                <w:sz w:val="24"/>
                <w:highlight w:val="none"/>
              </w:rPr>
            </w:pPr>
            <w:r>
              <w:rPr>
                <w:sz w:val="24"/>
                <w:highlight w:val="none"/>
              </w:rPr>
              <w:t xml:space="preserve">有重复，分餐分量不达标，未按时供餐。以上情形出现一次扣 </w:t>
            </w:r>
            <w:r>
              <w:rPr>
                <w:rFonts w:ascii="Times New Roman" w:eastAsia="Times New Roman"/>
                <w:sz w:val="24"/>
                <w:highlight w:val="none"/>
              </w:rPr>
              <w:t xml:space="preserve">1 </w:t>
            </w:r>
            <w:r>
              <w:rPr>
                <w:sz w:val="24"/>
                <w:highlight w:val="none"/>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0" w:hRule="atLeast"/>
        </w:trPr>
        <w:tc>
          <w:tcPr>
            <w:tcW w:w="1248" w:type="dxa"/>
            <w:noWrap w:val="0"/>
            <w:vAlign w:val="top"/>
          </w:tcPr>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30"/>
                <w:highlight w:val="none"/>
              </w:rPr>
            </w:pPr>
          </w:p>
          <w:p>
            <w:pPr>
              <w:pStyle w:val="62"/>
              <w:jc w:val="center"/>
              <w:rPr>
                <w:rFonts w:ascii="Times New Roman"/>
                <w:sz w:val="24"/>
                <w:highlight w:val="none"/>
              </w:rPr>
            </w:pPr>
            <w:r>
              <w:rPr>
                <w:rFonts w:ascii="Times New Roman"/>
                <w:sz w:val="24"/>
                <w:highlight w:val="none"/>
              </w:rPr>
              <w:t>3</w:t>
            </w:r>
          </w:p>
        </w:tc>
        <w:tc>
          <w:tcPr>
            <w:tcW w:w="1418" w:type="dxa"/>
            <w:noWrap w:val="0"/>
            <w:vAlign w:val="top"/>
          </w:tcPr>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b/>
                <w:sz w:val="24"/>
                <w:highlight w:val="none"/>
              </w:rPr>
            </w:pPr>
          </w:p>
          <w:p>
            <w:pPr>
              <w:pStyle w:val="62"/>
              <w:rPr>
                <w:sz w:val="24"/>
                <w:highlight w:val="none"/>
              </w:rPr>
            </w:pPr>
            <w:r>
              <w:rPr>
                <w:sz w:val="24"/>
                <w:highlight w:val="none"/>
              </w:rPr>
              <w:t>食品安全</w:t>
            </w:r>
          </w:p>
        </w:tc>
        <w:tc>
          <w:tcPr>
            <w:tcW w:w="814" w:type="dxa"/>
            <w:noWrap w:val="0"/>
            <w:vAlign w:val="top"/>
          </w:tcPr>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6"/>
                <w:highlight w:val="none"/>
              </w:rPr>
            </w:pPr>
          </w:p>
          <w:p>
            <w:pPr>
              <w:pStyle w:val="62"/>
              <w:rPr>
                <w:b/>
                <w:sz w:val="28"/>
                <w:highlight w:val="none"/>
              </w:rPr>
            </w:pPr>
          </w:p>
          <w:p>
            <w:pPr>
              <w:pStyle w:val="62"/>
              <w:rPr>
                <w:sz w:val="24"/>
                <w:highlight w:val="none"/>
              </w:rPr>
            </w:pPr>
            <w:r>
              <w:rPr>
                <w:rFonts w:ascii="Times New Roman" w:eastAsia="Times New Roman"/>
                <w:sz w:val="24"/>
                <w:highlight w:val="none"/>
              </w:rPr>
              <w:t xml:space="preserve">30 </w:t>
            </w:r>
            <w:r>
              <w:rPr>
                <w:sz w:val="24"/>
                <w:highlight w:val="none"/>
              </w:rPr>
              <w:t>分</w:t>
            </w:r>
          </w:p>
        </w:tc>
        <w:tc>
          <w:tcPr>
            <w:tcW w:w="6036" w:type="dxa"/>
            <w:noWrap w:val="0"/>
            <w:vAlign w:val="top"/>
          </w:tcPr>
          <w:p>
            <w:pPr>
              <w:pStyle w:val="62"/>
              <w:rPr>
                <w:sz w:val="24"/>
                <w:highlight w:val="none"/>
              </w:rPr>
            </w:pPr>
            <w:r>
              <w:rPr>
                <w:sz w:val="24"/>
                <w:highlight w:val="none"/>
              </w:rPr>
              <w:t>严格贯彻执行《中华人民共和国食品安全法》及地方政府有关法规，加强食品安全与卫生管理，达到餐具卫生标准、饭菜不能出现异味、变质等现象， 就餐者不能出现腹泻、呕吐及食物中毒现象。</w:t>
            </w:r>
          </w:p>
          <w:p>
            <w:pPr>
              <w:pStyle w:val="62"/>
              <w:rPr>
                <w:sz w:val="24"/>
                <w:highlight w:val="none"/>
              </w:rPr>
            </w:pPr>
            <w:r>
              <w:rPr>
                <w:sz w:val="24"/>
                <w:highlight w:val="none"/>
              </w:rPr>
              <w:t xml:space="preserve">餐具卫生标准每违反一次扣 </w:t>
            </w:r>
            <w:r>
              <w:rPr>
                <w:rFonts w:ascii="Times New Roman" w:eastAsia="Times New Roman"/>
                <w:sz w:val="24"/>
                <w:highlight w:val="none"/>
              </w:rPr>
              <w:t xml:space="preserve">0.2 </w:t>
            </w:r>
            <w:r>
              <w:rPr>
                <w:sz w:val="24"/>
                <w:highlight w:val="none"/>
              </w:rPr>
              <w:t>分；</w:t>
            </w:r>
          </w:p>
          <w:p>
            <w:pPr>
              <w:pStyle w:val="62"/>
              <w:rPr>
                <w:sz w:val="24"/>
                <w:highlight w:val="none"/>
              </w:rPr>
            </w:pPr>
            <w:r>
              <w:rPr>
                <w:sz w:val="24"/>
                <w:highlight w:val="none"/>
              </w:rPr>
              <w:t xml:space="preserve">菜品因处理不当而出现异味每发生一次扣 </w:t>
            </w:r>
            <w:r>
              <w:rPr>
                <w:rFonts w:ascii="Times New Roman" w:eastAsia="Times New Roman"/>
                <w:sz w:val="24"/>
                <w:highlight w:val="none"/>
              </w:rPr>
              <w:t xml:space="preserve">0.3 </w:t>
            </w:r>
            <w:r>
              <w:rPr>
                <w:sz w:val="24"/>
                <w:highlight w:val="none"/>
              </w:rPr>
              <w:t>分；</w:t>
            </w:r>
          </w:p>
          <w:p>
            <w:pPr>
              <w:pStyle w:val="62"/>
              <w:rPr>
                <w:sz w:val="24"/>
                <w:highlight w:val="none"/>
              </w:rPr>
            </w:pPr>
            <w:r>
              <w:rPr>
                <w:sz w:val="24"/>
                <w:highlight w:val="none"/>
              </w:rPr>
              <w:t xml:space="preserve">菜品若发现变质等现象每发生一次扣 </w:t>
            </w:r>
            <w:r>
              <w:rPr>
                <w:rFonts w:ascii="Times New Roman" w:eastAsia="Times New Roman"/>
                <w:sz w:val="24"/>
                <w:highlight w:val="none"/>
              </w:rPr>
              <w:t xml:space="preserve">0.5 </w:t>
            </w:r>
            <w:r>
              <w:rPr>
                <w:sz w:val="24"/>
                <w:highlight w:val="none"/>
              </w:rPr>
              <w:t>分；</w:t>
            </w:r>
          </w:p>
          <w:p>
            <w:pPr>
              <w:pStyle w:val="62"/>
              <w:rPr>
                <w:b/>
                <w:sz w:val="31"/>
                <w:highlight w:val="none"/>
              </w:rPr>
            </w:pPr>
          </w:p>
          <w:p>
            <w:pPr>
              <w:pStyle w:val="62"/>
              <w:rPr>
                <w:sz w:val="24"/>
                <w:highlight w:val="none"/>
              </w:rPr>
            </w:pPr>
            <w:r>
              <w:rPr>
                <w:sz w:val="24"/>
                <w:highlight w:val="none"/>
              </w:rPr>
              <w:t>以上各项累加计算，本项总分扣完为止，如出现严</w:t>
            </w:r>
          </w:p>
          <w:p>
            <w:pPr>
              <w:pStyle w:val="62"/>
              <w:rPr>
                <w:sz w:val="24"/>
                <w:highlight w:val="none"/>
              </w:rPr>
            </w:pPr>
            <w:r>
              <w:rPr>
                <w:sz w:val="24"/>
                <w:highlight w:val="none"/>
              </w:rPr>
              <w:t xml:space="preserve">重食物中毒事件，本项直接为 </w:t>
            </w:r>
            <w:r>
              <w:rPr>
                <w:rFonts w:ascii="Times New Roman" w:eastAsia="Times New Roman"/>
                <w:sz w:val="24"/>
                <w:highlight w:val="none"/>
              </w:rPr>
              <w:t xml:space="preserve">0 </w:t>
            </w:r>
            <w:r>
              <w:rPr>
                <w:sz w:val="24"/>
                <w:highlight w:val="none"/>
              </w:rPr>
              <w:t>分，采购人立即中止合同并依法追究投标人法律责任。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1" w:hRule="atLeast"/>
        </w:trPr>
        <w:tc>
          <w:tcPr>
            <w:tcW w:w="1248" w:type="dxa"/>
            <w:noWrap w:val="0"/>
            <w:vAlign w:val="top"/>
          </w:tcPr>
          <w:p>
            <w:pPr>
              <w:pStyle w:val="62"/>
              <w:rPr>
                <w:b/>
                <w:sz w:val="26"/>
                <w:highlight w:val="none"/>
              </w:rPr>
            </w:pPr>
          </w:p>
          <w:p>
            <w:pPr>
              <w:pStyle w:val="62"/>
              <w:jc w:val="center"/>
              <w:rPr>
                <w:rFonts w:ascii="Times New Roman"/>
                <w:sz w:val="24"/>
                <w:highlight w:val="none"/>
              </w:rPr>
            </w:pPr>
            <w:r>
              <w:rPr>
                <w:rFonts w:ascii="Times New Roman"/>
                <w:sz w:val="24"/>
                <w:highlight w:val="none"/>
              </w:rPr>
              <w:t>4</w:t>
            </w:r>
          </w:p>
        </w:tc>
        <w:tc>
          <w:tcPr>
            <w:tcW w:w="1418" w:type="dxa"/>
            <w:noWrap w:val="0"/>
            <w:vAlign w:val="top"/>
          </w:tcPr>
          <w:p>
            <w:pPr>
              <w:pStyle w:val="62"/>
              <w:rPr>
                <w:sz w:val="24"/>
                <w:highlight w:val="none"/>
              </w:rPr>
            </w:pPr>
            <w:r>
              <w:rPr>
                <w:sz w:val="24"/>
                <w:highlight w:val="none"/>
              </w:rPr>
              <w:t>设施设备使</w:t>
            </w:r>
          </w:p>
          <w:p>
            <w:pPr>
              <w:pStyle w:val="62"/>
              <w:rPr>
                <w:sz w:val="24"/>
                <w:highlight w:val="none"/>
              </w:rPr>
            </w:pPr>
            <w:r>
              <w:rPr>
                <w:sz w:val="24"/>
                <w:highlight w:val="none"/>
              </w:rPr>
              <w:t>用安全及维护保养</w:t>
            </w:r>
          </w:p>
        </w:tc>
        <w:tc>
          <w:tcPr>
            <w:tcW w:w="814" w:type="dxa"/>
            <w:noWrap w:val="0"/>
            <w:vAlign w:val="top"/>
          </w:tcPr>
          <w:p>
            <w:pPr>
              <w:pStyle w:val="62"/>
              <w:rPr>
                <w:b/>
                <w:sz w:val="26"/>
                <w:highlight w:val="none"/>
              </w:rPr>
            </w:pPr>
          </w:p>
          <w:p>
            <w:pPr>
              <w:pStyle w:val="62"/>
              <w:rPr>
                <w:sz w:val="24"/>
                <w:highlight w:val="none"/>
              </w:rPr>
            </w:pPr>
            <w:r>
              <w:rPr>
                <w:rFonts w:ascii="Times New Roman" w:eastAsia="Times New Roman"/>
                <w:sz w:val="24"/>
                <w:highlight w:val="none"/>
              </w:rPr>
              <w:t xml:space="preserve">10 </w:t>
            </w:r>
            <w:r>
              <w:rPr>
                <w:sz w:val="24"/>
                <w:highlight w:val="none"/>
              </w:rPr>
              <w:t>分</w:t>
            </w:r>
          </w:p>
        </w:tc>
        <w:tc>
          <w:tcPr>
            <w:tcW w:w="6036" w:type="dxa"/>
            <w:noWrap w:val="0"/>
            <w:vAlign w:val="top"/>
          </w:tcPr>
          <w:p>
            <w:pPr>
              <w:pStyle w:val="62"/>
              <w:rPr>
                <w:sz w:val="24"/>
                <w:highlight w:val="none"/>
              </w:rPr>
            </w:pPr>
            <w:r>
              <w:rPr>
                <w:sz w:val="24"/>
                <w:highlight w:val="none"/>
              </w:rPr>
              <w:t>食堂水、电、气、刀具、消防等设施设备使用及维</w:t>
            </w:r>
          </w:p>
          <w:p>
            <w:pPr>
              <w:pStyle w:val="62"/>
              <w:rPr>
                <w:sz w:val="24"/>
                <w:highlight w:val="none"/>
              </w:rPr>
            </w:pPr>
            <w:r>
              <w:rPr>
                <w:sz w:val="24"/>
                <w:highlight w:val="none"/>
              </w:rPr>
              <w:t xml:space="preserve">护保养不规范，存在安全隐患；每季度餐厨用具破损率超过 </w:t>
            </w:r>
            <w:r>
              <w:rPr>
                <w:rFonts w:ascii="Times New Roman" w:eastAsia="Times New Roman"/>
                <w:sz w:val="24"/>
                <w:highlight w:val="none"/>
              </w:rPr>
              <w:t>2%</w:t>
            </w:r>
            <w:r>
              <w:rPr>
                <w:sz w:val="24"/>
                <w:highlight w:val="none"/>
              </w:rPr>
              <w:t xml:space="preserve">。每发现一次扣 </w:t>
            </w:r>
            <w:r>
              <w:rPr>
                <w:rFonts w:ascii="Times New Roman" w:eastAsia="Times New Roman"/>
                <w:sz w:val="24"/>
                <w:highlight w:val="none"/>
              </w:rPr>
              <w:t xml:space="preserve">3 </w:t>
            </w:r>
            <w:r>
              <w:rPr>
                <w:sz w:val="24"/>
                <w:highlight w:val="none"/>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248" w:type="dxa"/>
            <w:noWrap w:val="0"/>
            <w:vAlign w:val="top"/>
          </w:tcPr>
          <w:p>
            <w:pPr>
              <w:pStyle w:val="62"/>
              <w:rPr>
                <w:b/>
                <w:sz w:val="26"/>
                <w:highlight w:val="none"/>
              </w:rPr>
            </w:pPr>
          </w:p>
          <w:p>
            <w:pPr>
              <w:pStyle w:val="62"/>
              <w:rPr>
                <w:b/>
                <w:sz w:val="28"/>
                <w:highlight w:val="none"/>
              </w:rPr>
            </w:pPr>
          </w:p>
          <w:p>
            <w:pPr>
              <w:pStyle w:val="62"/>
              <w:jc w:val="center"/>
              <w:rPr>
                <w:rFonts w:ascii="Times New Roman"/>
                <w:sz w:val="24"/>
                <w:highlight w:val="none"/>
              </w:rPr>
            </w:pPr>
            <w:r>
              <w:rPr>
                <w:rFonts w:ascii="Times New Roman"/>
                <w:sz w:val="24"/>
                <w:highlight w:val="none"/>
              </w:rPr>
              <w:t>5</w:t>
            </w:r>
          </w:p>
        </w:tc>
        <w:tc>
          <w:tcPr>
            <w:tcW w:w="1418" w:type="dxa"/>
            <w:noWrap w:val="0"/>
            <w:vAlign w:val="top"/>
          </w:tcPr>
          <w:p>
            <w:pPr>
              <w:pStyle w:val="62"/>
              <w:rPr>
                <w:b/>
                <w:sz w:val="24"/>
                <w:highlight w:val="none"/>
              </w:rPr>
            </w:pPr>
          </w:p>
          <w:p>
            <w:pPr>
              <w:pStyle w:val="62"/>
              <w:rPr>
                <w:sz w:val="24"/>
                <w:highlight w:val="none"/>
              </w:rPr>
            </w:pPr>
            <w:r>
              <w:rPr>
                <w:sz w:val="24"/>
                <w:highlight w:val="none"/>
              </w:rPr>
              <w:t>满意度调查</w:t>
            </w:r>
          </w:p>
        </w:tc>
        <w:tc>
          <w:tcPr>
            <w:tcW w:w="814" w:type="dxa"/>
            <w:noWrap w:val="0"/>
            <w:vAlign w:val="top"/>
          </w:tcPr>
          <w:p>
            <w:pPr>
              <w:pStyle w:val="62"/>
              <w:rPr>
                <w:b/>
                <w:sz w:val="26"/>
                <w:highlight w:val="none"/>
              </w:rPr>
            </w:pPr>
          </w:p>
          <w:p>
            <w:pPr>
              <w:pStyle w:val="62"/>
              <w:rPr>
                <w:b/>
                <w:sz w:val="27"/>
                <w:highlight w:val="none"/>
              </w:rPr>
            </w:pPr>
          </w:p>
          <w:p>
            <w:pPr>
              <w:pStyle w:val="62"/>
              <w:rPr>
                <w:sz w:val="24"/>
                <w:highlight w:val="none"/>
              </w:rPr>
            </w:pPr>
            <w:r>
              <w:rPr>
                <w:rFonts w:ascii="Times New Roman" w:eastAsia="Times New Roman"/>
                <w:sz w:val="24"/>
                <w:highlight w:val="none"/>
              </w:rPr>
              <w:t xml:space="preserve">5 </w:t>
            </w:r>
            <w:r>
              <w:rPr>
                <w:sz w:val="24"/>
                <w:highlight w:val="none"/>
              </w:rPr>
              <w:t>分</w:t>
            </w:r>
          </w:p>
        </w:tc>
        <w:tc>
          <w:tcPr>
            <w:tcW w:w="6036" w:type="dxa"/>
            <w:noWrap w:val="0"/>
            <w:vAlign w:val="top"/>
          </w:tcPr>
          <w:p>
            <w:pPr>
              <w:pStyle w:val="62"/>
              <w:rPr>
                <w:sz w:val="24"/>
                <w:highlight w:val="none"/>
              </w:rPr>
            </w:pPr>
            <w:r>
              <w:rPr>
                <w:spacing w:val="-5"/>
                <w:sz w:val="24"/>
                <w:highlight w:val="none"/>
              </w:rPr>
              <w:t xml:space="preserve">本单位职工就餐满意度达到 </w:t>
            </w:r>
            <w:r>
              <w:rPr>
                <w:rFonts w:ascii="Times New Roman" w:eastAsia="Times New Roman"/>
                <w:spacing w:val="-3"/>
                <w:sz w:val="24"/>
                <w:highlight w:val="none"/>
              </w:rPr>
              <w:t>95%</w:t>
            </w:r>
            <w:r>
              <w:rPr>
                <w:spacing w:val="-3"/>
                <w:sz w:val="24"/>
                <w:highlight w:val="none"/>
              </w:rPr>
              <w:t>（</w:t>
            </w:r>
            <w:r>
              <w:rPr>
                <w:sz w:val="24"/>
                <w:highlight w:val="none"/>
              </w:rPr>
              <w:t>含</w:t>
            </w:r>
            <w:r>
              <w:rPr>
                <w:spacing w:val="-10"/>
                <w:sz w:val="24"/>
                <w:highlight w:val="none"/>
              </w:rPr>
              <w:t>）</w:t>
            </w:r>
            <w:r>
              <w:rPr>
                <w:spacing w:val="-15"/>
                <w:sz w:val="24"/>
                <w:highlight w:val="none"/>
              </w:rPr>
              <w:t xml:space="preserve">以上得 </w:t>
            </w:r>
            <w:r>
              <w:rPr>
                <w:rFonts w:ascii="Times New Roman" w:eastAsia="Times New Roman"/>
                <w:sz w:val="24"/>
                <w:highlight w:val="none"/>
              </w:rPr>
              <w:t xml:space="preserve">5 </w:t>
            </w:r>
            <w:r>
              <w:rPr>
                <w:spacing w:val="-6"/>
                <w:sz w:val="24"/>
                <w:highlight w:val="none"/>
              </w:rPr>
              <w:t xml:space="preserve">分， </w:t>
            </w:r>
            <w:r>
              <w:rPr>
                <w:spacing w:val="-27"/>
                <w:sz w:val="24"/>
                <w:highlight w:val="none"/>
              </w:rPr>
              <w:t xml:space="preserve">在 </w:t>
            </w:r>
            <w:r>
              <w:rPr>
                <w:rFonts w:ascii="Times New Roman" w:eastAsia="Times New Roman"/>
                <w:sz w:val="24"/>
                <w:highlight w:val="none"/>
              </w:rPr>
              <w:t>90%</w:t>
            </w:r>
            <w:r>
              <w:rPr>
                <w:sz w:val="24"/>
                <w:highlight w:val="none"/>
              </w:rPr>
              <w:t>（含）</w:t>
            </w:r>
            <w:r>
              <w:rPr>
                <w:rFonts w:ascii="Times New Roman" w:eastAsia="Times New Roman"/>
                <w:sz w:val="24"/>
                <w:highlight w:val="none"/>
              </w:rPr>
              <w:t>-95%</w:t>
            </w:r>
            <w:r>
              <w:rPr>
                <w:sz w:val="24"/>
                <w:highlight w:val="none"/>
              </w:rPr>
              <w:t>（不含）</w:t>
            </w:r>
            <w:r>
              <w:rPr>
                <w:spacing w:val="-27"/>
                <w:sz w:val="24"/>
                <w:highlight w:val="none"/>
              </w:rPr>
              <w:t xml:space="preserve">得 </w:t>
            </w:r>
            <w:r>
              <w:rPr>
                <w:rFonts w:ascii="Times New Roman" w:eastAsia="Times New Roman"/>
                <w:sz w:val="24"/>
                <w:highlight w:val="none"/>
              </w:rPr>
              <w:t>4</w:t>
            </w:r>
            <w:r>
              <w:rPr>
                <w:rFonts w:ascii="Times New Roman" w:eastAsia="Times New Roman"/>
                <w:spacing w:val="5"/>
                <w:sz w:val="24"/>
                <w:highlight w:val="none"/>
              </w:rPr>
              <w:t xml:space="preserve"> </w:t>
            </w:r>
            <w:r>
              <w:rPr>
                <w:spacing w:val="-14"/>
                <w:sz w:val="24"/>
                <w:highlight w:val="none"/>
              </w:rPr>
              <w:t xml:space="preserve">分；在 </w:t>
            </w:r>
            <w:r>
              <w:rPr>
                <w:rFonts w:ascii="Times New Roman" w:eastAsia="Times New Roman"/>
                <w:sz w:val="24"/>
                <w:highlight w:val="none"/>
              </w:rPr>
              <w:t>85%</w:t>
            </w:r>
            <w:r>
              <w:rPr>
                <w:sz w:val="24"/>
                <w:highlight w:val="none"/>
              </w:rPr>
              <w:t>（含）</w:t>
            </w:r>
          </w:p>
          <w:p>
            <w:pPr>
              <w:pStyle w:val="62"/>
              <w:rPr>
                <w:sz w:val="24"/>
                <w:highlight w:val="none"/>
              </w:rPr>
            </w:pPr>
            <w:r>
              <w:rPr>
                <w:rFonts w:ascii="Times New Roman" w:eastAsia="Times New Roman"/>
                <w:sz w:val="24"/>
                <w:highlight w:val="none"/>
              </w:rPr>
              <w:t>-90%</w:t>
            </w:r>
            <w:r>
              <w:rPr>
                <w:sz w:val="24"/>
                <w:highlight w:val="none"/>
              </w:rPr>
              <w:t>（不含）</w:t>
            </w:r>
            <w:r>
              <w:rPr>
                <w:spacing w:val="-29"/>
                <w:sz w:val="24"/>
                <w:highlight w:val="none"/>
              </w:rPr>
              <w:t xml:space="preserve">得 </w:t>
            </w:r>
            <w:r>
              <w:rPr>
                <w:rFonts w:ascii="Times New Roman" w:eastAsia="Times New Roman"/>
                <w:sz w:val="24"/>
                <w:highlight w:val="none"/>
              </w:rPr>
              <w:t>3</w:t>
            </w:r>
            <w:r>
              <w:rPr>
                <w:rFonts w:ascii="Times New Roman" w:eastAsia="Times New Roman"/>
                <w:spacing w:val="6"/>
                <w:sz w:val="24"/>
                <w:highlight w:val="none"/>
              </w:rPr>
              <w:t xml:space="preserve"> </w:t>
            </w:r>
            <w:r>
              <w:rPr>
                <w:spacing w:val="-14"/>
                <w:sz w:val="24"/>
                <w:highlight w:val="none"/>
              </w:rPr>
              <w:t xml:space="preserve">分；在 </w:t>
            </w:r>
            <w:r>
              <w:rPr>
                <w:rFonts w:ascii="Times New Roman" w:eastAsia="Times New Roman"/>
                <w:sz w:val="24"/>
                <w:highlight w:val="none"/>
              </w:rPr>
              <w:t>80%</w:t>
            </w:r>
            <w:r>
              <w:rPr>
                <w:sz w:val="24"/>
                <w:highlight w:val="none"/>
              </w:rPr>
              <w:t>（含）</w:t>
            </w:r>
            <w:r>
              <w:rPr>
                <w:rFonts w:ascii="Times New Roman" w:eastAsia="Times New Roman"/>
                <w:sz w:val="24"/>
                <w:highlight w:val="none"/>
              </w:rPr>
              <w:t>-85%</w:t>
            </w:r>
            <w:r>
              <w:rPr>
                <w:sz w:val="24"/>
                <w:highlight w:val="none"/>
              </w:rPr>
              <w:t>（不含）</w:t>
            </w:r>
          </w:p>
          <w:p>
            <w:pPr>
              <w:pStyle w:val="62"/>
              <w:rPr>
                <w:sz w:val="24"/>
                <w:highlight w:val="none"/>
              </w:rPr>
            </w:pPr>
            <w:r>
              <w:rPr>
                <w:sz w:val="24"/>
                <w:highlight w:val="none"/>
              </w:rPr>
              <w:t xml:space="preserve">得 </w:t>
            </w:r>
            <w:r>
              <w:rPr>
                <w:rFonts w:ascii="Times New Roman" w:eastAsia="Times New Roman"/>
                <w:sz w:val="24"/>
                <w:highlight w:val="none"/>
              </w:rPr>
              <w:t xml:space="preserve">2 </w:t>
            </w:r>
            <w:r>
              <w:rPr>
                <w:sz w:val="24"/>
                <w:highlight w:val="none"/>
              </w:rPr>
              <w:t xml:space="preserve">分；低于 </w:t>
            </w:r>
            <w:r>
              <w:rPr>
                <w:rFonts w:ascii="Times New Roman" w:eastAsia="Times New Roman"/>
                <w:sz w:val="24"/>
                <w:highlight w:val="none"/>
              </w:rPr>
              <w:t>80%</w:t>
            </w:r>
            <w:r>
              <w:rPr>
                <w:sz w:val="24"/>
                <w:highlight w:val="none"/>
              </w:rPr>
              <w:t>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248" w:type="dxa"/>
            <w:noWrap w:val="0"/>
            <w:vAlign w:val="top"/>
          </w:tcPr>
          <w:p>
            <w:pPr>
              <w:pStyle w:val="62"/>
              <w:rPr>
                <w:b/>
                <w:sz w:val="26"/>
                <w:highlight w:val="none"/>
              </w:rPr>
            </w:pPr>
          </w:p>
          <w:p>
            <w:pPr>
              <w:pStyle w:val="62"/>
              <w:rPr>
                <w:b/>
                <w:sz w:val="28"/>
                <w:highlight w:val="none"/>
              </w:rPr>
            </w:pPr>
          </w:p>
          <w:p>
            <w:pPr>
              <w:pStyle w:val="62"/>
              <w:jc w:val="center"/>
              <w:rPr>
                <w:rFonts w:ascii="Times New Roman"/>
                <w:sz w:val="24"/>
                <w:highlight w:val="none"/>
              </w:rPr>
            </w:pPr>
            <w:r>
              <w:rPr>
                <w:rFonts w:ascii="Times New Roman"/>
                <w:sz w:val="24"/>
                <w:highlight w:val="none"/>
              </w:rPr>
              <w:t>6</w:t>
            </w:r>
          </w:p>
        </w:tc>
        <w:tc>
          <w:tcPr>
            <w:tcW w:w="1418" w:type="dxa"/>
            <w:noWrap w:val="0"/>
            <w:vAlign w:val="top"/>
          </w:tcPr>
          <w:p>
            <w:pPr>
              <w:pStyle w:val="62"/>
              <w:rPr>
                <w:b/>
                <w:sz w:val="24"/>
                <w:highlight w:val="none"/>
              </w:rPr>
            </w:pPr>
          </w:p>
          <w:p>
            <w:pPr>
              <w:pStyle w:val="62"/>
              <w:rPr>
                <w:sz w:val="24"/>
                <w:highlight w:val="none"/>
              </w:rPr>
            </w:pPr>
            <w:r>
              <w:rPr>
                <w:sz w:val="24"/>
                <w:highlight w:val="none"/>
              </w:rPr>
              <w:t>档案管理规范</w:t>
            </w:r>
          </w:p>
        </w:tc>
        <w:tc>
          <w:tcPr>
            <w:tcW w:w="814" w:type="dxa"/>
            <w:noWrap w:val="0"/>
            <w:vAlign w:val="top"/>
          </w:tcPr>
          <w:p>
            <w:pPr>
              <w:pStyle w:val="62"/>
              <w:rPr>
                <w:b/>
                <w:sz w:val="26"/>
                <w:highlight w:val="none"/>
              </w:rPr>
            </w:pPr>
          </w:p>
          <w:p>
            <w:pPr>
              <w:pStyle w:val="62"/>
              <w:rPr>
                <w:b/>
                <w:sz w:val="27"/>
                <w:highlight w:val="none"/>
              </w:rPr>
            </w:pPr>
          </w:p>
          <w:p>
            <w:pPr>
              <w:pStyle w:val="62"/>
              <w:rPr>
                <w:sz w:val="24"/>
                <w:highlight w:val="none"/>
              </w:rPr>
            </w:pPr>
            <w:r>
              <w:rPr>
                <w:rFonts w:ascii="Times New Roman" w:eastAsia="Times New Roman"/>
                <w:sz w:val="24"/>
                <w:highlight w:val="none"/>
              </w:rPr>
              <w:t xml:space="preserve">5 </w:t>
            </w:r>
            <w:r>
              <w:rPr>
                <w:sz w:val="24"/>
                <w:highlight w:val="none"/>
              </w:rPr>
              <w:t>分</w:t>
            </w:r>
          </w:p>
        </w:tc>
        <w:tc>
          <w:tcPr>
            <w:tcW w:w="6036" w:type="dxa"/>
            <w:noWrap w:val="0"/>
            <w:vAlign w:val="top"/>
          </w:tcPr>
          <w:p>
            <w:pPr>
              <w:pStyle w:val="62"/>
              <w:rPr>
                <w:sz w:val="24"/>
                <w:highlight w:val="none"/>
              </w:rPr>
            </w:pPr>
            <w:r>
              <w:rPr>
                <w:sz w:val="24"/>
                <w:highlight w:val="none"/>
              </w:rPr>
              <w:t>按照成都市标准化示范食堂管理要求，做到食品文档管理规范，厨房物资出入登记清楚，基础管理台账健全，日常运行管理服务有效。检查发现不规范、</w:t>
            </w:r>
          </w:p>
          <w:p>
            <w:pPr>
              <w:pStyle w:val="62"/>
              <w:rPr>
                <w:sz w:val="24"/>
                <w:highlight w:val="none"/>
              </w:rPr>
            </w:pPr>
            <w:r>
              <w:rPr>
                <w:sz w:val="24"/>
                <w:highlight w:val="none"/>
              </w:rPr>
              <w:t xml:space="preserve">不清楚、不健全一次扣 </w:t>
            </w:r>
            <w:r>
              <w:rPr>
                <w:rFonts w:ascii="Times New Roman" w:eastAsia="Times New Roman"/>
                <w:sz w:val="24"/>
                <w:highlight w:val="none"/>
              </w:rPr>
              <w:t xml:space="preserve">0.2 </w:t>
            </w:r>
            <w:r>
              <w:rPr>
                <w:sz w:val="24"/>
                <w:highlight w:val="none"/>
              </w:rPr>
              <w:t>分，扣完为止。</w:t>
            </w:r>
          </w:p>
        </w:tc>
      </w:tr>
    </w:tbl>
    <w:p>
      <w:pPr>
        <w:rPr>
          <w:sz w:val="24"/>
          <w:highlight w:val="none"/>
        </w:rPr>
      </w:pPr>
    </w:p>
    <w:p>
      <w:pPr>
        <w:pStyle w:val="8"/>
        <w:rPr>
          <w:sz w:val="24"/>
          <w:highlight w:val="none"/>
        </w:rPr>
      </w:pPr>
    </w:p>
    <w:p>
      <w:pPr>
        <w:pStyle w:val="60"/>
        <w:tabs>
          <w:tab w:val="left" w:pos="1634"/>
        </w:tabs>
        <w:spacing w:line="360" w:lineRule="auto"/>
        <w:ind w:firstLine="562"/>
        <w:rPr>
          <w:rFonts w:hint="eastAsia" w:ascii="宋体" w:hAnsi="宋体" w:cs="宋体"/>
          <w:b/>
          <w:sz w:val="28"/>
          <w:szCs w:val="28"/>
          <w:highlight w:val="none"/>
        </w:rPr>
      </w:pPr>
      <w:r>
        <w:rPr>
          <w:rFonts w:hint="eastAsia" w:ascii="宋体" w:hAnsi="宋体" w:cs="宋体"/>
          <w:b/>
          <w:sz w:val="28"/>
          <w:szCs w:val="28"/>
          <w:highlight w:val="none"/>
        </w:rPr>
        <w:t>（五）应急管理要求</w:t>
      </w:r>
    </w:p>
    <w:p>
      <w:pPr>
        <w:pStyle w:val="60"/>
        <w:tabs>
          <w:tab w:val="left" w:pos="1600"/>
        </w:tabs>
        <w:spacing w:line="360" w:lineRule="auto"/>
        <w:ind w:firstLine="448"/>
        <w:rPr>
          <w:rFonts w:hint="eastAsia" w:ascii="宋体" w:hAnsi="宋体" w:cs="宋体"/>
          <w:sz w:val="24"/>
          <w:highlight w:val="none"/>
        </w:rPr>
      </w:pPr>
      <w:r>
        <w:rPr>
          <w:rFonts w:hint="eastAsia" w:ascii="宋体" w:hAnsi="宋体" w:cs="宋体"/>
          <w:spacing w:val="-8"/>
          <w:sz w:val="24"/>
          <w:highlight w:val="none"/>
        </w:rPr>
        <w:t>1、投标人应建立突发断水、断电、停气的应急预案，水、电、气</w:t>
      </w:r>
      <w:r>
        <w:rPr>
          <w:rFonts w:hint="eastAsia" w:ascii="宋体" w:hAnsi="宋体" w:cs="宋体"/>
          <w:spacing w:val="-23"/>
          <w:sz w:val="24"/>
          <w:highlight w:val="none"/>
        </w:rPr>
        <w:t>无法供应时，食堂不能正常工作的，投标人须负责在此期间的餐饮供应。</w:t>
      </w:r>
    </w:p>
    <w:p>
      <w:pPr>
        <w:pStyle w:val="60"/>
        <w:tabs>
          <w:tab w:val="left" w:pos="1538"/>
        </w:tabs>
        <w:spacing w:line="360" w:lineRule="auto"/>
        <w:ind w:firstLine="456"/>
        <w:rPr>
          <w:rFonts w:hint="eastAsia" w:ascii="宋体" w:hAnsi="宋体" w:cs="宋体"/>
          <w:sz w:val="24"/>
          <w:highlight w:val="none"/>
        </w:rPr>
      </w:pPr>
      <w:r>
        <w:rPr>
          <w:rFonts w:hint="eastAsia" w:ascii="宋体" w:hAnsi="宋体" w:cs="宋体"/>
          <w:spacing w:val="-6"/>
          <w:sz w:val="24"/>
          <w:highlight w:val="none"/>
        </w:rPr>
        <w:t>2、投标人应建立餐厅危机公关处理机制和方案，建立起有效的沟</w:t>
      </w:r>
      <w:r>
        <w:rPr>
          <w:rFonts w:hint="eastAsia" w:ascii="宋体" w:hAnsi="宋体" w:cs="宋体"/>
          <w:spacing w:val="-15"/>
          <w:sz w:val="24"/>
          <w:highlight w:val="none"/>
        </w:rPr>
        <w:t>通渠道，通过对危机的监测、防范、决策和处理，达到避免和减少危机</w:t>
      </w:r>
      <w:r>
        <w:rPr>
          <w:rFonts w:hint="eastAsia" w:ascii="宋体" w:hAnsi="宋体" w:cs="宋体"/>
          <w:spacing w:val="-9"/>
          <w:sz w:val="24"/>
          <w:highlight w:val="none"/>
        </w:rPr>
        <w:t>产生的危害。</w:t>
      </w:r>
    </w:p>
    <w:p>
      <w:pPr>
        <w:pStyle w:val="60"/>
        <w:tabs>
          <w:tab w:val="left" w:pos="1677"/>
        </w:tabs>
        <w:spacing w:line="360" w:lineRule="auto"/>
        <w:ind w:firstLine="448"/>
        <w:rPr>
          <w:rFonts w:hint="eastAsia" w:ascii="宋体" w:hAnsi="宋体" w:cs="宋体"/>
          <w:sz w:val="24"/>
          <w:highlight w:val="none"/>
        </w:rPr>
      </w:pPr>
      <w:r>
        <w:rPr>
          <w:rFonts w:hint="eastAsia" w:ascii="宋体" w:hAnsi="宋体" w:cs="宋体"/>
          <w:spacing w:val="-8"/>
          <w:sz w:val="24"/>
          <w:highlight w:val="none"/>
        </w:rPr>
        <w:t>3、投标人应建立消防突发事件应急处置方案、食品安全突发事件</w:t>
      </w:r>
      <w:r>
        <w:rPr>
          <w:rFonts w:hint="eastAsia" w:ascii="宋体" w:hAnsi="宋体" w:cs="宋体"/>
          <w:spacing w:val="-9"/>
          <w:sz w:val="24"/>
          <w:highlight w:val="none"/>
        </w:rPr>
        <w:t>应急处置方案；</w:t>
      </w:r>
    </w:p>
    <w:p>
      <w:pPr>
        <w:pStyle w:val="60"/>
        <w:tabs>
          <w:tab w:val="left" w:pos="1677"/>
        </w:tabs>
        <w:spacing w:line="360" w:lineRule="auto"/>
        <w:ind w:firstLine="448"/>
        <w:rPr>
          <w:rFonts w:hint="eastAsia" w:ascii="宋体" w:hAnsi="宋体" w:cs="宋体"/>
          <w:sz w:val="24"/>
          <w:highlight w:val="none"/>
        </w:rPr>
      </w:pPr>
      <w:r>
        <w:rPr>
          <w:rFonts w:hint="eastAsia" w:ascii="宋体" w:hAnsi="宋体" w:cs="宋体"/>
          <w:spacing w:val="-8"/>
          <w:sz w:val="24"/>
          <w:highlight w:val="none"/>
        </w:rPr>
        <w:t>4、其他必要的应急预案，包括但不限于：发生盗窃处置预案、发</w:t>
      </w:r>
      <w:r>
        <w:rPr>
          <w:rFonts w:hint="eastAsia" w:ascii="宋体" w:hAnsi="宋体" w:cs="宋体"/>
          <w:spacing w:val="-16"/>
          <w:sz w:val="24"/>
          <w:highlight w:val="none"/>
        </w:rPr>
        <w:t>生打架斗殴事件处置预案、公共设施损坏应急预案、食堂设备伤人事故</w:t>
      </w:r>
      <w:r>
        <w:rPr>
          <w:rFonts w:hint="eastAsia" w:ascii="宋体" w:hAnsi="宋体" w:cs="宋体"/>
          <w:spacing w:val="-10"/>
          <w:sz w:val="24"/>
          <w:highlight w:val="none"/>
        </w:rPr>
        <w:t>应急预案、烫伤应急预案、突发地震事故处置应急预案等。</w:t>
      </w:r>
    </w:p>
    <w:p>
      <w:pPr>
        <w:pStyle w:val="5"/>
        <w:numPr>
          <w:ilvl w:val="0"/>
          <w:numId w:val="0"/>
        </w:numPr>
        <w:tabs>
          <w:tab w:val="left" w:pos="1634"/>
        </w:tabs>
        <w:spacing w:line="240" w:lineRule="auto"/>
        <w:ind w:firstLine="643" w:firstLineChars="200"/>
        <w:rPr>
          <w:rFonts w:hint="eastAsia" w:cs="宋体"/>
          <w:highlight w:val="none"/>
        </w:rPr>
      </w:pPr>
      <w:bookmarkStart w:id="72" w:name="8. 其他要求"/>
      <w:bookmarkEnd w:id="72"/>
      <w:r>
        <w:rPr>
          <w:rFonts w:hint="eastAsia" w:cs="宋体"/>
          <w:highlight w:val="none"/>
        </w:rPr>
        <w:t>（六）其他要求</w:t>
      </w:r>
    </w:p>
    <w:p>
      <w:pPr>
        <w:pStyle w:val="60"/>
        <w:tabs>
          <w:tab w:val="left" w:pos="1564"/>
        </w:tabs>
        <w:spacing w:line="360" w:lineRule="auto"/>
        <w:ind w:firstLine="436"/>
        <w:rPr>
          <w:rFonts w:hint="eastAsia" w:ascii="宋体" w:hAnsi="宋体" w:cs="宋体"/>
          <w:sz w:val="24"/>
          <w:highlight w:val="none"/>
        </w:rPr>
      </w:pPr>
      <w:r>
        <w:rPr>
          <w:rFonts w:hint="eastAsia" w:ascii="宋体" w:hAnsi="宋体" w:cs="宋体"/>
          <w:spacing w:val="-11"/>
          <w:sz w:val="24"/>
          <w:highlight w:val="none"/>
        </w:rPr>
        <w:t>1、食堂的经营范围为就餐员工餐饮伙食。投标人应严格按照本合</w:t>
      </w:r>
      <w:r>
        <w:rPr>
          <w:rFonts w:hint="eastAsia" w:ascii="宋体" w:hAnsi="宋体" w:cs="宋体"/>
          <w:spacing w:val="-3"/>
          <w:sz w:val="24"/>
          <w:highlight w:val="none"/>
        </w:rPr>
        <w:t>同的约定提供服务，不得超出经营范围、不得将该经营场所用于本合同以外的用途，不得向第三方分包、转包。一经发现，采购人有权单方面终止合同。</w:t>
      </w:r>
    </w:p>
    <w:p>
      <w:pPr>
        <w:pStyle w:val="60"/>
        <w:tabs>
          <w:tab w:val="left" w:pos="1564"/>
        </w:tabs>
        <w:spacing w:line="360" w:lineRule="auto"/>
        <w:ind w:firstLine="424"/>
        <w:rPr>
          <w:rFonts w:hint="eastAsia" w:ascii="宋体" w:hAnsi="宋体" w:cs="宋体"/>
          <w:sz w:val="24"/>
          <w:highlight w:val="none"/>
        </w:rPr>
      </w:pPr>
      <w:r>
        <w:rPr>
          <w:rFonts w:hint="eastAsia" w:ascii="宋体" w:hAnsi="宋体" w:cs="宋体"/>
          <w:spacing w:val="-14"/>
          <w:sz w:val="24"/>
          <w:highlight w:val="none"/>
        </w:rPr>
        <w:t>2、投标人如因食品卫生、伙食品种和质量等问题引起采购</w:t>
      </w:r>
      <w:r>
        <w:rPr>
          <w:rFonts w:hint="eastAsia" w:ascii="宋体" w:hAnsi="宋体" w:cs="宋体"/>
          <w:spacing w:val="-3"/>
          <w:sz w:val="24"/>
          <w:highlight w:val="none"/>
        </w:rPr>
        <w:t>人员工普遍不满，必须做出书面的、公开的解释，提出解决方案并赔偿采购人因此而遭受的全部损失；如加工出售的食品引起病源性传播或食物中毒，由此所造成的损失由投标人负责并承担相应的法律和经济责任；不得加工出售政府明令禁止的食物，如有违反，将依法移交有关部门进行处理。</w:t>
      </w:r>
    </w:p>
    <w:p>
      <w:pPr>
        <w:pStyle w:val="60"/>
        <w:tabs>
          <w:tab w:val="left" w:pos="1636"/>
        </w:tabs>
        <w:spacing w:line="360" w:lineRule="auto"/>
        <w:ind w:firstLine="480"/>
        <w:rPr>
          <w:rFonts w:hint="eastAsia" w:ascii="宋体" w:hAnsi="宋体" w:cs="宋体"/>
          <w:sz w:val="24"/>
          <w:highlight w:val="none"/>
        </w:rPr>
      </w:pPr>
      <w:r>
        <w:rPr>
          <w:rFonts w:hint="eastAsia" w:ascii="宋体" w:hAnsi="宋体" w:cs="宋体"/>
          <w:sz w:val="24"/>
          <w:highlight w:val="none"/>
        </w:rPr>
        <w:t>3、投标人需加强对员工和财产的管理，并按照相关法律法规为</w:t>
      </w:r>
      <w:r>
        <w:rPr>
          <w:rFonts w:hint="eastAsia" w:ascii="宋体" w:hAnsi="宋体" w:cs="宋体"/>
          <w:spacing w:val="-3"/>
          <w:sz w:val="24"/>
          <w:highlight w:val="none"/>
        </w:rPr>
        <w:t>其员工购买保险，经营期间所发生的人员伤亡、财产损失，均由投标</w:t>
      </w:r>
      <w:r>
        <w:rPr>
          <w:rFonts w:hint="eastAsia" w:ascii="宋体" w:hAnsi="宋体" w:cs="宋体"/>
          <w:spacing w:val="-2"/>
          <w:sz w:val="24"/>
          <w:highlight w:val="none"/>
        </w:rPr>
        <w:t>人负责。</w:t>
      </w:r>
    </w:p>
    <w:p>
      <w:pPr>
        <w:pStyle w:val="60"/>
        <w:tabs>
          <w:tab w:val="left" w:pos="1564"/>
        </w:tabs>
        <w:spacing w:line="360" w:lineRule="auto"/>
        <w:ind w:firstLine="444"/>
        <w:rPr>
          <w:rFonts w:hint="eastAsia" w:ascii="宋体" w:hAnsi="宋体" w:cs="宋体"/>
          <w:sz w:val="24"/>
          <w:highlight w:val="none"/>
        </w:rPr>
      </w:pPr>
      <w:r>
        <w:rPr>
          <w:rFonts w:hint="eastAsia" w:ascii="宋体" w:hAnsi="宋体" w:cs="宋体"/>
          <w:spacing w:val="-9"/>
          <w:sz w:val="24"/>
          <w:highlight w:val="none"/>
        </w:rPr>
        <w:t>4、投标人应根据劳动法等相关法律法规保障员工的合法权益，妥</w:t>
      </w:r>
      <w:r>
        <w:rPr>
          <w:rFonts w:hint="eastAsia" w:ascii="宋体" w:hAnsi="宋体" w:cs="宋体"/>
          <w:spacing w:val="-3"/>
          <w:sz w:val="24"/>
          <w:highlight w:val="none"/>
        </w:rPr>
        <w:t>善处理劳资纠纷，并不得因此影响食堂的正常服务以及采购人的正常工作秩序，否则，采购人有权追究投标人的责任。</w:t>
      </w:r>
    </w:p>
    <w:p>
      <w:pPr>
        <w:pStyle w:val="60"/>
        <w:tabs>
          <w:tab w:val="left" w:pos="1564"/>
        </w:tabs>
        <w:spacing w:line="360" w:lineRule="auto"/>
        <w:ind w:firstLine="444"/>
        <w:rPr>
          <w:rFonts w:hint="eastAsia" w:ascii="宋体" w:hAnsi="宋体" w:cs="宋体"/>
          <w:spacing w:val="-3"/>
          <w:sz w:val="24"/>
          <w:highlight w:val="none"/>
        </w:rPr>
      </w:pPr>
      <w:r>
        <w:rPr>
          <w:rFonts w:hint="eastAsia" w:ascii="宋体" w:hAnsi="宋体" w:cs="宋体"/>
          <w:spacing w:val="-9"/>
          <w:sz w:val="24"/>
          <w:highlight w:val="none"/>
        </w:rPr>
        <w:t>5、投标人的经营活动必须以投标时投标主体的名义开展。不得以</w:t>
      </w:r>
      <w:r>
        <w:rPr>
          <w:rFonts w:hint="eastAsia" w:ascii="宋体" w:hAnsi="宋体" w:cs="宋体"/>
          <w:spacing w:val="-3"/>
          <w:sz w:val="24"/>
          <w:highlight w:val="none"/>
        </w:rPr>
        <w:t>采购人的名义开展经营活动，不得在对外宣传、经营活动以及票据的使用中使用采购人的标志、名称或者字样，不得做出任何有可能使第三方认为投标人经营主体是采购人的代表、雇员或者代理人的行为。一经发现，采购人有权单方面终止合同。</w:t>
      </w:r>
    </w:p>
    <w:p>
      <w:pPr>
        <w:pStyle w:val="60"/>
        <w:tabs>
          <w:tab w:val="left" w:pos="1564"/>
        </w:tabs>
        <w:spacing w:line="360" w:lineRule="auto"/>
        <w:ind w:firstLine="408"/>
        <w:rPr>
          <w:spacing w:val="-10"/>
          <w:sz w:val="24"/>
          <w:highlight w:val="none"/>
        </w:rPr>
      </w:pPr>
      <w:r>
        <w:rPr>
          <w:rFonts w:hint="eastAsia"/>
          <w:spacing w:val="-10"/>
          <w:sz w:val="24"/>
          <w:highlight w:val="none"/>
        </w:rPr>
        <w:t>6</w:t>
      </w:r>
      <w:r>
        <w:rPr>
          <w:spacing w:val="-10"/>
          <w:sz w:val="24"/>
          <w:highlight w:val="none"/>
        </w:rPr>
        <w:t>、中标人必须</w:t>
      </w:r>
      <w:r>
        <w:rPr>
          <w:rFonts w:hint="eastAsia"/>
          <w:spacing w:val="-10"/>
          <w:sz w:val="24"/>
          <w:highlight w:val="none"/>
        </w:rPr>
        <w:t>购</w:t>
      </w:r>
      <w:r>
        <w:rPr>
          <w:spacing w:val="-10"/>
          <w:sz w:val="24"/>
          <w:highlight w:val="none"/>
        </w:rPr>
        <w:t>买与之相对应的《食品安全责任险》</w:t>
      </w:r>
      <w:r>
        <w:rPr>
          <w:rFonts w:hint="eastAsia"/>
          <w:spacing w:val="-10"/>
          <w:sz w:val="24"/>
          <w:highlight w:val="none"/>
        </w:rPr>
        <w:t>不低于500万元</w:t>
      </w:r>
      <w:r>
        <w:rPr>
          <w:spacing w:val="-10"/>
          <w:sz w:val="24"/>
          <w:highlight w:val="none"/>
        </w:rPr>
        <w:t>，并在合同签订后、首次结算费用前向采购人提供保险购买凭证，否则采购人有权拒绝结算费用。</w:t>
      </w:r>
    </w:p>
    <w:p>
      <w:pPr>
        <w:pStyle w:val="60"/>
        <w:tabs>
          <w:tab w:val="left" w:pos="1564"/>
        </w:tabs>
        <w:spacing w:line="360" w:lineRule="auto"/>
        <w:ind w:firstLine="408"/>
        <w:rPr>
          <w:rFonts w:hint="eastAsia"/>
          <w:spacing w:val="-10"/>
          <w:sz w:val="24"/>
          <w:highlight w:val="none"/>
          <w:lang w:val="en-US" w:eastAsia="zh-CN"/>
        </w:rPr>
      </w:pPr>
      <w:r>
        <w:rPr>
          <w:rFonts w:hint="eastAsia"/>
          <w:spacing w:val="-10"/>
          <w:sz w:val="24"/>
          <w:highlight w:val="none"/>
        </w:rPr>
        <w:t>7、投标人须结合采购人的工作性质和特点，在特别节假日（包括但不限于三八妇女节、五四青年节、端午节、国庆节、中秋节、春节以及采购人特定的活动期间等）应增加菜品数量并升级菜品品类。</w:t>
      </w:r>
    </w:p>
    <w:p>
      <w:pPr>
        <w:pStyle w:val="5"/>
        <w:numPr>
          <w:ilvl w:val="0"/>
          <w:numId w:val="0"/>
        </w:numPr>
        <w:tabs>
          <w:tab w:val="left" w:pos="1634"/>
        </w:tabs>
        <w:spacing w:line="240" w:lineRule="auto"/>
        <w:ind w:firstLine="643" w:firstLineChars="200"/>
        <w:rPr>
          <w:rFonts w:hint="eastAsia" w:ascii="Times New Roman" w:hAnsi="Times New Roman" w:cs="宋体"/>
          <w:highlight w:val="none"/>
          <w:lang w:val="zh-CN"/>
        </w:rPr>
      </w:pPr>
      <w:r>
        <w:rPr>
          <w:rFonts w:hint="eastAsia" w:ascii="Times New Roman" w:hAnsi="Times New Roman" w:cs="宋体"/>
          <w:highlight w:val="none"/>
          <w:lang w:val="zh-CN"/>
        </w:rPr>
        <w:t>（七）验收及售后</w:t>
      </w:r>
    </w:p>
    <w:p>
      <w:pPr>
        <w:widowControl/>
        <w:spacing w:line="360" w:lineRule="auto"/>
        <w:ind w:firstLine="480" w:firstLineChars="200"/>
        <w:jc w:val="left"/>
        <w:textAlignment w:val="baseline"/>
        <w:rPr>
          <w:rFonts w:hint="eastAsia" w:ascii="宋体" w:hAnsi="宋体" w:cs="宋体"/>
          <w:color w:val="000000"/>
          <w:sz w:val="24"/>
          <w:highlight w:val="none"/>
          <w:lang w:val="zh-CN" w:bidi="ar"/>
        </w:rPr>
      </w:pPr>
      <w:r>
        <w:rPr>
          <w:rFonts w:hint="eastAsia" w:ascii="宋体" w:hAnsi="宋体" w:cs="宋体"/>
          <w:color w:val="000000"/>
          <w:sz w:val="24"/>
          <w:highlight w:val="none"/>
          <w:lang w:val="zh-CN" w:bidi="ar"/>
        </w:rPr>
        <w:t>（1) 验收：本项目采购人参照采购相关法律法规以及《四川省政府采购项目需求论证和履约验收管理办法》 (川财采（2015) 32 号）的要求进行验收。</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hAnsi="宋体" w:eastAsia="宋体" w:cs="宋体"/>
          <w:b/>
          <w:bCs w:val="0"/>
          <w:color w:val="auto"/>
          <w:sz w:val="24"/>
          <w:szCs w:val="24"/>
          <w:highlight w:val="none"/>
          <w:lang w:val="en-US" w:eastAsia="zh-CN"/>
        </w:rPr>
      </w:pPr>
    </w:p>
    <w:bookmarkEnd w:id="56"/>
    <w:bookmarkEnd w:id="57"/>
    <w:bookmarkEnd w:id="58"/>
    <w:bookmarkEnd w:id="59"/>
    <w:bookmarkEnd w:id="60"/>
    <w:bookmarkEnd w:id="69"/>
    <w:p>
      <w:pPr>
        <w:pStyle w:val="3"/>
        <w:pageBreakBefore/>
        <w:spacing w:before="0" w:after="20" w:line="360" w:lineRule="auto"/>
        <w:jc w:val="center"/>
        <w:rPr>
          <w:rFonts w:ascii="黑体" w:eastAsia="黑体"/>
          <w:color w:val="000000"/>
          <w:sz w:val="32"/>
          <w:szCs w:val="32"/>
          <w:highlight w:val="none"/>
        </w:rPr>
      </w:pPr>
      <w:bookmarkStart w:id="73" w:name="_Toc533424976"/>
      <w:bookmarkStart w:id="74" w:name="_Toc217446057"/>
      <w:bookmarkStart w:id="75" w:name="_Toc183682369"/>
      <w:bookmarkStart w:id="76" w:name="_Toc183582232"/>
      <w:r>
        <w:rPr>
          <w:rFonts w:hint="eastAsia" w:ascii="黑体" w:eastAsia="黑体"/>
          <w:color w:val="000000"/>
          <w:sz w:val="32"/>
          <w:szCs w:val="32"/>
          <w:highlight w:val="none"/>
        </w:rPr>
        <w:t>第六章  磋商内容、磋商过程中可实质性变动的内容</w:t>
      </w:r>
      <w:bookmarkEnd w:id="73"/>
    </w:p>
    <w:p>
      <w:pPr>
        <w:pStyle w:val="4"/>
        <w:keepNext w:val="0"/>
        <w:keepLines w:val="0"/>
        <w:spacing w:before="0" w:after="0" w:line="400" w:lineRule="exact"/>
        <w:rPr>
          <w:rFonts w:ascii="宋体" w:hAnsi="宋体" w:eastAsia="宋体"/>
          <w:color w:val="000000"/>
          <w:sz w:val="24"/>
          <w:szCs w:val="24"/>
          <w:highlight w:val="none"/>
        </w:rPr>
      </w:pPr>
    </w:p>
    <w:p>
      <w:pPr>
        <w:tabs>
          <w:tab w:val="left" w:pos="7665"/>
        </w:tabs>
        <w:spacing w:line="400" w:lineRule="exact"/>
        <w:ind w:firstLine="480"/>
        <w:rPr>
          <w:rFonts w:ascii="宋体" w:hAnsi="宋体"/>
          <w:bCs/>
          <w:color w:val="000000"/>
          <w:sz w:val="24"/>
          <w:highlight w:val="none"/>
        </w:rPr>
      </w:pPr>
      <w:r>
        <w:rPr>
          <w:rFonts w:hAnsi="宋体"/>
          <w:sz w:val="24"/>
          <w:highlight w:val="none"/>
        </w:rPr>
        <w:t>针对</w:t>
      </w:r>
      <w:r>
        <w:rPr>
          <w:rFonts w:hint="eastAsia" w:hAnsi="宋体"/>
          <w:sz w:val="24"/>
          <w:highlight w:val="none"/>
        </w:rPr>
        <w:t>第五章、第九章</w:t>
      </w:r>
      <w:r>
        <w:rPr>
          <w:rFonts w:hAnsi="宋体"/>
          <w:sz w:val="24"/>
          <w:highlight w:val="none"/>
        </w:rPr>
        <w:t>所包含的</w:t>
      </w:r>
      <w:r>
        <w:rPr>
          <w:rFonts w:hint="eastAsia" w:hAnsi="宋体"/>
          <w:sz w:val="24"/>
          <w:highlight w:val="none"/>
        </w:rPr>
        <w:t>技术、服务要求以及合同草案条款</w:t>
      </w:r>
      <w:r>
        <w:rPr>
          <w:rFonts w:hAnsi="宋体"/>
          <w:sz w:val="24"/>
          <w:highlight w:val="none"/>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0" w:lineRule="exact"/>
        <w:ind w:firstLine="480"/>
        <w:rPr>
          <w:rFonts w:ascii="宋体" w:hAnsi="宋体"/>
          <w:bCs/>
          <w:color w:val="000000"/>
          <w:sz w:val="24"/>
          <w:highlight w:val="none"/>
        </w:rPr>
      </w:pPr>
    </w:p>
    <w:p>
      <w:pPr>
        <w:tabs>
          <w:tab w:val="left" w:pos="7665"/>
        </w:tabs>
        <w:spacing w:line="400" w:lineRule="exact"/>
        <w:ind w:firstLine="480"/>
        <w:rPr>
          <w:rFonts w:ascii="宋体" w:hAnsi="宋体"/>
          <w:bCs/>
          <w:color w:val="000000"/>
          <w:sz w:val="24"/>
          <w:highlight w:val="none"/>
        </w:rPr>
      </w:pPr>
    </w:p>
    <w:p>
      <w:pPr>
        <w:tabs>
          <w:tab w:val="left" w:pos="7665"/>
        </w:tabs>
        <w:spacing w:line="400" w:lineRule="exact"/>
        <w:ind w:firstLine="480"/>
        <w:rPr>
          <w:rFonts w:ascii="宋体" w:hAnsi="宋体"/>
          <w:bCs/>
          <w:color w:val="000000"/>
          <w:sz w:val="24"/>
          <w:highlight w:val="none"/>
        </w:rPr>
      </w:pPr>
    </w:p>
    <w:p>
      <w:pPr>
        <w:tabs>
          <w:tab w:val="left" w:pos="7665"/>
        </w:tabs>
        <w:spacing w:line="400" w:lineRule="exact"/>
        <w:ind w:firstLine="480"/>
        <w:rPr>
          <w:rFonts w:ascii="宋体" w:hAnsi="宋体"/>
          <w:bCs/>
          <w:color w:val="000000"/>
          <w:sz w:val="24"/>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ind w:firstLine="480"/>
        <w:jc w:val="center"/>
        <w:rPr>
          <w:rFonts w:ascii="黑体" w:hAnsi="宋体" w:eastAsia="黑体"/>
          <w:b/>
          <w:bCs/>
          <w:color w:val="000000"/>
          <w:sz w:val="32"/>
          <w:szCs w:val="32"/>
          <w:highlight w:val="none"/>
        </w:rPr>
      </w:pPr>
    </w:p>
    <w:p>
      <w:pPr>
        <w:tabs>
          <w:tab w:val="left" w:pos="7665"/>
        </w:tabs>
        <w:spacing w:line="400" w:lineRule="exact"/>
        <w:ind w:firstLine="480"/>
        <w:jc w:val="center"/>
        <w:rPr>
          <w:rFonts w:ascii="黑体" w:hAnsi="宋体" w:eastAsia="黑体"/>
          <w:b/>
          <w:bCs/>
          <w:color w:val="000000"/>
          <w:sz w:val="32"/>
          <w:szCs w:val="32"/>
          <w:highlight w:val="none"/>
        </w:rPr>
      </w:pPr>
    </w:p>
    <w:p>
      <w:pPr>
        <w:tabs>
          <w:tab w:val="left" w:pos="7665"/>
        </w:tabs>
        <w:spacing w:line="400" w:lineRule="exact"/>
        <w:ind w:firstLine="480"/>
        <w:jc w:val="center"/>
        <w:rPr>
          <w:rFonts w:ascii="黑体" w:hAnsi="宋体" w:eastAsia="黑体"/>
          <w:b/>
          <w:bCs/>
          <w:color w:val="000000"/>
          <w:sz w:val="32"/>
          <w:szCs w:val="32"/>
          <w:highlight w:val="none"/>
        </w:rPr>
      </w:pPr>
    </w:p>
    <w:p>
      <w:pPr>
        <w:tabs>
          <w:tab w:val="left" w:pos="7665"/>
        </w:tabs>
        <w:spacing w:line="400" w:lineRule="exact"/>
        <w:ind w:firstLine="480"/>
        <w:jc w:val="center"/>
        <w:rPr>
          <w:rFonts w:ascii="黑体" w:hAnsi="宋体" w:eastAsia="黑体"/>
          <w:b/>
          <w:bCs/>
          <w:color w:val="000000"/>
          <w:sz w:val="32"/>
          <w:szCs w:val="32"/>
          <w:highlight w:val="none"/>
        </w:rPr>
      </w:pPr>
    </w:p>
    <w:p>
      <w:pPr>
        <w:tabs>
          <w:tab w:val="left" w:pos="7665"/>
        </w:tabs>
        <w:spacing w:line="400" w:lineRule="exact"/>
        <w:ind w:firstLine="480"/>
        <w:jc w:val="center"/>
        <w:rPr>
          <w:rFonts w:ascii="黑体" w:hAnsi="宋体" w:eastAsia="黑体"/>
          <w:b/>
          <w:bCs/>
          <w:color w:val="000000"/>
          <w:sz w:val="32"/>
          <w:szCs w:val="32"/>
          <w:highlight w:val="none"/>
        </w:rPr>
      </w:pPr>
    </w:p>
    <w:p>
      <w:pPr>
        <w:tabs>
          <w:tab w:val="left" w:pos="7665"/>
        </w:tabs>
        <w:spacing w:line="400" w:lineRule="exact"/>
        <w:ind w:firstLine="480"/>
        <w:rPr>
          <w:rFonts w:ascii="宋体" w:hAnsi="宋体"/>
          <w:b/>
          <w:color w:val="000000"/>
          <w:sz w:val="24"/>
          <w:highlight w:val="none"/>
        </w:rPr>
      </w:pPr>
      <w:r>
        <w:rPr>
          <w:rFonts w:hint="eastAsia" w:ascii="宋体" w:hAnsi="宋体"/>
          <w:b/>
          <w:color w:val="000000"/>
          <w:sz w:val="24"/>
          <w:highlight w:val="none"/>
        </w:rPr>
        <w:t>注：采购人不同意磋商文件在磋商过程中有任何变动的，可以不规定此章内容。</w:t>
      </w:r>
    </w:p>
    <w:p>
      <w:pPr>
        <w:tabs>
          <w:tab w:val="left" w:pos="7665"/>
        </w:tabs>
        <w:spacing w:line="400" w:lineRule="exact"/>
        <w:ind w:firstLine="480"/>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tabs>
          <w:tab w:val="left" w:pos="7665"/>
        </w:tabs>
        <w:spacing w:line="400" w:lineRule="exact"/>
        <w:rPr>
          <w:rFonts w:ascii="黑体" w:hAnsi="宋体" w:eastAsia="黑体"/>
          <w:b/>
          <w:bCs/>
          <w:color w:val="000000"/>
          <w:sz w:val="32"/>
          <w:szCs w:val="32"/>
          <w:highlight w:val="none"/>
        </w:rPr>
      </w:pPr>
    </w:p>
    <w:p>
      <w:pPr>
        <w:pStyle w:val="3"/>
        <w:pageBreakBefore/>
        <w:spacing w:before="0" w:after="20" w:line="360" w:lineRule="auto"/>
        <w:jc w:val="center"/>
        <w:rPr>
          <w:rFonts w:ascii="黑体" w:eastAsia="黑体"/>
          <w:color w:val="000000"/>
          <w:sz w:val="32"/>
          <w:szCs w:val="32"/>
          <w:highlight w:val="none"/>
        </w:rPr>
      </w:pPr>
      <w:bookmarkStart w:id="77" w:name="_Toc533424977"/>
      <w:r>
        <w:rPr>
          <w:rFonts w:hint="eastAsia" w:ascii="黑体" w:eastAsia="黑体"/>
          <w:color w:val="000000"/>
          <w:sz w:val="32"/>
          <w:szCs w:val="32"/>
          <w:highlight w:val="none"/>
        </w:rPr>
        <w:t>第七章  响应文件格式</w:t>
      </w:r>
      <w:bookmarkEnd w:id="77"/>
    </w:p>
    <w:p>
      <w:pPr>
        <w:tabs>
          <w:tab w:val="left" w:pos="7665"/>
        </w:tabs>
        <w:spacing w:line="400" w:lineRule="exact"/>
        <w:ind w:firstLine="480"/>
        <w:rPr>
          <w:rFonts w:ascii="宋体" w:hAnsi="宋体"/>
          <w:bCs/>
          <w:color w:val="000000"/>
          <w:sz w:val="24"/>
          <w:highlight w:val="none"/>
        </w:rPr>
      </w:pPr>
    </w:p>
    <w:p>
      <w:pPr>
        <w:jc w:val="left"/>
        <w:rPr>
          <w:b/>
          <w:color w:val="000000"/>
          <w:sz w:val="32"/>
          <w:szCs w:val="32"/>
          <w:highlight w:val="none"/>
        </w:rPr>
      </w:pPr>
    </w:p>
    <w:p>
      <w:pPr>
        <w:jc w:val="left"/>
        <w:rPr>
          <w:color w:val="000000"/>
          <w:sz w:val="24"/>
          <w:highlight w:val="none"/>
        </w:rPr>
      </w:pPr>
      <w:r>
        <w:rPr>
          <w:rFonts w:hint="eastAsia"/>
          <w:color w:val="000000"/>
          <w:sz w:val="24"/>
          <w:highlight w:val="none"/>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jc w:val="left"/>
        <w:rPr>
          <w:color w:val="000000"/>
          <w:sz w:val="24"/>
          <w:highlight w:val="none"/>
        </w:rPr>
      </w:pPr>
      <w:r>
        <w:rPr>
          <w:rFonts w:hint="eastAsia"/>
          <w:color w:val="000000"/>
          <w:sz w:val="24"/>
          <w:highlight w:val="none"/>
        </w:rPr>
        <w:t xml:space="preserve">    二、本章所制响应文件格式有关表格中的备注栏，由供应商根据自身响应情况作解释性说明，不作为必填项。</w:t>
      </w:r>
    </w:p>
    <w:p>
      <w:pPr>
        <w:ind w:firstLine="480" w:firstLineChars="200"/>
        <w:rPr>
          <w:b/>
          <w:color w:val="000000"/>
          <w:sz w:val="32"/>
          <w:szCs w:val="32"/>
          <w:highlight w:val="none"/>
        </w:rPr>
      </w:pPr>
      <w:r>
        <w:rPr>
          <w:rFonts w:hint="eastAsia"/>
          <w:color w:val="000000"/>
          <w:sz w:val="24"/>
          <w:highlight w:val="none"/>
        </w:rPr>
        <w:t>三、本章所制响应文件格式中需要填写的相关内容事项，可能会与本采购项目无关，在不改变响应文件原义、不影响本项目采购需求的情况下，供应商可以不予填写，但应当注明。</w:t>
      </w:r>
    </w:p>
    <w:p>
      <w:pPr>
        <w:jc w:val="center"/>
        <w:rPr>
          <w:b/>
          <w:color w:val="000000"/>
          <w:sz w:val="32"/>
          <w:szCs w:val="32"/>
          <w:highlight w:val="none"/>
        </w:rPr>
      </w:pPr>
    </w:p>
    <w:p>
      <w:pPr>
        <w:jc w:val="center"/>
        <w:rPr>
          <w:b/>
          <w:color w:val="000000"/>
          <w:sz w:val="32"/>
          <w:szCs w:val="32"/>
          <w:highlight w:val="none"/>
        </w:rPr>
      </w:pPr>
    </w:p>
    <w:p>
      <w:pPr>
        <w:rPr>
          <w:b/>
          <w:color w:val="000000"/>
          <w:sz w:val="32"/>
          <w:szCs w:val="32"/>
          <w:highlight w:val="none"/>
        </w:rPr>
      </w:pPr>
    </w:p>
    <w:p>
      <w:pPr>
        <w:pStyle w:val="8"/>
        <w:rPr>
          <w:b/>
          <w:color w:val="000000"/>
          <w:sz w:val="32"/>
          <w:szCs w:val="32"/>
          <w:highlight w:val="none"/>
        </w:rPr>
      </w:pPr>
    </w:p>
    <w:p>
      <w:pPr>
        <w:rPr>
          <w:b/>
          <w:color w:val="000000"/>
          <w:sz w:val="32"/>
          <w:szCs w:val="32"/>
          <w:highlight w:val="none"/>
        </w:rPr>
      </w:pPr>
    </w:p>
    <w:p>
      <w:pPr>
        <w:rPr>
          <w:highlight w:val="none"/>
        </w:rPr>
      </w:pPr>
      <w:r>
        <w:rPr>
          <w:highlight w:val="none"/>
        </w:rPr>
        <w:br w:type="page"/>
      </w:r>
    </w:p>
    <w:p>
      <w:pPr>
        <w:pStyle w:val="8"/>
        <w:rPr>
          <w:highlight w:val="none"/>
        </w:rPr>
      </w:pPr>
    </w:p>
    <w:p>
      <w:pPr>
        <w:rPr>
          <w:highlight w:val="none"/>
        </w:rPr>
      </w:pPr>
    </w:p>
    <w:p>
      <w:pPr>
        <w:pStyle w:val="8"/>
        <w:rPr>
          <w:highlight w:val="none"/>
        </w:rPr>
      </w:pPr>
    </w:p>
    <w:p>
      <w:pPr>
        <w:spacing w:line="360" w:lineRule="auto"/>
        <w:ind w:left="43"/>
        <w:rPr>
          <w:rFonts w:ascii="宋体" w:hAnsi="宋体" w:cs="宋体"/>
          <w:b/>
          <w:sz w:val="24"/>
          <w:highlight w:val="none"/>
          <w:u w:val="single"/>
        </w:rPr>
      </w:pPr>
      <w:r>
        <w:rPr>
          <w:rFonts w:ascii="宋体" w:hAnsi="宋体" w:cs="宋体"/>
          <w:b/>
          <w:sz w:val="30"/>
          <w:highlight w:val="none"/>
        </w:rPr>
        <w:t>项目名称</w:t>
      </w:r>
      <w:r>
        <w:rPr>
          <w:rFonts w:ascii="宋体" w:hAnsi="宋体" w:cs="MS PGothic"/>
          <w:b/>
          <w:sz w:val="30"/>
          <w:highlight w:val="none"/>
        </w:rPr>
        <w:t>：</w:t>
      </w:r>
      <w:r>
        <w:rPr>
          <w:rFonts w:hint="eastAsia" w:ascii="宋体" w:hAnsi="宋体" w:cs="MS PGothic"/>
          <w:b/>
          <w:sz w:val="30"/>
          <w:highlight w:val="none"/>
          <w:u w:val="single"/>
        </w:rPr>
        <w:t xml:space="preserve">                           </w:t>
      </w:r>
    </w:p>
    <w:p>
      <w:pPr>
        <w:spacing w:line="360" w:lineRule="auto"/>
        <w:ind w:left="43"/>
        <w:jc w:val="center"/>
        <w:rPr>
          <w:rFonts w:ascii="宋体" w:hAnsi="宋体" w:cs="宋体"/>
          <w:b/>
          <w:sz w:val="30"/>
          <w:highlight w:val="none"/>
        </w:rPr>
      </w:pPr>
    </w:p>
    <w:p>
      <w:pPr>
        <w:spacing w:line="360" w:lineRule="auto"/>
        <w:ind w:left="43"/>
        <w:rPr>
          <w:rFonts w:ascii="宋体" w:hAnsi="宋体" w:cs="宋体"/>
          <w:b/>
          <w:sz w:val="30"/>
          <w:highlight w:val="none"/>
          <w:u w:val="single"/>
        </w:rPr>
      </w:pPr>
      <w:r>
        <w:rPr>
          <w:rFonts w:ascii="宋体" w:hAnsi="宋体" w:cs="宋体"/>
          <w:b/>
          <w:sz w:val="30"/>
          <w:highlight w:val="none"/>
        </w:rPr>
        <w:t>采购编号</w:t>
      </w:r>
      <w:r>
        <w:rPr>
          <w:rFonts w:ascii="宋体" w:hAnsi="宋体" w:cs="MS PGothic"/>
          <w:b/>
          <w:sz w:val="30"/>
          <w:highlight w:val="none"/>
        </w:rPr>
        <w:t>：</w:t>
      </w:r>
      <w:r>
        <w:rPr>
          <w:rFonts w:hint="eastAsia" w:ascii="宋体" w:hAnsi="宋体" w:cs="宋体"/>
          <w:b/>
          <w:sz w:val="30"/>
          <w:highlight w:val="none"/>
          <w:u w:val="single"/>
        </w:rPr>
        <w:t xml:space="preserve">   </w:t>
      </w:r>
      <w:r>
        <w:rPr>
          <w:rFonts w:hint="eastAsia" w:ascii="宋体" w:hAnsi="宋体" w:cs="MS PGothic"/>
          <w:b/>
          <w:sz w:val="30"/>
          <w:highlight w:val="none"/>
          <w:u w:val="single"/>
        </w:rPr>
        <w:t xml:space="preserve">                      </w:t>
      </w:r>
    </w:p>
    <w:p>
      <w:pPr>
        <w:spacing w:line="360" w:lineRule="auto"/>
        <w:jc w:val="center"/>
        <w:rPr>
          <w:rFonts w:ascii="宋体" w:hAnsi="宋体" w:cs="宋体"/>
          <w:b/>
          <w:sz w:val="30"/>
          <w:highlight w:val="none"/>
        </w:rPr>
      </w:pPr>
    </w:p>
    <w:p>
      <w:pPr>
        <w:pStyle w:val="8"/>
        <w:rPr>
          <w:rFonts w:ascii="宋体" w:hAnsi="宋体" w:cs="宋体"/>
          <w:b/>
          <w:sz w:val="30"/>
          <w:highlight w:val="none"/>
        </w:rPr>
      </w:pPr>
    </w:p>
    <w:p>
      <w:pPr>
        <w:rPr>
          <w:highlight w:val="none"/>
        </w:rPr>
      </w:pPr>
    </w:p>
    <w:p>
      <w:pPr>
        <w:spacing w:line="360" w:lineRule="auto"/>
        <w:jc w:val="center"/>
        <w:rPr>
          <w:rFonts w:ascii="宋体" w:hAnsi="宋体"/>
          <w:b/>
          <w:sz w:val="44"/>
          <w:szCs w:val="44"/>
          <w:highlight w:val="none"/>
        </w:rPr>
      </w:pPr>
      <w:r>
        <w:rPr>
          <w:rFonts w:ascii="宋体" w:hAnsi="宋体" w:cs="宋体"/>
          <w:b/>
          <w:sz w:val="44"/>
          <w:szCs w:val="44"/>
          <w:highlight w:val="none"/>
        </w:rPr>
        <w:t>资格性响应文件</w:t>
      </w:r>
    </w:p>
    <w:p>
      <w:pPr>
        <w:spacing w:line="360" w:lineRule="auto"/>
        <w:jc w:val="center"/>
        <w:rPr>
          <w:rFonts w:ascii="宋体" w:hAnsi="宋体" w:cs="MS PGothic"/>
          <w:b/>
          <w:sz w:val="30"/>
          <w:highlight w:val="none"/>
        </w:rPr>
      </w:pPr>
    </w:p>
    <w:p>
      <w:pPr>
        <w:spacing w:line="360" w:lineRule="auto"/>
        <w:jc w:val="center"/>
        <w:rPr>
          <w:rFonts w:ascii="宋体" w:hAnsi="宋体" w:cs="MS PGothic"/>
          <w:b/>
          <w:sz w:val="30"/>
          <w:highlight w:val="none"/>
        </w:rPr>
      </w:pPr>
    </w:p>
    <w:p>
      <w:pPr>
        <w:spacing w:line="360" w:lineRule="auto"/>
        <w:jc w:val="center"/>
        <w:rPr>
          <w:rFonts w:ascii="宋体" w:hAnsi="宋体"/>
          <w:b/>
          <w:sz w:val="30"/>
          <w:highlight w:val="none"/>
        </w:rPr>
      </w:pPr>
      <w:r>
        <w:rPr>
          <w:rFonts w:ascii="宋体" w:hAnsi="宋体" w:cs="MS PGothic"/>
          <w:b/>
          <w:sz w:val="30"/>
          <w:highlight w:val="none"/>
        </w:rPr>
        <w:t>（</w:t>
      </w:r>
      <w:r>
        <w:rPr>
          <w:rFonts w:ascii="宋体" w:hAnsi="宋体" w:cs="宋体"/>
          <w:b/>
          <w:sz w:val="30"/>
          <w:highlight w:val="none"/>
        </w:rPr>
        <w:t>正本或副本</w:t>
      </w:r>
      <w:r>
        <w:rPr>
          <w:rFonts w:ascii="宋体" w:hAnsi="宋体" w:cs="MS PGothic"/>
          <w:b/>
          <w:sz w:val="30"/>
          <w:highlight w:val="none"/>
        </w:rPr>
        <w:t>）</w:t>
      </w: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u w:val="single"/>
        </w:rPr>
      </w:pPr>
      <w:r>
        <w:rPr>
          <w:rFonts w:ascii="宋体" w:hAnsi="宋体" w:cs="宋体"/>
          <w:b/>
          <w:sz w:val="30"/>
          <w:highlight w:val="none"/>
        </w:rPr>
        <w:t>供应商名称</w:t>
      </w:r>
      <w:r>
        <w:rPr>
          <w:rFonts w:ascii="宋体" w:hAnsi="宋体" w:cs="MS PGothic"/>
          <w:b/>
          <w:sz w:val="30"/>
          <w:highlight w:val="none"/>
        </w:rPr>
        <w:t>：</w:t>
      </w:r>
      <w:r>
        <w:rPr>
          <w:rFonts w:hint="eastAsia" w:ascii="宋体" w:hAnsi="宋体" w:cs="MS PGothic"/>
          <w:b/>
          <w:sz w:val="30"/>
          <w:highlight w:val="none"/>
          <w:u w:val="single"/>
        </w:rPr>
        <w:t xml:space="preserve">                        </w:t>
      </w:r>
      <w:r>
        <w:rPr>
          <w:rFonts w:ascii="宋体" w:hAnsi="宋体" w:cs="MS PGothic"/>
          <w:b/>
          <w:sz w:val="30"/>
          <w:highlight w:val="none"/>
        </w:rPr>
        <w:t>（</w:t>
      </w:r>
      <w:r>
        <w:rPr>
          <w:rFonts w:ascii="宋体" w:hAnsi="宋体" w:cs="宋体"/>
          <w:b/>
          <w:sz w:val="30"/>
          <w:highlight w:val="none"/>
        </w:rPr>
        <w:t>加盖公章</w:t>
      </w:r>
      <w:r>
        <w:rPr>
          <w:rFonts w:ascii="宋体" w:hAnsi="宋体" w:cs="MS PGothic"/>
          <w:b/>
          <w:sz w:val="30"/>
          <w:highlight w:val="none"/>
        </w:rPr>
        <w:t>）</w:t>
      </w:r>
    </w:p>
    <w:p>
      <w:pPr>
        <w:spacing w:line="360" w:lineRule="auto"/>
        <w:jc w:val="center"/>
        <w:rPr>
          <w:rFonts w:ascii="宋体" w:hAnsi="宋体" w:cs="宋体"/>
          <w:b/>
          <w:sz w:val="30"/>
          <w:highlight w:val="none"/>
        </w:rPr>
      </w:pPr>
    </w:p>
    <w:p>
      <w:pPr>
        <w:spacing w:line="360" w:lineRule="auto"/>
        <w:jc w:val="center"/>
        <w:rPr>
          <w:rFonts w:ascii="宋体" w:hAnsi="宋体"/>
          <w:sz w:val="24"/>
          <w:highlight w:val="none"/>
        </w:rPr>
      </w:pPr>
      <w:r>
        <w:rPr>
          <w:rFonts w:hint="eastAsia" w:ascii="宋体" w:hAnsi="宋体" w:cs="宋体"/>
          <w:b/>
          <w:sz w:val="30"/>
          <w:highlight w:val="none"/>
        </w:rPr>
        <w:t>日期：  年  月   日</w:t>
      </w:r>
    </w:p>
    <w:p>
      <w:pPr>
        <w:pStyle w:val="8"/>
        <w:rPr>
          <w:highlight w:val="none"/>
        </w:rPr>
      </w:pPr>
    </w:p>
    <w:p>
      <w:pPr>
        <w:rPr>
          <w:highlight w:val="none"/>
        </w:rPr>
      </w:pPr>
      <w:r>
        <w:rPr>
          <w:highlight w:val="none"/>
        </w:rPr>
        <w:br w:type="page"/>
      </w:r>
    </w:p>
    <w:p>
      <w:pPr>
        <w:jc w:val="center"/>
        <w:rPr>
          <w:b/>
          <w:color w:val="000000"/>
          <w:sz w:val="28"/>
          <w:szCs w:val="28"/>
          <w:highlight w:val="none"/>
        </w:rPr>
      </w:pPr>
      <w:r>
        <w:rPr>
          <w:rFonts w:hint="eastAsia"/>
          <w:b/>
          <w:color w:val="000000"/>
          <w:sz w:val="28"/>
          <w:szCs w:val="28"/>
          <w:highlight w:val="none"/>
        </w:rPr>
        <w:t>一、法定代表人授权书</w:t>
      </w:r>
    </w:p>
    <w:p>
      <w:pPr>
        <w:jc w:val="center"/>
        <w:rPr>
          <w:b/>
          <w:color w:val="000000"/>
          <w:sz w:val="44"/>
          <w:highlight w:val="none"/>
        </w:rPr>
      </w:pPr>
    </w:p>
    <w:p>
      <w:pPr>
        <w:spacing w:line="400" w:lineRule="exact"/>
        <w:rPr>
          <w:rFonts w:ascii="宋体" w:hAnsi="宋体"/>
          <w:color w:val="000000"/>
          <w:sz w:val="24"/>
          <w:highlight w:val="none"/>
        </w:rPr>
      </w:pPr>
      <w:r>
        <w:rPr>
          <w:rFonts w:hint="eastAsia" w:ascii="宋体" w:hAnsi="宋体"/>
          <w:color w:val="000000"/>
          <w:sz w:val="24"/>
          <w:highlight w:val="none"/>
        </w:rPr>
        <w:t>XXX（采购</w:t>
      </w:r>
      <w:r>
        <w:rPr>
          <w:rFonts w:hint="eastAsia" w:ascii="宋体" w:hAnsi="宋体"/>
          <w:color w:val="000000"/>
          <w:sz w:val="24"/>
          <w:highlight w:val="none"/>
          <w:lang w:eastAsia="zh-CN"/>
        </w:rPr>
        <w:t>人</w:t>
      </w:r>
      <w:r>
        <w:rPr>
          <w:rFonts w:hint="eastAsia" w:ascii="宋体" w:hAnsi="宋体"/>
          <w:color w:val="000000"/>
          <w:sz w:val="24"/>
          <w:highlight w:val="none"/>
        </w:rPr>
        <w:t>名称）：</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本授权声明：XXX（单位名称）,XXX（法定代表人姓名、职务）授权XXX</w:t>
      </w:r>
      <w:r>
        <w:rPr>
          <w:rFonts w:hint="eastAsia" w:ascii="宋体" w:hAnsi="宋体"/>
          <w:color w:val="000000"/>
          <w:sz w:val="24"/>
          <w:highlight w:val="none"/>
          <w:u w:val="single"/>
        </w:rPr>
        <w:t xml:space="preserve">                   </w:t>
      </w:r>
      <w:r>
        <w:rPr>
          <w:rFonts w:hint="eastAsia" w:ascii="宋体" w:hAnsi="宋体"/>
          <w:color w:val="000000"/>
          <w:sz w:val="24"/>
          <w:highlight w:val="none"/>
        </w:rPr>
        <w:t>（被授权人姓名、职务）为我方参加XXX项目（采购编号：XXX）磋商采购活动的合法代表，以我方名义全权处理该项目有关磋商、报价、签订合同以及执行合同等一切事宜。</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特此声明。</w:t>
      </w:r>
    </w:p>
    <w:p>
      <w:pPr>
        <w:spacing w:line="400" w:lineRule="exact"/>
        <w:rPr>
          <w:rFonts w:ascii="宋体" w:hAnsi="宋体"/>
          <w:color w:val="000000"/>
          <w:sz w:val="24"/>
          <w:highlight w:val="none"/>
        </w:rPr>
      </w:pP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供应商名称：XXX（盖单位公章）</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法定代表人（签字或盖章）：XXX</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职    务：XXX</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被授权人签字：XXX</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职    务：XXX</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日    期：XXX年XXX月XXX</w:t>
      </w:r>
    </w:p>
    <w:p>
      <w:pPr>
        <w:rPr>
          <w:highlight w:val="none"/>
        </w:rPr>
      </w:pPr>
    </w:p>
    <w:p>
      <w:pPr>
        <w:pStyle w:val="8"/>
        <w:rPr>
          <w:highlight w:val="none"/>
        </w:rPr>
      </w:pPr>
    </w:p>
    <w:p>
      <w:pPr>
        <w:rPr>
          <w:highlight w:val="none"/>
        </w:rPr>
      </w:pPr>
    </w:p>
    <w:p>
      <w:pPr>
        <w:pStyle w:val="8"/>
        <w:rPr>
          <w:highlight w:val="none"/>
        </w:rPr>
      </w:pPr>
    </w:p>
    <w:p>
      <w:pPr>
        <w:rPr>
          <w:highlight w:val="none"/>
        </w:rPr>
      </w:pPr>
    </w:p>
    <w:p>
      <w:pPr>
        <w:jc w:val="center"/>
        <w:rPr>
          <w:b/>
          <w:color w:val="000000"/>
          <w:sz w:val="28"/>
          <w:szCs w:val="28"/>
          <w:highlight w:val="none"/>
        </w:rPr>
      </w:pPr>
      <w:r>
        <w:rPr>
          <w:rFonts w:hint="eastAsia"/>
          <w:b/>
          <w:color w:val="000000"/>
          <w:sz w:val="28"/>
          <w:szCs w:val="28"/>
          <w:highlight w:val="none"/>
        </w:rPr>
        <w:t>二、法人代表及被授权代表身份证</w:t>
      </w:r>
    </w:p>
    <w:p>
      <w:pPr>
        <w:pStyle w:val="8"/>
        <w:rPr>
          <w:highlight w:val="none"/>
        </w:rPr>
      </w:pPr>
    </w:p>
    <w:p>
      <w:pPr>
        <w:rPr>
          <w:highlight w:val="none"/>
        </w:rPr>
      </w:pPr>
    </w:p>
    <w:p>
      <w:pPr>
        <w:rPr>
          <w:highlight w:val="none"/>
        </w:rPr>
      </w:pPr>
    </w:p>
    <w:p>
      <w:pPr>
        <w:pStyle w:val="8"/>
        <w:jc w:val="center"/>
        <w:rPr>
          <w:sz w:val="24"/>
          <w:highlight w:val="none"/>
        </w:rPr>
      </w:pPr>
      <w:r>
        <w:rPr>
          <w:rFonts w:hint="eastAsia"/>
          <w:sz w:val="24"/>
          <w:highlight w:val="none"/>
        </w:rPr>
        <w:t>（格式自拟）</w:t>
      </w:r>
    </w:p>
    <w:p>
      <w:pPr>
        <w:pStyle w:val="8"/>
        <w:rPr>
          <w:highlight w:val="none"/>
        </w:rPr>
      </w:pPr>
    </w:p>
    <w:p>
      <w:pPr>
        <w:rPr>
          <w:highlight w:val="none"/>
        </w:rPr>
      </w:pPr>
    </w:p>
    <w:p>
      <w:pPr>
        <w:rPr>
          <w:highlight w:val="none"/>
        </w:rPr>
      </w:pPr>
      <w:r>
        <w:rPr>
          <w:highlight w:val="none"/>
        </w:rPr>
        <w:br w:type="page"/>
      </w:r>
    </w:p>
    <w:p>
      <w:pPr>
        <w:pageBreakBefore/>
        <w:jc w:val="center"/>
        <w:rPr>
          <w:rFonts w:ascii="宋体" w:hAnsi="宋体" w:cs="Arial"/>
          <w:b/>
          <w:bCs/>
          <w:color w:val="000000"/>
          <w:sz w:val="32"/>
          <w:szCs w:val="32"/>
          <w:highlight w:val="none"/>
        </w:rPr>
      </w:pPr>
      <w:r>
        <w:rPr>
          <w:rFonts w:hint="eastAsia" w:ascii="Times New Roman" w:hAnsi="Times New Roman" w:cs="Times New Roman"/>
          <w:b/>
          <w:color w:val="000000"/>
          <w:sz w:val="28"/>
          <w:szCs w:val="28"/>
          <w:highlight w:val="none"/>
          <w:lang w:eastAsia="zh-CN"/>
        </w:rPr>
        <w:t>三</w:t>
      </w:r>
      <w:r>
        <w:rPr>
          <w:rFonts w:hint="eastAsia" w:ascii="Times New Roman" w:hAnsi="Times New Roman" w:cs="Times New Roman"/>
          <w:b/>
          <w:color w:val="000000"/>
          <w:sz w:val="28"/>
          <w:szCs w:val="28"/>
          <w:highlight w:val="none"/>
        </w:rPr>
        <w:t>、承诺函</w:t>
      </w:r>
    </w:p>
    <w:p>
      <w:pPr>
        <w:spacing w:line="400" w:lineRule="exact"/>
        <w:ind w:firstLine="562" w:firstLineChars="200"/>
        <w:jc w:val="center"/>
        <w:rPr>
          <w:rFonts w:ascii="宋体" w:hAnsi="宋体" w:eastAsia="黑体"/>
          <w:b/>
          <w:color w:val="000000"/>
          <w:sz w:val="28"/>
          <w:szCs w:val="28"/>
          <w:highlight w:val="none"/>
        </w:rPr>
      </w:pPr>
    </w:p>
    <w:p>
      <w:pPr>
        <w:rPr>
          <w:rFonts w:ascii="宋体" w:hAnsi="宋体"/>
          <w:color w:val="000000"/>
          <w:sz w:val="24"/>
          <w:highlight w:val="none"/>
        </w:rPr>
      </w:pPr>
      <w:r>
        <w:rPr>
          <w:rFonts w:hint="eastAsia" w:ascii="宋体" w:hAnsi="宋体"/>
          <w:color w:val="000000"/>
          <w:sz w:val="24"/>
          <w:highlight w:val="none"/>
        </w:rPr>
        <w:t>XXX（采购</w:t>
      </w:r>
      <w:r>
        <w:rPr>
          <w:rFonts w:hint="eastAsia" w:ascii="宋体" w:hAnsi="宋体"/>
          <w:color w:val="000000"/>
          <w:sz w:val="24"/>
          <w:highlight w:val="none"/>
          <w:lang w:eastAsia="zh-CN"/>
        </w:rPr>
        <w:t>人</w:t>
      </w:r>
      <w:r>
        <w:rPr>
          <w:rFonts w:hint="eastAsia" w:ascii="宋体" w:hAnsi="宋体"/>
          <w:color w:val="000000"/>
          <w:sz w:val="24"/>
          <w:highlight w:val="none"/>
        </w:rPr>
        <w:t>名称）：</w:t>
      </w:r>
    </w:p>
    <w:p>
      <w:pPr>
        <w:ind w:firstLine="480" w:firstLineChars="200"/>
        <w:rPr>
          <w:rFonts w:ascii="宋体" w:hAnsi="宋体"/>
          <w:color w:val="000000"/>
          <w:sz w:val="24"/>
          <w:highlight w:val="none"/>
        </w:rPr>
      </w:pPr>
      <w:r>
        <w:rPr>
          <w:rFonts w:hint="eastAsia" w:ascii="宋体" w:hAnsi="宋体"/>
          <w:color w:val="000000"/>
          <w:sz w:val="24"/>
          <w:highlight w:val="none"/>
        </w:rPr>
        <w:t>我公司作为本次采购项目的供应商，根据磋商文件要求，现郑重承诺如下：</w:t>
      </w:r>
    </w:p>
    <w:p>
      <w:pPr>
        <w:ind w:firstLine="480" w:firstLineChars="200"/>
        <w:rPr>
          <w:rFonts w:ascii="宋体" w:hAnsi="宋体"/>
          <w:color w:val="000000"/>
          <w:sz w:val="24"/>
          <w:highlight w:val="none"/>
        </w:rPr>
      </w:pPr>
      <w:r>
        <w:rPr>
          <w:rFonts w:hint="eastAsia" w:ascii="宋体" w:hAnsi="宋体"/>
          <w:color w:val="000000"/>
          <w:sz w:val="24"/>
          <w:highlight w:val="none"/>
        </w:rPr>
        <w:t>一、具备《中华人民共和国政府采购法》第二十二条第一款和本项目规定的条件：</w:t>
      </w:r>
    </w:p>
    <w:p>
      <w:pPr>
        <w:ind w:firstLine="480" w:firstLineChars="200"/>
        <w:rPr>
          <w:rFonts w:ascii="宋体" w:hAnsi="宋体"/>
          <w:color w:val="000000"/>
          <w:sz w:val="24"/>
          <w:highlight w:val="none"/>
        </w:rPr>
      </w:pPr>
      <w:r>
        <w:rPr>
          <w:rFonts w:hint="eastAsia" w:ascii="宋体" w:hAnsi="宋体"/>
          <w:color w:val="000000"/>
          <w:sz w:val="24"/>
          <w:highlight w:val="none"/>
        </w:rPr>
        <w:t>（一）具有独立承担民事责任的能力；</w:t>
      </w:r>
    </w:p>
    <w:p>
      <w:pPr>
        <w:ind w:firstLine="480" w:firstLineChars="200"/>
        <w:rPr>
          <w:rFonts w:ascii="宋体" w:hAnsi="宋体"/>
          <w:color w:val="000000"/>
          <w:sz w:val="24"/>
          <w:highlight w:val="none"/>
        </w:rPr>
      </w:pPr>
      <w:r>
        <w:rPr>
          <w:rFonts w:hint="eastAsia" w:ascii="宋体" w:hAnsi="宋体"/>
          <w:color w:val="000000"/>
          <w:sz w:val="24"/>
          <w:highlight w:val="none"/>
        </w:rPr>
        <w:t>（二）具有良好的商业信誉和健全的财务会计制度；</w:t>
      </w:r>
    </w:p>
    <w:p>
      <w:pPr>
        <w:ind w:firstLine="480" w:firstLineChars="200"/>
        <w:rPr>
          <w:rFonts w:ascii="宋体" w:hAnsi="宋体"/>
          <w:color w:val="000000"/>
          <w:sz w:val="24"/>
          <w:highlight w:val="none"/>
        </w:rPr>
      </w:pPr>
      <w:r>
        <w:rPr>
          <w:rFonts w:hint="eastAsia" w:ascii="宋体" w:hAnsi="宋体"/>
          <w:color w:val="000000"/>
          <w:sz w:val="24"/>
          <w:highlight w:val="none"/>
        </w:rPr>
        <w:t>（三）具有履行合同所必需的设备和专业技术能力；</w:t>
      </w:r>
    </w:p>
    <w:p>
      <w:pPr>
        <w:ind w:firstLine="480" w:firstLineChars="200"/>
        <w:rPr>
          <w:rFonts w:ascii="宋体" w:hAnsi="宋体"/>
          <w:color w:val="000000"/>
          <w:sz w:val="24"/>
          <w:highlight w:val="none"/>
        </w:rPr>
      </w:pPr>
      <w:r>
        <w:rPr>
          <w:rFonts w:hint="eastAsia" w:ascii="宋体" w:hAnsi="宋体"/>
          <w:color w:val="000000"/>
          <w:sz w:val="24"/>
          <w:highlight w:val="none"/>
        </w:rPr>
        <w:t>（四）有依法缴纳税收和社会保障资金的良好记录；</w:t>
      </w:r>
    </w:p>
    <w:p>
      <w:pPr>
        <w:ind w:firstLine="480" w:firstLineChars="200"/>
        <w:rPr>
          <w:rFonts w:ascii="宋体" w:hAnsi="宋体"/>
          <w:color w:val="000000"/>
          <w:sz w:val="24"/>
          <w:highlight w:val="none"/>
        </w:rPr>
      </w:pPr>
      <w:r>
        <w:rPr>
          <w:rFonts w:hint="eastAsia" w:ascii="宋体" w:hAnsi="宋体"/>
          <w:color w:val="000000"/>
          <w:sz w:val="24"/>
          <w:highlight w:val="none"/>
        </w:rPr>
        <w:t>（五）参加政府采购活动前三年内，在经营活动中没有重大违法记录；</w:t>
      </w:r>
    </w:p>
    <w:p>
      <w:pPr>
        <w:ind w:firstLine="480" w:firstLineChars="200"/>
        <w:rPr>
          <w:rFonts w:ascii="宋体" w:hAnsi="宋体"/>
          <w:color w:val="000000"/>
          <w:sz w:val="24"/>
          <w:highlight w:val="none"/>
        </w:rPr>
      </w:pPr>
      <w:r>
        <w:rPr>
          <w:rFonts w:hint="eastAsia" w:ascii="宋体" w:hAnsi="宋体"/>
          <w:color w:val="000000"/>
          <w:sz w:val="24"/>
          <w:highlight w:val="none"/>
        </w:rPr>
        <w:t>（六）法律、行政法规规定的其他条件；</w:t>
      </w:r>
    </w:p>
    <w:p>
      <w:pPr>
        <w:ind w:firstLine="480" w:firstLineChars="200"/>
        <w:rPr>
          <w:rFonts w:ascii="宋体" w:hAnsi="宋体"/>
          <w:color w:val="000000"/>
          <w:sz w:val="24"/>
          <w:highlight w:val="none"/>
        </w:rPr>
      </w:pPr>
      <w:r>
        <w:rPr>
          <w:rFonts w:hint="eastAsia" w:ascii="宋体" w:hAnsi="宋体"/>
          <w:color w:val="000000"/>
          <w:sz w:val="24"/>
          <w:highlight w:val="none"/>
        </w:rPr>
        <w:t>（七）根据采购项目提出的特殊条件。</w:t>
      </w:r>
    </w:p>
    <w:p>
      <w:pPr>
        <w:spacing w:line="360" w:lineRule="auto"/>
        <w:ind w:firstLine="540" w:firstLineChars="225"/>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本项目参加政府采购活动的供应商单位及其现任法定代表人/主要负责人不得具有行贿犯罪记录。</w:t>
      </w:r>
    </w:p>
    <w:p>
      <w:pPr>
        <w:ind w:firstLine="480" w:firstLineChars="200"/>
        <w:rPr>
          <w:rFonts w:ascii="宋体" w:hAnsi="宋体"/>
          <w:color w:val="000000"/>
          <w:sz w:val="24"/>
          <w:highlight w:val="none"/>
        </w:rPr>
      </w:pPr>
      <w:r>
        <w:rPr>
          <w:rFonts w:hint="eastAsia" w:ascii="宋体" w:hAnsi="宋体"/>
          <w:color w:val="000000"/>
          <w:sz w:val="24"/>
          <w:highlight w:val="none"/>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firstLineChars="200"/>
        <w:rPr>
          <w:rFonts w:ascii="宋体" w:hAnsi="宋体"/>
          <w:color w:val="000000"/>
          <w:sz w:val="24"/>
          <w:highlight w:val="none"/>
        </w:rPr>
      </w:pPr>
      <w:r>
        <w:rPr>
          <w:rFonts w:hint="eastAsia" w:ascii="宋体" w:hAnsi="宋体"/>
          <w:color w:val="000000"/>
          <w:sz w:val="24"/>
          <w:highlight w:val="none"/>
        </w:rPr>
        <w:t>三、在参加本次采购活动中，不存在与单位负责人为同一人或者存在直接控股、管理关系的其他供应商参与同一合同项下的政府采购活动的行为。</w:t>
      </w:r>
    </w:p>
    <w:p>
      <w:pPr>
        <w:ind w:firstLine="480" w:firstLineChars="200"/>
        <w:rPr>
          <w:rFonts w:ascii="宋体" w:hAnsi="宋体"/>
          <w:color w:val="000000"/>
          <w:sz w:val="24"/>
          <w:highlight w:val="none"/>
        </w:rPr>
      </w:pPr>
      <w:r>
        <w:rPr>
          <w:rFonts w:hint="eastAsia" w:ascii="宋体" w:hAnsi="宋体"/>
          <w:color w:val="000000"/>
          <w:sz w:val="24"/>
          <w:highlight w:val="none"/>
        </w:rPr>
        <w:t>四、在参加本次采购活动中，不存在和其他供应商在同一合同项下的采购项目中，同时委托同一个自然人、同一家庭的人员、同一单位的人员作为代理人的行为。</w:t>
      </w:r>
    </w:p>
    <w:p>
      <w:pPr>
        <w:ind w:firstLine="480" w:firstLineChars="200"/>
        <w:rPr>
          <w:rFonts w:ascii="宋体" w:hAnsi="宋体"/>
          <w:color w:val="000000"/>
          <w:sz w:val="24"/>
          <w:highlight w:val="none"/>
        </w:rPr>
      </w:pPr>
      <w:r>
        <w:rPr>
          <w:rFonts w:hint="eastAsia" w:ascii="宋体" w:hAnsi="宋体"/>
          <w:color w:val="000000"/>
          <w:sz w:val="24"/>
          <w:highlight w:val="none"/>
        </w:rPr>
        <w:t>五、如果有《四川省政府采购当事人诚信管理办法》（川财采[2015]33号）规定的记入诚信档案的失信行为，将在响应文件中全面如实反映。</w:t>
      </w:r>
    </w:p>
    <w:p>
      <w:pPr>
        <w:ind w:firstLine="480" w:firstLineChars="200"/>
        <w:rPr>
          <w:rFonts w:ascii="宋体" w:hAnsi="宋体"/>
          <w:color w:val="000000"/>
          <w:sz w:val="24"/>
          <w:highlight w:val="none"/>
        </w:rPr>
      </w:pPr>
      <w:r>
        <w:rPr>
          <w:rFonts w:hint="eastAsia" w:ascii="宋体" w:hAnsi="宋体"/>
          <w:color w:val="000000"/>
          <w:sz w:val="24"/>
          <w:highlight w:val="none"/>
        </w:rPr>
        <w:t>六、响应文件中提供的任何资料和技术、服务、商务等响应承诺情况都是真实的、有效的、合法的。</w:t>
      </w:r>
    </w:p>
    <w:p>
      <w:pPr>
        <w:ind w:firstLine="480" w:firstLineChars="200"/>
        <w:rPr>
          <w:rFonts w:ascii="宋体" w:hAnsi="宋体"/>
          <w:color w:val="000000"/>
          <w:sz w:val="24"/>
          <w:highlight w:val="none"/>
        </w:rPr>
      </w:pPr>
      <w:r>
        <w:rPr>
          <w:rFonts w:hint="eastAsia" w:ascii="宋体" w:hAnsi="宋体"/>
          <w:color w:val="000000"/>
          <w:sz w:val="24"/>
          <w:highlight w:val="none"/>
        </w:rPr>
        <w:t>本公司对上述承诺的内容事项真实性负责。如经</w:t>
      </w:r>
      <w:r>
        <w:rPr>
          <w:rFonts w:hint="eastAsia" w:ascii="宋体" w:hAnsi="宋体"/>
          <w:sz w:val="24"/>
          <w:highlight w:val="none"/>
        </w:rPr>
        <w:t>查实上述承诺的内容事项存在虚假，我公司愿意接受以提供虚假材料谋取成交的法</w:t>
      </w:r>
      <w:r>
        <w:rPr>
          <w:rFonts w:hint="eastAsia" w:ascii="宋体" w:hAnsi="宋体"/>
          <w:color w:val="000000"/>
          <w:sz w:val="24"/>
          <w:highlight w:val="none"/>
        </w:rPr>
        <w:t>律责任。</w:t>
      </w:r>
    </w:p>
    <w:p>
      <w:pPr>
        <w:rPr>
          <w:rFonts w:ascii="宋体" w:hAnsi="宋体"/>
          <w:color w:val="000000"/>
          <w:sz w:val="24"/>
          <w:highlight w:val="none"/>
        </w:rPr>
      </w:pPr>
    </w:p>
    <w:p>
      <w:pPr>
        <w:rPr>
          <w:rFonts w:ascii="宋体" w:hAnsi="宋体"/>
          <w:color w:val="000000"/>
          <w:sz w:val="24"/>
          <w:highlight w:val="none"/>
        </w:rPr>
      </w:pPr>
    </w:p>
    <w:p>
      <w:pPr>
        <w:ind w:firstLine="480" w:firstLineChars="200"/>
        <w:rPr>
          <w:rFonts w:ascii="宋体" w:hAnsi="宋体"/>
          <w:color w:val="000000"/>
          <w:sz w:val="24"/>
          <w:highlight w:val="none"/>
        </w:rPr>
      </w:pPr>
      <w:r>
        <w:rPr>
          <w:rFonts w:hint="eastAsia" w:ascii="宋体" w:hAnsi="宋体"/>
          <w:color w:val="000000"/>
          <w:sz w:val="24"/>
          <w:highlight w:val="none"/>
        </w:rPr>
        <w:t>法定代表人签字或者加盖个人私章：XXXX</w:t>
      </w:r>
    </w:p>
    <w:p>
      <w:pPr>
        <w:ind w:firstLine="480" w:firstLineChars="200"/>
        <w:rPr>
          <w:rFonts w:ascii="宋体" w:hAnsi="宋体"/>
          <w:color w:val="000000"/>
          <w:sz w:val="24"/>
          <w:highlight w:val="none"/>
        </w:rPr>
      </w:pPr>
      <w:r>
        <w:rPr>
          <w:rFonts w:hint="eastAsia" w:ascii="宋体" w:hAnsi="宋体"/>
          <w:color w:val="000000"/>
          <w:sz w:val="24"/>
          <w:highlight w:val="none"/>
        </w:rPr>
        <w:t>授权代表签字：XXXX</w:t>
      </w:r>
    </w:p>
    <w:p>
      <w:pPr>
        <w:ind w:firstLine="480" w:firstLineChars="200"/>
        <w:rPr>
          <w:rFonts w:ascii="宋体" w:hAnsi="宋体"/>
          <w:color w:val="000000"/>
          <w:sz w:val="24"/>
          <w:highlight w:val="none"/>
        </w:rPr>
      </w:pPr>
      <w:r>
        <w:rPr>
          <w:rFonts w:hint="eastAsia" w:ascii="宋体" w:hAnsi="宋体"/>
          <w:color w:val="000000"/>
          <w:sz w:val="24"/>
          <w:highlight w:val="none"/>
        </w:rPr>
        <w:t>供应商名称：XXXX（盖章）</w:t>
      </w:r>
    </w:p>
    <w:p>
      <w:pPr>
        <w:pStyle w:val="12"/>
        <w:ind w:firstLine="480" w:firstLineChars="200"/>
        <w:rPr>
          <w:highlight w:val="none"/>
        </w:rPr>
      </w:pPr>
      <w:r>
        <w:rPr>
          <w:rFonts w:hint="eastAsia" w:ascii="宋体" w:hAnsi="宋体"/>
          <w:color w:val="000000"/>
          <w:sz w:val="24"/>
          <w:highlight w:val="none"/>
        </w:rPr>
        <w:t>日    期：XXX年XXX月XXX日</w:t>
      </w:r>
    </w:p>
    <w:p>
      <w:pPr>
        <w:pStyle w:val="8"/>
        <w:rPr>
          <w:highlight w:val="none"/>
        </w:rPr>
      </w:pPr>
    </w:p>
    <w:p>
      <w:pPr>
        <w:pStyle w:val="12"/>
        <w:rPr>
          <w:highlight w:val="none"/>
        </w:rPr>
      </w:pPr>
    </w:p>
    <w:p>
      <w:pPr>
        <w:pStyle w:val="12"/>
        <w:rPr>
          <w:highlight w:val="none"/>
        </w:rPr>
      </w:pPr>
    </w:p>
    <w:p>
      <w:pPr>
        <w:rPr>
          <w:highlight w:val="none"/>
        </w:rPr>
      </w:pPr>
    </w:p>
    <w:p>
      <w:pPr>
        <w:jc w:val="center"/>
        <w:rPr>
          <w:b/>
          <w:color w:val="000000"/>
          <w:sz w:val="28"/>
          <w:szCs w:val="28"/>
          <w:highlight w:val="none"/>
        </w:rPr>
      </w:pPr>
      <w:r>
        <w:rPr>
          <w:rFonts w:hint="eastAsia"/>
          <w:b/>
          <w:color w:val="000000"/>
          <w:sz w:val="28"/>
          <w:szCs w:val="28"/>
          <w:highlight w:val="none"/>
          <w:lang w:eastAsia="zh-CN"/>
        </w:rPr>
        <w:t>四</w:t>
      </w:r>
      <w:r>
        <w:rPr>
          <w:rFonts w:hint="eastAsia"/>
          <w:b/>
          <w:color w:val="000000"/>
          <w:sz w:val="28"/>
          <w:szCs w:val="28"/>
          <w:highlight w:val="none"/>
        </w:rPr>
        <w:t>、磋商文件第四章要求供应商提供的资格证明材料</w:t>
      </w:r>
    </w:p>
    <w:p>
      <w:pPr>
        <w:rPr>
          <w:highlight w:val="none"/>
        </w:rPr>
      </w:pPr>
    </w:p>
    <w:p>
      <w:pPr>
        <w:rPr>
          <w:highlight w:val="none"/>
        </w:rPr>
      </w:pPr>
    </w:p>
    <w:p>
      <w:pPr>
        <w:pStyle w:val="8"/>
        <w:jc w:val="center"/>
        <w:rPr>
          <w:sz w:val="24"/>
          <w:highlight w:val="none"/>
        </w:rPr>
      </w:pPr>
      <w:r>
        <w:rPr>
          <w:rFonts w:hint="eastAsia"/>
          <w:sz w:val="24"/>
          <w:highlight w:val="none"/>
        </w:rPr>
        <w:t>（格式自拟）</w:t>
      </w:r>
    </w:p>
    <w:p>
      <w:pPr>
        <w:pStyle w:val="8"/>
        <w:rPr>
          <w:highlight w:val="none"/>
        </w:rPr>
      </w:pPr>
    </w:p>
    <w:p>
      <w:pPr>
        <w:rPr>
          <w:highlight w:val="none"/>
        </w:rPr>
      </w:pPr>
    </w:p>
    <w:p>
      <w:pPr>
        <w:rPr>
          <w:highlight w:val="none"/>
        </w:rPr>
      </w:pPr>
      <w:r>
        <w:rPr>
          <w:highlight w:val="none"/>
        </w:rPr>
        <w:br w:type="page"/>
      </w:r>
    </w:p>
    <w:p>
      <w:pPr>
        <w:pStyle w:val="8"/>
        <w:rPr>
          <w:highlight w:val="none"/>
        </w:rPr>
      </w:pPr>
    </w:p>
    <w:p>
      <w:pPr>
        <w:rPr>
          <w:highlight w:val="none"/>
        </w:rPr>
      </w:pPr>
    </w:p>
    <w:p>
      <w:pPr>
        <w:pStyle w:val="8"/>
        <w:rPr>
          <w:highlight w:val="none"/>
        </w:rPr>
      </w:pPr>
    </w:p>
    <w:p>
      <w:pPr>
        <w:spacing w:line="360" w:lineRule="auto"/>
        <w:ind w:left="43"/>
        <w:rPr>
          <w:rFonts w:ascii="宋体" w:hAnsi="宋体" w:cs="宋体"/>
          <w:b/>
          <w:sz w:val="24"/>
          <w:highlight w:val="none"/>
          <w:u w:val="single"/>
        </w:rPr>
      </w:pPr>
      <w:r>
        <w:rPr>
          <w:rFonts w:ascii="宋体" w:hAnsi="宋体" w:cs="宋体"/>
          <w:b/>
          <w:sz w:val="30"/>
          <w:highlight w:val="none"/>
        </w:rPr>
        <w:t>项目名称</w:t>
      </w:r>
      <w:r>
        <w:rPr>
          <w:rFonts w:ascii="宋体" w:hAnsi="宋体" w:cs="MS PGothic"/>
          <w:b/>
          <w:sz w:val="30"/>
          <w:highlight w:val="none"/>
        </w:rPr>
        <w:t>：</w:t>
      </w:r>
      <w:r>
        <w:rPr>
          <w:rFonts w:hint="eastAsia" w:ascii="宋体" w:hAnsi="宋体" w:cs="MS PGothic"/>
          <w:b/>
          <w:sz w:val="30"/>
          <w:highlight w:val="none"/>
          <w:u w:val="single"/>
        </w:rPr>
        <w:t xml:space="preserve">                           </w:t>
      </w:r>
    </w:p>
    <w:p>
      <w:pPr>
        <w:spacing w:line="360" w:lineRule="auto"/>
        <w:ind w:left="43"/>
        <w:jc w:val="center"/>
        <w:rPr>
          <w:rFonts w:ascii="宋体" w:hAnsi="宋体" w:cs="宋体"/>
          <w:b/>
          <w:sz w:val="30"/>
          <w:highlight w:val="none"/>
        </w:rPr>
      </w:pPr>
    </w:p>
    <w:p>
      <w:pPr>
        <w:spacing w:line="360" w:lineRule="auto"/>
        <w:ind w:left="43"/>
        <w:rPr>
          <w:rFonts w:ascii="宋体" w:hAnsi="宋体" w:cs="宋体"/>
          <w:b/>
          <w:sz w:val="30"/>
          <w:highlight w:val="none"/>
          <w:u w:val="single"/>
        </w:rPr>
      </w:pPr>
      <w:r>
        <w:rPr>
          <w:rFonts w:ascii="宋体" w:hAnsi="宋体" w:cs="宋体"/>
          <w:b/>
          <w:sz w:val="30"/>
          <w:highlight w:val="none"/>
        </w:rPr>
        <w:t>采购编号</w:t>
      </w:r>
      <w:r>
        <w:rPr>
          <w:rFonts w:ascii="宋体" w:hAnsi="宋体" w:cs="MS PGothic"/>
          <w:b/>
          <w:sz w:val="30"/>
          <w:highlight w:val="none"/>
        </w:rPr>
        <w:t>：</w:t>
      </w:r>
      <w:r>
        <w:rPr>
          <w:rFonts w:hint="eastAsia" w:ascii="宋体" w:hAnsi="宋体" w:cs="宋体"/>
          <w:b/>
          <w:sz w:val="30"/>
          <w:highlight w:val="none"/>
          <w:u w:val="single"/>
        </w:rPr>
        <w:t xml:space="preserve">   </w:t>
      </w:r>
      <w:r>
        <w:rPr>
          <w:rFonts w:hint="eastAsia" w:ascii="宋体" w:hAnsi="宋体" w:cs="MS PGothic"/>
          <w:b/>
          <w:sz w:val="30"/>
          <w:highlight w:val="none"/>
          <w:u w:val="single"/>
        </w:rPr>
        <w:t xml:space="preserve">                      </w:t>
      </w:r>
    </w:p>
    <w:p>
      <w:pPr>
        <w:spacing w:line="360" w:lineRule="auto"/>
        <w:jc w:val="center"/>
        <w:rPr>
          <w:rFonts w:ascii="宋体" w:hAnsi="宋体" w:cs="宋体"/>
          <w:b/>
          <w:sz w:val="30"/>
          <w:highlight w:val="none"/>
        </w:rPr>
      </w:pPr>
    </w:p>
    <w:p>
      <w:pPr>
        <w:pStyle w:val="8"/>
        <w:rPr>
          <w:rFonts w:ascii="宋体" w:hAnsi="宋体" w:cs="宋体"/>
          <w:b/>
          <w:sz w:val="30"/>
          <w:highlight w:val="none"/>
        </w:rPr>
      </w:pPr>
    </w:p>
    <w:p>
      <w:pPr>
        <w:rPr>
          <w:highlight w:val="none"/>
        </w:rPr>
      </w:pPr>
    </w:p>
    <w:p>
      <w:pPr>
        <w:spacing w:line="360" w:lineRule="auto"/>
        <w:jc w:val="center"/>
        <w:rPr>
          <w:rFonts w:ascii="宋体" w:hAnsi="宋体"/>
          <w:b/>
          <w:sz w:val="44"/>
          <w:szCs w:val="44"/>
          <w:highlight w:val="none"/>
        </w:rPr>
      </w:pPr>
      <w:r>
        <w:rPr>
          <w:rFonts w:hint="eastAsia" w:ascii="宋体" w:hAnsi="宋体" w:cs="宋体"/>
          <w:b/>
          <w:sz w:val="44"/>
          <w:szCs w:val="44"/>
          <w:highlight w:val="none"/>
        </w:rPr>
        <w:t>其他</w:t>
      </w:r>
      <w:r>
        <w:rPr>
          <w:rFonts w:ascii="宋体" w:hAnsi="宋体" w:cs="宋体"/>
          <w:b/>
          <w:sz w:val="44"/>
          <w:szCs w:val="44"/>
          <w:highlight w:val="none"/>
        </w:rPr>
        <w:t>响应文件</w:t>
      </w:r>
    </w:p>
    <w:p>
      <w:pPr>
        <w:spacing w:line="360" w:lineRule="auto"/>
        <w:jc w:val="center"/>
        <w:rPr>
          <w:rFonts w:ascii="宋体" w:hAnsi="宋体" w:cs="MS PGothic"/>
          <w:b/>
          <w:sz w:val="30"/>
          <w:highlight w:val="none"/>
        </w:rPr>
      </w:pPr>
    </w:p>
    <w:p>
      <w:pPr>
        <w:spacing w:line="360" w:lineRule="auto"/>
        <w:jc w:val="center"/>
        <w:rPr>
          <w:rFonts w:ascii="宋体" w:hAnsi="宋体" w:cs="MS PGothic"/>
          <w:b/>
          <w:sz w:val="30"/>
          <w:highlight w:val="none"/>
        </w:rPr>
      </w:pPr>
    </w:p>
    <w:p>
      <w:pPr>
        <w:spacing w:line="360" w:lineRule="auto"/>
        <w:jc w:val="center"/>
        <w:rPr>
          <w:rFonts w:ascii="宋体" w:hAnsi="宋体"/>
          <w:b/>
          <w:sz w:val="30"/>
          <w:highlight w:val="none"/>
        </w:rPr>
      </w:pPr>
      <w:r>
        <w:rPr>
          <w:rFonts w:ascii="宋体" w:hAnsi="宋体" w:cs="MS PGothic"/>
          <w:b/>
          <w:sz w:val="30"/>
          <w:highlight w:val="none"/>
        </w:rPr>
        <w:t>（</w:t>
      </w:r>
      <w:r>
        <w:rPr>
          <w:rFonts w:ascii="宋体" w:hAnsi="宋体" w:cs="宋体"/>
          <w:b/>
          <w:sz w:val="30"/>
          <w:highlight w:val="none"/>
        </w:rPr>
        <w:t>正本或副本</w:t>
      </w:r>
      <w:r>
        <w:rPr>
          <w:rFonts w:ascii="宋体" w:hAnsi="宋体" w:cs="MS PGothic"/>
          <w:b/>
          <w:sz w:val="30"/>
          <w:highlight w:val="none"/>
        </w:rPr>
        <w:t>）</w:t>
      </w: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rPr>
      </w:pPr>
    </w:p>
    <w:p>
      <w:pPr>
        <w:spacing w:line="360" w:lineRule="auto"/>
        <w:ind w:left="43"/>
        <w:jc w:val="center"/>
        <w:rPr>
          <w:rFonts w:ascii="宋体" w:hAnsi="宋体" w:cs="宋体"/>
          <w:b/>
          <w:sz w:val="30"/>
          <w:highlight w:val="none"/>
          <w:u w:val="single"/>
        </w:rPr>
      </w:pPr>
      <w:r>
        <w:rPr>
          <w:rFonts w:ascii="宋体" w:hAnsi="宋体" w:cs="宋体"/>
          <w:b/>
          <w:sz w:val="30"/>
          <w:highlight w:val="none"/>
        </w:rPr>
        <w:t>供应商名称</w:t>
      </w:r>
      <w:r>
        <w:rPr>
          <w:rFonts w:ascii="宋体" w:hAnsi="宋体" w:cs="MS PGothic"/>
          <w:b/>
          <w:sz w:val="30"/>
          <w:highlight w:val="none"/>
        </w:rPr>
        <w:t>：</w:t>
      </w:r>
      <w:r>
        <w:rPr>
          <w:rFonts w:hint="eastAsia" w:ascii="宋体" w:hAnsi="宋体" w:cs="MS PGothic"/>
          <w:b/>
          <w:sz w:val="30"/>
          <w:highlight w:val="none"/>
          <w:u w:val="single"/>
        </w:rPr>
        <w:t xml:space="preserve">                        </w:t>
      </w:r>
      <w:r>
        <w:rPr>
          <w:rFonts w:ascii="宋体" w:hAnsi="宋体" w:cs="MS PGothic"/>
          <w:b/>
          <w:sz w:val="30"/>
          <w:highlight w:val="none"/>
        </w:rPr>
        <w:t>（</w:t>
      </w:r>
      <w:r>
        <w:rPr>
          <w:rFonts w:ascii="宋体" w:hAnsi="宋体" w:cs="宋体"/>
          <w:b/>
          <w:sz w:val="30"/>
          <w:highlight w:val="none"/>
        </w:rPr>
        <w:t>加盖公章</w:t>
      </w:r>
      <w:r>
        <w:rPr>
          <w:rFonts w:ascii="宋体" w:hAnsi="宋体" w:cs="MS PGothic"/>
          <w:b/>
          <w:sz w:val="30"/>
          <w:highlight w:val="none"/>
        </w:rPr>
        <w:t>）</w:t>
      </w:r>
    </w:p>
    <w:p>
      <w:pPr>
        <w:spacing w:line="360" w:lineRule="auto"/>
        <w:jc w:val="center"/>
        <w:rPr>
          <w:rFonts w:ascii="宋体" w:hAnsi="宋体" w:cs="宋体"/>
          <w:b/>
          <w:sz w:val="30"/>
          <w:highlight w:val="none"/>
        </w:rPr>
      </w:pPr>
    </w:p>
    <w:p>
      <w:pPr>
        <w:spacing w:line="360" w:lineRule="auto"/>
        <w:jc w:val="center"/>
        <w:rPr>
          <w:rFonts w:ascii="宋体" w:hAnsi="宋体"/>
          <w:sz w:val="24"/>
          <w:highlight w:val="none"/>
        </w:rPr>
      </w:pPr>
      <w:r>
        <w:rPr>
          <w:rFonts w:hint="eastAsia" w:ascii="宋体" w:hAnsi="宋体" w:cs="宋体"/>
          <w:b/>
          <w:sz w:val="30"/>
          <w:highlight w:val="none"/>
        </w:rPr>
        <w:t>日期：  年  月   日</w:t>
      </w:r>
    </w:p>
    <w:p>
      <w:pPr>
        <w:rPr>
          <w:highlight w:val="none"/>
        </w:rPr>
      </w:pPr>
    </w:p>
    <w:p>
      <w:pPr>
        <w:pStyle w:val="8"/>
        <w:rPr>
          <w:rFonts w:ascii="宋体" w:hAnsi="宋体" w:cs="Arial"/>
          <w:b/>
          <w:bCs/>
          <w:color w:val="000000"/>
          <w:sz w:val="32"/>
          <w:szCs w:val="32"/>
          <w:highlight w:val="none"/>
        </w:rPr>
      </w:pPr>
    </w:p>
    <w:p>
      <w:pPr>
        <w:rPr>
          <w:rFonts w:ascii="宋体" w:hAnsi="宋体" w:cs="Arial"/>
          <w:b/>
          <w:bCs/>
          <w:color w:val="000000"/>
          <w:sz w:val="32"/>
          <w:szCs w:val="32"/>
          <w:highlight w:val="none"/>
        </w:rPr>
      </w:pPr>
      <w:r>
        <w:rPr>
          <w:rFonts w:hint="eastAsia" w:ascii="宋体" w:hAnsi="宋体" w:cs="Arial"/>
          <w:b/>
          <w:bCs/>
          <w:color w:val="000000"/>
          <w:sz w:val="32"/>
          <w:szCs w:val="32"/>
          <w:highlight w:val="none"/>
        </w:rPr>
        <w:br w:type="page"/>
      </w:r>
    </w:p>
    <w:p>
      <w:pPr>
        <w:pageBreakBefore/>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rPr>
        <w:t>一、供应商基本情况表</w:t>
      </w:r>
    </w:p>
    <w:p>
      <w:pPr>
        <w:jc w:val="center"/>
        <w:rPr>
          <w:rFonts w:ascii="宋体" w:hAnsi="宋体" w:cs="Arial"/>
          <w:b/>
          <w:bCs/>
          <w:color w:val="000000"/>
          <w:sz w:val="32"/>
          <w:szCs w:val="32"/>
          <w:highlight w:val="none"/>
        </w:rPr>
      </w:pPr>
    </w:p>
    <w:tbl>
      <w:tblPr>
        <w:tblStyle w:val="2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供应商名称</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注册地址</w:t>
            </w:r>
          </w:p>
        </w:tc>
        <w:tc>
          <w:tcPr>
            <w:tcW w:w="468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邮政编码</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联系方式</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联系人</w:t>
            </w:r>
          </w:p>
        </w:tc>
        <w:tc>
          <w:tcPr>
            <w:tcW w:w="36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联系电话</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传真</w:t>
            </w:r>
          </w:p>
        </w:tc>
        <w:tc>
          <w:tcPr>
            <w:tcW w:w="36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网址</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组织结构</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法定代表人</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姓名</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技术职称</w:t>
            </w: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联系电话</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技术负责人</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姓名</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技术职称</w:t>
            </w: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联系电话</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成立时间</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p>
        </w:tc>
        <w:tc>
          <w:tcPr>
            <w:tcW w:w="50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企业资质等级</w:t>
            </w:r>
          </w:p>
        </w:tc>
        <w:tc>
          <w:tcPr>
            <w:tcW w:w="2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6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其中</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项目经理</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营业执照</w:t>
            </w:r>
            <w:r>
              <w:rPr>
                <w:rFonts w:hint="eastAsia"/>
                <w:highlight w:val="none"/>
              </w:rPr>
              <w:t>号</w:t>
            </w:r>
          </w:p>
        </w:tc>
        <w:tc>
          <w:tcPr>
            <w:tcW w:w="2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6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高级职称人员</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注册资金</w:t>
            </w:r>
          </w:p>
        </w:tc>
        <w:tc>
          <w:tcPr>
            <w:tcW w:w="2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6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中级职称人员</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开户银行</w:t>
            </w:r>
          </w:p>
        </w:tc>
        <w:tc>
          <w:tcPr>
            <w:tcW w:w="2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6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初级职称人员</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账号</w:t>
            </w:r>
          </w:p>
        </w:tc>
        <w:tc>
          <w:tcPr>
            <w:tcW w:w="2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6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技工</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经营范围</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r>
              <w:rPr>
                <w:rFonts w:hint="eastAsia" w:ascii="宋体" w:hAnsi="宋体" w:cs="Arial"/>
                <w:bCs/>
                <w:color w:val="000000"/>
                <w:szCs w:val="21"/>
                <w:highlight w:val="none"/>
              </w:rPr>
              <w:t>备注</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color w:val="000000"/>
                <w:szCs w:val="21"/>
                <w:highlight w:val="none"/>
              </w:rPr>
            </w:pPr>
          </w:p>
        </w:tc>
      </w:tr>
    </w:tbl>
    <w:p>
      <w:pPr>
        <w:adjustRightInd w:val="0"/>
        <w:spacing w:line="400" w:lineRule="exact"/>
        <w:jc w:val="left"/>
        <w:rPr>
          <w:rFonts w:ascii="宋体" w:hAnsi="宋体"/>
          <w:color w:val="000000"/>
          <w:sz w:val="24"/>
          <w:highlight w:val="none"/>
        </w:rPr>
      </w:pPr>
    </w:p>
    <w:p>
      <w:pPr>
        <w:adjustRightInd w:val="0"/>
        <w:spacing w:line="400" w:lineRule="exact"/>
        <w:jc w:val="left"/>
        <w:rPr>
          <w:rFonts w:ascii="宋体" w:hAnsi="宋体"/>
          <w:color w:val="000000"/>
          <w:sz w:val="24"/>
          <w:highlight w:val="none"/>
        </w:rPr>
      </w:pPr>
      <w:r>
        <w:rPr>
          <w:rFonts w:hint="eastAsia" w:ascii="宋体" w:hAnsi="宋体"/>
          <w:color w:val="000000"/>
          <w:sz w:val="24"/>
          <w:highlight w:val="none"/>
        </w:rPr>
        <w:t>供应商名称：XXX（盖单位公章）</w:t>
      </w:r>
    </w:p>
    <w:p>
      <w:pPr>
        <w:adjustRightInd w:val="0"/>
        <w:spacing w:line="400" w:lineRule="exact"/>
        <w:jc w:val="left"/>
        <w:rPr>
          <w:bCs/>
          <w:color w:val="000000"/>
          <w:sz w:val="24"/>
          <w:highlight w:val="none"/>
        </w:rPr>
      </w:pPr>
      <w:r>
        <w:rPr>
          <w:rFonts w:hint="eastAsia"/>
          <w:bCs/>
          <w:color w:val="000000"/>
          <w:sz w:val="24"/>
          <w:highlight w:val="none"/>
        </w:rPr>
        <w:t>法定代表人或授权代表（签字或盖章）：XXX</w:t>
      </w:r>
    </w:p>
    <w:p>
      <w:pPr>
        <w:adjustRightInd w:val="0"/>
        <w:spacing w:line="400" w:lineRule="exact"/>
        <w:jc w:val="left"/>
        <w:rPr>
          <w:bCs/>
          <w:color w:val="000000"/>
          <w:sz w:val="24"/>
          <w:highlight w:val="none"/>
        </w:rPr>
      </w:pPr>
      <w:r>
        <w:rPr>
          <w:rFonts w:hint="eastAsia"/>
          <w:bCs/>
          <w:color w:val="000000"/>
          <w:sz w:val="24"/>
          <w:highlight w:val="none"/>
        </w:rPr>
        <w:t>日  期：XXX年XXX月XXX日</w:t>
      </w:r>
    </w:p>
    <w:p>
      <w:pPr>
        <w:rPr>
          <w:rFonts w:ascii="宋体" w:hAnsi="宋体"/>
          <w:b/>
          <w:bCs/>
          <w:color w:val="000000"/>
          <w:sz w:val="36"/>
          <w:highlight w:val="none"/>
        </w:rPr>
      </w:pPr>
    </w:p>
    <w:p>
      <w:pPr>
        <w:spacing w:line="400" w:lineRule="exact"/>
        <w:ind w:firstLine="562" w:firstLineChars="200"/>
        <w:jc w:val="center"/>
        <w:rPr>
          <w:rFonts w:ascii="宋体" w:hAnsi="宋体" w:eastAsia="黑体"/>
          <w:b/>
          <w:color w:val="000000"/>
          <w:sz w:val="28"/>
          <w:szCs w:val="28"/>
          <w:highlight w:val="none"/>
        </w:rPr>
      </w:pPr>
    </w:p>
    <w:p>
      <w:pPr>
        <w:spacing w:line="400" w:lineRule="exact"/>
        <w:ind w:firstLine="562" w:firstLineChars="200"/>
        <w:jc w:val="center"/>
        <w:rPr>
          <w:rFonts w:ascii="宋体" w:hAnsi="宋体" w:eastAsia="黑体"/>
          <w:b/>
          <w:color w:val="000000"/>
          <w:sz w:val="28"/>
          <w:szCs w:val="28"/>
          <w:highlight w:val="none"/>
        </w:rPr>
      </w:pPr>
    </w:p>
    <w:p>
      <w:pPr>
        <w:pStyle w:val="8"/>
        <w:rPr>
          <w:highlight w:val="none"/>
        </w:rPr>
      </w:pPr>
    </w:p>
    <w:p>
      <w:pPr>
        <w:pStyle w:val="8"/>
        <w:rPr>
          <w:highlight w:val="none"/>
        </w:rPr>
      </w:pPr>
    </w:p>
    <w:p>
      <w:pPr>
        <w:pStyle w:val="8"/>
        <w:rPr>
          <w:highlight w:val="none"/>
        </w:rPr>
      </w:pPr>
    </w:p>
    <w:p>
      <w:pPr>
        <w:pageBreakBefore/>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lang w:eastAsia="zh-CN"/>
        </w:rPr>
        <w:t>二</w:t>
      </w:r>
      <w:r>
        <w:rPr>
          <w:rFonts w:hint="eastAsia" w:ascii="宋体" w:hAnsi="宋体" w:cs="Arial"/>
          <w:b/>
          <w:bCs/>
          <w:color w:val="000000"/>
          <w:sz w:val="32"/>
          <w:szCs w:val="32"/>
          <w:highlight w:val="none"/>
        </w:rPr>
        <w:t>、报价函</w:t>
      </w:r>
    </w:p>
    <w:p>
      <w:pPr>
        <w:spacing w:line="360" w:lineRule="auto"/>
        <w:rPr>
          <w:rFonts w:ascii="宋体" w:hAnsi="宋体"/>
          <w:color w:val="000000"/>
          <w:sz w:val="24"/>
          <w:highlight w:val="none"/>
        </w:rPr>
      </w:pPr>
    </w:p>
    <w:p>
      <w:pPr>
        <w:spacing w:line="360" w:lineRule="auto"/>
        <w:rPr>
          <w:rFonts w:ascii="宋体" w:hAnsi="宋体"/>
          <w:color w:val="000000"/>
          <w:sz w:val="24"/>
          <w:highlight w:val="none"/>
        </w:rPr>
      </w:pPr>
      <w:r>
        <w:rPr>
          <w:rFonts w:hint="eastAsia" w:ascii="宋体" w:hAnsi="宋体"/>
          <w:color w:val="000000"/>
          <w:sz w:val="24"/>
          <w:highlight w:val="none"/>
        </w:rPr>
        <w:t>XXX（采购</w:t>
      </w:r>
      <w:r>
        <w:rPr>
          <w:rFonts w:hint="eastAsia" w:ascii="宋体" w:hAnsi="宋体"/>
          <w:color w:val="000000"/>
          <w:sz w:val="24"/>
          <w:highlight w:val="none"/>
          <w:lang w:eastAsia="zh-CN"/>
        </w:rPr>
        <w:t>人</w:t>
      </w:r>
      <w:r>
        <w:rPr>
          <w:rFonts w:hint="eastAsia" w:ascii="宋体" w:hAnsi="宋体"/>
          <w:color w:val="000000"/>
          <w:sz w:val="24"/>
          <w:highlight w:val="none"/>
        </w:rPr>
        <w:t>名称）：</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1.我方全面研究了“XXXXXX”项目磋商文件（项目编号：XXXX），决定参加贵单位组织的本项目磋商采购。</w:t>
      </w:r>
    </w:p>
    <w:p>
      <w:pPr>
        <w:keepNext w:val="0"/>
        <w:keepLines w:val="0"/>
        <w:widowControl/>
        <w:suppressLineNumbers w:val="0"/>
        <w:ind w:firstLine="480" w:firstLineChars="200"/>
        <w:jc w:val="left"/>
        <w:rPr>
          <w:rFonts w:ascii="宋体" w:hAnsi="宋体"/>
          <w:color w:val="000000"/>
          <w:sz w:val="24"/>
          <w:highlight w:val="none"/>
        </w:rPr>
      </w:pPr>
      <w:r>
        <w:rPr>
          <w:rFonts w:hint="eastAsia" w:ascii="宋体" w:hAnsi="宋体"/>
          <w:color w:val="000000"/>
          <w:sz w:val="24"/>
          <w:highlight w:val="none"/>
        </w:rPr>
        <w:t>2.我方自愿按照磋商文件规定的各项要求向采购人提供所需服务，总报价为人民币</w:t>
      </w:r>
      <w:r>
        <w:rPr>
          <w:rFonts w:hint="eastAsia" w:ascii="宋体" w:hAnsi="宋体"/>
          <w:color w:val="000000"/>
          <w:sz w:val="24"/>
          <w:highlight w:val="none"/>
          <w:u w:val="single"/>
        </w:rPr>
        <w:t>XX</w:t>
      </w:r>
      <w:r>
        <w:rPr>
          <w:rFonts w:hint="eastAsia" w:ascii="宋体" w:hAnsi="宋体"/>
          <w:color w:val="000000"/>
          <w:sz w:val="24"/>
          <w:highlight w:val="none"/>
        </w:rPr>
        <w:t>元（大写：</w:t>
      </w:r>
      <w:r>
        <w:rPr>
          <w:rFonts w:hint="eastAsia" w:ascii="宋体" w:hAnsi="宋体"/>
          <w:color w:val="000000"/>
          <w:sz w:val="24"/>
          <w:highlight w:val="none"/>
          <w:u w:val="single"/>
        </w:rPr>
        <w:t>XXXX</w:t>
      </w:r>
      <w:r>
        <w:rPr>
          <w:rFonts w:hint="eastAsia" w:ascii="宋体" w:hAnsi="宋体"/>
          <w:color w:val="000000"/>
          <w:sz w:val="24"/>
          <w:highlight w:val="none"/>
          <w:u w:val="none"/>
          <w:lang w:eastAsia="zh-CN"/>
        </w:rPr>
        <w:t>元</w:t>
      </w:r>
      <w:r>
        <w:rPr>
          <w:rFonts w:hint="eastAsia" w:ascii="宋体" w:hAnsi="宋体"/>
          <w:color w:val="000000"/>
          <w:sz w:val="24"/>
          <w:highlight w:val="none"/>
        </w:rPr>
        <w:t>）。</w:t>
      </w:r>
      <w:r>
        <w:rPr>
          <w:rFonts w:hint="eastAsia" w:ascii="宋体" w:hAnsi="宋体" w:eastAsia="宋体" w:cs="宋体"/>
          <w:color w:val="000000"/>
          <w:kern w:val="0"/>
          <w:sz w:val="24"/>
          <w:szCs w:val="24"/>
          <w:highlight w:val="none"/>
          <w:lang w:val="en-US" w:eastAsia="zh-CN" w:bidi="ar"/>
        </w:rPr>
        <w:t xml:space="preserve"> </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3.一旦我方成交，我方将严格履行政府采购合同规定的责任和义务。</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4.我方同意本磋商文件依据《四川省政府采购当事人诚信管理办法》（川财采〔2015〕33号文件）对我方可能存在的失信行为进行惩戒。</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5.我方为本项目提交的响应文件正本1份，副本XX份，用于磋商报价。</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6.我方愿意提供贵单位可能另外要求的，与磋商报价有关的文件资料，并保证我方已提供和将要提供的文件资料是真实、准确的。</w:t>
      </w:r>
    </w:p>
    <w:p>
      <w:pPr>
        <w:spacing w:line="360" w:lineRule="auto"/>
        <w:ind w:firstLine="480" w:firstLineChars="200"/>
        <w:jc w:val="left"/>
        <w:rPr>
          <w:color w:val="000000"/>
          <w:sz w:val="24"/>
          <w:highlight w:val="none"/>
        </w:rPr>
      </w:pPr>
      <w:r>
        <w:rPr>
          <w:rFonts w:hint="eastAsia" w:ascii="宋体" w:hAnsi="宋体"/>
          <w:color w:val="000000"/>
          <w:sz w:val="24"/>
          <w:highlight w:val="none"/>
        </w:rPr>
        <w:t>7.本次磋商，我方递交的响应文件有效期为</w:t>
      </w:r>
      <w:r>
        <w:rPr>
          <w:rFonts w:hint="eastAsia"/>
          <w:color w:val="000000"/>
          <w:sz w:val="24"/>
          <w:highlight w:val="none"/>
        </w:rPr>
        <w:t>磋商文件规定起算之日起</w:t>
      </w:r>
      <w:r>
        <w:rPr>
          <w:rFonts w:hint="eastAsia" w:ascii="宋体" w:hAnsi="宋体"/>
          <w:color w:val="000000"/>
          <w:sz w:val="24"/>
          <w:highlight w:val="none"/>
        </w:rPr>
        <w:t>XX</w:t>
      </w:r>
      <w:r>
        <w:rPr>
          <w:rFonts w:hint="eastAsia"/>
          <w:color w:val="000000"/>
          <w:sz w:val="24"/>
          <w:highlight w:val="none"/>
        </w:rPr>
        <w:t>天。</w:t>
      </w:r>
    </w:p>
    <w:p>
      <w:pPr>
        <w:adjustRightInd w:val="0"/>
        <w:spacing w:line="400" w:lineRule="exact"/>
        <w:ind w:firstLine="480" w:firstLineChars="200"/>
        <w:jc w:val="left"/>
        <w:rPr>
          <w:rFonts w:ascii="宋体" w:hAnsi="宋体"/>
          <w:color w:val="000000"/>
          <w:sz w:val="24"/>
          <w:highlight w:val="none"/>
        </w:rPr>
      </w:pPr>
    </w:p>
    <w:p>
      <w:pPr>
        <w:adjustRightInd w:val="0"/>
        <w:spacing w:line="400" w:lineRule="exact"/>
        <w:ind w:firstLine="480" w:firstLineChars="200"/>
        <w:jc w:val="left"/>
        <w:rPr>
          <w:rFonts w:ascii="宋体" w:hAnsi="宋体"/>
          <w:color w:val="000000"/>
          <w:sz w:val="24"/>
          <w:highlight w:val="none"/>
        </w:rPr>
      </w:pPr>
    </w:p>
    <w:p>
      <w:pPr>
        <w:adjustRightInd w:val="0"/>
        <w:spacing w:line="400" w:lineRule="exact"/>
        <w:ind w:firstLine="480" w:firstLineChars="200"/>
        <w:jc w:val="left"/>
        <w:rPr>
          <w:rFonts w:ascii="宋体" w:hAnsi="宋体"/>
          <w:color w:val="000000"/>
          <w:sz w:val="24"/>
          <w:highlight w:val="none"/>
        </w:rPr>
      </w:pPr>
      <w:r>
        <w:rPr>
          <w:rFonts w:hint="eastAsia" w:ascii="宋体" w:hAnsi="宋体"/>
          <w:color w:val="000000"/>
          <w:sz w:val="24"/>
          <w:highlight w:val="none"/>
        </w:rPr>
        <w:t>供应商名称：XXX（盖单位公章）</w:t>
      </w:r>
    </w:p>
    <w:p>
      <w:pPr>
        <w:spacing w:line="400" w:lineRule="exact"/>
        <w:ind w:firstLine="470" w:firstLineChars="196"/>
        <w:rPr>
          <w:rFonts w:ascii="宋体" w:hAnsi="宋体"/>
          <w:color w:val="000000"/>
          <w:sz w:val="24"/>
          <w:highlight w:val="none"/>
        </w:rPr>
      </w:pPr>
      <w:r>
        <w:rPr>
          <w:rFonts w:hint="eastAsia" w:ascii="宋体" w:hAnsi="宋体"/>
          <w:color w:val="000000"/>
          <w:sz w:val="24"/>
          <w:highlight w:val="none"/>
        </w:rPr>
        <w:t>法定代表人或授权代表（签字或盖章）：XXX</w:t>
      </w:r>
    </w:p>
    <w:p>
      <w:pPr>
        <w:spacing w:line="400" w:lineRule="exact"/>
        <w:ind w:firstLine="470" w:firstLineChars="196"/>
        <w:rPr>
          <w:rFonts w:ascii="宋体" w:hAnsi="宋体"/>
          <w:color w:val="000000"/>
          <w:sz w:val="24"/>
          <w:highlight w:val="none"/>
        </w:rPr>
      </w:pPr>
      <w:r>
        <w:rPr>
          <w:rFonts w:hint="eastAsia" w:ascii="宋体" w:hAnsi="宋体"/>
          <w:color w:val="000000"/>
          <w:sz w:val="24"/>
          <w:highlight w:val="none"/>
        </w:rPr>
        <w:t>通讯地址：XXX</w:t>
      </w:r>
    </w:p>
    <w:p>
      <w:pPr>
        <w:spacing w:line="400" w:lineRule="exact"/>
        <w:ind w:firstLine="470" w:firstLineChars="196"/>
        <w:rPr>
          <w:rFonts w:ascii="宋体" w:hAnsi="宋体"/>
          <w:color w:val="000000"/>
          <w:sz w:val="24"/>
          <w:highlight w:val="none"/>
        </w:rPr>
      </w:pPr>
      <w:r>
        <w:rPr>
          <w:rFonts w:hint="eastAsia" w:ascii="宋体" w:hAnsi="宋体"/>
          <w:color w:val="000000"/>
          <w:sz w:val="24"/>
          <w:highlight w:val="none"/>
        </w:rPr>
        <w:t>邮政编码：XXX</w:t>
      </w:r>
    </w:p>
    <w:p>
      <w:pPr>
        <w:spacing w:line="400" w:lineRule="exact"/>
        <w:ind w:firstLine="470" w:firstLineChars="196"/>
        <w:rPr>
          <w:rFonts w:ascii="宋体" w:hAnsi="宋体"/>
          <w:color w:val="000000"/>
          <w:sz w:val="24"/>
          <w:highlight w:val="none"/>
        </w:rPr>
      </w:pPr>
      <w:r>
        <w:rPr>
          <w:rFonts w:hint="eastAsia" w:ascii="宋体" w:hAnsi="宋体"/>
          <w:color w:val="000000"/>
          <w:sz w:val="24"/>
          <w:highlight w:val="none"/>
        </w:rPr>
        <w:t>联系电话：XXX</w:t>
      </w:r>
    </w:p>
    <w:p>
      <w:pPr>
        <w:spacing w:line="400" w:lineRule="exact"/>
        <w:ind w:firstLine="470" w:firstLineChars="196"/>
        <w:rPr>
          <w:rFonts w:ascii="宋体" w:hAnsi="宋体"/>
          <w:color w:val="000000"/>
          <w:sz w:val="24"/>
          <w:highlight w:val="none"/>
        </w:rPr>
      </w:pPr>
      <w:r>
        <w:rPr>
          <w:rFonts w:hint="eastAsia" w:ascii="宋体" w:hAnsi="宋体"/>
          <w:color w:val="000000"/>
          <w:sz w:val="24"/>
          <w:highlight w:val="none"/>
        </w:rPr>
        <w:t>传    真：XXX</w:t>
      </w:r>
    </w:p>
    <w:p>
      <w:pPr>
        <w:spacing w:line="400" w:lineRule="exact"/>
        <w:ind w:firstLine="470" w:firstLineChars="196"/>
        <w:rPr>
          <w:color w:val="000000"/>
          <w:sz w:val="24"/>
          <w:highlight w:val="none"/>
        </w:rPr>
      </w:pPr>
      <w:r>
        <w:rPr>
          <w:rFonts w:hint="eastAsia" w:ascii="宋体" w:hAnsi="宋体"/>
          <w:color w:val="000000"/>
          <w:sz w:val="24"/>
          <w:highlight w:val="none"/>
        </w:rPr>
        <w:t>日    期：XXX年XXX月XXX日</w:t>
      </w:r>
    </w:p>
    <w:p>
      <w:pPr>
        <w:jc w:val="center"/>
        <w:rPr>
          <w:rFonts w:ascii="宋体" w:hAnsi="宋体"/>
          <w:color w:val="000000"/>
          <w:sz w:val="24"/>
          <w:highlight w:val="none"/>
        </w:rPr>
      </w:pPr>
    </w:p>
    <w:p>
      <w:pPr>
        <w:jc w:val="center"/>
        <w:rPr>
          <w:b/>
          <w:color w:val="000000"/>
          <w:sz w:val="32"/>
          <w:szCs w:val="32"/>
          <w:highlight w:val="none"/>
        </w:rPr>
      </w:pPr>
    </w:p>
    <w:p>
      <w:pPr>
        <w:rPr>
          <w:color w:val="000000"/>
          <w:sz w:val="36"/>
          <w:szCs w:val="36"/>
          <w:highlight w:val="none"/>
        </w:rPr>
        <w:sectPr>
          <w:headerReference r:id="rId8" w:type="default"/>
          <w:footerReference r:id="rId9" w:type="default"/>
          <w:pgSz w:w="11906" w:h="16838"/>
          <w:pgMar w:top="1417" w:right="1417" w:bottom="1417" w:left="1417" w:header="850" w:footer="992" w:gutter="0"/>
          <w:pgNumType w:fmt="numberInDash"/>
          <w:cols w:space="0" w:num="1"/>
          <w:rtlGutter w:val="0"/>
          <w:docGrid w:linePitch="312" w:charSpace="0"/>
        </w:sectPr>
      </w:pPr>
    </w:p>
    <w:p>
      <w:pPr>
        <w:pageBreakBefore/>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lang w:eastAsia="zh-CN"/>
        </w:rPr>
        <w:t>三</w:t>
      </w:r>
      <w:r>
        <w:rPr>
          <w:rFonts w:hint="eastAsia" w:ascii="宋体" w:hAnsi="宋体" w:cs="Arial"/>
          <w:b/>
          <w:bCs/>
          <w:color w:val="000000"/>
          <w:sz w:val="32"/>
          <w:szCs w:val="32"/>
          <w:highlight w:val="none"/>
        </w:rPr>
        <w:t>、报价一览表</w:t>
      </w:r>
    </w:p>
    <w:p>
      <w:pPr>
        <w:pStyle w:val="8"/>
        <w:rPr>
          <w:highlight w:val="none"/>
        </w:rPr>
      </w:pPr>
    </w:p>
    <w:tbl>
      <w:tblPr>
        <w:tblStyle w:val="27"/>
        <w:tblW w:w="94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2269"/>
        <w:gridCol w:w="2464"/>
        <w:gridCol w:w="2230"/>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46" w:type="dxa"/>
            <w:vAlign w:val="center"/>
          </w:tcPr>
          <w:p>
            <w:pPr>
              <w:jc w:val="center"/>
              <w:rPr>
                <w:color w:val="000000"/>
                <w:sz w:val="24"/>
                <w:highlight w:val="none"/>
              </w:rPr>
            </w:pPr>
            <w:r>
              <w:rPr>
                <w:rFonts w:hint="eastAsia"/>
                <w:color w:val="000000"/>
                <w:sz w:val="24"/>
                <w:highlight w:val="none"/>
              </w:rPr>
              <w:t>序号</w:t>
            </w:r>
          </w:p>
        </w:tc>
        <w:tc>
          <w:tcPr>
            <w:tcW w:w="2269" w:type="dxa"/>
            <w:vAlign w:val="center"/>
          </w:tcPr>
          <w:p>
            <w:pPr>
              <w:jc w:val="center"/>
              <w:rPr>
                <w:color w:val="000000"/>
                <w:sz w:val="24"/>
                <w:highlight w:val="none"/>
              </w:rPr>
            </w:pPr>
            <w:r>
              <w:rPr>
                <w:rFonts w:hint="eastAsia"/>
                <w:color w:val="000000"/>
                <w:sz w:val="24"/>
                <w:highlight w:val="none"/>
              </w:rPr>
              <w:t>项目名称</w:t>
            </w:r>
          </w:p>
        </w:tc>
        <w:tc>
          <w:tcPr>
            <w:tcW w:w="2464" w:type="dxa"/>
            <w:vAlign w:val="center"/>
          </w:tcPr>
          <w:p>
            <w:pPr>
              <w:jc w:val="center"/>
              <w:rPr>
                <w:rFonts w:hint="default" w:eastAsia="宋体"/>
                <w:color w:val="000000"/>
                <w:sz w:val="24"/>
                <w:highlight w:val="none"/>
                <w:lang w:val="en-US" w:eastAsia="zh-CN"/>
              </w:rPr>
            </w:pPr>
            <w:r>
              <w:rPr>
                <w:rFonts w:hint="eastAsia"/>
                <w:color w:val="000000"/>
                <w:sz w:val="24"/>
                <w:highlight w:val="none"/>
                <w:lang w:eastAsia="zh-CN"/>
              </w:rPr>
              <w:t>报价</w:t>
            </w:r>
          </w:p>
        </w:tc>
        <w:tc>
          <w:tcPr>
            <w:tcW w:w="2230" w:type="dxa"/>
            <w:vAlign w:val="center"/>
          </w:tcPr>
          <w:p>
            <w:pPr>
              <w:ind w:left="355" w:hanging="355" w:hangingChars="148"/>
              <w:jc w:val="center"/>
              <w:rPr>
                <w:rFonts w:hint="eastAsia" w:eastAsia="宋体"/>
                <w:color w:val="000000"/>
                <w:sz w:val="24"/>
                <w:highlight w:val="none"/>
                <w:lang w:eastAsia="zh-CN"/>
              </w:rPr>
            </w:pPr>
            <w:r>
              <w:rPr>
                <w:rFonts w:hint="eastAsia"/>
                <w:color w:val="000000"/>
                <w:sz w:val="24"/>
                <w:highlight w:val="none"/>
              </w:rPr>
              <w:t>服务</w:t>
            </w:r>
            <w:r>
              <w:rPr>
                <w:rFonts w:hint="eastAsia"/>
                <w:color w:val="000000"/>
                <w:sz w:val="24"/>
                <w:highlight w:val="none"/>
                <w:lang w:eastAsia="zh-CN"/>
              </w:rPr>
              <w:t>期限</w:t>
            </w:r>
          </w:p>
        </w:tc>
        <w:tc>
          <w:tcPr>
            <w:tcW w:w="1968" w:type="dxa"/>
            <w:vAlign w:val="center"/>
          </w:tcPr>
          <w:p>
            <w:pPr>
              <w:ind w:left="355" w:hanging="355" w:hangingChars="148"/>
              <w:jc w:val="center"/>
              <w:rPr>
                <w:color w:val="000000"/>
                <w:sz w:val="24"/>
                <w:highlight w:val="none"/>
              </w:rPr>
            </w:pPr>
            <w:r>
              <w:rPr>
                <w:rFonts w:hint="eastAsia"/>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46" w:type="dxa"/>
            <w:vAlign w:val="center"/>
          </w:tcPr>
          <w:p>
            <w:pPr>
              <w:jc w:val="center"/>
              <w:rPr>
                <w:color w:val="000000"/>
                <w:sz w:val="24"/>
                <w:highlight w:val="none"/>
              </w:rPr>
            </w:pPr>
          </w:p>
        </w:tc>
        <w:tc>
          <w:tcPr>
            <w:tcW w:w="2269" w:type="dxa"/>
            <w:vAlign w:val="center"/>
          </w:tcPr>
          <w:p>
            <w:pPr>
              <w:jc w:val="center"/>
              <w:rPr>
                <w:color w:val="000000"/>
                <w:sz w:val="24"/>
                <w:highlight w:val="none"/>
              </w:rPr>
            </w:pPr>
          </w:p>
        </w:tc>
        <w:tc>
          <w:tcPr>
            <w:tcW w:w="2464" w:type="dxa"/>
            <w:vAlign w:val="center"/>
          </w:tcPr>
          <w:p>
            <w:pPr>
              <w:jc w:val="center"/>
              <w:rPr>
                <w:color w:val="000000"/>
                <w:sz w:val="24"/>
                <w:highlight w:val="none"/>
              </w:rPr>
            </w:pPr>
          </w:p>
        </w:tc>
        <w:tc>
          <w:tcPr>
            <w:tcW w:w="2230" w:type="dxa"/>
            <w:vAlign w:val="center"/>
          </w:tcPr>
          <w:p>
            <w:pPr>
              <w:ind w:left="355" w:hanging="355" w:hangingChars="148"/>
              <w:jc w:val="center"/>
              <w:rPr>
                <w:color w:val="000000"/>
                <w:sz w:val="24"/>
                <w:highlight w:val="none"/>
              </w:rPr>
            </w:pPr>
          </w:p>
        </w:tc>
        <w:tc>
          <w:tcPr>
            <w:tcW w:w="1968" w:type="dxa"/>
            <w:vAlign w:val="center"/>
          </w:tcPr>
          <w:p>
            <w:pPr>
              <w:ind w:left="355" w:hanging="355" w:hangingChars="148"/>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46" w:type="dxa"/>
            <w:vAlign w:val="center"/>
          </w:tcPr>
          <w:p>
            <w:pPr>
              <w:jc w:val="center"/>
              <w:rPr>
                <w:color w:val="000000"/>
                <w:sz w:val="24"/>
                <w:highlight w:val="none"/>
              </w:rPr>
            </w:pPr>
          </w:p>
        </w:tc>
        <w:tc>
          <w:tcPr>
            <w:tcW w:w="2269" w:type="dxa"/>
            <w:vAlign w:val="center"/>
          </w:tcPr>
          <w:p>
            <w:pPr>
              <w:jc w:val="center"/>
              <w:rPr>
                <w:color w:val="000000"/>
                <w:sz w:val="24"/>
                <w:highlight w:val="none"/>
              </w:rPr>
            </w:pPr>
          </w:p>
        </w:tc>
        <w:tc>
          <w:tcPr>
            <w:tcW w:w="2464" w:type="dxa"/>
            <w:vAlign w:val="center"/>
          </w:tcPr>
          <w:p>
            <w:pPr>
              <w:jc w:val="center"/>
              <w:rPr>
                <w:color w:val="000000"/>
                <w:sz w:val="24"/>
                <w:highlight w:val="none"/>
              </w:rPr>
            </w:pPr>
          </w:p>
        </w:tc>
        <w:tc>
          <w:tcPr>
            <w:tcW w:w="2230" w:type="dxa"/>
            <w:vAlign w:val="center"/>
          </w:tcPr>
          <w:p>
            <w:pPr>
              <w:ind w:left="355" w:hanging="355" w:hangingChars="148"/>
              <w:jc w:val="center"/>
              <w:rPr>
                <w:color w:val="000000"/>
                <w:sz w:val="24"/>
                <w:highlight w:val="none"/>
              </w:rPr>
            </w:pPr>
          </w:p>
        </w:tc>
        <w:tc>
          <w:tcPr>
            <w:tcW w:w="1968" w:type="dxa"/>
            <w:vAlign w:val="center"/>
          </w:tcPr>
          <w:p>
            <w:pPr>
              <w:ind w:left="355" w:hanging="355" w:hangingChars="148"/>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46" w:type="dxa"/>
            <w:vAlign w:val="center"/>
          </w:tcPr>
          <w:p>
            <w:pPr>
              <w:jc w:val="center"/>
              <w:rPr>
                <w:color w:val="000000"/>
                <w:sz w:val="24"/>
                <w:highlight w:val="none"/>
              </w:rPr>
            </w:pPr>
          </w:p>
        </w:tc>
        <w:tc>
          <w:tcPr>
            <w:tcW w:w="2269" w:type="dxa"/>
            <w:vAlign w:val="center"/>
          </w:tcPr>
          <w:p>
            <w:pPr>
              <w:jc w:val="center"/>
              <w:rPr>
                <w:color w:val="000000"/>
                <w:sz w:val="24"/>
                <w:highlight w:val="none"/>
              </w:rPr>
            </w:pPr>
          </w:p>
        </w:tc>
        <w:tc>
          <w:tcPr>
            <w:tcW w:w="2464" w:type="dxa"/>
            <w:vAlign w:val="center"/>
          </w:tcPr>
          <w:p>
            <w:pPr>
              <w:jc w:val="center"/>
              <w:rPr>
                <w:color w:val="000000"/>
                <w:sz w:val="24"/>
                <w:highlight w:val="none"/>
              </w:rPr>
            </w:pPr>
          </w:p>
        </w:tc>
        <w:tc>
          <w:tcPr>
            <w:tcW w:w="2230" w:type="dxa"/>
            <w:vAlign w:val="center"/>
          </w:tcPr>
          <w:p>
            <w:pPr>
              <w:ind w:left="355" w:hanging="355" w:hangingChars="148"/>
              <w:jc w:val="center"/>
              <w:rPr>
                <w:color w:val="000000"/>
                <w:sz w:val="24"/>
                <w:highlight w:val="none"/>
              </w:rPr>
            </w:pPr>
          </w:p>
        </w:tc>
        <w:tc>
          <w:tcPr>
            <w:tcW w:w="1968" w:type="dxa"/>
            <w:vAlign w:val="center"/>
          </w:tcPr>
          <w:p>
            <w:pPr>
              <w:ind w:left="355" w:hanging="355" w:hangingChars="148"/>
              <w:jc w:val="center"/>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477" w:type="dxa"/>
            <w:gridSpan w:val="5"/>
            <w:vAlign w:val="center"/>
          </w:tcPr>
          <w:p>
            <w:pPr>
              <w:rPr>
                <w:color w:val="000000"/>
                <w:sz w:val="24"/>
                <w:highlight w:val="none"/>
              </w:rPr>
            </w:pPr>
            <w:r>
              <w:rPr>
                <w:rFonts w:hint="eastAsia"/>
                <w:color w:val="000000"/>
                <w:sz w:val="24"/>
                <w:highlight w:val="none"/>
              </w:rPr>
              <w:t>合计金额（大写）：</w:t>
            </w:r>
          </w:p>
        </w:tc>
      </w:tr>
    </w:tbl>
    <w:p>
      <w:pPr>
        <w:rPr>
          <w:highlight w:val="none"/>
        </w:rPr>
      </w:pPr>
    </w:p>
    <w:p>
      <w:pPr>
        <w:pStyle w:val="8"/>
        <w:rPr>
          <w:highlight w:val="none"/>
        </w:rPr>
      </w:pPr>
    </w:p>
    <w:p>
      <w:pPr>
        <w:rPr>
          <w:highlight w:val="none"/>
        </w:rPr>
      </w:pPr>
    </w:p>
    <w:p>
      <w:pPr>
        <w:jc w:val="center"/>
        <w:rPr>
          <w:color w:val="000000" w:themeColor="text1"/>
          <w:sz w:val="28"/>
          <w:szCs w:val="28"/>
          <w:highlight w:val="none"/>
          <w14:textFill>
            <w14:solidFill>
              <w14:schemeClr w14:val="tx1"/>
            </w14:solidFill>
          </w14:textFill>
        </w:rPr>
      </w:pPr>
    </w:p>
    <w:p>
      <w:pPr>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注: .所有报价均用人民币表示,所报价格是项目市场化服务的验收价格，其总价即为履行合同的固定价格。运输、安装、调试、检验、培训、税金和保险等费用以及采购文件规定的其他费用均应包含在报价中。</w:t>
      </w:r>
    </w:p>
    <w:p>
      <w:pPr>
        <w:rPr>
          <w:color w:val="FF0000"/>
          <w:sz w:val="32"/>
          <w:highlight w:val="none"/>
        </w:rPr>
      </w:pPr>
    </w:p>
    <w:p>
      <w:pPr>
        <w:adjustRightInd w:val="0"/>
        <w:spacing w:line="400" w:lineRule="exact"/>
        <w:ind w:firstLine="600" w:firstLineChars="250"/>
        <w:jc w:val="left"/>
        <w:rPr>
          <w:rFonts w:ascii="宋体" w:hAnsi="宋体"/>
          <w:color w:val="000000"/>
          <w:sz w:val="24"/>
          <w:highlight w:val="none"/>
        </w:rPr>
      </w:pPr>
      <w:r>
        <w:rPr>
          <w:rFonts w:hint="eastAsia" w:ascii="宋体" w:hAnsi="宋体"/>
          <w:color w:val="000000"/>
          <w:sz w:val="24"/>
          <w:highlight w:val="none"/>
        </w:rPr>
        <w:t>供应商名称：XXX（盖单位公章）</w:t>
      </w:r>
    </w:p>
    <w:p>
      <w:pPr>
        <w:ind w:firstLine="616" w:firstLineChars="257"/>
        <w:rPr>
          <w:color w:val="000000"/>
          <w:sz w:val="24"/>
          <w:highlight w:val="none"/>
        </w:rPr>
      </w:pPr>
      <w:r>
        <w:rPr>
          <w:rFonts w:hint="eastAsia"/>
          <w:color w:val="000000"/>
          <w:sz w:val="24"/>
          <w:highlight w:val="none"/>
        </w:rPr>
        <w:t>法定代表人或授权代表（签字或盖章）：XXX</w:t>
      </w:r>
    </w:p>
    <w:p>
      <w:pPr>
        <w:ind w:firstLine="616" w:firstLineChars="257"/>
        <w:rPr>
          <w:color w:val="000000"/>
          <w:sz w:val="24"/>
          <w:highlight w:val="none"/>
        </w:rPr>
      </w:pPr>
      <w:r>
        <w:rPr>
          <w:rFonts w:hint="eastAsia"/>
          <w:color w:val="000000"/>
          <w:sz w:val="24"/>
          <w:highlight w:val="none"/>
        </w:rPr>
        <w:t xml:space="preserve">日      期：XXX年XXX月XXX日 </w:t>
      </w:r>
    </w:p>
    <w:p>
      <w:pPr>
        <w:pStyle w:val="8"/>
        <w:rPr>
          <w:color w:val="000000"/>
          <w:sz w:val="24"/>
          <w:highlight w:val="none"/>
        </w:rPr>
      </w:pPr>
    </w:p>
    <w:p>
      <w:pPr>
        <w:rPr>
          <w:color w:val="000000"/>
          <w:sz w:val="24"/>
          <w:highlight w:val="none"/>
        </w:rPr>
      </w:pPr>
    </w:p>
    <w:p>
      <w:pPr>
        <w:pStyle w:val="8"/>
        <w:rPr>
          <w:color w:val="000000"/>
          <w:sz w:val="24"/>
          <w:highlight w:val="none"/>
        </w:rPr>
      </w:pPr>
    </w:p>
    <w:p>
      <w:pPr>
        <w:rPr>
          <w:highlight w:val="none"/>
        </w:rPr>
        <w:sectPr>
          <w:footerReference r:id="rId10" w:type="default"/>
          <w:pgSz w:w="11906" w:h="16838"/>
          <w:pgMar w:top="1417" w:right="1417" w:bottom="1417" w:left="1417" w:header="850" w:footer="992" w:gutter="0"/>
          <w:pgNumType w:fmt="numberInDash"/>
          <w:cols w:space="0" w:num="1"/>
          <w:rtlGutter w:val="0"/>
          <w:docGrid w:linePitch="312" w:charSpace="0"/>
        </w:sectPr>
      </w:pPr>
    </w:p>
    <w:p>
      <w:pPr>
        <w:pageBreakBefore/>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lang w:eastAsia="zh-CN"/>
        </w:rPr>
        <w:t>四</w:t>
      </w:r>
      <w:r>
        <w:rPr>
          <w:rFonts w:hint="eastAsia" w:ascii="宋体" w:hAnsi="宋体" w:cs="Arial"/>
          <w:b/>
          <w:bCs/>
          <w:color w:val="000000"/>
          <w:sz w:val="32"/>
          <w:szCs w:val="32"/>
          <w:highlight w:val="none"/>
        </w:rPr>
        <w:t>、中小企业声明函</w:t>
      </w:r>
    </w:p>
    <w:p>
      <w:pPr>
        <w:widowControl/>
        <w:spacing w:before="100" w:beforeAutospacing="1" w:after="100" w:afterAutospacing="1" w:line="432" w:lineRule="auto"/>
        <w:jc w:val="left"/>
        <w:rPr>
          <w:rFonts w:ascii="ˎ̥" w:hAnsi="ˎ̥" w:cs="宋体"/>
          <w:color w:val="000000"/>
          <w:kern w:val="0"/>
          <w:sz w:val="24"/>
          <w:highlight w:val="none"/>
        </w:rPr>
      </w:pPr>
      <w:r>
        <w:rPr>
          <w:rFonts w:ascii="ˎ̥" w:hAnsi="ˎ̥" w:cs="宋体"/>
          <w:color w:val="000000"/>
          <w:kern w:val="0"/>
          <w:sz w:val="24"/>
          <w:highlight w:val="none"/>
        </w:rPr>
        <w:t> </w:t>
      </w:r>
    </w:p>
    <w:p>
      <w:pPr>
        <w:spacing w:after="0" w:line="360" w:lineRule="auto"/>
        <w:ind w:firstLine="480" w:firstLineChars="200"/>
        <w:jc w:val="left"/>
        <w:rPr>
          <w:rFonts w:ascii="仿宋" w:hAnsi="仿宋" w:eastAsia="仿宋"/>
          <w:sz w:val="24"/>
          <w:highlight w:val="none"/>
        </w:rPr>
      </w:pPr>
      <w:r>
        <w:rPr>
          <w:rFonts w:hint="eastAsia" w:ascii="ˎ̥" w:hAnsi="ˎ̥" w:cs="宋体"/>
          <w:color w:val="000000"/>
          <w:kern w:val="0"/>
          <w:sz w:val="24"/>
          <w:highlight w:val="none"/>
        </w:rPr>
        <w:t>　　</w:t>
      </w:r>
      <w:r>
        <w:rPr>
          <w:rFonts w:hint="eastAsia" w:ascii="仿宋" w:hAnsi="仿宋" w:eastAsia="仿宋"/>
          <w:sz w:val="24"/>
          <w:highlight w:val="none"/>
        </w:rPr>
        <w:t>本公司郑重声明，根据《政府采购促进中小企业发展管理办法》（财库〔2020</w:t>
      </w:r>
      <w:r>
        <w:rPr>
          <w:rFonts w:ascii="仿宋" w:hAnsi="仿宋" w:eastAsia="仿宋"/>
          <w:sz w:val="24"/>
          <w:highlight w:val="none"/>
        </w:rPr>
        <w:t>〕</w:t>
      </w:r>
      <w:r>
        <w:rPr>
          <w:rFonts w:hint="eastAsia" w:ascii="仿宋" w:hAnsi="仿宋" w:eastAsia="仿宋"/>
          <w:sz w:val="24"/>
          <w:highlight w:val="none"/>
        </w:rPr>
        <w:t>46 号）</w:t>
      </w:r>
      <w:r>
        <w:rPr>
          <w:rFonts w:ascii="仿宋" w:hAnsi="仿宋" w:eastAsia="仿宋"/>
          <w:sz w:val="24"/>
          <w:highlight w:val="none"/>
        </w:rPr>
        <w:t>的规定，</w:t>
      </w:r>
      <w:r>
        <w:rPr>
          <w:rFonts w:hint="eastAsia" w:ascii="仿宋" w:hAnsi="仿宋" w:eastAsia="仿宋"/>
          <w:sz w:val="24"/>
          <w:highlight w:val="none"/>
        </w:rPr>
        <w:t xml:space="preserve">本公司（联合体）参加 </w:t>
      </w:r>
      <w:r>
        <w:rPr>
          <w:rFonts w:hint="eastAsia" w:ascii="仿宋" w:hAnsi="仿宋" w:eastAsia="仿宋"/>
          <w:sz w:val="24"/>
          <w:highlight w:val="none"/>
          <w:u w:val="single"/>
        </w:rPr>
        <w:t xml:space="preserve">（单位名称） </w:t>
      </w:r>
      <w:r>
        <w:rPr>
          <w:rFonts w:hint="eastAsia" w:ascii="仿宋" w:hAnsi="仿宋" w:eastAsia="仿宋"/>
          <w:sz w:val="24"/>
          <w:highlight w:val="none"/>
        </w:rPr>
        <w:t xml:space="preserve">的 </w:t>
      </w:r>
      <w:r>
        <w:rPr>
          <w:rFonts w:hint="eastAsia" w:ascii="仿宋" w:hAnsi="仿宋" w:eastAsia="仿宋"/>
          <w:sz w:val="24"/>
          <w:highlight w:val="none"/>
          <w:u w:val="single"/>
        </w:rPr>
        <w:t xml:space="preserve">（项目名称） </w:t>
      </w:r>
      <w:r>
        <w:rPr>
          <w:rFonts w:hint="eastAsia" w:ascii="仿宋" w:hAnsi="仿宋" w:eastAsia="仿宋"/>
          <w:sz w:val="24"/>
          <w:highlight w:val="none"/>
        </w:rPr>
        <w:t>采购活动，服务全部由符合政策要求的中小企业承接。相关企业（含联合</w:t>
      </w:r>
    </w:p>
    <w:p>
      <w:pPr>
        <w:spacing w:after="0" w:line="360" w:lineRule="auto"/>
        <w:jc w:val="left"/>
        <w:rPr>
          <w:rFonts w:ascii="仿宋" w:hAnsi="仿宋" w:eastAsia="仿宋"/>
          <w:sz w:val="24"/>
          <w:highlight w:val="none"/>
        </w:rPr>
      </w:pPr>
      <w:r>
        <w:rPr>
          <w:rFonts w:hint="eastAsia" w:ascii="仿宋" w:hAnsi="仿宋" w:eastAsia="仿宋"/>
          <w:sz w:val="24"/>
          <w:highlight w:val="none"/>
        </w:rPr>
        <w:t>体中的中小企业、签订分包意向协议的中小企业）的具体情况如下：</w:t>
      </w:r>
      <w:r>
        <w:rPr>
          <w:rFonts w:ascii="仿宋" w:hAnsi="仿宋" w:eastAsia="仿宋"/>
          <w:sz w:val="24"/>
          <w:highlight w:val="none"/>
        </w:rPr>
        <w:br w:type="textWrapping"/>
      </w:r>
      <w:r>
        <w:rPr>
          <w:rFonts w:hint="eastAsia" w:ascii="仿宋" w:hAnsi="仿宋" w:eastAsia="仿宋"/>
          <w:sz w:val="24"/>
          <w:highlight w:val="none"/>
        </w:rPr>
        <w:t>　　</w:t>
      </w:r>
      <w:bookmarkStart w:id="78" w:name="_Toc419811733"/>
      <w:bookmarkStart w:id="79" w:name="_Toc387147344"/>
      <w:bookmarkStart w:id="80" w:name="_Toc413748654"/>
      <w:bookmarkStart w:id="81" w:name="_Toc387658050"/>
      <w:bookmarkStart w:id="82" w:name="_Toc417911732"/>
      <w:r>
        <w:rPr>
          <w:rFonts w:hint="eastAsia" w:ascii="仿宋" w:hAnsi="仿宋" w:eastAsia="仿宋"/>
          <w:sz w:val="24"/>
          <w:highlight w:val="none"/>
        </w:rPr>
        <w:t xml:space="preserve">1. </w:t>
      </w:r>
      <w:r>
        <w:rPr>
          <w:rFonts w:hint="eastAsia" w:ascii="仿宋" w:hAnsi="仿宋" w:eastAsia="仿宋"/>
          <w:sz w:val="24"/>
          <w:highlight w:val="none"/>
          <w:u w:val="single"/>
        </w:rPr>
        <w:t xml:space="preserve">（标的名称） </w:t>
      </w:r>
      <w:r>
        <w:rPr>
          <w:rFonts w:hint="eastAsia" w:ascii="仿宋" w:hAnsi="仿宋" w:eastAsia="仿宋"/>
          <w:sz w:val="24"/>
          <w:highlight w:val="none"/>
        </w:rPr>
        <w:t>，属于</w:t>
      </w:r>
      <w:r>
        <w:rPr>
          <w:rFonts w:hint="eastAsia" w:ascii="仿宋" w:hAnsi="仿宋" w:eastAsia="仿宋"/>
          <w:sz w:val="24"/>
          <w:highlight w:val="none"/>
          <w:u w:val="single"/>
        </w:rPr>
        <w:t xml:space="preserve"> （采购文件中明确的所属行业） </w:t>
      </w:r>
      <w:r>
        <w:rPr>
          <w:rFonts w:hint="eastAsia" w:ascii="仿宋" w:hAnsi="仿宋" w:eastAsia="仿宋"/>
          <w:sz w:val="24"/>
          <w:highlight w:val="none"/>
        </w:rPr>
        <w:t>；承接企业为</w:t>
      </w:r>
      <w:r>
        <w:rPr>
          <w:rFonts w:hint="eastAsia" w:ascii="仿宋" w:hAnsi="仿宋" w:eastAsia="仿宋"/>
          <w:sz w:val="24"/>
          <w:highlight w:val="none"/>
          <w:u w:val="single"/>
        </w:rPr>
        <w:t xml:space="preserve"> （企业名称） </w:t>
      </w:r>
      <w:r>
        <w:rPr>
          <w:rFonts w:hint="eastAsia" w:ascii="仿宋" w:hAnsi="仿宋" w:eastAsia="仿宋"/>
          <w:sz w:val="24"/>
          <w:highlight w:val="none"/>
        </w:rPr>
        <w:t>，从业人员</w:t>
      </w:r>
      <w:r>
        <w:rPr>
          <w:rFonts w:ascii="仿宋" w:hAnsi="仿宋" w:eastAsia="仿宋"/>
          <w:sz w:val="24"/>
          <w:highlight w:val="none"/>
          <w:u w:val="single"/>
        </w:rPr>
        <w:t xml:space="preserve">   </w:t>
      </w:r>
      <w:r>
        <w:rPr>
          <w:rFonts w:hint="eastAsia" w:ascii="仿宋" w:hAnsi="仿宋" w:eastAsia="仿宋"/>
          <w:sz w:val="24"/>
          <w:highlight w:val="none"/>
        </w:rPr>
        <w:t>人，营业收入为</w:t>
      </w:r>
      <w:r>
        <w:rPr>
          <w:rFonts w:ascii="仿宋" w:hAnsi="仿宋" w:eastAsia="仿宋"/>
          <w:sz w:val="24"/>
          <w:highlight w:val="none"/>
          <w:u w:val="single"/>
        </w:rPr>
        <w:t xml:space="preserve">    </w:t>
      </w:r>
      <w:r>
        <w:rPr>
          <w:rFonts w:hint="eastAsia" w:ascii="仿宋" w:hAnsi="仿宋" w:eastAsia="仿宋"/>
          <w:sz w:val="24"/>
          <w:highlight w:val="none"/>
        </w:rPr>
        <w:t>万元，资产总额为</w:t>
      </w:r>
      <w:r>
        <w:rPr>
          <w:rFonts w:ascii="仿宋" w:hAnsi="仿宋" w:eastAsia="仿宋"/>
          <w:sz w:val="24"/>
          <w:highlight w:val="none"/>
          <w:u w:val="single"/>
        </w:rPr>
        <w:t xml:space="preserve">   </w:t>
      </w:r>
      <w:r>
        <w:rPr>
          <w:rFonts w:hint="eastAsia" w:ascii="仿宋" w:hAnsi="仿宋" w:eastAsia="仿宋"/>
          <w:sz w:val="24"/>
          <w:highlight w:val="none"/>
        </w:rPr>
        <w:t>万元，属于</w:t>
      </w:r>
      <w:r>
        <w:rPr>
          <w:rFonts w:hint="eastAsia" w:ascii="仿宋" w:hAnsi="仿宋" w:eastAsia="仿宋"/>
          <w:sz w:val="24"/>
          <w:highlight w:val="none"/>
          <w:u w:val="single"/>
        </w:rPr>
        <w:t xml:space="preserve"> （中型企业、小型企业、微型企业） </w:t>
      </w:r>
      <w:r>
        <w:rPr>
          <w:rFonts w:hint="eastAsia" w:ascii="仿宋" w:hAnsi="仿宋" w:eastAsia="仿宋"/>
          <w:sz w:val="24"/>
          <w:highlight w:val="none"/>
        </w:rPr>
        <w:t>；</w:t>
      </w:r>
    </w:p>
    <w:p>
      <w:pPr>
        <w:spacing w:after="0" w:line="360" w:lineRule="auto"/>
        <w:ind w:firstLine="600" w:firstLineChars="250"/>
        <w:jc w:val="left"/>
        <w:rPr>
          <w:rFonts w:ascii="仿宋" w:hAnsi="仿宋" w:eastAsia="仿宋"/>
          <w:sz w:val="24"/>
          <w:highlight w:val="none"/>
        </w:rPr>
      </w:pPr>
      <w:r>
        <w:rPr>
          <w:rFonts w:hint="eastAsia" w:ascii="仿宋" w:hAnsi="仿宋" w:eastAsia="仿宋"/>
          <w:sz w:val="24"/>
          <w:highlight w:val="none"/>
        </w:rPr>
        <w:t>2.</w:t>
      </w:r>
      <w:r>
        <w:rPr>
          <w:rFonts w:hint="eastAsia" w:ascii="仿宋" w:hAnsi="仿宋" w:eastAsia="仿宋"/>
          <w:sz w:val="24"/>
          <w:highlight w:val="none"/>
          <w:u w:val="single"/>
        </w:rPr>
        <w:t xml:space="preserve"> （标的名称） </w:t>
      </w:r>
      <w:r>
        <w:rPr>
          <w:rFonts w:hint="eastAsia" w:ascii="仿宋" w:hAnsi="仿宋" w:eastAsia="仿宋"/>
          <w:sz w:val="24"/>
          <w:highlight w:val="none"/>
        </w:rPr>
        <w:t>，属于</w:t>
      </w:r>
      <w:r>
        <w:rPr>
          <w:rFonts w:hint="eastAsia" w:ascii="仿宋" w:hAnsi="仿宋" w:eastAsia="仿宋"/>
          <w:sz w:val="24"/>
          <w:highlight w:val="none"/>
          <w:u w:val="single"/>
        </w:rPr>
        <w:t xml:space="preserve"> （采购文件中明确的所属行业） </w:t>
      </w:r>
      <w:r>
        <w:rPr>
          <w:rFonts w:hint="eastAsia" w:ascii="仿宋" w:hAnsi="仿宋" w:eastAsia="仿宋"/>
          <w:sz w:val="24"/>
          <w:highlight w:val="none"/>
        </w:rPr>
        <w:t>；承接企业为</w:t>
      </w:r>
      <w:r>
        <w:rPr>
          <w:rFonts w:hint="eastAsia" w:ascii="仿宋" w:hAnsi="仿宋" w:eastAsia="仿宋"/>
          <w:sz w:val="24"/>
          <w:highlight w:val="none"/>
          <w:u w:val="single"/>
        </w:rPr>
        <w:t xml:space="preserve"> （企业名称） </w:t>
      </w:r>
      <w:r>
        <w:rPr>
          <w:rFonts w:hint="eastAsia" w:ascii="仿宋" w:hAnsi="仿宋" w:eastAsia="仿宋"/>
          <w:sz w:val="24"/>
          <w:highlight w:val="none"/>
        </w:rPr>
        <w:t>，从业人员</w:t>
      </w:r>
      <w:r>
        <w:rPr>
          <w:rFonts w:ascii="仿宋" w:hAnsi="仿宋" w:eastAsia="仿宋"/>
          <w:sz w:val="24"/>
          <w:highlight w:val="none"/>
          <w:u w:val="single"/>
        </w:rPr>
        <w:t xml:space="preserve">   </w:t>
      </w:r>
      <w:r>
        <w:rPr>
          <w:rFonts w:hint="eastAsia" w:ascii="仿宋" w:hAnsi="仿宋" w:eastAsia="仿宋"/>
          <w:sz w:val="24"/>
          <w:highlight w:val="none"/>
        </w:rPr>
        <w:t>人，营业收入为</w:t>
      </w:r>
      <w:r>
        <w:rPr>
          <w:rFonts w:ascii="仿宋" w:hAnsi="仿宋" w:eastAsia="仿宋"/>
          <w:sz w:val="24"/>
          <w:highlight w:val="none"/>
          <w:u w:val="single"/>
        </w:rPr>
        <w:t xml:space="preserve">    </w:t>
      </w:r>
      <w:r>
        <w:rPr>
          <w:rFonts w:hint="eastAsia" w:ascii="仿宋" w:hAnsi="仿宋" w:eastAsia="仿宋"/>
          <w:sz w:val="24"/>
          <w:highlight w:val="none"/>
        </w:rPr>
        <w:t>万元，资产总额为</w:t>
      </w:r>
      <w:r>
        <w:rPr>
          <w:rFonts w:ascii="仿宋" w:hAnsi="仿宋" w:eastAsia="仿宋"/>
          <w:sz w:val="24"/>
          <w:highlight w:val="none"/>
          <w:u w:val="single"/>
        </w:rPr>
        <w:t xml:space="preserve">   </w:t>
      </w:r>
      <w:r>
        <w:rPr>
          <w:rFonts w:hint="eastAsia" w:ascii="仿宋" w:hAnsi="仿宋" w:eastAsia="仿宋"/>
          <w:sz w:val="24"/>
          <w:highlight w:val="none"/>
        </w:rPr>
        <w:t>万元，属于</w:t>
      </w:r>
      <w:r>
        <w:rPr>
          <w:rFonts w:hint="eastAsia" w:ascii="仿宋" w:hAnsi="仿宋" w:eastAsia="仿宋"/>
          <w:sz w:val="24"/>
          <w:highlight w:val="none"/>
          <w:u w:val="single"/>
        </w:rPr>
        <w:t xml:space="preserve"> （中型企业、小型企业、微型企业） </w:t>
      </w:r>
      <w:r>
        <w:rPr>
          <w:rFonts w:hint="eastAsia" w:ascii="仿宋" w:hAnsi="仿宋" w:eastAsia="仿宋"/>
          <w:sz w:val="24"/>
          <w:highlight w:val="none"/>
        </w:rPr>
        <w:t>；</w:t>
      </w:r>
    </w:p>
    <w:p>
      <w:pPr>
        <w:spacing w:after="0" w:line="360" w:lineRule="auto"/>
        <w:ind w:firstLine="600" w:firstLineChars="250"/>
        <w:jc w:val="left"/>
        <w:rPr>
          <w:rFonts w:ascii="仿宋" w:hAnsi="仿宋" w:eastAsia="仿宋"/>
          <w:sz w:val="24"/>
          <w:highlight w:val="none"/>
        </w:rPr>
      </w:pPr>
      <w:r>
        <w:rPr>
          <w:rFonts w:hint="eastAsia" w:ascii="仿宋" w:hAnsi="仿宋" w:eastAsia="仿宋"/>
          <w:sz w:val="24"/>
          <w:highlight w:val="none"/>
        </w:rPr>
        <w:t>……</w:t>
      </w:r>
    </w:p>
    <w:p>
      <w:pPr>
        <w:spacing w:after="0" w:line="360" w:lineRule="auto"/>
        <w:ind w:firstLine="600" w:firstLineChars="250"/>
        <w:jc w:val="left"/>
        <w:rPr>
          <w:rFonts w:ascii="仿宋" w:hAnsi="仿宋" w:eastAsia="仿宋"/>
          <w:sz w:val="24"/>
          <w:highlight w:val="none"/>
        </w:rPr>
      </w:pPr>
      <w:r>
        <w:rPr>
          <w:rFonts w:hint="eastAsia" w:ascii="仿宋" w:hAnsi="仿宋" w:eastAsia="仿宋"/>
          <w:sz w:val="24"/>
          <w:highlight w:val="none"/>
        </w:rPr>
        <w:t>以上企业，不属于大企业的分支机构，不存在控股股东为大企业的情形，也不存在与大企业的负责人为同一人的情形。</w:t>
      </w:r>
    </w:p>
    <w:p>
      <w:pPr>
        <w:spacing w:after="0" w:line="360" w:lineRule="auto"/>
        <w:ind w:firstLine="600" w:firstLineChars="250"/>
        <w:jc w:val="left"/>
        <w:rPr>
          <w:rFonts w:ascii="仿宋" w:hAnsi="仿宋" w:eastAsia="仿宋"/>
          <w:sz w:val="24"/>
          <w:highlight w:val="none"/>
        </w:rPr>
      </w:pPr>
      <w:r>
        <w:rPr>
          <w:rFonts w:hint="eastAsia" w:ascii="仿宋" w:hAnsi="仿宋" w:eastAsia="仿宋"/>
          <w:sz w:val="24"/>
          <w:highlight w:val="none"/>
        </w:rPr>
        <w:t>本企业对上述声明内容的真实性负责。如有虚假，将依法承担相应责任。</w:t>
      </w:r>
    </w:p>
    <w:p>
      <w:pPr>
        <w:spacing w:after="0" w:line="360" w:lineRule="auto"/>
        <w:jc w:val="center"/>
        <w:rPr>
          <w:rFonts w:ascii="仿宋" w:hAnsi="仿宋" w:eastAsia="仿宋"/>
          <w:sz w:val="24"/>
          <w:highlight w:val="none"/>
        </w:rPr>
      </w:pPr>
      <w:r>
        <w:rPr>
          <w:rFonts w:hint="eastAsia" w:ascii="仿宋" w:hAnsi="仿宋" w:eastAsia="仿宋"/>
          <w:sz w:val="24"/>
          <w:highlight w:val="none"/>
        </w:rPr>
        <w:t xml:space="preserve">                                 企业名称（盖章）：</w:t>
      </w:r>
    </w:p>
    <w:p>
      <w:pPr>
        <w:spacing w:after="0" w:line="360" w:lineRule="auto"/>
        <w:jc w:val="center"/>
        <w:rPr>
          <w:rFonts w:ascii="仿宋" w:hAnsi="仿宋" w:eastAsia="仿宋"/>
          <w:sz w:val="24"/>
          <w:highlight w:val="none"/>
        </w:rPr>
      </w:pPr>
      <w:r>
        <w:rPr>
          <w:rFonts w:hint="eastAsia" w:ascii="仿宋" w:hAnsi="仿宋" w:eastAsia="仿宋"/>
          <w:sz w:val="24"/>
          <w:highlight w:val="none"/>
        </w:rPr>
        <w:t xml:space="preserve">                        日 期：</w:t>
      </w:r>
    </w:p>
    <w:p>
      <w:pPr>
        <w:spacing w:after="0" w:line="360" w:lineRule="auto"/>
        <w:jc w:val="left"/>
        <w:rPr>
          <w:rFonts w:hint="eastAsia" w:ascii="仿宋" w:hAnsi="仿宋" w:eastAsia="仿宋" w:cs="宋体"/>
          <w:sz w:val="24"/>
          <w:highlight w:val="none"/>
        </w:rPr>
      </w:pPr>
    </w:p>
    <w:p>
      <w:pPr>
        <w:spacing w:after="0" w:line="360" w:lineRule="auto"/>
        <w:jc w:val="left"/>
        <w:rPr>
          <w:rFonts w:ascii="仿宋" w:hAnsi="仿宋" w:eastAsia="仿宋" w:cs="宋体"/>
          <w:sz w:val="24"/>
          <w:highlight w:val="none"/>
        </w:rPr>
      </w:pPr>
      <w:r>
        <w:rPr>
          <w:rFonts w:hint="eastAsia" w:ascii="仿宋" w:hAnsi="仿宋" w:eastAsia="仿宋" w:cs="宋体"/>
          <w:sz w:val="24"/>
          <w:highlight w:val="none"/>
        </w:rPr>
        <w:t>注：</w:t>
      </w:r>
    </w:p>
    <w:p>
      <w:pPr>
        <w:ind w:firstLine="480" w:firstLineChars="200"/>
        <w:jc w:val="left"/>
        <w:rPr>
          <w:rFonts w:ascii="宋体" w:hAnsi="宋体"/>
          <w:color w:val="000000"/>
          <w:sz w:val="24"/>
          <w:highlight w:val="none"/>
        </w:rPr>
      </w:pPr>
      <w:r>
        <w:rPr>
          <w:rFonts w:ascii="仿宋" w:hAnsi="仿宋" w:eastAsia="仿宋" w:cs="宋体"/>
          <w:sz w:val="24"/>
          <w:highlight w:val="none"/>
        </w:rPr>
        <w:t>1、</w:t>
      </w:r>
      <w:bookmarkEnd w:id="78"/>
      <w:bookmarkEnd w:id="79"/>
      <w:bookmarkEnd w:id="80"/>
      <w:bookmarkEnd w:id="81"/>
      <w:bookmarkEnd w:id="82"/>
      <w:r>
        <w:rPr>
          <w:rFonts w:hint="eastAsia" w:ascii="仿宋" w:hAnsi="仿宋" w:eastAsia="仿宋" w:cs="宋体"/>
          <w:sz w:val="24"/>
          <w:highlight w:val="none"/>
        </w:rPr>
        <w:t>从业人员、营业收入、资产总额填报上一年度数据，无上一年度数据的新成立企业可不填报。</w:t>
      </w:r>
    </w:p>
    <w:p>
      <w:pPr>
        <w:rPr>
          <w:sz w:val="32"/>
          <w:szCs w:val="32"/>
          <w:highlight w:val="none"/>
        </w:rPr>
      </w:pPr>
    </w:p>
    <w:p>
      <w:pPr>
        <w:pStyle w:val="4"/>
        <w:rPr>
          <w:highlight w:val="none"/>
        </w:rPr>
      </w:pPr>
    </w:p>
    <w:p>
      <w:pPr>
        <w:rPr>
          <w:sz w:val="32"/>
          <w:szCs w:val="32"/>
          <w:highlight w:val="none"/>
        </w:rPr>
      </w:pPr>
    </w:p>
    <w:p>
      <w:pPr>
        <w:rPr>
          <w:highlight w:val="none"/>
        </w:rPr>
      </w:pPr>
    </w:p>
    <w:p>
      <w:pPr>
        <w:rPr>
          <w:highlight w:val="none"/>
        </w:rPr>
      </w:pPr>
    </w:p>
    <w:p>
      <w:pPr>
        <w:pageBreakBefore/>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lang w:eastAsia="zh-CN"/>
        </w:rPr>
        <w:t>五</w:t>
      </w:r>
      <w:r>
        <w:rPr>
          <w:rFonts w:hint="eastAsia" w:ascii="宋体" w:hAnsi="宋体" w:cs="Arial"/>
          <w:b/>
          <w:bCs/>
          <w:color w:val="000000"/>
          <w:sz w:val="32"/>
          <w:szCs w:val="32"/>
          <w:highlight w:val="none"/>
        </w:rPr>
        <w:t>、残疾人福利性单位声明函</w:t>
      </w:r>
    </w:p>
    <w:p>
      <w:pPr>
        <w:spacing w:line="588" w:lineRule="exact"/>
        <w:rPr>
          <w:rFonts w:ascii="仿宋_GB2312" w:eastAsia="仿宋_GB2312"/>
          <w:b/>
          <w:spacing w:val="6"/>
          <w:sz w:val="30"/>
          <w:szCs w:val="30"/>
          <w:highlight w:val="none"/>
        </w:rPr>
      </w:pPr>
    </w:p>
    <w:p>
      <w:pPr>
        <w:spacing w:line="588" w:lineRule="exact"/>
        <w:ind w:firstLine="504" w:firstLineChars="200"/>
        <w:rPr>
          <w:rFonts w:ascii="仿宋" w:hAnsi="仿宋" w:eastAsia="仿宋" w:cs="宋体"/>
          <w:spacing w:val="6"/>
          <w:sz w:val="24"/>
          <w:highlight w:val="none"/>
        </w:rPr>
      </w:pPr>
      <w:r>
        <w:rPr>
          <w:rFonts w:hint="eastAsia" w:ascii="仿宋" w:hAnsi="仿宋" w:eastAsia="仿宋" w:cs="宋体"/>
          <w:spacing w:val="6"/>
          <w:sz w:val="24"/>
          <w:highlight w:val="none"/>
        </w:rPr>
        <w:t>本单位郑重声明，根据《财政部</w:t>
      </w:r>
      <w:r>
        <w:rPr>
          <w:rFonts w:ascii="仿宋" w:hAnsi="仿宋" w:eastAsia="仿宋" w:cs="宋体"/>
          <w:spacing w:val="6"/>
          <w:sz w:val="24"/>
          <w:highlight w:val="none"/>
        </w:rPr>
        <w:t xml:space="preserve"> </w:t>
      </w:r>
      <w:r>
        <w:rPr>
          <w:rFonts w:hint="eastAsia" w:ascii="仿宋" w:hAnsi="仿宋" w:eastAsia="仿宋" w:cs="宋体"/>
          <w:spacing w:val="6"/>
          <w:sz w:val="24"/>
          <w:highlight w:val="none"/>
        </w:rPr>
        <w:t>民政部</w:t>
      </w:r>
      <w:r>
        <w:rPr>
          <w:rFonts w:ascii="仿宋" w:hAnsi="仿宋" w:eastAsia="仿宋" w:cs="宋体"/>
          <w:spacing w:val="6"/>
          <w:sz w:val="24"/>
          <w:highlight w:val="none"/>
        </w:rPr>
        <w:t xml:space="preserve"> </w:t>
      </w:r>
      <w:r>
        <w:rPr>
          <w:rFonts w:hint="eastAsia" w:ascii="仿宋" w:hAnsi="仿宋" w:eastAsia="仿宋" w:cs="宋体"/>
          <w:spacing w:val="6"/>
          <w:sz w:val="24"/>
          <w:highlight w:val="none"/>
        </w:rPr>
        <w:t>中国残疾人联合会关于促进残疾人就业政府采购政策的通知》（财库</w:t>
      </w:r>
      <w:r>
        <w:rPr>
          <w:rFonts w:hint="eastAsia" w:ascii="仿宋" w:hAnsi="仿宋" w:eastAsia="仿宋" w:cs="宋体"/>
          <w:sz w:val="24"/>
          <w:highlight w:val="none"/>
        </w:rPr>
        <w:t>〔</w:t>
      </w:r>
      <w:r>
        <w:rPr>
          <w:rFonts w:ascii="仿宋" w:hAnsi="仿宋" w:eastAsia="仿宋" w:cs="宋体"/>
          <w:sz w:val="24"/>
          <w:highlight w:val="none"/>
        </w:rPr>
        <w:t>2017〕 141</w:t>
      </w:r>
      <w:r>
        <w:rPr>
          <w:rFonts w:hint="eastAsia" w:ascii="仿宋" w:hAnsi="仿宋" w:eastAsia="仿宋" w:cs="宋体"/>
          <w:spacing w:val="6"/>
          <w:sz w:val="24"/>
          <w:highlight w:val="none"/>
        </w:rPr>
        <w:t>号）的规定，本单位为符合条件的残疾人福利性单位，且本单位参加</w:t>
      </w:r>
      <w:r>
        <w:rPr>
          <w:rFonts w:ascii="仿宋" w:hAnsi="仿宋" w:eastAsia="仿宋" w:cs="宋体"/>
          <w:spacing w:val="6"/>
          <w:sz w:val="24"/>
          <w:highlight w:val="none"/>
        </w:rPr>
        <w:t>_</w:t>
      </w:r>
      <w:r>
        <w:rPr>
          <w:rFonts w:ascii="仿宋" w:hAnsi="仿宋" w:eastAsia="仿宋"/>
          <w:sz w:val="24"/>
          <w:highlight w:val="none"/>
          <w:u w:val="single"/>
        </w:rPr>
        <w:t>XXXX</w:t>
      </w:r>
      <w:r>
        <w:rPr>
          <w:rFonts w:ascii="仿宋" w:hAnsi="仿宋" w:eastAsia="仿宋" w:cs="宋体"/>
          <w:spacing w:val="6"/>
          <w:sz w:val="24"/>
          <w:highlight w:val="none"/>
        </w:rPr>
        <w:t>_单位的</w:t>
      </w:r>
      <w:r>
        <w:rPr>
          <w:rFonts w:ascii="仿宋" w:hAnsi="仿宋" w:eastAsia="仿宋"/>
          <w:sz w:val="24"/>
          <w:highlight w:val="none"/>
          <w:u w:val="single"/>
        </w:rPr>
        <w:t>XXXX</w:t>
      </w:r>
      <w:r>
        <w:rPr>
          <w:rFonts w:ascii="仿宋" w:hAnsi="仿宋" w:eastAsia="仿宋" w:cs="宋体"/>
          <w:spacing w:val="6"/>
          <w:sz w:val="24"/>
          <w:highlight w:val="none"/>
        </w:rPr>
        <w:t>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 w:hAnsi="仿宋" w:eastAsia="仿宋" w:cs="宋体"/>
          <w:spacing w:val="6"/>
          <w:sz w:val="24"/>
          <w:highlight w:val="none"/>
        </w:rPr>
      </w:pPr>
      <w:r>
        <w:rPr>
          <w:rFonts w:hint="eastAsia" w:ascii="仿宋" w:hAnsi="仿宋" w:eastAsia="仿宋" w:cs="宋体"/>
          <w:spacing w:val="6"/>
          <w:sz w:val="24"/>
          <w:highlight w:val="none"/>
        </w:rPr>
        <w:t>本单位对上述声明的真实性负责。如有虚假，将依法承担相应责任。</w:t>
      </w:r>
    </w:p>
    <w:p>
      <w:pPr>
        <w:spacing w:line="588" w:lineRule="exact"/>
        <w:rPr>
          <w:rFonts w:ascii="仿宋" w:hAnsi="仿宋" w:eastAsia="仿宋" w:cs="宋体"/>
          <w:spacing w:val="6"/>
          <w:sz w:val="24"/>
          <w:highlight w:val="none"/>
        </w:rPr>
      </w:pPr>
    </w:p>
    <w:p>
      <w:pPr>
        <w:tabs>
          <w:tab w:val="left" w:pos="4860"/>
        </w:tabs>
        <w:spacing w:line="588" w:lineRule="exact"/>
        <w:ind w:right="1560"/>
        <w:rPr>
          <w:rFonts w:ascii="仿宋" w:hAnsi="仿宋" w:eastAsia="仿宋" w:cs="宋体"/>
          <w:spacing w:val="6"/>
          <w:sz w:val="24"/>
          <w:highlight w:val="none"/>
        </w:rPr>
      </w:pPr>
      <w:r>
        <w:rPr>
          <w:rFonts w:hint="eastAsia" w:ascii="仿宋" w:hAnsi="仿宋" w:eastAsia="仿宋" w:cs="宋体"/>
          <w:spacing w:val="6"/>
          <w:sz w:val="24"/>
          <w:highlight w:val="none"/>
        </w:rPr>
        <w:t>单位名称（盖章）：</w:t>
      </w:r>
    </w:p>
    <w:p>
      <w:pPr>
        <w:rPr>
          <w:rFonts w:ascii="仿宋" w:hAnsi="仿宋" w:eastAsia="仿宋" w:cs="宋体"/>
          <w:spacing w:val="6"/>
          <w:sz w:val="24"/>
          <w:highlight w:val="none"/>
        </w:rPr>
      </w:pPr>
      <w:r>
        <w:rPr>
          <w:rFonts w:hint="eastAsia" w:ascii="仿宋" w:hAnsi="仿宋" w:eastAsia="仿宋" w:cs="宋体"/>
          <w:spacing w:val="6"/>
          <w:sz w:val="24"/>
          <w:highlight w:val="none"/>
        </w:rPr>
        <w:t>日</w:t>
      </w:r>
      <w:r>
        <w:rPr>
          <w:rFonts w:ascii="仿宋" w:hAnsi="仿宋" w:eastAsia="仿宋" w:cs="宋体"/>
          <w:spacing w:val="6"/>
          <w:sz w:val="24"/>
          <w:highlight w:val="none"/>
        </w:rPr>
        <w:t xml:space="preserve">  </w:t>
      </w:r>
      <w:r>
        <w:rPr>
          <w:rFonts w:hint="eastAsia" w:ascii="仿宋" w:hAnsi="仿宋" w:eastAsia="仿宋" w:cs="宋体"/>
          <w:spacing w:val="6"/>
          <w:sz w:val="24"/>
          <w:highlight w:val="none"/>
        </w:rPr>
        <w:t>期：</w:t>
      </w:r>
    </w:p>
    <w:p>
      <w:pPr>
        <w:spacing w:line="360" w:lineRule="auto"/>
        <w:rPr>
          <w:rFonts w:ascii="仿宋" w:hAnsi="仿宋" w:eastAsia="仿宋" w:cs="宋体"/>
          <w:sz w:val="24"/>
          <w:highlight w:val="none"/>
        </w:rPr>
      </w:pPr>
    </w:p>
    <w:p>
      <w:pPr>
        <w:spacing w:line="360" w:lineRule="auto"/>
        <w:rPr>
          <w:rFonts w:hint="eastAsia" w:ascii="仿宋" w:hAnsi="仿宋" w:eastAsia="仿宋" w:cs="宋体"/>
          <w:sz w:val="24"/>
          <w:highlight w:val="none"/>
        </w:rPr>
      </w:pPr>
    </w:p>
    <w:p>
      <w:pPr>
        <w:spacing w:line="360" w:lineRule="auto"/>
        <w:rPr>
          <w:rFonts w:ascii="仿宋" w:hAnsi="仿宋" w:eastAsia="仿宋" w:cs="宋体"/>
          <w:sz w:val="24"/>
          <w:highlight w:val="none"/>
        </w:rPr>
      </w:pPr>
      <w:r>
        <w:rPr>
          <w:rFonts w:hint="eastAsia" w:ascii="仿宋" w:hAnsi="仿宋" w:eastAsia="仿宋" w:cs="宋体"/>
          <w:sz w:val="24"/>
          <w:highlight w:val="none"/>
        </w:rPr>
        <w:t>注：</w:t>
      </w:r>
    </w:p>
    <w:p>
      <w:pPr>
        <w:numPr>
          <w:ilvl w:val="0"/>
          <w:numId w:val="5"/>
        </w:numPr>
        <w:spacing w:line="360" w:lineRule="auto"/>
        <w:rPr>
          <w:rFonts w:ascii="仿宋" w:hAnsi="仿宋" w:eastAsia="仿宋" w:cs="宋体"/>
          <w:sz w:val="24"/>
          <w:highlight w:val="none"/>
        </w:rPr>
      </w:pPr>
      <w:r>
        <w:rPr>
          <w:rFonts w:hint="eastAsia" w:ascii="仿宋" w:hAnsi="仿宋" w:eastAsia="仿宋" w:cs="宋体"/>
          <w:sz w:val="24"/>
          <w:highlight w:val="none"/>
        </w:rPr>
        <w:t>残疾人福利性单位视同小型、微型企业，享受预留份额、评审中价格扣除等促进中小企业发展的政府采购政策。残疾人福利性单位属于小型、微型企业的，不重复享受政策。</w:t>
      </w:r>
    </w:p>
    <w:p>
      <w:pPr>
        <w:pStyle w:val="3"/>
        <w:keepNext w:val="0"/>
        <w:keepLines w:val="0"/>
        <w:rPr>
          <w:rFonts w:hint="eastAsia" w:ascii="仿宋" w:hAnsi="仿宋" w:eastAsia="仿宋" w:cs="宋体"/>
          <w:b w:val="0"/>
          <w:bCs w:val="0"/>
          <w:kern w:val="2"/>
          <w:sz w:val="24"/>
          <w:szCs w:val="24"/>
          <w:highlight w:val="none"/>
          <w:lang w:val="en-US" w:eastAsia="zh-CN" w:bidi="ar-SA"/>
        </w:rPr>
      </w:pPr>
      <w:r>
        <w:rPr>
          <w:rFonts w:hint="eastAsia" w:ascii="仿宋" w:hAnsi="仿宋" w:eastAsia="仿宋" w:cs="宋体"/>
          <w:b w:val="0"/>
          <w:bCs w:val="0"/>
          <w:kern w:val="2"/>
          <w:sz w:val="24"/>
          <w:szCs w:val="24"/>
          <w:highlight w:val="none"/>
          <w:lang w:val="en-US" w:eastAsia="zh-CN" w:bidi="ar-SA"/>
        </w:rPr>
        <w:t>2、投标人为非残疾人福利性单位的，可不提供此声明。</w:t>
      </w:r>
    </w:p>
    <w:p>
      <w:pPr>
        <w:rPr>
          <w:highlight w:val="none"/>
        </w:rPr>
      </w:pPr>
      <w:r>
        <w:rPr>
          <w:highlight w:val="none"/>
        </w:rPr>
        <w:br w:type="page"/>
      </w:r>
    </w:p>
    <w:p>
      <w:pPr>
        <w:jc w:val="center"/>
        <w:rPr>
          <w:rFonts w:ascii="仿宋" w:hAnsi="仿宋" w:eastAsia="仿宋"/>
          <w:b/>
          <w:sz w:val="32"/>
          <w:szCs w:val="32"/>
          <w:highlight w:val="none"/>
        </w:rPr>
      </w:pPr>
      <w:r>
        <w:rPr>
          <w:rFonts w:hint="eastAsia" w:ascii="仿宋" w:hAnsi="仿宋" w:eastAsia="仿宋"/>
          <w:b/>
          <w:sz w:val="32"/>
          <w:szCs w:val="32"/>
          <w:highlight w:val="none"/>
          <w:lang w:eastAsia="zh-CN"/>
        </w:rPr>
        <w:t>六</w:t>
      </w:r>
      <w:r>
        <w:rPr>
          <w:rFonts w:hint="eastAsia" w:ascii="仿宋" w:hAnsi="仿宋" w:eastAsia="仿宋"/>
          <w:b/>
          <w:sz w:val="32"/>
          <w:szCs w:val="32"/>
          <w:highlight w:val="none"/>
        </w:rPr>
        <w:t>、监狱企业</w:t>
      </w:r>
    </w:p>
    <w:p>
      <w:pPr>
        <w:rPr>
          <w:rFonts w:ascii="仿宋" w:hAnsi="仿宋" w:eastAsia="仿宋" w:cs="宋体"/>
          <w:b/>
          <w:spacing w:val="6"/>
          <w:sz w:val="24"/>
          <w:highlight w:val="none"/>
        </w:rPr>
      </w:pPr>
    </w:p>
    <w:p>
      <w:pPr>
        <w:spacing w:after="0" w:line="360" w:lineRule="auto"/>
        <w:ind w:firstLine="480" w:firstLineChars="200"/>
        <w:jc w:val="left"/>
        <w:rPr>
          <w:rFonts w:ascii="仿宋" w:hAnsi="仿宋" w:eastAsia="仿宋"/>
          <w:sz w:val="24"/>
          <w:highlight w:val="none"/>
        </w:rPr>
      </w:pPr>
      <w:r>
        <w:rPr>
          <w:rFonts w:hint="eastAsia" w:ascii="仿宋" w:hAnsi="仿宋" w:eastAsia="仿宋"/>
          <w:sz w:val="24"/>
          <w:highlight w:val="none"/>
        </w:rPr>
        <w:t>根据</w:t>
      </w:r>
      <w:r>
        <w:rPr>
          <w:rFonts w:hint="eastAsia" w:ascii="仿宋" w:hAnsi="仿宋" w:eastAsia="仿宋" w:cs="仿宋"/>
          <w:sz w:val="24"/>
          <w:highlight w:val="none"/>
        </w:rPr>
        <w:t>《政府采购支持监狱企业发展有关问题的通知》</w:t>
      </w:r>
      <w:r>
        <w:rPr>
          <w:rFonts w:hint="eastAsia" w:ascii="仿宋" w:hAnsi="仿宋" w:eastAsia="仿宋"/>
          <w:sz w:val="24"/>
          <w:highlight w:val="none"/>
        </w:rPr>
        <w:t>（财库〔</w:t>
      </w:r>
      <w:r>
        <w:rPr>
          <w:rFonts w:ascii="仿宋" w:hAnsi="仿宋" w:eastAsia="仿宋"/>
          <w:sz w:val="24"/>
          <w:highlight w:val="none"/>
        </w:rPr>
        <w:t>2014〕68号）的规定</w:t>
      </w:r>
      <w:r>
        <w:rPr>
          <w:rFonts w:hint="eastAsia" w:ascii="仿宋" w:hAnsi="仿宋" w:eastAsia="仿宋"/>
          <w:sz w:val="24"/>
          <w:highlight w:val="none"/>
        </w:rPr>
        <w:t>监狱企业参加采购活动的，应</w:t>
      </w:r>
      <w:r>
        <w:rPr>
          <w:rFonts w:hint="eastAsia" w:ascii="仿宋" w:hAnsi="仿宋" w:eastAsia="仿宋" w:cs="宋体"/>
          <w:sz w:val="24"/>
          <w:highlight w:val="none"/>
        </w:rPr>
        <w:t>提供由省级以上监狱管理局、戒毒管理局</w:t>
      </w:r>
      <w:r>
        <w:rPr>
          <w:rFonts w:ascii="仿宋" w:hAnsi="仿宋" w:eastAsia="仿宋" w:cs="宋体"/>
          <w:sz w:val="24"/>
          <w:highlight w:val="none"/>
        </w:rPr>
        <w:t>(含新疆生产建设兵团)出具的属于监狱企业的证明文件。</w:t>
      </w:r>
    </w:p>
    <w:p>
      <w:pPr>
        <w:spacing w:after="0" w:line="360" w:lineRule="auto"/>
        <w:jc w:val="left"/>
        <w:rPr>
          <w:rFonts w:ascii="仿宋" w:hAnsi="仿宋" w:eastAsia="仿宋" w:cs="宋体"/>
          <w:sz w:val="24"/>
          <w:highlight w:val="none"/>
        </w:rPr>
      </w:pPr>
      <w:r>
        <w:rPr>
          <w:rFonts w:hint="eastAsia" w:ascii="仿宋" w:hAnsi="仿宋" w:eastAsia="仿宋" w:cs="宋体"/>
          <w:sz w:val="24"/>
          <w:highlight w:val="none"/>
        </w:rPr>
        <w:t>注：</w:t>
      </w:r>
    </w:p>
    <w:p>
      <w:pPr>
        <w:spacing w:after="0" w:line="360" w:lineRule="auto"/>
        <w:rPr>
          <w:rFonts w:ascii="仿宋" w:hAnsi="仿宋" w:eastAsia="仿宋" w:cs="宋体"/>
          <w:sz w:val="24"/>
          <w:highlight w:val="none"/>
        </w:rPr>
      </w:pPr>
      <w:r>
        <w:rPr>
          <w:rFonts w:ascii="仿宋" w:hAnsi="仿宋" w:eastAsia="仿宋" w:cs="宋体"/>
          <w:sz w:val="24"/>
          <w:highlight w:val="none"/>
        </w:rPr>
        <w:t>1、投标人符合《政府采购支持监狱企业发展有关问题的通知》（财库〔2014〕68号）规定的划分标准为监狱企业适用。</w:t>
      </w:r>
    </w:p>
    <w:p>
      <w:pPr>
        <w:rPr>
          <w:highlight w:val="none"/>
        </w:rPr>
      </w:pPr>
      <w:r>
        <w:rPr>
          <w:rFonts w:ascii="仿宋" w:hAnsi="仿宋" w:eastAsia="仿宋" w:cs="宋体"/>
          <w:sz w:val="24"/>
          <w:highlight w:val="none"/>
        </w:rPr>
        <w:t>2、在政府采购活动中，监狱企业视同小型、微型企业，享受预留份额、评审中</w:t>
      </w:r>
      <w:r>
        <w:rPr>
          <w:rFonts w:hint="eastAsia" w:ascii="仿宋" w:hAnsi="仿宋" w:eastAsia="仿宋" w:cs="宋体"/>
          <w:sz w:val="24"/>
          <w:highlight w:val="none"/>
        </w:rPr>
        <w:t>价格扣除等政府采购促进中小企业发展的政府采购政策。</w:t>
      </w:r>
    </w:p>
    <w:p>
      <w:pPr>
        <w:rPr>
          <w:highlight w:val="none"/>
        </w:rPr>
      </w:pPr>
    </w:p>
    <w:p>
      <w:pPr>
        <w:rPr>
          <w:highlight w:val="none"/>
        </w:rPr>
      </w:pPr>
    </w:p>
    <w:p>
      <w:pPr>
        <w:rPr>
          <w:highlight w:val="none"/>
        </w:rPr>
      </w:pPr>
    </w:p>
    <w:p>
      <w:pPr>
        <w:ind w:firstLine="480"/>
        <w:rPr>
          <w:rFonts w:ascii="宋体" w:hAnsi="宋体"/>
          <w:color w:val="000000"/>
          <w:sz w:val="24"/>
          <w:highlight w:val="none"/>
        </w:rPr>
      </w:pPr>
    </w:p>
    <w:p>
      <w:pPr>
        <w:rPr>
          <w:rFonts w:ascii="宋体" w:hAnsi="宋体"/>
          <w:b/>
          <w:bCs/>
          <w:color w:val="000000"/>
          <w:sz w:val="28"/>
          <w:szCs w:val="28"/>
          <w:highlight w:val="none"/>
        </w:rPr>
        <w:sectPr>
          <w:pgSz w:w="11906" w:h="16838"/>
          <w:pgMar w:top="1417" w:right="1417" w:bottom="1417" w:left="1417" w:header="850" w:footer="992" w:gutter="0"/>
          <w:pgNumType w:fmt="numberInDash"/>
          <w:cols w:space="0" w:num="1"/>
          <w:rtlGutter w:val="0"/>
          <w:docGrid w:linePitch="312" w:charSpace="0"/>
        </w:sectPr>
      </w:pPr>
    </w:p>
    <w:p>
      <w:pPr>
        <w:pageBreakBefore/>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lang w:eastAsia="zh-CN"/>
        </w:rPr>
        <w:t>七</w:t>
      </w:r>
      <w:r>
        <w:rPr>
          <w:rFonts w:hint="eastAsia" w:ascii="宋体" w:hAnsi="宋体" w:cs="Arial"/>
          <w:b/>
          <w:bCs/>
          <w:color w:val="000000"/>
          <w:sz w:val="32"/>
          <w:szCs w:val="32"/>
          <w:highlight w:val="none"/>
        </w:rPr>
        <w:t>、技术、服务要求应答表</w:t>
      </w:r>
    </w:p>
    <w:p>
      <w:pPr>
        <w:rPr>
          <w:rFonts w:ascii="宋体" w:hAnsi="宋体"/>
          <w:color w:val="000000"/>
          <w:sz w:val="24"/>
          <w:highlight w:val="none"/>
        </w:rPr>
      </w:pPr>
    </w:p>
    <w:p>
      <w:pPr>
        <w:pStyle w:val="8"/>
        <w:rPr>
          <w:highlight w:val="none"/>
        </w:rPr>
      </w:pPr>
    </w:p>
    <w:tbl>
      <w:tblPr>
        <w:tblStyle w:val="27"/>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526"/>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6" w:type="dxa"/>
            <w:vAlign w:val="center"/>
          </w:tcPr>
          <w:p>
            <w:pPr>
              <w:jc w:val="center"/>
              <w:rPr>
                <w:rFonts w:ascii="宋体" w:hAnsi="宋体"/>
                <w:color w:val="000000"/>
                <w:sz w:val="24"/>
                <w:highlight w:val="none"/>
              </w:rPr>
            </w:pPr>
            <w:r>
              <w:rPr>
                <w:rFonts w:hint="eastAsia" w:ascii="宋体" w:hAnsi="宋体"/>
                <w:color w:val="000000"/>
                <w:sz w:val="24"/>
                <w:highlight w:val="none"/>
              </w:rPr>
              <w:t>序号</w:t>
            </w:r>
          </w:p>
        </w:tc>
        <w:tc>
          <w:tcPr>
            <w:tcW w:w="3526" w:type="dxa"/>
            <w:vAlign w:val="center"/>
          </w:tcPr>
          <w:p>
            <w:pPr>
              <w:jc w:val="center"/>
              <w:rPr>
                <w:rFonts w:ascii="宋体" w:hAnsi="宋体"/>
                <w:color w:val="000000"/>
                <w:sz w:val="24"/>
                <w:highlight w:val="none"/>
              </w:rPr>
            </w:pPr>
            <w:r>
              <w:rPr>
                <w:rFonts w:hint="eastAsia" w:ascii="宋体" w:hAnsi="宋体"/>
                <w:color w:val="000000"/>
                <w:sz w:val="24"/>
                <w:highlight w:val="none"/>
              </w:rPr>
              <w:t>采购文件要求</w:t>
            </w:r>
          </w:p>
        </w:tc>
        <w:tc>
          <w:tcPr>
            <w:tcW w:w="3526" w:type="dxa"/>
            <w:vAlign w:val="center"/>
          </w:tcPr>
          <w:p>
            <w:pPr>
              <w:jc w:val="center"/>
              <w:rPr>
                <w:rFonts w:ascii="宋体" w:hAnsi="宋体"/>
                <w:color w:val="000000"/>
                <w:sz w:val="24"/>
                <w:highlight w:val="none"/>
              </w:rPr>
            </w:pPr>
            <w:r>
              <w:rPr>
                <w:rFonts w:hint="eastAsia" w:ascii="宋体" w:hAnsi="宋体"/>
                <w:color w:val="000000"/>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06" w:type="dxa"/>
          </w:tcPr>
          <w:p>
            <w:pPr>
              <w:jc w:val="center"/>
              <w:rPr>
                <w:rFonts w:ascii="宋体" w:hAnsi="宋体"/>
                <w:color w:val="000000"/>
                <w:sz w:val="24"/>
                <w:highlight w:val="none"/>
              </w:rPr>
            </w:pPr>
          </w:p>
        </w:tc>
        <w:tc>
          <w:tcPr>
            <w:tcW w:w="3526" w:type="dxa"/>
          </w:tcPr>
          <w:p>
            <w:pPr>
              <w:jc w:val="center"/>
              <w:rPr>
                <w:rFonts w:ascii="宋体" w:hAnsi="宋体"/>
                <w:color w:val="000000"/>
                <w:sz w:val="24"/>
                <w:highlight w:val="none"/>
              </w:rPr>
            </w:pPr>
          </w:p>
        </w:tc>
        <w:tc>
          <w:tcPr>
            <w:tcW w:w="3526" w:type="dxa"/>
          </w:tcPr>
          <w:p>
            <w:pPr>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06" w:type="dxa"/>
          </w:tcPr>
          <w:p>
            <w:pPr>
              <w:jc w:val="center"/>
              <w:rPr>
                <w:rFonts w:ascii="宋体" w:hAnsi="宋体"/>
                <w:color w:val="000000"/>
                <w:sz w:val="24"/>
                <w:highlight w:val="none"/>
              </w:rPr>
            </w:pPr>
          </w:p>
        </w:tc>
        <w:tc>
          <w:tcPr>
            <w:tcW w:w="3526" w:type="dxa"/>
          </w:tcPr>
          <w:p>
            <w:pPr>
              <w:jc w:val="center"/>
              <w:rPr>
                <w:rFonts w:ascii="宋体" w:hAnsi="宋体"/>
                <w:color w:val="000000"/>
                <w:sz w:val="24"/>
                <w:highlight w:val="none"/>
              </w:rPr>
            </w:pPr>
          </w:p>
        </w:tc>
        <w:tc>
          <w:tcPr>
            <w:tcW w:w="3526" w:type="dxa"/>
          </w:tcPr>
          <w:p>
            <w:pPr>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06" w:type="dxa"/>
          </w:tcPr>
          <w:p>
            <w:pPr>
              <w:jc w:val="center"/>
              <w:rPr>
                <w:rFonts w:ascii="宋体" w:hAnsi="宋体"/>
                <w:color w:val="000000"/>
                <w:sz w:val="24"/>
                <w:highlight w:val="none"/>
              </w:rPr>
            </w:pPr>
          </w:p>
        </w:tc>
        <w:tc>
          <w:tcPr>
            <w:tcW w:w="3526" w:type="dxa"/>
          </w:tcPr>
          <w:p>
            <w:pPr>
              <w:jc w:val="center"/>
              <w:rPr>
                <w:rFonts w:ascii="宋体" w:hAnsi="宋体"/>
                <w:color w:val="000000"/>
                <w:sz w:val="24"/>
                <w:highlight w:val="none"/>
              </w:rPr>
            </w:pPr>
          </w:p>
        </w:tc>
        <w:tc>
          <w:tcPr>
            <w:tcW w:w="3526" w:type="dxa"/>
          </w:tcPr>
          <w:p>
            <w:pPr>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206" w:type="dxa"/>
          </w:tcPr>
          <w:p>
            <w:pPr>
              <w:jc w:val="center"/>
              <w:rPr>
                <w:rFonts w:ascii="宋体" w:hAnsi="宋体"/>
                <w:color w:val="000000"/>
                <w:sz w:val="24"/>
                <w:highlight w:val="none"/>
              </w:rPr>
            </w:pPr>
          </w:p>
        </w:tc>
        <w:tc>
          <w:tcPr>
            <w:tcW w:w="3526" w:type="dxa"/>
          </w:tcPr>
          <w:p>
            <w:pPr>
              <w:jc w:val="center"/>
              <w:rPr>
                <w:rFonts w:ascii="宋体" w:hAnsi="宋体"/>
                <w:color w:val="000000"/>
                <w:sz w:val="24"/>
                <w:highlight w:val="none"/>
              </w:rPr>
            </w:pPr>
          </w:p>
        </w:tc>
        <w:tc>
          <w:tcPr>
            <w:tcW w:w="3526" w:type="dxa"/>
          </w:tcPr>
          <w:p>
            <w:pPr>
              <w:jc w:val="center"/>
              <w:rPr>
                <w:rFonts w:ascii="宋体" w:hAnsi="宋体"/>
                <w:color w:val="000000"/>
                <w:sz w:val="24"/>
                <w:highlight w:val="none"/>
              </w:rPr>
            </w:pPr>
          </w:p>
        </w:tc>
      </w:tr>
    </w:tbl>
    <w:p>
      <w:pPr>
        <w:ind w:firstLine="482" w:firstLineChars="200"/>
        <w:rPr>
          <w:rFonts w:ascii="宋体" w:hAnsi="宋体"/>
          <w:b/>
          <w:color w:val="000000"/>
          <w:sz w:val="24"/>
          <w:highlight w:val="none"/>
        </w:rPr>
      </w:pPr>
    </w:p>
    <w:p>
      <w:pPr>
        <w:ind w:firstLine="480" w:firstLineChars="200"/>
        <w:rPr>
          <w:rFonts w:ascii="宋体" w:hAnsi="宋体"/>
          <w:b/>
          <w:color w:val="000000"/>
          <w:sz w:val="24"/>
          <w:highlight w:val="none"/>
        </w:rPr>
      </w:pPr>
      <w:r>
        <w:rPr>
          <w:rFonts w:hint="eastAsia" w:ascii="宋体" w:hAnsi="宋体"/>
          <w:color w:val="000000"/>
          <w:sz w:val="24"/>
          <w:highlight w:val="none"/>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eastAsia="宋体"/>
          <w:color w:val="000000"/>
          <w:sz w:val="24"/>
          <w:highlight w:val="none"/>
          <w:lang w:eastAsia="zh-CN"/>
        </w:rPr>
      </w:pPr>
      <w:r>
        <w:rPr>
          <w:rFonts w:hint="eastAsia" w:ascii="宋体" w:hAnsi="宋体" w:eastAsia="宋体" w:cs="宋体"/>
          <w:color w:val="000000" w:themeColor="text1"/>
          <w:sz w:val="24"/>
          <w:highlight w:val="none"/>
          <w14:textFill>
            <w14:solidFill>
              <w14:schemeClr w14:val="tx1"/>
            </w14:solidFill>
          </w14:textFill>
        </w:rPr>
        <w:t>若无偏离可不填此表，视为完全响应磋商文件要求</w:t>
      </w:r>
      <w:r>
        <w:rPr>
          <w:rFonts w:hint="eastAsia" w:ascii="宋体" w:hAnsi="宋体" w:eastAsia="宋体" w:cs="宋体"/>
          <w:color w:val="000000" w:themeColor="text1"/>
          <w:sz w:val="24"/>
          <w:highlight w:val="none"/>
          <w:lang w:eastAsia="zh-CN"/>
          <w14:textFill>
            <w14:solidFill>
              <w14:schemeClr w14:val="tx1"/>
            </w14:solidFill>
          </w14:textFill>
        </w:rPr>
        <w:t>。</w:t>
      </w:r>
    </w:p>
    <w:p>
      <w:pPr>
        <w:pStyle w:val="4"/>
        <w:rPr>
          <w:highlight w:val="none"/>
        </w:rPr>
      </w:pPr>
    </w:p>
    <w:p>
      <w:pPr>
        <w:adjustRightInd w:val="0"/>
        <w:spacing w:line="400" w:lineRule="exact"/>
        <w:ind w:firstLine="480" w:firstLineChars="200"/>
        <w:jc w:val="left"/>
        <w:rPr>
          <w:rFonts w:ascii="宋体" w:hAnsi="宋体"/>
          <w:color w:val="000000"/>
          <w:sz w:val="24"/>
          <w:highlight w:val="none"/>
        </w:rPr>
      </w:pPr>
      <w:r>
        <w:rPr>
          <w:rFonts w:hint="eastAsia" w:ascii="宋体" w:hAnsi="宋体"/>
          <w:color w:val="000000"/>
          <w:sz w:val="24"/>
          <w:highlight w:val="none"/>
        </w:rPr>
        <w:t>供应商名称：XXX（盖单位公章）</w:t>
      </w:r>
    </w:p>
    <w:p>
      <w:pPr>
        <w:adjustRightInd w:val="0"/>
        <w:spacing w:line="400" w:lineRule="exact"/>
        <w:ind w:firstLine="480" w:firstLineChars="200"/>
        <w:jc w:val="left"/>
        <w:rPr>
          <w:bCs/>
          <w:color w:val="000000"/>
          <w:sz w:val="24"/>
          <w:highlight w:val="none"/>
        </w:rPr>
      </w:pPr>
      <w:r>
        <w:rPr>
          <w:rFonts w:hint="eastAsia"/>
          <w:bCs/>
          <w:color w:val="000000"/>
          <w:sz w:val="24"/>
          <w:highlight w:val="none"/>
        </w:rPr>
        <w:t>法定代表人或授权代表（签字或盖章）：XXX</w:t>
      </w:r>
    </w:p>
    <w:p>
      <w:pPr>
        <w:adjustRightInd w:val="0"/>
        <w:spacing w:line="400" w:lineRule="exact"/>
        <w:ind w:firstLine="540" w:firstLineChars="225"/>
        <w:jc w:val="left"/>
        <w:rPr>
          <w:bCs/>
          <w:color w:val="000000"/>
          <w:sz w:val="24"/>
          <w:highlight w:val="none"/>
        </w:rPr>
      </w:pPr>
      <w:r>
        <w:rPr>
          <w:rFonts w:hint="eastAsia"/>
          <w:bCs/>
          <w:color w:val="000000"/>
          <w:sz w:val="24"/>
          <w:highlight w:val="none"/>
        </w:rPr>
        <w:t>日  期</w:t>
      </w:r>
      <w:r>
        <w:rPr>
          <w:rFonts w:hint="eastAsia" w:ascii="宋体" w:hAnsi="宋体"/>
          <w:color w:val="000000"/>
          <w:sz w:val="24"/>
          <w:highlight w:val="none"/>
        </w:rPr>
        <w:t>：</w:t>
      </w:r>
      <w:r>
        <w:rPr>
          <w:rFonts w:hint="eastAsia"/>
          <w:bCs/>
          <w:color w:val="000000"/>
          <w:sz w:val="24"/>
          <w:highlight w:val="none"/>
        </w:rPr>
        <w:t>XXX年XXX月XXX日</w:t>
      </w:r>
    </w:p>
    <w:p>
      <w:pPr>
        <w:spacing w:line="400" w:lineRule="exact"/>
        <w:rPr>
          <w:rFonts w:ascii="宋体" w:hAnsi="宋体"/>
          <w:color w:val="000000"/>
          <w:highlight w:val="none"/>
        </w:rPr>
      </w:pPr>
    </w:p>
    <w:p>
      <w:pPr>
        <w:spacing w:line="400" w:lineRule="exact"/>
        <w:rPr>
          <w:rFonts w:ascii="宋体" w:hAnsi="宋体"/>
          <w:color w:val="000000"/>
          <w:highlight w:val="none"/>
        </w:rPr>
      </w:pPr>
    </w:p>
    <w:p>
      <w:pPr>
        <w:spacing w:line="400" w:lineRule="exact"/>
        <w:rPr>
          <w:rFonts w:ascii="宋体" w:hAnsi="宋体"/>
          <w:color w:val="000000"/>
          <w:highlight w:val="none"/>
        </w:rPr>
      </w:pPr>
    </w:p>
    <w:p>
      <w:pPr>
        <w:pStyle w:val="9"/>
        <w:tabs>
          <w:tab w:val="left" w:pos="0"/>
        </w:tabs>
        <w:spacing w:line="400" w:lineRule="exact"/>
        <w:rPr>
          <w:color w:val="000000"/>
          <w:highlight w:val="none"/>
        </w:rPr>
      </w:pPr>
    </w:p>
    <w:p>
      <w:pPr>
        <w:pStyle w:val="9"/>
        <w:tabs>
          <w:tab w:val="left" w:pos="0"/>
        </w:tabs>
        <w:rPr>
          <w:color w:val="000000"/>
          <w:highlight w:val="none"/>
        </w:rPr>
      </w:pPr>
    </w:p>
    <w:p>
      <w:pPr>
        <w:pStyle w:val="9"/>
        <w:tabs>
          <w:tab w:val="left" w:pos="0"/>
        </w:tabs>
        <w:rPr>
          <w:color w:val="000000"/>
          <w:highlight w:val="none"/>
        </w:rPr>
      </w:pPr>
    </w:p>
    <w:p>
      <w:pPr>
        <w:pStyle w:val="9"/>
        <w:tabs>
          <w:tab w:val="left" w:pos="0"/>
        </w:tabs>
        <w:rPr>
          <w:color w:val="000000"/>
          <w:highlight w:val="none"/>
        </w:rPr>
      </w:pPr>
    </w:p>
    <w:p>
      <w:pPr>
        <w:pStyle w:val="9"/>
        <w:tabs>
          <w:tab w:val="left" w:pos="0"/>
        </w:tabs>
        <w:rPr>
          <w:color w:val="000000"/>
          <w:highlight w:val="none"/>
        </w:rPr>
      </w:pPr>
    </w:p>
    <w:p>
      <w:pPr>
        <w:pStyle w:val="9"/>
        <w:tabs>
          <w:tab w:val="left" w:pos="0"/>
        </w:tabs>
        <w:rPr>
          <w:color w:val="000000"/>
          <w:highlight w:val="none"/>
        </w:rPr>
      </w:pPr>
    </w:p>
    <w:p>
      <w:pPr>
        <w:pStyle w:val="9"/>
        <w:tabs>
          <w:tab w:val="left" w:pos="0"/>
        </w:tabs>
        <w:rPr>
          <w:color w:val="000000"/>
          <w:highlight w:val="none"/>
        </w:rPr>
      </w:pPr>
    </w:p>
    <w:p>
      <w:pPr>
        <w:pStyle w:val="9"/>
        <w:tabs>
          <w:tab w:val="left" w:pos="0"/>
        </w:tabs>
        <w:rPr>
          <w:color w:val="000000"/>
          <w:highlight w:val="none"/>
        </w:rPr>
      </w:pPr>
    </w:p>
    <w:p>
      <w:pPr>
        <w:pageBreakBefore/>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lang w:eastAsia="zh-CN"/>
        </w:rPr>
        <w:t>八</w:t>
      </w:r>
      <w:r>
        <w:rPr>
          <w:rFonts w:hint="eastAsia" w:ascii="宋体" w:hAnsi="宋体" w:cs="Arial"/>
          <w:b/>
          <w:bCs/>
          <w:color w:val="000000"/>
          <w:sz w:val="32"/>
          <w:szCs w:val="32"/>
          <w:highlight w:val="none"/>
        </w:rPr>
        <w:t>、商务应答表</w:t>
      </w:r>
    </w:p>
    <w:p>
      <w:pPr>
        <w:pStyle w:val="9"/>
        <w:tabs>
          <w:tab w:val="left" w:pos="0"/>
        </w:tabs>
        <w:ind w:firstLine="0"/>
        <w:rPr>
          <w:b/>
          <w:color w:val="000000"/>
          <w:szCs w:val="32"/>
          <w:highlight w:val="none"/>
        </w:rPr>
      </w:pPr>
    </w:p>
    <w:tbl>
      <w:tblPr>
        <w:tblStyle w:val="27"/>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509"/>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00" w:type="dxa"/>
            <w:vAlign w:val="center"/>
          </w:tcPr>
          <w:p>
            <w:pPr>
              <w:jc w:val="center"/>
              <w:rPr>
                <w:rFonts w:ascii="宋体" w:hAnsi="宋体"/>
                <w:color w:val="000000"/>
                <w:sz w:val="24"/>
                <w:highlight w:val="none"/>
              </w:rPr>
            </w:pPr>
            <w:r>
              <w:rPr>
                <w:rFonts w:hint="eastAsia" w:ascii="宋体" w:hAnsi="宋体"/>
                <w:color w:val="000000"/>
                <w:sz w:val="24"/>
                <w:highlight w:val="none"/>
              </w:rPr>
              <w:t>序号</w:t>
            </w:r>
          </w:p>
        </w:tc>
        <w:tc>
          <w:tcPr>
            <w:tcW w:w="3509" w:type="dxa"/>
            <w:vAlign w:val="center"/>
          </w:tcPr>
          <w:p>
            <w:pPr>
              <w:jc w:val="center"/>
              <w:rPr>
                <w:rFonts w:ascii="宋体" w:hAnsi="宋体"/>
                <w:color w:val="000000"/>
                <w:sz w:val="24"/>
                <w:highlight w:val="none"/>
              </w:rPr>
            </w:pPr>
            <w:r>
              <w:rPr>
                <w:rFonts w:hint="eastAsia" w:ascii="宋体" w:hAnsi="宋体"/>
                <w:color w:val="000000"/>
                <w:sz w:val="24"/>
                <w:highlight w:val="none"/>
              </w:rPr>
              <w:t>采购文件要求</w:t>
            </w:r>
          </w:p>
        </w:tc>
        <w:tc>
          <w:tcPr>
            <w:tcW w:w="3509" w:type="dxa"/>
            <w:vAlign w:val="center"/>
          </w:tcPr>
          <w:p>
            <w:pPr>
              <w:jc w:val="center"/>
              <w:rPr>
                <w:rFonts w:ascii="宋体" w:hAnsi="宋体"/>
                <w:color w:val="000000"/>
                <w:sz w:val="24"/>
                <w:highlight w:val="none"/>
              </w:rPr>
            </w:pPr>
            <w:r>
              <w:rPr>
                <w:rFonts w:hint="eastAsia" w:ascii="宋体" w:hAnsi="宋体"/>
                <w:color w:val="000000"/>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200" w:type="dxa"/>
          </w:tcPr>
          <w:p>
            <w:pPr>
              <w:jc w:val="center"/>
              <w:rPr>
                <w:rFonts w:ascii="宋体" w:hAnsi="宋体"/>
                <w:color w:val="000000"/>
                <w:sz w:val="24"/>
                <w:highlight w:val="none"/>
              </w:rPr>
            </w:pPr>
          </w:p>
        </w:tc>
        <w:tc>
          <w:tcPr>
            <w:tcW w:w="3509" w:type="dxa"/>
          </w:tcPr>
          <w:p>
            <w:pPr>
              <w:jc w:val="center"/>
              <w:rPr>
                <w:rFonts w:ascii="宋体" w:hAnsi="宋体"/>
                <w:color w:val="000000"/>
                <w:sz w:val="24"/>
                <w:highlight w:val="none"/>
              </w:rPr>
            </w:pPr>
          </w:p>
        </w:tc>
        <w:tc>
          <w:tcPr>
            <w:tcW w:w="3509" w:type="dxa"/>
          </w:tcPr>
          <w:p>
            <w:pPr>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200" w:type="dxa"/>
          </w:tcPr>
          <w:p>
            <w:pPr>
              <w:jc w:val="center"/>
              <w:rPr>
                <w:rFonts w:ascii="宋体" w:hAnsi="宋体"/>
                <w:color w:val="000000"/>
                <w:sz w:val="24"/>
                <w:highlight w:val="none"/>
              </w:rPr>
            </w:pPr>
          </w:p>
        </w:tc>
        <w:tc>
          <w:tcPr>
            <w:tcW w:w="3509" w:type="dxa"/>
          </w:tcPr>
          <w:p>
            <w:pPr>
              <w:jc w:val="center"/>
              <w:rPr>
                <w:rFonts w:ascii="宋体" w:hAnsi="宋体"/>
                <w:color w:val="000000"/>
                <w:sz w:val="24"/>
                <w:highlight w:val="none"/>
              </w:rPr>
            </w:pPr>
          </w:p>
        </w:tc>
        <w:tc>
          <w:tcPr>
            <w:tcW w:w="3509" w:type="dxa"/>
          </w:tcPr>
          <w:p>
            <w:pPr>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200" w:type="dxa"/>
          </w:tcPr>
          <w:p>
            <w:pPr>
              <w:jc w:val="center"/>
              <w:rPr>
                <w:rFonts w:ascii="宋体" w:hAnsi="宋体"/>
                <w:color w:val="000000"/>
                <w:sz w:val="24"/>
                <w:highlight w:val="none"/>
              </w:rPr>
            </w:pPr>
          </w:p>
        </w:tc>
        <w:tc>
          <w:tcPr>
            <w:tcW w:w="3509" w:type="dxa"/>
          </w:tcPr>
          <w:p>
            <w:pPr>
              <w:jc w:val="center"/>
              <w:rPr>
                <w:rFonts w:ascii="宋体" w:hAnsi="宋体"/>
                <w:color w:val="000000"/>
                <w:sz w:val="24"/>
                <w:highlight w:val="none"/>
              </w:rPr>
            </w:pPr>
          </w:p>
        </w:tc>
        <w:tc>
          <w:tcPr>
            <w:tcW w:w="3509" w:type="dxa"/>
          </w:tcPr>
          <w:p>
            <w:pPr>
              <w:jc w:val="cente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200" w:type="dxa"/>
          </w:tcPr>
          <w:p>
            <w:pPr>
              <w:jc w:val="center"/>
              <w:rPr>
                <w:rFonts w:ascii="宋体" w:hAnsi="宋体"/>
                <w:color w:val="000000"/>
                <w:sz w:val="24"/>
                <w:highlight w:val="none"/>
              </w:rPr>
            </w:pPr>
          </w:p>
        </w:tc>
        <w:tc>
          <w:tcPr>
            <w:tcW w:w="3509" w:type="dxa"/>
          </w:tcPr>
          <w:p>
            <w:pPr>
              <w:jc w:val="center"/>
              <w:rPr>
                <w:rFonts w:ascii="宋体" w:hAnsi="宋体"/>
                <w:color w:val="000000"/>
                <w:sz w:val="24"/>
                <w:highlight w:val="none"/>
              </w:rPr>
            </w:pPr>
          </w:p>
        </w:tc>
        <w:tc>
          <w:tcPr>
            <w:tcW w:w="3509" w:type="dxa"/>
          </w:tcPr>
          <w:p>
            <w:pPr>
              <w:jc w:val="center"/>
              <w:rPr>
                <w:rFonts w:ascii="宋体" w:hAnsi="宋体"/>
                <w:color w:val="000000"/>
                <w:sz w:val="24"/>
                <w:highlight w:val="none"/>
              </w:rPr>
            </w:pPr>
          </w:p>
        </w:tc>
      </w:tr>
    </w:tbl>
    <w:p>
      <w:pPr>
        <w:ind w:firstLine="482" w:firstLineChars="200"/>
        <w:rPr>
          <w:rFonts w:ascii="宋体" w:hAnsi="宋体"/>
          <w:b/>
          <w:color w:val="000000"/>
          <w:sz w:val="24"/>
          <w:highlight w:val="none"/>
        </w:rPr>
      </w:pPr>
    </w:p>
    <w:p>
      <w:pPr>
        <w:ind w:firstLine="480" w:firstLineChars="200"/>
        <w:rPr>
          <w:rFonts w:ascii="宋体" w:hAnsi="宋体"/>
          <w:b/>
          <w:color w:val="000000"/>
          <w:sz w:val="24"/>
          <w:highlight w:val="none"/>
        </w:rPr>
      </w:pPr>
      <w:r>
        <w:rPr>
          <w:rFonts w:hint="eastAsia" w:ascii="宋体" w:hAnsi="宋体"/>
          <w:color w:val="000000"/>
          <w:sz w:val="24"/>
          <w:highlight w:val="none"/>
        </w:rPr>
        <w:t>注意：供应商必须据实填写，不得虚假响应，虚假响应的，其响应文件无效并按规定追究其相关责任。</w:t>
      </w:r>
    </w:p>
    <w:p>
      <w:pPr>
        <w:adjustRightInd w:val="0"/>
        <w:spacing w:line="400" w:lineRule="exact"/>
        <w:ind w:firstLine="480" w:firstLineChars="200"/>
        <w:jc w:val="left"/>
        <w:rPr>
          <w:rFonts w:ascii="宋体" w:hAnsi="宋体"/>
          <w:color w:val="000000"/>
          <w:sz w:val="24"/>
          <w:highlight w:val="none"/>
        </w:rPr>
      </w:pPr>
      <w:r>
        <w:rPr>
          <w:rFonts w:hint="eastAsia" w:ascii="宋体" w:hAnsi="宋体" w:eastAsia="宋体" w:cs="宋体"/>
          <w:color w:val="000000" w:themeColor="text1"/>
          <w:sz w:val="24"/>
          <w:highlight w:val="none"/>
          <w14:textFill>
            <w14:solidFill>
              <w14:schemeClr w14:val="tx1"/>
            </w14:solidFill>
          </w14:textFill>
        </w:rPr>
        <w:t>若无偏离可不填此表，视为完全响应磋商文件要求</w:t>
      </w:r>
      <w:r>
        <w:rPr>
          <w:rFonts w:hint="eastAsia" w:ascii="宋体" w:hAnsi="宋体" w:eastAsia="宋体" w:cs="宋体"/>
          <w:color w:val="000000" w:themeColor="text1"/>
          <w:sz w:val="24"/>
          <w:highlight w:val="none"/>
          <w:lang w:eastAsia="zh-CN"/>
          <w14:textFill>
            <w14:solidFill>
              <w14:schemeClr w14:val="tx1"/>
            </w14:solidFill>
          </w14:textFill>
        </w:rPr>
        <w:t>。</w:t>
      </w:r>
    </w:p>
    <w:p>
      <w:pPr>
        <w:adjustRightInd w:val="0"/>
        <w:spacing w:line="400" w:lineRule="exact"/>
        <w:ind w:firstLine="480" w:firstLineChars="200"/>
        <w:jc w:val="left"/>
        <w:rPr>
          <w:rFonts w:hint="eastAsia" w:ascii="宋体" w:hAnsi="宋体"/>
          <w:color w:val="000000"/>
          <w:sz w:val="24"/>
          <w:highlight w:val="none"/>
        </w:rPr>
      </w:pPr>
    </w:p>
    <w:p>
      <w:pPr>
        <w:adjustRightInd w:val="0"/>
        <w:spacing w:line="400" w:lineRule="exact"/>
        <w:ind w:firstLine="480" w:firstLineChars="200"/>
        <w:jc w:val="left"/>
        <w:rPr>
          <w:rFonts w:hint="eastAsia" w:ascii="宋体" w:hAnsi="宋体"/>
          <w:color w:val="000000"/>
          <w:sz w:val="24"/>
          <w:highlight w:val="none"/>
        </w:rPr>
      </w:pPr>
    </w:p>
    <w:p>
      <w:pPr>
        <w:adjustRightInd w:val="0"/>
        <w:spacing w:line="400" w:lineRule="exact"/>
        <w:ind w:firstLine="480" w:firstLineChars="200"/>
        <w:jc w:val="left"/>
        <w:rPr>
          <w:rFonts w:ascii="宋体" w:hAnsi="宋体"/>
          <w:color w:val="000000"/>
          <w:sz w:val="24"/>
          <w:highlight w:val="none"/>
        </w:rPr>
      </w:pPr>
      <w:r>
        <w:rPr>
          <w:rFonts w:hint="eastAsia" w:ascii="宋体" w:hAnsi="宋体"/>
          <w:color w:val="000000"/>
          <w:sz w:val="24"/>
          <w:highlight w:val="none"/>
        </w:rPr>
        <w:t>供应商人名称：XXX（盖单位公章）</w:t>
      </w:r>
    </w:p>
    <w:p>
      <w:pPr>
        <w:adjustRightInd w:val="0"/>
        <w:spacing w:line="400" w:lineRule="exact"/>
        <w:ind w:firstLine="540" w:firstLineChars="225"/>
        <w:jc w:val="left"/>
        <w:rPr>
          <w:bCs/>
          <w:color w:val="000000"/>
          <w:sz w:val="24"/>
          <w:highlight w:val="none"/>
        </w:rPr>
      </w:pPr>
      <w:r>
        <w:rPr>
          <w:rFonts w:hint="eastAsia"/>
          <w:bCs/>
          <w:color w:val="000000"/>
          <w:sz w:val="24"/>
          <w:highlight w:val="none"/>
        </w:rPr>
        <w:t>法定代表人或授权代表（签字或盖章）：XXX</w:t>
      </w:r>
    </w:p>
    <w:p>
      <w:pPr>
        <w:adjustRightInd w:val="0"/>
        <w:spacing w:line="400" w:lineRule="exact"/>
        <w:ind w:firstLine="540" w:firstLineChars="225"/>
        <w:jc w:val="left"/>
        <w:rPr>
          <w:bCs/>
          <w:color w:val="000000"/>
          <w:sz w:val="24"/>
          <w:highlight w:val="none"/>
        </w:rPr>
      </w:pPr>
      <w:r>
        <w:rPr>
          <w:rFonts w:hint="eastAsia"/>
          <w:bCs/>
          <w:color w:val="000000"/>
          <w:sz w:val="24"/>
          <w:highlight w:val="none"/>
        </w:rPr>
        <w:t>日  期：XXX年XXX月XXX日</w:t>
      </w:r>
    </w:p>
    <w:p>
      <w:pPr>
        <w:pStyle w:val="9"/>
        <w:tabs>
          <w:tab w:val="left" w:pos="0"/>
        </w:tabs>
        <w:jc w:val="center"/>
        <w:rPr>
          <w:color w:val="000000"/>
          <w:highlight w:val="none"/>
        </w:rPr>
      </w:pPr>
    </w:p>
    <w:p>
      <w:pPr>
        <w:pStyle w:val="9"/>
        <w:tabs>
          <w:tab w:val="left" w:pos="0"/>
        </w:tabs>
        <w:jc w:val="center"/>
        <w:rPr>
          <w:color w:val="000000"/>
          <w:highlight w:val="none"/>
        </w:rPr>
      </w:pPr>
    </w:p>
    <w:p>
      <w:pPr>
        <w:pStyle w:val="9"/>
        <w:tabs>
          <w:tab w:val="left" w:pos="0"/>
        </w:tabs>
        <w:jc w:val="center"/>
        <w:rPr>
          <w:color w:val="000000"/>
          <w:highlight w:val="none"/>
        </w:rPr>
      </w:pPr>
    </w:p>
    <w:p>
      <w:pPr>
        <w:adjustRightInd w:val="0"/>
        <w:spacing w:line="400" w:lineRule="exact"/>
        <w:jc w:val="left"/>
        <w:rPr>
          <w:rFonts w:ascii="宋体" w:hAnsi="宋体"/>
          <w:color w:val="000000"/>
          <w:sz w:val="28"/>
          <w:highlight w:val="none"/>
        </w:rPr>
        <w:sectPr>
          <w:pgSz w:w="11906" w:h="16838"/>
          <w:pgMar w:top="1417" w:right="1417" w:bottom="1417" w:left="1417" w:header="850" w:footer="992" w:gutter="0"/>
          <w:pgNumType w:fmt="numberInDash"/>
          <w:cols w:space="0" w:num="1"/>
          <w:rtlGutter w:val="0"/>
          <w:docGrid w:linePitch="312" w:charSpace="0"/>
        </w:sectPr>
      </w:pPr>
    </w:p>
    <w:p>
      <w:pPr>
        <w:pageBreakBefore/>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lang w:eastAsia="zh-CN"/>
        </w:rPr>
        <w:t>九</w:t>
      </w:r>
      <w:r>
        <w:rPr>
          <w:rFonts w:hint="eastAsia" w:ascii="宋体" w:hAnsi="宋体" w:cs="Arial"/>
          <w:b/>
          <w:bCs/>
          <w:color w:val="000000"/>
          <w:sz w:val="32"/>
          <w:szCs w:val="32"/>
          <w:highlight w:val="none"/>
        </w:rPr>
        <w:t>、供应商类似项目业绩一览表</w:t>
      </w:r>
    </w:p>
    <w:p>
      <w:pPr>
        <w:pStyle w:val="8"/>
        <w:rPr>
          <w:highlight w:val="none"/>
        </w:rPr>
      </w:pPr>
    </w:p>
    <w:tbl>
      <w:tblPr>
        <w:tblStyle w:val="27"/>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宋体" w:hAnsi="宋体" w:cs="Arial"/>
                <w:b/>
                <w:color w:val="000000"/>
                <w:highlight w:val="none"/>
              </w:rPr>
            </w:pPr>
            <w:r>
              <w:rPr>
                <w:rFonts w:hint="eastAsia" w:ascii="宋体" w:hAnsi="宋体" w:cs="Arial"/>
                <w:b/>
                <w:color w:val="000000"/>
                <w:highlight w:val="none"/>
              </w:rPr>
              <w:t>年份</w:t>
            </w:r>
          </w:p>
        </w:tc>
        <w:tc>
          <w:tcPr>
            <w:tcW w:w="1439" w:type="dxa"/>
            <w:vAlign w:val="center"/>
          </w:tcPr>
          <w:p>
            <w:pPr>
              <w:spacing w:line="400" w:lineRule="exact"/>
              <w:jc w:val="center"/>
              <w:rPr>
                <w:rFonts w:ascii="宋体" w:hAnsi="宋体" w:cs="Arial"/>
                <w:b/>
                <w:color w:val="000000"/>
                <w:highlight w:val="none"/>
              </w:rPr>
            </w:pPr>
            <w:r>
              <w:rPr>
                <w:rFonts w:hint="eastAsia" w:ascii="宋体" w:hAnsi="宋体" w:cs="Arial"/>
                <w:b/>
                <w:color w:val="000000"/>
                <w:highlight w:val="none"/>
              </w:rPr>
              <w:t>用户名称</w:t>
            </w:r>
          </w:p>
        </w:tc>
        <w:tc>
          <w:tcPr>
            <w:tcW w:w="1319" w:type="dxa"/>
            <w:vAlign w:val="center"/>
          </w:tcPr>
          <w:p>
            <w:pPr>
              <w:spacing w:line="400" w:lineRule="exact"/>
              <w:jc w:val="center"/>
              <w:rPr>
                <w:rFonts w:ascii="宋体" w:hAnsi="宋体" w:cs="Arial"/>
                <w:b/>
                <w:color w:val="000000"/>
                <w:highlight w:val="none"/>
              </w:rPr>
            </w:pPr>
            <w:r>
              <w:rPr>
                <w:rFonts w:ascii="宋体" w:hAnsi="宋体" w:cs="Arial"/>
                <w:b/>
                <w:color w:val="000000"/>
                <w:highlight w:val="none"/>
              </w:rPr>
              <w:t>项目名称</w:t>
            </w:r>
          </w:p>
        </w:tc>
        <w:tc>
          <w:tcPr>
            <w:tcW w:w="1160" w:type="dxa"/>
            <w:vAlign w:val="center"/>
          </w:tcPr>
          <w:p>
            <w:pPr>
              <w:spacing w:line="400" w:lineRule="exact"/>
              <w:jc w:val="center"/>
              <w:rPr>
                <w:rFonts w:ascii="宋体" w:hAnsi="宋体" w:cs="Arial"/>
                <w:b/>
                <w:color w:val="000000"/>
                <w:highlight w:val="none"/>
              </w:rPr>
            </w:pPr>
            <w:r>
              <w:rPr>
                <w:rFonts w:ascii="宋体" w:hAnsi="宋体" w:cs="Arial"/>
                <w:b/>
                <w:color w:val="000000"/>
                <w:highlight w:val="none"/>
              </w:rPr>
              <w:t>完成时间</w:t>
            </w:r>
          </w:p>
        </w:tc>
        <w:tc>
          <w:tcPr>
            <w:tcW w:w="1421" w:type="dxa"/>
            <w:gridSpan w:val="2"/>
            <w:vAlign w:val="center"/>
          </w:tcPr>
          <w:p>
            <w:pPr>
              <w:spacing w:line="400" w:lineRule="exact"/>
              <w:ind w:firstLine="105" w:firstLineChars="50"/>
              <w:jc w:val="center"/>
              <w:rPr>
                <w:rFonts w:ascii="宋体" w:hAnsi="宋体" w:cs="Arial"/>
                <w:b/>
                <w:color w:val="000000"/>
                <w:highlight w:val="none"/>
              </w:rPr>
            </w:pPr>
            <w:r>
              <w:rPr>
                <w:rFonts w:ascii="宋体" w:hAnsi="宋体" w:cs="Arial"/>
                <w:b/>
                <w:color w:val="000000"/>
                <w:highlight w:val="none"/>
              </w:rPr>
              <w:t>合同金额</w:t>
            </w:r>
          </w:p>
        </w:tc>
        <w:tc>
          <w:tcPr>
            <w:tcW w:w="1614" w:type="dxa"/>
            <w:gridSpan w:val="2"/>
            <w:tcBorders>
              <w:right w:val="single" w:color="auto" w:sz="4" w:space="0"/>
            </w:tcBorders>
            <w:vAlign w:val="center"/>
          </w:tcPr>
          <w:p>
            <w:pPr>
              <w:spacing w:line="400" w:lineRule="exact"/>
              <w:jc w:val="center"/>
              <w:rPr>
                <w:rFonts w:ascii="宋体" w:hAnsi="宋体" w:cs="Arial"/>
                <w:b/>
                <w:color w:val="000000"/>
                <w:highlight w:val="none"/>
              </w:rPr>
            </w:pPr>
            <w:r>
              <w:rPr>
                <w:rFonts w:hint="eastAsia" w:ascii="宋体" w:hAnsi="宋体" w:cs="Arial"/>
                <w:b/>
                <w:color w:val="000000"/>
                <w:highlight w:val="none"/>
              </w:rPr>
              <w:t>是否通过验收</w:t>
            </w:r>
          </w:p>
        </w:tc>
        <w:tc>
          <w:tcPr>
            <w:tcW w:w="1387" w:type="dxa"/>
            <w:gridSpan w:val="2"/>
            <w:tcBorders>
              <w:left w:val="single" w:color="auto" w:sz="4" w:space="0"/>
            </w:tcBorders>
            <w:vAlign w:val="center"/>
          </w:tcPr>
          <w:p>
            <w:pPr>
              <w:spacing w:line="400" w:lineRule="exact"/>
              <w:jc w:val="center"/>
              <w:rPr>
                <w:rFonts w:ascii="宋体" w:hAnsi="宋体" w:cs="Arial"/>
                <w:b/>
                <w:color w:val="000000"/>
                <w:highlight w:val="none"/>
              </w:rPr>
            </w:pPr>
            <w:r>
              <w:rPr>
                <w:rFonts w:hint="eastAsia" w:ascii="宋体" w:hAnsi="宋体" w:cs="Arial"/>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highlight w:val="none"/>
              </w:rPr>
            </w:pPr>
          </w:p>
        </w:tc>
        <w:tc>
          <w:tcPr>
            <w:tcW w:w="1439" w:type="dxa"/>
            <w:vAlign w:val="center"/>
          </w:tcPr>
          <w:p>
            <w:pPr>
              <w:spacing w:line="400" w:lineRule="exact"/>
              <w:jc w:val="center"/>
              <w:rPr>
                <w:rFonts w:ascii="宋体" w:hAnsi="宋体" w:cs="Arial"/>
                <w:color w:val="000000"/>
                <w:highlight w:val="none"/>
              </w:rPr>
            </w:pPr>
          </w:p>
        </w:tc>
        <w:tc>
          <w:tcPr>
            <w:tcW w:w="1319" w:type="dxa"/>
            <w:vAlign w:val="center"/>
          </w:tcPr>
          <w:p>
            <w:pPr>
              <w:spacing w:line="400" w:lineRule="exact"/>
              <w:jc w:val="center"/>
              <w:rPr>
                <w:rFonts w:ascii="宋体" w:hAnsi="宋体" w:cs="Arial"/>
                <w:color w:val="000000"/>
                <w:highlight w:val="none"/>
              </w:rPr>
            </w:pPr>
          </w:p>
        </w:tc>
        <w:tc>
          <w:tcPr>
            <w:tcW w:w="1160" w:type="dxa"/>
            <w:vAlign w:val="center"/>
          </w:tcPr>
          <w:p>
            <w:pPr>
              <w:spacing w:line="400" w:lineRule="exact"/>
              <w:jc w:val="center"/>
              <w:rPr>
                <w:rFonts w:ascii="宋体" w:hAnsi="宋体" w:cs="Arial"/>
                <w:color w:val="000000"/>
                <w:highlight w:val="none"/>
              </w:rPr>
            </w:pPr>
          </w:p>
        </w:tc>
        <w:tc>
          <w:tcPr>
            <w:tcW w:w="1421" w:type="dxa"/>
            <w:gridSpan w:val="2"/>
            <w:vAlign w:val="center"/>
          </w:tcPr>
          <w:p>
            <w:pPr>
              <w:spacing w:line="400" w:lineRule="exact"/>
              <w:jc w:val="center"/>
              <w:rPr>
                <w:rFonts w:ascii="宋体" w:hAnsi="宋体" w:cs="Arial"/>
                <w:color w:val="000000"/>
                <w:highlight w:val="none"/>
              </w:rPr>
            </w:pPr>
          </w:p>
        </w:tc>
        <w:tc>
          <w:tcPr>
            <w:tcW w:w="1614" w:type="dxa"/>
            <w:gridSpan w:val="2"/>
            <w:tcBorders>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lef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highlight w:val="none"/>
              </w:rPr>
            </w:pPr>
          </w:p>
        </w:tc>
        <w:tc>
          <w:tcPr>
            <w:tcW w:w="1439" w:type="dxa"/>
            <w:vAlign w:val="center"/>
          </w:tcPr>
          <w:p>
            <w:pPr>
              <w:spacing w:line="400" w:lineRule="exact"/>
              <w:jc w:val="center"/>
              <w:rPr>
                <w:rFonts w:ascii="宋体" w:hAnsi="宋体" w:cs="Arial"/>
                <w:color w:val="000000"/>
                <w:highlight w:val="none"/>
              </w:rPr>
            </w:pPr>
          </w:p>
        </w:tc>
        <w:tc>
          <w:tcPr>
            <w:tcW w:w="1319" w:type="dxa"/>
            <w:vAlign w:val="center"/>
          </w:tcPr>
          <w:p>
            <w:pPr>
              <w:spacing w:line="400" w:lineRule="exact"/>
              <w:jc w:val="center"/>
              <w:rPr>
                <w:rFonts w:ascii="宋体" w:hAnsi="宋体" w:cs="Arial"/>
                <w:color w:val="000000"/>
                <w:highlight w:val="none"/>
              </w:rPr>
            </w:pPr>
          </w:p>
        </w:tc>
        <w:tc>
          <w:tcPr>
            <w:tcW w:w="1160" w:type="dxa"/>
            <w:vAlign w:val="center"/>
          </w:tcPr>
          <w:p>
            <w:pPr>
              <w:spacing w:line="400" w:lineRule="exact"/>
              <w:jc w:val="center"/>
              <w:rPr>
                <w:rFonts w:ascii="宋体" w:hAnsi="宋体" w:cs="Arial"/>
                <w:color w:val="000000"/>
                <w:highlight w:val="none"/>
              </w:rPr>
            </w:pPr>
          </w:p>
        </w:tc>
        <w:tc>
          <w:tcPr>
            <w:tcW w:w="1421" w:type="dxa"/>
            <w:gridSpan w:val="2"/>
            <w:vAlign w:val="center"/>
          </w:tcPr>
          <w:p>
            <w:pPr>
              <w:spacing w:line="400" w:lineRule="exact"/>
              <w:jc w:val="center"/>
              <w:rPr>
                <w:rFonts w:ascii="宋体" w:hAnsi="宋体" w:cs="Arial"/>
                <w:color w:val="000000"/>
                <w:highlight w:val="none"/>
              </w:rPr>
            </w:pPr>
          </w:p>
        </w:tc>
        <w:tc>
          <w:tcPr>
            <w:tcW w:w="1614" w:type="dxa"/>
            <w:gridSpan w:val="2"/>
            <w:tcBorders>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lef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highlight w:val="none"/>
              </w:rPr>
            </w:pPr>
          </w:p>
        </w:tc>
        <w:tc>
          <w:tcPr>
            <w:tcW w:w="1439" w:type="dxa"/>
            <w:vAlign w:val="center"/>
          </w:tcPr>
          <w:p>
            <w:pPr>
              <w:spacing w:line="400" w:lineRule="exact"/>
              <w:jc w:val="center"/>
              <w:rPr>
                <w:rFonts w:ascii="宋体" w:hAnsi="宋体" w:cs="Arial"/>
                <w:color w:val="000000"/>
                <w:highlight w:val="none"/>
              </w:rPr>
            </w:pPr>
          </w:p>
        </w:tc>
        <w:tc>
          <w:tcPr>
            <w:tcW w:w="1319" w:type="dxa"/>
            <w:vAlign w:val="center"/>
          </w:tcPr>
          <w:p>
            <w:pPr>
              <w:spacing w:line="400" w:lineRule="exact"/>
              <w:jc w:val="center"/>
              <w:rPr>
                <w:rFonts w:ascii="宋体" w:hAnsi="宋体" w:cs="Arial"/>
                <w:color w:val="000000"/>
                <w:highlight w:val="none"/>
              </w:rPr>
            </w:pPr>
          </w:p>
        </w:tc>
        <w:tc>
          <w:tcPr>
            <w:tcW w:w="1160" w:type="dxa"/>
            <w:vAlign w:val="center"/>
          </w:tcPr>
          <w:p>
            <w:pPr>
              <w:spacing w:line="400" w:lineRule="exact"/>
              <w:jc w:val="center"/>
              <w:rPr>
                <w:rFonts w:ascii="宋体" w:hAnsi="宋体" w:cs="Arial"/>
                <w:color w:val="000000"/>
                <w:highlight w:val="none"/>
              </w:rPr>
            </w:pPr>
          </w:p>
        </w:tc>
        <w:tc>
          <w:tcPr>
            <w:tcW w:w="1421" w:type="dxa"/>
            <w:gridSpan w:val="2"/>
            <w:vAlign w:val="center"/>
          </w:tcPr>
          <w:p>
            <w:pPr>
              <w:spacing w:line="400" w:lineRule="exact"/>
              <w:jc w:val="center"/>
              <w:rPr>
                <w:rFonts w:ascii="宋体" w:hAnsi="宋体" w:cs="Arial"/>
                <w:color w:val="000000"/>
                <w:highlight w:val="none"/>
              </w:rPr>
            </w:pPr>
          </w:p>
        </w:tc>
        <w:tc>
          <w:tcPr>
            <w:tcW w:w="1614" w:type="dxa"/>
            <w:gridSpan w:val="2"/>
            <w:tcBorders>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lef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highlight w:val="none"/>
              </w:rPr>
            </w:pPr>
          </w:p>
        </w:tc>
        <w:tc>
          <w:tcPr>
            <w:tcW w:w="1439" w:type="dxa"/>
            <w:tcBorders>
              <w:right w:val="single" w:color="auto" w:sz="4" w:space="0"/>
            </w:tcBorders>
            <w:vAlign w:val="center"/>
          </w:tcPr>
          <w:p>
            <w:pPr>
              <w:spacing w:line="400" w:lineRule="exact"/>
              <w:jc w:val="center"/>
              <w:rPr>
                <w:rFonts w:ascii="宋体" w:hAnsi="宋体" w:cs="Arial"/>
                <w:color w:val="000000"/>
                <w:highlight w:val="none"/>
              </w:rPr>
            </w:pPr>
          </w:p>
        </w:tc>
        <w:tc>
          <w:tcPr>
            <w:tcW w:w="1319" w:type="dxa"/>
            <w:tcBorders>
              <w:left w:val="single" w:color="auto" w:sz="4" w:space="0"/>
            </w:tcBorders>
            <w:vAlign w:val="center"/>
          </w:tcPr>
          <w:p>
            <w:pPr>
              <w:spacing w:line="400" w:lineRule="exact"/>
              <w:jc w:val="center"/>
              <w:rPr>
                <w:rFonts w:ascii="宋体" w:hAnsi="宋体" w:cs="Arial"/>
                <w:color w:val="000000"/>
                <w:highlight w:val="none"/>
              </w:rPr>
            </w:pPr>
          </w:p>
        </w:tc>
        <w:tc>
          <w:tcPr>
            <w:tcW w:w="1160" w:type="dxa"/>
            <w:vAlign w:val="center"/>
          </w:tcPr>
          <w:p>
            <w:pPr>
              <w:spacing w:line="400" w:lineRule="exact"/>
              <w:jc w:val="center"/>
              <w:rPr>
                <w:rFonts w:ascii="宋体" w:hAnsi="宋体" w:cs="Arial"/>
                <w:color w:val="000000"/>
                <w:highlight w:val="none"/>
              </w:rPr>
            </w:pPr>
          </w:p>
        </w:tc>
        <w:tc>
          <w:tcPr>
            <w:tcW w:w="1421" w:type="dxa"/>
            <w:gridSpan w:val="2"/>
            <w:vAlign w:val="center"/>
          </w:tcPr>
          <w:p>
            <w:pPr>
              <w:spacing w:line="400" w:lineRule="exact"/>
              <w:jc w:val="center"/>
              <w:rPr>
                <w:rFonts w:ascii="宋体" w:hAnsi="宋体" w:cs="Arial"/>
                <w:color w:val="000000"/>
                <w:highlight w:val="none"/>
              </w:rPr>
            </w:pPr>
          </w:p>
        </w:tc>
        <w:tc>
          <w:tcPr>
            <w:tcW w:w="1614" w:type="dxa"/>
            <w:gridSpan w:val="2"/>
            <w:tcBorders>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lef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宋体" w:hAnsi="宋体" w:cs="Arial"/>
                <w:color w:val="000000"/>
                <w:highlight w:val="none"/>
              </w:rPr>
            </w:pPr>
          </w:p>
        </w:tc>
        <w:tc>
          <w:tcPr>
            <w:tcW w:w="1439" w:type="dxa"/>
            <w:tcBorders>
              <w:left w:val="single" w:color="auto" w:sz="4" w:space="0"/>
              <w:right w:val="single" w:color="auto" w:sz="4" w:space="0"/>
            </w:tcBorders>
            <w:vAlign w:val="center"/>
          </w:tcPr>
          <w:p>
            <w:pPr>
              <w:spacing w:line="400" w:lineRule="exact"/>
              <w:rPr>
                <w:rFonts w:ascii="宋体" w:hAnsi="宋体" w:cs="Arial"/>
                <w:color w:val="000000"/>
                <w:highlight w:val="none"/>
              </w:rPr>
            </w:pPr>
          </w:p>
        </w:tc>
        <w:tc>
          <w:tcPr>
            <w:tcW w:w="1319" w:type="dxa"/>
            <w:tcBorders>
              <w:left w:val="single" w:color="auto" w:sz="4" w:space="0"/>
              <w:right w:val="single" w:color="auto" w:sz="4" w:space="0"/>
            </w:tcBorders>
            <w:vAlign w:val="center"/>
          </w:tcPr>
          <w:p>
            <w:pPr>
              <w:spacing w:line="400" w:lineRule="exact"/>
              <w:rPr>
                <w:rFonts w:ascii="宋体" w:hAnsi="宋体" w:cs="Arial"/>
                <w:color w:val="000000"/>
                <w:highlight w:val="none"/>
              </w:rPr>
            </w:pPr>
          </w:p>
        </w:tc>
        <w:tc>
          <w:tcPr>
            <w:tcW w:w="1160" w:type="dxa"/>
            <w:tcBorders>
              <w:left w:val="single" w:color="auto" w:sz="4" w:space="0"/>
              <w:right w:val="single" w:color="auto" w:sz="4" w:space="0"/>
            </w:tcBorders>
            <w:vAlign w:val="center"/>
          </w:tcPr>
          <w:p>
            <w:pPr>
              <w:spacing w:line="400" w:lineRule="exact"/>
              <w:rPr>
                <w:rFonts w:ascii="宋体" w:hAnsi="宋体" w:cs="Arial"/>
                <w:color w:val="000000"/>
                <w:highlight w:val="none"/>
              </w:rPr>
            </w:pPr>
          </w:p>
        </w:tc>
        <w:tc>
          <w:tcPr>
            <w:tcW w:w="1415" w:type="dxa"/>
            <w:tcBorders>
              <w:left w:val="single" w:color="auto" w:sz="4" w:space="0"/>
              <w:right w:val="single" w:color="auto" w:sz="4" w:space="0"/>
            </w:tcBorders>
            <w:vAlign w:val="center"/>
          </w:tcPr>
          <w:p>
            <w:pPr>
              <w:spacing w:line="400" w:lineRule="exact"/>
              <w:rPr>
                <w:rFonts w:ascii="宋体" w:hAnsi="宋体" w:cs="Arial"/>
                <w:color w:val="000000"/>
                <w:highlight w:val="none"/>
              </w:rPr>
            </w:pPr>
          </w:p>
        </w:tc>
        <w:tc>
          <w:tcPr>
            <w:tcW w:w="1605" w:type="dxa"/>
            <w:gridSpan w:val="2"/>
            <w:tcBorders>
              <w:left w:val="single" w:color="auto" w:sz="4" w:space="0"/>
              <w:right w:val="single" w:color="auto" w:sz="4" w:space="0"/>
            </w:tcBorders>
            <w:vAlign w:val="center"/>
          </w:tcPr>
          <w:p>
            <w:pPr>
              <w:spacing w:line="400" w:lineRule="exact"/>
              <w:rPr>
                <w:rFonts w:ascii="宋体" w:hAnsi="宋体" w:cs="Arial"/>
                <w:color w:val="000000"/>
                <w:highlight w:val="none"/>
              </w:rPr>
            </w:pPr>
          </w:p>
        </w:tc>
        <w:tc>
          <w:tcPr>
            <w:tcW w:w="1392" w:type="dxa"/>
            <w:gridSpan w:val="2"/>
            <w:tcBorders>
              <w:left w:val="single" w:color="auto" w:sz="4" w:space="0"/>
            </w:tcBorders>
            <w:vAlign w:val="center"/>
          </w:tcPr>
          <w:p>
            <w:pPr>
              <w:spacing w:line="400" w:lineRule="exact"/>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宋体" w:hAnsi="宋体" w:cs="Arial"/>
                <w:color w:val="000000"/>
                <w:highlight w:val="none"/>
              </w:rPr>
            </w:pPr>
          </w:p>
        </w:tc>
        <w:tc>
          <w:tcPr>
            <w:tcW w:w="1439" w:type="dxa"/>
            <w:vAlign w:val="center"/>
          </w:tcPr>
          <w:p>
            <w:pPr>
              <w:spacing w:line="400" w:lineRule="exact"/>
              <w:rPr>
                <w:rFonts w:ascii="宋体" w:hAnsi="宋体" w:cs="Arial"/>
                <w:color w:val="000000"/>
                <w:highlight w:val="none"/>
              </w:rPr>
            </w:pPr>
          </w:p>
        </w:tc>
        <w:tc>
          <w:tcPr>
            <w:tcW w:w="1319" w:type="dxa"/>
            <w:vAlign w:val="center"/>
          </w:tcPr>
          <w:p>
            <w:pPr>
              <w:spacing w:line="400" w:lineRule="exact"/>
              <w:rPr>
                <w:rFonts w:ascii="宋体" w:hAnsi="宋体" w:cs="Arial"/>
                <w:color w:val="000000"/>
                <w:highlight w:val="none"/>
              </w:rPr>
            </w:pPr>
          </w:p>
        </w:tc>
        <w:tc>
          <w:tcPr>
            <w:tcW w:w="1160" w:type="dxa"/>
            <w:vAlign w:val="center"/>
          </w:tcPr>
          <w:p>
            <w:pPr>
              <w:spacing w:line="400" w:lineRule="exact"/>
              <w:rPr>
                <w:rFonts w:ascii="宋体" w:hAnsi="宋体" w:cs="Arial"/>
                <w:color w:val="000000"/>
                <w:highlight w:val="none"/>
              </w:rPr>
            </w:pPr>
          </w:p>
        </w:tc>
        <w:tc>
          <w:tcPr>
            <w:tcW w:w="1421" w:type="dxa"/>
            <w:gridSpan w:val="2"/>
            <w:tcBorders>
              <w:right w:val="single" w:color="auto" w:sz="4" w:space="0"/>
            </w:tcBorders>
            <w:vAlign w:val="center"/>
          </w:tcPr>
          <w:p>
            <w:pPr>
              <w:spacing w:line="400" w:lineRule="exact"/>
              <w:rPr>
                <w:rFonts w:ascii="宋体" w:hAnsi="宋体" w:cs="Arial"/>
                <w:color w:val="000000"/>
                <w:highlight w:val="none"/>
              </w:rPr>
            </w:pPr>
          </w:p>
        </w:tc>
        <w:tc>
          <w:tcPr>
            <w:tcW w:w="1614" w:type="dxa"/>
            <w:gridSpan w:val="2"/>
            <w:tcBorders>
              <w:left w:val="single" w:color="auto" w:sz="4" w:space="0"/>
              <w:right w:val="single" w:color="auto" w:sz="4" w:space="0"/>
            </w:tcBorders>
            <w:vAlign w:val="center"/>
          </w:tcPr>
          <w:p>
            <w:pPr>
              <w:spacing w:line="400" w:lineRule="exact"/>
              <w:rPr>
                <w:rFonts w:ascii="宋体" w:hAnsi="宋体" w:cs="Arial"/>
                <w:color w:val="000000"/>
                <w:highlight w:val="none"/>
              </w:rPr>
            </w:pPr>
          </w:p>
        </w:tc>
        <w:tc>
          <w:tcPr>
            <w:tcW w:w="1387" w:type="dxa"/>
            <w:gridSpan w:val="2"/>
            <w:tcBorders>
              <w:left w:val="single" w:color="auto" w:sz="4" w:space="0"/>
            </w:tcBorders>
            <w:vAlign w:val="center"/>
          </w:tcPr>
          <w:p>
            <w:pPr>
              <w:spacing w:line="400" w:lineRule="exact"/>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highlight w:val="none"/>
              </w:rPr>
            </w:pPr>
          </w:p>
        </w:tc>
        <w:tc>
          <w:tcPr>
            <w:tcW w:w="1439" w:type="dxa"/>
            <w:vAlign w:val="center"/>
          </w:tcPr>
          <w:p>
            <w:pPr>
              <w:spacing w:line="400" w:lineRule="exact"/>
              <w:jc w:val="center"/>
              <w:rPr>
                <w:rFonts w:ascii="宋体" w:hAnsi="宋体" w:cs="Arial"/>
                <w:color w:val="000000"/>
                <w:highlight w:val="none"/>
              </w:rPr>
            </w:pPr>
          </w:p>
        </w:tc>
        <w:tc>
          <w:tcPr>
            <w:tcW w:w="1319" w:type="dxa"/>
            <w:vAlign w:val="center"/>
          </w:tcPr>
          <w:p>
            <w:pPr>
              <w:spacing w:line="400" w:lineRule="exact"/>
              <w:jc w:val="center"/>
              <w:rPr>
                <w:rFonts w:ascii="宋体" w:hAnsi="宋体" w:cs="Arial"/>
                <w:color w:val="000000"/>
                <w:highlight w:val="none"/>
              </w:rPr>
            </w:pPr>
          </w:p>
        </w:tc>
        <w:tc>
          <w:tcPr>
            <w:tcW w:w="1160" w:type="dxa"/>
            <w:vAlign w:val="center"/>
          </w:tcPr>
          <w:p>
            <w:pPr>
              <w:spacing w:line="400" w:lineRule="exact"/>
              <w:jc w:val="center"/>
              <w:rPr>
                <w:rFonts w:ascii="宋体" w:hAnsi="宋体" w:cs="Arial"/>
                <w:color w:val="000000"/>
                <w:highlight w:val="none"/>
              </w:rPr>
            </w:pPr>
          </w:p>
        </w:tc>
        <w:tc>
          <w:tcPr>
            <w:tcW w:w="1421" w:type="dxa"/>
            <w:gridSpan w:val="2"/>
            <w:tcBorders>
              <w:right w:val="single" w:color="auto" w:sz="4" w:space="0"/>
            </w:tcBorders>
            <w:vAlign w:val="center"/>
          </w:tcPr>
          <w:p>
            <w:pPr>
              <w:spacing w:line="400" w:lineRule="exact"/>
              <w:jc w:val="center"/>
              <w:rPr>
                <w:rFonts w:ascii="宋体" w:hAnsi="宋体" w:cs="Arial"/>
                <w:color w:val="000000"/>
                <w:highlight w:val="none"/>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lef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highlight w:val="none"/>
              </w:rPr>
            </w:pPr>
          </w:p>
        </w:tc>
        <w:tc>
          <w:tcPr>
            <w:tcW w:w="1439" w:type="dxa"/>
            <w:vAlign w:val="center"/>
          </w:tcPr>
          <w:p>
            <w:pPr>
              <w:spacing w:line="400" w:lineRule="exact"/>
              <w:jc w:val="center"/>
              <w:rPr>
                <w:rFonts w:ascii="宋体" w:hAnsi="宋体" w:cs="Arial"/>
                <w:color w:val="000000"/>
                <w:highlight w:val="none"/>
              </w:rPr>
            </w:pPr>
          </w:p>
        </w:tc>
        <w:tc>
          <w:tcPr>
            <w:tcW w:w="1319" w:type="dxa"/>
            <w:vAlign w:val="center"/>
          </w:tcPr>
          <w:p>
            <w:pPr>
              <w:spacing w:line="400" w:lineRule="exact"/>
              <w:jc w:val="center"/>
              <w:rPr>
                <w:rFonts w:ascii="宋体" w:hAnsi="宋体" w:cs="Arial"/>
                <w:color w:val="000000"/>
                <w:highlight w:val="none"/>
              </w:rPr>
            </w:pPr>
          </w:p>
        </w:tc>
        <w:tc>
          <w:tcPr>
            <w:tcW w:w="1160" w:type="dxa"/>
            <w:vAlign w:val="center"/>
          </w:tcPr>
          <w:p>
            <w:pPr>
              <w:spacing w:line="400" w:lineRule="exact"/>
              <w:jc w:val="center"/>
              <w:rPr>
                <w:rFonts w:ascii="宋体" w:hAnsi="宋体" w:cs="Arial"/>
                <w:color w:val="000000"/>
                <w:highlight w:val="none"/>
              </w:rPr>
            </w:pPr>
          </w:p>
        </w:tc>
        <w:tc>
          <w:tcPr>
            <w:tcW w:w="1421" w:type="dxa"/>
            <w:gridSpan w:val="2"/>
            <w:tcBorders>
              <w:right w:val="single" w:color="auto" w:sz="4" w:space="0"/>
            </w:tcBorders>
            <w:vAlign w:val="center"/>
          </w:tcPr>
          <w:p>
            <w:pPr>
              <w:spacing w:line="400" w:lineRule="exact"/>
              <w:jc w:val="center"/>
              <w:rPr>
                <w:rFonts w:ascii="宋体" w:hAnsi="宋体" w:cs="Arial"/>
                <w:color w:val="000000"/>
                <w:highlight w:val="none"/>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lef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宋体" w:hAnsi="宋体" w:cs="Arial"/>
                <w:color w:val="000000"/>
                <w:highlight w:val="none"/>
              </w:rPr>
            </w:pPr>
          </w:p>
        </w:tc>
        <w:tc>
          <w:tcPr>
            <w:tcW w:w="1439" w:type="dxa"/>
            <w:tcBorders>
              <w:bottom w:val="single" w:color="auto" w:sz="4" w:space="0"/>
            </w:tcBorders>
            <w:vAlign w:val="center"/>
          </w:tcPr>
          <w:p>
            <w:pPr>
              <w:spacing w:line="400" w:lineRule="exact"/>
              <w:jc w:val="center"/>
              <w:rPr>
                <w:rFonts w:ascii="宋体" w:hAnsi="宋体" w:cs="Arial"/>
                <w:color w:val="000000"/>
                <w:highlight w:val="none"/>
              </w:rPr>
            </w:pPr>
          </w:p>
        </w:tc>
        <w:tc>
          <w:tcPr>
            <w:tcW w:w="1319" w:type="dxa"/>
            <w:tcBorders>
              <w:bottom w:val="single" w:color="auto" w:sz="4" w:space="0"/>
            </w:tcBorders>
            <w:vAlign w:val="center"/>
          </w:tcPr>
          <w:p>
            <w:pPr>
              <w:spacing w:line="400" w:lineRule="exact"/>
              <w:jc w:val="center"/>
              <w:rPr>
                <w:rFonts w:ascii="宋体" w:hAnsi="宋体" w:cs="Arial"/>
                <w:color w:val="000000"/>
                <w:highlight w:val="none"/>
              </w:rPr>
            </w:pPr>
          </w:p>
        </w:tc>
        <w:tc>
          <w:tcPr>
            <w:tcW w:w="1160" w:type="dxa"/>
            <w:tcBorders>
              <w:bottom w:val="single" w:color="auto" w:sz="4" w:space="0"/>
            </w:tcBorders>
            <w:vAlign w:val="center"/>
          </w:tcPr>
          <w:p>
            <w:pPr>
              <w:spacing w:line="400" w:lineRule="exact"/>
              <w:jc w:val="center"/>
              <w:rPr>
                <w:rFonts w:ascii="宋体" w:hAnsi="宋体" w:cs="Arial"/>
                <w:color w:val="000000"/>
                <w:highlight w:val="none"/>
              </w:rPr>
            </w:pPr>
          </w:p>
        </w:tc>
        <w:tc>
          <w:tcPr>
            <w:tcW w:w="1421" w:type="dxa"/>
            <w:gridSpan w:val="2"/>
            <w:tcBorders>
              <w:bottom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left w:val="single" w:color="auto" w:sz="4" w:space="0"/>
              <w:bottom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color w:val="000000"/>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宋体" w:hAnsi="宋体" w:cs="Arial"/>
                <w:color w:val="000000"/>
                <w:highlight w:val="none"/>
              </w:rPr>
            </w:pPr>
          </w:p>
        </w:tc>
        <w:tc>
          <w:tcPr>
            <w:tcW w:w="1439" w:type="dxa"/>
            <w:tcBorders>
              <w:top w:val="single" w:color="auto" w:sz="4" w:space="0"/>
            </w:tcBorders>
            <w:vAlign w:val="center"/>
          </w:tcPr>
          <w:p>
            <w:pPr>
              <w:spacing w:line="400" w:lineRule="exact"/>
              <w:jc w:val="center"/>
              <w:rPr>
                <w:rFonts w:ascii="宋体" w:hAnsi="宋体" w:cs="Arial"/>
                <w:color w:val="000000"/>
                <w:highlight w:val="none"/>
              </w:rPr>
            </w:pPr>
          </w:p>
        </w:tc>
        <w:tc>
          <w:tcPr>
            <w:tcW w:w="1319" w:type="dxa"/>
            <w:tcBorders>
              <w:top w:val="single" w:color="auto" w:sz="4" w:space="0"/>
            </w:tcBorders>
            <w:vAlign w:val="center"/>
          </w:tcPr>
          <w:p>
            <w:pPr>
              <w:spacing w:line="400" w:lineRule="exact"/>
              <w:jc w:val="center"/>
              <w:rPr>
                <w:rFonts w:ascii="宋体" w:hAnsi="宋体" w:cs="Arial"/>
                <w:color w:val="000000"/>
                <w:highlight w:val="none"/>
              </w:rPr>
            </w:pPr>
          </w:p>
        </w:tc>
        <w:tc>
          <w:tcPr>
            <w:tcW w:w="1160" w:type="dxa"/>
            <w:tcBorders>
              <w:top w:val="single" w:color="auto" w:sz="4" w:space="0"/>
            </w:tcBorders>
            <w:vAlign w:val="center"/>
          </w:tcPr>
          <w:p>
            <w:pPr>
              <w:spacing w:line="400" w:lineRule="exact"/>
              <w:jc w:val="center"/>
              <w:rPr>
                <w:rFonts w:ascii="宋体" w:hAnsi="宋体" w:cs="Arial"/>
                <w:color w:val="000000"/>
                <w:highlight w:val="none"/>
              </w:rPr>
            </w:pPr>
          </w:p>
        </w:tc>
        <w:tc>
          <w:tcPr>
            <w:tcW w:w="1421" w:type="dxa"/>
            <w:gridSpan w:val="2"/>
            <w:tcBorders>
              <w:top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宋体" w:hAnsi="宋体" w:cs="Arial"/>
                <w:color w:val="000000"/>
                <w:highlight w:val="none"/>
              </w:rPr>
            </w:pPr>
          </w:p>
        </w:tc>
        <w:tc>
          <w:tcPr>
            <w:tcW w:w="1387" w:type="dxa"/>
            <w:gridSpan w:val="2"/>
            <w:tcBorders>
              <w:top w:val="single" w:color="auto" w:sz="4" w:space="0"/>
              <w:left w:val="single" w:color="auto" w:sz="4" w:space="0"/>
            </w:tcBorders>
            <w:vAlign w:val="center"/>
          </w:tcPr>
          <w:p>
            <w:pPr>
              <w:spacing w:line="400" w:lineRule="exact"/>
              <w:jc w:val="center"/>
              <w:rPr>
                <w:rFonts w:ascii="宋体" w:hAnsi="宋体" w:cs="Arial"/>
                <w:color w:val="000000"/>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sz w:val="24"/>
          <w:highlight w:val="none"/>
        </w:rPr>
      </w:pPr>
      <w:r>
        <w:rPr>
          <w:rFonts w:hint="eastAsia" w:ascii="宋体" w:hAnsi="宋体" w:cs="Arial"/>
          <w:sz w:val="24"/>
          <w:highlight w:val="none"/>
        </w:rPr>
        <w:t>注：供应商（仅限于供应商自己的）以上业绩需提供有关书面证明材料。“合同金额”需提供合同复印件；</w:t>
      </w:r>
    </w:p>
    <w:p>
      <w:pPr>
        <w:spacing w:line="400" w:lineRule="exact"/>
        <w:ind w:left="360"/>
        <w:jc w:val="center"/>
        <w:rPr>
          <w:rFonts w:ascii="宋体" w:hAnsi="宋体" w:cs="Arial"/>
          <w:color w:val="000000"/>
          <w:sz w:val="24"/>
          <w:highlight w:val="none"/>
        </w:rPr>
      </w:pPr>
    </w:p>
    <w:p>
      <w:pPr>
        <w:jc w:val="left"/>
        <w:rPr>
          <w:rFonts w:ascii="宋体" w:hAnsi="宋体" w:cs="Arial"/>
          <w:color w:val="000000"/>
          <w:highlight w:val="none"/>
        </w:rPr>
      </w:pPr>
    </w:p>
    <w:p>
      <w:pPr>
        <w:ind w:firstLine="480" w:firstLineChars="200"/>
        <w:jc w:val="left"/>
        <w:rPr>
          <w:rFonts w:ascii="宋体" w:hAnsi="宋体"/>
          <w:color w:val="000000"/>
          <w:sz w:val="24"/>
          <w:highlight w:val="none"/>
        </w:rPr>
      </w:pPr>
      <w:r>
        <w:rPr>
          <w:rFonts w:hint="eastAsia" w:ascii="宋体" w:hAnsi="宋体"/>
          <w:color w:val="000000"/>
          <w:sz w:val="24"/>
          <w:highlight w:val="none"/>
        </w:rPr>
        <w:t>供应商名称：XXXX（盖单位公章）</w:t>
      </w:r>
    </w:p>
    <w:p>
      <w:pPr>
        <w:ind w:firstLine="480" w:firstLineChars="200"/>
        <w:jc w:val="left"/>
        <w:rPr>
          <w:rFonts w:ascii="宋体" w:hAnsi="宋体"/>
          <w:color w:val="000000"/>
          <w:sz w:val="24"/>
          <w:highlight w:val="none"/>
        </w:rPr>
      </w:pPr>
      <w:r>
        <w:rPr>
          <w:rFonts w:hint="eastAsia" w:ascii="宋体" w:hAnsi="宋体"/>
          <w:color w:val="000000"/>
          <w:sz w:val="24"/>
          <w:highlight w:val="none"/>
        </w:rPr>
        <w:t>法定代表人或授权代表（签字）：XXXX</w:t>
      </w:r>
    </w:p>
    <w:p>
      <w:pPr>
        <w:ind w:firstLine="480" w:firstLineChars="200"/>
        <w:jc w:val="left"/>
        <w:rPr>
          <w:rFonts w:ascii="宋体" w:hAnsi="宋体"/>
          <w:color w:val="000000"/>
          <w:sz w:val="24"/>
          <w:highlight w:val="none"/>
        </w:rPr>
      </w:pPr>
      <w:r>
        <w:rPr>
          <w:rFonts w:hint="eastAsia" w:ascii="宋体" w:hAnsi="宋体"/>
          <w:color w:val="000000"/>
          <w:sz w:val="24"/>
          <w:highlight w:val="none"/>
        </w:rPr>
        <w:t>日期: XXXX</w:t>
      </w:r>
    </w:p>
    <w:p>
      <w:pPr>
        <w:jc w:val="left"/>
        <w:rPr>
          <w:rFonts w:ascii="宋体" w:hAnsi="宋体"/>
          <w:color w:val="000000"/>
          <w:sz w:val="24"/>
          <w:highlight w:val="none"/>
        </w:rPr>
      </w:pPr>
    </w:p>
    <w:p>
      <w:pPr>
        <w:pStyle w:val="4"/>
        <w:keepNext w:val="0"/>
        <w:keepLines w:val="0"/>
        <w:spacing w:line="400" w:lineRule="exact"/>
        <w:jc w:val="center"/>
        <w:rPr>
          <w:rFonts w:ascii="黑体" w:hAnsi="宋体"/>
          <w:color w:val="000000"/>
          <w:szCs w:val="28"/>
          <w:highlight w:val="none"/>
        </w:rPr>
      </w:pPr>
      <w:bookmarkStart w:id="83" w:name="_Toc436385992"/>
      <w:bookmarkStart w:id="84" w:name="_Toc436820890"/>
      <w:bookmarkStart w:id="85" w:name="_Toc436410129"/>
      <w:bookmarkStart w:id="86" w:name="_Toc436404120"/>
      <w:bookmarkStart w:id="87" w:name="_Toc307564880"/>
    </w:p>
    <w:bookmarkEnd w:id="83"/>
    <w:bookmarkEnd w:id="84"/>
    <w:bookmarkEnd w:id="85"/>
    <w:bookmarkEnd w:id="86"/>
    <w:bookmarkEnd w:id="87"/>
    <w:p>
      <w:pPr>
        <w:rPr>
          <w:sz w:val="32"/>
          <w:szCs w:val="32"/>
          <w:highlight w:val="none"/>
        </w:rPr>
      </w:pPr>
    </w:p>
    <w:p>
      <w:pPr>
        <w:rPr>
          <w:sz w:val="32"/>
          <w:szCs w:val="32"/>
          <w:highlight w:val="none"/>
        </w:rPr>
      </w:pPr>
    </w:p>
    <w:p>
      <w:pPr>
        <w:pStyle w:val="8"/>
        <w:rPr>
          <w:highlight w:val="none"/>
        </w:rPr>
      </w:pPr>
    </w:p>
    <w:p>
      <w:pPr>
        <w:pageBreakBefore/>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lang w:eastAsia="zh-CN"/>
        </w:rPr>
        <w:t>十</w:t>
      </w:r>
      <w:r>
        <w:rPr>
          <w:rFonts w:hint="eastAsia" w:ascii="宋体" w:hAnsi="宋体" w:cs="Arial"/>
          <w:b/>
          <w:bCs/>
          <w:color w:val="000000"/>
          <w:sz w:val="32"/>
          <w:szCs w:val="32"/>
          <w:highlight w:val="none"/>
        </w:rPr>
        <w:t>、供应商本项目管理、技术、服务人员情况表</w:t>
      </w:r>
    </w:p>
    <w:p>
      <w:pPr>
        <w:rPr>
          <w:sz w:val="32"/>
          <w:szCs w:val="32"/>
          <w:highlight w:val="none"/>
        </w:rPr>
      </w:pPr>
    </w:p>
    <w:p>
      <w:pPr>
        <w:rPr>
          <w:sz w:val="24"/>
          <w:highlight w:val="none"/>
        </w:rPr>
      </w:pPr>
      <w:r>
        <w:rPr>
          <w:rFonts w:hint="eastAsia"/>
          <w:sz w:val="24"/>
          <w:highlight w:val="none"/>
        </w:rPr>
        <w:t>采购编号：</w:t>
      </w:r>
    </w:p>
    <w:tbl>
      <w:tblPr>
        <w:tblStyle w:val="27"/>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1"/>
        <w:gridCol w:w="1031"/>
        <w:gridCol w:w="1031"/>
        <w:gridCol w:w="1031"/>
        <w:gridCol w:w="1031"/>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30" w:type="dxa"/>
            <w:vMerge w:val="restart"/>
            <w:vAlign w:val="center"/>
          </w:tcPr>
          <w:p>
            <w:pPr>
              <w:jc w:val="center"/>
              <w:rPr>
                <w:sz w:val="24"/>
                <w:highlight w:val="none"/>
              </w:rPr>
            </w:pPr>
            <w:r>
              <w:rPr>
                <w:rFonts w:hint="eastAsia"/>
                <w:sz w:val="24"/>
                <w:highlight w:val="none"/>
              </w:rPr>
              <w:t>类别</w:t>
            </w:r>
          </w:p>
        </w:tc>
        <w:tc>
          <w:tcPr>
            <w:tcW w:w="1031" w:type="dxa"/>
            <w:vMerge w:val="restart"/>
            <w:vAlign w:val="center"/>
          </w:tcPr>
          <w:p>
            <w:pPr>
              <w:jc w:val="center"/>
              <w:rPr>
                <w:sz w:val="24"/>
                <w:highlight w:val="none"/>
              </w:rPr>
            </w:pPr>
            <w:r>
              <w:rPr>
                <w:rFonts w:hint="eastAsia"/>
                <w:sz w:val="24"/>
                <w:highlight w:val="none"/>
              </w:rPr>
              <w:t>职务</w:t>
            </w:r>
          </w:p>
        </w:tc>
        <w:tc>
          <w:tcPr>
            <w:tcW w:w="1031" w:type="dxa"/>
            <w:vMerge w:val="restart"/>
            <w:vAlign w:val="center"/>
          </w:tcPr>
          <w:p>
            <w:pPr>
              <w:jc w:val="center"/>
              <w:rPr>
                <w:sz w:val="24"/>
                <w:highlight w:val="none"/>
              </w:rPr>
            </w:pPr>
            <w:r>
              <w:rPr>
                <w:rFonts w:hint="eastAsia"/>
                <w:sz w:val="24"/>
                <w:highlight w:val="none"/>
              </w:rPr>
              <w:t>姓名</w:t>
            </w:r>
          </w:p>
        </w:tc>
        <w:tc>
          <w:tcPr>
            <w:tcW w:w="1031" w:type="dxa"/>
            <w:vMerge w:val="restart"/>
            <w:vAlign w:val="center"/>
          </w:tcPr>
          <w:p>
            <w:pPr>
              <w:jc w:val="center"/>
              <w:rPr>
                <w:sz w:val="24"/>
                <w:highlight w:val="none"/>
              </w:rPr>
            </w:pPr>
            <w:r>
              <w:rPr>
                <w:rFonts w:hint="eastAsia"/>
                <w:sz w:val="24"/>
                <w:highlight w:val="none"/>
              </w:rPr>
              <w:t>职称</w:t>
            </w:r>
          </w:p>
        </w:tc>
        <w:tc>
          <w:tcPr>
            <w:tcW w:w="1031" w:type="dxa"/>
            <w:vMerge w:val="restart"/>
            <w:vAlign w:val="center"/>
          </w:tcPr>
          <w:p>
            <w:pPr>
              <w:jc w:val="center"/>
              <w:rPr>
                <w:sz w:val="24"/>
                <w:highlight w:val="none"/>
              </w:rPr>
            </w:pPr>
            <w:r>
              <w:rPr>
                <w:rFonts w:hint="eastAsia"/>
                <w:sz w:val="24"/>
                <w:highlight w:val="none"/>
              </w:rPr>
              <w:t>常住地</w:t>
            </w:r>
          </w:p>
        </w:tc>
        <w:tc>
          <w:tcPr>
            <w:tcW w:w="4124" w:type="dxa"/>
            <w:gridSpan w:val="4"/>
            <w:vAlign w:val="center"/>
          </w:tcPr>
          <w:p>
            <w:pPr>
              <w:jc w:val="center"/>
              <w:rPr>
                <w:sz w:val="24"/>
                <w:highlight w:val="none"/>
              </w:rPr>
            </w:pPr>
            <w:r>
              <w:rPr>
                <w:rFonts w:hint="eastAsia"/>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030" w:type="dxa"/>
            <w:vMerge w:val="continue"/>
            <w:vAlign w:val="center"/>
          </w:tcPr>
          <w:p>
            <w:pPr>
              <w:jc w:val="center"/>
              <w:rPr>
                <w:sz w:val="24"/>
                <w:highlight w:val="none"/>
              </w:rPr>
            </w:pPr>
          </w:p>
        </w:tc>
        <w:tc>
          <w:tcPr>
            <w:tcW w:w="1031" w:type="dxa"/>
            <w:vMerge w:val="continue"/>
            <w:vAlign w:val="center"/>
          </w:tcPr>
          <w:p>
            <w:pPr>
              <w:jc w:val="center"/>
              <w:rPr>
                <w:sz w:val="24"/>
                <w:highlight w:val="none"/>
              </w:rPr>
            </w:pPr>
          </w:p>
        </w:tc>
        <w:tc>
          <w:tcPr>
            <w:tcW w:w="1031" w:type="dxa"/>
            <w:vMerge w:val="continue"/>
            <w:vAlign w:val="center"/>
          </w:tcPr>
          <w:p>
            <w:pPr>
              <w:jc w:val="center"/>
              <w:rPr>
                <w:sz w:val="24"/>
                <w:highlight w:val="none"/>
              </w:rPr>
            </w:pPr>
          </w:p>
        </w:tc>
        <w:tc>
          <w:tcPr>
            <w:tcW w:w="1031" w:type="dxa"/>
            <w:vMerge w:val="continue"/>
            <w:vAlign w:val="center"/>
          </w:tcPr>
          <w:p>
            <w:pPr>
              <w:jc w:val="center"/>
              <w:rPr>
                <w:sz w:val="24"/>
                <w:highlight w:val="none"/>
              </w:rPr>
            </w:pPr>
          </w:p>
        </w:tc>
        <w:tc>
          <w:tcPr>
            <w:tcW w:w="1031" w:type="dxa"/>
            <w:vMerge w:val="continue"/>
            <w:vAlign w:val="center"/>
          </w:tcPr>
          <w:p>
            <w:pPr>
              <w:jc w:val="center"/>
              <w:rPr>
                <w:sz w:val="24"/>
                <w:highlight w:val="none"/>
              </w:rPr>
            </w:pPr>
          </w:p>
        </w:tc>
        <w:tc>
          <w:tcPr>
            <w:tcW w:w="1031" w:type="dxa"/>
            <w:vAlign w:val="center"/>
          </w:tcPr>
          <w:p>
            <w:pPr>
              <w:jc w:val="center"/>
              <w:rPr>
                <w:sz w:val="24"/>
                <w:highlight w:val="none"/>
              </w:rPr>
            </w:pPr>
            <w:r>
              <w:rPr>
                <w:rFonts w:hint="eastAsia"/>
                <w:sz w:val="24"/>
                <w:highlight w:val="none"/>
              </w:rPr>
              <w:t>证书</w:t>
            </w:r>
          </w:p>
          <w:p>
            <w:pPr>
              <w:jc w:val="center"/>
              <w:rPr>
                <w:sz w:val="24"/>
                <w:highlight w:val="none"/>
              </w:rPr>
            </w:pPr>
            <w:r>
              <w:rPr>
                <w:rFonts w:hint="eastAsia"/>
                <w:sz w:val="24"/>
                <w:highlight w:val="none"/>
              </w:rPr>
              <w:t>名称</w:t>
            </w:r>
          </w:p>
        </w:tc>
        <w:tc>
          <w:tcPr>
            <w:tcW w:w="1031" w:type="dxa"/>
            <w:vAlign w:val="center"/>
          </w:tcPr>
          <w:p>
            <w:pPr>
              <w:jc w:val="center"/>
              <w:rPr>
                <w:sz w:val="24"/>
                <w:highlight w:val="none"/>
              </w:rPr>
            </w:pPr>
            <w:r>
              <w:rPr>
                <w:rFonts w:hint="eastAsia"/>
                <w:sz w:val="24"/>
                <w:highlight w:val="none"/>
              </w:rPr>
              <w:t>级别</w:t>
            </w:r>
          </w:p>
        </w:tc>
        <w:tc>
          <w:tcPr>
            <w:tcW w:w="1031" w:type="dxa"/>
            <w:vAlign w:val="center"/>
          </w:tcPr>
          <w:p>
            <w:pPr>
              <w:jc w:val="center"/>
              <w:rPr>
                <w:sz w:val="24"/>
                <w:highlight w:val="none"/>
              </w:rPr>
            </w:pPr>
            <w:r>
              <w:rPr>
                <w:rFonts w:hint="eastAsia"/>
                <w:sz w:val="24"/>
                <w:highlight w:val="none"/>
              </w:rPr>
              <w:t>证号</w:t>
            </w:r>
          </w:p>
        </w:tc>
        <w:tc>
          <w:tcPr>
            <w:tcW w:w="1031" w:type="dxa"/>
            <w:vAlign w:val="center"/>
          </w:tcPr>
          <w:p>
            <w:pPr>
              <w:jc w:val="center"/>
              <w:rPr>
                <w:sz w:val="24"/>
                <w:highlight w:val="none"/>
              </w:rPr>
            </w:pPr>
            <w:r>
              <w:rPr>
                <w:rFonts w:hint="eastAsia"/>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30" w:type="dxa"/>
            <w:vMerge w:val="restart"/>
            <w:vAlign w:val="center"/>
          </w:tcPr>
          <w:p>
            <w:pPr>
              <w:jc w:val="center"/>
              <w:rPr>
                <w:sz w:val="24"/>
                <w:highlight w:val="none"/>
              </w:rPr>
            </w:pPr>
            <w:r>
              <w:rPr>
                <w:rFonts w:hint="eastAsia"/>
                <w:sz w:val="24"/>
                <w:highlight w:val="none"/>
              </w:rPr>
              <w:t>管理</w:t>
            </w:r>
          </w:p>
          <w:p>
            <w:pPr>
              <w:jc w:val="center"/>
              <w:rPr>
                <w:sz w:val="24"/>
                <w:highlight w:val="none"/>
              </w:rPr>
            </w:pPr>
            <w:r>
              <w:rPr>
                <w:rFonts w:hint="eastAsia"/>
                <w:sz w:val="24"/>
                <w:highlight w:val="none"/>
              </w:rPr>
              <w:t>人员</w:t>
            </w: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30" w:type="dxa"/>
            <w:vMerge w:val="continue"/>
            <w:vAlign w:val="center"/>
          </w:tcPr>
          <w:p>
            <w:pPr>
              <w:jc w:val="cente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30" w:type="dxa"/>
            <w:vMerge w:val="continue"/>
            <w:vAlign w:val="center"/>
          </w:tcPr>
          <w:p>
            <w:pPr>
              <w:jc w:val="cente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30" w:type="dxa"/>
            <w:vMerge w:val="restart"/>
            <w:vAlign w:val="center"/>
          </w:tcPr>
          <w:p>
            <w:pPr>
              <w:jc w:val="center"/>
              <w:rPr>
                <w:sz w:val="24"/>
                <w:highlight w:val="none"/>
              </w:rPr>
            </w:pPr>
            <w:r>
              <w:rPr>
                <w:rFonts w:hint="eastAsia"/>
                <w:sz w:val="24"/>
                <w:highlight w:val="none"/>
              </w:rPr>
              <w:t>技术</w:t>
            </w:r>
          </w:p>
          <w:p>
            <w:pPr>
              <w:jc w:val="center"/>
              <w:rPr>
                <w:sz w:val="24"/>
                <w:highlight w:val="none"/>
              </w:rPr>
            </w:pPr>
            <w:r>
              <w:rPr>
                <w:rFonts w:hint="eastAsia"/>
                <w:sz w:val="24"/>
                <w:highlight w:val="none"/>
              </w:rPr>
              <w:t>人员</w:t>
            </w: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30" w:type="dxa"/>
            <w:vMerge w:val="continue"/>
            <w:vAlign w:val="center"/>
          </w:tcPr>
          <w:p>
            <w:pPr>
              <w:jc w:val="cente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30" w:type="dxa"/>
            <w:vMerge w:val="continue"/>
            <w:vAlign w:val="center"/>
          </w:tcPr>
          <w:p>
            <w:pPr>
              <w:jc w:val="cente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30" w:type="dxa"/>
            <w:vMerge w:val="restart"/>
            <w:vAlign w:val="center"/>
          </w:tcPr>
          <w:p>
            <w:pPr>
              <w:jc w:val="center"/>
              <w:rPr>
                <w:sz w:val="24"/>
                <w:highlight w:val="none"/>
              </w:rPr>
            </w:pPr>
            <w:r>
              <w:rPr>
                <w:rFonts w:hint="eastAsia"/>
                <w:sz w:val="24"/>
                <w:highlight w:val="none"/>
              </w:rPr>
              <w:t>服务</w:t>
            </w:r>
          </w:p>
          <w:p>
            <w:pPr>
              <w:jc w:val="center"/>
              <w:rPr>
                <w:sz w:val="24"/>
                <w:highlight w:val="none"/>
              </w:rPr>
            </w:pPr>
            <w:r>
              <w:rPr>
                <w:rFonts w:hint="eastAsia"/>
                <w:sz w:val="24"/>
                <w:highlight w:val="none"/>
              </w:rPr>
              <w:t>人员</w:t>
            </w: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30" w:type="dxa"/>
            <w:vMerge w:val="continue"/>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30" w:type="dxa"/>
            <w:vMerge w:val="continue"/>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c>
          <w:tcPr>
            <w:tcW w:w="1031" w:type="dxa"/>
          </w:tcPr>
          <w:p>
            <w:pPr>
              <w:rPr>
                <w:sz w:val="24"/>
                <w:highlight w:val="none"/>
              </w:rPr>
            </w:pPr>
          </w:p>
        </w:tc>
      </w:tr>
    </w:tbl>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sz w:val="24"/>
          <w:highlight w:val="none"/>
        </w:rPr>
      </w:pPr>
      <w:r>
        <w:rPr>
          <w:rFonts w:hint="eastAsia"/>
          <w:sz w:val="24"/>
          <w:highlight w:val="none"/>
        </w:rPr>
        <w:t>供应商名称：XXX（盖单位公章）</w:t>
      </w:r>
    </w:p>
    <w:p>
      <w:pPr>
        <w:rPr>
          <w:sz w:val="24"/>
          <w:highlight w:val="none"/>
        </w:rPr>
      </w:pPr>
      <w:r>
        <w:rPr>
          <w:rFonts w:hint="eastAsia"/>
          <w:sz w:val="24"/>
          <w:highlight w:val="none"/>
        </w:rPr>
        <w:t>法定代表人或授权代表（签字）：XXX</w:t>
      </w:r>
    </w:p>
    <w:p>
      <w:pPr>
        <w:rPr>
          <w:sz w:val="24"/>
          <w:highlight w:val="none"/>
        </w:rPr>
      </w:pPr>
      <w:r>
        <w:rPr>
          <w:rFonts w:hint="eastAsia"/>
          <w:sz w:val="24"/>
          <w:highlight w:val="none"/>
        </w:rPr>
        <w:t>日      期</w:t>
      </w:r>
      <w:r>
        <w:rPr>
          <w:rFonts w:hint="eastAsia" w:ascii="宋体" w:hAnsi="宋体"/>
          <w:color w:val="000000"/>
          <w:sz w:val="24"/>
          <w:highlight w:val="none"/>
        </w:rPr>
        <w:t>：</w:t>
      </w:r>
      <w:r>
        <w:rPr>
          <w:rFonts w:hint="eastAsia"/>
          <w:sz w:val="24"/>
          <w:highlight w:val="none"/>
        </w:rPr>
        <w:t>XXX</w:t>
      </w:r>
    </w:p>
    <w:p>
      <w:pPr>
        <w:rPr>
          <w:sz w:val="32"/>
          <w:szCs w:val="32"/>
          <w:highlight w:val="none"/>
        </w:rPr>
      </w:pPr>
    </w:p>
    <w:p>
      <w:pPr>
        <w:rPr>
          <w:sz w:val="32"/>
          <w:szCs w:val="32"/>
          <w:highlight w:val="none"/>
        </w:rPr>
      </w:pPr>
    </w:p>
    <w:p>
      <w:pPr>
        <w:pStyle w:val="8"/>
        <w:rPr>
          <w:highlight w:val="none"/>
        </w:rPr>
      </w:pPr>
    </w:p>
    <w:p>
      <w:pPr>
        <w:rPr>
          <w:sz w:val="32"/>
          <w:szCs w:val="32"/>
          <w:highlight w:val="none"/>
        </w:rPr>
      </w:pPr>
    </w:p>
    <w:p>
      <w:pPr>
        <w:jc w:val="center"/>
        <w:rPr>
          <w:rFonts w:hint="eastAsia" w:ascii="宋体" w:hAnsi="宋体" w:eastAsia="宋体" w:cs="Arial"/>
          <w:b/>
          <w:bCs/>
          <w:color w:val="000000"/>
          <w:sz w:val="32"/>
          <w:szCs w:val="32"/>
          <w:highlight w:val="none"/>
          <w:lang w:eastAsia="zh-CN"/>
        </w:rPr>
      </w:pPr>
      <w:r>
        <w:rPr>
          <w:rFonts w:hint="eastAsia" w:ascii="宋体" w:hAnsi="宋体" w:cs="Arial"/>
          <w:b/>
          <w:bCs/>
          <w:color w:val="000000"/>
          <w:sz w:val="32"/>
          <w:szCs w:val="32"/>
          <w:highlight w:val="none"/>
        </w:rPr>
        <w:t>十</w:t>
      </w:r>
      <w:r>
        <w:rPr>
          <w:rFonts w:hint="eastAsia" w:ascii="宋体" w:hAnsi="宋体" w:cs="Arial"/>
          <w:b/>
          <w:bCs/>
          <w:color w:val="000000"/>
          <w:sz w:val="32"/>
          <w:szCs w:val="32"/>
          <w:highlight w:val="none"/>
          <w:lang w:eastAsia="zh-CN"/>
        </w:rPr>
        <w:t>一</w:t>
      </w:r>
      <w:r>
        <w:rPr>
          <w:rFonts w:hint="eastAsia" w:ascii="宋体" w:hAnsi="宋体" w:cs="Arial"/>
          <w:b/>
          <w:bCs/>
          <w:color w:val="000000"/>
          <w:sz w:val="32"/>
          <w:szCs w:val="32"/>
          <w:highlight w:val="none"/>
        </w:rPr>
        <w:t>、服务方案</w:t>
      </w:r>
      <w:r>
        <w:rPr>
          <w:rFonts w:hint="eastAsia" w:ascii="宋体" w:hAnsi="宋体" w:cs="Arial"/>
          <w:b/>
          <w:bCs/>
          <w:color w:val="000000"/>
          <w:sz w:val="32"/>
          <w:szCs w:val="32"/>
          <w:highlight w:val="none"/>
          <w:lang w:eastAsia="zh-CN"/>
        </w:rPr>
        <w:t>、售后服务方案</w:t>
      </w:r>
    </w:p>
    <w:p>
      <w:pPr>
        <w:pStyle w:val="8"/>
        <w:rPr>
          <w:highlight w:val="none"/>
        </w:rPr>
      </w:pPr>
    </w:p>
    <w:p>
      <w:pPr>
        <w:jc w:val="center"/>
        <w:rPr>
          <w:sz w:val="28"/>
          <w:szCs w:val="28"/>
          <w:highlight w:val="none"/>
        </w:rPr>
      </w:pPr>
      <w:r>
        <w:rPr>
          <w:rFonts w:hint="eastAsia"/>
          <w:sz w:val="28"/>
          <w:szCs w:val="28"/>
          <w:highlight w:val="none"/>
        </w:rPr>
        <w:t>（格式自拟）</w:t>
      </w:r>
    </w:p>
    <w:p>
      <w:pPr>
        <w:rPr>
          <w:sz w:val="32"/>
          <w:szCs w:val="32"/>
          <w:highlight w:val="none"/>
        </w:rPr>
      </w:pPr>
    </w:p>
    <w:p>
      <w:pPr>
        <w:jc w:val="center"/>
        <w:rPr>
          <w:rFonts w:ascii="宋体" w:hAnsi="宋体" w:cs="Arial"/>
          <w:b/>
          <w:bCs/>
          <w:color w:val="000000"/>
          <w:sz w:val="32"/>
          <w:szCs w:val="32"/>
          <w:highlight w:val="none"/>
        </w:rPr>
      </w:pPr>
    </w:p>
    <w:p>
      <w:pPr>
        <w:jc w:val="center"/>
        <w:rPr>
          <w:rFonts w:ascii="宋体" w:hAnsi="宋体" w:cs="Arial"/>
          <w:b/>
          <w:bCs/>
          <w:color w:val="000000"/>
          <w:sz w:val="32"/>
          <w:szCs w:val="32"/>
          <w:highlight w:val="none"/>
        </w:rPr>
      </w:pPr>
      <w:r>
        <w:rPr>
          <w:rFonts w:hint="eastAsia" w:ascii="宋体" w:hAnsi="宋体" w:cs="Arial"/>
          <w:b/>
          <w:bCs/>
          <w:color w:val="000000"/>
          <w:sz w:val="32"/>
          <w:szCs w:val="32"/>
          <w:highlight w:val="none"/>
        </w:rPr>
        <w:t>十</w:t>
      </w:r>
      <w:r>
        <w:rPr>
          <w:rFonts w:hint="eastAsia" w:ascii="宋体" w:hAnsi="宋体" w:cs="Arial"/>
          <w:b/>
          <w:bCs/>
          <w:color w:val="000000"/>
          <w:sz w:val="32"/>
          <w:szCs w:val="32"/>
          <w:highlight w:val="none"/>
          <w:lang w:eastAsia="zh-CN"/>
        </w:rPr>
        <w:t>二</w:t>
      </w:r>
      <w:r>
        <w:rPr>
          <w:rFonts w:hint="eastAsia" w:ascii="宋体" w:hAnsi="宋体" w:cs="Arial"/>
          <w:b/>
          <w:bCs/>
          <w:color w:val="000000"/>
          <w:sz w:val="32"/>
          <w:szCs w:val="32"/>
          <w:highlight w:val="none"/>
        </w:rPr>
        <w:t>、供应商认为需要提供的其他资料</w:t>
      </w:r>
    </w:p>
    <w:p>
      <w:pPr>
        <w:rPr>
          <w:sz w:val="24"/>
          <w:highlight w:val="none"/>
        </w:rPr>
      </w:pPr>
    </w:p>
    <w:p>
      <w:pPr>
        <w:jc w:val="center"/>
        <w:rPr>
          <w:sz w:val="28"/>
          <w:szCs w:val="28"/>
          <w:highlight w:val="none"/>
        </w:rPr>
      </w:pPr>
      <w:r>
        <w:rPr>
          <w:rFonts w:hint="eastAsia"/>
          <w:sz w:val="28"/>
          <w:szCs w:val="28"/>
          <w:highlight w:val="none"/>
        </w:rPr>
        <w:t>（格式自拟）</w:t>
      </w:r>
    </w:p>
    <w:p>
      <w:pPr>
        <w:pStyle w:val="8"/>
        <w:rPr>
          <w:highlight w:val="none"/>
        </w:rPr>
      </w:pPr>
    </w:p>
    <w:p>
      <w:pPr>
        <w:rPr>
          <w:highlight w:val="none"/>
        </w:rPr>
      </w:pPr>
    </w:p>
    <w:p>
      <w:pPr>
        <w:pStyle w:val="8"/>
        <w:rPr>
          <w:highlight w:val="none"/>
        </w:rPr>
      </w:pPr>
    </w:p>
    <w:p>
      <w:pPr>
        <w:rPr>
          <w:highlight w:val="none"/>
        </w:rPr>
        <w:sectPr>
          <w:footerReference r:id="rId11" w:type="default"/>
          <w:footerReference r:id="rId12" w:type="even"/>
          <w:pgSz w:w="11906" w:h="16838"/>
          <w:pgMar w:top="1417" w:right="1417" w:bottom="1417" w:left="1417" w:header="850" w:footer="992" w:gutter="0"/>
          <w:pgNumType w:fmt="numberInDash"/>
          <w:cols w:space="0" w:num="1"/>
          <w:rtlGutter w:val="0"/>
          <w:docGrid w:linePitch="312" w:charSpace="0"/>
        </w:sectPr>
      </w:pPr>
    </w:p>
    <w:p>
      <w:pPr>
        <w:pStyle w:val="3"/>
        <w:pageBreakBefore/>
        <w:spacing w:before="0" w:after="20" w:line="360" w:lineRule="auto"/>
        <w:jc w:val="center"/>
        <w:rPr>
          <w:rFonts w:ascii="黑体" w:eastAsia="黑体"/>
          <w:color w:val="000000"/>
          <w:sz w:val="32"/>
          <w:szCs w:val="32"/>
          <w:highlight w:val="none"/>
        </w:rPr>
      </w:pPr>
      <w:bookmarkStart w:id="88" w:name="_Toc533424978"/>
      <w:r>
        <w:rPr>
          <w:rFonts w:hint="eastAsia" w:ascii="黑体" w:eastAsia="黑体"/>
          <w:color w:val="000000"/>
          <w:sz w:val="32"/>
          <w:szCs w:val="32"/>
          <w:highlight w:val="none"/>
        </w:rPr>
        <w:t>第八章  评审方法</w:t>
      </w:r>
      <w:bookmarkEnd w:id="88"/>
    </w:p>
    <w:p>
      <w:pPr>
        <w:pStyle w:val="4"/>
        <w:keepNext w:val="0"/>
        <w:keepLines w:val="0"/>
        <w:spacing w:before="0" w:after="0" w:line="400" w:lineRule="exact"/>
        <w:ind w:firstLine="472" w:firstLineChars="196"/>
        <w:rPr>
          <w:rFonts w:ascii="宋体" w:hAnsi="宋体" w:eastAsia="宋体"/>
          <w:color w:val="000000"/>
          <w:sz w:val="24"/>
          <w:szCs w:val="24"/>
          <w:highlight w:val="none"/>
        </w:rPr>
      </w:pPr>
      <w:bookmarkStart w:id="89" w:name="_Toc209847065"/>
      <w:bookmarkStart w:id="90" w:name="_Toc430773924"/>
      <w:bookmarkStart w:id="91" w:name="_Toc101338358"/>
      <w:bookmarkStart w:id="92" w:name="_Toc101250640"/>
      <w:bookmarkStart w:id="93" w:name="_Toc101174146"/>
      <w:r>
        <w:rPr>
          <w:rFonts w:hint="eastAsia" w:ascii="宋体" w:hAnsi="宋体" w:eastAsia="宋体"/>
          <w:color w:val="000000"/>
          <w:sz w:val="24"/>
          <w:szCs w:val="24"/>
          <w:highlight w:val="none"/>
        </w:rPr>
        <w:t>1.总则</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1.2 磋商工作由采购代理机构负责组织，具体磋商由采购代理机构依法组建的磋商小组负责。</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1.3 磋商工作应遵循公平、公正、科学及择优的原则，并以相同的磋商程序和标准对待所有的供应商。</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1.4 磋商小组按照磋商文件规定的磋商程序、评分方法和标准进行评审，并独立履行下列职责：</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（二）审查供应商响应文件是否满足磋商文件要求，并作出公正评价；</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（四）推荐成交供应商，或者受采购人委托确定成交供应商；</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（五）起草评审报告并进行签署；</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（六）向采购代理机构、财政部门或者其他监督部门报告非法干预评审工作的行为；</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（七）法律、法规和规章规定的其他职责。</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1.5 磋商过程独立、保密。供应商非法干预磋商过程的，其响应文件作无效处理。</w:t>
      </w:r>
    </w:p>
    <w:p>
      <w:pPr>
        <w:ind w:firstLine="413"/>
        <w:rPr>
          <w:highlight w:val="none"/>
        </w:rPr>
      </w:pPr>
    </w:p>
    <w:p>
      <w:pPr>
        <w:pStyle w:val="4"/>
        <w:keepNext w:val="0"/>
        <w:keepLines w:val="0"/>
        <w:spacing w:before="0" w:after="0" w:line="400" w:lineRule="exact"/>
        <w:ind w:firstLine="472" w:firstLineChars="196"/>
        <w:rPr>
          <w:rFonts w:ascii="宋体" w:hAnsi="宋体" w:eastAsia="宋体"/>
          <w:color w:val="000000"/>
          <w:sz w:val="24"/>
          <w:szCs w:val="24"/>
          <w:highlight w:val="none"/>
        </w:rPr>
      </w:pPr>
      <w:r>
        <w:rPr>
          <w:rFonts w:hint="eastAsia" w:ascii="宋体" w:hAnsi="宋体" w:eastAsia="宋体"/>
          <w:color w:val="000000"/>
          <w:sz w:val="24"/>
          <w:szCs w:val="24"/>
          <w:highlight w:val="none"/>
        </w:rPr>
        <w:t>2.磋商程序</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2.1审查磋商文件和停止评审。</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2.1.2 本磋商文件有下列情形之一的，磋商小组应当停止评审：</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（1）磋商文件的规定存在歧义、重大缺陷的；</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（2）磋商文件明显以不合理条件对供应商实行差别待遇或者歧视待遇的；</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（3）采购项目属于国家规定的优先、强制采购范围，但是磋商文件未依法体现优先、强制采购相关规定的；</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（4）采购项目属于政府采购促进中小企业发展的范围，但是磋商文件未依法体现促进中小企业发展相关规定的；</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（5）磋商文件将供应商的资格条件列为评分因素的；</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（6）磋商文件载明的成交原则不合法的；</w:t>
      </w:r>
    </w:p>
    <w:p>
      <w:pPr>
        <w:pStyle w:val="4"/>
        <w:keepNext w:val="0"/>
        <w:keepLines w:val="0"/>
        <w:spacing w:before="0" w:after="0" w:line="400" w:lineRule="exact"/>
        <w:ind w:firstLine="470" w:firstLineChars="196"/>
        <w:rPr>
          <w:rFonts w:ascii="宋体" w:hAnsi="宋体" w:eastAsia="宋体"/>
          <w:b w:val="0"/>
          <w:color w:val="000000"/>
          <w:sz w:val="24"/>
          <w:szCs w:val="24"/>
          <w:highlight w:val="none"/>
        </w:rPr>
      </w:pPr>
      <w:r>
        <w:rPr>
          <w:rFonts w:hint="eastAsia" w:ascii="宋体" w:hAnsi="宋体" w:eastAsia="宋体"/>
          <w:b w:val="0"/>
          <w:color w:val="000000"/>
          <w:sz w:val="24"/>
          <w:szCs w:val="24"/>
          <w:highlight w:val="none"/>
        </w:rPr>
        <w:t>（7）磋商文件有违反国家其他有关强制性规定的情形。</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2.1.3 出现本条2.1.2规定应当停止评审情形的，磋商小组应当向采购人书面说明情况。除本条规定的情形外，磋商小组不得以任何方式和理由停止评审。</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2.2资格性审查。</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2.2.1本项目需要磋商小组进行资格性检查。</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2.2.2资格性审查结束后，磋商小组应当出具资格性审查报告，没有通过资格审查的供应商，磋商小组应当在资格审查报告中说明原因。</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2.2.3磋商小组应依据磋商文件规定的实质性要求，对符合资格的响应文件进行有效性、完整性和响应程度审查，以确定参加磋商的供应商名单。</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2.2.4采购人或者采购代理机构宣布未通过资格性审查的供应商名单时，应当告知供应商未通过审查的原因。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2.3 通过资格性审查的供应商不足3家的，终止本次采购活动，并发布终止采购活动公告。</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2.4磋商。</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2.4.2每轮磋商开始前，磋商小组应根据磋商文件的规定，并结合各供应商的响应文件拟定磋商内容。</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2.4.4对磋商文件作出的实质性变动是磋商文件的有效组成部分，磋商小组应当及时以书面形式同时通知所有参加磋商的供应商。</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2.4.6磋商过程中，磋商的任何一方不得透露与磋商有关的其他供应商的技术资料、价格和其他信息。</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2.4.7磋商过程中，磋商小组发现或者知晓供应商存在违法、违纪行为的，磋商小组应当将该供应商响应文件作无效处理，不允许其提交最后报价。</w:t>
      </w: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color w:val="000000"/>
          <w:sz w:val="24"/>
          <w:szCs w:val="24"/>
          <w:highlight w:val="none"/>
        </w:rPr>
        <w:t>2.4.8磋商完成后，磋商小组应出具磋商情况记录表，磋商情况记录表需包含磋商内容、磋商意见、实质性变动内容等。</w:t>
      </w:r>
      <w:r>
        <w:rPr>
          <w:rFonts w:hint="eastAsia" w:ascii="宋体" w:hAnsi="宋体" w:eastAsia="宋体"/>
          <w:b w:val="0"/>
          <w:sz w:val="24"/>
          <w:szCs w:val="24"/>
          <w:highlight w:val="none"/>
        </w:rPr>
        <w:t xml:space="preserve">   </w:t>
      </w:r>
    </w:p>
    <w:p>
      <w:pPr>
        <w:spacing w:line="400" w:lineRule="exact"/>
        <w:ind w:firstLine="480" w:firstLineChars="200"/>
        <w:rPr>
          <w:rFonts w:ascii="宋体" w:hAnsi="宋体"/>
          <w:sz w:val="24"/>
          <w:highlight w:val="none"/>
        </w:rPr>
      </w:pPr>
      <w:r>
        <w:rPr>
          <w:rFonts w:hint="eastAsia" w:ascii="宋体" w:hAnsi="宋体"/>
          <w:sz w:val="24"/>
          <w:highlight w:val="none"/>
        </w:rPr>
        <w:t>2.5最后报价。</w:t>
      </w:r>
    </w:p>
    <w:p>
      <w:pPr>
        <w:spacing w:line="400" w:lineRule="exact"/>
        <w:ind w:firstLine="480" w:firstLineChars="200"/>
        <w:rPr>
          <w:rFonts w:ascii="宋体" w:hAnsi="宋体"/>
          <w:sz w:val="24"/>
          <w:highlight w:val="none"/>
        </w:rPr>
      </w:pPr>
      <w:r>
        <w:rPr>
          <w:rFonts w:hint="eastAsia" w:ascii="宋体" w:hAnsi="宋体"/>
          <w:sz w:val="24"/>
          <w:highlight w:val="none"/>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0" w:lineRule="exact"/>
        <w:ind w:firstLine="480" w:firstLineChars="200"/>
        <w:rPr>
          <w:rFonts w:ascii="宋体" w:hAnsi="宋体"/>
          <w:sz w:val="24"/>
          <w:highlight w:val="none"/>
        </w:rPr>
      </w:pPr>
      <w:r>
        <w:rPr>
          <w:rFonts w:hint="eastAsia" w:ascii="宋体" w:hAnsi="宋体"/>
          <w:sz w:val="24"/>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80" w:firstLineChars="200"/>
        <w:rPr>
          <w:rFonts w:ascii="宋体" w:hAnsi="宋体"/>
          <w:sz w:val="24"/>
          <w:highlight w:val="none"/>
        </w:rPr>
      </w:pPr>
      <w:r>
        <w:rPr>
          <w:rFonts w:hint="eastAsia" w:ascii="宋体" w:hAnsi="宋体"/>
          <w:sz w:val="24"/>
          <w:highlight w:val="none"/>
        </w:rPr>
        <w:t>2.5.3供应商最后报价应当由法定代表人或其授权代表签字确认或加盖公章。最后报价是供应商响应文件的有效组成部分。</w:t>
      </w:r>
    </w:p>
    <w:p>
      <w:pPr>
        <w:spacing w:line="400" w:lineRule="exact"/>
        <w:ind w:firstLine="480" w:firstLineChars="200"/>
        <w:rPr>
          <w:rFonts w:ascii="宋体" w:hAnsi="宋体"/>
          <w:sz w:val="24"/>
          <w:highlight w:val="none"/>
        </w:rPr>
      </w:pPr>
      <w:r>
        <w:rPr>
          <w:rFonts w:hint="eastAsia" w:ascii="宋体" w:hAnsi="宋体"/>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ascii="宋体" w:hAnsi="宋体"/>
          <w:sz w:val="24"/>
          <w:highlight w:val="none"/>
        </w:rPr>
      </w:pPr>
      <w:r>
        <w:rPr>
          <w:rFonts w:hint="eastAsia" w:ascii="宋体" w:hAnsi="宋体"/>
          <w:sz w:val="24"/>
          <w:highlight w:val="none"/>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hint="eastAsia" w:ascii="宋体" w:hAnsi="宋体" w:eastAsia="宋体"/>
          <w:sz w:val="24"/>
          <w:highlight w:val="none"/>
        </w:rPr>
      </w:pPr>
      <w:r>
        <w:rPr>
          <w:rFonts w:hint="eastAsia" w:ascii="宋体" w:hAnsi="宋体"/>
          <w:sz w:val="24"/>
          <w:highlight w:val="none"/>
        </w:rPr>
        <w:t>2.7推荐成交候选供应商</w:t>
      </w:r>
      <w:r>
        <w:rPr>
          <w:rFonts w:hint="eastAsia" w:ascii="宋体" w:hAnsi="宋体"/>
          <w:sz w:val="24"/>
          <w:highlight w:val="none"/>
          <w:lang w:eastAsia="zh-CN"/>
        </w:rPr>
        <w:t>，</w:t>
      </w:r>
      <w:r>
        <w:rPr>
          <w:rFonts w:hint="eastAsia" w:ascii="宋体" w:hAnsi="宋体"/>
          <w:sz w:val="24"/>
          <w:highlight w:val="none"/>
        </w:rPr>
        <w:t>磋商小组应当根据综合评分情况，按照评审得分由高到低顺序推荐3家以上成交候选供应商，并编写磋商报告</w:t>
      </w:r>
      <w:r>
        <w:rPr>
          <w:rFonts w:hint="eastAsia" w:ascii="宋体" w:hAnsi="宋体" w:eastAsia="宋体"/>
          <w:sz w:val="24"/>
          <w:highlight w:val="none"/>
        </w:rPr>
        <w:t>。</w:t>
      </w:r>
      <w:r>
        <w:rPr>
          <w:rFonts w:hint="eastAsia" w:ascii="宋体" w:hAnsi="宋体" w:eastAsia="宋体"/>
          <w:sz w:val="24"/>
          <w:highlight w:val="none"/>
          <w:lang w:eastAsia="zh-CN"/>
        </w:rPr>
        <w:t>成交</w:t>
      </w:r>
      <w:r>
        <w:rPr>
          <w:rFonts w:hint="eastAsia" w:ascii="宋体" w:hAnsi="宋体" w:eastAsia="宋体"/>
          <w:sz w:val="24"/>
          <w:highlight w:val="none"/>
        </w:rPr>
        <w:t>候选供应商应当排序。本项目采用综合评分法，评标结果按评审后得分由高到低顺序排列。得分相同的，按</w:t>
      </w:r>
      <w:r>
        <w:rPr>
          <w:rFonts w:hint="eastAsia" w:ascii="宋体" w:hAnsi="宋体" w:eastAsia="宋体"/>
          <w:sz w:val="24"/>
          <w:highlight w:val="none"/>
          <w:lang w:eastAsia="zh-CN"/>
        </w:rPr>
        <w:t>最后</w:t>
      </w:r>
      <w:r>
        <w:rPr>
          <w:rFonts w:hint="eastAsia" w:ascii="宋体" w:hAnsi="宋体" w:eastAsia="宋体"/>
          <w:sz w:val="24"/>
          <w:highlight w:val="none"/>
        </w:rPr>
        <w:t>报价由低到高顺序排列；得分且</w:t>
      </w:r>
      <w:r>
        <w:rPr>
          <w:rFonts w:hint="eastAsia" w:ascii="宋体" w:hAnsi="宋体" w:eastAsia="宋体"/>
          <w:sz w:val="24"/>
          <w:highlight w:val="none"/>
          <w:lang w:eastAsia="zh-CN"/>
        </w:rPr>
        <w:t>最后</w:t>
      </w:r>
      <w:r>
        <w:rPr>
          <w:rFonts w:hint="eastAsia" w:ascii="宋体" w:hAnsi="宋体" w:eastAsia="宋体"/>
          <w:sz w:val="24"/>
          <w:highlight w:val="none"/>
        </w:rPr>
        <w:t>报价相同的，不发达地区或少数民族地区的供应商排列顺序在非不发达地区或少数民族地区的供应商之前；得分且</w:t>
      </w:r>
      <w:r>
        <w:rPr>
          <w:rFonts w:hint="eastAsia" w:ascii="宋体" w:hAnsi="宋体" w:eastAsia="宋体"/>
          <w:sz w:val="24"/>
          <w:highlight w:val="none"/>
          <w:lang w:eastAsia="zh-CN"/>
        </w:rPr>
        <w:t>最后</w:t>
      </w:r>
      <w:r>
        <w:rPr>
          <w:rFonts w:hint="eastAsia" w:ascii="宋体" w:hAnsi="宋体" w:eastAsia="宋体"/>
          <w:sz w:val="24"/>
          <w:highlight w:val="none"/>
        </w:rPr>
        <w:t>报价相同的，且均为不发达地区或少数民族地区的供应商并列；得分且</w:t>
      </w:r>
      <w:r>
        <w:rPr>
          <w:rFonts w:hint="eastAsia" w:ascii="宋体" w:hAnsi="宋体" w:eastAsia="宋体"/>
          <w:sz w:val="24"/>
          <w:highlight w:val="none"/>
          <w:lang w:eastAsia="zh-CN"/>
        </w:rPr>
        <w:t>最后</w:t>
      </w:r>
      <w:r>
        <w:rPr>
          <w:rFonts w:hint="eastAsia" w:ascii="宋体" w:hAnsi="宋体" w:eastAsia="宋体"/>
          <w:sz w:val="24"/>
          <w:highlight w:val="none"/>
        </w:rPr>
        <w:t>报价相同的，且不能判定为不发达地区或少数民族地区的供应商并列。（不发达地区或少数民族地区的供应商需提供属于不发达地区或少数民族地区企业的相关证明材料，或供应商注册地为少数民族地区。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0" w:lineRule="exact"/>
        <w:ind w:firstLine="480" w:firstLineChars="200"/>
        <w:rPr>
          <w:rFonts w:ascii="宋体" w:hAnsi="宋体"/>
          <w:sz w:val="24"/>
          <w:highlight w:val="none"/>
        </w:rPr>
      </w:pPr>
      <w:r>
        <w:rPr>
          <w:rFonts w:hint="eastAsia" w:ascii="宋体" w:hAnsi="宋体"/>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ascii="宋体" w:hAnsi="宋体"/>
          <w:sz w:val="24"/>
          <w:highlight w:val="none"/>
        </w:rPr>
      </w:pPr>
      <w:r>
        <w:rPr>
          <w:rFonts w:hint="eastAsia" w:ascii="宋体" w:hAnsi="宋体"/>
          <w:sz w:val="24"/>
          <w:highlight w:val="none"/>
        </w:rPr>
        <w:t>2.9采购组织单位现场复核评审结果。</w:t>
      </w:r>
    </w:p>
    <w:p>
      <w:pPr>
        <w:spacing w:line="400" w:lineRule="exact"/>
        <w:ind w:firstLine="480" w:firstLineChars="200"/>
        <w:rPr>
          <w:rFonts w:ascii="宋体" w:hAnsi="宋体"/>
          <w:sz w:val="24"/>
          <w:highlight w:val="none"/>
        </w:rPr>
      </w:pPr>
      <w:r>
        <w:rPr>
          <w:rFonts w:hint="eastAsia" w:ascii="宋体" w:hAnsi="宋体"/>
          <w:sz w:val="24"/>
          <w:highlight w:val="none"/>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rPr>
          <w:rFonts w:ascii="宋体" w:hAnsi="宋体"/>
          <w:sz w:val="24"/>
          <w:highlight w:val="none"/>
        </w:rPr>
      </w:pPr>
      <w:r>
        <w:rPr>
          <w:rFonts w:hint="eastAsia" w:ascii="宋体" w:hAnsi="宋体"/>
          <w:sz w:val="24"/>
          <w:highlight w:val="none"/>
        </w:rPr>
        <w:t>（1）资格性审查认定错误的；</w:t>
      </w:r>
    </w:p>
    <w:p>
      <w:pPr>
        <w:spacing w:line="400" w:lineRule="exact"/>
        <w:ind w:firstLine="480" w:firstLineChars="200"/>
        <w:rPr>
          <w:rFonts w:ascii="宋体" w:hAnsi="宋体"/>
          <w:sz w:val="24"/>
          <w:highlight w:val="none"/>
        </w:rPr>
      </w:pPr>
      <w:r>
        <w:rPr>
          <w:rFonts w:hint="eastAsia" w:ascii="宋体" w:hAnsi="宋体"/>
          <w:sz w:val="24"/>
          <w:highlight w:val="none"/>
        </w:rPr>
        <w:t>（2）分值汇总计算错误的；</w:t>
      </w:r>
    </w:p>
    <w:p>
      <w:pPr>
        <w:spacing w:line="400" w:lineRule="exact"/>
        <w:ind w:firstLine="480" w:firstLineChars="200"/>
        <w:rPr>
          <w:rFonts w:ascii="宋体" w:hAnsi="宋体"/>
          <w:sz w:val="24"/>
          <w:highlight w:val="none"/>
        </w:rPr>
      </w:pPr>
      <w:r>
        <w:rPr>
          <w:rFonts w:hint="eastAsia" w:ascii="宋体" w:hAnsi="宋体"/>
          <w:sz w:val="24"/>
          <w:highlight w:val="none"/>
        </w:rPr>
        <w:t>（3）分项评分超出评分标准范围的；</w:t>
      </w:r>
    </w:p>
    <w:p>
      <w:pPr>
        <w:spacing w:line="400" w:lineRule="exact"/>
        <w:ind w:firstLine="480" w:firstLineChars="200"/>
        <w:rPr>
          <w:rFonts w:ascii="宋体" w:hAnsi="宋体"/>
          <w:sz w:val="24"/>
          <w:highlight w:val="none"/>
        </w:rPr>
      </w:pPr>
      <w:r>
        <w:rPr>
          <w:rFonts w:hint="eastAsia" w:ascii="宋体" w:hAnsi="宋体"/>
          <w:sz w:val="24"/>
          <w:highlight w:val="none"/>
        </w:rPr>
        <w:t>（4）客观评分不一致的。</w:t>
      </w:r>
    </w:p>
    <w:p>
      <w:pPr>
        <w:spacing w:line="400" w:lineRule="exact"/>
        <w:ind w:firstLine="480" w:firstLineChars="200"/>
        <w:rPr>
          <w:rFonts w:ascii="宋体" w:hAnsi="宋体"/>
          <w:sz w:val="24"/>
          <w:highlight w:val="none"/>
        </w:rPr>
      </w:pPr>
      <w:r>
        <w:rPr>
          <w:rFonts w:hint="eastAsia" w:ascii="宋体" w:hAnsi="宋体"/>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80" w:firstLineChars="200"/>
        <w:rPr>
          <w:rFonts w:ascii="宋体" w:hAnsi="宋体"/>
          <w:sz w:val="24"/>
          <w:highlight w:val="none"/>
        </w:rPr>
      </w:pPr>
      <w:r>
        <w:rPr>
          <w:rFonts w:hint="eastAsia" w:ascii="宋体" w:hAnsi="宋体"/>
          <w:sz w:val="24"/>
          <w:highlight w:val="none"/>
        </w:rPr>
        <w:t>采购代理机构复核过程中，磋商小组成员不得离开评审现场。</w:t>
      </w:r>
    </w:p>
    <w:p>
      <w:pPr>
        <w:spacing w:line="400" w:lineRule="exact"/>
        <w:ind w:firstLine="480" w:firstLineChars="200"/>
        <w:rPr>
          <w:rFonts w:ascii="宋体" w:hAnsi="宋体"/>
          <w:sz w:val="24"/>
          <w:highlight w:val="none"/>
        </w:rPr>
      </w:pPr>
      <w:r>
        <w:rPr>
          <w:rFonts w:hint="eastAsia" w:ascii="宋体" w:hAnsi="宋体"/>
          <w:sz w:val="24"/>
          <w:highlight w:val="none"/>
        </w:rPr>
        <w:t>2.9.2有下列情形之一的，不得现场修改评审结果：</w:t>
      </w:r>
    </w:p>
    <w:p>
      <w:pPr>
        <w:spacing w:line="400" w:lineRule="exact"/>
        <w:ind w:firstLine="480" w:firstLineChars="200"/>
        <w:rPr>
          <w:rFonts w:ascii="宋体" w:hAnsi="宋体"/>
          <w:sz w:val="24"/>
          <w:highlight w:val="none"/>
        </w:rPr>
      </w:pPr>
      <w:r>
        <w:rPr>
          <w:rFonts w:hint="eastAsia" w:ascii="宋体" w:hAnsi="宋体"/>
          <w:sz w:val="24"/>
          <w:highlight w:val="none"/>
        </w:rPr>
        <w:t>（1）磋商小组已经出具磋商报告并且离开评审现场的；</w:t>
      </w:r>
    </w:p>
    <w:p>
      <w:pPr>
        <w:spacing w:line="400" w:lineRule="exact"/>
        <w:ind w:firstLine="480" w:firstLineChars="200"/>
        <w:rPr>
          <w:rFonts w:ascii="宋体" w:hAnsi="宋体"/>
          <w:sz w:val="24"/>
          <w:highlight w:val="none"/>
        </w:rPr>
      </w:pPr>
      <w:r>
        <w:rPr>
          <w:rFonts w:hint="eastAsia" w:ascii="宋体" w:hAnsi="宋体"/>
          <w:sz w:val="24"/>
          <w:highlight w:val="none"/>
        </w:rPr>
        <w:t>（2）采购代理机构现场复核时，复核工作人员数量不足的；</w:t>
      </w:r>
    </w:p>
    <w:p>
      <w:pPr>
        <w:spacing w:line="400" w:lineRule="exact"/>
        <w:ind w:firstLine="480" w:firstLineChars="200"/>
        <w:rPr>
          <w:rFonts w:ascii="宋体" w:hAnsi="宋体"/>
          <w:sz w:val="24"/>
          <w:highlight w:val="none"/>
        </w:rPr>
      </w:pPr>
      <w:r>
        <w:rPr>
          <w:rFonts w:hint="eastAsia" w:ascii="宋体" w:hAnsi="宋体"/>
          <w:sz w:val="24"/>
          <w:highlight w:val="none"/>
        </w:rPr>
        <w:t>（3）采购代理机构现场复核时，没有采购监督人员现场监督的；</w:t>
      </w:r>
    </w:p>
    <w:p>
      <w:pPr>
        <w:spacing w:line="400" w:lineRule="exact"/>
        <w:ind w:firstLine="480" w:firstLineChars="200"/>
        <w:rPr>
          <w:rFonts w:ascii="宋体" w:hAnsi="宋体"/>
          <w:sz w:val="24"/>
          <w:highlight w:val="none"/>
        </w:rPr>
      </w:pPr>
      <w:r>
        <w:rPr>
          <w:rFonts w:hint="eastAsia" w:ascii="宋体" w:hAnsi="宋体"/>
          <w:sz w:val="24"/>
          <w:highlight w:val="none"/>
        </w:rPr>
        <w:t>（4）采购代理机构现场复核内容超出规定范围的；</w:t>
      </w:r>
    </w:p>
    <w:p>
      <w:pPr>
        <w:spacing w:line="400" w:lineRule="exact"/>
        <w:ind w:firstLine="480" w:firstLineChars="200"/>
        <w:rPr>
          <w:rFonts w:ascii="宋体" w:hAnsi="宋体"/>
          <w:sz w:val="24"/>
          <w:highlight w:val="none"/>
        </w:rPr>
      </w:pPr>
      <w:r>
        <w:rPr>
          <w:rFonts w:hint="eastAsia" w:ascii="宋体" w:hAnsi="宋体"/>
          <w:sz w:val="24"/>
          <w:highlight w:val="none"/>
        </w:rPr>
        <w:t>（5）采购代理机构未提供书面建议的。</w:t>
      </w:r>
    </w:p>
    <w:p>
      <w:pPr>
        <w:spacing w:line="400" w:lineRule="exact"/>
        <w:ind w:firstLine="480" w:firstLineChars="200"/>
        <w:rPr>
          <w:rFonts w:ascii="宋体" w:hAnsi="宋体"/>
          <w:sz w:val="24"/>
          <w:highlight w:val="none"/>
        </w:rPr>
      </w:pPr>
      <w:r>
        <w:rPr>
          <w:rFonts w:hint="eastAsia" w:ascii="宋体" w:hAnsi="宋体"/>
          <w:sz w:val="24"/>
          <w:highlight w:val="none"/>
        </w:rPr>
        <w:t>2.10编写磋商报告。磋商小组推荐成交候选供应商后，应向采购代理机构出具磋商报告。磋商报告应当包括以下主要内容：</w:t>
      </w:r>
    </w:p>
    <w:p>
      <w:pPr>
        <w:spacing w:line="400" w:lineRule="exact"/>
        <w:ind w:firstLine="480" w:firstLineChars="200"/>
        <w:rPr>
          <w:rFonts w:ascii="宋体" w:hAnsi="宋体"/>
          <w:sz w:val="24"/>
          <w:highlight w:val="none"/>
        </w:rPr>
      </w:pPr>
      <w:r>
        <w:rPr>
          <w:rFonts w:hint="eastAsia" w:ascii="宋体" w:hAnsi="宋体"/>
          <w:sz w:val="24"/>
          <w:highlight w:val="none"/>
        </w:rPr>
        <w:t>（1）邀请供应商参加采购活动的具体方式和相关情况；</w:t>
      </w:r>
    </w:p>
    <w:p>
      <w:pPr>
        <w:spacing w:line="400" w:lineRule="exact"/>
        <w:ind w:firstLine="480" w:firstLineChars="200"/>
        <w:rPr>
          <w:rFonts w:ascii="宋体" w:hAnsi="宋体"/>
          <w:sz w:val="24"/>
          <w:highlight w:val="none"/>
        </w:rPr>
      </w:pPr>
      <w:r>
        <w:rPr>
          <w:rFonts w:hint="eastAsia" w:ascii="宋体" w:hAnsi="宋体"/>
          <w:sz w:val="24"/>
          <w:highlight w:val="none"/>
        </w:rPr>
        <w:t>（2）响应文件开启日期和地点；</w:t>
      </w:r>
    </w:p>
    <w:p>
      <w:pPr>
        <w:spacing w:line="400" w:lineRule="exact"/>
        <w:ind w:firstLine="480" w:firstLineChars="200"/>
        <w:rPr>
          <w:rFonts w:ascii="宋体" w:hAnsi="宋体"/>
          <w:sz w:val="24"/>
          <w:highlight w:val="none"/>
        </w:rPr>
      </w:pPr>
      <w:r>
        <w:rPr>
          <w:rFonts w:hint="eastAsia" w:ascii="宋体" w:hAnsi="宋体"/>
          <w:sz w:val="24"/>
          <w:highlight w:val="none"/>
        </w:rPr>
        <w:t>（3）获取磋商文件的供应商名单和磋商小组成员名单；</w:t>
      </w:r>
    </w:p>
    <w:p>
      <w:pPr>
        <w:spacing w:line="400" w:lineRule="exact"/>
        <w:ind w:firstLine="480" w:firstLineChars="200"/>
        <w:rPr>
          <w:rFonts w:ascii="宋体" w:hAnsi="宋体"/>
          <w:sz w:val="24"/>
          <w:highlight w:val="none"/>
        </w:rPr>
      </w:pPr>
      <w:r>
        <w:rPr>
          <w:rFonts w:hint="eastAsia" w:ascii="宋体" w:hAnsi="宋体"/>
          <w:sz w:val="24"/>
          <w:highlight w:val="none"/>
        </w:rPr>
        <w:t>（4）评审情况记录和说明，包括对供应商的资格审查情况、供应商响应文件审查情况、磋商情况、报价情况等；</w:t>
      </w:r>
    </w:p>
    <w:p>
      <w:pPr>
        <w:spacing w:line="400" w:lineRule="exact"/>
        <w:ind w:firstLine="480" w:firstLineChars="200"/>
        <w:rPr>
          <w:rFonts w:ascii="宋体" w:hAnsi="宋体"/>
          <w:sz w:val="24"/>
          <w:highlight w:val="none"/>
        </w:rPr>
      </w:pPr>
      <w:r>
        <w:rPr>
          <w:rFonts w:hint="eastAsia" w:ascii="宋体" w:hAnsi="宋体"/>
          <w:sz w:val="24"/>
          <w:highlight w:val="none"/>
        </w:rPr>
        <w:t>（5）提出的成交候选供应商的排序名单及理由。</w:t>
      </w:r>
    </w:p>
    <w:p>
      <w:pPr>
        <w:spacing w:line="400" w:lineRule="exact"/>
        <w:ind w:firstLine="480" w:firstLineChars="200"/>
        <w:rPr>
          <w:rFonts w:ascii="宋体" w:hAnsi="宋体"/>
          <w:sz w:val="24"/>
          <w:highlight w:val="none"/>
        </w:rPr>
      </w:pPr>
      <w:r>
        <w:rPr>
          <w:rFonts w:hint="eastAsia" w:ascii="宋体" w:hAnsi="宋体"/>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ascii="宋体" w:hAnsi="宋体"/>
          <w:sz w:val="24"/>
          <w:highlight w:val="none"/>
        </w:rPr>
      </w:pPr>
      <w:r>
        <w:rPr>
          <w:rFonts w:hint="eastAsia" w:ascii="宋体" w:hAnsi="宋体"/>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ascii="宋体" w:hAnsi="宋体"/>
          <w:sz w:val="24"/>
          <w:highlight w:val="none"/>
        </w:rPr>
      </w:pPr>
      <w:r>
        <w:rPr>
          <w:rFonts w:hint="eastAsia" w:ascii="宋体" w:hAnsi="宋体"/>
          <w:sz w:val="24"/>
          <w:highlight w:val="none"/>
        </w:rPr>
        <w:t>2.12供应商澄清、说明</w:t>
      </w:r>
    </w:p>
    <w:p>
      <w:pPr>
        <w:spacing w:line="400" w:lineRule="exact"/>
        <w:ind w:firstLine="480" w:firstLineChars="200"/>
        <w:rPr>
          <w:rFonts w:ascii="宋体" w:hAnsi="宋体"/>
          <w:sz w:val="24"/>
          <w:highlight w:val="none"/>
        </w:rPr>
      </w:pPr>
      <w:r>
        <w:rPr>
          <w:rFonts w:hint="eastAsia" w:ascii="宋体" w:hAnsi="宋体"/>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sz w:val="24"/>
          <w:highlight w:val="none"/>
        </w:rPr>
      </w:pPr>
      <w:r>
        <w:rPr>
          <w:rFonts w:hint="eastAsia" w:ascii="宋体" w:hAnsi="宋体"/>
          <w:sz w:val="24"/>
          <w:highlight w:val="none"/>
        </w:rPr>
        <w:t>2.12.2磋商小组要求供应商澄清、说明或者更正响应文件应当以书面形式作出。供应商的澄清、说明或者更正应当由法定代表人或其授权代表签字或者加盖公章。</w:t>
      </w:r>
    </w:p>
    <w:p>
      <w:pPr>
        <w:spacing w:line="400" w:lineRule="exact"/>
        <w:ind w:firstLine="480" w:firstLineChars="200"/>
        <w:rPr>
          <w:rFonts w:ascii="宋体" w:hAnsi="宋体"/>
          <w:sz w:val="24"/>
          <w:highlight w:val="none"/>
        </w:rPr>
      </w:pPr>
      <w:r>
        <w:rPr>
          <w:rFonts w:hint="eastAsia" w:ascii="宋体" w:hAnsi="宋体"/>
          <w:sz w:val="24"/>
          <w:highlight w:val="none"/>
        </w:rPr>
        <w:t>2.13终止磋商采购活动。</w:t>
      </w:r>
    </w:p>
    <w:p>
      <w:pPr>
        <w:spacing w:line="400" w:lineRule="exact"/>
        <w:ind w:firstLine="480" w:firstLineChars="200"/>
        <w:rPr>
          <w:rFonts w:ascii="宋体" w:hAnsi="宋体"/>
          <w:sz w:val="24"/>
          <w:highlight w:val="none"/>
        </w:rPr>
      </w:pPr>
      <w:r>
        <w:rPr>
          <w:rFonts w:hint="eastAsia" w:ascii="宋体" w:hAnsi="宋体"/>
          <w:sz w:val="24"/>
          <w:highlight w:val="none"/>
        </w:rPr>
        <w:t>出现下列情形之一的，采购人或者采购代理机构应当终止竞争性磋商采购活动，发布项目终止公告并说明原因，重新开展采购活动：</w:t>
      </w:r>
    </w:p>
    <w:p>
      <w:pPr>
        <w:spacing w:line="400" w:lineRule="exact"/>
        <w:ind w:firstLine="480" w:firstLineChars="200"/>
        <w:rPr>
          <w:rFonts w:ascii="宋体" w:hAnsi="宋体"/>
          <w:sz w:val="24"/>
          <w:highlight w:val="none"/>
        </w:rPr>
      </w:pPr>
      <w:r>
        <w:rPr>
          <w:rFonts w:hint="eastAsia" w:ascii="宋体" w:hAnsi="宋体"/>
          <w:sz w:val="24"/>
          <w:highlight w:val="none"/>
        </w:rPr>
        <w:t>（1）因情况变化，不再符合规定的竞争性磋商采购方式适用情形的；</w:t>
      </w:r>
    </w:p>
    <w:p>
      <w:pPr>
        <w:spacing w:line="400" w:lineRule="exact"/>
        <w:ind w:firstLine="480" w:firstLineChars="200"/>
        <w:rPr>
          <w:rFonts w:ascii="宋体" w:hAnsi="宋体"/>
          <w:sz w:val="24"/>
          <w:highlight w:val="none"/>
        </w:rPr>
      </w:pPr>
      <w:r>
        <w:rPr>
          <w:rFonts w:hint="eastAsia" w:ascii="宋体" w:hAnsi="宋体"/>
          <w:sz w:val="24"/>
          <w:highlight w:val="none"/>
        </w:rPr>
        <w:t>（2）出现影响采购公正的违法、违规行为的；</w:t>
      </w:r>
    </w:p>
    <w:p>
      <w:pPr>
        <w:spacing w:line="400" w:lineRule="exact"/>
        <w:ind w:firstLine="480" w:firstLineChars="200"/>
        <w:rPr>
          <w:rFonts w:ascii="宋体"/>
          <w:color w:val="FF0000"/>
          <w:sz w:val="24"/>
          <w:highlight w:val="none"/>
        </w:rPr>
      </w:pPr>
      <w:r>
        <w:rPr>
          <w:rFonts w:hint="eastAsia" w:ascii="宋体" w:hAnsi="宋体"/>
          <w:sz w:val="24"/>
          <w:highlight w:val="none"/>
        </w:rPr>
        <w:t>（3）在采购过程中符合要求的供应商或者报价未超过最高限价的供应商不足3家的。</w:t>
      </w:r>
    </w:p>
    <w:p>
      <w:pPr>
        <w:spacing w:line="400" w:lineRule="exact"/>
        <w:ind w:firstLine="482" w:firstLineChars="200"/>
        <w:rPr>
          <w:rFonts w:ascii="宋体"/>
          <w:b/>
          <w:color w:val="000000"/>
          <w:sz w:val="24"/>
          <w:highlight w:val="none"/>
        </w:rPr>
      </w:pPr>
      <w:r>
        <w:rPr>
          <w:rFonts w:hint="eastAsia" w:ascii="宋体"/>
          <w:b/>
          <w:color w:val="000000"/>
          <w:sz w:val="24"/>
          <w:highlight w:val="none"/>
        </w:rPr>
        <w:t>3.综合评分</w:t>
      </w:r>
    </w:p>
    <w:p>
      <w:pPr>
        <w:spacing w:line="400" w:lineRule="exact"/>
        <w:ind w:firstLine="480" w:firstLineChars="200"/>
        <w:rPr>
          <w:sz w:val="24"/>
          <w:highlight w:val="none"/>
        </w:rPr>
      </w:pPr>
      <w:r>
        <w:rPr>
          <w:rFonts w:hint="eastAsia" w:ascii="宋体"/>
          <w:color w:val="000000"/>
          <w:sz w:val="24"/>
          <w:highlight w:val="none"/>
        </w:rPr>
        <w:t>3.1</w:t>
      </w:r>
      <w:r>
        <w:rPr>
          <w:rFonts w:hint="eastAsia"/>
          <w:sz w:val="24"/>
          <w:highlight w:val="none"/>
        </w:rPr>
        <w:t>本次综合评分的因素是：详见综合评分明细表。</w:t>
      </w:r>
    </w:p>
    <w:p>
      <w:pPr>
        <w:spacing w:line="400" w:lineRule="exact"/>
        <w:ind w:firstLine="480" w:firstLineChars="200"/>
        <w:rPr>
          <w:rFonts w:ascii="宋体"/>
          <w:color w:val="000000"/>
          <w:sz w:val="24"/>
          <w:highlight w:val="none"/>
        </w:rPr>
      </w:pPr>
      <w:r>
        <w:rPr>
          <w:rFonts w:hint="eastAsia" w:ascii="宋体"/>
          <w:color w:val="000000"/>
          <w:sz w:val="24"/>
          <w:highlight w:val="none"/>
        </w:rPr>
        <w:t>3.2</w:t>
      </w:r>
      <w:r>
        <w:rPr>
          <w:rFonts w:hint="eastAsia"/>
          <w:sz w:val="24"/>
          <w:highlight w:val="none"/>
        </w:rPr>
        <w:t xml:space="preserve"> 除价格因素外</w:t>
      </w:r>
      <w:r>
        <w:rPr>
          <w:rFonts w:hint="eastAsia" w:ascii="宋体"/>
          <w:color w:val="000000"/>
          <w:sz w:val="24"/>
          <w:highlight w:val="none"/>
        </w:rPr>
        <w:t>，磋商小组成员应当根据自身专业情况独立对每个有效供应商的响应文件进行评价、打分。</w:t>
      </w:r>
    </w:p>
    <w:p>
      <w:pPr>
        <w:pStyle w:val="9"/>
        <w:tabs>
          <w:tab w:val="left" w:pos="600"/>
        </w:tabs>
        <w:spacing w:line="400" w:lineRule="exact"/>
        <w:ind w:firstLine="480" w:firstLineChars="200"/>
        <w:rPr>
          <w:rFonts w:ascii="宋体"/>
          <w:color w:val="000000"/>
          <w:sz w:val="24"/>
          <w:szCs w:val="24"/>
          <w:highlight w:val="none"/>
        </w:rPr>
      </w:pPr>
      <w:r>
        <w:rPr>
          <w:rFonts w:hint="eastAsia" w:ascii="宋体"/>
          <w:color w:val="000000"/>
          <w:sz w:val="24"/>
          <w:szCs w:val="24"/>
          <w:highlight w:val="none"/>
        </w:rPr>
        <w:t>3.3</w:t>
      </w:r>
      <w:r>
        <w:rPr>
          <w:rFonts w:hint="eastAsia" w:ascii="宋体"/>
          <w:sz w:val="24"/>
          <w:szCs w:val="24"/>
          <w:highlight w:val="none"/>
        </w:rPr>
        <w:t>综合评分明细表</w:t>
      </w:r>
    </w:p>
    <w:p>
      <w:pPr>
        <w:pStyle w:val="9"/>
        <w:tabs>
          <w:tab w:val="left" w:pos="600"/>
        </w:tabs>
        <w:spacing w:line="400" w:lineRule="exact"/>
        <w:ind w:firstLine="480" w:firstLineChars="200"/>
        <w:rPr>
          <w:rFonts w:ascii="宋体"/>
          <w:sz w:val="24"/>
          <w:szCs w:val="24"/>
          <w:highlight w:val="none"/>
        </w:rPr>
      </w:pPr>
      <w:r>
        <w:rPr>
          <w:rFonts w:hint="eastAsia" w:ascii="宋体"/>
          <w:sz w:val="24"/>
          <w:szCs w:val="24"/>
          <w:highlight w:val="none"/>
        </w:rPr>
        <w:t>3.3.1综合评分明细表的制定以科学合理、降低评委会自由裁量权为原则。</w:t>
      </w:r>
    </w:p>
    <w:p>
      <w:pPr>
        <w:pStyle w:val="4"/>
        <w:keepNext w:val="0"/>
        <w:keepLines w:val="0"/>
        <w:spacing w:before="0" w:after="0" w:line="400" w:lineRule="exact"/>
        <w:ind w:firstLine="470" w:firstLineChars="196"/>
        <w:rPr>
          <w:rFonts w:hint="eastAsia" w:ascii="宋体" w:hAnsi="宋体" w:eastAsia="宋体"/>
          <w:b w:val="0"/>
          <w:sz w:val="24"/>
          <w:szCs w:val="24"/>
          <w:highlight w:val="none"/>
        </w:rPr>
      </w:pPr>
    </w:p>
    <w:p>
      <w:pPr>
        <w:pStyle w:val="4"/>
        <w:keepNext w:val="0"/>
        <w:keepLines w:val="0"/>
        <w:spacing w:before="0" w:after="0" w:line="400" w:lineRule="exac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3.3.2综合评分明细表</w:t>
      </w:r>
    </w:p>
    <w:tbl>
      <w:tblPr>
        <w:tblStyle w:val="27"/>
        <w:tblW w:w="102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6"/>
        <w:gridCol w:w="1276"/>
        <w:gridCol w:w="1276"/>
        <w:gridCol w:w="5988"/>
        <w:gridCol w:w="1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616" w:type="dxa"/>
            <w:noWrap w:val="0"/>
            <w:vAlign w:val="top"/>
          </w:tcPr>
          <w:p>
            <w:pPr>
              <w:pStyle w:val="62"/>
              <w:spacing w:before="2"/>
              <w:ind w:left="188"/>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序</w:t>
            </w:r>
          </w:p>
          <w:p>
            <w:pPr>
              <w:pStyle w:val="62"/>
              <w:spacing w:before="4" w:line="289" w:lineRule="exact"/>
              <w:ind w:left="188"/>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号</w:t>
            </w:r>
          </w:p>
        </w:tc>
        <w:tc>
          <w:tcPr>
            <w:tcW w:w="1276" w:type="dxa"/>
            <w:noWrap w:val="0"/>
            <w:vAlign w:val="top"/>
          </w:tcPr>
          <w:p>
            <w:pPr>
              <w:pStyle w:val="62"/>
              <w:spacing w:before="2"/>
              <w:ind w:left="158"/>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评分因素</w:t>
            </w:r>
          </w:p>
          <w:p>
            <w:pPr>
              <w:pStyle w:val="62"/>
              <w:spacing w:before="4" w:line="289" w:lineRule="exact"/>
              <w:ind w:left="278"/>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及权重</w:t>
            </w:r>
          </w:p>
        </w:tc>
        <w:tc>
          <w:tcPr>
            <w:tcW w:w="1276" w:type="dxa"/>
            <w:noWrap w:val="0"/>
            <w:vAlign w:val="top"/>
          </w:tcPr>
          <w:p>
            <w:pPr>
              <w:pStyle w:val="62"/>
              <w:spacing w:before="158"/>
              <w:ind w:left="135" w:right="128"/>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分值</w:t>
            </w:r>
          </w:p>
        </w:tc>
        <w:tc>
          <w:tcPr>
            <w:tcW w:w="5988" w:type="dxa"/>
            <w:noWrap w:val="0"/>
            <w:vAlign w:val="top"/>
          </w:tcPr>
          <w:p>
            <w:pPr>
              <w:pStyle w:val="62"/>
              <w:spacing w:before="158"/>
              <w:ind w:left="2494" w:right="2484"/>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评分标准</w:t>
            </w:r>
          </w:p>
        </w:tc>
        <w:tc>
          <w:tcPr>
            <w:tcW w:w="1116" w:type="dxa"/>
            <w:noWrap w:val="0"/>
            <w:vAlign w:val="top"/>
          </w:tcPr>
          <w:p>
            <w:pPr>
              <w:pStyle w:val="62"/>
              <w:spacing w:before="158"/>
              <w:ind w:left="318"/>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6" w:type="dxa"/>
            <w:noWrap w:val="0"/>
            <w:vAlign w:val="top"/>
          </w:tcPr>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spacing w:before="5"/>
              <w:rPr>
                <w:color w:val="000000" w:themeColor="text1"/>
                <w:sz w:val="19"/>
                <w:highlight w:val="none"/>
                <w14:textFill>
                  <w14:solidFill>
                    <w14:schemeClr w14:val="tx1"/>
                  </w14:solidFill>
                </w14:textFill>
              </w:rPr>
            </w:pPr>
          </w:p>
          <w:p>
            <w:pPr>
              <w:pStyle w:val="62"/>
              <w:ind w:left="11"/>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p>
        </w:tc>
        <w:tc>
          <w:tcPr>
            <w:tcW w:w="1276" w:type="dxa"/>
            <w:noWrap w:val="0"/>
            <w:vAlign w:val="top"/>
          </w:tcPr>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spacing w:before="5"/>
              <w:rPr>
                <w:color w:val="000000" w:themeColor="text1"/>
                <w:sz w:val="19"/>
                <w:highlight w:val="none"/>
                <w14:textFill>
                  <w14:solidFill>
                    <w14:schemeClr w14:val="tx1"/>
                  </w14:solidFill>
                </w14:textFill>
              </w:rPr>
            </w:pPr>
          </w:p>
          <w:p>
            <w:pPr>
              <w:pStyle w:val="62"/>
              <w:ind w:left="136" w:right="128"/>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报价 </w:t>
            </w:r>
            <w:r>
              <w:rPr>
                <w:rFonts w:hint="eastAsia"/>
                <w:color w:val="000000" w:themeColor="text1"/>
                <w:sz w:val="24"/>
                <w:highlight w:val="none"/>
                <w:lang w:val="en-US"/>
                <w14:textFill>
                  <w14:solidFill>
                    <w14:schemeClr w14:val="tx1"/>
                  </w14:solidFill>
                </w14:textFill>
              </w:rPr>
              <w:t>1</w:t>
            </w:r>
            <w:r>
              <w:rPr>
                <w:rFonts w:hint="eastAsia"/>
                <w:color w:val="000000" w:themeColor="text1"/>
                <w:sz w:val="24"/>
                <w:highlight w:val="none"/>
                <w:lang w:val="en-US" w:eastAsia="zh-CN"/>
                <w14:textFill>
                  <w14:solidFill>
                    <w14:schemeClr w14:val="tx1"/>
                  </w14:solidFill>
                </w14:textFill>
              </w:rPr>
              <w:t>0</w:t>
            </w:r>
            <w:r>
              <w:rPr>
                <w:color w:val="000000" w:themeColor="text1"/>
                <w:sz w:val="24"/>
                <w:highlight w:val="none"/>
                <w14:textFill>
                  <w14:solidFill>
                    <w14:schemeClr w14:val="tx1"/>
                  </w14:solidFill>
                </w14:textFill>
              </w:rPr>
              <w:t>%</w:t>
            </w:r>
          </w:p>
        </w:tc>
        <w:tc>
          <w:tcPr>
            <w:tcW w:w="1276" w:type="dxa"/>
            <w:noWrap w:val="0"/>
            <w:vAlign w:val="top"/>
          </w:tcPr>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spacing w:before="5"/>
              <w:rPr>
                <w:color w:val="000000" w:themeColor="text1"/>
                <w:sz w:val="19"/>
                <w:highlight w:val="none"/>
                <w14:textFill>
                  <w14:solidFill>
                    <w14:schemeClr w14:val="tx1"/>
                  </w14:solidFill>
                </w14:textFill>
              </w:rPr>
            </w:pPr>
          </w:p>
          <w:p>
            <w:pPr>
              <w:pStyle w:val="62"/>
              <w:ind w:left="135" w:right="128"/>
              <w:jc w:val="center"/>
              <w:rPr>
                <w:color w:val="000000" w:themeColor="text1"/>
                <w:sz w:val="24"/>
                <w:highlight w:val="none"/>
                <w:lang w:val="en-US"/>
                <w14:textFill>
                  <w14:solidFill>
                    <w14:schemeClr w14:val="tx1"/>
                  </w14:solidFill>
                </w14:textFill>
              </w:rPr>
            </w:pPr>
            <w:r>
              <w:rPr>
                <w:rFonts w:hint="eastAsia"/>
                <w:color w:val="000000" w:themeColor="text1"/>
                <w:sz w:val="24"/>
                <w:highlight w:val="none"/>
                <w:lang w:val="en-US"/>
                <w14:textFill>
                  <w14:solidFill>
                    <w14:schemeClr w14:val="tx1"/>
                  </w14:solidFill>
                </w14:textFill>
              </w:rPr>
              <w:t>1</w:t>
            </w:r>
            <w:r>
              <w:rPr>
                <w:rFonts w:hint="eastAsia"/>
                <w:color w:val="000000" w:themeColor="text1"/>
                <w:sz w:val="24"/>
                <w:highlight w:val="none"/>
                <w:lang w:val="en-US" w:eastAsia="zh-CN"/>
                <w14:textFill>
                  <w14:solidFill>
                    <w14:schemeClr w14:val="tx1"/>
                  </w14:solidFill>
                </w14:textFill>
              </w:rPr>
              <w:t>0</w:t>
            </w:r>
            <w:r>
              <w:rPr>
                <w:rFonts w:hint="eastAsia"/>
                <w:color w:val="000000" w:themeColor="text1"/>
                <w:sz w:val="24"/>
                <w:highlight w:val="none"/>
                <w:lang w:val="en-US"/>
                <w14:textFill>
                  <w14:solidFill>
                    <w14:schemeClr w14:val="tx1"/>
                  </w14:solidFill>
                </w14:textFill>
              </w:rPr>
              <w:t>分</w:t>
            </w:r>
          </w:p>
        </w:tc>
        <w:tc>
          <w:tcPr>
            <w:tcW w:w="5988" w:type="dxa"/>
            <w:noWrap w:val="0"/>
            <w:vAlign w:val="top"/>
          </w:tcPr>
          <w:p>
            <w:pPr>
              <w:keepNext w:val="0"/>
              <w:keepLines w:val="0"/>
              <w:pageBreakBefore w:val="0"/>
              <w:widowControl w:val="0"/>
              <w:kinsoku/>
              <w:wordWrap/>
              <w:overflowPunct/>
              <w:topLinePunct w:val="0"/>
              <w:autoSpaceDN/>
              <w:bidi w:val="0"/>
              <w:adjustRightInd w:val="0"/>
              <w:snapToGrid w:val="0"/>
              <w:spacing w:line="240" w:lineRule="auto"/>
              <w:ind w:firstLine="420" w:firstLineChars="200"/>
              <w:textAlignment w:val="auto"/>
              <w:rPr>
                <w:rFonts w:hint="eastAsia"/>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N/>
              <w:bidi w:val="0"/>
              <w:adjustRightInd w:val="0"/>
              <w:snapToGrid w:val="0"/>
              <w:spacing w:line="240" w:lineRule="auto"/>
              <w:textAlignment w:val="auto"/>
              <w:rPr>
                <w:color w:val="000000" w:themeColor="text1"/>
                <w:sz w:val="24"/>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以本次有效的最低投标报价为基准价，投标报价得分=(基准价／投标报价)* </w:t>
            </w:r>
            <w:r>
              <w:rPr>
                <w:rFonts w:hint="eastAsia"/>
                <w:color w:val="000000" w:themeColor="text1"/>
                <w:sz w:val="21"/>
                <w:szCs w:val="21"/>
                <w:highlight w:val="none"/>
                <w:lang w:val="en-US" w:eastAsia="zh-CN"/>
                <w14:textFill>
                  <w14:solidFill>
                    <w14:schemeClr w14:val="tx1"/>
                  </w14:solidFill>
                </w14:textFill>
              </w:rPr>
              <w:t>1</w:t>
            </w:r>
            <w:r>
              <w:rPr>
                <w:rFonts w:hint="eastAsia"/>
                <w:color w:val="000000" w:themeColor="text1"/>
                <w:sz w:val="21"/>
                <w:szCs w:val="21"/>
                <w:highlight w:val="none"/>
                <w14:textFill>
                  <w14:solidFill>
                    <w14:schemeClr w14:val="tx1"/>
                  </w14:solidFill>
                </w14:textFill>
              </w:rPr>
              <w:t>0分*100%</w:t>
            </w:r>
          </w:p>
        </w:tc>
        <w:tc>
          <w:tcPr>
            <w:tcW w:w="1116" w:type="dxa"/>
            <w:noWrap w:val="0"/>
            <w:vAlign w:val="top"/>
          </w:tcPr>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31"/>
                <w:highlight w:val="none"/>
                <w14:textFill>
                  <w14:solidFill>
                    <w14:schemeClr w14:val="tx1"/>
                  </w14:solidFill>
                </w14:textFill>
              </w:rPr>
            </w:pPr>
            <w:r>
              <w:rPr>
                <w:color w:val="000000" w:themeColor="text1"/>
                <w:highlight w:val="none"/>
                <w14:textFill>
                  <w14:solidFill>
                    <w14:schemeClr w14:val="tx1"/>
                  </w14:solidFill>
                </w14:textFill>
              </w:rPr>
              <w:t>失信行为惩戒</w:t>
            </w:r>
            <w:r>
              <w:rPr>
                <w:rFonts w:hint="eastAsia"/>
                <w:color w:val="000000" w:themeColor="text1"/>
                <w:highlight w:val="none"/>
                <w:lang w:eastAsia="zh-CN"/>
                <w14:textFill>
                  <w14:solidFill>
                    <w14:schemeClr w14:val="tx1"/>
                  </w14:solidFill>
                </w14:textFill>
              </w:rPr>
              <w:t>按须知前附表执行。</w:t>
            </w:r>
          </w:p>
          <w:p>
            <w:pPr>
              <w:pStyle w:val="62"/>
              <w:spacing w:before="1" w:line="242" w:lineRule="auto"/>
              <w:ind w:left="198" w:right="185"/>
              <w:rPr>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616" w:type="dxa"/>
            <w:vMerge w:val="restart"/>
            <w:noWrap w:val="0"/>
            <w:vAlign w:val="top"/>
          </w:tcPr>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spacing w:before="10"/>
              <w:rPr>
                <w:color w:val="000000" w:themeColor="text1"/>
                <w:sz w:val="18"/>
                <w:highlight w:val="none"/>
                <w14:textFill>
                  <w14:solidFill>
                    <w14:schemeClr w14:val="tx1"/>
                  </w14:solidFill>
                </w14:textFill>
              </w:rPr>
            </w:pPr>
          </w:p>
          <w:p>
            <w:pPr>
              <w:pStyle w:val="62"/>
              <w:ind w:left="11"/>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p>
        </w:tc>
        <w:tc>
          <w:tcPr>
            <w:tcW w:w="1276" w:type="dxa"/>
            <w:vMerge w:val="restart"/>
            <w:noWrap w:val="0"/>
            <w:vAlign w:val="top"/>
          </w:tcPr>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p>
          <w:p>
            <w:pPr>
              <w:pStyle w:val="62"/>
              <w:spacing w:before="5"/>
              <w:rPr>
                <w:color w:val="000000" w:themeColor="text1"/>
                <w:sz w:val="18"/>
                <w:highlight w:val="none"/>
                <w14:textFill>
                  <w14:solidFill>
                    <w14:schemeClr w14:val="tx1"/>
                  </w14:solidFill>
                </w14:textFill>
              </w:rPr>
            </w:pPr>
          </w:p>
          <w:p>
            <w:pPr>
              <w:pStyle w:val="6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管理服务方案</w:t>
            </w:r>
            <w:r>
              <w:rPr>
                <w:rFonts w:hint="eastAsia"/>
                <w:color w:val="000000" w:themeColor="text1"/>
                <w:sz w:val="24"/>
                <w:highlight w:val="none"/>
                <w:lang w:val="en-US"/>
                <w14:textFill>
                  <w14:solidFill>
                    <w14:schemeClr w14:val="tx1"/>
                  </w14:solidFill>
                </w14:textFill>
              </w:rPr>
              <w:t>5</w:t>
            </w:r>
            <w:r>
              <w:rPr>
                <w:rFonts w:hint="eastAsia"/>
                <w:color w:val="000000" w:themeColor="text1"/>
                <w:sz w:val="24"/>
                <w:highlight w:val="none"/>
                <w:lang w:val="en-US" w:eastAsia="zh-CN"/>
                <w14:textFill>
                  <w14:solidFill>
                    <w14:schemeClr w14:val="tx1"/>
                  </w14:solidFill>
                </w14:textFill>
              </w:rPr>
              <w:t>8</w:t>
            </w:r>
            <w:r>
              <w:rPr>
                <w:color w:val="000000" w:themeColor="text1"/>
                <w:sz w:val="24"/>
                <w:highlight w:val="none"/>
                <w14:textFill>
                  <w14:solidFill>
                    <w14:schemeClr w14:val="tx1"/>
                  </w14:solidFill>
                </w14:textFill>
              </w:rPr>
              <w:t>%</w:t>
            </w:r>
          </w:p>
        </w:tc>
        <w:tc>
          <w:tcPr>
            <w:tcW w:w="1276" w:type="dxa"/>
            <w:noWrap w:val="0"/>
            <w:vAlign w:val="top"/>
          </w:tcPr>
          <w:p>
            <w:pPr>
              <w:pStyle w:val="62"/>
              <w:spacing w:before="172" w:line="242" w:lineRule="auto"/>
              <w:ind w:left="108" w:right="19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食材采购环节规范操作管理制度 </w:t>
            </w:r>
          </w:p>
          <w:p>
            <w:pPr>
              <w:pStyle w:val="62"/>
              <w:spacing w:before="172" w:line="242" w:lineRule="auto"/>
              <w:ind w:left="108" w:right="195"/>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w:t>
            </w:r>
            <w:r>
              <w:rPr>
                <w:color w:val="000000" w:themeColor="text1"/>
                <w:sz w:val="24"/>
                <w:highlight w:val="none"/>
                <w14:textFill>
                  <w14:solidFill>
                    <w14:schemeClr w14:val="tx1"/>
                  </w14:solidFill>
                </w14:textFill>
              </w:rPr>
              <w:t>16</w:t>
            </w:r>
            <w:r>
              <w:rPr>
                <w:rFonts w:hint="eastAsia"/>
                <w:color w:val="000000" w:themeColor="text1"/>
                <w:sz w:val="24"/>
                <w:highlight w:val="none"/>
                <w14:textFill>
                  <w14:solidFill>
                    <w14:schemeClr w14:val="tx1"/>
                  </w14:solidFill>
                </w14:textFill>
              </w:rPr>
              <w:t>分</w:t>
            </w:r>
            <w:r>
              <w:rPr>
                <w:rFonts w:hint="eastAsia"/>
                <w:color w:val="000000" w:themeColor="text1"/>
                <w:sz w:val="24"/>
                <w:highlight w:val="none"/>
                <w:lang w:eastAsia="zh-CN"/>
                <w14:textFill>
                  <w14:solidFill>
                    <w14:schemeClr w14:val="tx1"/>
                  </w14:solidFill>
                </w14:textFill>
              </w:rPr>
              <w:t>）</w:t>
            </w:r>
          </w:p>
        </w:tc>
        <w:tc>
          <w:tcPr>
            <w:tcW w:w="5988" w:type="dxa"/>
            <w:noWrap w:val="0"/>
            <w:vAlign w:val="top"/>
          </w:tcPr>
          <w:p>
            <w:pPr>
              <w:pStyle w:val="62"/>
              <w:spacing w:before="16" w:line="242" w:lineRule="auto"/>
              <w:ind w:left="107" w:right="-29"/>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供应商针对本项目提供食材采购管理制度（包含但不限</w:t>
            </w:r>
            <w:r>
              <w:rPr>
                <w:color w:val="000000" w:themeColor="text1"/>
                <w:spacing w:val="-11"/>
                <w:sz w:val="24"/>
                <w:highlight w:val="none"/>
                <w14:textFill>
                  <w14:solidFill>
                    <w14:schemeClr w14:val="tx1"/>
                  </w14:solidFill>
                </w14:textFill>
              </w:rPr>
              <w:t>于①食材溯源、②食材采购流程、③食材质量保证措施、</w:t>
            </w:r>
          </w:p>
          <w:p>
            <w:pPr>
              <w:pStyle w:val="62"/>
              <w:spacing w:line="305" w:lineRule="exact"/>
              <w:ind w:left="107"/>
              <w:rPr>
                <w:b/>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④食材安全措施），符合本项目要求、内容详尽、可操作性强的得 16 分，</w:t>
            </w:r>
            <w:r>
              <w:rPr>
                <w:color w:val="000000" w:themeColor="text1"/>
                <w:spacing w:val="-12"/>
                <w:sz w:val="24"/>
                <w:highlight w:val="none"/>
                <w14:textFill>
                  <w14:solidFill>
                    <w14:schemeClr w14:val="tx1"/>
                  </w14:solidFill>
                </w14:textFill>
              </w:rPr>
              <w:t>每有一项缺项</w:t>
            </w:r>
            <w:r>
              <w:rPr>
                <w:rFonts w:hint="eastAsia"/>
                <w:color w:val="000000" w:themeColor="text1"/>
                <w:spacing w:val="-12"/>
                <w:sz w:val="24"/>
                <w:highlight w:val="none"/>
                <w:lang w:eastAsia="zh-CN"/>
                <w14:textFill>
                  <w14:solidFill>
                    <w14:schemeClr w14:val="tx1"/>
                  </w14:solidFill>
                </w14:textFill>
              </w:rPr>
              <w:t>扣</w:t>
            </w:r>
            <w:r>
              <w:rPr>
                <w:rFonts w:hint="eastAsia"/>
                <w:color w:val="000000" w:themeColor="text1"/>
                <w:spacing w:val="-12"/>
                <w:sz w:val="24"/>
                <w:highlight w:val="none"/>
                <w:lang w:val="en-US" w:eastAsia="zh-CN"/>
                <w14:textFill>
                  <w14:solidFill>
                    <w14:schemeClr w14:val="tx1"/>
                  </w14:solidFill>
                </w14:textFill>
              </w:rPr>
              <w:t>4分，</w:t>
            </w:r>
            <w:r>
              <w:rPr>
                <w:rFonts w:hint="eastAsia"/>
                <w:color w:val="000000" w:themeColor="text1"/>
                <w:spacing w:val="-4"/>
                <w:sz w:val="24"/>
                <w:highlight w:val="none"/>
                <w:lang w:eastAsia="zh-CN"/>
                <w14:textFill>
                  <w14:solidFill>
                    <w14:schemeClr w14:val="tx1"/>
                  </w14:solidFill>
                </w14:textFill>
              </w:rPr>
              <w:t>每有一项</w:t>
            </w:r>
            <w:r>
              <w:rPr>
                <w:color w:val="000000" w:themeColor="text1"/>
                <w:spacing w:val="-4"/>
                <w:sz w:val="24"/>
                <w:highlight w:val="none"/>
                <w14:textFill>
                  <w14:solidFill>
                    <w14:schemeClr w14:val="tx1"/>
                  </w14:solidFill>
                </w14:textFill>
              </w:rPr>
              <w:t xml:space="preserve">针对性不强或不满足要求的扣 </w:t>
            </w:r>
            <w:r>
              <w:rPr>
                <w:rFonts w:hint="eastAsia"/>
                <w:color w:val="000000" w:themeColor="text1"/>
                <w:spacing w:val="-4"/>
                <w:sz w:val="24"/>
                <w:highlight w:val="none"/>
                <w:lang w:val="en-US" w:eastAsia="zh-CN"/>
                <w14:textFill>
                  <w14:solidFill>
                    <w14:schemeClr w14:val="tx1"/>
                  </w14:solidFill>
                </w14:textFill>
              </w:rPr>
              <w:t>2</w:t>
            </w:r>
            <w:r>
              <w:rPr>
                <w:color w:val="000000" w:themeColor="text1"/>
                <w:spacing w:val="-8"/>
                <w:sz w:val="24"/>
                <w:highlight w:val="none"/>
                <w14:textFill>
                  <w14:solidFill>
                    <w14:schemeClr w14:val="tx1"/>
                  </w14:solidFill>
                </w14:textFill>
              </w:rPr>
              <w:t>分,扣完为止</w:t>
            </w:r>
            <w:r>
              <w:rPr>
                <w:color w:val="000000" w:themeColor="text1"/>
                <w:sz w:val="24"/>
                <w:highlight w:val="none"/>
                <w14:textFill>
                  <w14:solidFill>
                    <w14:schemeClr w14:val="tx1"/>
                  </w14:solidFill>
                </w14:textFill>
              </w:rPr>
              <w:t>。</w:t>
            </w:r>
          </w:p>
        </w:tc>
        <w:tc>
          <w:tcPr>
            <w:tcW w:w="1116" w:type="dxa"/>
            <w:vMerge w:val="restart"/>
            <w:noWrap w:val="0"/>
            <w:vAlign w:val="top"/>
          </w:tcPr>
          <w:p>
            <w:pPr>
              <w:pStyle w:val="62"/>
              <w:spacing w:before="1" w:line="242" w:lineRule="auto"/>
              <w:ind w:left="198" w:right="185"/>
              <w:jc w:val="center"/>
              <w:rPr>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jc w:val="center"/>
        </w:trPr>
        <w:tc>
          <w:tcPr>
            <w:tcW w:w="616" w:type="dxa"/>
            <w:vMerge w:val="continue"/>
            <w:tcBorders>
              <w:top w:val="nil"/>
            </w:tcBorders>
            <w:noWrap w:val="0"/>
            <w:vAlign w:val="top"/>
          </w:tcPr>
          <w:p>
            <w:pPr>
              <w:rPr>
                <w:color w:val="000000" w:themeColor="text1"/>
                <w:sz w:val="2"/>
                <w:szCs w:val="2"/>
                <w:highlight w:val="none"/>
                <w14:textFill>
                  <w14:solidFill>
                    <w14:schemeClr w14:val="tx1"/>
                  </w14:solidFill>
                </w14:textFill>
              </w:rPr>
            </w:pPr>
          </w:p>
        </w:tc>
        <w:tc>
          <w:tcPr>
            <w:tcW w:w="1276" w:type="dxa"/>
            <w:vMerge w:val="continue"/>
            <w:tcBorders>
              <w:top w:val="nil"/>
            </w:tcBorders>
            <w:noWrap w:val="0"/>
            <w:vAlign w:val="top"/>
          </w:tcPr>
          <w:p>
            <w:pPr>
              <w:rPr>
                <w:color w:val="000000" w:themeColor="text1"/>
                <w:sz w:val="2"/>
                <w:szCs w:val="2"/>
                <w:highlight w:val="none"/>
                <w14:textFill>
                  <w14:solidFill>
                    <w14:schemeClr w14:val="tx1"/>
                  </w14:solidFill>
                </w14:textFill>
              </w:rPr>
            </w:pPr>
          </w:p>
        </w:tc>
        <w:tc>
          <w:tcPr>
            <w:tcW w:w="1276" w:type="dxa"/>
            <w:noWrap w:val="0"/>
            <w:vAlign w:val="top"/>
          </w:tcPr>
          <w:p>
            <w:pPr>
              <w:pStyle w:val="62"/>
              <w:rPr>
                <w:color w:val="000000" w:themeColor="text1"/>
                <w:sz w:val="24"/>
                <w:highlight w:val="none"/>
                <w14:textFill>
                  <w14:solidFill>
                    <w14:schemeClr w14:val="tx1"/>
                  </w14:solidFill>
                </w14:textFill>
              </w:rPr>
            </w:pPr>
          </w:p>
          <w:p>
            <w:pPr>
              <w:pStyle w:val="62"/>
              <w:spacing w:before="9"/>
              <w:rPr>
                <w:color w:val="000000" w:themeColor="text1"/>
                <w:sz w:val="24"/>
                <w:highlight w:val="none"/>
                <w14:textFill>
                  <w14:solidFill>
                    <w14:schemeClr w14:val="tx1"/>
                  </w14:solidFill>
                </w14:textFill>
              </w:rPr>
            </w:pPr>
          </w:p>
          <w:p>
            <w:pPr>
              <w:pStyle w:val="62"/>
              <w:spacing w:line="242" w:lineRule="auto"/>
              <w:ind w:left="247" w:right="147" w:hanging="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配餐服务</w:t>
            </w:r>
          </w:p>
          <w:p>
            <w:pPr>
              <w:pStyle w:val="62"/>
              <w:spacing w:line="242" w:lineRule="auto"/>
              <w:ind w:left="247" w:right="147" w:hanging="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方案</w:t>
            </w:r>
          </w:p>
          <w:p>
            <w:pPr>
              <w:pStyle w:val="62"/>
              <w:spacing w:line="242" w:lineRule="auto"/>
              <w:ind w:left="247" w:right="147" w:hanging="92"/>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14:textFill>
                  <w14:solidFill>
                    <w14:schemeClr w14:val="tx1"/>
                  </w14:solidFill>
                </w14:textFill>
              </w:rPr>
              <w:t>1</w:t>
            </w:r>
            <w:r>
              <w:rPr>
                <w:rFonts w:hint="eastAsia"/>
                <w:color w:val="000000" w:themeColor="text1"/>
                <w:sz w:val="24"/>
                <w:highlight w:val="none"/>
                <w:lang w:val="en-US" w:eastAsia="zh-CN"/>
                <w14:textFill>
                  <w14:solidFill>
                    <w14:schemeClr w14:val="tx1"/>
                  </w14:solidFill>
                </w14:textFill>
              </w:rPr>
              <w:t>5</w:t>
            </w:r>
            <w:r>
              <w:rPr>
                <w:rFonts w:hint="eastAsia"/>
                <w:color w:val="000000" w:themeColor="text1"/>
                <w:sz w:val="24"/>
                <w:highlight w:val="none"/>
                <w14:textFill>
                  <w14:solidFill>
                    <w14:schemeClr w14:val="tx1"/>
                  </w14:solidFill>
                </w14:textFill>
              </w:rPr>
              <w:t>分</w:t>
            </w:r>
            <w:r>
              <w:rPr>
                <w:rFonts w:hint="eastAsia"/>
                <w:color w:val="000000" w:themeColor="text1"/>
                <w:sz w:val="24"/>
                <w:highlight w:val="none"/>
                <w:lang w:eastAsia="zh-CN"/>
                <w14:textFill>
                  <w14:solidFill>
                    <w14:schemeClr w14:val="tx1"/>
                  </w14:solidFill>
                </w14:textFill>
              </w:rPr>
              <w:t>）</w:t>
            </w:r>
          </w:p>
        </w:tc>
        <w:tc>
          <w:tcPr>
            <w:tcW w:w="5988" w:type="dxa"/>
            <w:noWrap w:val="0"/>
            <w:vAlign w:val="top"/>
          </w:tcPr>
          <w:p>
            <w:pPr>
              <w:pStyle w:val="62"/>
              <w:spacing w:before="4" w:line="290" w:lineRule="exact"/>
              <w:ind w:left="107"/>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供应商针对本项目提供有配餐方案完整（至少包括①供</w:t>
            </w:r>
            <w:r>
              <w:rPr>
                <w:color w:val="000000" w:themeColor="text1"/>
                <w:spacing w:val="-12"/>
                <w:sz w:val="24"/>
                <w:highlight w:val="none"/>
                <w14:textFill>
                  <w14:solidFill>
                    <w14:schemeClr w14:val="tx1"/>
                  </w14:solidFill>
                </w14:textFill>
              </w:rPr>
              <w:t>餐安排、② 饭菜搭配标准、③每周饭菜安排、④食材营</w:t>
            </w:r>
            <w:r>
              <w:rPr>
                <w:color w:val="000000" w:themeColor="text1"/>
                <w:sz w:val="24"/>
                <w:highlight w:val="none"/>
                <w14:textFill>
                  <w14:solidFill>
                    <w14:schemeClr w14:val="tx1"/>
                  </w14:solidFill>
                </w14:textFill>
              </w:rPr>
              <w:t>养搭配、⑤公务接待就餐人员应急安排等）且符合本项目要求、内容详尽、可操作性强的得 1</w:t>
            </w:r>
            <w:r>
              <w:rPr>
                <w:rFonts w:hint="eastAsia"/>
                <w:color w:val="000000" w:themeColor="text1"/>
                <w:sz w:val="24"/>
                <w:highlight w:val="none"/>
                <w:lang w:val="en-US" w:eastAsia="zh-CN"/>
                <w14:textFill>
                  <w14:solidFill>
                    <w14:schemeClr w14:val="tx1"/>
                  </w14:solidFill>
                </w14:textFill>
              </w:rPr>
              <w:t>5</w:t>
            </w:r>
            <w:r>
              <w:rPr>
                <w:color w:val="000000" w:themeColor="text1"/>
                <w:sz w:val="24"/>
                <w:highlight w:val="none"/>
                <w14:textFill>
                  <w14:solidFill>
                    <w14:schemeClr w14:val="tx1"/>
                  </w14:solidFill>
                </w14:textFill>
              </w:rPr>
              <w:t xml:space="preserve"> 分，</w:t>
            </w:r>
            <w:r>
              <w:rPr>
                <w:color w:val="000000" w:themeColor="text1"/>
                <w:spacing w:val="-12"/>
                <w:sz w:val="24"/>
                <w:highlight w:val="none"/>
                <w14:textFill>
                  <w14:solidFill>
                    <w14:schemeClr w14:val="tx1"/>
                  </w14:solidFill>
                </w14:textFill>
              </w:rPr>
              <w:t>每有一项缺项</w:t>
            </w:r>
            <w:r>
              <w:rPr>
                <w:rFonts w:hint="eastAsia"/>
                <w:color w:val="000000" w:themeColor="text1"/>
                <w:spacing w:val="-12"/>
                <w:sz w:val="24"/>
                <w:highlight w:val="none"/>
                <w:lang w:eastAsia="zh-CN"/>
                <w14:textFill>
                  <w14:solidFill>
                    <w14:schemeClr w14:val="tx1"/>
                  </w14:solidFill>
                </w14:textFill>
              </w:rPr>
              <w:t>扣</w:t>
            </w:r>
            <w:r>
              <w:rPr>
                <w:rFonts w:hint="eastAsia"/>
                <w:color w:val="000000" w:themeColor="text1"/>
                <w:spacing w:val="-12"/>
                <w:sz w:val="24"/>
                <w:highlight w:val="none"/>
                <w:lang w:val="en-US" w:eastAsia="zh-CN"/>
                <w14:textFill>
                  <w14:solidFill>
                    <w14:schemeClr w14:val="tx1"/>
                  </w14:solidFill>
                </w14:textFill>
              </w:rPr>
              <w:t>3分，</w:t>
            </w:r>
            <w:r>
              <w:rPr>
                <w:rFonts w:hint="eastAsia"/>
                <w:color w:val="000000" w:themeColor="text1"/>
                <w:spacing w:val="-4"/>
                <w:sz w:val="24"/>
                <w:highlight w:val="none"/>
                <w:lang w:eastAsia="zh-CN"/>
                <w14:textFill>
                  <w14:solidFill>
                    <w14:schemeClr w14:val="tx1"/>
                  </w14:solidFill>
                </w14:textFill>
              </w:rPr>
              <w:t>每有一项</w:t>
            </w:r>
            <w:r>
              <w:rPr>
                <w:color w:val="000000" w:themeColor="text1"/>
                <w:spacing w:val="-4"/>
                <w:sz w:val="24"/>
                <w:highlight w:val="none"/>
                <w14:textFill>
                  <w14:solidFill>
                    <w14:schemeClr w14:val="tx1"/>
                  </w14:solidFill>
                </w14:textFill>
              </w:rPr>
              <w:t xml:space="preserve">针对性不强或不满足要求的扣 </w:t>
            </w:r>
            <w:r>
              <w:rPr>
                <w:rFonts w:hint="eastAsia"/>
                <w:color w:val="000000" w:themeColor="text1"/>
                <w:spacing w:val="-4"/>
                <w:sz w:val="24"/>
                <w:highlight w:val="none"/>
                <w:lang w:val="en-US" w:eastAsia="zh-CN"/>
                <w14:textFill>
                  <w14:solidFill>
                    <w14:schemeClr w14:val="tx1"/>
                  </w14:solidFill>
                </w14:textFill>
              </w:rPr>
              <w:t>1.5</w:t>
            </w:r>
            <w:r>
              <w:rPr>
                <w:color w:val="000000" w:themeColor="text1"/>
                <w:spacing w:val="-8"/>
                <w:sz w:val="24"/>
                <w:highlight w:val="none"/>
                <w14:textFill>
                  <w14:solidFill>
                    <w14:schemeClr w14:val="tx1"/>
                  </w14:solidFill>
                </w14:textFill>
              </w:rPr>
              <w:t>分,扣完为止</w:t>
            </w:r>
            <w:r>
              <w:rPr>
                <w:color w:val="000000" w:themeColor="text1"/>
                <w:sz w:val="24"/>
                <w:highlight w:val="none"/>
                <w14:textFill>
                  <w14:solidFill>
                    <w14:schemeClr w14:val="tx1"/>
                  </w14:solidFill>
                </w14:textFill>
              </w:rPr>
              <w:t>。</w:t>
            </w:r>
          </w:p>
        </w:tc>
        <w:tc>
          <w:tcPr>
            <w:tcW w:w="1116" w:type="dxa"/>
            <w:vMerge w:val="continue"/>
            <w:tcBorders>
              <w:top w:val="nil"/>
            </w:tcBorders>
            <w:noWrap w:val="0"/>
            <w:vAlign w:val="top"/>
          </w:tcPr>
          <w:p>
            <w:pPr>
              <w:rPr>
                <w:color w:val="000000" w:themeColor="text1"/>
                <w:sz w:val="2"/>
                <w:szCs w:val="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616" w:type="dxa"/>
            <w:vMerge w:val="continue"/>
            <w:tcBorders>
              <w:top w:val="nil"/>
            </w:tcBorders>
            <w:noWrap w:val="0"/>
            <w:vAlign w:val="top"/>
          </w:tcPr>
          <w:p>
            <w:pPr>
              <w:rPr>
                <w:color w:val="000000" w:themeColor="text1"/>
                <w:sz w:val="2"/>
                <w:szCs w:val="2"/>
                <w:highlight w:val="none"/>
                <w14:textFill>
                  <w14:solidFill>
                    <w14:schemeClr w14:val="tx1"/>
                  </w14:solidFill>
                </w14:textFill>
              </w:rPr>
            </w:pPr>
          </w:p>
        </w:tc>
        <w:tc>
          <w:tcPr>
            <w:tcW w:w="1276" w:type="dxa"/>
            <w:vMerge w:val="continue"/>
            <w:tcBorders>
              <w:top w:val="nil"/>
            </w:tcBorders>
            <w:noWrap w:val="0"/>
            <w:vAlign w:val="top"/>
          </w:tcPr>
          <w:p>
            <w:pPr>
              <w:rPr>
                <w:color w:val="000000" w:themeColor="text1"/>
                <w:sz w:val="2"/>
                <w:szCs w:val="2"/>
                <w:highlight w:val="none"/>
                <w14:textFill>
                  <w14:solidFill>
                    <w14:schemeClr w14:val="tx1"/>
                  </w14:solidFill>
                </w14:textFill>
              </w:rPr>
            </w:pPr>
          </w:p>
        </w:tc>
        <w:tc>
          <w:tcPr>
            <w:tcW w:w="1276" w:type="dxa"/>
            <w:noWrap w:val="0"/>
            <w:vAlign w:val="top"/>
          </w:tcPr>
          <w:p>
            <w:pPr>
              <w:pStyle w:val="62"/>
              <w:spacing w:before="7"/>
              <w:rPr>
                <w:color w:val="000000" w:themeColor="text1"/>
                <w:sz w:val="25"/>
                <w:highlight w:val="none"/>
                <w14:textFill>
                  <w14:solidFill>
                    <w14:schemeClr w14:val="tx1"/>
                  </w14:solidFill>
                </w14:textFill>
              </w:rPr>
            </w:pPr>
          </w:p>
          <w:p>
            <w:pPr>
              <w:pStyle w:val="62"/>
              <w:spacing w:before="1" w:line="242" w:lineRule="auto"/>
              <w:ind w:left="108" w:right="195"/>
              <w:rPr>
                <w:color w:val="000000" w:themeColor="text1"/>
                <w:sz w:val="24"/>
                <w:highlight w:val="none"/>
                <w14:textFill>
                  <w14:solidFill>
                    <w14:schemeClr w14:val="tx1"/>
                  </w14:solidFill>
                </w14:textFill>
              </w:rPr>
            </w:pPr>
            <w:r>
              <w:rPr>
                <w:color w:val="000000" w:themeColor="text1"/>
                <w:spacing w:val="-5"/>
                <w:sz w:val="24"/>
                <w:highlight w:val="none"/>
                <w14:textFill>
                  <w14:solidFill>
                    <w14:schemeClr w14:val="tx1"/>
                  </w14:solidFill>
                </w14:textFill>
              </w:rPr>
              <w:t>卫生管理</w:t>
            </w:r>
            <w:r>
              <w:rPr>
                <w:color w:val="000000" w:themeColor="text1"/>
                <w:sz w:val="24"/>
                <w:highlight w:val="none"/>
                <w14:textFill>
                  <w14:solidFill>
                    <w14:schemeClr w14:val="tx1"/>
                  </w14:solidFill>
                </w14:textFill>
              </w:rPr>
              <w:t>方案</w:t>
            </w:r>
          </w:p>
          <w:p>
            <w:pPr>
              <w:pStyle w:val="62"/>
              <w:spacing w:before="1" w:line="242" w:lineRule="auto"/>
              <w:ind w:left="108" w:right="195"/>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w:t>
            </w:r>
            <w:r>
              <w:rPr>
                <w:color w:val="000000" w:themeColor="text1"/>
                <w:sz w:val="24"/>
                <w:highlight w:val="none"/>
                <w14:textFill>
                  <w14:solidFill>
                    <w14:schemeClr w14:val="tx1"/>
                  </w14:solidFill>
                </w14:textFill>
              </w:rPr>
              <w:t>12</w:t>
            </w:r>
            <w:r>
              <w:rPr>
                <w:rFonts w:hint="eastAsia"/>
                <w:color w:val="000000" w:themeColor="text1"/>
                <w:sz w:val="24"/>
                <w:highlight w:val="none"/>
                <w14:textFill>
                  <w14:solidFill>
                    <w14:schemeClr w14:val="tx1"/>
                  </w14:solidFill>
                </w14:textFill>
              </w:rPr>
              <w:t>分</w:t>
            </w:r>
            <w:r>
              <w:rPr>
                <w:rFonts w:hint="eastAsia"/>
                <w:color w:val="000000" w:themeColor="text1"/>
                <w:sz w:val="24"/>
                <w:highlight w:val="none"/>
                <w:lang w:eastAsia="zh-CN"/>
                <w14:textFill>
                  <w14:solidFill>
                    <w14:schemeClr w14:val="tx1"/>
                  </w14:solidFill>
                </w14:textFill>
              </w:rPr>
              <w:t>）</w:t>
            </w:r>
          </w:p>
        </w:tc>
        <w:tc>
          <w:tcPr>
            <w:tcW w:w="5988" w:type="dxa"/>
            <w:noWrap w:val="0"/>
            <w:vAlign w:val="top"/>
          </w:tcPr>
          <w:p>
            <w:pPr>
              <w:pStyle w:val="62"/>
              <w:spacing w:before="16" w:line="242" w:lineRule="auto"/>
              <w:ind w:left="107" w:right="108"/>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供应商针对本项目提供卫生管理方案（</w:t>
            </w:r>
            <w:r>
              <w:rPr>
                <w:color w:val="000000" w:themeColor="text1"/>
                <w:spacing w:val="-3"/>
                <w:sz w:val="24"/>
                <w:highlight w:val="none"/>
                <w14:textFill>
                  <w14:solidFill>
                    <w14:schemeClr w14:val="tx1"/>
                  </w14:solidFill>
                </w14:textFill>
              </w:rPr>
              <w:t xml:space="preserve">包含但不限于① </w:t>
            </w:r>
            <w:r>
              <w:rPr>
                <w:color w:val="000000" w:themeColor="text1"/>
                <w:spacing w:val="-1"/>
                <w:sz w:val="24"/>
                <w:highlight w:val="none"/>
                <w14:textFill>
                  <w14:solidFill>
                    <w14:schemeClr w14:val="tx1"/>
                  </w14:solidFill>
                </w14:textFill>
              </w:rPr>
              <w:t>厨房及设备设施卫生、②餐厅卫生、③食品制作卫生、</w:t>
            </w:r>
          </w:p>
          <w:p>
            <w:pPr>
              <w:pStyle w:val="62"/>
              <w:spacing w:before="3" w:line="305" w:lineRule="exact"/>
              <w:ind w:left="107"/>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④个人卫生</w:t>
            </w:r>
            <w:r>
              <w:rPr>
                <w:color w:val="000000" w:themeColor="text1"/>
                <w:spacing w:val="-36"/>
                <w:sz w:val="24"/>
                <w:highlight w:val="none"/>
                <w14:textFill>
                  <w14:solidFill>
                    <w14:schemeClr w14:val="tx1"/>
                  </w14:solidFill>
                </w14:textFill>
              </w:rPr>
              <w:t>）</w:t>
            </w:r>
            <w:r>
              <w:rPr>
                <w:color w:val="000000" w:themeColor="text1"/>
                <w:spacing w:val="-7"/>
                <w:sz w:val="24"/>
                <w:highlight w:val="none"/>
                <w14:textFill>
                  <w14:solidFill>
                    <w14:schemeClr w14:val="tx1"/>
                  </w14:solidFill>
                </w14:textFill>
              </w:rPr>
              <w:t>方案符合本项目要求、 内容详尽、可操作</w:t>
            </w:r>
            <w:r>
              <w:rPr>
                <w:color w:val="000000" w:themeColor="text1"/>
                <w:spacing w:val="-12"/>
                <w:sz w:val="24"/>
                <w:highlight w:val="none"/>
                <w14:textFill>
                  <w14:solidFill>
                    <w14:schemeClr w14:val="tx1"/>
                  </w14:solidFill>
                </w14:textFill>
              </w:rPr>
              <w:t xml:space="preserve">性强的得 </w:t>
            </w:r>
            <w:r>
              <w:rPr>
                <w:color w:val="000000" w:themeColor="text1"/>
                <w:sz w:val="24"/>
                <w:highlight w:val="none"/>
                <w14:textFill>
                  <w14:solidFill>
                    <w14:schemeClr w14:val="tx1"/>
                  </w14:solidFill>
                </w14:textFill>
              </w:rPr>
              <w:t>12</w:t>
            </w:r>
            <w:r>
              <w:rPr>
                <w:color w:val="000000" w:themeColor="text1"/>
                <w:spacing w:val="-15"/>
                <w:sz w:val="24"/>
                <w:highlight w:val="none"/>
                <w14:textFill>
                  <w14:solidFill>
                    <w14:schemeClr w14:val="tx1"/>
                  </w14:solidFill>
                </w14:textFill>
              </w:rPr>
              <w:t xml:space="preserve"> 分，</w:t>
            </w:r>
            <w:r>
              <w:rPr>
                <w:color w:val="000000" w:themeColor="text1"/>
                <w:spacing w:val="-12"/>
                <w:sz w:val="24"/>
                <w:highlight w:val="none"/>
                <w14:textFill>
                  <w14:solidFill>
                    <w14:schemeClr w14:val="tx1"/>
                  </w14:solidFill>
                </w14:textFill>
              </w:rPr>
              <w:t>每有一项缺项</w:t>
            </w:r>
            <w:r>
              <w:rPr>
                <w:rFonts w:hint="eastAsia"/>
                <w:color w:val="000000" w:themeColor="text1"/>
                <w:spacing w:val="-12"/>
                <w:sz w:val="24"/>
                <w:highlight w:val="none"/>
                <w:lang w:eastAsia="zh-CN"/>
                <w14:textFill>
                  <w14:solidFill>
                    <w14:schemeClr w14:val="tx1"/>
                  </w14:solidFill>
                </w14:textFill>
              </w:rPr>
              <w:t>扣</w:t>
            </w:r>
            <w:r>
              <w:rPr>
                <w:rFonts w:hint="eastAsia"/>
                <w:color w:val="000000" w:themeColor="text1"/>
                <w:spacing w:val="-12"/>
                <w:sz w:val="24"/>
                <w:highlight w:val="none"/>
                <w:lang w:val="en-US" w:eastAsia="zh-CN"/>
                <w14:textFill>
                  <w14:solidFill>
                    <w14:schemeClr w14:val="tx1"/>
                  </w14:solidFill>
                </w14:textFill>
              </w:rPr>
              <w:t>3分，</w:t>
            </w:r>
            <w:r>
              <w:rPr>
                <w:rFonts w:hint="eastAsia"/>
                <w:color w:val="000000" w:themeColor="text1"/>
                <w:spacing w:val="-4"/>
                <w:sz w:val="24"/>
                <w:highlight w:val="none"/>
                <w:lang w:eastAsia="zh-CN"/>
                <w14:textFill>
                  <w14:solidFill>
                    <w14:schemeClr w14:val="tx1"/>
                  </w14:solidFill>
                </w14:textFill>
              </w:rPr>
              <w:t>每有一项</w:t>
            </w:r>
            <w:r>
              <w:rPr>
                <w:color w:val="000000" w:themeColor="text1"/>
                <w:spacing w:val="-4"/>
                <w:sz w:val="24"/>
                <w:highlight w:val="none"/>
                <w14:textFill>
                  <w14:solidFill>
                    <w14:schemeClr w14:val="tx1"/>
                  </w14:solidFill>
                </w14:textFill>
              </w:rPr>
              <w:t xml:space="preserve">针对性不强或不满足要求的扣 </w:t>
            </w:r>
            <w:r>
              <w:rPr>
                <w:rFonts w:hint="eastAsia"/>
                <w:color w:val="000000" w:themeColor="text1"/>
                <w:spacing w:val="-4"/>
                <w:sz w:val="24"/>
                <w:highlight w:val="none"/>
                <w:lang w:val="en-US" w:eastAsia="zh-CN"/>
                <w14:textFill>
                  <w14:solidFill>
                    <w14:schemeClr w14:val="tx1"/>
                  </w14:solidFill>
                </w14:textFill>
              </w:rPr>
              <w:t>1.5</w:t>
            </w:r>
            <w:r>
              <w:rPr>
                <w:color w:val="000000" w:themeColor="text1"/>
                <w:spacing w:val="-8"/>
                <w:sz w:val="24"/>
                <w:highlight w:val="none"/>
                <w14:textFill>
                  <w14:solidFill>
                    <w14:schemeClr w14:val="tx1"/>
                  </w14:solidFill>
                </w14:textFill>
              </w:rPr>
              <w:t>分,扣完为止</w:t>
            </w:r>
            <w:r>
              <w:rPr>
                <w:color w:val="000000" w:themeColor="text1"/>
                <w:sz w:val="24"/>
                <w:highlight w:val="none"/>
                <w14:textFill>
                  <w14:solidFill>
                    <w14:schemeClr w14:val="tx1"/>
                  </w14:solidFill>
                </w14:textFill>
              </w:rPr>
              <w:t>。</w:t>
            </w:r>
          </w:p>
        </w:tc>
        <w:tc>
          <w:tcPr>
            <w:tcW w:w="1116" w:type="dxa"/>
            <w:vMerge w:val="continue"/>
            <w:tcBorders>
              <w:top w:val="nil"/>
            </w:tcBorders>
            <w:noWrap w:val="0"/>
            <w:vAlign w:val="top"/>
          </w:tcPr>
          <w:p>
            <w:pPr>
              <w:rPr>
                <w:color w:val="000000" w:themeColor="text1"/>
                <w:sz w:val="2"/>
                <w:szCs w:val="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jc w:val="center"/>
        </w:trPr>
        <w:tc>
          <w:tcPr>
            <w:tcW w:w="616" w:type="dxa"/>
            <w:vMerge w:val="continue"/>
            <w:tcBorders>
              <w:top w:val="nil"/>
            </w:tcBorders>
            <w:noWrap w:val="0"/>
            <w:vAlign w:val="top"/>
          </w:tcPr>
          <w:p>
            <w:pPr>
              <w:rPr>
                <w:color w:val="000000" w:themeColor="text1"/>
                <w:sz w:val="2"/>
                <w:szCs w:val="2"/>
                <w:highlight w:val="none"/>
                <w14:textFill>
                  <w14:solidFill>
                    <w14:schemeClr w14:val="tx1"/>
                  </w14:solidFill>
                </w14:textFill>
              </w:rPr>
            </w:pPr>
          </w:p>
        </w:tc>
        <w:tc>
          <w:tcPr>
            <w:tcW w:w="1276" w:type="dxa"/>
            <w:vMerge w:val="continue"/>
            <w:tcBorders>
              <w:top w:val="nil"/>
            </w:tcBorders>
            <w:noWrap w:val="0"/>
            <w:vAlign w:val="top"/>
          </w:tcPr>
          <w:p>
            <w:pPr>
              <w:rPr>
                <w:color w:val="000000" w:themeColor="text1"/>
                <w:sz w:val="2"/>
                <w:szCs w:val="2"/>
                <w:highlight w:val="none"/>
                <w14:textFill>
                  <w14:solidFill>
                    <w14:schemeClr w14:val="tx1"/>
                  </w14:solidFill>
                </w14:textFill>
              </w:rPr>
            </w:pPr>
          </w:p>
        </w:tc>
        <w:tc>
          <w:tcPr>
            <w:tcW w:w="1276" w:type="dxa"/>
            <w:noWrap w:val="0"/>
            <w:vAlign w:val="top"/>
          </w:tcPr>
          <w:p>
            <w:pPr>
              <w:pStyle w:val="62"/>
              <w:rPr>
                <w:color w:val="000000" w:themeColor="text1"/>
                <w:sz w:val="24"/>
                <w:highlight w:val="none"/>
                <w14:textFill>
                  <w14:solidFill>
                    <w14:schemeClr w14:val="tx1"/>
                  </w14:solidFill>
                </w14:textFill>
              </w:rPr>
            </w:pPr>
          </w:p>
          <w:p>
            <w:pPr>
              <w:pStyle w:val="62"/>
              <w:spacing w:before="11"/>
              <w:rPr>
                <w:color w:val="000000" w:themeColor="text1"/>
                <w:sz w:val="19"/>
                <w:highlight w:val="none"/>
                <w14:textFill>
                  <w14:solidFill>
                    <w14:schemeClr w14:val="tx1"/>
                  </w14:solidFill>
                </w14:textFill>
              </w:rPr>
            </w:pPr>
          </w:p>
          <w:p>
            <w:pPr>
              <w:pStyle w:val="62"/>
              <w:spacing w:line="242" w:lineRule="auto"/>
              <w:ind w:left="348" w:right="147" w:hanging="1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管理制度</w:t>
            </w:r>
          </w:p>
          <w:p>
            <w:pPr>
              <w:pStyle w:val="62"/>
              <w:spacing w:line="242" w:lineRule="auto"/>
              <w:ind w:left="348" w:right="147" w:hanging="192"/>
              <w:rPr>
                <w:rFonts w:hint="eastAsia"/>
                <w:color w:val="000000" w:themeColor="text1"/>
                <w:sz w:val="24"/>
                <w:highlight w:val="none"/>
                <w:lang w:val="en-US"/>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w:t>
            </w:r>
            <w:r>
              <w:rPr>
                <w:color w:val="000000" w:themeColor="text1"/>
                <w:sz w:val="24"/>
                <w:highlight w:val="none"/>
                <w14:textFill>
                  <w14:solidFill>
                    <w14:schemeClr w14:val="tx1"/>
                  </w14:solidFill>
                </w14:textFill>
              </w:rPr>
              <w:t>1</w:t>
            </w:r>
            <w:r>
              <w:rPr>
                <w:rFonts w:hint="eastAsia"/>
                <w:color w:val="000000" w:themeColor="text1"/>
                <w:sz w:val="24"/>
                <w:highlight w:val="none"/>
                <w:lang w:val="en-US"/>
                <w14:textFill>
                  <w14:solidFill>
                    <w14:schemeClr w14:val="tx1"/>
                  </w14:solidFill>
                </w14:textFill>
              </w:rPr>
              <w:t>5分</w:t>
            </w:r>
            <w:r>
              <w:rPr>
                <w:rFonts w:hint="eastAsia"/>
                <w:color w:val="000000" w:themeColor="text1"/>
                <w:sz w:val="24"/>
                <w:highlight w:val="none"/>
                <w:lang w:eastAsia="zh-CN"/>
                <w14:textFill>
                  <w14:solidFill>
                    <w14:schemeClr w14:val="tx1"/>
                  </w14:solidFill>
                </w14:textFill>
              </w:rPr>
              <w:t>）</w:t>
            </w:r>
          </w:p>
        </w:tc>
        <w:tc>
          <w:tcPr>
            <w:tcW w:w="5988" w:type="dxa"/>
            <w:noWrap w:val="0"/>
            <w:vAlign w:val="top"/>
          </w:tcPr>
          <w:p>
            <w:pPr>
              <w:pStyle w:val="62"/>
              <w:spacing w:before="1"/>
              <w:ind w:left="107" w:right="-29"/>
              <w:rPr>
                <w:color w:val="000000" w:themeColor="text1"/>
                <w:sz w:val="24"/>
                <w:highlight w:val="none"/>
                <w14:textFill>
                  <w14:solidFill>
                    <w14:schemeClr w14:val="tx1"/>
                  </w14:solidFill>
                </w14:textFill>
              </w:rPr>
            </w:pPr>
            <w:r>
              <w:rPr>
                <w:color w:val="000000" w:themeColor="text1"/>
                <w:spacing w:val="-9"/>
                <w:sz w:val="24"/>
                <w:highlight w:val="none"/>
                <w14:textFill>
                  <w14:solidFill>
                    <w14:schemeClr w14:val="tx1"/>
                  </w14:solidFill>
                </w14:textFill>
              </w:rPr>
              <w:t>供应商具有完善的食堂管理制度，包括①员工管理制度、</w:t>
            </w:r>
          </w:p>
          <w:p>
            <w:pPr>
              <w:pStyle w:val="62"/>
              <w:spacing w:before="1" w:line="291" w:lineRule="exact"/>
              <w:ind w:left="107"/>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②库房管理制度、③食品留样制度、④清洗消毒保洁制度、⑤设施设备安全操作制度。制度标准符合本项目要</w:t>
            </w:r>
            <w:r>
              <w:rPr>
                <w:color w:val="000000" w:themeColor="text1"/>
                <w:spacing w:val="-6"/>
                <w:sz w:val="24"/>
                <w:highlight w:val="none"/>
                <w14:textFill>
                  <w14:solidFill>
                    <w14:schemeClr w14:val="tx1"/>
                  </w14:solidFill>
                </w14:textFill>
              </w:rPr>
              <w:t xml:space="preserve">求、 内容详尽、可操作性强的得 </w:t>
            </w:r>
            <w:r>
              <w:rPr>
                <w:color w:val="000000" w:themeColor="text1"/>
                <w:sz w:val="24"/>
                <w:highlight w:val="none"/>
                <w14:textFill>
                  <w14:solidFill>
                    <w14:schemeClr w14:val="tx1"/>
                  </w14:solidFill>
                </w14:textFill>
              </w:rPr>
              <w:t>1</w:t>
            </w:r>
            <w:r>
              <w:rPr>
                <w:rFonts w:hint="eastAsia"/>
                <w:color w:val="000000" w:themeColor="text1"/>
                <w:sz w:val="24"/>
                <w:highlight w:val="none"/>
                <w:lang w:val="en-US"/>
                <w14:textFill>
                  <w14:solidFill>
                    <w14:schemeClr w14:val="tx1"/>
                  </w14:solidFill>
                </w14:textFill>
              </w:rPr>
              <w:t>5</w:t>
            </w:r>
            <w:r>
              <w:rPr>
                <w:color w:val="000000" w:themeColor="text1"/>
                <w:spacing w:val="-12"/>
                <w:sz w:val="24"/>
                <w:highlight w:val="none"/>
                <w14:textFill>
                  <w14:solidFill>
                    <w14:schemeClr w14:val="tx1"/>
                  </w14:solidFill>
                </w14:textFill>
              </w:rPr>
              <w:t xml:space="preserve"> 分，每有一项缺项</w:t>
            </w:r>
            <w:r>
              <w:rPr>
                <w:rFonts w:hint="eastAsia"/>
                <w:color w:val="000000" w:themeColor="text1"/>
                <w:spacing w:val="-12"/>
                <w:sz w:val="24"/>
                <w:highlight w:val="none"/>
                <w:lang w:eastAsia="zh-CN"/>
                <w14:textFill>
                  <w14:solidFill>
                    <w14:schemeClr w14:val="tx1"/>
                  </w14:solidFill>
                </w14:textFill>
              </w:rPr>
              <w:t>扣</w:t>
            </w:r>
            <w:r>
              <w:rPr>
                <w:rFonts w:hint="eastAsia"/>
                <w:color w:val="000000" w:themeColor="text1"/>
                <w:spacing w:val="-12"/>
                <w:sz w:val="24"/>
                <w:highlight w:val="none"/>
                <w:lang w:val="en-US" w:eastAsia="zh-CN"/>
                <w14:textFill>
                  <w14:solidFill>
                    <w14:schemeClr w14:val="tx1"/>
                  </w14:solidFill>
                </w14:textFill>
              </w:rPr>
              <w:t>3分，</w:t>
            </w:r>
            <w:r>
              <w:rPr>
                <w:rFonts w:hint="eastAsia"/>
                <w:color w:val="000000" w:themeColor="text1"/>
                <w:spacing w:val="-4"/>
                <w:sz w:val="24"/>
                <w:highlight w:val="none"/>
                <w:lang w:eastAsia="zh-CN"/>
                <w14:textFill>
                  <w14:solidFill>
                    <w14:schemeClr w14:val="tx1"/>
                  </w14:solidFill>
                </w14:textFill>
              </w:rPr>
              <w:t>每有一项</w:t>
            </w:r>
            <w:r>
              <w:rPr>
                <w:color w:val="000000" w:themeColor="text1"/>
                <w:spacing w:val="-4"/>
                <w:sz w:val="24"/>
                <w:highlight w:val="none"/>
                <w14:textFill>
                  <w14:solidFill>
                    <w14:schemeClr w14:val="tx1"/>
                  </w14:solidFill>
                </w14:textFill>
              </w:rPr>
              <w:t xml:space="preserve">针对性不强或不满足要求的扣 </w:t>
            </w:r>
            <w:r>
              <w:rPr>
                <w:rFonts w:hint="eastAsia"/>
                <w:color w:val="000000" w:themeColor="text1"/>
                <w:spacing w:val="-4"/>
                <w:sz w:val="24"/>
                <w:highlight w:val="none"/>
                <w:lang w:val="en-US" w:eastAsia="zh-CN"/>
                <w14:textFill>
                  <w14:solidFill>
                    <w14:schemeClr w14:val="tx1"/>
                  </w14:solidFill>
                </w14:textFill>
              </w:rPr>
              <w:t>1.5</w:t>
            </w:r>
            <w:r>
              <w:rPr>
                <w:color w:val="000000" w:themeColor="text1"/>
                <w:spacing w:val="-8"/>
                <w:sz w:val="24"/>
                <w:highlight w:val="none"/>
                <w14:textFill>
                  <w14:solidFill>
                    <w14:schemeClr w14:val="tx1"/>
                  </w14:solidFill>
                </w14:textFill>
              </w:rPr>
              <w:t>分,扣完为止</w:t>
            </w:r>
            <w:r>
              <w:rPr>
                <w:color w:val="000000" w:themeColor="text1"/>
                <w:sz w:val="24"/>
                <w:highlight w:val="none"/>
                <w14:textFill>
                  <w14:solidFill>
                    <w14:schemeClr w14:val="tx1"/>
                  </w14:solidFill>
                </w14:textFill>
              </w:rPr>
              <w:t>。</w:t>
            </w:r>
          </w:p>
        </w:tc>
        <w:tc>
          <w:tcPr>
            <w:tcW w:w="1116" w:type="dxa"/>
            <w:vMerge w:val="continue"/>
            <w:tcBorders>
              <w:top w:val="nil"/>
            </w:tcBorders>
            <w:noWrap w:val="0"/>
            <w:vAlign w:val="top"/>
          </w:tcPr>
          <w:p>
            <w:pPr>
              <w:rPr>
                <w:color w:val="000000" w:themeColor="text1"/>
                <w:sz w:val="2"/>
                <w:szCs w:val="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616" w:type="dxa"/>
            <w:noWrap w:val="0"/>
            <w:vAlign w:val="center"/>
          </w:tcPr>
          <w:p>
            <w:pPr>
              <w:pStyle w:val="62"/>
              <w:spacing w:before="156"/>
              <w:ind w:left="11"/>
              <w:jc w:val="center"/>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3</w:t>
            </w:r>
          </w:p>
        </w:tc>
        <w:tc>
          <w:tcPr>
            <w:tcW w:w="1276" w:type="dxa"/>
            <w:noWrap w:val="0"/>
            <w:vAlign w:val="center"/>
          </w:tcPr>
          <w:p>
            <w:pPr>
              <w:pStyle w:val="62"/>
              <w:ind w:left="137" w:right="127"/>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应急预案</w:t>
            </w:r>
          </w:p>
          <w:p>
            <w:pPr>
              <w:pStyle w:val="62"/>
              <w:spacing w:before="4" w:line="288" w:lineRule="exact"/>
              <w:ind w:left="137" w:right="127"/>
              <w:jc w:val="center"/>
              <w:rPr>
                <w:color w:val="000000" w:themeColor="text1"/>
                <w:sz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28</w:t>
            </w:r>
            <w:r>
              <w:rPr>
                <w:color w:val="000000" w:themeColor="text1"/>
                <w:sz w:val="24"/>
                <w:highlight w:val="none"/>
                <w14:textFill>
                  <w14:solidFill>
                    <w14:schemeClr w14:val="tx1"/>
                  </w14:solidFill>
                </w14:textFill>
              </w:rPr>
              <w:t>%</w:t>
            </w:r>
          </w:p>
        </w:tc>
        <w:tc>
          <w:tcPr>
            <w:tcW w:w="1276" w:type="dxa"/>
            <w:noWrap w:val="0"/>
            <w:vAlign w:val="center"/>
          </w:tcPr>
          <w:p>
            <w:pPr>
              <w:pStyle w:val="62"/>
              <w:spacing w:before="156"/>
              <w:ind w:left="135" w:right="128"/>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28分</w:t>
            </w:r>
          </w:p>
        </w:tc>
        <w:tc>
          <w:tcPr>
            <w:tcW w:w="5988" w:type="dxa"/>
            <w:noWrap w:val="0"/>
            <w:vAlign w:val="center"/>
          </w:tcPr>
          <w:p>
            <w:pPr>
              <w:pStyle w:val="62"/>
              <w:ind w:left="107"/>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供应商针对本项目提供有应急预案（包含但不限于①煤</w:t>
            </w:r>
          </w:p>
          <w:p>
            <w:pPr>
              <w:pStyle w:val="62"/>
              <w:spacing w:before="1" w:line="242" w:lineRule="auto"/>
              <w:ind w:left="107" w:right="108"/>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气泄漏，②食品中毒，③火灾、自然灾害等突发事件的预案，④停水停电停气的应急处置预案），预案符合本项目要求、内容详尽、可操作性强的得 </w:t>
            </w:r>
            <w:r>
              <w:rPr>
                <w:rFonts w:hint="eastAsia"/>
                <w:color w:val="000000" w:themeColor="text1"/>
                <w:sz w:val="24"/>
                <w:highlight w:val="none"/>
                <w:lang w:val="en-US" w:eastAsia="zh-CN"/>
                <w14:textFill>
                  <w14:solidFill>
                    <w14:schemeClr w14:val="tx1"/>
                  </w14:solidFill>
                </w14:textFill>
              </w:rPr>
              <w:t>28</w:t>
            </w:r>
            <w:r>
              <w:rPr>
                <w:color w:val="000000" w:themeColor="text1"/>
                <w:sz w:val="24"/>
                <w:highlight w:val="none"/>
                <w14:textFill>
                  <w14:solidFill>
                    <w14:schemeClr w14:val="tx1"/>
                  </w14:solidFill>
                </w14:textFill>
              </w:rPr>
              <w:t>分，每有一</w:t>
            </w:r>
          </w:p>
          <w:p>
            <w:pPr>
              <w:pStyle w:val="62"/>
              <w:spacing w:before="4" w:line="288" w:lineRule="exact"/>
              <w:ind w:left="107"/>
              <w:jc w:val="both"/>
              <w:rPr>
                <w:color w:val="000000" w:themeColor="text1"/>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项缺项</w:t>
            </w:r>
            <w:r>
              <w:rPr>
                <w:rFonts w:hint="eastAsia"/>
                <w:color w:val="000000" w:themeColor="text1"/>
                <w:spacing w:val="-4"/>
                <w:sz w:val="24"/>
                <w:highlight w:val="none"/>
                <w:lang w:eastAsia="zh-CN"/>
                <w14:textFill>
                  <w14:solidFill>
                    <w14:schemeClr w14:val="tx1"/>
                  </w14:solidFill>
                </w14:textFill>
              </w:rPr>
              <w:t>扣</w:t>
            </w:r>
            <w:r>
              <w:rPr>
                <w:rFonts w:hint="eastAsia"/>
                <w:color w:val="000000" w:themeColor="text1"/>
                <w:spacing w:val="-4"/>
                <w:sz w:val="24"/>
                <w:highlight w:val="none"/>
                <w:lang w:val="en-US" w:eastAsia="zh-CN"/>
                <w14:textFill>
                  <w14:solidFill>
                    <w14:schemeClr w14:val="tx1"/>
                  </w14:solidFill>
                </w14:textFill>
              </w:rPr>
              <w:t>7分，</w:t>
            </w:r>
            <w:r>
              <w:rPr>
                <w:rFonts w:hint="eastAsia"/>
                <w:color w:val="000000" w:themeColor="text1"/>
                <w:spacing w:val="-4"/>
                <w:sz w:val="24"/>
                <w:highlight w:val="none"/>
                <w:lang w:eastAsia="zh-CN"/>
                <w14:textFill>
                  <w14:solidFill>
                    <w14:schemeClr w14:val="tx1"/>
                  </w14:solidFill>
                </w14:textFill>
              </w:rPr>
              <w:t>每有一项</w:t>
            </w:r>
            <w:r>
              <w:rPr>
                <w:color w:val="000000" w:themeColor="text1"/>
                <w:spacing w:val="-4"/>
                <w:sz w:val="24"/>
                <w:highlight w:val="none"/>
                <w14:textFill>
                  <w14:solidFill>
                    <w14:schemeClr w14:val="tx1"/>
                  </w14:solidFill>
                </w14:textFill>
              </w:rPr>
              <w:t>针对性不强或不满足要求的扣</w:t>
            </w:r>
            <w:r>
              <w:rPr>
                <w:rFonts w:hint="eastAsia"/>
                <w:color w:val="000000" w:themeColor="text1"/>
                <w:spacing w:val="-4"/>
                <w:sz w:val="24"/>
                <w:highlight w:val="none"/>
                <w:lang w:val="en-US" w:eastAsia="zh-CN"/>
                <w14:textFill>
                  <w14:solidFill>
                    <w14:schemeClr w14:val="tx1"/>
                  </w14:solidFill>
                </w14:textFill>
              </w:rPr>
              <w:t>3.5</w:t>
            </w:r>
            <w:r>
              <w:rPr>
                <w:color w:val="000000" w:themeColor="text1"/>
                <w:spacing w:val="-10"/>
                <w:sz w:val="24"/>
                <w:highlight w:val="none"/>
                <w14:textFill>
                  <w14:solidFill>
                    <w14:schemeClr w14:val="tx1"/>
                  </w14:solidFill>
                </w14:textFill>
              </w:rPr>
              <w:t xml:space="preserve"> 分,扣完为止</w:t>
            </w:r>
            <w:r>
              <w:rPr>
                <w:color w:val="000000" w:themeColor="text1"/>
                <w:sz w:val="24"/>
                <w:highlight w:val="none"/>
                <w14:textFill>
                  <w14:solidFill>
                    <w14:schemeClr w14:val="tx1"/>
                  </w14:solidFill>
                </w14:textFill>
              </w:rPr>
              <w:t>。</w:t>
            </w:r>
          </w:p>
        </w:tc>
        <w:tc>
          <w:tcPr>
            <w:tcW w:w="1116" w:type="dxa"/>
            <w:noWrap w:val="0"/>
            <w:vAlign w:val="center"/>
          </w:tcPr>
          <w:p>
            <w:pPr>
              <w:pStyle w:val="62"/>
              <w:spacing w:before="4" w:line="288" w:lineRule="exact"/>
              <w:ind w:left="198"/>
              <w:jc w:val="center"/>
              <w:rPr>
                <w:rFonts w:hint="eastAsia"/>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616" w:type="dxa"/>
            <w:noWrap w:val="0"/>
            <w:vAlign w:val="top"/>
          </w:tcPr>
          <w:p>
            <w:pPr>
              <w:pStyle w:val="62"/>
              <w:spacing w:before="4"/>
              <w:rPr>
                <w:color w:val="000000" w:themeColor="text1"/>
                <w:sz w:val="24"/>
                <w:highlight w:val="none"/>
                <w14:textFill>
                  <w14:solidFill>
                    <w14:schemeClr w14:val="tx1"/>
                  </w14:solidFill>
                </w14:textFill>
              </w:rPr>
            </w:pPr>
          </w:p>
          <w:p>
            <w:pPr>
              <w:pStyle w:val="62"/>
              <w:ind w:left="11"/>
              <w:jc w:val="center"/>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4</w:t>
            </w:r>
          </w:p>
        </w:tc>
        <w:tc>
          <w:tcPr>
            <w:tcW w:w="1276" w:type="dxa"/>
            <w:noWrap w:val="0"/>
            <w:vAlign w:val="top"/>
          </w:tcPr>
          <w:p>
            <w:pPr>
              <w:pStyle w:val="62"/>
              <w:ind w:left="158"/>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投标</w:t>
            </w:r>
            <w:r>
              <w:rPr>
                <w:color w:val="000000" w:themeColor="text1"/>
                <w:sz w:val="24"/>
                <w:highlight w:val="none"/>
                <w14:textFill>
                  <w14:solidFill>
                    <w14:schemeClr w14:val="tx1"/>
                  </w14:solidFill>
                </w14:textFill>
              </w:rPr>
              <w:t>文件</w:t>
            </w:r>
          </w:p>
          <w:p>
            <w:pPr>
              <w:pStyle w:val="62"/>
              <w:spacing w:before="2" w:line="310" w:lineRule="atLeast"/>
              <w:ind w:left="518" w:right="145" w:hanging="36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的规范性</w:t>
            </w:r>
            <w:r>
              <w:rPr>
                <w:rFonts w:hint="eastAsia"/>
                <w:color w:val="000000" w:themeColor="text1"/>
                <w:sz w:val="24"/>
                <w:highlight w:val="none"/>
                <w:lang w:val="en-US" w:eastAsia="zh-CN"/>
                <w14:textFill>
                  <w14:solidFill>
                    <w14:schemeClr w14:val="tx1"/>
                  </w14:solidFill>
                </w14:textFill>
              </w:rPr>
              <w:t>4</w:t>
            </w:r>
            <w:r>
              <w:rPr>
                <w:color w:val="000000" w:themeColor="text1"/>
                <w:sz w:val="24"/>
                <w:highlight w:val="none"/>
                <w14:textFill>
                  <w14:solidFill>
                    <w14:schemeClr w14:val="tx1"/>
                  </w14:solidFill>
                </w14:textFill>
              </w:rPr>
              <w:t>%</w:t>
            </w:r>
          </w:p>
        </w:tc>
        <w:tc>
          <w:tcPr>
            <w:tcW w:w="1276" w:type="dxa"/>
            <w:noWrap w:val="0"/>
            <w:vAlign w:val="top"/>
          </w:tcPr>
          <w:p>
            <w:pPr>
              <w:pStyle w:val="62"/>
              <w:rPr>
                <w:color w:val="000000" w:themeColor="text1"/>
                <w:sz w:val="24"/>
                <w:highlight w:val="none"/>
                <w14:textFill>
                  <w14:solidFill>
                    <w14:schemeClr w14:val="tx1"/>
                  </w14:solidFill>
                </w14:textFill>
              </w:rPr>
            </w:pPr>
          </w:p>
          <w:p>
            <w:pPr>
              <w:pStyle w:val="62"/>
              <w:spacing w:before="160"/>
              <w:ind w:left="7"/>
              <w:jc w:val="center"/>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4分</w:t>
            </w:r>
          </w:p>
        </w:tc>
        <w:tc>
          <w:tcPr>
            <w:tcW w:w="5988" w:type="dxa"/>
            <w:noWrap w:val="0"/>
            <w:vAlign w:val="top"/>
          </w:tcPr>
          <w:p>
            <w:pPr>
              <w:pStyle w:val="62"/>
              <w:spacing w:before="156"/>
              <w:ind w:left="107"/>
              <w:rPr>
                <w:color w:val="000000" w:themeColor="text1"/>
                <w:sz w:val="24"/>
                <w:highlight w:val="none"/>
                <w14:textFill>
                  <w14:solidFill>
                    <w14:schemeClr w14:val="tx1"/>
                  </w14:solidFill>
                </w14:textFill>
              </w:rPr>
            </w:pPr>
            <w:r>
              <w:rPr>
                <w:rFonts w:hint="eastAsia"/>
                <w:color w:val="000000" w:themeColor="text1"/>
                <w:spacing w:val="-3"/>
                <w:sz w:val="24"/>
                <w:highlight w:val="none"/>
                <w14:textFill>
                  <w14:solidFill>
                    <w14:schemeClr w14:val="tx1"/>
                  </w14:solidFill>
                </w14:textFill>
              </w:rPr>
              <w:t>投标</w:t>
            </w:r>
            <w:r>
              <w:rPr>
                <w:color w:val="000000" w:themeColor="text1"/>
                <w:spacing w:val="-3"/>
                <w:sz w:val="24"/>
                <w:highlight w:val="none"/>
                <w14:textFill>
                  <w14:solidFill>
                    <w14:schemeClr w14:val="tx1"/>
                  </w14:solidFill>
                </w14:textFill>
              </w:rPr>
              <w:t>文件制作规范，没有细微偏差情形的得</w:t>
            </w:r>
            <w:r>
              <w:rPr>
                <w:rFonts w:hint="eastAsia"/>
                <w:color w:val="000000" w:themeColor="text1"/>
                <w:spacing w:val="-3"/>
                <w:sz w:val="24"/>
                <w:highlight w:val="none"/>
                <w:lang w:val="en-US" w:eastAsia="zh-CN"/>
                <w14:textFill>
                  <w14:solidFill>
                    <w14:schemeClr w14:val="tx1"/>
                  </w14:solidFill>
                </w14:textFill>
              </w:rPr>
              <w:t>4</w:t>
            </w:r>
            <w:r>
              <w:rPr>
                <w:color w:val="000000" w:themeColor="text1"/>
                <w:spacing w:val="-12"/>
                <w:sz w:val="24"/>
                <w:highlight w:val="none"/>
                <w14:textFill>
                  <w14:solidFill>
                    <w14:schemeClr w14:val="tx1"/>
                  </w14:solidFill>
                </w14:textFill>
              </w:rPr>
              <w:t>分；有一</w:t>
            </w:r>
          </w:p>
          <w:p>
            <w:pPr>
              <w:pStyle w:val="62"/>
              <w:spacing w:before="4"/>
              <w:ind w:left="107"/>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项细微偏差扣 0.5 分，直至该项分值扣完为止。</w:t>
            </w:r>
          </w:p>
        </w:tc>
        <w:tc>
          <w:tcPr>
            <w:tcW w:w="1116" w:type="dxa"/>
            <w:noWrap w:val="0"/>
            <w:vAlign w:val="top"/>
          </w:tcPr>
          <w:p>
            <w:pPr>
              <w:pStyle w:val="62"/>
              <w:spacing w:before="3" w:line="289" w:lineRule="exact"/>
              <w:ind w:left="318"/>
              <w:rPr>
                <w:color w:val="000000" w:themeColor="text1"/>
                <w:sz w:val="24"/>
                <w:highlight w:val="none"/>
                <w14:textFill>
                  <w14:solidFill>
                    <w14:schemeClr w14:val="tx1"/>
                  </w14:solidFill>
                </w14:textFill>
              </w:rPr>
            </w:pPr>
          </w:p>
        </w:tc>
      </w:tr>
    </w:tbl>
    <w:p>
      <w:pPr>
        <w:pStyle w:val="4"/>
        <w:keepNext w:val="0"/>
        <w:keepLines w:val="0"/>
        <w:spacing w:before="0" w:after="0" w:line="400" w:lineRule="exact"/>
        <w:rPr>
          <w:rFonts w:ascii="宋体" w:hAnsi="宋体" w:eastAsia="宋体"/>
          <w:color w:val="000000"/>
          <w:sz w:val="24"/>
          <w:szCs w:val="24"/>
          <w:highlight w:val="none"/>
        </w:rPr>
      </w:pPr>
    </w:p>
    <w:bookmarkEnd w:id="89"/>
    <w:bookmarkEnd w:id="90"/>
    <w:bookmarkEnd w:id="91"/>
    <w:bookmarkEnd w:id="92"/>
    <w:bookmarkEnd w:id="93"/>
    <w:p>
      <w:pPr>
        <w:ind w:firstLine="480" w:firstLineChars="200"/>
        <w:rPr>
          <w:sz w:val="24"/>
          <w:highlight w:val="none"/>
        </w:rPr>
      </w:pPr>
      <w:r>
        <w:rPr>
          <w:rFonts w:hint="eastAsia"/>
          <w:sz w:val="24"/>
          <w:highlight w:val="none"/>
        </w:rPr>
        <w:t>注：评分的取值按四舍五入法，保留小数点后两位。</w:t>
      </w:r>
    </w:p>
    <w:p>
      <w:pPr>
        <w:tabs>
          <w:tab w:val="left" w:pos="851"/>
        </w:tabs>
        <w:spacing w:line="400" w:lineRule="exact"/>
        <w:ind w:firstLine="482" w:firstLineChars="200"/>
        <w:rPr>
          <w:rFonts w:ascii="宋体" w:hAnsi="宋体"/>
          <w:b/>
          <w:color w:val="000000"/>
          <w:sz w:val="24"/>
          <w:highlight w:val="none"/>
        </w:rPr>
      </w:pPr>
    </w:p>
    <w:p>
      <w:pPr>
        <w:tabs>
          <w:tab w:val="left" w:pos="851"/>
        </w:tabs>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4.磋商纪律及注意事项</w:t>
      </w:r>
    </w:p>
    <w:p>
      <w:pPr>
        <w:tabs>
          <w:tab w:val="left" w:pos="851"/>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4.3</w:t>
      </w:r>
      <w:r>
        <w:rPr>
          <w:rFonts w:hint="eastAsia"/>
          <w:sz w:val="24"/>
          <w:highlight w:val="none"/>
        </w:rPr>
        <w:t>对各供应商的商业秘密，磋商小组成员应予以保密，不得泄露给其他供应商。</w:t>
      </w:r>
    </w:p>
    <w:p>
      <w:pPr>
        <w:tabs>
          <w:tab w:val="left" w:pos="851"/>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4.4 磋商小组独立评判，推荐成交候选人，并写出书面报告。</w:t>
      </w:r>
    </w:p>
    <w:p>
      <w:pPr>
        <w:tabs>
          <w:tab w:val="left" w:pos="851"/>
        </w:tabs>
        <w:spacing w:line="400" w:lineRule="exact"/>
        <w:ind w:firstLine="480" w:firstLineChars="200"/>
        <w:rPr>
          <w:rFonts w:ascii="宋体"/>
          <w:color w:val="FF0000"/>
          <w:sz w:val="24"/>
          <w:highlight w:val="none"/>
        </w:rPr>
      </w:pPr>
      <w:r>
        <w:rPr>
          <w:rFonts w:hint="eastAsia" w:ascii="宋体" w:hAnsi="宋体"/>
          <w:color w:val="000000"/>
          <w:sz w:val="24"/>
          <w:highlight w:val="none"/>
        </w:rPr>
        <w:t>4.5 磋商小组可根据需要对供应商进行实地考察。</w:t>
      </w:r>
    </w:p>
    <w:p>
      <w:pPr>
        <w:tabs>
          <w:tab w:val="left" w:pos="7665"/>
        </w:tabs>
        <w:spacing w:line="400" w:lineRule="exact"/>
        <w:ind w:firstLine="480" w:firstLineChars="200"/>
        <w:rPr>
          <w:rFonts w:ascii="宋体" w:hAnsi="宋体"/>
          <w:b/>
          <w:color w:val="000000"/>
          <w:sz w:val="24"/>
          <w:highlight w:val="none"/>
        </w:rPr>
      </w:pPr>
      <w:r>
        <w:rPr>
          <w:rFonts w:hint="eastAsia" w:ascii="宋体" w:hAnsi="宋体"/>
          <w:color w:val="000000"/>
          <w:sz w:val="24"/>
          <w:highlight w:val="none"/>
        </w:rPr>
        <w:t>5.</w:t>
      </w:r>
      <w:r>
        <w:rPr>
          <w:rFonts w:hint="eastAsia" w:ascii="宋体" w:hAnsi="宋体"/>
          <w:b/>
          <w:color w:val="000000"/>
          <w:sz w:val="24"/>
          <w:highlight w:val="none"/>
        </w:rPr>
        <w:t>磋商小组在政府采购活动中承担以下义务：</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（一）遵守评审工作纪律；</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（二）按照客观、公正、审慎的原则，根据磋商文件规定的评审程序、评审方法和评审标准进行独立评审；</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（三）不得泄露评审文件、评审情况和在评审过程中获悉的商业秘密；</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（六）及时向财政、监察等部门举报在评审过程中受到非法干预的情况；</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（七）配合答复处理供应商的询问、质疑和投诉等事项；</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（八）法律、法规和规章规定的其他义务。</w:t>
      </w:r>
    </w:p>
    <w:p>
      <w:pPr>
        <w:tabs>
          <w:tab w:val="left" w:pos="7665"/>
        </w:tabs>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6.评审专家在政府采购活动中应当遵守以下工作纪律：</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（二）评审前，应当将通讯工具或者相关电子设备交由采购代理机构统一保管；</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（五）在评审过程中和评审结束后，不得记录、复制或带走任何评审资料，不得向外界透露评审内容；</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（六）评审现场服从采购代理机构工作人员的管理，接受现场监督人员的合法监督；</w:t>
      </w:r>
    </w:p>
    <w:p>
      <w:pPr>
        <w:tabs>
          <w:tab w:val="left" w:pos="7665"/>
        </w:tabs>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（七）遵守有关廉洁自律规定，不得私下接触供应商，不得收受供应商及有关业务单位和个人的财物或好处，不得接受采购代理机构的请托。</w:t>
      </w:r>
    </w:p>
    <w:p>
      <w:pPr>
        <w:pStyle w:val="3"/>
        <w:pageBreakBefore/>
        <w:spacing w:before="0" w:after="20" w:line="360" w:lineRule="auto"/>
        <w:jc w:val="center"/>
        <w:rPr>
          <w:rFonts w:ascii="黑体" w:eastAsia="黑体"/>
          <w:color w:val="000000"/>
          <w:sz w:val="32"/>
          <w:szCs w:val="32"/>
          <w:highlight w:val="none"/>
        </w:rPr>
      </w:pPr>
      <w:bookmarkStart w:id="94" w:name="_Toc533424979"/>
      <w:r>
        <w:rPr>
          <w:rFonts w:hint="eastAsia" w:ascii="黑体" w:eastAsia="黑体"/>
          <w:color w:val="000000"/>
          <w:sz w:val="32"/>
          <w:szCs w:val="32"/>
          <w:highlight w:val="none"/>
        </w:rPr>
        <w:t>第九章  采购合同实质性条款</w:t>
      </w:r>
      <w:bookmarkEnd w:id="94"/>
    </w:p>
    <w:bookmarkEnd w:id="74"/>
    <w:bookmarkEnd w:id="75"/>
    <w:bookmarkEnd w:id="76"/>
    <w:p>
      <w:pPr>
        <w:pStyle w:val="12"/>
        <w:tabs>
          <w:tab w:val="left" w:pos="0"/>
        </w:tabs>
        <w:adjustRightInd/>
        <w:spacing w:line="400" w:lineRule="exact"/>
        <w:rPr>
          <w:rFonts w:hAnsi="宋体" w:cs="宋体"/>
          <w:sz w:val="24"/>
          <w:szCs w:val="24"/>
          <w:highlight w:val="none"/>
        </w:rPr>
      </w:pP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本合同仅供参考，主要内容可根据实际情况自行拟定，但磋商采购文件要约及响应文件承诺的实质性内容不得有任何负偏离 。</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合同编号：XXXX。</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签订地点：XXXX。</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签订时间：XXXX 年 XX 月 XX 日。</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采购人（甲方）：</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供应商（乙方）：</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根据《中华人民共和国政府采购法》、《中华人民共和国</w:t>
      </w:r>
      <w:r>
        <w:rPr>
          <w:rFonts w:hint="eastAsia" w:ascii="宋体" w:hAnsi="宋体" w:cs="宋体"/>
          <w:sz w:val="24"/>
          <w:szCs w:val="24"/>
          <w:highlight w:val="none"/>
          <w:lang w:eastAsia="zh-CN"/>
        </w:rPr>
        <w:t>民法典</w:t>
      </w:r>
      <w:r>
        <w:rPr>
          <w:rFonts w:hint="eastAsia" w:ascii="宋体" w:hAnsi="宋体" w:eastAsia="宋体" w:cs="宋体"/>
          <w:sz w:val="24"/>
          <w:szCs w:val="24"/>
          <w:highlight w:val="none"/>
        </w:rPr>
        <w:t>》及 XXXX 采购项目（项目编号：XX）的《竞争性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第一条 项目基本情况</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第二条 合同期限</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第三条 服务内容与质量标准</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 XXXX；</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 XXXX；</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3、 XXXX．</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第四条 服务费用及支付方式</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 ( 一) ) 本项目服务费用由以下组成：</w:t>
      </w:r>
    </w:p>
    <w:p>
      <w:pPr>
        <w:pStyle w:val="60"/>
        <w:tabs>
          <w:tab w:val="left" w:pos="6849"/>
        </w:tabs>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 XX 万元；</w:t>
      </w:r>
      <w:r>
        <w:rPr>
          <w:rFonts w:hint="eastAsia" w:ascii="宋体" w:hAnsi="宋体" w:eastAsia="宋体" w:cs="宋体"/>
          <w:sz w:val="24"/>
          <w:szCs w:val="24"/>
          <w:highlight w:val="none"/>
        </w:rPr>
        <w:tab/>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 XX 万元；</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3、 XX 万元。</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 (二) ) 服务费支付方式：</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第五条 知识产权</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乙方应保证所提供的服务或其任何一部分均不会侵犯任何第三方的专利权、商标权或著作权。</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第六条 无产权瑕疵条款</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乙方保证所提供的服务的所有权完全属于乙方且无任何抵押、查封等产权瑕疵。如有产权瑕疵的，视为乙方违约。乙方应负担由此而产生的一切损失。</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第七条 履约保证金</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1、乙方交纳人民币 XX 元作为本合同的履约保证金。</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2、履约保证金作为违约金的一部分及用于补偿采购人因乙方不能履行合同义务而蒙受的损失。</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第八条 甲方的权利和义务</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2、甲方有权依据双方签订的考评办法对乙方提供的服务进行定期考评。当考评结果未达到标准时，有权依据考评办法约定的数额扣除履约保证金。</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3、负责检查监督乙方管理工作的实施及制度的执行情况。</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4、根据本合同规定，按时向乙方支付应付服务费用。</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5、国家法律、法规所规定由甲方承担的其它责任。</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第九条 乙方的权利和义务</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1、对本合同规定的委托服务范围内的项目享有管理权及服务义务。</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2、根据本合同的规定向甲方收取相关服务费用，并有权在本项目管理范围内管理及合理使用。</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3、及时向甲方通告本项目服务范围内有关服务的重大事项，及时配合处理投诉。</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4、接受项目行业管理部门及政府有关部门的指导，接受甲方的监督。</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5、国家法律、法规所规定由乙方承担的其它责任。</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第十条 违约责任</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1、甲乙双方必须遵守本合同并执行合同中的各项规定，保证本合同的正常履行。</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第十一条  不可抗力事件处理</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1、在合同有效期内，任何一方因不可抗力事件导致不能履行合同，则合同履行期可延长，其延长期与不可抗力影响期相同。</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2、不可抗力事件发生后，应立即通知对方，并寄送有关权威机构出具的证明。</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3、不可抗力事件延续 XX 天以上，双方应通过友好协商，确定是否继续履行合同。</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第十二条  解决合同纠纷的方式</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1、在执行本合同中发生的或与本合同有关的争端，双方应通过友好协商解决，经协商在XX 天内不能达成协议时，应提交成都仲裁委员会仲裁。</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2、仲裁裁决应为最终决定，并对双方具有约束力。</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3、除另有裁决外，仲裁费应由败诉方负担。</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4、在仲裁期间，除正在进行仲裁部分外，合同其他部分继续执行。</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第十三条  合同生效及其他</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1、合同经双方法定代表人或授权委托代理人签字并加盖单位公章后生效。</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3、本合同一式 XX 份，自双方签章之日起起效。甲方 XX 份，乙方 XX 份，政府采购代理机构 XX 份，同级财政部门备案 XX 份，具有同等法律效力。</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第十四条  附件</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1、项目磋商采购文件</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2、项目修改澄清文件</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3、项目响应文件</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4、成交通知书</w:t>
      </w:r>
    </w:p>
    <w:p>
      <w:pPr>
        <w:pStyle w:val="60"/>
        <w:spacing w:line="360" w:lineRule="auto"/>
        <w:ind w:left="120"/>
        <w:rPr>
          <w:rFonts w:hint="eastAsia" w:ascii="宋体" w:hAnsi="宋体" w:eastAsia="宋体" w:cs="宋体"/>
          <w:sz w:val="24"/>
          <w:szCs w:val="24"/>
          <w:highlight w:val="none"/>
        </w:rPr>
      </w:pPr>
      <w:r>
        <w:rPr>
          <w:rFonts w:hint="eastAsia" w:ascii="宋体" w:hAnsi="宋体" w:eastAsia="宋体" w:cs="宋体"/>
          <w:sz w:val="24"/>
          <w:szCs w:val="24"/>
          <w:highlight w:val="none"/>
        </w:rPr>
        <w:t>5、其他</w:t>
      </w:r>
    </w:p>
    <w:p>
      <w:pPr>
        <w:spacing w:line="400" w:lineRule="exact"/>
        <w:ind w:left="12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甲方：   （盖单位公章）   </w:t>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    乙方：   （盖单位公章）</w:t>
      </w:r>
    </w:p>
    <w:p>
      <w:pPr>
        <w:spacing w:line="400" w:lineRule="exact"/>
        <w:ind w:left="12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法定代表人（授权代表）：            法定代表人（授权代表）：</w:t>
      </w:r>
    </w:p>
    <w:p>
      <w:pPr>
        <w:spacing w:line="400" w:lineRule="exact"/>
        <w:ind w:left="12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    址：                         地    址：</w:t>
      </w:r>
    </w:p>
    <w:p>
      <w:pPr>
        <w:spacing w:line="400" w:lineRule="exact"/>
        <w:ind w:left="12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开户银行：                         开户银行：</w:t>
      </w:r>
    </w:p>
    <w:p>
      <w:pPr>
        <w:spacing w:line="400" w:lineRule="exact"/>
        <w:ind w:left="12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账号：                             账号：</w:t>
      </w:r>
    </w:p>
    <w:p>
      <w:pPr>
        <w:spacing w:line="400" w:lineRule="exact"/>
        <w:ind w:left="12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电    话：                         电    话：</w:t>
      </w:r>
    </w:p>
    <w:p>
      <w:pPr>
        <w:spacing w:line="400" w:lineRule="exact"/>
        <w:ind w:left="12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传    真：                         传    真：</w:t>
      </w:r>
    </w:p>
    <w:p>
      <w:pPr>
        <w:spacing w:after="120" w:afterLines="50" w:line="420" w:lineRule="exact"/>
        <w:rPr>
          <w:rFonts w:ascii="宋体" w:hAnsi="宋体"/>
          <w:b/>
          <w:color w:val="000000"/>
          <w:sz w:val="32"/>
          <w:highlight w:val="none"/>
        </w:rPr>
      </w:pPr>
      <w:r>
        <w:rPr>
          <w:rFonts w:hint="eastAsia" w:ascii="宋体" w:hAnsi="宋体" w:eastAsia="宋体" w:cs="宋体"/>
          <w:sz w:val="24"/>
          <w:szCs w:val="24"/>
          <w:highlight w:val="none"/>
        </w:rPr>
        <w:t xml:space="preserve">签约日期：XX年XX月XX日 </w:t>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签约日期：XX年XX月XX日</w:t>
      </w:r>
    </w:p>
    <w:sectPr>
      <w:footerReference r:id="rId13" w:type="default"/>
      <w:pgSz w:w="11906" w:h="16838"/>
      <w:pgMar w:top="1417" w:right="1417" w:bottom="1417" w:left="1417" w:header="850"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11 -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6"/>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11 -</w:t>
                    </w:r>
                    <w:r>
                      <w:rPr>
                        <w:rFonts w:ascii="宋体" w:hAnsi="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30"/>
      </w:rPr>
    </w:pPr>
    <w:r>
      <w:rPr>
        <w:rStyle w:val="30"/>
      </w:rPr>
      <w:fldChar w:fldCharType="begin"/>
    </w:r>
    <w:r>
      <w:rPr>
        <w:rStyle w:val="30"/>
      </w:rPr>
      <w:instrText xml:space="preserve">PAGE  </w:instrText>
    </w:r>
    <w:r>
      <w:rPr>
        <w:rStyle w:val="30"/>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rPr>
        <w:rFonts w:hint="eastAsia"/>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4ghgqtIBAACjAwAADgAAAAAAAAABACAAAAAi&#10;AQAAZHJzL2Uyb0RvYy54bWxQSwUGAAAAAAYABgBZAQAAZgUAAAAA&#10;">
              <v:fill on="f" focussize="0,0"/>
              <v:stroke on="f" weight="1.25pt"/>
              <v:imagedata o:title=""/>
              <o:lock v:ext="edit" aspectratio="f"/>
              <v:textbox inset="0mm,0mm,0mm,0mm" style="mso-fit-shape-to-text:t;">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3</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w:t>
                          </w:r>
                          <w:r>
                            <w:rPr>
                              <w:rFonts w:ascii="宋体" w:hAnsi="宋体"/>
                              <w:sz w:val="32"/>
                              <w:szCs w:val="32"/>
                            </w:rPr>
                            <w:t xml:space="preserve"> 35 -</w:t>
                          </w:r>
                          <w:r>
                            <w:rPr>
                              <w:rFonts w:ascii="宋体" w:hAnsi="宋体"/>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jc w:val="cente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w:t>
                    </w:r>
                    <w:r>
                      <w:rPr>
                        <w:rFonts w:ascii="宋体" w:hAnsi="宋体"/>
                        <w:sz w:val="32"/>
                        <w:szCs w:val="32"/>
                      </w:rPr>
                      <w:t xml:space="preserve"> 35 -</w:t>
                    </w:r>
                    <w:r>
                      <w:rPr>
                        <w:rFonts w:ascii="宋体" w:hAnsi="宋体"/>
                        <w:sz w:val="32"/>
                        <w:szCs w:val="32"/>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Cs w:val="18"/>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ascii="宋体" w:hAnsi="宋体"/>
                              <w:szCs w:val="18"/>
                            </w:rPr>
                            <w:fldChar w:fldCharType="begin"/>
                          </w:r>
                          <w:r>
                            <w:rPr>
                              <w:rFonts w:ascii="宋体" w:hAnsi="宋体"/>
                              <w:szCs w:val="18"/>
                            </w:rPr>
                            <w:instrText xml:space="preserve"> PAGE   \* MERGEFORMAT </w:instrText>
                          </w:r>
                          <w:r>
                            <w:rPr>
                              <w:rFonts w:ascii="宋体" w:hAnsi="宋体"/>
                              <w:szCs w:val="18"/>
                            </w:rPr>
                            <w:fldChar w:fldCharType="separate"/>
                          </w:r>
                          <w:r>
                            <w:rPr>
                              <w:rFonts w:ascii="宋体" w:hAnsi="宋体"/>
                              <w:szCs w:val="18"/>
                              <w:lang w:val="zh-CN"/>
                            </w:rPr>
                            <w:t>-</w:t>
                          </w:r>
                          <w:r>
                            <w:rPr>
                              <w:rFonts w:ascii="宋体" w:hAnsi="宋体"/>
                              <w:szCs w:val="18"/>
                            </w:rPr>
                            <w:t xml:space="preserve"> 38 -</w:t>
                          </w:r>
                          <w:r>
                            <w:rPr>
                              <w:rFonts w:ascii="宋体" w:hAnsi="宋体"/>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jc w:val="center"/>
                    </w:pPr>
                    <w:r>
                      <w:rPr>
                        <w:rFonts w:ascii="宋体" w:hAnsi="宋体"/>
                        <w:szCs w:val="18"/>
                      </w:rPr>
                      <w:fldChar w:fldCharType="begin"/>
                    </w:r>
                    <w:r>
                      <w:rPr>
                        <w:rFonts w:ascii="宋体" w:hAnsi="宋体"/>
                        <w:szCs w:val="18"/>
                      </w:rPr>
                      <w:instrText xml:space="preserve"> PAGE   \* MERGEFORMAT </w:instrText>
                    </w:r>
                    <w:r>
                      <w:rPr>
                        <w:rFonts w:ascii="宋体" w:hAnsi="宋体"/>
                        <w:szCs w:val="18"/>
                      </w:rPr>
                      <w:fldChar w:fldCharType="separate"/>
                    </w:r>
                    <w:r>
                      <w:rPr>
                        <w:rFonts w:ascii="宋体" w:hAnsi="宋体"/>
                        <w:szCs w:val="18"/>
                        <w:lang w:val="zh-CN"/>
                      </w:rPr>
                      <w:t>-</w:t>
                    </w:r>
                    <w:r>
                      <w:rPr>
                        <w:rFonts w:ascii="宋体" w:hAnsi="宋体"/>
                        <w:szCs w:val="18"/>
                      </w:rPr>
                      <w:t xml:space="preserve"> 38 -</w:t>
                    </w:r>
                    <w:r>
                      <w:rPr>
                        <w:rFonts w:ascii="宋体" w:hAnsi="宋体"/>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46 -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6"/>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46 -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sz w:val="21"/>
        <w:szCs w:val="21"/>
      </w:rPr>
    </w:pP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69368D"/>
    <w:multiLevelType w:val="singleLevel"/>
    <w:tmpl w:val="AF69368D"/>
    <w:lvl w:ilvl="0" w:tentative="0">
      <w:start w:val="3"/>
      <w:numFmt w:val="chineseCounting"/>
      <w:suff w:val="nothing"/>
      <w:lvlText w:val="（%1）"/>
      <w:lvlJc w:val="left"/>
      <w:rPr>
        <w:rFonts w:hint="eastAsia"/>
      </w:rPr>
    </w:lvl>
  </w:abstractNum>
  <w:abstractNum w:abstractNumId="1">
    <w:nsid w:val="0A77DEB8"/>
    <w:multiLevelType w:val="singleLevel"/>
    <w:tmpl w:val="0A77DEB8"/>
    <w:lvl w:ilvl="0" w:tentative="0">
      <w:start w:val="2"/>
      <w:numFmt w:val="chineseCounting"/>
      <w:suff w:val="space"/>
      <w:lvlText w:val="第%1章"/>
      <w:lvlJc w:val="left"/>
      <w:rPr>
        <w:rFonts w:hint="eastAsia"/>
      </w:rPr>
    </w:lvl>
  </w:abstractNum>
  <w:abstractNum w:abstractNumId="2">
    <w:nsid w:val="499F8F63"/>
    <w:multiLevelType w:val="singleLevel"/>
    <w:tmpl w:val="499F8F63"/>
    <w:lvl w:ilvl="0" w:tentative="0">
      <w:start w:val="2"/>
      <w:numFmt w:val="chineseCounting"/>
      <w:suff w:val="nothing"/>
      <w:lvlText w:val="（%1）"/>
      <w:lvlJc w:val="left"/>
      <w:rPr>
        <w:rFonts w:hint="eastAsia"/>
      </w:rPr>
    </w:lvl>
  </w:abstractNum>
  <w:abstractNum w:abstractNumId="3">
    <w:nsid w:val="59C07086"/>
    <w:multiLevelType w:val="singleLevel"/>
    <w:tmpl w:val="59C07086"/>
    <w:lvl w:ilvl="0" w:tentative="0">
      <w:start w:val="1"/>
      <w:numFmt w:val="decimal"/>
      <w:suff w:val="nothing"/>
      <w:lvlText w:val="%1、"/>
      <w:lvlJc w:val="left"/>
    </w:lvl>
  </w:abstractNum>
  <w:abstractNum w:abstractNumId="4">
    <w:nsid w:val="60382F6E"/>
    <w:multiLevelType w:val="multilevel"/>
    <w:tmpl w:val="60382F6E"/>
    <w:lvl w:ilvl="0" w:tentative="0">
      <w:start w:val="2"/>
      <w:numFmt w:val="decimal"/>
      <w:lvlText w:val="（%1）"/>
      <w:lvlJc w:val="left"/>
      <w:pPr>
        <w:ind w:left="949" w:hanging="601"/>
      </w:pPr>
      <w:rPr>
        <w:rFonts w:hint="default" w:ascii="仿宋" w:hAnsi="仿宋" w:eastAsia="仿宋" w:cs="仿宋"/>
        <w:w w:val="100"/>
        <w:sz w:val="22"/>
        <w:szCs w:val="22"/>
        <w:lang w:val="zh-CN" w:eastAsia="zh-CN" w:bidi="zh-CN"/>
      </w:rPr>
    </w:lvl>
    <w:lvl w:ilvl="1" w:tentative="0">
      <w:start w:val="0"/>
      <w:numFmt w:val="bullet"/>
      <w:lvlText w:val="•"/>
      <w:lvlJc w:val="left"/>
      <w:pPr>
        <w:ind w:left="1518" w:hanging="601"/>
      </w:pPr>
      <w:rPr>
        <w:rFonts w:hint="default"/>
        <w:lang w:val="zh-CN" w:eastAsia="zh-CN" w:bidi="zh-CN"/>
      </w:rPr>
    </w:lvl>
    <w:lvl w:ilvl="2" w:tentative="0">
      <w:start w:val="0"/>
      <w:numFmt w:val="bullet"/>
      <w:lvlText w:val="•"/>
      <w:lvlJc w:val="left"/>
      <w:pPr>
        <w:ind w:left="2097" w:hanging="601"/>
      </w:pPr>
      <w:rPr>
        <w:rFonts w:hint="default"/>
        <w:lang w:val="zh-CN" w:eastAsia="zh-CN" w:bidi="zh-CN"/>
      </w:rPr>
    </w:lvl>
    <w:lvl w:ilvl="3" w:tentative="0">
      <w:start w:val="0"/>
      <w:numFmt w:val="bullet"/>
      <w:lvlText w:val="•"/>
      <w:lvlJc w:val="left"/>
      <w:pPr>
        <w:ind w:left="2676" w:hanging="601"/>
      </w:pPr>
      <w:rPr>
        <w:rFonts w:hint="default"/>
        <w:lang w:val="zh-CN" w:eastAsia="zh-CN" w:bidi="zh-CN"/>
      </w:rPr>
    </w:lvl>
    <w:lvl w:ilvl="4" w:tentative="0">
      <w:start w:val="0"/>
      <w:numFmt w:val="bullet"/>
      <w:lvlText w:val="•"/>
      <w:lvlJc w:val="left"/>
      <w:pPr>
        <w:ind w:left="3255" w:hanging="601"/>
      </w:pPr>
      <w:rPr>
        <w:rFonts w:hint="default"/>
        <w:lang w:val="zh-CN" w:eastAsia="zh-CN" w:bidi="zh-CN"/>
      </w:rPr>
    </w:lvl>
    <w:lvl w:ilvl="5" w:tentative="0">
      <w:start w:val="0"/>
      <w:numFmt w:val="bullet"/>
      <w:lvlText w:val="•"/>
      <w:lvlJc w:val="left"/>
      <w:pPr>
        <w:ind w:left="3834" w:hanging="601"/>
      </w:pPr>
      <w:rPr>
        <w:rFonts w:hint="default"/>
        <w:lang w:val="zh-CN" w:eastAsia="zh-CN" w:bidi="zh-CN"/>
      </w:rPr>
    </w:lvl>
    <w:lvl w:ilvl="6" w:tentative="0">
      <w:start w:val="0"/>
      <w:numFmt w:val="bullet"/>
      <w:lvlText w:val="•"/>
      <w:lvlJc w:val="left"/>
      <w:pPr>
        <w:ind w:left="4413" w:hanging="601"/>
      </w:pPr>
      <w:rPr>
        <w:rFonts w:hint="default"/>
        <w:lang w:val="zh-CN" w:eastAsia="zh-CN" w:bidi="zh-CN"/>
      </w:rPr>
    </w:lvl>
    <w:lvl w:ilvl="7" w:tentative="0">
      <w:start w:val="0"/>
      <w:numFmt w:val="bullet"/>
      <w:lvlText w:val="•"/>
      <w:lvlJc w:val="left"/>
      <w:pPr>
        <w:ind w:left="4992" w:hanging="601"/>
      </w:pPr>
      <w:rPr>
        <w:rFonts w:hint="default"/>
        <w:lang w:val="zh-CN" w:eastAsia="zh-CN" w:bidi="zh-CN"/>
      </w:rPr>
    </w:lvl>
    <w:lvl w:ilvl="8" w:tentative="0">
      <w:start w:val="0"/>
      <w:numFmt w:val="bullet"/>
      <w:lvlText w:val="•"/>
      <w:lvlJc w:val="left"/>
      <w:pPr>
        <w:ind w:left="5571" w:hanging="601"/>
      </w:pPr>
      <w:rPr>
        <w:rFonts w:hint="default"/>
        <w:lang w:val="zh-CN" w:eastAsia="zh-CN" w:bidi="zh-C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C"/>
    <w:rsid w:val="00001660"/>
    <w:rsid w:val="00004B89"/>
    <w:rsid w:val="00013385"/>
    <w:rsid w:val="0001438F"/>
    <w:rsid w:val="00014483"/>
    <w:rsid w:val="00015216"/>
    <w:rsid w:val="00015AD4"/>
    <w:rsid w:val="000176E8"/>
    <w:rsid w:val="00021F2A"/>
    <w:rsid w:val="00022084"/>
    <w:rsid w:val="000222FA"/>
    <w:rsid w:val="0002293A"/>
    <w:rsid w:val="00022F39"/>
    <w:rsid w:val="00023E17"/>
    <w:rsid w:val="000246A1"/>
    <w:rsid w:val="00024A16"/>
    <w:rsid w:val="00026E80"/>
    <w:rsid w:val="00030DE6"/>
    <w:rsid w:val="00031286"/>
    <w:rsid w:val="00031558"/>
    <w:rsid w:val="00032335"/>
    <w:rsid w:val="00032783"/>
    <w:rsid w:val="0003373C"/>
    <w:rsid w:val="00035948"/>
    <w:rsid w:val="000408C4"/>
    <w:rsid w:val="00041FE4"/>
    <w:rsid w:val="00042AAF"/>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0500"/>
    <w:rsid w:val="00061464"/>
    <w:rsid w:val="00061E69"/>
    <w:rsid w:val="0006243C"/>
    <w:rsid w:val="0006264C"/>
    <w:rsid w:val="00064F74"/>
    <w:rsid w:val="000657E0"/>
    <w:rsid w:val="0006634F"/>
    <w:rsid w:val="0006738D"/>
    <w:rsid w:val="000727F2"/>
    <w:rsid w:val="000731F0"/>
    <w:rsid w:val="000739F4"/>
    <w:rsid w:val="00073B7E"/>
    <w:rsid w:val="00074138"/>
    <w:rsid w:val="000743DD"/>
    <w:rsid w:val="0007588A"/>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1FF3"/>
    <w:rsid w:val="000A229A"/>
    <w:rsid w:val="000A2A84"/>
    <w:rsid w:val="000A32C6"/>
    <w:rsid w:val="000A3D02"/>
    <w:rsid w:val="000A3D83"/>
    <w:rsid w:val="000A4196"/>
    <w:rsid w:val="000A42C7"/>
    <w:rsid w:val="000A4B2E"/>
    <w:rsid w:val="000A4EA5"/>
    <w:rsid w:val="000A7857"/>
    <w:rsid w:val="000B07DD"/>
    <w:rsid w:val="000B0E0C"/>
    <w:rsid w:val="000B0F4B"/>
    <w:rsid w:val="000B1C2C"/>
    <w:rsid w:val="000B58C4"/>
    <w:rsid w:val="000B73FE"/>
    <w:rsid w:val="000B7FD8"/>
    <w:rsid w:val="000C00DD"/>
    <w:rsid w:val="000C0146"/>
    <w:rsid w:val="000C22DB"/>
    <w:rsid w:val="000C2EFC"/>
    <w:rsid w:val="000C3B13"/>
    <w:rsid w:val="000C405E"/>
    <w:rsid w:val="000C4129"/>
    <w:rsid w:val="000C4762"/>
    <w:rsid w:val="000C562F"/>
    <w:rsid w:val="000C5D2D"/>
    <w:rsid w:val="000C5FC0"/>
    <w:rsid w:val="000C61A6"/>
    <w:rsid w:val="000C646A"/>
    <w:rsid w:val="000D03B4"/>
    <w:rsid w:val="000D0F0A"/>
    <w:rsid w:val="000D1724"/>
    <w:rsid w:val="000D319D"/>
    <w:rsid w:val="000D4073"/>
    <w:rsid w:val="000D4EFB"/>
    <w:rsid w:val="000D705A"/>
    <w:rsid w:val="000D710C"/>
    <w:rsid w:val="000E0A69"/>
    <w:rsid w:val="000E583C"/>
    <w:rsid w:val="000E6476"/>
    <w:rsid w:val="000E6CD7"/>
    <w:rsid w:val="000F422B"/>
    <w:rsid w:val="000F45A9"/>
    <w:rsid w:val="000F6854"/>
    <w:rsid w:val="00100B7D"/>
    <w:rsid w:val="00100C85"/>
    <w:rsid w:val="00100FCD"/>
    <w:rsid w:val="001011C7"/>
    <w:rsid w:val="0010167E"/>
    <w:rsid w:val="00101CB5"/>
    <w:rsid w:val="001033D2"/>
    <w:rsid w:val="00105014"/>
    <w:rsid w:val="0010666F"/>
    <w:rsid w:val="001114EB"/>
    <w:rsid w:val="001116C7"/>
    <w:rsid w:val="00111F41"/>
    <w:rsid w:val="00114DE5"/>
    <w:rsid w:val="00114EBA"/>
    <w:rsid w:val="001150A5"/>
    <w:rsid w:val="001212C2"/>
    <w:rsid w:val="0012276E"/>
    <w:rsid w:val="001239E7"/>
    <w:rsid w:val="00123E53"/>
    <w:rsid w:val="00123FC0"/>
    <w:rsid w:val="00126265"/>
    <w:rsid w:val="00126D87"/>
    <w:rsid w:val="00131778"/>
    <w:rsid w:val="00131F14"/>
    <w:rsid w:val="001329EB"/>
    <w:rsid w:val="001345C8"/>
    <w:rsid w:val="0013590F"/>
    <w:rsid w:val="00136485"/>
    <w:rsid w:val="00136D53"/>
    <w:rsid w:val="00141A54"/>
    <w:rsid w:val="00142470"/>
    <w:rsid w:val="0014425B"/>
    <w:rsid w:val="001451F2"/>
    <w:rsid w:val="001464DD"/>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1E63"/>
    <w:rsid w:val="001746B3"/>
    <w:rsid w:val="00175AEB"/>
    <w:rsid w:val="001763A5"/>
    <w:rsid w:val="001813D2"/>
    <w:rsid w:val="001836F5"/>
    <w:rsid w:val="0018382C"/>
    <w:rsid w:val="0018390E"/>
    <w:rsid w:val="00183F9B"/>
    <w:rsid w:val="00185A39"/>
    <w:rsid w:val="00185F2C"/>
    <w:rsid w:val="00186A43"/>
    <w:rsid w:val="00186AEA"/>
    <w:rsid w:val="001876EA"/>
    <w:rsid w:val="00187C36"/>
    <w:rsid w:val="00187D88"/>
    <w:rsid w:val="0019037D"/>
    <w:rsid w:val="00191F16"/>
    <w:rsid w:val="00193802"/>
    <w:rsid w:val="00193E56"/>
    <w:rsid w:val="001961BF"/>
    <w:rsid w:val="00196A94"/>
    <w:rsid w:val="00196B7A"/>
    <w:rsid w:val="001974BF"/>
    <w:rsid w:val="0019756E"/>
    <w:rsid w:val="001A0BE4"/>
    <w:rsid w:val="001A4D34"/>
    <w:rsid w:val="001A67F1"/>
    <w:rsid w:val="001A761A"/>
    <w:rsid w:val="001B053F"/>
    <w:rsid w:val="001B1F0F"/>
    <w:rsid w:val="001B225D"/>
    <w:rsid w:val="001B22E9"/>
    <w:rsid w:val="001B334A"/>
    <w:rsid w:val="001B3E78"/>
    <w:rsid w:val="001B4B2D"/>
    <w:rsid w:val="001B60F8"/>
    <w:rsid w:val="001C20E9"/>
    <w:rsid w:val="001C2CAE"/>
    <w:rsid w:val="001C4A5B"/>
    <w:rsid w:val="001C5AF6"/>
    <w:rsid w:val="001C5EE6"/>
    <w:rsid w:val="001C76A7"/>
    <w:rsid w:val="001D0F62"/>
    <w:rsid w:val="001D2331"/>
    <w:rsid w:val="001D3913"/>
    <w:rsid w:val="001D486C"/>
    <w:rsid w:val="001E0521"/>
    <w:rsid w:val="001E0CB9"/>
    <w:rsid w:val="001E148C"/>
    <w:rsid w:val="001E3B05"/>
    <w:rsid w:val="001E5BB0"/>
    <w:rsid w:val="001E6EBF"/>
    <w:rsid w:val="001E6EC9"/>
    <w:rsid w:val="001E6EF9"/>
    <w:rsid w:val="001F035E"/>
    <w:rsid w:val="001F1E7D"/>
    <w:rsid w:val="001F2E29"/>
    <w:rsid w:val="001F492D"/>
    <w:rsid w:val="001F64F5"/>
    <w:rsid w:val="001F7860"/>
    <w:rsid w:val="001F79FC"/>
    <w:rsid w:val="001F7DBD"/>
    <w:rsid w:val="00203068"/>
    <w:rsid w:val="00205336"/>
    <w:rsid w:val="00206D18"/>
    <w:rsid w:val="0021013C"/>
    <w:rsid w:val="002120D0"/>
    <w:rsid w:val="002125E6"/>
    <w:rsid w:val="00215638"/>
    <w:rsid w:val="0021668E"/>
    <w:rsid w:val="00216DFE"/>
    <w:rsid w:val="00220283"/>
    <w:rsid w:val="00220C4F"/>
    <w:rsid w:val="00224333"/>
    <w:rsid w:val="00224CDC"/>
    <w:rsid w:val="002270B2"/>
    <w:rsid w:val="00230304"/>
    <w:rsid w:val="00230D10"/>
    <w:rsid w:val="002320BC"/>
    <w:rsid w:val="002332EA"/>
    <w:rsid w:val="002342C9"/>
    <w:rsid w:val="00235803"/>
    <w:rsid w:val="00241AF6"/>
    <w:rsid w:val="00242277"/>
    <w:rsid w:val="00242B0F"/>
    <w:rsid w:val="00244015"/>
    <w:rsid w:val="0024529B"/>
    <w:rsid w:val="00245E6C"/>
    <w:rsid w:val="002470DA"/>
    <w:rsid w:val="0025006F"/>
    <w:rsid w:val="00250692"/>
    <w:rsid w:val="002509D0"/>
    <w:rsid w:val="002510B3"/>
    <w:rsid w:val="00252DDB"/>
    <w:rsid w:val="0025359C"/>
    <w:rsid w:val="002554B2"/>
    <w:rsid w:val="00255D4B"/>
    <w:rsid w:val="00260AF9"/>
    <w:rsid w:val="002620C4"/>
    <w:rsid w:val="00262A61"/>
    <w:rsid w:val="00263B9A"/>
    <w:rsid w:val="00265423"/>
    <w:rsid w:val="00265F18"/>
    <w:rsid w:val="002665C5"/>
    <w:rsid w:val="002703E3"/>
    <w:rsid w:val="00272326"/>
    <w:rsid w:val="0027252A"/>
    <w:rsid w:val="00277B58"/>
    <w:rsid w:val="00280D8F"/>
    <w:rsid w:val="00281347"/>
    <w:rsid w:val="002857AA"/>
    <w:rsid w:val="00286763"/>
    <w:rsid w:val="0029048E"/>
    <w:rsid w:val="00290A46"/>
    <w:rsid w:val="00290AEB"/>
    <w:rsid w:val="00291539"/>
    <w:rsid w:val="00292632"/>
    <w:rsid w:val="00294EBC"/>
    <w:rsid w:val="0029626C"/>
    <w:rsid w:val="00297B8B"/>
    <w:rsid w:val="00297D0C"/>
    <w:rsid w:val="002A0B7A"/>
    <w:rsid w:val="002A0C3D"/>
    <w:rsid w:val="002A0C82"/>
    <w:rsid w:val="002A1E56"/>
    <w:rsid w:val="002A4317"/>
    <w:rsid w:val="002A7D03"/>
    <w:rsid w:val="002B067F"/>
    <w:rsid w:val="002B06DF"/>
    <w:rsid w:val="002B3263"/>
    <w:rsid w:val="002B3FE9"/>
    <w:rsid w:val="002B4920"/>
    <w:rsid w:val="002B5EB0"/>
    <w:rsid w:val="002B6D25"/>
    <w:rsid w:val="002B77D3"/>
    <w:rsid w:val="002B7D1D"/>
    <w:rsid w:val="002C0169"/>
    <w:rsid w:val="002C0185"/>
    <w:rsid w:val="002C0964"/>
    <w:rsid w:val="002C2154"/>
    <w:rsid w:val="002C3905"/>
    <w:rsid w:val="002C67ED"/>
    <w:rsid w:val="002C7DDE"/>
    <w:rsid w:val="002D2A3C"/>
    <w:rsid w:val="002D44CE"/>
    <w:rsid w:val="002D5D7E"/>
    <w:rsid w:val="002D6435"/>
    <w:rsid w:val="002D73AE"/>
    <w:rsid w:val="002E1456"/>
    <w:rsid w:val="002E2016"/>
    <w:rsid w:val="002E309E"/>
    <w:rsid w:val="002E372F"/>
    <w:rsid w:val="002E38A1"/>
    <w:rsid w:val="002E53EC"/>
    <w:rsid w:val="002E7B45"/>
    <w:rsid w:val="002F0D48"/>
    <w:rsid w:val="002F3919"/>
    <w:rsid w:val="002F5A38"/>
    <w:rsid w:val="002F797B"/>
    <w:rsid w:val="002F7C6F"/>
    <w:rsid w:val="00302602"/>
    <w:rsid w:val="0030262F"/>
    <w:rsid w:val="00303C8B"/>
    <w:rsid w:val="00306772"/>
    <w:rsid w:val="00306A59"/>
    <w:rsid w:val="00306EED"/>
    <w:rsid w:val="00306F89"/>
    <w:rsid w:val="00311669"/>
    <w:rsid w:val="0031253B"/>
    <w:rsid w:val="00314009"/>
    <w:rsid w:val="00314671"/>
    <w:rsid w:val="00315A72"/>
    <w:rsid w:val="0031795E"/>
    <w:rsid w:val="00321BCE"/>
    <w:rsid w:val="003230A0"/>
    <w:rsid w:val="00323546"/>
    <w:rsid w:val="0032451F"/>
    <w:rsid w:val="003245A1"/>
    <w:rsid w:val="00327B03"/>
    <w:rsid w:val="00331FC6"/>
    <w:rsid w:val="0033261E"/>
    <w:rsid w:val="003331D2"/>
    <w:rsid w:val="00334A11"/>
    <w:rsid w:val="00335BD1"/>
    <w:rsid w:val="003419CA"/>
    <w:rsid w:val="00342078"/>
    <w:rsid w:val="003428EC"/>
    <w:rsid w:val="00343E79"/>
    <w:rsid w:val="00344879"/>
    <w:rsid w:val="00346A47"/>
    <w:rsid w:val="0035067D"/>
    <w:rsid w:val="00351E9C"/>
    <w:rsid w:val="00351FA9"/>
    <w:rsid w:val="00352BE5"/>
    <w:rsid w:val="003534C0"/>
    <w:rsid w:val="00354318"/>
    <w:rsid w:val="00354A64"/>
    <w:rsid w:val="00354A79"/>
    <w:rsid w:val="00355FC0"/>
    <w:rsid w:val="00356142"/>
    <w:rsid w:val="00356AD1"/>
    <w:rsid w:val="00361262"/>
    <w:rsid w:val="00361C9E"/>
    <w:rsid w:val="00363C67"/>
    <w:rsid w:val="00364647"/>
    <w:rsid w:val="0037029D"/>
    <w:rsid w:val="00370C8A"/>
    <w:rsid w:val="0037288F"/>
    <w:rsid w:val="00372E53"/>
    <w:rsid w:val="00373951"/>
    <w:rsid w:val="0037405F"/>
    <w:rsid w:val="00375F76"/>
    <w:rsid w:val="003765BA"/>
    <w:rsid w:val="0037714C"/>
    <w:rsid w:val="00381E2B"/>
    <w:rsid w:val="00382A01"/>
    <w:rsid w:val="00383BFA"/>
    <w:rsid w:val="00384FE6"/>
    <w:rsid w:val="003851CE"/>
    <w:rsid w:val="00386948"/>
    <w:rsid w:val="003924E0"/>
    <w:rsid w:val="00394101"/>
    <w:rsid w:val="00395323"/>
    <w:rsid w:val="00395A66"/>
    <w:rsid w:val="0039654A"/>
    <w:rsid w:val="0039658A"/>
    <w:rsid w:val="00396685"/>
    <w:rsid w:val="00397811"/>
    <w:rsid w:val="003A44B1"/>
    <w:rsid w:val="003B01F6"/>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668B"/>
    <w:rsid w:val="003D1437"/>
    <w:rsid w:val="003D3B7C"/>
    <w:rsid w:val="003D3C77"/>
    <w:rsid w:val="003D5B15"/>
    <w:rsid w:val="003D629B"/>
    <w:rsid w:val="003D64A2"/>
    <w:rsid w:val="003D6FFA"/>
    <w:rsid w:val="003D72B6"/>
    <w:rsid w:val="003E35F5"/>
    <w:rsid w:val="003E44CB"/>
    <w:rsid w:val="003E5C6E"/>
    <w:rsid w:val="003F2938"/>
    <w:rsid w:val="003F4247"/>
    <w:rsid w:val="003F4D73"/>
    <w:rsid w:val="003F4F88"/>
    <w:rsid w:val="003F7462"/>
    <w:rsid w:val="00400273"/>
    <w:rsid w:val="00400415"/>
    <w:rsid w:val="00400F8F"/>
    <w:rsid w:val="00401075"/>
    <w:rsid w:val="00403397"/>
    <w:rsid w:val="00404202"/>
    <w:rsid w:val="00405597"/>
    <w:rsid w:val="004056A0"/>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1550"/>
    <w:rsid w:val="004347BF"/>
    <w:rsid w:val="00434EDB"/>
    <w:rsid w:val="00436108"/>
    <w:rsid w:val="004368E1"/>
    <w:rsid w:val="00436A1E"/>
    <w:rsid w:val="00437349"/>
    <w:rsid w:val="00437F68"/>
    <w:rsid w:val="00440010"/>
    <w:rsid w:val="004404F3"/>
    <w:rsid w:val="00441691"/>
    <w:rsid w:val="00442203"/>
    <w:rsid w:val="004440D6"/>
    <w:rsid w:val="0044451B"/>
    <w:rsid w:val="00446C23"/>
    <w:rsid w:val="00447598"/>
    <w:rsid w:val="00447F5D"/>
    <w:rsid w:val="004500E6"/>
    <w:rsid w:val="00451934"/>
    <w:rsid w:val="004522CD"/>
    <w:rsid w:val="00453DA2"/>
    <w:rsid w:val="00454103"/>
    <w:rsid w:val="00455EEE"/>
    <w:rsid w:val="004569C9"/>
    <w:rsid w:val="00457964"/>
    <w:rsid w:val="004643AF"/>
    <w:rsid w:val="00464C62"/>
    <w:rsid w:val="00465A54"/>
    <w:rsid w:val="004677D8"/>
    <w:rsid w:val="00472927"/>
    <w:rsid w:val="00474121"/>
    <w:rsid w:val="004746B7"/>
    <w:rsid w:val="00474A2F"/>
    <w:rsid w:val="004753B1"/>
    <w:rsid w:val="00476556"/>
    <w:rsid w:val="004837E8"/>
    <w:rsid w:val="00484A3D"/>
    <w:rsid w:val="0048581D"/>
    <w:rsid w:val="004859C3"/>
    <w:rsid w:val="00485EDF"/>
    <w:rsid w:val="00490A1F"/>
    <w:rsid w:val="004924E2"/>
    <w:rsid w:val="0049282E"/>
    <w:rsid w:val="0049425B"/>
    <w:rsid w:val="00494369"/>
    <w:rsid w:val="004967DA"/>
    <w:rsid w:val="004A0510"/>
    <w:rsid w:val="004A11B8"/>
    <w:rsid w:val="004A2B4F"/>
    <w:rsid w:val="004A6596"/>
    <w:rsid w:val="004A7ED0"/>
    <w:rsid w:val="004B1CB6"/>
    <w:rsid w:val="004B2E17"/>
    <w:rsid w:val="004B31F5"/>
    <w:rsid w:val="004B42C6"/>
    <w:rsid w:val="004B46E7"/>
    <w:rsid w:val="004B4E67"/>
    <w:rsid w:val="004B56B6"/>
    <w:rsid w:val="004B58B4"/>
    <w:rsid w:val="004B7913"/>
    <w:rsid w:val="004B7CD4"/>
    <w:rsid w:val="004C1A76"/>
    <w:rsid w:val="004C2D18"/>
    <w:rsid w:val="004C3CC5"/>
    <w:rsid w:val="004C5A8D"/>
    <w:rsid w:val="004D17B5"/>
    <w:rsid w:val="004D1CAF"/>
    <w:rsid w:val="004D1D4C"/>
    <w:rsid w:val="004D2515"/>
    <w:rsid w:val="004D2708"/>
    <w:rsid w:val="004D2D2B"/>
    <w:rsid w:val="004D438D"/>
    <w:rsid w:val="004D69C4"/>
    <w:rsid w:val="004D6AA0"/>
    <w:rsid w:val="004D6EA3"/>
    <w:rsid w:val="004D79D8"/>
    <w:rsid w:val="004D7C5A"/>
    <w:rsid w:val="004E095F"/>
    <w:rsid w:val="004E0DC1"/>
    <w:rsid w:val="004E2BA2"/>
    <w:rsid w:val="004E3AD2"/>
    <w:rsid w:val="004E4CDC"/>
    <w:rsid w:val="004E4ECE"/>
    <w:rsid w:val="004E77BC"/>
    <w:rsid w:val="004E7C5E"/>
    <w:rsid w:val="004F053A"/>
    <w:rsid w:val="004F104F"/>
    <w:rsid w:val="004F2BA1"/>
    <w:rsid w:val="004F4A10"/>
    <w:rsid w:val="004F6640"/>
    <w:rsid w:val="004F6D0A"/>
    <w:rsid w:val="00500450"/>
    <w:rsid w:val="005023EE"/>
    <w:rsid w:val="00503CA8"/>
    <w:rsid w:val="00507746"/>
    <w:rsid w:val="0051137A"/>
    <w:rsid w:val="00511759"/>
    <w:rsid w:val="00512F35"/>
    <w:rsid w:val="0051378E"/>
    <w:rsid w:val="00515F84"/>
    <w:rsid w:val="00516884"/>
    <w:rsid w:val="00516E92"/>
    <w:rsid w:val="0051796C"/>
    <w:rsid w:val="0052149F"/>
    <w:rsid w:val="005234C2"/>
    <w:rsid w:val="00523933"/>
    <w:rsid w:val="00524715"/>
    <w:rsid w:val="005275DB"/>
    <w:rsid w:val="00534655"/>
    <w:rsid w:val="0053654A"/>
    <w:rsid w:val="005379D8"/>
    <w:rsid w:val="00537DFF"/>
    <w:rsid w:val="005437F7"/>
    <w:rsid w:val="0054439D"/>
    <w:rsid w:val="005455D7"/>
    <w:rsid w:val="00545A4F"/>
    <w:rsid w:val="0054613F"/>
    <w:rsid w:val="00546F02"/>
    <w:rsid w:val="0054726C"/>
    <w:rsid w:val="00547477"/>
    <w:rsid w:val="00550637"/>
    <w:rsid w:val="00550C15"/>
    <w:rsid w:val="00551E54"/>
    <w:rsid w:val="00552A5B"/>
    <w:rsid w:val="00553A9F"/>
    <w:rsid w:val="00555666"/>
    <w:rsid w:val="005557AE"/>
    <w:rsid w:val="005563F8"/>
    <w:rsid w:val="00556406"/>
    <w:rsid w:val="0055769A"/>
    <w:rsid w:val="005603D7"/>
    <w:rsid w:val="00560776"/>
    <w:rsid w:val="005651F2"/>
    <w:rsid w:val="00566BF2"/>
    <w:rsid w:val="00566C37"/>
    <w:rsid w:val="00567FBF"/>
    <w:rsid w:val="0057020D"/>
    <w:rsid w:val="005710B2"/>
    <w:rsid w:val="005715A3"/>
    <w:rsid w:val="005758DC"/>
    <w:rsid w:val="00575EC8"/>
    <w:rsid w:val="005770E1"/>
    <w:rsid w:val="00577AAA"/>
    <w:rsid w:val="00577D3B"/>
    <w:rsid w:val="00577FC6"/>
    <w:rsid w:val="00583ED8"/>
    <w:rsid w:val="00585907"/>
    <w:rsid w:val="00585C10"/>
    <w:rsid w:val="00585D18"/>
    <w:rsid w:val="00586DE8"/>
    <w:rsid w:val="0058724D"/>
    <w:rsid w:val="005873E6"/>
    <w:rsid w:val="005876D8"/>
    <w:rsid w:val="00590091"/>
    <w:rsid w:val="00591013"/>
    <w:rsid w:val="0059168E"/>
    <w:rsid w:val="00591E80"/>
    <w:rsid w:val="0059553F"/>
    <w:rsid w:val="00595B7E"/>
    <w:rsid w:val="005A6B6C"/>
    <w:rsid w:val="005B0EA2"/>
    <w:rsid w:val="005B3818"/>
    <w:rsid w:val="005B4B72"/>
    <w:rsid w:val="005B52B1"/>
    <w:rsid w:val="005B5AEB"/>
    <w:rsid w:val="005C08FA"/>
    <w:rsid w:val="005C10F2"/>
    <w:rsid w:val="005C3E17"/>
    <w:rsid w:val="005C570D"/>
    <w:rsid w:val="005D1258"/>
    <w:rsid w:val="005D1F78"/>
    <w:rsid w:val="005D3DE5"/>
    <w:rsid w:val="005D691C"/>
    <w:rsid w:val="005D72BC"/>
    <w:rsid w:val="005D7BAC"/>
    <w:rsid w:val="005E0927"/>
    <w:rsid w:val="005E0EB8"/>
    <w:rsid w:val="005E1042"/>
    <w:rsid w:val="005E290B"/>
    <w:rsid w:val="005E61DB"/>
    <w:rsid w:val="005F038E"/>
    <w:rsid w:val="005F1201"/>
    <w:rsid w:val="005F28F4"/>
    <w:rsid w:val="005F39AC"/>
    <w:rsid w:val="005F6B77"/>
    <w:rsid w:val="006003EE"/>
    <w:rsid w:val="00605136"/>
    <w:rsid w:val="0060560B"/>
    <w:rsid w:val="00606299"/>
    <w:rsid w:val="006063A3"/>
    <w:rsid w:val="00606464"/>
    <w:rsid w:val="00606E5C"/>
    <w:rsid w:val="0060753A"/>
    <w:rsid w:val="00610DCC"/>
    <w:rsid w:val="006120A9"/>
    <w:rsid w:val="00612C9E"/>
    <w:rsid w:val="00614B06"/>
    <w:rsid w:val="00614DE1"/>
    <w:rsid w:val="006169D0"/>
    <w:rsid w:val="00616C8F"/>
    <w:rsid w:val="00616EAA"/>
    <w:rsid w:val="006201A4"/>
    <w:rsid w:val="0062060B"/>
    <w:rsid w:val="00621870"/>
    <w:rsid w:val="00625588"/>
    <w:rsid w:val="00626234"/>
    <w:rsid w:val="006269AA"/>
    <w:rsid w:val="00627813"/>
    <w:rsid w:val="00630CE7"/>
    <w:rsid w:val="00633FA7"/>
    <w:rsid w:val="00634380"/>
    <w:rsid w:val="006345DE"/>
    <w:rsid w:val="00635F76"/>
    <w:rsid w:val="00643045"/>
    <w:rsid w:val="0064574D"/>
    <w:rsid w:val="00645C78"/>
    <w:rsid w:val="00646470"/>
    <w:rsid w:val="00646570"/>
    <w:rsid w:val="00650EC4"/>
    <w:rsid w:val="00652426"/>
    <w:rsid w:val="0065519A"/>
    <w:rsid w:val="0065793E"/>
    <w:rsid w:val="006622F0"/>
    <w:rsid w:val="0066255F"/>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0360"/>
    <w:rsid w:val="00693EA5"/>
    <w:rsid w:val="006959B9"/>
    <w:rsid w:val="00695A3E"/>
    <w:rsid w:val="006A0565"/>
    <w:rsid w:val="006A0C8E"/>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229"/>
    <w:rsid w:val="006D1852"/>
    <w:rsid w:val="006D2D0E"/>
    <w:rsid w:val="006D4E10"/>
    <w:rsid w:val="006D539E"/>
    <w:rsid w:val="006D634E"/>
    <w:rsid w:val="006D73C5"/>
    <w:rsid w:val="006D7602"/>
    <w:rsid w:val="006D7AEE"/>
    <w:rsid w:val="006E0F4A"/>
    <w:rsid w:val="006E1B6F"/>
    <w:rsid w:val="006E280B"/>
    <w:rsid w:val="006E3610"/>
    <w:rsid w:val="006E3819"/>
    <w:rsid w:val="006E3977"/>
    <w:rsid w:val="006E3EA3"/>
    <w:rsid w:val="006E57C3"/>
    <w:rsid w:val="006E5B7C"/>
    <w:rsid w:val="006E6C7E"/>
    <w:rsid w:val="006E7778"/>
    <w:rsid w:val="006F19FC"/>
    <w:rsid w:val="006F6F4D"/>
    <w:rsid w:val="006F72D9"/>
    <w:rsid w:val="006F74F3"/>
    <w:rsid w:val="00703E8A"/>
    <w:rsid w:val="00706597"/>
    <w:rsid w:val="007068BA"/>
    <w:rsid w:val="00707B59"/>
    <w:rsid w:val="00707F65"/>
    <w:rsid w:val="00710A76"/>
    <w:rsid w:val="0071161C"/>
    <w:rsid w:val="00716115"/>
    <w:rsid w:val="00716B69"/>
    <w:rsid w:val="00721582"/>
    <w:rsid w:val="00721914"/>
    <w:rsid w:val="007236E6"/>
    <w:rsid w:val="00723C07"/>
    <w:rsid w:val="0072427E"/>
    <w:rsid w:val="0073057D"/>
    <w:rsid w:val="00730609"/>
    <w:rsid w:val="00731DA2"/>
    <w:rsid w:val="007324EC"/>
    <w:rsid w:val="0073276D"/>
    <w:rsid w:val="00734122"/>
    <w:rsid w:val="007352A4"/>
    <w:rsid w:val="00736FE3"/>
    <w:rsid w:val="00737F15"/>
    <w:rsid w:val="007400F0"/>
    <w:rsid w:val="0074082A"/>
    <w:rsid w:val="007423F5"/>
    <w:rsid w:val="00742877"/>
    <w:rsid w:val="0074393D"/>
    <w:rsid w:val="00743991"/>
    <w:rsid w:val="00746AD4"/>
    <w:rsid w:val="00750B7E"/>
    <w:rsid w:val="007515C4"/>
    <w:rsid w:val="007522B7"/>
    <w:rsid w:val="0075277D"/>
    <w:rsid w:val="00753A4B"/>
    <w:rsid w:val="007540CC"/>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707AA"/>
    <w:rsid w:val="00774962"/>
    <w:rsid w:val="00775C58"/>
    <w:rsid w:val="00775F64"/>
    <w:rsid w:val="00776970"/>
    <w:rsid w:val="00777FA7"/>
    <w:rsid w:val="00777FC5"/>
    <w:rsid w:val="00780832"/>
    <w:rsid w:val="00780DCA"/>
    <w:rsid w:val="00781660"/>
    <w:rsid w:val="007818C9"/>
    <w:rsid w:val="00782920"/>
    <w:rsid w:val="007865E1"/>
    <w:rsid w:val="007866F2"/>
    <w:rsid w:val="00790706"/>
    <w:rsid w:val="00795E5D"/>
    <w:rsid w:val="0079716C"/>
    <w:rsid w:val="00797235"/>
    <w:rsid w:val="007A009E"/>
    <w:rsid w:val="007A01F7"/>
    <w:rsid w:val="007A0F8C"/>
    <w:rsid w:val="007A13C0"/>
    <w:rsid w:val="007A4490"/>
    <w:rsid w:val="007A47BF"/>
    <w:rsid w:val="007A4EE5"/>
    <w:rsid w:val="007A4F56"/>
    <w:rsid w:val="007A7069"/>
    <w:rsid w:val="007A70D1"/>
    <w:rsid w:val="007A7526"/>
    <w:rsid w:val="007A7C36"/>
    <w:rsid w:val="007B100D"/>
    <w:rsid w:val="007B1854"/>
    <w:rsid w:val="007B283B"/>
    <w:rsid w:val="007B2F12"/>
    <w:rsid w:val="007B5FA8"/>
    <w:rsid w:val="007B6900"/>
    <w:rsid w:val="007B7884"/>
    <w:rsid w:val="007C0294"/>
    <w:rsid w:val="007C12CC"/>
    <w:rsid w:val="007C3B0F"/>
    <w:rsid w:val="007C563E"/>
    <w:rsid w:val="007C6221"/>
    <w:rsid w:val="007D04AE"/>
    <w:rsid w:val="007D1EDC"/>
    <w:rsid w:val="007D2B50"/>
    <w:rsid w:val="007D39E5"/>
    <w:rsid w:val="007D425A"/>
    <w:rsid w:val="007D54E9"/>
    <w:rsid w:val="007D5A19"/>
    <w:rsid w:val="007E193D"/>
    <w:rsid w:val="007E31A6"/>
    <w:rsid w:val="007E37B8"/>
    <w:rsid w:val="007E4F90"/>
    <w:rsid w:val="007F00ED"/>
    <w:rsid w:val="007F069A"/>
    <w:rsid w:val="007F0BE1"/>
    <w:rsid w:val="007F2474"/>
    <w:rsid w:val="007F5FAD"/>
    <w:rsid w:val="007F620C"/>
    <w:rsid w:val="008004E8"/>
    <w:rsid w:val="00801B05"/>
    <w:rsid w:val="008025D3"/>
    <w:rsid w:val="00807A32"/>
    <w:rsid w:val="00807BB1"/>
    <w:rsid w:val="008102C8"/>
    <w:rsid w:val="00810C97"/>
    <w:rsid w:val="00810D49"/>
    <w:rsid w:val="008127C3"/>
    <w:rsid w:val="008134EF"/>
    <w:rsid w:val="008139F7"/>
    <w:rsid w:val="00813B77"/>
    <w:rsid w:val="008159D7"/>
    <w:rsid w:val="00816AC0"/>
    <w:rsid w:val="0081715B"/>
    <w:rsid w:val="00817C5D"/>
    <w:rsid w:val="00817D26"/>
    <w:rsid w:val="00817F70"/>
    <w:rsid w:val="00821A14"/>
    <w:rsid w:val="00821FBB"/>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4DF5"/>
    <w:rsid w:val="00865464"/>
    <w:rsid w:val="0087069A"/>
    <w:rsid w:val="008708ED"/>
    <w:rsid w:val="0087135D"/>
    <w:rsid w:val="00874451"/>
    <w:rsid w:val="00875714"/>
    <w:rsid w:val="00877038"/>
    <w:rsid w:val="008805E8"/>
    <w:rsid w:val="00882E0C"/>
    <w:rsid w:val="008834FA"/>
    <w:rsid w:val="00885488"/>
    <w:rsid w:val="00887A37"/>
    <w:rsid w:val="0089430C"/>
    <w:rsid w:val="008944AF"/>
    <w:rsid w:val="0089587E"/>
    <w:rsid w:val="008970D5"/>
    <w:rsid w:val="00897B8F"/>
    <w:rsid w:val="008A0B92"/>
    <w:rsid w:val="008A0CE0"/>
    <w:rsid w:val="008A1079"/>
    <w:rsid w:val="008A1875"/>
    <w:rsid w:val="008A3B23"/>
    <w:rsid w:val="008A3E63"/>
    <w:rsid w:val="008A4078"/>
    <w:rsid w:val="008A51A9"/>
    <w:rsid w:val="008B0085"/>
    <w:rsid w:val="008B2B51"/>
    <w:rsid w:val="008B346E"/>
    <w:rsid w:val="008B4E2A"/>
    <w:rsid w:val="008B5136"/>
    <w:rsid w:val="008B68FD"/>
    <w:rsid w:val="008C2E09"/>
    <w:rsid w:val="008C32D0"/>
    <w:rsid w:val="008C3677"/>
    <w:rsid w:val="008C3970"/>
    <w:rsid w:val="008C48F8"/>
    <w:rsid w:val="008C763A"/>
    <w:rsid w:val="008D2154"/>
    <w:rsid w:val="008D3C61"/>
    <w:rsid w:val="008D4DE9"/>
    <w:rsid w:val="008D6485"/>
    <w:rsid w:val="008D706D"/>
    <w:rsid w:val="008E1ADA"/>
    <w:rsid w:val="008E1C35"/>
    <w:rsid w:val="008E2427"/>
    <w:rsid w:val="008E46ED"/>
    <w:rsid w:val="008E5112"/>
    <w:rsid w:val="008E512D"/>
    <w:rsid w:val="008E5891"/>
    <w:rsid w:val="008E5F09"/>
    <w:rsid w:val="008F1A08"/>
    <w:rsid w:val="008F1DDA"/>
    <w:rsid w:val="008F2108"/>
    <w:rsid w:val="008F39B8"/>
    <w:rsid w:val="008F5164"/>
    <w:rsid w:val="008F6B8B"/>
    <w:rsid w:val="00901748"/>
    <w:rsid w:val="009018E5"/>
    <w:rsid w:val="009019CF"/>
    <w:rsid w:val="00901C1E"/>
    <w:rsid w:val="00902CF4"/>
    <w:rsid w:val="0090478A"/>
    <w:rsid w:val="009056D3"/>
    <w:rsid w:val="00905841"/>
    <w:rsid w:val="00907D77"/>
    <w:rsid w:val="00910F99"/>
    <w:rsid w:val="00914BDD"/>
    <w:rsid w:val="00916557"/>
    <w:rsid w:val="009172C2"/>
    <w:rsid w:val="0091761E"/>
    <w:rsid w:val="00920FF1"/>
    <w:rsid w:val="00921695"/>
    <w:rsid w:val="009221E3"/>
    <w:rsid w:val="00922FF6"/>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7EE"/>
    <w:rsid w:val="00945A9B"/>
    <w:rsid w:val="0095004B"/>
    <w:rsid w:val="00951C0F"/>
    <w:rsid w:val="00954A78"/>
    <w:rsid w:val="009618EC"/>
    <w:rsid w:val="00961BBD"/>
    <w:rsid w:val="0096295D"/>
    <w:rsid w:val="00964479"/>
    <w:rsid w:val="009654C2"/>
    <w:rsid w:val="00966E0E"/>
    <w:rsid w:val="0097195D"/>
    <w:rsid w:val="009721A4"/>
    <w:rsid w:val="009727F4"/>
    <w:rsid w:val="00972975"/>
    <w:rsid w:val="00973FEF"/>
    <w:rsid w:val="009752EE"/>
    <w:rsid w:val="00977F1D"/>
    <w:rsid w:val="00980F49"/>
    <w:rsid w:val="0098255F"/>
    <w:rsid w:val="0098261E"/>
    <w:rsid w:val="00982994"/>
    <w:rsid w:val="009836CA"/>
    <w:rsid w:val="009844F8"/>
    <w:rsid w:val="0098675D"/>
    <w:rsid w:val="00987223"/>
    <w:rsid w:val="00987F3D"/>
    <w:rsid w:val="00990E2B"/>
    <w:rsid w:val="0099514C"/>
    <w:rsid w:val="00996CE3"/>
    <w:rsid w:val="00996F0B"/>
    <w:rsid w:val="00996F6A"/>
    <w:rsid w:val="009A07C7"/>
    <w:rsid w:val="009A0958"/>
    <w:rsid w:val="009A1FE1"/>
    <w:rsid w:val="009A4BD5"/>
    <w:rsid w:val="009A4DCC"/>
    <w:rsid w:val="009A4F79"/>
    <w:rsid w:val="009A5259"/>
    <w:rsid w:val="009A636B"/>
    <w:rsid w:val="009A6CC8"/>
    <w:rsid w:val="009A7416"/>
    <w:rsid w:val="009B3A61"/>
    <w:rsid w:val="009B520F"/>
    <w:rsid w:val="009B6998"/>
    <w:rsid w:val="009C17E0"/>
    <w:rsid w:val="009C21A8"/>
    <w:rsid w:val="009C58FC"/>
    <w:rsid w:val="009D004A"/>
    <w:rsid w:val="009D0197"/>
    <w:rsid w:val="009D19AE"/>
    <w:rsid w:val="009D1FA3"/>
    <w:rsid w:val="009D2805"/>
    <w:rsid w:val="009D3609"/>
    <w:rsid w:val="009D7994"/>
    <w:rsid w:val="009E1712"/>
    <w:rsid w:val="009E3963"/>
    <w:rsid w:val="009E46B1"/>
    <w:rsid w:val="009E7AD9"/>
    <w:rsid w:val="009F1FFE"/>
    <w:rsid w:val="009F31B2"/>
    <w:rsid w:val="009F60DF"/>
    <w:rsid w:val="00A030EA"/>
    <w:rsid w:val="00A03478"/>
    <w:rsid w:val="00A04C2D"/>
    <w:rsid w:val="00A04DCF"/>
    <w:rsid w:val="00A066BF"/>
    <w:rsid w:val="00A075EF"/>
    <w:rsid w:val="00A0776C"/>
    <w:rsid w:val="00A100BF"/>
    <w:rsid w:val="00A1253B"/>
    <w:rsid w:val="00A130E7"/>
    <w:rsid w:val="00A17860"/>
    <w:rsid w:val="00A21609"/>
    <w:rsid w:val="00A22389"/>
    <w:rsid w:val="00A24090"/>
    <w:rsid w:val="00A24C7F"/>
    <w:rsid w:val="00A25B97"/>
    <w:rsid w:val="00A25BBF"/>
    <w:rsid w:val="00A3179E"/>
    <w:rsid w:val="00A31FED"/>
    <w:rsid w:val="00A33051"/>
    <w:rsid w:val="00A331CA"/>
    <w:rsid w:val="00A33805"/>
    <w:rsid w:val="00A34DB9"/>
    <w:rsid w:val="00A3546D"/>
    <w:rsid w:val="00A35DEB"/>
    <w:rsid w:val="00A365D7"/>
    <w:rsid w:val="00A36E24"/>
    <w:rsid w:val="00A3709F"/>
    <w:rsid w:val="00A3731C"/>
    <w:rsid w:val="00A3757E"/>
    <w:rsid w:val="00A37F63"/>
    <w:rsid w:val="00A40262"/>
    <w:rsid w:val="00A40333"/>
    <w:rsid w:val="00A40A39"/>
    <w:rsid w:val="00A40BCF"/>
    <w:rsid w:val="00A40FA5"/>
    <w:rsid w:val="00A42BBA"/>
    <w:rsid w:val="00A42DE8"/>
    <w:rsid w:val="00A450A0"/>
    <w:rsid w:val="00A4520A"/>
    <w:rsid w:val="00A46D08"/>
    <w:rsid w:val="00A47CB3"/>
    <w:rsid w:val="00A51A79"/>
    <w:rsid w:val="00A53021"/>
    <w:rsid w:val="00A53A2C"/>
    <w:rsid w:val="00A55909"/>
    <w:rsid w:val="00A56417"/>
    <w:rsid w:val="00A56EA4"/>
    <w:rsid w:val="00A57448"/>
    <w:rsid w:val="00A57662"/>
    <w:rsid w:val="00A65E47"/>
    <w:rsid w:val="00A66011"/>
    <w:rsid w:val="00A67908"/>
    <w:rsid w:val="00A708C8"/>
    <w:rsid w:val="00A70FA9"/>
    <w:rsid w:val="00A71F21"/>
    <w:rsid w:val="00A71F44"/>
    <w:rsid w:val="00A737B7"/>
    <w:rsid w:val="00A77774"/>
    <w:rsid w:val="00A80A3F"/>
    <w:rsid w:val="00A80B2E"/>
    <w:rsid w:val="00A8489E"/>
    <w:rsid w:val="00A85309"/>
    <w:rsid w:val="00A858C3"/>
    <w:rsid w:val="00A85B90"/>
    <w:rsid w:val="00A85D69"/>
    <w:rsid w:val="00A87F68"/>
    <w:rsid w:val="00A92AE1"/>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6409"/>
    <w:rsid w:val="00AA7784"/>
    <w:rsid w:val="00AB11E7"/>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406B"/>
    <w:rsid w:val="00AF581C"/>
    <w:rsid w:val="00AF5C27"/>
    <w:rsid w:val="00AF613D"/>
    <w:rsid w:val="00AF6A7E"/>
    <w:rsid w:val="00AF71D4"/>
    <w:rsid w:val="00AF7313"/>
    <w:rsid w:val="00B01D46"/>
    <w:rsid w:val="00B03977"/>
    <w:rsid w:val="00B03F3C"/>
    <w:rsid w:val="00B04E09"/>
    <w:rsid w:val="00B05431"/>
    <w:rsid w:val="00B06E7A"/>
    <w:rsid w:val="00B11E8E"/>
    <w:rsid w:val="00B1216D"/>
    <w:rsid w:val="00B154C8"/>
    <w:rsid w:val="00B1738C"/>
    <w:rsid w:val="00B21AC2"/>
    <w:rsid w:val="00B21BC8"/>
    <w:rsid w:val="00B21BE0"/>
    <w:rsid w:val="00B21D57"/>
    <w:rsid w:val="00B26138"/>
    <w:rsid w:val="00B26143"/>
    <w:rsid w:val="00B26996"/>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6D3D"/>
    <w:rsid w:val="00B67759"/>
    <w:rsid w:val="00B70F40"/>
    <w:rsid w:val="00B71560"/>
    <w:rsid w:val="00B71E95"/>
    <w:rsid w:val="00B722B0"/>
    <w:rsid w:val="00B73120"/>
    <w:rsid w:val="00B7599E"/>
    <w:rsid w:val="00B761BB"/>
    <w:rsid w:val="00B80DFC"/>
    <w:rsid w:val="00B80EDE"/>
    <w:rsid w:val="00B84254"/>
    <w:rsid w:val="00B845BE"/>
    <w:rsid w:val="00B859B8"/>
    <w:rsid w:val="00B87988"/>
    <w:rsid w:val="00B87B37"/>
    <w:rsid w:val="00B90574"/>
    <w:rsid w:val="00B90ABB"/>
    <w:rsid w:val="00B90CBD"/>
    <w:rsid w:val="00B92E98"/>
    <w:rsid w:val="00B9528F"/>
    <w:rsid w:val="00B9529C"/>
    <w:rsid w:val="00B9543F"/>
    <w:rsid w:val="00B9553B"/>
    <w:rsid w:val="00BA3397"/>
    <w:rsid w:val="00BA606B"/>
    <w:rsid w:val="00BA78B0"/>
    <w:rsid w:val="00BA7DC3"/>
    <w:rsid w:val="00BB373B"/>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6B83"/>
    <w:rsid w:val="00BC6DAD"/>
    <w:rsid w:val="00BD1145"/>
    <w:rsid w:val="00BD2189"/>
    <w:rsid w:val="00BD2936"/>
    <w:rsid w:val="00BD40F4"/>
    <w:rsid w:val="00BD5772"/>
    <w:rsid w:val="00BD7565"/>
    <w:rsid w:val="00BE174B"/>
    <w:rsid w:val="00BE2A3D"/>
    <w:rsid w:val="00BE3611"/>
    <w:rsid w:val="00BE5099"/>
    <w:rsid w:val="00BE53FC"/>
    <w:rsid w:val="00BE573A"/>
    <w:rsid w:val="00BE63C9"/>
    <w:rsid w:val="00BE79E6"/>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05CB7"/>
    <w:rsid w:val="00C07B14"/>
    <w:rsid w:val="00C1063E"/>
    <w:rsid w:val="00C10713"/>
    <w:rsid w:val="00C117A2"/>
    <w:rsid w:val="00C131FB"/>
    <w:rsid w:val="00C15341"/>
    <w:rsid w:val="00C20E1F"/>
    <w:rsid w:val="00C21258"/>
    <w:rsid w:val="00C215E3"/>
    <w:rsid w:val="00C234E3"/>
    <w:rsid w:val="00C37429"/>
    <w:rsid w:val="00C411E5"/>
    <w:rsid w:val="00C417AD"/>
    <w:rsid w:val="00C452B7"/>
    <w:rsid w:val="00C45A12"/>
    <w:rsid w:val="00C46DC8"/>
    <w:rsid w:val="00C500B1"/>
    <w:rsid w:val="00C500DE"/>
    <w:rsid w:val="00C51B02"/>
    <w:rsid w:val="00C51F56"/>
    <w:rsid w:val="00C5208F"/>
    <w:rsid w:val="00C53BA5"/>
    <w:rsid w:val="00C53E7F"/>
    <w:rsid w:val="00C53F5E"/>
    <w:rsid w:val="00C543EA"/>
    <w:rsid w:val="00C56C4B"/>
    <w:rsid w:val="00C577CE"/>
    <w:rsid w:val="00C6063E"/>
    <w:rsid w:val="00C60BB5"/>
    <w:rsid w:val="00C62FBC"/>
    <w:rsid w:val="00C630C0"/>
    <w:rsid w:val="00C64E8B"/>
    <w:rsid w:val="00C64F46"/>
    <w:rsid w:val="00C65C54"/>
    <w:rsid w:val="00C65FAA"/>
    <w:rsid w:val="00C6749A"/>
    <w:rsid w:val="00C7317A"/>
    <w:rsid w:val="00C74A60"/>
    <w:rsid w:val="00C76857"/>
    <w:rsid w:val="00C77B4B"/>
    <w:rsid w:val="00C77FD7"/>
    <w:rsid w:val="00C81ECD"/>
    <w:rsid w:val="00C84043"/>
    <w:rsid w:val="00C84EF2"/>
    <w:rsid w:val="00C8530A"/>
    <w:rsid w:val="00C8595C"/>
    <w:rsid w:val="00C87CFF"/>
    <w:rsid w:val="00C91EEF"/>
    <w:rsid w:val="00C92B04"/>
    <w:rsid w:val="00C93302"/>
    <w:rsid w:val="00C933F8"/>
    <w:rsid w:val="00C96476"/>
    <w:rsid w:val="00C966E5"/>
    <w:rsid w:val="00C9746E"/>
    <w:rsid w:val="00C97D01"/>
    <w:rsid w:val="00CA07E5"/>
    <w:rsid w:val="00CA124D"/>
    <w:rsid w:val="00CA2F94"/>
    <w:rsid w:val="00CA5643"/>
    <w:rsid w:val="00CA5CD4"/>
    <w:rsid w:val="00CA64DE"/>
    <w:rsid w:val="00CB02E1"/>
    <w:rsid w:val="00CB0602"/>
    <w:rsid w:val="00CB2706"/>
    <w:rsid w:val="00CB32BB"/>
    <w:rsid w:val="00CB53CC"/>
    <w:rsid w:val="00CB77AC"/>
    <w:rsid w:val="00CC02B6"/>
    <w:rsid w:val="00CC0515"/>
    <w:rsid w:val="00CC0BA0"/>
    <w:rsid w:val="00CC1EDA"/>
    <w:rsid w:val="00CC218A"/>
    <w:rsid w:val="00CC3230"/>
    <w:rsid w:val="00CC4394"/>
    <w:rsid w:val="00CC44AE"/>
    <w:rsid w:val="00CC5671"/>
    <w:rsid w:val="00CC6657"/>
    <w:rsid w:val="00CC68F4"/>
    <w:rsid w:val="00CC770D"/>
    <w:rsid w:val="00CD1E58"/>
    <w:rsid w:val="00CD3365"/>
    <w:rsid w:val="00CD471E"/>
    <w:rsid w:val="00CD482D"/>
    <w:rsid w:val="00CD489B"/>
    <w:rsid w:val="00CD48A2"/>
    <w:rsid w:val="00CD4FD0"/>
    <w:rsid w:val="00CD64F1"/>
    <w:rsid w:val="00CD7A14"/>
    <w:rsid w:val="00CE0E5F"/>
    <w:rsid w:val="00CE2FCF"/>
    <w:rsid w:val="00CE318F"/>
    <w:rsid w:val="00CE5461"/>
    <w:rsid w:val="00CE6B10"/>
    <w:rsid w:val="00CE6C4B"/>
    <w:rsid w:val="00CF36D8"/>
    <w:rsid w:val="00CF43C8"/>
    <w:rsid w:val="00CF46D5"/>
    <w:rsid w:val="00CF4736"/>
    <w:rsid w:val="00CF7ADB"/>
    <w:rsid w:val="00D0033D"/>
    <w:rsid w:val="00D006B0"/>
    <w:rsid w:val="00D00BE4"/>
    <w:rsid w:val="00D02560"/>
    <w:rsid w:val="00D0301C"/>
    <w:rsid w:val="00D04121"/>
    <w:rsid w:val="00D051E7"/>
    <w:rsid w:val="00D0793C"/>
    <w:rsid w:val="00D07B26"/>
    <w:rsid w:val="00D111BB"/>
    <w:rsid w:val="00D1246C"/>
    <w:rsid w:val="00D12661"/>
    <w:rsid w:val="00D127D2"/>
    <w:rsid w:val="00D13E2C"/>
    <w:rsid w:val="00D14FF6"/>
    <w:rsid w:val="00D155CF"/>
    <w:rsid w:val="00D1702F"/>
    <w:rsid w:val="00D170E0"/>
    <w:rsid w:val="00D20EEA"/>
    <w:rsid w:val="00D229F0"/>
    <w:rsid w:val="00D23291"/>
    <w:rsid w:val="00D23533"/>
    <w:rsid w:val="00D24B67"/>
    <w:rsid w:val="00D25C54"/>
    <w:rsid w:val="00D338D3"/>
    <w:rsid w:val="00D33F03"/>
    <w:rsid w:val="00D360C6"/>
    <w:rsid w:val="00D365C0"/>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60A82"/>
    <w:rsid w:val="00D61169"/>
    <w:rsid w:val="00D6122C"/>
    <w:rsid w:val="00D61F43"/>
    <w:rsid w:val="00D63F07"/>
    <w:rsid w:val="00D654F0"/>
    <w:rsid w:val="00D664D5"/>
    <w:rsid w:val="00D66C0A"/>
    <w:rsid w:val="00D715AC"/>
    <w:rsid w:val="00D72E5B"/>
    <w:rsid w:val="00D73D89"/>
    <w:rsid w:val="00D745C3"/>
    <w:rsid w:val="00D75D8E"/>
    <w:rsid w:val="00D76FB8"/>
    <w:rsid w:val="00D80070"/>
    <w:rsid w:val="00D8053D"/>
    <w:rsid w:val="00D80B1A"/>
    <w:rsid w:val="00D816A7"/>
    <w:rsid w:val="00D828CE"/>
    <w:rsid w:val="00D83F62"/>
    <w:rsid w:val="00D85C6B"/>
    <w:rsid w:val="00D86DAC"/>
    <w:rsid w:val="00D90AE9"/>
    <w:rsid w:val="00D90CAD"/>
    <w:rsid w:val="00D929B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41E"/>
    <w:rsid w:val="00DB4DA3"/>
    <w:rsid w:val="00DB557C"/>
    <w:rsid w:val="00DB74F7"/>
    <w:rsid w:val="00DC1D5F"/>
    <w:rsid w:val="00DC1FAD"/>
    <w:rsid w:val="00DC20F9"/>
    <w:rsid w:val="00DC46F4"/>
    <w:rsid w:val="00DC56ED"/>
    <w:rsid w:val="00DC7F24"/>
    <w:rsid w:val="00DD08E7"/>
    <w:rsid w:val="00DD52DE"/>
    <w:rsid w:val="00DD7107"/>
    <w:rsid w:val="00DE28C4"/>
    <w:rsid w:val="00DE29A8"/>
    <w:rsid w:val="00DE4225"/>
    <w:rsid w:val="00DE6006"/>
    <w:rsid w:val="00DE7A57"/>
    <w:rsid w:val="00DE7C1A"/>
    <w:rsid w:val="00DF1747"/>
    <w:rsid w:val="00DF1C3D"/>
    <w:rsid w:val="00DF3882"/>
    <w:rsid w:val="00DF43EA"/>
    <w:rsid w:val="00DF52BC"/>
    <w:rsid w:val="00DF5FB1"/>
    <w:rsid w:val="00DF7393"/>
    <w:rsid w:val="00DF781B"/>
    <w:rsid w:val="00E009F3"/>
    <w:rsid w:val="00E00DDC"/>
    <w:rsid w:val="00E01FA7"/>
    <w:rsid w:val="00E0274F"/>
    <w:rsid w:val="00E02F94"/>
    <w:rsid w:val="00E03A7A"/>
    <w:rsid w:val="00E0432C"/>
    <w:rsid w:val="00E048E5"/>
    <w:rsid w:val="00E061F3"/>
    <w:rsid w:val="00E07B26"/>
    <w:rsid w:val="00E07F21"/>
    <w:rsid w:val="00E13FB6"/>
    <w:rsid w:val="00E1487A"/>
    <w:rsid w:val="00E16DAB"/>
    <w:rsid w:val="00E2006D"/>
    <w:rsid w:val="00E22756"/>
    <w:rsid w:val="00E25815"/>
    <w:rsid w:val="00E26F1D"/>
    <w:rsid w:val="00E270A6"/>
    <w:rsid w:val="00E30322"/>
    <w:rsid w:val="00E3140F"/>
    <w:rsid w:val="00E31A51"/>
    <w:rsid w:val="00E31F6C"/>
    <w:rsid w:val="00E3275C"/>
    <w:rsid w:val="00E33021"/>
    <w:rsid w:val="00E33342"/>
    <w:rsid w:val="00E3344C"/>
    <w:rsid w:val="00E339BB"/>
    <w:rsid w:val="00E35CC1"/>
    <w:rsid w:val="00E40738"/>
    <w:rsid w:val="00E42B06"/>
    <w:rsid w:val="00E43C88"/>
    <w:rsid w:val="00E45060"/>
    <w:rsid w:val="00E454D2"/>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71B0"/>
    <w:rsid w:val="00E77F8A"/>
    <w:rsid w:val="00E8219A"/>
    <w:rsid w:val="00E829CB"/>
    <w:rsid w:val="00E82CE7"/>
    <w:rsid w:val="00E8554D"/>
    <w:rsid w:val="00E859F8"/>
    <w:rsid w:val="00E875DE"/>
    <w:rsid w:val="00E87C9B"/>
    <w:rsid w:val="00E9018A"/>
    <w:rsid w:val="00E93090"/>
    <w:rsid w:val="00E93C34"/>
    <w:rsid w:val="00EA2BCA"/>
    <w:rsid w:val="00EA2C71"/>
    <w:rsid w:val="00EA6512"/>
    <w:rsid w:val="00EA7155"/>
    <w:rsid w:val="00EA7E56"/>
    <w:rsid w:val="00EB021E"/>
    <w:rsid w:val="00EB05ED"/>
    <w:rsid w:val="00EB0C4B"/>
    <w:rsid w:val="00EB0DC4"/>
    <w:rsid w:val="00EB0E52"/>
    <w:rsid w:val="00EB1EA7"/>
    <w:rsid w:val="00EB1F77"/>
    <w:rsid w:val="00EB506E"/>
    <w:rsid w:val="00EC63A7"/>
    <w:rsid w:val="00ED0446"/>
    <w:rsid w:val="00ED0D35"/>
    <w:rsid w:val="00ED1E20"/>
    <w:rsid w:val="00ED2FB9"/>
    <w:rsid w:val="00ED4C47"/>
    <w:rsid w:val="00ED4D48"/>
    <w:rsid w:val="00ED70B4"/>
    <w:rsid w:val="00EE1CD6"/>
    <w:rsid w:val="00EE2A0A"/>
    <w:rsid w:val="00EE2DA4"/>
    <w:rsid w:val="00EE4005"/>
    <w:rsid w:val="00EE4C19"/>
    <w:rsid w:val="00EE774B"/>
    <w:rsid w:val="00EF170D"/>
    <w:rsid w:val="00EF19BF"/>
    <w:rsid w:val="00EF23AC"/>
    <w:rsid w:val="00EF33E9"/>
    <w:rsid w:val="00EF36DF"/>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07D18"/>
    <w:rsid w:val="00F10C7F"/>
    <w:rsid w:val="00F11612"/>
    <w:rsid w:val="00F124CD"/>
    <w:rsid w:val="00F127FE"/>
    <w:rsid w:val="00F1285B"/>
    <w:rsid w:val="00F12ECA"/>
    <w:rsid w:val="00F14DB7"/>
    <w:rsid w:val="00F14F6E"/>
    <w:rsid w:val="00F20994"/>
    <w:rsid w:val="00F22C96"/>
    <w:rsid w:val="00F22ED1"/>
    <w:rsid w:val="00F24866"/>
    <w:rsid w:val="00F27225"/>
    <w:rsid w:val="00F30258"/>
    <w:rsid w:val="00F313E2"/>
    <w:rsid w:val="00F32B6C"/>
    <w:rsid w:val="00F361E3"/>
    <w:rsid w:val="00F401C9"/>
    <w:rsid w:val="00F407D9"/>
    <w:rsid w:val="00F40ED8"/>
    <w:rsid w:val="00F41844"/>
    <w:rsid w:val="00F41E24"/>
    <w:rsid w:val="00F43FE7"/>
    <w:rsid w:val="00F45A66"/>
    <w:rsid w:val="00F47A5A"/>
    <w:rsid w:val="00F504AD"/>
    <w:rsid w:val="00F51460"/>
    <w:rsid w:val="00F523BD"/>
    <w:rsid w:val="00F54EDC"/>
    <w:rsid w:val="00F60526"/>
    <w:rsid w:val="00F6130E"/>
    <w:rsid w:val="00F61EE2"/>
    <w:rsid w:val="00F625E4"/>
    <w:rsid w:val="00F65C61"/>
    <w:rsid w:val="00F66421"/>
    <w:rsid w:val="00F67759"/>
    <w:rsid w:val="00F72551"/>
    <w:rsid w:val="00F73484"/>
    <w:rsid w:val="00F748B8"/>
    <w:rsid w:val="00F75069"/>
    <w:rsid w:val="00F75123"/>
    <w:rsid w:val="00F76090"/>
    <w:rsid w:val="00F7680A"/>
    <w:rsid w:val="00F77C8E"/>
    <w:rsid w:val="00F80464"/>
    <w:rsid w:val="00F8342E"/>
    <w:rsid w:val="00F83D75"/>
    <w:rsid w:val="00F8456D"/>
    <w:rsid w:val="00F847C6"/>
    <w:rsid w:val="00F87CC2"/>
    <w:rsid w:val="00F9063F"/>
    <w:rsid w:val="00F90B81"/>
    <w:rsid w:val="00F912E2"/>
    <w:rsid w:val="00F91DD6"/>
    <w:rsid w:val="00F94BB9"/>
    <w:rsid w:val="00F9528D"/>
    <w:rsid w:val="00F96F2A"/>
    <w:rsid w:val="00F97818"/>
    <w:rsid w:val="00FA1933"/>
    <w:rsid w:val="00FA271F"/>
    <w:rsid w:val="00FA7E7A"/>
    <w:rsid w:val="00FA7E98"/>
    <w:rsid w:val="00FB0E0E"/>
    <w:rsid w:val="00FB0EBD"/>
    <w:rsid w:val="00FB151D"/>
    <w:rsid w:val="00FB27E2"/>
    <w:rsid w:val="00FB2D03"/>
    <w:rsid w:val="00FB44B4"/>
    <w:rsid w:val="00FB44BC"/>
    <w:rsid w:val="00FB4F69"/>
    <w:rsid w:val="00FB5BC6"/>
    <w:rsid w:val="00FB73F4"/>
    <w:rsid w:val="00FB784C"/>
    <w:rsid w:val="00FC271A"/>
    <w:rsid w:val="00FC3252"/>
    <w:rsid w:val="00FC4899"/>
    <w:rsid w:val="00FC4A60"/>
    <w:rsid w:val="00FC532D"/>
    <w:rsid w:val="00FC7074"/>
    <w:rsid w:val="00FD0FA7"/>
    <w:rsid w:val="00FD3C9B"/>
    <w:rsid w:val="00FD3D7B"/>
    <w:rsid w:val="00FD4076"/>
    <w:rsid w:val="00FD59A1"/>
    <w:rsid w:val="00FE0B80"/>
    <w:rsid w:val="00FE21DA"/>
    <w:rsid w:val="00FE2D09"/>
    <w:rsid w:val="00FE2E38"/>
    <w:rsid w:val="00FE37C0"/>
    <w:rsid w:val="00FE3E44"/>
    <w:rsid w:val="00FE44BB"/>
    <w:rsid w:val="00FE4E97"/>
    <w:rsid w:val="00FE51E3"/>
    <w:rsid w:val="00FE5708"/>
    <w:rsid w:val="00FE5D7D"/>
    <w:rsid w:val="00FF1AE9"/>
    <w:rsid w:val="00FF1DE6"/>
    <w:rsid w:val="00FF3D74"/>
    <w:rsid w:val="00FF44B7"/>
    <w:rsid w:val="00FF4EFD"/>
    <w:rsid w:val="00FF5CD6"/>
    <w:rsid w:val="00FF5E86"/>
    <w:rsid w:val="01192C59"/>
    <w:rsid w:val="01891C06"/>
    <w:rsid w:val="02757C9E"/>
    <w:rsid w:val="02AD2358"/>
    <w:rsid w:val="02DB45C0"/>
    <w:rsid w:val="030C1C55"/>
    <w:rsid w:val="032B4ED7"/>
    <w:rsid w:val="03A352E5"/>
    <w:rsid w:val="03EB7F6F"/>
    <w:rsid w:val="04320AC9"/>
    <w:rsid w:val="0443576E"/>
    <w:rsid w:val="04877E7B"/>
    <w:rsid w:val="04AF1318"/>
    <w:rsid w:val="04C83666"/>
    <w:rsid w:val="04D22AB5"/>
    <w:rsid w:val="050D3ECA"/>
    <w:rsid w:val="05620E35"/>
    <w:rsid w:val="05746F83"/>
    <w:rsid w:val="05BA77FA"/>
    <w:rsid w:val="05F03EBA"/>
    <w:rsid w:val="05F97D7A"/>
    <w:rsid w:val="06050655"/>
    <w:rsid w:val="062F4AC7"/>
    <w:rsid w:val="06572331"/>
    <w:rsid w:val="07571617"/>
    <w:rsid w:val="075C09EA"/>
    <w:rsid w:val="07BB579C"/>
    <w:rsid w:val="07EC5183"/>
    <w:rsid w:val="082C5BC7"/>
    <w:rsid w:val="088A1D6B"/>
    <w:rsid w:val="0918622F"/>
    <w:rsid w:val="093726DD"/>
    <w:rsid w:val="095042B4"/>
    <w:rsid w:val="0A3027BF"/>
    <w:rsid w:val="0A3F77FF"/>
    <w:rsid w:val="0A547C51"/>
    <w:rsid w:val="0A7C1A85"/>
    <w:rsid w:val="0AE174F0"/>
    <w:rsid w:val="0B091B55"/>
    <w:rsid w:val="0B910559"/>
    <w:rsid w:val="0BD30D12"/>
    <w:rsid w:val="0C436FF4"/>
    <w:rsid w:val="0CA26D17"/>
    <w:rsid w:val="0CCD125D"/>
    <w:rsid w:val="0CF65B9B"/>
    <w:rsid w:val="0DDF6F54"/>
    <w:rsid w:val="0E8F77FE"/>
    <w:rsid w:val="0E96107C"/>
    <w:rsid w:val="0EAA1C59"/>
    <w:rsid w:val="0EC915E2"/>
    <w:rsid w:val="0EDE2213"/>
    <w:rsid w:val="0F0E7C30"/>
    <w:rsid w:val="0F181557"/>
    <w:rsid w:val="0F2C6293"/>
    <w:rsid w:val="0F9606B9"/>
    <w:rsid w:val="0F9977AA"/>
    <w:rsid w:val="0FAA3A38"/>
    <w:rsid w:val="0FCB7088"/>
    <w:rsid w:val="0FF31ABA"/>
    <w:rsid w:val="104575CD"/>
    <w:rsid w:val="109F57E6"/>
    <w:rsid w:val="110E1A8B"/>
    <w:rsid w:val="111737AF"/>
    <w:rsid w:val="11A15A1A"/>
    <w:rsid w:val="11AA22C1"/>
    <w:rsid w:val="11EB2376"/>
    <w:rsid w:val="12092BD6"/>
    <w:rsid w:val="12580D1D"/>
    <w:rsid w:val="12737C28"/>
    <w:rsid w:val="129C1319"/>
    <w:rsid w:val="12A26A4D"/>
    <w:rsid w:val="130A6295"/>
    <w:rsid w:val="13154AB4"/>
    <w:rsid w:val="137F039F"/>
    <w:rsid w:val="1385324E"/>
    <w:rsid w:val="13A043DB"/>
    <w:rsid w:val="14437632"/>
    <w:rsid w:val="1490020F"/>
    <w:rsid w:val="14C962A9"/>
    <w:rsid w:val="14D74452"/>
    <w:rsid w:val="153E1C33"/>
    <w:rsid w:val="159071B8"/>
    <w:rsid w:val="15D93211"/>
    <w:rsid w:val="16116A97"/>
    <w:rsid w:val="163224C0"/>
    <w:rsid w:val="17E6409B"/>
    <w:rsid w:val="1828197A"/>
    <w:rsid w:val="18736639"/>
    <w:rsid w:val="18817A19"/>
    <w:rsid w:val="189F541F"/>
    <w:rsid w:val="18CD581F"/>
    <w:rsid w:val="18F57A70"/>
    <w:rsid w:val="190A02DE"/>
    <w:rsid w:val="192972DF"/>
    <w:rsid w:val="19656BEE"/>
    <w:rsid w:val="19763628"/>
    <w:rsid w:val="19A07AA0"/>
    <w:rsid w:val="19D65DDE"/>
    <w:rsid w:val="1B017F1D"/>
    <w:rsid w:val="1B0C6B86"/>
    <w:rsid w:val="1BB71B48"/>
    <w:rsid w:val="1BB975D5"/>
    <w:rsid w:val="1BD2629B"/>
    <w:rsid w:val="1C0B4EA5"/>
    <w:rsid w:val="1C946394"/>
    <w:rsid w:val="1D3830D3"/>
    <w:rsid w:val="1D844479"/>
    <w:rsid w:val="1DB863F7"/>
    <w:rsid w:val="1DC9492E"/>
    <w:rsid w:val="1DE94D71"/>
    <w:rsid w:val="1E7B42C1"/>
    <w:rsid w:val="1E7E0479"/>
    <w:rsid w:val="1EA64220"/>
    <w:rsid w:val="1EF338FF"/>
    <w:rsid w:val="1F255BAA"/>
    <w:rsid w:val="1F2A3EA7"/>
    <w:rsid w:val="1F4A6CC2"/>
    <w:rsid w:val="1F58191A"/>
    <w:rsid w:val="20002F47"/>
    <w:rsid w:val="20440109"/>
    <w:rsid w:val="20780FC5"/>
    <w:rsid w:val="207F6FEE"/>
    <w:rsid w:val="210E4975"/>
    <w:rsid w:val="21604B7C"/>
    <w:rsid w:val="22603489"/>
    <w:rsid w:val="227821CE"/>
    <w:rsid w:val="229C2B4F"/>
    <w:rsid w:val="22F0632C"/>
    <w:rsid w:val="22FC3445"/>
    <w:rsid w:val="230805E5"/>
    <w:rsid w:val="230A0859"/>
    <w:rsid w:val="236374BD"/>
    <w:rsid w:val="23A44005"/>
    <w:rsid w:val="23C660E7"/>
    <w:rsid w:val="24512A35"/>
    <w:rsid w:val="24E73C57"/>
    <w:rsid w:val="24E74AE0"/>
    <w:rsid w:val="25471D15"/>
    <w:rsid w:val="257D1565"/>
    <w:rsid w:val="259030CA"/>
    <w:rsid w:val="25B16263"/>
    <w:rsid w:val="25DD1B59"/>
    <w:rsid w:val="26020482"/>
    <w:rsid w:val="260A4B00"/>
    <w:rsid w:val="26DB5EED"/>
    <w:rsid w:val="26F961AE"/>
    <w:rsid w:val="271A344F"/>
    <w:rsid w:val="27DC23B9"/>
    <w:rsid w:val="285A53D1"/>
    <w:rsid w:val="28664C04"/>
    <w:rsid w:val="28675D88"/>
    <w:rsid w:val="28D66B19"/>
    <w:rsid w:val="28E10A3C"/>
    <w:rsid w:val="28E80AEF"/>
    <w:rsid w:val="29133B34"/>
    <w:rsid w:val="295F1D16"/>
    <w:rsid w:val="296B6C68"/>
    <w:rsid w:val="29EC1FC2"/>
    <w:rsid w:val="29F87A15"/>
    <w:rsid w:val="2A113E22"/>
    <w:rsid w:val="2A1B2A45"/>
    <w:rsid w:val="2A464F22"/>
    <w:rsid w:val="2A4C7643"/>
    <w:rsid w:val="2A5847FA"/>
    <w:rsid w:val="2A6A4836"/>
    <w:rsid w:val="2B0C20E7"/>
    <w:rsid w:val="2B147F99"/>
    <w:rsid w:val="2B36489B"/>
    <w:rsid w:val="2B3A3CA1"/>
    <w:rsid w:val="2B62597C"/>
    <w:rsid w:val="2C980758"/>
    <w:rsid w:val="2CD636DC"/>
    <w:rsid w:val="2CDC7E8D"/>
    <w:rsid w:val="2CF46FF1"/>
    <w:rsid w:val="2D2C1092"/>
    <w:rsid w:val="2D2E76EA"/>
    <w:rsid w:val="2DD737B0"/>
    <w:rsid w:val="2DF860FA"/>
    <w:rsid w:val="2E2C214E"/>
    <w:rsid w:val="2E805FCD"/>
    <w:rsid w:val="2E8A39B5"/>
    <w:rsid w:val="2EB50A6D"/>
    <w:rsid w:val="2EC54050"/>
    <w:rsid w:val="2F8C1204"/>
    <w:rsid w:val="2FD47A5F"/>
    <w:rsid w:val="307C4C53"/>
    <w:rsid w:val="30C31E19"/>
    <w:rsid w:val="310724C2"/>
    <w:rsid w:val="3134056B"/>
    <w:rsid w:val="31EF35B1"/>
    <w:rsid w:val="327B5E69"/>
    <w:rsid w:val="328338E1"/>
    <w:rsid w:val="32BF3D43"/>
    <w:rsid w:val="32FB2737"/>
    <w:rsid w:val="33066011"/>
    <w:rsid w:val="33DB05A0"/>
    <w:rsid w:val="353B2146"/>
    <w:rsid w:val="357037EB"/>
    <w:rsid w:val="357B637D"/>
    <w:rsid w:val="35A44B97"/>
    <w:rsid w:val="365E54A1"/>
    <w:rsid w:val="36674FD7"/>
    <w:rsid w:val="366C4937"/>
    <w:rsid w:val="368A6FD4"/>
    <w:rsid w:val="36FB59C8"/>
    <w:rsid w:val="371B73CD"/>
    <w:rsid w:val="37212B0F"/>
    <w:rsid w:val="373A2A2D"/>
    <w:rsid w:val="37F22BB2"/>
    <w:rsid w:val="38021382"/>
    <w:rsid w:val="38155B5F"/>
    <w:rsid w:val="384658DA"/>
    <w:rsid w:val="391812E3"/>
    <w:rsid w:val="393E5E29"/>
    <w:rsid w:val="396D7F7B"/>
    <w:rsid w:val="39E738FB"/>
    <w:rsid w:val="39FA45D8"/>
    <w:rsid w:val="3A106B26"/>
    <w:rsid w:val="3A742871"/>
    <w:rsid w:val="3A941543"/>
    <w:rsid w:val="3AAB4A61"/>
    <w:rsid w:val="3AB17EDA"/>
    <w:rsid w:val="3BA16ED7"/>
    <w:rsid w:val="3C0A6522"/>
    <w:rsid w:val="3C7A3D3E"/>
    <w:rsid w:val="3CD57C49"/>
    <w:rsid w:val="3D7F7391"/>
    <w:rsid w:val="3D81214D"/>
    <w:rsid w:val="3D9C1685"/>
    <w:rsid w:val="3E166720"/>
    <w:rsid w:val="3E3050EC"/>
    <w:rsid w:val="3E5E3ED8"/>
    <w:rsid w:val="3E7530DE"/>
    <w:rsid w:val="3EAF6787"/>
    <w:rsid w:val="3EB10AEA"/>
    <w:rsid w:val="3F2A7451"/>
    <w:rsid w:val="3F6235D0"/>
    <w:rsid w:val="3FEF558A"/>
    <w:rsid w:val="400826DF"/>
    <w:rsid w:val="4103627C"/>
    <w:rsid w:val="41323A94"/>
    <w:rsid w:val="41633AB8"/>
    <w:rsid w:val="41903AFE"/>
    <w:rsid w:val="41DD1A57"/>
    <w:rsid w:val="41FB4FD8"/>
    <w:rsid w:val="420245D8"/>
    <w:rsid w:val="42324864"/>
    <w:rsid w:val="42B21258"/>
    <w:rsid w:val="42C51CEA"/>
    <w:rsid w:val="42DD7224"/>
    <w:rsid w:val="42EB1C0B"/>
    <w:rsid w:val="43443F2D"/>
    <w:rsid w:val="438962DE"/>
    <w:rsid w:val="44306831"/>
    <w:rsid w:val="445D4FA0"/>
    <w:rsid w:val="44800BE8"/>
    <w:rsid w:val="45036047"/>
    <w:rsid w:val="45157D5B"/>
    <w:rsid w:val="45410908"/>
    <w:rsid w:val="45957116"/>
    <w:rsid w:val="46F175D4"/>
    <w:rsid w:val="46FC0FB6"/>
    <w:rsid w:val="4793161E"/>
    <w:rsid w:val="479F154F"/>
    <w:rsid w:val="47F85728"/>
    <w:rsid w:val="47FA6E12"/>
    <w:rsid w:val="481F55D6"/>
    <w:rsid w:val="48393D50"/>
    <w:rsid w:val="4848378E"/>
    <w:rsid w:val="486B1349"/>
    <w:rsid w:val="488302E4"/>
    <w:rsid w:val="48E07762"/>
    <w:rsid w:val="48FF5C27"/>
    <w:rsid w:val="493E4F84"/>
    <w:rsid w:val="493F1C34"/>
    <w:rsid w:val="49DE4293"/>
    <w:rsid w:val="4A5C6CEC"/>
    <w:rsid w:val="4A8A5B6B"/>
    <w:rsid w:val="4A944073"/>
    <w:rsid w:val="4AC236BE"/>
    <w:rsid w:val="4B491B87"/>
    <w:rsid w:val="4B704C53"/>
    <w:rsid w:val="4B746436"/>
    <w:rsid w:val="4B86634C"/>
    <w:rsid w:val="4BBC78F0"/>
    <w:rsid w:val="4BFA3EAF"/>
    <w:rsid w:val="4C1E15E4"/>
    <w:rsid w:val="4C902D4D"/>
    <w:rsid w:val="4CB27486"/>
    <w:rsid w:val="4CB37CF7"/>
    <w:rsid w:val="4D0D3F0E"/>
    <w:rsid w:val="4D2433B3"/>
    <w:rsid w:val="4D9D0706"/>
    <w:rsid w:val="4DA32B9D"/>
    <w:rsid w:val="4E0C055E"/>
    <w:rsid w:val="4E260BBB"/>
    <w:rsid w:val="4E2F3136"/>
    <w:rsid w:val="4E49767C"/>
    <w:rsid w:val="4E7E4F7F"/>
    <w:rsid w:val="4EDB3995"/>
    <w:rsid w:val="4F1D52D0"/>
    <w:rsid w:val="4F592A1E"/>
    <w:rsid w:val="4F880C70"/>
    <w:rsid w:val="4FA5132A"/>
    <w:rsid w:val="4FB13B63"/>
    <w:rsid w:val="4FB551C8"/>
    <w:rsid w:val="50106CF1"/>
    <w:rsid w:val="50661352"/>
    <w:rsid w:val="506B380E"/>
    <w:rsid w:val="50760CB8"/>
    <w:rsid w:val="50765BB5"/>
    <w:rsid w:val="509B1C00"/>
    <w:rsid w:val="509E593C"/>
    <w:rsid w:val="50E757E4"/>
    <w:rsid w:val="510D542E"/>
    <w:rsid w:val="514D7BD2"/>
    <w:rsid w:val="515C15A9"/>
    <w:rsid w:val="516A4112"/>
    <w:rsid w:val="518B73D0"/>
    <w:rsid w:val="51AE2B9E"/>
    <w:rsid w:val="51DD5447"/>
    <w:rsid w:val="524D5752"/>
    <w:rsid w:val="52D957B6"/>
    <w:rsid w:val="52EF680F"/>
    <w:rsid w:val="53051EEF"/>
    <w:rsid w:val="533D19C4"/>
    <w:rsid w:val="53491D2D"/>
    <w:rsid w:val="53700F01"/>
    <w:rsid w:val="53793EC7"/>
    <w:rsid w:val="53A17AE1"/>
    <w:rsid w:val="53BB24F0"/>
    <w:rsid w:val="54270FEE"/>
    <w:rsid w:val="547C1B31"/>
    <w:rsid w:val="547C5502"/>
    <w:rsid w:val="54AD555B"/>
    <w:rsid w:val="54AF2739"/>
    <w:rsid w:val="54D35CBD"/>
    <w:rsid w:val="54DC6E7E"/>
    <w:rsid w:val="55083AB0"/>
    <w:rsid w:val="557546F6"/>
    <w:rsid w:val="55B81BFA"/>
    <w:rsid w:val="55F804A1"/>
    <w:rsid w:val="569D54B4"/>
    <w:rsid w:val="56F16C1F"/>
    <w:rsid w:val="57481AAC"/>
    <w:rsid w:val="57494444"/>
    <w:rsid w:val="574C33DF"/>
    <w:rsid w:val="5778750E"/>
    <w:rsid w:val="57805B57"/>
    <w:rsid w:val="57AC7EC2"/>
    <w:rsid w:val="57C7046D"/>
    <w:rsid w:val="58020604"/>
    <w:rsid w:val="581056F0"/>
    <w:rsid w:val="58550E51"/>
    <w:rsid w:val="585E1E22"/>
    <w:rsid w:val="58D14EE5"/>
    <w:rsid w:val="58F632FF"/>
    <w:rsid w:val="5901556B"/>
    <w:rsid w:val="59027C28"/>
    <w:rsid w:val="59466CAA"/>
    <w:rsid w:val="59896D10"/>
    <w:rsid w:val="59E01331"/>
    <w:rsid w:val="5A9F32A0"/>
    <w:rsid w:val="5B180718"/>
    <w:rsid w:val="5B5B5B5E"/>
    <w:rsid w:val="5BDE07E9"/>
    <w:rsid w:val="5C934F26"/>
    <w:rsid w:val="5CCB1BBC"/>
    <w:rsid w:val="5D280636"/>
    <w:rsid w:val="5D794D0C"/>
    <w:rsid w:val="5D9810F6"/>
    <w:rsid w:val="5DA079A1"/>
    <w:rsid w:val="5DAC262D"/>
    <w:rsid w:val="5DCA3CDC"/>
    <w:rsid w:val="5E410DDC"/>
    <w:rsid w:val="5E531A6F"/>
    <w:rsid w:val="5EF50F8A"/>
    <w:rsid w:val="5F007AA1"/>
    <w:rsid w:val="5F0B5808"/>
    <w:rsid w:val="5F0F485F"/>
    <w:rsid w:val="5F4B248D"/>
    <w:rsid w:val="5F62388B"/>
    <w:rsid w:val="5FAF0BFE"/>
    <w:rsid w:val="5FB815AE"/>
    <w:rsid w:val="5FFC5B7D"/>
    <w:rsid w:val="60C16574"/>
    <w:rsid w:val="6141333F"/>
    <w:rsid w:val="615F2E17"/>
    <w:rsid w:val="617500B6"/>
    <w:rsid w:val="61BA36C6"/>
    <w:rsid w:val="61C639DF"/>
    <w:rsid w:val="62373402"/>
    <w:rsid w:val="623A4405"/>
    <w:rsid w:val="626066F4"/>
    <w:rsid w:val="629F38DF"/>
    <w:rsid w:val="62EB3F6F"/>
    <w:rsid w:val="62F9049D"/>
    <w:rsid w:val="630A5A2B"/>
    <w:rsid w:val="630E7207"/>
    <w:rsid w:val="633875DB"/>
    <w:rsid w:val="63724D8A"/>
    <w:rsid w:val="639F19B5"/>
    <w:rsid w:val="63C04A6C"/>
    <w:rsid w:val="63F74A4F"/>
    <w:rsid w:val="644212F1"/>
    <w:rsid w:val="646A52C6"/>
    <w:rsid w:val="647D150F"/>
    <w:rsid w:val="64D4102F"/>
    <w:rsid w:val="64F56EAD"/>
    <w:rsid w:val="650314E5"/>
    <w:rsid w:val="65605673"/>
    <w:rsid w:val="65672CF8"/>
    <w:rsid w:val="65DB65DF"/>
    <w:rsid w:val="662554F4"/>
    <w:rsid w:val="66437AD2"/>
    <w:rsid w:val="66A27FFD"/>
    <w:rsid w:val="67566D0A"/>
    <w:rsid w:val="67663AB4"/>
    <w:rsid w:val="67A60BC0"/>
    <w:rsid w:val="67C51E1B"/>
    <w:rsid w:val="67C976A1"/>
    <w:rsid w:val="67E25629"/>
    <w:rsid w:val="68A772B4"/>
    <w:rsid w:val="698D62F8"/>
    <w:rsid w:val="6A1662FE"/>
    <w:rsid w:val="6A2174F7"/>
    <w:rsid w:val="6A430C39"/>
    <w:rsid w:val="6A4C5C1B"/>
    <w:rsid w:val="6A756B64"/>
    <w:rsid w:val="6A886272"/>
    <w:rsid w:val="6A920CAF"/>
    <w:rsid w:val="6A9E6D5D"/>
    <w:rsid w:val="6AB6040B"/>
    <w:rsid w:val="6AD57941"/>
    <w:rsid w:val="6AF95770"/>
    <w:rsid w:val="6B2910D1"/>
    <w:rsid w:val="6B361803"/>
    <w:rsid w:val="6B636167"/>
    <w:rsid w:val="6BD07323"/>
    <w:rsid w:val="6BE36371"/>
    <w:rsid w:val="6C017F4E"/>
    <w:rsid w:val="6C5E31D9"/>
    <w:rsid w:val="6C6D5145"/>
    <w:rsid w:val="6C855C9C"/>
    <w:rsid w:val="6CC04C7A"/>
    <w:rsid w:val="6CEF159F"/>
    <w:rsid w:val="6CF03F0F"/>
    <w:rsid w:val="6D6D389D"/>
    <w:rsid w:val="6DAD2C34"/>
    <w:rsid w:val="6DE77765"/>
    <w:rsid w:val="6DFD657A"/>
    <w:rsid w:val="6E3900AA"/>
    <w:rsid w:val="6E96528D"/>
    <w:rsid w:val="6EE36BC0"/>
    <w:rsid w:val="6F342726"/>
    <w:rsid w:val="6F751386"/>
    <w:rsid w:val="6FF44AB4"/>
    <w:rsid w:val="700F5179"/>
    <w:rsid w:val="70713B36"/>
    <w:rsid w:val="707A32CE"/>
    <w:rsid w:val="708C4AF7"/>
    <w:rsid w:val="70A102E2"/>
    <w:rsid w:val="710209D3"/>
    <w:rsid w:val="719A6605"/>
    <w:rsid w:val="71EB67E4"/>
    <w:rsid w:val="71ED233D"/>
    <w:rsid w:val="7254132E"/>
    <w:rsid w:val="726E61C5"/>
    <w:rsid w:val="72923530"/>
    <w:rsid w:val="72955A12"/>
    <w:rsid w:val="729E3073"/>
    <w:rsid w:val="73582014"/>
    <w:rsid w:val="736F69C0"/>
    <w:rsid w:val="73846FA6"/>
    <w:rsid w:val="739573F4"/>
    <w:rsid w:val="73AA5B94"/>
    <w:rsid w:val="73B81A90"/>
    <w:rsid w:val="73D40030"/>
    <w:rsid w:val="73D74B7E"/>
    <w:rsid w:val="73F45452"/>
    <w:rsid w:val="741A7F4F"/>
    <w:rsid w:val="74570CFA"/>
    <w:rsid w:val="747F6DE7"/>
    <w:rsid w:val="7499188C"/>
    <w:rsid w:val="74C051EF"/>
    <w:rsid w:val="74D144E2"/>
    <w:rsid w:val="75476496"/>
    <w:rsid w:val="75AD5B23"/>
    <w:rsid w:val="75BC01BA"/>
    <w:rsid w:val="76450281"/>
    <w:rsid w:val="76846F8F"/>
    <w:rsid w:val="768B166E"/>
    <w:rsid w:val="76C91456"/>
    <w:rsid w:val="771503DC"/>
    <w:rsid w:val="779A3193"/>
    <w:rsid w:val="783872CD"/>
    <w:rsid w:val="7886114E"/>
    <w:rsid w:val="78B7737B"/>
    <w:rsid w:val="78C4260A"/>
    <w:rsid w:val="78D97D75"/>
    <w:rsid w:val="78FC53A1"/>
    <w:rsid w:val="79264FEB"/>
    <w:rsid w:val="79C22FD4"/>
    <w:rsid w:val="79F85892"/>
    <w:rsid w:val="7A48557F"/>
    <w:rsid w:val="7A6433ED"/>
    <w:rsid w:val="7A9F6527"/>
    <w:rsid w:val="7AA151A5"/>
    <w:rsid w:val="7B1571AC"/>
    <w:rsid w:val="7B2E020E"/>
    <w:rsid w:val="7BA55F26"/>
    <w:rsid w:val="7BAE5CB6"/>
    <w:rsid w:val="7BD867D1"/>
    <w:rsid w:val="7BE223D4"/>
    <w:rsid w:val="7C1244D2"/>
    <w:rsid w:val="7C353D8B"/>
    <w:rsid w:val="7C3910A6"/>
    <w:rsid w:val="7C64199F"/>
    <w:rsid w:val="7C76332A"/>
    <w:rsid w:val="7CAD4B82"/>
    <w:rsid w:val="7CD45B24"/>
    <w:rsid w:val="7CD62DDF"/>
    <w:rsid w:val="7D262E87"/>
    <w:rsid w:val="7DCE65FC"/>
    <w:rsid w:val="7E192084"/>
    <w:rsid w:val="7E3278DD"/>
    <w:rsid w:val="7E3714EF"/>
    <w:rsid w:val="7E6230E2"/>
    <w:rsid w:val="7E8A1860"/>
    <w:rsid w:val="7EAE701E"/>
    <w:rsid w:val="7ED733AC"/>
    <w:rsid w:val="7F01258D"/>
    <w:rsid w:val="7F1241F1"/>
    <w:rsid w:val="7F187494"/>
    <w:rsid w:val="7F3F0DFD"/>
    <w:rsid w:val="7F6C6F56"/>
    <w:rsid w:val="7F8260EF"/>
    <w:rsid w:val="7F986064"/>
    <w:rsid w:val="7FE12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8" w:lineRule="auto"/>
      <w:outlineLvl w:val="0"/>
    </w:pPr>
    <w:rPr>
      <w:b/>
      <w:bCs/>
      <w:kern w:val="44"/>
      <w:sz w:val="44"/>
      <w:szCs w:val="44"/>
    </w:rPr>
  </w:style>
  <w:style w:type="paragraph" w:styleId="4">
    <w:name w:val="heading 2"/>
    <w:basedOn w:val="3"/>
    <w:next w:val="1"/>
    <w:link w:val="33"/>
    <w:qFormat/>
    <w:uiPriority w:val="0"/>
    <w:pPr>
      <w:keepNext/>
      <w:keepLines/>
      <w:spacing w:before="260" w:after="260" w:line="416" w:lineRule="auto"/>
      <w:outlineLvl w:val="1"/>
    </w:pPr>
    <w:rPr>
      <w:rFonts w:ascii="Arial" w:hAnsi="Arial" w:eastAsia="黑体"/>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36"/>
    <w:qFormat/>
    <w:uiPriority w:val="0"/>
    <w:pPr>
      <w:ind w:firstLine="420" w:firstLineChars="200"/>
    </w:p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annotation text"/>
    <w:basedOn w:val="1"/>
    <w:link w:val="46"/>
    <w:qFormat/>
    <w:uiPriority w:val="0"/>
    <w:pPr>
      <w:jc w:val="left"/>
    </w:pPr>
    <w:rPr>
      <w:sz w:val="18"/>
      <w:szCs w:val="20"/>
    </w:rPr>
  </w:style>
  <w:style w:type="paragraph" w:styleId="8">
    <w:name w:val="Body Text"/>
    <w:basedOn w:val="1"/>
    <w:next w:val="1"/>
    <w:link w:val="55"/>
    <w:qFormat/>
    <w:uiPriority w:val="0"/>
    <w:pPr>
      <w:spacing w:after="120"/>
    </w:pPr>
  </w:style>
  <w:style w:type="paragraph" w:styleId="9">
    <w:name w:val="Body Text Indent"/>
    <w:basedOn w:val="1"/>
    <w:link w:val="37"/>
    <w:qFormat/>
    <w:uiPriority w:val="0"/>
    <w:pPr>
      <w:ind w:firstLine="630"/>
    </w:pPr>
    <w:rPr>
      <w:sz w:val="32"/>
      <w:szCs w:val="20"/>
    </w:rPr>
  </w:style>
  <w:style w:type="paragraph" w:styleId="10">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1">
    <w:name w:val="toc 3"/>
    <w:basedOn w:val="1"/>
    <w:next w:val="1"/>
    <w:qFormat/>
    <w:uiPriority w:val="39"/>
    <w:pPr>
      <w:ind w:left="840" w:leftChars="400"/>
    </w:pPr>
  </w:style>
  <w:style w:type="paragraph" w:styleId="12">
    <w:name w:val="Plain Text"/>
    <w:basedOn w:val="1"/>
    <w:link w:val="47"/>
    <w:qFormat/>
    <w:uiPriority w:val="99"/>
    <w:pPr>
      <w:autoSpaceDE w:val="0"/>
      <w:autoSpaceDN w:val="0"/>
      <w:adjustRightInd w:val="0"/>
    </w:pPr>
    <w:rPr>
      <w:rFonts w:ascii="宋体" w:hAnsi="Tms Rmn"/>
      <w:kern w:val="0"/>
      <w:szCs w:val="20"/>
    </w:rPr>
  </w:style>
  <w:style w:type="paragraph" w:styleId="13">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4">
    <w:name w:val="Body Text Indent 2"/>
    <w:basedOn w:val="1"/>
    <w:qFormat/>
    <w:uiPriority w:val="0"/>
    <w:pPr>
      <w:spacing w:after="120" w:line="480" w:lineRule="auto"/>
      <w:ind w:left="420" w:leftChars="200"/>
    </w:pPr>
  </w:style>
  <w:style w:type="paragraph" w:styleId="15">
    <w:name w:val="Balloon Text"/>
    <w:basedOn w:val="1"/>
    <w:semiHidden/>
    <w:qFormat/>
    <w:uiPriority w:val="0"/>
    <w:rPr>
      <w:sz w:val="18"/>
      <w:szCs w:val="18"/>
    </w:rPr>
  </w:style>
  <w:style w:type="paragraph" w:styleId="16">
    <w:name w:val="footer"/>
    <w:basedOn w:val="1"/>
    <w:link w:val="34"/>
    <w:qFormat/>
    <w:uiPriority w:val="99"/>
    <w:pPr>
      <w:tabs>
        <w:tab w:val="center" w:pos="4153"/>
        <w:tab w:val="right" w:pos="8306"/>
      </w:tabs>
      <w:snapToGrid w:val="0"/>
      <w:jc w:val="left"/>
    </w:pPr>
    <w:rPr>
      <w:sz w:val="18"/>
      <w:szCs w:val="20"/>
    </w:rPr>
  </w:style>
  <w:style w:type="paragraph" w:styleId="17">
    <w:name w:val="header"/>
    <w:basedOn w:val="1"/>
    <w:link w:val="35"/>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39"/>
  </w:style>
  <w:style w:type="paragraph" w:styleId="19">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0">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1">
    <w:name w:val="Body Text Indent 3"/>
    <w:basedOn w:val="1"/>
    <w:link w:val="40"/>
    <w:qFormat/>
    <w:uiPriority w:val="0"/>
    <w:pPr>
      <w:spacing w:after="120"/>
      <w:ind w:left="420" w:leftChars="200"/>
    </w:pPr>
    <w:rPr>
      <w:sz w:val="16"/>
      <w:szCs w:val="16"/>
    </w:rPr>
  </w:style>
  <w:style w:type="paragraph" w:styleId="22">
    <w:name w:val="toc 2"/>
    <w:basedOn w:val="1"/>
    <w:next w:val="1"/>
    <w:qFormat/>
    <w:uiPriority w:val="39"/>
    <w:pPr>
      <w:ind w:left="420" w:leftChars="200"/>
    </w:pPr>
  </w:style>
  <w:style w:type="paragraph" w:styleId="23">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5">
    <w:name w:val="annotation subject"/>
    <w:basedOn w:val="7"/>
    <w:next w:val="7"/>
    <w:link w:val="52"/>
    <w:qFormat/>
    <w:uiPriority w:val="0"/>
    <w:rPr>
      <w:b/>
      <w:bCs/>
      <w:sz w:val="21"/>
      <w:szCs w:val="24"/>
    </w:rPr>
  </w:style>
  <w:style w:type="paragraph" w:styleId="26">
    <w:name w:val="Body Text First Indent"/>
    <w:basedOn w:val="8"/>
    <w:unhideWhenUsed/>
    <w:qFormat/>
    <w:uiPriority w:val="99"/>
    <w:pPr>
      <w:ind w:firstLine="420" w:firstLineChars="100"/>
    </w:pPr>
    <w:rPr>
      <w:rFonts w:eastAsia="宋体" w:cs="Times New Roman"/>
      <w:szCs w:val="24"/>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style>
  <w:style w:type="character" w:styleId="31">
    <w:name w:val="Hyperlink"/>
    <w:basedOn w:val="29"/>
    <w:qFormat/>
    <w:uiPriority w:val="99"/>
    <w:rPr>
      <w:color w:val="0000FF"/>
      <w:u w:val="single"/>
    </w:rPr>
  </w:style>
  <w:style w:type="character" w:styleId="32">
    <w:name w:val="annotation reference"/>
    <w:qFormat/>
    <w:uiPriority w:val="0"/>
    <w:rPr>
      <w:sz w:val="21"/>
      <w:szCs w:val="21"/>
    </w:rPr>
  </w:style>
  <w:style w:type="character" w:customStyle="1" w:styleId="33">
    <w:name w:val="标题 2 字符"/>
    <w:basedOn w:val="29"/>
    <w:link w:val="4"/>
    <w:qFormat/>
    <w:uiPriority w:val="0"/>
    <w:rPr>
      <w:rFonts w:ascii="Arial" w:hAnsi="Arial" w:eastAsia="黑体"/>
      <w:b/>
      <w:bCs/>
      <w:kern w:val="2"/>
      <w:sz w:val="32"/>
      <w:szCs w:val="32"/>
    </w:rPr>
  </w:style>
  <w:style w:type="character" w:customStyle="1" w:styleId="34">
    <w:name w:val="页脚 字符"/>
    <w:link w:val="16"/>
    <w:qFormat/>
    <w:uiPriority w:val="99"/>
    <w:rPr>
      <w:rFonts w:eastAsia="宋体"/>
      <w:kern w:val="2"/>
      <w:sz w:val="18"/>
      <w:lang w:val="en-US" w:eastAsia="zh-CN" w:bidi="ar-SA"/>
    </w:rPr>
  </w:style>
  <w:style w:type="character" w:customStyle="1" w:styleId="35">
    <w:name w:val="页眉 字符"/>
    <w:link w:val="17"/>
    <w:qFormat/>
    <w:uiPriority w:val="0"/>
    <w:rPr>
      <w:rFonts w:eastAsia="宋体"/>
      <w:kern w:val="2"/>
      <w:sz w:val="18"/>
      <w:lang w:val="en-US" w:eastAsia="zh-CN" w:bidi="ar-SA"/>
    </w:rPr>
  </w:style>
  <w:style w:type="character" w:customStyle="1" w:styleId="36">
    <w:name w:val="正文缩进 字符"/>
    <w:link w:val="2"/>
    <w:qFormat/>
    <w:uiPriority w:val="0"/>
    <w:rPr>
      <w:rFonts w:eastAsia="宋体"/>
      <w:kern w:val="2"/>
      <w:sz w:val="21"/>
      <w:szCs w:val="24"/>
      <w:lang w:val="en-US" w:eastAsia="zh-CN" w:bidi="ar-SA"/>
    </w:rPr>
  </w:style>
  <w:style w:type="character" w:customStyle="1" w:styleId="37">
    <w:name w:val="正文文本缩进 字符"/>
    <w:link w:val="9"/>
    <w:qFormat/>
    <w:uiPriority w:val="0"/>
    <w:rPr>
      <w:rFonts w:eastAsia="宋体"/>
      <w:kern w:val="2"/>
      <w:sz w:val="32"/>
      <w:lang w:val="en-US" w:eastAsia="zh-CN" w:bidi="ar-SA"/>
    </w:rPr>
  </w:style>
  <w:style w:type="paragraph" w:customStyle="1" w:styleId="38">
    <w:name w:val="正文首行缩进两字符"/>
    <w:basedOn w:val="1"/>
    <w:qFormat/>
    <w:uiPriority w:val="0"/>
    <w:pPr>
      <w:spacing w:line="360" w:lineRule="auto"/>
      <w:ind w:firstLine="200" w:firstLineChars="200"/>
    </w:pPr>
  </w:style>
  <w:style w:type="paragraph" w:customStyle="1" w:styleId="3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40">
    <w:name w:val="正文文本缩进 3 字符"/>
    <w:link w:val="21"/>
    <w:qFormat/>
    <w:uiPriority w:val="0"/>
    <w:rPr>
      <w:kern w:val="2"/>
      <w:sz w:val="16"/>
      <w:szCs w:val="16"/>
    </w:rPr>
  </w:style>
  <w:style w:type="paragraph" w:customStyle="1" w:styleId="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2">
    <w:name w:val="表格"/>
    <w:basedOn w:val="1"/>
    <w:qFormat/>
    <w:uiPriority w:val="0"/>
    <w:pPr>
      <w:spacing w:line="400" w:lineRule="exact"/>
    </w:pPr>
    <w:rPr>
      <w:sz w:val="24"/>
    </w:rPr>
  </w:style>
  <w:style w:type="paragraph" w:customStyle="1" w:styleId="43">
    <w:name w:val="样式 首行缩进:  2 字符"/>
    <w:basedOn w:val="1"/>
    <w:qFormat/>
    <w:uiPriority w:val="0"/>
    <w:pPr>
      <w:spacing w:line="400" w:lineRule="exact"/>
      <w:ind w:firstLine="200" w:firstLineChars="200"/>
    </w:pPr>
    <w:rPr>
      <w:rFonts w:cs="宋体"/>
      <w:sz w:val="24"/>
    </w:rPr>
  </w:style>
  <w:style w:type="character" w:customStyle="1" w:styleId="44">
    <w:name w:val="（符号）邀请函中一、"/>
    <w:qFormat/>
    <w:uiPriority w:val="0"/>
    <w:rPr>
      <w:rFonts w:ascii="黑体" w:hAnsi="黑体" w:eastAsia="黑体"/>
      <w:b/>
      <w:bCs/>
      <w:sz w:val="24"/>
    </w:rPr>
  </w:style>
  <w:style w:type="character" w:customStyle="1" w:styleId="45">
    <w:name w:val="Char Char9"/>
    <w:qFormat/>
    <w:uiPriority w:val="0"/>
    <w:rPr>
      <w:kern w:val="2"/>
      <w:sz w:val="21"/>
    </w:rPr>
  </w:style>
  <w:style w:type="character" w:customStyle="1" w:styleId="46">
    <w:name w:val="批注文字 字符"/>
    <w:link w:val="7"/>
    <w:qFormat/>
    <w:uiPriority w:val="0"/>
    <w:rPr>
      <w:kern w:val="2"/>
      <w:sz w:val="18"/>
      <w:lang w:bidi="ar-SA"/>
    </w:rPr>
  </w:style>
  <w:style w:type="character" w:customStyle="1" w:styleId="47">
    <w:name w:val="纯文本 字符"/>
    <w:link w:val="12"/>
    <w:unhideWhenUsed/>
    <w:qFormat/>
    <w:uiPriority w:val="0"/>
    <w:rPr>
      <w:rFonts w:ascii="宋体" w:hAnsi="Tms Rmn" w:eastAsia="宋体"/>
      <w:sz w:val="21"/>
      <w:lang w:val="en-US" w:eastAsia="zh-CN" w:bidi="ar-SA"/>
    </w:rPr>
  </w:style>
  <w:style w:type="paragraph" w:customStyle="1" w:styleId="48">
    <w:name w:val="GW-正文"/>
    <w:basedOn w:val="1"/>
    <w:link w:val="49"/>
    <w:qFormat/>
    <w:uiPriority w:val="0"/>
    <w:pPr>
      <w:spacing w:line="360" w:lineRule="auto"/>
      <w:ind w:firstLine="200" w:firstLineChars="200"/>
    </w:pPr>
    <w:rPr>
      <w:rFonts w:eastAsia="仿宋_GB2312"/>
      <w:sz w:val="24"/>
    </w:rPr>
  </w:style>
  <w:style w:type="character" w:customStyle="1" w:styleId="49">
    <w:name w:val="GW-正文 Char"/>
    <w:link w:val="48"/>
    <w:qFormat/>
    <w:uiPriority w:val="0"/>
    <w:rPr>
      <w:rFonts w:eastAsia="仿宋_GB2312"/>
      <w:kern w:val="2"/>
      <w:sz w:val="24"/>
      <w:szCs w:val="24"/>
      <w:lang w:val="en-US" w:eastAsia="zh-CN" w:bidi="ar-SA"/>
    </w:rPr>
  </w:style>
  <w:style w:type="paragraph" w:customStyle="1" w:styleId="50">
    <w:name w:val="列表段落1"/>
    <w:basedOn w:val="1"/>
    <w:link w:val="51"/>
    <w:qFormat/>
    <w:uiPriority w:val="0"/>
    <w:pPr>
      <w:ind w:firstLine="420" w:firstLineChars="200"/>
    </w:pPr>
  </w:style>
  <w:style w:type="character" w:customStyle="1" w:styleId="51">
    <w:name w:val="列表段落 字符"/>
    <w:link w:val="50"/>
    <w:qFormat/>
    <w:uiPriority w:val="0"/>
    <w:rPr>
      <w:rFonts w:eastAsia="宋体"/>
      <w:kern w:val="2"/>
      <w:sz w:val="21"/>
      <w:szCs w:val="24"/>
      <w:lang w:val="en-US" w:eastAsia="zh-CN" w:bidi="ar-SA"/>
    </w:rPr>
  </w:style>
  <w:style w:type="character" w:customStyle="1" w:styleId="52">
    <w:name w:val="批注主题 字符"/>
    <w:link w:val="25"/>
    <w:qFormat/>
    <w:uiPriority w:val="0"/>
    <w:rPr>
      <w:b/>
      <w:bCs/>
      <w:kern w:val="2"/>
      <w:sz w:val="21"/>
      <w:szCs w:val="24"/>
      <w:lang w:bidi="ar-SA"/>
    </w:rPr>
  </w:style>
  <w:style w:type="character" w:customStyle="1" w:styleId="53">
    <w:name w:val="批注文字 Char1"/>
    <w:qFormat/>
    <w:uiPriority w:val="0"/>
    <w:rPr>
      <w:kern w:val="2"/>
      <w:sz w:val="18"/>
      <w:lang w:bidi="ar-SA"/>
    </w:rPr>
  </w:style>
  <w:style w:type="paragraph" w:customStyle="1" w:styleId="54">
    <w:name w:val="Char Char Char Char Char Char Char Char Char Char Char Char Char Char1 Char Char Char Char"/>
    <w:basedOn w:val="1"/>
    <w:qFormat/>
    <w:uiPriority w:val="0"/>
    <w:rPr>
      <w:szCs w:val="21"/>
    </w:rPr>
  </w:style>
  <w:style w:type="character" w:customStyle="1" w:styleId="55">
    <w:name w:val="正文文本 字符"/>
    <w:basedOn w:val="29"/>
    <w:link w:val="8"/>
    <w:qFormat/>
    <w:uiPriority w:val="0"/>
    <w:rPr>
      <w:kern w:val="2"/>
      <w:sz w:val="21"/>
      <w:szCs w:val="24"/>
    </w:rPr>
  </w:style>
  <w:style w:type="paragraph" w:customStyle="1" w:styleId="5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7">
    <w:name w:val="批注文字 Char"/>
    <w:qFormat/>
    <w:uiPriority w:val="0"/>
    <w:rPr>
      <w:szCs w:val="24"/>
    </w:rPr>
  </w:style>
  <w:style w:type="paragraph" w:customStyle="1" w:styleId="58">
    <w:name w:val="样式 标题 2H22nd levelh2Header 2 + (西文) Times New Roman (中文) 仿宋..."/>
    <w:basedOn w:val="4"/>
    <w:next w:val="1"/>
    <w:qFormat/>
    <w:uiPriority w:val="0"/>
    <w:pPr>
      <w:spacing w:line="360" w:lineRule="auto"/>
      <w:jc w:val="left"/>
    </w:pPr>
    <w:rPr>
      <w:rFonts w:ascii="Times New Roman" w:hAnsi="Times New Roman"/>
      <w:kern w:val="2"/>
      <w:sz w:val="24"/>
      <w:szCs w:val="24"/>
    </w:rPr>
  </w:style>
  <w:style w:type="character" w:customStyle="1" w:styleId="59">
    <w:name w:val="fontstyle01"/>
    <w:qFormat/>
    <w:uiPriority w:val="0"/>
    <w:rPr>
      <w:rFonts w:hint="eastAsia" w:ascii="宋体" w:hAnsi="宋体" w:eastAsia="宋体" w:cs="宋体"/>
      <w:color w:val="000000"/>
      <w:sz w:val="24"/>
      <w:szCs w:val="24"/>
    </w:rPr>
  </w:style>
  <w:style w:type="paragraph" w:customStyle="1" w:styleId="60">
    <w:name w:val="List Paragraph"/>
    <w:basedOn w:val="1"/>
    <w:qFormat/>
    <w:uiPriority w:val="0"/>
    <w:pPr>
      <w:ind w:firstLine="420" w:firstLineChars="200"/>
    </w:pPr>
    <w:rPr>
      <w:szCs w:val="24"/>
    </w:rPr>
  </w:style>
  <w:style w:type="paragraph" w:customStyle="1" w:styleId="61">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6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7CAC81-049F-41C3-B5FE-9264ACB92262}">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58</Pages>
  <Words>35080</Words>
  <Characters>36478</Characters>
  <Lines>35</Lines>
  <Paragraphs>64</Paragraphs>
  <TotalTime>217</TotalTime>
  <ScaleCrop>false</ScaleCrop>
  <LinksUpToDate>false</LinksUpToDate>
  <CharactersWithSpaces>37446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2019-03-18T03:15:00Z</dcterms:created>
  <dc:creator>吴正新</dc:creator>
  <cp:lastModifiedBy>Administrator</cp:lastModifiedBy>
  <cp:lastPrinted>2021-05-28T05:08:00Z</cp:lastPrinted>
  <dcterms:modified xsi:type="dcterms:W3CDTF">2021-06-01T03:47:42Z</dcterms:modified>
  <dc:title>招标编号：xx政采招[xxxx] xxx号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970B0B7410C245D68B06802C7933DC4D</vt:lpwstr>
  </property>
</Properties>
</file>