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auto"/>
          <w:highlight w:val="none"/>
          <w:lang w:eastAsia="zh-CN"/>
        </w:rPr>
      </w:pPr>
    </w:p>
    <w:p>
      <w:pPr>
        <w:pStyle w:val="8"/>
        <w:rPr>
          <w:rFonts w:ascii="宋体" w:hAnsi="宋体" w:cs="宋体"/>
          <w:color w:val="auto"/>
          <w:highlight w:val="none"/>
        </w:rPr>
      </w:pPr>
    </w:p>
    <w:p>
      <w:pPr>
        <w:tabs>
          <w:tab w:val="left" w:pos="5142"/>
        </w:tabs>
        <w:adjustRightInd w:val="0"/>
        <w:snapToGrid w:val="0"/>
        <w:spacing w:line="360" w:lineRule="auto"/>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36"/>
          <w:szCs w:val="36"/>
          <w:highlight w:val="none"/>
          <w:lang w:val="zh-CN" w:eastAsia="zh-CN"/>
        </w:rPr>
        <w:t>成都市新都区规划和自然资源局不动产登记档案数字化加工处理服务项目</w:t>
      </w:r>
    </w:p>
    <w:p>
      <w:pPr>
        <w:tabs>
          <w:tab w:val="left" w:pos="5142"/>
        </w:tabs>
        <w:rPr>
          <w:rFonts w:ascii="宋体" w:hAnsi="宋体" w:cs="宋体"/>
          <w:b/>
          <w:color w:val="auto"/>
          <w:sz w:val="30"/>
          <w:szCs w:val="30"/>
          <w:highlight w:val="none"/>
        </w:rPr>
      </w:pPr>
    </w:p>
    <w:p>
      <w:pPr>
        <w:tabs>
          <w:tab w:val="left" w:pos="5142"/>
        </w:tabs>
        <w:jc w:val="center"/>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rPr>
        <w:t>招标编号：</w:t>
      </w:r>
      <w:r>
        <w:rPr>
          <w:rFonts w:hint="eastAsia" w:ascii="宋体" w:hAnsi="宋体" w:cs="宋体"/>
          <w:b/>
          <w:color w:val="auto"/>
          <w:sz w:val="30"/>
          <w:szCs w:val="30"/>
          <w:highlight w:val="none"/>
          <w:lang w:eastAsia="zh-CN"/>
        </w:rPr>
        <w:t>510114202100432</w:t>
      </w:r>
    </w:p>
    <w:p>
      <w:pPr>
        <w:pStyle w:val="8"/>
        <w:rPr>
          <w:rFonts w:ascii="宋体" w:hAnsi="宋体" w:cs="宋体"/>
          <w:b/>
          <w:color w:val="auto"/>
          <w:sz w:val="84"/>
          <w:szCs w:val="84"/>
          <w:highlight w:val="none"/>
        </w:rPr>
      </w:pPr>
    </w:p>
    <w:p>
      <w:pPr>
        <w:rPr>
          <w:rFonts w:ascii="宋体" w:hAnsi="宋体" w:cs="宋体"/>
          <w:color w:val="auto"/>
          <w:highlight w:val="none"/>
        </w:rPr>
      </w:pPr>
    </w:p>
    <w:p>
      <w:pPr>
        <w:pStyle w:val="8"/>
        <w:rPr>
          <w:rFonts w:ascii="宋体" w:hAnsi="宋体" w:cs="宋体"/>
          <w:color w:val="auto"/>
          <w:highlight w:val="none"/>
        </w:rPr>
      </w:pPr>
    </w:p>
    <w:p>
      <w:pPr>
        <w:rPr>
          <w:rFonts w:ascii="宋体" w:hAnsi="宋体" w:cs="宋体"/>
          <w:color w:val="auto"/>
          <w:highlight w:val="none"/>
        </w:rPr>
      </w:pPr>
    </w:p>
    <w:p>
      <w:pPr>
        <w:pStyle w:val="8"/>
        <w:rPr>
          <w:rFonts w:ascii="宋体" w:hAnsi="宋体" w:cs="宋体"/>
          <w:color w:val="auto"/>
          <w:highlight w:val="none"/>
        </w:rPr>
      </w:pPr>
    </w:p>
    <w:p>
      <w:pPr>
        <w:pStyle w:val="8"/>
        <w:rPr>
          <w:rFonts w:ascii="宋体" w:hAnsi="宋体" w:cs="宋体"/>
          <w:color w:val="auto"/>
          <w:highlight w:val="none"/>
        </w:rPr>
      </w:pPr>
    </w:p>
    <w:p>
      <w:pPr>
        <w:jc w:val="center"/>
        <w:rPr>
          <w:rFonts w:ascii="宋体" w:hAnsi="宋体" w:cs="宋体"/>
          <w:b/>
          <w:color w:val="auto"/>
          <w:sz w:val="84"/>
          <w:szCs w:val="84"/>
          <w:highlight w:val="none"/>
        </w:rPr>
      </w:pPr>
      <w:r>
        <w:rPr>
          <w:rFonts w:hint="eastAsia" w:ascii="宋体" w:hAnsi="宋体" w:cs="宋体"/>
          <w:b/>
          <w:color w:val="auto"/>
          <w:sz w:val="84"/>
          <w:szCs w:val="84"/>
          <w:highlight w:val="none"/>
        </w:rPr>
        <w:t>招 标 文 件</w:t>
      </w:r>
    </w:p>
    <w:p>
      <w:pPr>
        <w:spacing w:line="360" w:lineRule="auto"/>
        <w:rPr>
          <w:rFonts w:ascii="宋体" w:hAnsi="宋体" w:cs="宋体"/>
          <w:b/>
          <w:color w:val="auto"/>
          <w:sz w:val="32"/>
          <w:szCs w:val="32"/>
          <w:highlight w:val="none"/>
        </w:rPr>
      </w:pPr>
    </w:p>
    <w:p>
      <w:pPr>
        <w:spacing w:line="360" w:lineRule="auto"/>
        <w:rPr>
          <w:rFonts w:ascii="宋体" w:hAnsi="宋体" w:cs="宋体"/>
          <w:b/>
          <w:color w:val="auto"/>
          <w:sz w:val="32"/>
          <w:szCs w:val="32"/>
          <w:highlight w:val="none"/>
        </w:rPr>
      </w:pPr>
    </w:p>
    <w:p>
      <w:pPr>
        <w:spacing w:line="360" w:lineRule="auto"/>
        <w:rPr>
          <w:rFonts w:ascii="宋体" w:hAnsi="宋体" w:cs="宋体"/>
          <w:b/>
          <w:color w:val="auto"/>
          <w:sz w:val="32"/>
          <w:szCs w:val="32"/>
          <w:highlight w:val="none"/>
        </w:rPr>
      </w:pPr>
    </w:p>
    <w:p>
      <w:pPr>
        <w:spacing w:line="360" w:lineRule="auto"/>
        <w:rPr>
          <w:rFonts w:ascii="宋体" w:hAnsi="宋体" w:cs="宋体"/>
          <w:b/>
          <w:color w:val="auto"/>
          <w:sz w:val="32"/>
          <w:szCs w:val="32"/>
          <w:highlight w:val="none"/>
        </w:rPr>
      </w:pPr>
    </w:p>
    <w:p>
      <w:pPr>
        <w:pStyle w:val="8"/>
        <w:rPr>
          <w:rFonts w:ascii="宋体" w:hAnsi="宋体" w:cs="宋体"/>
          <w:color w:val="auto"/>
          <w:highlight w:val="none"/>
        </w:rPr>
      </w:pPr>
    </w:p>
    <w:p>
      <w:pPr>
        <w:spacing w:line="360" w:lineRule="auto"/>
        <w:jc w:val="center"/>
        <w:rPr>
          <w:rFonts w:hint="eastAsia" w:ascii="宋体" w:hAnsi="宋体" w:eastAsia="宋体" w:cs="宋体"/>
          <w:b/>
          <w:color w:val="auto"/>
          <w:sz w:val="30"/>
          <w:szCs w:val="30"/>
          <w:highlight w:val="none"/>
          <w:lang w:val="en-US" w:eastAsia="zh-CN"/>
        </w:rPr>
      </w:pPr>
      <w:r>
        <w:rPr>
          <w:rFonts w:hint="eastAsia" w:ascii="宋体" w:hAnsi="宋体" w:cs="宋体"/>
          <w:b/>
          <w:color w:val="auto"/>
          <w:sz w:val="30"/>
          <w:szCs w:val="30"/>
          <w:highlight w:val="none"/>
        </w:rPr>
        <w:t>中国·四川·</w:t>
      </w:r>
      <w:r>
        <w:rPr>
          <w:rFonts w:hint="eastAsia" w:ascii="宋体" w:hAnsi="宋体" w:cs="宋体"/>
          <w:b/>
          <w:color w:val="auto"/>
          <w:sz w:val="30"/>
          <w:szCs w:val="30"/>
          <w:highlight w:val="none"/>
          <w:lang w:eastAsia="zh-CN"/>
        </w:rPr>
        <w:t>成都</w:t>
      </w:r>
    </w:p>
    <w:p>
      <w:pPr>
        <w:spacing w:line="360" w:lineRule="auto"/>
        <w:jc w:val="center"/>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lang w:eastAsia="zh-CN"/>
        </w:rPr>
        <w:t>成都市新都区规划和自然资源局</w:t>
      </w:r>
    </w:p>
    <w:p>
      <w:pPr>
        <w:spacing w:line="360" w:lineRule="auto"/>
        <w:jc w:val="center"/>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lang w:eastAsia="zh-CN"/>
        </w:rPr>
        <w:t>四川新宇盛项目管理集团有限公司</w:t>
      </w:r>
    </w:p>
    <w:p>
      <w:pPr>
        <w:spacing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共同编制</w:t>
      </w:r>
    </w:p>
    <w:p>
      <w:pPr>
        <w:spacing w:line="360" w:lineRule="auto"/>
        <w:jc w:val="center"/>
        <w:rPr>
          <w:rFonts w:ascii="宋体" w:hAnsi="宋体" w:cs="宋体"/>
          <w:b/>
          <w:color w:val="auto"/>
          <w:sz w:val="30"/>
          <w:szCs w:val="30"/>
          <w:highlight w:val="none"/>
          <w:lang w:val="zh-CN"/>
        </w:rPr>
      </w:pPr>
      <w:r>
        <w:rPr>
          <w:rFonts w:hint="eastAsia" w:ascii="宋体" w:hAnsi="宋体" w:cs="宋体"/>
          <w:b/>
          <w:color w:val="auto"/>
          <w:sz w:val="30"/>
          <w:szCs w:val="30"/>
          <w:highlight w:val="none"/>
        </w:rPr>
        <w:t>2021</w:t>
      </w:r>
      <w:r>
        <w:rPr>
          <w:rFonts w:hint="eastAsia" w:ascii="宋体" w:hAnsi="宋体" w:cs="宋体"/>
          <w:b/>
          <w:color w:val="auto"/>
          <w:sz w:val="30"/>
          <w:szCs w:val="30"/>
          <w:highlight w:val="none"/>
          <w:lang w:val="zh-CN"/>
        </w:rPr>
        <w:t>年</w:t>
      </w:r>
      <w:r>
        <w:rPr>
          <w:rFonts w:hint="eastAsia" w:ascii="宋体" w:hAnsi="宋体" w:cs="宋体"/>
          <w:b/>
          <w:color w:val="auto"/>
          <w:sz w:val="30"/>
          <w:szCs w:val="30"/>
          <w:highlight w:val="none"/>
          <w:lang w:val="en-US" w:eastAsia="zh-CN"/>
        </w:rPr>
        <w:t>11</w:t>
      </w:r>
      <w:r>
        <w:rPr>
          <w:rFonts w:hint="eastAsia" w:ascii="宋体" w:hAnsi="宋体" w:cs="宋体"/>
          <w:b/>
          <w:color w:val="auto"/>
          <w:sz w:val="30"/>
          <w:szCs w:val="30"/>
          <w:highlight w:val="none"/>
          <w:lang w:val="zh-CN"/>
        </w:rPr>
        <w:t>月</w:t>
      </w:r>
    </w:p>
    <w:p>
      <w:pPr>
        <w:pStyle w:val="8"/>
        <w:rPr>
          <w:rFonts w:ascii="宋体" w:hAnsi="宋体" w:cs="宋体"/>
          <w:color w:val="auto"/>
          <w:highlight w:val="none"/>
        </w:rPr>
      </w:pPr>
    </w:p>
    <w:p>
      <w:pPr>
        <w:ind w:firstLine="480" w:firstLineChars="200"/>
        <w:rPr>
          <w:rFonts w:ascii="宋体" w:hAnsi="宋体" w:cs="宋体"/>
          <w:bCs/>
          <w:color w:val="auto"/>
          <w:sz w:val="24"/>
          <w:highlight w:val="none"/>
        </w:rPr>
        <w:sectPr>
          <w:headerReference r:id="rId3" w:type="default"/>
          <w:headerReference r:id="rId4" w:type="even"/>
          <w:footerReference r:id="rId5" w:type="even"/>
          <w:pgSz w:w="11907" w:h="16840"/>
          <w:pgMar w:top="1440" w:right="1800" w:bottom="1440" w:left="1800" w:header="851" w:footer="992" w:gutter="0"/>
          <w:cols w:space="0" w:num="1"/>
          <w:docGrid w:linePitch="312" w:charSpace="0"/>
        </w:sectPr>
      </w:pPr>
    </w:p>
    <w:p>
      <w:pPr>
        <w:jc w:val="both"/>
        <w:rPr>
          <w:rFonts w:hint="eastAsia" w:ascii="宋体" w:hAnsi="宋体" w:eastAsia="宋体" w:cs="宋体"/>
          <w:b/>
          <w:bCs/>
          <w:color w:val="auto"/>
          <w:sz w:val="28"/>
          <w:szCs w:val="28"/>
          <w:highlight w:val="none"/>
        </w:rPr>
      </w:pPr>
      <w:bookmarkStart w:id="0" w:name="_Toc696"/>
      <w:bookmarkStart w:id="1" w:name="_Toc503862752"/>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廉洁自律承诺书</w:t>
      </w:r>
    </w:p>
    <w:p>
      <w:pPr>
        <w:keepNext w:val="0"/>
        <w:keepLines w:val="0"/>
        <w:pageBreakBefore w:val="0"/>
        <w:widowControl w:val="0"/>
        <w:kinsoku/>
        <w:wordWrap/>
        <w:overflowPunct/>
        <w:topLinePunct w:val="0"/>
        <w:autoSpaceDE/>
        <w:autoSpaceDN/>
        <w:bidi w:val="0"/>
        <w:adjustRightInd/>
        <w:snapToGrid/>
        <w:spacing w:line="432"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为进一步规范</w:t>
      </w:r>
      <w:r>
        <w:rPr>
          <w:rFonts w:hint="eastAsia" w:ascii="宋体" w:hAnsi="宋体" w:cs="宋体"/>
          <w:color w:val="auto"/>
          <w:sz w:val="24"/>
          <w:szCs w:val="24"/>
          <w:highlight w:val="none"/>
          <w:lang w:eastAsia="zh-CN"/>
        </w:rPr>
        <w:t>四川新宇盛项目管理集团有限公司</w:t>
      </w:r>
      <w:r>
        <w:rPr>
          <w:rFonts w:hint="eastAsia" w:ascii="宋体" w:hAnsi="宋体" w:eastAsia="宋体" w:cs="宋体"/>
          <w:color w:val="auto"/>
          <w:sz w:val="24"/>
          <w:szCs w:val="24"/>
          <w:highlight w:val="none"/>
        </w:rPr>
        <w:t>政府采购行为，维护政府采购制度，净化政府采购市场环境。</w:t>
      </w:r>
      <w:r>
        <w:rPr>
          <w:rFonts w:hint="eastAsia" w:ascii="宋体" w:hAnsi="宋体" w:cs="宋体"/>
          <w:color w:val="auto"/>
          <w:sz w:val="24"/>
          <w:szCs w:val="24"/>
          <w:highlight w:val="none"/>
          <w:lang w:eastAsia="zh-CN"/>
        </w:rPr>
        <w:t>四川新宇盛项目管理集团有限公司</w:t>
      </w:r>
      <w:r>
        <w:rPr>
          <w:rFonts w:hint="eastAsia" w:ascii="宋体" w:hAnsi="宋体" w:eastAsia="宋体" w:cs="宋体"/>
          <w:color w:val="auto"/>
          <w:sz w:val="24"/>
          <w:szCs w:val="24"/>
          <w:highlight w:val="none"/>
        </w:rPr>
        <w:t>在代理政府采购事务过程中郑重承诺：</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坚持公开、公平、公正原则，严格按照法律法规和委托代理协议的约定办理政府采购事宜，恪守职业道德，规范代理行为，努力提高专业能力，确保服务质量；诚实守信，勤勉尽责，积极维护国家利益、社会公共利益和政府采购相关当事人的合法权益。</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二、公司员工遵纪守法，不得以不正当手段争取、承揽代理政府采购事务和向任何单位和个人支付现金、实物或其他利益的行为。</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公司员工自觉抵制商业贿赂，不得接受供应商的礼金、有价证券和贵重物品，不得在供应商报销任何应由个人支付的费用，不得以任何形式向供应商索要和收受回扣或变相收受贿赂，不得参加可能对公正执行采购工作有影响的宴请或娱乐活动。</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四、公司员工不得与供应商存在任何商业上的利害关系，不得在供应商单位兼职和任职，不得泄漏政府采购过程中的机密。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公司员工在业务交往中，不得故意刁难供应商，影响正常的业务开展。公司全体员工接受来自社会各界的监督、举报，请各位政府采购参与者充分了解并自觉践行本准则，共同营造廉洁诚信的政采环境，共同推动阳光透明的政府采购。</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举报电话：</w:t>
      </w:r>
      <w:r>
        <w:rPr>
          <w:rFonts w:hint="eastAsia" w:ascii="宋体" w:hAnsi="宋体" w:eastAsia="宋体" w:cs="宋体"/>
          <w:color w:val="auto"/>
          <w:sz w:val="24"/>
          <w:szCs w:val="24"/>
          <w:highlight w:val="none"/>
          <w:lang w:eastAsia="zh-CN"/>
        </w:rPr>
        <w:t>028-86095158</w:t>
      </w:r>
    </w:p>
    <w:p>
      <w:pPr>
        <w:keepNext w:val="0"/>
        <w:keepLines w:val="0"/>
        <w:pageBreakBefore w:val="0"/>
        <w:widowControl w:val="0"/>
        <w:kinsoku/>
        <w:wordWrap/>
        <w:overflowPunct/>
        <w:topLinePunct w:val="0"/>
        <w:autoSpaceDE/>
        <w:autoSpaceDN/>
        <w:bidi w:val="0"/>
        <w:adjustRightInd/>
        <w:snapToGrid/>
        <w:spacing w:line="432" w:lineRule="auto"/>
        <w:jc w:val="left"/>
        <w:textAlignment w:val="auto"/>
        <w:rPr>
          <w:rFonts w:hint="eastAsia" w:ascii="宋体" w:hAnsi="宋体" w:eastAsia="宋体" w:cs="宋体"/>
          <w:color w:val="auto"/>
          <w:sz w:val="24"/>
          <w:szCs w:val="24"/>
          <w:highlight w:val="none"/>
        </w:rPr>
      </w:pPr>
    </w:p>
    <w:p>
      <w:pPr>
        <w:ind w:firstLine="5280" w:firstLineChars="2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四川新宇盛项目管理集团有限公司</w:t>
      </w:r>
    </w:p>
    <w:p>
      <w:pPr>
        <w:rPr>
          <w:rFonts w:hint="eastAsia" w:ascii="宋体" w:hAnsi="宋体" w:cs="宋体"/>
          <w:color w:val="auto"/>
          <w:sz w:val="24"/>
          <w:szCs w:val="24"/>
          <w:highlight w:val="none"/>
          <w:lang w:eastAsia="zh-CN"/>
        </w:rPr>
      </w:pP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keepNext w:val="0"/>
        <w:keepLines w:val="0"/>
        <w:pageBreakBefore w:val="0"/>
        <w:kinsoku/>
        <w:wordWrap/>
        <w:overflowPunct/>
        <w:topLinePunct w:val="0"/>
        <w:autoSpaceDE/>
        <w:autoSpaceDN/>
        <w:bidi w:val="0"/>
        <w:spacing w:line="480" w:lineRule="auto"/>
        <w:jc w:val="center"/>
        <w:textAlignment w:val="auto"/>
        <w:outlineLvl w:val="9"/>
        <w:rPr>
          <w:rFonts w:hint="eastAsia" w:ascii="宋体" w:hAnsi="宋体" w:eastAsia="宋体" w:cs="宋体"/>
          <w:b/>
          <w:bCs/>
          <w:color w:val="auto"/>
          <w:sz w:val="40"/>
          <w:szCs w:val="48"/>
          <w:highlight w:val="none"/>
          <w:lang w:eastAsia="zh-CN"/>
        </w:rPr>
      </w:pPr>
      <w:r>
        <w:rPr>
          <w:rFonts w:hint="eastAsia" w:ascii="宋体" w:hAnsi="宋体" w:cs="宋体"/>
          <w:b/>
          <w:bCs/>
          <w:color w:val="auto"/>
          <w:sz w:val="40"/>
          <w:szCs w:val="48"/>
          <w:highlight w:val="none"/>
          <w:lang w:eastAsia="zh-CN"/>
        </w:rPr>
        <w:t>目录</w:t>
      </w:r>
    </w:p>
    <w:p>
      <w:pPr>
        <w:pStyle w:val="15"/>
        <w:tabs>
          <w:tab w:val="right" w:leader="dot" w:pos="8903"/>
        </w:tabs>
        <w:spacing w:line="480" w:lineRule="auto"/>
        <w:rPr>
          <w:b/>
          <w:bCs/>
          <w:color w:val="auto"/>
          <w:sz w:val="24"/>
          <w:szCs w:val="32"/>
          <w:highlight w:val="none"/>
        </w:rPr>
      </w:pPr>
      <w:r>
        <w:rPr>
          <w:b/>
          <w:bCs/>
          <w:color w:val="auto"/>
          <w:sz w:val="36"/>
          <w:szCs w:val="44"/>
          <w:highlight w:val="none"/>
        </w:rPr>
        <w:fldChar w:fldCharType="begin"/>
      </w:r>
      <w:r>
        <w:rPr>
          <w:b/>
          <w:bCs/>
          <w:color w:val="auto"/>
          <w:sz w:val="36"/>
          <w:szCs w:val="44"/>
          <w:highlight w:val="none"/>
        </w:rPr>
        <w:instrText xml:space="preserve">TOC \o "1-1" \h \u </w:instrText>
      </w:r>
      <w:r>
        <w:rPr>
          <w:b/>
          <w:bCs/>
          <w:color w:val="auto"/>
          <w:sz w:val="36"/>
          <w:szCs w:val="44"/>
          <w:highlight w:val="none"/>
        </w:rPr>
        <w:fldChar w:fldCharType="separate"/>
      </w:r>
      <w:r>
        <w:rPr>
          <w:b/>
          <w:bCs/>
          <w:color w:val="auto"/>
          <w:sz w:val="24"/>
          <w:szCs w:val="44"/>
          <w:highlight w:val="none"/>
        </w:rPr>
        <w:fldChar w:fldCharType="begin"/>
      </w:r>
      <w:r>
        <w:rPr>
          <w:b/>
          <w:bCs/>
          <w:color w:val="auto"/>
          <w:sz w:val="24"/>
          <w:szCs w:val="44"/>
          <w:highlight w:val="none"/>
        </w:rPr>
        <w:instrText xml:space="preserve"> HYPERLINK \l _Toc15168 </w:instrText>
      </w:r>
      <w:r>
        <w:rPr>
          <w:b/>
          <w:bCs/>
          <w:color w:val="auto"/>
          <w:sz w:val="24"/>
          <w:szCs w:val="44"/>
          <w:highlight w:val="none"/>
        </w:rPr>
        <w:fldChar w:fldCharType="separate"/>
      </w:r>
      <w:r>
        <w:rPr>
          <w:rFonts w:hint="eastAsia" w:ascii="宋体" w:hAnsi="宋体" w:cs="宋体"/>
          <w:b/>
          <w:bCs/>
          <w:color w:val="auto"/>
          <w:sz w:val="24"/>
          <w:szCs w:val="32"/>
          <w:highlight w:val="none"/>
        </w:rPr>
        <w:t>第一章  投标邀请</w:t>
      </w:r>
      <w:r>
        <w:rPr>
          <w:b/>
          <w:bCs/>
          <w:color w:val="auto"/>
          <w:sz w:val="24"/>
          <w:szCs w:val="32"/>
          <w:highlight w:val="none"/>
        </w:rPr>
        <w:tab/>
      </w:r>
      <w:r>
        <w:rPr>
          <w:b/>
          <w:bCs/>
          <w:color w:val="auto"/>
          <w:sz w:val="24"/>
          <w:szCs w:val="32"/>
          <w:highlight w:val="none"/>
        </w:rPr>
        <w:fldChar w:fldCharType="begin"/>
      </w:r>
      <w:r>
        <w:rPr>
          <w:b/>
          <w:bCs/>
          <w:color w:val="auto"/>
          <w:sz w:val="24"/>
          <w:szCs w:val="32"/>
          <w:highlight w:val="none"/>
        </w:rPr>
        <w:instrText xml:space="preserve"> PAGEREF _Toc15168 \h </w:instrText>
      </w:r>
      <w:r>
        <w:rPr>
          <w:b/>
          <w:bCs/>
          <w:color w:val="auto"/>
          <w:sz w:val="24"/>
          <w:szCs w:val="32"/>
          <w:highlight w:val="none"/>
        </w:rPr>
        <w:fldChar w:fldCharType="separate"/>
      </w:r>
      <w:r>
        <w:rPr>
          <w:b/>
          <w:bCs/>
          <w:color w:val="auto"/>
          <w:sz w:val="24"/>
          <w:szCs w:val="32"/>
          <w:highlight w:val="none"/>
        </w:rPr>
        <w:t>1</w:t>
      </w:r>
      <w:r>
        <w:rPr>
          <w:b/>
          <w:bCs/>
          <w:color w:val="auto"/>
          <w:sz w:val="24"/>
          <w:szCs w:val="32"/>
          <w:highlight w:val="none"/>
        </w:rPr>
        <w:fldChar w:fldCharType="end"/>
      </w:r>
      <w:r>
        <w:rPr>
          <w:b/>
          <w:bCs/>
          <w:color w:val="auto"/>
          <w:sz w:val="24"/>
          <w:szCs w:val="44"/>
          <w:highlight w:val="none"/>
        </w:rPr>
        <w:fldChar w:fldCharType="end"/>
      </w:r>
    </w:p>
    <w:p>
      <w:pPr>
        <w:pStyle w:val="15"/>
        <w:tabs>
          <w:tab w:val="right" w:leader="dot" w:pos="8903"/>
        </w:tabs>
        <w:spacing w:line="480" w:lineRule="auto"/>
        <w:rPr>
          <w:b/>
          <w:bCs/>
          <w:color w:val="auto"/>
          <w:sz w:val="24"/>
          <w:szCs w:val="32"/>
          <w:highlight w:val="none"/>
        </w:rPr>
      </w:pPr>
      <w:r>
        <w:rPr>
          <w:b/>
          <w:bCs/>
          <w:color w:val="auto"/>
          <w:sz w:val="24"/>
          <w:szCs w:val="44"/>
          <w:highlight w:val="none"/>
        </w:rPr>
        <w:fldChar w:fldCharType="begin"/>
      </w:r>
      <w:r>
        <w:rPr>
          <w:b/>
          <w:bCs/>
          <w:color w:val="auto"/>
          <w:sz w:val="24"/>
          <w:szCs w:val="44"/>
          <w:highlight w:val="none"/>
        </w:rPr>
        <w:instrText xml:space="preserve"> HYPERLINK \l _Toc14316 </w:instrText>
      </w:r>
      <w:r>
        <w:rPr>
          <w:b/>
          <w:bCs/>
          <w:color w:val="auto"/>
          <w:sz w:val="24"/>
          <w:szCs w:val="44"/>
          <w:highlight w:val="none"/>
        </w:rPr>
        <w:fldChar w:fldCharType="separate"/>
      </w:r>
      <w:r>
        <w:rPr>
          <w:rFonts w:hint="eastAsia" w:ascii="宋体" w:hAnsi="宋体" w:cs="宋体"/>
          <w:b/>
          <w:bCs/>
          <w:color w:val="auto"/>
          <w:sz w:val="24"/>
          <w:szCs w:val="32"/>
          <w:highlight w:val="none"/>
        </w:rPr>
        <w:t>第二章  投标人须知</w:t>
      </w:r>
      <w:r>
        <w:rPr>
          <w:b/>
          <w:bCs/>
          <w:color w:val="auto"/>
          <w:sz w:val="24"/>
          <w:szCs w:val="32"/>
          <w:highlight w:val="none"/>
        </w:rPr>
        <w:tab/>
      </w:r>
      <w:r>
        <w:rPr>
          <w:b/>
          <w:bCs/>
          <w:color w:val="auto"/>
          <w:sz w:val="24"/>
          <w:szCs w:val="32"/>
          <w:highlight w:val="none"/>
        </w:rPr>
        <w:fldChar w:fldCharType="begin"/>
      </w:r>
      <w:r>
        <w:rPr>
          <w:b/>
          <w:bCs/>
          <w:color w:val="auto"/>
          <w:sz w:val="24"/>
          <w:szCs w:val="32"/>
          <w:highlight w:val="none"/>
        </w:rPr>
        <w:instrText xml:space="preserve"> PAGEREF _Toc14316 \h </w:instrText>
      </w:r>
      <w:r>
        <w:rPr>
          <w:b/>
          <w:bCs/>
          <w:color w:val="auto"/>
          <w:sz w:val="24"/>
          <w:szCs w:val="32"/>
          <w:highlight w:val="none"/>
        </w:rPr>
        <w:fldChar w:fldCharType="separate"/>
      </w:r>
      <w:r>
        <w:rPr>
          <w:b/>
          <w:bCs/>
          <w:color w:val="auto"/>
          <w:sz w:val="24"/>
          <w:szCs w:val="32"/>
          <w:highlight w:val="none"/>
        </w:rPr>
        <w:t>3</w:t>
      </w:r>
      <w:r>
        <w:rPr>
          <w:b/>
          <w:bCs/>
          <w:color w:val="auto"/>
          <w:sz w:val="24"/>
          <w:szCs w:val="32"/>
          <w:highlight w:val="none"/>
        </w:rPr>
        <w:fldChar w:fldCharType="end"/>
      </w:r>
      <w:r>
        <w:rPr>
          <w:b/>
          <w:bCs/>
          <w:color w:val="auto"/>
          <w:sz w:val="24"/>
          <w:szCs w:val="44"/>
          <w:highlight w:val="none"/>
        </w:rPr>
        <w:fldChar w:fldCharType="end"/>
      </w:r>
    </w:p>
    <w:p>
      <w:pPr>
        <w:pStyle w:val="15"/>
        <w:tabs>
          <w:tab w:val="right" w:leader="dot" w:pos="8903"/>
        </w:tabs>
        <w:spacing w:line="480" w:lineRule="auto"/>
        <w:rPr>
          <w:b/>
          <w:bCs/>
          <w:color w:val="auto"/>
          <w:sz w:val="24"/>
          <w:szCs w:val="32"/>
          <w:highlight w:val="none"/>
        </w:rPr>
      </w:pPr>
      <w:r>
        <w:rPr>
          <w:b/>
          <w:bCs/>
          <w:color w:val="auto"/>
          <w:sz w:val="24"/>
          <w:szCs w:val="44"/>
          <w:highlight w:val="none"/>
        </w:rPr>
        <w:fldChar w:fldCharType="begin"/>
      </w:r>
      <w:r>
        <w:rPr>
          <w:b/>
          <w:bCs/>
          <w:color w:val="auto"/>
          <w:sz w:val="24"/>
          <w:szCs w:val="44"/>
          <w:highlight w:val="none"/>
        </w:rPr>
        <w:instrText xml:space="preserve"> HYPERLINK \l _Toc22416 </w:instrText>
      </w:r>
      <w:r>
        <w:rPr>
          <w:b/>
          <w:bCs/>
          <w:color w:val="auto"/>
          <w:sz w:val="24"/>
          <w:szCs w:val="44"/>
          <w:highlight w:val="none"/>
        </w:rPr>
        <w:fldChar w:fldCharType="separate"/>
      </w:r>
      <w:r>
        <w:rPr>
          <w:rFonts w:hint="eastAsia" w:ascii="宋体" w:hAnsi="宋体" w:cs="宋体"/>
          <w:b/>
          <w:bCs/>
          <w:color w:val="auto"/>
          <w:sz w:val="24"/>
          <w:szCs w:val="32"/>
          <w:highlight w:val="none"/>
        </w:rPr>
        <w:t>第三章 投标文件格式</w:t>
      </w:r>
      <w:r>
        <w:rPr>
          <w:b/>
          <w:bCs/>
          <w:color w:val="auto"/>
          <w:sz w:val="24"/>
          <w:szCs w:val="32"/>
          <w:highlight w:val="none"/>
        </w:rPr>
        <w:tab/>
      </w:r>
      <w:r>
        <w:rPr>
          <w:b/>
          <w:bCs/>
          <w:color w:val="auto"/>
          <w:sz w:val="24"/>
          <w:szCs w:val="32"/>
          <w:highlight w:val="none"/>
        </w:rPr>
        <w:fldChar w:fldCharType="begin"/>
      </w:r>
      <w:r>
        <w:rPr>
          <w:b/>
          <w:bCs/>
          <w:color w:val="auto"/>
          <w:sz w:val="24"/>
          <w:szCs w:val="32"/>
          <w:highlight w:val="none"/>
        </w:rPr>
        <w:instrText xml:space="preserve"> PAGEREF _Toc22416 \h </w:instrText>
      </w:r>
      <w:r>
        <w:rPr>
          <w:b/>
          <w:bCs/>
          <w:color w:val="auto"/>
          <w:sz w:val="24"/>
          <w:szCs w:val="32"/>
          <w:highlight w:val="none"/>
        </w:rPr>
        <w:fldChar w:fldCharType="separate"/>
      </w:r>
      <w:r>
        <w:rPr>
          <w:b/>
          <w:bCs/>
          <w:color w:val="auto"/>
          <w:sz w:val="24"/>
          <w:szCs w:val="32"/>
          <w:highlight w:val="none"/>
        </w:rPr>
        <w:t>17</w:t>
      </w:r>
      <w:r>
        <w:rPr>
          <w:b/>
          <w:bCs/>
          <w:color w:val="auto"/>
          <w:sz w:val="24"/>
          <w:szCs w:val="32"/>
          <w:highlight w:val="none"/>
        </w:rPr>
        <w:fldChar w:fldCharType="end"/>
      </w:r>
      <w:r>
        <w:rPr>
          <w:b/>
          <w:bCs/>
          <w:color w:val="auto"/>
          <w:sz w:val="24"/>
          <w:szCs w:val="44"/>
          <w:highlight w:val="none"/>
        </w:rPr>
        <w:fldChar w:fldCharType="end"/>
      </w:r>
    </w:p>
    <w:p>
      <w:pPr>
        <w:pStyle w:val="15"/>
        <w:tabs>
          <w:tab w:val="right" w:leader="dot" w:pos="8903"/>
        </w:tabs>
        <w:spacing w:line="480" w:lineRule="auto"/>
        <w:rPr>
          <w:b/>
          <w:bCs/>
          <w:color w:val="auto"/>
          <w:sz w:val="24"/>
          <w:szCs w:val="32"/>
          <w:highlight w:val="none"/>
        </w:rPr>
      </w:pPr>
      <w:r>
        <w:rPr>
          <w:b/>
          <w:bCs/>
          <w:color w:val="auto"/>
          <w:sz w:val="24"/>
          <w:szCs w:val="44"/>
          <w:highlight w:val="none"/>
        </w:rPr>
        <w:fldChar w:fldCharType="begin"/>
      </w:r>
      <w:r>
        <w:rPr>
          <w:b/>
          <w:bCs/>
          <w:color w:val="auto"/>
          <w:sz w:val="24"/>
          <w:szCs w:val="44"/>
          <w:highlight w:val="none"/>
        </w:rPr>
        <w:instrText xml:space="preserve"> HYPERLINK \l _Toc27801 </w:instrText>
      </w:r>
      <w:r>
        <w:rPr>
          <w:b/>
          <w:bCs/>
          <w:color w:val="auto"/>
          <w:sz w:val="24"/>
          <w:szCs w:val="44"/>
          <w:highlight w:val="none"/>
        </w:rPr>
        <w:fldChar w:fldCharType="separate"/>
      </w:r>
      <w:r>
        <w:rPr>
          <w:rFonts w:hint="eastAsia" w:ascii="宋体" w:hAnsi="宋体" w:cs="宋体"/>
          <w:b/>
          <w:bCs/>
          <w:color w:val="auto"/>
          <w:sz w:val="24"/>
          <w:szCs w:val="32"/>
          <w:highlight w:val="none"/>
        </w:rPr>
        <w:t>第四章  投标人和投标产品的资格、资质性及其他类似效力要求</w:t>
      </w:r>
      <w:r>
        <w:rPr>
          <w:b/>
          <w:bCs/>
          <w:color w:val="auto"/>
          <w:sz w:val="24"/>
          <w:szCs w:val="32"/>
          <w:highlight w:val="none"/>
        </w:rPr>
        <w:tab/>
      </w:r>
      <w:r>
        <w:rPr>
          <w:b/>
          <w:bCs/>
          <w:color w:val="auto"/>
          <w:sz w:val="24"/>
          <w:szCs w:val="32"/>
          <w:highlight w:val="none"/>
        </w:rPr>
        <w:fldChar w:fldCharType="begin"/>
      </w:r>
      <w:r>
        <w:rPr>
          <w:b/>
          <w:bCs/>
          <w:color w:val="auto"/>
          <w:sz w:val="24"/>
          <w:szCs w:val="32"/>
          <w:highlight w:val="none"/>
        </w:rPr>
        <w:instrText xml:space="preserve"> PAGEREF _Toc27801 \h </w:instrText>
      </w:r>
      <w:r>
        <w:rPr>
          <w:b/>
          <w:bCs/>
          <w:color w:val="auto"/>
          <w:sz w:val="24"/>
          <w:szCs w:val="32"/>
          <w:highlight w:val="none"/>
        </w:rPr>
        <w:fldChar w:fldCharType="separate"/>
      </w:r>
      <w:r>
        <w:rPr>
          <w:b/>
          <w:bCs/>
          <w:color w:val="auto"/>
          <w:sz w:val="24"/>
          <w:szCs w:val="32"/>
          <w:highlight w:val="none"/>
        </w:rPr>
        <w:t>47</w:t>
      </w:r>
      <w:r>
        <w:rPr>
          <w:b/>
          <w:bCs/>
          <w:color w:val="auto"/>
          <w:sz w:val="24"/>
          <w:szCs w:val="32"/>
          <w:highlight w:val="none"/>
        </w:rPr>
        <w:fldChar w:fldCharType="end"/>
      </w:r>
      <w:r>
        <w:rPr>
          <w:b/>
          <w:bCs/>
          <w:color w:val="auto"/>
          <w:sz w:val="24"/>
          <w:szCs w:val="44"/>
          <w:highlight w:val="none"/>
        </w:rPr>
        <w:fldChar w:fldCharType="end"/>
      </w:r>
    </w:p>
    <w:p>
      <w:pPr>
        <w:pStyle w:val="15"/>
        <w:tabs>
          <w:tab w:val="right" w:leader="dot" w:pos="8903"/>
        </w:tabs>
        <w:spacing w:line="480" w:lineRule="auto"/>
        <w:rPr>
          <w:b/>
          <w:bCs/>
          <w:color w:val="auto"/>
          <w:sz w:val="24"/>
          <w:szCs w:val="32"/>
          <w:highlight w:val="none"/>
        </w:rPr>
      </w:pPr>
      <w:r>
        <w:rPr>
          <w:b/>
          <w:bCs/>
          <w:color w:val="auto"/>
          <w:sz w:val="24"/>
          <w:szCs w:val="44"/>
          <w:highlight w:val="none"/>
        </w:rPr>
        <w:fldChar w:fldCharType="begin"/>
      </w:r>
      <w:r>
        <w:rPr>
          <w:b/>
          <w:bCs/>
          <w:color w:val="auto"/>
          <w:sz w:val="24"/>
          <w:szCs w:val="44"/>
          <w:highlight w:val="none"/>
        </w:rPr>
        <w:instrText xml:space="preserve"> HYPERLINK \l _Toc29387 </w:instrText>
      </w:r>
      <w:r>
        <w:rPr>
          <w:b/>
          <w:bCs/>
          <w:color w:val="auto"/>
          <w:sz w:val="24"/>
          <w:szCs w:val="44"/>
          <w:highlight w:val="none"/>
        </w:rPr>
        <w:fldChar w:fldCharType="separate"/>
      </w:r>
      <w:r>
        <w:rPr>
          <w:rFonts w:hint="eastAsia" w:ascii="宋体" w:hAnsi="宋体" w:cs="宋体"/>
          <w:b/>
          <w:bCs/>
          <w:color w:val="auto"/>
          <w:sz w:val="24"/>
          <w:szCs w:val="32"/>
          <w:highlight w:val="none"/>
        </w:rPr>
        <w:t>第五章  投标人应当提供的资格、资质性及其他类似效力要求的相关证明材料</w:t>
      </w:r>
      <w:r>
        <w:rPr>
          <w:b/>
          <w:bCs/>
          <w:color w:val="auto"/>
          <w:sz w:val="24"/>
          <w:szCs w:val="32"/>
          <w:highlight w:val="none"/>
        </w:rPr>
        <w:tab/>
      </w:r>
      <w:r>
        <w:rPr>
          <w:b/>
          <w:bCs/>
          <w:color w:val="auto"/>
          <w:sz w:val="24"/>
          <w:szCs w:val="32"/>
          <w:highlight w:val="none"/>
        </w:rPr>
        <w:fldChar w:fldCharType="begin"/>
      </w:r>
      <w:r>
        <w:rPr>
          <w:b/>
          <w:bCs/>
          <w:color w:val="auto"/>
          <w:sz w:val="24"/>
          <w:szCs w:val="32"/>
          <w:highlight w:val="none"/>
        </w:rPr>
        <w:instrText xml:space="preserve"> PAGEREF _Toc29387 \h </w:instrText>
      </w:r>
      <w:r>
        <w:rPr>
          <w:b/>
          <w:bCs/>
          <w:color w:val="auto"/>
          <w:sz w:val="24"/>
          <w:szCs w:val="32"/>
          <w:highlight w:val="none"/>
        </w:rPr>
        <w:fldChar w:fldCharType="separate"/>
      </w:r>
      <w:r>
        <w:rPr>
          <w:b/>
          <w:bCs/>
          <w:color w:val="auto"/>
          <w:sz w:val="24"/>
          <w:szCs w:val="32"/>
          <w:highlight w:val="none"/>
        </w:rPr>
        <w:t>48</w:t>
      </w:r>
      <w:r>
        <w:rPr>
          <w:b/>
          <w:bCs/>
          <w:color w:val="auto"/>
          <w:sz w:val="24"/>
          <w:szCs w:val="32"/>
          <w:highlight w:val="none"/>
        </w:rPr>
        <w:fldChar w:fldCharType="end"/>
      </w:r>
      <w:r>
        <w:rPr>
          <w:b/>
          <w:bCs/>
          <w:color w:val="auto"/>
          <w:sz w:val="24"/>
          <w:szCs w:val="44"/>
          <w:highlight w:val="none"/>
        </w:rPr>
        <w:fldChar w:fldCharType="end"/>
      </w:r>
    </w:p>
    <w:p>
      <w:pPr>
        <w:pStyle w:val="15"/>
        <w:tabs>
          <w:tab w:val="right" w:leader="dot" w:pos="8903"/>
        </w:tabs>
        <w:spacing w:line="480" w:lineRule="auto"/>
        <w:rPr>
          <w:b/>
          <w:bCs/>
          <w:color w:val="auto"/>
          <w:sz w:val="24"/>
          <w:szCs w:val="32"/>
          <w:highlight w:val="none"/>
        </w:rPr>
      </w:pPr>
      <w:r>
        <w:rPr>
          <w:b/>
          <w:bCs/>
          <w:color w:val="auto"/>
          <w:sz w:val="24"/>
          <w:szCs w:val="44"/>
          <w:highlight w:val="none"/>
        </w:rPr>
        <w:fldChar w:fldCharType="begin"/>
      </w:r>
      <w:r>
        <w:rPr>
          <w:b/>
          <w:bCs/>
          <w:color w:val="auto"/>
          <w:sz w:val="24"/>
          <w:szCs w:val="44"/>
          <w:highlight w:val="none"/>
        </w:rPr>
        <w:instrText xml:space="preserve"> HYPERLINK \l _Toc27840 </w:instrText>
      </w:r>
      <w:r>
        <w:rPr>
          <w:b/>
          <w:bCs/>
          <w:color w:val="auto"/>
          <w:sz w:val="24"/>
          <w:szCs w:val="44"/>
          <w:highlight w:val="none"/>
        </w:rPr>
        <w:fldChar w:fldCharType="separate"/>
      </w:r>
      <w:r>
        <w:rPr>
          <w:rFonts w:hint="eastAsia" w:ascii="宋体" w:hAnsi="宋体" w:cs="宋体"/>
          <w:b/>
          <w:bCs/>
          <w:color w:val="auto"/>
          <w:sz w:val="24"/>
          <w:szCs w:val="32"/>
          <w:highlight w:val="none"/>
        </w:rPr>
        <w:t>第六章  招标项目技术、服务、政府采购合同内容条款及其他商务要求</w:t>
      </w:r>
      <w:r>
        <w:rPr>
          <w:b/>
          <w:bCs/>
          <w:color w:val="auto"/>
          <w:sz w:val="24"/>
          <w:szCs w:val="32"/>
          <w:highlight w:val="none"/>
        </w:rPr>
        <w:tab/>
      </w:r>
      <w:r>
        <w:rPr>
          <w:b/>
          <w:bCs/>
          <w:color w:val="auto"/>
          <w:sz w:val="24"/>
          <w:szCs w:val="32"/>
          <w:highlight w:val="none"/>
        </w:rPr>
        <w:fldChar w:fldCharType="begin"/>
      </w:r>
      <w:r>
        <w:rPr>
          <w:b/>
          <w:bCs/>
          <w:color w:val="auto"/>
          <w:sz w:val="24"/>
          <w:szCs w:val="32"/>
          <w:highlight w:val="none"/>
        </w:rPr>
        <w:instrText xml:space="preserve"> PAGEREF _Toc27840 \h </w:instrText>
      </w:r>
      <w:r>
        <w:rPr>
          <w:b/>
          <w:bCs/>
          <w:color w:val="auto"/>
          <w:sz w:val="24"/>
          <w:szCs w:val="32"/>
          <w:highlight w:val="none"/>
        </w:rPr>
        <w:fldChar w:fldCharType="separate"/>
      </w:r>
      <w:r>
        <w:rPr>
          <w:b/>
          <w:bCs/>
          <w:color w:val="auto"/>
          <w:sz w:val="24"/>
          <w:szCs w:val="32"/>
          <w:highlight w:val="none"/>
        </w:rPr>
        <w:t>50</w:t>
      </w:r>
      <w:r>
        <w:rPr>
          <w:b/>
          <w:bCs/>
          <w:color w:val="auto"/>
          <w:sz w:val="24"/>
          <w:szCs w:val="32"/>
          <w:highlight w:val="none"/>
        </w:rPr>
        <w:fldChar w:fldCharType="end"/>
      </w:r>
      <w:r>
        <w:rPr>
          <w:b/>
          <w:bCs/>
          <w:color w:val="auto"/>
          <w:sz w:val="24"/>
          <w:szCs w:val="44"/>
          <w:highlight w:val="none"/>
        </w:rPr>
        <w:fldChar w:fldCharType="end"/>
      </w:r>
    </w:p>
    <w:p>
      <w:pPr>
        <w:pStyle w:val="15"/>
        <w:tabs>
          <w:tab w:val="right" w:leader="dot" w:pos="8903"/>
        </w:tabs>
        <w:spacing w:line="480" w:lineRule="auto"/>
        <w:rPr>
          <w:b/>
          <w:bCs/>
          <w:color w:val="auto"/>
          <w:sz w:val="24"/>
          <w:szCs w:val="32"/>
          <w:highlight w:val="none"/>
        </w:rPr>
      </w:pPr>
      <w:r>
        <w:rPr>
          <w:b/>
          <w:bCs/>
          <w:color w:val="auto"/>
          <w:sz w:val="24"/>
          <w:szCs w:val="44"/>
          <w:highlight w:val="none"/>
        </w:rPr>
        <w:fldChar w:fldCharType="begin"/>
      </w:r>
      <w:r>
        <w:rPr>
          <w:b/>
          <w:bCs/>
          <w:color w:val="auto"/>
          <w:sz w:val="24"/>
          <w:szCs w:val="44"/>
          <w:highlight w:val="none"/>
        </w:rPr>
        <w:instrText xml:space="preserve"> HYPERLINK \l _Toc1008 </w:instrText>
      </w:r>
      <w:r>
        <w:rPr>
          <w:b/>
          <w:bCs/>
          <w:color w:val="auto"/>
          <w:sz w:val="24"/>
          <w:szCs w:val="44"/>
          <w:highlight w:val="none"/>
        </w:rPr>
        <w:fldChar w:fldCharType="separate"/>
      </w:r>
      <w:r>
        <w:rPr>
          <w:rFonts w:hint="eastAsia" w:ascii="宋体" w:hAnsi="宋体" w:cs="宋体"/>
          <w:b/>
          <w:bCs/>
          <w:color w:val="auto"/>
          <w:sz w:val="24"/>
          <w:szCs w:val="32"/>
          <w:highlight w:val="none"/>
        </w:rPr>
        <w:t>第七章  评标办法</w:t>
      </w:r>
      <w:r>
        <w:rPr>
          <w:b/>
          <w:bCs/>
          <w:color w:val="auto"/>
          <w:sz w:val="24"/>
          <w:szCs w:val="32"/>
          <w:highlight w:val="none"/>
        </w:rPr>
        <w:tab/>
      </w:r>
      <w:r>
        <w:rPr>
          <w:b/>
          <w:bCs/>
          <w:color w:val="auto"/>
          <w:sz w:val="24"/>
          <w:szCs w:val="32"/>
          <w:highlight w:val="none"/>
        </w:rPr>
        <w:fldChar w:fldCharType="begin"/>
      </w:r>
      <w:r>
        <w:rPr>
          <w:b/>
          <w:bCs/>
          <w:color w:val="auto"/>
          <w:sz w:val="24"/>
          <w:szCs w:val="32"/>
          <w:highlight w:val="none"/>
        </w:rPr>
        <w:instrText xml:space="preserve"> PAGEREF _Toc1008 \h </w:instrText>
      </w:r>
      <w:r>
        <w:rPr>
          <w:b/>
          <w:bCs/>
          <w:color w:val="auto"/>
          <w:sz w:val="24"/>
          <w:szCs w:val="32"/>
          <w:highlight w:val="none"/>
        </w:rPr>
        <w:fldChar w:fldCharType="separate"/>
      </w:r>
      <w:r>
        <w:rPr>
          <w:b/>
          <w:bCs/>
          <w:color w:val="auto"/>
          <w:sz w:val="24"/>
          <w:szCs w:val="32"/>
          <w:highlight w:val="none"/>
        </w:rPr>
        <w:t>59</w:t>
      </w:r>
      <w:r>
        <w:rPr>
          <w:b/>
          <w:bCs/>
          <w:color w:val="auto"/>
          <w:sz w:val="24"/>
          <w:szCs w:val="32"/>
          <w:highlight w:val="none"/>
        </w:rPr>
        <w:fldChar w:fldCharType="end"/>
      </w:r>
      <w:r>
        <w:rPr>
          <w:b/>
          <w:bCs/>
          <w:color w:val="auto"/>
          <w:sz w:val="24"/>
          <w:szCs w:val="44"/>
          <w:highlight w:val="none"/>
        </w:rPr>
        <w:fldChar w:fldCharType="end"/>
      </w:r>
    </w:p>
    <w:p>
      <w:pPr>
        <w:pStyle w:val="15"/>
        <w:tabs>
          <w:tab w:val="right" w:leader="dot" w:pos="8903"/>
        </w:tabs>
        <w:spacing w:line="480" w:lineRule="auto"/>
        <w:rPr>
          <w:b/>
          <w:bCs/>
          <w:color w:val="auto"/>
          <w:sz w:val="24"/>
          <w:szCs w:val="32"/>
          <w:highlight w:val="none"/>
        </w:rPr>
      </w:pPr>
      <w:r>
        <w:rPr>
          <w:b/>
          <w:bCs/>
          <w:color w:val="auto"/>
          <w:sz w:val="24"/>
          <w:szCs w:val="44"/>
          <w:highlight w:val="none"/>
        </w:rPr>
        <w:fldChar w:fldCharType="begin"/>
      </w:r>
      <w:r>
        <w:rPr>
          <w:b/>
          <w:bCs/>
          <w:color w:val="auto"/>
          <w:sz w:val="24"/>
          <w:szCs w:val="44"/>
          <w:highlight w:val="none"/>
        </w:rPr>
        <w:instrText xml:space="preserve"> HYPERLINK \l _Toc28451 </w:instrText>
      </w:r>
      <w:r>
        <w:rPr>
          <w:b/>
          <w:bCs/>
          <w:color w:val="auto"/>
          <w:sz w:val="24"/>
          <w:szCs w:val="44"/>
          <w:highlight w:val="none"/>
        </w:rPr>
        <w:fldChar w:fldCharType="separate"/>
      </w:r>
      <w:r>
        <w:rPr>
          <w:rFonts w:hint="eastAsia" w:ascii="宋体" w:hAnsi="宋体" w:cs="宋体"/>
          <w:b/>
          <w:bCs/>
          <w:color w:val="auto"/>
          <w:sz w:val="24"/>
          <w:szCs w:val="32"/>
          <w:highlight w:val="none"/>
        </w:rPr>
        <w:t>第八章  政府采购合同（样例）</w:t>
      </w:r>
      <w:r>
        <w:rPr>
          <w:b/>
          <w:bCs/>
          <w:color w:val="auto"/>
          <w:sz w:val="24"/>
          <w:szCs w:val="32"/>
          <w:highlight w:val="none"/>
        </w:rPr>
        <w:tab/>
      </w:r>
      <w:r>
        <w:rPr>
          <w:b/>
          <w:bCs/>
          <w:color w:val="auto"/>
          <w:sz w:val="24"/>
          <w:szCs w:val="32"/>
          <w:highlight w:val="none"/>
        </w:rPr>
        <w:fldChar w:fldCharType="begin"/>
      </w:r>
      <w:r>
        <w:rPr>
          <w:b/>
          <w:bCs/>
          <w:color w:val="auto"/>
          <w:sz w:val="24"/>
          <w:szCs w:val="32"/>
          <w:highlight w:val="none"/>
        </w:rPr>
        <w:instrText xml:space="preserve"> PAGEREF _Toc28451 \h </w:instrText>
      </w:r>
      <w:r>
        <w:rPr>
          <w:b/>
          <w:bCs/>
          <w:color w:val="auto"/>
          <w:sz w:val="24"/>
          <w:szCs w:val="32"/>
          <w:highlight w:val="none"/>
        </w:rPr>
        <w:fldChar w:fldCharType="separate"/>
      </w:r>
      <w:r>
        <w:rPr>
          <w:b/>
          <w:bCs/>
          <w:color w:val="auto"/>
          <w:sz w:val="24"/>
          <w:szCs w:val="32"/>
          <w:highlight w:val="none"/>
        </w:rPr>
        <w:t>71</w:t>
      </w:r>
      <w:r>
        <w:rPr>
          <w:b/>
          <w:bCs/>
          <w:color w:val="auto"/>
          <w:sz w:val="24"/>
          <w:szCs w:val="32"/>
          <w:highlight w:val="none"/>
        </w:rPr>
        <w:fldChar w:fldCharType="end"/>
      </w:r>
      <w:r>
        <w:rPr>
          <w:b/>
          <w:bCs/>
          <w:color w:val="auto"/>
          <w:sz w:val="24"/>
          <w:szCs w:val="44"/>
          <w:highlight w:val="none"/>
        </w:rPr>
        <w:fldChar w:fldCharType="end"/>
      </w:r>
    </w:p>
    <w:p>
      <w:pPr>
        <w:pStyle w:val="15"/>
        <w:tabs>
          <w:tab w:val="right" w:leader="dot" w:pos="8903"/>
        </w:tabs>
        <w:spacing w:line="480" w:lineRule="auto"/>
        <w:rPr>
          <w:b/>
          <w:bCs/>
          <w:color w:val="auto"/>
          <w:sz w:val="24"/>
          <w:szCs w:val="32"/>
          <w:highlight w:val="none"/>
        </w:rPr>
      </w:pPr>
      <w:r>
        <w:rPr>
          <w:b/>
          <w:bCs/>
          <w:color w:val="auto"/>
          <w:sz w:val="24"/>
          <w:szCs w:val="44"/>
          <w:highlight w:val="none"/>
        </w:rPr>
        <w:fldChar w:fldCharType="begin"/>
      </w:r>
      <w:r>
        <w:rPr>
          <w:b/>
          <w:bCs/>
          <w:color w:val="auto"/>
          <w:sz w:val="24"/>
          <w:szCs w:val="44"/>
          <w:highlight w:val="none"/>
        </w:rPr>
        <w:instrText xml:space="preserve"> HYPERLINK \l _Toc7028 </w:instrText>
      </w:r>
      <w:r>
        <w:rPr>
          <w:b/>
          <w:bCs/>
          <w:color w:val="auto"/>
          <w:sz w:val="24"/>
          <w:szCs w:val="44"/>
          <w:highlight w:val="none"/>
        </w:rPr>
        <w:fldChar w:fldCharType="separate"/>
      </w:r>
      <w:r>
        <w:rPr>
          <w:rFonts w:hint="eastAsia" w:ascii="宋体" w:hAnsi="宋体" w:eastAsia="宋体" w:cs="宋体"/>
          <w:b/>
          <w:bCs/>
          <w:color w:val="auto"/>
          <w:sz w:val="24"/>
          <w:szCs w:val="44"/>
          <w:highlight w:val="none"/>
          <w:lang w:val="en-US" w:eastAsia="zh-CN"/>
        </w:rPr>
        <w:t>第九章 四川省财政厅关于推进四川省政府采购供应商信用融资工作的通知</w:t>
      </w:r>
      <w:r>
        <w:rPr>
          <w:b/>
          <w:bCs/>
          <w:color w:val="auto"/>
          <w:sz w:val="24"/>
          <w:szCs w:val="32"/>
          <w:highlight w:val="none"/>
        </w:rPr>
        <w:tab/>
      </w:r>
      <w:r>
        <w:rPr>
          <w:b/>
          <w:bCs/>
          <w:color w:val="auto"/>
          <w:sz w:val="24"/>
          <w:szCs w:val="32"/>
          <w:highlight w:val="none"/>
        </w:rPr>
        <w:fldChar w:fldCharType="begin"/>
      </w:r>
      <w:r>
        <w:rPr>
          <w:b/>
          <w:bCs/>
          <w:color w:val="auto"/>
          <w:sz w:val="24"/>
          <w:szCs w:val="32"/>
          <w:highlight w:val="none"/>
        </w:rPr>
        <w:instrText xml:space="preserve"> PAGEREF _Toc7028 \h </w:instrText>
      </w:r>
      <w:r>
        <w:rPr>
          <w:b/>
          <w:bCs/>
          <w:color w:val="auto"/>
          <w:sz w:val="24"/>
          <w:szCs w:val="32"/>
          <w:highlight w:val="none"/>
        </w:rPr>
        <w:fldChar w:fldCharType="separate"/>
      </w:r>
      <w:r>
        <w:rPr>
          <w:b/>
          <w:bCs/>
          <w:color w:val="auto"/>
          <w:sz w:val="24"/>
          <w:szCs w:val="32"/>
          <w:highlight w:val="none"/>
        </w:rPr>
        <w:t>75</w:t>
      </w:r>
      <w:r>
        <w:rPr>
          <w:b/>
          <w:bCs/>
          <w:color w:val="auto"/>
          <w:sz w:val="24"/>
          <w:szCs w:val="32"/>
          <w:highlight w:val="none"/>
        </w:rPr>
        <w:fldChar w:fldCharType="end"/>
      </w:r>
      <w:r>
        <w:rPr>
          <w:b/>
          <w:bCs/>
          <w:color w:val="auto"/>
          <w:sz w:val="24"/>
          <w:szCs w:val="44"/>
          <w:highlight w:val="none"/>
        </w:rPr>
        <w:fldChar w:fldCharType="end"/>
      </w:r>
    </w:p>
    <w:p>
      <w:pPr>
        <w:pStyle w:val="8"/>
        <w:keepNext w:val="0"/>
        <w:keepLines w:val="0"/>
        <w:pageBreakBefore w:val="0"/>
        <w:widowControl w:val="0"/>
        <w:kinsoku/>
        <w:wordWrap/>
        <w:overflowPunct/>
        <w:topLinePunct w:val="0"/>
        <w:autoSpaceDE/>
        <w:autoSpaceDN/>
        <w:bidi w:val="0"/>
        <w:adjustRightInd/>
        <w:snapToGrid/>
        <w:spacing w:line="480" w:lineRule="auto"/>
        <w:textAlignment w:val="auto"/>
        <w:rPr>
          <w:b/>
          <w:bCs/>
          <w:color w:val="auto"/>
          <w:sz w:val="24"/>
          <w:szCs w:val="36"/>
          <w:highlight w:val="none"/>
        </w:rPr>
      </w:pPr>
      <w:r>
        <w:rPr>
          <w:b/>
          <w:bCs/>
          <w:color w:val="auto"/>
          <w:sz w:val="24"/>
          <w:szCs w:val="44"/>
          <w:highlight w:val="none"/>
        </w:rPr>
        <w:fldChar w:fldCharType="end"/>
      </w:r>
    </w:p>
    <w:p>
      <w:pPr>
        <w:rPr>
          <w:color w:val="auto"/>
          <w:highlight w:val="none"/>
        </w:rPr>
      </w:pPr>
    </w:p>
    <w:p>
      <w:pPr>
        <w:pStyle w:val="3"/>
        <w:rPr>
          <w:rFonts w:hint="eastAsia" w:ascii="宋体" w:hAnsi="宋体" w:cs="宋体"/>
          <w:color w:val="auto"/>
          <w:highlight w:val="none"/>
        </w:rPr>
        <w:sectPr>
          <w:footerReference r:id="rId6" w:type="default"/>
          <w:pgSz w:w="11907" w:h="16840"/>
          <w:pgMar w:top="1440" w:right="1417" w:bottom="1440" w:left="1587" w:header="851" w:footer="992" w:gutter="0"/>
          <w:pgNumType w:start="1"/>
          <w:cols w:space="0" w:num="1"/>
          <w:docGrid w:linePitch="312" w:charSpace="0"/>
        </w:sectPr>
      </w:pPr>
      <w:bookmarkStart w:id="2" w:name="_Toc32161"/>
    </w:p>
    <w:p>
      <w:pPr>
        <w:pStyle w:val="3"/>
        <w:jc w:val="center"/>
        <w:rPr>
          <w:rFonts w:ascii="宋体" w:hAnsi="宋体" w:cs="宋体"/>
          <w:color w:val="auto"/>
          <w:highlight w:val="none"/>
        </w:rPr>
      </w:pPr>
      <w:bookmarkStart w:id="3" w:name="_Toc15168"/>
      <w:r>
        <w:rPr>
          <w:rFonts w:hint="eastAsia" w:ascii="宋体" w:hAnsi="宋体" w:cs="宋体"/>
          <w:color w:val="auto"/>
          <w:highlight w:val="none"/>
        </w:rPr>
        <w:t>第一章  投标邀请</w:t>
      </w:r>
      <w:bookmarkEnd w:id="0"/>
      <w:bookmarkEnd w:id="1"/>
      <w:bookmarkEnd w:id="2"/>
      <w:bookmarkEnd w:id="3"/>
    </w:p>
    <w:p>
      <w:pPr>
        <w:adjustRightInd w:val="0"/>
        <w:snapToGrid w:val="0"/>
        <w:spacing w:line="360" w:lineRule="auto"/>
        <w:ind w:firstLine="482" w:firstLineChars="200"/>
        <w:jc w:val="left"/>
        <w:rPr>
          <w:rFonts w:ascii="宋体" w:hAnsi="宋体" w:cs="宋体"/>
          <w:color w:val="auto"/>
          <w:sz w:val="24"/>
          <w:szCs w:val="28"/>
          <w:highlight w:val="none"/>
        </w:rPr>
      </w:pPr>
      <w:r>
        <w:rPr>
          <w:rFonts w:hint="eastAsia" w:ascii="宋体" w:hAnsi="宋体" w:cs="宋体"/>
          <w:b/>
          <w:bCs/>
          <w:color w:val="auto"/>
          <w:sz w:val="24"/>
          <w:highlight w:val="none"/>
          <w:u w:val="single"/>
          <w:lang w:eastAsia="zh-CN"/>
        </w:rPr>
        <w:t>四川新宇盛项目管理集团有限公司</w:t>
      </w:r>
      <w:r>
        <w:rPr>
          <w:rFonts w:hint="eastAsia" w:ascii="宋体" w:hAnsi="宋体" w:cs="宋体"/>
          <w:color w:val="auto"/>
          <w:sz w:val="24"/>
          <w:highlight w:val="none"/>
        </w:rPr>
        <w:t>（采购代理机构）受</w:t>
      </w:r>
      <w:r>
        <w:rPr>
          <w:rFonts w:hint="eastAsia" w:ascii="宋体" w:hAnsi="宋体" w:cs="宋体"/>
          <w:b/>
          <w:bCs/>
          <w:color w:val="auto"/>
          <w:sz w:val="24"/>
          <w:szCs w:val="28"/>
          <w:highlight w:val="none"/>
          <w:u w:val="single"/>
          <w:lang w:eastAsia="zh-CN"/>
        </w:rPr>
        <w:t>成都市新都区规划和自然资源局</w:t>
      </w:r>
      <w:r>
        <w:rPr>
          <w:rFonts w:hint="eastAsia" w:ascii="宋体" w:hAnsi="宋体" w:cs="宋体"/>
          <w:bCs/>
          <w:color w:val="auto"/>
          <w:sz w:val="24"/>
          <w:highlight w:val="none"/>
        </w:rPr>
        <w:t>（采购人）</w:t>
      </w:r>
      <w:r>
        <w:rPr>
          <w:rFonts w:hint="eastAsia" w:ascii="宋体" w:hAnsi="宋体" w:cs="宋体"/>
          <w:color w:val="auto"/>
          <w:sz w:val="24"/>
          <w:highlight w:val="none"/>
        </w:rPr>
        <w:t>委托，拟对</w:t>
      </w:r>
      <w:r>
        <w:rPr>
          <w:rFonts w:hint="eastAsia" w:ascii="宋体" w:hAnsi="宋体" w:cs="宋体"/>
          <w:b/>
          <w:bCs/>
          <w:color w:val="auto"/>
          <w:sz w:val="24"/>
          <w:highlight w:val="none"/>
          <w:u w:val="single"/>
          <w:lang w:eastAsia="zh-CN"/>
        </w:rPr>
        <w:t>成都市新都区规划和自然资源局不动产登记档案数字化加工处理服务项目</w:t>
      </w:r>
      <w:r>
        <w:rPr>
          <w:rFonts w:hint="eastAsia" w:ascii="宋体" w:hAnsi="宋体" w:cs="宋体"/>
          <w:color w:val="auto"/>
          <w:sz w:val="24"/>
          <w:highlight w:val="none"/>
        </w:rPr>
        <w:t>进行国内公开招标</w:t>
      </w:r>
      <w:r>
        <w:rPr>
          <w:rFonts w:hint="eastAsia" w:ascii="宋体" w:hAnsi="宋体" w:cs="宋体"/>
          <w:color w:val="auto"/>
          <w:sz w:val="24"/>
          <w:highlight w:val="none"/>
          <w:lang w:eastAsia="zh-CN"/>
        </w:rPr>
        <w:t>，</w:t>
      </w:r>
      <w:r>
        <w:rPr>
          <w:rFonts w:hint="eastAsia" w:ascii="宋体" w:hAnsi="宋体" w:cs="宋体"/>
          <w:color w:val="auto"/>
          <w:sz w:val="24"/>
          <w:szCs w:val="28"/>
          <w:highlight w:val="none"/>
        </w:rPr>
        <w:t>兹邀请符合本次招标要求的供应商参加</w:t>
      </w:r>
      <w:r>
        <w:rPr>
          <w:rFonts w:hint="eastAsia" w:ascii="宋体" w:hAnsi="宋体" w:cs="宋体"/>
          <w:color w:val="auto"/>
          <w:sz w:val="24"/>
          <w:highlight w:val="none"/>
        </w:rPr>
        <w:t>投标</w:t>
      </w:r>
      <w:r>
        <w:rPr>
          <w:rFonts w:hint="eastAsia" w:ascii="宋体" w:hAnsi="宋体" w:cs="宋体"/>
          <w:color w:val="auto"/>
          <w:sz w:val="24"/>
          <w:szCs w:val="28"/>
          <w:highlight w:val="none"/>
        </w:rPr>
        <w:t>。</w:t>
      </w:r>
    </w:p>
    <w:p>
      <w:pPr>
        <w:adjustRightInd w:val="0"/>
        <w:snapToGrid w:val="0"/>
        <w:spacing w:line="360" w:lineRule="auto"/>
        <w:ind w:firstLine="482" w:firstLineChars="200"/>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一、招标编号</w:t>
      </w:r>
      <w:r>
        <w:rPr>
          <w:rFonts w:hint="eastAsia" w:ascii="宋体" w:hAnsi="宋体" w:cs="宋体"/>
          <w:b/>
          <w:color w:val="auto"/>
          <w:sz w:val="24"/>
          <w:highlight w:val="none"/>
          <w:lang w:eastAsia="zh-CN"/>
        </w:rPr>
        <w:t>：510114202100432</w:t>
      </w:r>
    </w:p>
    <w:p>
      <w:pPr>
        <w:adjustRightInd w:val="0"/>
        <w:snapToGrid w:val="0"/>
        <w:spacing w:line="360" w:lineRule="auto"/>
        <w:ind w:firstLine="482" w:firstLineChars="200"/>
        <w:rPr>
          <w:rFonts w:hint="eastAsia" w:ascii="宋体" w:hAnsi="宋体" w:cs="宋体"/>
          <w:b/>
          <w:bCs/>
          <w:color w:val="auto"/>
          <w:sz w:val="24"/>
          <w:highlight w:val="none"/>
          <w:u w:val="none"/>
          <w:lang w:eastAsia="zh-CN"/>
        </w:rPr>
      </w:pPr>
      <w:r>
        <w:rPr>
          <w:rFonts w:hint="eastAsia" w:ascii="宋体" w:hAnsi="宋体" w:cs="宋体"/>
          <w:b/>
          <w:color w:val="auto"/>
          <w:sz w:val="24"/>
          <w:highlight w:val="none"/>
        </w:rPr>
        <w:t>二、招标项目：</w:t>
      </w:r>
      <w:r>
        <w:rPr>
          <w:rFonts w:hint="eastAsia" w:ascii="宋体" w:hAnsi="宋体" w:cs="宋体"/>
          <w:b/>
          <w:bCs/>
          <w:color w:val="auto"/>
          <w:sz w:val="24"/>
          <w:highlight w:val="none"/>
          <w:u w:val="none"/>
          <w:lang w:eastAsia="zh-CN"/>
        </w:rPr>
        <w:t>成都市新都区规划和自然资源局不动产登记档案数字化加工处理服务项目</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三、资金来源：</w:t>
      </w:r>
      <w:r>
        <w:rPr>
          <w:rFonts w:hint="eastAsia" w:ascii="宋体" w:hAnsi="宋体" w:cs="宋体"/>
          <w:b/>
          <w:color w:val="auto"/>
          <w:sz w:val="24"/>
          <w:highlight w:val="none"/>
          <w:lang w:val="en-US" w:eastAsia="zh-CN"/>
        </w:rPr>
        <w:t>财政资金，252万元/年。一招定三年，合同一年一签。</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四、招标项目简介：本项目共</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个包（详见招标文件第六章）。</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五、供应商参加本次政府采购活动，应当具备下列条件：</w:t>
      </w:r>
    </w:p>
    <w:p>
      <w:pPr>
        <w:adjustRightInd w:val="0"/>
        <w:snapToGrid w:val="0"/>
        <w:spacing w:line="360" w:lineRule="auto"/>
        <w:ind w:firstLine="482" w:firstLineChars="200"/>
        <w:rPr>
          <w:rFonts w:hint="eastAsia"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lang w:val="en-US" w:eastAsia="zh-CN"/>
        </w:rPr>
        <w:t>（一）符合《中华人民共和国政府采购法》第二十二条的相关规定：</w:t>
      </w:r>
    </w:p>
    <w:p>
      <w:pPr>
        <w:adjustRightInd w:val="0"/>
        <w:snapToGrid w:val="0"/>
        <w:spacing w:line="360" w:lineRule="auto"/>
        <w:ind w:firstLine="480" w:firstLineChars="200"/>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1、具有独立承担民事责任的能力。</w:t>
      </w:r>
    </w:p>
    <w:p>
      <w:pPr>
        <w:adjustRightInd w:val="0"/>
        <w:snapToGrid w:val="0"/>
        <w:spacing w:line="360" w:lineRule="auto"/>
        <w:ind w:firstLine="480" w:firstLineChars="200"/>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2、具有良好的商业信誉和健全的财务会计制度。</w:t>
      </w:r>
    </w:p>
    <w:p>
      <w:pPr>
        <w:adjustRightInd w:val="0"/>
        <w:snapToGrid w:val="0"/>
        <w:spacing w:line="360" w:lineRule="auto"/>
        <w:ind w:firstLine="480" w:firstLineChars="200"/>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3、具有履行合同所必须的设备和专业技术能力。</w:t>
      </w:r>
    </w:p>
    <w:p>
      <w:pPr>
        <w:adjustRightInd w:val="0"/>
        <w:snapToGrid w:val="0"/>
        <w:spacing w:line="360" w:lineRule="auto"/>
        <w:ind w:firstLine="480" w:firstLineChars="200"/>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4、具有依法缴纳税收和社会保障资金的良好记录。</w:t>
      </w:r>
    </w:p>
    <w:p>
      <w:pPr>
        <w:adjustRightInd w:val="0"/>
        <w:snapToGrid w:val="0"/>
        <w:spacing w:line="360" w:lineRule="auto"/>
        <w:ind w:firstLine="480" w:firstLineChars="200"/>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5、参加本次政府采购活动前三年内，在经营活动中没有重大违法记录。</w:t>
      </w:r>
    </w:p>
    <w:p>
      <w:pPr>
        <w:adjustRightInd w:val="0"/>
        <w:snapToGrid w:val="0"/>
        <w:spacing w:line="360" w:lineRule="auto"/>
        <w:ind w:firstLine="480" w:firstLineChars="200"/>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6、供应商还符合法律、行政法规规定的其他强制性条件。</w:t>
      </w:r>
    </w:p>
    <w:p>
      <w:pPr>
        <w:adjustRightInd w:val="0"/>
        <w:snapToGrid w:val="0"/>
        <w:spacing w:line="360" w:lineRule="auto"/>
        <w:ind w:firstLine="482" w:firstLineChars="200"/>
        <w:rPr>
          <w:rFonts w:hint="eastAsia"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lang w:val="en-US" w:eastAsia="zh-CN"/>
        </w:rPr>
        <w:t>（二）根据采购项目的特殊要求，供应商还应满足的其它特定条件：</w:t>
      </w:r>
    </w:p>
    <w:p>
      <w:pPr>
        <w:adjustRightInd w:val="0"/>
        <w:snapToGrid w:val="0"/>
        <w:spacing w:line="360" w:lineRule="auto"/>
        <w:ind w:firstLine="480" w:firstLineChars="200"/>
        <w:rPr>
          <w:rFonts w:hint="eastAsia"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1</w:t>
      </w:r>
      <w:r>
        <w:rPr>
          <w:rFonts w:hint="eastAsia" w:ascii="宋体" w:hAnsi="宋体" w:eastAsia="宋体" w:cs="宋体"/>
          <w:bCs/>
          <w:color w:val="auto"/>
          <w:sz w:val="24"/>
          <w:highlight w:val="none"/>
          <w:lang w:val="en-US" w:eastAsia="zh-CN"/>
        </w:rPr>
        <w:t>、本项目参加政府采购活动的供应商在前三年内不得具有行贿犯罪记录。</w:t>
      </w:r>
    </w:p>
    <w:p>
      <w:pPr>
        <w:adjustRightInd w:val="0"/>
        <w:snapToGrid w:val="0"/>
        <w:spacing w:line="360" w:lineRule="auto"/>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2、本项目专门面向中小企业进行采购。</w:t>
      </w:r>
    </w:p>
    <w:p>
      <w:pPr>
        <w:pStyle w:val="34"/>
        <w:spacing w:line="360" w:lineRule="auto"/>
        <w:ind w:firstLine="480" w:firstLineChars="200"/>
        <w:rPr>
          <w:rFonts w:hint="default"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3、根据采购项目的特殊要求：无。</w:t>
      </w:r>
    </w:p>
    <w:p>
      <w:pPr>
        <w:adjustRightInd w:val="0"/>
        <w:snapToGrid w:val="0"/>
        <w:spacing w:line="360" w:lineRule="auto"/>
        <w:ind w:firstLine="480" w:firstLineChars="200"/>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注：根据《财政部关于在政府采购活动中查询及使用信用记录的通知》（财库〔2016〕125号）的要求，截止至投标截止时间前一个工作日，采购代理机构将通过“信用中国”网站（w</w:t>
      </w:r>
      <w:r>
        <w:rPr>
          <w:rFonts w:hint="eastAsia" w:ascii="宋体" w:hAnsi="宋体" w:cs="宋体"/>
          <w:bCs/>
          <w:color w:val="auto"/>
          <w:sz w:val="24"/>
          <w:highlight w:val="none"/>
        </w:rPr>
        <w:t>ww.creditchina.gov.cn）、“中国政府采购网”网站（www.ccgp.gov.cn）等渠道查询供应商的信用记录并保存信用记录结果网页截图，拒绝列入失信被执行人、重大税收违法案件当事人名单、政府采购严重违法失信行为记录名单中的供应商参加本项目的政府采购活动</w:t>
      </w:r>
      <w:r>
        <w:rPr>
          <w:rFonts w:hint="eastAsia" w:ascii="宋体" w:hAnsi="宋体" w:cs="宋体"/>
          <w:bCs/>
          <w:color w:val="auto"/>
          <w:sz w:val="24"/>
          <w:highlight w:val="none"/>
          <w:lang w:eastAsia="zh-CN"/>
        </w:rPr>
        <w:t>。</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六、招标文件获取（即报名时间）时间、方式：</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招标文件获取时间：2021年</w:t>
      </w:r>
      <w:r>
        <w:rPr>
          <w:rFonts w:hint="eastAsia" w:ascii="宋体" w:hAnsi="宋体" w:cs="宋体"/>
          <w:bCs/>
          <w:color w:val="auto"/>
          <w:sz w:val="24"/>
          <w:highlight w:val="none"/>
          <w:lang w:val="en-US" w:eastAsia="zh-CN"/>
        </w:rPr>
        <w:t>11</w:t>
      </w:r>
      <w:r>
        <w:rPr>
          <w:rFonts w:hint="eastAsia" w:ascii="宋体" w:hAnsi="宋体" w:cs="宋体"/>
          <w:bCs/>
          <w:color w:val="auto"/>
          <w:sz w:val="24"/>
          <w:highlight w:val="none"/>
        </w:rPr>
        <w:t>月</w:t>
      </w:r>
      <w:r>
        <w:rPr>
          <w:rFonts w:hint="eastAsia" w:ascii="宋体" w:hAnsi="宋体" w:cs="宋体"/>
          <w:bCs/>
          <w:color w:val="auto"/>
          <w:sz w:val="24"/>
          <w:highlight w:val="none"/>
          <w:lang w:val="en-US" w:eastAsia="zh-CN"/>
        </w:rPr>
        <w:t>29</w:t>
      </w:r>
      <w:r>
        <w:rPr>
          <w:rFonts w:hint="eastAsia" w:ascii="宋体" w:hAnsi="宋体" w:cs="宋体"/>
          <w:bCs/>
          <w:color w:val="auto"/>
          <w:sz w:val="24"/>
          <w:highlight w:val="none"/>
        </w:rPr>
        <w:t>日至2021年</w:t>
      </w:r>
      <w:r>
        <w:rPr>
          <w:rFonts w:hint="eastAsia" w:ascii="宋体" w:hAnsi="宋体" w:cs="宋体"/>
          <w:bCs/>
          <w:color w:val="auto"/>
          <w:sz w:val="24"/>
          <w:highlight w:val="none"/>
          <w:lang w:val="en-US" w:eastAsia="zh-CN"/>
        </w:rPr>
        <w:t>12</w:t>
      </w:r>
      <w:r>
        <w:rPr>
          <w:rFonts w:hint="eastAsia" w:ascii="宋体" w:hAnsi="宋体" w:cs="宋体"/>
          <w:bCs/>
          <w:color w:val="auto"/>
          <w:sz w:val="24"/>
          <w:highlight w:val="none"/>
        </w:rPr>
        <w:t>月</w:t>
      </w:r>
      <w:r>
        <w:rPr>
          <w:rFonts w:hint="eastAsia" w:ascii="宋体" w:hAnsi="宋体" w:cs="宋体"/>
          <w:bCs/>
          <w:color w:val="auto"/>
          <w:sz w:val="24"/>
          <w:highlight w:val="none"/>
          <w:lang w:val="en-US" w:eastAsia="zh-CN"/>
        </w:rPr>
        <w:t>03</w:t>
      </w:r>
      <w:r>
        <w:rPr>
          <w:rFonts w:hint="eastAsia" w:ascii="宋体" w:hAnsi="宋体" w:cs="宋体"/>
          <w:bCs/>
          <w:color w:val="auto"/>
          <w:sz w:val="24"/>
          <w:highlight w:val="none"/>
        </w:rPr>
        <w:t>日每天上午9:00-12:00，下午14:00-17:00（北京时间，节假日除外）。</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招标文件获取地点：政府采购云平台（https://www.zcygov.cn/）。</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招标文件获取方式：凡有意参加本项目者，在本项目招标文件获取时间期限内，登录政府采购云平台（https://www.zcygov.cn/）获取，操作步骤：登录政府采购云平台—我的工作台—项目采购—获取采购文件—申请获取采购文件</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提示：（1）本项目招标文件免费获取。（2）投标人只有在“政府采购云平台”完成获取招标文件申请并下载招标文件后才视作依法参与本项目。如未在“政府采购云平台”内完成相关流程，引起的投标无效责任自负。</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本项目为电子招标投标项目，投标人参与本项目全过程中凡涉及系统操作请详见《供应商政府采购项目电子交易操作指南》。（操作指南以政府采购云平台网站发布为准，获取方式详见：附件三-政府采购云平台使用介绍）</w:t>
      </w:r>
    </w:p>
    <w:p>
      <w:pPr>
        <w:pStyle w:val="8"/>
        <w:adjustRightInd w:val="0"/>
        <w:snapToGrid w:val="0"/>
        <w:spacing w:after="0" w:line="360" w:lineRule="auto"/>
        <w:ind w:firstLine="482" w:firstLineChars="200"/>
        <w:rPr>
          <w:rFonts w:ascii="宋体" w:hAnsi="宋体" w:cs="宋体"/>
          <w:bCs/>
          <w:color w:val="auto"/>
          <w:sz w:val="24"/>
          <w:highlight w:val="none"/>
        </w:rPr>
      </w:pPr>
      <w:r>
        <w:rPr>
          <w:rFonts w:hint="eastAsia" w:ascii="宋体" w:hAnsi="宋体" w:cs="宋体"/>
          <w:b/>
          <w:color w:val="auto"/>
          <w:sz w:val="24"/>
          <w:highlight w:val="none"/>
        </w:rPr>
        <w:t>4、招标（采购）文件售价：</w:t>
      </w:r>
      <w:r>
        <w:rPr>
          <w:rFonts w:hint="eastAsia" w:ascii="宋体" w:hAnsi="宋体" w:cs="宋体"/>
          <w:bCs/>
          <w:color w:val="auto"/>
          <w:sz w:val="24"/>
          <w:highlight w:val="none"/>
        </w:rPr>
        <w:t>人民币</w:t>
      </w:r>
      <w:r>
        <w:rPr>
          <w:rFonts w:hint="eastAsia" w:ascii="宋体" w:hAnsi="宋体" w:cs="宋体"/>
          <w:bCs/>
          <w:color w:val="auto"/>
          <w:sz w:val="24"/>
          <w:highlight w:val="none"/>
          <w:lang w:val="en-US" w:eastAsia="zh-CN"/>
        </w:rPr>
        <w:t>0</w:t>
      </w:r>
      <w:r>
        <w:rPr>
          <w:rFonts w:hint="eastAsia" w:ascii="宋体" w:hAnsi="宋体" w:cs="宋体"/>
          <w:bCs/>
          <w:color w:val="auto"/>
          <w:sz w:val="24"/>
          <w:highlight w:val="none"/>
        </w:rPr>
        <w:t>元/份（投标资格不得转让）。</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七、投标截止时间：2021年</w:t>
      </w:r>
      <w:r>
        <w:rPr>
          <w:rFonts w:hint="eastAsia" w:ascii="宋体" w:hAnsi="宋体" w:cs="宋体"/>
          <w:b/>
          <w:color w:val="auto"/>
          <w:sz w:val="24"/>
          <w:highlight w:val="none"/>
          <w:lang w:val="en-US" w:eastAsia="zh-CN"/>
        </w:rPr>
        <w:t>12</w:t>
      </w:r>
      <w:r>
        <w:rPr>
          <w:rFonts w:hint="eastAsia" w:ascii="宋体" w:hAnsi="宋体" w:cs="宋体"/>
          <w:b/>
          <w:color w:val="auto"/>
          <w:sz w:val="24"/>
          <w:highlight w:val="none"/>
        </w:rPr>
        <w:t>月</w:t>
      </w:r>
      <w:r>
        <w:rPr>
          <w:rFonts w:hint="eastAsia" w:ascii="宋体" w:hAnsi="宋体" w:cs="宋体"/>
          <w:b/>
          <w:color w:val="auto"/>
          <w:sz w:val="24"/>
          <w:highlight w:val="none"/>
          <w:lang w:val="en-US" w:eastAsia="zh-CN"/>
        </w:rPr>
        <w:t>21</w:t>
      </w:r>
      <w:r>
        <w:rPr>
          <w:rFonts w:hint="eastAsia" w:ascii="宋体" w:hAnsi="宋体" w:cs="宋体"/>
          <w:b/>
          <w:color w:val="auto"/>
          <w:sz w:val="24"/>
          <w:highlight w:val="none"/>
        </w:rPr>
        <w:t>日</w:t>
      </w:r>
      <w:r>
        <w:rPr>
          <w:rFonts w:hint="eastAsia" w:ascii="宋体" w:hAnsi="宋体" w:cs="宋体"/>
          <w:color w:val="auto"/>
          <w:sz w:val="24"/>
          <w:szCs w:val="28"/>
          <w:highlight w:val="none"/>
        </w:rPr>
        <w:t>1</w:t>
      </w:r>
      <w:r>
        <w:rPr>
          <w:rFonts w:hint="eastAsia" w:ascii="宋体" w:hAnsi="宋体" w:cs="宋体"/>
          <w:color w:val="auto"/>
          <w:sz w:val="24"/>
          <w:szCs w:val="28"/>
          <w:highlight w:val="none"/>
          <w:lang w:val="en-US" w:eastAsia="zh-CN"/>
        </w:rPr>
        <w:t>1</w:t>
      </w:r>
      <w:r>
        <w:rPr>
          <w:rFonts w:hint="eastAsia" w:ascii="宋体" w:hAnsi="宋体" w:cs="宋体"/>
          <w:color w:val="auto"/>
          <w:sz w:val="24"/>
          <w:szCs w:val="28"/>
          <w:highlight w:val="none"/>
        </w:rPr>
        <w:t>:</w:t>
      </w:r>
      <w:r>
        <w:rPr>
          <w:rFonts w:hint="eastAsia" w:ascii="宋体" w:hAnsi="宋体" w:cs="宋体"/>
          <w:color w:val="auto"/>
          <w:sz w:val="24"/>
          <w:szCs w:val="28"/>
          <w:highlight w:val="none"/>
          <w:lang w:val="en-US" w:eastAsia="zh-CN"/>
        </w:rPr>
        <w:t>0</w:t>
      </w:r>
      <w:r>
        <w:rPr>
          <w:rFonts w:hint="eastAsia" w:ascii="宋体" w:hAnsi="宋体" w:cs="宋体"/>
          <w:color w:val="auto"/>
          <w:sz w:val="24"/>
          <w:szCs w:val="28"/>
          <w:highlight w:val="none"/>
        </w:rPr>
        <w:t>0</w:t>
      </w:r>
      <w:r>
        <w:rPr>
          <w:rFonts w:hint="eastAsia" w:ascii="宋体" w:hAnsi="宋体" w:cs="宋体"/>
          <w:b/>
          <w:color w:val="auto"/>
          <w:sz w:val="24"/>
          <w:highlight w:val="none"/>
        </w:rPr>
        <w:t>（北京时间）</w:t>
      </w:r>
    </w:p>
    <w:p>
      <w:pPr>
        <w:adjustRightInd w:val="0"/>
        <w:snapToGrid w:val="0"/>
        <w:spacing w:line="360" w:lineRule="auto"/>
        <w:ind w:firstLine="482" w:firstLineChars="200"/>
        <w:rPr>
          <w:rFonts w:ascii="宋体" w:hAnsi="宋体" w:cs="宋体"/>
          <w:color w:val="auto"/>
          <w:sz w:val="24"/>
          <w:szCs w:val="28"/>
          <w:highlight w:val="none"/>
        </w:rPr>
      </w:pPr>
      <w:r>
        <w:rPr>
          <w:rFonts w:hint="eastAsia" w:ascii="宋体" w:hAnsi="宋体" w:cs="宋体"/>
          <w:b/>
          <w:color w:val="auto"/>
          <w:sz w:val="24"/>
          <w:highlight w:val="none"/>
        </w:rPr>
        <w:t>开标时间：</w:t>
      </w:r>
      <w:r>
        <w:rPr>
          <w:rFonts w:hint="eastAsia" w:ascii="宋体" w:hAnsi="宋体" w:cs="宋体"/>
          <w:bCs/>
          <w:color w:val="auto"/>
          <w:sz w:val="24"/>
          <w:highlight w:val="none"/>
        </w:rPr>
        <w:t>2021</w:t>
      </w:r>
      <w:r>
        <w:rPr>
          <w:rFonts w:hint="eastAsia" w:ascii="宋体" w:hAnsi="宋体" w:cs="宋体"/>
          <w:color w:val="auto"/>
          <w:sz w:val="24"/>
          <w:szCs w:val="28"/>
          <w:highlight w:val="none"/>
        </w:rPr>
        <w:t>年</w:t>
      </w:r>
      <w:r>
        <w:rPr>
          <w:rFonts w:hint="eastAsia" w:ascii="宋体" w:hAnsi="宋体" w:cs="宋体"/>
          <w:color w:val="auto"/>
          <w:sz w:val="24"/>
          <w:szCs w:val="28"/>
          <w:highlight w:val="none"/>
          <w:lang w:val="en-US" w:eastAsia="zh-CN"/>
        </w:rPr>
        <w:t>12</w:t>
      </w:r>
      <w:r>
        <w:rPr>
          <w:rFonts w:hint="eastAsia" w:ascii="宋体" w:hAnsi="宋体" w:cs="宋体"/>
          <w:color w:val="auto"/>
          <w:sz w:val="24"/>
          <w:szCs w:val="28"/>
          <w:highlight w:val="none"/>
        </w:rPr>
        <w:t>月</w:t>
      </w:r>
      <w:r>
        <w:rPr>
          <w:rFonts w:hint="eastAsia" w:ascii="宋体" w:hAnsi="宋体" w:cs="宋体"/>
          <w:color w:val="auto"/>
          <w:sz w:val="24"/>
          <w:szCs w:val="28"/>
          <w:highlight w:val="none"/>
          <w:lang w:val="en-US" w:eastAsia="zh-CN"/>
        </w:rPr>
        <w:t>21</w:t>
      </w:r>
      <w:bookmarkStart w:id="386" w:name="_GoBack"/>
      <w:bookmarkEnd w:id="386"/>
      <w:r>
        <w:rPr>
          <w:rFonts w:hint="eastAsia" w:ascii="宋体" w:hAnsi="宋体" w:cs="宋体"/>
          <w:color w:val="auto"/>
          <w:sz w:val="24"/>
          <w:szCs w:val="28"/>
          <w:highlight w:val="none"/>
        </w:rPr>
        <w:t>日1</w:t>
      </w:r>
      <w:r>
        <w:rPr>
          <w:rFonts w:hint="eastAsia" w:ascii="宋体" w:hAnsi="宋体" w:cs="宋体"/>
          <w:color w:val="auto"/>
          <w:sz w:val="24"/>
          <w:szCs w:val="28"/>
          <w:highlight w:val="none"/>
          <w:lang w:val="en-US" w:eastAsia="zh-CN"/>
        </w:rPr>
        <w:t>1</w:t>
      </w:r>
      <w:r>
        <w:rPr>
          <w:rFonts w:hint="eastAsia" w:ascii="宋体" w:hAnsi="宋体" w:cs="宋体"/>
          <w:color w:val="auto"/>
          <w:sz w:val="24"/>
          <w:szCs w:val="28"/>
          <w:highlight w:val="none"/>
        </w:rPr>
        <w:t>:</w:t>
      </w:r>
      <w:r>
        <w:rPr>
          <w:rFonts w:hint="eastAsia" w:ascii="宋体" w:hAnsi="宋体" w:cs="宋体"/>
          <w:color w:val="auto"/>
          <w:sz w:val="24"/>
          <w:szCs w:val="28"/>
          <w:highlight w:val="none"/>
          <w:lang w:val="en-US" w:eastAsia="zh-CN"/>
        </w:rPr>
        <w:t>0</w:t>
      </w:r>
      <w:r>
        <w:rPr>
          <w:rFonts w:hint="eastAsia" w:ascii="宋体" w:hAnsi="宋体" w:cs="宋体"/>
          <w:color w:val="auto"/>
          <w:sz w:val="24"/>
          <w:szCs w:val="28"/>
          <w:highlight w:val="none"/>
        </w:rPr>
        <w:t>0（北京时间）</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投标截止时间前，投标人应将加密的电子投标文件递交至“政府采购云平台”对应项目（包件）。</w:t>
      </w:r>
    </w:p>
    <w:p>
      <w:pPr>
        <w:adjustRightInd w:val="0"/>
        <w:snapToGrid w:val="0"/>
        <w:spacing w:line="360" w:lineRule="auto"/>
        <w:ind w:firstLine="482" w:firstLineChars="200"/>
        <w:rPr>
          <w:rFonts w:hint="eastAsia" w:asciiTheme="minorEastAsia" w:hAnsiTheme="minorEastAsia" w:eastAsiaTheme="minorEastAsia" w:cstheme="minorEastAsia"/>
          <w:bCs/>
          <w:color w:val="auto"/>
          <w:sz w:val="24"/>
          <w:szCs w:val="24"/>
          <w:highlight w:val="none"/>
          <w:u w:val="single"/>
        </w:rPr>
      </w:pPr>
      <w:r>
        <w:rPr>
          <w:rFonts w:hint="eastAsia" w:ascii="宋体" w:hAnsi="宋体" w:cs="宋体"/>
          <w:b/>
          <w:color w:val="auto"/>
          <w:sz w:val="24"/>
          <w:highlight w:val="none"/>
        </w:rPr>
        <w:t>八、开标地点：</w:t>
      </w:r>
      <w:r>
        <w:rPr>
          <w:rFonts w:hint="eastAsia" w:ascii="宋体" w:hAnsi="宋体" w:cs="宋体"/>
          <w:bCs/>
          <w:color w:val="auto"/>
          <w:sz w:val="24"/>
          <w:highlight w:val="none"/>
          <w:u w:val="single"/>
          <w:lang w:eastAsia="zh-CN"/>
        </w:rPr>
        <w:t>（1）本项目为不见面开标项目；（2）开标地点：政府采购云平台(https://www.zcygov.cn)；（3）本项目只接受投标人加密并递交至“政府采购云平台”的投标文件。（4）本项目如有现场陈述环节，请供应商接到我公司电话通知后</w:t>
      </w:r>
      <w:r>
        <w:rPr>
          <w:rFonts w:hint="eastAsia" w:asciiTheme="minorEastAsia" w:hAnsiTheme="minorEastAsia" w:eastAsiaTheme="minorEastAsia" w:cstheme="minorEastAsia"/>
          <w:bCs/>
          <w:color w:val="auto"/>
          <w:sz w:val="24"/>
          <w:szCs w:val="24"/>
          <w:highlight w:val="none"/>
          <w:u w:val="single"/>
          <w:lang w:eastAsia="zh-CN"/>
        </w:rPr>
        <w:t>自行组织人员到开标现场。</w:t>
      </w:r>
    </w:p>
    <w:p>
      <w:pPr>
        <w:adjustRightInd w:val="0"/>
        <w:snapToGrid w:val="0"/>
        <w:spacing w:line="360" w:lineRule="auto"/>
        <w:ind w:firstLine="482"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九、</w:t>
      </w:r>
      <w:r>
        <w:rPr>
          <w:rFonts w:hint="eastAsia" w:asciiTheme="minorEastAsia" w:hAnsiTheme="minorEastAsia" w:eastAsiaTheme="minorEastAsia" w:cstheme="minorEastAsia"/>
          <w:bCs/>
          <w:color w:val="auto"/>
          <w:sz w:val="24"/>
          <w:szCs w:val="24"/>
          <w:highlight w:val="none"/>
        </w:rPr>
        <w:t>本投标邀请在四川政府采购网上以公告形式发布。</w:t>
      </w:r>
    </w:p>
    <w:p>
      <w:pPr>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十、联系方式</w:t>
      </w:r>
    </w:p>
    <w:p>
      <w:pPr>
        <w:pStyle w:val="38"/>
        <w:adjustRightInd w:val="0"/>
        <w:snapToGrid w:val="0"/>
        <w:ind w:firstLine="48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采购人</w:t>
      </w:r>
      <w:r>
        <w:rPr>
          <w:rFonts w:hint="eastAsia" w:asciiTheme="minorEastAsia" w:hAnsiTheme="minorEastAsia" w:eastAsiaTheme="minorEastAsia" w:cstheme="minorEastAsia"/>
          <w:b/>
          <w:color w:val="auto"/>
          <w:sz w:val="24"/>
          <w:szCs w:val="24"/>
          <w:highlight w:val="none"/>
          <w:lang w:eastAsia="zh-CN"/>
        </w:rPr>
        <w:t>：成都市新都区规划和自然资源局；</w:t>
      </w:r>
    </w:p>
    <w:p>
      <w:pPr>
        <w:pStyle w:val="38"/>
        <w:adjustRightInd w:val="0"/>
        <w:snapToGrid w:val="0"/>
        <w:ind w:firstLine="480"/>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rPr>
        <w:t>地址</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新都区蓉都大道北一段199号</w:t>
      </w:r>
      <w:r>
        <w:rPr>
          <w:rFonts w:hint="eastAsia" w:asciiTheme="minorEastAsia" w:hAnsiTheme="minorEastAsia" w:eastAsiaTheme="minorEastAsia" w:cstheme="minorEastAsia"/>
          <w:bCs/>
          <w:color w:val="auto"/>
          <w:sz w:val="24"/>
          <w:szCs w:val="24"/>
          <w:highlight w:val="none"/>
          <w:lang w:eastAsia="zh-CN"/>
        </w:rPr>
        <w:t>；</w:t>
      </w:r>
    </w:p>
    <w:p>
      <w:pPr>
        <w:pStyle w:val="38"/>
        <w:adjustRightInd w:val="0"/>
        <w:snapToGrid w:val="0"/>
        <w:ind w:firstLine="480"/>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rPr>
        <w:t>联系人</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罗老师</w:t>
      </w:r>
      <w:r>
        <w:rPr>
          <w:rFonts w:hint="eastAsia" w:asciiTheme="minorEastAsia" w:hAnsiTheme="minorEastAsia" w:eastAsiaTheme="minorEastAsia" w:cstheme="minorEastAsia"/>
          <w:bCs/>
          <w:color w:val="auto"/>
          <w:sz w:val="24"/>
          <w:szCs w:val="24"/>
          <w:highlight w:val="none"/>
          <w:lang w:eastAsia="zh-CN"/>
        </w:rPr>
        <w:t>；</w:t>
      </w:r>
    </w:p>
    <w:p>
      <w:pPr>
        <w:pStyle w:val="38"/>
        <w:adjustRightInd w:val="0"/>
        <w:snapToGrid w:val="0"/>
        <w:ind w:firstLine="48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联系电话</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028-83974225</w:t>
      </w:r>
      <w:r>
        <w:rPr>
          <w:rFonts w:hint="eastAsia" w:asciiTheme="minorEastAsia" w:hAnsiTheme="minorEastAsia" w:eastAsiaTheme="minorEastAsia" w:cstheme="minorEastAsia"/>
          <w:bCs/>
          <w:color w:val="auto"/>
          <w:sz w:val="24"/>
          <w:szCs w:val="24"/>
          <w:highlight w:val="none"/>
        </w:rPr>
        <w:t>。</w:t>
      </w:r>
    </w:p>
    <w:p>
      <w:pPr>
        <w:adjustRightInd w:val="0"/>
        <w:snapToGrid w:val="0"/>
        <w:spacing w:line="360" w:lineRule="auto"/>
        <w:ind w:firstLine="482" w:firstLineChars="200"/>
        <w:rPr>
          <w:rFonts w:hint="eastAsia" w:asciiTheme="minorEastAsia" w:hAnsiTheme="minorEastAsia" w:eastAsiaTheme="minorEastAsia" w:cstheme="minorEastAsia"/>
          <w:b/>
          <w:bCs w:val="0"/>
          <w:color w:val="auto"/>
          <w:sz w:val="24"/>
          <w:szCs w:val="24"/>
          <w:highlight w:val="none"/>
          <w:lang w:eastAsia="zh-CN"/>
        </w:rPr>
      </w:pPr>
      <w:r>
        <w:rPr>
          <w:rFonts w:hint="eastAsia" w:asciiTheme="minorEastAsia" w:hAnsiTheme="minorEastAsia" w:eastAsiaTheme="minorEastAsia" w:cstheme="minorEastAsia"/>
          <w:b/>
          <w:bCs w:val="0"/>
          <w:color w:val="auto"/>
          <w:sz w:val="24"/>
          <w:szCs w:val="24"/>
          <w:highlight w:val="none"/>
        </w:rPr>
        <w:t>采购代理机构：</w:t>
      </w:r>
      <w:r>
        <w:rPr>
          <w:rFonts w:hint="eastAsia" w:asciiTheme="minorEastAsia" w:hAnsiTheme="minorEastAsia" w:eastAsiaTheme="minorEastAsia" w:cstheme="minorEastAsia"/>
          <w:b/>
          <w:bCs w:val="0"/>
          <w:color w:val="auto"/>
          <w:sz w:val="24"/>
          <w:szCs w:val="24"/>
          <w:highlight w:val="none"/>
          <w:lang w:eastAsia="zh-CN"/>
        </w:rPr>
        <w:t>四川新宇盛项目管理集团有限公司；</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地址</w:t>
      </w:r>
      <w:r>
        <w:rPr>
          <w:rFonts w:hint="eastAsia" w:asciiTheme="minorEastAsia" w:hAnsiTheme="minorEastAsia" w:eastAsiaTheme="minorEastAsia" w:cstheme="minorEastAsia"/>
          <w:bCs/>
          <w:color w:val="auto"/>
          <w:sz w:val="24"/>
          <w:szCs w:val="24"/>
          <w:highlight w:val="none"/>
          <w:lang w:eastAsia="zh-CN"/>
        </w:rPr>
        <w:t>：四川省成都市锦江区三色路银海芯座A栋1单元14层03号；</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rPr>
        <w:t>联系人：殷先生</w:t>
      </w:r>
      <w:r>
        <w:rPr>
          <w:rFonts w:hint="eastAsia" w:asciiTheme="minorEastAsia" w:hAnsiTheme="minorEastAsia" w:eastAsiaTheme="minorEastAsia" w:cstheme="minorEastAsia"/>
          <w:bCs/>
          <w:color w:val="auto"/>
          <w:sz w:val="24"/>
          <w:szCs w:val="24"/>
          <w:highlight w:val="none"/>
          <w:lang w:eastAsia="zh-CN"/>
        </w:rPr>
        <w:t>；</w:t>
      </w:r>
    </w:p>
    <w:p>
      <w:pPr>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rPr>
        <w:t>联系电话：</w:t>
      </w:r>
      <w:r>
        <w:rPr>
          <w:rFonts w:hint="eastAsia" w:asciiTheme="minorEastAsia" w:hAnsiTheme="minorEastAsia" w:eastAsiaTheme="minorEastAsia" w:cstheme="minorEastAsia"/>
          <w:bCs/>
          <w:color w:val="auto"/>
          <w:sz w:val="24"/>
          <w:szCs w:val="24"/>
          <w:highlight w:val="none"/>
          <w:lang w:val="en-US" w:eastAsia="zh-CN"/>
        </w:rPr>
        <w:t>028-86095158。</w:t>
      </w:r>
    </w:p>
    <w:p>
      <w:pPr>
        <w:pStyle w:val="3"/>
        <w:rPr>
          <w:rFonts w:ascii="宋体" w:hAnsi="宋体" w:cs="宋体"/>
          <w:color w:val="auto"/>
          <w:highlight w:val="none"/>
        </w:rPr>
      </w:pPr>
      <w:bookmarkStart w:id="4" w:name="_Toc21261"/>
      <w:bookmarkStart w:id="5" w:name="_Toc27844"/>
      <w:bookmarkStart w:id="6" w:name="_Toc14316"/>
      <w:bookmarkStart w:id="7" w:name="_Toc503862753"/>
      <w:bookmarkStart w:id="8" w:name="_Toc213396759"/>
      <w:bookmarkStart w:id="9" w:name="_Toc213397009"/>
      <w:bookmarkStart w:id="10" w:name="_Toc217446031"/>
      <w:bookmarkStart w:id="11" w:name="_Toc213496267"/>
      <w:bookmarkStart w:id="12" w:name="_Toc213396945"/>
      <w:r>
        <w:rPr>
          <w:rFonts w:hint="eastAsia" w:ascii="宋体" w:hAnsi="宋体" w:cs="宋体"/>
          <w:color w:val="auto"/>
          <w:highlight w:val="none"/>
        </w:rPr>
        <w:t>第二章  投标人须知</w:t>
      </w:r>
      <w:bookmarkEnd w:id="4"/>
      <w:bookmarkEnd w:id="5"/>
      <w:bookmarkEnd w:id="6"/>
      <w:bookmarkEnd w:id="7"/>
    </w:p>
    <w:p>
      <w:pPr>
        <w:tabs>
          <w:tab w:val="left" w:pos="5142"/>
        </w:tabs>
        <w:jc w:val="center"/>
        <w:outlineLvl w:val="1"/>
        <w:rPr>
          <w:rFonts w:ascii="宋体" w:hAnsi="宋体" w:cs="宋体"/>
          <w:b/>
          <w:color w:val="auto"/>
          <w:sz w:val="30"/>
          <w:szCs w:val="30"/>
          <w:highlight w:val="none"/>
        </w:rPr>
      </w:pPr>
      <w:bookmarkStart w:id="13" w:name="_Toc503862754"/>
      <w:r>
        <w:rPr>
          <w:rFonts w:hint="eastAsia" w:ascii="宋体" w:hAnsi="宋体" w:cs="宋体"/>
          <w:b/>
          <w:color w:val="auto"/>
          <w:sz w:val="30"/>
          <w:szCs w:val="30"/>
          <w:highlight w:val="none"/>
        </w:rPr>
        <w:t>一、投标人须知附表</w:t>
      </w:r>
      <w:bookmarkEnd w:id="13"/>
    </w:p>
    <w:bookmarkEnd w:id="8"/>
    <w:bookmarkEnd w:id="9"/>
    <w:bookmarkEnd w:id="10"/>
    <w:bookmarkEnd w:id="11"/>
    <w:bookmarkEnd w:id="12"/>
    <w:tbl>
      <w:tblPr>
        <w:tblStyle w:val="21"/>
        <w:tblW w:w="96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91"/>
        <w:gridCol w:w="2085"/>
        <w:gridCol w:w="683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tblHeader/>
          <w:jc w:val="center"/>
        </w:trPr>
        <w:tc>
          <w:tcPr>
            <w:tcW w:w="691" w:type="dxa"/>
            <w:vAlign w:val="center"/>
          </w:tcPr>
          <w:p>
            <w:pPr>
              <w:jc w:val="center"/>
              <w:rPr>
                <w:rFonts w:ascii="宋体" w:hAnsi="宋体" w:cs="宋体"/>
                <w:b/>
                <w:bCs/>
                <w:color w:val="auto"/>
                <w:highlight w:val="none"/>
              </w:rPr>
            </w:pPr>
            <w:r>
              <w:rPr>
                <w:rFonts w:hint="eastAsia" w:ascii="宋体" w:hAnsi="宋体" w:cs="宋体"/>
                <w:b/>
                <w:bCs/>
                <w:color w:val="auto"/>
                <w:highlight w:val="none"/>
              </w:rPr>
              <w:t>序号</w:t>
            </w:r>
          </w:p>
        </w:tc>
        <w:tc>
          <w:tcPr>
            <w:tcW w:w="2085" w:type="dxa"/>
            <w:vAlign w:val="center"/>
          </w:tcPr>
          <w:p>
            <w:pPr>
              <w:jc w:val="center"/>
              <w:rPr>
                <w:rFonts w:ascii="宋体" w:hAnsi="宋体" w:cs="宋体"/>
                <w:b/>
                <w:bCs/>
                <w:color w:val="auto"/>
                <w:highlight w:val="none"/>
              </w:rPr>
            </w:pPr>
            <w:r>
              <w:rPr>
                <w:rFonts w:hint="eastAsia" w:ascii="宋体" w:hAnsi="宋体" w:cs="宋体"/>
                <w:b/>
                <w:bCs/>
                <w:color w:val="auto"/>
                <w:highlight w:val="none"/>
              </w:rPr>
              <w:t>条款名称</w:t>
            </w:r>
          </w:p>
        </w:tc>
        <w:tc>
          <w:tcPr>
            <w:tcW w:w="6830" w:type="dxa"/>
            <w:vAlign w:val="center"/>
          </w:tcPr>
          <w:p>
            <w:pPr>
              <w:jc w:val="center"/>
              <w:rPr>
                <w:rFonts w:ascii="宋体" w:hAnsi="宋体" w:cs="宋体"/>
                <w:b/>
                <w:bCs/>
                <w:color w:val="auto"/>
                <w:highlight w:val="none"/>
              </w:rPr>
            </w:pPr>
            <w:r>
              <w:rPr>
                <w:rFonts w:hint="eastAsia" w:ascii="宋体" w:hAnsi="宋体" w:cs="宋体"/>
                <w:b/>
                <w:bCs/>
                <w:color w:val="auto"/>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91" w:type="dxa"/>
            <w:vMerge w:val="restart"/>
            <w:vAlign w:val="center"/>
          </w:tcPr>
          <w:p>
            <w:pPr>
              <w:jc w:val="center"/>
              <w:rPr>
                <w:rFonts w:ascii="宋体" w:hAnsi="宋体" w:cs="宋体"/>
                <w:b/>
                <w:bCs/>
                <w:color w:val="auto"/>
                <w:highlight w:val="none"/>
              </w:rPr>
            </w:pPr>
            <w:r>
              <w:rPr>
                <w:rFonts w:hint="eastAsia" w:ascii="宋体" w:hAnsi="宋体" w:cs="宋体"/>
                <w:b/>
                <w:bCs/>
                <w:color w:val="auto"/>
                <w:highlight w:val="none"/>
              </w:rPr>
              <w:t>1</w:t>
            </w:r>
          </w:p>
        </w:tc>
        <w:tc>
          <w:tcPr>
            <w:tcW w:w="2085" w:type="dxa"/>
            <w:tcBorders>
              <w:bottom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采购预算</w:t>
            </w:r>
          </w:p>
          <w:p>
            <w:pPr>
              <w:jc w:val="center"/>
              <w:rPr>
                <w:rFonts w:ascii="宋体" w:hAnsi="宋体" w:cs="宋体"/>
                <w:color w:val="auto"/>
                <w:highlight w:val="none"/>
              </w:rPr>
            </w:pPr>
            <w:r>
              <w:rPr>
                <w:rFonts w:hint="eastAsia" w:ascii="宋体" w:hAnsi="宋体" w:cs="宋体"/>
                <w:b/>
                <w:bCs/>
                <w:color w:val="auto"/>
                <w:highlight w:val="none"/>
              </w:rPr>
              <w:t>（实质性要求）</w:t>
            </w:r>
          </w:p>
        </w:tc>
        <w:tc>
          <w:tcPr>
            <w:tcW w:w="6830" w:type="dxa"/>
            <w:tcBorders>
              <w:bottom w:val="single" w:color="auto" w:sz="4" w:space="0"/>
            </w:tcBorders>
            <w:vAlign w:val="center"/>
          </w:tcPr>
          <w:p>
            <w:pPr>
              <w:rPr>
                <w:rFonts w:hint="eastAsia" w:ascii="宋体" w:hAnsi="宋体" w:cs="宋体"/>
                <w:color w:val="auto"/>
                <w:highlight w:val="none"/>
              </w:rPr>
            </w:pPr>
            <w:r>
              <w:rPr>
                <w:rFonts w:hint="eastAsia" w:ascii="宋体" w:hAnsi="宋体" w:cs="宋体"/>
                <w:color w:val="auto"/>
                <w:highlight w:val="none"/>
              </w:rPr>
              <w:t>采购预算：</w:t>
            </w:r>
            <w:r>
              <w:rPr>
                <w:rFonts w:hint="eastAsia" w:ascii="宋体" w:hAnsi="宋体" w:cs="宋体"/>
                <w:color w:val="auto"/>
                <w:highlight w:val="none"/>
                <w:lang w:val="en-US" w:eastAsia="zh-CN"/>
              </w:rPr>
              <w:t>252万元/年</w:t>
            </w:r>
          </w:p>
          <w:p>
            <w:pPr>
              <w:rPr>
                <w:rFonts w:hint="eastAsia" w:ascii="宋体" w:hAnsi="宋体" w:cs="宋体"/>
                <w:color w:val="auto"/>
                <w:highlight w:val="none"/>
              </w:rPr>
            </w:pPr>
            <w:r>
              <w:rPr>
                <w:rFonts w:hint="eastAsia" w:ascii="宋体" w:hAnsi="宋体" w:cs="宋体"/>
                <w:color w:val="auto"/>
                <w:highlight w:val="none"/>
              </w:rPr>
              <w:t>超过采购预算的报价为无效投标。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1" w:hRule="atLeast"/>
          <w:jc w:val="center"/>
        </w:trPr>
        <w:tc>
          <w:tcPr>
            <w:tcW w:w="691" w:type="dxa"/>
            <w:vMerge w:val="continue"/>
            <w:vAlign w:val="center"/>
          </w:tcPr>
          <w:p>
            <w:pPr>
              <w:jc w:val="center"/>
              <w:rPr>
                <w:rFonts w:ascii="宋体" w:hAnsi="宋体" w:cs="宋体"/>
                <w:b/>
                <w:bCs/>
                <w:color w:val="auto"/>
                <w:highlight w:val="none"/>
              </w:rPr>
            </w:pPr>
          </w:p>
        </w:tc>
        <w:tc>
          <w:tcPr>
            <w:tcW w:w="2085" w:type="dxa"/>
            <w:tcBorders>
              <w:top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最高限价</w:t>
            </w:r>
          </w:p>
          <w:p>
            <w:pPr>
              <w:jc w:val="center"/>
              <w:rPr>
                <w:rFonts w:ascii="宋体" w:hAnsi="宋体" w:cs="宋体"/>
                <w:color w:val="auto"/>
                <w:highlight w:val="none"/>
              </w:rPr>
            </w:pPr>
            <w:r>
              <w:rPr>
                <w:rFonts w:hint="eastAsia" w:ascii="宋体" w:hAnsi="宋体" w:cs="宋体"/>
                <w:b/>
                <w:bCs/>
                <w:color w:val="auto"/>
                <w:highlight w:val="none"/>
              </w:rPr>
              <w:t>（实质性要求）</w:t>
            </w:r>
          </w:p>
        </w:tc>
        <w:tc>
          <w:tcPr>
            <w:tcW w:w="6830" w:type="dxa"/>
            <w:tcBorders>
              <w:top w:val="single" w:color="auto" w:sz="4" w:space="0"/>
            </w:tcBorders>
            <w:vAlign w:val="center"/>
          </w:tcPr>
          <w:p>
            <w:pPr>
              <w:rPr>
                <w:rFonts w:hint="default" w:ascii="宋体" w:hAnsi="宋体" w:cs="宋体"/>
                <w:color w:val="auto"/>
                <w:highlight w:val="none"/>
                <w:lang w:val="en-US"/>
              </w:rPr>
            </w:pPr>
            <w:r>
              <w:rPr>
                <w:rFonts w:hint="eastAsia" w:ascii="宋体" w:hAnsi="宋体" w:cs="宋体"/>
                <w:color w:val="auto"/>
                <w:highlight w:val="none"/>
              </w:rPr>
              <w:t>最高限价：</w:t>
            </w:r>
            <w:r>
              <w:rPr>
                <w:rFonts w:hint="eastAsia" w:ascii="宋体" w:hAnsi="宋体" w:cs="宋体"/>
                <w:color w:val="auto"/>
                <w:highlight w:val="none"/>
                <w:lang w:val="en-US" w:eastAsia="zh-CN"/>
              </w:rPr>
              <w:t>252万元/年</w:t>
            </w:r>
          </w:p>
          <w:p>
            <w:pPr>
              <w:rPr>
                <w:rFonts w:hint="eastAsia" w:ascii="宋体" w:hAnsi="宋体" w:cs="宋体"/>
                <w:color w:val="auto"/>
                <w:highlight w:val="none"/>
              </w:rPr>
            </w:pPr>
            <w:r>
              <w:rPr>
                <w:rFonts w:hint="eastAsia" w:ascii="宋体" w:hAnsi="宋体" w:cs="宋体"/>
                <w:color w:val="auto"/>
                <w:highlight w:val="none"/>
              </w:rPr>
              <w:t>超过最高限价的报价为无效投标。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691" w:type="dxa"/>
            <w:vAlign w:val="center"/>
          </w:tcPr>
          <w:p>
            <w:pPr>
              <w:jc w:val="center"/>
              <w:rPr>
                <w:rFonts w:ascii="宋体" w:hAnsi="宋体" w:cs="宋体"/>
                <w:b/>
                <w:bCs/>
                <w:color w:val="auto"/>
                <w:highlight w:val="none"/>
              </w:rPr>
            </w:pPr>
            <w:r>
              <w:rPr>
                <w:rFonts w:hint="eastAsia" w:ascii="宋体" w:hAnsi="宋体" w:cs="宋体"/>
                <w:b/>
                <w:bCs/>
                <w:color w:val="auto"/>
                <w:highlight w:val="none"/>
              </w:rPr>
              <w:t>2</w:t>
            </w:r>
          </w:p>
        </w:tc>
        <w:tc>
          <w:tcPr>
            <w:tcW w:w="2085" w:type="dxa"/>
            <w:tcBorders>
              <w:top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zh-CN"/>
              </w:rPr>
              <w:t>采购方式、</w:t>
            </w:r>
            <w:r>
              <w:rPr>
                <w:rFonts w:hint="eastAsia" w:ascii="宋体" w:hAnsi="宋体" w:cs="宋体"/>
                <w:color w:val="auto"/>
                <w:highlight w:val="none"/>
              </w:rPr>
              <w:t>评审方法</w:t>
            </w:r>
          </w:p>
        </w:tc>
        <w:tc>
          <w:tcPr>
            <w:tcW w:w="6830" w:type="dxa"/>
            <w:tcBorders>
              <w:top w:val="single" w:color="auto" w:sz="4" w:space="0"/>
            </w:tcBorders>
            <w:vAlign w:val="center"/>
          </w:tcPr>
          <w:p>
            <w:pPr>
              <w:rPr>
                <w:rFonts w:ascii="宋体" w:hAnsi="宋体" w:cs="宋体"/>
                <w:color w:val="auto"/>
                <w:highlight w:val="none"/>
              </w:rPr>
            </w:pPr>
            <w:r>
              <w:rPr>
                <w:rFonts w:hint="eastAsia" w:ascii="宋体" w:hAnsi="宋体" w:cs="宋体"/>
                <w:color w:val="auto"/>
                <w:highlight w:val="none"/>
                <w:lang w:val="zh-CN"/>
              </w:rPr>
              <w:t>公开招标、</w:t>
            </w:r>
            <w:r>
              <w:rPr>
                <w:rFonts w:hint="eastAsia" w:ascii="宋体" w:hAnsi="宋体" w:cs="宋体"/>
                <w:color w:val="auto"/>
                <w:highlight w:val="none"/>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691" w:type="dxa"/>
            <w:vAlign w:val="center"/>
          </w:tcPr>
          <w:p>
            <w:pPr>
              <w:jc w:val="center"/>
              <w:rPr>
                <w:rFonts w:ascii="宋体" w:hAnsi="宋体" w:cs="宋体"/>
                <w:b/>
                <w:bCs/>
                <w:color w:val="auto"/>
                <w:highlight w:val="none"/>
              </w:rPr>
            </w:pPr>
            <w:r>
              <w:rPr>
                <w:rFonts w:hint="eastAsia" w:ascii="宋体" w:hAnsi="宋体" w:cs="宋体"/>
                <w:b/>
                <w:bCs/>
                <w:color w:val="auto"/>
                <w:highlight w:val="none"/>
              </w:rPr>
              <w:t>3</w:t>
            </w:r>
          </w:p>
        </w:tc>
        <w:tc>
          <w:tcPr>
            <w:tcW w:w="2085" w:type="dxa"/>
            <w:tcBorders>
              <w:top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招标文件编制</w:t>
            </w:r>
          </w:p>
        </w:tc>
        <w:tc>
          <w:tcPr>
            <w:tcW w:w="6830" w:type="dxa"/>
            <w:tcBorders>
              <w:top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由采购人和</w:t>
            </w:r>
            <w:r>
              <w:rPr>
                <w:rFonts w:hint="eastAsia" w:ascii="宋体" w:hAnsi="宋体" w:cs="宋体"/>
                <w:color w:val="auto"/>
                <w:highlight w:val="none"/>
                <w:lang w:eastAsia="zh-CN"/>
              </w:rPr>
              <w:t>四川新宇盛项目管理集团有限公司</w:t>
            </w:r>
            <w:r>
              <w:rPr>
                <w:rFonts w:hint="eastAsia" w:ascii="宋体" w:hAnsi="宋体" w:cs="宋体"/>
                <w:color w:val="auto"/>
                <w:highlight w:val="none"/>
              </w:rPr>
              <w:t>共同编制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91" w:type="dxa"/>
            <w:vAlign w:val="center"/>
          </w:tcPr>
          <w:p>
            <w:pPr>
              <w:jc w:val="center"/>
              <w:rPr>
                <w:rFonts w:ascii="宋体" w:hAnsi="宋体" w:cs="宋体"/>
                <w:b/>
                <w:bCs/>
                <w:color w:val="auto"/>
                <w:highlight w:val="none"/>
              </w:rPr>
            </w:pPr>
            <w:r>
              <w:rPr>
                <w:rFonts w:hint="eastAsia" w:ascii="宋体" w:hAnsi="宋体" w:cs="宋体"/>
                <w:b/>
                <w:bCs/>
                <w:color w:val="auto"/>
                <w:highlight w:val="none"/>
              </w:rPr>
              <w:t>4</w:t>
            </w:r>
          </w:p>
        </w:tc>
        <w:tc>
          <w:tcPr>
            <w:tcW w:w="2085" w:type="dxa"/>
            <w:tcBorders>
              <w:top w:val="single" w:color="auto" w:sz="4" w:space="0"/>
            </w:tcBorders>
            <w:vAlign w:val="center"/>
          </w:tcPr>
          <w:p>
            <w:pPr>
              <w:jc w:val="center"/>
              <w:rPr>
                <w:rFonts w:ascii="宋体" w:hAnsi="宋体" w:cs="宋体"/>
                <w:color w:val="auto"/>
                <w:highlight w:val="none"/>
                <w:lang w:val="zh-CN"/>
              </w:rPr>
            </w:pPr>
            <w:r>
              <w:rPr>
                <w:rFonts w:hint="eastAsia" w:ascii="宋体" w:hAnsi="宋体" w:cs="宋体"/>
                <w:color w:val="auto"/>
                <w:highlight w:val="none"/>
                <w:lang w:val="zh-CN"/>
              </w:rPr>
              <w:t>进口产品</w:t>
            </w:r>
          </w:p>
          <w:p>
            <w:pPr>
              <w:jc w:val="center"/>
              <w:rPr>
                <w:rFonts w:ascii="宋体" w:hAnsi="宋体" w:cs="宋体"/>
                <w:color w:val="auto"/>
                <w:highlight w:val="none"/>
                <w:lang w:val="zh-CN"/>
              </w:rPr>
            </w:pPr>
            <w:r>
              <w:rPr>
                <w:rFonts w:hint="eastAsia" w:ascii="宋体" w:hAnsi="宋体" w:cs="宋体"/>
                <w:b/>
                <w:bCs/>
                <w:color w:val="auto"/>
                <w:highlight w:val="none"/>
                <w:lang w:val="zh-CN"/>
              </w:rPr>
              <w:t>（实质性要求）</w:t>
            </w:r>
          </w:p>
        </w:tc>
        <w:tc>
          <w:tcPr>
            <w:tcW w:w="6830" w:type="dxa"/>
            <w:tcBorders>
              <w:top w:val="single" w:color="auto" w:sz="4" w:space="0"/>
            </w:tcBorders>
            <w:vAlign w:val="center"/>
          </w:tcPr>
          <w:p>
            <w:pP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本项目不允许进口产品参与竞争。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691" w:type="dxa"/>
            <w:vAlign w:val="center"/>
          </w:tcPr>
          <w:p>
            <w:pPr>
              <w:jc w:val="center"/>
              <w:rPr>
                <w:rFonts w:ascii="宋体" w:hAnsi="宋体" w:cs="宋体"/>
                <w:b/>
                <w:bCs/>
                <w:color w:val="auto"/>
                <w:highlight w:val="none"/>
              </w:rPr>
            </w:pPr>
            <w:r>
              <w:rPr>
                <w:rFonts w:hint="eastAsia" w:ascii="宋体" w:hAnsi="宋体" w:cs="宋体"/>
                <w:b/>
                <w:bCs/>
                <w:color w:val="auto"/>
                <w:highlight w:val="none"/>
              </w:rPr>
              <w:t>5</w:t>
            </w:r>
          </w:p>
        </w:tc>
        <w:tc>
          <w:tcPr>
            <w:tcW w:w="2085" w:type="dxa"/>
            <w:tcBorders>
              <w:top w:val="single" w:color="auto" w:sz="4" w:space="0"/>
            </w:tcBorders>
            <w:vAlign w:val="center"/>
          </w:tcPr>
          <w:p>
            <w:pPr>
              <w:jc w:val="center"/>
              <w:rPr>
                <w:rFonts w:ascii="宋体" w:hAnsi="宋体" w:cs="宋体"/>
                <w:color w:val="auto"/>
                <w:highlight w:val="none"/>
                <w:lang w:val="zh-CN"/>
              </w:rPr>
            </w:pPr>
            <w:r>
              <w:rPr>
                <w:rFonts w:hint="eastAsia" w:ascii="宋体" w:hAnsi="宋体" w:cs="宋体"/>
                <w:color w:val="auto"/>
                <w:highlight w:val="none"/>
              </w:rPr>
              <w:t>联合体投标</w:t>
            </w:r>
          </w:p>
        </w:tc>
        <w:tc>
          <w:tcPr>
            <w:tcW w:w="6830" w:type="dxa"/>
            <w:tcBorders>
              <w:top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本项目不接受联合体投标。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691" w:type="dxa"/>
            <w:vAlign w:val="center"/>
          </w:tcPr>
          <w:p>
            <w:pPr>
              <w:jc w:val="center"/>
              <w:rPr>
                <w:rFonts w:ascii="宋体" w:hAnsi="宋体" w:cs="宋体"/>
                <w:b/>
                <w:bCs/>
                <w:color w:val="auto"/>
                <w:highlight w:val="none"/>
              </w:rPr>
            </w:pPr>
            <w:r>
              <w:rPr>
                <w:rFonts w:hint="eastAsia" w:ascii="宋体" w:hAnsi="宋体" w:cs="宋体"/>
                <w:b/>
                <w:bCs/>
                <w:color w:val="auto"/>
                <w:highlight w:val="none"/>
              </w:rPr>
              <w:t>6</w:t>
            </w:r>
          </w:p>
        </w:tc>
        <w:tc>
          <w:tcPr>
            <w:tcW w:w="2085" w:type="dxa"/>
            <w:vAlign w:val="center"/>
          </w:tcPr>
          <w:p>
            <w:pPr>
              <w:jc w:val="center"/>
              <w:rPr>
                <w:rFonts w:ascii="宋体" w:hAnsi="宋体" w:cs="宋体"/>
                <w:color w:val="auto"/>
                <w:highlight w:val="none"/>
              </w:rPr>
            </w:pPr>
            <w:r>
              <w:rPr>
                <w:rFonts w:hint="eastAsia" w:ascii="宋体" w:hAnsi="宋体" w:cs="宋体"/>
                <w:color w:val="auto"/>
                <w:highlight w:val="none"/>
              </w:rPr>
              <w:t>低于成本价不正当</w:t>
            </w:r>
          </w:p>
          <w:p>
            <w:pPr>
              <w:jc w:val="center"/>
              <w:rPr>
                <w:rFonts w:ascii="宋体" w:hAnsi="宋体" w:cs="宋体"/>
                <w:color w:val="auto"/>
                <w:highlight w:val="none"/>
              </w:rPr>
            </w:pPr>
            <w:r>
              <w:rPr>
                <w:rFonts w:hint="eastAsia" w:ascii="宋体" w:hAnsi="宋体" w:cs="宋体"/>
                <w:color w:val="auto"/>
                <w:highlight w:val="none"/>
              </w:rPr>
              <w:t>竞争预防措施</w:t>
            </w:r>
          </w:p>
          <w:p>
            <w:pPr>
              <w:jc w:val="center"/>
              <w:rPr>
                <w:rFonts w:ascii="宋体" w:hAnsi="宋体" w:cs="宋体"/>
                <w:color w:val="auto"/>
                <w:highlight w:val="none"/>
              </w:rPr>
            </w:pPr>
            <w:r>
              <w:rPr>
                <w:rFonts w:hint="eastAsia" w:ascii="宋体" w:hAnsi="宋体" w:cs="宋体"/>
                <w:b/>
                <w:bCs/>
                <w:color w:val="auto"/>
                <w:highlight w:val="none"/>
              </w:rPr>
              <w:t>（实质性要求）</w:t>
            </w:r>
          </w:p>
        </w:tc>
        <w:tc>
          <w:tcPr>
            <w:tcW w:w="6830" w:type="dxa"/>
            <w:vAlign w:val="center"/>
          </w:tcPr>
          <w:p>
            <w:pPr>
              <w:rPr>
                <w:rFonts w:ascii="宋体" w:hAnsi="宋体" w:cs="宋体"/>
                <w:color w:val="auto"/>
                <w:highlight w:val="none"/>
              </w:rPr>
            </w:pPr>
            <w:r>
              <w:rPr>
                <w:rFonts w:hint="eastAsia" w:ascii="宋体" w:hAnsi="宋体" w:cs="宋体"/>
                <w:color w:val="auto"/>
                <w:highlight w:val="none"/>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rPr>
                <w:rFonts w:ascii="宋体" w:hAnsi="宋体" w:cs="宋体"/>
                <w:color w:val="auto"/>
                <w:highlight w:val="none"/>
              </w:rPr>
            </w:pPr>
            <w:r>
              <w:rPr>
                <w:rFonts w:hint="eastAsia" w:ascii="宋体" w:hAnsi="宋体" w:cs="宋体"/>
                <w:color w:val="auto"/>
                <w:highlight w:val="none"/>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rPr>
                <w:rFonts w:ascii="宋体" w:hAnsi="宋体" w:cs="宋体"/>
                <w:color w:val="auto"/>
                <w:highlight w:val="none"/>
              </w:rPr>
            </w:pPr>
            <w:r>
              <w:rPr>
                <w:rFonts w:hint="eastAsia" w:ascii="宋体" w:hAnsi="宋体" w:cs="宋体"/>
                <w:color w:val="auto"/>
                <w:highlight w:val="none"/>
              </w:rPr>
              <w:t>3、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1134" w:hRule="atLeast"/>
          <w:jc w:val="center"/>
        </w:trPr>
        <w:tc>
          <w:tcPr>
            <w:tcW w:w="691" w:type="dxa"/>
            <w:vAlign w:val="center"/>
          </w:tcPr>
          <w:p>
            <w:pPr>
              <w:jc w:val="center"/>
              <w:rPr>
                <w:rFonts w:ascii="宋体" w:hAnsi="宋体" w:cs="宋体"/>
                <w:b/>
                <w:bCs/>
                <w:color w:val="auto"/>
                <w:highlight w:val="none"/>
              </w:rPr>
            </w:pPr>
            <w:r>
              <w:rPr>
                <w:rFonts w:hint="eastAsia" w:ascii="宋体" w:hAnsi="宋体" w:cs="宋体"/>
                <w:b/>
                <w:bCs/>
                <w:color w:val="auto"/>
                <w:highlight w:val="none"/>
              </w:rPr>
              <w:t>7</w:t>
            </w:r>
          </w:p>
        </w:tc>
        <w:tc>
          <w:tcPr>
            <w:tcW w:w="2085" w:type="dxa"/>
            <w:vAlign w:val="center"/>
          </w:tcPr>
          <w:p>
            <w:pPr>
              <w:jc w:val="center"/>
              <w:rPr>
                <w:rFonts w:ascii="宋体" w:hAnsi="宋体" w:cs="宋体"/>
                <w:color w:val="auto"/>
                <w:highlight w:val="none"/>
              </w:rPr>
            </w:pPr>
            <w:r>
              <w:rPr>
                <w:rFonts w:hint="eastAsia" w:ascii="宋体" w:hAnsi="宋体" w:cs="宋体"/>
                <w:color w:val="auto"/>
                <w:highlight w:val="none"/>
              </w:rPr>
              <w:t>采购项目需要落实的政府采购政策</w:t>
            </w:r>
          </w:p>
          <w:p>
            <w:pPr>
              <w:jc w:val="center"/>
              <w:rPr>
                <w:rFonts w:ascii="宋体" w:hAnsi="宋体" w:cs="宋体"/>
                <w:color w:val="auto"/>
                <w:highlight w:val="none"/>
              </w:rPr>
            </w:pPr>
            <w:r>
              <w:rPr>
                <w:rFonts w:hint="eastAsia" w:ascii="宋体" w:hAnsi="宋体" w:cs="宋体"/>
                <w:b/>
                <w:bCs/>
                <w:color w:val="auto"/>
                <w:highlight w:val="none"/>
              </w:rPr>
              <w:t>（实质性要求）</w:t>
            </w:r>
          </w:p>
        </w:tc>
        <w:tc>
          <w:tcPr>
            <w:tcW w:w="6830" w:type="dxa"/>
            <w:vAlign w:val="center"/>
          </w:tcPr>
          <w:p>
            <w:pPr>
              <w:adjustRightInd w:val="0"/>
              <w:snapToGrid w:val="0"/>
              <w:spacing w:line="240" w:lineRule="auto"/>
              <w:rPr>
                <w:rFonts w:hint="eastAsia"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rPr>
              <w:t>1、促进中小企业发展</w:t>
            </w:r>
          </w:p>
          <w:p>
            <w:pPr>
              <w:adjustRightInd w:val="0"/>
              <w:snapToGrid w:val="0"/>
              <w:spacing w:line="24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1)根据《政府采购促进中小企业发展管理办法》财库〔2020〕46号的规定，本项目为专门面向中小企业采购项目。</w:t>
            </w:r>
          </w:p>
          <w:p>
            <w:pPr>
              <w:adjustRightInd w:val="0"/>
              <w:snapToGrid w:val="0"/>
              <w:spacing w:line="240" w:lineRule="auto"/>
              <w:rPr>
                <w:rFonts w:hint="eastAsia" w:asciiTheme="minorEastAsia" w:hAnsiTheme="minorEastAsia" w:eastAsiaTheme="minorEastAsia"/>
                <w:b/>
                <w:bCs/>
                <w:color w:val="auto"/>
                <w:sz w:val="21"/>
                <w:szCs w:val="21"/>
                <w:highlight w:val="none"/>
              </w:rPr>
            </w:pPr>
            <w:r>
              <w:rPr>
                <w:rFonts w:hint="eastAsia" w:asciiTheme="minorEastAsia" w:hAnsiTheme="minorEastAsia" w:eastAsiaTheme="minorEastAsia"/>
                <w:color w:val="auto"/>
                <w:sz w:val="21"/>
                <w:szCs w:val="21"/>
                <w:highlight w:val="none"/>
              </w:rPr>
              <w:t>2)参加政府采购活动的中小企业应当提供《中小企业声明函》原件。</w:t>
            </w:r>
          </w:p>
          <w:p>
            <w:pPr>
              <w:adjustRightInd w:val="0"/>
              <w:snapToGrid w:val="0"/>
              <w:spacing w:line="240" w:lineRule="auto"/>
              <w:rPr>
                <w:rFonts w:hint="eastAsia"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rPr>
              <w:t>2、促进残疾人福利单位发展</w:t>
            </w:r>
          </w:p>
          <w:p>
            <w:pPr>
              <w:adjustRightInd w:val="0"/>
              <w:snapToGrid w:val="0"/>
              <w:spacing w:line="24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根据《关于促进残疾人就业政府采购政策的通知》（财库〔2017〕141号）文要求，在政府采购活动中，残疾人福利性单位视同小型、微型企业，享受促进中小企业发展的政府采购政策。向残疾人福利性单位采购的金额，计入面向中小企业采购的统计数据。</w:t>
            </w:r>
          </w:p>
          <w:p>
            <w:pPr>
              <w:adjustRightInd w:val="0"/>
              <w:snapToGrid w:val="0"/>
              <w:spacing w:line="240" w:lineRule="auto"/>
              <w:rPr>
                <w:rFonts w:hint="eastAsia"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rPr>
              <w:t>3、支持监狱企业发展</w:t>
            </w:r>
          </w:p>
          <w:p>
            <w:pPr>
              <w:adjustRightInd w:val="0"/>
              <w:snapToGrid w:val="0"/>
              <w:spacing w:line="24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根据《关于政府采购支持监狱企业发展有关问题的通知》（财库〔2014〕68号）的规定，监狱企业视同小型、微型企业，享受促进中小企业发展的政府采购政策。</w:t>
            </w:r>
          </w:p>
          <w:p>
            <w:pPr>
              <w:adjustRightInd w:val="0"/>
              <w:snapToGrid w:val="0"/>
              <w:spacing w:line="24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投标人为监狱企业的，必须提供由省级以上监狱管理局、戒毒管理局（含新疆生产建设兵团）出具的属于监狱企业的证明文件（影印件加盖投标人公章）。</w:t>
            </w:r>
          </w:p>
          <w:p>
            <w:pPr>
              <w:adjustRightInd w:val="0"/>
              <w:snapToGrid w:val="0"/>
              <w:spacing w:line="240" w:lineRule="auto"/>
              <w:rPr>
                <w:rFonts w:hint="eastAsia"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rPr>
              <w:t>4、支持监狱企业发展</w:t>
            </w:r>
          </w:p>
          <w:p>
            <w:pPr>
              <w:adjustRightInd w:val="0"/>
              <w:snapToGrid w:val="0"/>
              <w:spacing w:line="24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根据《关于政府采购支持监狱企业发展有关问题的通知》（财库〔2014〕68号）的规定，监狱企业视同小型、微型企业，享受促进中小企业发展的政府采购政策。供应商为监狱企业的，必须提供由省级以上监狱管理局、戒毒管理局（含新疆生产建设兵团）出具的属于监狱企业的证明文件（复印件加盖供应商公章）。</w:t>
            </w:r>
          </w:p>
          <w:p>
            <w:pPr>
              <w:adjustRightInd w:val="0"/>
              <w:snapToGrid w:val="0"/>
              <w:spacing w:line="240" w:lineRule="auto"/>
              <w:rPr>
                <w:rFonts w:hint="eastAsia"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lang w:val="en-US" w:eastAsia="zh-CN"/>
              </w:rPr>
              <w:t>5</w:t>
            </w:r>
            <w:r>
              <w:rPr>
                <w:rFonts w:hint="eastAsia" w:asciiTheme="minorEastAsia" w:hAnsiTheme="minorEastAsia" w:eastAsiaTheme="minorEastAsia"/>
                <w:b/>
                <w:bCs/>
                <w:color w:val="auto"/>
                <w:sz w:val="21"/>
                <w:szCs w:val="21"/>
                <w:highlight w:val="none"/>
              </w:rPr>
              <w:t>、促进残疾人就业</w:t>
            </w:r>
          </w:p>
          <w:p>
            <w:pPr>
              <w:adjustRightInd w:val="0"/>
              <w:snapToGrid w:val="0"/>
              <w:spacing w:line="24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根据《三部门联合发布关于促进残疾人就业政府采购政策的通知》（财库〔2017〕141号）的规定，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格式详见第三章）。</w:t>
            </w:r>
          </w:p>
          <w:p>
            <w:pPr>
              <w:adjustRightInd w:val="0"/>
              <w:snapToGrid w:val="0"/>
              <w:spacing w:line="240" w:lineRule="auto"/>
              <w:rPr>
                <w:rFonts w:hint="default" w:asciiTheme="minorEastAsia" w:hAnsiTheme="minorEastAsia" w:eastAsiaTheme="minorEastAsia"/>
                <w:b/>
                <w:bCs/>
                <w:color w:val="auto"/>
                <w:sz w:val="21"/>
                <w:szCs w:val="21"/>
                <w:highlight w:val="none"/>
                <w:lang w:val="zh-CN"/>
              </w:rPr>
            </w:pPr>
            <w:r>
              <w:rPr>
                <w:rFonts w:hint="eastAsia" w:asciiTheme="minorEastAsia" w:hAnsiTheme="minorEastAsia" w:eastAsiaTheme="minorEastAsia"/>
                <w:b/>
                <w:bCs/>
                <w:color w:val="auto"/>
                <w:sz w:val="21"/>
                <w:szCs w:val="21"/>
                <w:highlight w:val="none"/>
                <w:lang w:val="en-US" w:eastAsia="zh-CN"/>
              </w:rPr>
              <w:t>6</w:t>
            </w:r>
            <w:r>
              <w:rPr>
                <w:rFonts w:hint="eastAsia" w:asciiTheme="minorEastAsia" w:hAnsiTheme="minorEastAsia" w:eastAsiaTheme="minorEastAsia"/>
                <w:b/>
                <w:bCs/>
                <w:color w:val="auto"/>
                <w:sz w:val="21"/>
                <w:szCs w:val="21"/>
                <w:highlight w:val="none"/>
                <w:lang w:val="zh-CN"/>
              </w:rPr>
              <w:t>、节能、环保产品（如涉及）</w:t>
            </w:r>
          </w:p>
          <w:p>
            <w:pPr>
              <w:adjustRightInd w:val="0"/>
              <w:snapToGrid w:val="0"/>
              <w:spacing w:line="240" w:lineRule="auto"/>
              <w:rPr>
                <w:rFonts w:hint="default" w:asciiTheme="minorEastAsia" w:hAnsiTheme="minorEastAsia" w:eastAsiaTheme="minorEastAsia"/>
                <w:color w:val="auto"/>
                <w:sz w:val="21"/>
                <w:szCs w:val="21"/>
                <w:highlight w:val="none"/>
                <w:lang w:val="zh-CN"/>
              </w:rPr>
            </w:pPr>
            <w:r>
              <w:rPr>
                <w:rFonts w:hint="eastAsia" w:asciiTheme="minorEastAsia" w:hAnsiTheme="minorEastAsia" w:eastAsiaTheme="minorEastAsia"/>
                <w:color w:val="auto"/>
                <w:sz w:val="21"/>
                <w:szCs w:val="21"/>
                <w:highlight w:val="none"/>
                <w:lang w:val="zh-CN"/>
              </w:rPr>
              <w:t>根据《财政部、发展改革委、生态环境部、市场监管总局关于调整优化节能产品、环境标志产品政府采购执行机制的通知》财库〔2019</w:t>
            </w: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val="zh-CN"/>
              </w:rPr>
              <w:t>9号、《关于印发环境标志产品政府采购品目清单的通知》（财库〔2019〕18号）、《关于印发节能产品政府采购品目清单的通知》（财库〔2019〕19号）的文件规定，对依据国家确定的认证机构出具的、处于有效期之内的节能产品、环境标志产品认证证书，对获得证书的产品实施政府优先采购或强制采购。</w:t>
            </w:r>
          </w:p>
          <w:p>
            <w:pPr>
              <w:adjustRightInd w:val="0"/>
              <w:snapToGrid w:val="0"/>
              <w:spacing w:line="240" w:lineRule="auto"/>
              <w:rPr>
                <w:rFonts w:hint="default" w:asciiTheme="minorEastAsia" w:hAnsiTheme="minorEastAsia" w:eastAsiaTheme="minorEastAsia"/>
                <w:color w:val="auto"/>
                <w:sz w:val="21"/>
                <w:szCs w:val="21"/>
                <w:highlight w:val="none"/>
                <w:lang w:val="zh-CN"/>
              </w:rPr>
            </w:pPr>
            <w:r>
              <w:rPr>
                <w:rFonts w:hint="eastAsia" w:asciiTheme="minorEastAsia" w:hAnsiTheme="minorEastAsia" w:eastAsiaTheme="minorEastAsia"/>
                <w:color w:val="auto"/>
                <w:sz w:val="21"/>
                <w:szCs w:val="21"/>
                <w:highlight w:val="none"/>
                <w:lang w:val="zh-CN"/>
              </w:rPr>
              <w:t>注：（1）节能产品认证应依据国家相关标准的最新版本，依据国家能效标准中二级能效（水效）指标。</w:t>
            </w:r>
          </w:p>
          <w:p>
            <w:pPr>
              <w:adjustRightInd w:val="0"/>
              <w:snapToGrid w:val="0"/>
              <w:spacing w:line="240" w:lineRule="auto"/>
              <w:rPr>
                <w:rFonts w:hint="default" w:asciiTheme="minorEastAsia" w:hAnsiTheme="minorEastAsia" w:eastAsiaTheme="minorEastAsia"/>
                <w:color w:val="auto"/>
                <w:sz w:val="21"/>
                <w:szCs w:val="21"/>
                <w:highlight w:val="none"/>
                <w:lang w:val="zh-CN"/>
              </w:rPr>
            </w:pPr>
            <w:r>
              <w:rPr>
                <w:rFonts w:hint="eastAsia" w:asciiTheme="minorEastAsia" w:hAnsiTheme="minorEastAsia" w:eastAsiaTheme="minorEastAsia"/>
                <w:color w:val="auto"/>
                <w:sz w:val="21"/>
                <w:szCs w:val="21"/>
                <w:highlight w:val="none"/>
                <w:lang w:val="zh-CN"/>
              </w:rPr>
              <w:t>（</w:t>
            </w:r>
            <w:r>
              <w:rPr>
                <w:rFonts w:hint="eastAsia"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lang w:val="zh-CN"/>
              </w:rPr>
              <w:t>）节能产品政府采购品目清单内以“★”标注的为政府采购强制采购产品，属于强制采购产品品目内的产品，必须提供认证证书。</w:t>
            </w:r>
          </w:p>
          <w:p>
            <w:pPr>
              <w:adjustRightInd w:val="0"/>
              <w:snapToGrid w:val="0"/>
              <w:spacing w:line="240" w:lineRule="auto"/>
              <w:rPr>
                <w:rFonts w:hint="default" w:asciiTheme="minorEastAsia" w:hAnsiTheme="minorEastAsia" w:eastAsiaTheme="minorEastAsia"/>
                <w:color w:val="auto"/>
                <w:sz w:val="21"/>
                <w:szCs w:val="21"/>
                <w:highlight w:val="none"/>
                <w:lang w:val="zh-CN"/>
              </w:rPr>
            </w:pPr>
            <w:r>
              <w:rPr>
                <w:rFonts w:hint="eastAsia" w:asciiTheme="minorEastAsia" w:hAnsiTheme="minorEastAsia" w:eastAsiaTheme="minorEastAsia"/>
                <w:color w:val="auto"/>
                <w:sz w:val="21"/>
                <w:szCs w:val="21"/>
                <w:highlight w:val="none"/>
                <w:lang w:val="zh-CN"/>
              </w:rPr>
              <w:t>（</w:t>
            </w:r>
            <w:r>
              <w:rPr>
                <w:rFonts w:hint="eastAsia"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lang w:val="zh-CN"/>
              </w:rPr>
              <w:t>）环境标志产品认证应依据相关标准的最新版本</w:t>
            </w:r>
          </w:p>
          <w:p>
            <w:pPr>
              <w:pStyle w:val="8"/>
              <w:kinsoku w:val="0"/>
              <w:spacing w:after="0" w:line="240" w:lineRule="auto"/>
              <w:rPr>
                <w:rFonts w:hint="default" w:hAnsi="宋体" w:cs="宋体"/>
                <w:b/>
                <w:bCs/>
                <w:color w:val="auto"/>
                <w:sz w:val="21"/>
                <w:szCs w:val="21"/>
                <w:highlight w:val="none"/>
                <w:lang w:val="zh-CN"/>
              </w:rPr>
            </w:pPr>
            <w:r>
              <w:rPr>
                <w:rFonts w:hint="eastAsia" w:hAnsi="宋体" w:eastAsia="宋体" w:cs="宋体"/>
                <w:b/>
                <w:bCs/>
                <w:color w:val="auto"/>
                <w:sz w:val="21"/>
                <w:szCs w:val="21"/>
                <w:highlight w:val="none"/>
                <w:lang w:val="en-US" w:eastAsia="zh-CN"/>
              </w:rPr>
              <w:t>7</w:t>
            </w:r>
            <w:r>
              <w:rPr>
                <w:rFonts w:hAnsi="宋体" w:cs="宋体"/>
                <w:b/>
                <w:bCs/>
                <w:color w:val="auto"/>
                <w:sz w:val="21"/>
                <w:szCs w:val="21"/>
                <w:highlight w:val="none"/>
                <w:lang w:val="zh-CN"/>
              </w:rPr>
              <w:t>、无线局域网产品</w:t>
            </w:r>
            <w:r>
              <w:rPr>
                <w:rFonts w:hint="eastAsia" w:asciiTheme="minorEastAsia" w:hAnsiTheme="minorEastAsia" w:eastAsiaTheme="minorEastAsia"/>
                <w:b/>
                <w:bCs/>
                <w:color w:val="auto"/>
                <w:sz w:val="21"/>
                <w:szCs w:val="21"/>
                <w:highlight w:val="none"/>
                <w:lang w:val="zh-CN"/>
              </w:rPr>
              <w:t>（如涉及）</w:t>
            </w:r>
          </w:p>
          <w:p>
            <w:pPr>
              <w:adjustRightInd w:val="0"/>
              <w:snapToGrid w:val="0"/>
              <w:spacing w:line="240" w:lineRule="auto"/>
              <w:rPr>
                <w:rFonts w:hint="default" w:asciiTheme="minorEastAsia" w:hAnsiTheme="minorEastAsia" w:eastAsiaTheme="minorEastAsia"/>
                <w:color w:val="auto"/>
                <w:sz w:val="21"/>
                <w:szCs w:val="21"/>
                <w:highlight w:val="none"/>
                <w:lang w:val="zh-CN"/>
              </w:rPr>
            </w:pPr>
            <w:r>
              <w:rPr>
                <w:rFonts w:hint="eastAsia" w:asciiTheme="minorEastAsia" w:hAnsiTheme="minorEastAsia" w:eastAsiaTheme="minorEastAsia"/>
                <w:color w:val="auto"/>
                <w:sz w:val="21"/>
                <w:szCs w:val="21"/>
                <w:highlight w:val="none"/>
                <w:lang w:val="zh-CN"/>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w:t>
            </w:r>
          </w:p>
          <w:p>
            <w:pPr>
              <w:adjustRightInd w:val="0"/>
              <w:snapToGrid w:val="0"/>
              <w:spacing w:line="240" w:lineRule="auto"/>
              <w:rPr>
                <w:rFonts w:hint="default" w:asciiTheme="minorEastAsia" w:hAnsiTheme="minorEastAsia" w:eastAsiaTheme="minorEastAsia"/>
                <w:b/>
                <w:bCs/>
                <w:color w:val="auto"/>
                <w:sz w:val="21"/>
                <w:szCs w:val="21"/>
                <w:highlight w:val="none"/>
                <w:lang w:val="zh-CN"/>
              </w:rPr>
            </w:pPr>
            <w:r>
              <w:rPr>
                <w:rFonts w:hint="eastAsia" w:asciiTheme="minorEastAsia" w:hAnsiTheme="minorEastAsia" w:eastAsiaTheme="minorEastAsia"/>
                <w:b/>
                <w:bCs/>
                <w:color w:val="auto"/>
                <w:sz w:val="21"/>
                <w:szCs w:val="21"/>
                <w:highlight w:val="none"/>
                <w:lang w:val="en-US" w:eastAsia="zh-CN"/>
              </w:rPr>
              <w:t>8</w:t>
            </w:r>
            <w:r>
              <w:rPr>
                <w:rFonts w:hint="eastAsia" w:asciiTheme="minorEastAsia" w:hAnsiTheme="minorEastAsia" w:eastAsiaTheme="minorEastAsia"/>
                <w:b/>
                <w:bCs/>
                <w:color w:val="auto"/>
                <w:sz w:val="21"/>
                <w:szCs w:val="21"/>
                <w:highlight w:val="none"/>
                <w:lang w:val="zh-CN"/>
              </w:rPr>
              <w:t>、政府采购扶持不发达地区和少数民族地区</w:t>
            </w:r>
          </w:p>
          <w:p>
            <w:pPr>
              <w:rPr>
                <w:rFonts w:hint="eastAsia" w:ascii="宋体" w:hAnsi="宋体" w:eastAsia="宋体" w:cs="宋体"/>
                <w:color w:val="auto"/>
                <w:highlight w:val="none"/>
              </w:rPr>
            </w:pPr>
            <w:r>
              <w:rPr>
                <w:rFonts w:hAnsi="宋体" w:cs="宋体"/>
                <w:color w:val="auto"/>
                <w:sz w:val="21"/>
                <w:szCs w:val="21"/>
                <w:highlight w:val="none"/>
                <w:lang w:val="zh-CN"/>
              </w:rPr>
              <w:t>采购项目将根据政策要求，给予参加本项目，注册地在不发达地区和少数民族地区的供应商适当加分。如未将其设定为加分项，将按同等条件下优先采购注册地在不发达地区和少数民族地区的供应商提供的</w:t>
            </w:r>
            <w:r>
              <w:rPr>
                <w:rFonts w:hint="eastAsia" w:hAnsi="宋体" w:cs="宋体"/>
                <w:color w:val="auto"/>
                <w:sz w:val="21"/>
                <w:szCs w:val="21"/>
                <w:highlight w:val="none"/>
                <w:lang w:val="zh-CN"/>
              </w:rPr>
              <w:t>服务</w:t>
            </w:r>
            <w:r>
              <w:rPr>
                <w:rFonts w:hAnsi="宋体" w:cs="宋体"/>
                <w:color w:val="auto"/>
                <w:sz w:val="21"/>
                <w:szCs w:val="21"/>
                <w:highlight w:val="none"/>
                <w:lang w:val="zh-CN"/>
              </w:rPr>
              <w:t>的原则执行。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691" w:type="dxa"/>
            <w:vAlign w:val="center"/>
          </w:tcPr>
          <w:p>
            <w:pPr>
              <w:jc w:val="center"/>
              <w:rPr>
                <w:rFonts w:ascii="宋体" w:hAnsi="宋体" w:cs="宋体"/>
                <w:b/>
                <w:bCs/>
                <w:color w:val="auto"/>
                <w:highlight w:val="none"/>
              </w:rPr>
            </w:pPr>
            <w:r>
              <w:rPr>
                <w:rFonts w:hint="eastAsia" w:ascii="宋体" w:hAnsi="宋体" w:cs="宋体"/>
                <w:b/>
                <w:bCs/>
                <w:color w:val="auto"/>
                <w:highlight w:val="none"/>
              </w:rPr>
              <w:t>8</w:t>
            </w:r>
          </w:p>
        </w:tc>
        <w:tc>
          <w:tcPr>
            <w:tcW w:w="2085" w:type="dxa"/>
            <w:vAlign w:val="center"/>
          </w:tcPr>
          <w:p>
            <w:pPr>
              <w:jc w:val="center"/>
              <w:rPr>
                <w:rFonts w:ascii="宋体" w:hAnsi="宋体" w:cs="宋体"/>
                <w:color w:val="auto"/>
                <w:highlight w:val="none"/>
                <w:lang w:val="zh-CN"/>
              </w:rPr>
            </w:pPr>
            <w:r>
              <w:rPr>
                <w:rFonts w:hint="eastAsia" w:ascii="宋体" w:hAnsi="宋体" w:cs="宋体"/>
                <w:color w:val="auto"/>
                <w:highlight w:val="none"/>
                <w:lang w:val="zh-CN"/>
              </w:rPr>
              <w:t>投标保证金</w:t>
            </w:r>
          </w:p>
          <w:p>
            <w:pPr>
              <w:jc w:val="center"/>
              <w:rPr>
                <w:rFonts w:ascii="宋体" w:hAnsi="宋体" w:cs="宋体"/>
                <w:color w:val="auto"/>
                <w:highlight w:val="none"/>
                <w:lang w:val="zh-CN"/>
              </w:rPr>
            </w:pPr>
            <w:r>
              <w:rPr>
                <w:rFonts w:hint="eastAsia" w:ascii="宋体" w:hAnsi="宋体" w:cs="宋体"/>
                <w:b/>
                <w:bCs/>
                <w:color w:val="auto"/>
                <w:highlight w:val="none"/>
              </w:rPr>
              <w:t>（实质性要求）</w:t>
            </w:r>
          </w:p>
        </w:tc>
        <w:tc>
          <w:tcPr>
            <w:tcW w:w="683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91" w:type="dxa"/>
            <w:vAlign w:val="center"/>
          </w:tcPr>
          <w:p>
            <w:pPr>
              <w:jc w:val="center"/>
              <w:rPr>
                <w:rFonts w:ascii="宋体" w:hAnsi="宋体" w:cs="宋体"/>
                <w:b/>
                <w:bCs/>
                <w:color w:val="auto"/>
                <w:highlight w:val="none"/>
              </w:rPr>
            </w:pPr>
            <w:r>
              <w:rPr>
                <w:rFonts w:hint="eastAsia" w:ascii="宋体" w:hAnsi="宋体" w:cs="宋体"/>
                <w:b/>
                <w:bCs/>
                <w:color w:val="auto"/>
                <w:highlight w:val="none"/>
              </w:rPr>
              <w:t>9</w:t>
            </w:r>
          </w:p>
        </w:tc>
        <w:tc>
          <w:tcPr>
            <w:tcW w:w="2085" w:type="dxa"/>
            <w:vAlign w:val="center"/>
          </w:tcPr>
          <w:p>
            <w:pPr>
              <w:jc w:val="center"/>
              <w:rPr>
                <w:rFonts w:ascii="宋体" w:hAnsi="宋体" w:cs="宋体"/>
                <w:color w:val="auto"/>
                <w:highlight w:val="none"/>
              </w:rPr>
            </w:pPr>
            <w:r>
              <w:rPr>
                <w:rFonts w:hint="eastAsia" w:ascii="宋体" w:hAnsi="宋体" w:cs="宋体"/>
                <w:color w:val="auto"/>
                <w:highlight w:val="none"/>
              </w:rPr>
              <w:t>履约保证金</w:t>
            </w:r>
          </w:p>
          <w:p>
            <w:pPr>
              <w:jc w:val="center"/>
              <w:rPr>
                <w:rFonts w:ascii="宋体" w:hAnsi="宋体" w:cs="宋体"/>
                <w:color w:val="auto"/>
                <w:highlight w:val="none"/>
              </w:rPr>
            </w:pPr>
            <w:r>
              <w:rPr>
                <w:rFonts w:hint="eastAsia" w:ascii="宋体" w:hAnsi="宋体" w:cs="宋体"/>
                <w:b/>
                <w:bCs/>
                <w:color w:val="auto"/>
                <w:highlight w:val="none"/>
              </w:rPr>
              <w:t>（实质性要求）</w:t>
            </w:r>
          </w:p>
        </w:tc>
        <w:tc>
          <w:tcPr>
            <w:tcW w:w="6830" w:type="dxa"/>
            <w:vAlign w:val="center"/>
          </w:tcPr>
          <w:p>
            <w:pPr>
              <w:rPr>
                <w:rFonts w:hint="eastAsia"/>
                <w:color w:val="auto"/>
                <w:highlight w:val="none"/>
              </w:rPr>
            </w:pPr>
            <w:r>
              <w:rPr>
                <w:rFonts w:hint="eastAsia" w:ascii="宋体" w:hAnsi="宋体" w:eastAsia="宋体" w:cs="宋体"/>
                <w:color w:val="auto"/>
                <w:highlight w:val="none"/>
              </w:rPr>
              <w:t>本项目不收取</w:t>
            </w:r>
            <w:r>
              <w:rPr>
                <w:rFonts w:hint="eastAsia" w:ascii="宋体" w:hAnsi="宋体" w:cs="宋体"/>
                <w:color w:val="auto"/>
                <w:highlight w:val="none"/>
                <w:lang w:val="en-US" w:eastAsia="zh-CN"/>
              </w:rPr>
              <w:t>履约</w:t>
            </w:r>
            <w:r>
              <w:rPr>
                <w:rFonts w:hint="eastAsia" w:ascii="宋体" w:hAnsi="宋体" w:eastAsia="宋体" w:cs="宋体"/>
                <w:color w:val="auto"/>
                <w:highlight w:val="none"/>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91" w:type="dxa"/>
            <w:vAlign w:val="center"/>
          </w:tcPr>
          <w:p>
            <w:pPr>
              <w:jc w:val="center"/>
              <w:rPr>
                <w:rFonts w:ascii="宋体" w:hAnsi="宋体" w:cs="宋体"/>
                <w:b/>
                <w:bCs/>
                <w:color w:val="auto"/>
                <w:highlight w:val="none"/>
              </w:rPr>
            </w:pPr>
            <w:r>
              <w:rPr>
                <w:rFonts w:hint="eastAsia" w:ascii="宋体" w:hAnsi="宋体" w:cs="宋体"/>
                <w:b/>
                <w:bCs/>
                <w:color w:val="auto"/>
                <w:highlight w:val="none"/>
              </w:rPr>
              <w:t>10</w:t>
            </w:r>
          </w:p>
        </w:tc>
        <w:tc>
          <w:tcPr>
            <w:tcW w:w="2085" w:type="dxa"/>
            <w:vAlign w:val="center"/>
          </w:tcPr>
          <w:p>
            <w:pPr>
              <w:jc w:val="center"/>
              <w:rPr>
                <w:rFonts w:ascii="宋体" w:hAnsi="宋体" w:cs="宋体"/>
                <w:color w:val="auto"/>
                <w:highlight w:val="none"/>
                <w:lang w:val="zh-CN"/>
              </w:rPr>
            </w:pPr>
            <w:r>
              <w:rPr>
                <w:rFonts w:hint="eastAsia" w:ascii="宋体" w:hAnsi="宋体" w:cs="宋体"/>
                <w:color w:val="auto"/>
                <w:highlight w:val="none"/>
                <w:lang w:val="zh-CN"/>
              </w:rPr>
              <w:t>构成招标文件的</w:t>
            </w:r>
          </w:p>
          <w:p>
            <w:pPr>
              <w:jc w:val="center"/>
              <w:rPr>
                <w:rFonts w:ascii="宋体" w:hAnsi="宋体" w:cs="宋体"/>
                <w:color w:val="auto"/>
                <w:highlight w:val="none"/>
                <w:lang w:val="zh-CN"/>
              </w:rPr>
            </w:pPr>
            <w:r>
              <w:rPr>
                <w:rFonts w:hint="eastAsia" w:ascii="宋体" w:hAnsi="宋体" w:cs="宋体"/>
                <w:color w:val="auto"/>
                <w:highlight w:val="none"/>
                <w:lang w:val="zh-CN"/>
              </w:rPr>
              <w:t>其他文件</w:t>
            </w:r>
          </w:p>
        </w:tc>
        <w:tc>
          <w:tcPr>
            <w:tcW w:w="6830" w:type="dxa"/>
            <w:vAlign w:val="center"/>
          </w:tcPr>
          <w:p>
            <w:pPr>
              <w:rPr>
                <w:rFonts w:ascii="宋体" w:hAnsi="宋体" w:cs="宋体"/>
                <w:color w:val="auto"/>
                <w:highlight w:val="none"/>
              </w:rPr>
            </w:pPr>
            <w:r>
              <w:rPr>
                <w:rFonts w:hint="eastAsia" w:ascii="宋体" w:hAnsi="宋体" w:cs="宋体"/>
                <w:color w:val="auto"/>
                <w:highlight w:val="none"/>
                <w:lang w:val="zh-CN"/>
              </w:rPr>
              <w:t>招标文件的澄清</w:t>
            </w:r>
            <w:r>
              <w:rPr>
                <w:rFonts w:hint="eastAsia" w:ascii="宋体" w:hAnsi="宋体" w:cs="宋体"/>
                <w:color w:val="auto"/>
                <w:highlight w:val="none"/>
              </w:rPr>
              <w:t>、修改书及有关补充通知为招标文件的有效组成部分。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91" w:type="dxa"/>
            <w:vAlign w:val="center"/>
          </w:tcPr>
          <w:p>
            <w:pPr>
              <w:jc w:val="center"/>
              <w:rPr>
                <w:rFonts w:hint="eastAsia" w:ascii="宋体" w:hAnsi="宋体" w:eastAsia="宋体" w:cs="宋体"/>
                <w:b/>
                <w:bCs/>
                <w:color w:val="auto"/>
                <w:highlight w:val="none"/>
                <w:lang w:val="en-US" w:eastAsia="zh-CN"/>
              </w:rPr>
            </w:pPr>
            <w:r>
              <w:rPr>
                <w:rFonts w:hint="eastAsia" w:ascii="宋体" w:hAnsi="宋体" w:cs="宋体"/>
                <w:b/>
                <w:bCs/>
                <w:color w:val="auto"/>
                <w:highlight w:val="none"/>
              </w:rPr>
              <w:t>1</w:t>
            </w:r>
            <w:r>
              <w:rPr>
                <w:rFonts w:hint="eastAsia" w:ascii="宋体" w:hAnsi="宋体" w:cs="宋体"/>
                <w:b/>
                <w:bCs/>
                <w:color w:val="auto"/>
                <w:highlight w:val="none"/>
                <w:lang w:val="en-US" w:eastAsia="zh-CN"/>
              </w:rPr>
              <w:t>1</w:t>
            </w:r>
          </w:p>
        </w:tc>
        <w:tc>
          <w:tcPr>
            <w:tcW w:w="2085" w:type="dxa"/>
            <w:vAlign w:val="center"/>
          </w:tcPr>
          <w:p>
            <w:pPr>
              <w:jc w:val="center"/>
              <w:rPr>
                <w:rFonts w:ascii="宋体" w:hAnsi="宋体" w:cs="宋体"/>
                <w:color w:val="auto"/>
                <w:highlight w:val="none"/>
                <w:lang w:val="zh-CN"/>
              </w:rPr>
            </w:pPr>
            <w:r>
              <w:rPr>
                <w:rFonts w:hint="eastAsia" w:ascii="宋体" w:hAnsi="宋体" w:cs="宋体"/>
                <w:color w:val="auto"/>
                <w:highlight w:val="none"/>
              </w:rPr>
              <w:t>评标情况公告</w:t>
            </w:r>
          </w:p>
        </w:tc>
        <w:tc>
          <w:tcPr>
            <w:tcW w:w="6830" w:type="dxa"/>
            <w:vAlign w:val="center"/>
          </w:tcPr>
          <w:p>
            <w:pPr>
              <w:rPr>
                <w:rFonts w:hint="eastAsia" w:ascii="宋体" w:hAnsi="宋体" w:cs="宋体"/>
                <w:color w:val="auto"/>
                <w:highlight w:val="none"/>
              </w:rPr>
            </w:pPr>
            <w:r>
              <w:rPr>
                <w:rFonts w:hint="eastAsia" w:ascii="宋体" w:hAnsi="宋体" w:cs="宋体"/>
                <w:color w:val="auto"/>
                <w:highlight w:val="none"/>
              </w:rPr>
              <w:t>所有供应商投标文件资格性、符合性检查情况、采用综合评分法时的总得分和分项汇总得分情况、评标结果等将在四川政府采购网上采购结果公告栏中予以公告。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91" w:type="dxa"/>
            <w:tcBorders>
              <w:top w:val="single" w:color="auto" w:sz="4" w:space="0"/>
              <w:bottom w:val="single" w:color="auto" w:sz="4" w:space="0"/>
            </w:tcBorders>
            <w:vAlign w:val="center"/>
          </w:tcPr>
          <w:p>
            <w:pPr>
              <w:jc w:val="center"/>
              <w:rPr>
                <w:rFonts w:hint="eastAsia" w:ascii="宋体" w:hAnsi="宋体" w:eastAsia="宋体" w:cs="宋体"/>
                <w:b/>
                <w:bCs/>
                <w:color w:val="auto"/>
                <w:highlight w:val="none"/>
                <w:lang w:eastAsia="zh-CN"/>
              </w:rPr>
            </w:pPr>
            <w:r>
              <w:rPr>
                <w:rFonts w:hint="eastAsia" w:ascii="宋体" w:hAnsi="宋体" w:cs="宋体"/>
                <w:b/>
                <w:bCs/>
                <w:color w:val="auto"/>
                <w:highlight w:val="none"/>
                <w:lang w:val="en-US" w:eastAsia="zh-CN"/>
              </w:rPr>
              <w:t>12</w:t>
            </w:r>
          </w:p>
        </w:tc>
        <w:tc>
          <w:tcPr>
            <w:tcW w:w="2085" w:type="dxa"/>
            <w:tcBorders>
              <w:top w:val="single" w:color="auto" w:sz="4" w:space="0"/>
              <w:bottom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采购项目具体事项/采购文件内容咨询</w:t>
            </w:r>
          </w:p>
        </w:tc>
        <w:tc>
          <w:tcPr>
            <w:tcW w:w="6830" w:type="dxa"/>
            <w:tcBorders>
              <w:top w:val="single" w:color="auto" w:sz="4" w:space="0"/>
              <w:bottom w:val="single" w:color="auto" w:sz="4" w:space="0"/>
            </w:tcBorders>
            <w:vAlign w:val="center"/>
          </w:tcPr>
          <w:p>
            <w:pPr>
              <w:rPr>
                <w:rFonts w:hint="eastAsia" w:ascii="宋体" w:hAnsi="宋体" w:cs="宋体"/>
                <w:color w:val="auto"/>
                <w:highlight w:val="none"/>
                <w:lang w:val="zh-CN"/>
              </w:rPr>
            </w:pPr>
            <w:r>
              <w:rPr>
                <w:rFonts w:hint="eastAsia" w:ascii="宋体" w:hAnsi="宋体" w:cs="宋体"/>
                <w:color w:val="auto"/>
                <w:highlight w:val="none"/>
              </w:rPr>
              <w:t>联系人：殷先生</w:t>
            </w:r>
          </w:p>
          <w:p>
            <w:pPr>
              <w:rPr>
                <w:rFonts w:hint="default" w:ascii="宋体" w:hAnsi="宋体" w:cs="宋体"/>
                <w:color w:val="auto"/>
                <w:highlight w:val="none"/>
                <w:lang w:val="en-US" w:eastAsia="zh-CN"/>
              </w:rPr>
            </w:pPr>
            <w:r>
              <w:rPr>
                <w:rFonts w:hint="eastAsia" w:ascii="宋体" w:hAnsi="宋体" w:cs="宋体"/>
                <w:color w:val="auto"/>
                <w:highlight w:val="none"/>
              </w:rPr>
              <w:t>联系电话：</w:t>
            </w:r>
            <w:r>
              <w:rPr>
                <w:rFonts w:hint="eastAsia" w:ascii="宋体" w:hAnsi="宋体" w:cs="宋体"/>
                <w:color w:val="auto"/>
                <w:highlight w:val="none"/>
                <w:lang w:val="en-US" w:eastAsia="zh-CN"/>
              </w:rPr>
              <w:t>028-86095158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91" w:type="dxa"/>
            <w:tcBorders>
              <w:top w:val="single" w:color="auto" w:sz="4" w:space="0"/>
              <w:bottom w:val="single" w:color="auto" w:sz="4" w:space="0"/>
            </w:tcBorders>
            <w:vAlign w:val="center"/>
          </w:tcPr>
          <w:p>
            <w:pPr>
              <w:jc w:val="center"/>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13</w:t>
            </w:r>
          </w:p>
        </w:tc>
        <w:tc>
          <w:tcPr>
            <w:tcW w:w="2085" w:type="dxa"/>
            <w:tcBorders>
              <w:top w:val="single" w:color="auto" w:sz="4" w:space="0"/>
              <w:bottom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投标人对招标文件提出质疑的时间</w:t>
            </w:r>
          </w:p>
        </w:tc>
        <w:tc>
          <w:tcPr>
            <w:tcW w:w="6830" w:type="dxa"/>
            <w:tcBorders>
              <w:top w:val="single" w:color="auto" w:sz="4" w:space="0"/>
              <w:bottom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为供应商收到采购文件之日或者采购文件公告期限届满之日起七个工作日内，以书面形式向采购代理机构提出质疑。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91" w:type="dxa"/>
            <w:tcBorders>
              <w:top w:val="single" w:color="auto" w:sz="4" w:space="0"/>
              <w:bottom w:val="single" w:color="auto" w:sz="4" w:space="0"/>
            </w:tcBorders>
            <w:vAlign w:val="center"/>
          </w:tcPr>
          <w:p>
            <w:pPr>
              <w:jc w:val="center"/>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14</w:t>
            </w:r>
          </w:p>
        </w:tc>
        <w:tc>
          <w:tcPr>
            <w:tcW w:w="2085" w:type="dxa"/>
            <w:tcBorders>
              <w:top w:val="single" w:color="auto" w:sz="4" w:space="0"/>
              <w:bottom w:val="single" w:color="auto" w:sz="4" w:space="0"/>
            </w:tcBorders>
            <w:vAlign w:val="center"/>
          </w:tcPr>
          <w:p>
            <w:pPr>
              <w:jc w:val="center"/>
              <w:rPr>
                <w:rFonts w:ascii="宋体" w:hAnsi="宋体" w:cs="宋体"/>
                <w:color w:val="auto"/>
                <w:highlight w:val="none"/>
                <w:lang w:val="zh-CN"/>
              </w:rPr>
            </w:pPr>
            <w:r>
              <w:rPr>
                <w:rFonts w:hint="eastAsia" w:ascii="宋体" w:hAnsi="宋体" w:cs="宋体"/>
                <w:color w:val="auto"/>
                <w:highlight w:val="none"/>
              </w:rPr>
              <w:t>投标有效期</w:t>
            </w:r>
          </w:p>
        </w:tc>
        <w:tc>
          <w:tcPr>
            <w:tcW w:w="6830" w:type="dxa"/>
            <w:tcBorders>
              <w:top w:val="single" w:color="auto" w:sz="4" w:space="0"/>
              <w:bottom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投标截止时间届满后90天。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691" w:type="dxa"/>
            <w:tcBorders>
              <w:top w:val="single" w:color="auto" w:sz="4" w:space="0"/>
              <w:bottom w:val="single" w:color="auto" w:sz="4" w:space="0"/>
            </w:tcBorders>
            <w:vAlign w:val="center"/>
          </w:tcPr>
          <w:p>
            <w:pPr>
              <w:jc w:val="center"/>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15</w:t>
            </w:r>
          </w:p>
        </w:tc>
        <w:tc>
          <w:tcPr>
            <w:tcW w:w="2085" w:type="dxa"/>
            <w:tcBorders>
              <w:top w:val="single" w:color="auto" w:sz="4" w:space="0"/>
              <w:bottom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开标、评标工作咨询</w:t>
            </w:r>
          </w:p>
        </w:tc>
        <w:tc>
          <w:tcPr>
            <w:tcW w:w="6830" w:type="dxa"/>
            <w:tcBorders>
              <w:top w:val="single" w:color="auto" w:sz="4" w:space="0"/>
              <w:bottom w:val="single" w:color="auto" w:sz="4" w:space="0"/>
            </w:tcBorders>
            <w:vAlign w:val="center"/>
          </w:tcPr>
          <w:p>
            <w:pPr>
              <w:rPr>
                <w:rFonts w:hint="eastAsia" w:ascii="宋体" w:hAnsi="宋体" w:cs="宋体"/>
                <w:color w:val="auto"/>
                <w:highlight w:val="none"/>
                <w:lang w:val="zh-CN"/>
              </w:rPr>
            </w:pPr>
            <w:r>
              <w:rPr>
                <w:rFonts w:hint="eastAsia" w:ascii="宋体" w:hAnsi="宋体" w:cs="宋体"/>
                <w:color w:val="auto"/>
                <w:highlight w:val="none"/>
              </w:rPr>
              <w:t>联系人：殷先生</w:t>
            </w:r>
          </w:p>
          <w:p>
            <w:pPr>
              <w:rPr>
                <w:rFonts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lang w:val="en-US" w:eastAsia="zh-CN"/>
              </w:rPr>
              <w:t>028-86095158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691" w:type="dxa"/>
            <w:tcBorders>
              <w:top w:val="single" w:color="auto" w:sz="4" w:space="0"/>
            </w:tcBorders>
            <w:vAlign w:val="center"/>
          </w:tcPr>
          <w:p>
            <w:pPr>
              <w:jc w:val="center"/>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16</w:t>
            </w:r>
          </w:p>
        </w:tc>
        <w:tc>
          <w:tcPr>
            <w:tcW w:w="2085" w:type="dxa"/>
            <w:tcBorders>
              <w:top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中标通知书领取</w:t>
            </w:r>
          </w:p>
        </w:tc>
        <w:tc>
          <w:tcPr>
            <w:tcW w:w="6830" w:type="dxa"/>
            <w:tcBorders>
              <w:top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中标公告在四川政府采购网上公告后，请中标供应商凭有效身份证明证件到</w:t>
            </w:r>
            <w:r>
              <w:rPr>
                <w:rFonts w:hint="eastAsia" w:ascii="宋体" w:hAnsi="宋体" w:cs="宋体"/>
                <w:color w:val="auto"/>
                <w:highlight w:val="none"/>
                <w:lang w:eastAsia="zh-CN"/>
              </w:rPr>
              <w:t>四川新宇盛项目管理集团有限公司</w:t>
            </w:r>
            <w:r>
              <w:rPr>
                <w:rFonts w:hint="eastAsia" w:ascii="宋体" w:hAnsi="宋体" w:cs="宋体"/>
                <w:color w:val="auto"/>
                <w:highlight w:val="none"/>
              </w:rPr>
              <w:t>领取中标通知书。</w:t>
            </w:r>
          </w:p>
          <w:p>
            <w:pPr>
              <w:rPr>
                <w:rFonts w:ascii="宋体" w:hAnsi="宋体" w:cs="宋体"/>
                <w:color w:val="auto"/>
                <w:highlight w:val="none"/>
              </w:rPr>
            </w:pPr>
            <w:r>
              <w:rPr>
                <w:rFonts w:hint="eastAsia" w:ascii="宋体" w:hAnsi="宋体" w:cs="宋体"/>
                <w:color w:val="auto"/>
                <w:highlight w:val="none"/>
              </w:rPr>
              <w:t>联系人：</w:t>
            </w:r>
            <w:r>
              <w:rPr>
                <w:rFonts w:hint="eastAsia" w:ascii="宋体" w:hAnsi="宋体" w:cs="宋体"/>
                <w:color w:val="auto"/>
                <w:highlight w:val="none"/>
                <w:lang w:val="en-US" w:eastAsia="zh-CN"/>
              </w:rPr>
              <w:t>殷先生</w:t>
            </w:r>
          </w:p>
          <w:p>
            <w:pPr>
              <w:rPr>
                <w:rFonts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lang w:val="en-US" w:eastAsia="zh-CN"/>
              </w:rPr>
              <w:t>028-86095158</w:t>
            </w:r>
          </w:p>
          <w:p>
            <w:pPr>
              <w:rPr>
                <w:rFonts w:hint="eastAsia" w:ascii="宋体" w:hAnsi="宋体" w:eastAsia="宋体" w:cs="宋体"/>
                <w:color w:val="auto"/>
                <w:highlight w:val="none"/>
                <w:lang w:val="zh-CN" w:eastAsia="zh-CN"/>
              </w:rPr>
            </w:pPr>
            <w:r>
              <w:rPr>
                <w:rFonts w:hint="eastAsia" w:ascii="宋体" w:hAnsi="宋体" w:cs="宋体"/>
                <w:color w:val="auto"/>
                <w:highlight w:val="none"/>
              </w:rPr>
              <w:t>地址：</w:t>
            </w:r>
            <w:r>
              <w:rPr>
                <w:rFonts w:hint="eastAsia" w:ascii="宋体" w:hAnsi="宋体" w:cs="宋体"/>
                <w:color w:val="auto"/>
                <w:highlight w:val="none"/>
                <w:lang w:eastAsia="zh-CN"/>
              </w:rPr>
              <w:t>成都市锦江区三色路银海芯座A栋1单元14层03号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691" w:type="dxa"/>
            <w:tcBorders>
              <w:top w:val="single" w:color="auto" w:sz="4" w:space="0"/>
            </w:tcBorders>
            <w:vAlign w:val="center"/>
          </w:tcPr>
          <w:p>
            <w:pPr>
              <w:jc w:val="center"/>
              <w:rPr>
                <w:rFonts w:hint="eastAsia" w:ascii="宋体" w:hAnsi="宋体" w:eastAsia="宋体" w:cs="宋体"/>
                <w:b/>
                <w:bCs/>
                <w:color w:val="auto"/>
                <w:highlight w:val="none"/>
                <w:lang w:eastAsia="zh-CN"/>
              </w:rPr>
            </w:pPr>
            <w:r>
              <w:rPr>
                <w:rFonts w:hint="eastAsia" w:ascii="宋体" w:hAnsi="宋体" w:cs="宋体"/>
                <w:b/>
                <w:bCs/>
                <w:color w:val="auto"/>
                <w:highlight w:val="none"/>
              </w:rPr>
              <w:t>1</w:t>
            </w:r>
            <w:r>
              <w:rPr>
                <w:rFonts w:hint="eastAsia" w:ascii="宋体" w:hAnsi="宋体" w:cs="宋体"/>
                <w:b/>
                <w:bCs/>
                <w:color w:val="auto"/>
                <w:highlight w:val="none"/>
                <w:lang w:val="en-US" w:eastAsia="zh-CN"/>
              </w:rPr>
              <w:t>7</w:t>
            </w:r>
          </w:p>
        </w:tc>
        <w:tc>
          <w:tcPr>
            <w:tcW w:w="2085" w:type="dxa"/>
            <w:tcBorders>
              <w:top w:val="single" w:color="auto" w:sz="4" w:space="0"/>
            </w:tcBorders>
            <w:vAlign w:val="center"/>
          </w:tcPr>
          <w:p>
            <w:pPr>
              <w:jc w:val="center"/>
              <w:rPr>
                <w:rFonts w:ascii="宋体" w:hAnsi="宋体" w:cs="宋体"/>
                <w:color w:val="auto"/>
                <w:highlight w:val="none"/>
              </w:rPr>
            </w:pPr>
          </w:p>
          <w:p>
            <w:pPr>
              <w:jc w:val="center"/>
              <w:rPr>
                <w:rFonts w:ascii="宋体" w:hAnsi="宋体" w:cs="宋体"/>
                <w:color w:val="auto"/>
                <w:highlight w:val="none"/>
              </w:rPr>
            </w:pPr>
            <w:r>
              <w:rPr>
                <w:rFonts w:hint="eastAsia" w:ascii="宋体" w:hAnsi="宋体" w:cs="宋体"/>
                <w:color w:val="auto"/>
                <w:highlight w:val="none"/>
              </w:rPr>
              <w:t>供应商询问</w:t>
            </w:r>
          </w:p>
        </w:tc>
        <w:tc>
          <w:tcPr>
            <w:tcW w:w="6830" w:type="dxa"/>
            <w:tcBorders>
              <w:top w:val="single" w:color="auto" w:sz="4" w:space="0"/>
            </w:tcBorders>
          </w:tcPr>
          <w:p>
            <w:pPr>
              <w:rPr>
                <w:rFonts w:ascii="宋体" w:hAnsi="宋体" w:cs="宋体"/>
                <w:color w:val="auto"/>
                <w:highlight w:val="none"/>
                <w:lang w:val="zh-CN"/>
              </w:rPr>
            </w:pPr>
            <w:r>
              <w:rPr>
                <w:rFonts w:hint="eastAsia" w:ascii="宋体" w:hAnsi="宋体" w:cs="宋体"/>
                <w:color w:val="auto"/>
                <w:highlight w:val="none"/>
              </w:rPr>
              <w:t>根据委托代理协议约定，供应商询问由</w:t>
            </w:r>
            <w:r>
              <w:rPr>
                <w:rFonts w:hint="eastAsia" w:ascii="宋体" w:hAnsi="宋体" w:cs="宋体"/>
                <w:color w:val="auto"/>
                <w:highlight w:val="none"/>
                <w:lang w:val="zh-CN"/>
              </w:rPr>
              <w:t>四川新宇盛项目管理集团有限公司负责答复。</w:t>
            </w:r>
          </w:p>
          <w:p>
            <w:pPr>
              <w:rPr>
                <w:rFonts w:ascii="宋体" w:hAnsi="宋体" w:cs="宋体"/>
                <w:color w:val="auto"/>
                <w:highlight w:val="none"/>
                <w:lang w:val="zh-CN"/>
              </w:rPr>
            </w:pPr>
            <w:r>
              <w:rPr>
                <w:rFonts w:hint="eastAsia" w:ascii="宋体" w:hAnsi="宋体" w:cs="宋体"/>
                <w:color w:val="auto"/>
                <w:highlight w:val="none"/>
              </w:rPr>
              <w:t>联系人：殷先生</w:t>
            </w:r>
          </w:p>
          <w:p>
            <w:pPr>
              <w:rPr>
                <w:rFonts w:ascii="宋体" w:hAnsi="宋体" w:cs="宋体"/>
                <w:color w:val="auto"/>
                <w:highlight w:val="none"/>
                <w:lang w:val="zh-CN"/>
              </w:rPr>
            </w:pPr>
            <w:r>
              <w:rPr>
                <w:rFonts w:hint="eastAsia" w:ascii="宋体" w:hAnsi="宋体" w:cs="宋体"/>
                <w:color w:val="auto"/>
                <w:highlight w:val="none"/>
              </w:rPr>
              <w:t>联系电话：</w:t>
            </w:r>
            <w:r>
              <w:rPr>
                <w:rFonts w:hint="eastAsia" w:ascii="宋体" w:hAnsi="宋体" w:cs="宋体"/>
                <w:color w:val="auto"/>
                <w:highlight w:val="none"/>
                <w:lang w:val="en-US" w:eastAsia="zh-CN"/>
              </w:rPr>
              <w:t>028-86095158</w:t>
            </w:r>
          </w:p>
          <w:p>
            <w:pPr>
              <w:rPr>
                <w:rFonts w:hint="eastAsia" w:ascii="宋体" w:hAnsi="宋体" w:eastAsia="宋体" w:cs="宋体"/>
                <w:color w:val="auto"/>
                <w:highlight w:val="none"/>
                <w:lang w:eastAsia="zh-CN"/>
              </w:rPr>
            </w:pPr>
            <w:r>
              <w:rPr>
                <w:rFonts w:hint="eastAsia" w:ascii="宋体" w:hAnsi="宋体" w:cs="宋体"/>
                <w:color w:val="auto"/>
                <w:highlight w:val="none"/>
                <w:lang w:val="zh-CN"/>
              </w:rPr>
              <w:t>地址：</w:t>
            </w:r>
            <w:r>
              <w:rPr>
                <w:rFonts w:hint="eastAsia" w:ascii="宋体" w:hAnsi="宋体" w:cs="宋体"/>
                <w:color w:val="auto"/>
                <w:highlight w:val="none"/>
                <w:lang w:eastAsia="zh-CN"/>
              </w:rPr>
              <w:t>成都市锦江区三色路银海芯座A栋1单元14层03号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3488" w:hRule="atLeast"/>
          <w:jc w:val="center"/>
        </w:trPr>
        <w:tc>
          <w:tcPr>
            <w:tcW w:w="691" w:type="dxa"/>
            <w:tcBorders>
              <w:top w:val="single" w:color="auto" w:sz="4" w:space="0"/>
            </w:tcBorders>
            <w:vAlign w:val="center"/>
          </w:tcPr>
          <w:p>
            <w:pPr>
              <w:jc w:val="center"/>
              <w:rPr>
                <w:rFonts w:hint="eastAsia" w:ascii="宋体" w:hAnsi="宋体" w:eastAsia="宋体" w:cs="宋体"/>
                <w:b/>
                <w:bCs/>
                <w:color w:val="auto"/>
                <w:highlight w:val="none"/>
                <w:lang w:eastAsia="zh-CN"/>
              </w:rPr>
            </w:pPr>
            <w:r>
              <w:rPr>
                <w:rFonts w:hint="eastAsia" w:ascii="宋体" w:hAnsi="宋体" w:cs="宋体"/>
                <w:b/>
                <w:bCs/>
                <w:color w:val="auto"/>
                <w:highlight w:val="none"/>
              </w:rPr>
              <w:t>1</w:t>
            </w:r>
            <w:r>
              <w:rPr>
                <w:rFonts w:hint="eastAsia" w:ascii="宋体" w:hAnsi="宋体" w:cs="宋体"/>
                <w:b/>
                <w:bCs/>
                <w:color w:val="auto"/>
                <w:highlight w:val="none"/>
                <w:lang w:val="en-US" w:eastAsia="zh-CN"/>
              </w:rPr>
              <w:t>8</w:t>
            </w:r>
          </w:p>
        </w:tc>
        <w:tc>
          <w:tcPr>
            <w:tcW w:w="2085" w:type="dxa"/>
            <w:tcBorders>
              <w:top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供应商质疑</w:t>
            </w:r>
          </w:p>
        </w:tc>
        <w:tc>
          <w:tcPr>
            <w:tcW w:w="6830" w:type="dxa"/>
            <w:tcBorders>
              <w:top w:val="single" w:color="auto" w:sz="4" w:space="0"/>
            </w:tcBorders>
            <w:vAlign w:val="center"/>
          </w:tcPr>
          <w:p>
            <w:pPr>
              <w:rPr>
                <w:rFonts w:hint="eastAsia" w:ascii="宋体" w:hAnsi="宋体" w:cs="宋体"/>
                <w:color w:val="auto"/>
                <w:highlight w:val="none"/>
                <w:lang w:val="zh-CN"/>
              </w:rPr>
            </w:pPr>
            <w:r>
              <w:rPr>
                <w:rFonts w:hint="eastAsia" w:ascii="宋体" w:hAnsi="宋体" w:cs="宋体"/>
                <w:color w:val="auto"/>
                <w:highlight w:val="none"/>
                <w:lang w:val="zh-CN"/>
              </w:rPr>
              <w:t>1.根据委托代理协议约定，对于采购文件(招标文件技术条款和除中华人民共和国政府采购法第二十二条之外的其他资格条件、专业商务要求)的质疑由采购人负责答复；对于采购过程由采购代理机构负责答复；对于采购结果由采购代理机构负责答复。</w:t>
            </w:r>
            <w:r>
              <w:rPr>
                <w:rFonts w:hint="eastAsia" w:ascii="宋体" w:hAnsi="宋体" w:cs="宋体"/>
                <w:color w:val="auto"/>
                <w:highlight w:val="none"/>
                <w:lang w:val="zh-CN"/>
              </w:rPr>
              <w:br w:type="textWrapping"/>
            </w:r>
            <w:r>
              <w:rPr>
                <w:rFonts w:hint="eastAsia" w:ascii="宋体" w:hAnsi="宋体" w:cs="宋体"/>
                <w:color w:val="auto"/>
                <w:highlight w:val="none"/>
                <w:lang w:val="zh-CN"/>
              </w:rPr>
              <w:t>2.接收质疑函方式：供应商在法定时间内以书面形式现场、邮寄或快递提交质疑函（邮寄以寄出的邮戳日期为准，快递以受送达人在签收单上签收之日为准），逾期提交不予受理。</w:t>
            </w:r>
            <w:r>
              <w:rPr>
                <w:rFonts w:hint="eastAsia" w:ascii="宋体" w:hAnsi="宋体" w:cs="宋体"/>
                <w:color w:val="auto"/>
                <w:highlight w:val="none"/>
                <w:lang w:val="zh-CN"/>
              </w:rPr>
              <w:br w:type="textWrapping"/>
            </w:r>
            <w:r>
              <w:rPr>
                <w:rFonts w:hint="eastAsia" w:ascii="宋体" w:hAnsi="宋体" w:cs="宋体"/>
                <w:color w:val="auto"/>
                <w:highlight w:val="none"/>
                <w:lang w:val="zh-CN"/>
              </w:rPr>
              <w:t>招标代理机构联系人：殷先生</w:t>
            </w:r>
            <w:r>
              <w:rPr>
                <w:rFonts w:hint="eastAsia" w:ascii="宋体" w:hAnsi="宋体" w:cs="宋体"/>
                <w:color w:val="auto"/>
                <w:highlight w:val="none"/>
                <w:lang w:val="zh-CN"/>
              </w:rPr>
              <w:br w:type="textWrapping"/>
            </w:r>
            <w:r>
              <w:rPr>
                <w:rFonts w:hint="eastAsia" w:ascii="宋体" w:hAnsi="宋体" w:cs="宋体"/>
                <w:color w:val="auto"/>
                <w:highlight w:val="none"/>
                <w:lang w:val="zh-CN"/>
              </w:rPr>
              <w:t>联系电话：</w:t>
            </w:r>
            <w:r>
              <w:rPr>
                <w:rFonts w:hint="eastAsia" w:ascii="宋体" w:hAnsi="宋体" w:cs="宋体"/>
                <w:color w:val="auto"/>
                <w:highlight w:val="none"/>
                <w:lang w:val="en-US" w:eastAsia="zh-CN"/>
              </w:rPr>
              <w:t>028-86095158</w:t>
            </w:r>
            <w:r>
              <w:rPr>
                <w:rFonts w:hint="eastAsia" w:ascii="宋体" w:hAnsi="宋体" w:cs="宋体"/>
                <w:color w:val="auto"/>
                <w:highlight w:val="none"/>
                <w:lang w:val="zh-CN"/>
              </w:rPr>
              <w:br w:type="textWrapping"/>
            </w:r>
            <w:r>
              <w:rPr>
                <w:rFonts w:hint="eastAsia" w:ascii="宋体" w:hAnsi="宋体" w:cs="宋体"/>
                <w:color w:val="auto"/>
                <w:highlight w:val="none"/>
                <w:lang w:val="zh-CN"/>
              </w:rPr>
              <w:t>地址：</w:t>
            </w:r>
            <w:r>
              <w:rPr>
                <w:rFonts w:hint="eastAsia" w:ascii="宋体" w:hAnsi="宋体" w:cs="宋体"/>
                <w:color w:val="auto"/>
                <w:highlight w:val="none"/>
                <w:lang w:val="zh-CN" w:eastAsia="zh-CN"/>
              </w:rPr>
              <w:t>成都市锦江区三色路银海芯座A栋1单元14层03号</w:t>
            </w:r>
            <w:r>
              <w:rPr>
                <w:rFonts w:hint="eastAsia" w:ascii="宋体" w:hAnsi="宋体" w:cs="宋体"/>
                <w:color w:val="auto"/>
                <w:highlight w:val="none"/>
                <w:lang w:val="zh-CN"/>
              </w:rPr>
              <w:br w:type="textWrapping"/>
            </w:r>
            <w:r>
              <w:rPr>
                <w:rFonts w:hint="eastAsia" w:ascii="宋体" w:hAnsi="宋体" w:cs="宋体"/>
                <w:color w:val="auto"/>
                <w:highlight w:val="none"/>
                <w:lang w:val="zh-CN"/>
              </w:rPr>
              <w:t>注：1.根据《中华人民共和国政府采购法》等法律法规规定，供应商质疑应当有明确的请求和必要的证明材料，须符合中华人民共和国财政部令第94号《政府采购质疑和投诉办法》规定。2.供应商应当在法定质疑期内一次性提出针对同一采购程序环节的质疑，否则不予受理。3.供应商质疑不得超出采购文件、采购过程、采购结果的范围，不得进行虚假、恶意质疑，不得以质疑为手段获取不当得利、实现非法目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691" w:type="dxa"/>
            <w:vAlign w:val="center"/>
          </w:tcPr>
          <w:p>
            <w:pPr>
              <w:jc w:val="center"/>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19</w:t>
            </w:r>
          </w:p>
        </w:tc>
        <w:tc>
          <w:tcPr>
            <w:tcW w:w="2085" w:type="dxa"/>
            <w:vAlign w:val="center"/>
          </w:tcPr>
          <w:p>
            <w:pPr>
              <w:jc w:val="center"/>
              <w:rPr>
                <w:rFonts w:ascii="宋体" w:hAnsi="宋体" w:cs="宋体"/>
                <w:color w:val="auto"/>
                <w:highlight w:val="none"/>
              </w:rPr>
            </w:pPr>
            <w:r>
              <w:rPr>
                <w:rFonts w:hint="eastAsia" w:ascii="宋体" w:hAnsi="宋体" w:cs="宋体"/>
                <w:color w:val="auto"/>
                <w:highlight w:val="none"/>
              </w:rPr>
              <w:t>供应商投诉</w:t>
            </w:r>
          </w:p>
        </w:tc>
        <w:tc>
          <w:tcPr>
            <w:tcW w:w="6830" w:type="dxa"/>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投诉受理单位：</w:t>
            </w:r>
            <w:r>
              <w:rPr>
                <w:rFonts w:hint="eastAsia" w:ascii="宋体" w:hAnsi="宋体" w:eastAsia="宋体" w:cs="宋体"/>
                <w:color w:val="auto"/>
                <w:sz w:val="21"/>
                <w:szCs w:val="21"/>
                <w:highlight w:val="none"/>
                <w:lang w:val="en-US" w:eastAsia="zh-CN"/>
              </w:rPr>
              <w:t>成都市新都区财政局，地址：成都市新都区马超东路289号金融服务中心，联系电话：028-89396791；</w:t>
            </w:r>
          </w:p>
          <w:p>
            <w:pPr>
              <w:rPr>
                <w:rFonts w:hint="eastAsia" w:ascii="宋体" w:hAnsi="宋体" w:cs="宋体"/>
                <w:color w:val="auto"/>
                <w:highlight w:val="none"/>
                <w:lang w:val="zh-CN"/>
              </w:rPr>
            </w:pPr>
            <w:r>
              <w:rPr>
                <w:rFonts w:hint="eastAsia" w:ascii="宋体" w:hAnsi="宋体" w:cs="宋体"/>
                <w:color w:val="auto"/>
                <w:highlight w:val="none"/>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691" w:type="dxa"/>
            <w:vAlign w:val="center"/>
          </w:tcPr>
          <w:p>
            <w:pPr>
              <w:jc w:val="center"/>
              <w:rPr>
                <w:rFonts w:ascii="宋体" w:hAnsi="宋体" w:cs="宋体"/>
                <w:b/>
                <w:bCs/>
                <w:color w:val="auto"/>
                <w:highlight w:val="none"/>
              </w:rPr>
            </w:pPr>
          </w:p>
          <w:p>
            <w:pPr>
              <w:jc w:val="center"/>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20</w:t>
            </w:r>
          </w:p>
        </w:tc>
        <w:tc>
          <w:tcPr>
            <w:tcW w:w="2085" w:type="dxa"/>
            <w:tcBorders>
              <w:right w:val="single" w:color="auto" w:sz="4" w:space="0"/>
            </w:tcBorders>
            <w:vAlign w:val="center"/>
          </w:tcPr>
          <w:p>
            <w:pPr>
              <w:jc w:val="center"/>
              <w:rPr>
                <w:rFonts w:ascii="宋体" w:hAnsi="宋体" w:cs="宋体"/>
                <w:color w:val="auto"/>
                <w:highlight w:val="none"/>
              </w:rPr>
            </w:pPr>
          </w:p>
          <w:p>
            <w:pPr>
              <w:jc w:val="center"/>
              <w:rPr>
                <w:rFonts w:ascii="宋体" w:hAnsi="宋体" w:cs="宋体"/>
                <w:color w:val="auto"/>
                <w:highlight w:val="none"/>
              </w:rPr>
            </w:pPr>
            <w:r>
              <w:rPr>
                <w:rFonts w:hint="eastAsia" w:ascii="宋体" w:hAnsi="宋体" w:cs="宋体"/>
                <w:color w:val="auto"/>
                <w:highlight w:val="none"/>
              </w:rPr>
              <w:t>政府采购合同</w:t>
            </w:r>
          </w:p>
          <w:p>
            <w:pPr>
              <w:jc w:val="center"/>
              <w:rPr>
                <w:rFonts w:ascii="宋体" w:hAnsi="宋体" w:cs="宋体"/>
                <w:color w:val="auto"/>
                <w:highlight w:val="none"/>
              </w:rPr>
            </w:pPr>
            <w:r>
              <w:rPr>
                <w:rFonts w:hint="eastAsia" w:ascii="宋体" w:hAnsi="宋体" w:cs="宋体"/>
                <w:color w:val="auto"/>
                <w:highlight w:val="none"/>
              </w:rPr>
              <w:t>公告备案</w:t>
            </w:r>
          </w:p>
        </w:tc>
        <w:tc>
          <w:tcPr>
            <w:tcW w:w="6830" w:type="dxa"/>
            <w:tcBorders>
              <w:left w:val="single" w:color="auto" w:sz="4" w:space="0"/>
            </w:tcBorders>
          </w:tcPr>
          <w:p>
            <w:pPr>
              <w:rPr>
                <w:rFonts w:hint="eastAsia" w:ascii="宋体" w:hAnsi="宋体" w:cs="宋体"/>
                <w:color w:val="auto"/>
                <w:highlight w:val="none"/>
                <w:lang w:val="zh-CN"/>
              </w:rPr>
            </w:pPr>
            <w:r>
              <w:rPr>
                <w:rFonts w:hint="eastAsia" w:ascii="宋体" w:hAnsi="宋体" w:cs="宋体"/>
                <w:color w:val="auto"/>
                <w:highlight w:val="none"/>
                <w:lang w:val="zh-CN"/>
              </w:rPr>
              <w:t>政府采购合同签订之日起2个工作日内，政府采购合同将在四川政府采购网公告；政府采购合同签订之日起七个工作日内，政府采购合同将向本采购项目同级财政部门备案。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691" w:type="dxa"/>
            <w:vAlign w:val="center"/>
          </w:tcPr>
          <w:p>
            <w:pPr>
              <w:jc w:val="center"/>
              <w:rPr>
                <w:rFonts w:ascii="宋体" w:hAnsi="宋体" w:cs="宋体"/>
                <w:b/>
                <w:bCs/>
                <w:color w:val="auto"/>
                <w:highlight w:val="none"/>
              </w:rPr>
            </w:pPr>
          </w:p>
          <w:p>
            <w:pPr>
              <w:jc w:val="center"/>
              <w:rPr>
                <w:rFonts w:hint="eastAsia" w:ascii="宋体" w:hAnsi="宋体" w:eastAsia="宋体" w:cs="宋体"/>
                <w:b/>
                <w:bCs/>
                <w:color w:val="auto"/>
                <w:highlight w:val="none"/>
                <w:lang w:eastAsia="zh-CN"/>
              </w:rPr>
            </w:pPr>
            <w:r>
              <w:rPr>
                <w:rFonts w:hint="eastAsia" w:ascii="宋体" w:hAnsi="宋体" w:cs="宋体"/>
                <w:b/>
                <w:bCs/>
                <w:color w:val="auto"/>
                <w:highlight w:val="none"/>
              </w:rPr>
              <w:t>2</w:t>
            </w:r>
            <w:r>
              <w:rPr>
                <w:rFonts w:hint="eastAsia" w:ascii="宋体" w:hAnsi="宋体" w:cs="宋体"/>
                <w:b/>
                <w:bCs/>
                <w:color w:val="auto"/>
                <w:highlight w:val="none"/>
                <w:lang w:val="en-US" w:eastAsia="zh-CN"/>
              </w:rPr>
              <w:t>1</w:t>
            </w:r>
          </w:p>
        </w:tc>
        <w:tc>
          <w:tcPr>
            <w:tcW w:w="2085" w:type="dxa"/>
            <w:tcBorders>
              <w:right w:val="single" w:color="auto" w:sz="4" w:space="0"/>
            </w:tcBorders>
            <w:vAlign w:val="center"/>
          </w:tcPr>
          <w:p>
            <w:pPr>
              <w:jc w:val="center"/>
              <w:rPr>
                <w:rFonts w:ascii="宋体" w:hAnsi="宋体" w:cs="宋体"/>
                <w:color w:val="auto"/>
                <w:highlight w:val="none"/>
                <w:lang w:val="zh-CN"/>
              </w:rPr>
            </w:pPr>
            <w:r>
              <w:rPr>
                <w:rFonts w:hint="eastAsia" w:ascii="宋体" w:hAnsi="宋体" w:cs="宋体"/>
                <w:color w:val="auto"/>
                <w:highlight w:val="none"/>
                <w:lang w:val="zh-TW" w:eastAsia="zh-TW"/>
              </w:rPr>
              <w:t>推进四川省政府采购供应商信用融资</w:t>
            </w:r>
          </w:p>
        </w:tc>
        <w:tc>
          <w:tcPr>
            <w:tcW w:w="6830" w:type="dxa"/>
            <w:tcBorders>
              <w:left w:val="single" w:color="auto" w:sz="4" w:space="0"/>
            </w:tcBorders>
            <w:vAlign w:val="center"/>
          </w:tcPr>
          <w:p>
            <w:pPr>
              <w:rPr>
                <w:rFonts w:hint="eastAsia" w:ascii="宋体" w:hAnsi="宋体" w:cs="宋体"/>
                <w:color w:val="auto"/>
                <w:highlight w:val="none"/>
                <w:lang w:val="zh-CN"/>
              </w:rPr>
            </w:pPr>
            <w:r>
              <w:rPr>
                <w:rFonts w:hint="eastAsia" w:ascii="宋体" w:hAnsi="宋体" w:cs="宋体"/>
                <w:color w:val="auto"/>
                <w:highlight w:val="none"/>
                <w:lang w:val="zh-CN"/>
              </w:rPr>
              <w:t>根据《四川省财政厅关于推进四川省政府采购供应商信用融资工作的通知》（川财采〔2018〕123号）、《成都市中小企业政府采购信用融资暂行办法》和《成都市级支持中小企业政府采购信用融资实施方案》（成财采〔2019〕17号）、《成都市新都区财政局关于公布新都区开展政府采购信用融资业务金融机构名单的通知》（新都财采〔2021〕160号）等有关规定，符合通知要求，有融资需求的供应商可根据各级财政部门公示的银行或融资机构及其“政采贷”产品，自行选择符合自身情况的“政采贷”银行及其产品，凭中标（成交）通知书、政府采购合同向银行提出贷款申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691" w:type="dxa"/>
            <w:vAlign w:val="center"/>
          </w:tcPr>
          <w:p>
            <w:pPr>
              <w:jc w:val="center"/>
              <w:rPr>
                <w:rFonts w:hint="eastAsia" w:ascii="宋体" w:hAnsi="宋体" w:eastAsia="宋体" w:cs="宋体"/>
                <w:b/>
                <w:bCs/>
                <w:color w:val="auto"/>
                <w:highlight w:val="none"/>
                <w:lang w:eastAsia="zh-CN"/>
              </w:rPr>
            </w:pPr>
            <w:r>
              <w:rPr>
                <w:rFonts w:hint="eastAsia" w:ascii="宋体" w:hAnsi="宋体" w:cs="宋体"/>
                <w:b/>
                <w:bCs/>
                <w:color w:val="auto"/>
                <w:highlight w:val="none"/>
              </w:rPr>
              <w:t>2</w:t>
            </w:r>
            <w:r>
              <w:rPr>
                <w:rFonts w:hint="eastAsia" w:ascii="宋体" w:hAnsi="宋体" w:cs="宋体"/>
                <w:b/>
                <w:bCs/>
                <w:color w:val="auto"/>
                <w:highlight w:val="none"/>
                <w:lang w:val="en-US" w:eastAsia="zh-CN"/>
              </w:rPr>
              <w:t>2</w:t>
            </w:r>
          </w:p>
        </w:tc>
        <w:tc>
          <w:tcPr>
            <w:tcW w:w="2085" w:type="dxa"/>
            <w:tcBorders>
              <w:right w:val="single" w:color="auto" w:sz="4" w:space="0"/>
            </w:tcBorders>
            <w:vAlign w:val="center"/>
          </w:tcPr>
          <w:p>
            <w:pPr>
              <w:jc w:val="center"/>
              <w:rPr>
                <w:rFonts w:ascii="宋体" w:hAnsi="宋体" w:cs="宋体"/>
                <w:color w:val="auto"/>
                <w:highlight w:val="none"/>
                <w:lang w:val="zh-TW" w:eastAsia="zh-TW"/>
              </w:rPr>
            </w:pPr>
            <w:r>
              <w:rPr>
                <w:rFonts w:hint="eastAsia" w:ascii="宋体" w:hAnsi="宋体" w:cs="宋体"/>
                <w:color w:val="auto"/>
                <w:highlight w:val="none"/>
                <w:lang w:val="zh-CN"/>
              </w:rPr>
              <w:t>招标代理服务费</w:t>
            </w:r>
          </w:p>
        </w:tc>
        <w:tc>
          <w:tcPr>
            <w:tcW w:w="6830" w:type="dxa"/>
            <w:tcBorders>
              <w:left w:val="single" w:color="auto" w:sz="4" w:space="0"/>
            </w:tcBorders>
            <w:vAlign w:val="center"/>
          </w:tcPr>
          <w:p>
            <w:pPr>
              <w:rPr>
                <w:rFonts w:hint="default" w:ascii="宋体" w:hAnsi="宋体" w:cs="宋体"/>
                <w:color w:val="auto"/>
                <w:highlight w:val="none"/>
                <w:lang w:val="en-US" w:eastAsia="zh-CN"/>
              </w:rPr>
            </w:pPr>
            <w:r>
              <w:rPr>
                <w:rFonts w:hint="eastAsia" w:ascii="宋体" w:hAnsi="宋体" w:cs="宋体"/>
                <w:color w:val="auto"/>
                <w:highlight w:val="none"/>
                <w:lang w:val="zh-TW" w:eastAsia="zh-CN"/>
              </w:rPr>
              <w:t>按“成本+合理利润”原则，按预算金额收取。</w:t>
            </w:r>
            <w:r>
              <w:rPr>
                <w:rFonts w:hint="eastAsia" w:ascii="宋体" w:hAnsi="宋体" w:cs="宋体"/>
                <w:color w:val="auto"/>
                <w:highlight w:val="none"/>
                <w:lang w:val="en-US" w:eastAsia="zh-CN"/>
              </w:rPr>
              <w:t>由中标供应商在领取中标通知书前向招标代理机构交纳招标代理服务费。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691" w:type="dxa"/>
            <w:vAlign w:val="center"/>
          </w:tcPr>
          <w:p>
            <w:pPr>
              <w:jc w:val="center"/>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23</w:t>
            </w:r>
          </w:p>
        </w:tc>
        <w:tc>
          <w:tcPr>
            <w:tcW w:w="2085" w:type="dxa"/>
            <w:tcBorders>
              <w:right w:val="single" w:color="auto" w:sz="4" w:space="0"/>
            </w:tcBorders>
            <w:vAlign w:val="center"/>
          </w:tcPr>
          <w:p>
            <w:pPr>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本项目所属行业</w:t>
            </w:r>
          </w:p>
        </w:tc>
        <w:tc>
          <w:tcPr>
            <w:tcW w:w="6830" w:type="dxa"/>
            <w:tcBorders>
              <w:left w:val="single" w:color="auto" w:sz="4" w:space="0"/>
            </w:tcBorders>
            <w:vAlign w:val="center"/>
          </w:tcPr>
          <w:p>
            <w:pPr>
              <w:rPr>
                <w:rFonts w:hint="eastAsia" w:ascii="宋体" w:hAnsi="宋体" w:eastAsia="宋体" w:cs="宋体"/>
                <w:color w:val="auto"/>
                <w:highlight w:val="none"/>
                <w:lang w:val="en-US" w:eastAsia="zh-CN"/>
              </w:rPr>
            </w:pPr>
            <w:r>
              <w:rPr>
                <w:rFonts w:hint="eastAsia" w:hAnsi="宋体" w:eastAsia="宋体" w:cs="宋体"/>
                <w:color w:val="auto"/>
                <w:sz w:val="21"/>
                <w:szCs w:val="21"/>
                <w:highlight w:val="none"/>
                <w:lang w:eastAsia="zh-CN"/>
              </w:rPr>
              <w:t>本项目所属行业为</w:t>
            </w:r>
            <w:r>
              <w:rPr>
                <w:rFonts w:hint="eastAsia" w:hAnsi="宋体" w:eastAsia="宋体" w:cs="宋体"/>
                <w:b/>
                <w:bCs/>
                <w:color w:val="auto"/>
                <w:sz w:val="21"/>
                <w:szCs w:val="21"/>
                <w:highlight w:val="none"/>
                <w:u w:val="single"/>
                <w:lang w:val="en-US" w:eastAsia="zh-CN"/>
              </w:rPr>
              <w:t>信息传输、软件和信息技术服务业</w:t>
            </w:r>
            <w:r>
              <w:rPr>
                <w:rFonts w:hint="eastAsia" w:hAnsi="宋体" w:eastAsia="宋体" w:cs="宋体"/>
                <w:color w:val="auto"/>
                <w:sz w:val="21"/>
                <w:szCs w:val="21"/>
                <w:highlight w:val="none"/>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691" w:type="dxa"/>
            <w:vAlign w:val="center"/>
          </w:tcPr>
          <w:p>
            <w:pPr>
              <w:jc w:val="center"/>
              <w:rPr>
                <w:rFonts w:hint="default" w:ascii="宋体" w:hAnsi="宋体" w:cs="宋体"/>
                <w:b/>
                <w:bCs/>
                <w:color w:val="auto"/>
                <w:highlight w:val="none"/>
                <w:lang w:val="en-US" w:eastAsia="zh-CN"/>
              </w:rPr>
            </w:pPr>
            <w:r>
              <w:rPr>
                <w:rFonts w:hint="eastAsia" w:ascii="宋体" w:hAnsi="宋体" w:cs="宋体"/>
                <w:b/>
                <w:bCs/>
                <w:color w:val="auto"/>
                <w:highlight w:val="none"/>
                <w:lang w:val="en-US" w:eastAsia="zh-CN"/>
              </w:rPr>
              <w:t>24</w:t>
            </w:r>
          </w:p>
        </w:tc>
        <w:tc>
          <w:tcPr>
            <w:tcW w:w="2085" w:type="dxa"/>
            <w:tcBorders>
              <w:right w:val="single" w:color="auto" w:sz="4" w:space="0"/>
            </w:tcBorders>
            <w:vAlign w:val="center"/>
          </w:tcPr>
          <w:p>
            <w:pPr>
              <w:jc w:val="center"/>
              <w:rPr>
                <w:rFonts w:hint="eastAsia" w:ascii="宋体" w:hAnsi="宋体" w:cs="宋体"/>
                <w:color w:val="auto"/>
                <w:highlight w:val="none"/>
                <w:lang w:val="en-US" w:eastAsia="zh-CN"/>
              </w:rPr>
            </w:pPr>
            <w:r>
              <w:rPr>
                <w:rFonts w:hint="eastAsia" w:ascii="宋体" w:hAnsi="宋体" w:cs="宋体"/>
                <w:color w:val="auto"/>
                <w:highlight w:val="none"/>
                <w:lang w:val="zh-CN" w:eastAsia="zh-TW"/>
              </w:rPr>
              <w:t>温馨提示</w:t>
            </w:r>
          </w:p>
        </w:tc>
        <w:tc>
          <w:tcPr>
            <w:tcW w:w="6830" w:type="dxa"/>
            <w:tcBorders>
              <w:left w:val="single" w:color="auto" w:sz="4" w:space="0"/>
            </w:tcBorders>
            <w:vAlign w:val="center"/>
          </w:tcPr>
          <w:p>
            <w:pPr>
              <w:jc w:val="left"/>
              <w:rPr>
                <w:rFonts w:hint="eastAsia" w:ascii="宋体" w:hAnsi="宋体" w:cs="宋体"/>
                <w:color w:val="auto"/>
                <w:highlight w:val="none"/>
                <w:lang w:val="zh-CN" w:eastAsia="zh-TW"/>
              </w:rPr>
            </w:pPr>
            <w:r>
              <w:rPr>
                <w:rFonts w:hint="eastAsia" w:ascii="宋体" w:hAnsi="宋体" w:cs="宋体"/>
                <w:color w:val="auto"/>
                <w:highlight w:val="none"/>
                <w:lang w:val="zh-CN" w:eastAsia="zh-TW"/>
              </w:rPr>
              <w:t>（</w:t>
            </w:r>
            <w:r>
              <w:rPr>
                <w:rFonts w:hint="eastAsia" w:ascii="宋体" w:hAnsi="宋体" w:cs="宋体"/>
                <w:color w:val="auto"/>
                <w:highlight w:val="none"/>
                <w:lang w:val="zh-TW" w:eastAsia="zh-TW"/>
              </w:rPr>
              <w:t>1</w:t>
            </w:r>
            <w:r>
              <w:rPr>
                <w:rFonts w:hint="eastAsia" w:ascii="宋体" w:hAnsi="宋体" w:cs="宋体"/>
                <w:color w:val="auto"/>
                <w:highlight w:val="none"/>
                <w:lang w:val="zh-CN" w:eastAsia="zh-TW"/>
              </w:rPr>
              <w:t>）供应商需准备全流程所必需的硬件设备包括电脑（版本 win7 64位及以上）、麦克风、摄像头、CA证书等。建议使用同一台电脑完成投标、评标相关事宜，推荐安装 chrome 浏览器，且解密CA必须和加密CA为同一把。</w:t>
            </w:r>
          </w:p>
          <w:p>
            <w:pPr>
              <w:jc w:val="left"/>
              <w:rPr>
                <w:rFonts w:hint="eastAsia" w:ascii="宋体" w:hAnsi="宋体" w:cs="宋体"/>
                <w:color w:val="auto"/>
                <w:highlight w:val="none"/>
                <w:lang w:val="zh-CN" w:eastAsia="zh-TW"/>
              </w:rPr>
            </w:pPr>
            <w:r>
              <w:rPr>
                <w:rFonts w:hint="eastAsia" w:ascii="宋体" w:hAnsi="宋体" w:cs="宋体"/>
                <w:color w:val="auto"/>
                <w:highlight w:val="none"/>
                <w:lang w:val="zh-CN" w:eastAsia="zh-TW"/>
              </w:rPr>
              <w:t>（</w:t>
            </w:r>
            <w:r>
              <w:rPr>
                <w:rFonts w:hint="eastAsia" w:ascii="宋体" w:hAnsi="宋体" w:cs="宋体"/>
                <w:color w:val="auto"/>
                <w:highlight w:val="none"/>
                <w:lang w:val="zh-TW" w:eastAsia="zh-TW"/>
              </w:rPr>
              <w:t>2</w:t>
            </w:r>
            <w:r>
              <w:rPr>
                <w:rFonts w:hint="eastAsia" w:ascii="宋体" w:hAnsi="宋体" w:cs="宋体"/>
                <w:color w:val="auto"/>
                <w:highlight w:val="none"/>
                <w:lang w:val="zh-CN" w:eastAsia="zh-TW"/>
              </w:rPr>
              <w:t>）政府采购云平台供应商注册地址：</w:t>
            </w:r>
          </w:p>
          <w:p>
            <w:pPr>
              <w:jc w:val="left"/>
              <w:rPr>
                <w:rFonts w:hint="eastAsia" w:ascii="宋体" w:hAnsi="宋体" w:cs="宋体"/>
                <w:color w:val="auto"/>
                <w:highlight w:val="none"/>
                <w:lang w:val="en-US" w:eastAsia="zh-CN"/>
              </w:rPr>
            </w:pPr>
            <w:r>
              <w:rPr>
                <w:rFonts w:hint="eastAsia" w:ascii="宋体" w:hAnsi="宋体" w:cs="宋体"/>
                <w:color w:val="auto"/>
                <w:highlight w:val="none"/>
                <w:lang w:val="zh-CN" w:eastAsia="zh-TW"/>
              </w:rPr>
              <w:t>https://middle.zcygov.cn/v-settle-front/registry?settleCategory=1&amp;entranceType=119&amp;utm=a0017.b1347.cl50.3.c0de9400b91b11eb870ad7da87d69c97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3" w:hRule="atLeast"/>
          <w:jc w:val="center"/>
        </w:trPr>
        <w:tc>
          <w:tcPr>
            <w:tcW w:w="691" w:type="dxa"/>
            <w:vAlign w:val="center"/>
          </w:tcPr>
          <w:p>
            <w:pPr>
              <w:jc w:val="center"/>
              <w:rPr>
                <w:rFonts w:hint="eastAsia" w:ascii="宋体" w:hAnsi="宋体" w:eastAsia="宋体" w:cs="宋体"/>
                <w:b/>
                <w:bCs/>
                <w:color w:val="auto"/>
                <w:highlight w:val="none"/>
                <w:lang w:eastAsia="zh-CN"/>
              </w:rPr>
            </w:pPr>
            <w:r>
              <w:rPr>
                <w:rFonts w:hint="eastAsia" w:ascii="宋体" w:hAnsi="宋体" w:cs="宋体"/>
                <w:b/>
                <w:bCs/>
                <w:color w:val="auto"/>
                <w:highlight w:val="none"/>
              </w:rPr>
              <w:t>2</w:t>
            </w:r>
            <w:r>
              <w:rPr>
                <w:rFonts w:hint="eastAsia" w:ascii="宋体" w:hAnsi="宋体" w:cs="宋体"/>
                <w:b/>
                <w:bCs/>
                <w:color w:val="auto"/>
                <w:highlight w:val="none"/>
                <w:lang w:val="en-US" w:eastAsia="zh-CN"/>
              </w:rPr>
              <w:t>5</w:t>
            </w:r>
          </w:p>
        </w:tc>
        <w:tc>
          <w:tcPr>
            <w:tcW w:w="2085" w:type="dxa"/>
            <w:tcBorders>
              <w:right w:val="single" w:color="auto" w:sz="4" w:space="0"/>
            </w:tcBorders>
            <w:vAlign w:val="center"/>
          </w:tcPr>
          <w:p>
            <w:pPr>
              <w:jc w:val="center"/>
              <w:rPr>
                <w:rFonts w:ascii="宋体" w:hAnsi="宋体" w:cs="宋体"/>
                <w:color w:val="auto"/>
                <w:highlight w:val="none"/>
                <w:lang w:val="zh-TW" w:eastAsia="zh-TW"/>
              </w:rPr>
            </w:pPr>
            <w:r>
              <w:rPr>
                <w:rFonts w:hint="eastAsia" w:ascii="宋体" w:hAnsi="宋体" w:cs="宋体"/>
                <w:color w:val="auto"/>
                <w:highlight w:val="none"/>
                <w:lang w:val="zh-CN"/>
              </w:rPr>
              <w:t>备注</w:t>
            </w:r>
          </w:p>
        </w:tc>
        <w:tc>
          <w:tcPr>
            <w:tcW w:w="6830" w:type="dxa"/>
            <w:tcBorders>
              <w:left w:val="single" w:color="auto" w:sz="4" w:space="0"/>
            </w:tcBorders>
            <w:vAlign w:val="center"/>
          </w:tcPr>
          <w:p>
            <w:pPr>
              <w:rPr>
                <w:rFonts w:hint="eastAsia" w:ascii="宋体" w:hAnsi="宋体" w:cs="宋体"/>
                <w:color w:val="auto"/>
                <w:highlight w:val="none"/>
                <w:lang w:val="zh-TW" w:eastAsia="zh-TW"/>
              </w:rPr>
            </w:pPr>
            <w:r>
              <w:rPr>
                <w:rFonts w:hint="eastAsia" w:ascii="宋体" w:hAnsi="宋体" w:cs="宋体"/>
                <w:color w:val="auto"/>
                <w:highlight w:val="none"/>
                <w:lang w:val="zh-CN"/>
              </w:rPr>
              <w:t>若采购文件中同一事项表述与供应商须知附表内容不一致的，以供应商须知附表为准。</w:t>
            </w:r>
          </w:p>
        </w:tc>
      </w:tr>
    </w:tbl>
    <w:p>
      <w:pPr>
        <w:tabs>
          <w:tab w:val="left" w:pos="5142"/>
        </w:tabs>
        <w:jc w:val="center"/>
        <w:outlineLvl w:val="1"/>
        <w:rPr>
          <w:rFonts w:ascii="宋体" w:hAnsi="宋体" w:cs="宋体"/>
          <w:b/>
          <w:color w:val="auto"/>
          <w:sz w:val="30"/>
          <w:szCs w:val="30"/>
          <w:highlight w:val="none"/>
        </w:rPr>
      </w:pPr>
      <w:bookmarkStart w:id="14" w:name="_Toc503862755"/>
      <w:r>
        <w:rPr>
          <w:rFonts w:hint="eastAsia" w:ascii="宋体" w:hAnsi="宋体" w:cs="宋体"/>
          <w:b/>
          <w:color w:val="auto"/>
          <w:sz w:val="30"/>
          <w:szCs w:val="30"/>
          <w:highlight w:val="none"/>
        </w:rPr>
        <w:t>二、总则</w:t>
      </w:r>
      <w:bookmarkEnd w:id="14"/>
    </w:p>
    <w:p>
      <w:pPr>
        <w:adjustRightInd w:val="0"/>
        <w:snapToGrid w:val="0"/>
        <w:spacing w:line="360" w:lineRule="auto"/>
        <w:ind w:firstLine="482" w:firstLineChars="200"/>
        <w:outlineLvl w:val="2"/>
        <w:rPr>
          <w:rFonts w:ascii="宋体" w:hAnsi="宋体" w:cs="宋体"/>
          <w:b/>
          <w:color w:val="auto"/>
          <w:sz w:val="24"/>
          <w:highlight w:val="none"/>
        </w:rPr>
      </w:pPr>
      <w:bookmarkStart w:id="15" w:name="_Toc183582205"/>
      <w:bookmarkStart w:id="16" w:name="_Toc183682342"/>
      <w:bookmarkStart w:id="17" w:name="_Toc503862756"/>
      <w:bookmarkStart w:id="18" w:name="_Toc217446034"/>
      <w:r>
        <w:rPr>
          <w:rFonts w:hint="eastAsia" w:ascii="宋体" w:hAnsi="宋体" w:cs="宋体"/>
          <w:b/>
          <w:color w:val="auto"/>
          <w:sz w:val="24"/>
          <w:highlight w:val="none"/>
        </w:rPr>
        <w:t>1</w:t>
      </w:r>
      <w:bookmarkEnd w:id="15"/>
      <w:bookmarkEnd w:id="16"/>
      <w:r>
        <w:rPr>
          <w:rFonts w:hint="eastAsia" w:ascii="宋体" w:hAnsi="宋体" w:cs="宋体"/>
          <w:b/>
          <w:color w:val="auto"/>
          <w:sz w:val="24"/>
          <w:highlight w:val="none"/>
        </w:rPr>
        <w:t>．适用范围</w:t>
      </w:r>
      <w:bookmarkEnd w:id="17"/>
      <w:bookmarkEnd w:id="18"/>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1.1 本招标文件仅适用于本次招标采购项目。</w:t>
      </w:r>
    </w:p>
    <w:p>
      <w:pPr>
        <w:adjustRightInd w:val="0"/>
        <w:snapToGrid w:val="0"/>
        <w:spacing w:line="360" w:lineRule="auto"/>
        <w:ind w:firstLine="482" w:firstLineChars="200"/>
        <w:outlineLvl w:val="2"/>
        <w:rPr>
          <w:rFonts w:ascii="宋体" w:hAnsi="宋体" w:cs="宋体"/>
          <w:b/>
          <w:color w:val="auto"/>
          <w:sz w:val="24"/>
          <w:highlight w:val="none"/>
        </w:rPr>
      </w:pPr>
      <w:bookmarkStart w:id="19" w:name="_Toc183682343"/>
      <w:bookmarkStart w:id="20" w:name="_Toc183582206"/>
      <w:bookmarkStart w:id="21" w:name="_Toc217446035"/>
      <w:bookmarkStart w:id="22" w:name="_Toc503862757"/>
      <w:r>
        <w:rPr>
          <w:rFonts w:hint="eastAsia" w:ascii="宋体" w:hAnsi="宋体" w:cs="宋体"/>
          <w:b/>
          <w:color w:val="auto"/>
          <w:sz w:val="24"/>
          <w:highlight w:val="none"/>
        </w:rPr>
        <w:t>2</w:t>
      </w:r>
      <w:bookmarkEnd w:id="19"/>
      <w:bookmarkEnd w:id="20"/>
      <w:r>
        <w:rPr>
          <w:rFonts w:hint="eastAsia" w:ascii="宋体" w:hAnsi="宋体" w:cs="宋体"/>
          <w:b/>
          <w:color w:val="auto"/>
          <w:sz w:val="24"/>
          <w:highlight w:val="none"/>
        </w:rPr>
        <w:t>．有关定义</w:t>
      </w:r>
      <w:bookmarkEnd w:id="21"/>
      <w:bookmarkEnd w:id="22"/>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2.1 “采购人”系指依法进行政府采购的国家机关、事业单位、团体组织。本次招标的采购人是</w:t>
      </w:r>
      <w:r>
        <w:rPr>
          <w:rFonts w:hint="eastAsia" w:ascii="宋体" w:hAnsi="宋体" w:cs="宋体"/>
          <w:bCs/>
          <w:color w:val="auto"/>
          <w:sz w:val="24"/>
          <w:highlight w:val="none"/>
          <w:u w:val="single"/>
          <w:lang w:eastAsia="zh-CN"/>
        </w:rPr>
        <w:t>成都市新都区规划和自然资源局</w:t>
      </w:r>
      <w:r>
        <w:rPr>
          <w:rFonts w:hint="eastAsia" w:ascii="宋体" w:hAnsi="宋体" w:cs="宋体"/>
          <w:bCs/>
          <w:color w:val="auto"/>
          <w:sz w:val="24"/>
          <w:highlight w:val="none"/>
        </w:rPr>
        <w:t>。</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2.2 “采购代理机构”系指根据采购人的委托依法办理招标事宜的采购机构。本次招标的采购代理机构是</w:t>
      </w:r>
      <w:r>
        <w:rPr>
          <w:rFonts w:hint="eastAsia" w:ascii="宋体" w:hAnsi="宋体" w:cs="宋体"/>
          <w:bCs/>
          <w:color w:val="auto"/>
          <w:sz w:val="24"/>
          <w:highlight w:val="none"/>
          <w:u w:val="single"/>
          <w:lang w:eastAsia="zh-CN"/>
        </w:rPr>
        <w:t>四川新宇盛项目管理集团有限公司</w:t>
      </w:r>
      <w:r>
        <w:rPr>
          <w:rFonts w:hint="eastAsia" w:ascii="宋体" w:hAnsi="宋体" w:cs="宋体"/>
          <w:bCs/>
          <w:color w:val="auto"/>
          <w:sz w:val="24"/>
          <w:highlight w:val="none"/>
        </w:rPr>
        <w:t>。</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2.3 “招标采购单位”系指“采购人”和“采购代理机构”的统称。</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2.4 “投标人”系指购买了招标文件拟参加投标和向采购人提供货物及相应服务的供应商。</w:t>
      </w:r>
    </w:p>
    <w:p>
      <w:pPr>
        <w:adjustRightInd w:val="0"/>
        <w:snapToGrid w:val="0"/>
        <w:spacing w:line="360" w:lineRule="auto"/>
        <w:ind w:firstLine="482" w:firstLineChars="200"/>
        <w:outlineLvl w:val="2"/>
        <w:rPr>
          <w:rFonts w:ascii="宋体" w:hAnsi="宋体" w:cs="宋体"/>
          <w:b/>
          <w:color w:val="auto"/>
          <w:sz w:val="24"/>
          <w:highlight w:val="none"/>
        </w:rPr>
      </w:pPr>
      <w:bookmarkStart w:id="23" w:name="_Toc217446036"/>
      <w:bookmarkStart w:id="24" w:name="_Toc217390843"/>
      <w:bookmarkStart w:id="25" w:name="_Toc183582207"/>
      <w:bookmarkStart w:id="26" w:name="_Toc183682344"/>
      <w:bookmarkStart w:id="27" w:name="_Toc503862758"/>
      <w:r>
        <w:rPr>
          <w:rFonts w:hint="eastAsia" w:ascii="宋体" w:hAnsi="宋体" w:cs="宋体"/>
          <w:b/>
          <w:color w:val="auto"/>
          <w:sz w:val="24"/>
          <w:highlight w:val="none"/>
        </w:rPr>
        <w:t>3．合格的投标人</w:t>
      </w:r>
      <w:bookmarkEnd w:id="23"/>
      <w:bookmarkEnd w:id="24"/>
      <w:bookmarkEnd w:id="25"/>
      <w:bookmarkEnd w:id="26"/>
      <w:r>
        <w:rPr>
          <w:rFonts w:hint="eastAsia" w:ascii="宋体" w:hAnsi="宋体" w:cs="宋体"/>
          <w:b/>
          <w:color w:val="auto"/>
          <w:sz w:val="24"/>
          <w:highlight w:val="none"/>
        </w:rPr>
        <w:t>（实质性要求）</w:t>
      </w:r>
      <w:bookmarkEnd w:id="27"/>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合格的投标人应具备以下条件：</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（1）本招标文件规定的供应商资格条件；</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（2）遵守国家有关的法律、法规、规章和其他政策制度；</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（3）向采购代理机构购买了招标文件。</w:t>
      </w:r>
    </w:p>
    <w:p>
      <w:pPr>
        <w:adjustRightInd w:val="0"/>
        <w:snapToGrid w:val="0"/>
        <w:spacing w:line="360" w:lineRule="auto"/>
        <w:ind w:firstLine="482" w:firstLineChars="200"/>
        <w:outlineLvl w:val="2"/>
        <w:rPr>
          <w:rFonts w:ascii="宋体" w:hAnsi="宋体" w:cs="宋体"/>
          <w:b/>
          <w:color w:val="auto"/>
          <w:sz w:val="24"/>
          <w:highlight w:val="none"/>
        </w:rPr>
      </w:pPr>
      <w:bookmarkStart w:id="28" w:name="_Toc183582208"/>
      <w:bookmarkStart w:id="29" w:name="_Toc183682345"/>
      <w:bookmarkStart w:id="30" w:name="_Toc217446037"/>
      <w:bookmarkStart w:id="31" w:name="_Toc503862759"/>
      <w:r>
        <w:rPr>
          <w:rFonts w:hint="eastAsia" w:ascii="宋体" w:hAnsi="宋体" w:cs="宋体"/>
          <w:b/>
          <w:color w:val="auto"/>
          <w:sz w:val="24"/>
          <w:highlight w:val="none"/>
        </w:rPr>
        <w:t>4．投标费用</w:t>
      </w:r>
      <w:bookmarkEnd w:id="28"/>
      <w:bookmarkEnd w:id="29"/>
      <w:bookmarkEnd w:id="30"/>
      <w:r>
        <w:rPr>
          <w:rFonts w:hint="eastAsia" w:ascii="宋体" w:hAnsi="宋体" w:cs="宋体"/>
          <w:b/>
          <w:color w:val="auto"/>
          <w:sz w:val="24"/>
          <w:highlight w:val="none"/>
        </w:rPr>
        <w:t>（实质性要求）</w:t>
      </w:r>
      <w:bookmarkEnd w:id="31"/>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投标人参加投标的有关费用由投标人自行承担。</w:t>
      </w:r>
    </w:p>
    <w:p>
      <w:pPr>
        <w:adjustRightInd w:val="0"/>
        <w:snapToGrid w:val="0"/>
        <w:spacing w:line="360" w:lineRule="auto"/>
        <w:ind w:firstLine="482" w:firstLineChars="200"/>
        <w:outlineLvl w:val="2"/>
        <w:rPr>
          <w:rFonts w:ascii="宋体" w:hAnsi="宋体" w:cs="宋体"/>
          <w:b/>
          <w:color w:val="auto"/>
          <w:sz w:val="24"/>
          <w:highlight w:val="none"/>
        </w:rPr>
      </w:pPr>
      <w:bookmarkStart w:id="32" w:name="_Toc503862760"/>
      <w:r>
        <w:rPr>
          <w:rFonts w:hint="eastAsia" w:ascii="宋体" w:hAnsi="宋体" w:cs="宋体"/>
          <w:b/>
          <w:color w:val="auto"/>
          <w:sz w:val="24"/>
          <w:highlight w:val="none"/>
        </w:rPr>
        <w:t>5．充分、公平竞争保障措施（实质性要求）</w:t>
      </w:r>
      <w:bookmarkEnd w:id="32"/>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5.2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adjustRightInd w:val="0"/>
        <w:snapToGrid w:val="0"/>
        <w:spacing w:line="360" w:lineRule="auto"/>
        <w:ind w:firstLine="480" w:firstLineChars="200"/>
        <w:rPr>
          <w:rFonts w:hint="eastAsia" w:ascii="宋体" w:hAnsi="宋体" w:cs="宋体"/>
          <w:bCs/>
          <w:color w:val="auto"/>
          <w:sz w:val="24"/>
          <w:highlight w:val="none"/>
        </w:rPr>
      </w:pPr>
      <w:bookmarkStart w:id="33" w:name="page12"/>
      <w:bookmarkEnd w:id="33"/>
      <w:r>
        <w:rPr>
          <w:rFonts w:hint="eastAsia" w:ascii="宋体" w:hAnsi="宋体" w:cs="宋体"/>
          <w:bCs/>
          <w:color w:val="auto"/>
          <w:sz w:val="24"/>
          <w:highlight w:val="none"/>
        </w:rPr>
        <w:t>5.3利害关系代理人处理。</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5.3.1 2家以上的供应商不得在同一合同项下的采购项目中，同时委托同一个自然人、同一家庭的人员、同一单位的人员作为其代理人，否则，其投标文件作为无效处理。</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5.3.2 供应商实际控制人或者中高级管理人员，同时是采购代理机构工作人员，不得参与本项目政府采购活动。</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5.3.3 同一母公司的两家以上的子公司只能组成联合体参加本项目同一合同下的采购活动，不得以不同供应商身份同时参加本项目同一合同项下的采购活动。</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5.3.4 供应商与采购代理机构存在关联关系或者是采购代理机构的母公司或子公司，不得参与本项目政府采购活动。</w:t>
      </w:r>
    </w:p>
    <w:p>
      <w:pPr>
        <w:tabs>
          <w:tab w:val="left" w:pos="5142"/>
        </w:tabs>
        <w:jc w:val="center"/>
        <w:outlineLvl w:val="1"/>
        <w:rPr>
          <w:rFonts w:ascii="宋体" w:hAnsi="宋体" w:cs="宋体"/>
          <w:b/>
          <w:color w:val="auto"/>
          <w:sz w:val="30"/>
          <w:szCs w:val="30"/>
          <w:highlight w:val="none"/>
        </w:rPr>
      </w:pPr>
      <w:bookmarkStart w:id="34" w:name="_Toc217446038"/>
      <w:bookmarkStart w:id="35" w:name="_Toc183682346"/>
      <w:bookmarkStart w:id="36" w:name="_Toc183582209"/>
      <w:bookmarkStart w:id="37" w:name="_Toc89075875"/>
      <w:bookmarkStart w:id="38" w:name="_Toc77400779"/>
      <w:bookmarkStart w:id="39" w:name="_Toc503862761"/>
      <w:r>
        <w:rPr>
          <w:rFonts w:hint="eastAsia" w:ascii="宋体" w:hAnsi="宋体" w:cs="宋体"/>
          <w:b/>
          <w:color w:val="auto"/>
          <w:sz w:val="30"/>
          <w:szCs w:val="30"/>
          <w:highlight w:val="none"/>
        </w:rPr>
        <w:t>三、招标文件</w:t>
      </w:r>
      <w:bookmarkEnd w:id="34"/>
      <w:bookmarkEnd w:id="35"/>
      <w:bookmarkEnd w:id="36"/>
      <w:bookmarkEnd w:id="37"/>
      <w:bookmarkEnd w:id="38"/>
      <w:bookmarkEnd w:id="39"/>
    </w:p>
    <w:p>
      <w:pPr>
        <w:adjustRightInd w:val="0"/>
        <w:snapToGrid w:val="0"/>
        <w:spacing w:line="360" w:lineRule="auto"/>
        <w:ind w:firstLine="482" w:firstLineChars="200"/>
        <w:outlineLvl w:val="2"/>
        <w:rPr>
          <w:rFonts w:ascii="宋体" w:hAnsi="宋体" w:cs="宋体"/>
          <w:b/>
          <w:color w:val="auto"/>
          <w:sz w:val="24"/>
          <w:highlight w:val="none"/>
        </w:rPr>
      </w:pPr>
      <w:bookmarkStart w:id="40" w:name="_Toc183582210"/>
      <w:bookmarkStart w:id="41" w:name="_Toc503862762"/>
      <w:bookmarkStart w:id="42" w:name="_Toc217446039"/>
      <w:bookmarkStart w:id="43" w:name="_Toc183682347"/>
      <w:r>
        <w:rPr>
          <w:rFonts w:hint="eastAsia" w:ascii="宋体" w:hAnsi="宋体" w:cs="宋体"/>
          <w:b/>
          <w:color w:val="auto"/>
          <w:sz w:val="24"/>
          <w:highlight w:val="none"/>
        </w:rPr>
        <w:t>6．招标文件的构成</w:t>
      </w:r>
      <w:bookmarkEnd w:id="40"/>
      <w:bookmarkEnd w:id="41"/>
      <w:bookmarkEnd w:id="42"/>
      <w:bookmarkEnd w:id="43"/>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（一）投标邀请；</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（二）投标人须知；</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（三）投标文件格式；</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（四）投标人和投标产品的资格、资质性及其他类似效力要求；</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（五）投标人应当提供的资格、资质性及其他类似效力要求的相关证明材料；</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（六）招标项目技术、商务及其他要求；</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（七）评标办法；</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（八）政府采购合同（样例）。</w:t>
      </w:r>
    </w:p>
    <w:p>
      <w:pPr>
        <w:adjustRightInd w:val="0"/>
        <w:snapToGrid w:val="0"/>
        <w:spacing w:line="360" w:lineRule="auto"/>
        <w:ind w:firstLine="482" w:firstLineChars="200"/>
        <w:outlineLvl w:val="2"/>
        <w:rPr>
          <w:rFonts w:ascii="宋体" w:hAnsi="宋体" w:cs="宋体"/>
          <w:b/>
          <w:color w:val="auto"/>
          <w:sz w:val="24"/>
          <w:highlight w:val="none"/>
        </w:rPr>
      </w:pPr>
      <w:bookmarkStart w:id="44" w:name="_Toc183682348"/>
      <w:bookmarkStart w:id="45" w:name="_Toc183582211"/>
      <w:bookmarkStart w:id="46" w:name="_Toc217446040"/>
      <w:bookmarkStart w:id="47" w:name="_Toc503862763"/>
      <w:r>
        <w:rPr>
          <w:rFonts w:hint="eastAsia" w:ascii="宋体" w:hAnsi="宋体" w:cs="宋体"/>
          <w:b/>
          <w:color w:val="auto"/>
          <w:sz w:val="24"/>
          <w:highlight w:val="none"/>
        </w:rPr>
        <w:t>7．招标文件的澄清</w:t>
      </w:r>
      <w:bookmarkEnd w:id="44"/>
      <w:bookmarkEnd w:id="45"/>
      <w:r>
        <w:rPr>
          <w:rFonts w:hint="eastAsia" w:ascii="宋体" w:hAnsi="宋体" w:cs="宋体"/>
          <w:b/>
          <w:color w:val="auto"/>
          <w:sz w:val="24"/>
          <w:highlight w:val="none"/>
        </w:rPr>
        <w:t>和修改</w:t>
      </w:r>
      <w:bookmarkEnd w:id="46"/>
      <w:bookmarkEnd w:id="47"/>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7.1招标采购单位可以依法对招标文件进行澄清或者修改。</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7.2澄清或者修改的内容，将在“四川政府采购网”上发布</w:t>
      </w:r>
      <w:r>
        <w:rPr>
          <w:rFonts w:hint="eastAsia" w:ascii="宋体" w:hAnsi="宋体" w:cs="宋体"/>
          <w:bCs/>
          <w:color w:val="auto"/>
          <w:sz w:val="24"/>
          <w:highlight w:val="none"/>
          <w:lang w:eastAsia="zh-CN"/>
        </w:rPr>
        <w:t>更正</w:t>
      </w:r>
      <w:r>
        <w:rPr>
          <w:rFonts w:hint="eastAsia" w:ascii="宋体" w:hAnsi="宋体" w:cs="宋体"/>
          <w:bCs/>
          <w:color w:val="auto"/>
          <w:sz w:val="24"/>
          <w:highlight w:val="none"/>
        </w:rPr>
        <w:t>公告，同时通过政府采购云平台将澄清或者修改的内容告知所有在系统中成功获取招标文件的潜在投标人（投标人通过账号或CA证书登录云平台查看）</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3日前；不足上述时间的，应当顺延提交投标文件、资格预审申请文件的截止时间。</w:t>
      </w:r>
    </w:p>
    <w:p>
      <w:pPr>
        <w:adjustRightInd w:val="0"/>
        <w:snapToGrid w:val="0"/>
        <w:spacing w:line="360" w:lineRule="auto"/>
        <w:ind w:firstLine="480" w:firstLineChars="200"/>
        <w:rPr>
          <w:rFonts w:hint="eastAsia" w:ascii="宋体" w:hAnsi="宋体" w:cs="宋体"/>
          <w:bCs/>
          <w:color w:val="auto"/>
          <w:sz w:val="24"/>
          <w:highlight w:val="none"/>
          <w:lang w:eastAsia="zh-CN"/>
        </w:rPr>
      </w:pPr>
      <w:r>
        <w:rPr>
          <w:rFonts w:hint="eastAsia" w:ascii="宋体" w:hAnsi="宋体" w:cs="宋体"/>
          <w:bCs/>
          <w:color w:val="auto"/>
          <w:sz w:val="24"/>
          <w:highlight w:val="none"/>
          <w:lang w:eastAsia="zh-CN"/>
        </w:rPr>
        <w:t>供应商应于投标文件递交截止时间之前在四川政府采购网查询本项目的更正公告，以保证其对招标文件做出正确的响应。供应商未按要求下载相关文件，或由于未及时关注更正公告的信息造成的后果，其责任由供应商自行负责。</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7.3 投标人认为需要对招标文件进行澄清或者修改的，可以以书面形式向招标采购单位构提出申请，但招标采购单位可以决定是否采纳投标人的申请事项。</w:t>
      </w:r>
    </w:p>
    <w:p>
      <w:pPr>
        <w:adjustRightInd w:val="0"/>
        <w:snapToGrid w:val="0"/>
        <w:spacing w:line="360" w:lineRule="auto"/>
        <w:ind w:firstLine="482" w:firstLineChars="200"/>
        <w:outlineLvl w:val="2"/>
        <w:rPr>
          <w:rFonts w:ascii="宋体" w:hAnsi="宋体" w:cs="宋体"/>
          <w:b/>
          <w:color w:val="auto"/>
          <w:sz w:val="24"/>
          <w:highlight w:val="none"/>
        </w:rPr>
      </w:pPr>
      <w:bookmarkStart w:id="48" w:name="_Toc208848971"/>
      <w:bookmarkStart w:id="49" w:name="_Toc503862764"/>
      <w:bookmarkStart w:id="50" w:name="_Toc217446041"/>
      <w:r>
        <w:rPr>
          <w:rFonts w:hint="eastAsia" w:ascii="宋体" w:hAnsi="宋体" w:cs="宋体"/>
          <w:b/>
          <w:color w:val="auto"/>
          <w:sz w:val="24"/>
          <w:highlight w:val="none"/>
        </w:rPr>
        <w:t>8．答疑会和现场考察</w:t>
      </w:r>
      <w:bookmarkEnd w:id="48"/>
      <w:bookmarkEnd w:id="49"/>
      <w:bookmarkEnd w:id="50"/>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8.2 供应商考察现场所发生的一切费用由供应商自己承担。</w:t>
      </w:r>
    </w:p>
    <w:p>
      <w:pPr>
        <w:tabs>
          <w:tab w:val="left" w:pos="5142"/>
        </w:tabs>
        <w:jc w:val="center"/>
        <w:outlineLvl w:val="1"/>
        <w:rPr>
          <w:rFonts w:ascii="宋体" w:hAnsi="宋体" w:cs="宋体"/>
          <w:b/>
          <w:color w:val="auto"/>
          <w:sz w:val="30"/>
          <w:szCs w:val="30"/>
          <w:highlight w:val="none"/>
        </w:rPr>
      </w:pPr>
      <w:bookmarkStart w:id="51" w:name="_Toc217446042"/>
      <w:bookmarkStart w:id="52" w:name="_Toc89075876"/>
      <w:bookmarkStart w:id="53" w:name="_Toc183682351"/>
      <w:bookmarkStart w:id="54" w:name="_Toc503862765"/>
      <w:bookmarkStart w:id="55" w:name="_Toc183582214"/>
      <w:bookmarkStart w:id="56" w:name="_Toc77400780"/>
      <w:r>
        <w:rPr>
          <w:rFonts w:hint="eastAsia" w:ascii="宋体" w:hAnsi="宋体" w:cs="宋体"/>
          <w:b/>
          <w:color w:val="auto"/>
          <w:sz w:val="30"/>
          <w:szCs w:val="30"/>
          <w:highlight w:val="none"/>
        </w:rPr>
        <w:t>四、投标文件</w:t>
      </w:r>
      <w:bookmarkEnd w:id="51"/>
      <w:bookmarkEnd w:id="52"/>
      <w:bookmarkEnd w:id="53"/>
      <w:bookmarkEnd w:id="54"/>
      <w:bookmarkEnd w:id="55"/>
      <w:bookmarkEnd w:id="56"/>
    </w:p>
    <w:p>
      <w:pPr>
        <w:adjustRightInd w:val="0"/>
        <w:snapToGrid w:val="0"/>
        <w:spacing w:line="360" w:lineRule="auto"/>
        <w:ind w:firstLine="482" w:firstLineChars="200"/>
        <w:outlineLvl w:val="2"/>
        <w:rPr>
          <w:rFonts w:ascii="宋体" w:hAnsi="宋体" w:cs="宋体"/>
          <w:b/>
          <w:color w:val="auto"/>
          <w:sz w:val="24"/>
          <w:highlight w:val="none"/>
        </w:rPr>
      </w:pPr>
      <w:bookmarkStart w:id="57" w:name="_Toc217446043"/>
      <w:bookmarkStart w:id="58" w:name="_Toc183582215"/>
      <w:bookmarkStart w:id="59" w:name="_Toc183682352"/>
      <w:bookmarkStart w:id="60" w:name="_Toc503862766"/>
      <w:r>
        <w:rPr>
          <w:rFonts w:hint="eastAsia" w:ascii="宋体" w:hAnsi="宋体" w:cs="宋体"/>
          <w:b/>
          <w:color w:val="auto"/>
          <w:sz w:val="24"/>
          <w:highlight w:val="none"/>
        </w:rPr>
        <w:t>9．投标文件的语言</w:t>
      </w:r>
      <w:bookmarkEnd w:id="57"/>
      <w:bookmarkEnd w:id="58"/>
      <w:bookmarkEnd w:id="59"/>
      <w:r>
        <w:rPr>
          <w:rFonts w:hint="eastAsia" w:ascii="宋体" w:hAnsi="宋体" w:cs="宋体"/>
          <w:b/>
          <w:color w:val="auto"/>
          <w:sz w:val="24"/>
          <w:highlight w:val="none"/>
        </w:rPr>
        <w:t>（实质性要求）</w:t>
      </w:r>
      <w:bookmarkEnd w:id="60"/>
    </w:p>
    <w:p>
      <w:pPr>
        <w:adjustRightInd w:val="0"/>
        <w:snapToGrid w:val="0"/>
        <w:spacing w:line="360" w:lineRule="auto"/>
        <w:ind w:firstLine="480" w:firstLineChars="200"/>
        <w:rPr>
          <w:rFonts w:ascii="宋体" w:hAnsi="宋体" w:cs="宋体"/>
          <w:bCs/>
          <w:color w:val="auto"/>
          <w:sz w:val="24"/>
          <w:highlight w:val="none"/>
        </w:rPr>
      </w:pPr>
      <w:bookmarkStart w:id="61" w:name="_Toc183582216"/>
      <w:bookmarkStart w:id="62" w:name="_Toc217446044"/>
      <w:bookmarkStart w:id="63" w:name="_Toc183682353"/>
      <w:r>
        <w:rPr>
          <w:rFonts w:hint="eastAsia" w:ascii="宋体" w:hAnsi="宋体" w:cs="宋体"/>
          <w:bCs/>
          <w:color w:val="auto"/>
          <w:sz w:val="24"/>
          <w:highlight w:val="none"/>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9.2 翻译的中文资料与外文资料如果出现差异和矛盾时，以中文为准。涉嫌虚假响应的按照相关法律法规处理。</w:t>
      </w:r>
    </w:p>
    <w:p>
      <w:pPr>
        <w:adjustRightInd w:val="0"/>
        <w:snapToGrid w:val="0"/>
        <w:spacing w:line="360" w:lineRule="auto"/>
        <w:ind w:firstLine="482" w:firstLineChars="200"/>
        <w:outlineLvl w:val="2"/>
        <w:rPr>
          <w:rFonts w:ascii="宋体" w:hAnsi="宋体" w:cs="宋体"/>
          <w:b/>
          <w:color w:val="auto"/>
          <w:sz w:val="24"/>
          <w:highlight w:val="none"/>
        </w:rPr>
      </w:pPr>
      <w:bookmarkStart w:id="64" w:name="_Toc503862767"/>
      <w:r>
        <w:rPr>
          <w:rFonts w:hint="eastAsia" w:ascii="宋体" w:hAnsi="宋体" w:cs="宋体"/>
          <w:b/>
          <w:color w:val="auto"/>
          <w:sz w:val="24"/>
          <w:highlight w:val="none"/>
        </w:rPr>
        <w:t>10．计量单位</w:t>
      </w:r>
      <w:bookmarkEnd w:id="61"/>
      <w:bookmarkEnd w:id="62"/>
      <w:bookmarkEnd w:id="63"/>
      <w:r>
        <w:rPr>
          <w:rFonts w:hint="eastAsia" w:ascii="宋体" w:hAnsi="宋体" w:cs="宋体"/>
          <w:b/>
          <w:color w:val="auto"/>
          <w:sz w:val="24"/>
          <w:highlight w:val="none"/>
        </w:rPr>
        <w:t>（实质性要求）</w:t>
      </w:r>
      <w:bookmarkEnd w:id="64"/>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除招标文件中另有规定外，本次采购项目所有合同项下的投标均采用国家法定的计量单位。</w:t>
      </w:r>
    </w:p>
    <w:p>
      <w:pPr>
        <w:adjustRightInd w:val="0"/>
        <w:snapToGrid w:val="0"/>
        <w:spacing w:line="360" w:lineRule="auto"/>
        <w:ind w:firstLine="482" w:firstLineChars="200"/>
        <w:outlineLvl w:val="2"/>
        <w:rPr>
          <w:rFonts w:ascii="宋体" w:hAnsi="宋体" w:cs="宋体"/>
          <w:b/>
          <w:color w:val="auto"/>
          <w:sz w:val="24"/>
          <w:highlight w:val="none"/>
        </w:rPr>
      </w:pPr>
      <w:bookmarkStart w:id="65" w:name="_Toc217446045"/>
      <w:bookmarkStart w:id="66" w:name="_Toc503862768"/>
      <w:r>
        <w:rPr>
          <w:rFonts w:hint="eastAsia" w:ascii="宋体" w:hAnsi="宋体" w:cs="宋体"/>
          <w:b/>
          <w:color w:val="auto"/>
          <w:sz w:val="24"/>
          <w:highlight w:val="none"/>
        </w:rPr>
        <w:t>11．投标货币</w:t>
      </w:r>
      <w:bookmarkEnd w:id="65"/>
      <w:r>
        <w:rPr>
          <w:rFonts w:hint="eastAsia" w:ascii="宋体" w:hAnsi="宋体" w:cs="宋体"/>
          <w:b/>
          <w:color w:val="auto"/>
          <w:sz w:val="24"/>
          <w:highlight w:val="none"/>
        </w:rPr>
        <w:t>（实质性要求）</w:t>
      </w:r>
      <w:bookmarkEnd w:id="66"/>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本次招标项目的投标均以人民币报价。</w:t>
      </w:r>
    </w:p>
    <w:p>
      <w:pPr>
        <w:adjustRightInd w:val="0"/>
        <w:snapToGrid w:val="0"/>
        <w:spacing w:line="360" w:lineRule="auto"/>
        <w:ind w:firstLine="482" w:firstLineChars="200"/>
        <w:outlineLvl w:val="2"/>
        <w:rPr>
          <w:rFonts w:ascii="宋体" w:hAnsi="宋体" w:cs="宋体"/>
          <w:b/>
          <w:color w:val="auto"/>
          <w:sz w:val="24"/>
          <w:highlight w:val="none"/>
        </w:rPr>
      </w:pPr>
      <w:bookmarkStart w:id="67" w:name="_Toc217446046"/>
      <w:bookmarkStart w:id="68" w:name="_Toc503862769"/>
      <w:r>
        <w:rPr>
          <w:rFonts w:hint="eastAsia" w:ascii="宋体" w:hAnsi="宋体" w:cs="宋体"/>
          <w:b/>
          <w:color w:val="auto"/>
          <w:sz w:val="24"/>
          <w:highlight w:val="none"/>
        </w:rPr>
        <w:t>12．联合体投标</w:t>
      </w:r>
      <w:bookmarkEnd w:id="67"/>
      <w:bookmarkEnd w:id="68"/>
    </w:p>
    <w:p>
      <w:pPr>
        <w:adjustRightInd w:val="0"/>
        <w:snapToGrid w:val="0"/>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本项目不接受联合体</w:t>
      </w:r>
      <w:r>
        <w:rPr>
          <w:rFonts w:hint="eastAsia" w:ascii="宋体" w:hAnsi="宋体" w:cs="宋体"/>
          <w:bCs/>
          <w:color w:val="auto"/>
          <w:sz w:val="24"/>
          <w:highlight w:val="none"/>
          <w:lang w:eastAsia="zh-CN"/>
        </w:rPr>
        <w:t>投标。</w:t>
      </w:r>
    </w:p>
    <w:p>
      <w:pPr>
        <w:adjustRightInd w:val="0"/>
        <w:snapToGrid w:val="0"/>
        <w:spacing w:line="360" w:lineRule="auto"/>
        <w:ind w:firstLine="482" w:firstLineChars="200"/>
        <w:outlineLvl w:val="2"/>
        <w:rPr>
          <w:rFonts w:ascii="宋体" w:hAnsi="宋体" w:cs="宋体"/>
          <w:b/>
          <w:color w:val="auto"/>
          <w:sz w:val="24"/>
          <w:highlight w:val="none"/>
        </w:rPr>
      </w:pPr>
      <w:bookmarkStart w:id="69" w:name="_Toc308164797"/>
      <w:bookmarkStart w:id="70" w:name="_Toc217446047"/>
      <w:bookmarkStart w:id="71" w:name="_Toc503862770"/>
      <w:r>
        <w:rPr>
          <w:rFonts w:hint="eastAsia" w:ascii="宋体" w:hAnsi="宋体" w:cs="宋体"/>
          <w:b/>
          <w:color w:val="auto"/>
          <w:sz w:val="24"/>
          <w:highlight w:val="none"/>
        </w:rPr>
        <w:t>13．知识产权</w:t>
      </w:r>
      <w:bookmarkEnd w:id="69"/>
      <w:bookmarkEnd w:id="70"/>
      <w:r>
        <w:rPr>
          <w:rFonts w:hint="eastAsia" w:ascii="宋体" w:hAnsi="宋体" w:cs="宋体"/>
          <w:b/>
          <w:color w:val="auto"/>
          <w:sz w:val="24"/>
          <w:highlight w:val="none"/>
        </w:rPr>
        <w:t>（实质性要求）</w:t>
      </w:r>
      <w:bookmarkEnd w:id="71"/>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13.2 采购人享有本项目实施过程中产生的知识成果及知识产权。</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13.4 如采用投标人所不拥有的知识产权，则在投标报价中必须包括合法获取该知识产权的相关费用。</w:t>
      </w:r>
    </w:p>
    <w:p>
      <w:pPr>
        <w:adjustRightInd w:val="0"/>
        <w:snapToGrid w:val="0"/>
        <w:spacing w:line="360" w:lineRule="auto"/>
        <w:ind w:firstLine="482" w:firstLineChars="200"/>
        <w:outlineLvl w:val="2"/>
        <w:rPr>
          <w:rFonts w:ascii="宋体" w:hAnsi="宋体" w:cs="宋体"/>
          <w:b/>
          <w:color w:val="auto"/>
          <w:sz w:val="24"/>
          <w:highlight w:val="none"/>
        </w:rPr>
      </w:pPr>
      <w:bookmarkStart w:id="72" w:name="_Toc183582217"/>
      <w:bookmarkStart w:id="73" w:name="_Toc308164798"/>
      <w:bookmarkStart w:id="74" w:name="_Toc183682354"/>
      <w:bookmarkStart w:id="75" w:name="_Toc217446048"/>
      <w:bookmarkStart w:id="76" w:name="_Toc503862771"/>
      <w:r>
        <w:rPr>
          <w:rFonts w:hint="eastAsia" w:ascii="宋体" w:hAnsi="宋体" w:cs="宋体"/>
          <w:b/>
          <w:color w:val="auto"/>
          <w:sz w:val="24"/>
          <w:highlight w:val="none"/>
        </w:rPr>
        <w:t>14．投标文件的组成</w:t>
      </w:r>
      <w:bookmarkEnd w:id="72"/>
      <w:bookmarkEnd w:id="73"/>
      <w:bookmarkEnd w:id="74"/>
      <w:bookmarkEnd w:id="75"/>
      <w:bookmarkEnd w:id="76"/>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投标人应按照招标文件的规定和要求编制投标文件。投标人编写的投标文件至少包括下列两部分文件：</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文件一：资格性投标文件（用于资格审查）</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严格按照第四、五章要求提供相关资格、资质性及其他类似效力要求的相关证明材料。</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文件二：其它响应性投标文件（用于资格审查以外的评标）</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严格按照招标文件要求提供以下五个方面的相关材料：</w:t>
      </w:r>
    </w:p>
    <w:p>
      <w:pPr>
        <w:adjustRightInd w:val="0"/>
        <w:snapToGrid w:val="0"/>
        <w:spacing w:line="360" w:lineRule="auto"/>
        <w:ind w:firstLine="482" w:firstLineChars="200"/>
        <w:rPr>
          <w:rFonts w:ascii="宋体" w:hAnsi="宋体" w:cs="宋体"/>
          <w:bCs/>
          <w:color w:val="auto"/>
          <w:sz w:val="24"/>
          <w:highlight w:val="none"/>
        </w:rPr>
      </w:pPr>
      <w:r>
        <w:rPr>
          <w:rFonts w:hint="eastAsia" w:ascii="宋体" w:hAnsi="宋体" w:cs="宋体"/>
          <w:b/>
          <w:color w:val="auto"/>
          <w:sz w:val="24"/>
          <w:highlight w:val="none"/>
        </w:rPr>
        <w:t>14.1 报价部分。</w:t>
      </w:r>
      <w:r>
        <w:rPr>
          <w:rFonts w:hint="eastAsia" w:ascii="宋体" w:hAnsi="宋体" w:cs="宋体"/>
          <w:bCs/>
          <w:color w:val="auto"/>
          <w:sz w:val="24"/>
          <w:highlight w:val="none"/>
        </w:rPr>
        <w:t>投标人按照招标文件要求填写的“开标一览表”及“报价明细表”。 本次招标报价要求：</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（1）投标人的报价是投标人响应招标项目要求的全部工作内容的价格体现，包括投标人完成本项目所需的一切费用（实质性要求）。</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（2）投标人只允许有一个报价，并且在合同履行过程中是固定不变的，任何有选择或可调整的报价将不予接受，并按无效投标处理（实质性要求）。</w:t>
      </w:r>
    </w:p>
    <w:p>
      <w:pPr>
        <w:adjustRightInd w:val="0"/>
        <w:snapToGrid w:val="0"/>
        <w:spacing w:line="360" w:lineRule="auto"/>
        <w:ind w:firstLine="482" w:firstLineChars="200"/>
        <w:rPr>
          <w:rFonts w:hint="eastAsia" w:ascii="宋体" w:hAnsi="宋体" w:eastAsia="宋体" w:cs="宋体"/>
          <w:bCs/>
          <w:color w:val="auto"/>
          <w:sz w:val="24"/>
          <w:highlight w:val="none"/>
        </w:rPr>
      </w:pPr>
      <w:bookmarkStart w:id="77" w:name="_Toc503862772"/>
      <w:r>
        <w:rPr>
          <w:rFonts w:hint="eastAsia" w:ascii="宋体" w:hAnsi="宋体" w:cs="宋体"/>
          <w:b/>
          <w:color w:val="auto"/>
          <w:sz w:val="24"/>
          <w:highlight w:val="none"/>
        </w:rPr>
        <w:t xml:space="preserve">14.2 </w:t>
      </w:r>
      <w:bookmarkEnd w:id="77"/>
      <w:r>
        <w:rPr>
          <w:rFonts w:hint="eastAsia" w:ascii="宋体" w:hAnsi="宋体" w:eastAsia="宋体" w:cs="宋体"/>
          <w:b/>
          <w:color w:val="auto"/>
          <w:sz w:val="24"/>
          <w:highlight w:val="none"/>
        </w:rPr>
        <w:t>服务部分。</w:t>
      </w:r>
      <w:r>
        <w:rPr>
          <w:rFonts w:hint="eastAsia" w:ascii="宋体" w:hAnsi="宋体" w:eastAsia="宋体" w:cs="宋体"/>
          <w:color w:val="auto"/>
          <w:sz w:val="24"/>
          <w:highlight w:val="none"/>
        </w:rPr>
        <w:t>投标人按照招标文件要求做出的服务应答，主要是针对招标项目</w:t>
      </w:r>
      <w:r>
        <w:rPr>
          <w:rFonts w:hint="eastAsia" w:ascii="宋体" w:hAnsi="宋体" w:eastAsia="宋体" w:cs="宋体"/>
          <w:bCs/>
          <w:color w:val="auto"/>
          <w:sz w:val="24"/>
          <w:highlight w:val="none"/>
        </w:rPr>
        <w:t>的服务要求做出的实质性响应和满足。投标人的服务应答应尽可能包括下列内容：</w:t>
      </w:r>
    </w:p>
    <w:p>
      <w:pPr>
        <w:adjustRightInd w:val="0"/>
        <w:snapToGrid w:val="0"/>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(1)项目实施方案服务保障；</w:t>
      </w:r>
    </w:p>
    <w:p>
      <w:pPr>
        <w:adjustRightInd w:val="0"/>
        <w:snapToGrid w:val="0"/>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(2)拟任本项目的管理、技术及服务人员配置（如涉及需投入设备的项目可列明设备清单）；</w:t>
      </w:r>
    </w:p>
    <w:p>
      <w:pPr>
        <w:adjustRightInd w:val="0"/>
        <w:snapToGrid w:val="0"/>
        <w:spacing w:line="360" w:lineRule="auto"/>
        <w:ind w:firstLine="480" w:firstLineChars="200"/>
        <w:rPr>
          <w:rFonts w:hint="eastAsia" w:ascii="宋体" w:hAnsi="宋体" w:eastAsia="宋体" w:cs="宋体"/>
          <w:bCs/>
          <w:color w:val="auto"/>
          <w:sz w:val="24"/>
          <w:highlight w:val="none"/>
        </w:rPr>
      </w:pPr>
      <w:bookmarkStart w:id="78" w:name="page15"/>
      <w:bookmarkEnd w:id="78"/>
      <w:r>
        <w:rPr>
          <w:rFonts w:hint="eastAsia" w:ascii="宋体" w:hAnsi="宋体" w:eastAsia="宋体" w:cs="宋体"/>
          <w:bCs/>
          <w:color w:val="auto"/>
          <w:sz w:val="24"/>
          <w:highlight w:val="none"/>
        </w:rPr>
        <w:t>(3)项目验收标准和验收方法；</w:t>
      </w:r>
    </w:p>
    <w:p>
      <w:pPr>
        <w:adjustRightInd w:val="0"/>
        <w:snapToGrid w:val="0"/>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(4)投标人认为需要提供的文件和资料。</w:t>
      </w:r>
    </w:p>
    <w:p>
      <w:pPr>
        <w:adjustRightInd w:val="0"/>
        <w:snapToGrid w:val="0"/>
        <w:spacing w:line="360" w:lineRule="auto"/>
        <w:ind w:firstLine="482" w:firstLineChars="200"/>
        <w:rPr>
          <w:rFonts w:ascii="宋体" w:hAnsi="宋体" w:cs="宋体"/>
          <w:bCs/>
          <w:color w:val="auto"/>
          <w:sz w:val="24"/>
          <w:highlight w:val="none"/>
        </w:rPr>
      </w:pPr>
      <w:bookmarkStart w:id="79" w:name="_Toc503862773"/>
      <w:r>
        <w:rPr>
          <w:rFonts w:hint="eastAsia" w:ascii="宋体" w:hAnsi="宋体" w:cs="宋体"/>
          <w:b/>
          <w:color w:val="auto"/>
          <w:sz w:val="24"/>
          <w:highlight w:val="none"/>
        </w:rPr>
        <w:t>14.3 商务部分（根据具体项目情况确定）。</w:t>
      </w:r>
      <w:r>
        <w:rPr>
          <w:rFonts w:hint="eastAsia" w:ascii="宋体" w:hAnsi="宋体" w:cs="宋体"/>
          <w:bCs/>
          <w:color w:val="auto"/>
          <w:sz w:val="24"/>
          <w:highlight w:val="none"/>
        </w:rPr>
        <w:t>投标人按照招标文件要求提供的有关文件及优惠承诺。包括以下内容：</w:t>
      </w:r>
      <w:bookmarkEnd w:id="79"/>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（1）投标函；</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（2）投标产品符合招标文件规定的资格、资质性及其他具有类似效力要求的相关证明材料；</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实质性要求）；</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（4）证明投标人业绩和荣誉的有关材料复印件；</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（5）商务应答表；</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（6）其他投标人认为需要提供的文件和资料。</w:t>
      </w:r>
    </w:p>
    <w:p>
      <w:pPr>
        <w:adjustRightInd w:val="0"/>
        <w:snapToGrid w:val="0"/>
        <w:spacing w:line="360" w:lineRule="auto"/>
        <w:ind w:firstLine="482" w:firstLineChars="200"/>
        <w:rPr>
          <w:rFonts w:ascii="宋体" w:hAnsi="宋体" w:cs="宋体"/>
          <w:bCs/>
          <w:color w:val="auto"/>
          <w:sz w:val="24"/>
          <w:highlight w:val="none"/>
        </w:rPr>
      </w:pPr>
      <w:bookmarkStart w:id="80" w:name="_Toc503862774"/>
      <w:r>
        <w:rPr>
          <w:rFonts w:hint="eastAsia" w:ascii="宋体" w:hAnsi="宋体" w:cs="宋体"/>
          <w:b/>
          <w:color w:val="auto"/>
          <w:sz w:val="24"/>
          <w:highlight w:val="none"/>
        </w:rPr>
        <w:t>14.4售后服务（根据具体项目情况确定）。</w:t>
      </w:r>
      <w:r>
        <w:rPr>
          <w:rFonts w:hint="eastAsia" w:ascii="宋体" w:hAnsi="宋体" w:cs="宋体"/>
          <w:bCs/>
          <w:color w:val="auto"/>
          <w:sz w:val="24"/>
          <w:highlight w:val="none"/>
        </w:rPr>
        <w:t>投标人按照招标文件中售后服务要求作出的积极响应和承诺。包括以下内容：</w:t>
      </w:r>
      <w:bookmarkEnd w:id="80"/>
      <w:r>
        <w:rPr>
          <w:rFonts w:hint="eastAsia" w:ascii="宋体" w:hAnsi="宋体" w:cs="宋体"/>
          <w:bCs/>
          <w:color w:val="auto"/>
          <w:sz w:val="24"/>
          <w:highlight w:val="none"/>
        </w:rPr>
        <w:t xml:space="preserve"> </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（1）产品制造厂家或投标人设立的售后服务机构网点清单、服务电话和维修人员名单；</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（2）说明投标产品的保修时间、保修期内的保修内容与范围、维修响应时间等。分别提供产品制造厂家和投标人的服务承诺和保障措施；</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（3）培训措施：说明培训内容及培训的时间、地点、目标、培训人数、收费标准和办法；</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（4）其他有利于用户的服务承诺。</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14.5其他部分。</w:t>
      </w:r>
    </w:p>
    <w:p>
      <w:pPr>
        <w:adjustRightInd w:val="0"/>
        <w:snapToGrid w:val="0"/>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投标人按照招标文件要求作出的其他应答和承诺</w:t>
      </w:r>
      <w:r>
        <w:rPr>
          <w:rFonts w:hint="eastAsia" w:ascii="宋体" w:hAnsi="宋体" w:cs="宋体"/>
          <w:bCs/>
          <w:color w:val="auto"/>
          <w:sz w:val="24"/>
          <w:highlight w:val="none"/>
          <w:lang w:eastAsia="zh-CN"/>
        </w:rPr>
        <w:t>。</w:t>
      </w:r>
    </w:p>
    <w:p>
      <w:pPr>
        <w:adjustRightInd w:val="0"/>
        <w:snapToGrid w:val="0"/>
        <w:spacing w:line="360" w:lineRule="auto"/>
        <w:ind w:firstLine="482" w:firstLineChars="200"/>
        <w:outlineLvl w:val="2"/>
        <w:rPr>
          <w:rFonts w:ascii="宋体" w:hAnsi="宋体" w:cs="宋体"/>
          <w:b/>
          <w:color w:val="auto"/>
          <w:sz w:val="24"/>
          <w:highlight w:val="none"/>
        </w:rPr>
      </w:pPr>
      <w:bookmarkStart w:id="81" w:name="_Toc503862775"/>
      <w:bookmarkStart w:id="82" w:name="_Toc217446049"/>
      <w:bookmarkStart w:id="83" w:name="_Toc308164799"/>
      <w:bookmarkStart w:id="84" w:name="_Toc183582218"/>
      <w:bookmarkStart w:id="85" w:name="_Toc183682355"/>
      <w:r>
        <w:rPr>
          <w:rFonts w:hint="eastAsia" w:ascii="宋体" w:hAnsi="宋体" w:cs="宋体"/>
          <w:b/>
          <w:color w:val="auto"/>
          <w:sz w:val="24"/>
          <w:highlight w:val="none"/>
        </w:rPr>
        <w:t>15．投标文件格式</w:t>
      </w:r>
      <w:bookmarkEnd w:id="81"/>
      <w:bookmarkEnd w:id="82"/>
      <w:bookmarkEnd w:id="83"/>
      <w:bookmarkEnd w:id="84"/>
      <w:bookmarkEnd w:id="85"/>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15.1 投标人应执行招标文件第三章的规定要求。</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15.2 对于没有格式要求的投标文件由投标人自行编写。</w:t>
      </w:r>
    </w:p>
    <w:p>
      <w:pPr>
        <w:adjustRightInd w:val="0"/>
        <w:snapToGrid w:val="0"/>
        <w:spacing w:line="360" w:lineRule="auto"/>
        <w:ind w:firstLine="482" w:firstLineChars="200"/>
        <w:outlineLvl w:val="2"/>
        <w:rPr>
          <w:rFonts w:ascii="宋体" w:hAnsi="宋体" w:cs="宋体"/>
          <w:b/>
          <w:color w:val="auto"/>
          <w:sz w:val="24"/>
          <w:highlight w:val="none"/>
        </w:rPr>
      </w:pPr>
      <w:bookmarkStart w:id="86" w:name="_Toc308164800"/>
      <w:bookmarkStart w:id="87" w:name="_Toc183582223"/>
      <w:bookmarkStart w:id="88" w:name="_Toc217446050"/>
      <w:bookmarkStart w:id="89" w:name="_Toc183682360"/>
      <w:bookmarkStart w:id="90" w:name="_Toc503862776"/>
      <w:r>
        <w:rPr>
          <w:rFonts w:hint="eastAsia" w:ascii="宋体" w:hAnsi="宋体" w:cs="宋体"/>
          <w:b/>
          <w:color w:val="auto"/>
          <w:sz w:val="24"/>
          <w:highlight w:val="none"/>
        </w:rPr>
        <w:t>16．投标保证金</w:t>
      </w:r>
      <w:bookmarkEnd w:id="86"/>
      <w:bookmarkEnd w:id="87"/>
      <w:bookmarkEnd w:id="88"/>
      <w:bookmarkEnd w:id="89"/>
      <w:r>
        <w:rPr>
          <w:rFonts w:hint="eastAsia" w:ascii="宋体" w:hAnsi="宋体" w:cs="宋体"/>
          <w:b/>
          <w:color w:val="auto"/>
          <w:sz w:val="24"/>
          <w:highlight w:val="none"/>
        </w:rPr>
        <w:t>（本项目不适用）</w:t>
      </w:r>
      <w:bookmarkEnd w:id="90"/>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16.1 投标人投标时，必须以人民币提交招标文件规定数额的投标保证金，并作为其投标的一部分。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16.2投标保证金交款方式：详见投标人须知前附表。</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16.3未中标人的投标保证金，将在中标通知书发出后5个工作日内全额退还。中标人的投标保证金，在合同签订生效并递交至采购代理机构进行合同编号后5个工作日内全额退还（注：</w:t>
      </w:r>
      <w:r>
        <w:rPr>
          <w:rFonts w:hint="eastAsia" w:ascii="宋体" w:hAnsi="宋体" w:cs="宋体"/>
          <w:bCs/>
          <w:color w:val="auto"/>
          <w:sz w:val="24"/>
          <w:highlight w:val="none"/>
        </w:rPr>
        <w:fldChar w:fldCharType="begin"/>
      </w:r>
      <w:r>
        <w:rPr>
          <w:rFonts w:hint="eastAsia" w:ascii="宋体" w:hAnsi="宋体" w:cs="宋体"/>
          <w:bCs/>
          <w:color w:val="auto"/>
          <w:sz w:val="24"/>
          <w:highlight w:val="none"/>
        </w:rPr>
        <w:instrText xml:space="preserve"> = 1 \* GB3 \* MERGEFORMAT </w:instrText>
      </w:r>
      <w:r>
        <w:rPr>
          <w:rFonts w:hint="eastAsia" w:ascii="宋体" w:hAnsi="宋体" w:cs="宋体"/>
          <w:bCs/>
          <w:color w:val="auto"/>
          <w:sz w:val="24"/>
          <w:highlight w:val="none"/>
        </w:rPr>
        <w:fldChar w:fldCharType="separate"/>
      </w:r>
      <w:r>
        <w:rPr>
          <w:rFonts w:hint="eastAsia" w:ascii="宋体" w:hAnsi="宋体" w:cs="宋体"/>
          <w:bCs/>
          <w:color w:val="auto"/>
          <w:sz w:val="24"/>
          <w:highlight w:val="none"/>
        </w:rPr>
        <w:t>①</w:t>
      </w:r>
      <w:r>
        <w:rPr>
          <w:rFonts w:hint="eastAsia" w:ascii="宋体" w:hAnsi="宋体" w:cs="宋体"/>
          <w:bCs/>
          <w:color w:val="auto"/>
          <w:sz w:val="24"/>
          <w:highlight w:val="none"/>
        </w:rPr>
        <w:fldChar w:fldCharType="end"/>
      </w:r>
      <w:r>
        <w:rPr>
          <w:rFonts w:hint="eastAsia" w:ascii="宋体" w:hAnsi="宋体" w:cs="宋体"/>
          <w:bCs/>
          <w:color w:val="auto"/>
          <w:sz w:val="24"/>
          <w:highlight w:val="none"/>
        </w:rPr>
        <w:t>因投标人自身原因造成的保证金延迟退还或者投标人和采购代理机构书面协商可以延迟退还的，采购代理机构不承担相应责任；</w:t>
      </w:r>
      <w:r>
        <w:rPr>
          <w:rFonts w:hint="eastAsia" w:ascii="宋体" w:hAnsi="宋体" w:cs="宋体"/>
          <w:bCs/>
          <w:color w:val="auto"/>
          <w:sz w:val="24"/>
          <w:highlight w:val="none"/>
        </w:rPr>
        <w:fldChar w:fldCharType="begin"/>
      </w:r>
      <w:r>
        <w:rPr>
          <w:rFonts w:hint="eastAsia" w:ascii="宋体" w:hAnsi="宋体" w:cs="宋体"/>
          <w:bCs/>
          <w:color w:val="auto"/>
          <w:sz w:val="24"/>
          <w:highlight w:val="none"/>
        </w:rPr>
        <w:instrText xml:space="preserve"> = 2 \* GB3 \* MERGEFORMAT </w:instrText>
      </w:r>
      <w:r>
        <w:rPr>
          <w:rFonts w:hint="eastAsia" w:ascii="宋体" w:hAnsi="宋体" w:cs="宋体"/>
          <w:bCs/>
          <w:color w:val="auto"/>
          <w:sz w:val="24"/>
          <w:highlight w:val="none"/>
        </w:rPr>
        <w:fldChar w:fldCharType="separate"/>
      </w:r>
      <w:r>
        <w:rPr>
          <w:rFonts w:hint="eastAsia" w:ascii="宋体" w:hAnsi="宋体" w:cs="宋体"/>
          <w:bCs/>
          <w:color w:val="auto"/>
          <w:sz w:val="24"/>
          <w:highlight w:val="none"/>
        </w:rPr>
        <w:t>②</w:t>
      </w:r>
      <w:r>
        <w:rPr>
          <w:rFonts w:hint="eastAsia" w:ascii="宋体" w:hAnsi="宋体" w:cs="宋体"/>
          <w:bCs/>
          <w:color w:val="auto"/>
          <w:sz w:val="24"/>
          <w:highlight w:val="none"/>
        </w:rPr>
        <w:fldChar w:fldCharType="end"/>
      </w:r>
      <w:r>
        <w:rPr>
          <w:rFonts w:hint="eastAsia" w:ascii="宋体" w:hAnsi="宋体" w:cs="宋体"/>
          <w:bCs/>
          <w:color w:val="auto"/>
          <w:sz w:val="24"/>
          <w:highlight w:val="none"/>
        </w:rPr>
        <w:t>供应商因涉嫌违法违规，按照规定应当不予退还保证金的，有关部门处理认定违法违规行为期间不计入退还保证金时限之内。）；</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16.4发生下列情形之一的，采购代理机构将不予退还投标保证金：</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（1）在招标文件规定的投标截止时间后撤回投标的；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（2）在采购人确定中标人以前放弃中标候选资格的；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（3）中标后放弃中标、不领取或者不接收中标通知书的；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（4）由于中标人的原因未能按照招标文件的规定与采购人签订合同的；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（5）由于中标人的原因未能按照招标文件的规定交纳履约保证金的；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（6）投标人提供虚假资料的；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（7）投标有效期内，投标人在政府采购活动中有违法、违规、违纪行为。</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（8）投标有效期内，投标人撤销投标文件的。</w:t>
      </w:r>
    </w:p>
    <w:p>
      <w:pPr>
        <w:adjustRightInd w:val="0"/>
        <w:snapToGrid w:val="0"/>
        <w:spacing w:line="360" w:lineRule="auto"/>
        <w:ind w:firstLine="482" w:firstLineChars="200"/>
        <w:outlineLvl w:val="2"/>
        <w:rPr>
          <w:rFonts w:ascii="宋体" w:hAnsi="宋体" w:cs="宋体"/>
          <w:b/>
          <w:color w:val="auto"/>
          <w:sz w:val="24"/>
          <w:highlight w:val="none"/>
        </w:rPr>
      </w:pPr>
      <w:bookmarkStart w:id="91" w:name="_Toc183682361"/>
      <w:bookmarkStart w:id="92" w:name="_Toc308164801"/>
      <w:bookmarkStart w:id="93" w:name="_Toc217446051"/>
      <w:bookmarkStart w:id="94" w:name="_Toc183582224"/>
      <w:bookmarkStart w:id="95" w:name="_Toc503862777"/>
      <w:r>
        <w:rPr>
          <w:rFonts w:hint="eastAsia" w:ascii="宋体" w:hAnsi="宋体" w:cs="宋体"/>
          <w:b/>
          <w:color w:val="auto"/>
          <w:sz w:val="24"/>
          <w:highlight w:val="none"/>
        </w:rPr>
        <w:t>17．投标有效期</w:t>
      </w:r>
      <w:bookmarkEnd w:id="91"/>
      <w:bookmarkEnd w:id="92"/>
      <w:bookmarkEnd w:id="93"/>
      <w:bookmarkEnd w:id="94"/>
      <w:r>
        <w:rPr>
          <w:rFonts w:hint="eastAsia" w:ascii="宋体" w:hAnsi="宋体" w:cs="宋体"/>
          <w:b/>
          <w:color w:val="auto"/>
          <w:sz w:val="24"/>
          <w:highlight w:val="none"/>
        </w:rPr>
        <w:t>（实质性要求）</w:t>
      </w:r>
      <w:bookmarkEnd w:id="95"/>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17.1 本项目投标有效期为投标截止时间届满后90天（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adjustRightInd w:val="0"/>
        <w:snapToGrid w:val="0"/>
        <w:spacing w:line="360" w:lineRule="auto"/>
        <w:ind w:firstLine="482" w:firstLineChars="200"/>
        <w:outlineLvl w:val="2"/>
        <w:rPr>
          <w:rFonts w:ascii="宋体" w:hAnsi="宋体" w:cs="宋体"/>
          <w:b/>
          <w:color w:val="auto"/>
          <w:sz w:val="24"/>
          <w:highlight w:val="none"/>
        </w:rPr>
      </w:pPr>
      <w:bookmarkStart w:id="96" w:name="_Toc183682362"/>
      <w:bookmarkStart w:id="97" w:name="_Toc183582225"/>
      <w:bookmarkStart w:id="98" w:name="_Toc503862778"/>
      <w:bookmarkStart w:id="99" w:name="_Toc308164802"/>
      <w:bookmarkStart w:id="100" w:name="_Toc217446052"/>
      <w:r>
        <w:rPr>
          <w:rFonts w:hint="eastAsia" w:ascii="宋体" w:hAnsi="宋体" w:cs="宋体"/>
          <w:b/>
          <w:color w:val="auto"/>
          <w:sz w:val="24"/>
          <w:highlight w:val="none"/>
        </w:rPr>
        <w:t>18．投标文件的印制和签署</w:t>
      </w:r>
      <w:bookmarkEnd w:id="96"/>
      <w:bookmarkEnd w:id="97"/>
      <w:bookmarkEnd w:id="98"/>
      <w:bookmarkEnd w:id="99"/>
      <w:bookmarkEnd w:id="100"/>
    </w:p>
    <w:p>
      <w:pPr>
        <w:adjustRightInd w:val="0"/>
        <w:snapToGrid w:val="0"/>
        <w:spacing w:line="360" w:lineRule="auto"/>
        <w:ind w:firstLine="480" w:firstLineChars="200"/>
        <w:rPr>
          <w:rFonts w:hint="eastAsia" w:ascii="宋体" w:hAnsi="宋体" w:cs="宋体"/>
          <w:bCs/>
          <w:color w:val="auto"/>
          <w:sz w:val="24"/>
          <w:highlight w:val="none"/>
        </w:rPr>
      </w:pPr>
      <w:bookmarkStart w:id="101" w:name="_Toc503862779"/>
      <w:bookmarkStart w:id="102" w:name="_Toc183682363"/>
      <w:bookmarkStart w:id="103" w:name="_Toc183582226"/>
      <w:bookmarkStart w:id="104" w:name="_Toc217446053"/>
      <w:bookmarkStart w:id="105" w:name="_Toc77400781"/>
      <w:bookmarkStart w:id="106" w:name="_Toc308164803"/>
      <w:bookmarkStart w:id="107" w:name="_Toc89075877"/>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8</w:t>
      </w:r>
      <w:r>
        <w:rPr>
          <w:rFonts w:hint="eastAsia" w:ascii="宋体" w:hAnsi="宋体" w:cs="宋体"/>
          <w:bCs/>
          <w:color w:val="auto"/>
          <w:sz w:val="24"/>
          <w:highlight w:val="none"/>
        </w:rPr>
        <w:t>.1 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8</w:t>
      </w:r>
      <w:r>
        <w:rPr>
          <w:rFonts w:hint="eastAsia" w:ascii="宋体" w:hAnsi="宋体" w:cs="宋体"/>
          <w:bCs/>
          <w:color w:val="auto"/>
          <w:sz w:val="24"/>
          <w:highlight w:val="none"/>
        </w:rPr>
        <w:t>.2 投标文件每页均应加盖投标人（法定名称）电子签章，不得使用投标人专用章（如经济合同章、投标专用章等）或下属单位印章代替。</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8</w:t>
      </w:r>
      <w:r>
        <w:rPr>
          <w:rFonts w:hint="eastAsia" w:ascii="宋体" w:hAnsi="宋体" w:cs="宋体"/>
          <w:bCs/>
          <w:color w:val="auto"/>
          <w:sz w:val="24"/>
          <w:highlight w:val="none"/>
        </w:rPr>
        <w:t>.3 投标人应使用本企业CA数字证书对投标文件进行加密。（实质性要求）</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8</w:t>
      </w:r>
      <w:r>
        <w:rPr>
          <w:rFonts w:hint="eastAsia" w:ascii="宋体" w:hAnsi="宋体" w:cs="宋体"/>
          <w:bCs/>
          <w:color w:val="auto"/>
          <w:sz w:val="24"/>
          <w:highlight w:val="none"/>
        </w:rPr>
        <w:t>.4 招标文件若有修改，投标人根据修改后的招标文件制作或修改并递交投标文件。</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8</w:t>
      </w:r>
      <w:r>
        <w:rPr>
          <w:rFonts w:hint="eastAsia" w:ascii="宋体" w:hAnsi="宋体" w:cs="宋体"/>
          <w:bCs/>
          <w:color w:val="auto"/>
          <w:sz w:val="24"/>
          <w:highlight w:val="none"/>
        </w:rPr>
        <w:t>.5 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bookmarkEnd w:id="101"/>
    <w:bookmarkEnd w:id="102"/>
    <w:bookmarkEnd w:id="103"/>
    <w:bookmarkEnd w:id="104"/>
    <w:bookmarkEnd w:id="105"/>
    <w:bookmarkEnd w:id="106"/>
    <w:bookmarkEnd w:id="107"/>
    <w:p>
      <w:pPr>
        <w:adjustRightInd w:val="0"/>
        <w:snapToGrid w:val="0"/>
        <w:spacing w:line="360" w:lineRule="auto"/>
        <w:ind w:firstLine="482" w:firstLineChars="200"/>
        <w:outlineLvl w:val="2"/>
        <w:rPr>
          <w:rFonts w:ascii="宋体" w:hAnsi="宋体" w:cs="宋体"/>
          <w:b/>
          <w:color w:val="auto"/>
          <w:sz w:val="24"/>
          <w:highlight w:val="none"/>
        </w:rPr>
      </w:pPr>
      <w:bookmarkStart w:id="108" w:name="_Toc183682364"/>
      <w:bookmarkStart w:id="109" w:name="_Toc183582227"/>
      <w:bookmarkStart w:id="110" w:name="_Toc217446054"/>
      <w:bookmarkStart w:id="111" w:name="_Toc503862780"/>
      <w:bookmarkStart w:id="112" w:name="_Toc308164804"/>
      <w:r>
        <w:rPr>
          <w:rFonts w:hint="eastAsia" w:ascii="宋体" w:hAnsi="宋体" w:cs="宋体"/>
          <w:b/>
          <w:color w:val="auto"/>
          <w:sz w:val="24"/>
          <w:highlight w:val="none"/>
          <w:lang w:val="en-US" w:eastAsia="zh-CN"/>
        </w:rPr>
        <w:t>19</w:t>
      </w:r>
      <w:r>
        <w:rPr>
          <w:rFonts w:hint="eastAsia" w:ascii="宋体" w:hAnsi="宋体" w:cs="宋体"/>
          <w:b/>
          <w:color w:val="auto"/>
          <w:sz w:val="24"/>
          <w:highlight w:val="none"/>
        </w:rPr>
        <w:t>．投标文件的</w:t>
      </w:r>
      <w:bookmarkEnd w:id="108"/>
      <w:bookmarkEnd w:id="109"/>
      <w:r>
        <w:rPr>
          <w:rFonts w:hint="eastAsia" w:ascii="宋体" w:hAnsi="宋体" w:cs="宋体"/>
          <w:b/>
          <w:color w:val="auto"/>
          <w:sz w:val="24"/>
          <w:highlight w:val="none"/>
        </w:rPr>
        <w:t>递交</w:t>
      </w:r>
      <w:bookmarkEnd w:id="110"/>
      <w:bookmarkEnd w:id="111"/>
      <w:bookmarkEnd w:id="112"/>
    </w:p>
    <w:p>
      <w:pPr>
        <w:adjustRightInd w:val="0"/>
        <w:snapToGrid w:val="0"/>
        <w:spacing w:line="360" w:lineRule="auto"/>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19.1 投标人应当在投标文件递交截止时间前，将生成的已加密的电子投标文件成功递交至“政府采购云平台”。</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lang w:val="en-US" w:eastAsia="zh-CN"/>
        </w:rPr>
        <w:t>19.2投标人应充分考虑递交文件的不可预见因素，在投标截止时间后将无法递交。</w:t>
      </w:r>
    </w:p>
    <w:p>
      <w:pPr>
        <w:adjustRightInd w:val="0"/>
        <w:snapToGrid w:val="0"/>
        <w:spacing w:line="360" w:lineRule="auto"/>
        <w:ind w:firstLine="482" w:firstLineChars="200"/>
        <w:outlineLvl w:val="2"/>
        <w:rPr>
          <w:rFonts w:ascii="宋体" w:hAnsi="宋体" w:cs="宋体"/>
          <w:b/>
          <w:color w:val="auto"/>
          <w:sz w:val="24"/>
          <w:highlight w:val="none"/>
        </w:rPr>
      </w:pPr>
      <w:bookmarkStart w:id="113" w:name="_Toc183682365"/>
      <w:bookmarkStart w:id="114" w:name="_Toc183582228"/>
      <w:bookmarkStart w:id="115" w:name="_Toc503862781"/>
      <w:bookmarkStart w:id="116" w:name="_Toc217446055"/>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0</w:t>
      </w:r>
      <w:r>
        <w:rPr>
          <w:rFonts w:hint="eastAsia" w:ascii="宋体" w:hAnsi="宋体" w:cs="宋体"/>
          <w:b/>
          <w:color w:val="auto"/>
          <w:sz w:val="24"/>
          <w:highlight w:val="none"/>
        </w:rPr>
        <w:t>．投标文件的修改和撤</w:t>
      </w:r>
      <w:bookmarkEnd w:id="113"/>
      <w:bookmarkEnd w:id="114"/>
      <w:r>
        <w:rPr>
          <w:rFonts w:hint="eastAsia" w:ascii="宋体" w:hAnsi="宋体" w:cs="宋体"/>
          <w:b/>
          <w:color w:val="auto"/>
          <w:sz w:val="24"/>
          <w:highlight w:val="none"/>
        </w:rPr>
        <w:t>回</w:t>
      </w:r>
      <w:bookmarkEnd w:id="115"/>
      <w:bookmarkEnd w:id="116"/>
    </w:p>
    <w:p>
      <w:pPr>
        <w:adjustRightInd w:val="0"/>
        <w:snapToGrid w:val="0"/>
        <w:spacing w:line="360" w:lineRule="auto"/>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20.1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adjustRightInd w:val="0"/>
        <w:snapToGrid w:val="0"/>
        <w:spacing w:line="360" w:lineRule="auto"/>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20.2投标截止时间后，投标人不得对其递交的投标文件做任何补充、修改。</w:t>
      </w:r>
    </w:p>
    <w:p>
      <w:pPr>
        <w:adjustRightInd w:val="0"/>
        <w:snapToGrid w:val="0"/>
        <w:spacing w:line="360" w:lineRule="auto"/>
        <w:ind w:firstLine="482" w:firstLineChars="200"/>
        <w:outlineLvl w:val="2"/>
        <w:rPr>
          <w:rFonts w:hint="eastAsia" w:ascii="宋体" w:hAnsi="宋体" w:cs="宋体"/>
          <w:b/>
          <w:color w:val="auto"/>
          <w:sz w:val="24"/>
          <w:highlight w:val="none"/>
        </w:rPr>
      </w:pPr>
      <w:r>
        <w:rPr>
          <w:rFonts w:hint="eastAsia" w:ascii="宋体" w:hAnsi="宋体" w:cs="宋体"/>
          <w:b/>
          <w:color w:val="auto"/>
          <w:sz w:val="24"/>
          <w:highlight w:val="none"/>
          <w:lang w:val="en-US" w:eastAsia="zh-CN"/>
        </w:rPr>
        <w:t>21</w:t>
      </w:r>
      <w:r>
        <w:rPr>
          <w:rFonts w:hint="eastAsia" w:ascii="宋体" w:hAnsi="宋体" w:cs="宋体"/>
          <w:b/>
          <w:color w:val="auto"/>
          <w:sz w:val="24"/>
          <w:highlight w:val="none"/>
        </w:rPr>
        <w:t>．投标文件的解密</w:t>
      </w:r>
    </w:p>
    <w:p>
      <w:pPr>
        <w:adjustRightInd w:val="0"/>
        <w:snapToGrid w:val="0"/>
        <w:spacing w:line="360" w:lineRule="auto"/>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21.1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tabs>
          <w:tab w:val="left" w:pos="5142"/>
        </w:tabs>
        <w:jc w:val="center"/>
        <w:outlineLvl w:val="1"/>
        <w:rPr>
          <w:rFonts w:ascii="宋体" w:hAnsi="宋体" w:cs="宋体"/>
          <w:b/>
          <w:color w:val="auto"/>
          <w:sz w:val="30"/>
          <w:szCs w:val="30"/>
          <w:highlight w:val="none"/>
        </w:rPr>
      </w:pPr>
      <w:bookmarkStart w:id="117" w:name="_Toc217446056"/>
      <w:bookmarkStart w:id="118" w:name="_Toc503862782"/>
      <w:bookmarkStart w:id="119" w:name="_Toc308164805"/>
      <w:bookmarkStart w:id="120" w:name="_Toc183682368"/>
      <w:bookmarkStart w:id="121" w:name="_Toc77400782"/>
      <w:bookmarkStart w:id="122" w:name="_Toc89075878"/>
      <w:bookmarkStart w:id="123" w:name="_Toc183582231"/>
      <w:r>
        <w:rPr>
          <w:rFonts w:hint="eastAsia" w:ascii="宋体" w:hAnsi="宋体" w:cs="宋体"/>
          <w:b/>
          <w:color w:val="auto"/>
          <w:sz w:val="30"/>
          <w:szCs w:val="30"/>
          <w:highlight w:val="none"/>
        </w:rPr>
        <w:t>五、开标和中标</w:t>
      </w:r>
      <w:bookmarkEnd w:id="117"/>
      <w:bookmarkEnd w:id="118"/>
      <w:bookmarkEnd w:id="119"/>
      <w:bookmarkEnd w:id="120"/>
      <w:bookmarkEnd w:id="121"/>
      <w:bookmarkEnd w:id="122"/>
      <w:bookmarkEnd w:id="123"/>
    </w:p>
    <w:p>
      <w:pPr>
        <w:adjustRightInd w:val="0"/>
        <w:snapToGrid w:val="0"/>
        <w:spacing w:line="360" w:lineRule="auto"/>
        <w:ind w:firstLine="482" w:firstLineChars="200"/>
        <w:outlineLvl w:val="2"/>
        <w:rPr>
          <w:rFonts w:ascii="宋体" w:hAnsi="宋体" w:cs="宋体"/>
          <w:b/>
          <w:color w:val="auto"/>
          <w:sz w:val="24"/>
          <w:highlight w:val="none"/>
        </w:rPr>
      </w:pPr>
      <w:bookmarkStart w:id="124" w:name="_Toc217446057"/>
      <w:bookmarkStart w:id="125" w:name="_Toc503862783"/>
      <w:bookmarkStart w:id="126" w:name="_Toc308164806"/>
      <w:bookmarkStart w:id="127" w:name="_Toc183582232"/>
      <w:bookmarkStart w:id="128" w:name="_Toc183682369"/>
      <w:r>
        <w:rPr>
          <w:rFonts w:hint="eastAsia" w:ascii="宋体" w:hAnsi="宋体" w:cs="宋体"/>
          <w:b/>
          <w:color w:val="auto"/>
          <w:sz w:val="24"/>
          <w:highlight w:val="none"/>
        </w:rPr>
        <w:t>22．开标</w:t>
      </w:r>
      <w:bookmarkEnd w:id="124"/>
      <w:bookmarkEnd w:id="125"/>
      <w:bookmarkEnd w:id="126"/>
      <w:bookmarkEnd w:id="127"/>
      <w:bookmarkEnd w:id="128"/>
    </w:p>
    <w:p>
      <w:pPr>
        <w:adjustRightInd w:val="0"/>
        <w:snapToGrid w:val="0"/>
        <w:spacing w:line="360" w:lineRule="auto"/>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22.1本项目为不见面开标项目。（递交电子投标文件的投标人不足3家的，不予开标。）</w:t>
      </w:r>
    </w:p>
    <w:p>
      <w:pPr>
        <w:adjustRightInd w:val="0"/>
        <w:snapToGrid w:val="0"/>
        <w:spacing w:line="360" w:lineRule="auto"/>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22.2开标准备工作。投标人需在开标当日、投标截止时间前登录“政府采购云平台”，通过本项目“开标大厅”参与不见面开标。登录政府采购云平台—项目采购—开标评标—开标大厅（确保进入本项目开标大厅）。</w:t>
      </w:r>
    </w:p>
    <w:p>
      <w:pPr>
        <w:adjustRightInd w:val="0"/>
        <w:snapToGrid w:val="0"/>
        <w:spacing w:line="360" w:lineRule="auto"/>
        <w:ind w:firstLine="482" w:firstLineChars="200"/>
        <w:rPr>
          <w:rFonts w:hint="eastAsia" w:ascii="宋体" w:hAnsi="宋体" w:cs="宋体"/>
          <w:b/>
          <w:bCs w:val="0"/>
          <w:color w:val="auto"/>
          <w:sz w:val="24"/>
          <w:highlight w:val="none"/>
          <w:lang w:val="en-US" w:eastAsia="zh-CN"/>
        </w:rPr>
      </w:pPr>
      <w:r>
        <w:rPr>
          <w:rFonts w:hint="eastAsia" w:ascii="宋体" w:hAnsi="宋体" w:cs="宋体"/>
          <w:b/>
          <w:bCs w:val="0"/>
          <w:color w:val="auto"/>
          <w:sz w:val="24"/>
          <w:highlight w:val="none"/>
          <w:lang w:val="en-US" w:eastAsia="zh-CN"/>
        </w:rPr>
        <w:t>提示：投标人未按时登录不见面开标系统，错过开标解密时间的，由投标人自行承担不利后果。</w:t>
      </w:r>
    </w:p>
    <w:p>
      <w:pPr>
        <w:adjustRightInd w:val="0"/>
        <w:snapToGrid w:val="0"/>
        <w:spacing w:line="360" w:lineRule="auto"/>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22.3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adjustRightInd w:val="0"/>
        <w:snapToGrid w:val="0"/>
        <w:spacing w:line="360" w:lineRule="auto"/>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22.4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adjustRightInd w:val="0"/>
        <w:snapToGrid w:val="0"/>
        <w:spacing w:line="360" w:lineRule="auto"/>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22.5投标人电脑终端等硬件设备和软件系统配置：投标人电脑终端等硬件设备和软件系统配置应符合电子投标（含不见面开标大厅）投标人电脑终端配置要求并运行正常，投标人承担因未尽职责产生的不利后果。</w:t>
      </w:r>
    </w:p>
    <w:p>
      <w:pPr>
        <w:adjustRightInd w:val="0"/>
        <w:snapToGrid w:val="0"/>
        <w:spacing w:line="360" w:lineRule="auto"/>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22.6因断电、断网、系统故障或其他不可抗力等因素导致不见面开标系统无法正常运行的，开标活动中止或延迟，待系统恢复正常后继续进行开标活动。</w:t>
      </w:r>
    </w:p>
    <w:p>
      <w:pPr>
        <w:adjustRightInd w:val="0"/>
        <w:snapToGrid w:val="0"/>
        <w:spacing w:line="360" w:lineRule="auto"/>
        <w:ind w:firstLine="480" w:firstLineChars="20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22.7不见面开标过程中，各方主体均应遵守互联网有关规定，不得发表与交易活动无关的言论。</w:t>
      </w:r>
    </w:p>
    <w:p>
      <w:pPr>
        <w:adjustRightInd w:val="0"/>
        <w:snapToGrid w:val="0"/>
        <w:spacing w:line="360" w:lineRule="auto"/>
        <w:ind w:firstLine="482" w:firstLineChars="200"/>
        <w:outlineLvl w:val="2"/>
        <w:rPr>
          <w:rFonts w:ascii="宋体" w:hAnsi="宋体" w:cs="宋体"/>
          <w:b/>
          <w:color w:val="auto"/>
          <w:sz w:val="24"/>
          <w:highlight w:val="none"/>
        </w:rPr>
      </w:pPr>
      <w:bookmarkStart w:id="129" w:name="_Toc183582238"/>
      <w:bookmarkStart w:id="130" w:name="_Toc183682375"/>
      <w:bookmarkStart w:id="131" w:name="_Toc217446063"/>
      <w:bookmarkStart w:id="132" w:name="_Toc308164809"/>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3</w:t>
      </w:r>
      <w:r>
        <w:rPr>
          <w:rFonts w:hint="eastAsia" w:ascii="宋体" w:hAnsi="宋体" w:cs="宋体"/>
          <w:b/>
          <w:color w:val="auto"/>
          <w:sz w:val="24"/>
          <w:highlight w:val="none"/>
        </w:rPr>
        <w:t>．开评标过程存档</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开标和评标过程进行全过程电子监控，并将电子监控资料存储介质留存归档。</w:t>
      </w:r>
    </w:p>
    <w:p>
      <w:pPr>
        <w:adjustRightInd w:val="0"/>
        <w:snapToGrid w:val="0"/>
        <w:spacing w:line="360" w:lineRule="auto"/>
        <w:ind w:firstLine="482" w:firstLineChars="200"/>
        <w:outlineLvl w:val="2"/>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4</w:t>
      </w:r>
      <w:r>
        <w:rPr>
          <w:rFonts w:hint="eastAsia" w:ascii="宋体" w:hAnsi="宋体" w:cs="宋体"/>
          <w:b/>
          <w:color w:val="auto"/>
          <w:sz w:val="24"/>
          <w:highlight w:val="none"/>
        </w:rPr>
        <w:t>．评标情况公告</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所有供应商投标文件资格性、符合性检查情况、采用综合评分法时的总得分和分项汇总得分情况、评标结果等将在四川政府采购网上采购结果公告栏中予以公告。</w:t>
      </w:r>
    </w:p>
    <w:p>
      <w:pPr>
        <w:adjustRightInd w:val="0"/>
        <w:snapToGrid w:val="0"/>
        <w:spacing w:line="360" w:lineRule="auto"/>
        <w:ind w:firstLine="482" w:firstLineChars="200"/>
        <w:outlineLvl w:val="2"/>
        <w:rPr>
          <w:rFonts w:ascii="宋体" w:hAnsi="宋体" w:cs="宋体"/>
          <w:b/>
          <w:color w:val="auto"/>
          <w:sz w:val="24"/>
          <w:highlight w:val="none"/>
        </w:rPr>
      </w:pPr>
      <w:bookmarkStart w:id="133" w:name="_Toc503862784"/>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．中标通知</w:t>
      </w:r>
      <w:bookmarkEnd w:id="129"/>
      <w:bookmarkEnd w:id="130"/>
      <w:r>
        <w:rPr>
          <w:rFonts w:hint="eastAsia" w:ascii="宋体" w:hAnsi="宋体" w:cs="宋体"/>
          <w:b/>
          <w:color w:val="auto"/>
          <w:sz w:val="24"/>
          <w:highlight w:val="none"/>
        </w:rPr>
        <w:t>书</w:t>
      </w:r>
      <w:bookmarkEnd w:id="131"/>
      <w:bookmarkEnd w:id="132"/>
      <w:bookmarkEnd w:id="133"/>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rPr>
        <w:t>.1 中标通知书为签订政府采购合同的依据之一，是合同的有效组成部分。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rPr>
        <w:t>.2 投标人中标后，拒绝领取中标通知书的，招标采购单位将于中标供应商确定之日起两个工作日内采取邮寄、快递方式按照投标人投标文件中的地址发出中标通知书。</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rPr>
        <w:t>.3 中标通知书对采购人和中标人均具有法律效力。中标通知书发出后，采购人改变中标结果，或者中标人无正当理由放弃中标的，应当承担相应的法律责任。</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rPr>
        <w:t>．4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rPr>
        <w:t>.5中标公告发出后，中标供应商自行领取中标通知书的，可凭有效身份证明证件到招标代理公司领取中标通知书。</w:t>
      </w:r>
    </w:p>
    <w:p>
      <w:pPr>
        <w:tabs>
          <w:tab w:val="left" w:pos="5142"/>
        </w:tabs>
        <w:jc w:val="center"/>
        <w:outlineLvl w:val="1"/>
        <w:rPr>
          <w:rFonts w:ascii="宋体" w:hAnsi="宋体" w:cs="宋体"/>
          <w:b/>
          <w:color w:val="auto"/>
          <w:sz w:val="30"/>
          <w:szCs w:val="30"/>
          <w:highlight w:val="none"/>
        </w:rPr>
      </w:pPr>
      <w:bookmarkStart w:id="134" w:name="_Toc308164810"/>
      <w:bookmarkStart w:id="135" w:name="_Toc503862785"/>
      <w:bookmarkStart w:id="136" w:name="_Toc217446064"/>
      <w:bookmarkStart w:id="137" w:name="_Toc183682377"/>
      <w:bookmarkStart w:id="138" w:name="_Toc183582240"/>
      <w:r>
        <w:rPr>
          <w:rFonts w:hint="eastAsia" w:ascii="宋体" w:hAnsi="宋体" w:cs="宋体"/>
          <w:b/>
          <w:color w:val="auto"/>
          <w:sz w:val="30"/>
          <w:szCs w:val="30"/>
          <w:highlight w:val="none"/>
        </w:rPr>
        <w:t>六、签订及履行合同和验收</w:t>
      </w:r>
      <w:bookmarkEnd w:id="134"/>
      <w:bookmarkEnd w:id="135"/>
      <w:bookmarkEnd w:id="136"/>
    </w:p>
    <w:p>
      <w:pPr>
        <w:adjustRightInd w:val="0"/>
        <w:snapToGrid w:val="0"/>
        <w:spacing w:line="360" w:lineRule="auto"/>
        <w:ind w:firstLine="482" w:firstLineChars="200"/>
        <w:outlineLvl w:val="2"/>
        <w:rPr>
          <w:rFonts w:ascii="宋体" w:hAnsi="宋体" w:cs="宋体"/>
          <w:b/>
          <w:color w:val="auto"/>
          <w:sz w:val="24"/>
          <w:highlight w:val="none"/>
        </w:rPr>
      </w:pPr>
      <w:bookmarkStart w:id="139" w:name="_Toc503862786"/>
      <w:bookmarkStart w:id="140" w:name="_Toc217446065"/>
      <w:bookmarkStart w:id="141" w:name="_Toc308164811"/>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6</w:t>
      </w:r>
      <w:r>
        <w:rPr>
          <w:rFonts w:hint="eastAsia" w:ascii="宋体" w:hAnsi="宋体" w:cs="宋体"/>
          <w:b/>
          <w:color w:val="auto"/>
          <w:sz w:val="24"/>
          <w:highlight w:val="none"/>
        </w:rPr>
        <w:t>．签订合同</w:t>
      </w:r>
      <w:bookmarkEnd w:id="139"/>
      <w:bookmarkEnd w:id="140"/>
      <w:bookmarkEnd w:id="141"/>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.1 中标人应在中标通知书发出之日起三十日内与采购人签订采购合同。由于中标人的原因逾期未与采购人签订采购合同的，将视为放弃中标，取消其中标资格并将按相关规定进行处理。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.2 采购人不得向中标人提出任何不合理的要求，作为签订合同的条件，不得与中标人私下订立背离合同实质性内容的任何协议，所签订的合同不得对招标文件和中标人投标文件确定的事项进行修改。</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.3 中标人因不可抗力原因不能履行采购合同或放弃中标的，采购人可以与排在中标人之后第一位的中标候选人签订采购合同也可选择依法重新组织招标。</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.4 中标人在合同签订之后3个工作日内，将签订的合同送至采购项目所属财政部门备案。</w:t>
      </w:r>
    </w:p>
    <w:p>
      <w:pPr>
        <w:adjustRightInd w:val="0"/>
        <w:snapToGrid w:val="0"/>
        <w:spacing w:line="360" w:lineRule="auto"/>
        <w:ind w:firstLine="482" w:firstLineChars="200"/>
        <w:outlineLvl w:val="2"/>
        <w:rPr>
          <w:rFonts w:ascii="宋体" w:hAnsi="宋体" w:cs="宋体"/>
          <w:b/>
          <w:color w:val="auto"/>
          <w:sz w:val="24"/>
          <w:highlight w:val="none"/>
        </w:rPr>
      </w:pPr>
      <w:bookmarkStart w:id="142" w:name="_Toc503862787"/>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7</w:t>
      </w:r>
      <w:r>
        <w:rPr>
          <w:rFonts w:hint="eastAsia" w:ascii="宋体" w:hAnsi="宋体" w:cs="宋体"/>
          <w:b/>
          <w:color w:val="auto"/>
          <w:sz w:val="24"/>
          <w:highlight w:val="none"/>
        </w:rPr>
        <w:t>．合同分包（实质性要求）</w:t>
      </w:r>
    </w:p>
    <w:p>
      <w:pPr>
        <w:adjustRightInd w:val="0"/>
        <w:snapToGrid w:val="0"/>
        <w:spacing w:line="360" w:lineRule="auto"/>
        <w:ind w:firstLine="480" w:firstLineChars="200"/>
        <w:rPr>
          <w:rFonts w:ascii="宋体" w:hAnsi="宋体" w:cs="宋体"/>
          <w:bCs/>
          <w:color w:val="auto"/>
          <w:sz w:val="24"/>
          <w:highlight w:val="none"/>
        </w:rPr>
      </w:pPr>
      <w:bookmarkStart w:id="143" w:name="_Toc217446067"/>
      <w:r>
        <w:rPr>
          <w:rFonts w:hint="eastAsia" w:ascii="宋体" w:hAnsi="宋体" w:cs="宋体"/>
          <w:bCs/>
          <w:color w:val="auto"/>
          <w:sz w:val="24"/>
          <w:highlight w:val="none"/>
        </w:rPr>
        <w:t>2</w:t>
      </w:r>
      <w:r>
        <w:rPr>
          <w:rFonts w:hint="eastAsia" w:ascii="宋体" w:hAnsi="宋体" w:cs="宋体"/>
          <w:bCs/>
          <w:color w:val="auto"/>
          <w:sz w:val="24"/>
          <w:highlight w:val="none"/>
          <w:lang w:val="en-US" w:eastAsia="zh-CN"/>
        </w:rPr>
        <w:t>7</w:t>
      </w:r>
      <w:r>
        <w:rPr>
          <w:rFonts w:hint="eastAsia" w:ascii="宋体" w:hAnsi="宋体" w:cs="宋体"/>
          <w:bCs/>
          <w:color w:val="auto"/>
          <w:sz w:val="24"/>
          <w:highlight w:val="none"/>
        </w:rPr>
        <w:t>.1 经采购人同意，中标人可以依法采取分包方式履行合同。这种要求应当在合同签订之前征得采购人同意，并且分包供应商履行的分包项目的品牌、规格型号及技术要求等，必须与中标的一致。</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lang w:val="en-US" w:eastAsia="zh-CN"/>
        </w:rPr>
        <w:t>7</w:t>
      </w:r>
      <w:r>
        <w:rPr>
          <w:rFonts w:hint="eastAsia" w:ascii="宋体" w:hAnsi="宋体" w:cs="宋体"/>
          <w:bCs/>
          <w:color w:val="auto"/>
          <w:sz w:val="24"/>
          <w:highlight w:val="none"/>
        </w:rPr>
        <w:t>.2 采购合同实行分包履行的，中标人就采购项目和分包项目向采购人负责，分包供应商就分包项目承担责任。</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lang w:val="en-US" w:eastAsia="zh-CN"/>
        </w:rPr>
        <w:t>7</w:t>
      </w:r>
      <w:r>
        <w:rPr>
          <w:rFonts w:hint="eastAsia" w:ascii="宋体" w:hAnsi="宋体" w:cs="宋体"/>
          <w:bCs/>
          <w:color w:val="auto"/>
          <w:sz w:val="24"/>
          <w:highlight w:val="none"/>
        </w:rPr>
        <w:t>.3 中小企业依据《政府采购促进中小企业发展管理办法》财库〔2020〕46号规定的政策获取政府采购合同后，小型、微型企业不得分包或转包给大型、中型企业，中型企业不得分包或转包给大型企业。</w:t>
      </w:r>
      <w:bookmarkEnd w:id="143"/>
    </w:p>
    <w:p>
      <w:pPr>
        <w:adjustRightInd w:val="0"/>
        <w:snapToGrid w:val="0"/>
        <w:spacing w:line="360" w:lineRule="auto"/>
        <w:ind w:firstLine="482" w:firstLineChars="200"/>
        <w:outlineLvl w:val="2"/>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8</w:t>
      </w:r>
      <w:r>
        <w:rPr>
          <w:rFonts w:hint="eastAsia" w:ascii="宋体" w:hAnsi="宋体" w:cs="宋体"/>
          <w:b/>
          <w:color w:val="auto"/>
          <w:sz w:val="24"/>
          <w:highlight w:val="none"/>
        </w:rPr>
        <w:t>．合同转包（实质性要求）</w:t>
      </w:r>
      <w:bookmarkEnd w:id="142"/>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中标人转包的，视同拒绝履行政府采购合同义务，将依法追究法律责任。</w:t>
      </w:r>
    </w:p>
    <w:p>
      <w:pPr>
        <w:adjustRightInd w:val="0"/>
        <w:snapToGrid w:val="0"/>
        <w:spacing w:line="360" w:lineRule="auto"/>
        <w:ind w:firstLine="482" w:firstLineChars="200"/>
        <w:outlineLvl w:val="2"/>
        <w:rPr>
          <w:rFonts w:ascii="宋体" w:hAnsi="宋体" w:cs="宋体"/>
          <w:b/>
          <w:color w:val="auto"/>
          <w:sz w:val="24"/>
          <w:highlight w:val="none"/>
        </w:rPr>
      </w:pPr>
      <w:bookmarkStart w:id="144" w:name="_Toc503862788"/>
      <w:r>
        <w:rPr>
          <w:rFonts w:hint="eastAsia" w:ascii="宋体" w:hAnsi="宋体" w:cs="宋体"/>
          <w:b/>
          <w:color w:val="auto"/>
          <w:sz w:val="24"/>
          <w:highlight w:val="none"/>
          <w:lang w:val="en-US" w:eastAsia="zh-CN"/>
        </w:rPr>
        <w:t>29</w:t>
      </w:r>
      <w:r>
        <w:rPr>
          <w:rFonts w:hint="eastAsia" w:ascii="宋体" w:hAnsi="宋体" w:cs="宋体"/>
          <w:b/>
          <w:color w:val="auto"/>
          <w:sz w:val="24"/>
          <w:highlight w:val="none"/>
        </w:rPr>
        <w:t>．补充合同</w:t>
      </w:r>
      <w:bookmarkEnd w:id="144"/>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bookmarkStart w:id="145" w:name="_Toc503862789"/>
      <w:bookmarkStart w:id="146" w:name="_Toc217446068"/>
      <w:bookmarkStart w:id="147" w:name="_Toc308164812"/>
    </w:p>
    <w:bookmarkEnd w:id="145"/>
    <w:bookmarkEnd w:id="146"/>
    <w:bookmarkEnd w:id="147"/>
    <w:p>
      <w:pPr>
        <w:adjustRightInd w:val="0"/>
        <w:snapToGrid w:val="0"/>
        <w:spacing w:line="360" w:lineRule="auto"/>
        <w:ind w:firstLine="482" w:firstLineChars="200"/>
        <w:outlineLvl w:val="2"/>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b/>
          <w:color w:val="auto"/>
          <w:sz w:val="24"/>
          <w:highlight w:val="none"/>
          <w:lang w:val="en-US" w:eastAsia="zh-CN"/>
        </w:rPr>
        <w:t>0</w:t>
      </w:r>
      <w:r>
        <w:rPr>
          <w:rFonts w:hint="eastAsia" w:ascii="宋体" w:hAnsi="宋体" w:cs="宋体"/>
          <w:b/>
          <w:color w:val="auto"/>
          <w:sz w:val="24"/>
          <w:highlight w:val="none"/>
        </w:rPr>
        <w:t>．履约保证金（实质性要求）</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eastAsia="宋体" w:cs="宋体"/>
          <w:bCs/>
          <w:color w:val="auto"/>
          <w:sz w:val="24"/>
          <w:highlight w:val="none"/>
        </w:rPr>
        <w:t>本项目不收取</w:t>
      </w:r>
      <w:r>
        <w:rPr>
          <w:rFonts w:hint="eastAsia" w:ascii="宋体" w:hAnsi="宋体" w:eastAsia="宋体" w:cs="宋体"/>
          <w:bCs/>
          <w:color w:val="auto"/>
          <w:sz w:val="24"/>
          <w:highlight w:val="none"/>
          <w:lang w:val="en-US" w:eastAsia="zh-CN"/>
        </w:rPr>
        <w:t>履约</w:t>
      </w:r>
      <w:r>
        <w:rPr>
          <w:rFonts w:hint="eastAsia" w:ascii="宋体" w:hAnsi="宋体" w:eastAsia="宋体" w:cs="宋体"/>
          <w:bCs/>
          <w:color w:val="auto"/>
          <w:sz w:val="24"/>
          <w:highlight w:val="none"/>
        </w:rPr>
        <w:t>保证金。</w:t>
      </w:r>
    </w:p>
    <w:p>
      <w:pPr>
        <w:adjustRightInd w:val="0"/>
        <w:snapToGrid w:val="0"/>
        <w:spacing w:line="360" w:lineRule="auto"/>
        <w:ind w:firstLine="482" w:firstLineChars="200"/>
        <w:outlineLvl w:val="2"/>
        <w:rPr>
          <w:rFonts w:ascii="宋体" w:hAnsi="宋体" w:cs="宋体"/>
          <w:b/>
          <w:color w:val="auto"/>
          <w:sz w:val="24"/>
          <w:highlight w:val="none"/>
        </w:rPr>
      </w:pPr>
      <w:bookmarkStart w:id="148" w:name="_Toc503862790"/>
      <w:bookmarkStart w:id="149" w:name="_Toc217446069"/>
      <w:bookmarkStart w:id="150" w:name="_Toc308164813"/>
      <w:r>
        <w:rPr>
          <w:rFonts w:hint="eastAsia" w:ascii="宋体" w:hAnsi="宋体" w:cs="宋体"/>
          <w:b/>
          <w:color w:val="auto"/>
          <w:sz w:val="24"/>
          <w:highlight w:val="none"/>
        </w:rPr>
        <w:t>3</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．合同公告</w:t>
      </w:r>
      <w:bookmarkEnd w:id="148"/>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adjustRightInd w:val="0"/>
        <w:snapToGrid w:val="0"/>
        <w:spacing w:line="360" w:lineRule="auto"/>
        <w:ind w:firstLine="482" w:firstLineChars="200"/>
        <w:outlineLvl w:val="2"/>
        <w:rPr>
          <w:rFonts w:ascii="宋体" w:hAnsi="宋体" w:cs="宋体"/>
          <w:b/>
          <w:color w:val="auto"/>
          <w:sz w:val="24"/>
          <w:highlight w:val="none"/>
        </w:rPr>
      </w:pPr>
      <w:bookmarkStart w:id="151" w:name="_Toc503862791"/>
      <w:r>
        <w:rPr>
          <w:rFonts w:hint="eastAsia" w:ascii="宋体" w:hAnsi="宋体" w:cs="宋体"/>
          <w:b/>
          <w:color w:val="auto"/>
          <w:sz w:val="24"/>
          <w:highlight w:val="none"/>
        </w:rPr>
        <w:t>3</w:t>
      </w: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．合同备案</w:t>
      </w:r>
      <w:bookmarkEnd w:id="151"/>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采购人应当将政府采购合同副本自签订（双方当事人均已签字盖章）之日起七个工作日内通过</w:t>
      </w:r>
      <w:r>
        <w:rPr>
          <w:rFonts w:hint="eastAsia" w:ascii="宋体" w:hAnsi="宋体" w:cs="宋体"/>
          <w:bCs/>
          <w:color w:val="auto"/>
          <w:sz w:val="24"/>
          <w:highlight w:val="none"/>
          <w:lang w:val="en-US" w:eastAsia="zh-CN"/>
        </w:rPr>
        <w:t>政府采购云平台</w:t>
      </w:r>
      <w:r>
        <w:rPr>
          <w:rFonts w:hint="eastAsia" w:ascii="宋体" w:hAnsi="宋体" w:cs="宋体"/>
          <w:bCs/>
          <w:color w:val="auto"/>
          <w:sz w:val="24"/>
          <w:highlight w:val="none"/>
        </w:rPr>
        <w:t>报同级财政部门备案。</w:t>
      </w:r>
    </w:p>
    <w:p>
      <w:pPr>
        <w:adjustRightInd w:val="0"/>
        <w:snapToGrid w:val="0"/>
        <w:spacing w:line="360" w:lineRule="auto"/>
        <w:ind w:firstLine="482" w:firstLineChars="200"/>
        <w:outlineLvl w:val="2"/>
        <w:rPr>
          <w:rFonts w:ascii="宋体" w:hAnsi="宋体" w:cs="宋体"/>
          <w:b/>
          <w:color w:val="auto"/>
          <w:sz w:val="24"/>
          <w:highlight w:val="none"/>
        </w:rPr>
      </w:pPr>
      <w:bookmarkStart w:id="152" w:name="_Toc503862792"/>
      <w:r>
        <w:rPr>
          <w:rFonts w:hint="eastAsia" w:ascii="宋体" w:hAnsi="宋体" w:cs="宋体"/>
          <w:b/>
          <w:color w:val="auto"/>
          <w:sz w:val="24"/>
          <w:highlight w:val="none"/>
        </w:rPr>
        <w:t>3</w:t>
      </w:r>
      <w:r>
        <w:rPr>
          <w:rFonts w:hint="eastAsia" w:ascii="宋体" w:hAnsi="宋体" w:cs="宋体"/>
          <w:b/>
          <w:color w:val="auto"/>
          <w:sz w:val="24"/>
          <w:highlight w:val="none"/>
          <w:lang w:val="en-US" w:eastAsia="zh-CN"/>
        </w:rPr>
        <w:t>3</w:t>
      </w:r>
      <w:r>
        <w:rPr>
          <w:rFonts w:hint="eastAsia" w:ascii="宋体" w:hAnsi="宋体" w:cs="宋体"/>
          <w:b/>
          <w:color w:val="auto"/>
          <w:sz w:val="24"/>
          <w:highlight w:val="none"/>
        </w:rPr>
        <w:t>．履行合同</w:t>
      </w:r>
      <w:bookmarkEnd w:id="149"/>
      <w:bookmarkEnd w:id="150"/>
      <w:bookmarkEnd w:id="152"/>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.1 中标人与采购人签订合同后，合同双方应严格执行合同条款，履行合同规定的义务，保证合同的顺利完成。</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.2 在合同履行过程中，如发生合同纠纷，合同双方应按照《</w:t>
      </w:r>
      <w:r>
        <w:rPr>
          <w:rFonts w:hint="eastAsia" w:ascii="宋体" w:hAnsi="宋体" w:cs="宋体"/>
          <w:bCs/>
          <w:color w:val="auto"/>
          <w:sz w:val="24"/>
          <w:highlight w:val="none"/>
          <w:lang w:val="en-US" w:eastAsia="zh-CN"/>
        </w:rPr>
        <w:t>中华人民共和国民法典</w:t>
      </w:r>
      <w:r>
        <w:rPr>
          <w:rFonts w:hint="eastAsia" w:ascii="宋体" w:hAnsi="宋体" w:cs="宋体"/>
          <w:bCs/>
          <w:color w:val="auto"/>
          <w:sz w:val="24"/>
          <w:highlight w:val="none"/>
        </w:rPr>
        <w:t>》的有关规定进行处理。</w:t>
      </w:r>
    </w:p>
    <w:p>
      <w:pPr>
        <w:adjustRightInd w:val="0"/>
        <w:snapToGrid w:val="0"/>
        <w:spacing w:line="360" w:lineRule="auto"/>
        <w:ind w:firstLine="482" w:firstLineChars="200"/>
        <w:outlineLvl w:val="2"/>
        <w:rPr>
          <w:rFonts w:ascii="宋体" w:hAnsi="宋体" w:cs="宋体"/>
          <w:b/>
          <w:color w:val="auto"/>
          <w:sz w:val="24"/>
          <w:highlight w:val="none"/>
        </w:rPr>
      </w:pPr>
      <w:bookmarkStart w:id="153" w:name="_Toc503862793"/>
      <w:bookmarkStart w:id="154" w:name="_Toc308164814"/>
      <w:bookmarkStart w:id="155" w:name="_Toc217446070"/>
      <w:r>
        <w:rPr>
          <w:rFonts w:hint="eastAsia" w:ascii="宋体" w:hAnsi="宋体" w:cs="宋体"/>
          <w:b/>
          <w:color w:val="auto"/>
          <w:sz w:val="24"/>
          <w:highlight w:val="none"/>
        </w:rPr>
        <w:t>3</w:t>
      </w:r>
      <w:r>
        <w:rPr>
          <w:rFonts w:hint="eastAsia" w:ascii="宋体" w:hAnsi="宋体" w:cs="宋体"/>
          <w:b/>
          <w:color w:val="auto"/>
          <w:sz w:val="24"/>
          <w:highlight w:val="none"/>
          <w:lang w:val="en-US" w:eastAsia="zh-CN"/>
        </w:rPr>
        <w:t>4</w:t>
      </w:r>
      <w:r>
        <w:rPr>
          <w:rFonts w:hint="eastAsia" w:ascii="宋体" w:hAnsi="宋体" w:cs="宋体"/>
          <w:b/>
          <w:color w:val="auto"/>
          <w:sz w:val="24"/>
          <w:highlight w:val="none"/>
        </w:rPr>
        <w:t>．验收</w:t>
      </w:r>
      <w:bookmarkEnd w:id="153"/>
      <w:bookmarkEnd w:id="154"/>
      <w:bookmarkEnd w:id="155"/>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.1本项目采购人及其委托的采购代理机构将严格按照政府采购相关法律法规的要求进行验收。</w:t>
      </w:r>
    </w:p>
    <w:p>
      <w:pPr>
        <w:adjustRightInd w:val="0"/>
        <w:snapToGrid w:val="0"/>
        <w:spacing w:line="360" w:lineRule="auto"/>
        <w:rPr>
          <w:rFonts w:ascii="宋体" w:hAnsi="宋体" w:cs="宋体"/>
          <w:bCs/>
          <w:color w:val="auto"/>
          <w:sz w:val="24"/>
          <w:highlight w:val="none"/>
        </w:rPr>
      </w:pPr>
      <w:bookmarkStart w:id="156" w:name="_Toc217446071"/>
    </w:p>
    <w:bookmarkEnd w:id="137"/>
    <w:bookmarkEnd w:id="138"/>
    <w:bookmarkEnd w:id="156"/>
    <w:p>
      <w:pPr>
        <w:tabs>
          <w:tab w:val="left" w:pos="5142"/>
        </w:tabs>
        <w:jc w:val="center"/>
        <w:outlineLvl w:val="1"/>
        <w:rPr>
          <w:rFonts w:ascii="宋体" w:hAnsi="宋体" w:cs="宋体"/>
          <w:b/>
          <w:color w:val="auto"/>
          <w:sz w:val="30"/>
          <w:szCs w:val="30"/>
          <w:highlight w:val="none"/>
        </w:rPr>
      </w:pPr>
      <w:bookmarkStart w:id="157" w:name="_Toc217446074"/>
      <w:bookmarkStart w:id="158" w:name="_Toc308164815"/>
      <w:bookmarkStart w:id="159" w:name="_Toc503862795"/>
      <w:bookmarkStart w:id="160" w:name="_Toc183682380"/>
      <w:bookmarkStart w:id="161" w:name="_Toc183582243"/>
      <w:r>
        <w:rPr>
          <w:rFonts w:hint="eastAsia" w:ascii="宋体" w:hAnsi="宋体" w:cs="宋体"/>
          <w:b/>
          <w:color w:val="auto"/>
          <w:sz w:val="30"/>
          <w:szCs w:val="30"/>
          <w:highlight w:val="none"/>
        </w:rPr>
        <w:t>七、投标纪律要求</w:t>
      </w:r>
      <w:bookmarkEnd w:id="157"/>
      <w:bookmarkEnd w:id="158"/>
      <w:bookmarkEnd w:id="159"/>
    </w:p>
    <w:p>
      <w:pPr>
        <w:adjustRightInd w:val="0"/>
        <w:snapToGrid w:val="0"/>
        <w:spacing w:line="360" w:lineRule="auto"/>
        <w:ind w:firstLine="482" w:firstLineChars="200"/>
        <w:outlineLvl w:val="2"/>
        <w:rPr>
          <w:rFonts w:ascii="宋体" w:hAnsi="宋体" w:cs="宋体"/>
          <w:b/>
          <w:color w:val="auto"/>
          <w:sz w:val="24"/>
          <w:highlight w:val="none"/>
        </w:rPr>
      </w:pPr>
      <w:bookmarkStart w:id="162" w:name="_Toc217446075"/>
      <w:bookmarkStart w:id="163" w:name="_Toc308164816"/>
      <w:bookmarkStart w:id="164" w:name="_Toc503862796"/>
      <w:r>
        <w:rPr>
          <w:rFonts w:hint="eastAsia" w:ascii="宋体" w:hAnsi="宋体" w:cs="宋体"/>
          <w:b/>
          <w:color w:val="auto"/>
          <w:sz w:val="24"/>
          <w:highlight w:val="none"/>
        </w:rPr>
        <w:t>3</w:t>
      </w: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．投标人不得具有的情形</w:t>
      </w:r>
      <w:bookmarkEnd w:id="162"/>
      <w:bookmarkEnd w:id="163"/>
      <w:bookmarkEnd w:id="164"/>
    </w:p>
    <w:p>
      <w:pPr>
        <w:adjustRightInd w:val="0"/>
        <w:snapToGrid w:val="0"/>
        <w:spacing w:line="360" w:lineRule="auto"/>
        <w:ind w:firstLine="480" w:firstLineChars="200"/>
        <w:rPr>
          <w:rFonts w:ascii="宋体" w:hAnsi="宋体" w:cs="宋体"/>
          <w:bCs/>
          <w:color w:val="auto"/>
          <w:sz w:val="24"/>
          <w:highlight w:val="none"/>
        </w:rPr>
      </w:pPr>
      <w:bookmarkStart w:id="165" w:name="_Toc308164819"/>
      <w:bookmarkStart w:id="166" w:name="_Toc217446078"/>
      <w:r>
        <w:rPr>
          <w:rFonts w:hint="eastAsia" w:ascii="宋体" w:hAnsi="宋体" w:cs="宋体"/>
          <w:bCs/>
          <w:color w:val="auto"/>
          <w:sz w:val="24"/>
          <w:highlight w:val="none"/>
        </w:rPr>
        <w:t>投标人应当遵循公平竞争的原则，不得恶意串通，不得妨碍其他投标人的竞争行为，不得损害采购人或者其他投标人的合法权益。</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在评标过程中发现投标人有上述情形的，评标委员会应当认定其投标无效，并书面报告本级财政部门。</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w:t>
      </w: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rPr>
        <w:t>.1 投标人参加本项目投标不得有下列情形：</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（1）提供虚假材料谋取中标；</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（2）采取不正当手段诋毁、排挤其他投标人；</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（3）与招标采购单位、其他投标人恶意串通；</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（4）向招标采购单位、评标委员会成员行贿或者提供其他不正当利益；</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（5）在招标过程中与招标采购单位进行协商谈判；</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（6）中标或者成交后无正当理由拒不与采购人签订政府采购合同；</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（7）未按照采购文件确定的事项签订政府采购合同；</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（8）将政府采购合同转包或者违规分包；</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（9）提供假冒伪劣产品；</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（10）擅自变更、中止或者终止政府采购合同；</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（11）拒绝有关部门的监督检查或者向监督检查部门提供虚假情况；</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（12）法律法规规定的其他情形。</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投标人有上述情形的，按照规定追究法律责任，具备（1）-（10）条情形之一的，同时将取消中标资格或者认定中标无效。</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w:t>
      </w: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rPr>
        <w:t>.2 投标人有下列情形之一的，视为投标人串通投标，其投标无效：</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（1）不同投标人的投标文件由同一单位或者个人编制；</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（2）不同投标人委托同一单位或者个人办理投标事宜；</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（3）不同投标人的投标文件载明的项目管理成员或者联系人员为同一人；</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（4）不同投标人的投标文件异常一致或者投标报价呈规律性差异；</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（5）不同投标人的投标文件相互混装；</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（6）不同投标人的投标保证金从同一单位或者个人的账户转出。</w:t>
      </w:r>
    </w:p>
    <w:p>
      <w:pPr>
        <w:adjustRightInd w:val="0"/>
        <w:snapToGrid w:val="0"/>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3</w:t>
      </w: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rPr>
        <w:t>.3 投标人存在下列情况之一的，投标无效</w:t>
      </w:r>
      <w:r>
        <w:rPr>
          <w:rFonts w:hint="eastAsia" w:ascii="宋体" w:hAnsi="宋体" w:cs="宋体"/>
          <w:bCs/>
          <w:color w:val="auto"/>
          <w:sz w:val="24"/>
          <w:highlight w:val="none"/>
          <w:lang w:eastAsia="zh-CN"/>
        </w:rPr>
        <w:t>：</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（1）未按照招标文件的规定提交投标保证金的；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（2）投标文件未按招标文件要求签署、盖章的；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（3）不具备招标文件中规定的资格要求的；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（4）报价超过招标文件中规定的预算金额或者最高限价的；</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（5）投标文件含有采购人不能接受的附加条件的；</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（6）法律、法规和招标文件规定的其他无效情形。</w:t>
      </w:r>
    </w:p>
    <w:p>
      <w:pPr>
        <w:tabs>
          <w:tab w:val="left" w:pos="5142"/>
        </w:tabs>
        <w:jc w:val="center"/>
        <w:outlineLvl w:val="1"/>
        <w:rPr>
          <w:rFonts w:hint="eastAsia" w:asciiTheme="minorEastAsia" w:hAnsiTheme="minorEastAsia" w:eastAsiaTheme="minorEastAsia" w:cstheme="minorEastAsia"/>
          <w:b/>
          <w:color w:val="auto"/>
          <w:sz w:val="24"/>
          <w:szCs w:val="24"/>
          <w:highlight w:val="none"/>
        </w:rPr>
      </w:pPr>
      <w:bookmarkStart w:id="167" w:name="_Toc503862797"/>
      <w:r>
        <w:rPr>
          <w:rFonts w:hint="eastAsia" w:asciiTheme="minorEastAsia" w:hAnsiTheme="minorEastAsia" w:eastAsiaTheme="minorEastAsia" w:cstheme="minorEastAsia"/>
          <w:b/>
          <w:color w:val="auto"/>
          <w:sz w:val="24"/>
          <w:szCs w:val="24"/>
          <w:highlight w:val="none"/>
        </w:rPr>
        <w:t>八、询问、质疑和投诉</w:t>
      </w:r>
      <w:bookmarkEnd w:id="165"/>
      <w:bookmarkEnd w:id="166"/>
      <w:bookmarkEnd w:id="167"/>
      <w:bookmarkStart w:id="168" w:name="_Toc217446079"/>
    </w:p>
    <w:bookmarkEnd w:id="160"/>
    <w:bookmarkEnd w:id="161"/>
    <w:bookmarkEnd w:id="168"/>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询问、质疑、投诉的接收和处理严格按照《中华人民共和国政府采购法》、《中华人民共和国政府采购法实施条例》、《政府采购质疑和投诉办法》的规定办理。本项目要求供应商在法定质疑期内一次性提出针对同一采购程序环节的质疑。</w:t>
      </w:r>
    </w:p>
    <w:p>
      <w:pPr>
        <w:tabs>
          <w:tab w:val="left" w:pos="5142"/>
        </w:tabs>
        <w:jc w:val="center"/>
        <w:outlineLvl w:val="1"/>
        <w:rPr>
          <w:rFonts w:hint="eastAsia" w:asciiTheme="minorEastAsia" w:hAnsiTheme="minorEastAsia" w:eastAsiaTheme="minorEastAsia" w:cstheme="minorEastAsia"/>
          <w:b/>
          <w:color w:val="auto"/>
          <w:sz w:val="24"/>
          <w:szCs w:val="24"/>
          <w:highlight w:val="none"/>
        </w:rPr>
      </w:pPr>
      <w:bookmarkStart w:id="169" w:name="_Toc503862799"/>
      <w:r>
        <w:rPr>
          <w:rFonts w:hint="eastAsia" w:asciiTheme="minorEastAsia" w:hAnsiTheme="minorEastAsia" w:eastAsiaTheme="minorEastAsia" w:cstheme="minorEastAsia"/>
          <w:b/>
          <w:color w:val="auto"/>
          <w:sz w:val="24"/>
          <w:szCs w:val="24"/>
          <w:highlight w:val="none"/>
        </w:rPr>
        <w:t>九、其他</w:t>
      </w:r>
      <w:bookmarkEnd w:id="169"/>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bookmarkStart w:id="170" w:name="_Toc503862800"/>
      <w:r>
        <w:rPr>
          <w:rFonts w:hint="eastAsia" w:asciiTheme="minorEastAsia" w:hAnsiTheme="minorEastAsia" w:eastAsiaTheme="minorEastAsia" w:cstheme="minorEastAsia"/>
          <w:bCs/>
          <w:color w:val="auto"/>
          <w:sz w:val="24"/>
          <w:szCs w:val="24"/>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bookmarkEnd w:id="170"/>
    </w:p>
    <w:p>
      <w:pPr>
        <w:pStyle w:val="3"/>
        <w:rPr>
          <w:rFonts w:ascii="宋体" w:hAnsi="宋体" w:cs="宋体"/>
          <w:color w:val="auto"/>
          <w:highlight w:val="none"/>
        </w:rPr>
      </w:pPr>
      <w:bookmarkStart w:id="171" w:name="_Toc503862801"/>
      <w:bookmarkStart w:id="172" w:name="_Toc17569"/>
      <w:bookmarkStart w:id="173" w:name="_Toc22416"/>
      <w:bookmarkStart w:id="174" w:name="_Toc4227"/>
      <w:bookmarkStart w:id="175" w:name="_Toc217446083"/>
      <w:r>
        <w:rPr>
          <w:rFonts w:hint="eastAsia" w:ascii="宋体" w:hAnsi="宋体" w:cs="宋体"/>
          <w:color w:val="auto"/>
          <w:highlight w:val="none"/>
        </w:rPr>
        <w:t>第三章 投标文件格式</w:t>
      </w:r>
      <w:bookmarkEnd w:id="171"/>
      <w:bookmarkEnd w:id="172"/>
      <w:bookmarkEnd w:id="173"/>
      <w:bookmarkEnd w:id="174"/>
      <w:bookmarkStart w:id="176" w:name="_Toc217446082"/>
      <w:bookmarkStart w:id="177" w:name="_Toc308164821"/>
    </w:p>
    <w:p>
      <w:pPr>
        <w:widowControl/>
        <w:spacing w:line="360" w:lineRule="atLeast"/>
        <w:jc w:val="both"/>
        <w:rPr>
          <w:rFonts w:ascii="宋体" w:hAnsi="宋体" w:cs="宋体"/>
          <w:b/>
          <w:color w:val="auto"/>
          <w:sz w:val="24"/>
          <w:highlight w:val="none"/>
        </w:rPr>
      </w:pPr>
    </w:p>
    <w:p>
      <w:pPr>
        <w:adjustRightInd w:val="0"/>
        <w:snapToGrid w:val="0"/>
        <w:spacing w:line="360" w:lineRule="auto"/>
        <w:ind w:firstLine="480" w:firstLineChars="200"/>
        <w:rPr>
          <w:rFonts w:ascii="宋体" w:hAnsi="宋体" w:cs="宋体"/>
          <w:bCs/>
          <w:color w:val="auto"/>
          <w:sz w:val="24"/>
          <w:highlight w:val="none"/>
        </w:rPr>
      </w:pPr>
      <w:bookmarkStart w:id="178" w:name="_Toc503862802"/>
      <w:r>
        <w:rPr>
          <w:rFonts w:hint="eastAsia" w:ascii="宋体" w:hAnsi="宋体" w:cs="宋体"/>
          <w:bCs/>
          <w:color w:val="auto"/>
          <w:sz w:val="24"/>
          <w:highlight w:val="none"/>
        </w:rPr>
        <w:t>一、本章所制投标文件格式，除格式中明确将该格式作为实质性要求的，一律不具有强制性，但是，投标人投标文件相关资料和本章所制格式不一致的，评标委员会将在评分时以投标文件不规范予以扣分处理。</w:t>
      </w:r>
      <w:bookmarkEnd w:id="178"/>
    </w:p>
    <w:p>
      <w:pPr>
        <w:adjustRightInd w:val="0"/>
        <w:snapToGrid w:val="0"/>
        <w:spacing w:line="360" w:lineRule="auto"/>
        <w:ind w:firstLine="480" w:firstLineChars="200"/>
        <w:rPr>
          <w:rFonts w:ascii="宋体" w:hAnsi="宋体" w:cs="宋体"/>
          <w:bCs/>
          <w:color w:val="auto"/>
          <w:sz w:val="24"/>
          <w:highlight w:val="none"/>
        </w:rPr>
      </w:pPr>
      <w:bookmarkStart w:id="179" w:name="_Toc503862803"/>
      <w:r>
        <w:rPr>
          <w:rFonts w:hint="eastAsia" w:ascii="宋体" w:hAnsi="宋体" w:cs="宋体"/>
          <w:bCs/>
          <w:color w:val="auto"/>
          <w:sz w:val="24"/>
          <w:highlight w:val="none"/>
        </w:rPr>
        <w:t>二、本章所制投标文件格式有关表格中的备注栏，由投标人根据自身投标情况作解释性说明，不作为必填项。</w:t>
      </w:r>
      <w:bookmarkEnd w:id="179"/>
    </w:p>
    <w:p>
      <w:pPr>
        <w:adjustRightInd w:val="0"/>
        <w:snapToGrid w:val="0"/>
        <w:spacing w:line="360" w:lineRule="auto"/>
        <w:ind w:firstLine="480" w:firstLineChars="200"/>
        <w:rPr>
          <w:rFonts w:hint="eastAsia" w:ascii="宋体" w:hAnsi="宋体" w:cs="宋体"/>
          <w:bCs/>
          <w:color w:val="auto"/>
          <w:sz w:val="24"/>
          <w:highlight w:val="none"/>
        </w:rPr>
      </w:pPr>
      <w:bookmarkStart w:id="180" w:name="_Toc503862804"/>
      <w:r>
        <w:rPr>
          <w:rFonts w:hint="eastAsia" w:ascii="宋体" w:hAnsi="宋体" w:cs="宋体"/>
          <w:bCs/>
          <w:color w:val="auto"/>
          <w:sz w:val="24"/>
          <w:highlight w:val="none"/>
        </w:rPr>
        <w:t>三、本章所制投标文件格式中需要填写的相关内容事项，可能会与本采购项目无关，在不改变投标文件原义、不影响本项目采购需求的情况下，投标人可以不予填写，但应当注明。</w:t>
      </w:r>
      <w:bookmarkEnd w:id="180"/>
    </w:p>
    <w:p>
      <w:pPr>
        <w:pStyle w:val="8"/>
        <w:rPr>
          <w:color w:val="auto"/>
          <w:highlight w:val="none"/>
        </w:rPr>
      </w:pPr>
    </w:p>
    <w:p>
      <w:pPr>
        <w:rPr>
          <w:rFonts w:ascii="宋体" w:hAnsi="宋体" w:cs="宋体"/>
          <w:b/>
          <w:color w:val="auto"/>
          <w:sz w:val="32"/>
          <w:highlight w:val="none"/>
        </w:rPr>
      </w:pPr>
      <w:r>
        <w:rPr>
          <w:rFonts w:hint="eastAsia" w:ascii="宋体" w:hAnsi="宋体" w:cs="宋体"/>
          <w:b/>
          <w:color w:val="auto"/>
          <w:sz w:val="32"/>
          <w:highlight w:val="none"/>
        </w:rPr>
        <w:br w:type="page"/>
      </w:r>
    </w:p>
    <w:p>
      <w:pPr>
        <w:tabs>
          <w:tab w:val="left" w:pos="900"/>
        </w:tabs>
        <w:spacing w:line="360" w:lineRule="auto"/>
        <w:jc w:val="center"/>
        <w:outlineLvl w:val="1"/>
        <w:rPr>
          <w:rFonts w:ascii="宋体" w:hAnsi="宋体" w:cs="宋体"/>
          <w:b/>
          <w:color w:val="auto"/>
          <w:sz w:val="32"/>
          <w:highlight w:val="none"/>
        </w:rPr>
      </w:pPr>
      <w:r>
        <w:rPr>
          <w:rFonts w:hint="eastAsia" w:ascii="宋体" w:hAnsi="宋体" w:cs="宋体"/>
          <w:b/>
          <w:color w:val="auto"/>
          <w:sz w:val="32"/>
          <w:highlight w:val="none"/>
        </w:rPr>
        <w:t>第一部分     “资格性投标文件”格式</w:t>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格式1-1</w:t>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封面：</w:t>
      </w:r>
    </w:p>
    <w:p>
      <w:pPr>
        <w:spacing w:line="360" w:lineRule="auto"/>
        <w:jc w:val="right"/>
        <w:rPr>
          <w:rFonts w:ascii="宋体" w:hAnsi="宋体" w:cs="宋体"/>
          <w:b/>
          <w:color w:val="auto"/>
          <w:sz w:val="36"/>
          <w:highlight w:val="none"/>
        </w:rPr>
      </w:pPr>
    </w:p>
    <w:p>
      <w:pPr>
        <w:spacing w:line="360" w:lineRule="auto"/>
        <w:rPr>
          <w:rFonts w:ascii="宋体" w:hAnsi="宋体" w:cs="宋体"/>
          <w:b/>
          <w:color w:val="auto"/>
          <w:sz w:val="32"/>
          <w:szCs w:val="32"/>
          <w:highlight w:val="none"/>
        </w:rPr>
      </w:pPr>
    </w:p>
    <w:p>
      <w:pPr>
        <w:spacing w:line="360" w:lineRule="auto"/>
        <w:ind w:right="-1"/>
        <w:rPr>
          <w:rFonts w:ascii="宋体" w:hAnsi="宋体" w:cs="宋体"/>
          <w:b/>
          <w:color w:val="auto"/>
          <w:sz w:val="36"/>
          <w:highlight w:val="none"/>
        </w:rPr>
      </w:pPr>
      <w:r>
        <w:rPr>
          <w:rFonts w:hint="eastAsia" w:ascii="宋体" w:hAnsi="宋体" w:cs="宋体"/>
          <w:b/>
          <w:color w:val="auto"/>
          <w:sz w:val="36"/>
          <w:highlight w:val="none"/>
        </w:rPr>
        <w:t>项目名称：</w:t>
      </w:r>
    </w:p>
    <w:p>
      <w:pPr>
        <w:spacing w:line="360" w:lineRule="auto"/>
        <w:ind w:right="-1"/>
        <w:rPr>
          <w:rFonts w:ascii="宋体" w:hAnsi="宋体" w:cs="宋体"/>
          <w:b/>
          <w:color w:val="auto"/>
          <w:sz w:val="36"/>
          <w:highlight w:val="none"/>
        </w:rPr>
      </w:pPr>
      <w:r>
        <w:rPr>
          <w:rFonts w:hint="eastAsia" w:ascii="宋体" w:hAnsi="宋体" w:cs="宋体"/>
          <w:b/>
          <w:color w:val="auto"/>
          <w:sz w:val="36"/>
          <w:highlight w:val="none"/>
        </w:rPr>
        <w:t>采购编号：</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52"/>
          <w:szCs w:val="52"/>
          <w:highlight w:val="none"/>
        </w:rPr>
        <w:t>资格性投标文件</w:t>
      </w:r>
    </w:p>
    <w:p>
      <w:pPr>
        <w:spacing w:line="360" w:lineRule="auto"/>
        <w:rPr>
          <w:rFonts w:ascii="宋体" w:hAnsi="宋体" w:cs="宋体"/>
          <w:b/>
          <w:color w:val="auto"/>
          <w:sz w:val="36"/>
          <w:highlight w:val="none"/>
        </w:rPr>
      </w:pPr>
    </w:p>
    <w:p>
      <w:pPr>
        <w:spacing w:line="360" w:lineRule="auto"/>
        <w:rPr>
          <w:rFonts w:ascii="宋体" w:hAnsi="宋体" w:cs="宋体"/>
          <w:b/>
          <w:color w:val="auto"/>
          <w:sz w:val="36"/>
          <w:highlight w:val="none"/>
        </w:rPr>
      </w:pPr>
    </w:p>
    <w:p>
      <w:pPr>
        <w:spacing w:line="360" w:lineRule="auto"/>
        <w:jc w:val="left"/>
        <w:rPr>
          <w:rFonts w:ascii="宋体" w:hAnsi="宋体" w:cs="宋体"/>
          <w:b/>
          <w:color w:val="auto"/>
          <w:sz w:val="32"/>
          <w:highlight w:val="none"/>
          <w:u w:val="single"/>
        </w:rPr>
      </w:pPr>
      <w:r>
        <w:rPr>
          <w:rFonts w:hint="eastAsia" w:ascii="宋体" w:hAnsi="宋体" w:cs="宋体"/>
          <w:b/>
          <w:color w:val="auto"/>
          <w:sz w:val="32"/>
          <w:highlight w:val="none"/>
        </w:rPr>
        <w:t>投标人名称：</w:t>
      </w:r>
      <w:r>
        <w:rPr>
          <w:rFonts w:hint="eastAsia" w:ascii="宋体" w:hAnsi="宋体" w:cs="宋体"/>
          <w:b/>
          <w:color w:val="auto"/>
          <w:sz w:val="32"/>
          <w:highlight w:val="none"/>
          <w:u w:val="single"/>
        </w:rPr>
        <w:t xml:space="preserve">                          </w:t>
      </w:r>
    </w:p>
    <w:p>
      <w:pPr>
        <w:spacing w:line="360" w:lineRule="auto"/>
        <w:ind w:firstLine="790" w:firstLineChars="246"/>
        <w:jc w:val="center"/>
        <w:rPr>
          <w:rFonts w:ascii="宋体" w:hAnsi="宋体" w:cs="宋体"/>
          <w:b/>
          <w:color w:val="auto"/>
          <w:sz w:val="32"/>
          <w:highlight w:val="none"/>
        </w:rPr>
      </w:pPr>
    </w:p>
    <w:p>
      <w:pPr>
        <w:spacing w:line="360" w:lineRule="auto"/>
        <w:jc w:val="center"/>
        <w:rPr>
          <w:rFonts w:ascii="宋体" w:hAnsi="宋体" w:cs="宋体"/>
          <w:b/>
          <w:color w:val="auto"/>
          <w:sz w:val="32"/>
          <w:highlight w:val="none"/>
        </w:rPr>
      </w:pPr>
      <w:r>
        <w:rPr>
          <w:rFonts w:hint="eastAsia" w:ascii="宋体" w:hAnsi="宋体" w:cs="宋体"/>
          <w:b/>
          <w:color w:val="auto"/>
          <w:sz w:val="32"/>
          <w:highlight w:val="none"/>
        </w:rPr>
        <w:t>日期：</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年</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月</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日</w:t>
      </w:r>
    </w:p>
    <w:p>
      <w:pPr>
        <w:spacing w:line="360" w:lineRule="auto"/>
        <w:rPr>
          <w:rFonts w:ascii="宋体" w:hAnsi="宋体" w:cs="宋体"/>
          <w:b/>
          <w:color w:val="auto"/>
          <w:sz w:val="32"/>
          <w:szCs w:val="32"/>
          <w:highlight w:val="none"/>
        </w:rPr>
      </w:pPr>
      <w:r>
        <w:rPr>
          <w:rFonts w:hint="eastAsia" w:ascii="宋体" w:hAnsi="宋体" w:cs="宋体"/>
          <w:b/>
          <w:color w:val="auto"/>
          <w:sz w:val="32"/>
          <w:highlight w:val="none"/>
        </w:rPr>
        <w:br w:type="page"/>
      </w:r>
      <w:r>
        <w:rPr>
          <w:rFonts w:hint="eastAsia" w:ascii="宋体" w:hAnsi="宋体" w:cs="宋体"/>
          <w:b/>
          <w:color w:val="auto"/>
          <w:sz w:val="32"/>
          <w:szCs w:val="32"/>
          <w:highlight w:val="none"/>
        </w:rPr>
        <w:t>格式1-2</w:t>
      </w:r>
    </w:p>
    <w:p>
      <w:pPr>
        <w:widowControl/>
        <w:spacing w:line="360" w:lineRule="auto"/>
        <w:jc w:val="center"/>
        <w:outlineLvl w:val="2"/>
        <w:rPr>
          <w:rFonts w:ascii="宋体" w:hAnsi="宋体" w:cs="宋体"/>
          <w:b/>
          <w:color w:val="auto"/>
          <w:sz w:val="32"/>
          <w:szCs w:val="32"/>
          <w:highlight w:val="none"/>
        </w:rPr>
      </w:pPr>
      <w:r>
        <w:rPr>
          <w:rFonts w:hint="eastAsia" w:ascii="宋体" w:hAnsi="宋体" w:cs="宋体"/>
          <w:b/>
          <w:color w:val="auto"/>
          <w:sz w:val="32"/>
          <w:szCs w:val="32"/>
          <w:highlight w:val="none"/>
        </w:rPr>
        <w:t>一、法定代表人/单位负责人身份证明书</w:t>
      </w:r>
    </w:p>
    <w:p>
      <w:pPr>
        <w:pStyle w:val="12"/>
        <w:spacing w:after="0" w:line="360" w:lineRule="auto"/>
        <w:ind w:left="0" w:leftChars="0"/>
        <w:rPr>
          <w:rFonts w:ascii="宋体" w:hAnsi="宋体" w:cs="宋体"/>
          <w:color w:val="auto"/>
          <w:sz w:val="24"/>
          <w:highlight w:val="none"/>
          <w:lang w:val="zh-CN"/>
        </w:rPr>
      </w:pPr>
    </w:p>
    <w:p>
      <w:pPr>
        <w:adjustRightInd w:val="0"/>
        <w:snapToGrid w:val="0"/>
        <w:spacing w:line="360" w:lineRule="auto"/>
        <w:rPr>
          <w:rFonts w:ascii="宋体" w:hAnsi="宋体" w:cs="宋体"/>
          <w:bCs/>
          <w:color w:val="auto"/>
          <w:sz w:val="24"/>
          <w:highlight w:val="none"/>
          <w:lang w:val="zh-CN"/>
        </w:rPr>
      </w:pPr>
      <w:r>
        <w:rPr>
          <w:rFonts w:hint="eastAsia" w:ascii="宋体" w:hAnsi="宋体" w:cs="宋体"/>
          <w:bCs/>
          <w:color w:val="auto"/>
          <w:sz w:val="24"/>
          <w:highlight w:val="none"/>
        </w:rPr>
        <w:t>致：</w:t>
      </w:r>
      <w:r>
        <w:rPr>
          <w:rFonts w:hint="eastAsia" w:ascii="宋体" w:hAnsi="宋体" w:cs="宋体"/>
          <w:bCs/>
          <w:color w:val="auto"/>
          <w:sz w:val="24"/>
          <w:highlight w:val="none"/>
          <w:lang w:val="zh-CN"/>
        </w:rPr>
        <w:t>四川新宇盛项目管理集团有限公司：</w:t>
      </w:r>
    </w:p>
    <w:p>
      <w:pPr>
        <w:tabs>
          <w:tab w:val="left" w:pos="6300"/>
        </w:tabs>
        <w:spacing w:line="360" w:lineRule="auto"/>
        <w:rPr>
          <w:rFonts w:ascii="宋体" w:hAnsi="宋体" w:cs="宋体"/>
          <w:color w:val="auto"/>
          <w:sz w:val="24"/>
          <w:highlight w:val="none"/>
          <w:u w:val="single"/>
          <w:lang w:val="zh-CN"/>
        </w:rPr>
      </w:pPr>
    </w:p>
    <w:p>
      <w:pPr>
        <w:tabs>
          <w:tab w:val="left" w:pos="6300"/>
        </w:tabs>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u w:val="single"/>
          <w:lang w:val="zh-CN"/>
        </w:rPr>
        <w:t xml:space="preserve">    （法定代表人姓名）</w:t>
      </w:r>
      <w:r>
        <w:rPr>
          <w:rFonts w:hint="eastAsia" w:ascii="宋体" w:hAnsi="宋体" w:cs="宋体"/>
          <w:color w:val="auto"/>
          <w:sz w:val="24"/>
          <w:highlight w:val="none"/>
          <w:lang w:val="zh-CN"/>
        </w:rPr>
        <w:t>在</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（投标人名称）处任</w:t>
      </w:r>
      <w:r>
        <w:rPr>
          <w:rFonts w:hint="eastAsia" w:ascii="宋体" w:hAnsi="宋体" w:cs="宋体"/>
          <w:color w:val="auto"/>
          <w:sz w:val="24"/>
          <w:highlight w:val="none"/>
          <w:u w:val="single"/>
          <w:lang w:val="zh-CN"/>
        </w:rPr>
        <w:t xml:space="preserve">         （职务名称）        </w:t>
      </w:r>
      <w:r>
        <w:rPr>
          <w:rFonts w:hint="eastAsia" w:ascii="宋体" w:hAnsi="宋体" w:cs="宋体"/>
          <w:color w:val="auto"/>
          <w:sz w:val="24"/>
          <w:highlight w:val="none"/>
          <w:lang w:val="zh-CN"/>
        </w:rPr>
        <w:t>职务，是</w:t>
      </w:r>
      <w:r>
        <w:rPr>
          <w:rFonts w:hint="eastAsia" w:ascii="宋体" w:hAnsi="宋体" w:cs="宋体"/>
          <w:color w:val="auto"/>
          <w:sz w:val="24"/>
          <w:highlight w:val="none"/>
          <w:u w:val="single"/>
          <w:lang w:val="zh-CN"/>
        </w:rPr>
        <w:t xml:space="preserve">      （投标人名称）    </w:t>
      </w:r>
      <w:r>
        <w:rPr>
          <w:rFonts w:hint="eastAsia" w:ascii="宋体" w:hAnsi="宋体" w:cs="宋体"/>
          <w:color w:val="auto"/>
          <w:sz w:val="24"/>
          <w:highlight w:val="none"/>
          <w:lang w:val="zh-CN"/>
        </w:rPr>
        <w:t>的法定代表人/单位负责人。</w:t>
      </w:r>
    </w:p>
    <w:p>
      <w:pPr>
        <w:adjustRightInd w:val="0"/>
        <w:snapToGrid w:val="0"/>
        <w:spacing w:line="360" w:lineRule="auto"/>
        <w:ind w:firstLine="482" w:firstLineChars="200"/>
        <w:rPr>
          <w:rFonts w:ascii="宋体" w:hAnsi="宋体" w:cs="宋体"/>
          <w:b/>
          <w:color w:val="auto"/>
          <w:sz w:val="24"/>
          <w:highlight w:val="none"/>
          <w:lang w:val="zh-CN"/>
        </w:rPr>
      </w:pPr>
      <w:r>
        <w:rPr>
          <w:rFonts w:hint="eastAsia" w:ascii="宋体" w:hAnsi="宋体" w:cs="宋体"/>
          <w:b/>
          <w:color w:val="auto"/>
          <w:sz w:val="24"/>
          <w:highlight w:val="none"/>
          <w:lang w:val="zh-CN"/>
        </w:rPr>
        <w:t>特此证明。</w:t>
      </w:r>
    </w:p>
    <w:p>
      <w:pPr>
        <w:spacing w:line="360" w:lineRule="auto"/>
        <w:rPr>
          <w:rFonts w:ascii="宋体" w:hAnsi="宋体" w:cs="宋体"/>
          <w:color w:val="auto"/>
          <w:sz w:val="24"/>
          <w:highlight w:val="none"/>
        </w:rPr>
      </w:pPr>
    </w:p>
    <w:p>
      <w:pPr>
        <w:adjustRightInd w:val="0"/>
        <w:snapToGrid w:val="0"/>
        <w:spacing w:line="360" w:lineRule="auto"/>
        <w:rPr>
          <w:rFonts w:ascii="宋体" w:hAnsi="宋体" w:cs="宋体"/>
          <w:b w:val="0"/>
          <w:bCs/>
          <w:color w:val="auto"/>
          <w:sz w:val="24"/>
          <w:highlight w:val="none"/>
        </w:rPr>
      </w:pPr>
      <w:r>
        <w:rPr>
          <w:rFonts w:hint="eastAsia" w:ascii="宋体" w:hAnsi="宋体" w:cs="宋体"/>
          <w:b w:val="0"/>
          <w:bCs/>
          <w:color w:val="auto"/>
          <w:sz w:val="24"/>
          <w:highlight w:val="none"/>
        </w:rPr>
        <w:t>投标人名称：</w:t>
      </w:r>
      <w:r>
        <w:rPr>
          <w:rFonts w:hint="eastAsia" w:ascii="宋体" w:hAnsi="宋体" w:cs="宋体"/>
          <w:b w:val="0"/>
          <w:bCs/>
          <w:color w:val="auto"/>
          <w:sz w:val="24"/>
          <w:highlight w:val="none"/>
          <w:u w:val="single"/>
        </w:rPr>
        <w:t xml:space="preserve">                  </w:t>
      </w:r>
      <w:r>
        <w:rPr>
          <w:rFonts w:hint="eastAsia" w:ascii="宋体" w:hAnsi="宋体" w:cs="宋体"/>
          <w:b w:val="0"/>
          <w:bCs/>
          <w:color w:val="auto"/>
          <w:sz w:val="24"/>
          <w:highlight w:val="none"/>
        </w:rPr>
        <w:t>（单位盖章）</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法定代表人/单位负责人签字或者加盖法定代表人/单位负责人名章：</w:t>
      </w:r>
      <w:r>
        <w:rPr>
          <w:rFonts w:hint="eastAsia" w:ascii="宋体" w:hAnsi="宋体" w:cs="宋体"/>
          <w:bCs/>
          <w:color w:val="auto"/>
          <w:sz w:val="24"/>
          <w:highlight w:val="none"/>
          <w:u w:val="single"/>
        </w:rPr>
        <w:t xml:space="preserve">      </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年</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月</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日</w:t>
      </w:r>
    </w:p>
    <w:p>
      <w:pPr>
        <w:tabs>
          <w:tab w:val="left" w:pos="6300"/>
        </w:tabs>
        <w:spacing w:line="360" w:lineRule="auto"/>
        <w:rPr>
          <w:rFonts w:ascii="宋体" w:hAnsi="宋体" w:cs="宋体"/>
          <w:b/>
          <w:color w:val="auto"/>
          <w:szCs w:val="21"/>
          <w:highlight w:val="none"/>
          <w:lang w:val="zh-CN"/>
        </w:rPr>
      </w:pPr>
    </w:p>
    <w:p>
      <w:pPr>
        <w:tabs>
          <w:tab w:val="left" w:pos="6300"/>
        </w:tabs>
        <w:spacing w:line="360" w:lineRule="auto"/>
        <w:ind w:firstLine="442" w:firstLineChars="200"/>
        <w:rPr>
          <w:rFonts w:ascii="宋体" w:hAnsi="宋体" w:cs="宋体"/>
          <w:b/>
          <w:color w:val="auto"/>
          <w:sz w:val="22"/>
          <w:szCs w:val="21"/>
          <w:highlight w:val="none"/>
          <w:lang w:val="zh-CN"/>
        </w:rPr>
      </w:pPr>
      <w:r>
        <w:rPr>
          <w:rFonts w:hint="eastAsia" w:ascii="宋体" w:hAnsi="宋体" w:cs="宋体"/>
          <w:b/>
          <w:color w:val="auto"/>
          <w:sz w:val="22"/>
          <w:szCs w:val="21"/>
          <w:highlight w:val="none"/>
          <w:lang w:val="zh-CN"/>
        </w:rPr>
        <w:t>附件：法定代表人/单位负责人有效的身份证复印件（身份证两面均应复印）。投标人的法定代表人为外籍人士的，则需提供护照复印件。</w:t>
      </w:r>
    </w:p>
    <w:p>
      <w:pPr>
        <w:spacing w:line="360" w:lineRule="auto"/>
        <w:rPr>
          <w:rFonts w:ascii="宋体" w:hAnsi="宋体" w:cs="宋体"/>
          <w:b/>
          <w:color w:val="auto"/>
          <w:sz w:val="32"/>
          <w:szCs w:val="32"/>
          <w:highlight w:val="none"/>
        </w:rPr>
      </w:pPr>
      <w:r>
        <w:rPr>
          <w:rFonts w:hint="eastAsia" w:ascii="宋体" w:hAnsi="宋体" w:cs="宋体"/>
          <w:color w:val="auto"/>
          <w:sz w:val="24"/>
          <w:highlight w:val="none"/>
        </w:rPr>
        <w:br w:type="page"/>
      </w:r>
      <w:r>
        <w:rPr>
          <w:rFonts w:hint="eastAsia" w:ascii="宋体" w:hAnsi="宋体" w:cs="宋体"/>
          <w:b/>
          <w:color w:val="auto"/>
          <w:sz w:val="32"/>
          <w:szCs w:val="32"/>
          <w:highlight w:val="none"/>
        </w:rPr>
        <w:t>格式1-3</w:t>
      </w:r>
    </w:p>
    <w:p>
      <w:pPr>
        <w:widowControl/>
        <w:spacing w:line="360" w:lineRule="auto"/>
        <w:jc w:val="center"/>
        <w:outlineLvl w:val="2"/>
        <w:rPr>
          <w:rFonts w:ascii="宋体" w:hAnsi="宋体" w:cs="宋体"/>
          <w:b/>
          <w:color w:val="auto"/>
          <w:sz w:val="32"/>
          <w:szCs w:val="32"/>
          <w:highlight w:val="none"/>
        </w:rPr>
      </w:pPr>
      <w:r>
        <w:rPr>
          <w:rFonts w:hint="eastAsia" w:ascii="宋体" w:hAnsi="宋体" w:cs="宋体"/>
          <w:b/>
          <w:color w:val="auto"/>
          <w:sz w:val="32"/>
          <w:szCs w:val="32"/>
          <w:highlight w:val="none"/>
        </w:rPr>
        <w:t>二、法定代表人/单位负责人授权书</w:t>
      </w:r>
    </w:p>
    <w:p>
      <w:pPr>
        <w:pStyle w:val="12"/>
        <w:spacing w:after="0" w:line="360" w:lineRule="auto"/>
        <w:ind w:left="0" w:leftChars="0"/>
        <w:rPr>
          <w:rFonts w:ascii="宋体" w:hAnsi="宋体" w:cs="宋体"/>
          <w:color w:val="auto"/>
          <w:sz w:val="24"/>
          <w:highlight w:val="none"/>
          <w:lang w:val="zh-CN"/>
        </w:rPr>
      </w:pPr>
    </w:p>
    <w:p>
      <w:pPr>
        <w:adjustRightInd w:val="0"/>
        <w:snapToGrid w:val="0"/>
        <w:spacing w:line="360" w:lineRule="auto"/>
        <w:rPr>
          <w:rFonts w:ascii="宋体" w:hAnsi="宋体" w:cs="宋体"/>
          <w:bCs/>
          <w:color w:val="auto"/>
          <w:sz w:val="24"/>
          <w:highlight w:val="none"/>
          <w:lang w:val="zh-CN"/>
        </w:rPr>
      </w:pPr>
      <w:r>
        <w:rPr>
          <w:rFonts w:hint="eastAsia" w:ascii="宋体" w:hAnsi="宋体" w:cs="宋体"/>
          <w:bCs/>
          <w:color w:val="auto"/>
          <w:sz w:val="24"/>
          <w:highlight w:val="none"/>
          <w:lang w:val="zh-CN"/>
        </w:rPr>
        <w:t>四川新宇盛项目管理集团有限公司：</w:t>
      </w:r>
    </w:p>
    <w:p>
      <w:pPr>
        <w:spacing w:line="360" w:lineRule="auto"/>
        <w:rPr>
          <w:rFonts w:ascii="宋体" w:hAnsi="宋体" w:cs="宋体"/>
          <w:color w:val="auto"/>
          <w:sz w:val="24"/>
          <w:highlight w:val="none"/>
        </w:rPr>
      </w:pP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本授权声明：XXXX（投标人名称）XXXX（法定代表人/单位负责人姓名、职务）授权XXXX（被授权人姓名、职务）为我方 “XXXXXXXX” 项目（项目编号：XXXX）投标活动的合法代表，以我方名义全权处理该项目有关投标、签订合同以及执行合同等一切事宜。</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特此声明。</w:t>
      </w:r>
    </w:p>
    <w:p>
      <w:pPr>
        <w:spacing w:line="360" w:lineRule="auto"/>
        <w:rPr>
          <w:rFonts w:ascii="宋体" w:hAnsi="宋体" w:cs="宋体"/>
          <w:color w:val="auto"/>
          <w:sz w:val="24"/>
          <w:highlight w:val="none"/>
        </w:rPr>
      </w:pP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法定代表人/单位负责人（委托人）签字或加盖个人名章：XXXX</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授权代表（被授权人）签字：XXXX</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投标人名称：XXXX（单位盖章）</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日    期：XXXX</w:t>
      </w:r>
    </w:p>
    <w:p>
      <w:pPr>
        <w:spacing w:line="360" w:lineRule="auto"/>
        <w:rPr>
          <w:rFonts w:hint="eastAsia" w:asciiTheme="minorEastAsia" w:hAnsiTheme="minorEastAsia" w:eastAsiaTheme="minorEastAsia" w:cstheme="minorEastAsia"/>
          <w:b/>
          <w:color w:val="auto"/>
          <w:sz w:val="24"/>
          <w:szCs w:val="24"/>
          <w:highlight w:val="none"/>
        </w:rPr>
      </w:pP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注：</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1、投标人为法人单位时提供“法定代表人授权书”，投标人为其他组织时提供“单位负责人授权书”，投标人为自然人时提供“自然人身份证明材料”。</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2、应附法定代表人/单位负责人身份证明材料复印件和授权代表身份证明材料复印件。</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3、身份证明材料包括居民身份证或户口本或军官证或护照等。</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4、身份证明材料应同时提供其在有效期的材料，如居民身份证正、反面复印件。</w:t>
      </w:r>
    </w:p>
    <w:p>
      <w:pPr>
        <w:spacing w:line="360" w:lineRule="auto"/>
        <w:jc w:val="both"/>
        <w:rPr>
          <w:rFonts w:hint="eastAsia" w:asciiTheme="minorEastAsia" w:hAnsiTheme="minorEastAsia" w:eastAsiaTheme="minorEastAsia" w:cstheme="minorEastAsia"/>
          <w:b/>
          <w:color w:val="auto"/>
          <w:sz w:val="24"/>
          <w:szCs w:val="24"/>
          <w:highlight w:val="none"/>
        </w:rPr>
      </w:pP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格式1-4</w:t>
      </w:r>
    </w:p>
    <w:p>
      <w:pPr>
        <w:widowControl/>
        <w:spacing w:line="360" w:lineRule="auto"/>
        <w:jc w:val="center"/>
        <w:outlineLvl w:val="2"/>
        <w:rPr>
          <w:rFonts w:ascii="宋体" w:hAnsi="宋体" w:cs="宋体"/>
          <w:b/>
          <w:color w:val="auto"/>
          <w:sz w:val="32"/>
          <w:szCs w:val="32"/>
          <w:highlight w:val="none"/>
        </w:rPr>
      </w:pPr>
      <w:bookmarkStart w:id="181" w:name="_Toc503862812"/>
      <w:r>
        <w:rPr>
          <w:rFonts w:hint="eastAsia" w:ascii="宋体" w:hAnsi="宋体" w:cs="宋体"/>
          <w:b/>
          <w:color w:val="auto"/>
          <w:sz w:val="32"/>
          <w:szCs w:val="32"/>
          <w:highlight w:val="none"/>
        </w:rPr>
        <w:t>三、承诺函</w:t>
      </w:r>
      <w:bookmarkEnd w:id="181"/>
    </w:p>
    <w:p>
      <w:pPr>
        <w:adjustRightInd w:val="0"/>
        <w:snapToGrid w:val="0"/>
        <w:spacing w:line="360" w:lineRule="auto"/>
        <w:rPr>
          <w:rFonts w:ascii="宋体" w:hAnsi="宋体" w:cs="宋体"/>
          <w:bCs/>
          <w:color w:val="auto"/>
          <w:sz w:val="24"/>
          <w:highlight w:val="none"/>
        </w:rPr>
      </w:pPr>
      <w:bookmarkStart w:id="182" w:name="_Toc503862813"/>
      <w:r>
        <w:rPr>
          <w:rFonts w:hint="eastAsia" w:ascii="宋体" w:hAnsi="宋体" w:cs="宋体"/>
          <w:bCs/>
          <w:color w:val="auto"/>
          <w:sz w:val="24"/>
          <w:highlight w:val="none"/>
          <w:lang w:val="zh-CN"/>
        </w:rPr>
        <w:t>四川新宇盛项目管理集团有限公司</w:t>
      </w:r>
      <w:bookmarkEnd w:id="182"/>
      <w:r>
        <w:rPr>
          <w:rFonts w:hint="eastAsia" w:ascii="宋体" w:hAnsi="宋体" w:cs="宋体"/>
          <w:bCs/>
          <w:color w:val="auto"/>
          <w:sz w:val="24"/>
          <w:highlight w:val="none"/>
          <w:lang w:val="zh-CN"/>
        </w:rPr>
        <w:t>：</w:t>
      </w:r>
    </w:p>
    <w:p>
      <w:pPr>
        <w:adjustRightInd w:val="0"/>
        <w:snapToGrid w:val="0"/>
        <w:spacing w:line="360" w:lineRule="auto"/>
        <w:ind w:firstLine="480" w:firstLineChars="200"/>
        <w:rPr>
          <w:rFonts w:ascii="宋体" w:hAnsi="宋体" w:cs="宋体"/>
          <w:bCs/>
          <w:color w:val="auto"/>
          <w:sz w:val="24"/>
          <w:highlight w:val="none"/>
        </w:rPr>
      </w:pPr>
      <w:bookmarkStart w:id="183" w:name="_Toc503862824"/>
      <w:r>
        <w:rPr>
          <w:rFonts w:hint="eastAsia" w:ascii="宋体" w:hAnsi="宋体" w:cs="宋体"/>
          <w:bCs/>
          <w:color w:val="auto"/>
          <w:sz w:val="24"/>
          <w:highlight w:val="none"/>
        </w:rPr>
        <w:t>我公司作为本次采购项目的供应商，根据招标文件要求，现郑重承诺如下：</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一、具备《中华人民共和国政府采购法》第二十二条第一款和本项目规定的条件：</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（1）具有独立承担民事责任的能力； </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（2）具有良好的商业信誉和健全的财务会计制度； </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（3）具有履行合同所必需的设备和专业技术能力； </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（4）有依法缴纳税收和社会保障资金的良好记录； </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（5）参加政府采购活动前三年内，在经营活动中没有重大违法记录；</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（6）法律、行政法规规定的其他条件；</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（7）根据采购项目提出的特殊条件。</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二、完全接受和满足本项目招标文件中规定的</w:t>
      </w:r>
      <w:r>
        <w:rPr>
          <w:rFonts w:hint="eastAsia" w:ascii="宋体" w:hAnsi="宋体" w:cs="宋体"/>
          <w:bCs/>
          <w:color w:val="auto"/>
          <w:sz w:val="24"/>
          <w:highlight w:val="none"/>
          <w:lang w:eastAsia="zh-CN"/>
        </w:rPr>
        <w:t>所有</w:t>
      </w:r>
      <w:r>
        <w:rPr>
          <w:rFonts w:hint="eastAsia" w:ascii="宋体" w:hAnsi="宋体" w:cs="宋体"/>
          <w:bCs/>
          <w:color w:val="auto"/>
          <w:sz w:val="24"/>
          <w:highlight w:val="none"/>
        </w:rPr>
        <w:t>实质性要求</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如对招标文件有异议，已经在投标截止时间届满前依法进行维权救济，不存在对招标文件有异议的同时又参加投标以求侥幸成交或者为实现其他非法目的的行为。</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三、在参加本次招标采购活动中，不存在与单位负责人为同一人或者存在直接控股、管理关系的其他供应商参与同一合同项下的政府采购活动的行为。我方未参与本采购项目前期咨询论证，不属于禁止参加本项目投标的供应商。</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四、在参加本次招标采购活动中，不存在和其他供应商在同一合同项下的采购项目中，同时委托同一个自然人、同一家庭的人员、同一单位的人员作为代理人的行为。</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五、我司未被对列入按财库</w:t>
      </w: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stheme="minorEastAsia"/>
          <w:bCs/>
          <w:color w:val="auto"/>
          <w:sz w:val="24"/>
          <w:highlight w:val="none"/>
        </w:rPr>
        <w:t>2016</w:t>
      </w: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stheme="minorEastAsia"/>
          <w:bCs/>
          <w:color w:val="auto"/>
          <w:sz w:val="24"/>
          <w:highlight w:val="none"/>
        </w:rPr>
        <w:t>125号规定的失信被执行人、重大税收违法案件当事人名单、政府采购严重违法失信行为记录名单及其他不符合《中华人民共和国政府采购法》第二十二条规定条件的供应商。</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六、如果有</w:t>
      </w:r>
      <w:r>
        <w:rPr>
          <w:rFonts w:hint="eastAsia" w:asciiTheme="minorEastAsia" w:hAnsiTheme="minorEastAsia" w:eastAsiaTheme="minorEastAsia" w:cstheme="minorEastAsia"/>
          <w:color w:val="auto"/>
          <w:sz w:val="24"/>
          <w:szCs w:val="24"/>
          <w:highlight w:val="none"/>
        </w:rPr>
        <w:t>《四川省公共资源交易领域严重失信联合惩戒实施办法》（川发改信用规〔2019〕405 号）、《关于对政府采购领域严重违法失信主体开展联合惩戒的合作备忘录》（发改财金〔2018〕1614 号）</w:t>
      </w:r>
      <w:r>
        <w:rPr>
          <w:rFonts w:hint="eastAsia" w:asciiTheme="minorEastAsia" w:hAnsiTheme="minorEastAsia" w:eastAsiaTheme="minorEastAsia" w:cstheme="minorEastAsia"/>
          <w:bCs/>
          <w:color w:val="auto"/>
          <w:sz w:val="24"/>
          <w:highlight w:val="none"/>
        </w:rPr>
        <w:t>规定的记入诚信档案的失信行为，将在投标文件中全面如实反映。</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七、投标文件中提供的任何资料和技术、服务、商务等响应承诺情况都是真实的、有效的、合法的。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八、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九、我司完全同意招标文件中关于知识产权的说明，承诺由此造成的纠纷由我单位全权负责。</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本公司对上述承诺的内容事项真实性负责。如经查实上述承诺的内容事项存在虚假，我公司愿意接受以提供虚假材料谋取成交追究法律责任。</w:t>
      </w:r>
    </w:p>
    <w:bookmarkEnd w:id="183"/>
    <w:p>
      <w:pPr>
        <w:adjustRightInd w:val="0"/>
        <w:snapToGrid w:val="0"/>
        <w:spacing w:line="360" w:lineRule="auto"/>
        <w:rPr>
          <w:rFonts w:ascii="宋体" w:hAnsi="宋体" w:cs="宋体"/>
          <w:bCs/>
          <w:color w:val="auto"/>
          <w:sz w:val="24"/>
          <w:highlight w:val="none"/>
        </w:rPr>
      </w:pP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投标人名称：XXXX（单位盖章）。</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法定代表人/单位负责人或授权代表（签字或加盖个人名章）：XXXX。</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投标日期: XXXX。</w:t>
      </w:r>
    </w:p>
    <w:p>
      <w:pPr>
        <w:spacing w:line="360" w:lineRule="auto"/>
        <w:rPr>
          <w:rFonts w:ascii="宋体" w:hAnsi="宋体" w:cs="宋体"/>
          <w:b/>
          <w:color w:val="auto"/>
          <w:sz w:val="32"/>
          <w:szCs w:val="32"/>
          <w:highlight w:val="none"/>
        </w:rPr>
      </w:pPr>
      <w:r>
        <w:rPr>
          <w:rFonts w:hint="eastAsia" w:ascii="宋体" w:hAnsi="宋体" w:cs="宋体"/>
          <w:color w:val="auto"/>
          <w:sz w:val="24"/>
          <w:highlight w:val="none"/>
        </w:rPr>
        <w:br w:type="page"/>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格式1-5</w:t>
      </w:r>
    </w:p>
    <w:p>
      <w:pPr>
        <w:widowControl/>
        <w:spacing w:line="360" w:lineRule="auto"/>
        <w:jc w:val="center"/>
        <w:outlineLvl w:val="2"/>
        <w:rPr>
          <w:rFonts w:ascii="宋体" w:hAnsi="宋体" w:cs="宋体"/>
          <w:b/>
          <w:color w:val="auto"/>
          <w:sz w:val="32"/>
          <w:szCs w:val="32"/>
          <w:highlight w:val="none"/>
        </w:rPr>
      </w:pPr>
      <w:bookmarkStart w:id="184" w:name="_Toc503862828"/>
      <w:r>
        <w:rPr>
          <w:rFonts w:hint="eastAsia" w:ascii="宋体" w:hAnsi="宋体" w:cs="宋体"/>
          <w:b/>
          <w:color w:val="auto"/>
          <w:sz w:val="32"/>
          <w:szCs w:val="32"/>
          <w:highlight w:val="none"/>
        </w:rPr>
        <w:t>四、本项目参加政府采购活动的投标人在前三年内不得具有行贿犯罪记录的承诺</w:t>
      </w:r>
      <w:bookmarkEnd w:id="184"/>
    </w:p>
    <w:p>
      <w:pPr>
        <w:adjustRightInd w:val="0"/>
        <w:snapToGrid w:val="0"/>
        <w:spacing w:line="360" w:lineRule="auto"/>
        <w:rPr>
          <w:rFonts w:ascii="宋体" w:hAnsi="宋体" w:cs="宋体"/>
          <w:color w:val="auto"/>
          <w:sz w:val="24"/>
          <w:highlight w:val="none"/>
        </w:rPr>
      </w:pPr>
      <w:bookmarkStart w:id="185" w:name="_Toc503862829"/>
    </w:p>
    <w:p>
      <w:pPr>
        <w:adjustRightInd w:val="0"/>
        <w:snapToGrid w:val="0"/>
        <w:spacing w:line="360" w:lineRule="auto"/>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致：</w:t>
      </w:r>
      <w:bookmarkEnd w:id="185"/>
      <w:r>
        <w:rPr>
          <w:rFonts w:hint="eastAsia" w:ascii="宋体" w:hAnsi="宋体" w:cs="宋体"/>
          <w:bCs/>
          <w:color w:val="auto"/>
          <w:sz w:val="24"/>
          <w:highlight w:val="none"/>
          <w:lang w:eastAsia="zh-CN"/>
        </w:rPr>
        <w:t>四川新宇盛项目管理集团有限公司</w:t>
      </w:r>
    </w:p>
    <w:p>
      <w:pPr>
        <w:adjustRightInd w:val="0"/>
        <w:snapToGrid w:val="0"/>
        <w:spacing w:line="360" w:lineRule="auto"/>
        <w:ind w:firstLine="480" w:firstLineChars="200"/>
        <w:rPr>
          <w:rFonts w:hint="eastAsia" w:ascii="宋体" w:hAnsi="宋体" w:eastAsia="宋体" w:cs="宋体"/>
          <w:b w:val="0"/>
          <w:bCs/>
          <w:color w:val="auto"/>
          <w:sz w:val="24"/>
          <w:highlight w:val="none"/>
          <w:lang w:eastAsia="zh-CN"/>
        </w:rPr>
      </w:pPr>
      <w:bookmarkStart w:id="186" w:name="_Toc503862830"/>
      <w:r>
        <w:rPr>
          <w:rFonts w:hint="eastAsia" w:ascii="宋体" w:hAnsi="宋体" w:cs="宋体"/>
          <w:b w:val="0"/>
          <w:bCs/>
          <w:color w:val="auto"/>
          <w:sz w:val="24"/>
          <w:highlight w:val="none"/>
        </w:rPr>
        <w:t>我公司承诺在参加本项目政府采购活动前三年中我司及其现任法定代表人、主要负责人不具有行贿犯罪记录</w:t>
      </w:r>
      <w:bookmarkEnd w:id="186"/>
      <w:r>
        <w:rPr>
          <w:rFonts w:hint="eastAsia" w:ascii="宋体" w:hAnsi="宋体" w:cs="宋体"/>
          <w:b w:val="0"/>
          <w:bCs/>
          <w:color w:val="auto"/>
          <w:sz w:val="24"/>
          <w:highlight w:val="none"/>
          <w:lang w:eastAsia="zh-CN"/>
        </w:rPr>
        <w:t>。</w:t>
      </w:r>
    </w:p>
    <w:p>
      <w:pPr>
        <w:adjustRightInd w:val="0"/>
        <w:snapToGrid w:val="0"/>
        <w:spacing w:line="360" w:lineRule="auto"/>
        <w:ind w:firstLine="480" w:firstLineChars="200"/>
        <w:rPr>
          <w:rFonts w:ascii="宋体" w:hAnsi="宋体" w:cs="宋体"/>
          <w:bCs/>
          <w:color w:val="auto"/>
          <w:sz w:val="24"/>
          <w:highlight w:val="none"/>
        </w:rPr>
      </w:pPr>
      <w:bookmarkStart w:id="187" w:name="_Toc503862831"/>
      <w:r>
        <w:rPr>
          <w:rFonts w:hint="eastAsia" w:ascii="宋体" w:hAnsi="宋体" w:cs="宋体"/>
          <w:bCs/>
          <w:color w:val="auto"/>
          <w:sz w:val="24"/>
          <w:highlight w:val="none"/>
        </w:rPr>
        <w:t>本公司对上述承诺的内容事项真实性负责。如经查实上述承诺的内容事项存在虚假，我公司愿意接受以提供虚假材料谋取中标追究法律责任。</w:t>
      </w:r>
      <w:bookmarkEnd w:id="187"/>
    </w:p>
    <w:p>
      <w:pPr>
        <w:adjustRightInd w:val="0"/>
        <w:spacing w:line="360" w:lineRule="auto"/>
        <w:jc w:val="left"/>
        <w:rPr>
          <w:rFonts w:ascii="宋体" w:hAnsi="宋体" w:cs="宋体"/>
          <w:b/>
          <w:color w:val="auto"/>
          <w:sz w:val="24"/>
          <w:highlight w:val="none"/>
        </w:rPr>
      </w:pPr>
    </w:p>
    <w:p>
      <w:pPr>
        <w:pStyle w:val="8"/>
        <w:rPr>
          <w:color w:val="auto"/>
          <w:highlight w:val="none"/>
        </w:rPr>
      </w:pP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投标人名称：XXXX（单位盖章）。</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法定代表人/单位负责人或授权代表（签字或加盖个人名章）：XXXX。</w:t>
      </w:r>
    </w:p>
    <w:p>
      <w:pPr>
        <w:adjustRightInd w:val="0"/>
        <w:snapToGrid w:val="0"/>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投标日期</w:t>
      </w:r>
      <w:r>
        <w:rPr>
          <w:rFonts w:hint="eastAsia" w:ascii="宋体" w:hAnsi="宋体" w:cs="宋体"/>
          <w:b/>
          <w:color w:val="auto"/>
          <w:sz w:val="24"/>
          <w:highlight w:val="none"/>
          <w:lang w:eastAsia="zh-CN"/>
        </w:rPr>
        <w:t>：</w:t>
      </w:r>
      <w:r>
        <w:rPr>
          <w:rFonts w:hint="eastAsia" w:ascii="宋体" w:hAnsi="宋体" w:cs="宋体"/>
          <w:b/>
          <w:color w:val="auto"/>
          <w:sz w:val="24"/>
          <w:highlight w:val="none"/>
        </w:rPr>
        <w:t>XXXX。</w:t>
      </w:r>
    </w:p>
    <w:p>
      <w:pPr>
        <w:pStyle w:val="8"/>
        <w:rPr>
          <w:rFonts w:hint="eastAsia" w:ascii="宋体" w:hAnsi="宋体" w:cs="宋体"/>
          <w:b/>
          <w:color w:val="auto"/>
          <w:sz w:val="24"/>
          <w:highlight w:val="none"/>
        </w:rPr>
      </w:pPr>
    </w:p>
    <w:p>
      <w:pPr>
        <w:rPr>
          <w:color w:val="auto"/>
          <w:highlight w:val="none"/>
        </w:rPr>
      </w:pPr>
    </w:p>
    <w:p>
      <w:pPr>
        <w:widowControl/>
        <w:spacing w:line="360" w:lineRule="atLeast"/>
        <w:ind w:firstLine="472" w:firstLineChars="196"/>
        <w:jc w:val="left"/>
        <w:rPr>
          <w:rFonts w:ascii="宋体" w:hAnsi="宋体" w:cs="宋体"/>
          <w:b/>
          <w:color w:val="auto"/>
          <w:sz w:val="24"/>
          <w:highlight w:val="none"/>
        </w:rPr>
        <w:sectPr>
          <w:footerReference r:id="rId7" w:type="default"/>
          <w:pgSz w:w="11907" w:h="16840"/>
          <w:pgMar w:top="1440" w:right="1417" w:bottom="1440" w:left="1587" w:header="851" w:footer="992" w:gutter="0"/>
          <w:pgNumType w:fmt="decimal" w:start="1"/>
          <w:cols w:space="0" w:num="1"/>
          <w:docGrid w:linePitch="312" w:charSpace="0"/>
        </w:sectPr>
      </w:pP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格式1-6</w:t>
      </w:r>
    </w:p>
    <w:p>
      <w:pPr>
        <w:widowControl/>
        <w:spacing w:line="360" w:lineRule="auto"/>
        <w:jc w:val="center"/>
        <w:outlineLvl w:val="2"/>
        <w:rPr>
          <w:rFonts w:ascii="宋体" w:hAnsi="宋体" w:cs="宋体"/>
          <w:b/>
          <w:color w:val="auto"/>
          <w:sz w:val="32"/>
          <w:szCs w:val="32"/>
          <w:highlight w:val="none"/>
        </w:rPr>
      </w:pPr>
      <w:bookmarkStart w:id="188" w:name="_Toc503862836"/>
      <w:r>
        <w:rPr>
          <w:rFonts w:hint="eastAsia" w:ascii="宋体" w:hAnsi="宋体" w:cs="宋体"/>
          <w:b/>
          <w:color w:val="auto"/>
          <w:sz w:val="32"/>
          <w:szCs w:val="32"/>
          <w:highlight w:val="none"/>
        </w:rPr>
        <w:t>五、近三年在经营活动中没有重大违法记录的书面声明</w:t>
      </w:r>
      <w:bookmarkEnd w:id="188"/>
    </w:p>
    <w:p>
      <w:pPr>
        <w:spacing w:line="360" w:lineRule="auto"/>
        <w:rPr>
          <w:rFonts w:ascii="宋体" w:hAnsi="宋体" w:cs="宋体"/>
          <w:color w:val="auto"/>
          <w:highlight w:val="none"/>
        </w:rPr>
      </w:pPr>
    </w:p>
    <w:p>
      <w:pPr>
        <w:adjustRightInd w:val="0"/>
        <w:snapToGrid w:val="0"/>
        <w:spacing w:line="360" w:lineRule="auto"/>
        <w:rPr>
          <w:rFonts w:hint="eastAsia" w:ascii="宋体" w:hAnsi="宋体" w:eastAsia="宋体" w:cs="宋体"/>
          <w:bCs/>
          <w:color w:val="auto"/>
          <w:sz w:val="24"/>
          <w:highlight w:val="none"/>
          <w:lang w:eastAsia="zh-CN"/>
        </w:rPr>
      </w:pPr>
      <w:bookmarkStart w:id="189" w:name="_Toc503862837"/>
      <w:r>
        <w:rPr>
          <w:rFonts w:hint="eastAsia" w:ascii="宋体" w:hAnsi="宋体" w:cs="宋体"/>
          <w:bCs/>
          <w:color w:val="auto"/>
          <w:sz w:val="24"/>
          <w:highlight w:val="none"/>
        </w:rPr>
        <w:t>致：</w:t>
      </w:r>
      <w:bookmarkEnd w:id="189"/>
      <w:r>
        <w:rPr>
          <w:rFonts w:hint="eastAsia" w:ascii="宋体" w:hAnsi="宋体" w:cs="宋体"/>
          <w:bCs/>
          <w:color w:val="auto"/>
          <w:sz w:val="24"/>
          <w:highlight w:val="none"/>
          <w:lang w:eastAsia="zh-CN"/>
        </w:rPr>
        <w:t>四川新宇盛项目管理集团有限公司</w:t>
      </w:r>
    </w:p>
    <w:p>
      <w:pPr>
        <w:adjustRightInd w:val="0"/>
        <w:snapToGrid w:val="0"/>
        <w:spacing w:line="360" w:lineRule="auto"/>
        <w:ind w:firstLine="480" w:firstLineChars="200"/>
        <w:rPr>
          <w:rFonts w:ascii="宋体" w:hAnsi="宋体" w:cs="宋体"/>
          <w:bCs/>
          <w:color w:val="auto"/>
          <w:sz w:val="24"/>
          <w:highlight w:val="none"/>
        </w:rPr>
      </w:pPr>
      <w:bookmarkStart w:id="190" w:name="_Toc503862838"/>
      <w:r>
        <w:rPr>
          <w:rFonts w:hint="eastAsia" w:ascii="宋体" w:hAnsi="宋体" w:cs="宋体"/>
          <w:bCs/>
          <w:color w:val="auto"/>
          <w:sz w:val="24"/>
          <w:highlight w:val="none"/>
        </w:rPr>
        <w:t>本公司</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（公司名称）参加</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（项目名称）的投标活动，现承诺我公司在参加政府采购活动前三年内，在经营活动中没有重大违法记录。</w:t>
      </w:r>
      <w:bookmarkEnd w:id="190"/>
    </w:p>
    <w:p>
      <w:pPr>
        <w:spacing w:line="360" w:lineRule="auto"/>
        <w:rPr>
          <w:rFonts w:ascii="宋体" w:hAnsi="宋体" w:cs="宋体"/>
          <w:color w:val="auto"/>
          <w:sz w:val="24"/>
          <w:highlight w:val="none"/>
        </w:rPr>
      </w:pPr>
      <w:bookmarkStart w:id="191" w:name="_Toc503862839"/>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bookmarkEnd w:id="191"/>
    </w:p>
    <w:p>
      <w:pPr>
        <w:adjustRightInd w:val="0"/>
        <w:snapToGrid w:val="0"/>
        <w:spacing w:line="360" w:lineRule="auto"/>
        <w:ind w:firstLine="480" w:firstLineChars="200"/>
        <w:rPr>
          <w:rFonts w:ascii="宋体" w:hAnsi="宋体" w:cs="宋体"/>
          <w:bCs/>
          <w:color w:val="auto"/>
          <w:sz w:val="24"/>
          <w:highlight w:val="none"/>
        </w:rPr>
      </w:pPr>
      <w:bookmarkStart w:id="192" w:name="_Toc503862840"/>
      <w:r>
        <w:rPr>
          <w:rFonts w:hint="eastAsia" w:ascii="宋体" w:hAnsi="宋体" w:cs="宋体"/>
          <w:bCs/>
          <w:color w:val="auto"/>
          <w:sz w:val="24"/>
          <w:highlight w:val="none"/>
        </w:rPr>
        <w:t>如违反以上承诺，本公司愿承担一切法律责任。</w:t>
      </w:r>
      <w:bookmarkEnd w:id="192"/>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投标人名称：XXXX（单位盖章）。</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法定代表人/单位负责人或授权代表（签字或加盖个人名章）：XXXX。</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投标日期: XXXX。</w:t>
      </w:r>
    </w:p>
    <w:p>
      <w:pPr>
        <w:adjustRightInd w:val="0"/>
        <w:snapToGrid w:val="0"/>
        <w:spacing w:line="360" w:lineRule="auto"/>
        <w:rPr>
          <w:rFonts w:ascii="宋体" w:hAnsi="宋体" w:cs="宋体"/>
          <w:b/>
          <w:bCs/>
          <w:color w:val="auto"/>
          <w:sz w:val="24"/>
          <w:highlight w:val="none"/>
        </w:rPr>
      </w:pPr>
    </w:p>
    <w:p>
      <w:pPr>
        <w:adjustRightInd w:val="0"/>
        <w:snapToGrid w:val="0"/>
        <w:spacing w:line="360" w:lineRule="auto"/>
        <w:rPr>
          <w:rFonts w:ascii="宋体" w:hAnsi="宋体" w:cs="宋体"/>
          <w:b/>
          <w:bCs/>
          <w:color w:val="auto"/>
          <w:sz w:val="24"/>
          <w:highlight w:val="none"/>
        </w:rPr>
      </w:pPr>
    </w:p>
    <w:p>
      <w:pPr>
        <w:adjustRightInd w:val="0"/>
        <w:snapToGrid w:val="0"/>
        <w:spacing w:line="360" w:lineRule="auto"/>
        <w:rPr>
          <w:rFonts w:ascii="宋体" w:hAnsi="宋体" w:cs="宋体"/>
          <w:b/>
          <w:bCs/>
          <w:color w:val="auto"/>
          <w:sz w:val="24"/>
          <w:highlight w:val="none"/>
        </w:rPr>
      </w:pPr>
    </w:p>
    <w:p>
      <w:pPr>
        <w:adjustRightInd w:val="0"/>
        <w:snapToGrid w:val="0"/>
        <w:spacing w:line="360" w:lineRule="auto"/>
        <w:rPr>
          <w:rFonts w:ascii="宋体" w:hAnsi="宋体" w:cs="宋体"/>
          <w:b/>
          <w:bCs/>
          <w:color w:val="auto"/>
          <w:sz w:val="24"/>
          <w:highlight w:val="none"/>
        </w:rPr>
      </w:pPr>
    </w:p>
    <w:p>
      <w:pPr>
        <w:adjustRightInd w:val="0"/>
        <w:snapToGrid w:val="0"/>
        <w:spacing w:line="360" w:lineRule="auto"/>
        <w:rPr>
          <w:rFonts w:ascii="宋体" w:hAnsi="宋体" w:cs="宋体"/>
          <w:b/>
          <w:bCs/>
          <w:color w:val="auto"/>
          <w:sz w:val="24"/>
          <w:highlight w:val="none"/>
        </w:rPr>
      </w:pPr>
    </w:p>
    <w:p>
      <w:pPr>
        <w:adjustRightInd w:val="0"/>
        <w:snapToGrid w:val="0"/>
        <w:spacing w:line="360" w:lineRule="auto"/>
        <w:rPr>
          <w:rFonts w:ascii="宋体" w:hAnsi="宋体" w:cs="宋体"/>
          <w:b/>
          <w:bCs/>
          <w:color w:val="auto"/>
          <w:sz w:val="24"/>
          <w:highlight w:val="none"/>
        </w:rPr>
      </w:pPr>
    </w:p>
    <w:p>
      <w:pPr>
        <w:pStyle w:val="8"/>
        <w:rPr>
          <w:rFonts w:ascii="宋体" w:hAnsi="宋体" w:cs="宋体"/>
          <w:b/>
          <w:bCs/>
          <w:color w:val="auto"/>
          <w:sz w:val="24"/>
          <w:highlight w:val="none"/>
        </w:rPr>
      </w:pPr>
    </w:p>
    <w:p>
      <w:pPr>
        <w:rPr>
          <w:rFonts w:ascii="宋体" w:hAnsi="宋体" w:cs="宋体"/>
          <w:b/>
          <w:bCs/>
          <w:color w:val="auto"/>
          <w:sz w:val="24"/>
          <w:highlight w:val="none"/>
        </w:rPr>
      </w:pPr>
    </w:p>
    <w:p>
      <w:pPr>
        <w:pStyle w:val="8"/>
        <w:rPr>
          <w:rFonts w:ascii="宋体" w:hAnsi="宋体" w:cs="宋体"/>
          <w:b/>
          <w:bCs/>
          <w:color w:val="auto"/>
          <w:sz w:val="24"/>
          <w:highlight w:val="none"/>
        </w:rPr>
      </w:pPr>
    </w:p>
    <w:p>
      <w:pPr>
        <w:rPr>
          <w:rFonts w:ascii="宋体" w:hAnsi="宋体" w:cs="宋体"/>
          <w:b/>
          <w:bCs/>
          <w:color w:val="auto"/>
          <w:sz w:val="24"/>
          <w:highlight w:val="none"/>
        </w:rPr>
      </w:pPr>
    </w:p>
    <w:p>
      <w:pPr>
        <w:pStyle w:val="8"/>
        <w:rPr>
          <w:color w:val="auto"/>
          <w:highlight w:val="none"/>
        </w:rPr>
      </w:pPr>
    </w:p>
    <w:p>
      <w:pPr>
        <w:rPr>
          <w:rFonts w:hint="eastAsia" w:ascii="宋体" w:hAnsi="宋体" w:cs="宋体"/>
          <w:b/>
          <w:color w:val="auto"/>
          <w:sz w:val="32"/>
          <w:szCs w:val="32"/>
          <w:highlight w:val="none"/>
        </w:rPr>
      </w:pPr>
      <w:r>
        <w:rPr>
          <w:rFonts w:hint="eastAsia" w:ascii="宋体" w:hAnsi="宋体" w:cs="宋体"/>
          <w:b/>
          <w:color w:val="auto"/>
          <w:sz w:val="32"/>
          <w:szCs w:val="32"/>
          <w:highlight w:val="none"/>
        </w:rPr>
        <w:br w:type="page"/>
      </w:r>
    </w:p>
    <w:p>
      <w:pPr>
        <w:spacing w:line="360" w:lineRule="auto"/>
        <w:rPr>
          <w:rFonts w:ascii="宋体" w:hAnsi="宋体" w:cs="宋体"/>
          <w:b/>
          <w:bCs/>
          <w:color w:val="auto"/>
          <w:sz w:val="24"/>
          <w:highlight w:val="none"/>
        </w:rPr>
      </w:pPr>
      <w:r>
        <w:rPr>
          <w:rFonts w:hint="eastAsia" w:ascii="宋体" w:hAnsi="宋体" w:cs="宋体"/>
          <w:b/>
          <w:color w:val="auto"/>
          <w:sz w:val="32"/>
          <w:szCs w:val="32"/>
          <w:highlight w:val="none"/>
        </w:rPr>
        <w:t>格式1-7</w:t>
      </w:r>
    </w:p>
    <w:p>
      <w:pPr>
        <w:widowControl/>
        <w:spacing w:line="360" w:lineRule="auto"/>
        <w:jc w:val="center"/>
        <w:outlineLvl w:val="2"/>
        <w:rPr>
          <w:rFonts w:ascii="宋体" w:hAnsi="宋体" w:cs="宋体"/>
          <w:b/>
          <w:color w:val="auto"/>
          <w:sz w:val="32"/>
          <w:szCs w:val="32"/>
          <w:highlight w:val="none"/>
        </w:rPr>
      </w:pPr>
      <w:bookmarkStart w:id="193" w:name="_Toc503863024"/>
      <w:r>
        <w:rPr>
          <w:rFonts w:hint="eastAsia" w:ascii="宋体" w:hAnsi="宋体" w:cs="宋体"/>
          <w:b/>
          <w:color w:val="auto"/>
          <w:sz w:val="32"/>
          <w:szCs w:val="32"/>
          <w:highlight w:val="none"/>
          <w:lang w:val="en-US" w:eastAsia="zh-CN"/>
        </w:rPr>
        <w:t>六</w:t>
      </w:r>
      <w:r>
        <w:rPr>
          <w:rFonts w:hint="eastAsia" w:ascii="宋体" w:hAnsi="宋体" w:cs="宋体"/>
          <w:b/>
          <w:color w:val="auto"/>
          <w:sz w:val="32"/>
          <w:szCs w:val="32"/>
          <w:highlight w:val="none"/>
        </w:rPr>
        <w:t>、中小企业声明函</w:t>
      </w:r>
      <w:bookmarkEnd w:id="193"/>
      <w:r>
        <w:rPr>
          <w:rFonts w:hint="eastAsia" w:ascii="宋体" w:hAnsi="宋体" w:cs="宋体"/>
          <w:b/>
          <w:color w:val="auto"/>
          <w:sz w:val="32"/>
          <w:szCs w:val="32"/>
          <w:highlight w:val="none"/>
        </w:rPr>
        <w:t>（如涉及）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本公司（联合体）郑重声明，根据《政府采购促进中小企业发展管理办法》（财库〔2020〕46号）的规定，本公司（联合体）参加</w:t>
      </w:r>
      <w:r>
        <w:rPr>
          <w:rFonts w:hint="eastAsia" w:ascii="宋体" w:hAnsi="宋体" w:eastAsia="宋体" w:cs="宋体"/>
          <w:i w:val="0"/>
          <w:iCs w:val="0"/>
          <w:color w:val="auto"/>
          <w:kern w:val="0"/>
          <w:sz w:val="24"/>
          <w:szCs w:val="24"/>
          <w:highlight w:val="none"/>
          <w:u w:val="single"/>
          <w:lang w:val="en-US" w:eastAsia="zh-CN" w:bidi="ar"/>
        </w:rPr>
        <w:t>（单位名称）</w:t>
      </w:r>
      <w:r>
        <w:rPr>
          <w:rFonts w:hint="eastAsia" w:ascii="宋体" w:hAnsi="宋体" w:eastAsia="宋体" w:cs="宋体"/>
          <w:i w:val="0"/>
          <w:iCs w:val="0"/>
          <w:color w:val="auto"/>
          <w:kern w:val="0"/>
          <w:sz w:val="24"/>
          <w:szCs w:val="24"/>
          <w:highlight w:val="none"/>
          <w:lang w:val="en-US" w:eastAsia="zh-CN" w:bidi="ar"/>
        </w:rPr>
        <w:t>的</w:t>
      </w:r>
      <w:r>
        <w:rPr>
          <w:rFonts w:hint="eastAsia" w:ascii="宋体" w:hAnsi="宋体" w:eastAsia="宋体" w:cs="宋体"/>
          <w:i w:val="0"/>
          <w:iCs w:val="0"/>
          <w:color w:val="auto"/>
          <w:kern w:val="0"/>
          <w:sz w:val="24"/>
          <w:szCs w:val="24"/>
          <w:highlight w:val="none"/>
          <w:u w:val="single"/>
          <w:lang w:val="en-US" w:eastAsia="zh-CN" w:bidi="ar"/>
        </w:rPr>
        <w:t>（项目名称）</w:t>
      </w:r>
      <w:r>
        <w:rPr>
          <w:rFonts w:hint="eastAsia" w:ascii="宋体" w:hAnsi="宋体" w:eastAsia="宋体" w:cs="宋体"/>
          <w:i w:val="0"/>
          <w:iCs w:val="0"/>
          <w:color w:val="auto"/>
          <w:kern w:val="0"/>
          <w:sz w:val="24"/>
          <w:szCs w:val="24"/>
          <w:highlight w:val="none"/>
          <w:lang w:val="en-US" w:eastAsia="zh-CN" w:bidi="ar"/>
        </w:rPr>
        <w:t>采购活动，服务全部由符合政策要求的中小企业承接。相关企业（含联合体中的中小企业、签订分包意向协议的中小企业）的具体情况如下：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1.</w:t>
      </w:r>
      <w:r>
        <w:rPr>
          <w:rFonts w:hint="eastAsia" w:ascii="宋体" w:hAnsi="宋体" w:eastAsia="宋体" w:cs="宋体"/>
          <w:i w:val="0"/>
          <w:iCs w:val="0"/>
          <w:color w:val="auto"/>
          <w:kern w:val="0"/>
          <w:sz w:val="24"/>
          <w:szCs w:val="24"/>
          <w:highlight w:val="none"/>
          <w:u w:val="single"/>
          <w:lang w:val="en-US" w:eastAsia="zh-CN" w:bidi="ar"/>
        </w:rPr>
        <w:t>（标的名称）</w:t>
      </w:r>
      <w:r>
        <w:rPr>
          <w:rFonts w:hint="eastAsia" w:ascii="宋体" w:hAnsi="宋体" w:eastAsia="宋体" w:cs="宋体"/>
          <w:i w:val="0"/>
          <w:iCs w:val="0"/>
          <w:color w:val="auto"/>
          <w:kern w:val="0"/>
          <w:sz w:val="24"/>
          <w:szCs w:val="24"/>
          <w:highlight w:val="none"/>
          <w:lang w:val="en-US" w:eastAsia="zh-CN" w:bidi="ar"/>
        </w:rPr>
        <w:t xml:space="preserve"> ，属于</w:t>
      </w:r>
      <w:r>
        <w:rPr>
          <w:rFonts w:hint="eastAsia" w:ascii="宋体" w:hAnsi="宋体" w:eastAsia="宋体" w:cs="宋体"/>
          <w:i w:val="0"/>
          <w:iCs w:val="0"/>
          <w:color w:val="auto"/>
          <w:kern w:val="0"/>
          <w:sz w:val="24"/>
          <w:szCs w:val="24"/>
          <w:highlight w:val="none"/>
          <w:u w:val="single"/>
          <w:lang w:val="en-US" w:eastAsia="zh-CN" w:bidi="ar"/>
        </w:rPr>
        <w:t>（采购文件中明确的所属行业）</w:t>
      </w:r>
      <w:r>
        <w:rPr>
          <w:rFonts w:hint="eastAsia" w:ascii="宋体" w:hAnsi="宋体" w:eastAsia="宋体" w:cs="宋体"/>
          <w:i w:val="0"/>
          <w:iCs w:val="0"/>
          <w:color w:val="auto"/>
          <w:kern w:val="0"/>
          <w:sz w:val="24"/>
          <w:szCs w:val="24"/>
          <w:highlight w:val="none"/>
          <w:u w:val="none"/>
          <w:lang w:val="en-US" w:eastAsia="zh-CN" w:bidi="ar"/>
        </w:rPr>
        <w:t>行业</w:t>
      </w:r>
      <w:r>
        <w:rPr>
          <w:rFonts w:hint="eastAsia" w:ascii="宋体" w:hAnsi="宋体" w:eastAsia="宋体" w:cs="宋体"/>
          <w:i w:val="0"/>
          <w:iCs w:val="0"/>
          <w:color w:val="auto"/>
          <w:kern w:val="0"/>
          <w:sz w:val="24"/>
          <w:szCs w:val="24"/>
          <w:highlight w:val="none"/>
          <w:lang w:val="en-US" w:eastAsia="zh-CN" w:bidi="ar"/>
        </w:rPr>
        <w:t>；承接企业为</w:t>
      </w:r>
      <w:r>
        <w:rPr>
          <w:rFonts w:hint="eastAsia" w:ascii="宋体" w:hAnsi="宋体" w:eastAsia="宋体" w:cs="宋体"/>
          <w:i w:val="0"/>
          <w:iCs w:val="0"/>
          <w:color w:val="auto"/>
          <w:kern w:val="0"/>
          <w:sz w:val="24"/>
          <w:szCs w:val="24"/>
          <w:highlight w:val="none"/>
          <w:u w:val="single"/>
          <w:lang w:val="en-US" w:eastAsia="zh-CN" w:bidi="ar"/>
        </w:rPr>
        <w:t>（企业名称）</w:t>
      </w:r>
      <w:r>
        <w:rPr>
          <w:rFonts w:hint="eastAsia" w:ascii="宋体" w:hAnsi="宋体" w:eastAsia="宋体" w:cs="宋体"/>
          <w:i w:val="0"/>
          <w:iCs w:val="0"/>
          <w:color w:val="auto"/>
          <w:kern w:val="0"/>
          <w:sz w:val="24"/>
          <w:szCs w:val="24"/>
          <w:highlight w:val="none"/>
          <w:lang w:val="en-US" w:eastAsia="zh-CN" w:bidi="ar"/>
        </w:rPr>
        <w:t>，从业人员</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人，营业收入为</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万元，资产总额为</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 xml:space="preserve">万元，属于（中型企业、小型企业、微型企业）；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2.</w:t>
      </w:r>
      <w:r>
        <w:rPr>
          <w:rFonts w:hint="eastAsia" w:ascii="宋体" w:hAnsi="宋体" w:eastAsia="宋体" w:cs="宋体"/>
          <w:i w:val="0"/>
          <w:iCs w:val="0"/>
          <w:color w:val="auto"/>
          <w:kern w:val="0"/>
          <w:sz w:val="24"/>
          <w:szCs w:val="24"/>
          <w:highlight w:val="none"/>
          <w:u w:val="single"/>
          <w:lang w:val="en-US" w:eastAsia="zh-CN" w:bidi="ar"/>
        </w:rPr>
        <w:t>（标的名称）</w:t>
      </w:r>
      <w:r>
        <w:rPr>
          <w:rFonts w:hint="eastAsia" w:ascii="宋体" w:hAnsi="宋体" w:eastAsia="宋体" w:cs="宋体"/>
          <w:i w:val="0"/>
          <w:iCs w:val="0"/>
          <w:color w:val="auto"/>
          <w:kern w:val="0"/>
          <w:sz w:val="24"/>
          <w:szCs w:val="24"/>
          <w:highlight w:val="none"/>
          <w:lang w:val="en-US" w:eastAsia="zh-CN" w:bidi="ar"/>
        </w:rPr>
        <w:t xml:space="preserve"> ，属于</w:t>
      </w:r>
      <w:r>
        <w:rPr>
          <w:rFonts w:hint="eastAsia" w:ascii="宋体" w:hAnsi="宋体" w:eastAsia="宋体" w:cs="宋体"/>
          <w:i w:val="0"/>
          <w:iCs w:val="0"/>
          <w:color w:val="auto"/>
          <w:kern w:val="0"/>
          <w:sz w:val="24"/>
          <w:szCs w:val="24"/>
          <w:highlight w:val="none"/>
          <w:u w:val="single"/>
          <w:lang w:val="en-US" w:eastAsia="zh-CN" w:bidi="ar"/>
        </w:rPr>
        <w:t>（采购文件中明确的所属行业）</w:t>
      </w:r>
      <w:r>
        <w:rPr>
          <w:rFonts w:hint="eastAsia" w:ascii="宋体" w:hAnsi="宋体" w:eastAsia="宋体" w:cs="宋体"/>
          <w:i w:val="0"/>
          <w:iCs w:val="0"/>
          <w:color w:val="auto"/>
          <w:kern w:val="0"/>
          <w:sz w:val="24"/>
          <w:szCs w:val="24"/>
          <w:highlight w:val="none"/>
          <w:u w:val="none"/>
          <w:lang w:val="en-US" w:eastAsia="zh-CN" w:bidi="ar"/>
        </w:rPr>
        <w:t>行业</w:t>
      </w:r>
      <w:r>
        <w:rPr>
          <w:rFonts w:hint="eastAsia" w:ascii="宋体" w:hAnsi="宋体" w:eastAsia="宋体" w:cs="宋体"/>
          <w:i w:val="0"/>
          <w:iCs w:val="0"/>
          <w:color w:val="auto"/>
          <w:kern w:val="0"/>
          <w:sz w:val="24"/>
          <w:szCs w:val="24"/>
          <w:highlight w:val="none"/>
          <w:lang w:val="en-US" w:eastAsia="zh-CN" w:bidi="ar"/>
        </w:rPr>
        <w:t>；承接企业为</w:t>
      </w:r>
      <w:r>
        <w:rPr>
          <w:rFonts w:hint="eastAsia" w:ascii="宋体" w:hAnsi="宋体" w:eastAsia="宋体" w:cs="宋体"/>
          <w:i w:val="0"/>
          <w:iCs w:val="0"/>
          <w:color w:val="auto"/>
          <w:kern w:val="0"/>
          <w:sz w:val="24"/>
          <w:szCs w:val="24"/>
          <w:highlight w:val="none"/>
          <w:u w:val="single"/>
          <w:lang w:val="en-US" w:eastAsia="zh-CN" w:bidi="ar"/>
        </w:rPr>
        <w:t>（企业名称）</w:t>
      </w:r>
      <w:r>
        <w:rPr>
          <w:rFonts w:hint="eastAsia" w:ascii="宋体" w:hAnsi="宋体" w:eastAsia="宋体" w:cs="宋体"/>
          <w:i w:val="0"/>
          <w:iCs w:val="0"/>
          <w:color w:val="auto"/>
          <w:kern w:val="0"/>
          <w:sz w:val="24"/>
          <w:szCs w:val="24"/>
          <w:highlight w:val="none"/>
          <w:lang w:val="en-US" w:eastAsia="zh-CN" w:bidi="ar"/>
        </w:rPr>
        <w:t>，从业人员</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人，营业收入为</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万元，资产总额为</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 xml:space="preserve">万元，属于（中型企业、小型企业、微型企业）；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2880" w:firstLineChars="1200"/>
        <w:jc w:val="left"/>
        <w:textAlignment w:val="auto"/>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2880" w:firstLineChars="1200"/>
        <w:jc w:val="left"/>
        <w:textAlignment w:val="auto"/>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日 期： </w:t>
      </w:r>
    </w:p>
    <w:p>
      <w:pPr>
        <w:rPr>
          <w:rFonts w:hint="eastAsia" w:ascii="宋体" w:hAnsi="宋体" w:eastAsia="宋体" w:cs="宋体"/>
          <w:i w:val="0"/>
          <w:iCs w:val="0"/>
          <w:color w:val="auto"/>
          <w:sz w:val="24"/>
          <w:szCs w:val="24"/>
          <w:highlight w:val="none"/>
          <w:lang w:eastAsia="zh-CN"/>
        </w:rPr>
      </w:pP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eastAsia="zh-CN"/>
        </w:rPr>
        <w:t>（注：从业人员、营业收入、资产总额填报上一年度数据，无上一年度数据的新成立企业可不填报。）</w:t>
      </w:r>
    </w:p>
    <w:p>
      <w:pPr>
        <w:numPr>
          <w:ilvl w:val="0"/>
          <w:numId w:val="0"/>
        </w:numPr>
        <w:rPr>
          <w:rFonts w:hint="eastAsia" w:asciiTheme="minorEastAsia" w:hAnsiTheme="minorEastAsia" w:eastAsiaTheme="minorEastAsia" w:cstheme="minorEastAsia"/>
          <w:b/>
          <w:color w:val="auto"/>
          <w:sz w:val="21"/>
          <w:szCs w:val="21"/>
          <w:highlight w:val="none"/>
          <w:lang w:eastAsia="zh-CN"/>
        </w:rPr>
      </w:pPr>
    </w:p>
    <w:p>
      <w:pPr>
        <w:numPr>
          <w:ilvl w:val="0"/>
          <w:numId w:val="2"/>
        </w:numPr>
        <w:rPr>
          <w:rFonts w:hint="eastAsia" w:ascii="宋体" w:hAnsi="宋体" w:eastAsia="宋体" w:cs="宋体"/>
          <w:b/>
          <w:color w:val="auto"/>
          <w:sz w:val="32"/>
          <w:szCs w:val="32"/>
          <w:highlight w:val="none"/>
          <w:lang w:eastAsia="zh-CN"/>
        </w:rPr>
      </w:pPr>
      <w:r>
        <w:rPr>
          <w:rFonts w:hint="eastAsia"/>
          <w:color w:val="auto"/>
          <w:sz w:val="22"/>
          <w:szCs w:val="28"/>
          <w:highlight w:val="none"/>
          <w:lang w:val="en-US" w:eastAsia="zh-CN"/>
        </w:rPr>
        <w:br w:type="page"/>
      </w:r>
      <w:r>
        <w:rPr>
          <w:rFonts w:hint="eastAsia" w:ascii="宋体" w:hAnsi="宋体" w:cs="宋体"/>
          <w:b/>
          <w:color w:val="auto"/>
          <w:sz w:val="32"/>
          <w:szCs w:val="32"/>
          <w:highlight w:val="none"/>
        </w:rPr>
        <w:t>格式1-</w:t>
      </w:r>
      <w:r>
        <w:rPr>
          <w:rFonts w:hint="eastAsia" w:ascii="宋体" w:hAnsi="宋体" w:cs="宋体"/>
          <w:b/>
          <w:color w:val="auto"/>
          <w:sz w:val="32"/>
          <w:szCs w:val="32"/>
          <w:highlight w:val="none"/>
          <w:lang w:val="en-US" w:eastAsia="zh-CN"/>
        </w:rPr>
        <w:t>8</w:t>
      </w:r>
    </w:p>
    <w:p>
      <w:pPr>
        <w:widowControl/>
        <w:spacing w:line="360" w:lineRule="auto"/>
        <w:jc w:val="center"/>
        <w:outlineLvl w:val="2"/>
        <w:rPr>
          <w:rFonts w:ascii="宋体" w:hAnsi="宋体" w:cs="宋体"/>
          <w:b/>
          <w:color w:val="auto"/>
          <w:sz w:val="32"/>
          <w:szCs w:val="32"/>
          <w:highlight w:val="none"/>
        </w:rPr>
      </w:pPr>
      <w:r>
        <w:rPr>
          <w:rFonts w:hint="eastAsia" w:ascii="宋体" w:hAnsi="宋体" w:cs="宋体"/>
          <w:b/>
          <w:color w:val="auto"/>
          <w:sz w:val="32"/>
          <w:szCs w:val="32"/>
          <w:highlight w:val="none"/>
          <w:lang w:val="en-US" w:eastAsia="zh-CN"/>
        </w:rPr>
        <w:t>七</w:t>
      </w:r>
      <w:r>
        <w:rPr>
          <w:rFonts w:hint="eastAsia" w:ascii="宋体" w:hAnsi="宋体" w:cs="宋体"/>
          <w:b/>
          <w:color w:val="auto"/>
          <w:sz w:val="32"/>
          <w:szCs w:val="32"/>
          <w:highlight w:val="none"/>
        </w:rPr>
        <w:t>、</w:t>
      </w:r>
      <w:bookmarkStart w:id="194" w:name="OLE_LINK13"/>
      <w:bookmarkStart w:id="195" w:name="OLE_LINK14"/>
      <w:r>
        <w:rPr>
          <w:rFonts w:hint="eastAsia" w:ascii="宋体" w:hAnsi="宋体" w:cs="宋体"/>
          <w:b/>
          <w:color w:val="auto"/>
          <w:sz w:val="32"/>
          <w:szCs w:val="32"/>
          <w:highlight w:val="none"/>
        </w:rPr>
        <w:t>残疾人福利性单位声明函（如涉及）</w:t>
      </w:r>
    </w:p>
    <w:bookmarkEnd w:id="194"/>
    <w:bookmarkEnd w:id="195"/>
    <w:p>
      <w:pPr>
        <w:spacing w:line="588" w:lineRule="exact"/>
        <w:rPr>
          <w:rFonts w:ascii="宋体" w:hAnsi="宋体" w:cs="宋体"/>
          <w:b/>
          <w:color w:val="auto"/>
          <w:spacing w:val="6"/>
          <w:sz w:val="24"/>
          <w:highlight w:val="none"/>
        </w:rPr>
      </w:pP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单位的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jc w:val="both"/>
        <w:rPr>
          <w:rFonts w:hint="eastAsia" w:ascii="宋体" w:hAnsi="宋体" w:eastAsia="宋体" w:cs="宋体"/>
          <w:color w:val="auto"/>
          <w:highlight w:val="none"/>
        </w:rPr>
      </w:pPr>
    </w:p>
    <w:p>
      <w:pPr>
        <w:widowControl/>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588" w:lineRule="exact"/>
        <w:rPr>
          <w:rFonts w:ascii="宋体" w:hAnsi="宋体" w:cs="宋体"/>
          <w:color w:val="auto"/>
          <w:spacing w:val="6"/>
          <w:sz w:val="24"/>
          <w:highlight w:val="none"/>
        </w:rPr>
      </w:pPr>
    </w:p>
    <w:p>
      <w:pPr>
        <w:tabs>
          <w:tab w:val="left" w:pos="4860"/>
        </w:tabs>
        <w:adjustRightInd w:val="0"/>
        <w:snapToGrid w:val="0"/>
        <w:spacing w:line="360" w:lineRule="auto"/>
        <w:ind w:right="1560"/>
        <w:rPr>
          <w:rFonts w:ascii="宋体" w:hAnsi="宋体" w:cs="宋体"/>
          <w:b/>
          <w:bCs/>
          <w:color w:val="auto"/>
          <w:spacing w:val="6"/>
          <w:sz w:val="24"/>
          <w:highlight w:val="none"/>
        </w:rPr>
      </w:pPr>
      <w:r>
        <w:rPr>
          <w:rFonts w:hint="eastAsia" w:ascii="宋体" w:hAnsi="宋体" w:cs="宋体"/>
          <w:b/>
          <w:bCs/>
          <w:color w:val="auto"/>
          <w:spacing w:val="6"/>
          <w:sz w:val="24"/>
          <w:highlight w:val="none"/>
        </w:rPr>
        <w:t>单位名称（盖章）：</w:t>
      </w:r>
    </w:p>
    <w:p>
      <w:pPr>
        <w:adjustRightInd w:val="0"/>
        <w:snapToGrid w:val="0"/>
        <w:spacing w:line="360" w:lineRule="auto"/>
        <w:rPr>
          <w:rFonts w:ascii="宋体" w:hAnsi="宋体" w:cs="宋体"/>
          <w:b/>
          <w:bCs/>
          <w:color w:val="auto"/>
          <w:spacing w:val="6"/>
          <w:sz w:val="24"/>
          <w:highlight w:val="none"/>
        </w:rPr>
      </w:pPr>
      <w:r>
        <w:rPr>
          <w:rFonts w:hint="eastAsia" w:ascii="宋体" w:hAnsi="宋体" w:cs="宋体"/>
          <w:b/>
          <w:bCs/>
          <w:color w:val="auto"/>
          <w:spacing w:val="6"/>
          <w:sz w:val="24"/>
          <w:highlight w:val="none"/>
        </w:rPr>
        <w:t>日期：</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注：</w:t>
      </w:r>
    </w:p>
    <w:p>
      <w:pPr>
        <w:numPr>
          <w:ilvl w:val="0"/>
          <w:numId w:val="3"/>
        </w:numPr>
        <w:spacing w:line="360" w:lineRule="auto"/>
        <w:rPr>
          <w:rFonts w:ascii="宋体" w:hAnsi="宋体" w:cs="宋体"/>
          <w:color w:val="auto"/>
          <w:sz w:val="24"/>
          <w:highlight w:val="none"/>
        </w:rPr>
      </w:pPr>
      <w:r>
        <w:rPr>
          <w:rFonts w:hint="eastAsia" w:ascii="宋体" w:hAnsi="宋体" w:cs="宋体"/>
          <w:color w:val="auto"/>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3"/>
        </w:numPr>
        <w:spacing w:line="360" w:lineRule="auto"/>
        <w:rPr>
          <w:rFonts w:ascii="宋体" w:hAnsi="宋体" w:cs="宋体"/>
          <w:color w:val="auto"/>
          <w:sz w:val="24"/>
          <w:highlight w:val="none"/>
        </w:rPr>
      </w:pPr>
      <w:r>
        <w:rPr>
          <w:rFonts w:hint="eastAsia" w:ascii="宋体" w:hAnsi="宋体" w:cs="宋体"/>
          <w:color w:val="auto"/>
          <w:sz w:val="24"/>
          <w:highlight w:val="none"/>
        </w:rPr>
        <w:t>投标人为非残疾人福利性单位的，可不提供此声明。</w:t>
      </w:r>
    </w:p>
    <w:p>
      <w:pPr>
        <w:rPr>
          <w:rFonts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格式2-15</w:t>
      </w:r>
    </w:p>
    <w:p>
      <w:pPr>
        <w:widowControl/>
        <w:spacing w:line="360" w:lineRule="auto"/>
        <w:jc w:val="center"/>
        <w:outlineLvl w:val="2"/>
        <w:rPr>
          <w:rFonts w:ascii="宋体" w:hAnsi="宋体" w:cs="宋体"/>
          <w:b/>
          <w:color w:val="auto"/>
          <w:sz w:val="32"/>
          <w:szCs w:val="32"/>
          <w:highlight w:val="none"/>
        </w:rPr>
      </w:pPr>
      <w:r>
        <w:rPr>
          <w:rFonts w:hint="eastAsia" w:ascii="宋体" w:hAnsi="宋体" w:cs="宋体"/>
          <w:b/>
          <w:color w:val="auto"/>
          <w:sz w:val="32"/>
          <w:szCs w:val="32"/>
          <w:highlight w:val="none"/>
        </w:rPr>
        <w:t>投标人和投标产品其他资格、资质性及其他类似效力要求的相关证明材料</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注：投标人应按招标文件第五章相关要求提供佐证材料，有格式要求的从其要求，无格式要求的格式自拟。</w:t>
      </w:r>
    </w:p>
    <w:p>
      <w:pPr>
        <w:rPr>
          <w:rFonts w:ascii="宋体" w:hAnsi="宋体" w:cs="宋体"/>
          <w:b/>
          <w:bCs/>
          <w:color w:val="auto"/>
          <w:sz w:val="24"/>
          <w:highlight w:val="none"/>
        </w:rPr>
      </w:pPr>
      <w:r>
        <w:rPr>
          <w:rFonts w:hint="eastAsia" w:ascii="宋体" w:hAnsi="宋体" w:cs="宋体"/>
          <w:b/>
          <w:bCs/>
          <w:color w:val="auto"/>
          <w:sz w:val="24"/>
          <w:highlight w:val="none"/>
        </w:rPr>
        <w:br w:type="page"/>
      </w:r>
    </w:p>
    <w:p>
      <w:pPr>
        <w:pStyle w:val="11"/>
        <w:rPr>
          <w:rFonts w:hAnsi="宋体" w:cs="宋体"/>
          <w:b/>
          <w:bCs/>
          <w:color w:val="auto"/>
          <w:sz w:val="24"/>
          <w:highlight w:val="none"/>
        </w:rPr>
      </w:pPr>
    </w:p>
    <w:p>
      <w:pPr>
        <w:pStyle w:val="11"/>
        <w:rPr>
          <w:rFonts w:hAnsi="宋体" w:cs="宋体"/>
          <w:b/>
          <w:bCs/>
          <w:color w:val="auto"/>
          <w:sz w:val="24"/>
          <w:highlight w:val="none"/>
        </w:rPr>
      </w:pPr>
    </w:p>
    <w:p>
      <w:pPr>
        <w:tabs>
          <w:tab w:val="left" w:pos="900"/>
        </w:tabs>
        <w:spacing w:line="360" w:lineRule="auto"/>
        <w:jc w:val="center"/>
        <w:outlineLvl w:val="1"/>
        <w:rPr>
          <w:rFonts w:ascii="宋体" w:hAnsi="宋体" w:cs="宋体"/>
          <w:b/>
          <w:color w:val="auto"/>
          <w:sz w:val="32"/>
          <w:highlight w:val="none"/>
        </w:rPr>
      </w:pPr>
      <w:r>
        <w:rPr>
          <w:rFonts w:hint="eastAsia" w:ascii="宋体" w:hAnsi="宋体" w:cs="宋体"/>
          <w:b/>
          <w:color w:val="auto"/>
          <w:sz w:val="32"/>
          <w:highlight w:val="none"/>
        </w:rPr>
        <w:t>第二部分     “其他响应性投标文件”格式</w:t>
      </w:r>
    </w:p>
    <w:p>
      <w:pPr>
        <w:spacing w:line="360" w:lineRule="auto"/>
        <w:rPr>
          <w:rFonts w:ascii="宋体" w:hAnsi="宋体" w:cs="宋体"/>
          <w:b/>
          <w:color w:val="auto"/>
          <w:sz w:val="32"/>
          <w:szCs w:val="32"/>
          <w:highlight w:val="none"/>
        </w:rPr>
      </w:pP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格式2-1</w:t>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封面：</w:t>
      </w:r>
    </w:p>
    <w:p>
      <w:pPr>
        <w:spacing w:line="360" w:lineRule="auto"/>
        <w:jc w:val="right"/>
        <w:rPr>
          <w:rFonts w:ascii="宋体" w:hAnsi="宋体" w:cs="宋体"/>
          <w:b/>
          <w:color w:val="auto"/>
          <w:sz w:val="36"/>
          <w:highlight w:val="none"/>
        </w:rPr>
      </w:pPr>
    </w:p>
    <w:p>
      <w:pPr>
        <w:spacing w:line="360" w:lineRule="auto"/>
        <w:rPr>
          <w:rFonts w:ascii="宋体" w:hAnsi="宋体" w:cs="宋体"/>
          <w:b/>
          <w:color w:val="auto"/>
          <w:sz w:val="32"/>
          <w:szCs w:val="32"/>
          <w:highlight w:val="none"/>
        </w:rPr>
      </w:pPr>
    </w:p>
    <w:p>
      <w:pPr>
        <w:spacing w:line="360" w:lineRule="auto"/>
        <w:ind w:right="-1"/>
        <w:jc w:val="left"/>
        <w:rPr>
          <w:rFonts w:ascii="宋体" w:hAnsi="宋体" w:cs="宋体"/>
          <w:b/>
          <w:color w:val="auto"/>
          <w:sz w:val="36"/>
          <w:highlight w:val="none"/>
        </w:rPr>
      </w:pPr>
      <w:r>
        <w:rPr>
          <w:rFonts w:hint="eastAsia" w:ascii="宋体" w:hAnsi="宋体" w:cs="宋体"/>
          <w:b/>
          <w:color w:val="auto"/>
          <w:sz w:val="36"/>
          <w:highlight w:val="none"/>
        </w:rPr>
        <w:t>项目名称：</w:t>
      </w:r>
    </w:p>
    <w:p>
      <w:pPr>
        <w:spacing w:line="360" w:lineRule="auto"/>
        <w:ind w:right="-1"/>
        <w:jc w:val="left"/>
        <w:rPr>
          <w:rFonts w:ascii="宋体" w:hAnsi="宋体" w:cs="宋体"/>
          <w:b/>
          <w:color w:val="auto"/>
          <w:sz w:val="36"/>
          <w:highlight w:val="none"/>
        </w:rPr>
      </w:pPr>
      <w:r>
        <w:rPr>
          <w:rFonts w:hint="eastAsia" w:ascii="宋体" w:hAnsi="宋体" w:cs="宋体"/>
          <w:b/>
          <w:color w:val="auto"/>
          <w:sz w:val="36"/>
          <w:highlight w:val="none"/>
        </w:rPr>
        <w:t>采购编号：</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p>
    <w:p>
      <w:pPr>
        <w:spacing w:line="360" w:lineRule="auto"/>
        <w:jc w:val="center"/>
        <w:rPr>
          <w:rFonts w:ascii="宋体" w:hAnsi="宋体" w:cs="宋体"/>
          <w:b/>
          <w:color w:val="auto"/>
          <w:sz w:val="52"/>
          <w:szCs w:val="52"/>
          <w:highlight w:val="none"/>
        </w:rPr>
      </w:pPr>
      <w:r>
        <w:rPr>
          <w:rFonts w:hint="eastAsia" w:ascii="宋体" w:hAnsi="宋体" w:cs="宋体"/>
          <w:b/>
          <w:color w:val="auto"/>
          <w:sz w:val="52"/>
          <w:szCs w:val="52"/>
          <w:highlight w:val="none"/>
        </w:rPr>
        <w:t>其他响应性投标文件</w:t>
      </w:r>
    </w:p>
    <w:p>
      <w:pPr>
        <w:spacing w:line="360" w:lineRule="auto"/>
        <w:rPr>
          <w:rFonts w:ascii="宋体" w:hAnsi="宋体" w:cs="宋体"/>
          <w:b/>
          <w:color w:val="auto"/>
          <w:sz w:val="36"/>
          <w:highlight w:val="none"/>
        </w:rPr>
      </w:pPr>
    </w:p>
    <w:p>
      <w:pPr>
        <w:spacing w:line="360" w:lineRule="auto"/>
        <w:rPr>
          <w:rFonts w:ascii="宋体" w:hAnsi="宋体" w:cs="宋体"/>
          <w:b/>
          <w:color w:val="auto"/>
          <w:sz w:val="36"/>
          <w:highlight w:val="none"/>
        </w:rPr>
      </w:pPr>
    </w:p>
    <w:p>
      <w:pPr>
        <w:spacing w:line="360" w:lineRule="auto"/>
        <w:jc w:val="left"/>
        <w:rPr>
          <w:rFonts w:ascii="宋体" w:hAnsi="宋体" w:cs="宋体"/>
          <w:b/>
          <w:color w:val="auto"/>
          <w:sz w:val="32"/>
          <w:highlight w:val="none"/>
          <w:u w:val="single"/>
        </w:rPr>
      </w:pPr>
      <w:r>
        <w:rPr>
          <w:rFonts w:hint="eastAsia" w:ascii="宋体" w:hAnsi="宋体" w:cs="宋体"/>
          <w:b/>
          <w:color w:val="auto"/>
          <w:sz w:val="32"/>
          <w:highlight w:val="none"/>
        </w:rPr>
        <w:t>投标人名称：</w:t>
      </w:r>
      <w:r>
        <w:rPr>
          <w:rFonts w:hint="eastAsia" w:ascii="宋体" w:hAnsi="宋体" w:cs="宋体"/>
          <w:b/>
          <w:color w:val="auto"/>
          <w:sz w:val="32"/>
          <w:highlight w:val="none"/>
          <w:u w:val="single"/>
        </w:rPr>
        <w:t xml:space="preserve">                                 </w:t>
      </w:r>
    </w:p>
    <w:p>
      <w:pPr>
        <w:spacing w:line="360" w:lineRule="auto"/>
        <w:ind w:firstLine="790" w:firstLineChars="246"/>
        <w:jc w:val="center"/>
        <w:rPr>
          <w:rFonts w:ascii="宋体" w:hAnsi="宋体" w:cs="宋体"/>
          <w:b/>
          <w:color w:val="auto"/>
          <w:sz w:val="32"/>
          <w:highlight w:val="none"/>
        </w:rPr>
      </w:pPr>
    </w:p>
    <w:p>
      <w:pPr>
        <w:pStyle w:val="8"/>
        <w:rPr>
          <w:rFonts w:ascii="宋体" w:hAnsi="宋体" w:cs="宋体"/>
          <w:color w:val="auto"/>
          <w:highlight w:val="none"/>
        </w:rPr>
      </w:pPr>
    </w:p>
    <w:p>
      <w:pPr>
        <w:spacing w:line="360" w:lineRule="auto"/>
        <w:jc w:val="center"/>
        <w:rPr>
          <w:rFonts w:ascii="宋体" w:hAnsi="宋体" w:cs="宋体"/>
          <w:b/>
          <w:color w:val="auto"/>
          <w:sz w:val="32"/>
          <w:highlight w:val="none"/>
        </w:rPr>
      </w:pPr>
      <w:r>
        <w:rPr>
          <w:rFonts w:hint="eastAsia" w:ascii="宋体" w:hAnsi="宋体" w:cs="宋体"/>
          <w:b/>
          <w:color w:val="auto"/>
          <w:sz w:val="32"/>
          <w:highlight w:val="none"/>
        </w:rPr>
        <w:t>日期：202</w:t>
      </w:r>
      <w:r>
        <w:rPr>
          <w:rFonts w:hint="eastAsia" w:ascii="宋体" w:hAnsi="宋体" w:cs="宋体"/>
          <w:b/>
          <w:color w:val="auto"/>
          <w:sz w:val="32"/>
          <w:highlight w:val="none"/>
          <w:lang w:val="en-US" w:eastAsia="zh-CN"/>
        </w:rPr>
        <w:t>1</w:t>
      </w:r>
      <w:r>
        <w:rPr>
          <w:rFonts w:hint="eastAsia" w:ascii="宋体" w:hAnsi="宋体" w:cs="宋体"/>
          <w:b/>
          <w:color w:val="auto"/>
          <w:sz w:val="32"/>
          <w:highlight w:val="none"/>
        </w:rPr>
        <w:t>年</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月</w:t>
      </w:r>
      <w:r>
        <w:rPr>
          <w:rFonts w:hint="eastAsia" w:ascii="宋体" w:hAnsi="宋体" w:cs="宋体"/>
          <w:b/>
          <w:color w:val="auto"/>
          <w:sz w:val="32"/>
          <w:highlight w:val="none"/>
          <w:u w:val="single"/>
        </w:rPr>
        <w:t xml:space="preserve">   </w:t>
      </w:r>
      <w:r>
        <w:rPr>
          <w:rFonts w:hint="eastAsia" w:ascii="宋体" w:hAnsi="宋体" w:cs="宋体"/>
          <w:b/>
          <w:color w:val="auto"/>
          <w:sz w:val="32"/>
          <w:highlight w:val="none"/>
        </w:rPr>
        <w:t>日</w:t>
      </w:r>
    </w:p>
    <w:p>
      <w:pPr>
        <w:spacing w:line="360" w:lineRule="auto"/>
        <w:rPr>
          <w:rFonts w:ascii="宋体" w:hAnsi="宋体" w:cs="宋体"/>
          <w:b/>
          <w:color w:val="auto"/>
          <w:sz w:val="32"/>
          <w:szCs w:val="32"/>
          <w:highlight w:val="none"/>
        </w:rPr>
      </w:pPr>
      <w:r>
        <w:rPr>
          <w:rFonts w:hint="eastAsia" w:ascii="宋体" w:hAnsi="宋体" w:cs="宋体"/>
          <w:b/>
          <w:color w:val="auto"/>
          <w:sz w:val="32"/>
          <w:highlight w:val="none"/>
        </w:rPr>
        <w:br w:type="page"/>
      </w:r>
      <w:r>
        <w:rPr>
          <w:rFonts w:hint="eastAsia" w:ascii="宋体" w:hAnsi="宋体" w:cs="宋体"/>
          <w:b/>
          <w:color w:val="auto"/>
          <w:sz w:val="32"/>
          <w:szCs w:val="32"/>
          <w:highlight w:val="none"/>
        </w:rPr>
        <w:t>格式2-2</w:t>
      </w:r>
    </w:p>
    <w:p>
      <w:pPr>
        <w:widowControl/>
        <w:spacing w:line="360" w:lineRule="auto"/>
        <w:jc w:val="center"/>
        <w:outlineLvl w:val="2"/>
        <w:rPr>
          <w:rFonts w:ascii="宋体" w:hAnsi="宋体" w:cs="宋体"/>
          <w:b/>
          <w:color w:val="auto"/>
          <w:sz w:val="32"/>
          <w:szCs w:val="32"/>
          <w:highlight w:val="none"/>
        </w:rPr>
      </w:pPr>
      <w:bookmarkStart w:id="196" w:name="_Toc503862844"/>
      <w:r>
        <w:rPr>
          <w:rFonts w:hint="eastAsia" w:ascii="宋体" w:hAnsi="宋体" w:cs="宋体"/>
          <w:b/>
          <w:color w:val="auto"/>
          <w:sz w:val="32"/>
          <w:szCs w:val="32"/>
          <w:highlight w:val="none"/>
        </w:rPr>
        <w:t>一、投标函</w:t>
      </w:r>
      <w:bookmarkEnd w:id="196"/>
    </w:p>
    <w:p>
      <w:pPr>
        <w:widowControl/>
        <w:adjustRightInd w:val="0"/>
        <w:snapToGrid w:val="0"/>
        <w:spacing w:line="360" w:lineRule="auto"/>
        <w:jc w:val="left"/>
        <w:rPr>
          <w:rFonts w:ascii="宋体" w:hAnsi="宋体" w:cs="宋体"/>
          <w:b/>
          <w:color w:val="auto"/>
          <w:sz w:val="24"/>
          <w:highlight w:val="none"/>
        </w:rPr>
      </w:pPr>
      <w:bookmarkStart w:id="197" w:name="_Toc503862845"/>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lang w:eastAsia="zh-CN"/>
        </w:rPr>
        <w:t>四川新宇盛项目管理集团有限公司</w:t>
      </w:r>
      <w:r>
        <w:rPr>
          <w:rFonts w:hint="eastAsia" w:ascii="宋体" w:hAnsi="宋体" w:cs="宋体"/>
          <w:bCs/>
          <w:color w:val="auto"/>
          <w:sz w:val="24"/>
          <w:highlight w:val="none"/>
        </w:rPr>
        <w:t>：</w:t>
      </w:r>
      <w:bookmarkEnd w:id="197"/>
    </w:p>
    <w:p>
      <w:pPr>
        <w:adjustRightInd w:val="0"/>
        <w:snapToGrid w:val="0"/>
        <w:spacing w:line="360" w:lineRule="auto"/>
        <w:ind w:firstLine="480" w:firstLineChars="200"/>
        <w:rPr>
          <w:rFonts w:ascii="宋体" w:hAnsi="宋体" w:cs="宋体"/>
          <w:bCs/>
          <w:color w:val="auto"/>
          <w:sz w:val="24"/>
          <w:highlight w:val="none"/>
        </w:rPr>
      </w:pPr>
      <w:bookmarkStart w:id="198" w:name="_Toc503862853"/>
      <w:r>
        <w:rPr>
          <w:rFonts w:hint="eastAsia" w:ascii="宋体" w:hAnsi="宋体" w:cs="宋体"/>
          <w:bCs/>
          <w:color w:val="auto"/>
          <w:sz w:val="24"/>
          <w:highlight w:val="none"/>
        </w:rPr>
        <w:t>我方全面研究了 “</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”项目【招标编号：</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】招标文件；决定参加贵单位组织的本项目投标。我方授权</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（姓名、职务）代表我方</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（投标单位的名称）全权处理本项目投标的有关事宜。</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lang w:val="en-US" w:eastAsia="zh-CN"/>
        </w:rPr>
        <w:t>1、我方自愿按照招标文件规定的各项要求完成本项目的所有采购需求，总投标价为人民币</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lang w:val="en-US" w:eastAsia="zh-CN"/>
        </w:rPr>
        <w:t>元/年（大写：</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lang w:val="en-US" w:eastAsia="zh-CN"/>
        </w:rPr>
        <w:t>元/年）</w:t>
      </w:r>
      <w:r>
        <w:rPr>
          <w:rFonts w:hint="eastAsia" w:asciiTheme="minorEastAsia" w:hAnsiTheme="minorEastAsia" w:eastAsiaTheme="minorEastAsia" w:cstheme="minorEastAsia"/>
          <w:bCs/>
          <w:color w:val="auto"/>
          <w:sz w:val="24"/>
          <w:szCs w:val="24"/>
          <w:highlight w:val="none"/>
          <w:lang w:eastAsia="zh-CN"/>
        </w:rPr>
        <w:t>。</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2、一旦我方中标</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我方将严格履行政府采购合同规定的责任和义务。</w:t>
      </w:r>
    </w:p>
    <w:p>
      <w:pPr>
        <w:adjustRightInd w:val="0"/>
        <w:snapToGrid w:val="0"/>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3、我们已详细阅读全部招标文件，参考资料及有关附件等，我们完全理解并放弃提出含糊不清或误解的问题的权利</w:t>
      </w:r>
      <w:r>
        <w:rPr>
          <w:rFonts w:hint="eastAsia" w:ascii="宋体" w:hAnsi="宋体" w:cs="宋体"/>
          <w:bCs/>
          <w:color w:val="auto"/>
          <w:sz w:val="24"/>
          <w:highlight w:val="none"/>
          <w:lang w:eastAsia="zh-CN"/>
        </w:rPr>
        <w:t>。</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4</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rPr>
        <w:t>投标有效期为递交投标文件截止之日起90天。</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5、我方完全理解采购人不一定接受最低报价的投标或收到的任何投标。</w:t>
      </w:r>
    </w:p>
    <w:p>
      <w:pPr>
        <w:adjustRightInd w:val="0"/>
        <w:snapToGrid w:val="0"/>
        <w:spacing w:line="336"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6、</w:t>
      </w:r>
      <w:r>
        <w:rPr>
          <w:rFonts w:hint="eastAsia" w:asciiTheme="minorEastAsia" w:hAnsiTheme="minorEastAsia" w:eastAsiaTheme="minorEastAsia" w:cstheme="minorEastAsia"/>
          <w:color w:val="auto"/>
          <w:sz w:val="24"/>
          <w:szCs w:val="24"/>
          <w:highlight w:val="none"/>
        </w:rPr>
        <w:t>我方同意本招标文件依据《四川省公共资源交易领域严重失信联合惩戒实施办法》（川发改信用规〔2019〕405 号）、《关于对政府采购领域严重违法失信主体开展联合惩戒的合作备忘录》（发改财金〔2018〕1614 号）对我方可能存在的失信行为进行的惩戒。</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eastAsiaTheme="minorEastAsia" w:cstheme="minorEastAsia"/>
          <w:bCs/>
          <w:color w:val="auto"/>
          <w:sz w:val="24"/>
          <w:highlight w:val="none"/>
        </w:rPr>
        <w:t>7、如果我方中标，我方保证按照招标文件的规定</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szCs w:val="24"/>
          <w:highlight w:val="none"/>
          <w:lang w:eastAsia="zh-CN"/>
        </w:rPr>
        <w:t>及时、足额的</w:t>
      </w:r>
      <w:r>
        <w:rPr>
          <w:rFonts w:hint="eastAsia" w:asciiTheme="minorEastAsia" w:hAnsiTheme="minorEastAsia" w:eastAsiaTheme="minorEastAsia" w:cstheme="minorEastAsia"/>
          <w:bCs/>
          <w:color w:val="auto"/>
          <w:sz w:val="24"/>
          <w:szCs w:val="24"/>
          <w:highlight w:val="none"/>
        </w:rPr>
        <w:t>向贵方交纳</w:t>
      </w:r>
      <w:r>
        <w:rPr>
          <w:rFonts w:hint="eastAsia" w:asciiTheme="minorEastAsia" w:hAnsiTheme="minorEastAsia" w:eastAsiaTheme="minorEastAsia" w:cstheme="minorEastAsia"/>
          <w:bCs/>
          <w:color w:val="auto"/>
          <w:sz w:val="24"/>
          <w:szCs w:val="24"/>
          <w:highlight w:val="none"/>
          <w:lang w:eastAsia="zh-CN"/>
        </w:rPr>
        <w:t>代理</w:t>
      </w:r>
      <w:r>
        <w:rPr>
          <w:rFonts w:hint="eastAsia" w:asciiTheme="minorEastAsia" w:hAnsiTheme="minorEastAsia" w:eastAsiaTheme="minorEastAsia" w:cstheme="minorEastAsia"/>
          <w:bCs/>
          <w:color w:val="auto"/>
          <w:sz w:val="24"/>
          <w:szCs w:val="24"/>
          <w:highlight w:val="none"/>
        </w:rPr>
        <w:t>服务费</w:t>
      </w:r>
      <w:r>
        <w:rPr>
          <w:rFonts w:hint="eastAsia" w:asciiTheme="minorEastAsia" w:hAnsiTheme="minorEastAsia" w:eastAsiaTheme="minorEastAsia" w:cstheme="minorEastAsia"/>
          <w:bCs/>
          <w:color w:val="auto"/>
          <w:sz w:val="24"/>
          <w:szCs w:val="24"/>
          <w:highlight w:val="none"/>
          <w:lang w:eastAsia="zh-CN"/>
        </w:rPr>
        <w:t>。</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eastAsiaTheme="minorEastAsia" w:cstheme="minorEastAsia"/>
          <w:bCs/>
          <w:color w:val="auto"/>
          <w:sz w:val="24"/>
          <w:highlight w:val="none"/>
        </w:rPr>
        <w:t>8、我方愿意提供贵方可能另外要求的，与投标有关的文件资料，并保证我方已提供和将要提供的文件资料是真实、准确的</w:t>
      </w:r>
      <w:r>
        <w:rPr>
          <w:rFonts w:hint="eastAsia" w:asciiTheme="minorEastAsia" w:hAnsiTheme="minorEastAsia" w:eastAsiaTheme="minorEastAsia" w:cstheme="minorEastAsia"/>
          <w:bCs/>
          <w:color w:val="auto"/>
          <w:sz w:val="24"/>
          <w:highlight w:val="none"/>
          <w:lang w:eastAsia="zh-CN"/>
        </w:rPr>
        <w:t>。</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投标人名称：XXXX（单位公章）。</w:t>
      </w:r>
      <w:bookmarkEnd w:id="198"/>
    </w:p>
    <w:p>
      <w:pPr>
        <w:adjustRightInd w:val="0"/>
        <w:snapToGrid w:val="0"/>
        <w:spacing w:line="360" w:lineRule="auto"/>
        <w:ind w:firstLine="480" w:firstLineChars="200"/>
        <w:rPr>
          <w:rFonts w:ascii="宋体" w:hAnsi="宋体" w:cs="宋体"/>
          <w:bCs/>
          <w:color w:val="auto"/>
          <w:sz w:val="24"/>
          <w:highlight w:val="none"/>
        </w:rPr>
      </w:pPr>
      <w:bookmarkStart w:id="199" w:name="_Toc503862854"/>
      <w:r>
        <w:rPr>
          <w:rFonts w:hint="eastAsia" w:ascii="宋体" w:hAnsi="宋体" w:cs="宋体"/>
          <w:bCs/>
          <w:color w:val="auto"/>
          <w:sz w:val="24"/>
          <w:highlight w:val="none"/>
        </w:rPr>
        <w:t>法定代表人/单位负责人或授权代表（签字或加盖个人名章）：XXXX。</w:t>
      </w:r>
      <w:bookmarkEnd w:id="199"/>
    </w:p>
    <w:p>
      <w:pPr>
        <w:adjustRightInd w:val="0"/>
        <w:snapToGrid w:val="0"/>
        <w:spacing w:line="360" w:lineRule="auto"/>
        <w:ind w:firstLine="480" w:firstLineChars="200"/>
        <w:rPr>
          <w:rFonts w:ascii="宋体" w:hAnsi="宋体" w:cs="宋体"/>
          <w:bCs/>
          <w:color w:val="auto"/>
          <w:sz w:val="24"/>
          <w:highlight w:val="none"/>
        </w:rPr>
      </w:pPr>
      <w:bookmarkStart w:id="200" w:name="_Toc503862855"/>
      <w:r>
        <w:rPr>
          <w:rFonts w:hint="eastAsia" w:ascii="宋体" w:hAnsi="宋体" w:cs="宋体"/>
          <w:bCs/>
          <w:color w:val="auto"/>
          <w:sz w:val="24"/>
          <w:highlight w:val="none"/>
        </w:rPr>
        <w:t>通讯地址：XXXX。</w:t>
      </w:r>
      <w:bookmarkEnd w:id="200"/>
    </w:p>
    <w:p>
      <w:pPr>
        <w:adjustRightInd w:val="0"/>
        <w:snapToGrid w:val="0"/>
        <w:spacing w:line="360" w:lineRule="auto"/>
        <w:ind w:firstLine="480" w:firstLineChars="200"/>
        <w:rPr>
          <w:rFonts w:ascii="宋体" w:hAnsi="宋体" w:cs="宋体"/>
          <w:bCs/>
          <w:color w:val="auto"/>
          <w:sz w:val="24"/>
          <w:highlight w:val="none"/>
        </w:rPr>
      </w:pPr>
      <w:bookmarkStart w:id="201" w:name="_Toc503862856"/>
      <w:r>
        <w:rPr>
          <w:rFonts w:hint="eastAsia" w:ascii="宋体" w:hAnsi="宋体" w:cs="宋体"/>
          <w:bCs/>
          <w:color w:val="auto"/>
          <w:sz w:val="24"/>
          <w:highlight w:val="none"/>
        </w:rPr>
        <w:t>邮政编码：XXXX。</w:t>
      </w:r>
      <w:bookmarkEnd w:id="201"/>
    </w:p>
    <w:p>
      <w:pPr>
        <w:adjustRightInd w:val="0"/>
        <w:snapToGrid w:val="0"/>
        <w:spacing w:line="360" w:lineRule="auto"/>
        <w:ind w:firstLine="480" w:firstLineChars="200"/>
        <w:rPr>
          <w:rFonts w:ascii="宋体" w:hAnsi="宋体" w:cs="宋体"/>
          <w:bCs/>
          <w:color w:val="auto"/>
          <w:sz w:val="24"/>
          <w:highlight w:val="none"/>
        </w:rPr>
      </w:pPr>
      <w:bookmarkStart w:id="202" w:name="_Toc503862857"/>
      <w:r>
        <w:rPr>
          <w:rFonts w:hint="eastAsia" w:ascii="宋体" w:hAnsi="宋体" w:cs="宋体"/>
          <w:bCs/>
          <w:color w:val="auto"/>
          <w:sz w:val="24"/>
          <w:highlight w:val="none"/>
        </w:rPr>
        <w:t>联系电话：XXXX。</w:t>
      </w:r>
      <w:bookmarkEnd w:id="202"/>
    </w:p>
    <w:p>
      <w:pPr>
        <w:adjustRightInd w:val="0"/>
        <w:snapToGrid w:val="0"/>
        <w:spacing w:line="360" w:lineRule="auto"/>
        <w:ind w:firstLine="480" w:firstLineChars="200"/>
        <w:rPr>
          <w:rFonts w:ascii="宋体" w:hAnsi="宋体" w:cs="宋体"/>
          <w:bCs/>
          <w:color w:val="auto"/>
          <w:sz w:val="24"/>
          <w:highlight w:val="none"/>
        </w:rPr>
      </w:pPr>
      <w:bookmarkStart w:id="203" w:name="_Toc503862858"/>
      <w:r>
        <w:rPr>
          <w:rFonts w:hint="eastAsia" w:ascii="宋体" w:hAnsi="宋体" w:cs="宋体"/>
          <w:bCs/>
          <w:color w:val="auto"/>
          <w:sz w:val="24"/>
          <w:highlight w:val="none"/>
        </w:rPr>
        <w:t>传    真：XXXX。</w:t>
      </w:r>
      <w:bookmarkEnd w:id="203"/>
    </w:p>
    <w:p>
      <w:pPr>
        <w:adjustRightInd w:val="0"/>
        <w:snapToGrid w:val="0"/>
        <w:spacing w:line="360" w:lineRule="auto"/>
        <w:ind w:firstLine="480" w:firstLineChars="200"/>
        <w:rPr>
          <w:rFonts w:ascii="宋体" w:hAnsi="宋体" w:cs="宋体"/>
          <w:bCs/>
          <w:color w:val="auto"/>
          <w:sz w:val="24"/>
          <w:highlight w:val="none"/>
        </w:rPr>
      </w:pPr>
      <w:bookmarkStart w:id="204" w:name="_Toc503862859"/>
      <w:r>
        <w:rPr>
          <w:rFonts w:hint="eastAsia" w:ascii="宋体" w:hAnsi="宋体" w:cs="宋体"/>
          <w:bCs/>
          <w:color w:val="auto"/>
          <w:sz w:val="24"/>
          <w:highlight w:val="none"/>
        </w:rPr>
        <w:t>日    期：XXXX年XXXX月XXXX日。</w:t>
      </w:r>
      <w:bookmarkEnd w:id="204"/>
    </w:p>
    <w:p>
      <w:pPr>
        <w:spacing w:line="288" w:lineRule="auto"/>
        <w:rPr>
          <w:rFonts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格式2-3</w:t>
      </w:r>
    </w:p>
    <w:p>
      <w:pPr>
        <w:widowControl/>
        <w:spacing w:line="360" w:lineRule="auto"/>
        <w:jc w:val="center"/>
        <w:outlineLvl w:val="2"/>
        <w:rPr>
          <w:rFonts w:ascii="宋体" w:hAnsi="宋体" w:cs="宋体"/>
          <w:b/>
          <w:color w:val="auto"/>
          <w:sz w:val="32"/>
          <w:szCs w:val="32"/>
          <w:highlight w:val="none"/>
        </w:rPr>
      </w:pPr>
      <w:bookmarkStart w:id="205" w:name="_Toc503862860"/>
      <w:r>
        <w:rPr>
          <w:rFonts w:hint="eastAsia" w:ascii="宋体" w:hAnsi="宋体" w:cs="宋体"/>
          <w:b/>
          <w:color w:val="auto"/>
          <w:sz w:val="32"/>
          <w:szCs w:val="32"/>
          <w:highlight w:val="none"/>
        </w:rPr>
        <w:t>二、承诺函</w:t>
      </w:r>
      <w:bookmarkEnd w:id="205"/>
    </w:p>
    <w:p>
      <w:pPr>
        <w:widowControl/>
        <w:spacing w:line="360" w:lineRule="atLeast"/>
        <w:jc w:val="both"/>
        <w:rPr>
          <w:rFonts w:ascii="宋体" w:hAnsi="宋体" w:cs="宋体"/>
          <w:b/>
          <w:color w:val="auto"/>
          <w:sz w:val="24"/>
          <w:highlight w:val="none"/>
        </w:rPr>
      </w:pPr>
    </w:p>
    <w:p>
      <w:pPr>
        <w:adjustRightInd w:val="0"/>
        <w:snapToGrid w:val="0"/>
        <w:spacing w:line="360" w:lineRule="auto"/>
        <w:rPr>
          <w:rFonts w:ascii="宋体" w:hAnsi="宋体" w:cs="宋体"/>
          <w:bCs/>
          <w:color w:val="auto"/>
          <w:sz w:val="24"/>
          <w:highlight w:val="none"/>
        </w:rPr>
      </w:pPr>
      <w:bookmarkStart w:id="206" w:name="_Toc503862861"/>
      <w:r>
        <w:rPr>
          <w:rFonts w:hint="eastAsia" w:ascii="宋体" w:hAnsi="宋体" w:cs="宋体"/>
          <w:bCs/>
          <w:color w:val="auto"/>
          <w:sz w:val="24"/>
          <w:highlight w:val="none"/>
          <w:lang w:eastAsia="zh-CN"/>
        </w:rPr>
        <w:t>四川新宇盛项目管理集团有限公司</w:t>
      </w:r>
      <w:r>
        <w:rPr>
          <w:rFonts w:hint="eastAsia" w:ascii="宋体" w:hAnsi="宋体" w:cs="宋体"/>
          <w:bCs/>
          <w:color w:val="auto"/>
          <w:sz w:val="24"/>
          <w:highlight w:val="none"/>
        </w:rPr>
        <w:t>：</w:t>
      </w:r>
      <w:bookmarkEnd w:id="206"/>
    </w:p>
    <w:p>
      <w:pPr>
        <w:adjustRightInd w:val="0"/>
        <w:snapToGrid w:val="0"/>
        <w:spacing w:line="360" w:lineRule="auto"/>
        <w:ind w:firstLine="480" w:firstLineChars="200"/>
        <w:rPr>
          <w:rFonts w:ascii="宋体" w:hAnsi="宋体" w:cs="宋体"/>
          <w:bCs/>
          <w:color w:val="auto"/>
          <w:sz w:val="24"/>
          <w:highlight w:val="none"/>
        </w:rPr>
      </w:pPr>
      <w:bookmarkStart w:id="207" w:name="_Toc503862862"/>
      <w:r>
        <w:rPr>
          <w:rFonts w:hint="eastAsia" w:ascii="宋体" w:hAnsi="宋体" w:cs="宋体"/>
          <w:bCs/>
          <w:color w:val="auto"/>
          <w:sz w:val="24"/>
          <w:highlight w:val="none"/>
        </w:rPr>
        <w:t>我单位作为本次采购项目的投标人，根据招标文件要求，现郑重承诺如下：</w:t>
      </w:r>
      <w:bookmarkEnd w:id="207"/>
    </w:p>
    <w:p>
      <w:pPr>
        <w:adjustRightInd w:val="0"/>
        <w:snapToGrid w:val="0"/>
        <w:spacing w:line="360" w:lineRule="auto"/>
        <w:ind w:firstLine="480" w:firstLineChars="200"/>
        <w:rPr>
          <w:rFonts w:ascii="宋体" w:hAnsi="宋体" w:cs="宋体"/>
          <w:bCs/>
          <w:color w:val="auto"/>
          <w:sz w:val="24"/>
          <w:highlight w:val="none"/>
        </w:rPr>
      </w:pPr>
      <w:bookmarkStart w:id="208" w:name="_Toc503862863"/>
      <w:r>
        <w:rPr>
          <w:rFonts w:hint="eastAsia" w:ascii="宋体" w:hAnsi="宋体" w:cs="宋体"/>
          <w:bCs/>
          <w:color w:val="auto"/>
          <w:sz w:val="24"/>
          <w:highlight w:val="none"/>
        </w:rPr>
        <w:t>一、完全接受和满足本项目招标文件中规定</w:t>
      </w:r>
      <w:r>
        <w:rPr>
          <w:rFonts w:hint="eastAsia" w:ascii="宋体" w:hAnsi="宋体" w:cs="宋体"/>
          <w:bCs/>
          <w:color w:val="auto"/>
          <w:sz w:val="24"/>
          <w:highlight w:val="none"/>
          <w:lang w:eastAsia="zh-CN"/>
        </w:rPr>
        <w:t>的所有</w:t>
      </w:r>
      <w:r>
        <w:rPr>
          <w:rFonts w:hint="eastAsia" w:ascii="宋体" w:hAnsi="宋体" w:cs="宋体"/>
          <w:bCs/>
          <w:color w:val="auto"/>
          <w:sz w:val="24"/>
          <w:highlight w:val="none"/>
        </w:rPr>
        <w:t>实质性要求</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如对招标文件有异议，已依法进行维权救济，不存在对招标文件有异议的同时又参加投标以求侥幸中标或者为实现其他非法目的的行为。</w:t>
      </w:r>
      <w:bookmarkEnd w:id="208"/>
    </w:p>
    <w:p>
      <w:pPr>
        <w:adjustRightInd w:val="0"/>
        <w:snapToGrid w:val="0"/>
        <w:spacing w:line="360" w:lineRule="auto"/>
        <w:ind w:firstLine="480" w:firstLineChars="200"/>
        <w:rPr>
          <w:rFonts w:ascii="宋体" w:hAnsi="宋体" w:cs="宋体"/>
          <w:bCs/>
          <w:color w:val="auto"/>
          <w:sz w:val="24"/>
          <w:highlight w:val="none"/>
        </w:rPr>
      </w:pPr>
      <w:bookmarkStart w:id="209" w:name="_Toc503862864"/>
      <w:r>
        <w:rPr>
          <w:rFonts w:hint="eastAsia" w:ascii="宋体" w:hAnsi="宋体" w:cs="宋体"/>
          <w:bCs/>
          <w:color w:val="auto"/>
          <w:sz w:val="24"/>
          <w:highlight w:val="none"/>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bookmarkEnd w:id="209"/>
    </w:p>
    <w:p>
      <w:pPr>
        <w:adjustRightInd w:val="0"/>
        <w:snapToGrid w:val="0"/>
        <w:spacing w:line="360" w:lineRule="auto"/>
        <w:ind w:firstLine="480" w:firstLineChars="200"/>
        <w:rPr>
          <w:rFonts w:ascii="宋体" w:hAnsi="宋体" w:cs="宋体"/>
          <w:bCs/>
          <w:color w:val="auto"/>
          <w:sz w:val="24"/>
          <w:highlight w:val="none"/>
        </w:rPr>
      </w:pPr>
      <w:bookmarkStart w:id="210" w:name="_Toc503862865"/>
      <w:r>
        <w:rPr>
          <w:rFonts w:hint="eastAsia" w:ascii="宋体" w:hAnsi="宋体" w:cs="宋体"/>
          <w:bCs/>
          <w:color w:val="auto"/>
          <w:sz w:val="24"/>
          <w:highlight w:val="none"/>
        </w:rPr>
        <w:t>三、参加本次招标采购活动，不存在和其他供应商在同一合同项下的采购项目中，同时委托同一个自然人、同一家庭的人员、同一单位的人员作为代理人的行为。</w:t>
      </w:r>
      <w:bookmarkEnd w:id="210"/>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四、我司未被对列入按财库</w:t>
      </w:r>
      <w:r>
        <w:rPr>
          <w:rFonts w:hint="eastAsia" w:asciiTheme="minorEastAsia" w:hAnsiTheme="minorEastAsia" w:eastAsiaTheme="minorEastAsia"/>
          <w:color w:val="auto"/>
          <w:sz w:val="21"/>
          <w:szCs w:val="21"/>
          <w:highlight w:val="none"/>
        </w:rPr>
        <w:t>〔</w:t>
      </w:r>
      <w:r>
        <w:rPr>
          <w:rFonts w:hint="eastAsia" w:ascii="宋体" w:hAnsi="宋体" w:cs="宋体"/>
          <w:bCs/>
          <w:color w:val="auto"/>
          <w:sz w:val="24"/>
          <w:highlight w:val="none"/>
        </w:rPr>
        <w:t>2016</w:t>
      </w:r>
      <w:r>
        <w:rPr>
          <w:rFonts w:hint="eastAsia" w:asciiTheme="minorEastAsia" w:hAnsiTheme="minorEastAsia" w:eastAsiaTheme="minorEastAsia"/>
          <w:color w:val="auto"/>
          <w:sz w:val="21"/>
          <w:szCs w:val="21"/>
          <w:highlight w:val="none"/>
        </w:rPr>
        <w:t>〕</w:t>
      </w:r>
      <w:r>
        <w:rPr>
          <w:rFonts w:hint="eastAsia" w:ascii="宋体" w:hAnsi="宋体" w:cs="宋体"/>
          <w:bCs/>
          <w:color w:val="auto"/>
          <w:sz w:val="24"/>
          <w:highlight w:val="none"/>
        </w:rPr>
        <w:t>125号规定的失信被执行人、重大税收违法案件当事人名单、政府采购严重违法失信行为记录名单及其他不符合《中华人民共和国政府采购法》第二十二条规定条件的供应商。</w:t>
      </w:r>
    </w:p>
    <w:p>
      <w:pPr>
        <w:adjustRightInd w:val="0"/>
        <w:snapToGrid w:val="0"/>
        <w:spacing w:line="360" w:lineRule="auto"/>
        <w:ind w:firstLine="480" w:firstLineChars="200"/>
        <w:rPr>
          <w:rFonts w:ascii="宋体" w:hAnsi="宋体" w:cs="宋体"/>
          <w:bCs/>
          <w:color w:val="auto"/>
          <w:sz w:val="24"/>
          <w:highlight w:val="none"/>
        </w:rPr>
      </w:pPr>
      <w:bookmarkStart w:id="211" w:name="_Toc503862866"/>
      <w:r>
        <w:rPr>
          <w:rFonts w:hint="eastAsia" w:ascii="宋体" w:hAnsi="宋体" w:cs="宋体"/>
          <w:bCs/>
          <w:color w:val="auto"/>
          <w:sz w:val="24"/>
          <w:highlight w:val="none"/>
        </w:rPr>
        <w:t>五、如果有《四川省公共资源交易领域严重失信联合惩戒实施办法》（川发改信用规〔2019〕405 号）、《关于对政府采购领域严重违法失信主体开展联合惩戒的合作备忘录》（发改财金〔2018〕1614 号）规定的记入诚信档案的失信行为，将在投标文件中全面如实反映。</w:t>
      </w:r>
      <w:bookmarkEnd w:id="211"/>
    </w:p>
    <w:p>
      <w:pPr>
        <w:adjustRightInd w:val="0"/>
        <w:snapToGrid w:val="0"/>
        <w:spacing w:line="360" w:lineRule="auto"/>
        <w:ind w:firstLine="480" w:firstLineChars="200"/>
        <w:rPr>
          <w:rFonts w:ascii="宋体" w:hAnsi="宋体" w:cs="宋体"/>
          <w:bCs/>
          <w:color w:val="auto"/>
          <w:sz w:val="24"/>
          <w:highlight w:val="none"/>
        </w:rPr>
      </w:pPr>
      <w:bookmarkStart w:id="212" w:name="_Toc503862867"/>
      <w:r>
        <w:rPr>
          <w:rFonts w:hint="eastAsia" w:ascii="宋体" w:hAnsi="宋体" w:cs="宋体"/>
          <w:bCs/>
          <w:color w:val="auto"/>
          <w:sz w:val="24"/>
          <w:highlight w:val="none"/>
        </w:rPr>
        <w:t>六、投标文件中提供的能够给予我单位带来优惠、好处的任何材料资料和技术、服务、商务、响应产品等响应承诺情况都是真实的、有效的、合法的。</w:t>
      </w:r>
      <w:bookmarkEnd w:id="212"/>
    </w:p>
    <w:p>
      <w:pPr>
        <w:adjustRightInd w:val="0"/>
        <w:snapToGrid w:val="0"/>
        <w:spacing w:line="360" w:lineRule="auto"/>
        <w:ind w:firstLine="480" w:firstLineChars="200"/>
        <w:rPr>
          <w:rFonts w:ascii="宋体" w:hAnsi="宋体" w:cs="宋体"/>
          <w:bCs/>
          <w:color w:val="auto"/>
          <w:sz w:val="24"/>
          <w:highlight w:val="none"/>
        </w:rPr>
      </w:pPr>
      <w:bookmarkStart w:id="213" w:name="_Toc503862868"/>
      <w:r>
        <w:rPr>
          <w:rFonts w:hint="eastAsia" w:ascii="宋体" w:hAnsi="宋体" w:cs="宋体"/>
          <w:bCs/>
          <w:color w:val="auto"/>
          <w:sz w:val="24"/>
          <w:highlight w:val="none"/>
        </w:rPr>
        <w:t>七、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bookmarkEnd w:id="213"/>
    </w:p>
    <w:p>
      <w:pPr>
        <w:adjustRightInd w:val="0"/>
        <w:snapToGrid w:val="0"/>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八、我公司完全同意采购文件中关于知识产权的说明，承诺由此造成的纠纷由我单位全权负责</w:t>
      </w:r>
      <w:r>
        <w:rPr>
          <w:rFonts w:hint="eastAsia" w:ascii="宋体" w:hAnsi="宋体" w:cs="宋体"/>
          <w:bCs/>
          <w:color w:val="auto"/>
          <w:sz w:val="24"/>
          <w:highlight w:val="none"/>
          <w:lang w:eastAsia="zh-CN"/>
        </w:rPr>
        <w:t>。</w:t>
      </w:r>
    </w:p>
    <w:p>
      <w:pPr>
        <w:adjustRightInd w:val="0"/>
        <w:snapToGrid w:val="0"/>
        <w:spacing w:line="360" w:lineRule="auto"/>
        <w:ind w:firstLine="480" w:firstLineChars="200"/>
        <w:rPr>
          <w:rFonts w:ascii="宋体" w:hAnsi="宋体" w:cs="宋体"/>
          <w:bCs/>
          <w:color w:val="auto"/>
          <w:sz w:val="24"/>
          <w:highlight w:val="none"/>
        </w:rPr>
      </w:pPr>
      <w:bookmarkStart w:id="214" w:name="_Toc503862869"/>
      <w:r>
        <w:rPr>
          <w:rFonts w:hint="eastAsia" w:ascii="宋体" w:hAnsi="宋体" w:cs="宋体"/>
          <w:bCs/>
          <w:color w:val="auto"/>
          <w:sz w:val="24"/>
          <w:highlight w:val="none"/>
        </w:rPr>
        <w:t>本单位对上述承诺的内容事项真实性负责。如经查实上述承诺的内容事项存在虚假，我单位愿意接受以提供虚假材料谋取中标追究法律责任。</w:t>
      </w:r>
      <w:bookmarkEnd w:id="214"/>
    </w:p>
    <w:p>
      <w:pPr>
        <w:widowControl/>
        <w:spacing w:line="312" w:lineRule="auto"/>
        <w:jc w:val="left"/>
        <w:rPr>
          <w:rFonts w:ascii="宋体" w:hAnsi="宋体" w:cs="宋体"/>
          <w:color w:val="auto"/>
          <w:sz w:val="24"/>
          <w:highlight w:val="none"/>
        </w:rPr>
      </w:pP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投标人名称：XXXX（单位盖章）。</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法定代表人/单位负责人或授权代表（签字或加盖个人名章）：XXXX。</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投标日期</w:t>
      </w:r>
      <w:r>
        <w:rPr>
          <w:rFonts w:hint="eastAsia" w:ascii="宋体" w:hAnsi="宋体" w:cs="宋体"/>
          <w:b/>
          <w:color w:val="auto"/>
          <w:sz w:val="24"/>
          <w:highlight w:val="none"/>
          <w:lang w:eastAsia="zh-CN"/>
        </w:rPr>
        <w:t>：</w:t>
      </w:r>
      <w:r>
        <w:rPr>
          <w:rFonts w:hint="eastAsia" w:ascii="宋体" w:hAnsi="宋体" w:cs="宋体"/>
          <w:b/>
          <w:color w:val="auto"/>
          <w:sz w:val="24"/>
          <w:highlight w:val="none"/>
        </w:rPr>
        <w:t>XXXX。</w:t>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格式2-4</w:t>
      </w:r>
    </w:p>
    <w:p>
      <w:pPr>
        <w:widowControl/>
        <w:spacing w:line="360" w:lineRule="auto"/>
        <w:jc w:val="center"/>
        <w:outlineLvl w:val="2"/>
        <w:rPr>
          <w:rFonts w:ascii="宋体" w:hAnsi="宋体" w:cs="宋体"/>
          <w:b/>
          <w:color w:val="auto"/>
          <w:sz w:val="32"/>
          <w:szCs w:val="32"/>
          <w:highlight w:val="none"/>
        </w:rPr>
      </w:pPr>
      <w:r>
        <w:rPr>
          <w:rFonts w:hint="eastAsia" w:ascii="宋体" w:hAnsi="宋体" w:cs="宋体"/>
          <w:b/>
          <w:color w:val="auto"/>
          <w:sz w:val="32"/>
          <w:szCs w:val="32"/>
          <w:highlight w:val="none"/>
        </w:rPr>
        <w:t>三、开标一览表</w:t>
      </w:r>
    </w:p>
    <w:p>
      <w:pPr>
        <w:widowControl/>
        <w:spacing w:line="360" w:lineRule="atLeast"/>
        <w:jc w:val="left"/>
        <w:rPr>
          <w:rFonts w:ascii="宋体" w:hAnsi="宋体" w:cs="宋体"/>
          <w:color w:val="auto"/>
          <w:sz w:val="24"/>
          <w:highlight w:val="none"/>
        </w:rPr>
      </w:pPr>
    </w:p>
    <w:p>
      <w:pPr>
        <w:adjustRightInd w:val="0"/>
        <w:snapToGrid w:val="0"/>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项目名称</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招标编号：</w:t>
      </w:r>
    </w:p>
    <w:tbl>
      <w:tblPr>
        <w:tblStyle w:val="21"/>
        <w:tblW w:w="10677" w:type="dxa"/>
        <w:jc w:val="center"/>
        <w:tblLayout w:type="fixed"/>
        <w:tblCellMar>
          <w:top w:w="0" w:type="dxa"/>
          <w:left w:w="108" w:type="dxa"/>
          <w:bottom w:w="0" w:type="dxa"/>
          <w:right w:w="108" w:type="dxa"/>
        </w:tblCellMar>
      </w:tblPr>
      <w:tblGrid>
        <w:gridCol w:w="684"/>
        <w:gridCol w:w="2734"/>
        <w:gridCol w:w="4531"/>
        <w:gridCol w:w="2728"/>
      </w:tblGrid>
      <w:tr>
        <w:tblPrEx>
          <w:tblCellMar>
            <w:top w:w="0" w:type="dxa"/>
            <w:left w:w="108" w:type="dxa"/>
            <w:bottom w:w="0" w:type="dxa"/>
            <w:right w:w="108" w:type="dxa"/>
          </w:tblCellMar>
        </w:tblPrEx>
        <w:trPr>
          <w:trHeight w:val="1130"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序号</w:t>
            </w:r>
          </w:p>
        </w:tc>
        <w:tc>
          <w:tcPr>
            <w:tcW w:w="27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服务内容</w:t>
            </w:r>
          </w:p>
        </w:tc>
        <w:tc>
          <w:tcPr>
            <w:tcW w:w="45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highlight w:val="none"/>
                <w:lang w:eastAsia="zh-CN"/>
              </w:rPr>
            </w:pPr>
            <w:r>
              <w:rPr>
                <w:rFonts w:hint="eastAsia" w:ascii="宋体" w:hAnsi="宋体" w:eastAsia="宋体" w:cs="宋体"/>
                <w:color w:val="auto"/>
                <w:sz w:val="24"/>
                <w:highlight w:val="none"/>
                <w:lang w:eastAsia="zh-CN"/>
              </w:rPr>
              <w:t>投标报价（元</w:t>
            </w:r>
            <w:r>
              <w:rPr>
                <w:rFonts w:hint="eastAsia" w:ascii="宋体" w:hAnsi="宋体" w:eastAsia="宋体" w:cs="宋体"/>
                <w:color w:val="auto"/>
                <w:sz w:val="24"/>
                <w:highlight w:val="none"/>
                <w:lang w:val="en-US" w:eastAsia="zh-CN"/>
              </w:rPr>
              <w:t>/年</w:t>
            </w:r>
            <w:r>
              <w:rPr>
                <w:rFonts w:hint="eastAsia" w:ascii="宋体" w:hAnsi="宋体" w:eastAsia="宋体" w:cs="宋体"/>
                <w:color w:val="auto"/>
                <w:sz w:val="24"/>
                <w:highlight w:val="none"/>
                <w:lang w:eastAsia="zh-CN"/>
              </w:rPr>
              <w:t>）</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备注</w:t>
            </w:r>
          </w:p>
        </w:tc>
      </w:tr>
      <w:tr>
        <w:tblPrEx>
          <w:tblCellMar>
            <w:top w:w="0" w:type="dxa"/>
            <w:left w:w="108" w:type="dxa"/>
            <w:bottom w:w="0" w:type="dxa"/>
            <w:right w:w="108" w:type="dxa"/>
          </w:tblCellMar>
        </w:tblPrEx>
        <w:trPr>
          <w:trHeight w:val="1085"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p>
        </w:tc>
        <w:tc>
          <w:tcPr>
            <w:tcW w:w="2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highlight w:val="none"/>
              </w:rPr>
            </w:pPr>
          </w:p>
        </w:tc>
        <w:tc>
          <w:tcPr>
            <w:tcW w:w="4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bCs/>
                <w:color w:val="auto"/>
                <w:sz w:val="24"/>
                <w:highlight w:val="none"/>
                <w:lang w:val="en-US" w:eastAsia="zh-CN"/>
              </w:rPr>
            </w:pP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color w:val="auto"/>
                <w:highlight w:val="none"/>
                <w:lang w:val="en-US" w:eastAsia="zh-CN"/>
              </w:rPr>
            </w:pPr>
          </w:p>
        </w:tc>
      </w:tr>
      <w:tr>
        <w:tblPrEx>
          <w:tblCellMar>
            <w:top w:w="0" w:type="dxa"/>
            <w:left w:w="108" w:type="dxa"/>
            <w:bottom w:w="0" w:type="dxa"/>
            <w:right w:w="108" w:type="dxa"/>
          </w:tblCellMar>
        </w:tblPrEx>
        <w:trPr>
          <w:trHeight w:val="825" w:hRule="atLeast"/>
          <w:jc w:val="center"/>
        </w:trPr>
        <w:tc>
          <w:tcPr>
            <w:tcW w:w="3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lang w:eastAsia="zh-CN"/>
              </w:rPr>
              <w:t>报价合计</w:t>
            </w:r>
          </w:p>
        </w:tc>
        <w:tc>
          <w:tcPr>
            <w:tcW w:w="4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zh-CN" w:eastAsia="zh-CN"/>
              </w:rPr>
              <w:t>小写：</w:t>
            </w:r>
            <w:r>
              <w:rPr>
                <w:rFonts w:hint="eastAsia" w:ascii="宋体" w:hAnsi="宋体" w:eastAsia="宋体" w:cs="宋体"/>
                <w:bCs/>
                <w:color w:val="auto"/>
                <w:sz w:val="24"/>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宋体" w:hAnsi="宋体" w:eastAsia="宋体" w:cs="宋体"/>
                <w:bCs/>
                <w:color w:val="auto"/>
                <w:sz w:val="24"/>
                <w:highlight w:val="none"/>
                <w:lang w:val="en-US"/>
              </w:rPr>
            </w:pPr>
            <w:r>
              <w:rPr>
                <w:rFonts w:hint="eastAsia" w:ascii="宋体" w:hAnsi="宋体" w:eastAsia="宋体" w:cs="宋体"/>
                <w:bCs/>
                <w:color w:val="auto"/>
                <w:sz w:val="24"/>
                <w:highlight w:val="none"/>
                <w:lang w:val="zh-CN" w:eastAsia="zh-CN"/>
              </w:rPr>
              <w:t>大写：</w:t>
            </w:r>
            <w:r>
              <w:rPr>
                <w:rFonts w:hint="eastAsia" w:ascii="宋体" w:hAnsi="宋体" w:eastAsia="宋体" w:cs="宋体"/>
                <w:bCs/>
                <w:color w:val="auto"/>
                <w:sz w:val="24"/>
                <w:highlight w:val="none"/>
                <w:u w:val="single"/>
                <w:lang w:val="en-US" w:eastAsia="zh-CN"/>
              </w:rPr>
              <w:t xml:space="preserve">                  </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4"/>
                <w:highlight w:val="none"/>
              </w:rPr>
            </w:pPr>
          </w:p>
        </w:tc>
      </w:tr>
    </w:tbl>
    <w:p>
      <w:pPr>
        <w:widowControl/>
        <w:spacing w:line="360" w:lineRule="atLeast"/>
        <w:jc w:val="left"/>
        <w:rPr>
          <w:rFonts w:ascii="宋体" w:hAnsi="宋体" w:cs="宋体"/>
          <w:color w:val="auto"/>
          <w:sz w:val="24"/>
          <w:highlight w:val="none"/>
        </w:rPr>
      </w:pPr>
    </w:p>
    <w:p>
      <w:pPr>
        <w:spacing w:line="360" w:lineRule="auto"/>
        <w:jc w:val="both"/>
        <w:rPr>
          <w:rFonts w:hint="eastAsia" w:ascii="宋体" w:hAnsi="宋体" w:eastAsia="宋体" w:cs="宋体"/>
          <w:bCs/>
          <w:color w:val="auto"/>
          <w:sz w:val="24"/>
          <w:highlight w:val="none"/>
        </w:rPr>
      </w:pPr>
      <w:bookmarkStart w:id="215" w:name="_Toc503862887"/>
      <w:r>
        <w:rPr>
          <w:rFonts w:hint="eastAsia" w:ascii="宋体" w:hAnsi="宋体" w:cs="宋体"/>
          <w:bCs/>
          <w:color w:val="auto"/>
          <w:sz w:val="24"/>
          <w:highlight w:val="none"/>
        </w:rPr>
        <w:t>注：</w:t>
      </w:r>
      <w:bookmarkEnd w:id="215"/>
      <w:r>
        <w:rPr>
          <w:rFonts w:hint="eastAsia" w:ascii="宋体" w:hAnsi="宋体" w:eastAsia="宋体" w:cs="宋体"/>
          <w:bCs/>
          <w:color w:val="auto"/>
          <w:sz w:val="24"/>
          <w:highlight w:val="none"/>
          <w:lang w:val="en-US" w:eastAsia="zh-CN"/>
        </w:rPr>
        <w:t>1、本项目报价包括货物设计、材料、生产制造、包装、运输、安装、调试、检测、保险、培训、风险、利润、验收合格交付使用之前及保修期内保修服务与备用物件等所有其他有关各项的含税费用。</w:t>
      </w:r>
    </w:p>
    <w:p>
      <w:pPr>
        <w:spacing w:line="360" w:lineRule="auto"/>
        <w:jc w:val="both"/>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w:t>
      </w: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rPr>
        <w:t>“开标一览表”为多页的，每页均需由法定代表人或授权代表签字并盖投标人印章。</w:t>
      </w:r>
    </w:p>
    <w:p>
      <w:pPr>
        <w:adjustRightInd w:val="0"/>
        <w:snapToGrid w:val="0"/>
        <w:spacing w:line="360" w:lineRule="auto"/>
        <w:ind w:firstLine="420" w:firstLineChars="200"/>
        <w:rPr>
          <w:color w:val="auto"/>
          <w:highlight w:val="none"/>
        </w:rPr>
      </w:pPr>
    </w:p>
    <w:p>
      <w:pPr>
        <w:pStyle w:val="11"/>
        <w:rPr>
          <w:rFonts w:hAnsi="宋体" w:cs="宋体"/>
          <w:color w:val="auto"/>
          <w:highlight w:val="none"/>
        </w:rPr>
      </w:pPr>
    </w:p>
    <w:p>
      <w:pPr>
        <w:pStyle w:val="11"/>
        <w:rPr>
          <w:rFonts w:hAnsi="宋体" w:cs="宋体"/>
          <w:color w:val="auto"/>
          <w:highlight w:val="none"/>
        </w:rPr>
      </w:pP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投标人名称：XXXX（单位盖章）。</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法定代表人/单位负责人或授权代表（签字或加盖个人名章）：XXXX。</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投标日期</w:t>
      </w:r>
      <w:r>
        <w:rPr>
          <w:rFonts w:hint="eastAsia" w:ascii="宋体" w:hAnsi="宋体" w:cs="宋体"/>
          <w:b/>
          <w:color w:val="auto"/>
          <w:sz w:val="24"/>
          <w:highlight w:val="none"/>
          <w:lang w:eastAsia="zh-CN"/>
        </w:rPr>
        <w:t>：</w:t>
      </w:r>
      <w:r>
        <w:rPr>
          <w:rFonts w:hint="eastAsia" w:ascii="宋体" w:hAnsi="宋体" w:cs="宋体"/>
          <w:b/>
          <w:color w:val="auto"/>
          <w:sz w:val="24"/>
          <w:highlight w:val="none"/>
        </w:rPr>
        <w:t>XXXX。</w:t>
      </w:r>
    </w:p>
    <w:p>
      <w:pPr>
        <w:rPr>
          <w:rFonts w:ascii="宋体" w:hAnsi="宋体" w:cs="宋体"/>
          <w:b/>
          <w:color w:val="auto"/>
          <w:sz w:val="32"/>
          <w:szCs w:val="32"/>
          <w:highlight w:val="none"/>
        </w:rPr>
      </w:pPr>
      <w:r>
        <w:rPr>
          <w:rFonts w:ascii="宋体" w:hAnsi="宋体" w:cs="宋体"/>
          <w:b/>
          <w:color w:val="auto"/>
          <w:sz w:val="32"/>
          <w:szCs w:val="32"/>
          <w:highlight w:val="none"/>
        </w:rPr>
        <w:br w:type="page"/>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格式2-5</w:t>
      </w:r>
    </w:p>
    <w:p>
      <w:pPr>
        <w:widowControl/>
        <w:spacing w:line="360" w:lineRule="auto"/>
        <w:jc w:val="center"/>
        <w:outlineLvl w:val="2"/>
        <w:rPr>
          <w:rFonts w:ascii="宋体" w:hAnsi="宋体" w:cs="宋体"/>
          <w:b/>
          <w:color w:val="auto"/>
          <w:sz w:val="32"/>
          <w:szCs w:val="32"/>
          <w:highlight w:val="none"/>
        </w:rPr>
      </w:pPr>
      <w:bookmarkStart w:id="216" w:name="_Toc503862892"/>
      <w:r>
        <w:rPr>
          <w:rFonts w:hint="eastAsia" w:ascii="宋体" w:hAnsi="宋体" w:cs="宋体"/>
          <w:b/>
          <w:color w:val="auto"/>
          <w:sz w:val="32"/>
          <w:szCs w:val="32"/>
          <w:highlight w:val="none"/>
        </w:rPr>
        <w:t>四、分项报价明细表</w:t>
      </w:r>
      <w:bookmarkEnd w:id="216"/>
    </w:p>
    <w:p>
      <w:pPr>
        <w:widowControl/>
        <w:spacing w:line="360" w:lineRule="atLeast"/>
        <w:jc w:val="left"/>
        <w:rPr>
          <w:rFonts w:ascii="宋体" w:hAnsi="宋体" w:cs="宋体"/>
          <w:b/>
          <w:color w:val="auto"/>
          <w:sz w:val="24"/>
          <w:highlight w:val="none"/>
        </w:rPr>
      </w:pPr>
    </w:p>
    <w:tbl>
      <w:tblPr>
        <w:tblStyle w:val="21"/>
        <w:tblpPr w:leftFromText="180" w:rightFromText="180" w:vertAnchor="text" w:horzAnchor="margin" w:tblpXSpec="center" w:tblpY="97"/>
        <w:tblOverlap w:val="never"/>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107"/>
        <w:gridCol w:w="1066"/>
        <w:gridCol w:w="888"/>
        <w:gridCol w:w="1487"/>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400" w:type="dxa"/>
            <w:gridSpan w:val="6"/>
            <w:noWrap w:val="0"/>
            <w:vAlign w:val="center"/>
          </w:tcPr>
          <w:p>
            <w:pPr>
              <w:spacing w:line="360" w:lineRule="auto"/>
              <w:jc w:val="center"/>
              <w:rPr>
                <w:rFonts w:hint="eastAsia" w:ascii="宋体" w:hAnsi="宋体" w:eastAsia="宋体" w:cs="宋体"/>
                <w:color w:val="auto"/>
                <w:sz w:val="24"/>
                <w:szCs w:val="24"/>
                <w:highlight w:val="none"/>
                <w:lang w:eastAsia="zh-CN" w:bidi="bo-CN"/>
              </w:rPr>
            </w:pPr>
            <w:bookmarkStart w:id="217" w:name="_Toc503862909"/>
            <w:r>
              <w:rPr>
                <w:rFonts w:hint="eastAsia" w:ascii="宋体" w:hAnsi="宋体" w:eastAsia="宋体" w:cs="宋体"/>
                <w:color w:val="auto"/>
                <w:sz w:val="24"/>
                <w:szCs w:val="24"/>
                <w:highlight w:val="none"/>
                <w:lang w:bidi="bo-CN"/>
              </w:rPr>
              <w:t>新增档案的预估数量</w:t>
            </w:r>
            <w:r>
              <w:rPr>
                <w:rFonts w:hint="eastAsia" w:ascii="宋体" w:hAnsi="宋体" w:eastAsia="宋体" w:cs="宋体"/>
                <w:color w:val="auto"/>
                <w:sz w:val="24"/>
                <w:szCs w:val="24"/>
                <w:highlight w:val="none"/>
                <w:lang w:eastAsia="zh-CN" w:bidi="bo-CN"/>
              </w:rPr>
              <w:t>（分项报价）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13"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序号</w:t>
            </w:r>
          </w:p>
        </w:tc>
        <w:tc>
          <w:tcPr>
            <w:tcW w:w="310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分项名称</w:t>
            </w:r>
          </w:p>
        </w:tc>
        <w:tc>
          <w:tcPr>
            <w:tcW w:w="1066"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数量</w:t>
            </w:r>
          </w:p>
        </w:tc>
        <w:tc>
          <w:tcPr>
            <w:tcW w:w="888"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单位</w:t>
            </w:r>
          </w:p>
        </w:tc>
        <w:tc>
          <w:tcPr>
            <w:tcW w:w="1487" w:type="dxa"/>
            <w:noWrap w:val="0"/>
            <w:vAlign w:val="center"/>
          </w:tcPr>
          <w:p>
            <w:pPr>
              <w:spacing w:line="360" w:lineRule="auto"/>
              <w:jc w:val="center"/>
              <w:rPr>
                <w:rFonts w:hint="eastAsia" w:ascii="宋体" w:hAnsi="宋体" w:eastAsia="宋体" w:cs="宋体"/>
                <w:color w:val="auto"/>
                <w:sz w:val="24"/>
                <w:szCs w:val="24"/>
                <w:highlight w:val="none"/>
                <w:lang w:eastAsia="zh-CN" w:bidi="bo-CN"/>
              </w:rPr>
            </w:pPr>
            <w:r>
              <w:rPr>
                <w:rFonts w:hint="eastAsia" w:ascii="宋体" w:hAnsi="宋体" w:eastAsia="宋体" w:cs="宋体"/>
                <w:color w:val="auto"/>
                <w:sz w:val="24"/>
                <w:szCs w:val="24"/>
                <w:highlight w:val="none"/>
                <w:lang w:eastAsia="zh-CN" w:bidi="bo-CN"/>
              </w:rPr>
              <w:t>单价（元）</w:t>
            </w:r>
          </w:p>
        </w:tc>
        <w:tc>
          <w:tcPr>
            <w:tcW w:w="2039" w:type="dxa"/>
            <w:noWrap w:val="0"/>
            <w:vAlign w:val="center"/>
          </w:tcPr>
          <w:p>
            <w:pPr>
              <w:spacing w:line="360" w:lineRule="auto"/>
              <w:jc w:val="center"/>
              <w:rPr>
                <w:rFonts w:hint="eastAsia" w:ascii="宋体" w:hAnsi="宋体" w:eastAsia="宋体" w:cs="宋体"/>
                <w:b/>
                <w:bCs/>
                <w:color w:val="auto"/>
                <w:sz w:val="24"/>
                <w:szCs w:val="24"/>
                <w:highlight w:val="none"/>
                <w:lang w:bidi="bo-CN"/>
              </w:rPr>
            </w:pPr>
            <w:r>
              <w:rPr>
                <w:rFonts w:hint="eastAsia" w:ascii="宋体" w:hAnsi="宋体" w:eastAsia="宋体" w:cs="宋体"/>
                <w:color w:val="auto"/>
                <w:sz w:val="24"/>
                <w:szCs w:val="24"/>
                <w:highlight w:val="none"/>
                <w:lang w:bidi="bo-CN"/>
              </w:rPr>
              <w:t>合计</w:t>
            </w:r>
            <w:r>
              <w:rPr>
                <w:rFonts w:hint="eastAsia" w:ascii="宋体" w:hAnsi="宋体" w:eastAsia="宋体" w:cs="宋体"/>
                <w:color w:val="auto"/>
                <w:sz w:val="24"/>
                <w:szCs w:val="24"/>
                <w:highlight w:val="none"/>
                <w:lang w:eastAsia="zh-CN" w:bidi="bo-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13"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1</w:t>
            </w:r>
          </w:p>
        </w:tc>
        <w:tc>
          <w:tcPr>
            <w:tcW w:w="310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不动产登记档案整理</w:t>
            </w:r>
          </w:p>
        </w:tc>
        <w:tc>
          <w:tcPr>
            <w:tcW w:w="1066"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r>
              <w:rPr>
                <w:rFonts w:hint="eastAsia" w:ascii="宋体" w:hAnsi="宋体" w:eastAsia="宋体" w:cs="宋体"/>
                <w:color w:val="auto"/>
                <w:sz w:val="24"/>
                <w:szCs w:val="24"/>
                <w:highlight w:val="none"/>
                <w:lang w:val="en-US" w:eastAsia="zh-CN" w:bidi="bo-CN"/>
              </w:rPr>
              <w:t>1</w:t>
            </w:r>
            <w:r>
              <w:rPr>
                <w:rFonts w:hint="eastAsia" w:ascii="宋体" w:hAnsi="宋体" w:cs="宋体"/>
                <w:color w:val="auto"/>
                <w:sz w:val="24"/>
                <w:szCs w:val="24"/>
                <w:highlight w:val="none"/>
                <w:lang w:val="en-US" w:eastAsia="zh-CN" w:bidi="bo-CN"/>
              </w:rPr>
              <w:t>8</w:t>
            </w:r>
            <w:r>
              <w:rPr>
                <w:rFonts w:hint="eastAsia" w:ascii="宋体" w:hAnsi="宋体" w:eastAsia="宋体" w:cs="宋体"/>
                <w:color w:val="auto"/>
                <w:sz w:val="24"/>
                <w:szCs w:val="24"/>
                <w:highlight w:val="none"/>
                <w:lang w:val="en-US" w:eastAsia="zh-CN" w:bidi="bo-CN"/>
              </w:rPr>
              <w:t>0000</w:t>
            </w:r>
          </w:p>
        </w:tc>
        <w:tc>
          <w:tcPr>
            <w:tcW w:w="888"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卷</w:t>
            </w:r>
          </w:p>
        </w:tc>
        <w:tc>
          <w:tcPr>
            <w:tcW w:w="1487"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p>
        </w:tc>
        <w:tc>
          <w:tcPr>
            <w:tcW w:w="2039"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13"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2</w:t>
            </w:r>
          </w:p>
        </w:tc>
        <w:tc>
          <w:tcPr>
            <w:tcW w:w="310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不动产登记档案扫描</w:t>
            </w:r>
          </w:p>
        </w:tc>
        <w:tc>
          <w:tcPr>
            <w:tcW w:w="1066"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r>
              <w:rPr>
                <w:rFonts w:hint="eastAsia" w:ascii="宋体" w:hAnsi="宋体" w:eastAsia="宋体" w:cs="宋体"/>
                <w:color w:val="auto"/>
                <w:sz w:val="24"/>
                <w:szCs w:val="24"/>
                <w:highlight w:val="none"/>
                <w:lang w:val="en-US" w:eastAsia="zh-CN" w:bidi="bo-CN"/>
              </w:rPr>
              <w:t>5</w:t>
            </w:r>
            <w:r>
              <w:rPr>
                <w:rFonts w:hint="eastAsia" w:ascii="宋体" w:hAnsi="宋体" w:cs="宋体"/>
                <w:color w:val="auto"/>
                <w:sz w:val="24"/>
                <w:szCs w:val="24"/>
                <w:highlight w:val="none"/>
                <w:lang w:val="en-US" w:eastAsia="zh-CN" w:bidi="bo-CN"/>
              </w:rPr>
              <w:t>4</w:t>
            </w:r>
            <w:r>
              <w:rPr>
                <w:rFonts w:hint="eastAsia" w:ascii="宋体" w:hAnsi="宋体" w:eastAsia="宋体" w:cs="宋体"/>
                <w:color w:val="auto"/>
                <w:sz w:val="24"/>
                <w:szCs w:val="24"/>
                <w:highlight w:val="none"/>
                <w:lang w:val="en-US" w:eastAsia="zh-CN" w:bidi="bo-CN"/>
              </w:rPr>
              <w:t>00000</w:t>
            </w:r>
          </w:p>
        </w:tc>
        <w:tc>
          <w:tcPr>
            <w:tcW w:w="888"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页</w:t>
            </w:r>
          </w:p>
        </w:tc>
        <w:tc>
          <w:tcPr>
            <w:tcW w:w="1487" w:type="dxa"/>
            <w:noWrap w:val="0"/>
            <w:vAlign w:val="center"/>
          </w:tcPr>
          <w:p>
            <w:pPr>
              <w:spacing w:line="360" w:lineRule="auto"/>
              <w:jc w:val="center"/>
              <w:rPr>
                <w:rFonts w:hint="eastAsia" w:ascii="宋体" w:hAnsi="宋体" w:eastAsia="宋体" w:cs="宋体"/>
                <w:color w:val="auto"/>
                <w:sz w:val="24"/>
                <w:szCs w:val="24"/>
                <w:highlight w:val="none"/>
                <w:lang w:bidi="bo-CN"/>
              </w:rPr>
            </w:pPr>
          </w:p>
        </w:tc>
        <w:tc>
          <w:tcPr>
            <w:tcW w:w="2039"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13"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3</w:t>
            </w:r>
          </w:p>
        </w:tc>
        <w:tc>
          <w:tcPr>
            <w:tcW w:w="310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不动产登记档案信息著录</w:t>
            </w:r>
          </w:p>
        </w:tc>
        <w:tc>
          <w:tcPr>
            <w:tcW w:w="1066"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val="en-US" w:eastAsia="zh-CN" w:bidi="bo-CN"/>
              </w:rPr>
              <w:t>1</w:t>
            </w:r>
            <w:r>
              <w:rPr>
                <w:rFonts w:hint="eastAsia" w:ascii="宋体" w:hAnsi="宋体" w:cs="宋体"/>
                <w:color w:val="auto"/>
                <w:sz w:val="24"/>
                <w:szCs w:val="24"/>
                <w:highlight w:val="none"/>
                <w:lang w:val="en-US" w:eastAsia="zh-CN" w:bidi="bo-CN"/>
              </w:rPr>
              <w:t>8</w:t>
            </w:r>
            <w:r>
              <w:rPr>
                <w:rFonts w:hint="eastAsia" w:ascii="宋体" w:hAnsi="宋体" w:eastAsia="宋体" w:cs="宋体"/>
                <w:color w:val="auto"/>
                <w:sz w:val="24"/>
                <w:szCs w:val="24"/>
                <w:highlight w:val="none"/>
                <w:lang w:val="en-US" w:eastAsia="zh-CN" w:bidi="bo-CN"/>
              </w:rPr>
              <w:t>0</w:t>
            </w:r>
            <w:r>
              <w:rPr>
                <w:rFonts w:hint="eastAsia" w:ascii="宋体" w:hAnsi="宋体" w:eastAsia="宋体" w:cs="宋体"/>
                <w:color w:val="auto"/>
                <w:sz w:val="24"/>
                <w:szCs w:val="24"/>
                <w:highlight w:val="none"/>
                <w:lang w:bidi="bo-CN"/>
              </w:rPr>
              <w:t>0000</w:t>
            </w:r>
          </w:p>
        </w:tc>
        <w:tc>
          <w:tcPr>
            <w:tcW w:w="888"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条</w:t>
            </w:r>
          </w:p>
        </w:tc>
        <w:tc>
          <w:tcPr>
            <w:tcW w:w="1487" w:type="dxa"/>
            <w:noWrap w:val="0"/>
            <w:vAlign w:val="center"/>
          </w:tcPr>
          <w:p>
            <w:pPr>
              <w:spacing w:line="360" w:lineRule="auto"/>
              <w:jc w:val="center"/>
              <w:rPr>
                <w:rFonts w:hint="eastAsia" w:ascii="宋体" w:hAnsi="宋体" w:eastAsia="宋体" w:cs="宋体"/>
                <w:color w:val="auto"/>
                <w:sz w:val="24"/>
                <w:szCs w:val="24"/>
                <w:highlight w:val="none"/>
                <w:lang w:bidi="bo-CN"/>
              </w:rPr>
            </w:pPr>
          </w:p>
        </w:tc>
        <w:tc>
          <w:tcPr>
            <w:tcW w:w="2039"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13"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4</w:t>
            </w:r>
          </w:p>
        </w:tc>
        <w:tc>
          <w:tcPr>
            <w:tcW w:w="310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档案盒（5cm）</w:t>
            </w:r>
          </w:p>
        </w:tc>
        <w:tc>
          <w:tcPr>
            <w:tcW w:w="1066" w:type="dxa"/>
            <w:noWrap w:val="0"/>
            <w:vAlign w:val="center"/>
          </w:tcPr>
          <w:p>
            <w:pPr>
              <w:spacing w:line="360" w:lineRule="auto"/>
              <w:jc w:val="center"/>
              <w:rPr>
                <w:rFonts w:hint="eastAsia" w:ascii="宋体" w:hAnsi="宋体" w:eastAsia="宋体" w:cs="宋体"/>
                <w:color w:val="auto"/>
                <w:sz w:val="24"/>
                <w:szCs w:val="24"/>
                <w:highlight w:val="none"/>
                <w:lang w:val="en-US" w:bidi="bo-CN"/>
              </w:rPr>
            </w:pPr>
            <w:r>
              <w:rPr>
                <w:rFonts w:hint="eastAsia" w:ascii="宋体" w:hAnsi="宋体" w:eastAsia="宋体" w:cs="宋体"/>
                <w:color w:val="auto"/>
                <w:sz w:val="24"/>
                <w:szCs w:val="24"/>
                <w:highlight w:val="none"/>
                <w:lang w:val="en-US" w:eastAsia="zh-CN" w:bidi="bo-CN"/>
              </w:rPr>
              <w:t>1</w:t>
            </w:r>
            <w:r>
              <w:rPr>
                <w:rFonts w:hint="eastAsia" w:ascii="宋体" w:hAnsi="宋体" w:cs="宋体"/>
                <w:color w:val="auto"/>
                <w:sz w:val="24"/>
                <w:szCs w:val="24"/>
                <w:highlight w:val="none"/>
                <w:lang w:val="en-US" w:eastAsia="zh-CN" w:bidi="bo-CN"/>
              </w:rPr>
              <w:t>8</w:t>
            </w:r>
            <w:r>
              <w:rPr>
                <w:rFonts w:hint="eastAsia" w:ascii="宋体" w:hAnsi="宋体" w:eastAsia="宋体" w:cs="宋体"/>
                <w:color w:val="auto"/>
                <w:sz w:val="24"/>
                <w:szCs w:val="24"/>
                <w:highlight w:val="none"/>
                <w:lang w:val="en-US" w:eastAsia="zh-CN" w:bidi="bo-CN"/>
              </w:rPr>
              <w:t>000</w:t>
            </w:r>
          </w:p>
        </w:tc>
        <w:tc>
          <w:tcPr>
            <w:tcW w:w="888"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个</w:t>
            </w:r>
          </w:p>
        </w:tc>
        <w:tc>
          <w:tcPr>
            <w:tcW w:w="1487"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p>
        </w:tc>
        <w:tc>
          <w:tcPr>
            <w:tcW w:w="2039"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13"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5</w:t>
            </w:r>
          </w:p>
        </w:tc>
        <w:tc>
          <w:tcPr>
            <w:tcW w:w="310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卷皮</w:t>
            </w:r>
            <w:r>
              <w:rPr>
                <w:rFonts w:hint="eastAsia" w:ascii="宋体" w:hAnsi="宋体" w:eastAsia="宋体" w:cs="宋体"/>
                <w:color w:val="auto"/>
                <w:sz w:val="24"/>
                <w:szCs w:val="24"/>
                <w:highlight w:val="none"/>
                <w:lang w:eastAsia="zh-CN" w:bidi="bo-CN"/>
              </w:rPr>
              <w:t>、备考表</w:t>
            </w:r>
          </w:p>
        </w:tc>
        <w:tc>
          <w:tcPr>
            <w:tcW w:w="1066" w:type="dxa"/>
            <w:noWrap w:val="0"/>
            <w:vAlign w:val="center"/>
          </w:tcPr>
          <w:p>
            <w:pPr>
              <w:spacing w:line="360" w:lineRule="auto"/>
              <w:jc w:val="center"/>
              <w:rPr>
                <w:rFonts w:hint="eastAsia" w:ascii="宋体" w:hAnsi="宋体" w:eastAsia="宋体" w:cs="宋体"/>
                <w:color w:val="auto"/>
                <w:sz w:val="24"/>
                <w:szCs w:val="24"/>
                <w:highlight w:val="none"/>
                <w:lang w:val="en-US" w:bidi="bo-CN"/>
              </w:rPr>
            </w:pPr>
            <w:r>
              <w:rPr>
                <w:rFonts w:hint="eastAsia" w:ascii="宋体" w:hAnsi="宋体" w:eastAsia="宋体" w:cs="宋体"/>
                <w:color w:val="auto"/>
                <w:sz w:val="24"/>
                <w:szCs w:val="24"/>
                <w:highlight w:val="none"/>
                <w:lang w:val="en-US" w:eastAsia="zh-CN" w:bidi="bo-CN"/>
              </w:rPr>
              <w:t>1</w:t>
            </w:r>
            <w:r>
              <w:rPr>
                <w:rFonts w:hint="eastAsia" w:ascii="宋体" w:hAnsi="宋体" w:cs="宋体"/>
                <w:color w:val="auto"/>
                <w:sz w:val="24"/>
                <w:szCs w:val="24"/>
                <w:highlight w:val="none"/>
                <w:lang w:val="en-US" w:eastAsia="zh-CN" w:bidi="bo-CN"/>
              </w:rPr>
              <w:t>8</w:t>
            </w:r>
            <w:r>
              <w:rPr>
                <w:rFonts w:hint="eastAsia" w:ascii="宋体" w:hAnsi="宋体" w:eastAsia="宋体" w:cs="宋体"/>
                <w:color w:val="auto"/>
                <w:sz w:val="24"/>
                <w:szCs w:val="24"/>
                <w:highlight w:val="none"/>
                <w:lang w:val="en-US" w:eastAsia="zh-CN" w:bidi="bo-CN"/>
              </w:rPr>
              <w:t>0000</w:t>
            </w:r>
          </w:p>
        </w:tc>
        <w:tc>
          <w:tcPr>
            <w:tcW w:w="888"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套</w:t>
            </w:r>
          </w:p>
        </w:tc>
        <w:tc>
          <w:tcPr>
            <w:tcW w:w="1487" w:type="dxa"/>
            <w:noWrap w:val="0"/>
            <w:vAlign w:val="center"/>
          </w:tcPr>
          <w:p>
            <w:pPr>
              <w:spacing w:line="360" w:lineRule="auto"/>
              <w:jc w:val="center"/>
              <w:rPr>
                <w:rFonts w:hint="eastAsia" w:ascii="宋体" w:hAnsi="宋体" w:eastAsia="宋体" w:cs="宋体"/>
                <w:color w:val="auto"/>
                <w:sz w:val="24"/>
                <w:szCs w:val="24"/>
                <w:highlight w:val="none"/>
                <w:lang w:bidi="bo-CN"/>
              </w:rPr>
            </w:pPr>
          </w:p>
        </w:tc>
        <w:tc>
          <w:tcPr>
            <w:tcW w:w="2039"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361" w:type="dxa"/>
            <w:gridSpan w:val="5"/>
            <w:noWrap w:val="0"/>
            <w:vAlign w:val="center"/>
          </w:tcPr>
          <w:p>
            <w:pPr>
              <w:spacing w:line="360" w:lineRule="auto"/>
              <w:jc w:val="right"/>
              <w:rPr>
                <w:rFonts w:hint="eastAsia" w:ascii="宋体" w:hAnsi="宋体" w:eastAsia="宋体" w:cs="宋体"/>
                <w:color w:val="auto"/>
                <w:sz w:val="24"/>
                <w:szCs w:val="24"/>
                <w:highlight w:val="none"/>
                <w:lang w:eastAsia="zh-CN" w:bidi="bo-CN"/>
              </w:rPr>
            </w:pPr>
            <w:r>
              <w:rPr>
                <w:rFonts w:hint="eastAsia" w:ascii="宋体" w:hAnsi="宋体" w:cs="宋体"/>
                <w:color w:val="auto"/>
                <w:sz w:val="24"/>
                <w:szCs w:val="24"/>
                <w:highlight w:val="none"/>
                <w:lang w:eastAsia="zh-CN" w:bidi="bo-CN"/>
              </w:rPr>
              <w:t>合计</w:t>
            </w:r>
          </w:p>
        </w:tc>
        <w:tc>
          <w:tcPr>
            <w:tcW w:w="2039"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r>
              <w:rPr>
                <w:rFonts w:hint="eastAsia" w:ascii="宋体" w:hAnsi="宋体" w:cs="宋体"/>
                <w:color w:val="auto"/>
                <w:sz w:val="24"/>
                <w:szCs w:val="24"/>
                <w:highlight w:val="none"/>
                <w:u w:val="none"/>
                <w:lang w:val="en-US" w:eastAsia="zh-CN" w:bidi="bo-CN"/>
              </w:rPr>
              <w:t xml:space="preserve"> </w:t>
            </w:r>
            <w:r>
              <w:rPr>
                <w:rFonts w:hint="eastAsia" w:ascii="宋体" w:hAnsi="宋体" w:cs="宋体"/>
                <w:color w:val="auto"/>
                <w:sz w:val="24"/>
                <w:szCs w:val="24"/>
                <w:highlight w:val="none"/>
                <w:u w:val="single"/>
                <w:lang w:val="en-US" w:eastAsia="zh-CN" w:bidi="bo-CN"/>
              </w:rPr>
              <w:t xml:space="preserve">      </w:t>
            </w:r>
            <w:r>
              <w:rPr>
                <w:rFonts w:hint="eastAsia" w:ascii="宋体" w:hAnsi="宋体" w:eastAsia="宋体" w:cs="宋体"/>
                <w:color w:val="auto"/>
                <w:sz w:val="24"/>
                <w:szCs w:val="24"/>
                <w:highlight w:val="none"/>
                <w:u w:val="none"/>
                <w:lang w:eastAsia="zh-CN" w:bidi="bo-CN"/>
              </w:rPr>
              <w:t>（元</w:t>
            </w:r>
            <w:r>
              <w:rPr>
                <w:rFonts w:hint="eastAsia" w:ascii="宋体" w:hAnsi="宋体" w:cs="宋体"/>
                <w:color w:val="auto"/>
                <w:sz w:val="24"/>
                <w:szCs w:val="24"/>
                <w:highlight w:val="none"/>
                <w:u w:val="none"/>
                <w:lang w:val="en-US" w:eastAsia="zh-CN" w:bidi="bo-CN"/>
              </w:rPr>
              <w:t>/年</w:t>
            </w:r>
            <w:r>
              <w:rPr>
                <w:rFonts w:hint="eastAsia" w:ascii="宋体" w:hAnsi="宋体" w:eastAsia="宋体" w:cs="宋体"/>
                <w:color w:val="auto"/>
                <w:sz w:val="24"/>
                <w:szCs w:val="24"/>
                <w:highlight w:val="none"/>
                <w:u w:val="none"/>
                <w:lang w:eastAsia="zh-CN" w:bidi="bo-CN"/>
              </w:rPr>
              <w:t>）</w:t>
            </w:r>
          </w:p>
        </w:tc>
      </w:tr>
    </w:tbl>
    <w:p>
      <w:pPr>
        <w:adjustRightInd w:val="0"/>
        <w:snapToGrid w:val="0"/>
        <w:spacing w:line="360" w:lineRule="auto"/>
        <w:jc w:val="center"/>
        <w:rPr>
          <w:rFonts w:ascii="宋体" w:hAnsi="宋体" w:cs="宋体"/>
          <w:b/>
          <w:color w:val="auto"/>
          <w:sz w:val="24"/>
          <w:highlight w:val="none"/>
        </w:rPr>
      </w:pPr>
    </w:p>
    <w:p>
      <w:pPr>
        <w:spacing w:line="360" w:lineRule="auto"/>
        <w:ind w:firstLine="482" w:firstLineChars="200"/>
        <w:jc w:val="both"/>
        <w:rPr>
          <w:rFonts w:ascii="宋体" w:hAnsi="宋体"/>
          <w:b/>
          <w:color w:val="auto"/>
          <w:sz w:val="24"/>
          <w:highlight w:val="none"/>
        </w:rPr>
      </w:pPr>
      <w:r>
        <w:rPr>
          <w:rFonts w:ascii="宋体" w:hAnsi="宋体"/>
          <w:b/>
          <w:color w:val="auto"/>
          <w:sz w:val="24"/>
          <w:highlight w:val="none"/>
        </w:rPr>
        <w:t>注：①投标人必须按“分项报价明细表”的格式详细报出投标总价的各个组成部分的报价，否则作无效投标处理。</w:t>
      </w:r>
    </w:p>
    <w:p>
      <w:pPr>
        <w:spacing w:line="360" w:lineRule="auto"/>
        <w:ind w:firstLine="482" w:firstLineChars="200"/>
        <w:jc w:val="both"/>
        <w:rPr>
          <w:rFonts w:ascii="宋体" w:hAnsi="宋体"/>
          <w:b/>
          <w:color w:val="auto"/>
          <w:sz w:val="24"/>
          <w:highlight w:val="none"/>
        </w:rPr>
      </w:pPr>
      <w:r>
        <w:rPr>
          <w:rFonts w:ascii="宋体" w:hAnsi="宋体"/>
          <w:b/>
          <w:color w:val="auto"/>
          <w:sz w:val="24"/>
          <w:highlight w:val="none"/>
        </w:rPr>
        <w:t>②“分项报价明细表”各分项报价合计应当与“开标一览表”报价合计相等。</w:t>
      </w:r>
    </w:p>
    <w:p>
      <w:pPr>
        <w:spacing w:line="0" w:lineRule="atLeast"/>
        <w:jc w:val="both"/>
        <w:rPr>
          <w:rFonts w:ascii="宋体" w:hAnsi="宋体"/>
          <w:color w:val="auto"/>
          <w:w w:val="98"/>
          <w:sz w:val="24"/>
          <w:highlight w:val="none"/>
        </w:rPr>
      </w:pPr>
    </w:p>
    <w:p>
      <w:pPr>
        <w:tabs>
          <w:tab w:val="left" w:pos="1440"/>
          <w:tab w:val="left" w:pos="3480"/>
        </w:tabs>
        <w:spacing w:line="0" w:lineRule="atLeast"/>
        <w:jc w:val="both"/>
        <w:rPr>
          <w:rFonts w:ascii="宋体" w:hAnsi="宋体"/>
          <w:color w:val="auto"/>
          <w:w w:val="98"/>
          <w:sz w:val="24"/>
          <w:highlight w:val="none"/>
        </w:rPr>
      </w:pPr>
    </w:p>
    <w:p>
      <w:pPr>
        <w:tabs>
          <w:tab w:val="left" w:pos="1440"/>
          <w:tab w:val="left" w:pos="3480"/>
        </w:tabs>
        <w:spacing w:line="0" w:lineRule="atLeast"/>
        <w:jc w:val="both"/>
        <w:rPr>
          <w:rFonts w:ascii="宋体" w:hAnsi="宋体"/>
          <w:color w:val="auto"/>
          <w:sz w:val="24"/>
          <w:highlight w:val="none"/>
        </w:rPr>
      </w:pPr>
      <w:r>
        <w:rPr>
          <w:rFonts w:ascii="宋体" w:hAnsi="宋体"/>
          <w:color w:val="auto"/>
          <w:sz w:val="24"/>
          <w:highlight w:val="none"/>
        </w:rPr>
        <w:t>投标人名称：</w:t>
      </w:r>
      <w:r>
        <w:rPr>
          <w:rFonts w:ascii="宋体" w:hAnsi="宋体"/>
          <w:color w:val="auto"/>
          <w:sz w:val="24"/>
          <w:highlight w:val="none"/>
          <w:u w:val="single"/>
        </w:rPr>
        <w:tab/>
      </w:r>
      <w:r>
        <w:rPr>
          <w:rFonts w:ascii="宋体" w:hAnsi="宋体"/>
          <w:color w:val="auto"/>
          <w:sz w:val="24"/>
          <w:highlight w:val="none"/>
        </w:rPr>
        <w:tab/>
      </w:r>
      <w:r>
        <w:rPr>
          <w:rFonts w:ascii="宋体" w:hAnsi="宋体"/>
          <w:color w:val="auto"/>
          <w:sz w:val="24"/>
          <w:highlight w:val="none"/>
        </w:rPr>
        <w:t>(盖章)</w:t>
      </w:r>
    </w:p>
    <w:p>
      <w:pPr>
        <w:tabs>
          <w:tab w:val="left" w:pos="1440"/>
          <w:tab w:val="left" w:pos="3480"/>
        </w:tabs>
        <w:spacing w:line="0" w:lineRule="atLeast"/>
        <w:jc w:val="both"/>
        <w:rPr>
          <w:rFonts w:ascii="宋体" w:hAnsi="宋体"/>
          <w:color w:val="auto"/>
          <w:sz w:val="24"/>
          <w:highlight w:val="none"/>
        </w:rPr>
      </w:pPr>
      <w:r>
        <w:rPr>
          <w:rFonts w:ascii="宋体" w:hAnsi="宋体"/>
          <w:color w:val="auto"/>
          <w:sz w:val="24"/>
          <w:highlight w:val="none"/>
        </w:rPr>
        <w:t>法定代表人或授权代表：</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rPr>
        <w:t>(签字或盖章)</w:t>
      </w:r>
    </w:p>
    <w:p>
      <w:pPr>
        <w:tabs>
          <w:tab w:val="left" w:pos="1440"/>
          <w:tab w:val="left" w:pos="3480"/>
        </w:tabs>
        <w:spacing w:line="0" w:lineRule="atLeast"/>
        <w:jc w:val="both"/>
        <w:rPr>
          <w:rFonts w:eastAsia="Times New Roman"/>
          <w:color w:val="auto"/>
          <w:sz w:val="24"/>
          <w:highlight w:val="none"/>
        </w:rPr>
      </w:pPr>
      <w:r>
        <w:rPr>
          <w:rFonts w:ascii="宋体" w:hAnsi="宋体"/>
          <w:color w:val="auto"/>
          <w:sz w:val="24"/>
          <w:highlight w:val="none"/>
        </w:rPr>
        <w:t>投标日期：</w:t>
      </w:r>
      <w:r>
        <w:rPr>
          <w:rFonts w:ascii="宋体" w:hAnsi="宋体"/>
          <w:color w:val="auto"/>
          <w:sz w:val="24"/>
          <w:highlight w:val="none"/>
          <w:u w:val="single"/>
        </w:rPr>
        <w:tab/>
      </w:r>
      <w:r>
        <w:rPr>
          <w:rFonts w:eastAsia="Times New Roman"/>
          <w:color w:val="auto"/>
          <w:sz w:val="24"/>
          <w:highlight w:val="none"/>
          <w:u w:val="single"/>
        </w:rPr>
        <w:tab/>
      </w:r>
      <w:r>
        <w:rPr>
          <w:rFonts w:eastAsia="Times New Roman"/>
          <w:color w:val="auto"/>
          <w:sz w:val="24"/>
          <w:highlight w:val="none"/>
        </w:rPr>
        <w:tab/>
      </w:r>
      <w:r>
        <w:rPr>
          <w:rFonts w:eastAsia="Times New Roman"/>
          <w:color w:val="auto"/>
          <w:sz w:val="24"/>
          <w:highlight w:val="none"/>
        </w:rPr>
        <w:tab/>
      </w:r>
    </w:p>
    <w:p>
      <w:pPr>
        <w:spacing w:line="0" w:lineRule="atLeast"/>
        <w:rPr>
          <w:rFonts w:ascii="宋体" w:hAnsi="宋体"/>
          <w:color w:val="auto"/>
          <w:sz w:val="18"/>
          <w:highlight w:val="none"/>
        </w:rPr>
        <w:sectPr>
          <w:type w:val="continuous"/>
          <w:pgSz w:w="11900" w:h="16838"/>
          <w:pgMar w:top="1134" w:right="1083" w:bottom="1134" w:left="1083" w:header="283" w:footer="425" w:gutter="0"/>
          <w:pgBorders>
            <w:top w:val="none" w:sz="0" w:space="0"/>
            <w:left w:val="none" w:sz="0" w:space="0"/>
            <w:bottom w:val="none" w:sz="0" w:space="0"/>
            <w:right w:val="none" w:sz="0" w:space="0"/>
          </w:pgBorders>
          <w:cols w:space="720" w:num="1"/>
          <w:rtlGutter w:val="0"/>
          <w:docGrid w:linePitch="360" w:charSpace="0"/>
        </w:sectPr>
      </w:pP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格式2-6</w:t>
      </w:r>
      <w:bookmarkEnd w:id="217"/>
    </w:p>
    <w:p>
      <w:pPr>
        <w:widowControl/>
        <w:spacing w:line="360" w:lineRule="auto"/>
        <w:jc w:val="center"/>
        <w:outlineLvl w:val="2"/>
        <w:rPr>
          <w:rFonts w:ascii="宋体" w:hAnsi="宋体" w:cs="宋体"/>
          <w:b/>
          <w:color w:val="auto"/>
          <w:sz w:val="32"/>
          <w:szCs w:val="32"/>
          <w:highlight w:val="none"/>
        </w:rPr>
      </w:pPr>
      <w:bookmarkStart w:id="218" w:name="_Toc503862910"/>
      <w:r>
        <w:rPr>
          <w:rFonts w:hint="eastAsia" w:ascii="宋体" w:hAnsi="宋体" w:cs="宋体"/>
          <w:b/>
          <w:color w:val="auto"/>
          <w:sz w:val="32"/>
          <w:szCs w:val="32"/>
          <w:highlight w:val="none"/>
        </w:rPr>
        <w:t>五、商务应答表</w:t>
      </w:r>
      <w:bookmarkEnd w:id="218"/>
    </w:p>
    <w:p>
      <w:pPr>
        <w:widowControl/>
        <w:spacing w:line="360" w:lineRule="auto"/>
        <w:jc w:val="left"/>
        <w:rPr>
          <w:rFonts w:ascii="宋体" w:hAnsi="宋体" w:cs="宋体"/>
          <w:color w:val="auto"/>
          <w:sz w:val="24"/>
          <w:highlight w:val="none"/>
        </w:rPr>
      </w:pPr>
      <w:bookmarkStart w:id="219" w:name="_Toc503862911"/>
    </w:p>
    <w:bookmarkEnd w:id="219"/>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 xml:space="preserve">项目名称: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招标编号：</w:t>
      </w:r>
    </w:p>
    <w:tbl>
      <w:tblPr>
        <w:tblStyle w:val="21"/>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490"/>
        <w:gridCol w:w="3237"/>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86" w:type="dxa"/>
            <w:vAlign w:val="center"/>
          </w:tcPr>
          <w:p>
            <w:pPr>
              <w:widowControl/>
              <w:jc w:val="center"/>
              <w:outlineLvl w:val="1"/>
              <w:rPr>
                <w:rFonts w:ascii="宋体" w:hAnsi="宋体" w:cs="宋体"/>
                <w:b/>
                <w:bCs/>
                <w:color w:val="auto"/>
                <w:sz w:val="24"/>
                <w:highlight w:val="none"/>
              </w:rPr>
            </w:pPr>
            <w:bookmarkStart w:id="220" w:name="_Toc503862912"/>
            <w:r>
              <w:rPr>
                <w:rFonts w:hint="eastAsia" w:ascii="宋体" w:hAnsi="宋体" w:cs="宋体"/>
                <w:b/>
                <w:bCs/>
                <w:color w:val="auto"/>
                <w:sz w:val="24"/>
                <w:highlight w:val="none"/>
              </w:rPr>
              <w:t>序号</w:t>
            </w:r>
            <w:bookmarkEnd w:id="220"/>
          </w:p>
        </w:tc>
        <w:tc>
          <w:tcPr>
            <w:tcW w:w="2490" w:type="dxa"/>
            <w:vAlign w:val="center"/>
          </w:tcPr>
          <w:p>
            <w:pPr>
              <w:widowControl/>
              <w:jc w:val="center"/>
              <w:outlineLvl w:val="1"/>
              <w:rPr>
                <w:rFonts w:ascii="宋体" w:hAnsi="宋体" w:cs="宋体"/>
                <w:b/>
                <w:bCs/>
                <w:color w:val="auto"/>
                <w:sz w:val="24"/>
                <w:highlight w:val="none"/>
              </w:rPr>
            </w:pPr>
            <w:r>
              <w:rPr>
                <w:rFonts w:hint="eastAsia" w:ascii="宋体" w:hAnsi="宋体" w:cs="宋体"/>
                <w:b/>
                <w:bCs/>
                <w:color w:val="auto"/>
                <w:sz w:val="24"/>
                <w:highlight w:val="none"/>
              </w:rPr>
              <w:t>招标要求</w:t>
            </w:r>
          </w:p>
        </w:tc>
        <w:tc>
          <w:tcPr>
            <w:tcW w:w="3237" w:type="dxa"/>
            <w:vAlign w:val="center"/>
          </w:tcPr>
          <w:p>
            <w:pPr>
              <w:widowControl/>
              <w:jc w:val="center"/>
              <w:outlineLvl w:val="1"/>
              <w:rPr>
                <w:rFonts w:ascii="宋体" w:hAnsi="宋体" w:cs="宋体"/>
                <w:b/>
                <w:bCs/>
                <w:color w:val="auto"/>
                <w:sz w:val="24"/>
                <w:highlight w:val="none"/>
              </w:rPr>
            </w:pPr>
            <w:r>
              <w:rPr>
                <w:rFonts w:hint="eastAsia" w:ascii="宋体" w:hAnsi="宋体" w:cs="宋体"/>
                <w:b/>
                <w:bCs/>
                <w:color w:val="auto"/>
                <w:sz w:val="24"/>
                <w:highlight w:val="none"/>
              </w:rPr>
              <w:t>投标应答</w:t>
            </w:r>
          </w:p>
        </w:tc>
        <w:tc>
          <w:tcPr>
            <w:tcW w:w="2486" w:type="dxa"/>
            <w:vAlign w:val="center"/>
          </w:tcPr>
          <w:p>
            <w:pPr>
              <w:widowControl/>
              <w:jc w:val="center"/>
              <w:outlineLvl w:val="1"/>
              <w:rPr>
                <w:rFonts w:ascii="宋体" w:hAnsi="宋体" w:cs="宋体"/>
                <w:b/>
                <w:bCs/>
                <w:color w:val="auto"/>
                <w:sz w:val="24"/>
                <w:highlight w:val="none"/>
              </w:rPr>
            </w:pPr>
            <w:r>
              <w:rPr>
                <w:rFonts w:hint="eastAsia" w:ascii="宋体" w:hAnsi="宋体" w:cs="宋体"/>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86" w:type="dxa"/>
          </w:tcPr>
          <w:p>
            <w:pPr>
              <w:widowControl/>
              <w:jc w:val="left"/>
              <w:rPr>
                <w:rFonts w:ascii="宋体" w:hAnsi="宋体" w:cs="宋体"/>
                <w:color w:val="auto"/>
                <w:sz w:val="24"/>
                <w:highlight w:val="none"/>
              </w:rPr>
            </w:pPr>
          </w:p>
        </w:tc>
        <w:tc>
          <w:tcPr>
            <w:tcW w:w="2490" w:type="dxa"/>
          </w:tcPr>
          <w:p>
            <w:pPr>
              <w:widowControl/>
              <w:jc w:val="left"/>
              <w:rPr>
                <w:rFonts w:ascii="宋体" w:hAnsi="宋体" w:cs="宋体"/>
                <w:color w:val="auto"/>
                <w:sz w:val="24"/>
                <w:highlight w:val="none"/>
              </w:rPr>
            </w:pPr>
          </w:p>
        </w:tc>
        <w:tc>
          <w:tcPr>
            <w:tcW w:w="3237" w:type="dxa"/>
          </w:tcPr>
          <w:p>
            <w:pPr>
              <w:widowControl/>
              <w:jc w:val="left"/>
              <w:rPr>
                <w:rFonts w:ascii="宋体" w:hAnsi="宋体" w:cs="宋体"/>
                <w:color w:val="auto"/>
                <w:sz w:val="24"/>
                <w:highlight w:val="none"/>
              </w:rPr>
            </w:pPr>
          </w:p>
        </w:tc>
        <w:tc>
          <w:tcPr>
            <w:tcW w:w="2486" w:type="dxa"/>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86" w:type="dxa"/>
          </w:tcPr>
          <w:p>
            <w:pPr>
              <w:widowControl/>
              <w:jc w:val="left"/>
              <w:rPr>
                <w:rFonts w:ascii="宋体" w:hAnsi="宋体" w:cs="宋体"/>
                <w:color w:val="auto"/>
                <w:sz w:val="24"/>
                <w:highlight w:val="none"/>
              </w:rPr>
            </w:pPr>
          </w:p>
        </w:tc>
        <w:tc>
          <w:tcPr>
            <w:tcW w:w="2490" w:type="dxa"/>
          </w:tcPr>
          <w:p>
            <w:pPr>
              <w:widowControl/>
              <w:jc w:val="left"/>
              <w:rPr>
                <w:rFonts w:ascii="宋体" w:hAnsi="宋体" w:cs="宋体"/>
                <w:color w:val="auto"/>
                <w:sz w:val="24"/>
                <w:highlight w:val="none"/>
              </w:rPr>
            </w:pPr>
          </w:p>
        </w:tc>
        <w:tc>
          <w:tcPr>
            <w:tcW w:w="3237" w:type="dxa"/>
          </w:tcPr>
          <w:p>
            <w:pPr>
              <w:widowControl/>
              <w:jc w:val="left"/>
              <w:rPr>
                <w:rFonts w:ascii="宋体" w:hAnsi="宋体" w:cs="宋体"/>
                <w:color w:val="auto"/>
                <w:sz w:val="24"/>
                <w:highlight w:val="none"/>
              </w:rPr>
            </w:pPr>
          </w:p>
        </w:tc>
        <w:tc>
          <w:tcPr>
            <w:tcW w:w="2486" w:type="dxa"/>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86" w:type="dxa"/>
          </w:tcPr>
          <w:p>
            <w:pPr>
              <w:widowControl/>
              <w:jc w:val="left"/>
              <w:rPr>
                <w:rFonts w:ascii="宋体" w:hAnsi="宋体" w:cs="宋体"/>
                <w:color w:val="auto"/>
                <w:sz w:val="24"/>
                <w:highlight w:val="none"/>
              </w:rPr>
            </w:pPr>
          </w:p>
        </w:tc>
        <w:tc>
          <w:tcPr>
            <w:tcW w:w="2490" w:type="dxa"/>
          </w:tcPr>
          <w:p>
            <w:pPr>
              <w:widowControl/>
              <w:jc w:val="left"/>
              <w:rPr>
                <w:rFonts w:ascii="宋体" w:hAnsi="宋体" w:cs="宋体"/>
                <w:color w:val="auto"/>
                <w:sz w:val="24"/>
                <w:highlight w:val="none"/>
              </w:rPr>
            </w:pPr>
          </w:p>
        </w:tc>
        <w:tc>
          <w:tcPr>
            <w:tcW w:w="3237" w:type="dxa"/>
          </w:tcPr>
          <w:p>
            <w:pPr>
              <w:widowControl/>
              <w:jc w:val="left"/>
              <w:rPr>
                <w:rFonts w:ascii="宋体" w:hAnsi="宋体" w:cs="宋体"/>
                <w:color w:val="auto"/>
                <w:sz w:val="24"/>
                <w:highlight w:val="none"/>
              </w:rPr>
            </w:pPr>
          </w:p>
        </w:tc>
        <w:tc>
          <w:tcPr>
            <w:tcW w:w="2486" w:type="dxa"/>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786" w:type="dxa"/>
          </w:tcPr>
          <w:p>
            <w:pPr>
              <w:widowControl/>
              <w:jc w:val="left"/>
              <w:rPr>
                <w:rFonts w:ascii="宋体" w:hAnsi="宋体" w:cs="宋体"/>
                <w:color w:val="auto"/>
                <w:sz w:val="24"/>
                <w:highlight w:val="none"/>
              </w:rPr>
            </w:pPr>
          </w:p>
        </w:tc>
        <w:tc>
          <w:tcPr>
            <w:tcW w:w="2490" w:type="dxa"/>
          </w:tcPr>
          <w:p>
            <w:pPr>
              <w:widowControl/>
              <w:jc w:val="left"/>
              <w:rPr>
                <w:rFonts w:ascii="宋体" w:hAnsi="宋体" w:cs="宋体"/>
                <w:color w:val="auto"/>
                <w:sz w:val="24"/>
                <w:highlight w:val="none"/>
              </w:rPr>
            </w:pPr>
          </w:p>
        </w:tc>
        <w:tc>
          <w:tcPr>
            <w:tcW w:w="3237" w:type="dxa"/>
          </w:tcPr>
          <w:p>
            <w:pPr>
              <w:widowControl/>
              <w:jc w:val="left"/>
              <w:rPr>
                <w:rFonts w:ascii="宋体" w:hAnsi="宋体" w:cs="宋体"/>
                <w:color w:val="auto"/>
                <w:sz w:val="24"/>
                <w:highlight w:val="none"/>
              </w:rPr>
            </w:pPr>
          </w:p>
        </w:tc>
        <w:tc>
          <w:tcPr>
            <w:tcW w:w="2486" w:type="dxa"/>
          </w:tcPr>
          <w:p>
            <w:pPr>
              <w:widowControl/>
              <w:jc w:val="left"/>
              <w:rPr>
                <w:rFonts w:ascii="宋体" w:hAnsi="宋体" w:cs="宋体"/>
                <w:color w:val="auto"/>
                <w:sz w:val="24"/>
                <w:highlight w:val="none"/>
              </w:rPr>
            </w:pPr>
          </w:p>
        </w:tc>
      </w:tr>
    </w:tbl>
    <w:p>
      <w:pPr>
        <w:widowControl/>
        <w:spacing w:line="360" w:lineRule="atLeast"/>
        <w:jc w:val="left"/>
        <w:rPr>
          <w:rFonts w:ascii="宋体" w:hAnsi="宋体" w:cs="宋体"/>
          <w:color w:val="auto"/>
          <w:sz w:val="24"/>
          <w:highlight w:val="none"/>
        </w:rPr>
      </w:pPr>
      <w:bookmarkStart w:id="221" w:name="_Toc503862916"/>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注：1.</w:t>
      </w:r>
      <w:bookmarkEnd w:id="221"/>
      <w:bookmarkStart w:id="222" w:name="_Toc503862918"/>
      <w:r>
        <w:rPr>
          <w:rFonts w:hint="eastAsia" w:ascii="宋体" w:hAnsi="宋体" w:cs="宋体"/>
          <w:bCs/>
          <w:color w:val="auto"/>
          <w:sz w:val="24"/>
          <w:highlight w:val="none"/>
        </w:rPr>
        <w:t>本表只填写投标文件中商务条款与招标文件有偏离（包括正偏离和负偏离）的内容，如不填写，视为完全响应招标文件要求。</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2．供应商必须据实填写，不得虚假填写，否则将取消其投标或中标资格。</w:t>
      </w:r>
      <w:bookmarkEnd w:id="222"/>
    </w:p>
    <w:p>
      <w:pPr>
        <w:widowControl/>
        <w:spacing w:line="360" w:lineRule="atLeast"/>
        <w:jc w:val="left"/>
        <w:rPr>
          <w:rFonts w:ascii="宋体" w:hAnsi="宋体" w:cs="宋体"/>
          <w:color w:val="auto"/>
          <w:sz w:val="24"/>
          <w:highlight w:val="none"/>
        </w:rPr>
      </w:pPr>
    </w:p>
    <w:p>
      <w:pPr>
        <w:pStyle w:val="11"/>
        <w:rPr>
          <w:rFonts w:hAnsi="宋体" w:cs="宋体"/>
          <w:color w:val="auto"/>
          <w:highlight w:val="none"/>
        </w:rPr>
      </w:pP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投标人名称：XXXX（单位盖章）。</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法定代表人/单位负责人或授权代表（签字或加盖个人名章）：XXXX。</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投标日期</w:t>
      </w:r>
      <w:r>
        <w:rPr>
          <w:rFonts w:hint="eastAsia" w:ascii="宋体" w:hAnsi="宋体" w:cs="宋体"/>
          <w:b/>
          <w:color w:val="auto"/>
          <w:sz w:val="24"/>
          <w:highlight w:val="none"/>
          <w:lang w:eastAsia="zh-CN"/>
        </w:rPr>
        <w:t>：</w:t>
      </w:r>
      <w:r>
        <w:rPr>
          <w:rFonts w:hint="eastAsia" w:ascii="宋体" w:hAnsi="宋体" w:cs="宋体"/>
          <w:b/>
          <w:color w:val="auto"/>
          <w:sz w:val="24"/>
          <w:highlight w:val="none"/>
        </w:rPr>
        <w:t>XXXX。</w:t>
      </w:r>
    </w:p>
    <w:p>
      <w:pPr>
        <w:spacing w:line="360" w:lineRule="auto"/>
        <w:rPr>
          <w:rFonts w:ascii="宋体" w:hAnsi="宋体" w:cs="宋体"/>
          <w:b/>
          <w:color w:val="auto"/>
          <w:sz w:val="32"/>
          <w:szCs w:val="32"/>
          <w:highlight w:val="none"/>
        </w:rPr>
      </w:pPr>
      <w:r>
        <w:rPr>
          <w:rFonts w:hint="eastAsia" w:ascii="宋体" w:hAnsi="宋体" w:cs="宋体"/>
          <w:color w:val="auto"/>
          <w:sz w:val="24"/>
          <w:highlight w:val="none"/>
        </w:rPr>
        <w:br w:type="page"/>
      </w:r>
      <w:r>
        <w:rPr>
          <w:rFonts w:hint="eastAsia" w:ascii="宋体" w:hAnsi="宋体" w:cs="宋体"/>
          <w:b/>
          <w:color w:val="auto"/>
          <w:sz w:val="32"/>
          <w:szCs w:val="32"/>
          <w:highlight w:val="none"/>
        </w:rPr>
        <w:t>格式2-7</w:t>
      </w:r>
    </w:p>
    <w:p>
      <w:pPr>
        <w:widowControl/>
        <w:spacing w:line="360" w:lineRule="auto"/>
        <w:jc w:val="center"/>
        <w:outlineLvl w:val="2"/>
        <w:rPr>
          <w:rFonts w:ascii="宋体" w:hAnsi="宋体" w:cs="宋体"/>
          <w:b/>
          <w:color w:val="auto"/>
          <w:sz w:val="32"/>
          <w:szCs w:val="32"/>
          <w:highlight w:val="none"/>
        </w:rPr>
      </w:pPr>
      <w:r>
        <w:rPr>
          <w:rFonts w:hint="eastAsia" w:ascii="宋体" w:hAnsi="宋体" w:cs="宋体"/>
          <w:b/>
          <w:color w:val="auto"/>
          <w:sz w:val="32"/>
          <w:szCs w:val="32"/>
          <w:highlight w:val="none"/>
        </w:rPr>
        <w:t>六、商务、技术、服务应答附表</w:t>
      </w:r>
    </w:p>
    <w:p>
      <w:pPr>
        <w:adjustRightInd w:val="0"/>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（仅用于中标、成交结果公告，此表不作为评审内容）</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21"/>
        <w:tblW w:w="10200"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22"/>
        <w:gridCol w:w="696"/>
        <w:gridCol w:w="2197"/>
        <w:gridCol w:w="120"/>
        <w:gridCol w:w="1366"/>
        <w:gridCol w:w="36"/>
        <w:gridCol w:w="1940"/>
        <w:gridCol w:w="41"/>
        <w:gridCol w:w="218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65" w:hRule="atLeast"/>
          <w:jc w:val="center"/>
        </w:trPr>
        <w:tc>
          <w:tcPr>
            <w:tcW w:w="10200" w:type="dxa"/>
            <w:gridSpan w:val="9"/>
            <w:vAlign w:val="center"/>
          </w:tcPr>
          <w:p>
            <w:pPr>
              <w:widowControl/>
              <w:jc w:val="center"/>
              <w:outlineLvl w:val="1"/>
              <w:rPr>
                <w:rFonts w:ascii="宋体" w:hAnsi="宋体" w:cs="宋体"/>
                <w:color w:val="auto"/>
                <w:sz w:val="24"/>
                <w:highlight w:val="none"/>
              </w:rPr>
            </w:pPr>
            <w:bookmarkStart w:id="223" w:name="_Toc503862922"/>
            <w:r>
              <w:rPr>
                <w:rFonts w:hint="eastAsia" w:ascii="宋体" w:hAnsi="宋体" w:cs="宋体"/>
                <w:b/>
                <w:color w:val="auto"/>
                <w:kern w:val="0"/>
                <w:sz w:val="24"/>
                <w:highlight w:val="none"/>
              </w:rPr>
              <w:t>中标（成交）供应商的相关信息</w:t>
            </w:r>
            <w:bookmarkEnd w:id="223"/>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51" w:hRule="atLeast"/>
          <w:jc w:val="center"/>
        </w:trPr>
        <w:tc>
          <w:tcPr>
            <w:tcW w:w="2318" w:type="dxa"/>
            <w:gridSpan w:val="2"/>
            <w:vAlign w:val="center"/>
          </w:tcPr>
          <w:p>
            <w:pPr>
              <w:widowControl/>
              <w:jc w:val="left"/>
              <w:outlineLvl w:val="1"/>
              <w:rPr>
                <w:rFonts w:ascii="宋体" w:hAnsi="宋体" w:cs="宋体"/>
                <w:color w:val="auto"/>
                <w:sz w:val="24"/>
                <w:highlight w:val="none"/>
              </w:rPr>
            </w:pPr>
            <w:bookmarkStart w:id="224" w:name="_Toc503862923"/>
            <w:r>
              <w:rPr>
                <w:rFonts w:hint="eastAsia" w:ascii="宋体" w:hAnsi="宋体" w:cs="宋体"/>
                <w:color w:val="auto"/>
                <w:sz w:val="24"/>
                <w:highlight w:val="none"/>
              </w:rPr>
              <w:t>“★”项目名称</w:t>
            </w:r>
            <w:bookmarkEnd w:id="224"/>
          </w:p>
        </w:tc>
        <w:tc>
          <w:tcPr>
            <w:tcW w:w="7882" w:type="dxa"/>
            <w:gridSpan w:val="7"/>
            <w:vAlign w:val="center"/>
          </w:tcPr>
          <w:p>
            <w:pPr>
              <w:widowControl/>
              <w:jc w:val="left"/>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51" w:hRule="atLeast"/>
          <w:jc w:val="center"/>
        </w:trPr>
        <w:tc>
          <w:tcPr>
            <w:tcW w:w="2318" w:type="dxa"/>
            <w:gridSpan w:val="2"/>
            <w:vAlign w:val="center"/>
          </w:tcPr>
          <w:p>
            <w:pPr>
              <w:widowControl/>
              <w:jc w:val="left"/>
              <w:outlineLvl w:val="1"/>
              <w:rPr>
                <w:rFonts w:ascii="宋体" w:hAnsi="宋体" w:cs="宋体"/>
                <w:color w:val="auto"/>
                <w:sz w:val="24"/>
                <w:highlight w:val="none"/>
              </w:rPr>
            </w:pPr>
            <w:bookmarkStart w:id="225" w:name="_Toc503862924"/>
            <w:r>
              <w:rPr>
                <w:rFonts w:hint="eastAsia" w:ascii="宋体" w:hAnsi="宋体" w:cs="宋体"/>
                <w:color w:val="auto"/>
                <w:sz w:val="24"/>
                <w:highlight w:val="none"/>
              </w:rPr>
              <w:t>“★”投标人名称</w:t>
            </w:r>
            <w:bookmarkEnd w:id="225"/>
          </w:p>
        </w:tc>
        <w:tc>
          <w:tcPr>
            <w:tcW w:w="7882" w:type="dxa"/>
            <w:gridSpan w:val="7"/>
            <w:vAlign w:val="center"/>
          </w:tcPr>
          <w:p>
            <w:pPr>
              <w:widowControl/>
              <w:jc w:val="left"/>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51" w:hRule="atLeast"/>
          <w:jc w:val="center"/>
        </w:trPr>
        <w:tc>
          <w:tcPr>
            <w:tcW w:w="2318" w:type="dxa"/>
            <w:gridSpan w:val="2"/>
            <w:vAlign w:val="center"/>
          </w:tcPr>
          <w:p>
            <w:pPr>
              <w:widowControl/>
              <w:jc w:val="left"/>
              <w:outlineLvl w:val="1"/>
              <w:rPr>
                <w:rFonts w:ascii="宋体" w:hAnsi="宋体" w:cs="宋体"/>
                <w:color w:val="auto"/>
                <w:sz w:val="24"/>
                <w:highlight w:val="none"/>
              </w:rPr>
            </w:pPr>
            <w:bookmarkStart w:id="226" w:name="_Toc503862925"/>
            <w:r>
              <w:rPr>
                <w:rFonts w:hint="eastAsia" w:ascii="宋体" w:hAnsi="宋体" w:cs="宋体"/>
                <w:color w:val="auto"/>
                <w:sz w:val="24"/>
                <w:highlight w:val="none"/>
              </w:rPr>
              <w:t>“★”注册地址</w:t>
            </w:r>
            <w:bookmarkEnd w:id="226"/>
          </w:p>
        </w:tc>
        <w:tc>
          <w:tcPr>
            <w:tcW w:w="3683" w:type="dxa"/>
            <w:gridSpan w:val="3"/>
            <w:tcBorders>
              <w:right w:val="single" w:color="auto" w:sz="4" w:space="0"/>
            </w:tcBorders>
            <w:vAlign w:val="center"/>
          </w:tcPr>
          <w:p>
            <w:pPr>
              <w:widowControl/>
              <w:jc w:val="left"/>
              <w:rPr>
                <w:rFonts w:ascii="宋体" w:hAnsi="宋体" w:cs="宋体"/>
                <w:color w:val="auto"/>
                <w:sz w:val="24"/>
                <w:highlight w:val="none"/>
              </w:rPr>
            </w:pPr>
          </w:p>
        </w:tc>
        <w:tc>
          <w:tcPr>
            <w:tcW w:w="2017" w:type="dxa"/>
            <w:gridSpan w:val="3"/>
            <w:tcBorders>
              <w:left w:val="single" w:color="auto" w:sz="4" w:space="0"/>
              <w:right w:val="single" w:color="auto" w:sz="4" w:space="0"/>
            </w:tcBorders>
            <w:vAlign w:val="center"/>
          </w:tcPr>
          <w:p>
            <w:pPr>
              <w:widowControl/>
              <w:jc w:val="left"/>
              <w:outlineLvl w:val="1"/>
              <w:rPr>
                <w:rFonts w:ascii="宋体" w:hAnsi="宋体" w:cs="宋体"/>
                <w:color w:val="auto"/>
                <w:sz w:val="24"/>
                <w:highlight w:val="none"/>
              </w:rPr>
            </w:pPr>
            <w:bookmarkStart w:id="227" w:name="_Toc503862926"/>
            <w:r>
              <w:rPr>
                <w:rFonts w:hint="eastAsia" w:ascii="宋体" w:hAnsi="宋体" w:cs="宋体"/>
                <w:color w:val="auto"/>
                <w:sz w:val="24"/>
                <w:highlight w:val="none"/>
              </w:rPr>
              <w:t>“★”行政区域</w:t>
            </w:r>
            <w:bookmarkEnd w:id="227"/>
          </w:p>
        </w:tc>
        <w:tc>
          <w:tcPr>
            <w:tcW w:w="2182" w:type="dxa"/>
            <w:tcBorders>
              <w:left w:val="single" w:color="auto" w:sz="4" w:space="0"/>
            </w:tcBorders>
            <w:vAlign w:val="center"/>
          </w:tcPr>
          <w:p>
            <w:pPr>
              <w:widowControl/>
              <w:jc w:val="left"/>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51" w:hRule="atLeast"/>
          <w:jc w:val="center"/>
        </w:trPr>
        <w:tc>
          <w:tcPr>
            <w:tcW w:w="2318" w:type="dxa"/>
            <w:gridSpan w:val="2"/>
            <w:vAlign w:val="center"/>
          </w:tcPr>
          <w:p>
            <w:pPr>
              <w:widowControl/>
              <w:jc w:val="left"/>
              <w:outlineLvl w:val="1"/>
              <w:rPr>
                <w:rFonts w:ascii="宋体" w:hAnsi="宋体" w:cs="宋体"/>
                <w:color w:val="auto"/>
                <w:sz w:val="24"/>
                <w:highlight w:val="none"/>
              </w:rPr>
            </w:pPr>
            <w:bookmarkStart w:id="228" w:name="_Toc503862927"/>
            <w:r>
              <w:rPr>
                <w:rFonts w:hint="eastAsia" w:ascii="宋体" w:hAnsi="宋体" w:cs="宋体"/>
                <w:color w:val="auto"/>
                <w:sz w:val="24"/>
                <w:highlight w:val="none"/>
              </w:rPr>
              <w:t>“★”供应商规模</w:t>
            </w:r>
            <w:bookmarkEnd w:id="228"/>
          </w:p>
        </w:tc>
        <w:tc>
          <w:tcPr>
            <w:tcW w:w="7882" w:type="dxa"/>
            <w:gridSpan w:val="7"/>
            <w:vAlign w:val="center"/>
          </w:tcPr>
          <w:p>
            <w:pPr>
              <w:widowControl/>
              <w:jc w:val="center"/>
              <w:outlineLvl w:val="1"/>
              <w:rPr>
                <w:rFonts w:ascii="宋体" w:hAnsi="宋体" w:cs="宋体"/>
                <w:color w:val="auto"/>
                <w:sz w:val="24"/>
                <w:highlight w:val="none"/>
              </w:rPr>
            </w:pPr>
            <w:bookmarkStart w:id="229" w:name="_Toc503862928"/>
            <w:r>
              <w:rPr>
                <w:rFonts w:hint="eastAsia" w:ascii="宋体" w:hAnsi="宋体" w:cs="宋体"/>
                <w:color w:val="auto"/>
                <w:sz w:val="24"/>
                <w:highlight w:val="none"/>
              </w:rPr>
              <w:t>□大型企业   □中型企业   □小微型企业（对应处打“√”）</w:t>
            </w:r>
            <w:bookmarkEnd w:id="229"/>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51" w:hRule="atLeast"/>
          <w:jc w:val="center"/>
        </w:trPr>
        <w:tc>
          <w:tcPr>
            <w:tcW w:w="2318" w:type="dxa"/>
            <w:gridSpan w:val="2"/>
            <w:vMerge w:val="restart"/>
            <w:vAlign w:val="center"/>
          </w:tcPr>
          <w:p>
            <w:pPr>
              <w:widowControl/>
              <w:jc w:val="left"/>
              <w:outlineLvl w:val="1"/>
              <w:rPr>
                <w:rFonts w:ascii="宋体" w:hAnsi="宋体" w:cs="宋体"/>
                <w:color w:val="auto"/>
                <w:sz w:val="24"/>
                <w:highlight w:val="none"/>
              </w:rPr>
            </w:pPr>
            <w:bookmarkStart w:id="230" w:name="_Toc503862929"/>
            <w:r>
              <w:rPr>
                <w:rFonts w:hint="eastAsia" w:ascii="宋体" w:hAnsi="宋体" w:cs="宋体"/>
                <w:color w:val="auto"/>
                <w:sz w:val="24"/>
                <w:highlight w:val="none"/>
              </w:rPr>
              <w:t>“★”单位联系方式</w:t>
            </w:r>
            <w:bookmarkEnd w:id="230"/>
          </w:p>
        </w:tc>
        <w:tc>
          <w:tcPr>
            <w:tcW w:w="2197" w:type="dxa"/>
            <w:vAlign w:val="center"/>
          </w:tcPr>
          <w:p>
            <w:pPr>
              <w:widowControl/>
              <w:jc w:val="left"/>
              <w:outlineLvl w:val="1"/>
              <w:rPr>
                <w:rFonts w:ascii="宋体" w:hAnsi="宋体" w:cs="宋体"/>
                <w:color w:val="auto"/>
                <w:sz w:val="24"/>
                <w:highlight w:val="none"/>
              </w:rPr>
            </w:pPr>
            <w:bookmarkStart w:id="231" w:name="_Toc503862930"/>
            <w:r>
              <w:rPr>
                <w:rFonts w:hint="eastAsia" w:ascii="宋体" w:hAnsi="宋体" w:cs="宋体"/>
                <w:color w:val="auto"/>
                <w:sz w:val="24"/>
                <w:highlight w:val="none"/>
              </w:rPr>
              <w:t>“★”单位联系人</w:t>
            </w:r>
            <w:bookmarkEnd w:id="231"/>
          </w:p>
        </w:tc>
        <w:tc>
          <w:tcPr>
            <w:tcW w:w="1522" w:type="dxa"/>
            <w:gridSpan w:val="3"/>
            <w:vAlign w:val="center"/>
          </w:tcPr>
          <w:p>
            <w:pPr>
              <w:widowControl/>
              <w:jc w:val="left"/>
              <w:rPr>
                <w:rFonts w:ascii="宋体" w:hAnsi="宋体" w:cs="宋体"/>
                <w:color w:val="auto"/>
                <w:sz w:val="24"/>
                <w:highlight w:val="none"/>
              </w:rPr>
            </w:pPr>
          </w:p>
        </w:tc>
        <w:tc>
          <w:tcPr>
            <w:tcW w:w="1940" w:type="dxa"/>
            <w:vAlign w:val="center"/>
          </w:tcPr>
          <w:p>
            <w:pPr>
              <w:widowControl/>
              <w:jc w:val="left"/>
              <w:outlineLvl w:val="1"/>
              <w:rPr>
                <w:rFonts w:ascii="宋体" w:hAnsi="宋体" w:cs="宋体"/>
                <w:color w:val="auto"/>
                <w:sz w:val="24"/>
                <w:highlight w:val="none"/>
              </w:rPr>
            </w:pPr>
            <w:bookmarkStart w:id="232" w:name="_Toc503862931"/>
            <w:r>
              <w:rPr>
                <w:rFonts w:hint="eastAsia" w:ascii="宋体" w:hAnsi="宋体" w:cs="宋体"/>
                <w:color w:val="auto"/>
                <w:sz w:val="24"/>
                <w:highlight w:val="none"/>
              </w:rPr>
              <w:t>“★”单位电话</w:t>
            </w:r>
            <w:bookmarkEnd w:id="232"/>
          </w:p>
        </w:tc>
        <w:tc>
          <w:tcPr>
            <w:tcW w:w="2223" w:type="dxa"/>
            <w:gridSpan w:val="2"/>
            <w:vAlign w:val="center"/>
          </w:tcPr>
          <w:p>
            <w:pPr>
              <w:widowControl/>
              <w:jc w:val="left"/>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51" w:hRule="atLeast"/>
          <w:jc w:val="center"/>
        </w:trPr>
        <w:tc>
          <w:tcPr>
            <w:tcW w:w="2318" w:type="dxa"/>
            <w:gridSpan w:val="2"/>
            <w:vMerge w:val="continue"/>
            <w:vAlign w:val="center"/>
          </w:tcPr>
          <w:p>
            <w:pPr>
              <w:rPr>
                <w:rFonts w:ascii="宋体" w:hAnsi="宋体" w:cs="宋体"/>
                <w:color w:val="auto"/>
                <w:sz w:val="24"/>
                <w:highlight w:val="none"/>
              </w:rPr>
            </w:pPr>
          </w:p>
        </w:tc>
        <w:tc>
          <w:tcPr>
            <w:tcW w:w="2197" w:type="dxa"/>
            <w:vAlign w:val="center"/>
          </w:tcPr>
          <w:p>
            <w:pPr>
              <w:widowControl/>
              <w:jc w:val="left"/>
              <w:outlineLvl w:val="1"/>
              <w:rPr>
                <w:rFonts w:ascii="宋体" w:hAnsi="宋体" w:cs="宋体"/>
                <w:color w:val="auto"/>
                <w:sz w:val="24"/>
                <w:highlight w:val="none"/>
              </w:rPr>
            </w:pPr>
            <w:bookmarkStart w:id="233" w:name="_Toc503862932"/>
            <w:r>
              <w:rPr>
                <w:rFonts w:hint="eastAsia" w:ascii="宋体" w:hAnsi="宋体" w:cs="宋体"/>
                <w:color w:val="auto"/>
                <w:sz w:val="24"/>
                <w:highlight w:val="none"/>
              </w:rPr>
              <w:t>“★”单位邮箱</w:t>
            </w:r>
            <w:bookmarkEnd w:id="233"/>
          </w:p>
        </w:tc>
        <w:tc>
          <w:tcPr>
            <w:tcW w:w="5685" w:type="dxa"/>
            <w:gridSpan w:val="6"/>
            <w:vAlign w:val="center"/>
          </w:tcPr>
          <w:p>
            <w:pPr>
              <w:widowControl/>
              <w:jc w:val="left"/>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95" w:hRule="atLeast"/>
          <w:jc w:val="center"/>
        </w:trPr>
        <w:tc>
          <w:tcPr>
            <w:tcW w:w="10200" w:type="dxa"/>
            <w:gridSpan w:val="9"/>
            <w:vAlign w:val="center"/>
          </w:tcPr>
          <w:p>
            <w:pPr>
              <w:widowControl/>
              <w:jc w:val="left"/>
              <w:outlineLvl w:val="1"/>
              <w:rPr>
                <w:rFonts w:ascii="宋体" w:hAnsi="宋体" w:cs="宋体"/>
                <w:color w:val="auto"/>
                <w:sz w:val="24"/>
                <w:highlight w:val="none"/>
              </w:rPr>
            </w:pPr>
            <w:bookmarkStart w:id="234" w:name="_Toc503862933"/>
            <w:r>
              <w:rPr>
                <w:rFonts w:hint="eastAsia" w:ascii="宋体" w:hAnsi="宋体" w:cs="宋体"/>
                <w:b/>
                <w:bCs/>
                <w:color w:val="auto"/>
                <w:sz w:val="24"/>
                <w:highlight w:val="none"/>
              </w:rPr>
              <w:t>注：以上“★”号项信息供应商须如实填写，信息将录入四川省政府采购计划执行系统，若因供应商提供错误信息造成的问题，由其自身承担。</w:t>
            </w:r>
            <w:bookmarkEnd w:id="234"/>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95" w:hRule="atLeast"/>
          <w:jc w:val="center"/>
        </w:trPr>
        <w:tc>
          <w:tcPr>
            <w:tcW w:w="1622" w:type="dxa"/>
            <w:vMerge w:val="restart"/>
            <w:tcBorders>
              <w:right w:val="single" w:color="auto" w:sz="4" w:space="0"/>
            </w:tcBorders>
            <w:vAlign w:val="center"/>
          </w:tcPr>
          <w:p>
            <w:pPr>
              <w:widowControl/>
              <w:jc w:val="left"/>
              <w:outlineLvl w:val="1"/>
              <w:rPr>
                <w:rFonts w:ascii="宋体" w:hAnsi="宋体" w:cs="宋体"/>
                <w:b/>
                <w:bCs/>
                <w:color w:val="auto"/>
                <w:sz w:val="24"/>
                <w:highlight w:val="none"/>
              </w:rPr>
            </w:pPr>
            <w:bookmarkStart w:id="235" w:name="_Toc503862934"/>
            <w:r>
              <w:rPr>
                <w:rFonts w:hint="eastAsia" w:ascii="宋体" w:hAnsi="宋体" w:cs="宋体"/>
                <w:b/>
                <w:bCs/>
                <w:color w:val="auto"/>
                <w:sz w:val="24"/>
                <w:highlight w:val="none"/>
              </w:rPr>
              <w:t>供应商应答“采购文件”的主要内容</w:t>
            </w:r>
            <w:bookmarkEnd w:id="235"/>
          </w:p>
        </w:tc>
        <w:tc>
          <w:tcPr>
            <w:tcW w:w="3013" w:type="dxa"/>
            <w:gridSpan w:val="3"/>
            <w:tcBorders>
              <w:left w:val="single" w:color="auto" w:sz="4" w:space="0"/>
              <w:right w:val="single" w:color="auto" w:sz="4" w:space="0"/>
            </w:tcBorders>
            <w:vAlign w:val="center"/>
          </w:tcPr>
          <w:p>
            <w:pPr>
              <w:jc w:val="left"/>
              <w:rPr>
                <w:rFonts w:ascii="宋体" w:hAnsi="宋体" w:cs="宋体"/>
                <w:b/>
                <w:bCs/>
                <w:color w:val="auto"/>
                <w:sz w:val="24"/>
                <w:highlight w:val="none"/>
              </w:rPr>
            </w:pPr>
            <w:r>
              <w:rPr>
                <w:rFonts w:hint="eastAsia" w:ascii="宋体" w:hAnsi="宋体" w:cs="宋体"/>
                <w:bCs/>
                <w:color w:val="auto"/>
                <w:kern w:val="0"/>
                <w:sz w:val="24"/>
                <w:highlight w:val="none"/>
              </w:rPr>
              <w:t>主要中标或者成交标的的名称</w:t>
            </w:r>
          </w:p>
        </w:tc>
        <w:tc>
          <w:tcPr>
            <w:tcW w:w="5565" w:type="dxa"/>
            <w:gridSpan w:val="5"/>
            <w:tcBorders>
              <w:left w:val="single" w:color="auto" w:sz="4" w:space="0"/>
            </w:tcBorders>
            <w:vAlign w:val="center"/>
          </w:tcPr>
          <w:p>
            <w:pPr>
              <w:jc w:val="left"/>
              <w:rPr>
                <w:rFonts w:ascii="宋体" w:hAnsi="宋体" w:cs="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95" w:hRule="atLeast"/>
          <w:jc w:val="center"/>
        </w:trPr>
        <w:tc>
          <w:tcPr>
            <w:tcW w:w="1622" w:type="dxa"/>
            <w:vMerge w:val="continue"/>
            <w:tcBorders>
              <w:right w:val="single" w:color="auto" w:sz="4" w:space="0"/>
            </w:tcBorders>
            <w:vAlign w:val="center"/>
          </w:tcPr>
          <w:p>
            <w:pPr>
              <w:widowControl/>
              <w:jc w:val="left"/>
              <w:rPr>
                <w:rFonts w:ascii="宋体" w:hAnsi="宋体" w:cs="宋体"/>
                <w:b/>
                <w:bCs/>
                <w:color w:val="auto"/>
                <w:sz w:val="24"/>
                <w:highlight w:val="none"/>
              </w:rPr>
            </w:pPr>
          </w:p>
        </w:tc>
        <w:tc>
          <w:tcPr>
            <w:tcW w:w="3013" w:type="dxa"/>
            <w:gridSpan w:val="3"/>
            <w:tcBorders>
              <w:left w:val="single" w:color="auto" w:sz="4" w:space="0"/>
              <w:right w:val="single" w:color="auto" w:sz="4" w:space="0"/>
            </w:tcBorders>
            <w:vAlign w:val="center"/>
          </w:tcPr>
          <w:p>
            <w:pPr>
              <w:jc w:val="left"/>
              <w:rPr>
                <w:rFonts w:ascii="宋体" w:hAnsi="宋体" w:cs="宋体"/>
                <w:b/>
                <w:bCs/>
                <w:color w:val="auto"/>
                <w:sz w:val="24"/>
                <w:highlight w:val="none"/>
              </w:rPr>
            </w:pPr>
            <w:r>
              <w:rPr>
                <w:rFonts w:hint="eastAsia" w:ascii="宋体" w:hAnsi="宋体" w:cs="宋体"/>
                <w:bCs/>
                <w:color w:val="auto"/>
                <w:kern w:val="0"/>
                <w:sz w:val="24"/>
                <w:highlight w:val="none"/>
              </w:rPr>
              <w:t>主要中标或者成交标的的规格型号</w:t>
            </w:r>
          </w:p>
        </w:tc>
        <w:tc>
          <w:tcPr>
            <w:tcW w:w="5565" w:type="dxa"/>
            <w:gridSpan w:val="5"/>
            <w:tcBorders>
              <w:left w:val="single" w:color="auto" w:sz="4" w:space="0"/>
            </w:tcBorders>
            <w:vAlign w:val="center"/>
          </w:tcPr>
          <w:p>
            <w:pPr>
              <w:jc w:val="left"/>
              <w:rPr>
                <w:rFonts w:ascii="宋体" w:hAnsi="宋体" w:cs="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95" w:hRule="atLeast"/>
          <w:jc w:val="center"/>
        </w:trPr>
        <w:tc>
          <w:tcPr>
            <w:tcW w:w="1622" w:type="dxa"/>
            <w:vMerge w:val="continue"/>
            <w:tcBorders>
              <w:right w:val="single" w:color="auto" w:sz="4" w:space="0"/>
            </w:tcBorders>
            <w:vAlign w:val="center"/>
          </w:tcPr>
          <w:p>
            <w:pPr>
              <w:widowControl/>
              <w:jc w:val="left"/>
              <w:rPr>
                <w:rFonts w:ascii="宋体" w:hAnsi="宋体" w:cs="宋体"/>
                <w:b/>
                <w:bCs/>
                <w:color w:val="auto"/>
                <w:sz w:val="24"/>
                <w:highlight w:val="none"/>
              </w:rPr>
            </w:pPr>
          </w:p>
        </w:tc>
        <w:tc>
          <w:tcPr>
            <w:tcW w:w="3013" w:type="dxa"/>
            <w:gridSpan w:val="3"/>
            <w:tcBorders>
              <w:left w:val="single" w:color="auto" w:sz="4" w:space="0"/>
              <w:right w:val="single" w:color="auto" w:sz="4" w:space="0"/>
            </w:tcBorders>
            <w:vAlign w:val="center"/>
          </w:tcPr>
          <w:p>
            <w:pPr>
              <w:jc w:val="left"/>
              <w:rPr>
                <w:rFonts w:ascii="宋体" w:hAnsi="宋体" w:cs="宋体"/>
                <w:b/>
                <w:bCs/>
                <w:color w:val="auto"/>
                <w:sz w:val="24"/>
                <w:highlight w:val="none"/>
              </w:rPr>
            </w:pPr>
            <w:r>
              <w:rPr>
                <w:rFonts w:hint="eastAsia" w:ascii="宋体" w:hAnsi="宋体" w:cs="宋体"/>
                <w:bCs/>
                <w:color w:val="auto"/>
                <w:kern w:val="0"/>
                <w:sz w:val="24"/>
                <w:highlight w:val="none"/>
              </w:rPr>
              <w:t>主要中标或者成交标的的数量</w:t>
            </w:r>
          </w:p>
        </w:tc>
        <w:tc>
          <w:tcPr>
            <w:tcW w:w="5565" w:type="dxa"/>
            <w:gridSpan w:val="5"/>
            <w:tcBorders>
              <w:left w:val="single" w:color="auto" w:sz="4" w:space="0"/>
            </w:tcBorders>
            <w:vAlign w:val="center"/>
          </w:tcPr>
          <w:p>
            <w:pPr>
              <w:jc w:val="left"/>
              <w:rPr>
                <w:rFonts w:ascii="宋体" w:hAnsi="宋体" w:cs="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95" w:hRule="atLeast"/>
          <w:jc w:val="center"/>
        </w:trPr>
        <w:tc>
          <w:tcPr>
            <w:tcW w:w="1622" w:type="dxa"/>
            <w:vMerge w:val="continue"/>
            <w:tcBorders>
              <w:right w:val="single" w:color="auto" w:sz="4" w:space="0"/>
            </w:tcBorders>
            <w:vAlign w:val="center"/>
          </w:tcPr>
          <w:p>
            <w:pPr>
              <w:widowControl/>
              <w:jc w:val="left"/>
              <w:rPr>
                <w:rFonts w:ascii="宋体" w:hAnsi="宋体" w:cs="宋体"/>
                <w:b/>
                <w:bCs/>
                <w:color w:val="auto"/>
                <w:sz w:val="24"/>
                <w:highlight w:val="none"/>
              </w:rPr>
            </w:pPr>
          </w:p>
        </w:tc>
        <w:tc>
          <w:tcPr>
            <w:tcW w:w="3013" w:type="dxa"/>
            <w:gridSpan w:val="3"/>
            <w:tcBorders>
              <w:left w:val="single" w:color="auto" w:sz="4" w:space="0"/>
              <w:right w:val="single" w:color="auto" w:sz="4" w:space="0"/>
            </w:tcBorders>
            <w:vAlign w:val="center"/>
          </w:tcPr>
          <w:p>
            <w:pPr>
              <w:jc w:val="left"/>
              <w:rPr>
                <w:rFonts w:ascii="宋体" w:hAnsi="宋体" w:cs="宋体"/>
                <w:b/>
                <w:bCs/>
                <w:color w:val="auto"/>
                <w:sz w:val="24"/>
                <w:highlight w:val="none"/>
              </w:rPr>
            </w:pPr>
            <w:r>
              <w:rPr>
                <w:rFonts w:hint="eastAsia" w:ascii="宋体" w:hAnsi="宋体" w:cs="宋体"/>
                <w:bCs/>
                <w:color w:val="auto"/>
                <w:kern w:val="0"/>
                <w:sz w:val="24"/>
                <w:highlight w:val="none"/>
              </w:rPr>
              <w:t>主要中标或者成交标的的单价</w:t>
            </w:r>
          </w:p>
        </w:tc>
        <w:tc>
          <w:tcPr>
            <w:tcW w:w="5565" w:type="dxa"/>
            <w:gridSpan w:val="5"/>
            <w:tcBorders>
              <w:left w:val="single" w:color="auto" w:sz="4" w:space="0"/>
            </w:tcBorders>
            <w:vAlign w:val="center"/>
          </w:tcPr>
          <w:p>
            <w:pPr>
              <w:jc w:val="left"/>
              <w:rPr>
                <w:rFonts w:ascii="宋体" w:hAnsi="宋体" w:cs="宋体"/>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03" w:hRule="atLeast"/>
          <w:jc w:val="center"/>
        </w:trPr>
        <w:tc>
          <w:tcPr>
            <w:tcW w:w="1622" w:type="dxa"/>
            <w:vMerge w:val="continue"/>
            <w:tcBorders>
              <w:right w:val="single" w:color="auto" w:sz="4" w:space="0"/>
            </w:tcBorders>
            <w:vAlign w:val="center"/>
          </w:tcPr>
          <w:p>
            <w:pPr>
              <w:widowControl/>
              <w:jc w:val="left"/>
              <w:rPr>
                <w:rFonts w:ascii="宋体" w:hAnsi="宋体" w:cs="宋体"/>
                <w:b/>
                <w:bCs/>
                <w:color w:val="auto"/>
                <w:sz w:val="24"/>
                <w:highlight w:val="none"/>
              </w:rPr>
            </w:pPr>
          </w:p>
        </w:tc>
        <w:tc>
          <w:tcPr>
            <w:tcW w:w="3013" w:type="dxa"/>
            <w:gridSpan w:val="3"/>
            <w:tcBorders>
              <w:left w:val="single" w:color="auto" w:sz="4" w:space="0"/>
              <w:right w:val="single" w:color="auto" w:sz="4" w:space="0"/>
            </w:tcBorders>
            <w:vAlign w:val="center"/>
          </w:tcPr>
          <w:p>
            <w:pPr>
              <w:jc w:val="left"/>
              <w:rPr>
                <w:rFonts w:ascii="宋体" w:hAnsi="宋体" w:cs="宋体"/>
                <w:b/>
                <w:bCs/>
                <w:color w:val="auto"/>
                <w:sz w:val="24"/>
                <w:highlight w:val="none"/>
              </w:rPr>
            </w:pPr>
            <w:r>
              <w:rPr>
                <w:rFonts w:hint="eastAsia" w:ascii="宋体" w:hAnsi="宋体" w:cs="宋体"/>
                <w:bCs/>
                <w:color w:val="auto"/>
                <w:kern w:val="0"/>
                <w:sz w:val="24"/>
                <w:highlight w:val="none"/>
              </w:rPr>
              <w:t>主要中标或者成交标的的服务要求（如：交货期、质保期、售后服务等等）</w:t>
            </w:r>
          </w:p>
        </w:tc>
        <w:tc>
          <w:tcPr>
            <w:tcW w:w="5565" w:type="dxa"/>
            <w:gridSpan w:val="5"/>
            <w:tcBorders>
              <w:left w:val="single" w:color="auto" w:sz="4" w:space="0"/>
            </w:tcBorders>
            <w:vAlign w:val="center"/>
          </w:tcPr>
          <w:p>
            <w:pPr>
              <w:numPr>
                <w:ilvl w:val="0"/>
                <w:numId w:val="4"/>
              </w:numPr>
              <w:jc w:val="left"/>
              <w:rPr>
                <w:rFonts w:ascii="宋体" w:hAnsi="宋体" w:cs="宋体"/>
                <w:bCs/>
                <w:color w:val="auto"/>
                <w:sz w:val="24"/>
                <w:highlight w:val="none"/>
              </w:rPr>
            </w:pPr>
            <w:r>
              <w:rPr>
                <w:rFonts w:hint="eastAsia" w:ascii="宋体" w:hAnsi="宋体" w:cs="宋体"/>
                <w:bCs/>
                <w:color w:val="auto"/>
                <w:sz w:val="24"/>
                <w:highlight w:val="none"/>
              </w:rPr>
              <w:t>....</w:t>
            </w:r>
          </w:p>
          <w:p>
            <w:pPr>
              <w:numPr>
                <w:ilvl w:val="0"/>
                <w:numId w:val="4"/>
              </w:numPr>
              <w:jc w:val="left"/>
              <w:rPr>
                <w:rFonts w:ascii="宋体" w:hAnsi="宋体" w:cs="宋体"/>
                <w:bCs/>
                <w:color w:val="auto"/>
                <w:sz w:val="24"/>
                <w:highlight w:val="none"/>
              </w:rPr>
            </w:pPr>
            <w:r>
              <w:rPr>
                <w:rFonts w:hint="eastAsia" w:ascii="宋体" w:hAnsi="宋体" w:cs="宋体"/>
                <w:bCs/>
                <w:color w:val="auto"/>
                <w:sz w:val="24"/>
                <w:highlight w:val="none"/>
              </w:rPr>
              <w:t>....</w:t>
            </w:r>
          </w:p>
          <w:p>
            <w:pPr>
              <w:numPr>
                <w:ilvl w:val="0"/>
                <w:numId w:val="4"/>
              </w:numPr>
              <w:jc w:val="left"/>
              <w:rPr>
                <w:rFonts w:ascii="宋体" w:hAnsi="宋体" w:cs="宋体"/>
                <w:bCs/>
                <w:color w:val="auto"/>
                <w:sz w:val="24"/>
                <w:highlight w:val="none"/>
              </w:rPr>
            </w:pPr>
            <w:r>
              <w:rPr>
                <w:rFonts w:hint="eastAsia" w:ascii="宋体" w:hAnsi="宋体" w:cs="宋体"/>
                <w:bCs/>
                <w:color w:val="auto"/>
                <w:sz w:val="24"/>
                <w:highlight w:val="none"/>
              </w:rPr>
              <w:t>....</w:t>
            </w:r>
          </w:p>
          <w:p>
            <w:pPr>
              <w:jc w:val="left"/>
              <w:rPr>
                <w:rFonts w:ascii="宋体" w:hAnsi="宋体" w:cs="宋体"/>
                <w:b/>
                <w:bCs/>
                <w:color w:val="auto"/>
                <w:sz w:val="24"/>
                <w:highlight w:val="none"/>
              </w:rPr>
            </w:pPr>
            <w:r>
              <w:rPr>
                <w:rFonts w:hint="eastAsia" w:ascii="宋体" w:hAnsi="宋体" w:cs="宋体"/>
                <w:bCs/>
                <w:color w:val="auto"/>
                <w:sz w:val="24"/>
                <w:highlight w:val="none"/>
              </w:rPr>
              <w:t>......</w:t>
            </w:r>
          </w:p>
        </w:tc>
      </w:tr>
    </w:tbl>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注：1.供应商需如实完善表格内容。</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2.供应商应答的主要内容应与投标文件一致，可以进行简要概括性表述。</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3.供应商应答的主要内容仅用于结果公告，供应商自行完善的内容视为不涉及供应商商业秘密。若供应商没有填写或没有递交此表，视为允许采购代理机构将供应商投标文件中所有相关的应答内容进行公告。</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投标人名称：XXXX（单位盖章）。</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法定代表人/单位负责人或授权代表（签字或加盖个人名章）：XXXX。</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投标日期</w:t>
      </w:r>
      <w:r>
        <w:rPr>
          <w:rFonts w:hint="eastAsia" w:ascii="宋体" w:hAnsi="宋体" w:cs="宋体"/>
          <w:b/>
          <w:color w:val="auto"/>
          <w:sz w:val="24"/>
          <w:highlight w:val="none"/>
          <w:lang w:eastAsia="zh-CN"/>
        </w:rPr>
        <w:t>：</w:t>
      </w:r>
      <w:r>
        <w:rPr>
          <w:rFonts w:hint="eastAsia" w:ascii="宋体" w:hAnsi="宋体" w:cs="宋体"/>
          <w:b/>
          <w:color w:val="auto"/>
          <w:sz w:val="24"/>
          <w:highlight w:val="none"/>
        </w:rPr>
        <w:t>XXXX。</w:t>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格式2-8</w:t>
      </w:r>
    </w:p>
    <w:p>
      <w:pPr>
        <w:widowControl/>
        <w:spacing w:line="360" w:lineRule="auto"/>
        <w:jc w:val="center"/>
        <w:outlineLvl w:val="2"/>
        <w:rPr>
          <w:rFonts w:ascii="宋体" w:hAnsi="宋体" w:cs="宋体"/>
          <w:b/>
          <w:color w:val="auto"/>
          <w:sz w:val="32"/>
          <w:szCs w:val="32"/>
          <w:highlight w:val="none"/>
        </w:rPr>
      </w:pPr>
      <w:bookmarkStart w:id="236" w:name="_Toc503862938"/>
      <w:r>
        <w:rPr>
          <w:rFonts w:hint="eastAsia" w:ascii="宋体" w:hAnsi="宋体" w:cs="宋体"/>
          <w:b/>
          <w:color w:val="auto"/>
          <w:sz w:val="32"/>
          <w:szCs w:val="32"/>
          <w:highlight w:val="none"/>
        </w:rPr>
        <w:t>七、投标人基本情况表</w:t>
      </w:r>
      <w:bookmarkEnd w:id="236"/>
    </w:p>
    <w:tbl>
      <w:tblPr>
        <w:tblStyle w:val="21"/>
        <w:tblW w:w="9747"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55"/>
        <w:gridCol w:w="999"/>
        <w:gridCol w:w="1293"/>
        <w:gridCol w:w="1301"/>
        <w:gridCol w:w="1378"/>
        <w:gridCol w:w="887"/>
        <w:gridCol w:w="213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55" w:type="dxa"/>
            <w:vAlign w:val="center"/>
          </w:tcPr>
          <w:p>
            <w:pPr>
              <w:widowControl/>
              <w:jc w:val="center"/>
              <w:outlineLvl w:val="1"/>
              <w:rPr>
                <w:rFonts w:ascii="宋体" w:hAnsi="宋体" w:cs="宋体"/>
                <w:color w:val="auto"/>
                <w:sz w:val="24"/>
                <w:highlight w:val="none"/>
              </w:rPr>
            </w:pPr>
            <w:bookmarkStart w:id="237" w:name="_Toc503862939"/>
            <w:r>
              <w:rPr>
                <w:rFonts w:hint="eastAsia" w:ascii="宋体" w:hAnsi="宋体" w:cs="宋体"/>
                <w:color w:val="auto"/>
                <w:sz w:val="24"/>
                <w:highlight w:val="none"/>
              </w:rPr>
              <w:t>投标人名称</w:t>
            </w:r>
            <w:bookmarkEnd w:id="237"/>
          </w:p>
        </w:tc>
        <w:tc>
          <w:tcPr>
            <w:tcW w:w="7992" w:type="dxa"/>
            <w:gridSpan w:val="6"/>
            <w:vAlign w:val="center"/>
          </w:tcPr>
          <w:p>
            <w:pPr>
              <w:widowControl/>
              <w:jc w:val="center"/>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7" w:hRule="atLeast"/>
          <w:jc w:val="center"/>
        </w:trPr>
        <w:tc>
          <w:tcPr>
            <w:tcW w:w="1755" w:type="dxa"/>
            <w:vAlign w:val="center"/>
          </w:tcPr>
          <w:p>
            <w:pPr>
              <w:widowControl/>
              <w:jc w:val="center"/>
              <w:outlineLvl w:val="1"/>
              <w:rPr>
                <w:rFonts w:ascii="宋体" w:hAnsi="宋体" w:cs="宋体"/>
                <w:color w:val="auto"/>
                <w:sz w:val="24"/>
                <w:highlight w:val="none"/>
              </w:rPr>
            </w:pPr>
            <w:bookmarkStart w:id="238" w:name="_Toc503862940"/>
            <w:r>
              <w:rPr>
                <w:rFonts w:hint="eastAsia" w:ascii="宋体" w:hAnsi="宋体" w:cs="宋体"/>
                <w:color w:val="auto"/>
                <w:sz w:val="24"/>
                <w:highlight w:val="none"/>
              </w:rPr>
              <w:t>注册地址</w:t>
            </w:r>
            <w:bookmarkEnd w:id="238"/>
          </w:p>
        </w:tc>
        <w:tc>
          <w:tcPr>
            <w:tcW w:w="3593" w:type="dxa"/>
            <w:gridSpan w:val="3"/>
            <w:vAlign w:val="center"/>
          </w:tcPr>
          <w:p>
            <w:pPr>
              <w:widowControl/>
              <w:jc w:val="center"/>
              <w:rPr>
                <w:rFonts w:ascii="宋体" w:hAnsi="宋体" w:cs="宋体"/>
                <w:color w:val="auto"/>
                <w:sz w:val="24"/>
                <w:highlight w:val="none"/>
              </w:rPr>
            </w:pPr>
          </w:p>
        </w:tc>
        <w:tc>
          <w:tcPr>
            <w:tcW w:w="1378" w:type="dxa"/>
            <w:vAlign w:val="center"/>
          </w:tcPr>
          <w:p>
            <w:pPr>
              <w:widowControl/>
              <w:jc w:val="center"/>
              <w:outlineLvl w:val="1"/>
              <w:rPr>
                <w:rFonts w:ascii="宋体" w:hAnsi="宋体" w:cs="宋体"/>
                <w:color w:val="auto"/>
                <w:sz w:val="24"/>
                <w:highlight w:val="none"/>
              </w:rPr>
            </w:pPr>
            <w:bookmarkStart w:id="239" w:name="_Toc503862941"/>
            <w:r>
              <w:rPr>
                <w:rFonts w:hint="eastAsia" w:ascii="宋体" w:hAnsi="宋体" w:cs="宋体"/>
                <w:color w:val="auto"/>
                <w:sz w:val="24"/>
                <w:highlight w:val="none"/>
              </w:rPr>
              <w:t>邮政编码</w:t>
            </w:r>
            <w:bookmarkEnd w:id="239"/>
          </w:p>
        </w:tc>
        <w:tc>
          <w:tcPr>
            <w:tcW w:w="3021" w:type="dxa"/>
            <w:gridSpan w:val="2"/>
            <w:vAlign w:val="center"/>
          </w:tcPr>
          <w:p>
            <w:pPr>
              <w:widowControl/>
              <w:jc w:val="center"/>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2" w:hRule="atLeast"/>
          <w:jc w:val="center"/>
        </w:trPr>
        <w:tc>
          <w:tcPr>
            <w:tcW w:w="1755" w:type="dxa"/>
            <w:vMerge w:val="restart"/>
            <w:vAlign w:val="center"/>
          </w:tcPr>
          <w:p>
            <w:pPr>
              <w:widowControl/>
              <w:jc w:val="center"/>
              <w:outlineLvl w:val="1"/>
              <w:rPr>
                <w:rFonts w:ascii="宋体" w:hAnsi="宋体" w:cs="宋体"/>
                <w:color w:val="auto"/>
                <w:sz w:val="24"/>
                <w:highlight w:val="none"/>
              </w:rPr>
            </w:pPr>
            <w:bookmarkStart w:id="240" w:name="_Toc503862942"/>
            <w:r>
              <w:rPr>
                <w:rFonts w:hint="eastAsia" w:ascii="宋体" w:hAnsi="宋体" w:cs="宋体"/>
                <w:color w:val="auto"/>
                <w:sz w:val="24"/>
                <w:highlight w:val="none"/>
              </w:rPr>
              <w:t>联系方式</w:t>
            </w:r>
            <w:bookmarkEnd w:id="240"/>
          </w:p>
        </w:tc>
        <w:tc>
          <w:tcPr>
            <w:tcW w:w="999" w:type="dxa"/>
            <w:vAlign w:val="center"/>
          </w:tcPr>
          <w:p>
            <w:pPr>
              <w:widowControl/>
              <w:jc w:val="center"/>
              <w:outlineLvl w:val="1"/>
              <w:rPr>
                <w:rFonts w:ascii="宋体" w:hAnsi="宋体" w:cs="宋体"/>
                <w:color w:val="auto"/>
                <w:sz w:val="24"/>
                <w:highlight w:val="none"/>
              </w:rPr>
            </w:pPr>
            <w:bookmarkStart w:id="241" w:name="_Toc503862943"/>
            <w:r>
              <w:rPr>
                <w:rFonts w:hint="eastAsia" w:ascii="宋体" w:hAnsi="宋体" w:cs="宋体"/>
                <w:color w:val="auto"/>
                <w:sz w:val="24"/>
                <w:highlight w:val="none"/>
              </w:rPr>
              <w:t>联系人</w:t>
            </w:r>
            <w:bookmarkEnd w:id="241"/>
          </w:p>
        </w:tc>
        <w:tc>
          <w:tcPr>
            <w:tcW w:w="2594" w:type="dxa"/>
            <w:gridSpan w:val="2"/>
            <w:vAlign w:val="center"/>
          </w:tcPr>
          <w:p>
            <w:pPr>
              <w:widowControl/>
              <w:jc w:val="center"/>
              <w:rPr>
                <w:rFonts w:ascii="宋体" w:hAnsi="宋体" w:cs="宋体"/>
                <w:color w:val="auto"/>
                <w:sz w:val="24"/>
                <w:highlight w:val="none"/>
              </w:rPr>
            </w:pPr>
          </w:p>
        </w:tc>
        <w:tc>
          <w:tcPr>
            <w:tcW w:w="1378" w:type="dxa"/>
            <w:vAlign w:val="center"/>
          </w:tcPr>
          <w:p>
            <w:pPr>
              <w:widowControl/>
              <w:jc w:val="center"/>
              <w:outlineLvl w:val="1"/>
              <w:rPr>
                <w:rFonts w:ascii="宋体" w:hAnsi="宋体" w:cs="宋体"/>
                <w:color w:val="auto"/>
                <w:sz w:val="24"/>
                <w:highlight w:val="none"/>
              </w:rPr>
            </w:pPr>
            <w:bookmarkStart w:id="242" w:name="_Toc503862944"/>
            <w:r>
              <w:rPr>
                <w:rFonts w:hint="eastAsia" w:ascii="宋体" w:hAnsi="宋体" w:cs="宋体"/>
                <w:color w:val="auto"/>
                <w:sz w:val="24"/>
                <w:highlight w:val="none"/>
              </w:rPr>
              <w:t>电话</w:t>
            </w:r>
            <w:bookmarkEnd w:id="242"/>
          </w:p>
        </w:tc>
        <w:tc>
          <w:tcPr>
            <w:tcW w:w="3021" w:type="dxa"/>
            <w:gridSpan w:val="2"/>
            <w:vAlign w:val="center"/>
          </w:tcPr>
          <w:p>
            <w:pPr>
              <w:widowControl/>
              <w:jc w:val="center"/>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755" w:type="dxa"/>
            <w:vMerge w:val="continue"/>
            <w:vAlign w:val="center"/>
          </w:tcPr>
          <w:p>
            <w:pPr>
              <w:jc w:val="center"/>
              <w:rPr>
                <w:rFonts w:ascii="宋体" w:hAnsi="宋体" w:cs="宋体"/>
                <w:color w:val="auto"/>
                <w:sz w:val="24"/>
                <w:highlight w:val="none"/>
              </w:rPr>
            </w:pPr>
          </w:p>
        </w:tc>
        <w:tc>
          <w:tcPr>
            <w:tcW w:w="999" w:type="dxa"/>
            <w:vAlign w:val="center"/>
          </w:tcPr>
          <w:p>
            <w:pPr>
              <w:widowControl/>
              <w:jc w:val="center"/>
              <w:outlineLvl w:val="1"/>
              <w:rPr>
                <w:rFonts w:ascii="宋体" w:hAnsi="宋体" w:cs="宋体"/>
                <w:color w:val="auto"/>
                <w:sz w:val="24"/>
                <w:highlight w:val="none"/>
              </w:rPr>
            </w:pPr>
            <w:bookmarkStart w:id="243" w:name="_Toc503862945"/>
            <w:r>
              <w:rPr>
                <w:rFonts w:hint="eastAsia" w:ascii="宋体" w:hAnsi="宋体" w:cs="宋体"/>
                <w:color w:val="auto"/>
                <w:sz w:val="24"/>
                <w:highlight w:val="none"/>
              </w:rPr>
              <w:t>传真</w:t>
            </w:r>
            <w:bookmarkEnd w:id="243"/>
          </w:p>
        </w:tc>
        <w:tc>
          <w:tcPr>
            <w:tcW w:w="2594" w:type="dxa"/>
            <w:gridSpan w:val="2"/>
            <w:vAlign w:val="center"/>
          </w:tcPr>
          <w:p>
            <w:pPr>
              <w:widowControl/>
              <w:jc w:val="center"/>
              <w:rPr>
                <w:rFonts w:ascii="宋体" w:hAnsi="宋体" w:cs="宋体"/>
                <w:color w:val="auto"/>
                <w:sz w:val="24"/>
                <w:highlight w:val="none"/>
              </w:rPr>
            </w:pPr>
          </w:p>
        </w:tc>
        <w:tc>
          <w:tcPr>
            <w:tcW w:w="1378" w:type="dxa"/>
            <w:vAlign w:val="center"/>
          </w:tcPr>
          <w:p>
            <w:pPr>
              <w:widowControl/>
              <w:jc w:val="center"/>
              <w:outlineLvl w:val="1"/>
              <w:rPr>
                <w:rFonts w:ascii="宋体" w:hAnsi="宋体" w:cs="宋体"/>
                <w:color w:val="auto"/>
                <w:sz w:val="24"/>
                <w:highlight w:val="none"/>
              </w:rPr>
            </w:pPr>
            <w:bookmarkStart w:id="244" w:name="_Toc503862946"/>
            <w:r>
              <w:rPr>
                <w:rFonts w:hint="eastAsia" w:ascii="宋体" w:hAnsi="宋体" w:cs="宋体"/>
                <w:color w:val="auto"/>
                <w:sz w:val="24"/>
                <w:highlight w:val="none"/>
              </w:rPr>
              <w:t>网址</w:t>
            </w:r>
            <w:bookmarkEnd w:id="244"/>
          </w:p>
        </w:tc>
        <w:tc>
          <w:tcPr>
            <w:tcW w:w="3021" w:type="dxa"/>
            <w:gridSpan w:val="2"/>
            <w:vAlign w:val="center"/>
          </w:tcPr>
          <w:p>
            <w:pPr>
              <w:widowControl/>
              <w:jc w:val="center"/>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7" w:hRule="atLeast"/>
          <w:jc w:val="center"/>
        </w:trPr>
        <w:tc>
          <w:tcPr>
            <w:tcW w:w="1755" w:type="dxa"/>
            <w:vAlign w:val="center"/>
          </w:tcPr>
          <w:p>
            <w:pPr>
              <w:widowControl/>
              <w:jc w:val="center"/>
              <w:outlineLvl w:val="1"/>
              <w:rPr>
                <w:rFonts w:ascii="宋体" w:hAnsi="宋体" w:cs="宋体"/>
                <w:color w:val="auto"/>
                <w:sz w:val="24"/>
                <w:highlight w:val="none"/>
              </w:rPr>
            </w:pPr>
            <w:bookmarkStart w:id="245" w:name="_Toc503862947"/>
            <w:r>
              <w:rPr>
                <w:rFonts w:hint="eastAsia" w:ascii="宋体" w:hAnsi="宋体" w:cs="宋体"/>
                <w:color w:val="auto"/>
                <w:sz w:val="24"/>
                <w:highlight w:val="none"/>
              </w:rPr>
              <w:t>组织结构</w:t>
            </w:r>
            <w:bookmarkEnd w:id="245"/>
          </w:p>
        </w:tc>
        <w:tc>
          <w:tcPr>
            <w:tcW w:w="7992" w:type="dxa"/>
            <w:gridSpan w:val="6"/>
            <w:vAlign w:val="center"/>
          </w:tcPr>
          <w:p>
            <w:pPr>
              <w:widowControl/>
              <w:jc w:val="center"/>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755" w:type="dxa"/>
            <w:vAlign w:val="center"/>
          </w:tcPr>
          <w:p>
            <w:pPr>
              <w:widowControl/>
              <w:jc w:val="center"/>
              <w:outlineLvl w:val="1"/>
              <w:rPr>
                <w:rFonts w:ascii="宋体" w:hAnsi="宋体" w:cs="宋体"/>
                <w:color w:val="auto"/>
                <w:sz w:val="24"/>
                <w:highlight w:val="none"/>
              </w:rPr>
            </w:pPr>
            <w:bookmarkStart w:id="246" w:name="_Toc503862948"/>
            <w:r>
              <w:rPr>
                <w:rFonts w:hint="eastAsia" w:ascii="宋体" w:hAnsi="宋体" w:cs="宋体"/>
                <w:color w:val="auto"/>
                <w:sz w:val="24"/>
                <w:highlight w:val="none"/>
              </w:rPr>
              <w:t>法定代表人/单位负责人</w:t>
            </w:r>
            <w:bookmarkEnd w:id="246"/>
          </w:p>
        </w:tc>
        <w:tc>
          <w:tcPr>
            <w:tcW w:w="999" w:type="dxa"/>
            <w:vAlign w:val="center"/>
          </w:tcPr>
          <w:p>
            <w:pPr>
              <w:widowControl/>
              <w:jc w:val="center"/>
              <w:outlineLvl w:val="1"/>
              <w:rPr>
                <w:rFonts w:ascii="宋体" w:hAnsi="宋体" w:cs="宋体"/>
                <w:color w:val="auto"/>
                <w:sz w:val="24"/>
                <w:highlight w:val="none"/>
              </w:rPr>
            </w:pPr>
            <w:bookmarkStart w:id="247" w:name="_Toc503862949"/>
            <w:r>
              <w:rPr>
                <w:rFonts w:hint="eastAsia" w:ascii="宋体" w:hAnsi="宋体" w:cs="宋体"/>
                <w:color w:val="auto"/>
                <w:sz w:val="24"/>
                <w:highlight w:val="none"/>
              </w:rPr>
              <w:t>姓名</w:t>
            </w:r>
            <w:bookmarkEnd w:id="247"/>
          </w:p>
        </w:tc>
        <w:tc>
          <w:tcPr>
            <w:tcW w:w="1293" w:type="dxa"/>
            <w:vAlign w:val="center"/>
          </w:tcPr>
          <w:p>
            <w:pPr>
              <w:widowControl/>
              <w:jc w:val="center"/>
              <w:rPr>
                <w:rFonts w:ascii="宋体" w:hAnsi="宋体" w:cs="宋体"/>
                <w:color w:val="auto"/>
                <w:sz w:val="24"/>
                <w:highlight w:val="none"/>
              </w:rPr>
            </w:pPr>
          </w:p>
        </w:tc>
        <w:tc>
          <w:tcPr>
            <w:tcW w:w="1301" w:type="dxa"/>
            <w:vAlign w:val="center"/>
          </w:tcPr>
          <w:p>
            <w:pPr>
              <w:widowControl/>
              <w:jc w:val="center"/>
              <w:outlineLvl w:val="1"/>
              <w:rPr>
                <w:rFonts w:ascii="宋体" w:hAnsi="宋体" w:cs="宋体"/>
                <w:color w:val="auto"/>
                <w:sz w:val="24"/>
                <w:highlight w:val="none"/>
              </w:rPr>
            </w:pPr>
            <w:bookmarkStart w:id="248" w:name="_Toc503862950"/>
            <w:r>
              <w:rPr>
                <w:rFonts w:hint="eastAsia" w:ascii="宋体" w:hAnsi="宋体" w:cs="宋体"/>
                <w:color w:val="auto"/>
                <w:sz w:val="24"/>
                <w:highlight w:val="none"/>
              </w:rPr>
              <w:t>技术职称</w:t>
            </w:r>
            <w:bookmarkEnd w:id="248"/>
          </w:p>
        </w:tc>
        <w:tc>
          <w:tcPr>
            <w:tcW w:w="1378" w:type="dxa"/>
            <w:vAlign w:val="center"/>
          </w:tcPr>
          <w:p>
            <w:pPr>
              <w:widowControl/>
              <w:jc w:val="center"/>
              <w:rPr>
                <w:rFonts w:ascii="宋体" w:hAnsi="宋体" w:cs="宋体"/>
                <w:color w:val="auto"/>
                <w:sz w:val="24"/>
                <w:highlight w:val="none"/>
              </w:rPr>
            </w:pPr>
          </w:p>
        </w:tc>
        <w:tc>
          <w:tcPr>
            <w:tcW w:w="887" w:type="dxa"/>
            <w:vAlign w:val="center"/>
          </w:tcPr>
          <w:p>
            <w:pPr>
              <w:widowControl/>
              <w:jc w:val="center"/>
              <w:outlineLvl w:val="1"/>
              <w:rPr>
                <w:rFonts w:ascii="宋体" w:hAnsi="宋体" w:cs="宋体"/>
                <w:color w:val="auto"/>
                <w:sz w:val="24"/>
                <w:highlight w:val="none"/>
              </w:rPr>
            </w:pPr>
            <w:bookmarkStart w:id="249" w:name="_Toc503862951"/>
            <w:r>
              <w:rPr>
                <w:rFonts w:hint="eastAsia" w:ascii="宋体" w:hAnsi="宋体" w:cs="宋体"/>
                <w:color w:val="auto"/>
                <w:sz w:val="24"/>
                <w:highlight w:val="none"/>
              </w:rPr>
              <w:t>电话</w:t>
            </w:r>
            <w:bookmarkEnd w:id="249"/>
          </w:p>
        </w:tc>
        <w:tc>
          <w:tcPr>
            <w:tcW w:w="2134" w:type="dxa"/>
            <w:vAlign w:val="center"/>
          </w:tcPr>
          <w:p>
            <w:pPr>
              <w:widowControl/>
              <w:jc w:val="center"/>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755" w:type="dxa"/>
            <w:vAlign w:val="center"/>
          </w:tcPr>
          <w:p>
            <w:pPr>
              <w:widowControl/>
              <w:jc w:val="center"/>
              <w:outlineLvl w:val="1"/>
              <w:rPr>
                <w:rFonts w:ascii="宋体" w:hAnsi="宋体" w:cs="宋体"/>
                <w:color w:val="auto"/>
                <w:sz w:val="24"/>
                <w:highlight w:val="none"/>
              </w:rPr>
            </w:pPr>
            <w:bookmarkStart w:id="250" w:name="_Toc503862952"/>
            <w:r>
              <w:rPr>
                <w:rFonts w:hint="eastAsia" w:ascii="宋体" w:hAnsi="宋体" w:cs="宋体"/>
                <w:color w:val="auto"/>
                <w:sz w:val="24"/>
                <w:highlight w:val="none"/>
              </w:rPr>
              <w:t>技术负责人</w:t>
            </w:r>
            <w:bookmarkEnd w:id="250"/>
          </w:p>
        </w:tc>
        <w:tc>
          <w:tcPr>
            <w:tcW w:w="999" w:type="dxa"/>
            <w:vAlign w:val="center"/>
          </w:tcPr>
          <w:p>
            <w:pPr>
              <w:widowControl/>
              <w:jc w:val="center"/>
              <w:outlineLvl w:val="1"/>
              <w:rPr>
                <w:rFonts w:ascii="宋体" w:hAnsi="宋体" w:cs="宋体"/>
                <w:color w:val="auto"/>
                <w:sz w:val="24"/>
                <w:highlight w:val="none"/>
              </w:rPr>
            </w:pPr>
            <w:bookmarkStart w:id="251" w:name="_Toc503862953"/>
            <w:r>
              <w:rPr>
                <w:rFonts w:hint="eastAsia" w:ascii="宋体" w:hAnsi="宋体" w:cs="宋体"/>
                <w:color w:val="auto"/>
                <w:sz w:val="24"/>
                <w:highlight w:val="none"/>
              </w:rPr>
              <w:t>姓名</w:t>
            </w:r>
            <w:bookmarkEnd w:id="251"/>
          </w:p>
        </w:tc>
        <w:tc>
          <w:tcPr>
            <w:tcW w:w="1293" w:type="dxa"/>
            <w:vAlign w:val="center"/>
          </w:tcPr>
          <w:p>
            <w:pPr>
              <w:widowControl/>
              <w:jc w:val="center"/>
              <w:rPr>
                <w:rFonts w:ascii="宋体" w:hAnsi="宋体" w:cs="宋体"/>
                <w:color w:val="auto"/>
                <w:sz w:val="24"/>
                <w:highlight w:val="none"/>
              </w:rPr>
            </w:pPr>
          </w:p>
        </w:tc>
        <w:tc>
          <w:tcPr>
            <w:tcW w:w="1301" w:type="dxa"/>
            <w:vAlign w:val="center"/>
          </w:tcPr>
          <w:p>
            <w:pPr>
              <w:widowControl/>
              <w:jc w:val="center"/>
              <w:outlineLvl w:val="1"/>
              <w:rPr>
                <w:rFonts w:ascii="宋体" w:hAnsi="宋体" w:cs="宋体"/>
                <w:color w:val="auto"/>
                <w:sz w:val="24"/>
                <w:highlight w:val="none"/>
              </w:rPr>
            </w:pPr>
            <w:bookmarkStart w:id="252" w:name="_Toc503862954"/>
            <w:r>
              <w:rPr>
                <w:rFonts w:hint="eastAsia" w:ascii="宋体" w:hAnsi="宋体" w:cs="宋体"/>
                <w:color w:val="auto"/>
                <w:sz w:val="24"/>
                <w:highlight w:val="none"/>
              </w:rPr>
              <w:t>技术职称</w:t>
            </w:r>
            <w:bookmarkEnd w:id="252"/>
          </w:p>
        </w:tc>
        <w:tc>
          <w:tcPr>
            <w:tcW w:w="1378" w:type="dxa"/>
            <w:vAlign w:val="center"/>
          </w:tcPr>
          <w:p>
            <w:pPr>
              <w:widowControl/>
              <w:jc w:val="center"/>
              <w:rPr>
                <w:rFonts w:ascii="宋体" w:hAnsi="宋体" w:cs="宋体"/>
                <w:color w:val="auto"/>
                <w:sz w:val="24"/>
                <w:highlight w:val="none"/>
              </w:rPr>
            </w:pPr>
          </w:p>
        </w:tc>
        <w:tc>
          <w:tcPr>
            <w:tcW w:w="887" w:type="dxa"/>
            <w:vAlign w:val="center"/>
          </w:tcPr>
          <w:p>
            <w:pPr>
              <w:widowControl/>
              <w:jc w:val="center"/>
              <w:outlineLvl w:val="1"/>
              <w:rPr>
                <w:rFonts w:ascii="宋体" w:hAnsi="宋体" w:cs="宋体"/>
                <w:color w:val="auto"/>
                <w:sz w:val="24"/>
                <w:highlight w:val="none"/>
              </w:rPr>
            </w:pPr>
            <w:bookmarkStart w:id="253" w:name="_Toc503862955"/>
            <w:r>
              <w:rPr>
                <w:rFonts w:hint="eastAsia" w:ascii="宋体" w:hAnsi="宋体" w:cs="宋体"/>
                <w:color w:val="auto"/>
                <w:sz w:val="24"/>
                <w:highlight w:val="none"/>
              </w:rPr>
              <w:t>电话</w:t>
            </w:r>
            <w:bookmarkEnd w:id="253"/>
          </w:p>
        </w:tc>
        <w:tc>
          <w:tcPr>
            <w:tcW w:w="2134" w:type="dxa"/>
            <w:vAlign w:val="center"/>
          </w:tcPr>
          <w:p>
            <w:pPr>
              <w:widowControl/>
              <w:jc w:val="center"/>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97" w:hRule="atLeast"/>
          <w:jc w:val="center"/>
        </w:trPr>
        <w:tc>
          <w:tcPr>
            <w:tcW w:w="1755" w:type="dxa"/>
            <w:vAlign w:val="center"/>
          </w:tcPr>
          <w:p>
            <w:pPr>
              <w:widowControl/>
              <w:jc w:val="center"/>
              <w:outlineLvl w:val="1"/>
              <w:rPr>
                <w:rFonts w:ascii="宋体" w:hAnsi="宋体" w:cs="宋体"/>
                <w:color w:val="auto"/>
                <w:sz w:val="24"/>
                <w:highlight w:val="none"/>
              </w:rPr>
            </w:pPr>
            <w:bookmarkStart w:id="254" w:name="_Toc503862956"/>
            <w:r>
              <w:rPr>
                <w:rFonts w:hint="eastAsia" w:ascii="宋体" w:hAnsi="宋体" w:cs="宋体"/>
                <w:color w:val="auto"/>
                <w:sz w:val="24"/>
                <w:highlight w:val="none"/>
              </w:rPr>
              <w:t>成立时间</w:t>
            </w:r>
            <w:bookmarkEnd w:id="254"/>
          </w:p>
        </w:tc>
        <w:tc>
          <w:tcPr>
            <w:tcW w:w="2292" w:type="dxa"/>
            <w:gridSpan w:val="2"/>
            <w:vAlign w:val="center"/>
          </w:tcPr>
          <w:p>
            <w:pPr>
              <w:widowControl/>
              <w:jc w:val="center"/>
              <w:rPr>
                <w:rFonts w:ascii="宋体" w:hAnsi="宋体" w:cs="宋体"/>
                <w:color w:val="auto"/>
                <w:sz w:val="24"/>
                <w:highlight w:val="none"/>
              </w:rPr>
            </w:pPr>
          </w:p>
        </w:tc>
        <w:tc>
          <w:tcPr>
            <w:tcW w:w="5700" w:type="dxa"/>
            <w:gridSpan w:val="4"/>
            <w:vAlign w:val="center"/>
          </w:tcPr>
          <w:p>
            <w:pPr>
              <w:widowControl/>
              <w:jc w:val="left"/>
              <w:outlineLvl w:val="1"/>
              <w:rPr>
                <w:rFonts w:ascii="宋体" w:hAnsi="宋体" w:cs="宋体"/>
                <w:color w:val="auto"/>
                <w:sz w:val="24"/>
                <w:highlight w:val="none"/>
              </w:rPr>
            </w:pPr>
            <w:bookmarkStart w:id="255" w:name="_Toc503862957"/>
            <w:r>
              <w:rPr>
                <w:rFonts w:hint="eastAsia" w:ascii="宋体" w:hAnsi="宋体" w:cs="宋体"/>
                <w:color w:val="auto"/>
                <w:sz w:val="24"/>
                <w:highlight w:val="none"/>
              </w:rPr>
              <w:t>员工总人数：</w:t>
            </w:r>
            <w:bookmarkEnd w:id="255"/>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55" w:type="dxa"/>
            <w:vAlign w:val="center"/>
          </w:tcPr>
          <w:p>
            <w:pPr>
              <w:widowControl/>
              <w:jc w:val="center"/>
              <w:outlineLvl w:val="1"/>
              <w:rPr>
                <w:rFonts w:ascii="宋体" w:hAnsi="宋体" w:cs="宋体"/>
                <w:color w:val="auto"/>
                <w:sz w:val="24"/>
                <w:highlight w:val="none"/>
              </w:rPr>
            </w:pPr>
            <w:bookmarkStart w:id="256" w:name="_Toc503862958"/>
            <w:r>
              <w:rPr>
                <w:rFonts w:hint="eastAsia" w:ascii="宋体" w:hAnsi="宋体" w:cs="宋体"/>
                <w:color w:val="auto"/>
                <w:sz w:val="24"/>
                <w:highlight w:val="none"/>
              </w:rPr>
              <w:t>企业资质等级</w:t>
            </w:r>
            <w:bookmarkEnd w:id="256"/>
          </w:p>
        </w:tc>
        <w:tc>
          <w:tcPr>
            <w:tcW w:w="7992" w:type="dxa"/>
            <w:gridSpan w:val="6"/>
            <w:vAlign w:val="center"/>
          </w:tcPr>
          <w:p>
            <w:pPr>
              <w:widowControl/>
              <w:jc w:val="center"/>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97" w:hRule="atLeast"/>
          <w:jc w:val="center"/>
        </w:trPr>
        <w:tc>
          <w:tcPr>
            <w:tcW w:w="1755" w:type="dxa"/>
            <w:vAlign w:val="center"/>
          </w:tcPr>
          <w:p>
            <w:pPr>
              <w:widowControl/>
              <w:jc w:val="center"/>
              <w:outlineLvl w:val="1"/>
              <w:rPr>
                <w:rFonts w:ascii="宋体" w:hAnsi="宋体" w:cs="宋体"/>
                <w:color w:val="auto"/>
                <w:sz w:val="24"/>
                <w:highlight w:val="none"/>
              </w:rPr>
            </w:pPr>
            <w:bookmarkStart w:id="257" w:name="_Toc503862961"/>
            <w:r>
              <w:rPr>
                <w:rFonts w:hint="eastAsia" w:ascii="宋体" w:hAnsi="宋体" w:cs="宋体"/>
                <w:color w:val="auto"/>
                <w:sz w:val="24"/>
                <w:highlight w:val="none"/>
              </w:rPr>
              <w:t>营业执照号</w:t>
            </w:r>
            <w:bookmarkEnd w:id="257"/>
          </w:p>
        </w:tc>
        <w:tc>
          <w:tcPr>
            <w:tcW w:w="7992" w:type="dxa"/>
            <w:gridSpan w:val="6"/>
            <w:vAlign w:val="center"/>
          </w:tcPr>
          <w:p>
            <w:pPr>
              <w:widowControl/>
              <w:jc w:val="center"/>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55" w:type="dxa"/>
            <w:vAlign w:val="center"/>
          </w:tcPr>
          <w:p>
            <w:pPr>
              <w:widowControl/>
              <w:jc w:val="center"/>
              <w:outlineLvl w:val="1"/>
              <w:rPr>
                <w:rFonts w:ascii="宋体" w:hAnsi="宋体" w:cs="宋体"/>
                <w:color w:val="auto"/>
                <w:sz w:val="24"/>
                <w:highlight w:val="none"/>
              </w:rPr>
            </w:pPr>
            <w:bookmarkStart w:id="258" w:name="_Toc503862963"/>
            <w:r>
              <w:rPr>
                <w:rFonts w:hint="eastAsia" w:ascii="宋体" w:hAnsi="宋体" w:cs="宋体"/>
                <w:color w:val="auto"/>
                <w:sz w:val="24"/>
                <w:highlight w:val="none"/>
              </w:rPr>
              <w:t>注册资金</w:t>
            </w:r>
            <w:bookmarkEnd w:id="258"/>
          </w:p>
        </w:tc>
        <w:tc>
          <w:tcPr>
            <w:tcW w:w="7992" w:type="dxa"/>
            <w:gridSpan w:val="6"/>
            <w:vAlign w:val="center"/>
          </w:tcPr>
          <w:p>
            <w:pPr>
              <w:widowControl/>
              <w:jc w:val="center"/>
              <w:rPr>
                <w:rFonts w:ascii="宋体" w:hAnsi="宋体" w:cs="宋体"/>
                <w:color w:val="auto"/>
                <w:sz w:val="24"/>
                <w:highlight w:val="none"/>
              </w:rPr>
            </w:pPr>
          </w:p>
          <w:p>
            <w:pPr>
              <w:widowControl/>
              <w:jc w:val="center"/>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42" w:hRule="atLeast"/>
          <w:jc w:val="center"/>
        </w:trPr>
        <w:tc>
          <w:tcPr>
            <w:tcW w:w="1755" w:type="dxa"/>
            <w:vAlign w:val="center"/>
          </w:tcPr>
          <w:p>
            <w:pPr>
              <w:widowControl/>
              <w:jc w:val="center"/>
              <w:outlineLvl w:val="1"/>
              <w:rPr>
                <w:rFonts w:ascii="宋体" w:hAnsi="宋体" w:cs="宋体"/>
                <w:color w:val="auto"/>
                <w:sz w:val="24"/>
                <w:highlight w:val="none"/>
              </w:rPr>
            </w:pPr>
            <w:bookmarkStart w:id="259" w:name="_Toc503862965"/>
            <w:r>
              <w:rPr>
                <w:rFonts w:hint="eastAsia" w:ascii="宋体" w:hAnsi="宋体" w:cs="宋体"/>
                <w:color w:val="auto"/>
                <w:sz w:val="24"/>
                <w:highlight w:val="none"/>
              </w:rPr>
              <w:t>开户银行</w:t>
            </w:r>
            <w:bookmarkEnd w:id="259"/>
          </w:p>
        </w:tc>
        <w:tc>
          <w:tcPr>
            <w:tcW w:w="7992" w:type="dxa"/>
            <w:gridSpan w:val="6"/>
            <w:vAlign w:val="center"/>
          </w:tcPr>
          <w:p>
            <w:pPr>
              <w:widowControl/>
              <w:jc w:val="center"/>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2" w:hRule="atLeast"/>
          <w:jc w:val="center"/>
        </w:trPr>
        <w:tc>
          <w:tcPr>
            <w:tcW w:w="1755" w:type="dxa"/>
            <w:vAlign w:val="center"/>
          </w:tcPr>
          <w:p>
            <w:pPr>
              <w:widowControl/>
              <w:jc w:val="center"/>
              <w:outlineLvl w:val="1"/>
              <w:rPr>
                <w:rFonts w:ascii="宋体" w:hAnsi="宋体" w:cs="宋体"/>
                <w:color w:val="auto"/>
                <w:sz w:val="24"/>
                <w:highlight w:val="none"/>
              </w:rPr>
            </w:pPr>
            <w:bookmarkStart w:id="260" w:name="_Toc503862967"/>
            <w:r>
              <w:rPr>
                <w:rFonts w:hint="eastAsia" w:ascii="宋体" w:hAnsi="宋体" w:cs="宋体"/>
                <w:color w:val="auto"/>
                <w:sz w:val="24"/>
                <w:highlight w:val="none"/>
              </w:rPr>
              <w:t>账号</w:t>
            </w:r>
            <w:bookmarkEnd w:id="260"/>
          </w:p>
        </w:tc>
        <w:tc>
          <w:tcPr>
            <w:tcW w:w="7992" w:type="dxa"/>
            <w:gridSpan w:val="6"/>
            <w:vAlign w:val="center"/>
          </w:tcPr>
          <w:p>
            <w:pPr>
              <w:widowControl/>
              <w:jc w:val="center"/>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557" w:hRule="atLeast"/>
          <w:jc w:val="center"/>
        </w:trPr>
        <w:tc>
          <w:tcPr>
            <w:tcW w:w="1755" w:type="dxa"/>
            <w:vAlign w:val="center"/>
          </w:tcPr>
          <w:p>
            <w:pPr>
              <w:widowControl/>
              <w:jc w:val="center"/>
              <w:outlineLvl w:val="1"/>
              <w:rPr>
                <w:rFonts w:ascii="宋体" w:hAnsi="宋体" w:cs="宋体"/>
                <w:color w:val="auto"/>
                <w:sz w:val="24"/>
                <w:highlight w:val="none"/>
              </w:rPr>
            </w:pPr>
            <w:bookmarkStart w:id="261" w:name="_Toc503862969"/>
            <w:r>
              <w:rPr>
                <w:rFonts w:hint="eastAsia" w:ascii="宋体" w:hAnsi="宋体" w:cs="宋体"/>
                <w:color w:val="auto"/>
                <w:sz w:val="24"/>
                <w:highlight w:val="none"/>
              </w:rPr>
              <w:t>经营范围</w:t>
            </w:r>
            <w:bookmarkEnd w:id="261"/>
          </w:p>
        </w:tc>
        <w:tc>
          <w:tcPr>
            <w:tcW w:w="7992" w:type="dxa"/>
            <w:gridSpan w:val="6"/>
            <w:vAlign w:val="center"/>
          </w:tcPr>
          <w:p>
            <w:pPr>
              <w:widowControl/>
              <w:jc w:val="center"/>
              <w:rPr>
                <w:rFonts w:ascii="宋体" w:hAnsi="宋体" w:cs="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97" w:hRule="atLeast"/>
          <w:jc w:val="center"/>
        </w:trPr>
        <w:tc>
          <w:tcPr>
            <w:tcW w:w="1755" w:type="dxa"/>
            <w:vAlign w:val="center"/>
          </w:tcPr>
          <w:p>
            <w:pPr>
              <w:widowControl/>
              <w:jc w:val="center"/>
              <w:outlineLvl w:val="1"/>
              <w:rPr>
                <w:rFonts w:ascii="宋体" w:hAnsi="宋体" w:cs="宋体"/>
                <w:color w:val="auto"/>
                <w:sz w:val="24"/>
                <w:highlight w:val="none"/>
              </w:rPr>
            </w:pPr>
            <w:bookmarkStart w:id="262" w:name="_Toc503862970"/>
            <w:r>
              <w:rPr>
                <w:rFonts w:hint="eastAsia" w:ascii="宋体" w:hAnsi="宋体" w:cs="宋体"/>
                <w:color w:val="auto"/>
                <w:sz w:val="24"/>
                <w:highlight w:val="none"/>
              </w:rPr>
              <w:t>备注</w:t>
            </w:r>
            <w:bookmarkEnd w:id="262"/>
          </w:p>
        </w:tc>
        <w:tc>
          <w:tcPr>
            <w:tcW w:w="7992" w:type="dxa"/>
            <w:gridSpan w:val="6"/>
            <w:vAlign w:val="center"/>
          </w:tcPr>
          <w:p>
            <w:pPr>
              <w:widowControl/>
              <w:jc w:val="center"/>
              <w:rPr>
                <w:rFonts w:ascii="宋体" w:hAnsi="宋体" w:cs="宋体"/>
                <w:color w:val="auto"/>
                <w:sz w:val="24"/>
                <w:highlight w:val="none"/>
              </w:rPr>
            </w:pPr>
          </w:p>
        </w:tc>
      </w:tr>
    </w:tbl>
    <w:p>
      <w:pPr>
        <w:widowControl/>
        <w:adjustRightInd w:val="0"/>
        <w:snapToGrid w:val="0"/>
        <w:spacing w:line="360" w:lineRule="auto"/>
        <w:jc w:val="left"/>
        <w:rPr>
          <w:rFonts w:ascii="宋体" w:hAnsi="宋体" w:cs="宋体"/>
          <w:b/>
          <w:bCs/>
          <w:color w:val="auto"/>
          <w:sz w:val="24"/>
          <w:highlight w:val="none"/>
        </w:rPr>
      </w:pP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投标人名称：XXXX（单位盖章）。</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法定代表人/单位负责人或授权代表（签字或加盖个人名章）：XXXX。</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投标日期: XXXX。</w:t>
      </w:r>
    </w:p>
    <w:p>
      <w:pPr>
        <w:rPr>
          <w:rFonts w:ascii="宋体" w:hAnsi="宋体" w:cs="宋体"/>
          <w:b/>
          <w:color w:val="auto"/>
          <w:sz w:val="32"/>
          <w:szCs w:val="32"/>
          <w:highlight w:val="none"/>
        </w:rPr>
      </w:pPr>
      <w:r>
        <w:rPr>
          <w:rFonts w:hint="eastAsia" w:ascii="宋体" w:hAnsi="宋体" w:cs="宋体"/>
          <w:b/>
          <w:color w:val="auto"/>
          <w:sz w:val="32"/>
          <w:szCs w:val="32"/>
          <w:highlight w:val="none"/>
        </w:rPr>
        <w:br w:type="page"/>
      </w: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格式2-9</w:t>
      </w:r>
    </w:p>
    <w:p>
      <w:pPr>
        <w:widowControl/>
        <w:spacing w:line="360" w:lineRule="auto"/>
        <w:jc w:val="center"/>
        <w:outlineLvl w:val="2"/>
        <w:rPr>
          <w:rFonts w:ascii="宋体" w:hAnsi="宋体" w:cs="宋体"/>
          <w:b/>
          <w:color w:val="auto"/>
          <w:sz w:val="32"/>
          <w:szCs w:val="32"/>
          <w:highlight w:val="none"/>
        </w:rPr>
      </w:pPr>
      <w:bookmarkStart w:id="263" w:name="_Toc503862974"/>
      <w:r>
        <w:rPr>
          <w:rFonts w:hint="eastAsia" w:ascii="宋体" w:hAnsi="宋体" w:cs="宋体"/>
          <w:b/>
          <w:color w:val="auto"/>
          <w:sz w:val="32"/>
          <w:szCs w:val="32"/>
          <w:highlight w:val="none"/>
        </w:rPr>
        <w:t>八、类似项目业绩一览表</w:t>
      </w:r>
      <w:bookmarkEnd w:id="263"/>
    </w:p>
    <w:p>
      <w:pPr>
        <w:pStyle w:val="8"/>
        <w:rPr>
          <w:rFonts w:ascii="宋体" w:hAnsi="宋体" w:cs="宋体"/>
          <w:color w:val="auto"/>
          <w:highlight w:val="none"/>
        </w:rPr>
      </w:pP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项目名称</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招标编号：</w:t>
      </w:r>
    </w:p>
    <w:tbl>
      <w:tblPr>
        <w:tblStyle w:val="21"/>
        <w:tblW w:w="917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75"/>
        <w:gridCol w:w="1551"/>
        <w:gridCol w:w="1421"/>
        <w:gridCol w:w="1250"/>
        <w:gridCol w:w="1357"/>
        <w:gridCol w:w="9"/>
        <w:gridCol w:w="1746"/>
        <w:gridCol w:w="10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9" w:hRule="atLeast"/>
          <w:jc w:val="center"/>
        </w:trPr>
        <w:tc>
          <w:tcPr>
            <w:tcW w:w="775" w:type="dxa"/>
            <w:tcBorders>
              <w:top w:val="single" w:color="auto" w:sz="4" w:space="0"/>
            </w:tcBorders>
            <w:vAlign w:val="center"/>
          </w:tcPr>
          <w:p>
            <w:pPr>
              <w:widowControl/>
              <w:jc w:val="center"/>
              <w:outlineLvl w:val="1"/>
              <w:rPr>
                <w:rFonts w:ascii="宋体" w:hAnsi="宋体" w:cs="宋体"/>
                <w:b/>
                <w:bCs/>
                <w:color w:val="auto"/>
                <w:sz w:val="24"/>
                <w:highlight w:val="none"/>
              </w:rPr>
            </w:pPr>
            <w:bookmarkStart w:id="264" w:name="_Toc503862975"/>
            <w:r>
              <w:rPr>
                <w:rFonts w:hint="eastAsia" w:ascii="宋体" w:hAnsi="宋体" w:cs="宋体"/>
                <w:b/>
                <w:bCs/>
                <w:color w:val="auto"/>
                <w:sz w:val="24"/>
                <w:highlight w:val="none"/>
              </w:rPr>
              <w:t>年份</w:t>
            </w:r>
            <w:bookmarkEnd w:id="264"/>
          </w:p>
        </w:tc>
        <w:tc>
          <w:tcPr>
            <w:tcW w:w="1551" w:type="dxa"/>
            <w:vAlign w:val="center"/>
          </w:tcPr>
          <w:p>
            <w:pPr>
              <w:widowControl/>
              <w:jc w:val="center"/>
              <w:outlineLvl w:val="1"/>
              <w:rPr>
                <w:rFonts w:ascii="宋体" w:hAnsi="宋体" w:cs="宋体"/>
                <w:b/>
                <w:bCs/>
                <w:color w:val="auto"/>
                <w:sz w:val="24"/>
                <w:highlight w:val="none"/>
              </w:rPr>
            </w:pPr>
            <w:bookmarkStart w:id="265" w:name="_Toc503862976"/>
            <w:r>
              <w:rPr>
                <w:rFonts w:hint="eastAsia" w:ascii="宋体" w:hAnsi="宋体" w:cs="宋体"/>
                <w:b/>
                <w:bCs/>
                <w:color w:val="auto"/>
                <w:sz w:val="24"/>
                <w:highlight w:val="none"/>
              </w:rPr>
              <w:t>用户名称</w:t>
            </w:r>
            <w:bookmarkEnd w:id="265"/>
          </w:p>
        </w:tc>
        <w:tc>
          <w:tcPr>
            <w:tcW w:w="1421" w:type="dxa"/>
            <w:vAlign w:val="center"/>
          </w:tcPr>
          <w:p>
            <w:pPr>
              <w:widowControl/>
              <w:jc w:val="center"/>
              <w:outlineLvl w:val="1"/>
              <w:rPr>
                <w:rFonts w:ascii="宋体" w:hAnsi="宋体" w:cs="宋体"/>
                <w:b/>
                <w:bCs/>
                <w:color w:val="auto"/>
                <w:sz w:val="24"/>
                <w:highlight w:val="none"/>
              </w:rPr>
            </w:pPr>
            <w:bookmarkStart w:id="266" w:name="_Toc503862977"/>
            <w:r>
              <w:rPr>
                <w:rFonts w:hint="eastAsia" w:ascii="宋体" w:hAnsi="宋体" w:cs="宋体"/>
                <w:b/>
                <w:bCs/>
                <w:color w:val="auto"/>
                <w:sz w:val="24"/>
                <w:highlight w:val="none"/>
              </w:rPr>
              <w:t>项目名称</w:t>
            </w:r>
            <w:bookmarkEnd w:id="266"/>
          </w:p>
        </w:tc>
        <w:tc>
          <w:tcPr>
            <w:tcW w:w="1250" w:type="dxa"/>
            <w:vAlign w:val="center"/>
          </w:tcPr>
          <w:p>
            <w:pPr>
              <w:widowControl/>
              <w:jc w:val="center"/>
              <w:outlineLvl w:val="1"/>
              <w:rPr>
                <w:rFonts w:ascii="宋体" w:hAnsi="宋体" w:cs="宋体"/>
                <w:b/>
                <w:bCs/>
                <w:color w:val="auto"/>
                <w:sz w:val="24"/>
                <w:highlight w:val="none"/>
              </w:rPr>
            </w:pPr>
            <w:bookmarkStart w:id="267" w:name="_Toc503862978"/>
            <w:r>
              <w:rPr>
                <w:rFonts w:hint="eastAsia" w:ascii="宋体" w:hAnsi="宋体" w:cs="宋体"/>
                <w:b/>
                <w:bCs/>
                <w:color w:val="auto"/>
                <w:sz w:val="24"/>
                <w:highlight w:val="none"/>
              </w:rPr>
              <w:t>完成时间</w:t>
            </w:r>
            <w:bookmarkEnd w:id="267"/>
          </w:p>
        </w:tc>
        <w:tc>
          <w:tcPr>
            <w:tcW w:w="1357" w:type="dxa"/>
            <w:vAlign w:val="center"/>
          </w:tcPr>
          <w:p>
            <w:pPr>
              <w:widowControl/>
              <w:jc w:val="center"/>
              <w:outlineLvl w:val="1"/>
              <w:rPr>
                <w:rFonts w:ascii="宋体" w:hAnsi="宋体" w:cs="宋体"/>
                <w:b/>
                <w:bCs/>
                <w:color w:val="auto"/>
                <w:sz w:val="24"/>
                <w:highlight w:val="none"/>
              </w:rPr>
            </w:pPr>
            <w:bookmarkStart w:id="268" w:name="_Toc503862979"/>
            <w:r>
              <w:rPr>
                <w:rFonts w:hint="eastAsia" w:ascii="宋体" w:hAnsi="宋体" w:cs="宋体"/>
                <w:b/>
                <w:bCs/>
                <w:color w:val="auto"/>
                <w:sz w:val="24"/>
                <w:highlight w:val="none"/>
              </w:rPr>
              <w:t>合同金额</w:t>
            </w:r>
            <w:bookmarkEnd w:id="268"/>
          </w:p>
        </w:tc>
        <w:tc>
          <w:tcPr>
            <w:tcW w:w="1755" w:type="dxa"/>
            <w:gridSpan w:val="2"/>
            <w:tcBorders>
              <w:right w:val="single" w:color="auto" w:sz="4" w:space="0"/>
            </w:tcBorders>
            <w:vAlign w:val="center"/>
          </w:tcPr>
          <w:p>
            <w:pPr>
              <w:widowControl/>
              <w:jc w:val="center"/>
              <w:outlineLvl w:val="1"/>
              <w:rPr>
                <w:rFonts w:ascii="宋体" w:hAnsi="宋体" w:cs="宋体"/>
                <w:b/>
                <w:bCs/>
                <w:color w:val="auto"/>
                <w:sz w:val="24"/>
                <w:highlight w:val="none"/>
              </w:rPr>
            </w:pPr>
            <w:bookmarkStart w:id="269" w:name="_Toc503862980"/>
            <w:r>
              <w:rPr>
                <w:rFonts w:hint="eastAsia" w:ascii="宋体" w:hAnsi="宋体" w:cs="宋体"/>
                <w:b/>
                <w:bCs/>
                <w:color w:val="auto"/>
                <w:sz w:val="24"/>
                <w:highlight w:val="none"/>
              </w:rPr>
              <w:t>是否通过验收</w:t>
            </w:r>
            <w:bookmarkEnd w:id="269"/>
          </w:p>
        </w:tc>
        <w:tc>
          <w:tcPr>
            <w:tcW w:w="1068" w:type="dxa"/>
            <w:tcBorders>
              <w:left w:val="single" w:color="auto" w:sz="4" w:space="0"/>
            </w:tcBorders>
            <w:vAlign w:val="center"/>
          </w:tcPr>
          <w:p>
            <w:pPr>
              <w:widowControl/>
              <w:jc w:val="center"/>
              <w:outlineLvl w:val="1"/>
              <w:rPr>
                <w:rFonts w:ascii="宋体" w:hAnsi="宋体" w:cs="宋体"/>
                <w:b/>
                <w:bCs/>
                <w:color w:val="auto"/>
                <w:sz w:val="24"/>
                <w:highlight w:val="none"/>
              </w:rPr>
            </w:pPr>
            <w:bookmarkStart w:id="270" w:name="_Toc503862981"/>
            <w:r>
              <w:rPr>
                <w:rFonts w:hint="eastAsia" w:ascii="宋体" w:hAnsi="宋体" w:cs="宋体"/>
                <w:b/>
                <w:bCs/>
                <w:color w:val="auto"/>
                <w:sz w:val="24"/>
                <w:highlight w:val="none"/>
              </w:rPr>
              <w:t>备注</w:t>
            </w:r>
            <w:bookmarkEnd w:id="270"/>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75" w:type="dxa"/>
            <w:vAlign w:val="center"/>
          </w:tcPr>
          <w:p>
            <w:pPr>
              <w:widowControl/>
              <w:jc w:val="left"/>
              <w:rPr>
                <w:rFonts w:ascii="宋体" w:hAnsi="宋体" w:cs="宋体"/>
                <w:color w:val="auto"/>
                <w:sz w:val="24"/>
                <w:highlight w:val="none"/>
              </w:rPr>
            </w:pPr>
          </w:p>
        </w:tc>
        <w:tc>
          <w:tcPr>
            <w:tcW w:w="1551" w:type="dxa"/>
            <w:vAlign w:val="center"/>
          </w:tcPr>
          <w:p>
            <w:pPr>
              <w:widowControl/>
              <w:jc w:val="left"/>
              <w:rPr>
                <w:rFonts w:ascii="宋体" w:hAnsi="宋体" w:cs="宋体"/>
                <w:color w:val="auto"/>
                <w:sz w:val="24"/>
                <w:highlight w:val="none"/>
              </w:rPr>
            </w:pPr>
          </w:p>
        </w:tc>
        <w:tc>
          <w:tcPr>
            <w:tcW w:w="1421" w:type="dxa"/>
            <w:vAlign w:val="center"/>
          </w:tcPr>
          <w:p>
            <w:pPr>
              <w:widowControl/>
              <w:jc w:val="left"/>
              <w:rPr>
                <w:rFonts w:ascii="宋体" w:hAnsi="宋体" w:cs="宋体"/>
                <w:color w:val="auto"/>
                <w:sz w:val="24"/>
                <w:highlight w:val="none"/>
              </w:rPr>
            </w:pPr>
          </w:p>
        </w:tc>
        <w:tc>
          <w:tcPr>
            <w:tcW w:w="1250" w:type="dxa"/>
            <w:vAlign w:val="center"/>
          </w:tcPr>
          <w:p>
            <w:pPr>
              <w:widowControl/>
              <w:jc w:val="left"/>
              <w:rPr>
                <w:rFonts w:ascii="宋体" w:hAnsi="宋体" w:cs="宋体"/>
                <w:color w:val="auto"/>
                <w:sz w:val="24"/>
                <w:highlight w:val="none"/>
              </w:rPr>
            </w:pPr>
          </w:p>
        </w:tc>
        <w:tc>
          <w:tcPr>
            <w:tcW w:w="1357" w:type="dxa"/>
            <w:vAlign w:val="center"/>
          </w:tcPr>
          <w:p>
            <w:pPr>
              <w:widowControl/>
              <w:jc w:val="left"/>
              <w:rPr>
                <w:rFonts w:ascii="宋体" w:hAnsi="宋体" w:cs="宋体"/>
                <w:color w:val="auto"/>
                <w:sz w:val="24"/>
                <w:highlight w:val="none"/>
              </w:rPr>
            </w:pPr>
          </w:p>
        </w:tc>
        <w:tc>
          <w:tcPr>
            <w:tcW w:w="1755" w:type="dxa"/>
            <w:gridSpan w:val="2"/>
            <w:tcBorders>
              <w:right w:val="single" w:color="auto" w:sz="4" w:space="0"/>
            </w:tcBorders>
            <w:vAlign w:val="center"/>
          </w:tcPr>
          <w:p>
            <w:pPr>
              <w:widowControl/>
              <w:jc w:val="left"/>
              <w:rPr>
                <w:rFonts w:ascii="宋体" w:hAnsi="宋体" w:cs="宋体"/>
                <w:color w:val="auto"/>
                <w:sz w:val="24"/>
                <w:highlight w:val="none"/>
              </w:rPr>
            </w:pPr>
          </w:p>
        </w:tc>
        <w:tc>
          <w:tcPr>
            <w:tcW w:w="1068" w:type="dxa"/>
            <w:tcBorders>
              <w:left w:val="single" w:color="auto" w:sz="4" w:space="0"/>
            </w:tcBorders>
            <w:vAlign w:val="center"/>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75" w:type="dxa"/>
            <w:vAlign w:val="center"/>
          </w:tcPr>
          <w:p>
            <w:pPr>
              <w:widowControl/>
              <w:jc w:val="left"/>
              <w:rPr>
                <w:rFonts w:ascii="宋体" w:hAnsi="宋体" w:cs="宋体"/>
                <w:color w:val="auto"/>
                <w:sz w:val="24"/>
                <w:highlight w:val="none"/>
              </w:rPr>
            </w:pPr>
          </w:p>
        </w:tc>
        <w:tc>
          <w:tcPr>
            <w:tcW w:w="1551" w:type="dxa"/>
            <w:vAlign w:val="center"/>
          </w:tcPr>
          <w:p>
            <w:pPr>
              <w:widowControl/>
              <w:jc w:val="left"/>
              <w:rPr>
                <w:rFonts w:ascii="宋体" w:hAnsi="宋体" w:cs="宋体"/>
                <w:color w:val="auto"/>
                <w:sz w:val="24"/>
                <w:highlight w:val="none"/>
              </w:rPr>
            </w:pPr>
          </w:p>
        </w:tc>
        <w:tc>
          <w:tcPr>
            <w:tcW w:w="1421" w:type="dxa"/>
            <w:vAlign w:val="center"/>
          </w:tcPr>
          <w:p>
            <w:pPr>
              <w:widowControl/>
              <w:jc w:val="left"/>
              <w:rPr>
                <w:rFonts w:ascii="宋体" w:hAnsi="宋体" w:cs="宋体"/>
                <w:color w:val="auto"/>
                <w:sz w:val="24"/>
                <w:highlight w:val="none"/>
              </w:rPr>
            </w:pPr>
          </w:p>
        </w:tc>
        <w:tc>
          <w:tcPr>
            <w:tcW w:w="1250" w:type="dxa"/>
            <w:vAlign w:val="center"/>
          </w:tcPr>
          <w:p>
            <w:pPr>
              <w:widowControl/>
              <w:jc w:val="left"/>
              <w:rPr>
                <w:rFonts w:ascii="宋体" w:hAnsi="宋体" w:cs="宋体"/>
                <w:color w:val="auto"/>
                <w:sz w:val="24"/>
                <w:highlight w:val="none"/>
              </w:rPr>
            </w:pPr>
          </w:p>
        </w:tc>
        <w:tc>
          <w:tcPr>
            <w:tcW w:w="1357" w:type="dxa"/>
            <w:vAlign w:val="center"/>
          </w:tcPr>
          <w:p>
            <w:pPr>
              <w:widowControl/>
              <w:jc w:val="left"/>
              <w:rPr>
                <w:rFonts w:ascii="宋体" w:hAnsi="宋体" w:cs="宋体"/>
                <w:color w:val="auto"/>
                <w:sz w:val="24"/>
                <w:highlight w:val="none"/>
              </w:rPr>
            </w:pPr>
          </w:p>
        </w:tc>
        <w:tc>
          <w:tcPr>
            <w:tcW w:w="1755" w:type="dxa"/>
            <w:gridSpan w:val="2"/>
            <w:tcBorders>
              <w:right w:val="single" w:color="auto" w:sz="4" w:space="0"/>
            </w:tcBorders>
            <w:vAlign w:val="center"/>
          </w:tcPr>
          <w:p>
            <w:pPr>
              <w:widowControl/>
              <w:jc w:val="left"/>
              <w:rPr>
                <w:rFonts w:ascii="宋体" w:hAnsi="宋体" w:cs="宋体"/>
                <w:color w:val="auto"/>
                <w:sz w:val="24"/>
                <w:highlight w:val="none"/>
              </w:rPr>
            </w:pPr>
          </w:p>
        </w:tc>
        <w:tc>
          <w:tcPr>
            <w:tcW w:w="1068" w:type="dxa"/>
            <w:tcBorders>
              <w:left w:val="single" w:color="auto" w:sz="4" w:space="0"/>
            </w:tcBorders>
            <w:vAlign w:val="center"/>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75" w:type="dxa"/>
            <w:vAlign w:val="center"/>
          </w:tcPr>
          <w:p>
            <w:pPr>
              <w:widowControl/>
              <w:jc w:val="left"/>
              <w:rPr>
                <w:rFonts w:ascii="宋体" w:hAnsi="宋体" w:cs="宋体"/>
                <w:color w:val="auto"/>
                <w:sz w:val="24"/>
                <w:highlight w:val="none"/>
              </w:rPr>
            </w:pPr>
          </w:p>
        </w:tc>
        <w:tc>
          <w:tcPr>
            <w:tcW w:w="1551" w:type="dxa"/>
            <w:vAlign w:val="center"/>
          </w:tcPr>
          <w:p>
            <w:pPr>
              <w:widowControl/>
              <w:jc w:val="left"/>
              <w:rPr>
                <w:rFonts w:ascii="宋体" w:hAnsi="宋体" w:cs="宋体"/>
                <w:color w:val="auto"/>
                <w:sz w:val="24"/>
                <w:highlight w:val="none"/>
              </w:rPr>
            </w:pPr>
          </w:p>
        </w:tc>
        <w:tc>
          <w:tcPr>
            <w:tcW w:w="1421" w:type="dxa"/>
            <w:vAlign w:val="center"/>
          </w:tcPr>
          <w:p>
            <w:pPr>
              <w:widowControl/>
              <w:jc w:val="left"/>
              <w:rPr>
                <w:rFonts w:ascii="宋体" w:hAnsi="宋体" w:cs="宋体"/>
                <w:color w:val="auto"/>
                <w:sz w:val="24"/>
                <w:highlight w:val="none"/>
              </w:rPr>
            </w:pPr>
          </w:p>
        </w:tc>
        <w:tc>
          <w:tcPr>
            <w:tcW w:w="1250" w:type="dxa"/>
            <w:vAlign w:val="center"/>
          </w:tcPr>
          <w:p>
            <w:pPr>
              <w:widowControl/>
              <w:jc w:val="left"/>
              <w:rPr>
                <w:rFonts w:ascii="宋体" w:hAnsi="宋体" w:cs="宋体"/>
                <w:color w:val="auto"/>
                <w:sz w:val="24"/>
                <w:highlight w:val="none"/>
              </w:rPr>
            </w:pPr>
          </w:p>
        </w:tc>
        <w:tc>
          <w:tcPr>
            <w:tcW w:w="1357" w:type="dxa"/>
            <w:vAlign w:val="center"/>
          </w:tcPr>
          <w:p>
            <w:pPr>
              <w:widowControl/>
              <w:jc w:val="left"/>
              <w:rPr>
                <w:rFonts w:ascii="宋体" w:hAnsi="宋体" w:cs="宋体"/>
                <w:color w:val="auto"/>
                <w:sz w:val="24"/>
                <w:highlight w:val="none"/>
              </w:rPr>
            </w:pPr>
          </w:p>
        </w:tc>
        <w:tc>
          <w:tcPr>
            <w:tcW w:w="1755" w:type="dxa"/>
            <w:gridSpan w:val="2"/>
            <w:tcBorders>
              <w:right w:val="single" w:color="auto" w:sz="4" w:space="0"/>
            </w:tcBorders>
            <w:vAlign w:val="center"/>
          </w:tcPr>
          <w:p>
            <w:pPr>
              <w:widowControl/>
              <w:jc w:val="left"/>
              <w:rPr>
                <w:rFonts w:ascii="宋体" w:hAnsi="宋体" w:cs="宋体"/>
                <w:color w:val="auto"/>
                <w:sz w:val="24"/>
                <w:highlight w:val="none"/>
              </w:rPr>
            </w:pPr>
          </w:p>
        </w:tc>
        <w:tc>
          <w:tcPr>
            <w:tcW w:w="1068" w:type="dxa"/>
            <w:tcBorders>
              <w:left w:val="single" w:color="auto" w:sz="4" w:space="0"/>
            </w:tcBorders>
            <w:vAlign w:val="center"/>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75" w:type="dxa"/>
            <w:vAlign w:val="center"/>
          </w:tcPr>
          <w:p>
            <w:pPr>
              <w:widowControl/>
              <w:jc w:val="left"/>
              <w:rPr>
                <w:rFonts w:ascii="宋体" w:hAnsi="宋体" w:cs="宋体"/>
                <w:color w:val="auto"/>
                <w:sz w:val="24"/>
                <w:highlight w:val="none"/>
              </w:rPr>
            </w:pPr>
          </w:p>
        </w:tc>
        <w:tc>
          <w:tcPr>
            <w:tcW w:w="1551" w:type="dxa"/>
            <w:tcBorders>
              <w:right w:val="single" w:color="auto" w:sz="4" w:space="0"/>
            </w:tcBorders>
            <w:vAlign w:val="center"/>
          </w:tcPr>
          <w:p>
            <w:pPr>
              <w:widowControl/>
              <w:jc w:val="left"/>
              <w:rPr>
                <w:rFonts w:ascii="宋体" w:hAnsi="宋体" w:cs="宋体"/>
                <w:color w:val="auto"/>
                <w:sz w:val="24"/>
                <w:highlight w:val="none"/>
              </w:rPr>
            </w:pPr>
          </w:p>
        </w:tc>
        <w:tc>
          <w:tcPr>
            <w:tcW w:w="1421" w:type="dxa"/>
            <w:tcBorders>
              <w:left w:val="single" w:color="auto" w:sz="4" w:space="0"/>
            </w:tcBorders>
            <w:vAlign w:val="center"/>
          </w:tcPr>
          <w:p>
            <w:pPr>
              <w:widowControl/>
              <w:jc w:val="left"/>
              <w:rPr>
                <w:rFonts w:ascii="宋体" w:hAnsi="宋体" w:cs="宋体"/>
                <w:color w:val="auto"/>
                <w:sz w:val="24"/>
                <w:highlight w:val="none"/>
              </w:rPr>
            </w:pPr>
          </w:p>
        </w:tc>
        <w:tc>
          <w:tcPr>
            <w:tcW w:w="1250" w:type="dxa"/>
            <w:vAlign w:val="center"/>
          </w:tcPr>
          <w:p>
            <w:pPr>
              <w:widowControl/>
              <w:jc w:val="left"/>
              <w:rPr>
                <w:rFonts w:ascii="宋体" w:hAnsi="宋体" w:cs="宋体"/>
                <w:color w:val="auto"/>
                <w:sz w:val="24"/>
                <w:highlight w:val="none"/>
              </w:rPr>
            </w:pPr>
          </w:p>
        </w:tc>
        <w:tc>
          <w:tcPr>
            <w:tcW w:w="1357" w:type="dxa"/>
            <w:vAlign w:val="center"/>
          </w:tcPr>
          <w:p>
            <w:pPr>
              <w:widowControl/>
              <w:jc w:val="left"/>
              <w:rPr>
                <w:rFonts w:ascii="宋体" w:hAnsi="宋体" w:cs="宋体"/>
                <w:color w:val="auto"/>
                <w:sz w:val="24"/>
                <w:highlight w:val="none"/>
              </w:rPr>
            </w:pPr>
          </w:p>
        </w:tc>
        <w:tc>
          <w:tcPr>
            <w:tcW w:w="1755" w:type="dxa"/>
            <w:gridSpan w:val="2"/>
            <w:tcBorders>
              <w:right w:val="single" w:color="auto" w:sz="4" w:space="0"/>
            </w:tcBorders>
            <w:vAlign w:val="center"/>
          </w:tcPr>
          <w:p>
            <w:pPr>
              <w:widowControl/>
              <w:jc w:val="left"/>
              <w:rPr>
                <w:rFonts w:ascii="宋体" w:hAnsi="宋体" w:cs="宋体"/>
                <w:color w:val="auto"/>
                <w:sz w:val="24"/>
                <w:highlight w:val="none"/>
              </w:rPr>
            </w:pPr>
          </w:p>
        </w:tc>
        <w:tc>
          <w:tcPr>
            <w:tcW w:w="1068" w:type="dxa"/>
            <w:tcBorders>
              <w:left w:val="single" w:color="auto" w:sz="4" w:space="0"/>
            </w:tcBorders>
            <w:vAlign w:val="center"/>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75" w:type="dxa"/>
            <w:tcBorders>
              <w:right w:val="single" w:color="auto" w:sz="4" w:space="0"/>
            </w:tcBorders>
            <w:vAlign w:val="center"/>
          </w:tcPr>
          <w:p>
            <w:pPr>
              <w:widowControl/>
              <w:jc w:val="left"/>
              <w:rPr>
                <w:rFonts w:ascii="宋体" w:hAnsi="宋体" w:cs="宋体"/>
                <w:color w:val="auto"/>
                <w:sz w:val="24"/>
                <w:highlight w:val="none"/>
              </w:rPr>
            </w:pPr>
          </w:p>
        </w:tc>
        <w:tc>
          <w:tcPr>
            <w:tcW w:w="1551" w:type="dxa"/>
            <w:tcBorders>
              <w:left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421" w:type="dxa"/>
            <w:tcBorders>
              <w:left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250" w:type="dxa"/>
            <w:tcBorders>
              <w:left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366" w:type="dxa"/>
            <w:gridSpan w:val="2"/>
            <w:tcBorders>
              <w:left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746" w:type="dxa"/>
            <w:tcBorders>
              <w:left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068" w:type="dxa"/>
            <w:tcBorders>
              <w:left w:val="single" w:color="auto" w:sz="4" w:space="0"/>
            </w:tcBorders>
            <w:vAlign w:val="center"/>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75" w:type="dxa"/>
            <w:vAlign w:val="center"/>
          </w:tcPr>
          <w:p>
            <w:pPr>
              <w:widowControl/>
              <w:jc w:val="left"/>
              <w:rPr>
                <w:rFonts w:ascii="宋体" w:hAnsi="宋体" w:cs="宋体"/>
                <w:color w:val="auto"/>
                <w:sz w:val="24"/>
                <w:highlight w:val="none"/>
              </w:rPr>
            </w:pPr>
          </w:p>
        </w:tc>
        <w:tc>
          <w:tcPr>
            <w:tcW w:w="1551" w:type="dxa"/>
            <w:vAlign w:val="center"/>
          </w:tcPr>
          <w:p>
            <w:pPr>
              <w:widowControl/>
              <w:jc w:val="left"/>
              <w:rPr>
                <w:rFonts w:ascii="宋体" w:hAnsi="宋体" w:cs="宋体"/>
                <w:color w:val="auto"/>
                <w:sz w:val="24"/>
                <w:highlight w:val="none"/>
              </w:rPr>
            </w:pPr>
          </w:p>
        </w:tc>
        <w:tc>
          <w:tcPr>
            <w:tcW w:w="1421" w:type="dxa"/>
            <w:vAlign w:val="center"/>
          </w:tcPr>
          <w:p>
            <w:pPr>
              <w:widowControl/>
              <w:jc w:val="left"/>
              <w:rPr>
                <w:rFonts w:ascii="宋体" w:hAnsi="宋体" w:cs="宋体"/>
                <w:color w:val="auto"/>
                <w:sz w:val="24"/>
                <w:highlight w:val="none"/>
              </w:rPr>
            </w:pPr>
          </w:p>
        </w:tc>
        <w:tc>
          <w:tcPr>
            <w:tcW w:w="1250" w:type="dxa"/>
            <w:vAlign w:val="center"/>
          </w:tcPr>
          <w:p>
            <w:pPr>
              <w:widowControl/>
              <w:jc w:val="left"/>
              <w:rPr>
                <w:rFonts w:ascii="宋体" w:hAnsi="宋体" w:cs="宋体"/>
                <w:color w:val="auto"/>
                <w:sz w:val="24"/>
                <w:highlight w:val="none"/>
              </w:rPr>
            </w:pPr>
          </w:p>
        </w:tc>
        <w:tc>
          <w:tcPr>
            <w:tcW w:w="1366" w:type="dxa"/>
            <w:gridSpan w:val="2"/>
            <w:tcBorders>
              <w:right w:val="single" w:color="auto" w:sz="4" w:space="0"/>
            </w:tcBorders>
            <w:vAlign w:val="center"/>
          </w:tcPr>
          <w:p>
            <w:pPr>
              <w:widowControl/>
              <w:jc w:val="left"/>
              <w:rPr>
                <w:rFonts w:ascii="宋体" w:hAnsi="宋体" w:cs="宋体"/>
                <w:color w:val="auto"/>
                <w:sz w:val="24"/>
                <w:highlight w:val="none"/>
              </w:rPr>
            </w:pPr>
          </w:p>
        </w:tc>
        <w:tc>
          <w:tcPr>
            <w:tcW w:w="1746" w:type="dxa"/>
            <w:tcBorders>
              <w:left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068" w:type="dxa"/>
            <w:tcBorders>
              <w:left w:val="single" w:color="auto" w:sz="4" w:space="0"/>
            </w:tcBorders>
            <w:vAlign w:val="center"/>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75" w:type="dxa"/>
            <w:vAlign w:val="center"/>
          </w:tcPr>
          <w:p>
            <w:pPr>
              <w:widowControl/>
              <w:jc w:val="left"/>
              <w:rPr>
                <w:rFonts w:ascii="宋体" w:hAnsi="宋体" w:cs="宋体"/>
                <w:color w:val="auto"/>
                <w:sz w:val="24"/>
                <w:highlight w:val="none"/>
              </w:rPr>
            </w:pPr>
          </w:p>
        </w:tc>
        <w:tc>
          <w:tcPr>
            <w:tcW w:w="1551" w:type="dxa"/>
            <w:vAlign w:val="center"/>
          </w:tcPr>
          <w:p>
            <w:pPr>
              <w:widowControl/>
              <w:jc w:val="left"/>
              <w:rPr>
                <w:rFonts w:ascii="宋体" w:hAnsi="宋体" w:cs="宋体"/>
                <w:color w:val="auto"/>
                <w:sz w:val="24"/>
                <w:highlight w:val="none"/>
              </w:rPr>
            </w:pPr>
          </w:p>
        </w:tc>
        <w:tc>
          <w:tcPr>
            <w:tcW w:w="1421" w:type="dxa"/>
            <w:vAlign w:val="center"/>
          </w:tcPr>
          <w:p>
            <w:pPr>
              <w:widowControl/>
              <w:jc w:val="left"/>
              <w:rPr>
                <w:rFonts w:ascii="宋体" w:hAnsi="宋体" w:cs="宋体"/>
                <w:color w:val="auto"/>
                <w:sz w:val="24"/>
                <w:highlight w:val="none"/>
              </w:rPr>
            </w:pPr>
          </w:p>
        </w:tc>
        <w:tc>
          <w:tcPr>
            <w:tcW w:w="1250" w:type="dxa"/>
            <w:vAlign w:val="center"/>
          </w:tcPr>
          <w:p>
            <w:pPr>
              <w:widowControl/>
              <w:jc w:val="left"/>
              <w:rPr>
                <w:rFonts w:ascii="宋体" w:hAnsi="宋体" w:cs="宋体"/>
                <w:color w:val="auto"/>
                <w:sz w:val="24"/>
                <w:highlight w:val="none"/>
              </w:rPr>
            </w:pPr>
          </w:p>
        </w:tc>
        <w:tc>
          <w:tcPr>
            <w:tcW w:w="1366" w:type="dxa"/>
            <w:gridSpan w:val="2"/>
            <w:tcBorders>
              <w:right w:val="single" w:color="auto" w:sz="4" w:space="0"/>
            </w:tcBorders>
            <w:vAlign w:val="center"/>
          </w:tcPr>
          <w:p>
            <w:pPr>
              <w:widowControl/>
              <w:jc w:val="left"/>
              <w:rPr>
                <w:rFonts w:ascii="宋体" w:hAnsi="宋体" w:cs="宋体"/>
                <w:color w:val="auto"/>
                <w:sz w:val="24"/>
                <w:highlight w:val="none"/>
              </w:rPr>
            </w:pPr>
          </w:p>
        </w:tc>
        <w:tc>
          <w:tcPr>
            <w:tcW w:w="1746" w:type="dxa"/>
            <w:tcBorders>
              <w:left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068" w:type="dxa"/>
            <w:tcBorders>
              <w:left w:val="single" w:color="auto" w:sz="4" w:space="0"/>
            </w:tcBorders>
            <w:vAlign w:val="center"/>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4" w:hRule="atLeast"/>
          <w:jc w:val="center"/>
        </w:trPr>
        <w:tc>
          <w:tcPr>
            <w:tcW w:w="775" w:type="dxa"/>
            <w:vAlign w:val="center"/>
          </w:tcPr>
          <w:p>
            <w:pPr>
              <w:widowControl/>
              <w:jc w:val="left"/>
              <w:rPr>
                <w:rFonts w:ascii="宋体" w:hAnsi="宋体" w:cs="宋体"/>
                <w:color w:val="auto"/>
                <w:sz w:val="24"/>
                <w:highlight w:val="none"/>
              </w:rPr>
            </w:pPr>
          </w:p>
        </w:tc>
        <w:tc>
          <w:tcPr>
            <w:tcW w:w="1551" w:type="dxa"/>
            <w:vAlign w:val="center"/>
          </w:tcPr>
          <w:p>
            <w:pPr>
              <w:widowControl/>
              <w:jc w:val="left"/>
              <w:rPr>
                <w:rFonts w:ascii="宋体" w:hAnsi="宋体" w:cs="宋体"/>
                <w:color w:val="auto"/>
                <w:sz w:val="24"/>
                <w:highlight w:val="none"/>
              </w:rPr>
            </w:pPr>
          </w:p>
        </w:tc>
        <w:tc>
          <w:tcPr>
            <w:tcW w:w="1421" w:type="dxa"/>
            <w:vAlign w:val="center"/>
          </w:tcPr>
          <w:p>
            <w:pPr>
              <w:widowControl/>
              <w:jc w:val="left"/>
              <w:rPr>
                <w:rFonts w:ascii="宋体" w:hAnsi="宋体" w:cs="宋体"/>
                <w:color w:val="auto"/>
                <w:sz w:val="24"/>
                <w:highlight w:val="none"/>
              </w:rPr>
            </w:pPr>
          </w:p>
        </w:tc>
        <w:tc>
          <w:tcPr>
            <w:tcW w:w="1250" w:type="dxa"/>
            <w:vAlign w:val="center"/>
          </w:tcPr>
          <w:p>
            <w:pPr>
              <w:widowControl/>
              <w:jc w:val="left"/>
              <w:rPr>
                <w:rFonts w:ascii="宋体" w:hAnsi="宋体" w:cs="宋体"/>
                <w:color w:val="auto"/>
                <w:sz w:val="24"/>
                <w:highlight w:val="none"/>
              </w:rPr>
            </w:pPr>
          </w:p>
        </w:tc>
        <w:tc>
          <w:tcPr>
            <w:tcW w:w="1366" w:type="dxa"/>
            <w:gridSpan w:val="2"/>
            <w:tcBorders>
              <w:right w:val="single" w:color="auto" w:sz="4" w:space="0"/>
            </w:tcBorders>
            <w:vAlign w:val="center"/>
          </w:tcPr>
          <w:p>
            <w:pPr>
              <w:widowControl/>
              <w:jc w:val="left"/>
              <w:rPr>
                <w:rFonts w:ascii="宋体" w:hAnsi="宋体" w:cs="宋体"/>
                <w:color w:val="auto"/>
                <w:sz w:val="24"/>
                <w:highlight w:val="none"/>
              </w:rPr>
            </w:pPr>
          </w:p>
        </w:tc>
        <w:tc>
          <w:tcPr>
            <w:tcW w:w="1746" w:type="dxa"/>
            <w:tcBorders>
              <w:left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068" w:type="dxa"/>
            <w:tcBorders>
              <w:left w:val="single" w:color="auto" w:sz="4" w:space="0"/>
            </w:tcBorders>
            <w:vAlign w:val="center"/>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5" w:hRule="atLeast"/>
          <w:jc w:val="center"/>
        </w:trPr>
        <w:tc>
          <w:tcPr>
            <w:tcW w:w="775" w:type="dxa"/>
            <w:tcBorders>
              <w:bottom w:val="single" w:color="auto" w:sz="4" w:space="0"/>
            </w:tcBorders>
            <w:vAlign w:val="center"/>
          </w:tcPr>
          <w:p>
            <w:pPr>
              <w:widowControl/>
              <w:jc w:val="left"/>
              <w:rPr>
                <w:rFonts w:ascii="宋体" w:hAnsi="宋体" w:cs="宋体"/>
                <w:color w:val="auto"/>
                <w:sz w:val="24"/>
                <w:highlight w:val="none"/>
              </w:rPr>
            </w:pPr>
          </w:p>
        </w:tc>
        <w:tc>
          <w:tcPr>
            <w:tcW w:w="1551" w:type="dxa"/>
            <w:tcBorders>
              <w:bottom w:val="single" w:color="auto" w:sz="4" w:space="0"/>
            </w:tcBorders>
            <w:vAlign w:val="center"/>
          </w:tcPr>
          <w:p>
            <w:pPr>
              <w:widowControl/>
              <w:jc w:val="left"/>
              <w:rPr>
                <w:rFonts w:ascii="宋体" w:hAnsi="宋体" w:cs="宋体"/>
                <w:color w:val="auto"/>
                <w:sz w:val="24"/>
                <w:highlight w:val="none"/>
              </w:rPr>
            </w:pPr>
          </w:p>
        </w:tc>
        <w:tc>
          <w:tcPr>
            <w:tcW w:w="1421" w:type="dxa"/>
            <w:tcBorders>
              <w:bottom w:val="single" w:color="auto" w:sz="4" w:space="0"/>
            </w:tcBorders>
            <w:vAlign w:val="center"/>
          </w:tcPr>
          <w:p>
            <w:pPr>
              <w:widowControl/>
              <w:jc w:val="left"/>
              <w:rPr>
                <w:rFonts w:ascii="宋体" w:hAnsi="宋体" w:cs="宋体"/>
                <w:color w:val="auto"/>
                <w:sz w:val="24"/>
                <w:highlight w:val="none"/>
              </w:rPr>
            </w:pPr>
          </w:p>
        </w:tc>
        <w:tc>
          <w:tcPr>
            <w:tcW w:w="1250" w:type="dxa"/>
            <w:tcBorders>
              <w:bottom w:val="single" w:color="auto" w:sz="4" w:space="0"/>
            </w:tcBorders>
            <w:vAlign w:val="center"/>
          </w:tcPr>
          <w:p>
            <w:pPr>
              <w:widowControl/>
              <w:jc w:val="left"/>
              <w:rPr>
                <w:rFonts w:ascii="宋体" w:hAnsi="宋体" w:cs="宋体"/>
                <w:color w:val="auto"/>
                <w:sz w:val="24"/>
                <w:highlight w:val="none"/>
              </w:rPr>
            </w:pPr>
          </w:p>
        </w:tc>
        <w:tc>
          <w:tcPr>
            <w:tcW w:w="1366" w:type="dxa"/>
            <w:gridSpan w:val="2"/>
            <w:tcBorders>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746" w:type="dxa"/>
            <w:tcBorders>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068" w:type="dxa"/>
            <w:tcBorders>
              <w:left w:val="single" w:color="auto" w:sz="4" w:space="0"/>
              <w:bottom w:val="single" w:color="auto" w:sz="4" w:space="0"/>
            </w:tcBorders>
            <w:vAlign w:val="center"/>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atLeast"/>
          <w:jc w:val="center"/>
        </w:trPr>
        <w:tc>
          <w:tcPr>
            <w:tcW w:w="775" w:type="dxa"/>
            <w:tcBorders>
              <w:top w:val="single" w:color="auto" w:sz="4" w:space="0"/>
              <w:bottom w:val="single" w:color="auto" w:sz="4" w:space="0"/>
            </w:tcBorders>
            <w:vAlign w:val="center"/>
          </w:tcPr>
          <w:p>
            <w:pPr>
              <w:widowControl/>
              <w:jc w:val="left"/>
              <w:rPr>
                <w:rFonts w:ascii="宋体" w:hAnsi="宋体" w:cs="宋体"/>
                <w:color w:val="auto"/>
                <w:sz w:val="24"/>
                <w:highlight w:val="none"/>
              </w:rPr>
            </w:pPr>
          </w:p>
        </w:tc>
        <w:tc>
          <w:tcPr>
            <w:tcW w:w="1551" w:type="dxa"/>
            <w:tcBorders>
              <w:top w:val="single" w:color="auto" w:sz="4" w:space="0"/>
              <w:bottom w:val="single" w:color="auto" w:sz="4" w:space="0"/>
            </w:tcBorders>
            <w:vAlign w:val="center"/>
          </w:tcPr>
          <w:p>
            <w:pPr>
              <w:widowControl/>
              <w:jc w:val="left"/>
              <w:rPr>
                <w:rFonts w:ascii="宋体" w:hAnsi="宋体" w:cs="宋体"/>
                <w:color w:val="auto"/>
                <w:sz w:val="24"/>
                <w:highlight w:val="none"/>
              </w:rPr>
            </w:pPr>
          </w:p>
        </w:tc>
        <w:tc>
          <w:tcPr>
            <w:tcW w:w="1421" w:type="dxa"/>
            <w:tcBorders>
              <w:top w:val="single" w:color="auto" w:sz="4" w:space="0"/>
              <w:bottom w:val="single" w:color="auto" w:sz="4" w:space="0"/>
            </w:tcBorders>
            <w:vAlign w:val="center"/>
          </w:tcPr>
          <w:p>
            <w:pPr>
              <w:widowControl/>
              <w:jc w:val="left"/>
              <w:rPr>
                <w:rFonts w:ascii="宋体" w:hAnsi="宋体" w:cs="宋体"/>
                <w:color w:val="auto"/>
                <w:sz w:val="24"/>
                <w:highlight w:val="none"/>
              </w:rPr>
            </w:pPr>
          </w:p>
        </w:tc>
        <w:tc>
          <w:tcPr>
            <w:tcW w:w="1250" w:type="dxa"/>
            <w:tcBorders>
              <w:top w:val="single" w:color="auto" w:sz="4" w:space="0"/>
              <w:bottom w:val="single" w:color="auto" w:sz="4" w:space="0"/>
            </w:tcBorders>
            <w:vAlign w:val="center"/>
          </w:tcPr>
          <w:p>
            <w:pPr>
              <w:widowControl/>
              <w:jc w:val="left"/>
              <w:rPr>
                <w:rFonts w:ascii="宋体" w:hAnsi="宋体" w:cs="宋体"/>
                <w:color w:val="auto"/>
                <w:sz w:val="24"/>
                <w:highlight w:val="none"/>
              </w:rPr>
            </w:pPr>
          </w:p>
        </w:tc>
        <w:tc>
          <w:tcPr>
            <w:tcW w:w="1366" w:type="dxa"/>
            <w:gridSpan w:val="2"/>
            <w:tcBorders>
              <w:top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068" w:type="dxa"/>
            <w:tcBorders>
              <w:top w:val="single" w:color="auto" w:sz="4" w:space="0"/>
              <w:left w:val="single" w:color="auto" w:sz="4" w:space="0"/>
              <w:bottom w:val="single" w:color="auto" w:sz="4" w:space="0"/>
            </w:tcBorders>
            <w:vAlign w:val="center"/>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atLeast"/>
          <w:jc w:val="center"/>
        </w:trPr>
        <w:tc>
          <w:tcPr>
            <w:tcW w:w="775" w:type="dxa"/>
            <w:tcBorders>
              <w:top w:val="single" w:color="auto" w:sz="4" w:space="0"/>
              <w:bottom w:val="single" w:color="auto" w:sz="4" w:space="0"/>
            </w:tcBorders>
            <w:vAlign w:val="center"/>
          </w:tcPr>
          <w:p>
            <w:pPr>
              <w:widowControl/>
              <w:jc w:val="left"/>
              <w:rPr>
                <w:rFonts w:ascii="宋体" w:hAnsi="宋体" w:cs="宋体"/>
                <w:color w:val="auto"/>
                <w:sz w:val="24"/>
                <w:highlight w:val="none"/>
              </w:rPr>
            </w:pPr>
          </w:p>
        </w:tc>
        <w:tc>
          <w:tcPr>
            <w:tcW w:w="1551" w:type="dxa"/>
            <w:tcBorders>
              <w:top w:val="single" w:color="auto" w:sz="4" w:space="0"/>
              <w:bottom w:val="single" w:color="auto" w:sz="4" w:space="0"/>
            </w:tcBorders>
            <w:vAlign w:val="center"/>
          </w:tcPr>
          <w:p>
            <w:pPr>
              <w:widowControl/>
              <w:jc w:val="left"/>
              <w:rPr>
                <w:rFonts w:ascii="宋体" w:hAnsi="宋体" w:cs="宋体"/>
                <w:color w:val="auto"/>
                <w:sz w:val="24"/>
                <w:highlight w:val="none"/>
              </w:rPr>
            </w:pPr>
          </w:p>
        </w:tc>
        <w:tc>
          <w:tcPr>
            <w:tcW w:w="1421" w:type="dxa"/>
            <w:tcBorders>
              <w:top w:val="single" w:color="auto" w:sz="4" w:space="0"/>
              <w:bottom w:val="single" w:color="auto" w:sz="4" w:space="0"/>
            </w:tcBorders>
            <w:vAlign w:val="center"/>
          </w:tcPr>
          <w:p>
            <w:pPr>
              <w:widowControl/>
              <w:jc w:val="left"/>
              <w:rPr>
                <w:rFonts w:ascii="宋体" w:hAnsi="宋体" w:cs="宋体"/>
                <w:color w:val="auto"/>
                <w:sz w:val="24"/>
                <w:highlight w:val="none"/>
              </w:rPr>
            </w:pPr>
          </w:p>
        </w:tc>
        <w:tc>
          <w:tcPr>
            <w:tcW w:w="1250" w:type="dxa"/>
            <w:tcBorders>
              <w:top w:val="single" w:color="auto" w:sz="4" w:space="0"/>
              <w:bottom w:val="single" w:color="auto" w:sz="4" w:space="0"/>
            </w:tcBorders>
            <w:vAlign w:val="center"/>
          </w:tcPr>
          <w:p>
            <w:pPr>
              <w:widowControl/>
              <w:jc w:val="left"/>
              <w:rPr>
                <w:rFonts w:ascii="宋体" w:hAnsi="宋体" w:cs="宋体"/>
                <w:color w:val="auto"/>
                <w:sz w:val="24"/>
                <w:highlight w:val="none"/>
              </w:rPr>
            </w:pPr>
          </w:p>
        </w:tc>
        <w:tc>
          <w:tcPr>
            <w:tcW w:w="1366" w:type="dxa"/>
            <w:gridSpan w:val="2"/>
            <w:tcBorders>
              <w:top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068" w:type="dxa"/>
            <w:tcBorders>
              <w:top w:val="single" w:color="auto" w:sz="4" w:space="0"/>
              <w:left w:val="single" w:color="auto" w:sz="4" w:space="0"/>
              <w:bottom w:val="single" w:color="auto" w:sz="4" w:space="0"/>
            </w:tcBorders>
            <w:vAlign w:val="center"/>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60" w:hRule="atLeast"/>
          <w:jc w:val="center"/>
        </w:trPr>
        <w:tc>
          <w:tcPr>
            <w:tcW w:w="775" w:type="dxa"/>
            <w:tcBorders>
              <w:top w:val="single" w:color="auto" w:sz="4" w:space="0"/>
              <w:bottom w:val="single" w:color="auto" w:sz="4" w:space="0"/>
            </w:tcBorders>
            <w:vAlign w:val="center"/>
          </w:tcPr>
          <w:p>
            <w:pPr>
              <w:widowControl/>
              <w:jc w:val="left"/>
              <w:rPr>
                <w:rFonts w:ascii="宋体" w:hAnsi="宋体" w:cs="宋体"/>
                <w:color w:val="auto"/>
                <w:sz w:val="24"/>
                <w:highlight w:val="none"/>
              </w:rPr>
            </w:pPr>
          </w:p>
        </w:tc>
        <w:tc>
          <w:tcPr>
            <w:tcW w:w="1551" w:type="dxa"/>
            <w:tcBorders>
              <w:top w:val="single" w:color="auto" w:sz="4" w:space="0"/>
              <w:bottom w:val="single" w:color="auto" w:sz="4" w:space="0"/>
            </w:tcBorders>
            <w:vAlign w:val="center"/>
          </w:tcPr>
          <w:p>
            <w:pPr>
              <w:widowControl/>
              <w:jc w:val="left"/>
              <w:rPr>
                <w:rFonts w:ascii="宋体" w:hAnsi="宋体" w:cs="宋体"/>
                <w:color w:val="auto"/>
                <w:sz w:val="24"/>
                <w:highlight w:val="none"/>
              </w:rPr>
            </w:pPr>
          </w:p>
        </w:tc>
        <w:tc>
          <w:tcPr>
            <w:tcW w:w="1421" w:type="dxa"/>
            <w:tcBorders>
              <w:top w:val="single" w:color="auto" w:sz="4" w:space="0"/>
              <w:bottom w:val="single" w:color="auto" w:sz="4" w:space="0"/>
            </w:tcBorders>
            <w:vAlign w:val="center"/>
          </w:tcPr>
          <w:p>
            <w:pPr>
              <w:widowControl/>
              <w:jc w:val="left"/>
              <w:rPr>
                <w:rFonts w:ascii="宋体" w:hAnsi="宋体" w:cs="宋体"/>
                <w:color w:val="auto"/>
                <w:sz w:val="24"/>
                <w:highlight w:val="none"/>
              </w:rPr>
            </w:pPr>
          </w:p>
        </w:tc>
        <w:tc>
          <w:tcPr>
            <w:tcW w:w="1250" w:type="dxa"/>
            <w:tcBorders>
              <w:top w:val="single" w:color="auto" w:sz="4" w:space="0"/>
              <w:bottom w:val="single" w:color="auto" w:sz="4" w:space="0"/>
            </w:tcBorders>
            <w:vAlign w:val="center"/>
          </w:tcPr>
          <w:p>
            <w:pPr>
              <w:widowControl/>
              <w:jc w:val="left"/>
              <w:rPr>
                <w:rFonts w:ascii="宋体" w:hAnsi="宋体" w:cs="宋体"/>
                <w:color w:val="auto"/>
                <w:sz w:val="24"/>
                <w:highlight w:val="none"/>
              </w:rPr>
            </w:pPr>
          </w:p>
        </w:tc>
        <w:tc>
          <w:tcPr>
            <w:tcW w:w="1366" w:type="dxa"/>
            <w:gridSpan w:val="2"/>
            <w:tcBorders>
              <w:top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068" w:type="dxa"/>
            <w:tcBorders>
              <w:top w:val="single" w:color="auto" w:sz="4" w:space="0"/>
              <w:left w:val="single" w:color="auto" w:sz="4" w:space="0"/>
              <w:bottom w:val="single" w:color="auto" w:sz="4" w:space="0"/>
            </w:tcBorders>
            <w:vAlign w:val="center"/>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5" w:hRule="atLeast"/>
          <w:jc w:val="center"/>
        </w:trPr>
        <w:tc>
          <w:tcPr>
            <w:tcW w:w="775" w:type="dxa"/>
            <w:tcBorders>
              <w:top w:val="single" w:color="auto" w:sz="4" w:space="0"/>
            </w:tcBorders>
            <w:vAlign w:val="center"/>
          </w:tcPr>
          <w:p>
            <w:pPr>
              <w:widowControl/>
              <w:jc w:val="left"/>
              <w:rPr>
                <w:rFonts w:ascii="宋体" w:hAnsi="宋体" w:cs="宋体"/>
                <w:color w:val="auto"/>
                <w:sz w:val="24"/>
                <w:highlight w:val="none"/>
              </w:rPr>
            </w:pPr>
          </w:p>
        </w:tc>
        <w:tc>
          <w:tcPr>
            <w:tcW w:w="1551" w:type="dxa"/>
            <w:tcBorders>
              <w:top w:val="single" w:color="auto" w:sz="4" w:space="0"/>
            </w:tcBorders>
            <w:vAlign w:val="center"/>
          </w:tcPr>
          <w:p>
            <w:pPr>
              <w:widowControl/>
              <w:jc w:val="left"/>
              <w:rPr>
                <w:rFonts w:ascii="宋体" w:hAnsi="宋体" w:cs="宋体"/>
                <w:color w:val="auto"/>
                <w:sz w:val="24"/>
                <w:highlight w:val="none"/>
              </w:rPr>
            </w:pPr>
          </w:p>
        </w:tc>
        <w:tc>
          <w:tcPr>
            <w:tcW w:w="1421" w:type="dxa"/>
            <w:tcBorders>
              <w:top w:val="single" w:color="auto" w:sz="4" w:space="0"/>
            </w:tcBorders>
            <w:vAlign w:val="center"/>
          </w:tcPr>
          <w:p>
            <w:pPr>
              <w:widowControl/>
              <w:jc w:val="left"/>
              <w:rPr>
                <w:rFonts w:ascii="宋体" w:hAnsi="宋体" w:cs="宋体"/>
                <w:color w:val="auto"/>
                <w:sz w:val="24"/>
                <w:highlight w:val="none"/>
              </w:rPr>
            </w:pPr>
          </w:p>
        </w:tc>
        <w:tc>
          <w:tcPr>
            <w:tcW w:w="1250" w:type="dxa"/>
            <w:tcBorders>
              <w:top w:val="single" w:color="auto" w:sz="4" w:space="0"/>
            </w:tcBorders>
            <w:vAlign w:val="center"/>
          </w:tcPr>
          <w:p>
            <w:pPr>
              <w:widowControl/>
              <w:jc w:val="left"/>
              <w:rPr>
                <w:rFonts w:ascii="宋体" w:hAnsi="宋体" w:cs="宋体"/>
                <w:color w:val="auto"/>
                <w:sz w:val="24"/>
                <w:highlight w:val="none"/>
              </w:rPr>
            </w:pPr>
          </w:p>
        </w:tc>
        <w:tc>
          <w:tcPr>
            <w:tcW w:w="1366" w:type="dxa"/>
            <w:gridSpan w:val="2"/>
            <w:tcBorders>
              <w:top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746" w:type="dxa"/>
            <w:tcBorders>
              <w:top w:val="single" w:color="auto" w:sz="4" w:space="0"/>
              <w:left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068" w:type="dxa"/>
            <w:tcBorders>
              <w:top w:val="single" w:color="auto" w:sz="4" w:space="0"/>
              <w:left w:val="single" w:color="auto" w:sz="4" w:space="0"/>
            </w:tcBorders>
            <w:vAlign w:val="center"/>
          </w:tcPr>
          <w:p>
            <w:pPr>
              <w:widowControl/>
              <w:jc w:val="left"/>
              <w:rPr>
                <w:rFonts w:ascii="宋体" w:hAnsi="宋体" w:cs="宋体"/>
                <w:color w:val="auto"/>
                <w:sz w:val="24"/>
                <w:highlight w:val="none"/>
              </w:rPr>
            </w:pPr>
          </w:p>
        </w:tc>
      </w:tr>
    </w:tbl>
    <w:p>
      <w:pPr>
        <w:widowControl/>
        <w:spacing w:line="360" w:lineRule="atLeast"/>
        <w:ind w:firstLine="470" w:firstLineChars="196"/>
        <w:jc w:val="left"/>
        <w:rPr>
          <w:rFonts w:ascii="宋体" w:hAnsi="宋体" w:cs="宋体"/>
          <w:color w:val="auto"/>
          <w:sz w:val="24"/>
          <w:highlight w:val="none"/>
        </w:rPr>
      </w:pPr>
    </w:p>
    <w:p>
      <w:pPr>
        <w:adjustRightInd w:val="0"/>
        <w:snapToGrid w:val="0"/>
        <w:spacing w:line="360" w:lineRule="auto"/>
        <w:ind w:firstLine="480" w:firstLineChars="200"/>
        <w:rPr>
          <w:rFonts w:ascii="宋体" w:hAnsi="宋体" w:cs="宋体"/>
          <w:bCs/>
          <w:color w:val="auto"/>
          <w:sz w:val="24"/>
          <w:highlight w:val="none"/>
        </w:rPr>
      </w:pPr>
      <w:bookmarkStart w:id="271" w:name="_Toc503862982"/>
      <w:r>
        <w:rPr>
          <w:rFonts w:hint="eastAsia" w:ascii="宋体" w:hAnsi="宋体" w:cs="宋体"/>
          <w:bCs/>
          <w:color w:val="auto"/>
          <w:sz w:val="24"/>
          <w:highlight w:val="none"/>
        </w:rPr>
        <w:t>注：以上业绩需提供招标文件要求的有关书面证明材料。</w:t>
      </w:r>
      <w:bookmarkEnd w:id="271"/>
    </w:p>
    <w:p>
      <w:pPr>
        <w:widowControl/>
        <w:spacing w:line="360" w:lineRule="atLeast"/>
        <w:ind w:firstLine="470" w:firstLineChars="196"/>
        <w:jc w:val="left"/>
        <w:rPr>
          <w:rFonts w:ascii="宋体" w:hAnsi="宋体" w:cs="宋体"/>
          <w:color w:val="auto"/>
          <w:sz w:val="24"/>
          <w:highlight w:val="none"/>
        </w:rPr>
      </w:pP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投标人名称：XXXX（单位盖章）。</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法定代表人/单位负责人或授权代表（签字或加盖个人名章）：XXXX。</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投标日期: XXXX。</w:t>
      </w:r>
    </w:p>
    <w:p>
      <w:pPr>
        <w:widowControl/>
        <w:spacing w:line="360" w:lineRule="atLeast"/>
        <w:jc w:val="left"/>
        <w:rPr>
          <w:rFonts w:ascii="宋体" w:hAnsi="宋体" w:cs="宋体"/>
          <w:b/>
          <w:color w:val="auto"/>
          <w:sz w:val="24"/>
          <w:highlight w:val="none"/>
        </w:rPr>
      </w:pP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格式2-10</w:t>
      </w:r>
    </w:p>
    <w:p>
      <w:pPr>
        <w:widowControl/>
        <w:spacing w:line="360" w:lineRule="auto"/>
        <w:jc w:val="center"/>
        <w:outlineLvl w:val="2"/>
        <w:rPr>
          <w:rFonts w:ascii="宋体" w:hAnsi="宋体" w:cs="宋体"/>
          <w:b/>
          <w:color w:val="auto"/>
          <w:sz w:val="32"/>
          <w:szCs w:val="32"/>
          <w:highlight w:val="none"/>
        </w:rPr>
      </w:pPr>
      <w:bookmarkStart w:id="272" w:name="_Toc503862986"/>
      <w:r>
        <w:rPr>
          <w:rFonts w:hint="eastAsia" w:ascii="宋体" w:hAnsi="宋体" w:cs="宋体"/>
          <w:b/>
          <w:color w:val="auto"/>
          <w:sz w:val="32"/>
          <w:szCs w:val="32"/>
          <w:highlight w:val="none"/>
        </w:rPr>
        <w:t>九</w:t>
      </w:r>
      <w:r>
        <w:rPr>
          <w:rFonts w:hint="eastAsia" w:ascii="宋体" w:hAnsi="宋体" w:cs="宋体"/>
          <w:b/>
          <w:color w:val="auto"/>
          <w:sz w:val="32"/>
          <w:szCs w:val="32"/>
          <w:highlight w:val="none"/>
          <w:lang w:eastAsia="zh-CN"/>
        </w:rPr>
        <w:t>、</w:t>
      </w:r>
      <w:bookmarkEnd w:id="272"/>
      <w:r>
        <w:rPr>
          <w:rFonts w:hint="eastAsia" w:ascii="宋体" w:hAnsi="宋体" w:cs="宋体"/>
          <w:b/>
          <w:color w:val="auto"/>
          <w:sz w:val="32"/>
          <w:szCs w:val="32"/>
          <w:highlight w:val="none"/>
          <w:lang w:eastAsia="zh-CN"/>
        </w:rPr>
        <w:t>服务应答表</w:t>
      </w:r>
    </w:p>
    <w:p>
      <w:pPr>
        <w:widowControl/>
        <w:spacing w:line="360" w:lineRule="atLeast"/>
        <w:jc w:val="left"/>
        <w:rPr>
          <w:rFonts w:ascii="宋体" w:hAnsi="宋体" w:cs="宋体"/>
          <w:b/>
          <w:color w:val="auto"/>
          <w:sz w:val="24"/>
          <w:highlight w:val="none"/>
        </w:rPr>
      </w:pP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项目名称</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招标编号：                  </w:t>
      </w:r>
    </w:p>
    <w:tbl>
      <w:tblPr>
        <w:tblStyle w:val="21"/>
        <w:tblW w:w="0" w:type="auto"/>
        <w:jc w:val="center"/>
        <w:tblLayout w:type="fixed"/>
        <w:tblCellMar>
          <w:top w:w="0" w:type="dxa"/>
          <w:left w:w="0" w:type="dxa"/>
          <w:bottom w:w="0" w:type="dxa"/>
          <w:right w:w="0" w:type="dxa"/>
        </w:tblCellMar>
      </w:tblPr>
      <w:tblGrid>
        <w:gridCol w:w="1000"/>
        <w:gridCol w:w="3220"/>
        <w:gridCol w:w="3980"/>
        <w:gridCol w:w="1760"/>
      </w:tblGrid>
      <w:tr>
        <w:trPr>
          <w:trHeight w:val="559" w:hRule="atLeast"/>
          <w:jc w:val="center"/>
        </w:trPr>
        <w:tc>
          <w:tcPr>
            <w:tcW w:w="1000" w:type="dxa"/>
            <w:tcBorders>
              <w:top w:val="single" w:color="auto" w:sz="8" w:space="0"/>
              <w:left w:val="single" w:color="auto" w:sz="8" w:space="0"/>
              <w:right w:val="single" w:color="auto" w:sz="8" w:space="0"/>
            </w:tcBorders>
            <w:noWrap w:val="0"/>
            <w:vAlign w:val="bottom"/>
          </w:tcPr>
          <w:p>
            <w:pPr>
              <w:spacing w:line="239" w:lineRule="exact"/>
              <w:ind w:left="280"/>
              <w:rPr>
                <w:rFonts w:hint="eastAsia" w:ascii="宋体" w:hAnsi="宋体" w:eastAsia="宋体" w:cs="宋体"/>
                <w:b/>
                <w:bCs/>
                <w:color w:val="auto"/>
                <w:sz w:val="21"/>
                <w:highlight w:val="none"/>
              </w:rPr>
            </w:pPr>
            <w:r>
              <w:rPr>
                <w:rFonts w:hint="eastAsia" w:ascii="宋体" w:hAnsi="宋体" w:eastAsia="宋体" w:cs="宋体"/>
                <w:b/>
                <w:bCs/>
                <w:color w:val="auto"/>
                <w:sz w:val="21"/>
                <w:highlight w:val="none"/>
              </w:rPr>
              <w:t>序号</w:t>
            </w:r>
          </w:p>
        </w:tc>
        <w:tc>
          <w:tcPr>
            <w:tcW w:w="3220" w:type="dxa"/>
            <w:tcBorders>
              <w:top w:val="single" w:color="auto" w:sz="8" w:space="0"/>
              <w:right w:val="single" w:color="auto" w:sz="8" w:space="0"/>
            </w:tcBorders>
            <w:noWrap w:val="0"/>
            <w:vAlign w:val="bottom"/>
          </w:tcPr>
          <w:p>
            <w:pPr>
              <w:spacing w:line="239" w:lineRule="exact"/>
              <w:ind w:left="540"/>
              <w:rPr>
                <w:rFonts w:hint="eastAsia" w:ascii="宋体" w:hAnsi="宋体" w:eastAsia="宋体" w:cs="宋体"/>
                <w:b/>
                <w:bCs/>
                <w:color w:val="auto"/>
                <w:sz w:val="21"/>
                <w:highlight w:val="none"/>
              </w:rPr>
            </w:pPr>
            <w:r>
              <w:rPr>
                <w:rFonts w:hint="eastAsia" w:ascii="宋体" w:hAnsi="宋体" w:eastAsia="宋体" w:cs="宋体"/>
                <w:b/>
                <w:bCs/>
                <w:color w:val="auto"/>
                <w:sz w:val="21"/>
                <w:highlight w:val="none"/>
              </w:rPr>
              <w:t>招标文件要求服务内容</w:t>
            </w:r>
          </w:p>
        </w:tc>
        <w:tc>
          <w:tcPr>
            <w:tcW w:w="3980" w:type="dxa"/>
            <w:tcBorders>
              <w:top w:val="single" w:color="auto" w:sz="8" w:space="0"/>
              <w:right w:val="single" w:color="auto" w:sz="8" w:space="0"/>
            </w:tcBorders>
            <w:noWrap w:val="0"/>
            <w:vAlign w:val="bottom"/>
          </w:tcPr>
          <w:p>
            <w:pPr>
              <w:spacing w:line="239" w:lineRule="exact"/>
              <w:ind w:left="1560"/>
              <w:rPr>
                <w:rFonts w:hint="eastAsia" w:ascii="宋体" w:hAnsi="宋体" w:eastAsia="宋体" w:cs="宋体"/>
                <w:b/>
                <w:bCs/>
                <w:color w:val="auto"/>
                <w:sz w:val="21"/>
                <w:highlight w:val="none"/>
              </w:rPr>
            </w:pPr>
            <w:r>
              <w:rPr>
                <w:rFonts w:hint="eastAsia" w:ascii="宋体" w:hAnsi="宋体" w:eastAsia="宋体" w:cs="宋体"/>
                <w:b/>
                <w:bCs/>
                <w:color w:val="auto"/>
                <w:sz w:val="21"/>
                <w:highlight w:val="none"/>
              </w:rPr>
              <w:t>投标应答</w:t>
            </w:r>
          </w:p>
        </w:tc>
        <w:tc>
          <w:tcPr>
            <w:tcW w:w="1760" w:type="dxa"/>
            <w:tcBorders>
              <w:top w:val="single" w:color="auto" w:sz="8" w:space="0"/>
              <w:right w:val="single" w:color="auto" w:sz="8" w:space="0"/>
            </w:tcBorders>
            <w:noWrap w:val="0"/>
            <w:vAlign w:val="bottom"/>
          </w:tcPr>
          <w:p>
            <w:pPr>
              <w:spacing w:line="239" w:lineRule="exact"/>
              <w:ind w:left="460"/>
              <w:rPr>
                <w:rFonts w:hint="eastAsia" w:ascii="宋体" w:hAnsi="宋体" w:eastAsia="宋体" w:cs="宋体"/>
                <w:b/>
                <w:bCs/>
                <w:color w:val="auto"/>
                <w:sz w:val="21"/>
                <w:highlight w:val="none"/>
              </w:rPr>
            </w:pPr>
            <w:r>
              <w:rPr>
                <w:rFonts w:hint="eastAsia" w:ascii="宋体" w:hAnsi="宋体" w:eastAsia="宋体" w:cs="宋体"/>
                <w:b/>
                <w:bCs/>
                <w:color w:val="auto"/>
                <w:sz w:val="21"/>
                <w:highlight w:val="none"/>
              </w:rPr>
              <w:t>偏离情况</w:t>
            </w:r>
          </w:p>
        </w:tc>
      </w:tr>
      <w:tr>
        <w:tblPrEx>
          <w:tblCellMar>
            <w:top w:w="0" w:type="dxa"/>
            <w:left w:w="0" w:type="dxa"/>
            <w:bottom w:w="0" w:type="dxa"/>
            <w:right w:w="0" w:type="dxa"/>
          </w:tblCellMar>
        </w:tblPrEx>
        <w:trPr>
          <w:trHeight w:val="276" w:hRule="atLeast"/>
          <w:jc w:val="center"/>
        </w:trPr>
        <w:tc>
          <w:tcPr>
            <w:tcW w:w="1000" w:type="dxa"/>
            <w:tcBorders>
              <w:left w:val="single" w:color="auto" w:sz="8" w:space="0"/>
              <w:bottom w:val="single" w:color="auto" w:sz="8" w:space="0"/>
              <w:right w:val="single" w:color="auto" w:sz="8" w:space="0"/>
            </w:tcBorders>
            <w:noWrap w:val="0"/>
            <w:vAlign w:val="bottom"/>
          </w:tcPr>
          <w:p>
            <w:pPr>
              <w:spacing w:line="0" w:lineRule="atLeast"/>
              <w:rPr>
                <w:rFonts w:hint="eastAsia" w:ascii="宋体" w:hAnsi="宋体" w:eastAsia="宋体" w:cs="宋体"/>
                <w:b/>
                <w:bCs/>
                <w:color w:val="auto"/>
                <w:sz w:val="24"/>
                <w:highlight w:val="none"/>
              </w:rPr>
            </w:pPr>
          </w:p>
        </w:tc>
        <w:tc>
          <w:tcPr>
            <w:tcW w:w="3220" w:type="dxa"/>
            <w:tcBorders>
              <w:bottom w:val="single" w:color="auto" w:sz="8" w:space="0"/>
              <w:right w:val="single" w:color="auto" w:sz="8" w:space="0"/>
            </w:tcBorders>
            <w:noWrap w:val="0"/>
            <w:vAlign w:val="bottom"/>
          </w:tcPr>
          <w:p>
            <w:pPr>
              <w:spacing w:line="0" w:lineRule="atLeast"/>
              <w:rPr>
                <w:rFonts w:hint="eastAsia" w:ascii="宋体" w:hAnsi="宋体" w:eastAsia="宋体" w:cs="宋体"/>
                <w:b/>
                <w:bCs/>
                <w:color w:val="auto"/>
                <w:sz w:val="24"/>
                <w:highlight w:val="none"/>
              </w:rPr>
            </w:pPr>
          </w:p>
        </w:tc>
        <w:tc>
          <w:tcPr>
            <w:tcW w:w="3980" w:type="dxa"/>
            <w:tcBorders>
              <w:bottom w:val="single" w:color="auto" w:sz="8" w:space="0"/>
              <w:right w:val="single" w:color="auto" w:sz="8" w:space="0"/>
            </w:tcBorders>
            <w:noWrap w:val="0"/>
            <w:vAlign w:val="bottom"/>
          </w:tcPr>
          <w:p>
            <w:pPr>
              <w:spacing w:line="0" w:lineRule="atLeast"/>
              <w:rPr>
                <w:rFonts w:hint="eastAsia" w:ascii="宋体" w:hAnsi="宋体" w:eastAsia="宋体" w:cs="宋体"/>
                <w:b/>
                <w:bCs/>
                <w:color w:val="auto"/>
                <w:sz w:val="24"/>
                <w:highlight w:val="none"/>
              </w:rPr>
            </w:pPr>
          </w:p>
        </w:tc>
        <w:tc>
          <w:tcPr>
            <w:tcW w:w="1760" w:type="dxa"/>
            <w:tcBorders>
              <w:bottom w:val="single" w:color="auto" w:sz="8" w:space="0"/>
              <w:right w:val="single" w:color="auto" w:sz="8" w:space="0"/>
            </w:tcBorders>
            <w:noWrap w:val="0"/>
            <w:vAlign w:val="bottom"/>
          </w:tcPr>
          <w:p>
            <w:pPr>
              <w:spacing w:line="0" w:lineRule="atLeast"/>
              <w:rPr>
                <w:rFonts w:hint="eastAsia" w:ascii="宋体" w:hAnsi="宋体" w:eastAsia="宋体" w:cs="宋体"/>
                <w:b/>
                <w:bCs/>
                <w:color w:val="auto"/>
                <w:sz w:val="24"/>
                <w:highlight w:val="none"/>
              </w:rPr>
            </w:pPr>
          </w:p>
        </w:tc>
      </w:tr>
      <w:tr>
        <w:tblPrEx>
          <w:tblCellMar>
            <w:top w:w="0" w:type="dxa"/>
            <w:left w:w="0" w:type="dxa"/>
            <w:bottom w:w="0" w:type="dxa"/>
            <w:right w:w="0" w:type="dxa"/>
          </w:tblCellMar>
        </w:tblPrEx>
        <w:trPr>
          <w:trHeight w:val="530" w:hRule="atLeast"/>
          <w:jc w:val="center"/>
        </w:trPr>
        <w:tc>
          <w:tcPr>
            <w:tcW w:w="1000" w:type="dxa"/>
            <w:tcBorders>
              <w:left w:val="single" w:color="auto" w:sz="8" w:space="0"/>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322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398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176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r>
      <w:tr>
        <w:tblPrEx>
          <w:tblCellMar>
            <w:top w:w="0" w:type="dxa"/>
            <w:left w:w="0" w:type="dxa"/>
            <w:bottom w:w="0" w:type="dxa"/>
            <w:right w:w="0" w:type="dxa"/>
          </w:tblCellMar>
        </w:tblPrEx>
        <w:trPr>
          <w:trHeight w:val="530" w:hRule="atLeast"/>
          <w:jc w:val="center"/>
        </w:trPr>
        <w:tc>
          <w:tcPr>
            <w:tcW w:w="1000" w:type="dxa"/>
            <w:tcBorders>
              <w:left w:val="single" w:color="auto" w:sz="8" w:space="0"/>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322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398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176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r>
      <w:tr>
        <w:trPr>
          <w:trHeight w:val="530" w:hRule="atLeast"/>
          <w:jc w:val="center"/>
        </w:trPr>
        <w:tc>
          <w:tcPr>
            <w:tcW w:w="1000" w:type="dxa"/>
            <w:tcBorders>
              <w:left w:val="single" w:color="auto" w:sz="8" w:space="0"/>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322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398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176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r>
      <w:tr>
        <w:trPr>
          <w:trHeight w:val="530" w:hRule="atLeast"/>
          <w:jc w:val="center"/>
        </w:trPr>
        <w:tc>
          <w:tcPr>
            <w:tcW w:w="1000" w:type="dxa"/>
            <w:tcBorders>
              <w:left w:val="single" w:color="auto" w:sz="8" w:space="0"/>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322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398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176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r>
      <w:tr>
        <w:trPr>
          <w:trHeight w:val="530" w:hRule="atLeast"/>
          <w:jc w:val="center"/>
        </w:trPr>
        <w:tc>
          <w:tcPr>
            <w:tcW w:w="1000" w:type="dxa"/>
            <w:tcBorders>
              <w:left w:val="single" w:color="auto" w:sz="8" w:space="0"/>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322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398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176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r>
      <w:tr>
        <w:trPr>
          <w:trHeight w:val="530" w:hRule="atLeast"/>
          <w:jc w:val="center"/>
        </w:trPr>
        <w:tc>
          <w:tcPr>
            <w:tcW w:w="1000" w:type="dxa"/>
            <w:tcBorders>
              <w:left w:val="single" w:color="auto" w:sz="8" w:space="0"/>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322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398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176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r>
      <w:tr>
        <w:trPr>
          <w:trHeight w:val="591" w:hRule="atLeast"/>
          <w:jc w:val="center"/>
        </w:trPr>
        <w:tc>
          <w:tcPr>
            <w:tcW w:w="1000" w:type="dxa"/>
            <w:tcBorders>
              <w:left w:val="single" w:color="auto" w:sz="8" w:space="0"/>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322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398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c>
          <w:tcPr>
            <w:tcW w:w="1760" w:type="dxa"/>
            <w:tcBorders>
              <w:bottom w:val="single" w:color="auto" w:sz="8" w:space="0"/>
              <w:right w:val="single" w:color="auto" w:sz="8" w:space="0"/>
            </w:tcBorders>
            <w:noWrap w:val="0"/>
            <w:vAlign w:val="bottom"/>
          </w:tcPr>
          <w:p>
            <w:pPr>
              <w:spacing w:line="0" w:lineRule="atLeast"/>
              <w:rPr>
                <w:rFonts w:hint="eastAsia" w:ascii="宋体" w:hAnsi="宋体" w:eastAsia="宋体" w:cs="宋体"/>
                <w:color w:val="auto"/>
                <w:sz w:val="24"/>
                <w:highlight w:val="none"/>
              </w:rPr>
            </w:pPr>
          </w:p>
        </w:tc>
      </w:tr>
    </w:tbl>
    <w:p>
      <w:pPr>
        <w:widowControl/>
        <w:spacing w:line="360" w:lineRule="atLeast"/>
        <w:jc w:val="left"/>
        <w:rPr>
          <w:rFonts w:ascii="宋体" w:hAnsi="宋体" w:cs="宋体"/>
          <w:color w:val="auto"/>
          <w:sz w:val="24"/>
          <w:highlight w:val="none"/>
        </w:rPr>
      </w:pPr>
    </w:p>
    <w:p>
      <w:pPr>
        <w:adjustRightInd w:val="0"/>
        <w:snapToGrid w:val="0"/>
        <w:spacing w:line="360" w:lineRule="auto"/>
        <w:ind w:firstLine="480" w:firstLineChars="200"/>
        <w:rPr>
          <w:rFonts w:hint="eastAsia" w:ascii="宋体" w:hAnsi="宋体" w:cs="宋体"/>
          <w:bCs/>
          <w:color w:val="auto"/>
          <w:sz w:val="24"/>
          <w:highlight w:val="none"/>
          <w:lang w:eastAsia="zh-CN"/>
        </w:rPr>
      </w:pPr>
      <w:bookmarkStart w:id="273" w:name="_Toc503862993"/>
      <w:r>
        <w:rPr>
          <w:rFonts w:hint="eastAsia" w:ascii="宋体" w:hAnsi="宋体" w:cs="宋体"/>
          <w:bCs/>
          <w:color w:val="auto"/>
          <w:sz w:val="24"/>
          <w:highlight w:val="none"/>
        </w:rPr>
        <w:t>注</w:t>
      </w:r>
      <w:bookmarkEnd w:id="273"/>
      <w:r>
        <w:rPr>
          <w:rFonts w:hint="eastAsia" w:ascii="宋体" w:hAnsi="宋体" w:cs="宋体"/>
          <w:bCs/>
          <w:color w:val="auto"/>
          <w:sz w:val="24"/>
          <w:highlight w:val="none"/>
          <w:lang w:eastAsia="zh-CN"/>
        </w:rPr>
        <w:t>：1.供应商必须把招标文件服务要求有偏离(包括正偏离和负偏离)的条款，逐条列入此表进行响应。其余无偏离的条款，则无须逐条应答，均视为满足要求。</w:t>
      </w:r>
    </w:p>
    <w:p>
      <w:pPr>
        <w:adjustRightInd w:val="0"/>
        <w:snapToGrid w:val="0"/>
        <w:spacing w:line="360" w:lineRule="auto"/>
        <w:ind w:firstLine="480" w:firstLineChars="200"/>
        <w:rPr>
          <w:rFonts w:hint="eastAsia" w:ascii="宋体" w:hAnsi="宋体" w:cs="宋体"/>
          <w:bCs/>
          <w:color w:val="auto"/>
          <w:sz w:val="24"/>
          <w:highlight w:val="none"/>
          <w:lang w:eastAsia="zh-CN"/>
        </w:rPr>
      </w:pPr>
      <w:r>
        <w:rPr>
          <w:rFonts w:hint="eastAsia" w:ascii="宋体" w:hAnsi="宋体" w:cs="宋体"/>
          <w:bCs/>
          <w:color w:val="auto"/>
          <w:sz w:val="24"/>
          <w:highlight w:val="none"/>
          <w:lang w:eastAsia="zh-CN"/>
        </w:rPr>
        <w:t>2.此表所列偏离的条款，经评审委员会判定后，将在评分表技术、服务部分的相应条款中相应加减分(若与招标文件注明的实质性要求有负偏离的除外)。</w:t>
      </w:r>
    </w:p>
    <w:p>
      <w:pPr>
        <w:adjustRightInd w:val="0"/>
        <w:snapToGrid w:val="0"/>
        <w:spacing w:line="360" w:lineRule="auto"/>
        <w:ind w:firstLine="480" w:firstLineChars="200"/>
        <w:rPr>
          <w:rFonts w:hint="eastAsia" w:ascii="宋体" w:hAnsi="宋体" w:cs="宋体"/>
          <w:bCs/>
          <w:color w:val="auto"/>
          <w:sz w:val="24"/>
          <w:highlight w:val="none"/>
          <w:lang w:eastAsia="zh-CN"/>
        </w:rPr>
      </w:pPr>
      <w:r>
        <w:rPr>
          <w:rFonts w:hint="eastAsia" w:ascii="宋体" w:hAnsi="宋体" w:cs="宋体"/>
          <w:bCs/>
          <w:color w:val="auto"/>
          <w:sz w:val="24"/>
          <w:highlight w:val="none"/>
          <w:lang w:eastAsia="zh-CN"/>
        </w:rPr>
        <w:t>3.按照招标项目服务要求的顺序对应填写。</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lang w:eastAsia="zh-CN"/>
        </w:rPr>
        <w:t>4.供应商必须据实填写，不得虚假填写，否则将取消其投标或中标资格。</w:t>
      </w:r>
    </w:p>
    <w:p>
      <w:pPr>
        <w:widowControl/>
        <w:spacing w:line="360" w:lineRule="atLeast"/>
        <w:jc w:val="left"/>
        <w:rPr>
          <w:rFonts w:ascii="宋体" w:hAnsi="宋体" w:cs="宋体"/>
          <w:color w:val="auto"/>
          <w:sz w:val="24"/>
          <w:highlight w:val="none"/>
        </w:rPr>
      </w:pPr>
    </w:p>
    <w:p>
      <w:pPr>
        <w:adjustRightInd w:val="0"/>
        <w:snapToGrid w:val="0"/>
        <w:spacing w:line="360" w:lineRule="auto"/>
        <w:rPr>
          <w:rFonts w:ascii="宋体" w:hAnsi="宋体" w:cs="宋体"/>
          <w:b/>
          <w:color w:val="auto"/>
          <w:sz w:val="24"/>
          <w:highlight w:val="none"/>
        </w:rPr>
      </w:pP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投标人名称：XXXX（单位盖章）。</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法定代表人/单位负责人或授权代表（签字或加盖个人名章）：XXXX。</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投标日期</w:t>
      </w:r>
      <w:r>
        <w:rPr>
          <w:rFonts w:hint="eastAsia" w:ascii="宋体" w:hAnsi="宋体" w:cs="宋体"/>
          <w:b/>
          <w:color w:val="auto"/>
          <w:sz w:val="24"/>
          <w:highlight w:val="none"/>
          <w:lang w:eastAsia="zh-CN"/>
        </w:rPr>
        <w:t>：</w:t>
      </w:r>
      <w:r>
        <w:rPr>
          <w:rFonts w:hint="eastAsia" w:ascii="宋体" w:hAnsi="宋体" w:cs="宋体"/>
          <w:b/>
          <w:color w:val="auto"/>
          <w:sz w:val="24"/>
          <w:highlight w:val="none"/>
        </w:rPr>
        <w:t>XXXX。</w:t>
      </w:r>
    </w:p>
    <w:p>
      <w:pPr>
        <w:widowControl/>
        <w:spacing w:line="360" w:lineRule="atLeast"/>
        <w:jc w:val="left"/>
        <w:rPr>
          <w:rFonts w:ascii="宋体" w:hAnsi="宋体" w:cs="宋体"/>
          <w:color w:val="auto"/>
          <w:sz w:val="24"/>
          <w:highlight w:val="none"/>
        </w:rPr>
      </w:pP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格式2-11</w:t>
      </w:r>
    </w:p>
    <w:p>
      <w:pPr>
        <w:widowControl/>
        <w:spacing w:line="360" w:lineRule="auto"/>
        <w:jc w:val="center"/>
        <w:outlineLvl w:val="2"/>
        <w:rPr>
          <w:rFonts w:ascii="宋体" w:hAnsi="宋体" w:cs="宋体"/>
          <w:b/>
          <w:color w:val="auto"/>
          <w:sz w:val="32"/>
          <w:szCs w:val="32"/>
          <w:highlight w:val="none"/>
        </w:rPr>
      </w:pPr>
      <w:bookmarkStart w:id="274" w:name="_Toc503862999"/>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eastAsia="zh-CN"/>
        </w:rPr>
        <w:t>、</w:t>
      </w:r>
      <w:r>
        <w:rPr>
          <w:rFonts w:hint="eastAsia" w:ascii="宋体" w:hAnsi="宋体" w:cs="宋体"/>
          <w:b/>
          <w:color w:val="auto"/>
          <w:sz w:val="32"/>
          <w:szCs w:val="32"/>
          <w:highlight w:val="none"/>
        </w:rPr>
        <w:t>投标人本项目管理、技术、服务人员情况表</w:t>
      </w:r>
      <w:bookmarkEnd w:id="274"/>
    </w:p>
    <w:p>
      <w:pPr>
        <w:widowControl/>
        <w:spacing w:line="360" w:lineRule="atLeast"/>
        <w:jc w:val="left"/>
        <w:rPr>
          <w:rFonts w:ascii="宋体" w:hAnsi="宋体" w:cs="宋体"/>
          <w:b/>
          <w:color w:val="auto"/>
          <w:sz w:val="24"/>
          <w:highlight w:val="none"/>
        </w:rPr>
      </w:pP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 xml:space="preserve">项目名称: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 xml:space="preserve">     招标编号：                  </w:t>
      </w:r>
    </w:p>
    <w:tbl>
      <w:tblPr>
        <w:tblStyle w:val="21"/>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993"/>
        <w:gridCol w:w="994"/>
        <w:gridCol w:w="993"/>
        <w:gridCol w:w="993"/>
        <w:gridCol w:w="1047"/>
        <w:gridCol w:w="1182"/>
        <w:gridCol w:w="1043"/>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74" w:type="dxa"/>
            <w:vMerge w:val="restart"/>
            <w:vAlign w:val="center"/>
          </w:tcPr>
          <w:p>
            <w:pPr>
              <w:widowControl/>
              <w:jc w:val="center"/>
              <w:outlineLvl w:val="1"/>
              <w:rPr>
                <w:rFonts w:ascii="宋体" w:hAnsi="宋体" w:cs="宋体"/>
                <w:b/>
                <w:bCs/>
                <w:color w:val="auto"/>
                <w:sz w:val="24"/>
                <w:highlight w:val="none"/>
              </w:rPr>
            </w:pPr>
            <w:bookmarkStart w:id="275" w:name="_Toc503863001"/>
            <w:r>
              <w:rPr>
                <w:rFonts w:hint="eastAsia" w:ascii="宋体" w:hAnsi="宋体" w:cs="宋体"/>
                <w:b/>
                <w:bCs/>
                <w:color w:val="auto"/>
                <w:sz w:val="24"/>
                <w:highlight w:val="none"/>
              </w:rPr>
              <w:t>类别</w:t>
            </w:r>
            <w:bookmarkEnd w:id="275"/>
          </w:p>
        </w:tc>
        <w:tc>
          <w:tcPr>
            <w:tcW w:w="993" w:type="dxa"/>
            <w:vMerge w:val="restart"/>
            <w:vAlign w:val="center"/>
          </w:tcPr>
          <w:p>
            <w:pPr>
              <w:widowControl/>
              <w:jc w:val="center"/>
              <w:outlineLvl w:val="1"/>
              <w:rPr>
                <w:rFonts w:ascii="宋体" w:hAnsi="宋体" w:cs="宋体"/>
                <w:b/>
                <w:bCs/>
                <w:color w:val="auto"/>
                <w:sz w:val="24"/>
                <w:highlight w:val="none"/>
              </w:rPr>
            </w:pPr>
            <w:bookmarkStart w:id="276" w:name="_Toc503863002"/>
            <w:r>
              <w:rPr>
                <w:rFonts w:hint="eastAsia" w:ascii="宋体" w:hAnsi="宋体" w:cs="宋体"/>
                <w:b/>
                <w:bCs/>
                <w:color w:val="auto"/>
                <w:sz w:val="24"/>
                <w:highlight w:val="none"/>
              </w:rPr>
              <w:t>职务</w:t>
            </w:r>
            <w:bookmarkEnd w:id="276"/>
          </w:p>
        </w:tc>
        <w:tc>
          <w:tcPr>
            <w:tcW w:w="994" w:type="dxa"/>
            <w:vMerge w:val="restart"/>
            <w:vAlign w:val="center"/>
          </w:tcPr>
          <w:p>
            <w:pPr>
              <w:widowControl/>
              <w:jc w:val="center"/>
              <w:outlineLvl w:val="1"/>
              <w:rPr>
                <w:rFonts w:ascii="宋体" w:hAnsi="宋体" w:cs="宋体"/>
                <w:b/>
                <w:bCs/>
                <w:color w:val="auto"/>
                <w:sz w:val="24"/>
                <w:highlight w:val="none"/>
              </w:rPr>
            </w:pPr>
            <w:bookmarkStart w:id="277" w:name="_Toc503863003"/>
            <w:r>
              <w:rPr>
                <w:rFonts w:hint="eastAsia" w:ascii="宋体" w:hAnsi="宋体" w:cs="宋体"/>
                <w:b/>
                <w:bCs/>
                <w:color w:val="auto"/>
                <w:sz w:val="24"/>
                <w:highlight w:val="none"/>
              </w:rPr>
              <w:t>姓名</w:t>
            </w:r>
            <w:bookmarkEnd w:id="277"/>
          </w:p>
        </w:tc>
        <w:tc>
          <w:tcPr>
            <w:tcW w:w="993" w:type="dxa"/>
            <w:vMerge w:val="restart"/>
            <w:vAlign w:val="center"/>
          </w:tcPr>
          <w:p>
            <w:pPr>
              <w:widowControl/>
              <w:jc w:val="center"/>
              <w:outlineLvl w:val="1"/>
              <w:rPr>
                <w:rFonts w:ascii="宋体" w:hAnsi="宋体" w:cs="宋体"/>
                <w:b/>
                <w:bCs/>
                <w:color w:val="auto"/>
                <w:sz w:val="24"/>
                <w:highlight w:val="none"/>
              </w:rPr>
            </w:pPr>
            <w:bookmarkStart w:id="278" w:name="_Toc503863004"/>
            <w:r>
              <w:rPr>
                <w:rFonts w:hint="eastAsia" w:ascii="宋体" w:hAnsi="宋体" w:cs="宋体"/>
                <w:b/>
                <w:bCs/>
                <w:color w:val="auto"/>
                <w:sz w:val="24"/>
                <w:highlight w:val="none"/>
              </w:rPr>
              <w:t>职称</w:t>
            </w:r>
            <w:bookmarkEnd w:id="278"/>
          </w:p>
        </w:tc>
        <w:tc>
          <w:tcPr>
            <w:tcW w:w="993" w:type="dxa"/>
            <w:vMerge w:val="restart"/>
            <w:vAlign w:val="center"/>
          </w:tcPr>
          <w:p>
            <w:pPr>
              <w:widowControl/>
              <w:jc w:val="center"/>
              <w:outlineLvl w:val="1"/>
              <w:rPr>
                <w:rFonts w:ascii="宋体" w:hAnsi="宋体" w:cs="宋体"/>
                <w:b/>
                <w:bCs/>
                <w:color w:val="auto"/>
                <w:sz w:val="24"/>
                <w:highlight w:val="none"/>
              </w:rPr>
            </w:pPr>
            <w:bookmarkStart w:id="279" w:name="_Toc503863005"/>
            <w:r>
              <w:rPr>
                <w:rFonts w:hint="eastAsia" w:ascii="宋体" w:hAnsi="宋体" w:cs="宋体"/>
                <w:b/>
                <w:bCs/>
                <w:color w:val="auto"/>
                <w:sz w:val="24"/>
                <w:highlight w:val="none"/>
              </w:rPr>
              <w:t>常住地</w:t>
            </w:r>
            <w:bookmarkEnd w:id="279"/>
          </w:p>
        </w:tc>
        <w:tc>
          <w:tcPr>
            <w:tcW w:w="4173" w:type="dxa"/>
            <w:gridSpan w:val="4"/>
            <w:vAlign w:val="center"/>
          </w:tcPr>
          <w:p>
            <w:pPr>
              <w:widowControl/>
              <w:jc w:val="center"/>
              <w:outlineLvl w:val="1"/>
              <w:rPr>
                <w:rFonts w:ascii="宋体" w:hAnsi="宋体" w:cs="宋体"/>
                <w:b/>
                <w:bCs/>
                <w:color w:val="auto"/>
                <w:sz w:val="24"/>
                <w:highlight w:val="none"/>
              </w:rPr>
            </w:pPr>
            <w:bookmarkStart w:id="280" w:name="_Toc503863006"/>
            <w:r>
              <w:rPr>
                <w:rFonts w:hint="eastAsia" w:ascii="宋体" w:hAnsi="宋体" w:cs="宋体"/>
                <w:b/>
                <w:bCs/>
                <w:color w:val="auto"/>
                <w:sz w:val="24"/>
                <w:highlight w:val="none"/>
              </w:rPr>
              <w:t>资格证明（附复印件）</w:t>
            </w:r>
            <w:bookmarkEnd w:id="2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74" w:type="dxa"/>
            <w:vMerge w:val="continue"/>
            <w:vAlign w:val="center"/>
          </w:tcPr>
          <w:p>
            <w:pPr>
              <w:jc w:val="center"/>
              <w:rPr>
                <w:rFonts w:ascii="宋体" w:hAnsi="宋体" w:cs="宋体"/>
                <w:b/>
                <w:bCs/>
                <w:color w:val="auto"/>
                <w:sz w:val="24"/>
                <w:highlight w:val="none"/>
              </w:rPr>
            </w:pPr>
          </w:p>
        </w:tc>
        <w:tc>
          <w:tcPr>
            <w:tcW w:w="993" w:type="dxa"/>
            <w:vMerge w:val="continue"/>
            <w:vAlign w:val="center"/>
          </w:tcPr>
          <w:p>
            <w:pPr>
              <w:rPr>
                <w:rFonts w:ascii="宋体" w:hAnsi="宋体" w:cs="宋体"/>
                <w:b/>
                <w:bCs/>
                <w:color w:val="auto"/>
                <w:sz w:val="24"/>
                <w:highlight w:val="none"/>
              </w:rPr>
            </w:pPr>
          </w:p>
        </w:tc>
        <w:tc>
          <w:tcPr>
            <w:tcW w:w="994" w:type="dxa"/>
            <w:vMerge w:val="continue"/>
            <w:vAlign w:val="center"/>
          </w:tcPr>
          <w:p>
            <w:pPr>
              <w:rPr>
                <w:rFonts w:ascii="宋体" w:hAnsi="宋体" w:cs="宋体"/>
                <w:b/>
                <w:bCs/>
                <w:color w:val="auto"/>
                <w:sz w:val="24"/>
                <w:highlight w:val="none"/>
              </w:rPr>
            </w:pPr>
          </w:p>
        </w:tc>
        <w:tc>
          <w:tcPr>
            <w:tcW w:w="993" w:type="dxa"/>
            <w:vMerge w:val="continue"/>
            <w:vAlign w:val="center"/>
          </w:tcPr>
          <w:p>
            <w:pPr>
              <w:rPr>
                <w:rFonts w:ascii="宋体" w:hAnsi="宋体" w:cs="宋体"/>
                <w:b/>
                <w:bCs/>
                <w:color w:val="auto"/>
                <w:sz w:val="24"/>
                <w:highlight w:val="none"/>
              </w:rPr>
            </w:pPr>
          </w:p>
        </w:tc>
        <w:tc>
          <w:tcPr>
            <w:tcW w:w="993" w:type="dxa"/>
            <w:vMerge w:val="continue"/>
            <w:vAlign w:val="center"/>
          </w:tcPr>
          <w:p>
            <w:pPr>
              <w:rPr>
                <w:rFonts w:ascii="宋体" w:hAnsi="宋体" w:cs="宋体"/>
                <w:b/>
                <w:bCs/>
                <w:color w:val="auto"/>
                <w:sz w:val="24"/>
                <w:highlight w:val="none"/>
              </w:rPr>
            </w:pPr>
          </w:p>
        </w:tc>
        <w:tc>
          <w:tcPr>
            <w:tcW w:w="1047" w:type="dxa"/>
            <w:vAlign w:val="center"/>
          </w:tcPr>
          <w:p>
            <w:pPr>
              <w:widowControl/>
              <w:jc w:val="center"/>
              <w:outlineLvl w:val="1"/>
              <w:rPr>
                <w:rFonts w:ascii="宋体" w:hAnsi="宋体" w:cs="宋体"/>
                <w:b/>
                <w:bCs/>
                <w:color w:val="auto"/>
                <w:sz w:val="24"/>
                <w:highlight w:val="none"/>
              </w:rPr>
            </w:pPr>
            <w:bookmarkStart w:id="281" w:name="_Toc503863007"/>
            <w:r>
              <w:rPr>
                <w:rFonts w:hint="eastAsia" w:ascii="宋体" w:hAnsi="宋体" w:cs="宋体"/>
                <w:b/>
                <w:bCs/>
                <w:color w:val="auto"/>
                <w:sz w:val="24"/>
                <w:highlight w:val="none"/>
              </w:rPr>
              <w:t>证书</w:t>
            </w:r>
            <w:bookmarkEnd w:id="281"/>
          </w:p>
          <w:p>
            <w:pPr>
              <w:widowControl/>
              <w:jc w:val="center"/>
              <w:outlineLvl w:val="1"/>
              <w:rPr>
                <w:rFonts w:ascii="宋体" w:hAnsi="宋体" w:cs="宋体"/>
                <w:b/>
                <w:bCs/>
                <w:color w:val="auto"/>
                <w:sz w:val="24"/>
                <w:highlight w:val="none"/>
              </w:rPr>
            </w:pPr>
            <w:bookmarkStart w:id="282" w:name="_Toc503863008"/>
            <w:r>
              <w:rPr>
                <w:rFonts w:hint="eastAsia" w:ascii="宋体" w:hAnsi="宋体" w:cs="宋体"/>
                <w:b/>
                <w:bCs/>
                <w:color w:val="auto"/>
                <w:sz w:val="24"/>
                <w:highlight w:val="none"/>
              </w:rPr>
              <w:t>名称</w:t>
            </w:r>
            <w:bookmarkEnd w:id="282"/>
          </w:p>
        </w:tc>
        <w:tc>
          <w:tcPr>
            <w:tcW w:w="1182" w:type="dxa"/>
            <w:vAlign w:val="center"/>
          </w:tcPr>
          <w:p>
            <w:pPr>
              <w:widowControl/>
              <w:jc w:val="center"/>
              <w:outlineLvl w:val="1"/>
              <w:rPr>
                <w:rFonts w:ascii="宋体" w:hAnsi="宋体" w:cs="宋体"/>
                <w:b/>
                <w:bCs/>
                <w:color w:val="auto"/>
                <w:sz w:val="24"/>
                <w:highlight w:val="none"/>
              </w:rPr>
            </w:pPr>
            <w:bookmarkStart w:id="283" w:name="_Toc503863009"/>
            <w:r>
              <w:rPr>
                <w:rFonts w:hint="eastAsia" w:ascii="宋体" w:hAnsi="宋体" w:cs="宋体"/>
                <w:b/>
                <w:bCs/>
                <w:color w:val="auto"/>
                <w:sz w:val="24"/>
                <w:highlight w:val="none"/>
              </w:rPr>
              <w:t>级别</w:t>
            </w:r>
            <w:bookmarkEnd w:id="283"/>
          </w:p>
        </w:tc>
        <w:tc>
          <w:tcPr>
            <w:tcW w:w="1043" w:type="dxa"/>
            <w:vAlign w:val="center"/>
          </w:tcPr>
          <w:p>
            <w:pPr>
              <w:widowControl/>
              <w:jc w:val="center"/>
              <w:outlineLvl w:val="1"/>
              <w:rPr>
                <w:rFonts w:ascii="宋体" w:hAnsi="宋体" w:cs="宋体"/>
                <w:b/>
                <w:bCs/>
                <w:color w:val="auto"/>
                <w:sz w:val="24"/>
                <w:highlight w:val="none"/>
              </w:rPr>
            </w:pPr>
            <w:bookmarkStart w:id="284" w:name="_Toc503863010"/>
            <w:r>
              <w:rPr>
                <w:rFonts w:hint="eastAsia" w:ascii="宋体" w:hAnsi="宋体" w:cs="宋体"/>
                <w:b/>
                <w:bCs/>
                <w:color w:val="auto"/>
                <w:sz w:val="24"/>
                <w:highlight w:val="none"/>
              </w:rPr>
              <w:t>证号</w:t>
            </w:r>
            <w:bookmarkEnd w:id="284"/>
          </w:p>
        </w:tc>
        <w:tc>
          <w:tcPr>
            <w:tcW w:w="901" w:type="dxa"/>
            <w:vAlign w:val="center"/>
          </w:tcPr>
          <w:p>
            <w:pPr>
              <w:widowControl/>
              <w:jc w:val="center"/>
              <w:outlineLvl w:val="1"/>
              <w:rPr>
                <w:rFonts w:ascii="宋体" w:hAnsi="宋体" w:cs="宋体"/>
                <w:b/>
                <w:bCs/>
                <w:color w:val="auto"/>
                <w:sz w:val="24"/>
                <w:highlight w:val="none"/>
              </w:rPr>
            </w:pPr>
            <w:bookmarkStart w:id="285" w:name="_Toc503863011"/>
            <w:r>
              <w:rPr>
                <w:rFonts w:hint="eastAsia" w:ascii="宋体" w:hAnsi="宋体" w:cs="宋体"/>
                <w:b/>
                <w:bCs/>
                <w:color w:val="auto"/>
                <w:sz w:val="24"/>
                <w:highlight w:val="none"/>
              </w:rPr>
              <w:t>专业</w:t>
            </w:r>
            <w:bookmarkEnd w:id="2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74" w:type="dxa"/>
            <w:vMerge w:val="restart"/>
            <w:vAlign w:val="center"/>
          </w:tcPr>
          <w:p>
            <w:pPr>
              <w:widowControl/>
              <w:jc w:val="center"/>
              <w:outlineLvl w:val="1"/>
              <w:rPr>
                <w:rFonts w:ascii="宋体" w:hAnsi="宋体" w:cs="宋体"/>
                <w:b/>
                <w:bCs/>
                <w:color w:val="auto"/>
                <w:sz w:val="24"/>
                <w:highlight w:val="none"/>
              </w:rPr>
            </w:pPr>
            <w:bookmarkStart w:id="286" w:name="_Toc503863012"/>
            <w:r>
              <w:rPr>
                <w:rFonts w:hint="eastAsia" w:ascii="宋体" w:hAnsi="宋体" w:cs="宋体"/>
                <w:b/>
                <w:bCs/>
                <w:color w:val="auto"/>
                <w:sz w:val="24"/>
                <w:highlight w:val="none"/>
              </w:rPr>
              <w:t>管理</w:t>
            </w:r>
            <w:bookmarkEnd w:id="286"/>
          </w:p>
          <w:p>
            <w:pPr>
              <w:widowControl/>
              <w:jc w:val="center"/>
              <w:outlineLvl w:val="1"/>
              <w:rPr>
                <w:rFonts w:ascii="宋体" w:hAnsi="宋体" w:cs="宋体"/>
                <w:b/>
                <w:bCs/>
                <w:color w:val="auto"/>
                <w:sz w:val="24"/>
                <w:highlight w:val="none"/>
              </w:rPr>
            </w:pPr>
            <w:bookmarkStart w:id="287" w:name="_Toc503863013"/>
            <w:r>
              <w:rPr>
                <w:rFonts w:hint="eastAsia" w:ascii="宋体" w:hAnsi="宋体" w:cs="宋体"/>
                <w:b/>
                <w:bCs/>
                <w:color w:val="auto"/>
                <w:sz w:val="24"/>
                <w:highlight w:val="none"/>
              </w:rPr>
              <w:t>人员</w:t>
            </w:r>
            <w:bookmarkEnd w:id="287"/>
          </w:p>
        </w:tc>
        <w:tc>
          <w:tcPr>
            <w:tcW w:w="993" w:type="dxa"/>
          </w:tcPr>
          <w:p>
            <w:pPr>
              <w:widowControl/>
              <w:jc w:val="left"/>
              <w:rPr>
                <w:rFonts w:ascii="宋体" w:hAnsi="宋体" w:cs="宋体"/>
                <w:color w:val="auto"/>
                <w:sz w:val="24"/>
                <w:highlight w:val="none"/>
              </w:rPr>
            </w:pPr>
          </w:p>
        </w:tc>
        <w:tc>
          <w:tcPr>
            <w:tcW w:w="994"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1047" w:type="dxa"/>
          </w:tcPr>
          <w:p>
            <w:pPr>
              <w:widowControl/>
              <w:jc w:val="left"/>
              <w:rPr>
                <w:rFonts w:ascii="宋体" w:hAnsi="宋体" w:cs="宋体"/>
                <w:color w:val="auto"/>
                <w:sz w:val="24"/>
                <w:highlight w:val="none"/>
              </w:rPr>
            </w:pPr>
          </w:p>
        </w:tc>
        <w:tc>
          <w:tcPr>
            <w:tcW w:w="1182" w:type="dxa"/>
          </w:tcPr>
          <w:p>
            <w:pPr>
              <w:widowControl/>
              <w:jc w:val="left"/>
              <w:rPr>
                <w:rFonts w:ascii="宋体" w:hAnsi="宋体" w:cs="宋体"/>
                <w:color w:val="auto"/>
                <w:sz w:val="24"/>
                <w:highlight w:val="none"/>
              </w:rPr>
            </w:pPr>
          </w:p>
        </w:tc>
        <w:tc>
          <w:tcPr>
            <w:tcW w:w="1043" w:type="dxa"/>
          </w:tcPr>
          <w:p>
            <w:pPr>
              <w:widowControl/>
              <w:jc w:val="left"/>
              <w:rPr>
                <w:rFonts w:ascii="宋体" w:hAnsi="宋体" w:cs="宋体"/>
                <w:color w:val="auto"/>
                <w:sz w:val="24"/>
                <w:highlight w:val="none"/>
              </w:rPr>
            </w:pPr>
          </w:p>
        </w:tc>
        <w:tc>
          <w:tcPr>
            <w:tcW w:w="901" w:type="dxa"/>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74" w:type="dxa"/>
            <w:vMerge w:val="continue"/>
            <w:vAlign w:val="center"/>
          </w:tcPr>
          <w:p>
            <w:pPr>
              <w:jc w:val="center"/>
              <w:rPr>
                <w:rFonts w:ascii="宋体" w:hAnsi="宋体" w:cs="宋体"/>
                <w:b/>
                <w:bCs/>
                <w:color w:val="auto"/>
                <w:sz w:val="24"/>
                <w:highlight w:val="none"/>
              </w:rPr>
            </w:pPr>
          </w:p>
        </w:tc>
        <w:tc>
          <w:tcPr>
            <w:tcW w:w="993" w:type="dxa"/>
          </w:tcPr>
          <w:p>
            <w:pPr>
              <w:widowControl/>
              <w:jc w:val="left"/>
              <w:rPr>
                <w:rFonts w:ascii="宋体" w:hAnsi="宋体" w:cs="宋体"/>
                <w:color w:val="auto"/>
                <w:sz w:val="24"/>
                <w:highlight w:val="none"/>
              </w:rPr>
            </w:pPr>
          </w:p>
        </w:tc>
        <w:tc>
          <w:tcPr>
            <w:tcW w:w="994"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1047" w:type="dxa"/>
          </w:tcPr>
          <w:p>
            <w:pPr>
              <w:widowControl/>
              <w:jc w:val="left"/>
              <w:rPr>
                <w:rFonts w:ascii="宋体" w:hAnsi="宋体" w:cs="宋体"/>
                <w:color w:val="auto"/>
                <w:sz w:val="24"/>
                <w:highlight w:val="none"/>
              </w:rPr>
            </w:pPr>
          </w:p>
        </w:tc>
        <w:tc>
          <w:tcPr>
            <w:tcW w:w="1182" w:type="dxa"/>
          </w:tcPr>
          <w:p>
            <w:pPr>
              <w:widowControl/>
              <w:jc w:val="left"/>
              <w:rPr>
                <w:rFonts w:ascii="宋体" w:hAnsi="宋体" w:cs="宋体"/>
                <w:color w:val="auto"/>
                <w:sz w:val="24"/>
                <w:highlight w:val="none"/>
              </w:rPr>
            </w:pPr>
          </w:p>
        </w:tc>
        <w:tc>
          <w:tcPr>
            <w:tcW w:w="1043" w:type="dxa"/>
          </w:tcPr>
          <w:p>
            <w:pPr>
              <w:widowControl/>
              <w:jc w:val="left"/>
              <w:rPr>
                <w:rFonts w:ascii="宋体" w:hAnsi="宋体" w:cs="宋体"/>
                <w:color w:val="auto"/>
                <w:sz w:val="24"/>
                <w:highlight w:val="none"/>
              </w:rPr>
            </w:pPr>
          </w:p>
        </w:tc>
        <w:tc>
          <w:tcPr>
            <w:tcW w:w="901" w:type="dxa"/>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74" w:type="dxa"/>
            <w:vMerge w:val="continue"/>
            <w:vAlign w:val="center"/>
          </w:tcPr>
          <w:p>
            <w:pPr>
              <w:jc w:val="center"/>
              <w:rPr>
                <w:rFonts w:ascii="宋体" w:hAnsi="宋体" w:cs="宋体"/>
                <w:b/>
                <w:bCs/>
                <w:color w:val="auto"/>
                <w:sz w:val="24"/>
                <w:highlight w:val="none"/>
              </w:rPr>
            </w:pPr>
          </w:p>
        </w:tc>
        <w:tc>
          <w:tcPr>
            <w:tcW w:w="993" w:type="dxa"/>
          </w:tcPr>
          <w:p>
            <w:pPr>
              <w:widowControl/>
              <w:jc w:val="left"/>
              <w:rPr>
                <w:rFonts w:ascii="宋体" w:hAnsi="宋体" w:cs="宋体"/>
                <w:color w:val="auto"/>
                <w:sz w:val="24"/>
                <w:highlight w:val="none"/>
              </w:rPr>
            </w:pPr>
          </w:p>
        </w:tc>
        <w:tc>
          <w:tcPr>
            <w:tcW w:w="994"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1047" w:type="dxa"/>
          </w:tcPr>
          <w:p>
            <w:pPr>
              <w:widowControl/>
              <w:jc w:val="left"/>
              <w:rPr>
                <w:rFonts w:ascii="宋体" w:hAnsi="宋体" w:cs="宋体"/>
                <w:color w:val="auto"/>
                <w:sz w:val="24"/>
                <w:highlight w:val="none"/>
              </w:rPr>
            </w:pPr>
          </w:p>
        </w:tc>
        <w:tc>
          <w:tcPr>
            <w:tcW w:w="1182" w:type="dxa"/>
          </w:tcPr>
          <w:p>
            <w:pPr>
              <w:widowControl/>
              <w:jc w:val="left"/>
              <w:rPr>
                <w:rFonts w:ascii="宋体" w:hAnsi="宋体" w:cs="宋体"/>
                <w:color w:val="auto"/>
                <w:sz w:val="24"/>
                <w:highlight w:val="none"/>
              </w:rPr>
            </w:pPr>
          </w:p>
        </w:tc>
        <w:tc>
          <w:tcPr>
            <w:tcW w:w="1043" w:type="dxa"/>
          </w:tcPr>
          <w:p>
            <w:pPr>
              <w:widowControl/>
              <w:jc w:val="left"/>
              <w:rPr>
                <w:rFonts w:ascii="宋体" w:hAnsi="宋体" w:cs="宋体"/>
                <w:color w:val="auto"/>
                <w:sz w:val="24"/>
                <w:highlight w:val="none"/>
              </w:rPr>
            </w:pPr>
          </w:p>
        </w:tc>
        <w:tc>
          <w:tcPr>
            <w:tcW w:w="901" w:type="dxa"/>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74" w:type="dxa"/>
            <w:vMerge w:val="restart"/>
            <w:vAlign w:val="center"/>
          </w:tcPr>
          <w:p>
            <w:pPr>
              <w:widowControl/>
              <w:jc w:val="center"/>
              <w:outlineLvl w:val="1"/>
              <w:rPr>
                <w:rFonts w:ascii="宋体" w:hAnsi="宋体" w:cs="宋体"/>
                <w:b/>
                <w:bCs/>
                <w:color w:val="auto"/>
                <w:sz w:val="24"/>
                <w:highlight w:val="none"/>
              </w:rPr>
            </w:pPr>
            <w:bookmarkStart w:id="288" w:name="_Toc503863014"/>
            <w:r>
              <w:rPr>
                <w:rFonts w:hint="eastAsia" w:ascii="宋体" w:hAnsi="宋体" w:cs="宋体"/>
                <w:b/>
                <w:bCs/>
                <w:color w:val="auto"/>
                <w:sz w:val="24"/>
                <w:highlight w:val="none"/>
              </w:rPr>
              <w:t>技术</w:t>
            </w:r>
            <w:bookmarkEnd w:id="288"/>
          </w:p>
          <w:p>
            <w:pPr>
              <w:widowControl/>
              <w:jc w:val="center"/>
              <w:outlineLvl w:val="1"/>
              <w:rPr>
                <w:rFonts w:ascii="宋体" w:hAnsi="宋体" w:cs="宋体"/>
                <w:b/>
                <w:bCs/>
                <w:color w:val="auto"/>
                <w:sz w:val="24"/>
                <w:highlight w:val="none"/>
              </w:rPr>
            </w:pPr>
            <w:bookmarkStart w:id="289" w:name="_Toc503863015"/>
            <w:r>
              <w:rPr>
                <w:rFonts w:hint="eastAsia" w:ascii="宋体" w:hAnsi="宋体" w:cs="宋体"/>
                <w:b/>
                <w:bCs/>
                <w:color w:val="auto"/>
                <w:sz w:val="24"/>
                <w:highlight w:val="none"/>
              </w:rPr>
              <w:t>人员</w:t>
            </w:r>
            <w:bookmarkEnd w:id="289"/>
          </w:p>
        </w:tc>
        <w:tc>
          <w:tcPr>
            <w:tcW w:w="993" w:type="dxa"/>
          </w:tcPr>
          <w:p>
            <w:pPr>
              <w:widowControl/>
              <w:jc w:val="left"/>
              <w:rPr>
                <w:rFonts w:ascii="宋体" w:hAnsi="宋体" w:cs="宋体"/>
                <w:color w:val="auto"/>
                <w:sz w:val="24"/>
                <w:highlight w:val="none"/>
              </w:rPr>
            </w:pPr>
          </w:p>
        </w:tc>
        <w:tc>
          <w:tcPr>
            <w:tcW w:w="994"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1047" w:type="dxa"/>
          </w:tcPr>
          <w:p>
            <w:pPr>
              <w:widowControl/>
              <w:jc w:val="left"/>
              <w:rPr>
                <w:rFonts w:ascii="宋体" w:hAnsi="宋体" w:cs="宋体"/>
                <w:color w:val="auto"/>
                <w:sz w:val="24"/>
                <w:highlight w:val="none"/>
              </w:rPr>
            </w:pPr>
          </w:p>
        </w:tc>
        <w:tc>
          <w:tcPr>
            <w:tcW w:w="1182" w:type="dxa"/>
          </w:tcPr>
          <w:p>
            <w:pPr>
              <w:widowControl/>
              <w:jc w:val="left"/>
              <w:rPr>
                <w:rFonts w:ascii="宋体" w:hAnsi="宋体" w:cs="宋体"/>
                <w:color w:val="auto"/>
                <w:sz w:val="24"/>
                <w:highlight w:val="none"/>
              </w:rPr>
            </w:pPr>
          </w:p>
        </w:tc>
        <w:tc>
          <w:tcPr>
            <w:tcW w:w="1043" w:type="dxa"/>
          </w:tcPr>
          <w:p>
            <w:pPr>
              <w:widowControl/>
              <w:jc w:val="left"/>
              <w:rPr>
                <w:rFonts w:ascii="宋体" w:hAnsi="宋体" w:cs="宋体"/>
                <w:color w:val="auto"/>
                <w:sz w:val="24"/>
                <w:highlight w:val="none"/>
              </w:rPr>
            </w:pPr>
          </w:p>
        </w:tc>
        <w:tc>
          <w:tcPr>
            <w:tcW w:w="901" w:type="dxa"/>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74" w:type="dxa"/>
            <w:vMerge w:val="continue"/>
            <w:vAlign w:val="center"/>
          </w:tcPr>
          <w:p>
            <w:pPr>
              <w:jc w:val="center"/>
              <w:rPr>
                <w:rFonts w:ascii="宋体" w:hAnsi="宋体" w:cs="宋体"/>
                <w:b/>
                <w:bCs/>
                <w:color w:val="auto"/>
                <w:sz w:val="24"/>
                <w:highlight w:val="none"/>
              </w:rPr>
            </w:pPr>
          </w:p>
        </w:tc>
        <w:tc>
          <w:tcPr>
            <w:tcW w:w="993" w:type="dxa"/>
          </w:tcPr>
          <w:p>
            <w:pPr>
              <w:widowControl/>
              <w:jc w:val="left"/>
              <w:rPr>
                <w:rFonts w:ascii="宋体" w:hAnsi="宋体" w:cs="宋体"/>
                <w:color w:val="auto"/>
                <w:sz w:val="24"/>
                <w:highlight w:val="none"/>
              </w:rPr>
            </w:pPr>
          </w:p>
        </w:tc>
        <w:tc>
          <w:tcPr>
            <w:tcW w:w="994"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1047" w:type="dxa"/>
          </w:tcPr>
          <w:p>
            <w:pPr>
              <w:widowControl/>
              <w:jc w:val="left"/>
              <w:rPr>
                <w:rFonts w:ascii="宋体" w:hAnsi="宋体" w:cs="宋体"/>
                <w:color w:val="auto"/>
                <w:sz w:val="24"/>
                <w:highlight w:val="none"/>
              </w:rPr>
            </w:pPr>
          </w:p>
        </w:tc>
        <w:tc>
          <w:tcPr>
            <w:tcW w:w="1182" w:type="dxa"/>
          </w:tcPr>
          <w:p>
            <w:pPr>
              <w:widowControl/>
              <w:jc w:val="left"/>
              <w:rPr>
                <w:rFonts w:ascii="宋体" w:hAnsi="宋体" w:cs="宋体"/>
                <w:color w:val="auto"/>
                <w:sz w:val="24"/>
                <w:highlight w:val="none"/>
              </w:rPr>
            </w:pPr>
          </w:p>
        </w:tc>
        <w:tc>
          <w:tcPr>
            <w:tcW w:w="1043" w:type="dxa"/>
          </w:tcPr>
          <w:p>
            <w:pPr>
              <w:widowControl/>
              <w:jc w:val="left"/>
              <w:rPr>
                <w:rFonts w:ascii="宋体" w:hAnsi="宋体" w:cs="宋体"/>
                <w:color w:val="auto"/>
                <w:sz w:val="24"/>
                <w:highlight w:val="none"/>
              </w:rPr>
            </w:pPr>
          </w:p>
        </w:tc>
        <w:tc>
          <w:tcPr>
            <w:tcW w:w="901" w:type="dxa"/>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74" w:type="dxa"/>
            <w:vMerge w:val="continue"/>
            <w:vAlign w:val="center"/>
          </w:tcPr>
          <w:p>
            <w:pPr>
              <w:jc w:val="center"/>
              <w:rPr>
                <w:rFonts w:ascii="宋体" w:hAnsi="宋体" w:cs="宋体"/>
                <w:b/>
                <w:bCs/>
                <w:color w:val="auto"/>
                <w:sz w:val="24"/>
                <w:highlight w:val="none"/>
              </w:rPr>
            </w:pPr>
          </w:p>
        </w:tc>
        <w:tc>
          <w:tcPr>
            <w:tcW w:w="993" w:type="dxa"/>
          </w:tcPr>
          <w:p>
            <w:pPr>
              <w:widowControl/>
              <w:jc w:val="left"/>
              <w:rPr>
                <w:rFonts w:ascii="宋体" w:hAnsi="宋体" w:cs="宋体"/>
                <w:color w:val="auto"/>
                <w:sz w:val="24"/>
                <w:highlight w:val="none"/>
              </w:rPr>
            </w:pPr>
          </w:p>
        </w:tc>
        <w:tc>
          <w:tcPr>
            <w:tcW w:w="994"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1047" w:type="dxa"/>
          </w:tcPr>
          <w:p>
            <w:pPr>
              <w:widowControl/>
              <w:jc w:val="left"/>
              <w:rPr>
                <w:rFonts w:ascii="宋体" w:hAnsi="宋体" w:cs="宋体"/>
                <w:color w:val="auto"/>
                <w:sz w:val="24"/>
                <w:highlight w:val="none"/>
              </w:rPr>
            </w:pPr>
          </w:p>
        </w:tc>
        <w:tc>
          <w:tcPr>
            <w:tcW w:w="1182" w:type="dxa"/>
          </w:tcPr>
          <w:p>
            <w:pPr>
              <w:widowControl/>
              <w:jc w:val="left"/>
              <w:rPr>
                <w:rFonts w:ascii="宋体" w:hAnsi="宋体" w:cs="宋体"/>
                <w:color w:val="auto"/>
                <w:sz w:val="24"/>
                <w:highlight w:val="none"/>
              </w:rPr>
            </w:pPr>
          </w:p>
        </w:tc>
        <w:tc>
          <w:tcPr>
            <w:tcW w:w="1043" w:type="dxa"/>
          </w:tcPr>
          <w:p>
            <w:pPr>
              <w:widowControl/>
              <w:jc w:val="left"/>
              <w:rPr>
                <w:rFonts w:ascii="宋体" w:hAnsi="宋体" w:cs="宋体"/>
                <w:color w:val="auto"/>
                <w:sz w:val="24"/>
                <w:highlight w:val="none"/>
              </w:rPr>
            </w:pPr>
          </w:p>
        </w:tc>
        <w:tc>
          <w:tcPr>
            <w:tcW w:w="901" w:type="dxa"/>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74" w:type="dxa"/>
            <w:vMerge w:val="restart"/>
            <w:vAlign w:val="center"/>
          </w:tcPr>
          <w:p>
            <w:pPr>
              <w:widowControl/>
              <w:jc w:val="center"/>
              <w:outlineLvl w:val="1"/>
              <w:rPr>
                <w:rFonts w:hint="eastAsia" w:ascii="宋体" w:hAnsi="宋体" w:cs="宋体"/>
                <w:b/>
                <w:bCs/>
                <w:color w:val="auto"/>
                <w:sz w:val="24"/>
                <w:highlight w:val="none"/>
              </w:rPr>
            </w:pPr>
            <w:bookmarkStart w:id="290" w:name="_Toc503863016"/>
            <w:r>
              <w:rPr>
                <w:rFonts w:hint="eastAsia" w:ascii="宋体" w:hAnsi="宋体" w:cs="宋体"/>
                <w:b/>
                <w:bCs/>
                <w:color w:val="auto"/>
                <w:sz w:val="24"/>
                <w:highlight w:val="none"/>
              </w:rPr>
              <w:t>服务</w:t>
            </w:r>
          </w:p>
          <w:p>
            <w:pPr>
              <w:widowControl/>
              <w:jc w:val="center"/>
              <w:outlineLvl w:val="1"/>
              <w:rPr>
                <w:rFonts w:ascii="宋体" w:hAnsi="宋体" w:cs="宋体"/>
                <w:b/>
                <w:bCs/>
                <w:color w:val="auto"/>
                <w:sz w:val="24"/>
                <w:highlight w:val="none"/>
              </w:rPr>
            </w:pPr>
            <w:r>
              <w:rPr>
                <w:rFonts w:hint="eastAsia" w:ascii="宋体" w:hAnsi="宋体" w:cs="宋体"/>
                <w:b/>
                <w:bCs/>
                <w:color w:val="auto"/>
                <w:sz w:val="24"/>
                <w:highlight w:val="none"/>
              </w:rPr>
              <w:t>人员</w:t>
            </w:r>
            <w:bookmarkEnd w:id="290"/>
          </w:p>
        </w:tc>
        <w:tc>
          <w:tcPr>
            <w:tcW w:w="993" w:type="dxa"/>
          </w:tcPr>
          <w:p>
            <w:pPr>
              <w:widowControl/>
              <w:jc w:val="left"/>
              <w:rPr>
                <w:rFonts w:ascii="宋体" w:hAnsi="宋体" w:cs="宋体"/>
                <w:color w:val="auto"/>
                <w:sz w:val="24"/>
                <w:highlight w:val="none"/>
              </w:rPr>
            </w:pPr>
          </w:p>
        </w:tc>
        <w:tc>
          <w:tcPr>
            <w:tcW w:w="994"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1047" w:type="dxa"/>
          </w:tcPr>
          <w:p>
            <w:pPr>
              <w:widowControl/>
              <w:jc w:val="left"/>
              <w:rPr>
                <w:rFonts w:ascii="宋体" w:hAnsi="宋体" w:cs="宋体"/>
                <w:color w:val="auto"/>
                <w:sz w:val="24"/>
                <w:highlight w:val="none"/>
              </w:rPr>
            </w:pPr>
          </w:p>
        </w:tc>
        <w:tc>
          <w:tcPr>
            <w:tcW w:w="1182" w:type="dxa"/>
          </w:tcPr>
          <w:p>
            <w:pPr>
              <w:widowControl/>
              <w:jc w:val="left"/>
              <w:rPr>
                <w:rFonts w:ascii="宋体" w:hAnsi="宋体" w:cs="宋体"/>
                <w:color w:val="auto"/>
                <w:sz w:val="24"/>
                <w:highlight w:val="none"/>
              </w:rPr>
            </w:pPr>
          </w:p>
        </w:tc>
        <w:tc>
          <w:tcPr>
            <w:tcW w:w="1043" w:type="dxa"/>
          </w:tcPr>
          <w:p>
            <w:pPr>
              <w:widowControl/>
              <w:jc w:val="left"/>
              <w:rPr>
                <w:rFonts w:ascii="宋体" w:hAnsi="宋体" w:cs="宋体"/>
                <w:color w:val="auto"/>
                <w:sz w:val="24"/>
                <w:highlight w:val="none"/>
              </w:rPr>
            </w:pPr>
          </w:p>
        </w:tc>
        <w:tc>
          <w:tcPr>
            <w:tcW w:w="901" w:type="dxa"/>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74" w:type="dxa"/>
            <w:vMerge w:val="continue"/>
            <w:tcBorders>
              <w:bottom w:val="single" w:color="auto" w:sz="4" w:space="0"/>
            </w:tcBorders>
          </w:tcPr>
          <w:p>
            <w:pPr>
              <w:rPr>
                <w:rFonts w:ascii="宋体" w:hAnsi="宋体" w:cs="宋体"/>
                <w:color w:val="auto"/>
                <w:sz w:val="24"/>
                <w:highlight w:val="none"/>
              </w:rPr>
            </w:pPr>
          </w:p>
        </w:tc>
        <w:tc>
          <w:tcPr>
            <w:tcW w:w="993" w:type="dxa"/>
            <w:tcBorders>
              <w:bottom w:val="single" w:color="auto" w:sz="4" w:space="0"/>
            </w:tcBorders>
          </w:tcPr>
          <w:p>
            <w:pPr>
              <w:widowControl/>
              <w:jc w:val="left"/>
              <w:rPr>
                <w:rFonts w:ascii="宋体" w:hAnsi="宋体" w:cs="宋体"/>
                <w:color w:val="auto"/>
                <w:sz w:val="24"/>
                <w:highlight w:val="none"/>
              </w:rPr>
            </w:pPr>
          </w:p>
        </w:tc>
        <w:tc>
          <w:tcPr>
            <w:tcW w:w="994"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993" w:type="dxa"/>
          </w:tcPr>
          <w:p>
            <w:pPr>
              <w:widowControl/>
              <w:jc w:val="left"/>
              <w:rPr>
                <w:rFonts w:ascii="宋体" w:hAnsi="宋体" w:cs="宋体"/>
                <w:color w:val="auto"/>
                <w:sz w:val="24"/>
                <w:highlight w:val="none"/>
              </w:rPr>
            </w:pPr>
          </w:p>
        </w:tc>
        <w:tc>
          <w:tcPr>
            <w:tcW w:w="1047" w:type="dxa"/>
          </w:tcPr>
          <w:p>
            <w:pPr>
              <w:widowControl/>
              <w:jc w:val="left"/>
              <w:rPr>
                <w:rFonts w:ascii="宋体" w:hAnsi="宋体" w:cs="宋体"/>
                <w:color w:val="auto"/>
                <w:sz w:val="24"/>
                <w:highlight w:val="none"/>
              </w:rPr>
            </w:pPr>
          </w:p>
        </w:tc>
        <w:tc>
          <w:tcPr>
            <w:tcW w:w="1182" w:type="dxa"/>
          </w:tcPr>
          <w:p>
            <w:pPr>
              <w:widowControl/>
              <w:jc w:val="left"/>
              <w:rPr>
                <w:rFonts w:ascii="宋体" w:hAnsi="宋体" w:cs="宋体"/>
                <w:color w:val="auto"/>
                <w:sz w:val="24"/>
                <w:highlight w:val="none"/>
              </w:rPr>
            </w:pPr>
          </w:p>
        </w:tc>
        <w:tc>
          <w:tcPr>
            <w:tcW w:w="1043" w:type="dxa"/>
          </w:tcPr>
          <w:p>
            <w:pPr>
              <w:widowControl/>
              <w:jc w:val="left"/>
              <w:rPr>
                <w:rFonts w:ascii="宋体" w:hAnsi="宋体" w:cs="宋体"/>
                <w:color w:val="auto"/>
                <w:sz w:val="24"/>
                <w:highlight w:val="none"/>
              </w:rPr>
            </w:pPr>
          </w:p>
        </w:tc>
        <w:tc>
          <w:tcPr>
            <w:tcW w:w="901" w:type="dxa"/>
          </w:tcPr>
          <w:p>
            <w:pPr>
              <w:widowControl/>
              <w:jc w:val="left"/>
              <w:rPr>
                <w:rFonts w:ascii="宋体" w:hAnsi="宋体" w:cs="宋体"/>
                <w:color w:val="auto"/>
                <w:sz w:val="24"/>
                <w:highlight w:val="none"/>
              </w:rPr>
            </w:pPr>
          </w:p>
        </w:tc>
      </w:tr>
    </w:tbl>
    <w:p>
      <w:pPr>
        <w:pStyle w:val="11"/>
        <w:rPr>
          <w:rFonts w:hAnsi="宋体" w:cs="宋体"/>
          <w:color w:val="auto"/>
          <w:highlight w:val="none"/>
        </w:rPr>
      </w:pP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投标人名称：XXXX（单位盖章）。</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法定代表人/单位负责人或授权代表（签字或加盖个人名章）：XXXX。</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投标日期: XXXX。</w:t>
      </w:r>
    </w:p>
    <w:p>
      <w:pPr>
        <w:widowControl/>
        <w:spacing w:line="360" w:lineRule="atLeast"/>
        <w:jc w:val="left"/>
        <w:rPr>
          <w:rFonts w:ascii="宋体" w:hAnsi="宋体" w:cs="宋体"/>
          <w:b/>
          <w:color w:val="auto"/>
          <w:sz w:val="24"/>
          <w:highlight w:val="none"/>
        </w:rPr>
      </w:pPr>
    </w:p>
    <w:p>
      <w:pPr>
        <w:spacing w:line="360" w:lineRule="auto"/>
        <w:rPr>
          <w:rFonts w:ascii="宋体" w:hAnsi="宋体" w:cs="宋体"/>
          <w:b/>
          <w:color w:val="auto"/>
          <w:sz w:val="32"/>
          <w:szCs w:val="32"/>
          <w:highlight w:val="none"/>
        </w:rPr>
      </w:pPr>
      <w:r>
        <w:rPr>
          <w:rFonts w:hint="eastAsia" w:ascii="宋体" w:hAnsi="宋体" w:cs="宋体"/>
          <w:b/>
          <w:color w:val="auto"/>
          <w:sz w:val="24"/>
          <w:highlight w:val="none"/>
        </w:rPr>
        <w:br w:type="page"/>
      </w:r>
      <w:r>
        <w:rPr>
          <w:rFonts w:hint="eastAsia" w:ascii="宋体" w:hAnsi="宋体" w:cs="宋体"/>
          <w:b/>
          <w:color w:val="auto"/>
          <w:sz w:val="32"/>
          <w:szCs w:val="32"/>
          <w:highlight w:val="none"/>
        </w:rPr>
        <w:t>格式2-12</w:t>
      </w:r>
    </w:p>
    <w:p>
      <w:pPr>
        <w:widowControl/>
        <w:spacing w:line="360" w:lineRule="auto"/>
        <w:jc w:val="center"/>
        <w:outlineLvl w:val="2"/>
        <w:rPr>
          <w:rFonts w:ascii="宋体" w:hAnsi="宋体" w:cs="宋体"/>
          <w:b/>
          <w:color w:val="auto"/>
          <w:sz w:val="32"/>
          <w:szCs w:val="32"/>
          <w:highlight w:val="none"/>
        </w:rPr>
      </w:pPr>
      <w:bookmarkStart w:id="291" w:name="_Toc503863020"/>
      <w:r>
        <w:rPr>
          <w:rFonts w:hint="eastAsia" w:ascii="宋体" w:hAnsi="宋体" w:cs="宋体"/>
          <w:b/>
          <w:color w:val="auto"/>
          <w:sz w:val="32"/>
          <w:szCs w:val="32"/>
          <w:highlight w:val="none"/>
        </w:rPr>
        <w:t>十一、供应商诚信情况承诺函</w:t>
      </w:r>
      <w:bookmarkEnd w:id="291"/>
    </w:p>
    <w:p>
      <w:pPr>
        <w:spacing w:line="360" w:lineRule="auto"/>
        <w:rPr>
          <w:rFonts w:ascii="宋体" w:hAnsi="宋体" w:cs="宋体"/>
          <w:bCs/>
          <w:color w:val="auto"/>
          <w:sz w:val="24"/>
          <w:highlight w:val="none"/>
        </w:rPr>
      </w:pP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致</w:t>
      </w:r>
      <w:r>
        <w:rPr>
          <w:rFonts w:hint="eastAsia" w:ascii="宋体" w:hAnsi="宋体" w:cs="宋体"/>
          <w:bCs/>
          <w:color w:val="auto"/>
          <w:sz w:val="24"/>
          <w:highlight w:val="none"/>
          <w:lang w:eastAsia="zh-CN"/>
        </w:rPr>
        <w:t>：四川新宇盛项目管理集团有限公司：</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本单位</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（供应商名称）参加</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（项目名称及招标编号）的政府采购活动，现根据《四川省公共资源交易领域严重失信联合惩戒实施办法》（川发改信用规〔2019〕405 号）、《关于对政府采购领域严重违法失信主体开展联合惩戒的合作备忘录》（发改财金〔2018〕1614 号）的相关规定，针对本单位的诚信情况作出以下承诺：</w:t>
      </w:r>
    </w:p>
    <w:p>
      <w:pPr>
        <w:adjustRightInd w:val="0"/>
        <w:snapToGrid w:val="0"/>
        <w:spacing w:line="360" w:lineRule="auto"/>
        <w:rPr>
          <w:rFonts w:ascii="宋体" w:hAnsi="宋体" w:cs="宋体"/>
          <w:bCs/>
          <w:color w:val="auto"/>
          <w:sz w:val="24"/>
          <w:highlight w:val="none"/>
        </w:rPr>
      </w:pP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我单位具有《四川省公共资源交易领域严重失信联合惩戒实施办法》（川发改信用规〔2019〕405 号）、《关于对政府采购领域严重违法失信主体开展联合惩戒的合作备忘录》（发改财金〔2018〕1614 号）所规定的失信行为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次（填写失信行为的次数时，建议使用大写数字，如零、壹、贰、叁、肆等。）；（仅限投标截止当日仍在有效期的次数）</w:t>
      </w:r>
    </w:p>
    <w:p>
      <w:pPr>
        <w:adjustRightInd w:val="0"/>
        <w:snapToGrid w:val="0"/>
        <w:spacing w:line="360" w:lineRule="auto"/>
        <w:rPr>
          <w:rFonts w:ascii="宋体" w:hAnsi="宋体" w:cs="宋体"/>
          <w:bCs/>
          <w:color w:val="auto"/>
          <w:sz w:val="24"/>
          <w:highlight w:val="none"/>
        </w:rPr>
      </w:pP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我单位对以上填写信息的真实性负责。如有不实，本单位愿承担由此产生的一切法律责任和后果。</w:t>
      </w:r>
    </w:p>
    <w:p>
      <w:pPr>
        <w:adjustRightInd w:val="0"/>
        <w:snapToGrid w:val="0"/>
        <w:spacing w:line="360" w:lineRule="auto"/>
        <w:rPr>
          <w:rFonts w:ascii="宋体" w:hAnsi="宋体" w:cs="宋体"/>
          <w:b/>
          <w:color w:val="auto"/>
          <w:sz w:val="24"/>
          <w:highlight w:val="none"/>
        </w:rPr>
      </w:pPr>
    </w:p>
    <w:p>
      <w:pPr>
        <w:adjustRightInd w:val="0"/>
        <w:snapToGrid w:val="0"/>
        <w:spacing w:line="360" w:lineRule="auto"/>
        <w:ind w:firstLine="482" w:firstLineChars="200"/>
        <w:rPr>
          <w:rFonts w:ascii="宋体" w:hAnsi="宋体" w:cs="宋体"/>
          <w:b/>
          <w:color w:val="auto"/>
          <w:sz w:val="24"/>
          <w:highlight w:val="none"/>
        </w:rPr>
      </w:pPr>
      <w:bookmarkStart w:id="292" w:name="_Toc503863021"/>
      <w:r>
        <w:rPr>
          <w:rFonts w:hint="eastAsia" w:ascii="宋体" w:hAnsi="宋体" w:cs="宋体"/>
          <w:b/>
          <w:color w:val="auto"/>
          <w:sz w:val="24"/>
          <w:highlight w:val="none"/>
        </w:rPr>
        <w:t>投标人名称：XXXX（单位盖章）。</w:t>
      </w:r>
      <w:bookmarkEnd w:id="292"/>
    </w:p>
    <w:p>
      <w:pPr>
        <w:adjustRightInd w:val="0"/>
        <w:snapToGrid w:val="0"/>
        <w:spacing w:line="360" w:lineRule="auto"/>
        <w:ind w:firstLine="482" w:firstLineChars="200"/>
        <w:rPr>
          <w:rFonts w:ascii="宋体" w:hAnsi="宋体" w:cs="宋体"/>
          <w:b/>
          <w:color w:val="auto"/>
          <w:sz w:val="24"/>
          <w:highlight w:val="none"/>
        </w:rPr>
      </w:pPr>
      <w:bookmarkStart w:id="293" w:name="_Toc503863022"/>
      <w:r>
        <w:rPr>
          <w:rFonts w:hint="eastAsia" w:ascii="宋体" w:hAnsi="宋体" w:cs="宋体"/>
          <w:b/>
          <w:color w:val="auto"/>
          <w:sz w:val="24"/>
          <w:highlight w:val="none"/>
        </w:rPr>
        <w:t>法定代表人/单位负责人或授权代表（签字或加盖个人名章）：XXXX。</w:t>
      </w:r>
      <w:bookmarkEnd w:id="293"/>
    </w:p>
    <w:p>
      <w:pPr>
        <w:adjustRightInd w:val="0"/>
        <w:snapToGrid w:val="0"/>
        <w:spacing w:line="360" w:lineRule="auto"/>
        <w:ind w:firstLine="482" w:firstLineChars="200"/>
        <w:rPr>
          <w:rFonts w:ascii="宋体" w:hAnsi="宋体" w:cs="宋体"/>
          <w:b/>
          <w:color w:val="auto"/>
          <w:sz w:val="24"/>
          <w:highlight w:val="none"/>
        </w:rPr>
      </w:pPr>
      <w:bookmarkStart w:id="294" w:name="_Toc503863023"/>
      <w:r>
        <w:rPr>
          <w:rFonts w:hint="eastAsia" w:ascii="宋体" w:hAnsi="宋体" w:cs="宋体"/>
          <w:b/>
          <w:color w:val="auto"/>
          <w:sz w:val="24"/>
          <w:highlight w:val="none"/>
        </w:rPr>
        <w:t>投标日期: XXXX。</w:t>
      </w:r>
      <w:bookmarkEnd w:id="294"/>
    </w:p>
    <w:p>
      <w:pPr>
        <w:pStyle w:val="11"/>
        <w:rPr>
          <w:rFonts w:hAnsi="宋体" w:cs="宋体"/>
          <w:color w:val="auto"/>
          <w:highlight w:val="none"/>
        </w:rPr>
      </w:pP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注：1、本表格式及内容仅供参考，投标人也可提供自己的格式；</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2、投标人存在以上所述失信行为的，将按照第二章投标人须知附表的要求进行处理；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4、投标人的失信行为受到行政处罚或司法惩处的，评审时不再对其以价格加成进行惩戒。</w:t>
      </w:r>
    </w:p>
    <w:p>
      <w:pPr>
        <w:adjustRightInd w:val="0"/>
        <w:snapToGrid w:val="0"/>
        <w:spacing w:line="360" w:lineRule="auto"/>
        <w:rPr>
          <w:rFonts w:hint="eastAsia" w:ascii="宋体" w:hAnsi="宋体" w:cs="宋体"/>
          <w:bCs/>
          <w:color w:val="auto"/>
          <w:sz w:val="24"/>
          <w:highlight w:val="none"/>
        </w:rPr>
      </w:pPr>
    </w:p>
    <w:p>
      <w:pPr>
        <w:adjustRightInd w:val="0"/>
        <w:snapToGrid w:val="0"/>
        <w:spacing w:line="360" w:lineRule="auto"/>
        <w:rPr>
          <w:rFonts w:ascii="宋体" w:hAnsi="宋体" w:cs="宋体"/>
          <w:b/>
          <w:color w:val="auto"/>
          <w:sz w:val="32"/>
          <w:szCs w:val="32"/>
          <w:highlight w:val="none"/>
        </w:rPr>
      </w:pPr>
      <w:r>
        <w:rPr>
          <w:rFonts w:hint="eastAsia" w:ascii="宋体" w:hAnsi="宋体" w:cs="宋体"/>
          <w:bCs/>
          <w:color w:val="auto"/>
          <w:sz w:val="24"/>
          <w:highlight w:val="none"/>
        </w:rPr>
        <w:br w:type="page"/>
      </w:r>
      <w:r>
        <w:rPr>
          <w:rFonts w:hint="eastAsia" w:ascii="宋体" w:hAnsi="宋体" w:cs="宋体"/>
          <w:b/>
          <w:color w:val="auto"/>
          <w:sz w:val="32"/>
          <w:szCs w:val="32"/>
          <w:highlight w:val="none"/>
        </w:rPr>
        <w:t>格式2-13</w:t>
      </w:r>
    </w:p>
    <w:bookmarkEnd w:id="175"/>
    <w:bookmarkEnd w:id="176"/>
    <w:bookmarkEnd w:id="177"/>
    <w:p>
      <w:pPr>
        <w:widowControl/>
        <w:spacing w:line="360" w:lineRule="auto"/>
        <w:jc w:val="center"/>
        <w:outlineLvl w:val="2"/>
        <w:rPr>
          <w:rFonts w:ascii="宋体" w:hAnsi="宋体" w:cs="宋体"/>
          <w:b/>
          <w:color w:val="auto"/>
          <w:sz w:val="32"/>
          <w:szCs w:val="32"/>
          <w:highlight w:val="none"/>
        </w:rPr>
      </w:pPr>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二</w:t>
      </w:r>
      <w:r>
        <w:rPr>
          <w:rFonts w:hint="eastAsia" w:ascii="宋体" w:hAnsi="宋体" w:cs="宋体"/>
          <w:b/>
          <w:color w:val="auto"/>
          <w:sz w:val="32"/>
          <w:szCs w:val="32"/>
          <w:highlight w:val="none"/>
        </w:rPr>
        <w:t>、关于国家规定的强制采购范围内产品证明材料</w:t>
      </w:r>
    </w:p>
    <w:p>
      <w:pPr>
        <w:rPr>
          <w:rFonts w:ascii="宋体" w:hAnsi="宋体" w:cs="宋体"/>
          <w:color w:val="auto"/>
          <w:sz w:val="24"/>
          <w:highlight w:val="none"/>
        </w:rPr>
      </w:pPr>
    </w:p>
    <w:p>
      <w:pPr>
        <w:pStyle w:val="8"/>
        <w:rPr>
          <w:rFonts w:ascii="宋体" w:hAnsi="宋体" w:cs="宋体"/>
          <w:color w:val="auto"/>
          <w:sz w:val="24"/>
          <w:highlight w:val="none"/>
        </w:rPr>
      </w:pPr>
    </w:p>
    <w:p>
      <w:pPr>
        <w:rPr>
          <w:rFonts w:ascii="宋体" w:hAnsi="宋体" w:cs="宋体"/>
          <w:color w:val="auto"/>
          <w:highlight w:val="none"/>
        </w:rPr>
      </w:pPr>
    </w:p>
    <w:p>
      <w:pPr>
        <w:widowControl/>
        <w:adjustRightInd w:val="0"/>
        <w:snapToGri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（如适用，格式自拟）</w: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widowControl/>
        <w:adjustRightInd w:val="0"/>
        <w:snapToGrid w:val="0"/>
        <w:spacing w:line="360" w:lineRule="auto"/>
        <w:ind w:firstLine="482" w:firstLineChars="200"/>
        <w:jc w:val="left"/>
        <w:rPr>
          <w:rFonts w:ascii="宋体" w:hAnsi="宋体" w:cs="宋体"/>
          <w:b/>
          <w:bCs/>
          <w:color w:val="auto"/>
          <w:kern w:val="0"/>
          <w:sz w:val="24"/>
          <w:highlight w:val="none"/>
        </w:rPr>
      </w:pPr>
      <w:r>
        <w:rPr>
          <w:rFonts w:hint="eastAsia" w:ascii="宋体" w:hAnsi="宋体" w:cs="宋体"/>
          <w:b/>
          <w:bCs/>
          <w:color w:val="auto"/>
          <w:kern w:val="0"/>
          <w:sz w:val="24"/>
          <w:highlight w:val="none"/>
          <w:lang w:val="zh-CN"/>
        </w:rPr>
        <w:t>注：本项目采购需求中涉及</w:t>
      </w:r>
      <w:r>
        <w:rPr>
          <w:rFonts w:hint="eastAsia" w:ascii="宋体" w:hAnsi="宋体" w:cs="宋体"/>
          <w:b/>
          <w:bCs/>
          <w:color w:val="auto"/>
          <w:kern w:val="0"/>
          <w:sz w:val="24"/>
          <w:highlight w:val="none"/>
        </w:rPr>
        <w:t>国家规定的强制采购范围内产品，均应按照国家相关要求进行审核。</w:t>
      </w:r>
    </w:p>
    <w:p>
      <w:pPr>
        <w:spacing w:line="360" w:lineRule="auto"/>
        <w:rPr>
          <w:rFonts w:ascii="宋体" w:hAnsi="宋体" w:cs="宋体"/>
          <w:color w:val="auto"/>
          <w:highlight w:val="none"/>
        </w:rPr>
      </w:pPr>
    </w:p>
    <w:p>
      <w:pPr>
        <w:spacing w:line="360" w:lineRule="auto"/>
        <w:rPr>
          <w:rFonts w:hint="eastAsia" w:ascii="宋体" w:hAnsi="宋体" w:eastAsia="宋体" w:cs="宋体"/>
          <w:b/>
          <w:color w:val="auto"/>
          <w:sz w:val="32"/>
          <w:szCs w:val="32"/>
          <w:highlight w:val="none"/>
          <w:lang w:eastAsia="zh-CN"/>
        </w:rPr>
      </w:pPr>
      <w:r>
        <w:rPr>
          <w:rFonts w:hint="eastAsia" w:ascii="宋体" w:hAnsi="宋体" w:cs="宋体"/>
          <w:b/>
          <w:bCs/>
          <w:color w:val="auto"/>
          <w:highlight w:val="none"/>
        </w:rPr>
        <w:br w:type="page"/>
      </w: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4</w:t>
      </w:r>
    </w:p>
    <w:p>
      <w:pPr>
        <w:widowControl/>
        <w:spacing w:line="360" w:lineRule="auto"/>
        <w:jc w:val="center"/>
        <w:outlineLvl w:val="2"/>
        <w:rPr>
          <w:rFonts w:ascii="宋体" w:hAnsi="宋体" w:cs="宋体"/>
          <w:b/>
          <w:color w:val="auto"/>
          <w:sz w:val="32"/>
          <w:szCs w:val="32"/>
          <w:highlight w:val="none"/>
        </w:rPr>
      </w:pPr>
      <w:bookmarkStart w:id="295" w:name="_Toc503863025"/>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三</w:t>
      </w:r>
      <w:r>
        <w:rPr>
          <w:rFonts w:hint="eastAsia" w:ascii="宋体" w:hAnsi="宋体" w:cs="宋体"/>
          <w:b/>
          <w:color w:val="auto"/>
          <w:sz w:val="32"/>
          <w:szCs w:val="32"/>
          <w:highlight w:val="none"/>
        </w:rPr>
        <w:t>、</w:t>
      </w:r>
      <w:bookmarkEnd w:id="295"/>
      <w:r>
        <w:rPr>
          <w:rFonts w:hint="eastAsia" w:ascii="宋体" w:hAnsi="宋体" w:cs="宋体"/>
          <w:b/>
          <w:color w:val="auto"/>
          <w:sz w:val="32"/>
          <w:szCs w:val="32"/>
          <w:highlight w:val="none"/>
          <w:lang w:val="zh-CN" w:eastAsia="zh-CN"/>
        </w:rPr>
        <w:t>技术方案及技术保障方案</w:t>
      </w:r>
    </w:p>
    <w:p>
      <w:pPr>
        <w:spacing w:line="360" w:lineRule="auto"/>
        <w:jc w:val="left"/>
        <w:rPr>
          <w:rFonts w:ascii="宋体" w:hAnsi="宋体" w:cs="宋体"/>
          <w:b/>
          <w:color w:val="auto"/>
          <w:sz w:val="24"/>
          <w:highlight w:val="none"/>
        </w:rPr>
      </w:pPr>
      <w:bookmarkStart w:id="296" w:name="_Toc503863026"/>
    </w:p>
    <w:bookmarkEnd w:id="296"/>
    <w:p>
      <w:pPr>
        <w:spacing w:line="360" w:lineRule="auto"/>
        <w:jc w:val="both"/>
        <w:rPr>
          <w:rFonts w:ascii="宋体" w:hAnsi="宋体" w:cs="宋体"/>
          <w:b/>
          <w:color w:val="auto"/>
          <w:sz w:val="32"/>
          <w:szCs w:val="32"/>
          <w:highlight w:val="none"/>
        </w:rPr>
      </w:pPr>
      <w:bookmarkStart w:id="297" w:name="_Toc503863027"/>
    </w:p>
    <w:bookmarkEnd w:id="297"/>
    <w:p>
      <w:pPr>
        <w:widowControl/>
        <w:adjustRightInd w:val="0"/>
        <w:snapToGri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内容、</w:t>
      </w:r>
      <w:r>
        <w:rPr>
          <w:rFonts w:hint="eastAsia" w:ascii="宋体" w:hAnsi="宋体" w:cs="宋体"/>
          <w:color w:val="auto"/>
          <w:kern w:val="0"/>
          <w:sz w:val="24"/>
          <w:highlight w:val="none"/>
        </w:rPr>
        <w:t>格式自拟）</w:t>
      </w:r>
    </w:p>
    <w:p>
      <w:pPr>
        <w:spacing w:line="360" w:lineRule="auto"/>
        <w:jc w:val="both"/>
        <w:rPr>
          <w:rFonts w:ascii="宋体" w:hAnsi="宋体" w:cs="宋体"/>
          <w:b/>
          <w:color w:val="auto"/>
          <w:sz w:val="32"/>
          <w:szCs w:val="32"/>
          <w:highlight w:val="none"/>
        </w:rPr>
      </w:pPr>
    </w:p>
    <w:p>
      <w:pPr>
        <w:spacing w:line="360" w:lineRule="auto"/>
        <w:jc w:val="both"/>
        <w:rPr>
          <w:rFonts w:ascii="宋体" w:hAnsi="宋体" w:cs="宋体"/>
          <w:b/>
          <w:color w:val="auto"/>
          <w:sz w:val="32"/>
          <w:szCs w:val="32"/>
          <w:highlight w:val="none"/>
        </w:rPr>
      </w:pPr>
    </w:p>
    <w:p>
      <w:pPr>
        <w:spacing w:line="360" w:lineRule="auto"/>
        <w:jc w:val="both"/>
        <w:rPr>
          <w:rFonts w:ascii="宋体" w:hAnsi="宋体" w:cs="宋体"/>
          <w:b/>
          <w:color w:val="auto"/>
          <w:sz w:val="32"/>
          <w:szCs w:val="32"/>
          <w:highlight w:val="none"/>
        </w:rPr>
      </w:pP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投标人名称：XXXX（单位盖章）。</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法定代表人/单位负责人或授权代表（签字或加盖个人名章）：XXXX。</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投标日期: XXXX。</w:t>
      </w:r>
    </w:p>
    <w:p>
      <w:pPr>
        <w:spacing w:line="360" w:lineRule="auto"/>
        <w:rPr>
          <w:rFonts w:ascii="宋体" w:hAnsi="宋体" w:cs="宋体"/>
          <w:color w:val="auto"/>
          <w:highlight w:val="none"/>
        </w:rPr>
      </w:pPr>
    </w:p>
    <w:p>
      <w:pPr>
        <w:spacing w:line="360" w:lineRule="auto"/>
        <w:ind w:firstLine="420" w:firstLineChars="200"/>
        <w:rPr>
          <w:rFonts w:ascii="宋体" w:hAnsi="宋体" w:cs="宋体"/>
          <w:color w:val="auto"/>
          <w:szCs w:val="21"/>
          <w:highlight w:val="none"/>
        </w:rPr>
        <w:sectPr>
          <w:headerReference r:id="rId8" w:type="default"/>
          <w:footerReference r:id="rId10" w:type="default"/>
          <w:headerReference r:id="rId9" w:type="even"/>
          <w:footerReference r:id="rId11" w:type="even"/>
          <w:pgSz w:w="11906" w:h="16838"/>
          <w:pgMar w:top="1440" w:right="1417" w:bottom="1440" w:left="1417" w:header="851" w:footer="992" w:gutter="0"/>
          <w:pgNumType w:fmt="decimal"/>
          <w:cols w:space="0" w:num="1"/>
          <w:docGrid w:type="lines" w:linePitch="312" w:charSpace="0"/>
        </w:sectPr>
      </w:pPr>
    </w:p>
    <w:p>
      <w:pPr>
        <w:spacing w:line="360" w:lineRule="auto"/>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5</w:t>
      </w:r>
    </w:p>
    <w:p>
      <w:pPr>
        <w:widowControl/>
        <w:spacing w:line="360" w:lineRule="auto"/>
        <w:jc w:val="center"/>
        <w:outlineLvl w:val="2"/>
        <w:rPr>
          <w:rFonts w:ascii="宋体" w:hAnsi="宋体" w:cs="宋体"/>
          <w:b/>
          <w:color w:val="auto"/>
          <w:sz w:val="32"/>
          <w:szCs w:val="32"/>
          <w:highlight w:val="none"/>
        </w:rPr>
      </w:pPr>
      <w:bookmarkStart w:id="298" w:name="_Toc503863031"/>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四</w:t>
      </w:r>
      <w:r>
        <w:rPr>
          <w:rFonts w:hint="eastAsia" w:ascii="宋体" w:hAnsi="宋体" w:cs="宋体"/>
          <w:b/>
          <w:color w:val="auto"/>
          <w:sz w:val="32"/>
          <w:szCs w:val="32"/>
          <w:highlight w:val="none"/>
        </w:rPr>
        <w:t>、</w:t>
      </w:r>
      <w:r>
        <w:rPr>
          <w:rFonts w:hint="eastAsia" w:ascii="宋体" w:hAnsi="宋体" w:cs="宋体"/>
          <w:b/>
          <w:color w:val="auto"/>
          <w:sz w:val="32"/>
          <w:szCs w:val="32"/>
          <w:highlight w:val="none"/>
          <w:lang w:eastAsia="zh-CN"/>
        </w:rPr>
        <w:t>售后服务</w:t>
      </w:r>
      <w:r>
        <w:rPr>
          <w:rFonts w:hint="eastAsia" w:ascii="宋体" w:hAnsi="宋体" w:cs="宋体"/>
          <w:b/>
          <w:color w:val="auto"/>
          <w:sz w:val="32"/>
          <w:szCs w:val="32"/>
          <w:highlight w:val="none"/>
        </w:rPr>
        <w:t>方案（如适用）</w:t>
      </w:r>
      <w:bookmarkEnd w:id="298"/>
    </w:p>
    <w:p>
      <w:pPr>
        <w:snapToGrid w:val="0"/>
        <w:spacing w:line="360" w:lineRule="auto"/>
        <w:textAlignment w:val="bottom"/>
        <w:rPr>
          <w:rFonts w:ascii="宋体" w:hAnsi="宋体" w:cs="宋体"/>
          <w:color w:val="auto"/>
          <w:sz w:val="24"/>
          <w:highlight w:val="none"/>
        </w:rPr>
      </w:pPr>
    </w:p>
    <w:p>
      <w:pPr>
        <w:spacing w:after="60" w:line="360" w:lineRule="auto"/>
        <w:jc w:val="both"/>
        <w:rPr>
          <w:rFonts w:ascii="宋体" w:hAnsi="宋体" w:cs="宋体"/>
          <w:b/>
          <w:color w:val="auto"/>
          <w:sz w:val="28"/>
          <w:szCs w:val="28"/>
          <w:highlight w:val="none"/>
        </w:rPr>
      </w:pPr>
    </w:p>
    <w:p>
      <w:pPr>
        <w:spacing w:after="60" w:line="360" w:lineRule="auto"/>
        <w:jc w:val="both"/>
        <w:rPr>
          <w:rFonts w:ascii="宋体" w:hAnsi="宋体" w:cs="宋体"/>
          <w:b/>
          <w:color w:val="auto"/>
          <w:sz w:val="28"/>
          <w:szCs w:val="28"/>
          <w:highlight w:val="none"/>
        </w:rPr>
      </w:pPr>
    </w:p>
    <w:p>
      <w:pPr>
        <w:widowControl/>
        <w:adjustRightInd w:val="0"/>
        <w:snapToGrid w:val="0"/>
        <w:spacing w:line="360" w:lineRule="auto"/>
        <w:jc w:val="center"/>
        <w:rPr>
          <w:rFonts w:ascii="宋体" w:hAnsi="宋体" w:cs="宋体"/>
          <w:color w:val="auto"/>
          <w:kern w:val="0"/>
          <w:sz w:val="24"/>
          <w:highlight w:val="none"/>
        </w:rPr>
      </w:pPr>
      <w:bookmarkStart w:id="299" w:name="_Toc503863033"/>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内容、</w:t>
      </w:r>
      <w:r>
        <w:rPr>
          <w:rFonts w:hint="eastAsia" w:ascii="宋体" w:hAnsi="宋体" w:cs="宋体"/>
          <w:color w:val="auto"/>
          <w:kern w:val="0"/>
          <w:sz w:val="24"/>
          <w:highlight w:val="none"/>
        </w:rPr>
        <w:t>格式自拟）</w:t>
      </w:r>
      <w:bookmarkEnd w:id="299"/>
    </w:p>
    <w:p>
      <w:pPr>
        <w:snapToGrid w:val="0"/>
        <w:spacing w:line="360" w:lineRule="auto"/>
        <w:rPr>
          <w:rFonts w:ascii="宋体" w:hAnsi="宋体" w:cs="宋体"/>
          <w:snapToGrid w:val="0"/>
          <w:color w:val="auto"/>
          <w:sz w:val="24"/>
          <w:highlight w:val="none"/>
        </w:rPr>
      </w:pPr>
    </w:p>
    <w:p>
      <w:pPr>
        <w:snapToGrid w:val="0"/>
        <w:spacing w:line="360" w:lineRule="auto"/>
        <w:rPr>
          <w:rFonts w:ascii="宋体" w:hAnsi="宋体" w:cs="宋体"/>
          <w:snapToGrid w:val="0"/>
          <w:color w:val="auto"/>
          <w:sz w:val="24"/>
          <w:highlight w:val="none"/>
        </w:rPr>
      </w:pPr>
    </w:p>
    <w:p>
      <w:pPr>
        <w:spacing w:line="360" w:lineRule="auto"/>
        <w:jc w:val="left"/>
        <w:rPr>
          <w:rFonts w:ascii="宋体" w:hAnsi="宋体" w:cs="宋体"/>
          <w:color w:val="auto"/>
          <w:sz w:val="24"/>
          <w:highlight w:val="none"/>
        </w:rPr>
      </w:pPr>
    </w:p>
    <w:p>
      <w:pPr>
        <w:spacing w:line="360" w:lineRule="auto"/>
        <w:jc w:val="left"/>
        <w:rPr>
          <w:rFonts w:ascii="宋体" w:hAnsi="宋体" w:cs="宋体"/>
          <w:color w:val="auto"/>
          <w:sz w:val="24"/>
          <w:highlight w:val="none"/>
        </w:rPr>
      </w:pPr>
    </w:p>
    <w:p>
      <w:pPr>
        <w:spacing w:line="360" w:lineRule="auto"/>
        <w:jc w:val="left"/>
        <w:rPr>
          <w:rFonts w:ascii="宋体" w:hAnsi="宋体" w:cs="宋体"/>
          <w:color w:val="auto"/>
          <w:sz w:val="24"/>
          <w:highlight w:val="none"/>
        </w:rPr>
      </w:pP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投标人名称：XXXX（单位盖章）。</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法定代表人/单位负责人或授权代表（签字或加盖个人名章）：XXXX。</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投标日期: XXXX。</w:t>
      </w:r>
    </w:p>
    <w:p>
      <w:pPr>
        <w:spacing w:line="360" w:lineRule="auto"/>
        <w:jc w:val="both"/>
        <w:rPr>
          <w:rFonts w:ascii="宋体" w:hAnsi="宋体" w:cs="宋体"/>
          <w:b/>
          <w:color w:val="auto"/>
          <w:sz w:val="32"/>
          <w:szCs w:val="32"/>
          <w:highlight w:val="none"/>
        </w:rPr>
      </w:pPr>
    </w:p>
    <w:p>
      <w:pPr>
        <w:spacing w:line="360" w:lineRule="auto"/>
        <w:rPr>
          <w:rFonts w:hint="eastAsia" w:ascii="宋体" w:hAnsi="宋体" w:eastAsia="宋体" w:cs="宋体"/>
          <w:b/>
          <w:color w:val="auto"/>
          <w:sz w:val="32"/>
          <w:szCs w:val="32"/>
          <w:highlight w:val="none"/>
          <w:lang w:eastAsia="zh-CN"/>
        </w:rPr>
      </w:pPr>
      <w:r>
        <w:rPr>
          <w:rFonts w:hint="eastAsia" w:ascii="宋体" w:hAnsi="宋体" w:cs="宋体"/>
          <w:color w:val="auto"/>
          <w:highlight w:val="none"/>
        </w:rPr>
        <w:br w:type="page"/>
      </w:r>
      <w:r>
        <w:rPr>
          <w:rFonts w:hint="eastAsia" w:ascii="宋体" w:hAnsi="宋体" w:cs="宋体"/>
          <w:b/>
          <w:color w:val="auto"/>
          <w:sz w:val="32"/>
          <w:szCs w:val="32"/>
          <w:highlight w:val="none"/>
        </w:rPr>
        <w:t>格式2-1</w:t>
      </w:r>
      <w:r>
        <w:rPr>
          <w:rFonts w:hint="eastAsia" w:ascii="宋体" w:hAnsi="宋体" w:cs="宋体"/>
          <w:b/>
          <w:color w:val="auto"/>
          <w:sz w:val="32"/>
          <w:szCs w:val="32"/>
          <w:highlight w:val="none"/>
          <w:lang w:val="en-US" w:eastAsia="zh-CN"/>
        </w:rPr>
        <w:t>6</w:t>
      </w:r>
    </w:p>
    <w:p>
      <w:pPr>
        <w:widowControl/>
        <w:spacing w:line="360" w:lineRule="auto"/>
        <w:jc w:val="center"/>
        <w:outlineLvl w:val="2"/>
        <w:rPr>
          <w:rFonts w:ascii="宋体" w:hAnsi="宋体" w:cs="宋体"/>
          <w:b/>
          <w:color w:val="auto"/>
          <w:sz w:val="32"/>
          <w:szCs w:val="32"/>
          <w:highlight w:val="none"/>
        </w:rPr>
      </w:pPr>
      <w:bookmarkStart w:id="300" w:name="_Toc503863037"/>
      <w:r>
        <w:rPr>
          <w:rFonts w:hint="eastAsia" w:ascii="宋体" w:hAnsi="宋体" w:cs="宋体"/>
          <w:b/>
          <w:color w:val="auto"/>
          <w:sz w:val="32"/>
          <w:szCs w:val="32"/>
          <w:highlight w:val="none"/>
        </w:rPr>
        <w:t>十</w:t>
      </w:r>
      <w:r>
        <w:rPr>
          <w:rFonts w:hint="eastAsia" w:ascii="宋体" w:hAnsi="宋体" w:cs="宋体"/>
          <w:b/>
          <w:color w:val="auto"/>
          <w:sz w:val="32"/>
          <w:szCs w:val="32"/>
          <w:highlight w:val="none"/>
          <w:lang w:val="en-US" w:eastAsia="zh-CN"/>
        </w:rPr>
        <w:t>六</w:t>
      </w:r>
      <w:r>
        <w:rPr>
          <w:rFonts w:hint="eastAsia" w:ascii="宋体" w:hAnsi="宋体" w:cs="宋体"/>
          <w:b/>
          <w:color w:val="auto"/>
          <w:sz w:val="32"/>
          <w:szCs w:val="32"/>
          <w:highlight w:val="none"/>
        </w:rPr>
        <w:t>、其他材料</w:t>
      </w:r>
      <w:bookmarkEnd w:id="300"/>
    </w:p>
    <w:p>
      <w:pPr>
        <w:widowControl/>
        <w:spacing w:line="360" w:lineRule="atLeast"/>
        <w:ind w:firstLine="551" w:firstLineChars="196"/>
        <w:jc w:val="center"/>
        <w:rPr>
          <w:rFonts w:ascii="宋体" w:hAnsi="宋体" w:cs="宋体"/>
          <w:b/>
          <w:bCs/>
          <w:color w:val="auto"/>
          <w:sz w:val="28"/>
          <w:szCs w:val="28"/>
          <w:highlight w:val="none"/>
        </w:rPr>
      </w:pPr>
    </w:p>
    <w:p>
      <w:pPr>
        <w:widowControl/>
        <w:spacing w:line="360" w:lineRule="atLeast"/>
        <w:ind w:firstLine="551" w:firstLineChars="196"/>
        <w:jc w:val="center"/>
        <w:rPr>
          <w:rFonts w:ascii="宋体" w:hAnsi="宋体" w:cs="宋体"/>
          <w:b/>
          <w:bCs/>
          <w:color w:val="auto"/>
          <w:sz w:val="28"/>
          <w:szCs w:val="28"/>
          <w:highlight w:val="none"/>
        </w:rPr>
      </w:pPr>
    </w:p>
    <w:p>
      <w:pPr>
        <w:widowControl/>
        <w:spacing w:line="360" w:lineRule="atLeast"/>
        <w:ind w:firstLine="551" w:firstLineChars="196"/>
        <w:jc w:val="center"/>
        <w:rPr>
          <w:rFonts w:ascii="宋体" w:hAnsi="宋体" w:cs="宋体"/>
          <w:b/>
          <w:bCs/>
          <w:color w:val="auto"/>
          <w:sz w:val="28"/>
          <w:szCs w:val="28"/>
          <w:highlight w:val="none"/>
        </w:rPr>
      </w:pPr>
    </w:p>
    <w:p>
      <w:pPr>
        <w:widowControl/>
        <w:spacing w:line="360" w:lineRule="atLeast"/>
        <w:ind w:firstLine="551" w:firstLineChars="196"/>
        <w:jc w:val="center"/>
        <w:rPr>
          <w:rFonts w:ascii="宋体" w:hAnsi="宋体" w:cs="宋体"/>
          <w:b/>
          <w:bCs/>
          <w:color w:val="auto"/>
          <w:sz w:val="28"/>
          <w:szCs w:val="28"/>
          <w:highlight w:val="none"/>
        </w:rPr>
      </w:pPr>
    </w:p>
    <w:p>
      <w:pPr>
        <w:widowControl/>
        <w:adjustRightInd w:val="0"/>
        <w:snapToGri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（格式自拟）</w:t>
      </w:r>
    </w:p>
    <w:p>
      <w:pPr>
        <w:widowControl/>
        <w:spacing w:line="360" w:lineRule="atLeast"/>
        <w:ind w:firstLine="551" w:firstLineChars="196"/>
        <w:jc w:val="center"/>
        <w:rPr>
          <w:rFonts w:ascii="宋体" w:hAnsi="宋体" w:cs="宋体"/>
          <w:b/>
          <w:bCs/>
          <w:color w:val="auto"/>
          <w:sz w:val="28"/>
          <w:szCs w:val="28"/>
          <w:highlight w:val="none"/>
        </w:rPr>
      </w:pPr>
    </w:p>
    <w:p>
      <w:pPr>
        <w:widowControl/>
        <w:spacing w:line="360" w:lineRule="atLeast"/>
        <w:ind w:firstLine="551" w:firstLineChars="196"/>
        <w:jc w:val="center"/>
        <w:rPr>
          <w:rFonts w:ascii="宋体" w:hAnsi="宋体" w:cs="宋体"/>
          <w:b/>
          <w:bCs/>
          <w:color w:val="auto"/>
          <w:sz w:val="28"/>
          <w:szCs w:val="28"/>
          <w:highlight w:val="none"/>
        </w:rPr>
      </w:pPr>
    </w:p>
    <w:p>
      <w:pPr>
        <w:widowControl/>
        <w:spacing w:line="360" w:lineRule="atLeast"/>
        <w:ind w:firstLine="551" w:firstLineChars="196"/>
        <w:jc w:val="center"/>
        <w:rPr>
          <w:rFonts w:ascii="宋体" w:hAnsi="宋体" w:cs="宋体"/>
          <w:b/>
          <w:bCs/>
          <w:color w:val="auto"/>
          <w:sz w:val="28"/>
          <w:szCs w:val="28"/>
          <w:highlight w:val="none"/>
        </w:rPr>
      </w:pPr>
    </w:p>
    <w:p>
      <w:pPr>
        <w:rPr>
          <w:rFonts w:ascii="宋体" w:hAnsi="宋体" w:cs="宋体"/>
          <w:b/>
          <w:color w:val="auto"/>
          <w:sz w:val="24"/>
          <w:highlight w:val="none"/>
        </w:rPr>
      </w:pPr>
      <w:r>
        <w:rPr>
          <w:rFonts w:hint="eastAsia" w:ascii="宋体" w:hAnsi="宋体" w:cs="宋体"/>
          <w:b/>
          <w:color w:val="auto"/>
          <w:sz w:val="24"/>
          <w:highlight w:val="none"/>
        </w:rPr>
        <w:br w:type="page"/>
      </w:r>
    </w:p>
    <w:p>
      <w:pPr>
        <w:pStyle w:val="8"/>
        <w:rPr>
          <w:color w:val="auto"/>
          <w:highlight w:val="none"/>
        </w:rPr>
      </w:pPr>
    </w:p>
    <w:p>
      <w:pPr>
        <w:pStyle w:val="3"/>
        <w:rPr>
          <w:rFonts w:ascii="宋体" w:hAnsi="宋体" w:cs="宋体"/>
          <w:color w:val="auto"/>
          <w:highlight w:val="none"/>
        </w:rPr>
      </w:pPr>
      <w:bookmarkStart w:id="301" w:name="_Toc503863038"/>
      <w:bookmarkStart w:id="302" w:name="_Toc28894"/>
      <w:bookmarkStart w:id="303" w:name="_Toc6399"/>
      <w:bookmarkStart w:id="304" w:name="_Toc27801"/>
      <w:r>
        <w:rPr>
          <w:rFonts w:hint="eastAsia" w:ascii="宋体" w:hAnsi="宋体" w:cs="宋体"/>
          <w:color w:val="auto"/>
          <w:highlight w:val="none"/>
        </w:rPr>
        <w:t>第四章  投标人和投标产品的资格、资质性</w:t>
      </w:r>
      <w:bookmarkEnd w:id="301"/>
      <w:bookmarkEnd w:id="302"/>
      <w:bookmarkStart w:id="305" w:name="_Toc503863039"/>
      <w:bookmarkStart w:id="306" w:name="_Toc12078"/>
      <w:r>
        <w:rPr>
          <w:rFonts w:hint="eastAsia" w:ascii="宋体" w:hAnsi="宋体" w:cs="宋体"/>
          <w:color w:val="auto"/>
          <w:highlight w:val="none"/>
        </w:rPr>
        <w:t>及其他类似效力要求</w:t>
      </w:r>
      <w:bookmarkEnd w:id="303"/>
      <w:bookmarkEnd w:id="304"/>
      <w:bookmarkEnd w:id="305"/>
      <w:bookmarkEnd w:id="306"/>
    </w:p>
    <w:p>
      <w:pPr>
        <w:adjustRightInd w:val="0"/>
        <w:snapToGrid w:val="0"/>
        <w:spacing w:line="360" w:lineRule="auto"/>
        <w:ind w:firstLine="482" w:firstLineChars="200"/>
        <w:rPr>
          <w:rFonts w:ascii="宋体" w:hAnsi="宋体" w:cs="宋体"/>
          <w:b/>
          <w:color w:val="auto"/>
          <w:sz w:val="24"/>
          <w:highlight w:val="none"/>
        </w:rPr>
      </w:pPr>
      <w:bookmarkStart w:id="307" w:name="_Toc503863040"/>
      <w:r>
        <w:rPr>
          <w:rFonts w:hint="eastAsia" w:ascii="宋体" w:hAnsi="宋体" w:cs="宋体"/>
          <w:b/>
          <w:color w:val="auto"/>
          <w:sz w:val="24"/>
          <w:highlight w:val="none"/>
        </w:rPr>
        <w:t>一、投标人资格、资质性及其他类似效力要求</w:t>
      </w:r>
      <w:bookmarkEnd w:id="307"/>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（一）投标人应具备《中华人民共和国政府采购法》第二十二条规定的下列条件：</w:t>
      </w:r>
    </w:p>
    <w:p>
      <w:pPr>
        <w:adjustRightInd w:val="0"/>
        <w:snapToGrid w:val="0"/>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1.具有独立承担民事责任的能力</w:t>
      </w:r>
      <w:r>
        <w:rPr>
          <w:rFonts w:hint="eastAsia" w:ascii="宋体" w:hAnsi="宋体" w:cs="宋体"/>
          <w:bCs/>
          <w:color w:val="auto"/>
          <w:sz w:val="24"/>
          <w:highlight w:val="none"/>
          <w:lang w:eastAsia="zh-CN"/>
        </w:rPr>
        <w:t>；</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2.具有良好的商业信誉和健全的财务会计制度；</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3.具有履行合同所必需的设备和专业技术能力；</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4.具有依法缴纳税收和社会保障资金的良好记录；</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5.参加政府采购活动前三年内，在经营活动中没有重大违法记录；</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6.法律、行政法规规定的其他条件。</w:t>
      </w:r>
    </w:p>
    <w:p>
      <w:pPr>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（二）根据采购项目提出的特殊条件：</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1、本项目参加政府采购活动的供应商在前三年内不得具有行贿犯罪记录。</w:t>
      </w:r>
    </w:p>
    <w:p>
      <w:pPr>
        <w:adjustRightInd w:val="0"/>
        <w:snapToGrid w:val="0"/>
        <w:spacing w:line="360" w:lineRule="auto"/>
        <w:ind w:firstLine="480" w:firstLineChars="200"/>
        <w:rPr>
          <w:rFonts w:hint="default"/>
          <w:color w:val="auto"/>
          <w:highlight w:val="none"/>
          <w:lang w:val="en-US" w:eastAsia="zh-CN"/>
        </w:rPr>
      </w:pPr>
      <w:r>
        <w:rPr>
          <w:rFonts w:hint="eastAsia" w:ascii="宋体" w:hAnsi="宋体" w:cs="宋体"/>
          <w:bCs/>
          <w:color w:val="auto"/>
          <w:sz w:val="24"/>
          <w:highlight w:val="none"/>
          <w:lang w:val="en-US" w:eastAsia="zh-CN"/>
        </w:rPr>
        <w:t>2、本项目专门面向中小企业进行采购。</w:t>
      </w:r>
    </w:p>
    <w:p>
      <w:pPr>
        <w:adjustRightInd w:val="0"/>
        <w:snapToGri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注：1</w:t>
      </w:r>
      <w:r>
        <w:rPr>
          <w:rFonts w:hint="eastAsia" w:asciiTheme="minorEastAsia" w:hAnsiTheme="minorEastAsia" w:eastAsiaTheme="minorEastAsia" w:cstheme="minorEastAsia"/>
          <w:bCs/>
          <w:color w:val="auto"/>
          <w:sz w:val="24"/>
          <w:szCs w:val="24"/>
          <w:highlight w:val="none"/>
          <w:lang w:val="en-US" w:eastAsia="zh-CN"/>
        </w:rPr>
        <w:t>.</w:t>
      </w:r>
      <w:r>
        <w:rPr>
          <w:rFonts w:hint="eastAsia" w:asciiTheme="minorEastAsia" w:hAnsiTheme="minorEastAsia" w:eastAsiaTheme="minorEastAsia" w:cstheme="minorEastAsia"/>
          <w:bCs/>
          <w:color w:val="auto"/>
          <w:sz w:val="24"/>
          <w:szCs w:val="24"/>
          <w:highlight w:val="none"/>
        </w:rPr>
        <w:t>本项目确定供应商重大违法记录中较大数额罚款的金额标准为：5万元。</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2.</w:t>
      </w:r>
      <w:r>
        <w:rPr>
          <w:rFonts w:hint="eastAsia" w:asciiTheme="minorEastAsia" w:hAnsiTheme="minorEastAsia" w:eastAsiaTheme="minorEastAsia" w:cstheme="minorEastAsia"/>
          <w:bCs/>
          <w:color w:val="auto"/>
          <w:sz w:val="24"/>
          <w:szCs w:val="24"/>
          <w:highlight w:val="none"/>
        </w:rPr>
        <w:t>供应商参加政府采购活动时，应当就自己的诚信情况在投标文件中进行承诺。</w:t>
      </w:r>
    </w:p>
    <w:p>
      <w:pPr>
        <w:pStyle w:val="8"/>
        <w:rPr>
          <w:rFonts w:hint="eastAsia" w:asciiTheme="minorEastAsia" w:hAnsiTheme="minorEastAsia" w:eastAsiaTheme="minorEastAsia" w:cstheme="minorEastAsia"/>
          <w:color w:val="auto"/>
          <w:sz w:val="24"/>
          <w:szCs w:val="24"/>
          <w:highlight w:val="none"/>
        </w:rPr>
      </w:pPr>
    </w:p>
    <w:p>
      <w:pPr>
        <w:rPr>
          <w:rFonts w:ascii="宋体" w:hAnsi="宋体" w:cs="宋体"/>
          <w:bCs/>
          <w:color w:val="auto"/>
          <w:sz w:val="22"/>
          <w:szCs w:val="22"/>
          <w:highlight w:val="none"/>
        </w:rPr>
      </w:pPr>
      <w:r>
        <w:rPr>
          <w:rFonts w:hint="eastAsia" w:ascii="宋体" w:hAnsi="宋体" w:cs="宋体"/>
          <w:bCs/>
          <w:color w:val="auto"/>
          <w:sz w:val="22"/>
          <w:szCs w:val="22"/>
          <w:highlight w:val="none"/>
        </w:rPr>
        <w:br w:type="page"/>
      </w:r>
    </w:p>
    <w:p>
      <w:pPr>
        <w:pStyle w:val="3"/>
        <w:rPr>
          <w:rFonts w:ascii="宋体" w:hAnsi="宋体" w:cs="宋体"/>
          <w:color w:val="auto"/>
          <w:highlight w:val="none"/>
        </w:rPr>
      </w:pPr>
      <w:bookmarkStart w:id="308" w:name="_Toc3794"/>
      <w:bookmarkStart w:id="309" w:name="_Toc6492"/>
      <w:bookmarkStart w:id="310" w:name="_Toc29387"/>
      <w:r>
        <w:rPr>
          <w:rFonts w:hint="eastAsia" w:ascii="宋体" w:hAnsi="宋体" w:cs="宋体"/>
          <w:color w:val="auto"/>
          <w:highlight w:val="none"/>
        </w:rPr>
        <w:t>第五章  投标人应当提供的资格、资质性及其他类似效力要求的相关证明材料</w:t>
      </w:r>
      <w:bookmarkEnd w:id="308"/>
      <w:bookmarkEnd w:id="309"/>
      <w:bookmarkEnd w:id="310"/>
    </w:p>
    <w:p>
      <w:pPr>
        <w:adjustRightInd w:val="0"/>
        <w:snapToGrid w:val="0"/>
        <w:spacing w:line="360" w:lineRule="auto"/>
        <w:ind w:firstLine="482" w:firstLineChars="200"/>
        <w:rPr>
          <w:rFonts w:ascii="宋体" w:hAnsi="宋体" w:cs="宋体"/>
          <w:b/>
          <w:color w:val="auto"/>
          <w:sz w:val="24"/>
          <w:highlight w:val="none"/>
        </w:rPr>
      </w:pPr>
      <w:bookmarkStart w:id="311" w:name="_Toc320624213"/>
      <w:bookmarkEnd w:id="311"/>
      <w:bookmarkStart w:id="312" w:name="_Toc320624221"/>
      <w:bookmarkEnd w:id="312"/>
      <w:bookmarkStart w:id="313" w:name="_Toc320624220"/>
      <w:bookmarkEnd w:id="313"/>
      <w:bookmarkStart w:id="314" w:name="_Toc320624215"/>
      <w:bookmarkEnd w:id="314"/>
      <w:bookmarkStart w:id="315" w:name="_Toc320624223"/>
      <w:bookmarkEnd w:id="315"/>
      <w:bookmarkStart w:id="316" w:name="_Toc320624222"/>
      <w:bookmarkEnd w:id="316"/>
      <w:bookmarkStart w:id="317" w:name="_Toc320624217"/>
      <w:bookmarkEnd w:id="317"/>
      <w:bookmarkStart w:id="318" w:name="_Toc320624219"/>
      <w:bookmarkEnd w:id="318"/>
      <w:bookmarkStart w:id="319" w:name="_Toc320624224"/>
      <w:bookmarkEnd w:id="319"/>
      <w:bookmarkStart w:id="320" w:name="_Toc320624212"/>
      <w:bookmarkEnd w:id="320"/>
      <w:bookmarkStart w:id="321" w:name="_Toc320624218"/>
      <w:bookmarkEnd w:id="321"/>
      <w:bookmarkStart w:id="322" w:name="_Toc320624214"/>
      <w:bookmarkEnd w:id="322"/>
      <w:bookmarkStart w:id="323" w:name="_Toc320624216"/>
      <w:bookmarkEnd w:id="323"/>
      <w:bookmarkStart w:id="324" w:name="_Toc503863044"/>
      <w:r>
        <w:rPr>
          <w:rFonts w:hint="eastAsia" w:ascii="宋体" w:hAnsi="宋体" w:cs="宋体"/>
          <w:b/>
          <w:color w:val="auto"/>
          <w:sz w:val="24"/>
          <w:highlight w:val="none"/>
        </w:rPr>
        <w:t>一、资格要求相关证明材料：</w:t>
      </w:r>
      <w:bookmarkEnd w:id="324"/>
    </w:p>
    <w:p>
      <w:pPr>
        <w:adjustRightInd w:val="0"/>
        <w:snapToGrid w:val="0"/>
        <w:spacing w:line="360" w:lineRule="auto"/>
        <w:ind w:firstLine="482" w:firstLineChars="200"/>
        <w:rPr>
          <w:rFonts w:ascii="宋体" w:hAnsi="宋体" w:cs="宋体"/>
          <w:b/>
          <w:color w:val="auto"/>
          <w:sz w:val="24"/>
          <w:highlight w:val="none"/>
        </w:rPr>
      </w:pPr>
      <w:bookmarkStart w:id="325" w:name="_Toc503863045"/>
      <w:r>
        <w:rPr>
          <w:rFonts w:hint="eastAsia" w:ascii="宋体" w:hAnsi="宋体" w:cs="宋体"/>
          <w:b/>
          <w:color w:val="auto"/>
          <w:sz w:val="24"/>
          <w:highlight w:val="none"/>
        </w:rPr>
        <w:t>1、具有独立承担民事责任的能力提供以下证明材料：</w:t>
      </w:r>
      <w:bookmarkEnd w:id="325"/>
    </w:p>
    <w:p>
      <w:pPr>
        <w:adjustRightInd w:val="0"/>
        <w:snapToGrid w:val="0"/>
        <w:spacing w:line="360" w:lineRule="auto"/>
        <w:ind w:firstLine="480" w:firstLineChars="200"/>
        <w:rPr>
          <w:rFonts w:ascii="宋体" w:hAnsi="宋体" w:cs="宋体"/>
          <w:bCs/>
          <w:color w:val="auto"/>
          <w:sz w:val="24"/>
          <w:highlight w:val="none"/>
        </w:rPr>
      </w:pPr>
      <w:bookmarkStart w:id="326" w:name="_Toc503863046"/>
      <w:r>
        <w:rPr>
          <w:rFonts w:hint="eastAsia" w:ascii="宋体" w:hAnsi="宋体" w:cs="宋体"/>
          <w:bCs/>
          <w:color w:val="auto"/>
          <w:sz w:val="24"/>
          <w:highlight w:val="none"/>
        </w:rPr>
        <w:t>（1）独立法人机构提供下述证明材料：</w:t>
      </w:r>
      <w:bookmarkEnd w:id="326"/>
    </w:p>
    <w:p>
      <w:pPr>
        <w:adjustRightInd w:val="0"/>
        <w:snapToGrid w:val="0"/>
        <w:spacing w:line="360" w:lineRule="auto"/>
        <w:ind w:firstLine="480" w:firstLineChars="200"/>
        <w:rPr>
          <w:rFonts w:ascii="宋体" w:hAnsi="宋体" w:cs="宋体"/>
          <w:bCs/>
          <w:color w:val="auto"/>
          <w:sz w:val="24"/>
          <w:highlight w:val="none"/>
        </w:rPr>
      </w:pPr>
      <w:bookmarkStart w:id="327" w:name="_Toc503863047"/>
      <w:r>
        <w:rPr>
          <w:rFonts w:hint="eastAsia" w:ascii="宋体" w:hAnsi="宋体" w:cs="宋体"/>
          <w:bCs/>
          <w:color w:val="auto"/>
          <w:sz w:val="24"/>
          <w:highlight w:val="none"/>
        </w:rPr>
        <w:t>营业执照副本复印件（注：①在有效期内；②具有独立法人资格；）</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组织机构代码证副本复印件（注：①在有效期内）】或国家新颁发的营业执照复印件（有效期内）。</w:t>
      </w:r>
      <w:bookmarkEnd w:id="327"/>
    </w:p>
    <w:p>
      <w:pPr>
        <w:adjustRightInd w:val="0"/>
        <w:snapToGrid w:val="0"/>
        <w:spacing w:line="360" w:lineRule="auto"/>
        <w:ind w:firstLine="480" w:firstLineChars="200"/>
        <w:rPr>
          <w:rFonts w:ascii="宋体" w:hAnsi="宋体" w:cs="宋体"/>
          <w:bCs/>
          <w:color w:val="auto"/>
          <w:sz w:val="24"/>
          <w:highlight w:val="none"/>
        </w:rPr>
      </w:pPr>
      <w:bookmarkStart w:id="328" w:name="_Toc503863048"/>
      <w:r>
        <w:rPr>
          <w:rFonts w:hint="eastAsia" w:ascii="宋体" w:hAnsi="宋体" w:cs="宋体"/>
          <w:bCs/>
          <w:color w:val="auto"/>
          <w:sz w:val="24"/>
          <w:highlight w:val="none"/>
        </w:rPr>
        <w:t>（2）非独立法人机构提供下述证明材料：</w:t>
      </w:r>
      <w:bookmarkEnd w:id="328"/>
    </w:p>
    <w:p>
      <w:pPr>
        <w:adjustRightInd w:val="0"/>
        <w:snapToGrid w:val="0"/>
        <w:spacing w:line="360" w:lineRule="auto"/>
        <w:ind w:firstLine="480" w:firstLineChars="200"/>
        <w:rPr>
          <w:rFonts w:ascii="宋体" w:hAnsi="宋体" w:cs="宋体"/>
          <w:bCs/>
          <w:color w:val="auto"/>
          <w:sz w:val="24"/>
          <w:highlight w:val="none"/>
        </w:rPr>
      </w:pPr>
      <w:bookmarkStart w:id="329" w:name="_Toc503863049"/>
      <w:r>
        <w:rPr>
          <w:rFonts w:hint="eastAsia" w:ascii="宋体" w:hAnsi="宋体" w:cs="宋体"/>
          <w:bCs/>
          <w:color w:val="auto"/>
          <w:sz w:val="24"/>
          <w:highlight w:val="none"/>
        </w:rPr>
        <w:t>提供相应的法定注册或证明材料复印件。</w:t>
      </w:r>
      <w:bookmarkEnd w:id="329"/>
    </w:p>
    <w:p>
      <w:pPr>
        <w:pStyle w:val="8"/>
        <w:rPr>
          <w:color w:val="auto"/>
          <w:highlight w:val="none"/>
        </w:rPr>
      </w:pPr>
    </w:p>
    <w:p>
      <w:pPr>
        <w:adjustRightInd w:val="0"/>
        <w:snapToGrid w:val="0"/>
        <w:spacing w:line="360" w:lineRule="auto"/>
        <w:ind w:firstLine="482" w:firstLineChars="200"/>
        <w:rPr>
          <w:rFonts w:ascii="宋体" w:hAnsi="宋体" w:cs="宋体"/>
          <w:b/>
          <w:color w:val="auto"/>
          <w:sz w:val="24"/>
          <w:highlight w:val="none"/>
        </w:rPr>
      </w:pPr>
      <w:bookmarkStart w:id="330" w:name="_Toc503863050"/>
      <w:r>
        <w:rPr>
          <w:rFonts w:hint="eastAsia" w:ascii="宋体" w:hAnsi="宋体" w:cs="宋体"/>
          <w:b/>
          <w:color w:val="auto"/>
          <w:sz w:val="24"/>
          <w:highlight w:val="none"/>
        </w:rPr>
        <w:t>2、具有良好的商业信誉和健全的财务会计制度提供以下证明材料：</w:t>
      </w:r>
      <w:bookmarkEnd w:id="330"/>
    </w:p>
    <w:p>
      <w:pPr>
        <w:adjustRightInd w:val="0"/>
        <w:snapToGrid w:val="0"/>
        <w:spacing w:line="360" w:lineRule="auto"/>
        <w:ind w:firstLine="482" w:firstLineChars="200"/>
        <w:rPr>
          <w:rFonts w:ascii="宋体" w:hAnsi="宋体" w:cs="宋体"/>
          <w:b/>
          <w:color w:val="auto"/>
          <w:sz w:val="24"/>
          <w:highlight w:val="none"/>
        </w:rPr>
      </w:pPr>
      <w:bookmarkStart w:id="331" w:name="_Toc503863055"/>
      <w:r>
        <w:rPr>
          <w:rFonts w:hint="eastAsia" w:ascii="宋体" w:hAnsi="宋体" w:cs="宋体"/>
          <w:b/>
          <w:color w:val="auto"/>
          <w:sz w:val="24"/>
          <w:highlight w:val="none"/>
        </w:rPr>
        <w:t>（1）健全的财务会计制度（投标人可根据自身实际情况任选其一提供以下证明材料）</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①可提供2019或2020年度经审计的财务报告复印件（包含审计报告和审计报告中所涉及的财务报表和报表附注）的有效财务报告复印件；</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②也可提供2019或2020年度供应商内部的财务报表复印件（至少包含资产负债表）；</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③也可提供截至响应文件递交截止日一年内银行出具的资信证明（复印件）；</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④供应商注册时间至文件递交截止日不足一年的，可提供在工商备案的公司章程（复印件）。</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注：以上4项具有同等的投标效力，提供任一项均可，第（4</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条适用于新成立的法人或组织、未进行财务审计的供应商、存在困难的投标供应商，如在评审时不能明确界定，以有利于供应商的原则进行评审)；</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（2）提供具有良好的商业信誉的承诺函（格式自拟）。</w:t>
      </w:r>
    </w:p>
    <w:p>
      <w:pPr>
        <w:pStyle w:val="8"/>
        <w:rPr>
          <w:color w:val="auto"/>
          <w:highlight w:val="none"/>
        </w:rPr>
      </w:pP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3、具有履行合同所必需的设备和专业技术能力的证明材料：</w:t>
      </w:r>
      <w:bookmarkEnd w:id="331"/>
    </w:p>
    <w:p>
      <w:pPr>
        <w:adjustRightInd w:val="0"/>
        <w:snapToGrid w:val="0"/>
        <w:spacing w:line="360" w:lineRule="auto"/>
        <w:ind w:firstLine="480" w:firstLineChars="200"/>
        <w:rPr>
          <w:rFonts w:ascii="宋体" w:hAnsi="宋体" w:cs="宋体"/>
          <w:bCs/>
          <w:color w:val="auto"/>
          <w:sz w:val="24"/>
          <w:highlight w:val="none"/>
        </w:rPr>
      </w:pPr>
      <w:bookmarkStart w:id="332" w:name="_Toc503863056"/>
      <w:r>
        <w:rPr>
          <w:rFonts w:hint="eastAsia" w:ascii="宋体" w:hAnsi="宋体" w:cs="宋体"/>
          <w:bCs/>
          <w:color w:val="auto"/>
          <w:sz w:val="24"/>
          <w:highlight w:val="none"/>
        </w:rPr>
        <w:t>（1）投标人自行提供或提供承诺函原件。</w:t>
      </w:r>
      <w:bookmarkEnd w:id="332"/>
    </w:p>
    <w:p>
      <w:pPr>
        <w:pStyle w:val="8"/>
        <w:rPr>
          <w:color w:val="auto"/>
          <w:highlight w:val="none"/>
        </w:rPr>
      </w:pPr>
    </w:p>
    <w:p>
      <w:pPr>
        <w:adjustRightInd w:val="0"/>
        <w:snapToGrid w:val="0"/>
        <w:spacing w:line="360" w:lineRule="auto"/>
        <w:ind w:firstLine="482" w:firstLineChars="200"/>
        <w:rPr>
          <w:rFonts w:ascii="宋体" w:hAnsi="宋体" w:cs="宋体"/>
          <w:b/>
          <w:color w:val="auto"/>
          <w:sz w:val="24"/>
          <w:highlight w:val="none"/>
        </w:rPr>
      </w:pPr>
      <w:bookmarkStart w:id="333" w:name="_Toc503863057"/>
      <w:r>
        <w:rPr>
          <w:rFonts w:hint="eastAsia" w:ascii="宋体" w:hAnsi="宋体" w:cs="宋体"/>
          <w:b/>
          <w:color w:val="auto"/>
          <w:sz w:val="24"/>
          <w:highlight w:val="none"/>
        </w:rPr>
        <w:t>4、有依法缴纳税收和社会保障资金的良好记录：</w:t>
      </w:r>
      <w:bookmarkEnd w:id="333"/>
    </w:p>
    <w:p>
      <w:pPr>
        <w:adjustRightInd w:val="0"/>
        <w:snapToGrid w:val="0"/>
        <w:spacing w:line="360" w:lineRule="auto"/>
        <w:ind w:firstLine="482" w:firstLineChars="200"/>
        <w:rPr>
          <w:rFonts w:ascii="宋体" w:hAnsi="宋体" w:cs="宋体"/>
          <w:b/>
          <w:color w:val="auto"/>
          <w:sz w:val="24"/>
          <w:highlight w:val="none"/>
        </w:rPr>
      </w:pPr>
      <w:bookmarkStart w:id="334" w:name="_Toc503863058"/>
      <w:r>
        <w:rPr>
          <w:rFonts w:hint="eastAsia" w:ascii="宋体" w:hAnsi="宋体" w:cs="宋体"/>
          <w:b/>
          <w:color w:val="auto"/>
          <w:sz w:val="24"/>
          <w:highlight w:val="none"/>
        </w:rPr>
        <w:t>（1）缴纳税收证明材料（投标人可提供以下证明材料）：</w:t>
      </w:r>
      <w:bookmarkEnd w:id="334"/>
    </w:p>
    <w:p>
      <w:pPr>
        <w:adjustRightInd w:val="0"/>
        <w:snapToGrid w:val="0"/>
        <w:spacing w:line="360" w:lineRule="auto"/>
        <w:ind w:firstLine="480" w:firstLineChars="200"/>
        <w:rPr>
          <w:rFonts w:ascii="宋体" w:hAnsi="宋体" w:cs="宋体"/>
          <w:bCs/>
          <w:color w:val="auto"/>
          <w:sz w:val="24"/>
          <w:highlight w:val="none"/>
        </w:rPr>
      </w:pPr>
      <w:bookmarkStart w:id="335" w:name="_Toc503863059"/>
      <w:r>
        <w:rPr>
          <w:rFonts w:hint="eastAsia" w:ascii="宋体" w:hAnsi="宋体" w:cs="宋体"/>
          <w:bCs/>
          <w:color w:val="auto"/>
          <w:sz w:val="24"/>
          <w:highlight w:val="none"/>
        </w:rPr>
        <w:t>①税务登记证副本复印件（注</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在有效期内）或国家新颁发的营业执照复印件（有效期内）。</w:t>
      </w:r>
      <w:bookmarkEnd w:id="335"/>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②投标人提供（202</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年</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月</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日以后）任意</w:t>
      </w:r>
      <w:r>
        <w:rPr>
          <w:rFonts w:hint="eastAsia" w:ascii="宋体" w:hAnsi="宋体" w:cs="宋体"/>
          <w:bCs/>
          <w:color w:val="auto"/>
          <w:sz w:val="24"/>
          <w:highlight w:val="none"/>
          <w:lang w:eastAsia="zh-CN"/>
        </w:rPr>
        <w:t>一</w:t>
      </w:r>
      <w:r>
        <w:rPr>
          <w:rFonts w:hint="eastAsia" w:ascii="宋体" w:hAnsi="宋体" w:cs="宋体"/>
          <w:bCs/>
          <w:color w:val="auto"/>
          <w:sz w:val="24"/>
          <w:highlight w:val="none"/>
        </w:rPr>
        <w:t>个月的缴纳税收的银行电子回单或者税务部门出具的纳税证明或完税证明（注：原件或复印件或扫描件）或承诺书；新成立公司可不提供，但须提供承诺函原件；</w:t>
      </w:r>
      <w:r>
        <w:rPr>
          <w:rFonts w:hint="eastAsia" w:ascii="宋体" w:hAnsi="宋体" w:cs="宋体"/>
          <w:bCs/>
          <w:color w:val="auto"/>
          <w:sz w:val="24"/>
          <w:highlight w:val="none"/>
          <w:lang w:val="zh-CN"/>
        </w:rPr>
        <w:t>【格式自拟】</w:t>
      </w:r>
      <w:r>
        <w:rPr>
          <w:rFonts w:hint="eastAsia" w:ascii="宋体" w:hAnsi="宋体" w:cs="宋体"/>
          <w:bCs/>
          <w:color w:val="auto"/>
          <w:sz w:val="24"/>
          <w:highlight w:val="none"/>
        </w:rPr>
        <w:t>（注：原件）。</w:t>
      </w:r>
    </w:p>
    <w:p>
      <w:pPr>
        <w:adjustRightInd w:val="0"/>
        <w:snapToGrid w:val="0"/>
        <w:spacing w:line="360" w:lineRule="auto"/>
        <w:ind w:firstLine="482" w:firstLineChars="200"/>
        <w:rPr>
          <w:rFonts w:ascii="宋体" w:hAnsi="宋体" w:cs="宋体"/>
          <w:b/>
          <w:color w:val="auto"/>
          <w:sz w:val="24"/>
          <w:highlight w:val="none"/>
        </w:rPr>
      </w:pPr>
      <w:bookmarkStart w:id="336" w:name="_Toc503863060"/>
      <w:r>
        <w:rPr>
          <w:rFonts w:hint="eastAsia" w:ascii="宋体" w:hAnsi="宋体" w:cs="宋体"/>
          <w:b/>
          <w:color w:val="auto"/>
          <w:sz w:val="24"/>
          <w:highlight w:val="none"/>
        </w:rPr>
        <w:t>（2）缴纳社会保障资金（投标人可提供以下证明材料）：</w:t>
      </w:r>
      <w:bookmarkEnd w:id="336"/>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①投标人提供社保部门出具</w:t>
      </w:r>
      <w:r>
        <w:rPr>
          <w:rFonts w:hint="eastAsia" w:ascii="宋体" w:hAnsi="宋体" w:cs="宋体"/>
          <w:bCs/>
          <w:color w:val="auto"/>
          <w:sz w:val="24"/>
          <w:highlight w:val="none"/>
          <w:lang w:eastAsia="zh-CN"/>
        </w:rPr>
        <w:t>的</w:t>
      </w:r>
      <w:r>
        <w:rPr>
          <w:rFonts w:hint="eastAsia" w:ascii="宋体" w:hAnsi="宋体" w:cs="宋体"/>
          <w:bCs/>
          <w:color w:val="auto"/>
          <w:sz w:val="24"/>
          <w:highlight w:val="none"/>
        </w:rPr>
        <w:t>（20</w:t>
      </w:r>
      <w:r>
        <w:rPr>
          <w:rFonts w:hint="eastAsia" w:ascii="宋体" w:hAnsi="宋体" w:cs="宋体"/>
          <w:bCs/>
          <w:color w:val="auto"/>
          <w:sz w:val="24"/>
          <w:highlight w:val="none"/>
          <w:lang w:val="en-US" w:eastAsia="zh-CN"/>
        </w:rPr>
        <w:t>21</w:t>
      </w:r>
      <w:r>
        <w:rPr>
          <w:rFonts w:hint="eastAsia" w:ascii="宋体" w:hAnsi="宋体" w:cs="宋体"/>
          <w:bCs/>
          <w:color w:val="auto"/>
          <w:sz w:val="24"/>
          <w:highlight w:val="none"/>
        </w:rPr>
        <w:t>年</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月1日以后）任意</w:t>
      </w:r>
      <w:r>
        <w:rPr>
          <w:rFonts w:hint="eastAsia" w:ascii="宋体" w:hAnsi="宋体" w:cs="宋体"/>
          <w:bCs/>
          <w:color w:val="auto"/>
          <w:sz w:val="24"/>
          <w:highlight w:val="none"/>
          <w:lang w:eastAsia="zh-CN"/>
        </w:rPr>
        <w:t>一</w:t>
      </w:r>
      <w:r>
        <w:rPr>
          <w:rFonts w:hint="eastAsia" w:ascii="宋体" w:hAnsi="宋体" w:cs="宋体"/>
          <w:bCs/>
          <w:color w:val="auto"/>
          <w:sz w:val="24"/>
          <w:highlight w:val="none"/>
        </w:rPr>
        <w:t>个月社保缴纳的证明材料（注</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1.缴纳的银行电子回单或以社保部门出具的为准（注：原件或复印件或扫描件）或承诺书；新成立公司可不提供，但须提供承诺函原件；</w:t>
      </w:r>
      <w:bookmarkStart w:id="337" w:name="_Toc503863061"/>
      <w:r>
        <w:rPr>
          <w:rFonts w:hint="eastAsia" w:ascii="宋体" w:hAnsi="宋体" w:cs="宋体"/>
          <w:bCs/>
          <w:color w:val="auto"/>
          <w:sz w:val="24"/>
          <w:highlight w:val="none"/>
          <w:lang w:val="zh-CN"/>
        </w:rPr>
        <w:t>【格式自拟】</w:t>
      </w:r>
      <w:r>
        <w:rPr>
          <w:rFonts w:hint="eastAsia" w:ascii="宋体" w:hAnsi="宋体" w:cs="宋体"/>
          <w:bCs/>
          <w:color w:val="auto"/>
          <w:sz w:val="24"/>
          <w:highlight w:val="none"/>
        </w:rPr>
        <w:t>（注：原件）。</w:t>
      </w:r>
      <w:bookmarkEnd w:id="337"/>
    </w:p>
    <w:p>
      <w:pPr>
        <w:adjustRightInd w:val="0"/>
        <w:snapToGrid w:val="0"/>
        <w:spacing w:line="360" w:lineRule="auto"/>
        <w:ind w:firstLine="482" w:firstLineChars="200"/>
        <w:rPr>
          <w:rFonts w:ascii="宋体" w:hAnsi="宋体" w:cs="宋体"/>
          <w:b/>
          <w:color w:val="auto"/>
          <w:sz w:val="24"/>
          <w:highlight w:val="none"/>
        </w:rPr>
      </w:pPr>
      <w:bookmarkStart w:id="338" w:name="_Toc503863062"/>
      <w:r>
        <w:rPr>
          <w:rFonts w:hint="eastAsia" w:ascii="宋体" w:hAnsi="宋体" w:cs="宋体"/>
          <w:b/>
          <w:color w:val="auto"/>
          <w:sz w:val="24"/>
          <w:highlight w:val="none"/>
        </w:rPr>
        <w:t>5、参加政府采购活动前三年内，在经营活动中没有重大违法记录提供以下证明材料：</w:t>
      </w:r>
      <w:bookmarkEnd w:id="338"/>
    </w:p>
    <w:p>
      <w:pPr>
        <w:adjustRightInd w:val="0"/>
        <w:snapToGrid w:val="0"/>
        <w:spacing w:line="360" w:lineRule="auto"/>
        <w:ind w:firstLine="480" w:firstLineChars="200"/>
        <w:rPr>
          <w:rFonts w:ascii="宋体" w:hAnsi="宋体" w:cs="宋体"/>
          <w:bCs/>
          <w:color w:val="auto"/>
          <w:sz w:val="24"/>
          <w:highlight w:val="none"/>
        </w:rPr>
      </w:pPr>
      <w:bookmarkStart w:id="339" w:name="_Toc503863063"/>
      <w:r>
        <w:rPr>
          <w:rFonts w:hint="eastAsia" w:ascii="宋体" w:hAnsi="宋体" w:cs="宋体"/>
          <w:bCs/>
          <w:color w:val="auto"/>
          <w:sz w:val="24"/>
          <w:highlight w:val="none"/>
        </w:rPr>
        <w:t>投标人参加政府采购活动前三年内，在经营活动中没有重大违法记录的书面声明原件。</w:t>
      </w:r>
      <w:bookmarkEnd w:id="339"/>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二、根据采购项目提出的特殊条件：</w:t>
      </w:r>
    </w:p>
    <w:p>
      <w:pPr>
        <w:adjustRightInd w:val="0"/>
        <w:snapToGrid w:val="0"/>
        <w:spacing w:line="360" w:lineRule="auto"/>
        <w:ind w:firstLine="480" w:firstLineChars="200"/>
        <w:rPr>
          <w:rFonts w:hint="eastAsia" w:ascii="宋体" w:hAnsi="宋体" w:cs="宋体"/>
          <w:bCs/>
          <w:color w:val="auto"/>
          <w:sz w:val="24"/>
          <w:highlight w:val="none"/>
          <w:lang w:eastAsia="zh-CN"/>
        </w:rPr>
      </w:pPr>
      <w:bookmarkStart w:id="340" w:name="_Toc503863064"/>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本项目参加政府采购活动的投标人在前三年内不得具有行贿犯罪记录。</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提供承诺函</w:t>
      </w:r>
      <w:r>
        <w:rPr>
          <w:rFonts w:hint="eastAsia" w:ascii="宋体" w:hAnsi="宋体" w:cs="宋体"/>
          <w:bCs/>
          <w:color w:val="auto"/>
          <w:sz w:val="24"/>
          <w:highlight w:val="none"/>
          <w:lang w:eastAsia="zh-CN"/>
        </w:rPr>
        <w:t>）</w:t>
      </w:r>
    </w:p>
    <w:p>
      <w:pPr>
        <w:adjustRightInd w:val="0"/>
        <w:snapToGrid w:val="0"/>
        <w:spacing w:line="360" w:lineRule="auto"/>
        <w:ind w:firstLine="480" w:firstLineChars="200"/>
        <w:rPr>
          <w:rFonts w:hint="eastAsia" w:ascii="宋体" w:hAnsi="宋体" w:eastAsia="宋体" w:cs="宋体"/>
          <w:b/>
          <w:color w:val="auto"/>
          <w:sz w:val="24"/>
          <w:highlight w:val="none"/>
          <w:lang w:val="en-US" w:eastAsia="zh-CN"/>
        </w:rPr>
      </w:pPr>
      <w:r>
        <w:rPr>
          <w:rFonts w:hint="eastAsia" w:ascii="宋体" w:hAnsi="宋体" w:cs="宋体"/>
          <w:bCs/>
          <w:color w:val="auto"/>
          <w:sz w:val="24"/>
          <w:highlight w:val="none"/>
          <w:lang w:val="en-US" w:eastAsia="zh-CN"/>
        </w:rPr>
        <w:t>2、本项目专门面向中小企业进行采购。</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提供中小企业声明函</w:t>
      </w:r>
      <w:r>
        <w:rPr>
          <w:rFonts w:hint="eastAsia" w:ascii="宋体" w:hAnsi="宋体" w:cs="宋体"/>
          <w:bCs/>
          <w:color w:val="auto"/>
          <w:sz w:val="24"/>
          <w:highlight w:val="none"/>
          <w:lang w:eastAsia="zh-CN"/>
        </w:rPr>
        <w:t>）</w:t>
      </w:r>
      <w:bookmarkEnd w:id="340"/>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三、其他类似效力要求相关证明材料：</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1、法定代表人身份证复印件或护照复印件［注：①法定代表人身份证复印件（在有效期内、两面均应复印）或护照复印件（法定代表人为外籍人士的，按此提供）；</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2、代理人身份证复印件（身份证两面均应复印）（注：①在有效期内；②由投标人法定代表人签署所有投标文件并参加投标的，则可不提供）。</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3、法人授权书原件（注：①非法定代表人签署所有投标文件并参加投标的适用；②非独立法人机构提供相应的有授权资格的负责人授权书原件。）</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注：1</w:t>
      </w:r>
      <w:r>
        <w:rPr>
          <w:rFonts w:hint="eastAsia" w:ascii="宋体" w:hAnsi="宋体" w:cs="宋体"/>
          <w:bCs/>
          <w:color w:val="auto"/>
          <w:sz w:val="24"/>
          <w:highlight w:val="none"/>
          <w:lang w:val="en-US" w:eastAsia="zh-CN"/>
        </w:rPr>
        <w:t>.</w:t>
      </w:r>
      <w:r>
        <w:rPr>
          <w:rFonts w:hint="eastAsia" w:ascii="宋体" w:hAnsi="宋体" w:cs="宋体"/>
          <w:bCs/>
          <w:color w:val="auto"/>
          <w:sz w:val="24"/>
          <w:highlight w:val="none"/>
        </w:rPr>
        <w:t>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341" w:name="_Toc217446093"/>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lang w:val="en-US" w:eastAsia="zh-CN"/>
        </w:rPr>
        <w:t>.</w:t>
      </w:r>
      <w:r>
        <w:rPr>
          <w:rFonts w:hint="eastAsia" w:ascii="宋体" w:hAnsi="宋体" w:cs="宋体"/>
          <w:bCs/>
          <w:color w:val="auto"/>
          <w:sz w:val="24"/>
          <w:highlight w:val="none"/>
        </w:rPr>
        <w:t>本章要求提供的相关证明材料应当结合采购项目具体情况和投标人的组织机构性质确定，不得一概而论。</w:t>
      </w:r>
      <w:r>
        <w:rPr>
          <w:rFonts w:hint="eastAsia" w:ascii="宋体" w:hAnsi="宋体" w:cs="宋体"/>
          <w:bCs/>
          <w:color w:val="auto"/>
          <w:sz w:val="24"/>
          <w:highlight w:val="none"/>
        </w:rPr>
        <w:br w:type="page"/>
      </w:r>
    </w:p>
    <w:p>
      <w:pPr>
        <w:pStyle w:val="3"/>
        <w:rPr>
          <w:rFonts w:ascii="宋体" w:hAnsi="宋体" w:cs="宋体"/>
          <w:color w:val="auto"/>
          <w:highlight w:val="none"/>
        </w:rPr>
      </w:pPr>
      <w:bookmarkStart w:id="342" w:name="_Toc24805"/>
      <w:bookmarkStart w:id="343" w:name="_Toc27840"/>
      <w:bookmarkStart w:id="344" w:name="_Toc48"/>
      <w:bookmarkStart w:id="345" w:name="_Toc503863068"/>
      <w:r>
        <w:rPr>
          <w:rFonts w:hint="eastAsia" w:ascii="宋体" w:hAnsi="宋体" w:cs="宋体"/>
          <w:color w:val="auto"/>
          <w:highlight w:val="none"/>
        </w:rPr>
        <w:t>第六章  招标项目技术、服务、政府采购合同内容条款及其他商务要求</w:t>
      </w:r>
      <w:bookmarkEnd w:id="341"/>
      <w:bookmarkEnd w:id="342"/>
      <w:bookmarkEnd w:id="343"/>
      <w:bookmarkEnd w:id="344"/>
      <w:bookmarkEnd w:id="345"/>
      <w:bookmarkStart w:id="346" w:name="_Toc503863069"/>
    </w:p>
    <w:p>
      <w:pPr>
        <w:rPr>
          <w:color w:val="auto"/>
          <w:highlight w:val="none"/>
        </w:rPr>
      </w:pPr>
    </w:p>
    <w:p>
      <w:pPr>
        <w:pStyle w:val="38"/>
        <w:ind w:firstLine="482"/>
        <w:rPr>
          <w:rFonts w:hint="eastAsia" w:ascii="宋体" w:hAnsi="宋体" w:eastAsia="宋体" w:cs="宋体"/>
          <w:b/>
          <w:bCs w:val="0"/>
          <w:color w:val="auto"/>
          <w:sz w:val="24"/>
          <w:szCs w:val="24"/>
          <w:highlight w:val="none"/>
        </w:rPr>
      </w:pPr>
      <w:bookmarkStart w:id="347" w:name="_Toc1217"/>
      <w:r>
        <w:rPr>
          <w:rFonts w:hint="eastAsia" w:ascii="宋体" w:hAnsi="宋体" w:eastAsia="宋体" w:cs="宋体"/>
          <w:b/>
          <w:bCs w:val="0"/>
          <w:color w:val="auto"/>
          <w:sz w:val="24"/>
          <w:szCs w:val="24"/>
          <w:highlight w:val="none"/>
          <w:lang w:eastAsia="zh-CN"/>
        </w:rPr>
        <w:t>一、</w:t>
      </w:r>
      <w:r>
        <w:rPr>
          <w:rFonts w:hint="eastAsia" w:ascii="宋体" w:hAnsi="宋体" w:eastAsia="宋体" w:cs="宋体"/>
          <w:b/>
          <w:bCs w:val="0"/>
          <w:color w:val="auto"/>
          <w:sz w:val="24"/>
          <w:szCs w:val="24"/>
          <w:highlight w:val="none"/>
        </w:rPr>
        <w:t>项目概述</w:t>
      </w:r>
      <w:bookmarkEnd w:id="347"/>
    </w:p>
    <w:p>
      <w:pPr>
        <w:pStyle w:val="38"/>
        <w:ind w:firstLine="482"/>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rPr>
        <w:t>1. 项目基本概况</w:t>
      </w:r>
    </w:p>
    <w:p>
      <w:pPr>
        <w:pStyle w:val="38"/>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是对成都市新都区规划和自然资源局新增</w:t>
      </w:r>
      <w:r>
        <w:rPr>
          <w:rFonts w:hint="eastAsia" w:ascii="宋体" w:hAnsi="宋体" w:eastAsia="宋体" w:cs="宋体"/>
          <w:color w:val="auto"/>
          <w:sz w:val="24"/>
          <w:szCs w:val="24"/>
          <w:highlight w:val="none"/>
          <w:lang w:eastAsia="zh-CN"/>
        </w:rPr>
        <w:t>档案</w:t>
      </w:r>
      <w:r>
        <w:rPr>
          <w:rFonts w:hint="eastAsia" w:ascii="宋体" w:hAnsi="宋体" w:eastAsia="宋体" w:cs="宋体"/>
          <w:color w:val="auto"/>
          <w:sz w:val="24"/>
          <w:szCs w:val="24"/>
          <w:highlight w:val="none"/>
        </w:rPr>
        <w:t>进行整理、数字化处理、数据挂接等工作。服务内容为：整理、著录、扫描、图像处理、图像存储、数据挂接入库等工作；将数字化处理后的成果数据及属性（案卷及卷内文件）目录挂接至成都市不动产登记信息管理基础平台。</w:t>
      </w:r>
    </w:p>
    <w:p>
      <w:pPr>
        <w:pStyle w:val="38"/>
        <w:keepNext w:val="0"/>
        <w:keepLines w:val="0"/>
        <w:pageBreakBefore w:val="0"/>
        <w:widowControl w:val="0"/>
        <w:kinsoku w:val="0"/>
        <w:wordWrap/>
        <w:overflowPunct/>
        <w:topLinePunct w:val="0"/>
        <w:autoSpaceDE/>
        <w:autoSpaceDN/>
        <w:bidi w:val="0"/>
        <w:adjustRightInd/>
        <w:snapToGrid/>
        <w:spacing w:line="360" w:lineRule="auto"/>
        <w:ind w:firstLine="482"/>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r>
        <w:rPr>
          <w:rFonts w:hint="eastAsia" w:ascii="宋体" w:hAnsi="宋体" w:eastAsia="宋体" w:cs="宋体"/>
          <w:b w:val="0"/>
          <w:bCs/>
          <w:color w:val="auto"/>
          <w:sz w:val="24"/>
          <w:szCs w:val="24"/>
          <w:highlight w:val="none"/>
          <w:lang w:eastAsia="zh-CN"/>
        </w:rPr>
        <w:t>新增档案任务</w:t>
      </w:r>
      <w:r>
        <w:rPr>
          <w:rFonts w:hint="eastAsia" w:ascii="宋体" w:hAnsi="宋体" w:eastAsia="宋体" w:cs="宋体"/>
          <w:b w:val="0"/>
          <w:bCs/>
          <w:color w:val="auto"/>
          <w:sz w:val="24"/>
          <w:szCs w:val="24"/>
          <w:highlight w:val="none"/>
        </w:rPr>
        <w:t>预估数量</w:t>
      </w:r>
    </w:p>
    <w:tbl>
      <w:tblPr>
        <w:tblStyle w:val="21"/>
        <w:tblpPr w:leftFromText="180" w:rightFromText="180" w:vertAnchor="text" w:horzAnchor="page" w:tblpX="1692" w:tblpY="465"/>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654"/>
        <w:gridCol w:w="1173"/>
        <w:gridCol w:w="1134"/>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755" w:type="dxa"/>
            <w:gridSpan w:val="5"/>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val="en-US" w:eastAsia="zh-CN" w:bidi="bo-CN"/>
              </w:rPr>
              <w:t>202</w:t>
            </w:r>
            <w:r>
              <w:rPr>
                <w:rFonts w:hint="eastAsia" w:ascii="宋体" w:hAnsi="宋体" w:cs="宋体"/>
                <w:color w:val="auto"/>
                <w:sz w:val="24"/>
                <w:szCs w:val="24"/>
                <w:highlight w:val="none"/>
                <w:lang w:val="en-US" w:eastAsia="zh-CN" w:bidi="bo-CN"/>
              </w:rPr>
              <w:t>1</w:t>
            </w:r>
            <w:r>
              <w:rPr>
                <w:rFonts w:hint="eastAsia" w:ascii="宋体" w:hAnsi="宋体" w:eastAsia="宋体" w:cs="宋体"/>
                <w:color w:val="auto"/>
                <w:sz w:val="24"/>
                <w:szCs w:val="24"/>
                <w:highlight w:val="none"/>
                <w:lang w:bidi="bo-CN"/>
              </w:rPr>
              <w:t>年新增档案的预估数量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top"/>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序号</w:t>
            </w:r>
          </w:p>
        </w:tc>
        <w:tc>
          <w:tcPr>
            <w:tcW w:w="2654" w:type="dxa"/>
            <w:noWrap w:val="0"/>
            <w:vAlign w:val="top"/>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分项名称</w:t>
            </w:r>
          </w:p>
        </w:tc>
        <w:tc>
          <w:tcPr>
            <w:tcW w:w="1173" w:type="dxa"/>
            <w:noWrap w:val="0"/>
            <w:vAlign w:val="top"/>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数量</w:t>
            </w:r>
          </w:p>
        </w:tc>
        <w:tc>
          <w:tcPr>
            <w:tcW w:w="1134" w:type="dxa"/>
            <w:noWrap w:val="0"/>
            <w:vAlign w:val="top"/>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单位</w:t>
            </w:r>
          </w:p>
        </w:tc>
        <w:tc>
          <w:tcPr>
            <w:tcW w:w="2978" w:type="dxa"/>
            <w:noWrap w:val="0"/>
            <w:vAlign w:val="top"/>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16"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1</w:t>
            </w:r>
          </w:p>
        </w:tc>
        <w:tc>
          <w:tcPr>
            <w:tcW w:w="2654" w:type="dxa"/>
            <w:noWrap w:val="0"/>
            <w:vAlign w:val="center"/>
          </w:tcPr>
          <w:p>
            <w:pPr>
              <w:spacing w:line="360" w:lineRule="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不动产登记档案整理</w:t>
            </w:r>
          </w:p>
        </w:tc>
        <w:tc>
          <w:tcPr>
            <w:tcW w:w="1173"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val="en-US" w:eastAsia="zh-CN" w:bidi="bo-CN"/>
              </w:rPr>
              <w:t>1</w:t>
            </w:r>
            <w:r>
              <w:rPr>
                <w:rFonts w:hint="eastAsia" w:ascii="宋体" w:hAnsi="宋体" w:cs="宋体"/>
                <w:color w:val="auto"/>
                <w:sz w:val="24"/>
                <w:szCs w:val="24"/>
                <w:highlight w:val="none"/>
                <w:lang w:val="en-US" w:eastAsia="zh-CN" w:bidi="bo-CN"/>
              </w:rPr>
              <w:t>8</w:t>
            </w:r>
            <w:r>
              <w:rPr>
                <w:rFonts w:hint="eastAsia" w:ascii="宋体" w:hAnsi="宋体" w:eastAsia="宋体" w:cs="宋体"/>
                <w:color w:val="auto"/>
                <w:sz w:val="24"/>
                <w:szCs w:val="24"/>
                <w:highlight w:val="none"/>
                <w:lang w:bidi="bo-CN"/>
              </w:rPr>
              <w:t>0000</w:t>
            </w:r>
          </w:p>
        </w:tc>
        <w:tc>
          <w:tcPr>
            <w:tcW w:w="1134"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卷</w:t>
            </w:r>
          </w:p>
        </w:tc>
        <w:tc>
          <w:tcPr>
            <w:tcW w:w="2978" w:type="dxa"/>
            <w:noWrap w:val="0"/>
            <w:vAlign w:val="center"/>
          </w:tcPr>
          <w:p>
            <w:pPr>
              <w:spacing w:line="360" w:lineRule="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按每一次不动产登记行为所产生的材料</w:t>
            </w:r>
            <w:r>
              <w:rPr>
                <w:rFonts w:hint="eastAsia" w:ascii="宋体" w:hAnsi="宋体" w:eastAsia="宋体" w:cs="宋体"/>
                <w:color w:val="auto"/>
                <w:sz w:val="24"/>
                <w:szCs w:val="24"/>
                <w:highlight w:val="none"/>
                <w:lang w:eastAsia="zh-CN" w:bidi="bo-CN"/>
              </w:rPr>
              <w:t>（包括：申请材料、审批表、测绘成果资料、登记薄等）</w:t>
            </w:r>
            <w:r>
              <w:rPr>
                <w:rFonts w:hint="eastAsia" w:ascii="宋体" w:hAnsi="宋体" w:eastAsia="宋体" w:cs="宋体"/>
                <w:color w:val="auto"/>
                <w:sz w:val="24"/>
                <w:szCs w:val="24"/>
                <w:highlight w:val="none"/>
                <w:lang w:bidi="bo-CN"/>
              </w:rPr>
              <w:t>组为一卷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16"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2</w:t>
            </w:r>
          </w:p>
        </w:tc>
        <w:tc>
          <w:tcPr>
            <w:tcW w:w="2654" w:type="dxa"/>
            <w:noWrap w:val="0"/>
            <w:vAlign w:val="center"/>
          </w:tcPr>
          <w:p>
            <w:pPr>
              <w:spacing w:line="360" w:lineRule="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不动产登记档案扫描</w:t>
            </w:r>
          </w:p>
        </w:tc>
        <w:tc>
          <w:tcPr>
            <w:tcW w:w="1173"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5</w:t>
            </w:r>
            <w:r>
              <w:rPr>
                <w:rFonts w:hint="eastAsia" w:ascii="宋体" w:hAnsi="宋体" w:cs="宋体"/>
                <w:color w:val="auto"/>
                <w:sz w:val="24"/>
                <w:szCs w:val="24"/>
                <w:highlight w:val="none"/>
                <w:lang w:val="en-US" w:eastAsia="zh-CN" w:bidi="bo-CN"/>
              </w:rPr>
              <w:t>4</w:t>
            </w:r>
            <w:r>
              <w:rPr>
                <w:rFonts w:hint="eastAsia" w:ascii="宋体" w:hAnsi="宋体" w:eastAsia="宋体" w:cs="宋体"/>
                <w:color w:val="auto"/>
                <w:sz w:val="24"/>
                <w:szCs w:val="24"/>
                <w:highlight w:val="none"/>
                <w:lang w:bidi="bo-CN"/>
              </w:rPr>
              <w:t>00000</w:t>
            </w:r>
          </w:p>
        </w:tc>
        <w:tc>
          <w:tcPr>
            <w:tcW w:w="1134"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页</w:t>
            </w:r>
          </w:p>
        </w:tc>
        <w:tc>
          <w:tcPr>
            <w:tcW w:w="2978" w:type="dxa"/>
            <w:noWrap w:val="0"/>
            <w:vAlign w:val="center"/>
          </w:tcPr>
          <w:p>
            <w:pPr>
              <w:spacing w:line="360" w:lineRule="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内容包括：扫描、图像处理、图像存储、数据挂接入库等工作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3</w:t>
            </w:r>
          </w:p>
        </w:tc>
        <w:tc>
          <w:tcPr>
            <w:tcW w:w="2654" w:type="dxa"/>
            <w:noWrap w:val="0"/>
            <w:vAlign w:val="center"/>
          </w:tcPr>
          <w:p>
            <w:pPr>
              <w:spacing w:line="360" w:lineRule="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不动产登记档案信息著录</w:t>
            </w:r>
          </w:p>
        </w:tc>
        <w:tc>
          <w:tcPr>
            <w:tcW w:w="1173"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cs="宋体"/>
                <w:color w:val="auto"/>
                <w:sz w:val="24"/>
                <w:szCs w:val="24"/>
                <w:highlight w:val="none"/>
                <w:lang w:val="en-US" w:eastAsia="zh-CN" w:bidi="bo-CN"/>
              </w:rPr>
              <w:t>18</w:t>
            </w:r>
            <w:r>
              <w:rPr>
                <w:rFonts w:hint="eastAsia" w:ascii="宋体" w:hAnsi="宋体" w:eastAsia="宋体" w:cs="宋体"/>
                <w:color w:val="auto"/>
                <w:sz w:val="24"/>
                <w:szCs w:val="24"/>
                <w:highlight w:val="none"/>
                <w:lang w:bidi="bo-CN"/>
              </w:rPr>
              <w:t>00000</w:t>
            </w:r>
          </w:p>
        </w:tc>
        <w:tc>
          <w:tcPr>
            <w:tcW w:w="1134"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条</w:t>
            </w:r>
          </w:p>
        </w:tc>
        <w:tc>
          <w:tcPr>
            <w:tcW w:w="2978" w:type="dxa"/>
            <w:noWrap w:val="0"/>
            <w:vAlign w:val="center"/>
          </w:tcPr>
          <w:p>
            <w:pPr>
              <w:spacing w:line="360" w:lineRule="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按不动产登记档案著录规则进行信息著录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4</w:t>
            </w:r>
          </w:p>
        </w:tc>
        <w:tc>
          <w:tcPr>
            <w:tcW w:w="2654" w:type="dxa"/>
            <w:noWrap w:val="0"/>
            <w:vAlign w:val="center"/>
          </w:tcPr>
          <w:p>
            <w:pPr>
              <w:spacing w:line="360" w:lineRule="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档案盒（5cm）</w:t>
            </w:r>
          </w:p>
        </w:tc>
        <w:tc>
          <w:tcPr>
            <w:tcW w:w="1173"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1</w:t>
            </w:r>
            <w:r>
              <w:rPr>
                <w:rFonts w:hint="eastAsia" w:ascii="宋体" w:hAnsi="宋体" w:cs="宋体"/>
                <w:color w:val="auto"/>
                <w:sz w:val="24"/>
                <w:szCs w:val="24"/>
                <w:highlight w:val="none"/>
                <w:lang w:val="en-US" w:eastAsia="zh-CN" w:bidi="bo-CN"/>
              </w:rPr>
              <w:t>8</w:t>
            </w:r>
            <w:r>
              <w:rPr>
                <w:rFonts w:hint="eastAsia" w:ascii="宋体" w:hAnsi="宋体" w:eastAsia="宋体" w:cs="宋体"/>
                <w:color w:val="auto"/>
                <w:sz w:val="24"/>
                <w:szCs w:val="24"/>
                <w:highlight w:val="none"/>
                <w:lang w:bidi="bo-CN"/>
              </w:rPr>
              <w:t>000</w:t>
            </w:r>
          </w:p>
        </w:tc>
        <w:tc>
          <w:tcPr>
            <w:tcW w:w="1134"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个</w:t>
            </w:r>
          </w:p>
        </w:tc>
        <w:tc>
          <w:tcPr>
            <w:tcW w:w="2978" w:type="dxa"/>
            <w:noWrap w:val="0"/>
            <w:vAlign w:val="center"/>
          </w:tcPr>
          <w:p>
            <w:pPr>
              <w:spacing w:line="360" w:lineRule="auto"/>
              <w:rPr>
                <w:rFonts w:hint="eastAsia" w:ascii="宋体" w:hAnsi="宋体" w:eastAsia="宋体" w:cs="宋体"/>
                <w:color w:val="auto"/>
                <w:sz w:val="24"/>
                <w:szCs w:val="24"/>
                <w:highlight w:val="none"/>
                <w:lang w:eastAsia="zh-CN" w:bidi="bo-CN"/>
              </w:rPr>
            </w:pPr>
            <w:r>
              <w:rPr>
                <w:rFonts w:hint="eastAsia" w:ascii="宋体" w:hAnsi="宋体" w:eastAsia="宋体" w:cs="宋体"/>
                <w:color w:val="auto"/>
                <w:sz w:val="24"/>
                <w:szCs w:val="24"/>
                <w:highlight w:val="none"/>
                <w:lang w:val="en-US" w:eastAsia="zh-CN" w:bidi="bo-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5</w:t>
            </w:r>
          </w:p>
        </w:tc>
        <w:tc>
          <w:tcPr>
            <w:tcW w:w="2654" w:type="dxa"/>
            <w:noWrap w:val="0"/>
            <w:vAlign w:val="center"/>
          </w:tcPr>
          <w:p>
            <w:pPr>
              <w:spacing w:line="360" w:lineRule="auto"/>
              <w:rPr>
                <w:rFonts w:hint="eastAsia" w:ascii="宋体" w:hAnsi="宋体" w:eastAsia="宋体" w:cs="宋体"/>
                <w:color w:val="auto"/>
                <w:sz w:val="24"/>
                <w:szCs w:val="24"/>
                <w:highlight w:val="none"/>
                <w:lang w:val="en-US" w:eastAsia="zh-CN" w:bidi="bo-CN"/>
              </w:rPr>
            </w:pPr>
            <w:r>
              <w:rPr>
                <w:rFonts w:hint="eastAsia" w:ascii="宋体" w:hAnsi="宋体" w:eastAsia="宋体" w:cs="宋体"/>
                <w:color w:val="auto"/>
                <w:sz w:val="24"/>
                <w:szCs w:val="24"/>
                <w:highlight w:val="none"/>
                <w:lang w:bidi="bo-CN"/>
              </w:rPr>
              <w:t>卷皮</w:t>
            </w:r>
            <w:r>
              <w:rPr>
                <w:rFonts w:hint="eastAsia" w:ascii="宋体" w:hAnsi="宋体" w:eastAsia="宋体" w:cs="宋体"/>
                <w:color w:val="auto"/>
                <w:sz w:val="24"/>
                <w:szCs w:val="24"/>
                <w:highlight w:val="none"/>
                <w:lang w:eastAsia="zh-CN" w:bidi="bo-CN"/>
              </w:rPr>
              <w:t>、备考表</w:t>
            </w:r>
          </w:p>
        </w:tc>
        <w:tc>
          <w:tcPr>
            <w:tcW w:w="1173"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r>
              <w:rPr>
                <w:rFonts w:hint="eastAsia" w:ascii="宋体" w:hAnsi="宋体" w:eastAsia="宋体" w:cs="宋体"/>
                <w:color w:val="auto"/>
                <w:sz w:val="24"/>
                <w:szCs w:val="24"/>
                <w:highlight w:val="none"/>
                <w:lang w:val="en-US" w:eastAsia="zh-CN" w:bidi="bo-CN"/>
              </w:rPr>
              <w:t>1</w:t>
            </w:r>
            <w:r>
              <w:rPr>
                <w:rFonts w:hint="eastAsia" w:ascii="宋体" w:hAnsi="宋体" w:cs="宋体"/>
                <w:color w:val="auto"/>
                <w:sz w:val="24"/>
                <w:szCs w:val="24"/>
                <w:highlight w:val="none"/>
                <w:lang w:val="en-US" w:eastAsia="zh-CN" w:bidi="bo-CN"/>
              </w:rPr>
              <w:t>8</w:t>
            </w:r>
            <w:r>
              <w:rPr>
                <w:rFonts w:hint="eastAsia" w:ascii="宋体" w:hAnsi="宋体" w:eastAsia="宋体" w:cs="宋体"/>
                <w:color w:val="auto"/>
                <w:sz w:val="24"/>
                <w:szCs w:val="24"/>
                <w:highlight w:val="none"/>
                <w:lang w:bidi="bo-CN"/>
              </w:rPr>
              <w:t>000</w:t>
            </w:r>
            <w:r>
              <w:rPr>
                <w:rFonts w:hint="eastAsia" w:ascii="宋体" w:hAnsi="宋体" w:eastAsia="宋体" w:cs="宋体"/>
                <w:color w:val="auto"/>
                <w:sz w:val="24"/>
                <w:szCs w:val="24"/>
                <w:highlight w:val="none"/>
                <w:lang w:val="en-US" w:eastAsia="zh-CN" w:bidi="bo-CN"/>
              </w:rPr>
              <w:t>0</w:t>
            </w:r>
          </w:p>
        </w:tc>
        <w:tc>
          <w:tcPr>
            <w:tcW w:w="1134"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套</w:t>
            </w:r>
          </w:p>
        </w:tc>
        <w:tc>
          <w:tcPr>
            <w:tcW w:w="2978" w:type="dxa"/>
            <w:noWrap w:val="0"/>
            <w:vAlign w:val="center"/>
          </w:tcPr>
          <w:p>
            <w:pPr>
              <w:spacing w:line="360" w:lineRule="auto"/>
              <w:rPr>
                <w:rFonts w:hint="eastAsia" w:ascii="宋体" w:hAnsi="宋体" w:eastAsia="宋体" w:cs="宋体"/>
                <w:color w:val="auto"/>
                <w:sz w:val="24"/>
                <w:szCs w:val="24"/>
                <w:highlight w:val="none"/>
                <w:lang w:eastAsia="zh-CN" w:bidi="bo-CN"/>
              </w:rPr>
            </w:pPr>
            <w:r>
              <w:rPr>
                <w:rFonts w:hint="eastAsia" w:ascii="宋体" w:hAnsi="宋体" w:eastAsia="宋体" w:cs="宋体"/>
                <w:color w:val="auto"/>
                <w:sz w:val="24"/>
                <w:szCs w:val="24"/>
                <w:highlight w:val="none"/>
                <w:lang w:val="en-US" w:eastAsia="zh-CN" w:bidi="bo-CN"/>
              </w:rPr>
              <w:t xml:space="preserve"> </w:t>
            </w:r>
          </w:p>
        </w:tc>
      </w:tr>
    </w:tbl>
    <w:p>
      <w:pPr>
        <w:pStyle w:val="8"/>
        <w:keepNext w:val="0"/>
        <w:keepLines w:val="0"/>
        <w:pageBreakBefore w:val="0"/>
        <w:widowControl w:val="0"/>
        <w:kinsoku w:val="0"/>
        <w:wordWrap/>
        <w:overflowPunct/>
        <w:topLinePunct w:val="0"/>
        <w:autoSpaceDE/>
        <w:autoSpaceDN/>
        <w:bidi w:val="0"/>
        <w:adjustRightInd/>
        <w:snapToGrid/>
        <w:spacing w:after="0" w:line="360" w:lineRule="auto"/>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注：以上工作内容以实际工作量为准</w:t>
      </w:r>
      <w:r>
        <w:rPr>
          <w:rFonts w:hint="eastAsia" w:ascii="宋体" w:hAnsi="宋体" w:eastAsia="宋体" w:cs="宋体"/>
          <w:b w:val="0"/>
          <w:bCs/>
          <w:color w:val="auto"/>
          <w:sz w:val="24"/>
          <w:szCs w:val="24"/>
          <w:highlight w:val="none"/>
          <w:lang w:eastAsia="zh-CN"/>
        </w:rPr>
        <w:t>，</w:t>
      </w:r>
      <w:r>
        <w:rPr>
          <w:rFonts w:hint="eastAsia" w:ascii="宋体" w:hAnsi="宋体" w:eastAsia="宋体" w:cs="宋体"/>
          <w:color w:val="auto"/>
          <w:sz w:val="24"/>
          <w:szCs w:val="24"/>
          <w:highlight w:val="none"/>
        </w:rPr>
        <w:t>具体的结算金额按中标分项单价乘以分项实际工作量之和据实结算。</w:t>
      </w:r>
      <w:r>
        <w:rPr>
          <w:rFonts w:hint="eastAsia" w:ascii="宋体" w:hAnsi="宋体" w:eastAsia="宋体" w:cs="宋体"/>
          <w:b w:val="0"/>
          <w:bCs/>
          <w:color w:val="auto"/>
          <w:sz w:val="24"/>
          <w:szCs w:val="24"/>
          <w:highlight w:val="none"/>
          <w:lang w:val="en-US" w:eastAsia="zh-CN" w:bidi="ar-SA"/>
        </w:rPr>
        <w:t>未尽事宜，合同约定。</w:t>
      </w:r>
    </w:p>
    <w:p>
      <w:pPr>
        <w:keepNext w:val="0"/>
        <w:keepLines w:val="0"/>
        <w:pageBreakBefore w:val="0"/>
        <w:widowControl w:val="0"/>
        <w:kinsoku w:val="0"/>
        <w:wordWrap/>
        <w:overflowPunct/>
        <w:topLinePunct w:val="0"/>
        <w:autoSpaceDE/>
        <w:autoSpaceDN/>
        <w:bidi w:val="0"/>
        <w:spacing w:line="360" w:lineRule="auto"/>
        <w:ind w:firstLine="482" w:firstLineChars="200"/>
        <w:jc w:val="both"/>
        <w:textAlignment w:val="auto"/>
        <w:rPr>
          <w:rFonts w:hint="eastAsia" w:ascii="宋体" w:hAnsi="宋体" w:eastAsia="宋体" w:cs="宋体"/>
          <w:b/>
          <w:color w:val="auto"/>
          <w:sz w:val="24"/>
          <w:szCs w:val="24"/>
          <w:highlight w:val="none"/>
        </w:rPr>
      </w:pPr>
    </w:p>
    <w:p>
      <w:pPr>
        <w:pStyle w:val="34"/>
        <w:rPr>
          <w:rFonts w:hint="eastAsia"/>
          <w:color w:val="auto"/>
          <w:highlight w:val="none"/>
        </w:rPr>
      </w:pPr>
    </w:p>
    <w:p>
      <w:pPr>
        <w:keepNext w:val="0"/>
        <w:keepLines w:val="0"/>
        <w:pageBreakBefore w:val="0"/>
        <w:widowControl w:val="0"/>
        <w:kinsoku w:val="0"/>
        <w:wordWrap/>
        <w:overflowPunct/>
        <w:topLinePunct w:val="0"/>
        <w:autoSpaceDE/>
        <w:autoSpaceDN/>
        <w:bidi w:val="0"/>
        <w:spacing w:line="360" w:lineRule="auto"/>
        <w:ind w:firstLine="482" w:firstLineChars="20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二、采购项目内容及要求</w:t>
      </w:r>
    </w:p>
    <w:p>
      <w:pPr>
        <w:keepNext w:val="0"/>
        <w:keepLines w:val="0"/>
        <w:pageBreakBefore w:val="0"/>
        <w:widowControl w:val="0"/>
        <w:kinsoku w:val="0"/>
        <w:wordWrap/>
        <w:overflowPunct/>
        <w:topLinePunct w:val="0"/>
        <w:autoSpaceDE/>
        <w:autoSpaceDN/>
        <w:bidi w:val="0"/>
        <w:snapToGrid w:val="0"/>
        <w:spacing w:line="360" w:lineRule="auto"/>
        <w:ind w:firstLine="482" w:firstLineChars="200"/>
        <w:jc w:val="both"/>
        <w:textAlignment w:val="auto"/>
        <w:rPr>
          <w:rFonts w:hint="eastAsia" w:ascii="宋体" w:hAnsi="宋体" w:eastAsia="宋体" w:cs="宋体"/>
          <w:b/>
          <w:color w:val="auto"/>
          <w:sz w:val="24"/>
          <w:szCs w:val="24"/>
          <w:highlight w:val="none"/>
        </w:rPr>
      </w:pPr>
      <w:bookmarkStart w:id="348" w:name="_Toc319498529"/>
      <w:r>
        <w:rPr>
          <w:rFonts w:hint="eastAsia" w:ascii="宋体" w:hAnsi="宋体" w:eastAsia="宋体" w:cs="宋体"/>
          <w:b/>
          <w:color w:val="auto"/>
          <w:sz w:val="24"/>
          <w:szCs w:val="24"/>
          <w:highlight w:val="none"/>
        </w:rPr>
        <w:t>1. 服务规范及标准依据</w:t>
      </w:r>
      <w:bookmarkEnd w:id="348"/>
    </w:p>
    <w:p>
      <w:pPr>
        <w:keepNext w:val="0"/>
        <w:keepLines w:val="0"/>
        <w:pageBreakBefore w:val="0"/>
        <w:widowControl w:val="0"/>
        <w:kinsoku w:val="0"/>
        <w:wordWrap/>
        <w:overflowPunct/>
        <w:topLinePunct w:val="0"/>
        <w:autoSpaceDE/>
        <w:autoSpaceDN/>
        <w:bidi w:val="0"/>
        <w:adjustRightInd w:val="0"/>
        <w:spacing w:line="360" w:lineRule="auto"/>
        <w:ind w:firstLine="482" w:firstLineChars="200"/>
        <w:jc w:val="both"/>
        <w:textAlignment w:val="auto"/>
        <w:rPr>
          <w:rFonts w:hint="eastAsia" w:ascii="宋体" w:hAnsi="宋体" w:eastAsia="宋体" w:cs="宋体"/>
          <w:b/>
          <w:color w:val="auto"/>
          <w:sz w:val="24"/>
          <w:szCs w:val="24"/>
          <w:highlight w:val="none"/>
          <w:lang w:bidi="bo-CN"/>
        </w:rPr>
      </w:pPr>
      <w:bookmarkStart w:id="349" w:name="_Toc319498530"/>
      <w:r>
        <w:rPr>
          <w:rFonts w:hint="eastAsia" w:ascii="宋体" w:hAnsi="宋体" w:eastAsia="宋体" w:cs="宋体"/>
          <w:b/>
          <w:color w:val="auto"/>
          <w:sz w:val="24"/>
          <w:szCs w:val="24"/>
          <w:highlight w:val="none"/>
        </w:rPr>
        <w:t xml:space="preserve">1.1 </w:t>
      </w:r>
      <w:r>
        <w:rPr>
          <w:rFonts w:hint="eastAsia" w:ascii="宋体" w:hAnsi="宋体" w:eastAsia="宋体" w:cs="宋体"/>
          <w:b/>
          <w:color w:val="auto"/>
          <w:sz w:val="24"/>
          <w:szCs w:val="24"/>
          <w:highlight w:val="none"/>
          <w:lang w:bidi="bo-CN"/>
        </w:rPr>
        <w:t>档案整理技术标准</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（1）DB51/T 171-93《四川省文书立卷与案卷构成的一般要求》(四川省技术监督局，1993年2月26日批准)。</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（2）DB/T 15418-94《档案分类标引规则》(国家技术监督局，1994年12月28日批准)。</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（3）《档案修裱技术规范》（DA/T25——2000）。</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（4）DA/T 18-1999《档案著录规则》(国家档案局，1999年5月31日批准)。</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 xml:space="preserve">（5）DA/T 19-1999《档案主题标引规则》(国家档案局，1999年5月31日批准)。 </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（6）DA/T 22-2015 《归档文件整理规则》(国家档案局，2015年10月25日发布)。</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（7）《成都市国土资源局文件材料归档范围、分类方案和保管期限》的通知（成国土资发[2007]255号）。</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bo-CN"/>
        </w:rPr>
        <w:t>（8）</w:t>
      </w:r>
      <w:r>
        <w:rPr>
          <w:rFonts w:hint="eastAsia" w:ascii="宋体" w:hAnsi="宋体" w:eastAsia="宋体" w:cs="宋体"/>
          <w:color w:val="auto"/>
          <w:sz w:val="24"/>
          <w:szCs w:val="24"/>
          <w:highlight w:val="none"/>
        </w:rPr>
        <w:t>成都市国土资源局《成都市不动产登记档案管理办法（试行）》（成国土资发</w:t>
      </w:r>
      <w:r>
        <w:rPr>
          <w:rFonts w:hint="eastAsia" w:ascii="宋体" w:hAnsi="宋体" w:eastAsia="宋体" w:cs="宋体"/>
          <w:color w:val="auto"/>
          <w:sz w:val="24"/>
          <w:szCs w:val="24"/>
          <w:highlight w:val="none"/>
          <w:lang w:bidi="bo-CN"/>
        </w:rPr>
        <w:t>[2016]</w:t>
      </w:r>
      <w:r>
        <w:rPr>
          <w:rFonts w:hint="eastAsia" w:ascii="宋体" w:hAnsi="宋体" w:eastAsia="宋体" w:cs="宋体"/>
          <w:color w:val="auto"/>
          <w:sz w:val="24"/>
          <w:szCs w:val="24"/>
          <w:highlight w:val="none"/>
        </w:rPr>
        <w:t>147号）。</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rPr>
          <w:rFonts w:hint="eastAsia" w:ascii="宋体" w:hAnsi="宋体" w:eastAsia="宋体" w:cs="宋体"/>
          <w:b/>
          <w:bCs/>
          <w:color w:val="auto"/>
          <w:sz w:val="24"/>
          <w:szCs w:val="24"/>
          <w:highlight w:val="none"/>
          <w:lang w:bidi="bo-CN"/>
        </w:rPr>
      </w:pPr>
      <w:r>
        <w:rPr>
          <w:rFonts w:hint="eastAsia" w:ascii="宋体" w:hAnsi="宋体" w:eastAsia="宋体" w:cs="宋体"/>
          <w:b/>
          <w:bCs/>
          <w:color w:val="auto"/>
          <w:sz w:val="24"/>
          <w:szCs w:val="24"/>
          <w:highlight w:val="none"/>
          <w:lang w:eastAsia="zh-CN" w:bidi="bo-CN"/>
        </w:rPr>
        <w:t>注：以上</w:t>
      </w:r>
      <w:r>
        <w:rPr>
          <w:rFonts w:hint="eastAsia" w:ascii="宋体" w:hAnsi="宋体" w:eastAsia="宋体" w:cs="宋体"/>
          <w:b/>
          <w:bCs/>
          <w:color w:val="auto"/>
          <w:sz w:val="24"/>
          <w:szCs w:val="24"/>
          <w:highlight w:val="none"/>
          <w:lang w:bidi="bo-CN"/>
        </w:rPr>
        <w:t>档案整理技术标准</w:t>
      </w:r>
      <w:r>
        <w:rPr>
          <w:rFonts w:hint="eastAsia" w:ascii="宋体" w:hAnsi="宋体" w:eastAsia="宋体" w:cs="宋体"/>
          <w:b/>
          <w:bCs/>
          <w:color w:val="auto"/>
          <w:sz w:val="24"/>
          <w:szCs w:val="24"/>
          <w:highlight w:val="none"/>
          <w:lang w:eastAsia="zh-CN" w:bidi="bo-CN"/>
        </w:rPr>
        <w:t>如有最新要求，以最新技术标准为准。</w:t>
      </w:r>
    </w:p>
    <w:p>
      <w:pPr>
        <w:keepNext w:val="0"/>
        <w:keepLines w:val="0"/>
        <w:pageBreakBefore w:val="0"/>
        <w:widowControl w:val="0"/>
        <w:kinsoku/>
        <w:wordWrap/>
        <w:overflowPunct/>
        <w:topLinePunct w:val="0"/>
        <w:autoSpaceDE/>
        <w:autoSpaceDN/>
        <w:bidi w:val="0"/>
        <w:adjustRightInd w:val="0"/>
        <w:spacing w:line="360" w:lineRule="auto"/>
        <w:ind w:firstLine="482" w:firstLineChars="200"/>
        <w:jc w:val="both"/>
        <w:textAlignment w:val="auto"/>
        <w:rPr>
          <w:rFonts w:hint="eastAsia" w:ascii="宋体" w:hAnsi="宋体" w:eastAsia="宋体" w:cs="宋体"/>
          <w:b/>
          <w:color w:val="auto"/>
          <w:sz w:val="24"/>
          <w:szCs w:val="24"/>
          <w:highlight w:val="none"/>
          <w:lang w:bidi="bo-CN"/>
        </w:rPr>
      </w:pPr>
      <w:r>
        <w:rPr>
          <w:rFonts w:hint="eastAsia" w:ascii="宋体" w:hAnsi="宋体" w:eastAsia="宋体" w:cs="宋体"/>
          <w:b/>
          <w:color w:val="auto"/>
          <w:sz w:val="24"/>
          <w:szCs w:val="24"/>
          <w:highlight w:val="none"/>
        </w:rPr>
        <w:t>1.2</w:t>
      </w:r>
      <w:r>
        <w:rPr>
          <w:rFonts w:hint="eastAsia" w:ascii="宋体" w:hAnsi="宋体" w:eastAsia="宋体" w:cs="宋体"/>
          <w:b/>
          <w:color w:val="auto"/>
          <w:sz w:val="24"/>
          <w:szCs w:val="24"/>
          <w:highlight w:val="none"/>
          <w:lang w:bidi="bo-CN"/>
        </w:rPr>
        <w:t xml:space="preserve"> 档案数字化处理技术标准</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宋体"/>
          <w:color w:val="auto"/>
          <w:sz w:val="24"/>
          <w:szCs w:val="24"/>
          <w:highlight w:val="none"/>
          <w:cs/>
          <w:lang w:bidi="bo-CN"/>
        </w:rPr>
      </w:pPr>
      <w:r>
        <w:rPr>
          <w:rFonts w:hint="eastAsia" w:ascii="宋体" w:hAnsi="宋体" w:eastAsia="宋体" w:cs="宋体"/>
          <w:color w:val="auto"/>
          <w:sz w:val="24"/>
          <w:szCs w:val="24"/>
          <w:highlight w:val="none"/>
        </w:rPr>
        <w:t>（1）中华人民共和国档案行业标准</w:t>
      </w:r>
      <w:r>
        <w:rPr>
          <w:rFonts w:hint="eastAsia" w:ascii="宋体" w:hAnsi="宋体" w:eastAsia="宋体" w:cs="宋体"/>
          <w:color w:val="auto"/>
          <w:sz w:val="24"/>
          <w:szCs w:val="24"/>
          <w:highlight w:val="none"/>
          <w:cs/>
          <w:lang w:bidi="bo-CN"/>
        </w:rPr>
        <w:t xml:space="preserve"> </w:t>
      </w:r>
      <w:r>
        <w:rPr>
          <w:rFonts w:hint="eastAsia" w:ascii="宋体" w:hAnsi="宋体" w:eastAsia="宋体" w:cs="宋体"/>
          <w:color w:val="auto"/>
          <w:sz w:val="24"/>
          <w:szCs w:val="24"/>
          <w:highlight w:val="none"/>
        </w:rPr>
        <w:t>《纸质档案数字化技术规范》（DA/T 31-2017）</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宋体"/>
          <w:color w:val="auto"/>
          <w:sz w:val="24"/>
          <w:szCs w:val="24"/>
          <w:highlight w:val="none"/>
          <w:cs/>
          <w:lang w:bidi="bo-CN"/>
        </w:rPr>
      </w:pPr>
      <w:r>
        <w:rPr>
          <w:rFonts w:hint="eastAsia" w:ascii="宋体" w:hAnsi="宋体" w:eastAsia="宋体" w:cs="宋体"/>
          <w:color w:val="auto"/>
          <w:sz w:val="24"/>
          <w:szCs w:val="24"/>
          <w:highlight w:val="none"/>
        </w:rPr>
        <w:t>（2）《档案著录规则》(DA/T18)</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（3）GB/T 18894-2002 电子文件归档与管理规范</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（4）GB/T7156-1987《文献保密等级代码》</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（5）GB/T9704-1988《国家机关公文格式》</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（6）《连续色调静态图像的数字压缩及编码 第1部分：要求和指南》（GB/T 17235.1-1998）</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（7）《连续色调静态图像的数字压缩及编码 第2部分：一致性测试》（GB/T 17235.2—1998）</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（8）成都市国土资源局《成都市不动产登记档案管理办法（试行）》（成国土资发[2016]147号）</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rPr>
          <w:rFonts w:hint="eastAsia" w:ascii="宋体" w:hAnsi="宋体" w:eastAsia="宋体" w:cs="宋体"/>
          <w:b/>
          <w:bCs/>
          <w:color w:val="auto"/>
          <w:sz w:val="24"/>
          <w:szCs w:val="24"/>
          <w:highlight w:val="none"/>
          <w:lang w:bidi="bo-CN"/>
        </w:rPr>
      </w:pPr>
      <w:r>
        <w:rPr>
          <w:rFonts w:hint="eastAsia" w:ascii="宋体" w:hAnsi="宋体" w:eastAsia="宋体" w:cs="宋体"/>
          <w:b/>
          <w:bCs/>
          <w:color w:val="auto"/>
          <w:sz w:val="24"/>
          <w:szCs w:val="24"/>
          <w:highlight w:val="none"/>
          <w:lang w:eastAsia="zh-CN" w:bidi="bo-CN"/>
        </w:rPr>
        <w:t>注：以上档案数字化处理技术标准如有最新要求，以最新技术标准为准。</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2. </w:t>
      </w:r>
      <w:r>
        <w:rPr>
          <w:rFonts w:hint="eastAsia" w:ascii="宋体" w:hAnsi="宋体" w:eastAsia="宋体" w:cs="宋体"/>
          <w:b/>
          <w:color w:val="auto"/>
          <w:sz w:val="24"/>
          <w:szCs w:val="24"/>
          <w:highlight w:val="none"/>
          <w:lang w:bidi="bo-CN"/>
        </w:rPr>
        <w:t>档案整理服务内容及技术</w:t>
      </w:r>
      <w:r>
        <w:rPr>
          <w:rFonts w:hint="eastAsia" w:ascii="宋体" w:hAnsi="宋体" w:eastAsia="宋体" w:cs="宋体"/>
          <w:b/>
          <w:color w:val="auto"/>
          <w:sz w:val="24"/>
          <w:szCs w:val="24"/>
          <w:highlight w:val="none"/>
        </w:rPr>
        <w:t>要求</w:t>
      </w:r>
      <w:bookmarkEnd w:id="349"/>
    </w:p>
    <w:p>
      <w:pPr>
        <w:keepNext w:val="0"/>
        <w:keepLines w:val="0"/>
        <w:pageBreakBefore w:val="0"/>
        <w:widowControl w:val="0"/>
        <w:kinsoku/>
        <w:wordWrap/>
        <w:overflowPunct/>
        <w:topLinePunct w:val="0"/>
        <w:autoSpaceDE/>
        <w:autoSpaceDN/>
        <w:bidi w:val="0"/>
        <w:adjustRightInd w:val="0"/>
        <w:spacing w:line="360" w:lineRule="auto"/>
        <w:ind w:firstLine="482" w:firstLineChars="200"/>
        <w:jc w:val="both"/>
        <w:textAlignment w:val="auto"/>
        <w:rPr>
          <w:rFonts w:hint="eastAsia" w:ascii="宋体" w:hAnsi="宋体" w:eastAsia="宋体" w:cs="宋体"/>
          <w:b/>
          <w:color w:val="auto"/>
          <w:sz w:val="24"/>
          <w:szCs w:val="24"/>
          <w:highlight w:val="none"/>
          <w:lang w:bidi="bo-CN"/>
        </w:rPr>
      </w:pPr>
      <w:r>
        <w:rPr>
          <w:rFonts w:hint="eastAsia" w:ascii="宋体" w:hAnsi="宋体" w:eastAsia="宋体" w:cs="宋体"/>
          <w:b/>
          <w:color w:val="auto"/>
          <w:sz w:val="24"/>
          <w:szCs w:val="24"/>
          <w:highlight w:val="none"/>
        </w:rPr>
        <w:t xml:space="preserve">2.1 </w:t>
      </w:r>
      <w:r>
        <w:rPr>
          <w:rFonts w:hint="eastAsia" w:ascii="宋体" w:hAnsi="宋体" w:eastAsia="宋体" w:cs="宋体"/>
          <w:b/>
          <w:color w:val="auto"/>
          <w:sz w:val="24"/>
          <w:szCs w:val="24"/>
          <w:highlight w:val="none"/>
          <w:lang w:bidi="bo-CN"/>
        </w:rPr>
        <w:t>档案整理服务内容</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（1）原始档案分类排序；</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（2）档案组卷、组盒；</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（3）编制页码；</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（4）对每件档案加盖档号章并填写档号（仅限文书档案）</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（5）录入案卷和卷内目录；</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（6）打印卷皮；</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（7）打印案卷和卷内目录；</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（8）填写卷内文件备考表；</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（9）档案装订、装盒；</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（10）对每盒档案加盖分类号、年度、盒号等相关信息章；</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（11）档案整理的其他相关工作。</w:t>
      </w:r>
    </w:p>
    <w:p>
      <w:pPr>
        <w:keepNext w:val="0"/>
        <w:keepLines w:val="0"/>
        <w:pageBreakBefore w:val="0"/>
        <w:widowControl w:val="0"/>
        <w:kinsoku/>
        <w:wordWrap/>
        <w:overflowPunct/>
        <w:topLinePunct w:val="0"/>
        <w:autoSpaceDE/>
        <w:autoSpaceDN/>
        <w:bidi w:val="0"/>
        <w:adjustRightInd w:val="0"/>
        <w:spacing w:line="360" w:lineRule="auto"/>
        <w:ind w:firstLine="482" w:firstLineChars="20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2.2档案交接要求</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bo-CN"/>
        </w:rPr>
        <w:t>（1）</w:t>
      </w:r>
      <w:r>
        <w:rPr>
          <w:rFonts w:hint="eastAsia" w:ascii="宋体" w:hAnsi="宋体" w:eastAsia="宋体" w:cs="宋体"/>
          <w:color w:val="auto"/>
          <w:sz w:val="24"/>
          <w:szCs w:val="24"/>
          <w:highlight w:val="none"/>
        </w:rPr>
        <w:t xml:space="preserve">中标方负责整个项目档案的调卷、保管、归还工作。调卷人和采购方的有关人员一起，到档案库房，根据清单，提取相应的案卷。双方在《档案数字化处理调卷登记本》上登记、签字。 </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rPr>
        <w:t>（2）遵守采购方的库房管理制度，进入库房要确保库房清洁卫生；不得随意翻阅其他档案。要妥善保存档案，确保档案的安全。</w:t>
      </w:r>
    </w:p>
    <w:p>
      <w:pPr>
        <w:keepNext w:val="0"/>
        <w:keepLines w:val="0"/>
        <w:pageBreakBefore w:val="0"/>
        <w:widowControl w:val="0"/>
        <w:kinsoku/>
        <w:wordWrap/>
        <w:overflowPunct/>
        <w:topLinePunct w:val="0"/>
        <w:autoSpaceDE/>
        <w:autoSpaceDN/>
        <w:bidi w:val="0"/>
        <w:adjustRightInd w:val="0"/>
        <w:spacing w:line="360" w:lineRule="auto"/>
        <w:ind w:firstLine="482" w:firstLineChars="200"/>
        <w:jc w:val="both"/>
        <w:textAlignment w:val="auto"/>
        <w:rPr>
          <w:rFonts w:hint="eastAsia" w:ascii="宋体" w:hAnsi="宋体" w:eastAsia="宋体" w:cs="宋体"/>
          <w:b/>
          <w:color w:val="auto"/>
          <w:sz w:val="24"/>
          <w:szCs w:val="24"/>
          <w:highlight w:val="none"/>
          <w:lang w:bidi="bo-CN"/>
        </w:rPr>
      </w:pPr>
      <w:r>
        <w:rPr>
          <w:rFonts w:hint="eastAsia" w:ascii="宋体" w:hAnsi="宋体" w:eastAsia="宋体" w:cs="宋体"/>
          <w:b/>
          <w:color w:val="auto"/>
          <w:sz w:val="24"/>
          <w:szCs w:val="24"/>
          <w:highlight w:val="none"/>
        </w:rPr>
        <w:t xml:space="preserve">2.3 </w:t>
      </w:r>
      <w:r>
        <w:rPr>
          <w:rFonts w:hint="eastAsia" w:ascii="宋体" w:hAnsi="宋体" w:eastAsia="宋体" w:cs="宋体"/>
          <w:b/>
          <w:color w:val="auto"/>
          <w:sz w:val="24"/>
          <w:szCs w:val="24"/>
          <w:highlight w:val="none"/>
          <w:lang w:bidi="bo-CN"/>
        </w:rPr>
        <w:t>档案整理技术要求</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bo-CN"/>
        </w:rPr>
        <w:t>（1）</w:t>
      </w:r>
      <w:r>
        <w:rPr>
          <w:rFonts w:hint="eastAsia" w:ascii="宋体" w:hAnsi="宋体" w:eastAsia="宋体" w:cs="宋体"/>
          <w:color w:val="auto"/>
          <w:sz w:val="24"/>
          <w:szCs w:val="24"/>
          <w:highlight w:val="none"/>
        </w:rPr>
        <w:t>根据不同门类的档案按照相关的标准和规范进行分类、组卷，不动产登记档案按每一次不动产登记行为所产生的材料组为一卷，其它类档案按照</w:t>
      </w:r>
      <w:r>
        <w:rPr>
          <w:rFonts w:hint="eastAsia" w:ascii="宋体" w:hAnsi="宋体" w:eastAsia="宋体" w:cs="宋体"/>
          <w:color w:val="auto"/>
          <w:sz w:val="24"/>
          <w:szCs w:val="24"/>
          <w:highlight w:val="none"/>
          <w:lang w:bidi="bo-CN"/>
        </w:rPr>
        <w:t>成都市国土资源局文件材料归档范围、分类方案和保管期限</w:t>
      </w:r>
      <w:r>
        <w:rPr>
          <w:rFonts w:hint="eastAsia" w:ascii="宋体" w:hAnsi="宋体" w:eastAsia="宋体" w:cs="宋体"/>
          <w:color w:val="auto"/>
          <w:sz w:val="24"/>
          <w:szCs w:val="24"/>
          <w:highlight w:val="none"/>
        </w:rPr>
        <w:t>进行组卷；</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（2）按照规定的文件顺序进行前后放置，不得错放；</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（3）档案整理过程中不得改变原始资料纸质载体的原貌，不得损坏原载体和字迹及其他历史痕迹，不得造成文字信息和其他历史痕迹的位移、消褪扩散；</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（4）取掉每份文件的钢钉和其它金属装订物；</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（5）档案装订为三孔一线装订，图件档案按A4尺寸进行风琴式折叠，档案装订不得压字和掉页。</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（6）档案页码用专业的自动打号机进行打印，不得错打、漏打；</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（7）档案的案卷号和归档号由采购人编排和提供，服务方不得擅自改动；</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bidi="bo-CN"/>
        </w:rPr>
        <w:t>档案盒面和脊背信息采用规范的数码章加盖，不能手写。</w:t>
      </w:r>
    </w:p>
    <w:p>
      <w:pPr>
        <w:keepNext w:val="0"/>
        <w:keepLines w:val="0"/>
        <w:pageBreakBefore w:val="0"/>
        <w:widowControl w:val="0"/>
        <w:kinsoku/>
        <w:wordWrap/>
        <w:overflowPunct/>
        <w:topLinePunct w:val="0"/>
        <w:autoSpaceDE/>
        <w:autoSpaceDN/>
        <w:bidi w:val="0"/>
        <w:adjustRightInd w:val="0"/>
        <w:spacing w:line="360" w:lineRule="auto"/>
        <w:ind w:firstLine="482" w:firstLineChars="200"/>
        <w:jc w:val="both"/>
        <w:textAlignment w:val="auto"/>
        <w:rPr>
          <w:rFonts w:hint="eastAsia" w:ascii="宋体" w:hAnsi="宋体" w:eastAsia="宋体" w:cs="宋体"/>
          <w:b/>
          <w:color w:val="auto"/>
          <w:sz w:val="24"/>
          <w:szCs w:val="24"/>
          <w:highlight w:val="none"/>
          <w:lang w:bidi="bo-CN"/>
        </w:rPr>
      </w:pPr>
      <w:r>
        <w:rPr>
          <w:rFonts w:hint="eastAsia" w:ascii="宋体" w:hAnsi="宋体" w:eastAsia="宋体" w:cs="宋体"/>
          <w:b/>
          <w:color w:val="auto"/>
          <w:sz w:val="24"/>
          <w:szCs w:val="24"/>
          <w:highlight w:val="none"/>
        </w:rPr>
        <w:t>2.4</w:t>
      </w:r>
      <w:r>
        <w:rPr>
          <w:rFonts w:hint="eastAsia" w:ascii="宋体" w:hAnsi="宋体" w:eastAsia="宋体" w:cs="宋体"/>
          <w:b/>
          <w:color w:val="auto"/>
          <w:sz w:val="24"/>
          <w:szCs w:val="24"/>
          <w:highlight w:val="none"/>
          <w:lang w:bidi="bo-CN"/>
        </w:rPr>
        <w:t xml:space="preserve"> 档案著录技术要求 </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bo-CN"/>
        </w:rPr>
        <w:t>（1）不动产登记档案著录依照《</w:t>
      </w:r>
      <w:r>
        <w:rPr>
          <w:rFonts w:hint="eastAsia" w:ascii="宋体" w:hAnsi="宋体" w:eastAsia="宋体" w:cs="宋体"/>
          <w:color w:val="auto"/>
          <w:sz w:val="24"/>
          <w:szCs w:val="24"/>
          <w:highlight w:val="none"/>
        </w:rPr>
        <w:t>成都市不动产登记档案管理办法（试行）》中的著录要求进行档案属性著录。</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bo-CN"/>
        </w:rPr>
        <w:t>（2）其它类档案著录依照</w:t>
      </w:r>
      <w:r>
        <w:rPr>
          <w:rFonts w:hint="eastAsia" w:ascii="宋体" w:hAnsi="宋体" w:eastAsia="宋体" w:cs="宋体"/>
          <w:color w:val="auto"/>
          <w:sz w:val="24"/>
          <w:szCs w:val="24"/>
          <w:highlight w:val="none"/>
        </w:rPr>
        <w:t>不同门类档案</w:t>
      </w:r>
      <w:r>
        <w:rPr>
          <w:rFonts w:hint="eastAsia" w:ascii="宋体" w:hAnsi="宋体" w:eastAsia="宋体" w:cs="宋体"/>
          <w:color w:val="auto"/>
          <w:sz w:val="24"/>
          <w:szCs w:val="24"/>
          <w:highlight w:val="none"/>
          <w:lang w:bidi="bo-CN"/>
        </w:rPr>
        <w:t>著录的</w:t>
      </w:r>
      <w:r>
        <w:rPr>
          <w:rFonts w:hint="eastAsia" w:ascii="宋体" w:hAnsi="宋体" w:eastAsia="宋体" w:cs="宋体"/>
          <w:color w:val="auto"/>
          <w:sz w:val="24"/>
          <w:szCs w:val="24"/>
          <w:highlight w:val="none"/>
        </w:rPr>
        <w:t>相关标准和规范进行档案属性著录。</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（3）案卷目录著录内容主要包括：立档单位（全宗号）、档案类别（分类号）、不动产权证号、不动产单元号、权利人、身份证号、坐落、起止日期、文件件数、页数、年度、保管期限、案卷号、密级等。</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（4）卷内文件著录内容主要包括：不动产单元号、分类号、保管期限、年度、案卷号、顺序号、文号、责任者、题名、日期、页号、备注等。</w:t>
      </w:r>
    </w:p>
    <w:p>
      <w:pPr>
        <w:keepNext w:val="0"/>
        <w:keepLines w:val="0"/>
        <w:pageBreakBefore w:val="0"/>
        <w:widowControl w:val="0"/>
        <w:kinsoku/>
        <w:wordWrap/>
        <w:overflowPunct/>
        <w:topLinePunct w:val="0"/>
        <w:autoSpaceDE/>
        <w:autoSpaceDN/>
        <w:bidi w:val="0"/>
        <w:adjustRightInd w:val="0"/>
        <w:spacing w:line="360" w:lineRule="auto"/>
        <w:ind w:firstLine="482" w:firstLineChars="200"/>
        <w:jc w:val="both"/>
        <w:textAlignment w:val="auto"/>
        <w:rPr>
          <w:rFonts w:hint="eastAsia" w:ascii="宋体" w:hAnsi="宋体" w:eastAsia="宋体" w:cs="宋体"/>
          <w:b/>
          <w:color w:val="auto"/>
          <w:sz w:val="24"/>
          <w:szCs w:val="24"/>
          <w:highlight w:val="none"/>
          <w:lang w:bidi="bo-CN"/>
        </w:rPr>
      </w:pPr>
      <w:r>
        <w:rPr>
          <w:rFonts w:hint="eastAsia" w:ascii="宋体" w:hAnsi="宋体" w:eastAsia="宋体" w:cs="宋体"/>
          <w:b/>
          <w:color w:val="auto"/>
          <w:sz w:val="24"/>
          <w:szCs w:val="24"/>
          <w:highlight w:val="none"/>
        </w:rPr>
        <w:t xml:space="preserve">2.5 </w:t>
      </w:r>
      <w:r>
        <w:rPr>
          <w:rFonts w:hint="eastAsia" w:ascii="宋体" w:hAnsi="宋体" w:eastAsia="宋体" w:cs="宋体"/>
          <w:b/>
          <w:color w:val="auto"/>
          <w:sz w:val="24"/>
          <w:szCs w:val="24"/>
          <w:highlight w:val="none"/>
          <w:lang w:bidi="bo-CN"/>
        </w:rPr>
        <w:t>档案整理质量要求</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b/>
          <w:color w:val="auto"/>
          <w:sz w:val="24"/>
          <w:szCs w:val="24"/>
          <w:highlight w:val="none"/>
          <w:lang w:bidi="bo-CN"/>
        </w:rPr>
      </w:pPr>
      <w:r>
        <w:rPr>
          <w:rFonts w:hint="eastAsia" w:ascii="宋体" w:hAnsi="宋体" w:eastAsia="宋体" w:cs="宋体"/>
          <w:color w:val="auto"/>
          <w:sz w:val="24"/>
          <w:szCs w:val="24"/>
          <w:highlight w:val="none"/>
          <w:lang w:bidi="bo-CN"/>
        </w:rPr>
        <w:t>档案整理质量符合国家及《成都市国土资源局文件材料归档范围、分类方案和保管期限》、《</w:t>
      </w:r>
      <w:r>
        <w:rPr>
          <w:rFonts w:hint="eastAsia" w:ascii="宋体" w:hAnsi="宋体" w:eastAsia="宋体" w:cs="宋体"/>
          <w:color w:val="auto"/>
          <w:sz w:val="24"/>
          <w:szCs w:val="24"/>
          <w:highlight w:val="none"/>
        </w:rPr>
        <w:t>成都市不动产登记档案管理办法（试行）</w:t>
      </w:r>
      <w:r>
        <w:rPr>
          <w:rFonts w:hint="eastAsia" w:ascii="宋体" w:hAnsi="宋体" w:eastAsia="宋体" w:cs="宋体"/>
          <w:color w:val="auto"/>
          <w:sz w:val="24"/>
          <w:szCs w:val="24"/>
          <w:highlight w:val="none"/>
          <w:lang w:bidi="bo-CN"/>
        </w:rPr>
        <w:t>》的技术规范要求。</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 档案数字化处理服务内容</w:t>
      </w:r>
      <w:r>
        <w:rPr>
          <w:rFonts w:hint="eastAsia" w:ascii="宋体" w:hAnsi="宋体" w:eastAsia="宋体" w:cs="宋体"/>
          <w:b/>
          <w:color w:val="auto"/>
          <w:sz w:val="24"/>
          <w:szCs w:val="24"/>
          <w:highlight w:val="none"/>
          <w:lang w:bidi="bo-CN"/>
        </w:rPr>
        <w:t>及技术</w:t>
      </w:r>
      <w:r>
        <w:rPr>
          <w:rFonts w:hint="eastAsia" w:ascii="宋体" w:hAnsi="宋体" w:eastAsia="宋体" w:cs="宋体"/>
          <w:b/>
          <w:color w:val="auto"/>
          <w:sz w:val="24"/>
          <w:szCs w:val="24"/>
          <w:highlight w:val="none"/>
        </w:rPr>
        <w:t>要求</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3.1 档案数字化处理服务内容</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bidi="bo-CN"/>
        </w:rPr>
        <w:t>（1）档案扫描前整理；</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（2）全文扫描（禁用拍照方式）；</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 xml:space="preserve">（3）图像处理（包括：背透处理、清晰度调整、去污、裁边、纠偏等）； </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（4）图像质检及存储；</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（5）档案扫描数据分件；</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 xml:space="preserve">（6）目录建库； </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（7）数据入库、挂接到</w:t>
      </w:r>
      <w:r>
        <w:rPr>
          <w:rFonts w:hint="eastAsia" w:ascii="宋体" w:hAnsi="宋体" w:eastAsia="宋体" w:cs="宋体"/>
          <w:color w:val="auto"/>
          <w:sz w:val="24"/>
          <w:szCs w:val="24"/>
          <w:highlight w:val="none"/>
        </w:rPr>
        <w:t>成都市不动产登记信息管理基础平台和</w:t>
      </w:r>
      <w:r>
        <w:rPr>
          <w:rFonts w:hint="eastAsia" w:ascii="宋体" w:hAnsi="宋体" w:eastAsia="宋体" w:cs="宋体"/>
          <w:color w:val="auto"/>
          <w:sz w:val="24"/>
          <w:szCs w:val="24"/>
          <w:highlight w:val="none"/>
          <w:lang w:bidi="bo-CN"/>
        </w:rPr>
        <w:t>国土资源档案管理系统中（全文扫描文件按入库一次，挂接两次方式，即案卷目录下挂接一次，卷内文件目录下挂接一次，实现案卷或卷内文件检索时都可以浏览对应的全文图片）；</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（8）档案还原装订，档案装盒入库上架；</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（9）提交档案成果备份数据光盘一式三套。</w:t>
      </w:r>
    </w:p>
    <w:p>
      <w:pPr>
        <w:keepNext w:val="0"/>
        <w:keepLines w:val="0"/>
        <w:pageBreakBefore w:val="0"/>
        <w:widowControl w:val="0"/>
        <w:kinsoku/>
        <w:wordWrap/>
        <w:overflowPunct/>
        <w:topLinePunct w:val="0"/>
        <w:autoSpaceDE/>
        <w:autoSpaceDN/>
        <w:bidi w:val="0"/>
        <w:adjustRightInd w:val="0"/>
        <w:spacing w:line="360" w:lineRule="auto"/>
        <w:ind w:firstLine="482" w:firstLineChars="200"/>
        <w:jc w:val="both"/>
        <w:textAlignment w:val="auto"/>
        <w:rPr>
          <w:rFonts w:hint="eastAsia" w:ascii="宋体" w:hAnsi="宋体" w:eastAsia="宋体" w:cs="宋体"/>
          <w:b/>
          <w:color w:val="auto"/>
          <w:sz w:val="24"/>
          <w:szCs w:val="24"/>
          <w:highlight w:val="none"/>
          <w:lang w:bidi="bo-CN"/>
        </w:rPr>
      </w:pPr>
      <w:bookmarkStart w:id="350" w:name="_Toc319498531"/>
      <w:bookmarkStart w:id="351" w:name="_Toc314398357"/>
      <w:r>
        <w:rPr>
          <w:rFonts w:hint="eastAsia" w:ascii="宋体" w:hAnsi="宋体" w:eastAsia="宋体" w:cs="宋体"/>
          <w:b/>
          <w:color w:val="auto"/>
          <w:sz w:val="24"/>
          <w:szCs w:val="24"/>
          <w:highlight w:val="none"/>
        </w:rPr>
        <w:t xml:space="preserve">3.2 </w:t>
      </w:r>
      <w:r>
        <w:rPr>
          <w:rFonts w:hint="eastAsia" w:ascii="宋体" w:hAnsi="宋体" w:eastAsia="宋体" w:cs="宋体"/>
          <w:b/>
          <w:color w:val="auto"/>
          <w:sz w:val="24"/>
          <w:szCs w:val="24"/>
          <w:highlight w:val="none"/>
          <w:lang w:bidi="bo-CN"/>
        </w:rPr>
        <w:t>档案数字化处理技术要求</w:t>
      </w:r>
      <w:bookmarkEnd w:id="350"/>
      <w:bookmarkEnd w:id="351"/>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1）满足《纸质档案数字化技术规范》DA/T31-2017国家规范中关于质量指标的所有要求，比如背透、清晰度、失真度、去污、裁边、纠偏等各项指标。进行分幅数字化的超大幅面图纸要进行图像拼接，且做到信息完整。</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（2）彩色扫描，JPEG格式，光学分辨率不低于200dpi，图像品质高，色彩位数不低于24位。图像为扫描所得、不得为通过软件运算加工所得。</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（3）对扫描过程中出现的偏斜图像进行整体纠正，保证数字图像偏斜不超过正负0.5度。</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（4）失真度，确保扫描件与原稿件在线条、色彩上一致，不扭曲、不走样、不偏色、不过曝等，对原稿文字纤细、模糊或与背景对比不明显的文字应通过调整扫描参数加以改善。</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（5）去污</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扫描图像的去污，在遵循不影响可识度的前提下，用机器或人工去除数字图像中影响可识度及原貌的杂质。如去除黑边、边界污点、装订孔、人为污秽等。</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（6）裁边指标</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对于扫描图像多余的空白区域应进行裁剪，但不得裁剪档案有效内容。（包括文字、图像、表格、印章、标点符号等）裁剪后的有效内容应上下左右居中。</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（7）平整指标</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扫描时，应对原稿皱纹、卷角、折痕应先进行人工平整，在进行扫描，确保文字图表的原貌和可识读。</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（8）去网纹</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若扫描件上有网纹，应采取措施去除网纹。</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（9）像素宽度（标准A4幅面）：1650像素；像素高度：2340像素(允许误差5%)。</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（10）图像文件大小：单个标准A4幅面的文件≤500K。</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（11）扫描文件命名规则与存储结构</w:t>
      </w:r>
      <w:r>
        <w:rPr>
          <w:rFonts w:hint="eastAsia" w:ascii="宋体" w:hAnsi="宋体" w:eastAsia="宋体" w:cs="宋体"/>
          <w:color w:val="auto"/>
          <w:sz w:val="24"/>
          <w:szCs w:val="24"/>
          <w:highlight w:val="none"/>
          <w:lang w:bidi="bo-CN"/>
        </w:rPr>
        <w:t>按照《纸质档案数字化技术规范》 DA/T31-2017关于存量档案全文文件存储的基本要求，对全文文件存储的末级目录及文件名要求如下：</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1）全文文件的末级子目录名称，必须是该全文文件对应的文件级档号；多页文件时分页存储。</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2）全文文件的文件名按本件文件的页码顺序号顺次分配，文件名前缀长度4位，不足4位用前导0补齐。</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bo-CN"/>
        </w:rPr>
        <w:t>3）案卷号文件夹命名为5位阿拉伯数字，不足5位前面补零。卷内文件每一个顺序号视为一份文件，为末级子目录，以顺序号命名，文件夹名字为3位阿拉伯数字，不足3位前面补零。每份档案数据文件名用阿拉伯数字表示，如果档案卷中该文件已打码，应和档案卷中的打码号保持一致，文件名前缀4位，不足4位前面补零。</w:t>
      </w:r>
    </w:p>
    <w:p>
      <w:pPr>
        <w:keepNext w:val="0"/>
        <w:keepLines w:val="0"/>
        <w:pageBreakBefore w:val="0"/>
        <w:widowControl w:val="0"/>
        <w:kinsoku/>
        <w:wordWrap/>
        <w:overflowPunct/>
        <w:topLinePunct w:val="0"/>
        <w:autoSpaceDE/>
        <w:autoSpaceDN/>
        <w:bidi w:val="0"/>
        <w:adjustRightInd w:val="0"/>
        <w:spacing w:line="360" w:lineRule="auto"/>
        <w:ind w:firstLine="482" w:firstLineChars="200"/>
        <w:jc w:val="both"/>
        <w:textAlignment w:val="auto"/>
        <w:rPr>
          <w:rFonts w:hint="eastAsia" w:ascii="宋体" w:hAnsi="宋体" w:eastAsia="宋体" w:cs="宋体"/>
          <w:b/>
          <w:color w:val="auto"/>
          <w:sz w:val="24"/>
          <w:szCs w:val="24"/>
          <w:highlight w:val="none"/>
          <w:lang w:bidi="bo-CN"/>
        </w:rPr>
      </w:pPr>
      <w:bookmarkStart w:id="352" w:name="_Toc319498532"/>
      <w:r>
        <w:rPr>
          <w:rFonts w:hint="eastAsia" w:ascii="宋体" w:hAnsi="宋体" w:eastAsia="宋体" w:cs="宋体"/>
          <w:b/>
          <w:color w:val="auto"/>
          <w:sz w:val="24"/>
          <w:szCs w:val="24"/>
          <w:highlight w:val="none"/>
        </w:rPr>
        <w:t xml:space="preserve">3.3 </w:t>
      </w:r>
      <w:r>
        <w:rPr>
          <w:rFonts w:hint="eastAsia" w:ascii="宋体" w:hAnsi="宋体" w:eastAsia="宋体" w:cs="宋体"/>
          <w:b/>
          <w:color w:val="auto"/>
          <w:sz w:val="24"/>
          <w:szCs w:val="24"/>
          <w:highlight w:val="none"/>
          <w:lang w:bidi="bo-CN"/>
        </w:rPr>
        <w:t>档案数字化扫描质量控制技术指标（7大类18个质检指标）</w:t>
      </w:r>
      <w:bookmarkEnd w:id="352"/>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（1）准确性指标</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A.文件链接准确率：100%</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B.卷(盒)级页数准确率：100%</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C.文件级页数准确率：100%</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D.卷-件链接准确率：100%</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（2）像素指标</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A.像素宽度上限正确率：97%</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B.像素宽度下限正确率：97%</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C.像素高度上限正确率：97%</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D.像素高度下限正确率：97%</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E.非标图片像素宽度正确率：97%</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F.非标图片像素高度正确率：97%</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（3）分辨率指标</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A.水平分辨率正确率：100%</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B.垂直分辨率正确率：100%</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（4）存储容量指标</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大小正确率（折标A4，上限20%，下限2%）：97%</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（5）全文有效性指标</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系统标志位正确率：100%</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（6）DAT31-2005命名规则指标</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A.末级档号目录正确率：100%</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B.文件名前缀正确率（4位件流水）：100%</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C.文件名后缀正确率：100%</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（7）挂接正确性指标</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A.文件挂接层次正确率（存量5级，非存量4级）：100%</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对每批提交的数据均需提交上述质量控制技术指标的质检报告。</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rPr>
          <w:rFonts w:hint="eastAsia" w:ascii="宋体" w:hAnsi="宋体" w:eastAsia="宋体" w:cs="宋体"/>
          <w:b/>
          <w:color w:val="auto"/>
          <w:sz w:val="24"/>
          <w:szCs w:val="24"/>
          <w:highlight w:val="none"/>
        </w:rPr>
      </w:pPr>
      <w:bookmarkStart w:id="353" w:name="_Toc471158211"/>
      <w:r>
        <w:rPr>
          <w:rFonts w:hint="eastAsia" w:ascii="宋体" w:hAnsi="宋体" w:eastAsia="宋体" w:cs="宋体"/>
          <w:b/>
          <w:color w:val="auto"/>
          <w:sz w:val="24"/>
          <w:szCs w:val="24"/>
          <w:highlight w:val="none"/>
        </w:rPr>
        <w:t>3.4 数据挂接要求</w:t>
      </w:r>
      <w:bookmarkEnd w:id="353"/>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中标人派驻技术人员长期进驻采购人指定地点开展工作。每周从不动产登记中心接收档案后及时开展整理和数字化加工工作，定期将整理完成的档案上架，每周将所完成的数字化加工数据成果入库挂接到成都市不动产登记信息管理基础平台，定期批量入库挂接到国土资源档案管理系统。</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挂接前首先确保在系统中录入的档案案卷条目和卷内条目字段完整、内容准确，图片顺序号与档案页号一致。如对电子条目进行了修改，需修改相应实体档案的纸质目录。挂接顺序为先案卷后卷内，卷内挂接采用关联案卷全文的方法进行挂接，确保挂接后的全文与目录一致、与实体档案一致，不得出现错位和张冠李戴的现象。</w:t>
      </w:r>
    </w:p>
    <w:p>
      <w:pPr>
        <w:keepNext w:val="0"/>
        <w:keepLines w:val="0"/>
        <w:pageBreakBefore w:val="0"/>
        <w:widowControl w:val="0"/>
        <w:numPr>
          <w:ilvl w:val="0"/>
          <w:numId w:val="5"/>
        </w:numPr>
        <w:kinsoku/>
        <w:wordWrap/>
        <w:overflowPunct/>
        <w:topLinePunct w:val="0"/>
        <w:autoSpaceDE/>
        <w:autoSpaceDN/>
        <w:bidi w:val="0"/>
        <w:snapToGrid/>
        <w:spacing w:line="360" w:lineRule="auto"/>
        <w:ind w:firstLine="482" w:firstLineChars="200"/>
        <w:jc w:val="both"/>
        <w:textAlignment w:val="auto"/>
        <w:rPr>
          <w:rFonts w:hint="eastAsia" w:ascii="宋体" w:hAnsi="宋体" w:eastAsia="宋体" w:cs="宋体"/>
          <w:b/>
          <w:color w:val="auto"/>
          <w:sz w:val="24"/>
          <w:szCs w:val="24"/>
          <w:highlight w:val="none"/>
        </w:rPr>
      </w:pPr>
      <w:bookmarkStart w:id="354" w:name="_Toc319498533"/>
      <w:r>
        <w:rPr>
          <w:rFonts w:hint="eastAsia" w:ascii="宋体" w:hAnsi="宋体" w:eastAsia="宋体" w:cs="宋体"/>
          <w:b/>
          <w:color w:val="auto"/>
          <w:sz w:val="24"/>
          <w:szCs w:val="24"/>
          <w:highlight w:val="none"/>
        </w:rPr>
        <w:t>验收标准和方法</w:t>
      </w:r>
    </w:p>
    <w:p>
      <w:pPr>
        <w:pStyle w:val="34"/>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eastAsia="宋体"/>
          <w:color w:val="auto"/>
          <w:highlight w:val="none"/>
          <w:lang w:eastAsia="zh-CN"/>
        </w:rPr>
      </w:pPr>
      <w:r>
        <w:rPr>
          <w:rFonts w:hint="eastAsia"/>
          <w:color w:val="auto"/>
          <w:highlight w:val="none"/>
        </w:rPr>
        <w:t>本项目严格按照《财政部关于进一步加强政府采购需求和履约验收管理的指导意见》(财</w:t>
      </w:r>
      <w:r>
        <w:rPr>
          <w:rFonts w:hint="eastAsia" w:ascii="宋体" w:hAnsi="宋体" w:eastAsia="宋体" w:cs="宋体"/>
          <w:color w:val="auto"/>
          <w:highlight w:val="none"/>
        </w:rPr>
        <w:t>库〔2016〕205 号)、《四川省政府采购项目需求论证和履约验收管理办法》(川财采〔2015〕32 号)的要求</w:t>
      </w:r>
      <w:r>
        <w:rPr>
          <w:rFonts w:hint="eastAsia" w:ascii="宋体" w:hAnsi="宋体" w:eastAsia="宋体" w:cs="宋体"/>
          <w:color w:val="auto"/>
          <w:highlight w:val="none"/>
          <w:lang w:eastAsia="zh-CN"/>
        </w:rPr>
        <w:t>进行验收。</w:t>
      </w:r>
    </w:p>
    <w:p>
      <w:pPr>
        <w:keepNext w:val="0"/>
        <w:keepLines w:val="0"/>
        <w:pageBreakBefore w:val="0"/>
        <w:widowControl w:val="0"/>
        <w:kinsoku/>
        <w:wordWrap/>
        <w:overflowPunct/>
        <w:topLinePunct w:val="0"/>
        <w:autoSpaceDE/>
        <w:autoSpaceDN/>
        <w:bidi w:val="0"/>
        <w:spacing w:line="360" w:lineRule="auto"/>
        <w:ind w:firstLine="482" w:firstLineChars="20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4.1 验收标准</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（1）满足招标文件全部服务内容要求；</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（2）符合</w:t>
      </w:r>
      <w:r>
        <w:rPr>
          <w:rFonts w:hint="eastAsia" w:ascii="宋体" w:hAnsi="宋体" w:eastAsia="宋体" w:cs="宋体"/>
          <w:color w:val="auto"/>
          <w:sz w:val="24"/>
          <w:szCs w:val="24"/>
          <w:highlight w:val="none"/>
          <w:lang w:bidi="bo-CN"/>
        </w:rPr>
        <w:t>《</w:t>
      </w:r>
      <w:r>
        <w:rPr>
          <w:rFonts w:hint="eastAsia" w:ascii="宋体" w:hAnsi="宋体" w:eastAsia="宋体" w:cs="宋体"/>
          <w:color w:val="auto"/>
          <w:sz w:val="24"/>
          <w:szCs w:val="24"/>
          <w:highlight w:val="none"/>
        </w:rPr>
        <w:t>成都市不动产登记档案管理办法（试行）</w:t>
      </w:r>
      <w:r>
        <w:rPr>
          <w:rFonts w:hint="eastAsia" w:ascii="宋体" w:hAnsi="宋体" w:eastAsia="宋体" w:cs="宋体"/>
          <w:color w:val="auto"/>
          <w:sz w:val="24"/>
          <w:szCs w:val="24"/>
          <w:highlight w:val="none"/>
          <w:lang w:bidi="bo-CN"/>
        </w:rPr>
        <w:t>》</w:t>
      </w:r>
      <w:r>
        <w:rPr>
          <w:rFonts w:hint="eastAsia" w:ascii="宋体" w:hAnsi="宋体" w:eastAsia="宋体" w:cs="宋体"/>
          <w:color w:val="auto"/>
          <w:sz w:val="24"/>
          <w:szCs w:val="24"/>
          <w:highlight w:val="none"/>
        </w:rPr>
        <w:t>的要求；</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（3）档案整理合格率不低于99%；</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（4）档案条目录入正确率不低于98%；</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（5）档案数字化处理图像合格率不低于97%；</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（6）档案系统数据库建库正确率，即目录的完整性、全文的完整性和目录全文的命名、存储结构、对应关系正确率100%。</w:t>
      </w:r>
    </w:p>
    <w:p>
      <w:pPr>
        <w:keepNext w:val="0"/>
        <w:keepLines w:val="0"/>
        <w:pageBreakBefore w:val="0"/>
        <w:widowControl w:val="0"/>
        <w:kinsoku/>
        <w:wordWrap/>
        <w:overflowPunct/>
        <w:topLinePunct w:val="0"/>
        <w:autoSpaceDE/>
        <w:autoSpaceDN/>
        <w:bidi w:val="0"/>
        <w:spacing w:line="360" w:lineRule="auto"/>
        <w:ind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4.2 验收方法</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（1）中标人对项目质量首先进行全面自检，形成自检报告；</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（2）采购人对项目质量进行抽检，抽检率不低于5%，抽检不合格的，经中标人整改并全面自检后，采购人再次抽检，连续抽检三次都未能达到验收标准的，采购人有权视为最终验收不合格；</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（3）采购人抽检合格后，组织相关人员对项目进行全面验收，并形成《项目验收报告》；</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5、售后服务和培训计划要求</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b/>
          <w:color w:val="auto"/>
          <w:sz w:val="24"/>
          <w:szCs w:val="24"/>
          <w:highlight w:val="none"/>
        </w:rPr>
        <w:t>5.1</w:t>
      </w:r>
      <w:r>
        <w:rPr>
          <w:rFonts w:hint="eastAsia" w:ascii="宋体" w:hAnsi="宋体" w:eastAsia="宋体" w:cs="宋体"/>
          <w:color w:val="auto"/>
          <w:sz w:val="24"/>
          <w:szCs w:val="24"/>
          <w:highlight w:val="none"/>
        </w:rPr>
        <w:t>投标人须提供售后服务承诺书，售后服务要求质保期不少于1年，对质保期内项目质量问题、数据迁移、数据汇集、数据扩容、技术支持服务以及上门服务相应时间等作出售后服务承诺,并就服务的具体内容、措施、人员、服务网点等作出安排。</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5.2</w:t>
      </w:r>
      <w:r>
        <w:rPr>
          <w:rFonts w:hint="eastAsia" w:ascii="宋体" w:hAnsi="宋体" w:eastAsia="宋体" w:cs="宋体"/>
          <w:color w:val="auto"/>
          <w:sz w:val="24"/>
          <w:szCs w:val="24"/>
          <w:highlight w:val="none"/>
          <w:lang w:bidi="bo-CN"/>
        </w:rPr>
        <w:t>投标人须就采购人今后对项目数据成果的管理、使用制定培训计划，培</w:t>
      </w:r>
      <w:r>
        <w:rPr>
          <w:rFonts w:hint="eastAsia" w:ascii="宋体" w:hAnsi="宋体" w:eastAsia="宋体" w:cs="宋体"/>
          <w:bCs/>
          <w:color w:val="auto"/>
          <w:sz w:val="24"/>
          <w:szCs w:val="24"/>
          <w:highlight w:val="none"/>
        </w:rPr>
        <w:t>训计划应该包含培训内容、培训流程以及培训的具体安排。</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6. 商务要求</w:t>
      </w:r>
      <w:r>
        <w:rPr>
          <w:rFonts w:hint="eastAsia" w:ascii="宋体" w:hAnsi="宋体" w:eastAsia="宋体" w:cs="宋体"/>
          <w:b/>
          <w:color w:val="auto"/>
          <w:sz w:val="24"/>
          <w:szCs w:val="24"/>
          <w:highlight w:val="none"/>
          <w:lang w:eastAsia="zh-CN"/>
        </w:rPr>
        <w:t>（实质性要求）</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b/>
          <w:color w:val="auto"/>
          <w:sz w:val="24"/>
          <w:szCs w:val="24"/>
          <w:highlight w:val="none"/>
        </w:rPr>
        <w:t>6.1</w:t>
      </w:r>
      <w:r>
        <w:rPr>
          <w:rFonts w:hint="eastAsia" w:ascii="宋体" w:hAnsi="宋体" w:eastAsia="宋体" w:cs="宋体"/>
          <w:color w:val="auto"/>
          <w:sz w:val="24"/>
          <w:szCs w:val="24"/>
          <w:highlight w:val="none"/>
          <w:lang w:bidi="bo-CN"/>
        </w:rPr>
        <w:t>项目</w:t>
      </w:r>
      <w:r>
        <w:rPr>
          <w:rFonts w:hint="eastAsia" w:ascii="宋体" w:hAnsi="宋体" w:eastAsia="宋体" w:cs="宋体"/>
          <w:bCs/>
          <w:color w:val="auto"/>
          <w:sz w:val="24"/>
          <w:szCs w:val="24"/>
          <w:highlight w:val="none"/>
        </w:rPr>
        <w:t>报价：</w:t>
      </w:r>
      <w:r>
        <w:rPr>
          <w:rFonts w:hint="eastAsia" w:ascii="宋体" w:hAnsi="宋体" w:eastAsia="宋体" w:cs="宋体"/>
          <w:color w:val="auto"/>
          <w:sz w:val="24"/>
          <w:szCs w:val="24"/>
          <w:highlight w:val="none"/>
          <w:lang w:bidi="bo-CN"/>
        </w:rPr>
        <w:t xml:space="preserve"> </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本项目投标价格采用分项报单价,总价评分的方式。超出</w:t>
      </w:r>
      <w:r>
        <w:rPr>
          <w:rFonts w:hint="eastAsia" w:ascii="宋体" w:hAnsi="宋体" w:eastAsia="宋体" w:cs="宋体"/>
          <w:color w:val="auto"/>
          <w:sz w:val="24"/>
          <w:szCs w:val="24"/>
          <w:highlight w:val="none"/>
          <w:lang w:eastAsia="zh-CN" w:bidi="bo-CN"/>
        </w:rPr>
        <w:t>采购预算或</w:t>
      </w:r>
      <w:r>
        <w:rPr>
          <w:rFonts w:hint="eastAsia" w:ascii="宋体" w:hAnsi="宋体" w:eastAsia="宋体" w:cs="宋体"/>
          <w:color w:val="auto"/>
          <w:sz w:val="24"/>
          <w:szCs w:val="24"/>
          <w:highlight w:val="none"/>
          <w:lang w:bidi="bo-CN"/>
        </w:rPr>
        <w:t>最高限价的报价作为废标。见分项价格构成表：</w:t>
      </w:r>
    </w:p>
    <w:tbl>
      <w:tblPr>
        <w:tblStyle w:val="21"/>
        <w:tblpPr w:leftFromText="180" w:rightFromText="180" w:vertAnchor="text" w:horzAnchor="margin" w:tblpXSpec="center" w:tblpY="97"/>
        <w:tblOverlap w:val="never"/>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18"/>
        <w:gridCol w:w="1186"/>
        <w:gridCol w:w="757"/>
        <w:gridCol w:w="1817"/>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680" w:type="dxa"/>
            <w:gridSpan w:val="6"/>
            <w:noWrap w:val="0"/>
            <w:vAlign w:val="center"/>
          </w:tcPr>
          <w:p>
            <w:pPr>
              <w:spacing w:line="360" w:lineRule="auto"/>
              <w:jc w:val="center"/>
              <w:rPr>
                <w:rFonts w:hint="eastAsia" w:ascii="宋体" w:hAnsi="宋体" w:eastAsia="宋体" w:cs="宋体"/>
                <w:color w:val="auto"/>
                <w:sz w:val="24"/>
                <w:szCs w:val="24"/>
                <w:highlight w:val="none"/>
                <w:lang w:eastAsia="zh-CN" w:bidi="bo-CN"/>
              </w:rPr>
            </w:pPr>
            <w:r>
              <w:rPr>
                <w:rFonts w:hint="eastAsia" w:ascii="宋体" w:hAnsi="宋体" w:eastAsia="宋体" w:cs="宋体"/>
                <w:color w:val="auto"/>
                <w:sz w:val="24"/>
                <w:szCs w:val="24"/>
                <w:highlight w:val="none"/>
                <w:lang w:bidi="bo-CN"/>
              </w:rPr>
              <w:t>新增档案的预估数量</w:t>
            </w:r>
            <w:r>
              <w:rPr>
                <w:rFonts w:hint="eastAsia" w:ascii="宋体" w:hAnsi="宋体" w:eastAsia="宋体" w:cs="宋体"/>
                <w:color w:val="auto"/>
                <w:sz w:val="24"/>
                <w:szCs w:val="24"/>
                <w:highlight w:val="none"/>
                <w:lang w:eastAsia="zh-CN" w:bidi="bo-CN"/>
              </w:rPr>
              <w:t>（分项报价）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noWrap w:val="0"/>
            <w:vAlign w:val="top"/>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序号</w:t>
            </w:r>
          </w:p>
        </w:tc>
        <w:tc>
          <w:tcPr>
            <w:tcW w:w="3218" w:type="dxa"/>
            <w:noWrap w:val="0"/>
            <w:vAlign w:val="top"/>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分项名称</w:t>
            </w:r>
          </w:p>
        </w:tc>
        <w:tc>
          <w:tcPr>
            <w:tcW w:w="1186" w:type="dxa"/>
            <w:noWrap w:val="0"/>
            <w:vAlign w:val="top"/>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数量</w:t>
            </w:r>
          </w:p>
        </w:tc>
        <w:tc>
          <w:tcPr>
            <w:tcW w:w="757" w:type="dxa"/>
            <w:noWrap w:val="0"/>
            <w:vAlign w:val="top"/>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单位</w:t>
            </w:r>
          </w:p>
        </w:tc>
        <w:tc>
          <w:tcPr>
            <w:tcW w:w="1817" w:type="dxa"/>
            <w:noWrap w:val="0"/>
            <w:vAlign w:val="top"/>
          </w:tcPr>
          <w:p>
            <w:pPr>
              <w:spacing w:line="360" w:lineRule="auto"/>
              <w:jc w:val="center"/>
              <w:rPr>
                <w:rFonts w:hint="default" w:ascii="宋体" w:hAnsi="宋体" w:eastAsia="宋体" w:cs="宋体"/>
                <w:color w:val="auto"/>
                <w:sz w:val="24"/>
                <w:szCs w:val="24"/>
                <w:highlight w:val="none"/>
                <w:lang w:val="en-US" w:eastAsia="zh-CN" w:bidi="bo-CN"/>
              </w:rPr>
            </w:pPr>
            <w:r>
              <w:rPr>
                <w:rFonts w:hint="eastAsia" w:ascii="宋体" w:hAnsi="宋体" w:eastAsia="宋体" w:cs="宋体"/>
                <w:color w:val="auto"/>
                <w:sz w:val="24"/>
                <w:szCs w:val="24"/>
                <w:highlight w:val="none"/>
                <w:lang w:eastAsia="zh-CN" w:bidi="bo-CN"/>
              </w:rPr>
              <w:t>单价（元）</w:t>
            </w:r>
          </w:p>
        </w:tc>
        <w:tc>
          <w:tcPr>
            <w:tcW w:w="1885" w:type="dxa"/>
            <w:noWrap w:val="0"/>
            <w:vAlign w:val="top"/>
          </w:tcPr>
          <w:p>
            <w:pPr>
              <w:spacing w:line="360" w:lineRule="auto"/>
              <w:jc w:val="center"/>
              <w:rPr>
                <w:rFonts w:hint="eastAsia" w:ascii="宋体" w:hAnsi="宋体" w:eastAsia="宋体" w:cs="宋体"/>
                <w:b/>
                <w:bCs/>
                <w:color w:val="auto"/>
                <w:sz w:val="24"/>
                <w:szCs w:val="24"/>
                <w:highlight w:val="none"/>
                <w:lang w:bidi="bo-CN"/>
              </w:rPr>
            </w:pPr>
            <w:r>
              <w:rPr>
                <w:rFonts w:hint="eastAsia" w:ascii="宋体" w:hAnsi="宋体" w:eastAsia="宋体" w:cs="宋体"/>
                <w:color w:val="auto"/>
                <w:sz w:val="24"/>
                <w:szCs w:val="24"/>
                <w:highlight w:val="none"/>
                <w:lang w:bidi="bo-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1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1</w:t>
            </w:r>
          </w:p>
        </w:tc>
        <w:tc>
          <w:tcPr>
            <w:tcW w:w="3218" w:type="dxa"/>
            <w:noWrap w:val="0"/>
            <w:vAlign w:val="center"/>
          </w:tcPr>
          <w:p>
            <w:pPr>
              <w:spacing w:line="360" w:lineRule="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不动产登记档案整理</w:t>
            </w:r>
          </w:p>
        </w:tc>
        <w:tc>
          <w:tcPr>
            <w:tcW w:w="1186"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r>
              <w:rPr>
                <w:rFonts w:hint="eastAsia" w:ascii="宋体" w:hAnsi="宋体" w:eastAsia="宋体" w:cs="宋体"/>
                <w:color w:val="auto"/>
                <w:sz w:val="24"/>
                <w:szCs w:val="24"/>
                <w:highlight w:val="none"/>
                <w:lang w:val="en-US" w:eastAsia="zh-CN" w:bidi="bo-CN"/>
              </w:rPr>
              <w:t>1</w:t>
            </w:r>
            <w:r>
              <w:rPr>
                <w:rFonts w:hint="eastAsia" w:ascii="宋体" w:hAnsi="宋体" w:cs="宋体"/>
                <w:color w:val="auto"/>
                <w:sz w:val="24"/>
                <w:szCs w:val="24"/>
                <w:highlight w:val="none"/>
                <w:lang w:val="en-US" w:eastAsia="zh-CN" w:bidi="bo-CN"/>
              </w:rPr>
              <w:t>8</w:t>
            </w:r>
            <w:r>
              <w:rPr>
                <w:rFonts w:hint="eastAsia" w:ascii="宋体" w:hAnsi="宋体" w:eastAsia="宋体" w:cs="宋体"/>
                <w:color w:val="auto"/>
                <w:sz w:val="24"/>
                <w:szCs w:val="24"/>
                <w:highlight w:val="none"/>
                <w:lang w:val="en-US" w:eastAsia="zh-CN" w:bidi="bo-CN"/>
              </w:rPr>
              <w:t>0000</w:t>
            </w:r>
          </w:p>
        </w:tc>
        <w:tc>
          <w:tcPr>
            <w:tcW w:w="75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卷</w:t>
            </w:r>
          </w:p>
        </w:tc>
        <w:tc>
          <w:tcPr>
            <w:tcW w:w="1817"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p>
        </w:tc>
        <w:tc>
          <w:tcPr>
            <w:tcW w:w="1885"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1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2</w:t>
            </w:r>
          </w:p>
        </w:tc>
        <w:tc>
          <w:tcPr>
            <w:tcW w:w="3218" w:type="dxa"/>
            <w:noWrap w:val="0"/>
            <w:vAlign w:val="center"/>
          </w:tcPr>
          <w:p>
            <w:pPr>
              <w:spacing w:line="360" w:lineRule="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不动产登记档案扫描</w:t>
            </w:r>
          </w:p>
        </w:tc>
        <w:tc>
          <w:tcPr>
            <w:tcW w:w="1186"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r>
              <w:rPr>
                <w:rFonts w:hint="eastAsia" w:ascii="宋体" w:hAnsi="宋体" w:eastAsia="宋体" w:cs="宋体"/>
                <w:color w:val="auto"/>
                <w:sz w:val="24"/>
                <w:szCs w:val="24"/>
                <w:highlight w:val="none"/>
                <w:lang w:val="en-US" w:eastAsia="zh-CN" w:bidi="bo-CN"/>
              </w:rPr>
              <w:t>5</w:t>
            </w:r>
            <w:r>
              <w:rPr>
                <w:rFonts w:hint="eastAsia" w:ascii="宋体" w:hAnsi="宋体" w:cs="宋体"/>
                <w:color w:val="auto"/>
                <w:sz w:val="24"/>
                <w:szCs w:val="24"/>
                <w:highlight w:val="none"/>
                <w:lang w:val="en-US" w:eastAsia="zh-CN" w:bidi="bo-CN"/>
              </w:rPr>
              <w:t>4</w:t>
            </w:r>
            <w:r>
              <w:rPr>
                <w:rFonts w:hint="eastAsia" w:ascii="宋体" w:hAnsi="宋体" w:eastAsia="宋体" w:cs="宋体"/>
                <w:color w:val="auto"/>
                <w:sz w:val="24"/>
                <w:szCs w:val="24"/>
                <w:highlight w:val="none"/>
                <w:lang w:val="en-US" w:eastAsia="zh-CN" w:bidi="bo-CN"/>
              </w:rPr>
              <w:t>00000</w:t>
            </w:r>
          </w:p>
        </w:tc>
        <w:tc>
          <w:tcPr>
            <w:tcW w:w="75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页</w:t>
            </w:r>
          </w:p>
        </w:tc>
        <w:tc>
          <w:tcPr>
            <w:tcW w:w="1817" w:type="dxa"/>
            <w:noWrap w:val="0"/>
            <w:vAlign w:val="center"/>
          </w:tcPr>
          <w:p>
            <w:pPr>
              <w:spacing w:line="360" w:lineRule="auto"/>
              <w:jc w:val="center"/>
              <w:rPr>
                <w:rFonts w:hint="eastAsia" w:ascii="宋体" w:hAnsi="宋体" w:eastAsia="宋体" w:cs="宋体"/>
                <w:color w:val="auto"/>
                <w:sz w:val="24"/>
                <w:szCs w:val="24"/>
                <w:highlight w:val="none"/>
                <w:lang w:bidi="bo-CN"/>
              </w:rPr>
            </w:pPr>
          </w:p>
        </w:tc>
        <w:tc>
          <w:tcPr>
            <w:tcW w:w="1885"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1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3</w:t>
            </w:r>
          </w:p>
        </w:tc>
        <w:tc>
          <w:tcPr>
            <w:tcW w:w="3218" w:type="dxa"/>
            <w:noWrap w:val="0"/>
            <w:vAlign w:val="center"/>
          </w:tcPr>
          <w:p>
            <w:pPr>
              <w:spacing w:line="360" w:lineRule="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不动产登记档案信息著录</w:t>
            </w:r>
          </w:p>
        </w:tc>
        <w:tc>
          <w:tcPr>
            <w:tcW w:w="1186"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val="en-US" w:eastAsia="zh-CN" w:bidi="bo-CN"/>
              </w:rPr>
              <w:t>1</w:t>
            </w:r>
            <w:r>
              <w:rPr>
                <w:rFonts w:hint="eastAsia" w:ascii="宋体" w:hAnsi="宋体" w:cs="宋体"/>
                <w:color w:val="auto"/>
                <w:sz w:val="24"/>
                <w:szCs w:val="24"/>
                <w:highlight w:val="none"/>
                <w:lang w:val="en-US" w:eastAsia="zh-CN" w:bidi="bo-CN"/>
              </w:rPr>
              <w:t>8</w:t>
            </w:r>
            <w:r>
              <w:rPr>
                <w:rFonts w:hint="eastAsia" w:ascii="宋体" w:hAnsi="宋体" w:eastAsia="宋体" w:cs="宋体"/>
                <w:color w:val="auto"/>
                <w:sz w:val="24"/>
                <w:szCs w:val="24"/>
                <w:highlight w:val="none"/>
                <w:lang w:val="en-US" w:eastAsia="zh-CN" w:bidi="bo-CN"/>
              </w:rPr>
              <w:t>0</w:t>
            </w:r>
            <w:r>
              <w:rPr>
                <w:rFonts w:hint="eastAsia" w:ascii="宋体" w:hAnsi="宋体" w:eastAsia="宋体" w:cs="宋体"/>
                <w:color w:val="auto"/>
                <w:sz w:val="24"/>
                <w:szCs w:val="24"/>
                <w:highlight w:val="none"/>
                <w:lang w:bidi="bo-CN"/>
              </w:rPr>
              <w:t>0000</w:t>
            </w:r>
          </w:p>
        </w:tc>
        <w:tc>
          <w:tcPr>
            <w:tcW w:w="75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条</w:t>
            </w:r>
          </w:p>
        </w:tc>
        <w:tc>
          <w:tcPr>
            <w:tcW w:w="1817" w:type="dxa"/>
            <w:noWrap w:val="0"/>
            <w:vAlign w:val="center"/>
          </w:tcPr>
          <w:p>
            <w:pPr>
              <w:spacing w:line="360" w:lineRule="auto"/>
              <w:jc w:val="center"/>
              <w:rPr>
                <w:rFonts w:hint="eastAsia" w:ascii="宋体" w:hAnsi="宋体" w:eastAsia="宋体" w:cs="宋体"/>
                <w:color w:val="auto"/>
                <w:sz w:val="24"/>
                <w:szCs w:val="24"/>
                <w:highlight w:val="none"/>
                <w:lang w:bidi="bo-CN"/>
              </w:rPr>
            </w:pPr>
          </w:p>
        </w:tc>
        <w:tc>
          <w:tcPr>
            <w:tcW w:w="1885"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1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4</w:t>
            </w:r>
          </w:p>
        </w:tc>
        <w:tc>
          <w:tcPr>
            <w:tcW w:w="3218" w:type="dxa"/>
            <w:noWrap w:val="0"/>
            <w:vAlign w:val="center"/>
          </w:tcPr>
          <w:p>
            <w:pPr>
              <w:spacing w:line="360" w:lineRule="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档案盒（5cm）</w:t>
            </w:r>
          </w:p>
        </w:tc>
        <w:tc>
          <w:tcPr>
            <w:tcW w:w="1186" w:type="dxa"/>
            <w:noWrap w:val="0"/>
            <w:vAlign w:val="center"/>
          </w:tcPr>
          <w:p>
            <w:pPr>
              <w:spacing w:line="360" w:lineRule="auto"/>
              <w:jc w:val="center"/>
              <w:rPr>
                <w:rFonts w:hint="eastAsia" w:ascii="宋体" w:hAnsi="宋体" w:eastAsia="宋体" w:cs="宋体"/>
                <w:color w:val="auto"/>
                <w:sz w:val="24"/>
                <w:szCs w:val="24"/>
                <w:highlight w:val="none"/>
                <w:lang w:val="en-US" w:bidi="bo-CN"/>
              </w:rPr>
            </w:pPr>
            <w:r>
              <w:rPr>
                <w:rFonts w:hint="eastAsia" w:ascii="宋体" w:hAnsi="宋体" w:eastAsia="宋体" w:cs="宋体"/>
                <w:color w:val="auto"/>
                <w:sz w:val="24"/>
                <w:szCs w:val="24"/>
                <w:highlight w:val="none"/>
                <w:lang w:val="en-US" w:eastAsia="zh-CN" w:bidi="bo-CN"/>
              </w:rPr>
              <w:t>1</w:t>
            </w:r>
            <w:r>
              <w:rPr>
                <w:rFonts w:hint="eastAsia" w:ascii="宋体" w:hAnsi="宋体" w:cs="宋体"/>
                <w:color w:val="auto"/>
                <w:sz w:val="24"/>
                <w:szCs w:val="24"/>
                <w:highlight w:val="none"/>
                <w:lang w:val="en-US" w:eastAsia="zh-CN" w:bidi="bo-CN"/>
              </w:rPr>
              <w:t>8</w:t>
            </w:r>
            <w:r>
              <w:rPr>
                <w:rFonts w:hint="eastAsia" w:ascii="宋体" w:hAnsi="宋体" w:eastAsia="宋体" w:cs="宋体"/>
                <w:color w:val="auto"/>
                <w:sz w:val="24"/>
                <w:szCs w:val="24"/>
                <w:highlight w:val="none"/>
                <w:lang w:val="en-US" w:eastAsia="zh-CN" w:bidi="bo-CN"/>
              </w:rPr>
              <w:t>000</w:t>
            </w:r>
          </w:p>
        </w:tc>
        <w:tc>
          <w:tcPr>
            <w:tcW w:w="75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个</w:t>
            </w:r>
          </w:p>
        </w:tc>
        <w:tc>
          <w:tcPr>
            <w:tcW w:w="1817"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p>
        </w:tc>
        <w:tc>
          <w:tcPr>
            <w:tcW w:w="1885"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1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5</w:t>
            </w:r>
          </w:p>
        </w:tc>
        <w:tc>
          <w:tcPr>
            <w:tcW w:w="3218" w:type="dxa"/>
            <w:noWrap w:val="0"/>
            <w:vAlign w:val="center"/>
          </w:tcPr>
          <w:p>
            <w:pPr>
              <w:spacing w:line="360" w:lineRule="auto"/>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卷皮</w:t>
            </w:r>
            <w:r>
              <w:rPr>
                <w:rFonts w:hint="eastAsia" w:ascii="宋体" w:hAnsi="宋体" w:eastAsia="宋体" w:cs="宋体"/>
                <w:color w:val="auto"/>
                <w:sz w:val="24"/>
                <w:szCs w:val="24"/>
                <w:highlight w:val="none"/>
                <w:lang w:eastAsia="zh-CN" w:bidi="bo-CN"/>
              </w:rPr>
              <w:t>、备考表</w:t>
            </w:r>
          </w:p>
        </w:tc>
        <w:tc>
          <w:tcPr>
            <w:tcW w:w="1186" w:type="dxa"/>
            <w:noWrap w:val="0"/>
            <w:vAlign w:val="center"/>
          </w:tcPr>
          <w:p>
            <w:pPr>
              <w:spacing w:line="360" w:lineRule="auto"/>
              <w:jc w:val="center"/>
              <w:rPr>
                <w:rFonts w:hint="eastAsia" w:ascii="宋体" w:hAnsi="宋体" w:eastAsia="宋体" w:cs="宋体"/>
                <w:color w:val="auto"/>
                <w:sz w:val="24"/>
                <w:szCs w:val="24"/>
                <w:highlight w:val="none"/>
                <w:lang w:val="en-US" w:bidi="bo-CN"/>
              </w:rPr>
            </w:pPr>
            <w:r>
              <w:rPr>
                <w:rFonts w:hint="eastAsia" w:ascii="宋体" w:hAnsi="宋体" w:eastAsia="宋体" w:cs="宋体"/>
                <w:color w:val="auto"/>
                <w:sz w:val="24"/>
                <w:szCs w:val="24"/>
                <w:highlight w:val="none"/>
                <w:lang w:val="en-US" w:eastAsia="zh-CN" w:bidi="bo-CN"/>
              </w:rPr>
              <w:t>1</w:t>
            </w:r>
            <w:r>
              <w:rPr>
                <w:rFonts w:hint="eastAsia" w:ascii="宋体" w:hAnsi="宋体" w:cs="宋体"/>
                <w:color w:val="auto"/>
                <w:sz w:val="24"/>
                <w:szCs w:val="24"/>
                <w:highlight w:val="none"/>
                <w:lang w:val="en-US" w:eastAsia="zh-CN" w:bidi="bo-CN"/>
              </w:rPr>
              <w:t>8</w:t>
            </w:r>
            <w:r>
              <w:rPr>
                <w:rFonts w:hint="eastAsia" w:ascii="宋体" w:hAnsi="宋体" w:eastAsia="宋体" w:cs="宋体"/>
                <w:color w:val="auto"/>
                <w:sz w:val="24"/>
                <w:szCs w:val="24"/>
                <w:highlight w:val="none"/>
                <w:lang w:val="en-US" w:eastAsia="zh-CN" w:bidi="bo-CN"/>
              </w:rPr>
              <w:t>0000</w:t>
            </w:r>
          </w:p>
        </w:tc>
        <w:tc>
          <w:tcPr>
            <w:tcW w:w="757" w:type="dxa"/>
            <w:noWrap w:val="0"/>
            <w:vAlign w:val="center"/>
          </w:tcPr>
          <w:p>
            <w:pPr>
              <w:spacing w:line="360" w:lineRule="auto"/>
              <w:jc w:val="center"/>
              <w:rPr>
                <w:rFonts w:hint="eastAsia" w:ascii="宋体" w:hAnsi="宋体" w:eastAsia="宋体" w:cs="宋体"/>
                <w:color w:val="auto"/>
                <w:sz w:val="24"/>
                <w:szCs w:val="24"/>
                <w:highlight w:val="none"/>
                <w:lang w:bidi="bo-CN"/>
              </w:rPr>
            </w:pPr>
            <w:r>
              <w:rPr>
                <w:rFonts w:hint="eastAsia" w:ascii="宋体" w:hAnsi="宋体" w:eastAsia="宋体" w:cs="宋体"/>
                <w:color w:val="auto"/>
                <w:sz w:val="24"/>
                <w:szCs w:val="24"/>
                <w:highlight w:val="none"/>
                <w:lang w:bidi="bo-CN"/>
              </w:rPr>
              <w:t>套</w:t>
            </w:r>
          </w:p>
        </w:tc>
        <w:tc>
          <w:tcPr>
            <w:tcW w:w="1817" w:type="dxa"/>
            <w:noWrap w:val="0"/>
            <w:vAlign w:val="center"/>
          </w:tcPr>
          <w:p>
            <w:pPr>
              <w:spacing w:line="360" w:lineRule="auto"/>
              <w:jc w:val="center"/>
              <w:rPr>
                <w:rFonts w:hint="eastAsia" w:ascii="宋体" w:hAnsi="宋体" w:eastAsia="宋体" w:cs="宋体"/>
                <w:color w:val="auto"/>
                <w:sz w:val="24"/>
                <w:szCs w:val="24"/>
                <w:highlight w:val="none"/>
                <w:lang w:bidi="bo-CN"/>
              </w:rPr>
            </w:pPr>
          </w:p>
        </w:tc>
        <w:tc>
          <w:tcPr>
            <w:tcW w:w="1885" w:type="dxa"/>
            <w:noWrap w:val="0"/>
            <w:vAlign w:val="center"/>
          </w:tcPr>
          <w:p>
            <w:pPr>
              <w:spacing w:line="360" w:lineRule="auto"/>
              <w:jc w:val="center"/>
              <w:rPr>
                <w:rFonts w:hint="eastAsia" w:ascii="宋体" w:hAnsi="宋体" w:eastAsia="宋体" w:cs="宋体"/>
                <w:color w:val="auto"/>
                <w:sz w:val="24"/>
                <w:szCs w:val="24"/>
                <w:highlight w:val="none"/>
                <w:lang w:val="en-US" w:eastAsia="zh-CN" w:bidi="bo-CN"/>
              </w:rPr>
            </w:pPr>
          </w:p>
        </w:tc>
      </w:tr>
    </w:tbl>
    <w:p>
      <w:pPr>
        <w:pStyle w:val="8"/>
        <w:keepNext w:val="0"/>
        <w:keepLines w:val="0"/>
        <w:pageBreakBefore w:val="0"/>
        <w:widowControl w:val="0"/>
        <w:kinsoku/>
        <w:wordWrap/>
        <w:overflowPunct/>
        <w:topLinePunct w:val="0"/>
        <w:autoSpaceDE/>
        <w:autoSpaceDN/>
        <w:bidi w:val="0"/>
        <w:spacing w:after="0"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注：</w:t>
      </w:r>
      <w:r>
        <w:rPr>
          <w:rFonts w:hint="eastAsia" w:ascii="宋体" w:hAnsi="宋体" w:cs="宋体"/>
          <w:color w:val="auto"/>
          <w:sz w:val="24"/>
          <w:szCs w:val="24"/>
          <w:highlight w:val="none"/>
          <w:lang w:val="en-US" w:eastAsia="zh-CN"/>
        </w:rPr>
        <w:t>1、不动产档案平均每卷须档案扫描30页，信息著录10条，需卷皮、备考表1套，平均每10卷档案装入1个档案盒。</w:t>
      </w:r>
    </w:p>
    <w:p>
      <w:pPr>
        <w:pStyle w:val="8"/>
        <w:keepNext w:val="0"/>
        <w:keepLines w:val="0"/>
        <w:pageBreakBefore w:val="0"/>
        <w:widowControl w:val="0"/>
        <w:kinsoku/>
        <w:wordWrap/>
        <w:overflowPunct/>
        <w:topLinePunct w:val="0"/>
        <w:autoSpaceDE/>
        <w:autoSpaceDN/>
        <w:bidi w:val="0"/>
        <w:spacing w:after="0" w:line="360" w:lineRule="auto"/>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以上按实际工作量结算，扫描按标准A4幅面计算，大于A4幅面小于等于A3幅面的按2页A4计算，大幅面图纸按16页A4计算。</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
          <w:color w:val="auto"/>
          <w:sz w:val="24"/>
          <w:szCs w:val="24"/>
          <w:highlight w:val="none"/>
        </w:rPr>
        <w:t>6.2</w:t>
      </w:r>
      <w:r>
        <w:rPr>
          <w:rFonts w:hint="eastAsia" w:ascii="宋体" w:hAnsi="宋体" w:eastAsia="宋体" w:cs="宋体"/>
          <w:b/>
          <w:bCs w:val="0"/>
          <w:color w:val="auto"/>
          <w:sz w:val="24"/>
          <w:szCs w:val="24"/>
          <w:highlight w:val="none"/>
        </w:rPr>
        <w:t>项目完成时间：</w:t>
      </w:r>
      <w:r>
        <w:rPr>
          <w:rFonts w:hint="eastAsia" w:ascii="宋体" w:hAnsi="宋体" w:eastAsia="宋体" w:cs="宋体"/>
          <w:color w:val="auto"/>
          <w:sz w:val="24"/>
          <w:szCs w:val="24"/>
          <w:highlight w:val="none"/>
          <w:lang w:eastAsia="zh-CN"/>
        </w:rPr>
        <w:t>档案</w:t>
      </w:r>
      <w:r>
        <w:rPr>
          <w:rFonts w:hint="eastAsia" w:ascii="宋体" w:hAnsi="宋体" w:eastAsia="宋体" w:cs="宋体"/>
          <w:bCs/>
          <w:color w:val="auto"/>
          <w:sz w:val="24"/>
          <w:szCs w:val="24"/>
          <w:highlight w:val="none"/>
        </w:rPr>
        <w:t>服务期限</w:t>
      </w:r>
      <w:r>
        <w:rPr>
          <w:rFonts w:hint="eastAsia" w:ascii="宋体" w:hAnsi="宋体" w:eastAsia="宋体" w:cs="宋体"/>
          <w:bCs/>
          <w:color w:val="auto"/>
          <w:sz w:val="24"/>
          <w:szCs w:val="24"/>
          <w:highlight w:val="none"/>
          <w:lang w:eastAsia="zh-CN"/>
        </w:rPr>
        <w:t>为</w:t>
      </w:r>
      <w:r>
        <w:rPr>
          <w:rFonts w:hint="eastAsia" w:ascii="宋体" w:hAnsi="宋体" w:eastAsia="宋体" w:cs="宋体"/>
          <w:bCs/>
          <w:color w:val="auto"/>
          <w:sz w:val="24"/>
          <w:szCs w:val="24"/>
          <w:highlight w:val="none"/>
        </w:rPr>
        <w:t>签订正式政府采购合同后</w:t>
      </w:r>
      <w:r>
        <w:rPr>
          <w:rFonts w:hint="eastAsia" w:ascii="宋体" w:hAnsi="宋体" w:eastAsia="宋体" w:cs="宋体"/>
          <w:bCs/>
          <w:color w:val="auto"/>
          <w:sz w:val="24"/>
          <w:szCs w:val="24"/>
          <w:highlight w:val="none"/>
          <w:lang w:val="en-US" w:eastAsia="zh-CN"/>
        </w:rPr>
        <w:t>1年</w:t>
      </w:r>
      <w:r>
        <w:rPr>
          <w:rFonts w:hint="eastAsia" w:ascii="宋体" w:hAnsi="宋体" w:eastAsia="宋体" w:cs="宋体"/>
          <w:color w:val="auto"/>
          <w:sz w:val="24"/>
          <w:szCs w:val="24"/>
          <w:highlight w:val="none"/>
        </w:rPr>
        <w:t>内完成</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z w:val="24"/>
          <w:szCs w:val="24"/>
          <w:highlight w:val="none"/>
        </w:rPr>
        <w:t>6.</w:t>
      </w:r>
      <w:r>
        <w:rPr>
          <w:rFonts w:hint="eastAsia" w:ascii="宋体" w:hAnsi="宋体" w:eastAsia="宋体" w:cs="宋体"/>
          <w:b/>
          <w:color w:val="auto"/>
          <w:sz w:val="24"/>
          <w:szCs w:val="24"/>
          <w:highlight w:val="none"/>
          <w:lang w:val="en-US" w:eastAsia="zh-CN"/>
        </w:rPr>
        <w:t>3</w:t>
      </w:r>
      <w:r>
        <w:rPr>
          <w:rFonts w:hint="eastAsia" w:ascii="宋体" w:hAnsi="宋体" w:eastAsia="宋体" w:cs="宋体"/>
          <w:b/>
          <w:bCs/>
          <w:color w:val="auto"/>
          <w:sz w:val="24"/>
          <w:szCs w:val="24"/>
          <w:highlight w:val="none"/>
        </w:rPr>
        <w:t>付款方式：</w:t>
      </w:r>
      <w:r>
        <w:rPr>
          <w:rFonts w:hint="eastAsia" w:ascii="宋体" w:hAnsi="宋体" w:eastAsia="宋体" w:cs="宋体"/>
          <w:color w:val="auto"/>
          <w:sz w:val="24"/>
          <w:szCs w:val="24"/>
          <w:highlight w:val="none"/>
        </w:rPr>
        <w:t>签订合同后乙方开始相关工作6个月后根据实际工作量，经甲方确认并验收合格后5个工作日内，甲方按照乙方实际完成的工作量对应合同单价计算相应费用，一次性支付相应费用。乙方完成全部工作量后，经甲方确认并验收合格后5个工作日内，甲方按照乙方实际完成的工作量对应合同单价计算相应费用，一次性支付剩余款项。</w:t>
      </w:r>
    </w:p>
    <w:p>
      <w:pPr>
        <w:pStyle w:val="34"/>
        <w:keepNext w:val="0"/>
        <w:keepLines w:val="0"/>
        <w:pageBreakBefore w:val="0"/>
        <w:widowControl w:val="0"/>
        <w:kinsoku/>
        <w:wordWrap/>
        <w:overflowPunct/>
        <w:topLinePunct w:val="0"/>
        <w:autoSpaceDE/>
        <w:autoSpaceDN/>
        <w:bidi w:val="0"/>
        <w:adjustRightInd w:val="0"/>
        <w:snapToGrid/>
        <w:ind w:firstLine="482" w:firstLineChars="200"/>
        <w:jc w:val="both"/>
        <w:textAlignment w:val="auto"/>
        <w:rPr>
          <w:rFonts w:hint="eastAsia"/>
          <w:color w:val="auto"/>
          <w:highlight w:val="none"/>
        </w:rPr>
      </w:pPr>
      <w:r>
        <w:rPr>
          <w:rFonts w:hint="eastAsia" w:ascii="宋体" w:hAnsi="宋体" w:eastAsia="宋体" w:cs="宋体"/>
          <w:b/>
          <w:color w:val="auto"/>
          <w:sz w:val="24"/>
          <w:szCs w:val="24"/>
          <w:highlight w:val="none"/>
          <w:lang w:val="en-US" w:eastAsia="zh-CN" w:bidi="ar-SA"/>
        </w:rPr>
        <w:t xml:space="preserve">6.4 </w:t>
      </w:r>
      <w:r>
        <w:rPr>
          <w:rFonts w:hint="eastAsia" w:hAnsi="宋体" w:eastAsia="宋体" w:cs="宋体"/>
          <w:color w:val="auto"/>
          <w:sz w:val="24"/>
          <w:szCs w:val="24"/>
          <w:highlight w:val="none"/>
          <w:lang w:val="en-US" w:eastAsia="zh-CN"/>
        </w:rPr>
        <w:t>逾期支付采购资金的违约责任根据《中华人民共和国</w:t>
      </w:r>
      <w:r>
        <w:rPr>
          <w:rFonts w:hint="eastAsia" w:hAnsi="宋体" w:cs="宋体"/>
          <w:color w:val="auto"/>
          <w:sz w:val="24"/>
          <w:szCs w:val="24"/>
          <w:highlight w:val="none"/>
          <w:lang w:val="en-US" w:eastAsia="zh-CN"/>
        </w:rPr>
        <w:t>民法典</w:t>
      </w:r>
      <w:r>
        <w:rPr>
          <w:rFonts w:hint="eastAsia" w:hAnsi="宋体" w:eastAsia="宋体" w:cs="宋体"/>
          <w:color w:val="auto"/>
          <w:sz w:val="24"/>
          <w:szCs w:val="24"/>
          <w:highlight w:val="none"/>
          <w:lang w:val="en-US" w:eastAsia="zh-CN"/>
        </w:rPr>
        <w:t>》等相关法律法规执行。</w:t>
      </w:r>
    </w:p>
    <w:bookmarkEnd w:id="354"/>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eastAsia="宋体" w:cs="宋体"/>
          <w:b/>
          <w:color w:val="auto"/>
          <w:sz w:val="24"/>
          <w:szCs w:val="24"/>
          <w:highlight w:val="none"/>
        </w:rPr>
      </w:pPr>
      <w:bookmarkStart w:id="355" w:name="_Toc319498534"/>
      <w:r>
        <w:rPr>
          <w:rFonts w:hint="eastAsia" w:ascii="宋体" w:hAnsi="宋体" w:eastAsia="宋体" w:cs="宋体"/>
          <w:b/>
          <w:color w:val="auto"/>
          <w:sz w:val="24"/>
          <w:szCs w:val="24"/>
          <w:highlight w:val="none"/>
        </w:rPr>
        <w:t>其他要求</w:t>
      </w:r>
      <w:bookmarkEnd w:id="355"/>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7.1</w:t>
      </w:r>
      <w:r>
        <w:rPr>
          <w:rFonts w:hint="eastAsia" w:ascii="宋体" w:hAnsi="宋体" w:eastAsia="宋体" w:cs="宋体"/>
          <w:color w:val="auto"/>
          <w:sz w:val="24"/>
          <w:szCs w:val="24"/>
          <w:highlight w:val="none"/>
        </w:rPr>
        <w:t xml:space="preserve"> 项目实施地点：采购人指定地点。</w:t>
      </w:r>
    </w:p>
    <w:p>
      <w:pPr>
        <w:keepNext w:val="0"/>
        <w:keepLines w:val="0"/>
        <w:pageBreakBefore w:val="0"/>
        <w:widowControl w:val="0"/>
        <w:kinsoku w:val="0"/>
        <w:wordWrap/>
        <w:overflowPunct/>
        <w:topLinePunct w:val="0"/>
        <w:autoSpaceDE/>
        <w:autoSpaceDN/>
        <w:bidi w:val="0"/>
        <w:spacing w:line="360" w:lineRule="auto"/>
        <w:ind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7.2</w:t>
      </w:r>
      <w:r>
        <w:rPr>
          <w:rFonts w:hint="eastAsia" w:ascii="宋体" w:hAnsi="宋体" w:eastAsia="宋体" w:cs="宋体"/>
          <w:color w:val="auto"/>
          <w:sz w:val="24"/>
          <w:szCs w:val="24"/>
          <w:highlight w:val="none"/>
        </w:rPr>
        <w:t>作业环境及设备要求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（1）档案数字化加工要求在成都市新都</w:t>
      </w:r>
      <w:r>
        <w:rPr>
          <w:rFonts w:hint="eastAsia" w:ascii="宋体" w:hAnsi="宋体" w:eastAsia="宋体" w:cs="宋体"/>
          <w:color w:val="auto"/>
          <w:sz w:val="24"/>
          <w:szCs w:val="24"/>
          <w:highlight w:val="none"/>
          <w:lang w:eastAsia="zh-CN"/>
        </w:rPr>
        <w:t>区</w:t>
      </w:r>
      <w:r>
        <w:rPr>
          <w:rFonts w:hint="eastAsia" w:ascii="宋体" w:hAnsi="宋体" w:eastAsia="宋体" w:cs="宋体"/>
          <w:color w:val="auto"/>
          <w:sz w:val="24"/>
          <w:szCs w:val="24"/>
          <w:highlight w:val="none"/>
        </w:rPr>
        <w:t>规划和自然资源局指定地点内进行，中标方提供数字化加工所需的全部设备及软件,并按采购方的保密、安全要求进行设备处理及网络布线，以及数字化加工中的软硬件及网络的维护工作。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（2）采购方提供施工场地、办公桌椅、工作用水用电等。</w:t>
      </w:r>
    </w:p>
    <w:p>
      <w:pPr>
        <w:keepNext w:val="0"/>
        <w:keepLines w:val="0"/>
        <w:pageBreakBefore w:val="0"/>
        <w:widowControl w:val="0"/>
        <w:kinsoku w:val="0"/>
        <w:wordWrap/>
        <w:overflowPunct/>
        <w:topLinePunct w:val="0"/>
        <w:autoSpaceDE/>
        <w:autoSpaceDN/>
        <w:bidi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（3）涉及到成都市新都</w:t>
      </w:r>
      <w:r>
        <w:rPr>
          <w:rFonts w:hint="eastAsia" w:ascii="宋体" w:hAnsi="宋体" w:eastAsia="宋体" w:cs="宋体"/>
          <w:color w:val="auto"/>
          <w:sz w:val="24"/>
          <w:szCs w:val="24"/>
          <w:highlight w:val="none"/>
          <w:lang w:eastAsia="zh-CN"/>
        </w:rPr>
        <w:t>区</w:t>
      </w:r>
      <w:r>
        <w:rPr>
          <w:rFonts w:hint="eastAsia" w:ascii="宋体" w:hAnsi="宋体" w:eastAsia="宋体" w:cs="宋体"/>
          <w:color w:val="auto"/>
          <w:sz w:val="24"/>
          <w:szCs w:val="24"/>
          <w:highlight w:val="none"/>
        </w:rPr>
        <w:t>规划和自然资源局不动产登记中心大平台系统的相关数据接口均由采购方提供，使中标方能顺利提取到卷皮上的档案信息，并在数据迁移过程中提供相关技术支持。</w:t>
      </w:r>
    </w:p>
    <w:p>
      <w:pPr>
        <w:widowControl w:val="0"/>
        <w:kinsoku w:val="0"/>
        <w:spacing w:line="360" w:lineRule="auto"/>
        <w:ind w:firstLine="482" w:firstLineChars="200"/>
        <w:jc w:val="both"/>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7.3 </w:t>
      </w:r>
      <w:r>
        <w:rPr>
          <w:rFonts w:hint="eastAsia" w:ascii="宋体" w:hAnsi="宋体" w:eastAsia="宋体" w:cs="宋体"/>
          <w:color w:val="auto"/>
          <w:sz w:val="24"/>
          <w:szCs w:val="24"/>
          <w:highlight w:val="none"/>
        </w:rPr>
        <w:t>安全保障：投标人在项目实施的各个工作环节中，必须确保档案信息和档案实体的安全。</w:t>
      </w:r>
      <w:r>
        <w:rPr>
          <w:rFonts w:hint="eastAsia" w:ascii="宋体" w:hAnsi="宋体" w:eastAsia="宋体" w:cs="宋体"/>
          <w:color w:val="auto"/>
          <w:sz w:val="24"/>
          <w:szCs w:val="24"/>
          <w:highlight w:val="none"/>
          <w:lang w:val="en-US" w:eastAsia="zh-CN"/>
        </w:rPr>
        <w:t>中标供应商在签合同时和成都市新都区规划和自然资源局签订保密协议。</w:t>
      </w:r>
    </w:p>
    <w:p>
      <w:pPr>
        <w:keepNext w:val="0"/>
        <w:keepLines w:val="0"/>
        <w:pageBreakBefore w:val="0"/>
        <w:widowControl w:val="0"/>
        <w:kinsoku w:val="0"/>
        <w:wordWrap/>
        <w:overflowPunct/>
        <w:topLinePunct w:val="0"/>
        <w:autoSpaceDE/>
        <w:autoSpaceDN/>
        <w:bidi w:val="0"/>
        <w:adjustRightInd/>
        <w:snapToGrid/>
        <w:spacing w:line="360" w:lineRule="auto"/>
        <w:ind w:left="0" w:lef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（1）加工场地应采取安全保密防护措施； </w:t>
      </w:r>
    </w:p>
    <w:p>
      <w:pPr>
        <w:keepNext w:val="0"/>
        <w:keepLines w:val="0"/>
        <w:pageBreakBefore w:val="0"/>
        <w:widowControl w:val="0"/>
        <w:kinsoku w:val="0"/>
        <w:wordWrap/>
        <w:overflowPunct/>
        <w:topLinePunct w:val="0"/>
        <w:autoSpaceDE/>
        <w:autoSpaceDN/>
        <w:bidi w:val="0"/>
        <w:adjustRightInd/>
        <w:snapToGrid/>
        <w:spacing w:line="360" w:lineRule="auto"/>
        <w:ind w:left="480" w:leftChars="0" w:hanging="480" w:hanging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（2）用于档案数字化扫描和数据处理的计算机等设备禁止连接互联网； </w:t>
      </w:r>
    </w:p>
    <w:p>
      <w:pPr>
        <w:keepNext w:val="0"/>
        <w:keepLines w:val="0"/>
        <w:pageBreakBefore w:val="0"/>
        <w:widowControl w:val="0"/>
        <w:kinsoku w:val="0"/>
        <w:wordWrap/>
        <w:overflowPunct/>
        <w:topLinePunct w:val="0"/>
        <w:autoSpaceDE/>
        <w:autoSpaceDN/>
        <w:bidi w:val="0"/>
        <w:adjustRightInd/>
        <w:snapToGrid/>
        <w:spacing w:line="360" w:lineRule="auto"/>
        <w:ind w:left="480" w:leftChars="0" w:hanging="480" w:hanging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（3）封闭计算机与外部存储设备输出接口； </w:t>
      </w:r>
    </w:p>
    <w:p>
      <w:pPr>
        <w:keepNext w:val="0"/>
        <w:keepLines w:val="0"/>
        <w:pageBreakBefore w:val="0"/>
        <w:widowControl w:val="0"/>
        <w:kinsoku w:val="0"/>
        <w:wordWrap/>
        <w:overflowPunct/>
        <w:topLinePunct w:val="0"/>
        <w:autoSpaceDE/>
        <w:autoSpaceDN/>
        <w:bidi w:val="0"/>
        <w:adjustRightInd/>
        <w:snapToGrid/>
        <w:spacing w:line="360" w:lineRule="auto"/>
        <w:ind w:left="480" w:leftChars="0" w:hanging="480" w:hanging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（4）采取防病毒措施； </w:t>
      </w:r>
    </w:p>
    <w:p>
      <w:pPr>
        <w:keepNext w:val="0"/>
        <w:keepLines w:val="0"/>
        <w:pageBreakBefore w:val="0"/>
        <w:widowControl w:val="0"/>
        <w:kinsoku w:val="0"/>
        <w:wordWrap/>
        <w:overflowPunct/>
        <w:topLinePunct w:val="0"/>
        <w:autoSpaceDE/>
        <w:autoSpaceDN/>
        <w:bidi w:val="0"/>
        <w:adjustRightInd/>
        <w:snapToGrid/>
        <w:spacing w:line="360" w:lineRule="auto"/>
        <w:ind w:left="480" w:leftChars="0" w:hanging="480" w:hanging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（5）强化内部管理和员工教育，与员工签订保密协议。  </w:t>
      </w:r>
    </w:p>
    <w:p>
      <w:pPr>
        <w:keepNext w:val="0"/>
        <w:keepLines w:val="0"/>
        <w:pageBreakBefore w:val="0"/>
        <w:widowControl w:val="0"/>
        <w:kinsoku w:val="0"/>
        <w:wordWrap/>
        <w:overflowPunct/>
        <w:topLinePunct w:val="0"/>
        <w:autoSpaceDE/>
        <w:autoSpaceDN/>
        <w:bidi w:val="0"/>
        <w:adjustRightInd/>
        <w:snapToGrid/>
        <w:spacing w:line="360" w:lineRule="auto"/>
        <w:ind w:left="0" w:leftChars="0"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7.4</w:t>
      </w:r>
      <w:r>
        <w:rPr>
          <w:rFonts w:hint="eastAsia" w:ascii="宋体" w:hAnsi="宋体" w:eastAsia="宋体" w:cs="宋体"/>
          <w:color w:val="auto"/>
          <w:sz w:val="24"/>
          <w:szCs w:val="24"/>
          <w:highlight w:val="none"/>
        </w:rPr>
        <w:t>人员要求</w:t>
      </w:r>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为了保证档案实体和档案信息的安全及扫描质量，投标方要有一支相对稳定的档案数字化实施队伍，人员要严格遵守采购方的保密、安全各项要求。在实施项目期间，投标方的人员管理均由投标方自行负责，并自觉接受招标方的监督。</w:t>
      </w:r>
    </w:p>
    <w:p>
      <w:pPr>
        <w:pStyle w:val="8"/>
        <w:keepNext w:val="0"/>
        <w:keepLines w:val="0"/>
        <w:pageBreakBefore w:val="0"/>
        <w:widowControl w:val="0"/>
        <w:numPr>
          <w:ilvl w:val="0"/>
          <w:numId w:val="0"/>
        </w:numPr>
        <w:kinsoku w:val="0"/>
        <w:wordWrap/>
        <w:overflowPunct/>
        <w:topLinePunct w:val="0"/>
        <w:autoSpaceDE/>
        <w:autoSpaceDN/>
        <w:bidi w:val="0"/>
        <w:adjustRightInd/>
        <w:snapToGrid/>
        <w:spacing w:after="0" w:line="360" w:lineRule="auto"/>
        <w:ind w:left="0" w:leftChars="0" w:firstLine="480" w:firstLineChars="200"/>
        <w:jc w:val="both"/>
        <w:textAlignment w:val="auto"/>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w:t>
      </w:r>
      <w:r>
        <w:rPr>
          <w:rFonts w:hint="eastAsia" w:ascii="宋体" w:hAnsi="宋体" w:eastAsia="宋体" w:cs="宋体"/>
          <w:color w:val="auto"/>
          <w:sz w:val="24"/>
          <w:szCs w:val="24"/>
          <w:highlight w:val="none"/>
          <w:lang w:eastAsia="zh-CN"/>
        </w:rPr>
        <w:t>投标供应商需承诺中标后</w:t>
      </w:r>
      <w:r>
        <w:rPr>
          <w:rFonts w:hint="eastAsia" w:ascii="宋体" w:hAnsi="宋体" w:eastAsia="宋体" w:cs="宋体"/>
          <w:color w:val="auto"/>
          <w:sz w:val="24"/>
          <w:szCs w:val="24"/>
          <w:highlight w:val="none"/>
          <w:lang w:val="en-US" w:eastAsia="zh-CN" w:bidi="ar-SA"/>
        </w:rPr>
        <w:t>派驻一名工作人员到大厅负责不动产登记档案的收集、整理等相关工作</w:t>
      </w:r>
      <w:r>
        <w:rPr>
          <w:rFonts w:hint="eastAsia" w:ascii="宋体" w:hAnsi="宋体" w:cs="宋体"/>
          <w:color w:val="auto"/>
          <w:sz w:val="24"/>
          <w:szCs w:val="24"/>
          <w:highlight w:val="none"/>
          <w:lang w:val="en-US" w:eastAsia="zh-CN" w:bidi="ar-SA"/>
        </w:rPr>
        <w:t>，提供承诺函</w:t>
      </w:r>
      <w:r>
        <w:rPr>
          <w:rFonts w:hint="eastAsia" w:ascii="宋体" w:hAnsi="宋体" w:eastAsia="宋体" w:cs="宋体"/>
          <w:color w:val="auto"/>
          <w:sz w:val="24"/>
          <w:szCs w:val="24"/>
          <w:highlight w:val="none"/>
          <w:lang w:val="en-US" w:eastAsia="zh-CN" w:bidi="ar-SA"/>
        </w:rPr>
        <w:t>。</w:t>
      </w:r>
      <w:r>
        <w:rPr>
          <w:rFonts w:hint="eastAsia" w:ascii="宋体" w:hAnsi="宋体" w:cs="宋体"/>
          <w:b/>
          <w:bCs/>
          <w:color w:val="auto"/>
          <w:sz w:val="24"/>
          <w:szCs w:val="24"/>
          <w:highlight w:val="none"/>
          <w:lang w:val="en-US" w:eastAsia="zh-CN" w:bidi="ar-SA"/>
        </w:rPr>
        <w:t>（实质性要求）</w:t>
      </w:r>
    </w:p>
    <w:p>
      <w:pPr>
        <w:pStyle w:val="8"/>
        <w:keepNext w:val="0"/>
        <w:keepLines w:val="0"/>
        <w:pageBreakBefore w:val="0"/>
        <w:widowControl w:val="0"/>
        <w:kinsoku w:val="0"/>
        <w:wordWrap/>
        <w:overflowPunct/>
        <w:topLinePunct w:val="0"/>
        <w:autoSpaceDE/>
        <w:autoSpaceDN/>
        <w:bidi w:val="0"/>
        <w:adjustRightInd/>
        <w:snapToGrid/>
        <w:spacing w:after="0" w:line="360" w:lineRule="auto"/>
        <w:ind w:left="0" w:leftChars="0"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7.5</w:t>
      </w:r>
      <w:r>
        <w:rPr>
          <w:rFonts w:hint="eastAsia" w:ascii="宋体" w:hAnsi="宋体" w:eastAsia="宋体" w:cs="宋体"/>
          <w:color w:val="auto"/>
          <w:sz w:val="24"/>
          <w:szCs w:val="24"/>
          <w:highlight w:val="none"/>
        </w:rPr>
        <w:t>本采购项目严禁转包</w:t>
      </w:r>
      <w:r>
        <w:rPr>
          <w:rFonts w:hint="eastAsia" w:ascii="宋体" w:hAnsi="宋体" w:cs="宋体"/>
          <w:color w:val="auto"/>
          <w:sz w:val="24"/>
          <w:szCs w:val="24"/>
          <w:highlight w:val="none"/>
          <w:lang w:eastAsia="zh-CN"/>
        </w:rPr>
        <w:t>，提供承诺函</w:t>
      </w:r>
      <w:r>
        <w:rPr>
          <w:rFonts w:hint="eastAsia" w:ascii="宋体" w:hAnsi="宋体" w:eastAsia="宋体" w:cs="宋体"/>
          <w:color w:val="auto"/>
          <w:sz w:val="24"/>
          <w:szCs w:val="24"/>
          <w:highlight w:val="none"/>
        </w:rPr>
        <w:t>。</w:t>
      </w:r>
      <w:r>
        <w:rPr>
          <w:rFonts w:hint="eastAsia" w:ascii="宋体" w:hAnsi="宋体" w:cs="宋体"/>
          <w:b/>
          <w:bCs/>
          <w:color w:val="auto"/>
          <w:sz w:val="24"/>
          <w:szCs w:val="24"/>
          <w:highlight w:val="none"/>
          <w:lang w:val="en-US" w:eastAsia="zh-CN" w:bidi="ar-SA"/>
        </w:rPr>
        <w:t>（实质性要求）</w:t>
      </w:r>
    </w:p>
    <w:p>
      <w:pPr>
        <w:pStyle w:val="8"/>
        <w:keepNext w:val="0"/>
        <w:keepLines w:val="0"/>
        <w:pageBreakBefore w:val="0"/>
        <w:widowControl w:val="0"/>
        <w:kinsoku w:val="0"/>
        <w:wordWrap/>
        <w:overflowPunct/>
        <w:topLinePunct w:val="0"/>
        <w:autoSpaceDE/>
        <w:autoSpaceDN/>
        <w:bidi w:val="0"/>
        <w:adjustRightInd/>
        <w:snapToGrid/>
        <w:spacing w:after="0" w:line="360" w:lineRule="auto"/>
        <w:ind w:left="0" w:leftChars="0" w:firstLine="480" w:firstLineChars="200"/>
        <w:jc w:val="both"/>
        <w:textAlignment w:val="auto"/>
        <w:rPr>
          <w:rFonts w:hint="eastAsia" w:ascii="宋体" w:hAnsi="宋体" w:eastAsia="宋体" w:cs="宋体"/>
          <w:color w:val="auto"/>
          <w:sz w:val="24"/>
          <w:szCs w:val="24"/>
          <w:highlight w:val="none"/>
        </w:rPr>
      </w:pPr>
    </w:p>
    <w:p>
      <w:pPr>
        <w:bidi w:val="0"/>
        <w:rPr>
          <w:rFonts w:hint="eastAsia"/>
          <w:color w:val="auto"/>
          <w:highlight w:val="none"/>
          <w:lang w:val="en-US" w:eastAsia="zh-CN"/>
        </w:rPr>
      </w:pPr>
    </w:p>
    <w:p>
      <w:pPr>
        <w:adjustRightInd w:val="0"/>
        <w:snapToGrid w:val="0"/>
        <w:spacing w:line="360" w:lineRule="auto"/>
        <w:rPr>
          <w:rFonts w:hint="eastAsia" w:ascii="宋体" w:hAnsi="宋体" w:cs="宋体"/>
          <w:bCs/>
          <w:color w:val="auto"/>
          <w:sz w:val="24"/>
          <w:highlight w:val="none"/>
          <w:lang w:eastAsia="zh-CN"/>
        </w:rPr>
        <w:sectPr>
          <w:footerReference r:id="rId12" w:type="default"/>
          <w:pgSz w:w="11907" w:h="16840"/>
          <w:pgMar w:top="1440" w:right="1417" w:bottom="1440" w:left="1417" w:header="992" w:footer="992" w:gutter="0"/>
          <w:pgNumType w:fmt="decimal"/>
          <w:cols w:space="720" w:num="1"/>
          <w:docGrid w:linePitch="326" w:charSpace="0"/>
        </w:sectPr>
      </w:pPr>
    </w:p>
    <w:p>
      <w:pPr>
        <w:pStyle w:val="3"/>
        <w:jc w:val="center"/>
        <w:rPr>
          <w:rFonts w:ascii="宋体" w:hAnsi="宋体" w:cs="宋体"/>
          <w:color w:val="auto"/>
          <w:highlight w:val="none"/>
        </w:rPr>
      </w:pPr>
      <w:bookmarkStart w:id="356" w:name="_Toc29058"/>
      <w:bookmarkStart w:id="357" w:name="_Toc22460"/>
      <w:bookmarkStart w:id="358" w:name="_Toc1008"/>
      <w:r>
        <w:rPr>
          <w:rFonts w:hint="eastAsia" w:ascii="宋体" w:hAnsi="宋体" w:cs="宋体"/>
          <w:color w:val="auto"/>
          <w:highlight w:val="none"/>
        </w:rPr>
        <w:t>第七章  评标办法</w:t>
      </w:r>
      <w:bookmarkEnd w:id="346"/>
      <w:bookmarkEnd w:id="356"/>
      <w:bookmarkEnd w:id="357"/>
      <w:bookmarkEnd w:id="358"/>
      <w:bookmarkStart w:id="359" w:name="_Hlt101846155"/>
      <w:bookmarkEnd w:id="359"/>
      <w:bookmarkStart w:id="360" w:name="_Toc183682415"/>
      <w:bookmarkStart w:id="361" w:name="_Toc183582280"/>
      <w:bookmarkStart w:id="362" w:name="_Toc208849007"/>
      <w:bookmarkStart w:id="363" w:name="_Toc217446097"/>
    </w:p>
    <w:bookmarkEnd w:id="360"/>
    <w:bookmarkEnd w:id="361"/>
    <w:bookmarkEnd w:id="362"/>
    <w:bookmarkEnd w:id="363"/>
    <w:p>
      <w:pPr>
        <w:adjustRightInd w:val="0"/>
        <w:snapToGrid w:val="0"/>
        <w:spacing w:line="360" w:lineRule="auto"/>
        <w:ind w:firstLine="482" w:firstLineChars="200"/>
        <w:outlineLvl w:val="1"/>
        <w:rPr>
          <w:rFonts w:ascii="宋体" w:hAnsi="宋体" w:cs="宋体"/>
          <w:b/>
          <w:color w:val="auto"/>
          <w:sz w:val="24"/>
          <w:highlight w:val="none"/>
        </w:rPr>
      </w:pPr>
      <w:bookmarkStart w:id="364" w:name="_Toc503863070"/>
      <w:bookmarkStart w:id="365" w:name="_Toc217446099"/>
      <w:r>
        <w:rPr>
          <w:rFonts w:hint="eastAsia" w:ascii="宋体" w:hAnsi="宋体" w:cs="宋体"/>
          <w:b/>
          <w:color w:val="auto"/>
          <w:sz w:val="24"/>
          <w:highlight w:val="none"/>
        </w:rPr>
        <w:t>1．总则</w:t>
      </w:r>
      <w:bookmarkEnd w:id="364"/>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1.1 根据《中华人民共和国政府采购法》、《中华人民共和国政府采购法实施条例》、《政府采购货物和服务招标投标管理办法》等法律制度，结合采购项目特点制定本评标办法。</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1.2 评标工作由采购代理机构负责组织，具体评标事务由采购代理机构依法组建的评标委员会负责。评标委员会由采购人代表和有关技术、经济、法律等方面的专家组成。</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1.3 评标工作应遵循公平、公正、科学及择优的原则，并以相同的评标程序和标准对待所有的投标人。</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1.4 评标委员会按照招标文件规定的评标方法和标准进行评标，并独立履行下列职责：</w:t>
      </w:r>
    </w:p>
    <w:p>
      <w:pPr>
        <w:adjustRightInd w:val="0"/>
        <w:snapToGrid w:val="0"/>
        <w:spacing w:line="360" w:lineRule="auto"/>
        <w:ind w:firstLine="480" w:firstLineChars="200"/>
        <w:rPr>
          <w:rFonts w:ascii="宋体" w:hAnsi="宋体" w:cs="宋体"/>
          <w:bCs/>
          <w:color w:val="auto"/>
          <w:sz w:val="24"/>
          <w:highlight w:val="none"/>
        </w:rPr>
      </w:pPr>
      <w:bookmarkStart w:id="366" w:name="_Toc217446098"/>
      <w:r>
        <w:rPr>
          <w:rFonts w:hint="eastAsia" w:ascii="宋体" w:hAnsi="宋体" w:cs="宋体"/>
          <w:bCs/>
          <w:color w:val="auto"/>
          <w:sz w:val="24"/>
          <w:highlight w:val="none"/>
        </w:rPr>
        <w:t>（一）熟悉和理解招标文件；</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（二）审查供应商投标文件等是否满足招标文件要求，并作出评价；</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（三）根据需要要求招标采购单位对招标文件作出解释；根据需要要求供应商对投标文件有关事项作出澄清、说明或者补正；</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（四）推荐中标候选供应商，或者受采购人委托确定中标供应商；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（五）起草评标报告并进行签署；</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（六）向招标采购单位、财政部门或者其他监督部门报告非法干预评标工作的行为；</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（七）法律、法规和规章规定的其他职责。</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1.5 评标过程独立、保密。投标人非法干预评标评标过程的行为将导致其投标文件作为无效处理。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1.6评标委员会评价投标文件的响应性，对于投标人而言，除评标委员会要求其澄清、说明或者补正而提供的资料外，仅依据投标文件本身的内容，不寻求其他外部证据。</w:t>
      </w:r>
    </w:p>
    <w:p>
      <w:pPr>
        <w:adjustRightInd w:val="0"/>
        <w:snapToGrid w:val="0"/>
        <w:spacing w:line="360" w:lineRule="auto"/>
        <w:ind w:firstLine="482" w:firstLineChars="200"/>
        <w:outlineLvl w:val="1"/>
        <w:rPr>
          <w:rFonts w:ascii="宋体" w:hAnsi="宋体" w:cs="宋体"/>
          <w:b/>
          <w:color w:val="auto"/>
          <w:sz w:val="24"/>
          <w:highlight w:val="none"/>
        </w:rPr>
      </w:pPr>
      <w:bookmarkStart w:id="367" w:name="_Toc503863071"/>
      <w:r>
        <w:rPr>
          <w:rFonts w:hint="eastAsia" w:ascii="宋体" w:hAnsi="宋体" w:cs="宋体"/>
          <w:b/>
          <w:color w:val="auto"/>
          <w:sz w:val="24"/>
          <w:highlight w:val="none"/>
        </w:rPr>
        <w:t>2．评标方法</w:t>
      </w:r>
      <w:bookmarkEnd w:id="367"/>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本项目评标方法为：综合评分法。</w:t>
      </w:r>
    </w:p>
    <w:p>
      <w:pPr>
        <w:adjustRightInd w:val="0"/>
        <w:snapToGrid w:val="0"/>
        <w:spacing w:line="360" w:lineRule="auto"/>
        <w:ind w:firstLine="482" w:firstLineChars="200"/>
        <w:outlineLvl w:val="1"/>
        <w:rPr>
          <w:rFonts w:ascii="宋体" w:hAnsi="宋体" w:cs="宋体"/>
          <w:b/>
          <w:color w:val="auto"/>
          <w:sz w:val="24"/>
          <w:highlight w:val="none"/>
        </w:rPr>
      </w:pPr>
      <w:bookmarkStart w:id="368" w:name="_Toc503863072"/>
      <w:r>
        <w:rPr>
          <w:rFonts w:hint="eastAsia" w:ascii="宋体" w:hAnsi="宋体" w:cs="宋体"/>
          <w:b/>
          <w:color w:val="auto"/>
          <w:sz w:val="24"/>
          <w:highlight w:val="none"/>
        </w:rPr>
        <w:t>3．评标程序</w:t>
      </w:r>
      <w:bookmarkEnd w:id="366"/>
      <w:bookmarkEnd w:id="368"/>
    </w:p>
    <w:p>
      <w:pPr>
        <w:adjustRightInd w:val="0"/>
        <w:snapToGrid w:val="0"/>
        <w:spacing w:line="360" w:lineRule="auto"/>
        <w:ind w:firstLine="480" w:firstLineChars="200"/>
        <w:rPr>
          <w:rFonts w:ascii="宋体" w:hAnsi="宋体" w:cs="宋体"/>
          <w:bCs/>
          <w:color w:val="auto"/>
          <w:sz w:val="24"/>
          <w:highlight w:val="none"/>
        </w:rPr>
      </w:pPr>
      <w:bookmarkStart w:id="369" w:name="_Toc217446103"/>
      <w:r>
        <w:rPr>
          <w:rFonts w:hint="eastAsia" w:ascii="宋体" w:hAnsi="宋体" w:cs="宋体"/>
          <w:bCs/>
          <w:color w:val="auto"/>
          <w:sz w:val="24"/>
          <w:highlight w:val="none"/>
        </w:rPr>
        <w:t>3.1熟悉和理解招标文件和停止评标。</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3.1.1评标委员会正式评标前，应当对招标文件进行熟悉和理解，内容主要包括招标文件中投标人的采购项目技术、服务和商务要求、评标方法和标准以及可能涉及签订政府采购合同的内容等。</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3.1.2评标委员会熟悉和理解招标文件以及评标过程中，发现本招标文件有下列情形之一的，评标委员会应当停止评标：</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（1）招标文件的规定存在</w:t>
      </w:r>
      <w:r>
        <w:rPr>
          <w:rFonts w:hint="eastAsia" w:ascii="宋体" w:hAnsi="宋体" w:cs="宋体"/>
          <w:bCs/>
          <w:color w:val="auto"/>
          <w:sz w:val="24"/>
          <w:highlight w:val="none"/>
          <w:lang w:eastAsia="zh-CN"/>
        </w:rPr>
        <w:t>重大</w:t>
      </w:r>
      <w:r>
        <w:rPr>
          <w:rFonts w:hint="eastAsia" w:ascii="宋体" w:hAnsi="宋体" w:cs="宋体"/>
          <w:bCs/>
          <w:color w:val="auto"/>
          <w:sz w:val="24"/>
          <w:highlight w:val="none"/>
        </w:rPr>
        <w:t>歧义</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重大缺陷的；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（2）招标文件明显以不合理条件对供应商实行差别待遇或者歧视待遇的；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（3）采购项目属于国家规定的优先、强制采购范围，但是招标文件未依法体现优先、强制采购相关规定的；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（4）采购项目属于政府采购促进中小企业发展的范围，但是招标文件未依法体现促进中小企业发展相关规定的；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（5）招标文件规定的评标方法是综合评分法、最低评标价法之外的评标方法，或者虽然名称为综合评分法、最低评标价法，但实际上不符合国家规定；</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（6）招标文件将投标人的资格条件列为评分因素的；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（7）招标文件有违反国家其他有关强制性规定的情形。</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3.1.4出现本条3.1.2规定应当停止评标情形的，评标委员会成员应当向招标采购单位书面说明情况。除本条规定和评标委员会无法依法组建的情形外，评标委员会成员不得以任何方式和理由停止评标。</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3.2资格性检查。</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采购人或者采购代理机构应依据法律法规和本招标文件的规定，对投标文件是否按照规定要求提供资格性证明材料、是否按照规定交纳投标保证金、是否属于禁止参加投标的供应商等进行审查，以确定投标供应商是否具备投标资格。</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3.3符合性检查。</w:t>
      </w:r>
    </w:p>
    <w:p>
      <w:pPr>
        <w:adjustRightInd w:val="0"/>
        <w:snapToGrid w:val="0"/>
        <w:spacing w:line="360" w:lineRule="auto"/>
        <w:ind w:firstLine="480" w:firstLineChars="200"/>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rPr>
        <w:t>3.3.1评标委员会依据本招标文件的实质性要求</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r>
        <w:rPr>
          <w:rFonts w:hint="eastAsia" w:ascii="宋体" w:hAnsi="宋体" w:cs="宋体"/>
          <w:bCs/>
          <w:color w:val="auto"/>
          <w:sz w:val="24"/>
          <w:highlight w:val="none"/>
          <w:lang w:val="en-US" w:eastAsia="zh-CN"/>
        </w:rPr>
        <w:t>符合性审查标准如下：</w:t>
      </w:r>
    </w:p>
    <w:tbl>
      <w:tblPr>
        <w:tblStyle w:val="21"/>
        <w:tblW w:w="93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006"/>
        <w:gridCol w:w="6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76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jc w:val="center"/>
              <w:textAlignment w:val="auto"/>
              <w:rPr>
                <w:rFonts w:hint="eastAsia" w:ascii="宋体" w:hAnsi="宋体" w:cs="仿宋"/>
                <w:b/>
                <w:color w:val="auto"/>
                <w:szCs w:val="21"/>
                <w:highlight w:val="none"/>
              </w:rPr>
            </w:pPr>
            <w:r>
              <w:rPr>
                <w:rFonts w:hint="eastAsia" w:ascii="宋体" w:hAnsi="宋体" w:cs="仿宋"/>
                <w:b/>
                <w:color w:val="auto"/>
                <w:szCs w:val="21"/>
                <w:highlight w:val="none"/>
              </w:rPr>
              <w:t>序号</w:t>
            </w:r>
          </w:p>
        </w:tc>
        <w:tc>
          <w:tcPr>
            <w:tcW w:w="2006"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jc w:val="center"/>
              <w:textAlignment w:val="auto"/>
              <w:rPr>
                <w:rFonts w:hint="eastAsia" w:ascii="宋体" w:hAnsi="宋体" w:eastAsia="宋体" w:cs="仿宋"/>
                <w:b/>
                <w:color w:val="auto"/>
                <w:szCs w:val="21"/>
                <w:highlight w:val="none"/>
                <w:lang w:eastAsia="zh-CN"/>
              </w:rPr>
            </w:pPr>
            <w:r>
              <w:rPr>
                <w:rFonts w:hint="eastAsia" w:ascii="宋体" w:hAnsi="宋体" w:cs="仿宋"/>
                <w:b/>
                <w:color w:val="auto"/>
                <w:szCs w:val="21"/>
                <w:highlight w:val="none"/>
              </w:rPr>
              <w:t>符合性审查</w:t>
            </w:r>
            <w:r>
              <w:rPr>
                <w:rFonts w:hint="eastAsia" w:ascii="宋体" w:hAnsi="宋体" w:cs="仿宋"/>
                <w:b/>
                <w:color w:val="auto"/>
                <w:szCs w:val="21"/>
                <w:highlight w:val="none"/>
                <w:lang w:val="en-US" w:eastAsia="zh-CN"/>
              </w:rPr>
              <w:t>类型</w:t>
            </w:r>
          </w:p>
        </w:tc>
        <w:tc>
          <w:tcPr>
            <w:tcW w:w="6594"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jc w:val="center"/>
              <w:textAlignment w:val="auto"/>
              <w:rPr>
                <w:rFonts w:hint="eastAsia" w:ascii="宋体" w:hAnsi="宋体" w:cs="仿宋"/>
                <w:color w:val="auto"/>
                <w:szCs w:val="21"/>
                <w:highlight w:val="none"/>
              </w:rPr>
            </w:pPr>
            <w:r>
              <w:rPr>
                <w:rFonts w:hint="eastAsia" w:ascii="宋体" w:hAnsi="宋体" w:cs="仿宋"/>
                <w:b/>
                <w:color w:val="auto"/>
                <w:szCs w:val="21"/>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jc w:val="center"/>
              <w:textAlignment w:val="auto"/>
              <w:rPr>
                <w:rFonts w:hint="eastAsia" w:ascii="宋体" w:hAnsi="宋体" w:cs="仿宋"/>
                <w:color w:val="auto"/>
                <w:szCs w:val="21"/>
                <w:highlight w:val="none"/>
              </w:rPr>
            </w:pPr>
            <w:r>
              <w:rPr>
                <w:rFonts w:hint="eastAsia" w:ascii="宋体" w:hAnsi="宋体" w:cs="仿宋"/>
                <w:color w:val="auto"/>
                <w:szCs w:val="21"/>
                <w:highlight w:val="none"/>
              </w:rPr>
              <w:t>1</w:t>
            </w:r>
          </w:p>
        </w:tc>
        <w:tc>
          <w:tcPr>
            <w:tcW w:w="2006"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default" w:ascii="宋体" w:hAnsi="宋体" w:eastAsia="宋体" w:cs="仿宋"/>
                <w:color w:val="auto"/>
                <w:szCs w:val="21"/>
                <w:highlight w:val="none"/>
                <w:lang w:val="en-US" w:eastAsia="zh-CN"/>
              </w:rPr>
            </w:pPr>
            <w:r>
              <w:rPr>
                <w:rFonts w:hint="eastAsia" w:ascii="宋体" w:hAnsi="宋体" w:cs="仿宋"/>
                <w:color w:val="auto"/>
                <w:szCs w:val="21"/>
                <w:highlight w:val="none"/>
                <w:lang w:val="en-US" w:eastAsia="zh-CN"/>
              </w:rPr>
              <w:t>报价部分</w:t>
            </w:r>
          </w:p>
        </w:tc>
        <w:tc>
          <w:tcPr>
            <w:tcW w:w="6594"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eastAsia" w:ascii="宋体" w:hAnsi="宋体" w:eastAsia="宋体" w:cs="仿宋"/>
                <w:color w:val="auto"/>
                <w:szCs w:val="21"/>
                <w:highlight w:val="none"/>
              </w:rPr>
            </w:pPr>
            <w:r>
              <w:rPr>
                <w:rFonts w:hint="eastAsia" w:ascii="宋体" w:hAnsi="宋体" w:eastAsia="宋体" w:cs="仿宋"/>
                <w:color w:val="auto"/>
                <w:szCs w:val="21"/>
                <w:highlight w:val="none"/>
                <w:lang w:val="en-US" w:eastAsia="zh-CN"/>
              </w:rPr>
              <w:t>1、投标文件满足招标文件要求的：</w:t>
            </w:r>
            <w:r>
              <w:rPr>
                <w:rFonts w:hint="eastAsia" w:ascii="宋体" w:hAnsi="宋体" w:eastAsia="宋体" w:cs="仿宋"/>
                <w:color w:val="auto"/>
                <w:szCs w:val="21"/>
                <w:highlight w:val="none"/>
              </w:rPr>
              <w:t>投标人只允许有一个报价，并且在合同履行过程中是固定不变的，任何有选择或可调整的报价将不予接受，并按无效投标处理（说明：投标报价出现下列情况的，按以下原则处理，并以修正后的价格作为投标人的投标报价：①投标文件的大写金额和小写金额不一致的，以大写金额为准，但大写金额出现文字错误，导致金额无法判断的除外；②总价金额与按单价汇总金额不一致的，以单价汇总金额计算结果为准，但是单价金额出现计算错误、明显人为工作失误的除外；③单价金额小数点有明显错位的，应以总价为准，并修改单价。</w:t>
            </w:r>
          </w:p>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eastAsia" w:ascii="宋体" w:hAnsi="宋体" w:eastAsia="宋体" w:cs="仿宋"/>
                <w:color w:val="auto"/>
                <w:szCs w:val="21"/>
                <w:highlight w:val="none"/>
              </w:rPr>
            </w:pPr>
            <w:r>
              <w:rPr>
                <w:rFonts w:hint="eastAsia" w:ascii="宋体" w:hAnsi="宋体" w:eastAsia="宋体" w:cs="仿宋"/>
                <w:color w:val="auto"/>
                <w:szCs w:val="21"/>
                <w:highlight w:val="none"/>
                <w:lang w:val="en-US" w:eastAsia="zh-CN"/>
              </w:rPr>
              <w:t>2、投标文件满足招标文件要求的：</w:t>
            </w:r>
            <w:r>
              <w:rPr>
                <w:rFonts w:hint="eastAsia" w:ascii="宋体" w:hAnsi="宋体" w:eastAsia="宋体" w:cs="仿宋"/>
                <w:color w:val="auto"/>
                <w:szCs w:val="21"/>
                <w:highlight w:val="none"/>
              </w:rPr>
              <w:t>未超过招标文件规定的最高限价；</w:t>
            </w:r>
            <w:r>
              <w:rPr>
                <w:rFonts w:hint="eastAsia" w:ascii="宋体" w:hAnsi="宋体" w:eastAsia="宋体" w:cs="仿宋"/>
                <w:color w:val="auto"/>
                <w:szCs w:val="21"/>
                <w:highlight w:val="none"/>
                <w:lang w:val="en-US" w:eastAsia="zh-CN"/>
              </w:rPr>
              <w:t>3、投标文件满足招标文件要求的：</w:t>
            </w:r>
            <w:r>
              <w:rPr>
                <w:rFonts w:hint="eastAsia" w:ascii="宋体" w:hAnsi="宋体" w:eastAsia="宋体" w:cs="仿宋"/>
                <w:color w:val="auto"/>
                <w:szCs w:val="21"/>
                <w:highlight w:val="none"/>
              </w:rPr>
              <w:t>投标人的报价是投标人响应招标项目要求的全部工作内容的价格体现，包括投标人完成本项目所需的一切费用。</w:t>
            </w:r>
          </w:p>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eastAsia" w:ascii="宋体" w:hAnsi="宋体" w:eastAsia="宋体" w:cs="仿宋"/>
                <w:color w:val="auto"/>
                <w:szCs w:val="21"/>
                <w:highlight w:val="none"/>
              </w:rPr>
            </w:pPr>
            <w:r>
              <w:rPr>
                <w:rFonts w:hint="eastAsia" w:ascii="宋体" w:hAnsi="宋体" w:eastAsia="宋体" w:cs="仿宋"/>
                <w:color w:val="auto"/>
                <w:szCs w:val="21"/>
                <w:highlight w:val="none"/>
                <w:lang w:val="en-US" w:eastAsia="zh-CN"/>
              </w:rPr>
              <w:t>4、</w:t>
            </w:r>
            <w:r>
              <w:rPr>
                <w:rFonts w:hint="eastAsia" w:ascii="宋体" w:hAnsi="宋体" w:eastAsia="宋体" w:cs="仿宋"/>
                <w:color w:val="auto"/>
                <w:szCs w:val="21"/>
                <w:highlight w:val="none"/>
              </w:rPr>
              <w:t>如因断电、断网、系统故障或其他不可抗力等因素，导致系统无法使用的，由投标人按评标委员会的要求进行澄清或者说明。</w:t>
            </w:r>
          </w:p>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eastAsia" w:ascii="宋体" w:hAnsi="宋体" w:eastAsia="宋体" w:cs="仿宋"/>
                <w:color w:val="auto"/>
                <w:szCs w:val="21"/>
                <w:highlight w:val="none"/>
              </w:rPr>
            </w:pPr>
            <w:r>
              <w:rPr>
                <w:rFonts w:hint="eastAsia" w:ascii="宋体" w:hAnsi="宋体" w:eastAsia="宋体" w:cs="仿宋"/>
                <w:color w:val="auto"/>
                <w:szCs w:val="21"/>
                <w:highlight w:val="none"/>
              </w:rPr>
              <w:t>【说明：无须提供证明材料，上传空白页即可，不对本项上传的材料作符合性审查。】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jc w:val="center"/>
              <w:textAlignment w:val="auto"/>
              <w:rPr>
                <w:rFonts w:hint="eastAsia" w:ascii="宋体" w:hAnsi="宋体" w:cs="仿宋"/>
                <w:color w:val="auto"/>
                <w:szCs w:val="21"/>
                <w:highlight w:val="none"/>
              </w:rPr>
            </w:pPr>
            <w:r>
              <w:rPr>
                <w:rFonts w:hint="eastAsia" w:ascii="宋体" w:hAnsi="宋体" w:cs="仿宋"/>
                <w:color w:val="auto"/>
                <w:szCs w:val="21"/>
                <w:highlight w:val="none"/>
              </w:rPr>
              <w:t>2</w:t>
            </w:r>
          </w:p>
        </w:tc>
        <w:tc>
          <w:tcPr>
            <w:tcW w:w="2006"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default" w:ascii="宋体" w:hAnsi="宋体" w:eastAsia="宋体" w:cs="仿宋"/>
                <w:color w:val="auto"/>
                <w:szCs w:val="21"/>
                <w:highlight w:val="none"/>
                <w:lang w:val="en-US" w:eastAsia="zh-CN"/>
              </w:rPr>
            </w:pPr>
            <w:r>
              <w:rPr>
                <w:rFonts w:hint="eastAsia" w:ascii="宋体" w:hAnsi="宋体" w:cs="仿宋"/>
                <w:color w:val="auto"/>
                <w:szCs w:val="21"/>
                <w:highlight w:val="none"/>
                <w:lang w:val="en-US" w:eastAsia="zh-CN"/>
              </w:rPr>
              <w:t>技术部分</w:t>
            </w:r>
          </w:p>
        </w:tc>
        <w:tc>
          <w:tcPr>
            <w:tcW w:w="6594"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eastAsia" w:ascii="宋体" w:hAnsi="宋体" w:eastAsia="宋体" w:cs="仿宋"/>
                <w:color w:val="auto"/>
                <w:szCs w:val="21"/>
                <w:highlight w:val="none"/>
              </w:rPr>
            </w:pPr>
            <w:r>
              <w:rPr>
                <w:rFonts w:hint="eastAsia" w:ascii="宋体" w:hAnsi="宋体" w:eastAsia="宋体" w:cs="仿宋"/>
                <w:color w:val="auto"/>
                <w:szCs w:val="21"/>
                <w:highlight w:val="none"/>
                <w:lang w:val="en-US" w:eastAsia="zh-CN"/>
              </w:rPr>
              <w:t>1、投标文件满足招标文件技术要求中的实质性要求。</w:t>
            </w:r>
            <w:r>
              <w:rPr>
                <w:rFonts w:hint="eastAsia" w:ascii="宋体" w:hAnsi="宋体" w:eastAsia="宋体" w:cs="仿宋"/>
                <w:color w:val="auto"/>
                <w:szCs w:val="21"/>
                <w:highlight w:val="none"/>
              </w:rPr>
              <w:t>【说明：无须提供证明材料，上传空白页即可，不对本项上传的材料作符合性审查】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jc w:val="center"/>
              <w:textAlignment w:val="auto"/>
              <w:rPr>
                <w:rFonts w:hint="eastAsia" w:ascii="宋体" w:hAnsi="宋体" w:cs="仿宋"/>
                <w:color w:val="auto"/>
                <w:szCs w:val="21"/>
                <w:highlight w:val="none"/>
              </w:rPr>
            </w:pPr>
            <w:r>
              <w:rPr>
                <w:rFonts w:hint="eastAsia" w:ascii="宋体" w:hAnsi="宋体" w:cs="仿宋"/>
                <w:color w:val="auto"/>
                <w:szCs w:val="21"/>
                <w:highlight w:val="none"/>
              </w:rPr>
              <w:t>3</w:t>
            </w:r>
          </w:p>
        </w:tc>
        <w:tc>
          <w:tcPr>
            <w:tcW w:w="2006"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default" w:ascii="宋体" w:hAnsi="宋体" w:eastAsia="宋体" w:cs="仿宋"/>
                <w:color w:val="auto"/>
                <w:szCs w:val="21"/>
                <w:highlight w:val="none"/>
                <w:lang w:val="en-US" w:eastAsia="zh-CN"/>
              </w:rPr>
            </w:pPr>
            <w:r>
              <w:rPr>
                <w:rFonts w:hint="eastAsia" w:ascii="宋体" w:hAnsi="宋体" w:cs="仿宋"/>
                <w:color w:val="auto"/>
                <w:szCs w:val="21"/>
                <w:highlight w:val="none"/>
                <w:lang w:val="en-US" w:eastAsia="zh-CN"/>
              </w:rPr>
              <w:t>商务资信部分</w:t>
            </w:r>
          </w:p>
        </w:tc>
        <w:tc>
          <w:tcPr>
            <w:tcW w:w="6594"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eastAsia" w:ascii="宋体" w:hAnsi="宋体" w:eastAsia="宋体" w:cs="仿宋"/>
                <w:color w:val="auto"/>
                <w:szCs w:val="21"/>
                <w:highlight w:val="none"/>
                <w:lang w:val="en-US" w:eastAsia="zh-CN"/>
              </w:rPr>
            </w:pPr>
            <w:r>
              <w:rPr>
                <w:rFonts w:hint="eastAsia" w:ascii="宋体" w:hAnsi="宋体" w:eastAsia="宋体" w:cs="仿宋"/>
                <w:color w:val="auto"/>
                <w:szCs w:val="21"/>
                <w:highlight w:val="none"/>
                <w:lang w:val="en-US" w:eastAsia="zh-CN"/>
              </w:rPr>
              <w:t>1、投标文件满足招标文件要求的：计量单位、语言、报价货币、投标有效期的实质性要求。</w:t>
            </w:r>
          </w:p>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eastAsia" w:ascii="宋体" w:hAnsi="宋体" w:eastAsia="宋体" w:cs="仿宋"/>
                <w:color w:val="auto"/>
                <w:szCs w:val="21"/>
                <w:highlight w:val="none"/>
                <w:lang w:val="en-US" w:eastAsia="zh-CN"/>
              </w:rPr>
            </w:pPr>
            <w:r>
              <w:rPr>
                <w:rFonts w:hint="eastAsia" w:ascii="宋体" w:hAnsi="宋体" w:eastAsia="宋体" w:cs="仿宋"/>
                <w:color w:val="auto"/>
                <w:szCs w:val="21"/>
                <w:highlight w:val="none"/>
                <w:lang w:val="en-US" w:eastAsia="zh-CN"/>
              </w:rPr>
              <w:t>2、投标文件均实质性响应招标文件中实质性的商务要求。</w:t>
            </w:r>
          </w:p>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eastAsia" w:ascii="宋体" w:hAnsi="宋体" w:eastAsia="宋体" w:cs="仿宋"/>
                <w:color w:val="auto"/>
                <w:szCs w:val="21"/>
                <w:highlight w:val="none"/>
                <w:lang w:val="en-US" w:eastAsia="zh-CN"/>
              </w:rPr>
            </w:pPr>
            <w:r>
              <w:rPr>
                <w:rFonts w:hint="eastAsia" w:ascii="宋体" w:hAnsi="宋体" w:eastAsia="宋体" w:cs="仿宋"/>
                <w:color w:val="auto"/>
                <w:szCs w:val="21"/>
                <w:highlight w:val="none"/>
                <w:lang w:val="en-US" w:eastAsia="zh-CN"/>
              </w:rPr>
              <w:t>3、招标文件中未载明“允许采购进口产品”的产品，投标产品为国产产品。</w:t>
            </w:r>
          </w:p>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eastAsia" w:ascii="宋体" w:hAnsi="宋体" w:eastAsia="宋体" w:cs="仿宋"/>
                <w:color w:val="auto"/>
                <w:szCs w:val="21"/>
                <w:highlight w:val="none"/>
                <w:lang w:val="en-US" w:eastAsia="zh-CN"/>
              </w:rPr>
            </w:pPr>
            <w:r>
              <w:rPr>
                <w:rFonts w:hint="eastAsia" w:ascii="宋体" w:hAnsi="宋体" w:eastAsia="宋体" w:cs="仿宋"/>
                <w:color w:val="auto"/>
                <w:szCs w:val="21"/>
                <w:highlight w:val="none"/>
                <w:lang w:val="en-US" w:eastAsia="zh-CN"/>
              </w:rPr>
              <w:t>4、根据招标文件的要求不属于禁止参加投标或投标无效的供应商；</w:t>
            </w:r>
          </w:p>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eastAsia" w:ascii="宋体" w:hAnsi="宋体" w:eastAsia="宋体" w:cs="仿宋"/>
                <w:color w:val="auto"/>
                <w:szCs w:val="21"/>
                <w:highlight w:val="none"/>
                <w:lang w:val="en-US" w:eastAsia="zh-CN"/>
              </w:rPr>
            </w:pPr>
            <w:r>
              <w:rPr>
                <w:rFonts w:hint="eastAsia" w:ascii="宋体" w:hAnsi="宋体" w:eastAsia="宋体" w:cs="仿宋"/>
                <w:color w:val="auto"/>
                <w:szCs w:val="21"/>
                <w:highlight w:val="none"/>
                <w:lang w:val="en-US" w:eastAsia="zh-CN"/>
              </w:rPr>
              <w:t>5、评标委员会未发现或者未知晓投标人存在属于国家相关法律法规规定的禁止参加投标或投标无效的供应商。</w:t>
            </w:r>
          </w:p>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eastAsia" w:ascii="宋体" w:hAnsi="宋体" w:eastAsia="宋体" w:cs="仿宋"/>
                <w:color w:val="auto"/>
                <w:szCs w:val="21"/>
                <w:highlight w:val="none"/>
                <w:lang w:val="en-US" w:eastAsia="zh-CN"/>
              </w:rPr>
            </w:pPr>
            <w:r>
              <w:rPr>
                <w:rFonts w:hint="eastAsia" w:ascii="宋体" w:hAnsi="宋体" w:eastAsia="宋体" w:cs="仿宋"/>
                <w:color w:val="auto"/>
                <w:szCs w:val="21"/>
                <w:highlight w:val="none"/>
                <w:lang w:val="en-US" w:eastAsia="zh-CN"/>
              </w:rPr>
              <w:t>6、均按招标文件要求签章。</w:t>
            </w:r>
          </w:p>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default" w:ascii="宋体" w:hAnsi="宋体" w:eastAsia="宋体" w:cs="仿宋"/>
                <w:color w:val="auto"/>
                <w:szCs w:val="21"/>
                <w:highlight w:val="none"/>
                <w:lang w:val="en-US" w:eastAsia="zh-CN"/>
              </w:rPr>
            </w:pPr>
            <w:r>
              <w:rPr>
                <w:rFonts w:hint="eastAsia" w:ascii="宋体" w:hAnsi="宋体" w:eastAsia="宋体" w:cs="仿宋"/>
                <w:color w:val="auto"/>
                <w:szCs w:val="21"/>
                <w:highlight w:val="none"/>
                <w:lang w:val="en-US" w:eastAsia="zh-CN"/>
              </w:rPr>
              <w:t>7、投标文件满足招标文件其他实质性要求。</w:t>
            </w:r>
          </w:p>
          <w:p>
            <w:pPr>
              <w:keepNext w:val="0"/>
              <w:keepLines w:val="0"/>
              <w:pageBreakBefore w:val="0"/>
              <w:widowControl w:val="0"/>
              <w:tabs>
                <w:tab w:val="left" w:pos="851"/>
              </w:tabs>
              <w:kinsoku/>
              <w:wordWrap/>
              <w:overflowPunct/>
              <w:topLinePunct w:val="0"/>
              <w:autoSpaceDE/>
              <w:autoSpaceDN/>
              <w:bidi w:val="0"/>
              <w:adjustRightInd/>
              <w:snapToGrid/>
              <w:spacing w:after="0" w:line="240" w:lineRule="auto"/>
              <w:textAlignment w:val="auto"/>
              <w:rPr>
                <w:rFonts w:hint="eastAsia" w:ascii="宋体" w:hAnsi="宋体" w:eastAsia="宋体" w:cs="仿宋"/>
                <w:color w:val="auto"/>
                <w:szCs w:val="21"/>
                <w:highlight w:val="none"/>
              </w:rPr>
            </w:pPr>
            <w:r>
              <w:rPr>
                <w:rFonts w:hint="eastAsia" w:ascii="宋体" w:hAnsi="宋体" w:eastAsia="宋体" w:cs="仿宋"/>
                <w:color w:val="auto"/>
                <w:szCs w:val="21"/>
                <w:highlight w:val="none"/>
              </w:rPr>
              <w:t>【说明：无须提供证明材料，上传空白页即可，不对本项上传的材料作符合性审查】</w:t>
            </w:r>
          </w:p>
        </w:tc>
      </w:tr>
    </w:tbl>
    <w:p>
      <w:pPr>
        <w:adjustRightInd w:val="0"/>
        <w:snapToGrid w:val="0"/>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3.3.2投标文件有下列情形的</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本项目不作为实质性要求进行规定，即不作为符合性审查事项，不得作为无效投标处理</w:t>
      </w:r>
      <w:r>
        <w:rPr>
          <w:rFonts w:hint="eastAsia" w:ascii="宋体" w:hAnsi="宋体" w:cs="宋体"/>
          <w:bCs/>
          <w:color w:val="auto"/>
          <w:sz w:val="24"/>
          <w:highlight w:val="none"/>
          <w:lang w:eastAsia="zh-CN"/>
        </w:rPr>
        <w:t>：</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（一）</w:t>
      </w:r>
      <w:r>
        <w:rPr>
          <w:rFonts w:hint="eastAsia" w:ascii="宋体" w:hAnsi="宋体" w:cs="宋体"/>
          <w:color w:val="auto"/>
          <w:sz w:val="24"/>
          <w:highlight w:val="none"/>
        </w:rPr>
        <w:t>除招标文件明确</w:t>
      </w:r>
      <w:r>
        <w:rPr>
          <w:rFonts w:hint="eastAsia" w:ascii="宋体" w:hAnsi="宋体" w:cs="宋体"/>
          <w:color w:val="auto"/>
          <w:sz w:val="24"/>
          <w:highlight w:val="none"/>
          <w:lang w:eastAsia="zh-CN"/>
        </w:rPr>
        <w:t>的</w:t>
      </w:r>
      <w:r>
        <w:rPr>
          <w:rFonts w:hint="eastAsia" w:ascii="宋体" w:hAnsi="宋体" w:cs="宋体"/>
          <w:color w:val="auto"/>
          <w:sz w:val="24"/>
          <w:highlight w:val="none"/>
        </w:rPr>
        <w:t>实质性要求</w:t>
      </w:r>
      <w:r>
        <w:rPr>
          <w:rFonts w:hint="eastAsia" w:ascii="宋体" w:hAnsi="宋体" w:cs="宋体"/>
          <w:color w:val="auto"/>
          <w:sz w:val="24"/>
          <w:highlight w:val="none"/>
          <w:lang w:eastAsia="zh-CN"/>
        </w:rPr>
        <w:t>外，</w:t>
      </w:r>
      <w:r>
        <w:rPr>
          <w:rFonts w:hint="eastAsia" w:ascii="宋体" w:hAnsi="宋体" w:cs="宋体"/>
          <w:bCs/>
          <w:color w:val="auto"/>
          <w:sz w:val="24"/>
          <w:highlight w:val="none"/>
        </w:rPr>
        <w:t>存在个别地方（不超过2个）没有法定代表人签字，但有法定代表人的私人印章或者有效授权代理人签字的；</w:t>
      </w:r>
    </w:p>
    <w:p>
      <w:pPr>
        <w:adjustRightInd w:val="0"/>
        <w:snapToGrid w:val="0"/>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w:t>
      </w:r>
      <w:r>
        <w:rPr>
          <w:rFonts w:hint="eastAsia" w:ascii="宋体" w:hAnsi="宋体" w:cs="宋体"/>
          <w:bCs/>
          <w:color w:val="auto"/>
          <w:sz w:val="24"/>
          <w:highlight w:val="none"/>
          <w:lang w:eastAsia="zh-CN"/>
        </w:rPr>
        <w:t>二</w:t>
      </w:r>
      <w:r>
        <w:rPr>
          <w:rFonts w:hint="eastAsia" w:ascii="宋体" w:hAnsi="宋体" w:cs="宋体"/>
          <w:bCs/>
          <w:color w:val="auto"/>
          <w:sz w:val="24"/>
          <w:highlight w:val="none"/>
        </w:rPr>
        <w:t>）除招标文件明确要求加盖单位(法人)公章的以外，其他地方以相关专用章加盖的</w:t>
      </w:r>
      <w:r>
        <w:rPr>
          <w:rFonts w:hint="eastAsia" w:ascii="宋体" w:hAnsi="宋体" w:cs="宋体"/>
          <w:bCs/>
          <w:color w:val="auto"/>
          <w:sz w:val="24"/>
          <w:highlight w:val="none"/>
          <w:lang w:eastAsia="zh-CN"/>
        </w:rPr>
        <w:t>；</w:t>
      </w:r>
    </w:p>
    <w:p>
      <w:pPr>
        <w:adjustRightInd w:val="0"/>
        <w:snapToGrid w:val="0"/>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w:t>
      </w:r>
      <w:r>
        <w:rPr>
          <w:rFonts w:hint="eastAsia" w:ascii="宋体" w:hAnsi="宋体" w:cs="宋体"/>
          <w:bCs/>
          <w:color w:val="auto"/>
          <w:sz w:val="24"/>
          <w:highlight w:val="none"/>
          <w:lang w:eastAsia="zh-CN"/>
        </w:rPr>
        <w:t>三</w:t>
      </w:r>
      <w:r>
        <w:rPr>
          <w:rFonts w:hint="eastAsia" w:ascii="宋体" w:hAnsi="宋体" w:cs="宋体"/>
          <w:bCs/>
          <w:color w:val="auto"/>
          <w:sz w:val="24"/>
          <w:highlight w:val="none"/>
        </w:rPr>
        <w:t>）其他不影响采购项目实质性要求的情形</w:t>
      </w:r>
      <w:r>
        <w:rPr>
          <w:rFonts w:hint="eastAsia" w:ascii="宋体" w:hAnsi="宋体" w:cs="宋体"/>
          <w:bCs/>
          <w:color w:val="auto"/>
          <w:sz w:val="24"/>
          <w:highlight w:val="none"/>
          <w:lang w:eastAsia="zh-CN"/>
        </w:rPr>
        <w:t>。</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3.3.3除政府采购法律制度规定的情形外，本项目投标人或者其投标文件有下列情形之一的，作为无效投标处理：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（一）投标文件组成明显不符合招标文件的规定要求，影响评标委员会评判的；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w:t>
      </w:r>
      <w:r>
        <w:rPr>
          <w:rFonts w:hint="eastAsia" w:ascii="宋体" w:hAnsi="宋体" w:cs="宋体"/>
          <w:bCs/>
          <w:color w:val="auto"/>
          <w:sz w:val="24"/>
          <w:highlight w:val="none"/>
          <w:lang w:eastAsia="zh-CN"/>
        </w:rPr>
        <w:t>二</w:t>
      </w:r>
      <w:r>
        <w:rPr>
          <w:rFonts w:hint="eastAsia" w:ascii="宋体" w:hAnsi="宋体" w:cs="宋体"/>
          <w:bCs/>
          <w:color w:val="auto"/>
          <w:sz w:val="24"/>
          <w:highlight w:val="none"/>
        </w:rPr>
        <w:t>）投标文件的格式、语言、计量单位、报价货币、知识产权、投标有效期等不符合招标文件的规定，影响评标委员会评判的；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w:t>
      </w:r>
      <w:r>
        <w:rPr>
          <w:rFonts w:hint="eastAsia" w:ascii="宋体" w:hAnsi="宋体" w:cs="宋体"/>
          <w:bCs/>
          <w:color w:val="auto"/>
          <w:sz w:val="24"/>
          <w:highlight w:val="none"/>
          <w:lang w:eastAsia="zh-CN"/>
        </w:rPr>
        <w:t>三</w:t>
      </w:r>
      <w:r>
        <w:rPr>
          <w:rFonts w:hint="eastAsia" w:ascii="宋体" w:hAnsi="宋体" w:cs="宋体"/>
          <w:bCs/>
          <w:color w:val="auto"/>
          <w:sz w:val="24"/>
          <w:highlight w:val="none"/>
        </w:rPr>
        <w:t>）投标报价不符合招标文件规定的价格标底和其他报价规定的；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w:t>
      </w:r>
      <w:r>
        <w:rPr>
          <w:rFonts w:hint="eastAsia" w:ascii="宋体" w:hAnsi="宋体" w:cs="宋体"/>
          <w:bCs/>
          <w:color w:val="auto"/>
          <w:sz w:val="24"/>
          <w:highlight w:val="none"/>
          <w:lang w:eastAsia="zh-CN"/>
        </w:rPr>
        <w:t>四</w:t>
      </w:r>
      <w:r>
        <w:rPr>
          <w:rFonts w:hint="eastAsia" w:ascii="宋体" w:hAnsi="宋体" w:cs="宋体"/>
          <w:bCs/>
          <w:color w:val="auto"/>
          <w:sz w:val="24"/>
          <w:highlight w:val="none"/>
        </w:rPr>
        <w:t>）技术应答内容完全或者绝大部分复制招标文件规定要求，且无相关证明材料的（主要适用于专用设备和电子信息化建设采购项目，政府采购工程、政府采购协议供货或定点供应商采购</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政府采购的货物属于规格标准统一或者订制产品及服务项目的除外）；</w:t>
      </w:r>
    </w:p>
    <w:p>
      <w:pPr>
        <w:adjustRightInd w:val="0"/>
        <w:snapToGrid w:val="0"/>
        <w:spacing w:line="360" w:lineRule="auto"/>
        <w:ind w:firstLine="480" w:firstLineChars="200"/>
        <w:rPr>
          <w:rFonts w:hint="eastAsia" w:ascii="宋体" w:hAnsi="宋体" w:cs="宋体"/>
          <w:bCs/>
          <w:color w:val="auto"/>
          <w:sz w:val="24"/>
          <w:highlight w:val="none"/>
          <w:lang w:eastAsia="zh-CN"/>
        </w:rPr>
      </w:pPr>
      <w:r>
        <w:rPr>
          <w:rFonts w:hint="eastAsia" w:ascii="宋体" w:hAnsi="宋体" w:cs="宋体"/>
          <w:bCs/>
          <w:color w:val="auto"/>
          <w:sz w:val="24"/>
          <w:highlight w:val="none"/>
        </w:rPr>
        <w:t>（</w:t>
      </w:r>
      <w:r>
        <w:rPr>
          <w:rFonts w:hint="eastAsia" w:ascii="宋体" w:hAnsi="宋体" w:cs="宋体"/>
          <w:bCs/>
          <w:color w:val="auto"/>
          <w:sz w:val="24"/>
          <w:highlight w:val="none"/>
          <w:lang w:eastAsia="zh-CN"/>
        </w:rPr>
        <w:t>五</w:t>
      </w:r>
      <w:r>
        <w:rPr>
          <w:rFonts w:hint="eastAsia" w:ascii="宋体" w:hAnsi="宋体" w:cs="宋体"/>
          <w:bCs/>
          <w:color w:val="auto"/>
          <w:sz w:val="24"/>
          <w:highlight w:val="none"/>
        </w:rPr>
        <w:t>）技术、服务应答内容没有完全响应招标文件的实质性要求的</w:t>
      </w:r>
      <w:r>
        <w:rPr>
          <w:rFonts w:hint="eastAsia" w:ascii="宋体" w:hAnsi="宋体" w:cs="宋体"/>
          <w:bCs/>
          <w:color w:val="auto"/>
          <w:sz w:val="24"/>
          <w:highlight w:val="none"/>
          <w:lang w:eastAsia="zh-CN"/>
        </w:rPr>
        <w:t>；</w:t>
      </w:r>
    </w:p>
    <w:p>
      <w:pPr>
        <w:adjustRightInd w:val="0"/>
        <w:snapToGrid w:val="0"/>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w:t>
      </w:r>
      <w:r>
        <w:rPr>
          <w:rFonts w:hint="eastAsia" w:ascii="宋体" w:hAnsi="宋体" w:cs="宋体"/>
          <w:bCs/>
          <w:color w:val="auto"/>
          <w:sz w:val="24"/>
          <w:highlight w:val="none"/>
          <w:lang w:eastAsia="zh-CN"/>
        </w:rPr>
        <w:t>六</w:t>
      </w:r>
      <w:r>
        <w:rPr>
          <w:rFonts w:hint="eastAsia" w:ascii="宋体" w:hAnsi="宋体" w:cs="宋体"/>
          <w:bCs/>
          <w:color w:val="auto"/>
          <w:sz w:val="24"/>
          <w:highlight w:val="none"/>
        </w:rPr>
        <w:t>）招标文件有明确要求，但投标文件未载明或者载明的采购项目履约时间、方式、数量与招标文件要求不一致的</w:t>
      </w:r>
      <w:r>
        <w:rPr>
          <w:rFonts w:hint="eastAsia" w:ascii="宋体" w:hAnsi="宋体" w:cs="宋体"/>
          <w:bCs/>
          <w:color w:val="auto"/>
          <w:sz w:val="24"/>
          <w:highlight w:val="none"/>
          <w:lang w:eastAsia="zh-CN"/>
        </w:rPr>
        <w:t>。</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3.4比较与评价。按招标文件中规定的评标方法和标准，对未作无效投标处理的投标文件进行技术、服务、商务等方面评估，综合比较与评价。</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3.5复核。评分汇总结束后，评标委员会应当进行复核，特别要对拟推荐为中标候选供应商的、报价最低的、投标文件被认定为无效的进行重点复核。</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3.6推荐中标候选供应商。中标候选供应商应当排序。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评标委员会可推荐</w:t>
      </w:r>
      <w:r>
        <w:rPr>
          <w:rFonts w:hint="eastAsia" w:ascii="宋体" w:hAnsi="宋体" w:cs="宋体"/>
          <w:bCs/>
          <w:color w:val="auto"/>
          <w:sz w:val="24"/>
          <w:highlight w:val="none"/>
          <w:lang w:eastAsia="zh-CN"/>
        </w:rPr>
        <w:t>的</w:t>
      </w:r>
      <w:r>
        <w:rPr>
          <w:rFonts w:hint="eastAsia" w:ascii="宋体" w:hAnsi="宋体" w:cs="宋体"/>
          <w:bCs/>
          <w:color w:val="auto"/>
          <w:sz w:val="24"/>
          <w:highlight w:val="none"/>
        </w:rPr>
        <w:t>中标候选供应商数量不能满足招标文件规定的数量的，只有在获得采购人书面同意后，可以根据实际情况推荐中标候选供应商。未获得采购人的书面同意</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评标委员会不得在招标文件规定之外推荐中标候选供应商，否则，采购人可以不予认可。</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3.7出具评标报告。评标委员会推荐中标候选供应商后，应当向招标采购单位出具评标报告。评标报告应当包括下列内容：</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（一）招标公告刊登的媒体名称、开标日期和地点；</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（二）获取招标文件的投标人名单和评标委员会成员名单；</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（三）评标方法和标准；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（四）开标记录和评标情况及说明，包括无效投标人名单及原因；</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（五）评标结果和中标候选供应商排序表；</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（六）评标委员会授标建议；</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（七）报价最高的投标人为中标候选人的，评标委员会应当对其报价的合理性予以特别说明。</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3.8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3.9供应商应当书面澄清、说明或者补正。</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3.9.1在评标过程中，对于投标文件中含义不明确、同类问题表述不一致或者有明显文字和计算错误的内容，评标委员会应当以书面形式要求投标人作出必要的澄清、说明或者补正。</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3.9.2供应商应当书面澄清、说明或者补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补正不影响投标文件的效力，有效的澄清、说明或者补正材料，是投标文件的组成部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3.9.3评标委员会要求供应商澄清、说明或者补正，不得超出招标文件的范围，不得以此让供应商实质改变投标文件的内容，不得影响供应商公平竞争。本项目下列内容不得澄清：</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（一）按财政部规定应当在评标时不予承认的投标文件内容事项；</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（二）投标文件中已经明确的内容事项；</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（三）投标文件未提供的材料。</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3.9.4 本项目采购过程中，投标文件出现下列情况的，不需要供应商澄清、说明或者补正，按照以下原则处理：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（一）投标文件的大写金额和小写金额不一致的，以大写金额为准，但大写金额出现文字错误，导致金额无法判断的除外；</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（二）总价金额与按单价汇总金额不一致的，以单价汇总金额计算结果为准，但是单价金额出现计算错误、明显人为工作失误的除外；</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（三）单价金额小数点有明显错位的，应以总价为准，并修改单价；</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（四）对不同语言文本投标文件的解释发生异议的，以中文文本为准。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注：评标委员会当积极履行澄清、说明或者补正的职责，不得滥用权力。供应商的投标文件可以要求澄清、说明或者补正的，不得未经澄清、说明或者补正而直接作无效投标处理。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3.10 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adjustRightInd w:val="0"/>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3、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3.11 招标采购单位现场复核评标结果。</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3.11.1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（一）资格性审查认定错误的；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（二）分值汇总计算错误的；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（三）分项评分超出评分标准范围的；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（四）客观评分不一致的。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3.11.2有下列情形之一的，不得修改评标结果或者重新评标：</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（一）评标委员会已经出具评标报告并且离开评标现场的；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（二）招标采购单位现场复核时，复核工作人员数量不足的；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（三）招标采购单位现场复核时，没有采购监督人员现场监督的；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（四）招标采购单位现场复核内容超出规定范围的；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（五）招标采购单位未提供书面建议的。</w:t>
      </w:r>
    </w:p>
    <w:p>
      <w:pPr>
        <w:adjustRightInd w:val="0"/>
        <w:snapToGrid w:val="0"/>
        <w:spacing w:line="360" w:lineRule="auto"/>
        <w:ind w:firstLine="482" w:firstLineChars="200"/>
        <w:outlineLvl w:val="1"/>
        <w:rPr>
          <w:rFonts w:ascii="宋体" w:hAnsi="宋体" w:cs="宋体"/>
          <w:b/>
          <w:color w:val="auto"/>
          <w:sz w:val="24"/>
          <w:highlight w:val="none"/>
        </w:rPr>
      </w:pPr>
      <w:r>
        <w:rPr>
          <w:rFonts w:hint="eastAsia" w:ascii="宋体" w:hAnsi="宋体" w:cs="宋体"/>
          <w:b/>
          <w:color w:val="auto"/>
          <w:sz w:val="24"/>
          <w:highlight w:val="none"/>
        </w:rPr>
        <w:t>4．评标细则及标准</w:t>
      </w:r>
      <w:bookmarkEnd w:id="369"/>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4.1本次综合评分的因素是：详见综合评分明细表。</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宋体" w:hAnsi="宋体" w:cs="宋体"/>
          <w:bCs/>
          <w:color w:val="auto"/>
          <w:sz w:val="24"/>
          <w:highlight w:val="none"/>
        </w:rPr>
        <w:t>4.2 评标委员会成员应当根据自身专业情况对每个有效投标供应商的投标文件进行独立评分，加权汇总每项评分因素的得分，得出每个有效投标供应商的总分。采购人代表原则上对技术类评分因素独立评分。其他不能明确区分的评分因素由评标委员会成</w:t>
      </w:r>
      <w:r>
        <w:rPr>
          <w:rFonts w:hint="eastAsia" w:asciiTheme="minorEastAsia" w:hAnsiTheme="minorEastAsia" w:eastAsiaTheme="minorEastAsia" w:cstheme="minorEastAsia"/>
          <w:bCs/>
          <w:color w:val="auto"/>
          <w:sz w:val="24"/>
          <w:szCs w:val="24"/>
          <w:highlight w:val="none"/>
        </w:rPr>
        <w:t>员共同评分。</w:t>
      </w:r>
    </w:p>
    <w:p>
      <w:pPr>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4.3综合评分明细表：</w:t>
      </w:r>
    </w:p>
    <w:p>
      <w:pPr>
        <w:pStyle w:val="8"/>
        <w:rPr>
          <w:rFonts w:hint="eastAsia" w:asciiTheme="minorEastAsia" w:hAnsiTheme="minorEastAsia" w:eastAsiaTheme="minorEastAsia" w:cstheme="minorEastAsia"/>
          <w:color w:val="auto"/>
          <w:sz w:val="24"/>
          <w:szCs w:val="24"/>
          <w:highlight w:val="none"/>
        </w:rPr>
      </w:pPr>
    </w:p>
    <w:p>
      <w:pPr>
        <w:rPr>
          <w:rFonts w:hint="eastAsia"/>
          <w:color w:val="auto"/>
          <w:highlight w:val="none"/>
        </w:rPr>
      </w:pPr>
    </w:p>
    <w:tbl>
      <w:tblPr>
        <w:tblStyle w:val="21"/>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085"/>
        <w:gridCol w:w="830"/>
        <w:gridCol w:w="6159"/>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590" w:type="dxa"/>
            <w:noWrap w:val="0"/>
            <w:vAlign w:val="center"/>
          </w:tcPr>
          <w:p>
            <w:pPr>
              <w:jc w:val="center"/>
              <w:rPr>
                <w:rFonts w:ascii="宋体" w:hAnsi="宋体" w:cs="宋体"/>
                <w:b/>
                <w:bCs/>
                <w:color w:val="auto"/>
                <w:kern w:val="0"/>
                <w:sz w:val="20"/>
                <w:szCs w:val="21"/>
                <w:highlight w:val="none"/>
              </w:rPr>
            </w:pPr>
            <w:bookmarkStart w:id="370" w:name="_Toc217446060"/>
            <w:r>
              <w:rPr>
                <w:rFonts w:hint="eastAsia" w:ascii="宋体" w:hAnsi="宋体" w:cs="宋体"/>
                <w:b/>
                <w:bCs/>
                <w:color w:val="auto"/>
                <w:kern w:val="0"/>
                <w:szCs w:val="21"/>
                <w:highlight w:val="none"/>
              </w:rPr>
              <w:t>序号</w:t>
            </w:r>
          </w:p>
        </w:tc>
        <w:tc>
          <w:tcPr>
            <w:tcW w:w="1085" w:type="dxa"/>
            <w:noWrap w:val="0"/>
            <w:vAlign w:val="center"/>
          </w:tcPr>
          <w:p>
            <w:pPr>
              <w:jc w:val="center"/>
              <w:rPr>
                <w:rFonts w:ascii="宋体" w:hAnsi="宋体" w:cs="宋体"/>
                <w:b/>
                <w:bCs/>
                <w:color w:val="auto"/>
                <w:kern w:val="0"/>
                <w:sz w:val="20"/>
                <w:szCs w:val="21"/>
                <w:highlight w:val="none"/>
              </w:rPr>
            </w:pPr>
            <w:r>
              <w:rPr>
                <w:rFonts w:hint="eastAsia" w:ascii="宋体" w:hAnsi="宋体" w:cs="宋体"/>
                <w:b/>
                <w:bCs/>
                <w:color w:val="auto"/>
                <w:kern w:val="0"/>
                <w:szCs w:val="21"/>
                <w:highlight w:val="none"/>
              </w:rPr>
              <w:t>评分因素</w:t>
            </w:r>
          </w:p>
          <w:p>
            <w:pPr>
              <w:jc w:val="center"/>
              <w:rPr>
                <w:rFonts w:ascii="宋体" w:hAnsi="宋体" w:cs="宋体"/>
                <w:b/>
                <w:bCs/>
                <w:color w:val="auto"/>
                <w:kern w:val="0"/>
                <w:sz w:val="20"/>
                <w:szCs w:val="21"/>
                <w:highlight w:val="none"/>
              </w:rPr>
            </w:pPr>
            <w:r>
              <w:rPr>
                <w:rFonts w:hint="eastAsia" w:ascii="宋体" w:hAnsi="宋体" w:cs="宋体"/>
                <w:b/>
                <w:bCs/>
                <w:color w:val="auto"/>
                <w:kern w:val="0"/>
                <w:szCs w:val="21"/>
                <w:highlight w:val="none"/>
              </w:rPr>
              <w:t>及权重</w:t>
            </w:r>
          </w:p>
        </w:tc>
        <w:tc>
          <w:tcPr>
            <w:tcW w:w="830" w:type="dxa"/>
            <w:noWrap w:val="0"/>
            <w:vAlign w:val="center"/>
          </w:tcPr>
          <w:p>
            <w:pPr>
              <w:jc w:val="center"/>
              <w:rPr>
                <w:rFonts w:ascii="宋体" w:hAnsi="宋体" w:cs="宋体"/>
                <w:b/>
                <w:bCs/>
                <w:color w:val="auto"/>
                <w:kern w:val="0"/>
                <w:sz w:val="20"/>
                <w:szCs w:val="21"/>
                <w:highlight w:val="none"/>
              </w:rPr>
            </w:pPr>
            <w:r>
              <w:rPr>
                <w:rFonts w:hint="eastAsia" w:ascii="宋体" w:hAnsi="宋体" w:cs="宋体"/>
                <w:b/>
                <w:bCs/>
                <w:color w:val="auto"/>
                <w:kern w:val="0"/>
                <w:szCs w:val="21"/>
                <w:highlight w:val="none"/>
              </w:rPr>
              <w:t>分值</w:t>
            </w:r>
          </w:p>
        </w:tc>
        <w:tc>
          <w:tcPr>
            <w:tcW w:w="6159" w:type="dxa"/>
            <w:noWrap w:val="0"/>
            <w:vAlign w:val="center"/>
          </w:tcPr>
          <w:p>
            <w:pPr>
              <w:jc w:val="center"/>
              <w:rPr>
                <w:rFonts w:ascii="宋体" w:hAnsi="宋体" w:cs="宋体"/>
                <w:b/>
                <w:bCs/>
                <w:color w:val="auto"/>
                <w:kern w:val="0"/>
                <w:sz w:val="20"/>
                <w:szCs w:val="21"/>
                <w:highlight w:val="none"/>
              </w:rPr>
            </w:pPr>
            <w:r>
              <w:rPr>
                <w:rFonts w:hint="eastAsia" w:ascii="宋体" w:hAnsi="宋体" w:cs="宋体"/>
                <w:b/>
                <w:bCs/>
                <w:color w:val="auto"/>
                <w:kern w:val="0"/>
                <w:szCs w:val="21"/>
                <w:highlight w:val="none"/>
              </w:rPr>
              <w:t>评分标准</w:t>
            </w:r>
          </w:p>
        </w:tc>
        <w:tc>
          <w:tcPr>
            <w:tcW w:w="1214" w:type="dxa"/>
            <w:noWrap w:val="0"/>
            <w:vAlign w:val="center"/>
          </w:tcPr>
          <w:p>
            <w:pPr>
              <w:jc w:val="center"/>
              <w:rPr>
                <w:rFonts w:ascii="宋体" w:hAnsi="宋体" w:cs="宋体"/>
                <w:b/>
                <w:bCs/>
                <w:color w:val="auto"/>
                <w:kern w:val="0"/>
                <w:sz w:val="20"/>
                <w:szCs w:val="21"/>
                <w:highlight w:val="none"/>
              </w:rPr>
            </w:pPr>
            <w:r>
              <w:rPr>
                <w:rFonts w:hint="eastAsia" w:ascii="宋体" w:hAnsi="宋体" w:cs="宋体"/>
                <w:b/>
                <w:bCs/>
                <w:color w:val="auto"/>
                <w:kern w:val="0"/>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90" w:type="dxa"/>
            <w:vMerge w:val="restart"/>
            <w:noWrap w:val="0"/>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085" w:type="dxa"/>
            <w:vMerge w:val="restart"/>
            <w:noWrap w:val="0"/>
            <w:vAlign w:val="center"/>
          </w:tcPr>
          <w:p>
            <w:pPr>
              <w:jc w:val="center"/>
              <w:rPr>
                <w:rFonts w:ascii="宋体" w:hAnsi="宋体" w:cs="宋体"/>
                <w:color w:val="auto"/>
                <w:kern w:val="0"/>
                <w:sz w:val="20"/>
                <w:szCs w:val="21"/>
                <w:highlight w:val="none"/>
                <w:lang w:val="zh-CN" w:bidi="zh-CN"/>
              </w:rPr>
            </w:pPr>
            <w:r>
              <w:rPr>
                <w:rFonts w:hint="eastAsia" w:ascii="宋体" w:hAnsi="宋体" w:cs="宋体"/>
                <w:color w:val="auto"/>
                <w:kern w:val="0"/>
                <w:szCs w:val="21"/>
                <w:highlight w:val="none"/>
                <w:lang w:val="zh-CN" w:bidi="zh-CN"/>
              </w:rPr>
              <w:t>报价10%</w:t>
            </w:r>
          </w:p>
        </w:tc>
        <w:tc>
          <w:tcPr>
            <w:tcW w:w="830" w:type="dxa"/>
            <w:vMerge w:val="restart"/>
            <w:noWrap w:val="0"/>
            <w:vAlign w:val="center"/>
          </w:tcPr>
          <w:p>
            <w:pPr>
              <w:jc w:val="center"/>
              <w:rPr>
                <w:rFonts w:ascii="宋体" w:hAnsi="宋体" w:cs="宋体"/>
                <w:color w:val="auto"/>
                <w:kern w:val="0"/>
                <w:sz w:val="20"/>
                <w:szCs w:val="21"/>
                <w:highlight w:val="none"/>
                <w:lang w:val="zh-CN" w:bidi="zh-CN"/>
              </w:rPr>
            </w:pPr>
            <w:r>
              <w:rPr>
                <w:rFonts w:hint="eastAsia" w:ascii="宋体" w:hAnsi="宋体" w:cs="宋体"/>
                <w:color w:val="auto"/>
                <w:kern w:val="0"/>
                <w:szCs w:val="21"/>
                <w:highlight w:val="none"/>
                <w:lang w:val="zh-CN" w:bidi="zh-CN"/>
              </w:rPr>
              <w:t>10分</w:t>
            </w:r>
          </w:p>
        </w:tc>
        <w:tc>
          <w:tcPr>
            <w:tcW w:w="6159" w:type="dxa"/>
            <w:vMerge w:val="restart"/>
            <w:noWrap w:val="0"/>
            <w:vAlign w:val="center"/>
          </w:tcPr>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满足招标文件要求且报价最低的投标人的价格为评标基准价，其价格分为满分，其他投标人的报价得分计算公式为:投标报价得分=(评标基准价/投标报价)×分值。</w:t>
            </w:r>
          </w:p>
          <w:p>
            <w:pPr>
              <w:pStyle w:val="34"/>
              <w:autoSpaceDE/>
              <w:autoSpaceDN/>
              <w:ind w:firstLine="420" w:firstLineChars="2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注：1.因落实政府采购政策进行价格调整的，以调整后的价格计算评标基准价和投标报价。</w:t>
            </w:r>
          </w:p>
          <w:p>
            <w:pPr>
              <w:pStyle w:val="34"/>
              <w:autoSpaceDE/>
              <w:autoSpaceDN/>
              <w:ind w:firstLine="420" w:firstLineChars="2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.评分的取值按四舍五入法，保留小数点后两位。</w:t>
            </w:r>
          </w:p>
        </w:tc>
        <w:tc>
          <w:tcPr>
            <w:tcW w:w="1214" w:type="dxa"/>
            <w:vMerge w:val="restart"/>
            <w:noWrap w:val="0"/>
            <w:vAlign w:val="center"/>
          </w:tcPr>
          <w:p>
            <w:pPr>
              <w:jc w:val="center"/>
              <w:rPr>
                <w:rFonts w:ascii="宋体" w:hAnsi="宋体" w:cs="宋体"/>
                <w:color w:val="auto"/>
                <w:kern w:val="0"/>
                <w:sz w:val="24"/>
                <w:highlight w:val="none"/>
              </w:rPr>
            </w:pPr>
            <w:r>
              <w:rPr>
                <w:rFonts w:hint="eastAsia" w:ascii="宋体" w:hAnsi="宋体" w:cs="宋体"/>
                <w:color w:val="auto"/>
                <w:kern w:val="0"/>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90" w:type="dxa"/>
            <w:vMerge w:val="continue"/>
            <w:noWrap w:val="0"/>
            <w:vAlign w:val="center"/>
          </w:tcPr>
          <w:p>
            <w:pPr>
              <w:jc w:val="center"/>
              <w:rPr>
                <w:rFonts w:ascii="宋体" w:hAnsi="宋体" w:cs="宋体"/>
                <w:color w:val="auto"/>
                <w:kern w:val="0"/>
                <w:sz w:val="24"/>
                <w:highlight w:val="none"/>
              </w:rPr>
            </w:pPr>
          </w:p>
        </w:tc>
        <w:tc>
          <w:tcPr>
            <w:tcW w:w="1085" w:type="dxa"/>
            <w:vMerge w:val="continue"/>
            <w:noWrap w:val="0"/>
            <w:vAlign w:val="center"/>
          </w:tcPr>
          <w:p>
            <w:pPr>
              <w:jc w:val="center"/>
              <w:rPr>
                <w:rFonts w:ascii="宋体" w:hAnsi="宋体" w:cs="宋体"/>
                <w:color w:val="auto"/>
                <w:kern w:val="0"/>
                <w:sz w:val="20"/>
                <w:szCs w:val="21"/>
                <w:highlight w:val="none"/>
                <w:lang w:val="zh-CN" w:bidi="zh-CN"/>
              </w:rPr>
            </w:pPr>
          </w:p>
        </w:tc>
        <w:tc>
          <w:tcPr>
            <w:tcW w:w="830" w:type="dxa"/>
            <w:vMerge w:val="continue"/>
            <w:noWrap w:val="0"/>
            <w:vAlign w:val="center"/>
          </w:tcPr>
          <w:p>
            <w:pPr>
              <w:jc w:val="center"/>
              <w:rPr>
                <w:rFonts w:ascii="宋体" w:hAnsi="宋体" w:cs="宋体"/>
                <w:color w:val="auto"/>
                <w:kern w:val="0"/>
                <w:sz w:val="20"/>
                <w:szCs w:val="21"/>
                <w:highlight w:val="none"/>
                <w:lang w:val="zh-CN" w:bidi="zh-CN"/>
              </w:rPr>
            </w:pPr>
          </w:p>
        </w:tc>
        <w:tc>
          <w:tcPr>
            <w:tcW w:w="6159" w:type="dxa"/>
            <w:vMerge w:val="continue"/>
            <w:noWrap w:val="0"/>
            <w:vAlign w:val="center"/>
          </w:tcPr>
          <w:p>
            <w:pPr>
              <w:rPr>
                <w:rFonts w:ascii="宋体" w:hAnsi="宋体" w:cs="宋体"/>
                <w:color w:val="auto"/>
                <w:kern w:val="0"/>
                <w:sz w:val="24"/>
                <w:highlight w:val="none"/>
              </w:rPr>
            </w:pPr>
          </w:p>
        </w:tc>
        <w:tc>
          <w:tcPr>
            <w:tcW w:w="1214" w:type="dxa"/>
            <w:vMerge w:val="continue"/>
            <w:noWrap w:val="0"/>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90" w:type="dxa"/>
            <w:vMerge w:val="continue"/>
            <w:noWrap w:val="0"/>
            <w:vAlign w:val="center"/>
          </w:tcPr>
          <w:p>
            <w:pPr>
              <w:jc w:val="center"/>
              <w:rPr>
                <w:rFonts w:ascii="宋体" w:hAnsi="宋体" w:cs="宋体"/>
                <w:color w:val="auto"/>
                <w:kern w:val="0"/>
                <w:sz w:val="24"/>
                <w:highlight w:val="none"/>
              </w:rPr>
            </w:pPr>
          </w:p>
        </w:tc>
        <w:tc>
          <w:tcPr>
            <w:tcW w:w="1085" w:type="dxa"/>
            <w:vMerge w:val="continue"/>
            <w:noWrap w:val="0"/>
            <w:vAlign w:val="center"/>
          </w:tcPr>
          <w:p>
            <w:pPr>
              <w:jc w:val="center"/>
              <w:rPr>
                <w:rFonts w:ascii="宋体" w:hAnsi="宋体" w:cs="宋体"/>
                <w:color w:val="auto"/>
                <w:kern w:val="0"/>
                <w:sz w:val="20"/>
                <w:szCs w:val="21"/>
                <w:highlight w:val="none"/>
                <w:lang w:val="zh-CN" w:bidi="zh-CN"/>
              </w:rPr>
            </w:pPr>
          </w:p>
        </w:tc>
        <w:tc>
          <w:tcPr>
            <w:tcW w:w="830" w:type="dxa"/>
            <w:vMerge w:val="continue"/>
            <w:noWrap w:val="0"/>
            <w:vAlign w:val="center"/>
          </w:tcPr>
          <w:p>
            <w:pPr>
              <w:jc w:val="center"/>
              <w:rPr>
                <w:rFonts w:ascii="宋体" w:hAnsi="宋体" w:cs="宋体"/>
                <w:color w:val="auto"/>
                <w:kern w:val="0"/>
                <w:sz w:val="20"/>
                <w:szCs w:val="21"/>
                <w:highlight w:val="none"/>
                <w:lang w:val="zh-CN" w:bidi="zh-CN"/>
              </w:rPr>
            </w:pPr>
          </w:p>
        </w:tc>
        <w:tc>
          <w:tcPr>
            <w:tcW w:w="6159" w:type="dxa"/>
            <w:vMerge w:val="continue"/>
            <w:noWrap w:val="0"/>
            <w:vAlign w:val="center"/>
          </w:tcPr>
          <w:p>
            <w:pPr>
              <w:rPr>
                <w:rFonts w:ascii="宋体" w:hAnsi="宋体" w:cs="宋体"/>
                <w:color w:val="auto"/>
                <w:kern w:val="0"/>
                <w:sz w:val="24"/>
                <w:highlight w:val="none"/>
              </w:rPr>
            </w:pPr>
          </w:p>
        </w:tc>
        <w:tc>
          <w:tcPr>
            <w:tcW w:w="1214" w:type="dxa"/>
            <w:vMerge w:val="continue"/>
            <w:noWrap w:val="0"/>
            <w:vAlign w:val="center"/>
          </w:tcPr>
          <w:p>
            <w:pPr>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5" w:hRule="atLeast"/>
          <w:jc w:val="center"/>
        </w:trPr>
        <w:tc>
          <w:tcPr>
            <w:tcW w:w="590" w:type="dxa"/>
            <w:noWrap w:val="0"/>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085" w:type="dxa"/>
            <w:noWrap w:val="0"/>
            <w:vAlign w:val="center"/>
          </w:tcPr>
          <w:p>
            <w:pPr>
              <w:jc w:val="center"/>
              <w:rPr>
                <w:rFonts w:ascii="宋体" w:hAnsi="宋体" w:cs="宋体"/>
                <w:color w:val="auto"/>
                <w:kern w:val="0"/>
                <w:sz w:val="20"/>
                <w:szCs w:val="21"/>
                <w:highlight w:val="none"/>
                <w:lang w:val="zh-CN" w:bidi="zh-CN"/>
              </w:rPr>
            </w:pPr>
            <w:r>
              <w:rPr>
                <w:rFonts w:hint="eastAsia" w:ascii="宋体" w:hAnsi="宋体" w:cs="宋体"/>
                <w:color w:val="auto"/>
                <w:kern w:val="0"/>
                <w:szCs w:val="21"/>
                <w:highlight w:val="none"/>
                <w:lang w:val="zh-CN" w:bidi="zh-CN"/>
              </w:rPr>
              <w:t>技术方案及技术保障5</w:t>
            </w:r>
            <w:r>
              <w:rPr>
                <w:rFonts w:hint="eastAsia" w:ascii="宋体" w:hAnsi="宋体" w:cs="宋体"/>
                <w:color w:val="auto"/>
                <w:kern w:val="0"/>
                <w:szCs w:val="21"/>
                <w:highlight w:val="none"/>
                <w:lang w:val="en-US" w:bidi="zh-CN"/>
              </w:rPr>
              <w:t>2</w:t>
            </w:r>
            <w:r>
              <w:rPr>
                <w:rFonts w:hint="eastAsia" w:ascii="宋体" w:hAnsi="宋体" w:cs="宋体"/>
                <w:color w:val="auto"/>
                <w:kern w:val="0"/>
                <w:szCs w:val="21"/>
                <w:highlight w:val="none"/>
                <w:lang w:val="zh-CN" w:bidi="zh-CN"/>
              </w:rPr>
              <w:t>%</w:t>
            </w:r>
          </w:p>
        </w:tc>
        <w:tc>
          <w:tcPr>
            <w:tcW w:w="830" w:type="dxa"/>
            <w:noWrap w:val="0"/>
            <w:vAlign w:val="center"/>
          </w:tcPr>
          <w:p>
            <w:pPr>
              <w:jc w:val="center"/>
              <w:rPr>
                <w:rFonts w:ascii="宋体" w:hAnsi="宋体" w:cs="宋体"/>
                <w:color w:val="auto"/>
                <w:kern w:val="0"/>
                <w:sz w:val="20"/>
                <w:szCs w:val="21"/>
                <w:highlight w:val="none"/>
                <w:lang w:val="zh-CN" w:bidi="zh-CN"/>
              </w:rPr>
            </w:pPr>
            <w:r>
              <w:rPr>
                <w:rFonts w:hint="eastAsia" w:ascii="宋体" w:hAnsi="宋体" w:cs="宋体"/>
                <w:color w:val="auto"/>
                <w:kern w:val="0"/>
                <w:szCs w:val="21"/>
                <w:highlight w:val="none"/>
                <w:lang w:val="en-US" w:bidi="zh-CN"/>
              </w:rPr>
              <w:t>52</w:t>
            </w:r>
            <w:r>
              <w:rPr>
                <w:rFonts w:hint="eastAsia" w:ascii="宋体" w:hAnsi="宋体" w:cs="宋体"/>
                <w:color w:val="auto"/>
                <w:kern w:val="0"/>
                <w:szCs w:val="21"/>
                <w:highlight w:val="none"/>
                <w:lang w:val="zh-CN" w:bidi="zh-CN"/>
              </w:rPr>
              <w:t>分</w:t>
            </w:r>
          </w:p>
        </w:tc>
        <w:tc>
          <w:tcPr>
            <w:tcW w:w="6159" w:type="dxa"/>
            <w:noWrap w:val="0"/>
            <w:vAlign w:val="center"/>
          </w:tcPr>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rPr>
              <w:t>1、</w:t>
            </w:r>
            <w:r>
              <w:rPr>
                <w:rFonts w:hint="eastAsia" w:ascii="宋体" w:hAnsi="宋体" w:cs="宋体"/>
                <w:color w:val="auto"/>
                <w:kern w:val="0"/>
                <w:sz w:val="21"/>
                <w:szCs w:val="21"/>
                <w:highlight w:val="none"/>
                <w:lang w:val="zh-CN"/>
              </w:rPr>
              <w:t>针对</w:t>
            </w:r>
            <w:r>
              <w:rPr>
                <w:rFonts w:hint="eastAsia" w:ascii="宋体" w:hAnsi="宋体" w:cs="宋体"/>
                <w:color w:val="auto"/>
                <w:kern w:val="0"/>
                <w:sz w:val="21"/>
                <w:szCs w:val="21"/>
                <w:highlight w:val="none"/>
              </w:rPr>
              <w:t>投标人提供</w:t>
            </w:r>
            <w:r>
              <w:rPr>
                <w:rFonts w:hint="eastAsia" w:ascii="宋体" w:hAnsi="宋体" w:cs="宋体"/>
                <w:color w:val="auto"/>
                <w:kern w:val="0"/>
                <w:sz w:val="21"/>
                <w:szCs w:val="21"/>
                <w:highlight w:val="none"/>
                <w:lang w:val="zh-CN"/>
              </w:rPr>
              <w:t>本项目的</w:t>
            </w:r>
            <w:r>
              <w:rPr>
                <w:rFonts w:hint="eastAsia" w:cs="宋体"/>
                <w:color w:val="auto"/>
                <w:kern w:val="0"/>
                <w:sz w:val="21"/>
                <w:szCs w:val="21"/>
                <w:highlight w:val="none"/>
                <w:lang w:val="zh-CN"/>
              </w:rPr>
              <w:t>实施方案</w:t>
            </w:r>
            <w:r>
              <w:rPr>
                <w:rFonts w:hint="eastAsia" w:ascii="宋体" w:hAnsi="宋体" w:cs="宋体"/>
                <w:color w:val="auto"/>
                <w:kern w:val="0"/>
                <w:sz w:val="21"/>
                <w:szCs w:val="21"/>
                <w:highlight w:val="none"/>
                <w:lang w:val="zh-CN"/>
              </w:rPr>
              <w:t>进行综合比较与评价：内容包含</w:t>
            </w:r>
          </w:p>
          <w:p>
            <w:pPr>
              <w:pStyle w:val="56"/>
              <w:ind w:firstLine="420" w:firstLineChars="200"/>
              <w:rPr>
                <w:rFonts w:cs="宋体"/>
                <w:color w:val="auto"/>
                <w:kern w:val="0"/>
                <w:sz w:val="21"/>
                <w:szCs w:val="21"/>
                <w:highlight w:val="none"/>
                <w:lang w:val="zh-CN"/>
              </w:rPr>
            </w:pPr>
            <w:r>
              <w:rPr>
                <w:rFonts w:hint="eastAsia" w:ascii="宋体" w:hAnsi="宋体" w:cs="宋体"/>
                <w:color w:val="auto"/>
                <w:kern w:val="0"/>
                <w:sz w:val="21"/>
                <w:szCs w:val="21"/>
                <w:highlight w:val="none"/>
                <w:lang w:val="zh-CN"/>
              </w:rPr>
              <w:t>①项目实施规范</w:t>
            </w:r>
            <w:r>
              <w:rPr>
                <w:rFonts w:hint="eastAsia" w:cs="宋体"/>
                <w:color w:val="auto"/>
                <w:kern w:val="0"/>
                <w:sz w:val="21"/>
                <w:szCs w:val="21"/>
                <w:highlight w:val="none"/>
                <w:lang w:val="zh-CN"/>
              </w:rPr>
              <w:t>；</w:t>
            </w:r>
          </w:p>
          <w:p>
            <w:pPr>
              <w:pStyle w:val="56"/>
              <w:ind w:firstLine="420" w:firstLineChars="200"/>
              <w:rPr>
                <w:rFonts w:cs="宋体"/>
                <w:color w:val="auto"/>
                <w:kern w:val="0"/>
                <w:sz w:val="21"/>
                <w:szCs w:val="21"/>
                <w:highlight w:val="none"/>
                <w:lang w:val="zh-CN"/>
              </w:rPr>
            </w:pPr>
            <w:r>
              <w:rPr>
                <w:rFonts w:hint="eastAsia" w:ascii="宋体" w:hAnsi="宋体" w:cs="宋体"/>
                <w:color w:val="auto"/>
                <w:kern w:val="0"/>
                <w:sz w:val="21"/>
                <w:szCs w:val="21"/>
                <w:highlight w:val="none"/>
                <w:lang w:val="zh-CN"/>
              </w:rPr>
              <w:t>②管理制度</w:t>
            </w:r>
            <w:r>
              <w:rPr>
                <w:rFonts w:hint="eastAsia" w:cs="宋体"/>
                <w:color w:val="auto"/>
                <w:kern w:val="0"/>
                <w:sz w:val="21"/>
                <w:szCs w:val="21"/>
                <w:highlight w:val="none"/>
                <w:lang w:val="zh-CN"/>
              </w:rPr>
              <w:t>；</w:t>
            </w:r>
          </w:p>
          <w:p>
            <w:pPr>
              <w:pStyle w:val="56"/>
              <w:ind w:firstLine="420" w:firstLineChars="200"/>
              <w:rPr>
                <w:rFonts w:cs="宋体"/>
                <w:color w:val="auto"/>
                <w:kern w:val="0"/>
                <w:sz w:val="21"/>
                <w:szCs w:val="21"/>
                <w:highlight w:val="none"/>
                <w:lang w:val="zh-CN"/>
              </w:rPr>
            </w:pPr>
            <w:r>
              <w:rPr>
                <w:rFonts w:hint="eastAsia" w:ascii="宋体" w:hAnsi="宋体" w:cs="宋体"/>
                <w:color w:val="auto"/>
                <w:kern w:val="0"/>
                <w:sz w:val="21"/>
                <w:szCs w:val="21"/>
                <w:highlight w:val="none"/>
                <w:lang w:val="zh-CN"/>
              </w:rPr>
              <w:t>③质检方案</w:t>
            </w:r>
            <w:r>
              <w:rPr>
                <w:rFonts w:hint="eastAsia" w:cs="宋体"/>
                <w:color w:val="auto"/>
                <w:kern w:val="0"/>
                <w:sz w:val="21"/>
                <w:szCs w:val="21"/>
                <w:highlight w:val="none"/>
                <w:lang w:val="zh-CN"/>
              </w:rPr>
              <w:t>；</w:t>
            </w:r>
          </w:p>
          <w:p>
            <w:pPr>
              <w:pStyle w:val="56"/>
              <w:ind w:firstLine="420" w:firstLineChars="200"/>
              <w:rPr>
                <w:rFonts w:cs="宋体"/>
                <w:color w:val="auto"/>
                <w:kern w:val="0"/>
                <w:sz w:val="21"/>
                <w:szCs w:val="21"/>
                <w:highlight w:val="none"/>
                <w:lang w:val="zh-CN"/>
              </w:rPr>
            </w:pPr>
            <w:r>
              <w:rPr>
                <w:rFonts w:hint="eastAsia" w:ascii="宋体" w:hAnsi="宋体" w:cs="宋体"/>
                <w:color w:val="auto"/>
                <w:kern w:val="0"/>
                <w:sz w:val="21"/>
                <w:szCs w:val="21"/>
                <w:highlight w:val="none"/>
                <w:lang w:val="zh-CN"/>
              </w:rPr>
              <w:t>④数字化加工保密方案</w:t>
            </w:r>
            <w:r>
              <w:rPr>
                <w:rFonts w:hint="eastAsia" w:cs="宋体"/>
                <w:color w:val="auto"/>
                <w:kern w:val="0"/>
                <w:sz w:val="21"/>
                <w:szCs w:val="21"/>
                <w:highlight w:val="none"/>
                <w:lang w:val="zh-CN"/>
              </w:rPr>
              <w:t>；</w:t>
            </w:r>
          </w:p>
          <w:p>
            <w:pPr>
              <w:pStyle w:val="56"/>
              <w:ind w:firstLine="420" w:firstLineChars="200"/>
              <w:rPr>
                <w:rFonts w:cs="宋体"/>
                <w:color w:val="auto"/>
                <w:kern w:val="0"/>
                <w:sz w:val="21"/>
                <w:szCs w:val="21"/>
                <w:highlight w:val="none"/>
                <w:lang w:val="zh-CN"/>
              </w:rPr>
            </w:pPr>
            <w:r>
              <w:rPr>
                <w:rFonts w:hint="eastAsia" w:ascii="宋体" w:hAnsi="宋体" w:cs="宋体"/>
                <w:color w:val="auto"/>
                <w:kern w:val="0"/>
                <w:sz w:val="21"/>
                <w:szCs w:val="21"/>
                <w:highlight w:val="none"/>
                <w:lang w:val="zh-CN"/>
              </w:rPr>
              <w:t>⑤档案实体交接保护等</w:t>
            </w:r>
            <w:r>
              <w:rPr>
                <w:rFonts w:hint="eastAsia" w:cs="宋体"/>
                <w:color w:val="auto"/>
                <w:kern w:val="0"/>
                <w:sz w:val="21"/>
                <w:szCs w:val="21"/>
                <w:highlight w:val="none"/>
                <w:lang w:val="zh-CN"/>
              </w:rPr>
              <w:t>。</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有缺项的扣</w:t>
            </w: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lang w:val="zh-CN"/>
              </w:rPr>
              <w:t>分，扣完为止；</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每有一处存在缺陷（缺陷是指该项内容分析不全面；阐述存在逻辑错误；涉及内容无重点，不能体现本项目的特点；语言错误或存在歧义；与本项目实际不完全相符；项目名称、实施地点与本项目不一致等）扣</w:t>
            </w:r>
            <w:r>
              <w:rPr>
                <w:rFonts w:hint="eastAsia" w:ascii="宋体" w:hAnsi="宋体" w:cs="宋体"/>
                <w:color w:val="auto"/>
                <w:kern w:val="0"/>
                <w:sz w:val="21"/>
                <w:szCs w:val="21"/>
                <w:highlight w:val="none"/>
              </w:rPr>
              <w:t>1</w:t>
            </w:r>
            <w:r>
              <w:rPr>
                <w:rFonts w:hint="eastAsia" w:ascii="宋体" w:hAnsi="宋体" w:cs="宋体"/>
                <w:color w:val="auto"/>
                <w:kern w:val="0"/>
                <w:sz w:val="21"/>
                <w:szCs w:val="21"/>
                <w:highlight w:val="none"/>
                <w:lang w:val="zh-CN"/>
              </w:rPr>
              <w:t>分，扣完为止。</w:t>
            </w:r>
          </w:p>
          <w:p>
            <w:pPr>
              <w:pStyle w:val="56"/>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lang w:val="zh-CN"/>
              </w:rPr>
              <w:t>本项满分</w:t>
            </w:r>
            <w:r>
              <w:rPr>
                <w:rFonts w:hint="eastAsia" w:ascii="宋体" w:hAnsi="宋体" w:cs="宋体"/>
                <w:color w:val="auto"/>
                <w:kern w:val="0"/>
                <w:sz w:val="21"/>
                <w:szCs w:val="21"/>
                <w:highlight w:val="none"/>
              </w:rPr>
              <w:t>10</w:t>
            </w:r>
            <w:r>
              <w:rPr>
                <w:rFonts w:hint="eastAsia" w:ascii="宋体" w:hAnsi="宋体" w:cs="宋体"/>
                <w:color w:val="auto"/>
                <w:kern w:val="0"/>
                <w:sz w:val="21"/>
                <w:szCs w:val="21"/>
                <w:highlight w:val="none"/>
                <w:lang w:val="zh-CN"/>
              </w:rPr>
              <w:t>分</w:t>
            </w:r>
          </w:p>
          <w:p>
            <w:pPr>
              <w:pStyle w:val="56"/>
              <w:ind w:firstLine="420" w:firstLineChars="200"/>
              <w:rPr>
                <w:rFonts w:ascii="宋体" w:hAnsi="宋体" w:cs="宋体"/>
                <w:color w:val="auto"/>
                <w:kern w:val="0"/>
                <w:highlight w:val="none"/>
              </w:rPr>
            </w:pP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lang w:val="zh-CN"/>
              </w:rPr>
              <w:t>针对</w:t>
            </w:r>
            <w:r>
              <w:rPr>
                <w:rFonts w:hint="eastAsia" w:ascii="宋体" w:hAnsi="宋体" w:cs="宋体"/>
                <w:color w:val="auto"/>
                <w:kern w:val="0"/>
                <w:sz w:val="21"/>
                <w:szCs w:val="21"/>
                <w:highlight w:val="none"/>
              </w:rPr>
              <w:t>投标人</w:t>
            </w:r>
            <w:r>
              <w:rPr>
                <w:rFonts w:hint="eastAsia" w:ascii="宋体" w:hAnsi="宋体" w:cs="宋体"/>
                <w:color w:val="auto"/>
                <w:kern w:val="0"/>
                <w:sz w:val="21"/>
                <w:szCs w:val="21"/>
                <w:highlight w:val="none"/>
                <w:lang w:val="zh-CN"/>
              </w:rPr>
              <w:t>提供本项目的不动产登记档案管理</w:t>
            </w:r>
            <w:r>
              <w:rPr>
                <w:rFonts w:hint="eastAsia" w:cs="宋体"/>
                <w:color w:val="auto"/>
                <w:kern w:val="0"/>
                <w:sz w:val="21"/>
                <w:szCs w:val="21"/>
                <w:highlight w:val="none"/>
                <w:lang w:val="zh-CN"/>
              </w:rPr>
              <w:t>方案</w:t>
            </w:r>
            <w:r>
              <w:rPr>
                <w:rFonts w:hint="eastAsia" w:ascii="宋体" w:hAnsi="宋体" w:cs="宋体"/>
                <w:color w:val="auto"/>
                <w:kern w:val="0"/>
                <w:sz w:val="21"/>
                <w:szCs w:val="21"/>
                <w:highlight w:val="none"/>
                <w:lang w:val="zh-CN"/>
              </w:rPr>
              <w:t>进行综合比较与评价：内容包含</w:t>
            </w:r>
          </w:p>
          <w:p>
            <w:pPr>
              <w:pStyle w:val="56"/>
              <w:ind w:firstLine="420" w:firstLineChars="200"/>
              <w:rPr>
                <w:rFonts w:ascii="宋体" w:hAnsi="宋体" w:cs="宋体"/>
                <w:color w:val="auto"/>
                <w:kern w:val="0"/>
                <w:highlight w:val="none"/>
              </w:rPr>
            </w:pPr>
            <w:r>
              <w:rPr>
                <w:rFonts w:hint="eastAsia" w:ascii="宋体" w:hAnsi="宋体" w:cs="宋体"/>
                <w:color w:val="auto"/>
                <w:kern w:val="0"/>
                <w:sz w:val="21"/>
                <w:szCs w:val="21"/>
                <w:highlight w:val="none"/>
                <w:lang w:val="zh-CN"/>
              </w:rPr>
              <w:t>①项目概况和需求分析；</w:t>
            </w:r>
          </w:p>
          <w:p>
            <w:pPr>
              <w:pStyle w:val="56"/>
              <w:ind w:firstLine="420" w:firstLineChars="200"/>
              <w:rPr>
                <w:rFonts w:hint="eastAsia" w:cs="宋体"/>
                <w:color w:val="auto"/>
                <w:kern w:val="0"/>
                <w:sz w:val="21"/>
                <w:szCs w:val="21"/>
                <w:highlight w:val="none"/>
                <w:lang w:val="zh-CN"/>
              </w:rPr>
            </w:pPr>
            <w:r>
              <w:rPr>
                <w:rFonts w:hint="eastAsia" w:ascii="宋体" w:hAnsi="宋体" w:cs="宋体"/>
                <w:color w:val="auto"/>
                <w:kern w:val="0"/>
                <w:sz w:val="21"/>
                <w:szCs w:val="21"/>
                <w:highlight w:val="none"/>
                <w:lang w:val="zh-CN"/>
              </w:rPr>
              <w:t>②对新都区现有档案数据字化加工情况及登记中心所使用的系统的了解</w:t>
            </w:r>
            <w:r>
              <w:rPr>
                <w:rFonts w:hint="eastAsia" w:cs="宋体"/>
                <w:color w:val="auto"/>
                <w:kern w:val="0"/>
                <w:sz w:val="21"/>
                <w:szCs w:val="21"/>
                <w:highlight w:val="none"/>
                <w:lang w:val="zh-CN"/>
              </w:rPr>
              <w:t>；</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③档案数字化加工项目重难点分析及应对措施。</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有缺项的扣</w:t>
            </w:r>
            <w:r>
              <w:rPr>
                <w:rFonts w:hint="eastAsia" w:ascii="宋体" w:hAnsi="宋体" w:cs="宋体"/>
                <w:color w:val="auto"/>
                <w:kern w:val="0"/>
                <w:sz w:val="21"/>
                <w:szCs w:val="21"/>
                <w:highlight w:val="none"/>
              </w:rPr>
              <w:t>3</w:t>
            </w:r>
            <w:r>
              <w:rPr>
                <w:rFonts w:hint="eastAsia" w:ascii="宋体" w:hAnsi="宋体" w:cs="宋体"/>
                <w:color w:val="auto"/>
                <w:kern w:val="0"/>
                <w:sz w:val="21"/>
                <w:szCs w:val="21"/>
                <w:highlight w:val="none"/>
                <w:lang w:val="zh-CN"/>
              </w:rPr>
              <w:t>分，扣完为止；</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每有一处存在缺陷（缺陷是指该项内容分析不全面；阐述存在逻辑错误；涉及内容无重点，不能体现本项目的特点；语言错误或存在歧义；与本项目实际不完全相符；项目名称、实施地点与本项目不一致等）扣</w:t>
            </w:r>
            <w:r>
              <w:rPr>
                <w:rFonts w:hint="eastAsia" w:ascii="宋体" w:hAnsi="宋体" w:cs="宋体"/>
                <w:color w:val="auto"/>
                <w:kern w:val="0"/>
                <w:sz w:val="21"/>
                <w:szCs w:val="21"/>
                <w:highlight w:val="none"/>
              </w:rPr>
              <w:t>1.5</w:t>
            </w:r>
            <w:r>
              <w:rPr>
                <w:rFonts w:hint="eastAsia" w:ascii="宋体" w:hAnsi="宋体" w:cs="宋体"/>
                <w:color w:val="auto"/>
                <w:kern w:val="0"/>
                <w:sz w:val="21"/>
                <w:szCs w:val="21"/>
                <w:highlight w:val="none"/>
                <w:lang w:val="zh-CN"/>
              </w:rPr>
              <w:t>分，扣完为止。</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本项满分</w:t>
            </w:r>
            <w:r>
              <w:rPr>
                <w:rFonts w:hint="eastAsia" w:ascii="宋体" w:hAnsi="宋体" w:cs="宋体"/>
                <w:color w:val="auto"/>
                <w:kern w:val="0"/>
                <w:sz w:val="21"/>
                <w:szCs w:val="21"/>
                <w:highlight w:val="none"/>
                <w:lang w:val="en-US" w:eastAsia="zh-CN"/>
              </w:rPr>
              <w:t>9</w:t>
            </w:r>
            <w:r>
              <w:rPr>
                <w:rFonts w:hint="eastAsia" w:ascii="宋体" w:hAnsi="宋体" w:cs="宋体"/>
                <w:color w:val="auto"/>
                <w:kern w:val="0"/>
                <w:sz w:val="21"/>
                <w:szCs w:val="21"/>
                <w:highlight w:val="none"/>
                <w:lang w:val="zh-CN"/>
              </w:rPr>
              <w:t>分</w:t>
            </w:r>
          </w:p>
          <w:p>
            <w:pPr>
              <w:pStyle w:val="56"/>
              <w:ind w:firstLine="420" w:firstLineChars="200"/>
              <w:rPr>
                <w:rFonts w:ascii="宋体" w:hAnsi="宋体" w:cs="宋体"/>
                <w:color w:val="auto"/>
                <w:kern w:val="0"/>
                <w:highlight w:val="none"/>
              </w:rPr>
            </w:pPr>
            <w:r>
              <w:rPr>
                <w:rFonts w:hint="eastAsia" w:ascii="宋体" w:hAnsi="宋体" w:cs="宋体"/>
                <w:color w:val="auto"/>
                <w:kern w:val="0"/>
                <w:sz w:val="21"/>
                <w:szCs w:val="21"/>
                <w:highlight w:val="none"/>
              </w:rPr>
              <w:t>3、</w:t>
            </w:r>
            <w:r>
              <w:rPr>
                <w:rFonts w:hint="eastAsia" w:ascii="宋体" w:hAnsi="宋体" w:cs="宋体"/>
                <w:color w:val="auto"/>
                <w:kern w:val="0"/>
                <w:sz w:val="21"/>
                <w:szCs w:val="21"/>
                <w:highlight w:val="none"/>
                <w:lang w:val="zh-CN"/>
              </w:rPr>
              <w:t>针对</w:t>
            </w:r>
            <w:r>
              <w:rPr>
                <w:rFonts w:hint="eastAsia" w:ascii="宋体" w:hAnsi="宋体" w:cs="宋体"/>
                <w:color w:val="auto"/>
                <w:kern w:val="0"/>
                <w:sz w:val="21"/>
                <w:szCs w:val="21"/>
                <w:highlight w:val="none"/>
              </w:rPr>
              <w:t>投标人</w:t>
            </w:r>
            <w:r>
              <w:rPr>
                <w:rFonts w:hint="eastAsia" w:ascii="宋体" w:hAnsi="宋体" w:cs="宋体"/>
                <w:color w:val="auto"/>
                <w:kern w:val="0"/>
                <w:sz w:val="21"/>
                <w:szCs w:val="21"/>
                <w:highlight w:val="none"/>
                <w:lang w:val="zh-CN"/>
              </w:rPr>
              <w:t>提供本项目的项目组织方案进行综合比较与评价：内容包含</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①项目管理机构设置；</w:t>
            </w:r>
          </w:p>
          <w:p>
            <w:pPr>
              <w:pStyle w:val="56"/>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lang w:val="zh-CN"/>
              </w:rPr>
              <w:t>②项目管理职责分工；</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有缺项的扣</w:t>
            </w:r>
            <w:r>
              <w:rPr>
                <w:rFonts w:hint="eastAsia" w:ascii="宋体" w:hAnsi="宋体" w:cs="宋体"/>
                <w:color w:val="auto"/>
                <w:kern w:val="0"/>
                <w:sz w:val="21"/>
                <w:szCs w:val="21"/>
                <w:highlight w:val="none"/>
              </w:rPr>
              <w:t>3</w:t>
            </w:r>
            <w:r>
              <w:rPr>
                <w:rFonts w:hint="eastAsia" w:ascii="宋体" w:hAnsi="宋体" w:cs="宋体"/>
                <w:color w:val="auto"/>
                <w:kern w:val="0"/>
                <w:sz w:val="21"/>
                <w:szCs w:val="21"/>
                <w:highlight w:val="none"/>
                <w:lang w:val="zh-CN"/>
              </w:rPr>
              <w:t>分，扣完为止；</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每有一处存在缺陷（缺陷是指该项内容分析不全面；阐述存在逻辑错误；涉及内容无重点，不能体现本项目的特点；语言错误或存在歧义；与本项目实际不完全相符；项目名称、实施地点与本项目不一致等）扣</w:t>
            </w:r>
            <w:r>
              <w:rPr>
                <w:rFonts w:hint="eastAsia" w:ascii="宋体" w:hAnsi="宋体" w:cs="宋体"/>
                <w:color w:val="auto"/>
                <w:kern w:val="0"/>
                <w:sz w:val="21"/>
                <w:szCs w:val="21"/>
                <w:highlight w:val="none"/>
              </w:rPr>
              <w:t>1.5</w:t>
            </w:r>
            <w:r>
              <w:rPr>
                <w:rFonts w:hint="eastAsia" w:ascii="宋体" w:hAnsi="宋体" w:cs="宋体"/>
                <w:color w:val="auto"/>
                <w:kern w:val="0"/>
                <w:sz w:val="21"/>
                <w:szCs w:val="21"/>
                <w:highlight w:val="none"/>
                <w:lang w:val="zh-CN"/>
              </w:rPr>
              <w:t>分，扣完为止。</w:t>
            </w:r>
          </w:p>
          <w:p>
            <w:pPr>
              <w:pStyle w:val="56"/>
              <w:ind w:firstLine="420" w:firstLineChars="200"/>
              <w:rPr>
                <w:rFonts w:ascii="宋体" w:hAnsi="宋体" w:cs="宋体"/>
                <w:color w:val="auto"/>
                <w:kern w:val="0"/>
                <w:highlight w:val="none"/>
              </w:rPr>
            </w:pPr>
            <w:r>
              <w:rPr>
                <w:rFonts w:hint="eastAsia" w:ascii="宋体" w:hAnsi="宋体" w:cs="宋体"/>
                <w:color w:val="auto"/>
                <w:kern w:val="0"/>
                <w:sz w:val="21"/>
                <w:szCs w:val="21"/>
                <w:highlight w:val="none"/>
                <w:lang w:val="zh-CN"/>
              </w:rPr>
              <w:t>本项满分</w:t>
            </w:r>
            <w:r>
              <w:rPr>
                <w:rFonts w:hint="eastAsia" w:ascii="宋体" w:hAnsi="宋体" w:cs="宋体"/>
                <w:color w:val="auto"/>
                <w:kern w:val="0"/>
                <w:sz w:val="21"/>
                <w:szCs w:val="21"/>
                <w:highlight w:val="none"/>
              </w:rPr>
              <w:t>6</w:t>
            </w:r>
            <w:r>
              <w:rPr>
                <w:rFonts w:hint="eastAsia" w:ascii="宋体" w:hAnsi="宋体" w:cs="宋体"/>
                <w:color w:val="auto"/>
                <w:kern w:val="0"/>
                <w:sz w:val="21"/>
                <w:szCs w:val="21"/>
                <w:highlight w:val="none"/>
                <w:lang w:val="zh-CN"/>
              </w:rPr>
              <w:t>分</w:t>
            </w:r>
          </w:p>
          <w:p>
            <w:pPr>
              <w:pStyle w:val="56"/>
              <w:ind w:firstLine="420" w:firstLineChars="200"/>
              <w:rPr>
                <w:rFonts w:ascii="宋体" w:hAnsi="宋体" w:cs="宋体"/>
                <w:color w:val="auto"/>
                <w:kern w:val="0"/>
                <w:highlight w:val="none"/>
              </w:rPr>
            </w:pPr>
            <w:r>
              <w:rPr>
                <w:rFonts w:hint="eastAsia" w:ascii="宋体" w:hAnsi="宋体" w:cs="宋体"/>
                <w:color w:val="auto"/>
                <w:kern w:val="0"/>
                <w:sz w:val="21"/>
                <w:szCs w:val="21"/>
                <w:highlight w:val="none"/>
              </w:rPr>
              <w:t>4、</w:t>
            </w:r>
            <w:r>
              <w:rPr>
                <w:rFonts w:hint="eastAsia" w:ascii="宋体" w:hAnsi="宋体" w:cs="宋体"/>
                <w:color w:val="auto"/>
                <w:kern w:val="0"/>
                <w:sz w:val="21"/>
                <w:szCs w:val="21"/>
                <w:highlight w:val="none"/>
                <w:lang w:val="zh-CN"/>
              </w:rPr>
              <w:t>针对</w:t>
            </w:r>
            <w:r>
              <w:rPr>
                <w:rFonts w:hint="eastAsia" w:ascii="宋体" w:hAnsi="宋体" w:cs="宋体"/>
                <w:color w:val="auto"/>
                <w:kern w:val="0"/>
                <w:sz w:val="21"/>
                <w:szCs w:val="21"/>
                <w:highlight w:val="none"/>
              </w:rPr>
              <w:t>投标人</w:t>
            </w:r>
            <w:r>
              <w:rPr>
                <w:rFonts w:hint="eastAsia" w:ascii="宋体" w:hAnsi="宋体" w:cs="宋体"/>
                <w:color w:val="auto"/>
                <w:kern w:val="0"/>
                <w:sz w:val="21"/>
                <w:szCs w:val="21"/>
                <w:highlight w:val="none"/>
                <w:lang w:val="zh-CN"/>
              </w:rPr>
              <w:t>提供本项目的工作程序和步骤</w:t>
            </w:r>
            <w:r>
              <w:rPr>
                <w:rFonts w:hint="eastAsia" w:cs="宋体"/>
                <w:color w:val="auto"/>
                <w:kern w:val="0"/>
                <w:sz w:val="21"/>
                <w:szCs w:val="21"/>
                <w:highlight w:val="none"/>
                <w:lang w:val="zh-CN"/>
              </w:rPr>
              <w:t>方案</w:t>
            </w:r>
            <w:r>
              <w:rPr>
                <w:rFonts w:hint="eastAsia" w:ascii="宋体" w:hAnsi="宋体" w:cs="宋体"/>
                <w:color w:val="auto"/>
                <w:kern w:val="0"/>
                <w:sz w:val="21"/>
                <w:szCs w:val="21"/>
                <w:highlight w:val="none"/>
                <w:lang w:val="zh-CN"/>
              </w:rPr>
              <w:t>进行综合比较与评价：内容包含</w:t>
            </w:r>
          </w:p>
          <w:p>
            <w:pPr>
              <w:pStyle w:val="56"/>
              <w:ind w:firstLine="420" w:firstLineChars="200"/>
              <w:rPr>
                <w:rFonts w:cs="宋体"/>
                <w:color w:val="auto"/>
                <w:kern w:val="0"/>
                <w:sz w:val="21"/>
                <w:szCs w:val="21"/>
                <w:highlight w:val="none"/>
                <w:lang w:val="zh-CN"/>
              </w:rPr>
            </w:pPr>
            <w:r>
              <w:rPr>
                <w:rFonts w:hint="eastAsia" w:ascii="宋体" w:hAnsi="宋体" w:cs="宋体"/>
                <w:color w:val="auto"/>
                <w:kern w:val="0"/>
                <w:sz w:val="21"/>
                <w:szCs w:val="21"/>
                <w:highlight w:val="none"/>
                <w:lang w:val="zh-CN"/>
              </w:rPr>
              <w:t>①数字化加工工作流程和各步骤概述</w:t>
            </w:r>
            <w:r>
              <w:rPr>
                <w:rFonts w:hint="eastAsia" w:cs="宋体"/>
                <w:color w:val="auto"/>
                <w:kern w:val="0"/>
                <w:sz w:val="21"/>
                <w:szCs w:val="21"/>
                <w:highlight w:val="none"/>
                <w:lang w:val="zh-CN"/>
              </w:rPr>
              <w:t>；</w:t>
            </w:r>
          </w:p>
          <w:p>
            <w:pPr>
              <w:pStyle w:val="56"/>
              <w:ind w:firstLine="420" w:firstLineChars="200"/>
              <w:rPr>
                <w:rFonts w:cs="宋体"/>
                <w:color w:val="auto"/>
                <w:kern w:val="0"/>
                <w:sz w:val="21"/>
                <w:szCs w:val="21"/>
                <w:highlight w:val="none"/>
                <w:lang w:val="zh-CN"/>
              </w:rPr>
            </w:pPr>
            <w:r>
              <w:rPr>
                <w:rFonts w:hint="eastAsia" w:ascii="宋体" w:hAnsi="宋体" w:cs="宋体"/>
                <w:color w:val="auto"/>
                <w:kern w:val="0"/>
                <w:sz w:val="21"/>
                <w:szCs w:val="21"/>
                <w:highlight w:val="none"/>
                <w:lang w:val="zh-CN"/>
              </w:rPr>
              <w:t>②扫描具体操作规范</w:t>
            </w:r>
            <w:r>
              <w:rPr>
                <w:rFonts w:hint="eastAsia" w:cs="宋体"/>
                <w:color w:val="auto"/>
                <w:kern w:val="0"/>
                <w:sz w:val="21"/>
                <w:szCs w:val="21"/>
                <w:highlight w:val="none"/>
                <w:lang w:val="zh-CN"/>
              </w:rPr>
              <w:t>；</w:t>
            </w:r>
          </w:p>
          <w:p>
            <w:pPr>
              <w:pStyle w:val="56"/>
              <w:ind w:firstLine="420" w:firstLineChars="200"/>
              <w:rPr>
                <w:rFonts w:cs="宋体"/>
                <w:color w:val="auto"/>
                <w:kern w:val="0"/>
                <w:sz w:val="21"/>
                <w:szCs w:val="21"/>
                <w:highlight w:val="none"/>
                <w:lang w:val="zh-CN"/>
              </w:rPr>
            </w:pPr>
            <w:r>
              <w:rPr>
                <w:rFonts w:hint="eastAsia" w:ascii="宋体" w:hAnsi="宋体" w:cs="宋体"/>
                <w:color w:val="auto"/>
                <w:kern w:val="0"/>
                <w:sz w:val="21"/>
                <w:szCs w:val="21"/>
                <w:highlight w:val="none"/>
                <w:lang w:val="zh-CN"/>
              </w:rPr>
              <w:t>③图像处理编辑软件、著录、质检</w:t>
            </w:r>
            <w:r>
              <w:rPr>
                <w:rFonts w:hint="eastAsia" w:cs="宋体"/>
                <w:color w:val="auto"/>
                <w:kern w:val="0"/>
                <w:sz w:val="21"/>
                <w:szCs w:val="21"/>
                <w:highlight w:val="none"/>
                <w:lang w:val="zh-CN"/>
              </w:rPr>
              <w:t>；</w:t>
            </w:r>
          </w:p>
          <w:p>
            <w:pPr>
              <w:pStyle w:val="56"/>
              <w:ind w:firstLine="420" w:firstLineChars="200"/>
              <w:rPr>
                <w:rFonts w:ascii="宋体" w:hAnsi="宋体" w:cs="宋体"/>
                <w:color w:val="auto"/>
                <w:kern w:val="0"/>
                <w:highlight w:val="none"/>
              </w:rPr>
            </w:pPr>
            <w:r>
              <w:rPr>
                <w:rFonts w:hint="eastAsia" w:ascii="宋体" w:hAnsi="宋体" w:cs="宋体"/>
                <w:color w:val="auto"/>
                <w:kern w:val="0"/>
                <w:sz w:val="21"/>
                <w:szCs w:val="21"/>
                <w:highlight w:val="none"/>
                <w:lang w:val="zh-CN"/>
              </w:rPr>
              <w:t>④用户验收以及档案还库等</w:t>
            </w:r>
            <w:r>
              <w:rPr>
                <w:rFonts w:hint="eastAsia" w:cs="宋体"/>
                <w:color w:val="auto"/>
                <w:kern w:val="0"/>
                <w:sz w:val="21"/>
                <w:szCs w:val="21"/>
                <w:highlight w:val="none"/>
                <w:lang w:val="zh-CN"/>
              </w:rPr>
              <w:t>。</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有缺项的扣</w:t>
            </w:r>
            <w:r>
              <w:rPr>
                <w:rFonts w:hint="eastAsia" w:ascii="宋体" w:hAnsi="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zh-CN"/>
              </w:rPr>
              <w:t>分，扣完为止；</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每有一处存在缺陷（缺陷是指该项内容分析不全面；阐述存在逻辑错误；涉及内容无重点，不能体现本项目的特点；语言错误或存在歧义；与本项目实际不完全相符；项目名称、实施地点与本项目不一致等）扣</w:t>
            </w:r>
            <w:r>
              <w:rPr>
                <w:rFonts w:hint="eastAsia" w:ascii="宋体" w:hAnsi="宋体" w:cs="宋体"/>
                <w:color w:val="auto"/>
                <w:kern w:val="0"/>
                <w:sz w:val="21"/>
                <w:szCs w:val="21"/>
                <w:highlight w:val="none"/>
              </w:rPr>
              <w:t>1.</w:t>
            </w:r>
            <w:r>
              <w:rPr>
                <w:rFonts w:hint="eastAsia" w:ascii="宋体" w:hAnsi="宋体" w:cs="宋体"/>
                <w:color w:val="auto"/>
                <w:kern w:val="0"/>
                <w:sz w:val="21"/>
                <w:szCs w:val="21"/>
                <w:highlight w:val="none"/>
                <w:lang w:val="en-US" w:eastAsia="zh-CN"/>
              </w:rPr>
              <w:t>5</w:t>
            </w:r>
            <w:r>
              <w:rPr>
                <w:rFonts w:hint="eastAsia" w:ascii="宋体" w:hAnsi="宋体" w:cs="宋体"/>
                <w:color w:val="auto"/>
                <w:kern w:val="0"/>
                <w:sz w:val="21"/>
                <w:szCs w:val="21"/>
                <w:highlight w:val="none"/>
                <w:lang w:val="zh-CN"/>
              </w:rPr>
              <w:t>分，扣完为止。</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本项满分</w:t>
            </w:r>
            <w:r>
              <w:rPr>
                <w:rFonts w:hint="eastAsia" w:ascii="宋体" w:hAnsi="宋体" w:cs="宋体"/>
                <w:color w:val="auto"/>
                <w:kern w:val="0"/>
                <w:sz w:val="21"/>
                <w:szCs w:val="21"/>
                <w:highlight w:val="none"/>
                <w:lang w:val="en-US" w:eastAsia="zh-CN"/>
              </w:rPr>
              <w:t>12</w:t>
            </w:r>
            <w:r>
              <w:rPr>
                <w:rFonts w:hint="eastAsia" w:ascii="宋体" w:hAnsi="宋体" w:cs="宋体"/>
                <w:color w:val="auto"/>
                <w:kern w:val="0"/>
                <w:sz w:val="21"/>
                <w:szCs w:val="21"/>
                <w:highlight w:val="none"/>
                <w:lang w:val="zh-CN"/>
              </w:rPr>
              <w:t>分</w:t>
            </w:r>
          </w:p>
          <w:p>
            <w:pPr>
              <w:pStyle w:val="56"/>
              <w:ind w:firstLine="420" w:firstLineChars="200"/>
              <w:rPr>
                <w:rFonts w:ascii="宋体" w:hAnsi="宋体" w:cs="宋体"/>
                <w:color w:val="auto"/>
                <w:kern w:val="0"/>
                <w:highlight w:val="none"/>
              </w:rPr>
            </w:pPr>
            <w:r>
              <w:rPr>
                <w:rFonts w:hint="eastAsia" w:ascii="宋体" w:hAnsi="宋体" w:cs="宋体"/>
                <w:color w:val="auto"/>
                <w:kern w:val="0"/>
                <w:sz w:val="21"/>
                <w:szCs w:val="21"/>
                <w:highlight w:val="none"/>
              </w:rPr>
              <w:t>5、</w:t>
            </w:r>
            <w:r>
              <w:rPr>
                <w:rFonts w:hint="eastAsia" w:ascii="宋体" w:hAnsi="宋体" w:cs="宋体"/>
                <w:color w:val="auto"/>
                <w:kern w:val="0"/>
                <w:sz w:val="21"/>
                <w:szCs w:val="21"/>
                <w:highlight w:val="none"/>
                <w:lang w:val="zh-CN"/>
              </w:rPr>
              <w:t>针对</w:t>
            </w:r>
            <w:r>
              <w:rPr>
                <w:rFonts w:hint="eastAsia" w:ascii="宋体" w:hAnsi="宋体" w:cs="宋体"/>
                <w:color w:val="auto"/>
                <w:kern w:val="0"/>
                <w:sz w:val="21"/>
                <w:szCs w:val="21"/>
                <w:highlight w:val="none"/>
              </w:rPr>
              <w:t>投标人</w:t>
            </w:r>
            <w:r>
              <w:rPr>
                <w:rFonts w:hint="eastAsia" w:ascii="宋体" w:hAnsi="宋体" w:cs="宋体"/>
                <w:color w:val="auto"/>
                <w:kern w:val="0"/>
                <w:sz w:val="21"/>
                <w:szCs w:val="21"/>
                <w:highlight w:val="none"/>
                <w:lang w:val="zh-CN"/>
              </w:rPr>
              <w:t>提供本项目的质量保证方案进行综合比较与评价：内容包含</w:t>
            </w:r>
          </w:p>
          <w:p>
            <w:pPr>
              <w:pStyle w:val="56"/>
              <w:ind w:firstLine="420" w:firstLineChars="200"/>
              <w:rPr>
                <w:rFonts w:cs="宋体"/>
                <w:color w:val="auto"/>
                <w:kern w:val="0"/>
                <w:sz w:val="21"/>
                <w:szCs w:val="21"/>
                <w:highlight w:val="none"/>
                <w:lang w:val="zh-CN"/>
              </w:rPr>
            </w:pPr>
            <w:r>
              <w:rPr>
                <w:rFonts w:hint="eastAsia" w:ascii="宋体" w:hAnsi="宋体" w:cs="宋体"/>
                <w:color w:val="auto"/>
                <w:kern w:val="0"/>
                <w:sz w:val="21"/>
                <w:szCs w:val="21"/>
                <w:highlight w:val="none"/>
                <w:lang w:val="zh-CN"/>
              </w:rPr>
              <w:t>①保证目标</w:t>
            </w:r>
            <w:r>
              <w:rPr>
                <w:rFonts w:hint="eastAsia" w:cs="宋体"/>
                <w:color w:val="auto"/>
                <w:kern w:val="0"/>
                <w:sz w:val="21"/>
                <w:szCs w:val="21"/>
                <w:highlight w:val="none"/>
                <w:lang w:val="zh-CN"/>
              </w:rPr>
              <w:t>；</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②保证措施和体系；</w:t>
            </w:r>
          </w:p>
          <w:p>
            <w:pPr>
              <w:pStyle w:val="56"/>
              <w:ind w:firstLine="420" w:firstLineChars="200"/>
              <w:rPr>
                <w:rFonts w:cs="宋体"/>
                <w:color w:val="auto"/>
                <w:kern w:val="0"/>
                <w:sz w:val="21"/>
                <w:szCs w:val="21"/>
                <w:highlight w:val="none"/>
                <w:lang w:val="zh-CN"/>
              </w:rPr>
            </w:pPr>
            <w:r>
              <w:rPr>
                <w:rFonts w:hint="eastAsia" w:ascii="宋体" w:hAnsi="宋体" w:cs="宋体"/>
                <w:color w:val="auto"/>
                <w:kern w:val="0"/>
                <w:sz w:val="21"/>
                <w:szCs w:val="21"/>
                <w:highlight w:val="none"/>
                <w:lang w:val="zh-CN"/>
              </w:rPr>
              <w:t>③质量保证措施等。</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有缺项的扣</w:t>
            </w:r>
            <w:r>
              <w:rPr>
                <w:rFonts w:ascii="宋体" w:hAnsi="宋体" w:cs="宋体"/>
                <w:color w:val="auto"/>
                <w:kern w:val="0"/>
                <w:sz w:val="21"/>
                <w:szCs w:val="21"/>
                <w:highlight w:val="none"/>
              </w:rPr>
              <w:t>3</w:t>
            </w:r>
            <w:r>
              <w:rPr>
                <w:rFonts w:hint="eastAsia" w:ascii="宋体" w:hAnsi="宋体" w:cs="宋体"/>
                <w:color w:val="auto"/>
                <w:kern w:val="0"/>
                <w:sz w:val="21"/>
                <w:szCs w:val="21"/>
                <w:highlight w:val="none"/>
                <w:lang w:val="zh-CN"/>
              </w:rPr>
              <w:t>分，扣完为止；</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每有一处存在缺陷（缺陷是指该项内容分析不全面；阐述存在逻辑错误；涉及内容无重点，不能体现本项目的特点；语言错误或存在歧义；与本项目实际不完全相符；项目名称、实施地点与本项目不一致等）扣</w:t>
            </w:r>
            <w:r>
              <w:rPr>
                <w:rFonts w:hint="eastAsia" w:ascii="宋体" w:hAnsi="宋体" w:cs="宋体"/>
                <w:color w:val="auto"/>
                <w:kern w:val="0"/>
                <w:sz w:val="21"/>
                <w:szCs w:val="21"/>
                <w:highlight w:val="none"/>
                <w:lang w:val="en-US" w:eastAsia="zh-CN"/>
              </w:rPr>
              <w:t>1.5</w:t>
            </w:r>
            <w:r>
              <w:rPr>
                <w:rFonts w:hint="eastAsia" w:ascii="宋体" w:hAnsi="宋体" w:cs="宋体"/>
                <w:color w:val="auto"/>
                <w:kern w:val="0"/>
                <w:sz w:val="21"/>
                <w:szCs w:val="21"/>
                <w:highlight w:val="none"/>
                <w:lang w:val="zh-CN"/>
              </w:rPr>
              <w:t>分，扣完为止。</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本项满分</w:t>
            </w:r>
            <w:r>
              <w:rPr>
                <w:rFonts w:hint="eastAsia" w:ascii="宋体" w:hAnsi="宋体" w:cs="宋体"/>
                <w:color w:val="auto"/>
                <w:kern w:val="0"/>
                <w:sz w:val="21"/>
                <w:szCs w:val="21"/>
                <w:highlight w:val="none"/>
                <w:lang w:val="en-US" w:eastAsia="zh-CN"/>
              </w:rPr>
              <w:t>9</w:t>
            </w:r>
            <w:r>
              <w:rPr>
                <w:rFonts w:hint="eastAsia" w:ascii="宋体" w:hAnsi="宋体" w:cs="宋体"/>
                <w:color w:val="auto"/>
                <w:kern w:val="0"/>
                <w:sz w:val="21"/>
                <w:szCs w:val="21"/>
                <w:highlight w:val="none"/>
                <w:lang w:val="zh-CN"/>
              </w:rPr>
              <w:t>分</w:t>
            </w:r>
          </w:p>
          <w:p>
            <w:pPr>
              <w:pStyle w:val="56"/>
              <w:ind w:firstLine="420" w:firstLineChars="200"/>
              <w:rPr>
                <w:rFonts w:ascii="宋体" w:hAnsi="宋体" w:cs="宋体"/>
                <w:color w:val="auto"/>
                <w:kern w:val="0"/>
                <w:highlight w:val="none"/>
              </w:rPr>
            </w:pPr>
            <w:r>
              <w:rPr>
                <w:rFonts w:hint="eastAsia" w:ascii="宋体" w:hAnsi="宋体" w:cs="宋体"/>
                <w:color w:val="auto"/>
                <w:kern w:val="0"/>
                <w:sz w:val="21"/>
                <w:szCs w:val="21"/>
                <w:highlight w:val="none"/>
              </w:rPr>
              <w:t>6、</w:t>
            </w:r>
            <w:r>
              <w:rPr>
                <w:rFonts w:hint="eastAsia" w:ascii="宋体" w:hAnsi="宋体" w:cs="宋体"/>
                <w:color w:val="auto"/>
                <w:kern w:val="0"/>
                <w:sz w:val="21"/>
                <w:szCs w:val="21"/>
                <w:highlight w:val="none"/>
                <w:lang w:val="zh-CN"/>
              </w:rPr>
              <w:t>针对</w:t>
            </w:r>
            <w:r>
              <w:rPr>
                <w:rFonts w:hint="eastAsia" w:ascii="宋体" w:hAnsi="宋体" w:cs="宋体"/>
                <w:color w:val="auto"/>
                <w:kern w:val="0"/>
                <w:sz w:val="21"/>
                <w:szCs w:val="21"/>
                <w:highlight w:val="none"/>
              </w:rPr>
              <w:t>投标人</w:t>
            </w:r>
            <w:r>
              <w:rPr>
                <w:rFonts w:hint="eastAsia" w:ascii="宋体" w:hAnsi="宋体" w:cs="宋体"/>
                <w:color w:val="auto"/>
                <w:kern w:val="0"/>
                <w:sz w:val="21"/>
                <w:szCs w:val="21"/>
                <w:highlight w:val="none"/>
                <w:lang w:val="zh-CN"/>
              </w:rPr>
              <w:t>提供本项目的培训计划</w:t>
            </w:r>
            <w:r>
              <w:rPr>
                <w:rFonts w:hint="eastAsia" w:cs="宋体"/>
                <w:color w:val="auto"/>
                <w:kern w:val="0"/>
                <w:sz w:val="21"/>
                <w:szCs w:val="21"/>
                <w:highlight w:val="none"/>
                <w:lang w:val="zh-CN"/>
              </w:rPr>
              <w:t>方案</w:t>
            </w:r>
            <w:r>
              <w:rPr>
                <w:rFonts w:hint="eastAsia" w:ascii="宋体" w:hAnsi="宋体" w:cs="宋体"/>
                <w:color w:val="auto"/>
                <w:kern w:val="0"/>
                <w:sz w:val="21"/>
                <w:szCs w:val="21"/>
                <w:highlight w:val="none"/>
                <w:lang w:val="zh-CN"/>
              </w:rPr>
              <w:t>进行综合比较与评价：内容包含</w:t>
            </w:r>
          </w:p>
          <w:p>
            <w:pPr>
              <w:pStyle w:val="56"/>
              <w:ind w:firstLine="420" w:firstLineChars="200"/>
              <w:rPr>
                <w:rFonts w:cs="宋体"/>
                <w:color w:val="auto"/>
                <w:kern w:val="0"/>
                <w:sz w:val="21"/>
                <w:szCs w:val="21"/>
                <w:highlight w:val="none"/>
                <w:lang w:val="zh-CN"/>
              </w:rPr>
            </w:pPr>
            <w:r>
              <w:rPr>
                <w:rFonts w:hint="eastAsia" w:ascii="宋体" w:hAnsi="宋体" w:cs="宋体"/>
                <w:color w:val="auto"/>
                <w:kern w:val="0"/>
                <w:sz w:val="21"/>
                <w:szCs w:val="21"/>
                <w:highlight w:val="none"/>
                <w:lang w:val="zh-CN"/>
              </w:rPr>
              <w:t>①培训内容、时间、地点、人次</w:t>
            </w:r>
            <w:r>
              <w:rPr>
                <w:rFonts w:hint="eastAsia" w:cs="宋体"/>
                <w:color w:val="auto"/>
                <w:kern w:val="0"/>
                <w:sz w:val="21"/>
                <w:szCs w:val="21"/>
                <w:highlight w:val="none"/>
                <w:lang w:val="zh-CN"/>
              </w:rPr>
              <w:t>；</w:t>
            </w:r>
          </w:p>
          <w:p>
            <w:pPr>
              <w:pStyle w:val="56"/>
              <w:ind w:firstLine="420" w:firstLineChars="200"/>
              <w:rPr>
                <w:rFonts w:hint="eastAsia" w:eastAsia="宋体" w:cs="宋体"/>
                <w:color w:val="auto"/>
                <w:kern w:val="0"/>
                <w:sz w:val="21"/>
                <w:szCs w:val="21"/>
                <w:highlight w:val="none"/>
                <w:lang w:val="zh-CN" w:eastAsia="zh-CN"/>
              </w:rPr>
            </w:pPr>
            <w:r>
              <w:rPr>
                <w:rFonts w:hint="eastAsia" w:ascii="宋体" w:hAnsi="宋体" w:cs="宋体"/>
                <w:color w:val="auto"/>
                <w:kern w:val="0"/>
                <w:sz w:val="21"/>
                <w:szCs w:val="21"/>
                <w:highlight w:val="none"/>
                <w:lang w:val="zh-CN"/>
              </w:rPr>
              <w:t>②业务人员培训安排等</w:t>
            </w:r>
            <w:r>
              <w:rPr>
                <w:rFonts w:hint="eastAsia" w:ascii="宋体" w:hAnsi="宋体" w:cs="宋体"/>
                <w:color w:val="auto"/>
                <w:kern w:val="0"/>
                <w:sz w:val="21"/>
                <w:szCs w:val="21"/>
                <w:highlight w:val="none"/>
                <w:lang w:val="zh-CN" w:eastAsia="zh-CN"/>
              </w:rPr>
              <w:t>。</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有缺项的扣</w:t>
            </w:r>
            <w:r>
              <w:rPr>
                <w:rFonts w:hint="eastAsia" w:ascii="宋体" w:hAnsi="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zh-CN"/>
              </w:rPr>
              <w:t>分，扣完为止；</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每有一处存在缺陷（缺陷是指该项内容分析不全面；阐述存在逻辑错误；涉及内容无重点，不能体现本项目的特点；语言错误或存在歧义；与本项目实际不完全相符；项目名称、实施地点与本项目不一致等）扣</w:t>
            </w:r>
            <w:r>
              <w:rPr>
                <w:rFonts w:hint="eastAsia" w:ascii="宋体" w:hAnsi="宋体" w:cs="宋体"/>
                <w:color w:val="auto"/>
                <w:kern w:val="0"/>
                <w:sz w:val="21"/>
                <w:szCs w:val="21"/>
                <w:highlight w:val="none"/>
                <w:lang w:val="en-US" w:eastAsia="zh-CN"/>
              </w:rPr>
              <w:t>1.5</w:t>
            </w:r>
            <w:r>
              <w:rPr>
                <w:rFonts w:hint="eastAsia" w:ascii="宋体" w:hAnsi="宋体" w:cs="宋体"/>
                <w:color w:val="auto"/>
                <w:kern w:val="0"/>
                <w:sz w:val="21"/>
                <w:szCs w:val="21"/>
                <w:highlight w:val="none"/>
                <w:lang w:val="zh-CN"/>
              </w:rPr>
              <w:t>分，扣完为止。</w:t>
            </w:r>
          </w:p>
          <w:p>
            <w:pPr>
              <w:pStyle w:val="56"/>
              <w:ind w:firstLine="420" w:firstLineChars="200"/>
              <w:rPr>
                <w:rFonts w:ascii="宋体" w:hAnsi="宋体" w:cs="宋体"/>
                <w:color w:val="auto"/>
                <w:kern w:val="0"/>
                <w:highlight w:val="none"/>
              </w:rPr>
            </w:pPr>
            <w:r>
              <w:rPr>
                <w:rFonts w:hint="eastAsia" w:ascii="宋体" w:hAnsi="宋体" w:cs="宋体"/>
                <w:color w:val="auto"/>
                <w:kern w:val="0"/>
                <w:sz w:val="21"/>
                <w:szCs w:val="21"/>
                <w:highlight w:val="none"/>
                <w:lang w:val="zh-CN"/>
              </w:rPr>
              <w:t>本项满分</w:t>
            </w:r>
            <w:r>
              <w:rPr>
                <w:rFonts w:hint="eastAsia" w:ascii="宋体" w:hAnsi="宋体" w:cs="宋体"/>
                <w:color w:val="auto"/>
                <w:kern w:val="0"/>
                <w:sz w:val="21"/>
                <w:szCs w:val="21"/>
                <w:highlight w:val="none"/>
                <w:lang w:val="en-US" w:eastAsia="zh-CN"/>
              </w:rPr>
              <w:t>6</w:t>
            </w:r>
            <w:r>
              <w:rPr>
                <w:rFonts w:hint="eastAsia" w:ascii="宋体" w:hAnsi="宋体" w:cs="宋体"/>
                <w:color w:val="auto"/>
                <w:kern w:val="0"/>
                <w:sz w:val="21"/>
                <w:szCs w:val="21"/>
                <w:highlight w:val="none"/>
                <w:lang w:val="zh-CN"/>
              </w:rPr>
              <w:t>分</w:t>
            </w:r>
          </w:p>
        </w:tc>
        <w:tc>
          <w:tcPr>
            <w:tcW w:w="1214" w:type="dxa"/>
            <w:noWrap w:val="0"/>
            <w:vAlign w:val="center"/>
          </w:tcPr>
          <w:p>
            <w:pPr>
              <w:jc w:val="center"/>
              <w:rPr>
                <w:rFonts w:ascii="宋体" w:hAnsi="宋体" w:cs="宋体"/>
                <w:color w:val="auto"/>
                <w:kern w:val="0"/>
                <w:sz w:val="20"/>
                <w:szCs w:val="21"/>
                <w:highlight w:val="none"/>
              </w:rPr>
            </w:pPr>
            <w:r>
              <w:rPr>
                <w:rFonts w:hint="eastAsia" w:ascii="宋体" w:hAnsi="宋体" w:cs="宋体"/>
                <w:color w:val="auto"/>
                <w:kern w:val="0"/>
                <w:szCs w:val="21"/>
                <w:highlight w:val="none"/>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jc w:val="center"/>
        </w:trPr>
        <w:tc>
          <w:tcPr>
            <w:tcW w:w="590" w:type="dxa"/>
            <w:noWrap w:val="0"/>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085" w:type="dxa"/>
            <w:noWrap w:val="0"/>
            <w:vAlign w:val="center"/>
          </w:tcPr>
          <w:p>
            <w:pPr>
              <w:jc w:val="center"/>
              <w:rPr>
                <w:rFonts w:ascii="宋体" w:hAnsi="宋体" w:cs="宋体"/>
                <w:color w:val="auto"/>
                <w:kern w:val="0"/>
                <w:sz w:val="20"/>
                <w:szCs w:val="21"/>
                <w:highlight w:val="none"/>
                <w:lang w:val="zh-CN" w:bidi="zh-CN"/>
              </w:rPr>
            </w:pPr>
            <w:r>
              <w:rPr>
                <w:rFonts w:hint="eastAsia" w:ascii="宋体" w:hAnsi="宋体" w:cs="宋体"/>
                <w:color w:val="auto"/>
                <w:kern w:val="0"/>
                <w:szCs w:val="21"/>
                <w:highlight w:val="none"/>
                <w:lang w:val="zh-CN" w:bidi="zh-CN"/>
              </w:rPr>
              <w:t>企业资质</w:t>
            </w:r>
            <w:r>
              <w:rPr>
                <w:rFonts w:hint="eastAsia" w:ascii="宋体" w:hAnsi="宋体" w:cs="宋体"/>
                <w:color w:val="auto"/>
                <w:kern w:val="0"/>
                <w:szCs w:val="21"/>
                <w:highlight w:val="none"/>
                <w:lang w:val="en-US" w:bidi="zh-CN"/>
              </w:rPr>
              <w:t>9</w:t>
            </w:r>
            <w:r>
              <w:rPr>
                <w:rFonts w:hint="eastAsia" w:ascii="宋体" w:hAnsi="宋体" w:cs="宋体"/>
                <w:color w:val="auto"/>
                <w:kern w:val="0"/>
                <w:szCs w:val="21"/>
                <w:highlight w:val="none"/>
                <w:lang w:val="zh-CN" w:bidi="zh-CN"/>
              </w:rPr>
              <w:t>%</w:t>
            </w:r>
          </w:p>
        </w:tc>
        <w:tc>
          <w:tcPr>
            <w:tcW w:w="830" w:type="dxa"/>
            <w:noWrap w:val="0"/>
            <w:vAlign w:val="center"/>
          </w:tcPr>
          <w:p>
            <w:pPr>
              <w:jc w:val="center"/>
              <w:rPr>
                <w:rFonts w:ascii="宋体" w:hAnsi="宋体" w:cs="宋体"/>
                <w:color w:val="auto"/>
                <w:kern w:val="0"/>
                <w:sz w:val="20"/>
                <w:szCs w:val="21"/>
                <w:highlight w:val="none"/>
                <w:lang w:val="zh-CN" w:bidi="zh-CN"/>
              </w:rPr>
            </w:pPr>
            <w:r>
              <w:rPr>
                <w:rFonts w:hint="eastAsia" w:ascii="宋体" w:hAnsi="宋体" w:cs="宋体"/>
                <w:color w:val="auto"/>
                <w:kern w:val="0"/>
                <w:szCs w:val="21"/>
                <w:highlight w:val="none"/>
                <w:lang w:val="en-US" w:bidi="zh-CN"/>
              </w:rPr>
              <w:t>9</w:t>
            </w:r>
            <w:r>
              <w:rPr>
                <w:rFonts w:hint="eastAsia" w:ascii="宋体" w:hAnsi="宋体" w:cs="宋体"/>
                <w:color w:val="auto"/>
                <w:kern w:val="0"/>
                <w:szCs w:val="21"/>
                <w:highlight w:val="none"/>
                <w:lang w:val="zh-CN" w:bidi="zh-CN"/>
              </w:rPr>
              <w:t>分</w:t>
            </w:r>
          </w:p>
        </w:tc>
        <w:tc>
          <w:tcPr>
            <w:tcW w:w="6159" w:type="dxa"/>
            <w:noWrap w:val="0"/>
            <w:vAlign w:val="center"/>
          </w:tcPr>
          <w:p>
            <w:pPr>
              <w:pStyle w:val="56"/>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1.投标人具有有效期的质量管理认证证书的得</w:t>
            </w:r>
            <w:r>
              <w:rPr>
                <w:rFonts w:hint="eastAsia" w:ascii="宋体" w:hAnsi="宋体" w:cs="宋体"/>
                <w:color w:val="auto"/>
                <w:kern w:val="0"/>
                <w:sz w:val="21"/>
                <w:szCs w:val="21"/>
                <w:highlight w:val="none"/>
                <w:lang w:val="en-US" w:eastAsia="zh-CN"/>
              </w:rPr>
              <w:t>3</w:t>
            </w:r>
            <w:r>
              <w:rPr>
                <w:rFonts w:hint="eastAsia" w:ascii="宋体" w:hAnsi="宋体" w:cs="宋体"/>
                <w:color w:val="auto"/>
                <w:kern w:val="0"/>
                <w:sz w:val="21"/>
                <w:szCs w:val="21"/>
                <w:highlight w:val="none"/>
                <w:lang w:val="zh-CN"/>
              </w:rPr>
              <w:t>分；</w:t>
            </w:r>
          </w:p>
          <w:p>
            <w:pPr>
              <w:pStyle w:val="56"/>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2.投标人具有有效期的</w:t>
            </w:r>
            <w:r>
              <w:rPr>
                <w:rFonts w:hint="eastAsia"/>
                <w:color w:val="auto"/>
                <w:kern w:val="0"/>
                <w:highlight w:val="none"/>
              </w:rPr>
              <w:t>环境管理体系认证证书</w:t>
            </w:r>
            <w:r>
              <w:rPr>
                <w:rFonts w:hint="eastAsia" w:ascii="宋体" w:hAnsi="宋体" w:cs="宋体"/>
                <w:color w:val="auto"/>
                <w:kern w:val="0"/>
                <w:sz w:val="21"/>
                <w:szCs w:val="21"/>
                <w:highlight w:val="none"/>
                <w:lang w:val="zh-CN"/>
              </w:rPr>
              <w:t>的得</w:t>
            </w:r>
            <w:r>
              <w:rPr>
                <w:rFonts w:ascii="宋体" w:hAnsi="宋体" w:cs="宋体"/>
                <w:color w:val="auto"/>
                <w:kern w:val="0"/>
                <w:sz w:val="21"/>
                <w:szCs w:val="21"/>
                <w:highlight w:val="none"/>
              </w:rPr>
              <w:t>3</w:t>
            </w:r>
            <w:r>
              <w:rPr>
                <w:rFonts w:hint="eastAsia" w:ascii="宋体" w:hAnsi="宋体" w:cs="宋体"/>
                <w:color w:val="auto"/>
                <w:kern w:val="0"/>
                <w:sz w:val="21"/>
                <w:szCs w:val="21"/>
                <w:highlight w:val="none"/>
                <w:lang w:val="zh-CN"/>
              </w:rPr>
              <w:t>分；</w:t>
            </w:r>
          </w:p>
          <w:p>
            <w:pPr>
              <w:pStyle w:val="56"/>
              <w:rPr>
                <w:rFonts w:hint="eastAsia" w:ascii="宋体" w:hAnsi="宋体" w:eastAsia="宋体" w:cs="宋体"/>
                <w:color w:val="auto"/>
                <w:kern w:val="0"/>
                <w:sz w:val="21"/>
                <w:szCs w:val="21"/>
                <w:highlight w:val="none"/>
                <w:lang w:val="zh-CN" w:eastAsia="zh-CN"/>
              </w:rPr>
            </w:pPr>
            <w:r>
              <w:rPr>
                <w:rFonts w:hint="eastAsia" w:ascii="宋体" w:hAnsi="宋体" w:cs="宋体"/>
                <w:color w:val="auto"/>
                <w:kern w:val="0"/>
                <w:sz w:val="21"/>
                <w:szCs w:val="21"/>
                <w:highlight w:val="none"/>
              </w:rPr>
              <w:t>3.投标人具有有效期</w:t>
            </w:r>
            <w:r>
              <w:rPr>
                <w:rFonts w:hint="eastAsia" w:ascii="宋体" w:hAnsi="宋体" w:cs="宋体"/>
                <w:color w:val="auto"/>
                <w:kern w:val="0"/>
                <w:sz w:val="21"/>
                <w:szCs w:val="21"/>
                <w:highlight w:val="none"/>
                <w:lang w:val="zh-CN"/>
              </w:rPr>
              <w:t>的职业健康安全管理体系认证证书的得</w:t>
            </w:r>
            <w:r>
              <w:rPr>
                <w:rFonts w:ascii="宋体" w:hAnsi="宋体" w:cs="宋体"/>
                <w:color w:val="auto"/>
                <w:kern w:val="0"/>
                <w:sz w:val="21"/>
                <w:szCs w:val="21"/>
                <w:highlight w:val="none"/>
              </w:rPr>
              <w:t>3</w:t>
            </w:r>
            <w:r>
              <w:rPr>
                <w:rFonts w:hint="eastAsia" w:ascii="宋体" w:hAnsi="宋体" w:cs="宋体"/>
                <w:color w:val="auto"/>
                <w:kern w:val="0"/>
                <w:sz w:val="21"/>
                <w:szCs w:val="21"/>
                <w:highlight w:val="none"/>
                <w:lang w:val="zh-CN"/>
              </w:rPr>
              <w:t>分</w:t>
            </w:r>
            <w:r>
              <w:rPr>
                <w:rFonts w:hint="eastAsia" w:ascii="宋体" w:hAnsi="宋体" w:cs="宋体"/>
                <w:color w:val="auto"/>
                <w:kern w:val="0"/>
                <w:sz w:val="21"/>
                <w:szCs w:val="21"/>
                <w:highlight w:val="none"/>
                <w:lang w:val="en-US" w:eastAsia="zh-CN"/>
              </w:rPr>
              <w:t>.</w:t>
            </w:r>
          </w:p>
          <w:p>
            <w:pPr>
              <w:pStyle w:val="56"/>
              <w:rPr>
                <w:rFonts w:hint="eastAsia" w:ascii="宋体" w:hAnsi="宋体" w:eastAsia="宋体" w:cs="宋体"/>
                <w:color w:val="auto"/>
                <w:kern w:val="0"/>
                <w:highlight w:val="none"/>
                <w:lang w:eastAsia="zh-CN"/>
              </w:rPr>
            </w:pPr>
            <w:r>
              <w:rPr>
                <w:rStyle w:val="64"/>
                <w:rFonts w:hint="eastAsia" w:ascii="宋体" w:hAnsi="宋体" w:cs="宋体"/>
                <w:color w:val="auto"/>
                <w:kern w:val="0"/>
                <w:sz w:val="21"/>
                <w:szCs w:val="21"/>
                <w:highlight w:val="none"/>
                <w:lang w:val="zh-TW" w:eastAsia="zh-CN"/>
              </w:rPr>
              <w:t>注：</w:t>
            </w:r>
            <w:r>
              <w:rPr>
                <w:rStyle w:val="64"/>
                <w:rFonts w:hint="eastAsia" w:ascii="宋体" w:hAnsi="宋体" w:cs="宋体"/>
                <w:color w:val="auto"/>
                <w:kern w:val="0"/>
                <w:sz w:val="21"/>
                <w:szCs w:val="21"/>
                <w:highlight w:val="none"/>
                <w:lang w:val="zh-TW" w:eastAsia="zh-TW"/>
              </w:rPr>
              <w:t>提供</w:t>
            </w:r>
            <w:r>
              <w:rPr>
                <w:rStyle w:val="64"/>
                <w:rFonts w:hint="eastAsia" w:ascii="宋体" w:hAnsi="宋体" w:cs="宋体"/>
                <w:color w:val="auto"/>
                <w:kern w:val="0"/>
                <w:sz w:val="21"/>
                <w:szCs w:val="21"/>
                <w:highlight w:val="none"/>
              </w:rPr>
              <w:t>证书</w:t>
            </w:r>
            <w:r>
              <w:rPr>
                <w:rStyle w:val="64"/>
                <w:rFonts w:hint="eastAsia" w:ascii="宋体" w:hAnsi="宋体" w:cs="宋体"/>
                <w:color w:val="auto"/>
                <w:kern w:val="0"/>
                <w:sz w:val="21"/>
                <w:szCs w:val="21"/>
                <w:highlight w:val="none"/>
                <w:lang w:val="zh-TW" w:eastAsia="zh-TW"/>
              </w:rPr>
              <w:t>复印件加盖</w:t>
            </w:r>
            <w:r>
              <w:rPr>
                <w:rStyle w:val="64"/>
                <w:rFonts w:hint="eastAsia" w:ascii="宋体" w:hAnsi="宋体" w:cs="宋体"/>
                <w:color w:val="auto"/>
                <w:kern w:val="0"/>
                <w:sz w:val="21"/>
                <w:szCs w:val="21"/>
                <w:highlight w:val="none"/>
              </w:rPr>
              <w:t>投</w:t>
            </w:r>
            <w:r>
              <w:rPr>
                <w:rStyle w:val="64"/>
                <w:rFonts w:hint="eastAsia" w:ascii="宋体" w:hAnsi="宋体" w:cs="宋体"/>
                <w:color w:val="auto"/>
                <w:kern w:val="0"/>
                <w:sz w:val="21"/>
                <w:szCs w:val="21"/>
                <w:highlight w:val="none"/>
                <w:lang w:val="zh-TW"/>
              </w:rPr>
              <w:t>标人</w:t>
            </w:r>
            <w:r>
              <w:rPr>
                <w:rStyle w:val="64"/>
                <w:rFonts w:hint="eastAsia" w:ascii="宋体" w:hAnsi="宋体" w:cs="宋体"/>
                <w:color w:val="auto"/>
                <w:kern w:val="0"/>
                <w:sz w:val="21"/>
                <w:szCs w:val="21"/>
                <w:highlight w:val="none"/>
                <w:lang w:val="zh-TW" w:eastAsia="zh-TW"/>
              </w:rPr>
              <w:t>公章</w:t>
            </w:r>
            <w:r>
              <w:rPr>
                <w:rStyle w:val="64"/>
                <w:rFonts w:hint="eastAsia" w:ascii="宋体" w:hAnsi="宋体" w:cs="宋体"/>
                <w:color w:val="auto"/>
                <w:kern w:val="0"/>
                <w:sz w:val="21"/>
                <w:szCs w:val="21"/>
                <w:highlight w:val="none"/>
              </w:rPr>
              <w:t>。证明材料在</w:t>
            </w:r>
            <w:r>
              <w:rPr>
                <w:rStyle w:val="64"/>
                <w:rFonts w:hint="eastAsia" w:ascii="宋体" w:hAnsi="宋体" w:cs="宋体"/>
                <w:color w:val="auto"/>
                <w:kern w:val="0"/>
                <w:sz w:val="21"/>
                <w:szCs w:val="21"/>
                <w:highlight w:val="none"/>
                <w:lang w:eastAsia="zh-CN"/>
              </w:rPr>
              <w:t>中标</w:t>
            </w:r>
            <w:r>
              <w:rPr>
                <w:rStyle w:val="64"/>
                <w:rFonts w:hint="eastAsia" w:ascii="宋体" w:hAnsi="宋体" w:cs="宋体"/>
                <w:color w:val="auto"/>
                <w:kern w:val="0"/>
                <w:sz w:val="21"/>
                <w:szCs w:val="21"/>
                <w:highlight w:val="none"/>
              </w:rPr>
              <w:t>后签订合同前交采购人查验</w:t>
            </w:r>
            <w:r>
              <w:rPr>
                <w:rStyle w:val="64"/>
                <w:rFonts w:hint="eastAsia" w:ascii="宋体" w:hAnsi="宋体" w:cs="宋体"/>
                <w:color w:val="auto"/>
                <w:kern w:val="0"/>
                <w:sz w:val="21"/>
                <w:szCs w:val="21"/>
                <w:highlight w:val="none"/>
                <w:lang w:eastAsia="zh-CN"/>
              </w:rPr>
              <w:t>。</w:t>
            </w:r>
          </w:p>
        </w:tc>
        <w:tc>
          <w:tcPr>
            <w:tcW w:w="1214" w:type="dxa"/>
            <w:noWrap w:val="0"/>
            <w:vAlign w:val="center"/>
          </w:tcPr>
          <w:p>
            <w:pPr>
              <w:jc w:val="center"/>
              <w:rPr>
                <w:rFonts w:ascii="宋体" w:hAnsi="宋体" w:cs="宋体"/>
                <w:color w:val="auto"/>
                <w:kern w:val="0"/>
                <w:sz w:val="20"/>
                <w:szCs w:val="21"/>
                <w:highlight w:val="none"/>
              </w:rPr>
            </w:pPr>
            <w:r>
              <w:rPr>
                <w:rFonts w:hint="eastAsia" w:ascii="宋体" w:hAnsi="宋体" w:cs="宋体"/>
                <w:color w:val="auto"/>
                <w:kern w:val="0"/>
                <w:szCs w:val="21"/>
                <w:highlight w:val="none"/>
              </w:rPr>
              <w:t xml:space="preserve"> 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590" w:type="dxa"/>
            <w:noWrap w:val="0"/>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085" w:type="dxa"/>
            <w:noWrap w:val="0"/>
            <w:vAlign w:val="center"/>
          </w:tcPr>
          <w:p>
            <w:pPr>
              <w:pStyle w:val="56"/>
              <w:jc w:val="center"/>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人员保障</w:t>
            </w:r>
            <w:r>
              <w:rPr>
                <w:rFonts w:hint="eastAsia" w:ascii="宋体" w:hAnsi="宋体" w:cs="宋体"/>
                <w:color w:val="auto"/>
                <w:kern w:val="0"/>
                <w:sz w:val="21"/>
                <w:szCs w:val="21"/>
                <w:highlight w:val="none"/>
                <w:lang w:val="en-US" w:eastAsia="zh-CN"/>
              </w:rPr>
              <w:t>19</w:t>
            </w:r>
            <w:r>
              <w:rPr>
                <w:rFonts w:hint="eastAsia" w:ascii="宋体" w:hAnsi="宋体" w:cs="宋体"/>
                <w:color w:val="auto"/>
                <w:kern w:val="0"/>
                <w:sz w:val="21"/>
                <w:szCs w:val="21"/>
                <w:highlight w:val="none"/>
                <w:lang w:val="zh-CN"/>
              </w:rPr>
              <w:t>%</w:t>
            </w:r>
          </w:p>
        </w:tc>
        <w:tc>
          <w:tcPr>
            <w:tcW w:w="830" w:type="dxa"/>
            <w:noWrap w:val="0"/>
            <w:vAlign w:val="center"/>
          </w:tcPr>
          <w:p>
            <w:pPr>
              <w:pStyle w:val="56"/>
              <w:jc w:val="center"/>
              <w:rPr>
                <w:rFonts w:ascii="宋体" w:hAnsi="宋体" w:cs="宋体"/>
                <w:color w:val="auto"/>
                <w:kern w:val="0"/>
                <w:sz w:val="21"/>
                <w:szCs w:val="21"/>
                <w:highlight w:val="none"/>
                <w:lang w:val="zh-CN" w:bidi="zh-CN"/>
              </w:rPr>
            </w:pPr>
            <w:r>
              <w:rPr>
                <w:rFonts w:hint="eastAsia" w:ascii="宋体" w:hAnsi="宋体" w:cs="宋体"/>
                <w:color w:val="auto"/>
                <w:kern w:val="0"/>
                <w:sz w:val="21"/>
                <w:szCs w:val="21"/>
                <w:highlight w:val="none"/>
                <w:lang w:val="en-US" w:bidi="zh-CN"/>
              </w:rPr>
              <w:t>19</w:t>
            </w:r>
            <w:r>
              <w:rPr>
                <w:rFonts w:hint="eastAsia" w:ascii="宋体" w:hAnsi="宋体" w:cs="宋体"/>
                <w:color w:val="auto"/>
                <w:kern w:val="0"/>
                <w:sz w:val="21"/>
                <w:szCs w:val="21"/>
                <w:highlight w:val="none"/>
                <w:lang w:val="zh-CN" w:bidi="zh-CN"/>
              </w:rPr>
              <w:t>分</w:t>
            </w:r>
          </w:p>
        </w:tc>
        <w:tc>
          <w:tcPr>
            <w:tcW w:w="6159" w:type="dxa"/>
            <w:noWrap w:val="0"/>
            <w:vAlign w:val="center"/>
          </w:tcPr>
          <w:p>
            <w:pPr>
              <w:pStyle w:val="8"/>
              <w:widowControl w:val="0"/>
              <w:numPr>
                <w:ilvl w:val="0"/>
                <w:numId w:val="0"/>
              </w:numPr>
              <w:kinsoku w:val="0"/>
              <w:spacing w:after="0"/>
              <w:ind w:leftChars="0"/>
              <w:jc w:val="both"/>
              <w:rPr>
                <w:rStyle w:val="64"/>
                <w:rFonts w:hint="eastAsia" w:ascii="宋体" w:hAnsi="宋体" w:eastAsia="宋体" w:cs="宋体"/>
                <w:color w:val="auto"/>
                <w:sz w:val="21"/>
                <w:szCs w:val="21"/>
                <w:highlight w:val="none"/>
                <w:lang w:val="zh-TW" w:eastAsia="zh-CN"/>
              </w:rPr>
            </w:pPr>
            <w:r>
              <w:rPr>
                <w:rStyle w:val="64"/>
                <w:rFonts w:hint="eastAsia" w:ascii="宋体" w:hAnsi="宋体" w:eastAsia="宋体" w:cs="宋体"/>
                <w:color w:val="auto"/>
                <w:sz w:val="21"/>
                <w:szCs w:val="21"/>
                <w:highlight w:val="none"/>
                <w:lang w:val="en-US" w:eastAsia="zh-CN"/>
              </w:rPr>
              <w:t>1.</w:t>
            </w:r>
            <w:r>
              <w:rPr>
                <w:rStyle w:val="64"/>
                <w:rFonts w:hint="eastAsia" w:ascii="宋体" w:hAnsi="宋体" w:eastAsia="宋体" w:cs="宋体"/>
                <w:color w:val="auto"/>
                <w:sz w:val="21"/>
                <w:szCs w:val="21"/>
                <w:highlight w:val="none"/>
                <w:lang w:val="zh-TW" w:eastAsia="zh-TW"/>
              </w:rPr>
              <w:t>项目负责人具备高级及以上职称证书</w:t>
            </w:r>
            <w:r>
              <w:rPr>
                <w:rStyle w:val="64"/>
                <w:rFonts w:hint="eastAsia" w:ascii="宋体" w:hAnsi="宋体" w:cs="宋体"/>
                <w:color w:val="auto"/>
                <w:sz w:val="21"/>
                <w:szCs w:val="21"/>
                <w:highlight w:val="none"/>
                <w:lang w:val="zh-TW" w:eastAsia="zh-CN"/>
              </w:rPr>
              <w:t>的</w:t>
            </w:r>
            <w:r>
              <w:rPr>
                <w:rStyle w:val="64"/>
                <w:rFonts w:hint="eastAsia" w:ascii="宋体" w:hAnsi="宋体" w:eastAsia="宋体" w:cs="宋体"/>
                <w:color w:val="auto"/>
                <w:sz w:val="21"/>
                <w:szCs w:val="21"/>
                <w:highlight w:val="none"/>
                <w:lang w:val="zh-TW" w:eastAsia="zh-TW"/>
              </w:rPr>
              <w:t>得</w:t>
            </w:r>
            <w:r>
              <w:rPr>
                <w:rStyle w:val="64"/>
                <w:rFonts w:hint="eastAsia" w:ascii="宋体" w:hAnsi="宋体" w:cs="宋体"/>
                <w:color w:val="auto"/>
                <w:sz w:val="21"/>
                <w:szCs w:val="21"/>
                <w:highlight w:val="none"/>
                <w:lang w:val="en-US" w:eastAsia="zh-CN"/>
              </w:rPr>
              <w:t>3</w:t>
            </w:r>
            <w:r>
              <w:rPr>
                <w:rStyle w:val="64"/>
                <w:rFonts w:hint="eastAsia" w:ascii="宋体" w:hAnsi="宋体" w:eastAsia="宋体" w:cs="宋体"/>
                <w:color w:val="auto"/>
                <w:sz w:val="21"/>
                <w:szCs w:val="21"/>
                <w:highlight w:val="none"/>
                <w:lang w:val="zh-TW" w:eastAsia="zh-TW"/>
              </w:rPr>
              <w:t>分</w:t>
            </w:r>
            <w:r>
              <w:rPr>
                <w:rStyle w:val="64"/>
                <w:rFonts w:hint="eastAsia" w:ascii="宋体" w:hAnsi="宋体" w:cs="宋体"/>
                <w:color w:val="auto"/>
                <w:sz w:val="21"/>
                <w:szCs w:val="21"/>
                <w:highlight w:val="none"/>
                <w:lang w:val="zh-TW" w:eastAsia="zh-CN"/>
              </w:rPr>
              <w:t>；</w:t>
            </w:r>
          </w:p>
          <w:p>
            <w:pPr>
              <w:pStyle w:val="8"/>
              <w:widowControl w:val="0"/>
              <w:numPr>
                <w:ilvl w:val="0"/>
                <w:numId w:val="0"/>
              </w:numPr>
              <w:kinsoku w:val="0"/>
              <w:spacing w:after="0"/>
              <w:ind w:leftChars="0"/>
              <w:jc w:val="both"/>
              <w:rPr>
                <w:rStyle w:val="64"/>
                <w:rFonts w:hint="eastAsia" w:ascii="宋体" w:hAnsi="宋体" w:eastAsia="宋体" w:cs="宋体"/>
                <w:color w:val="auto"/>
                <w:sz w:val="21"/>
                <w:szCs w:val="21"/>
                <w:highlight w:val="none"/>
                <w:lang w:val="zh-TW" w:eastAsia="zh-CN"/>
              </w:rPr>
            </w:pPr>
            <w:r>
              <w:rPr>
                <w:rStyle w:val="64"/>
                <w:rFonts w:hint="eastAsia" w:ascii="宋体" w:hAnsi="宋体" w:eastAsia="宋体" w:cs="宋体"/>
                <w:color w:val="auto"/>
                <w:sz w:val="21"/>
                <w:szCs w:val="21"/>
                <w:highlight w:val="none"/>
                <w:lang w:val="en-US" w:eastAsia="zh-CN"/>
              </w:rPr>
              <w:t>2.</w:t>
            </w:r>
            <w:r>
              <w:rPr>
                <w:rStyle w:val="64"/>
                <w:rFonts w:hint="eastAsia" w:ascii="宋体" w:hAnsi="宋体" w:eastAsia="宋体" w:cs="宋体"/>
                <w:color w:val="auto"/>
                <w:sz w:val="21"/>
                <w:szCs w:val="21"/>
                <w:highlight w:val="none"/>
                <w:lang w:val="zh-TW" w:eastAsia="zh-TW"/>
              </w:rPr>
              <w:t>项目技术负责人具备高级及以上职称证书</w:t>
            </w:r>
            <w:r>
              <w:rPr>
                <w:rStyle w:val="64"/>
                <w:rFonts w:hint="eastAsia" w:ascii="宋体" w:hAnsi="宋体" w:cs="宋体"/>
                <w:color w:val="auto"/>
                <w:sz w:val="21"/>
                <w:szCs w:val="21"/>
                <w:highlight w:val="none"/>
                <w:lang w:val="zh-TW" w:eastAsia="zh-CN"/>
              </w:rPr>
              <w:t>的</w:t>
            </w:r>
            <w:r>
              <w:rPr>
                <w:rStyle w:val="64"/>
                <w:rFonts w:hint="eastAsia" w:ascii="宋体" w:hAnsi="宋体" w:eastAsia="宋体" w:cs="宋体"/>
                <w:color w:val="auto"/>
                <w:sz w:val="21"/>
                <w:szCs w:val="21"/>
                <w:highlight w:val="none"/>
                <w:lang w:val="zh-TW" w:eastAsia="zh-TW"/>
              </w:rPr>
              <w:t>得3分</w:t>
            </w:r>
            <w:r>
              <w:rPr>
                <w:rStyle w:val="64"/>
                <w:rFonts w:hint="eastAsia" w:ascii="宋体" w:hAnsi="宋体" w:cs="宋体"/>
                <w:color w:val="auto"/>
                <w:sz w:val="21"/>
                <w:szCs w:val="21"/>
                <w:highlight w:val="none"/>
                <w:lang w:val="zh-TW" w:eastAsia="zh-CN"/>
              </w:rPr>
              <w:t>；</w:t>
            </w:r>
          </w:p>
          <w:p>
            <w:pPr>
              <w:pStyle w:val="8"/>
              <w:widowControl w:val="0"/>
              <w:numPr>
                <w:ilvl w:val="0"/>
                <w:numId w:val="0"/>
              </w:numPr>
              <w:kinsoku w:val="0"/>
              <w:spacing w:after="0"/>
              <w:ind w:leftChars="0"/>
              <w:jc w:val="both"/>
              <w:rPr>
                <w:rStyle w:val="64"/>
                <w:rFonts w:hint="eastAsia" w:ascii="宋体" w:hAnsi="宋体" w:eastAsia="宋体" w:cs="宋体"/>
                <w:color w:val="auto"/>
                <w:sz w:val="21"/>
                <w:szCs w:val="21"/>
                <w:highlight w:val="none"/>
                <w:lang w:val="zh-TW" w:eastAsia="zh-CN"/>
              </w:rPr>
            </w:pPr>
            <w:r>
              <w:rPr>
                <w:rStyle w:val="64"/>
                <w:rFonts w:hint="eastAsia" w:ascii="宋体" w:hAnsi="宋体" w:eastAsia="宋体" w:cs="宋体"/>
                <w:color w:val="auto"/>
                <w:sz w:val="21"/>
                <w:szCs w:val="21"/>
                <w:highlight w:val="none"/>
                <w:lang w:val="en-US" w:eastAsia="zh-CN"/>
              </w:rPr>
              <w:t>3.</w:t>
            </w:r>
            <w:r>
              <w:rPr>
                <w:rStyle w:val="64"/>
                <w:rFonts w:hint="eastAsia" w:ascii="宋体" w:hAnsi="宋体" w:eastAsia="宋体" w:cs="宋体"/>
                <w:color w:val="auto"/>
                <w:sz w:val="21"/>
                <w:szCs w:val="21"/>
                <w:highlight w:val="none"/>
                <w:lang w:val="zh-TW" w:eastAsia="zh-TW"/>
              </w:rPr>
              <w:t>项目质检负责人具备高级及以上职称证书</w:t>
            </w:r>
            <w:r>
              <w:rPr>
                <w:rStyle w:val="64"/>
                <w:rFonts w:hint="eastAsia" w:ascii="宋体" w:hAnsi="宋体" w:cs="宋体"/>
                <w:color w:val="auto"/>
                <w:sz w:val="21"/>
                <w:szCs w:val="21"/>
                <w:highlight w:val="none"/>
                <w:lang w:val="zh-TW" w:eastAsia="zh-CN"/>
              </w:rPr>
              <w:t>的</w:t>
            </w:r>
            <w:r>
              <w:rPr>
                <w:rStyle w:val="64"/>
                <w:rFonts w:hint="eastAsia" w:ascii="宋体" w:hAnsi="宋体" w:eastAsia="宋体" w:cs="宋体"/>
                <w:color w:val="auto"/>
                <w:sz w:val="21"/>
                <w:szCs w:val="21"/>
                <w:highlight w:val="none"/>
                <w:lang w:val="zh-TW" w:eastAsia="zh-TW"/>
              </w:rPr>
              <w:t>得3分</w:t>
            </w:r>
            <w:r>
              <w:rPr>
                <w:rStyle w:val="64"/>
                <w:rFonts w:hint="eastAsia" w:ascii="宋体" w:hAnsi="宋体" w:cs="宋体"/>
                <w:color w:val="auto"/>
                <w:sz w:val="21"/>
                <w:szCs w:val="21"/>
                <w:highlight w:val="none"/>
                <w:lang w:val="zh-TW" w:eastAsia="zh-CN"/>
              </w:rPr>
              <w:t>；</w:t>
            </w:r>
          </w:p>
          <w:p>
            <w:pPr>
              <w:pStyle w:val="8"/>
              <w:widowControl w:val="0"/>
              <w:numPr>
                <w:ilvl w:val="0"/>
                <w:numId w:val="0"/>
              </w:numPr>
              <w:kinsoku w:val="0"/>
              <w:spacing w:after="0"/>
              <w:ind w:leftChars="0"/>
              <w:jc w:val="both"/>
              <w:rPr>
                <w:rStyle w:val="64"/>
                <w:rFonts w:hint="eastAsia" w:ascii="宋体" w:hAnsi="宋体" w:eastAsia="宋体" w:cs="宋体"/>
                <w:color w:val="auto"/>
                <w:sz w:val="21"/>
                <w:szCs w:val="21"/>
                <w:highlight w:val="none"/>
                <w:lang w:val="zh-TW" w:eastAsia="zh-TW"/>
              </w:rPr>
            </w:pPr>
            <w:r>
              <w:rPr>
                <w:rStyle w:val="64"/>
                <w:rFonts w:hint="eastAsia" w:ascii="宋体" w:hAnsi="宋体" w:eastAsia="宋体" w:cs="宋体"/>
                <w:color w:val="auto"/>
                <w:sz w:val="21"/>
                <w:szCs w:val="21"/>
                <w:highlight w:val="none"/>
                <w:lang w:val="en-US" w:eastAsia="zh-CN"/>
              </w:rPr>
              <w:t>4.</w:t>
            </w:r>
            <w:r>
              <w:rPr>
                <w:rStyle w:val="64"/>
                <w:rFonts w:hint="eastAsia" w:ascii="宋体" w:hAnsi="宋体" w:eastAsia="宋体" w:cs="宋体"/>
                <w:color w:val="auto"/>
                <w:sz w:val="21"/>
                <w:szCs w:val="21"/>
                <w:highlight w:val="none"/>
                <w:lang w:val="zh-TW" w:eastAsia="zh-TW"/>
              </w:rPr>
              <w:t>项目主要技术人员中具备工程师及以上职称证书，每投入1人得2分，满分10分。</w:t>
            </w:r>
          </w:p>
          <w:p>
            <w:pPr>
              <w:pStyle w:val="8"/>
              <w:widowControl w:val="0"/>
              <w:numPr>
                <w:ilvl w:val="0"/>
                <w:numId w:val="0"/>
              </w:numPr>
              <w:kinsoku w:val="0"/>
              <w:spacing w:after="0"/>
              <w:ind w:leftChars="0"/>
              <w:jc w:val="both"/>
              <w:rPr>
                <w:rFonts w:ascii="宋体" w:hAnsi="宋体" w:cs="宋体"/>
                <w:color w:val="auto"/>
                <w:kern w:val="0"/>
                <w:sz w:val="21"/>
                <w:szCs w:val="21"/>
                <w:highlight w:val="none"/>
                <w:lang w:val="zh-CN"/>
              </w:rPr>
            </w:pPr>
            <w:r>
              <w:rPr>
                <w:rStyle w:val="64"/>
                <w:rFonts w:hint="eastAsia" w:ascii="宋体" w:hAnsi="宋体" w:eastAsia="宋体" w:cs="宋体"/>
                <w:color w:val="auto"/>
                <w:sz w:val="21"/>
                <w:szCs w:val="21"/>
                <w:highlight w:val="none"/>
                <w:lang w:val="zh-TW" w:eastAsia="zh-TW"/>
              </w:rPr>
              <w:t>注：以上所有人员不得重复计分且应是本单位</w:t>
            </w:r>
            <w:r>
              <w:rPr>
                <w:rStyle w:val="64"/>
                <w:rFonts w:hint="eastAsia" w:ascii="宋体" w:hAnsi="宋体" w:cs="宋体"/>
                <w:color w:val="auto"/>
                <w:sz w:val="21"/>
                <w:szCs w:val="21"/>
                <w:highlight w:val="none"/>
                <w:lang w:val="zh-TW" w:eastAsia="zh-CN"/>
              </w:rPr>
              <w:t>人员。</w:t>
            </w:r>
            <w:r>
              <w:rPr>
                <w:rStyle w:val="64"/>
                <w:rFonts w:hint="eastAsia" w:ascii="宋体" w:hAnsi="宋体" w:eastAsia="宋体" w:cs="宋体"/>
                <w:color w:val="auto"/>
                <w:sz w:val="21"/>
                <w:szCs w:val="21"/>
                <w:highlight w:val="none"/>
                <w:lang w:val="zh-TW" w:eastAsia="zh-TW"/>
              </w:rPr>
              <w:t>须提供</w:t>
            </w:r>
            <w:r>
              <w:rPr>
                <w:rStyle w:val="64"/>
                <w:rFonts w:hint="eastAsia" w:ascii="宋体" w:hAnsi="宋体" w:cs="宋体"/>
                <w:color w:val="auto"/>
                <w:sz w:val="21"/>
                <w:szCs w:val="21"/>
                <w:highlight w:val="none"/>
                <w:lang w:val="zh-TW" w:eastAsia="zh-CN"/>
              </w:rPr>
              <w:t>以上</w:t>
            </w:r>
            <w:r>
              <w:rPr>
                <w:rStyle w:val="64"/>
                <w:rFonts w:hint="eastAsia" w:ascii="宋体" w:hAnsi="宋体" w:eastAsia="宋体" w:cs="宋体"/>
                <w:color w:val="auto"/>
                <w:sz w:val="21"/>
                <w:szCs w:val="21"/>
                <w:highlight w:val="none"/>
                <w:lang w:val="zh-TW" w:eastAsia="zh-TW"/>
              </w:rPr>
              <w:t>人员</w:t>
            </w:r>
            <w:r>
              <w:rPr>
                <w:rStyle w:val="64"/>
                <w:rFonts w:hint="eastAsia" w:ascii="宋体" w:hAnsi="宋体" w:cs="宋体"/>
                <w:color w:val="auto"/>
                <w:sz w:val="21"/>
                <w:szCs w:val="21"/>
                <w:highlight w:val="none"/>
                <w:lang w:val="zh-TW" w:eastAsia="zh-CN"/>
              </w:rPr>
              <w:t>职称</w:t>
            </w:r>
            <w:r>
              <w:rPr>
                <w:rStyle w:val="64"/>
                <w:rFonts w:hint="eastAsia" w:ascii="宋体" w:hAnsi="宋体" w:eastAsia="宋体" w:cs="宋体"/>
                <w:color w:val="auto"/>
                <w:sz w:val="21"/>
                <w:szCs w:val="21"/>
                <w:highlight w:val="none"/>
                <w:lang w:val="zh-TW" w:eastAsia="zh-TW"/>
              </w:rPr>
              <w:t>证书复印件加盖投标人公章</w:t>
            </w:r>
            <w:r>
              <w:rPr>
                <w:rStyle w:val="64"/>
                <w:rFonts w:hint="eastAsia" w:ascii="宋体" w:hAnsi="宋体" w:cs="宋体"/>
                <w:color w:val="auto"/>
                <w:sz w:val="21"/>
                <w:szCs w:val="21"/>
                <w:highlight w:val="none"/>
                <w:lang w:val="zh-TW" w:eastAsia="zh-CN"/>
              </w:rPr>
              <w:t>；</w:t>
            </w:r>
            <w:r>
              <w:rPr>
                <w:rStyle w:val="64"/>
                <w:rFonts w:hint="eastAsia" w:ascii="宋体" w:hAnsi="宋体" w:eastAsia="宋体" w:cs="宋体"/>
                <w:color w:val="auto"/>
                <w:sz w:val="21"/>
                <w:szCs w:val="21"/>
                <w:highlight w:val="none"/>
                <w:lang w:val="zh-TW" w:eastAsia="zh-TW"/>
              </w:rPr>
              <w:t>须提供</w:t>
            </w:r>
            <w:r>
              <w:rPr>
                <w:rStyle w:val="64"/>
                <w:rFonts w:hint="eastAsia" w:ascii="宋体" w:hAnsi="宋体" w:cs="宋体"/>
                <w:color w:val="auto"/>
                <w:sz w:val="21"/>
                <w:szCs w:val="21"/>
                <w:highlight w:val="none"/>
                <w:lang w:val="zh-TW" w:eastAsia="zh-CN"/>
              </w:rPr>
              <w:t>以上</w:t>
            </w:r>
            <w:r>
              <w:rPr>
                <w:rStyle w:val="64"/>
                <w:rFonts w:hint="eastAsia" w:ascii="宋体" w:hAnsi="宋体" w:eastAsia="宋体" w:cs="宋体"/>
                <w:color w:val="auto"/>
                <w:sz w:val="21"/>
                <w:szCs w:val="21"/>
                <w:highlight w:val="none"/>
                <w:lang w:val="zh-TW" w:eastAsia="zh-TW"/>
              </w:rPr>
              <w:t>人员任职在本单位的证明材料复印件加盖投标人公章</w:t>
            </w:r>
            <w:r>
              <w:rPr>
                <w:rStyle w:val="64"/>
                <w:rFonts w:hint="eastAsia" w:ascii="宋体" w:hAnsi="宋体" w:cs="宋体"/>
                <w:color w:val="auto"/>
                <w:sz w:val="21"/>
                <w:szCs w:val="21"/>
                <w:highlight w:val="none"/>
                <w:lang w:val="zh-TW" w:eastAsia="zh-CN"/>
              </w:rPr>
              <w:t>。</w:t>
            </w:r>
            <w:r>
              <w:rPr>
                <w:rStyle w:val="64"/>
                <w:rFonts w:hint="eastAsia" w:ascii="宋体" w:hAnsi="宋体" w:eastAsia="宋体" w:cs="宋体"/>
                <w:color w:val="auto"/>
                <w:sz w:val="21"/>
                <w:szCs w:val="21"/>
                <w:highlight w:val="none"/>
                <w:lang w:val="zh-TW" w:eastAsia="zh-TW"/>
              </w:rPr>
              <w:t>未提供不得分。证明材料在</w:t>
            </w:r>
            <w:r>
              <w:rPr>
                <w:rStyle w:val="64"/>
                <w:rFonts w:hint="eastAsia" w:ascii="宋体" w:hAnsi="宋体" w:cs="宋体"/>
                <w:color w:val="auto"/>
                <w:sz w:val="21"/>
                <w:szCs w:val="21"/>
                <w:highlight w:val="none"/>
                <w:lang w:val="zh-TW" w:eastAsia="zh-CN"/>
              </w:rPr>
              <w:t>中标</w:t>
            </w:r>
            <w:r>
              <w:rPr>
                <w:rStyle w:val="64"/>
                <w:rFonts w:hint="eastAsia" w:ascii="宋体" w:hAnsi="宋体" w:eastAsia="宋体" w:cs="宋体"/>
                <w:color w:val="auto"/>
                <w:sz w:val="21"/>
                <w:szCs w:val="21"/>
                <w:highlight w:val="none"/>
                <w:lang w:val="zh-TW" w:eastAsia="zh-TW"/>
              </w:rPr>
              <w:t>后签订合同前交采购人查验。</w:t>
            </w:r>
          </w:p>
        </w:tc>
        <w:tc>
          <w:tcPr>
            <w:tcW w:w="1214" w:type="dxa"/>
            <w:noWrap w:val="0"/>
            <w:vAlign w:val="center"/>
          </w:tcPr>
          <w:p>
            <w:pPr>
              <w:jc w:val="center"/>
              <w:rPr>
                <w:rFonts w:ascii="宋体" w:hAnsi="宋体" w:cs="宋体"/>
                <w:color w:val="auto"/>
                <w:kern w:val="0"/>
                <w:sz w:val="20"/>
                <w:szCs w:val="21"/>
                <w:highlight w:val="none"/>
              </w:rPr>
            </w:pPr>
            <w:r>
              <w:rPr>
                <w:rFonts w:hint="eastAsia" w:ascii="宋体" w:hAnsi="宋体" w:cs="宋体"/>
                <w:color w:val="auto"/>
                <w:kern w:val="0"/>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590" w:type="dxa"/>
            <w:noWrap w:val="0"/>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085" w:type="dxa"/>
            <w:noWrap w:val="0"/>
            <w:vAlign w:val="center"/>
          </w:tcPr>
          <w:p>
            <w:pPr>
              <w:pStyle w:val="56"/>
              <w:jc w:val="center"/>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售后服务</w:t>
            </w:r>
            <w:r>
              <w:rPr>
                <w:rFonts w:hint="eastAsia" w:ascii="宋体" w:hAnsi="宋体" w:cs="宋体"/>
                <w:color w:val="auto"/>
                <w:kern w:val="0"/>
                <w:sz w:val="21"/>
                <w:szCs w:val="21"/>
                <w:highlight w:val="none"/>
              </w:rPr>
              <w:t>10</w:t>
            </w:r>
            <w:r>
              <w:rPr>
                <w:rFonts w:hint="eastAsia" w:ascii="宋体" w:hAnsi="宋体" w:cs="宋体"/>
                <w:color w:val="auto"/>
                <w:kern w:val="0"/>
                <w:sz w:val="21"/>
                <w:szCs w:val="21"/>
                <w:highlight w:val="none"/>
                <w:lang w:val="zh-CN"/>
              </w:rPr>
              <w:t>%</w:t>
            </w:r>
          </w:p>
        </w:tc>
        <w:tc>
          <w:tcPr>
            <w:tcW w:w="830" w:type="dxa"/>
            <w:noWrap w:val="0"/>
            <w:vAlign w:val="center"/>
          </w:tcPr>
          <w:p>
            <w:pPr>
              <w:pStyle w:val="56"/>
              <w:jc w:val="center"/>
              <w:rPr>
                <w:rFonts w:ascii="宋体" w:hAnsi="宋体" w:cs="宋体"/>
                <w:color w:val="auto"/>
                <w:kern w:val="0"/>
                <w:sz w:val="21"/>
                <w:szCs w:val="21"/>
                <w:highlight w:val="none"/>
                <w:lang w:val="zh-CN" w:bidi="zh-CN"/>
              </w:rPr>
            </w:pPr>
            <w:r>
              <w:rPr>
                <w:rFonts w:hint="eastAsia" w:ascii="宋体" w:hAnsi="宋体" w:cs="宋体"/>
                <w:color w:val="auto"/>
                <w:kern w:val="0"/>
                <w:sz w:val="21"/>
                <w:szCs w:val="21"/>
                <w:highlight w:val="none"/>
                <w:lang w:bidi="zh-CN"/>
              </w:rPr>
              <w:t>10</w:t>
            </w:r>
            <w:r>
              <w:rPr>
                <w:rFonts w:hint="eastAsia" w:ascii="宋体" w:hAnsi="宋体" w:cs="宋体"/>
                <w:color w:val="auto"/>
                <w:kern w:val="0"/>
                <w:sz w:val="21"/>
                <w:szCs w:val="21"/>
                <w:highlight w:val="none"/>
                <w:lang w:val="zh-CN" w:bidi="zh-CN"/>
              </w:rPr>
              <w:t>分</w:t>
            </w:r>
          </w:p>
        </w:tc>
        <w:tc>
          <w:tcPr>
            <w:tcW w:w="6159" w:type="dxa"/>
            <w:noWrap w:val="0"/>
            <w:vAlign w:val="center"/>
          </w:tcPr>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针对</w:t>
            </w:r>
            <w:r>
              <w:rPr>
                <w:rFonts w:hint="eastAsia" w:ascii="宋体" w:hAnsi="宋体" w:cs="宋体"/>
                <w:color w:val="auto"/>
                <w:kern w:val="0"/>
                <w:sz w:val="21"/>
                <w:szCs w:val="21"/>
                <w:highlight w:val="none"/>
              </w:rPr>
              <w:t>投标人</w:t>
            </w:r>
            <w:r>
              <w:rPr>
                <w:rFonts w:hint="eastAsia" w:ascii="宋体" w:hAnsi="宋体" w:cs="宋体"/>
                <w:color w:val="auto"/>
                <w:kern w:val="0"/>
                <w:sz w:val="21"/>
                <w:szCs w:val="21"/>
                <w:highlight w:val="none"/>
                <w:lang w:val="zh-CN"/>
              </w:rPr>
              <w:t>提供本项目的售后服务方案进行综合比较与评价：内容包含</w:t>
            </w:r>
          </w:p>
          <w:p>
            <w:pPr>
              <w:pStyle w:val="56"/>
              <w:ind w:firstLine="420" w:firstLineChars="200"/>
              <w:rPr>
                <w:rFonts w:cs="宋体"/>
                <w:color w:val="auto"/>
                <w:kern w:val="0"/>
                <w:sz w:val="21"/>
                <w:szCs w:val="21"/>
                <w:highlight w:val="none"/>
                <w:lang w:val="zh-CN"/>
              </w:rPr>
            </w:pPr>
            <w:r>
              <w:rPr>
                <w:rFonts w:hint="eastAsia" w:ascii="宋体" w:hAnsi="宋体" w:cs="宋体"/>
                <w:color w:val="auto"/>
                <w:kern w:val="0"/>
                <w:sz w:val="21"/>
                <w:szCs w:val="21"/>
                <w:highlight w:val="none"/>
                <w:lang w:val="zh-CN"/>
              </w:rPr>
              <w:t>①服务体系</w:t>
            </w:r>
            <w:r>
              <w:rPr>
                <w:rFonts w:hint="eastAsia" w:cs="宋体"/>
                <w:color w:val="auto"/>
                <w:kern w:val="0"/>
                <w:sz w:val="21"/>
                <w:szCs w:val="21"/>
                <w:highlight w:val="none"/>
                <w:lang w:val="zh-CN"/>
              </w:rPr>
              <w:t>；</w:t>
            </w:r>
          </w:p>
          <w:p>
            <w:pPr>
              <w:pStyle w:val="56"/>
              <w:ind w:firstLine="420" w:firstLineChars="200"/>
              <w:rPr>
                <w:rFonts w:cs="宋体"/>
                <w:color w:val="auto"/>
                <w:kern w:val="0"/>
                <w:sz w:val="21"/>
                <w:szCs w:val="21"/>
                <w:highlight w:val="none"/>
                <w:lang w:val="zh-CN"/>
              </w:rPr>
            </w:pPr>
            <w:r>
              <w:rPr>
                <w:rFonts w:hint="eastAsia" w:ascii="宋体" w:hAnsi="宋体" w:cs="宋体"/>
                <w:color w:val="auto"/>
                <w:kern w:val="0"/>
                <w:sz w:val="21"/>
                <w:szCs w:val="21"/>
                <w:highlight w:val="none"/>
                <w:lang w:val="zh-CN"/>
              </w:rPr>
              <w:t>②服务内容</w:t>
            </w:r>
            <w:r>
              <w:rPr>
                <w:rFonts w:hint="eastAsia" w:cs="宋体"/>
                <w:color w:val="auto"/>
                <w:kern w:val="0"/>
                <w:sz w:val="21"/>
                <w:szCs w:val="21"/>
                <w:highlight w:val="none"/>
                <w:lang w:val="zh-CN"/>
              </w:rPr>
              <w:t>；</w:t>
            </w:r>
          </w:p>
          <w:p>
            <w:pPr>
              <w:pStyle w:val="56"/>
              <w:ind w:firstLine="420" w:firstLineChars="200"/>
              <w:rPr>
                <w:rFonts w:cs="宋体"/>
                <w:color w:val="auto"/>
                <w:kern w:val="0"/>
                <w:sz w:val="21"/>
                <w:szCs w:val="21"/>
                <w:highlight w:val="none"/>
                <w:lang w:val="zh-CN"/>
              </w:rPr>
            </w:pPr>
            <w:r>
              <w:rPr>
                <w:rFonts w:hint="eastAsia" w:ascii="宋体" w:hAnsi="宋体" w:cs="宋体"/>
                <w:color w:val="auto"/>
                <w:kern w:val="0"/>
                <w:sz w:val="21"/>
                <w:szCs w:val="21"/>
                <w:highlight w:val="none"/>
                <w:lang w:val="zh-CN"/>
              </w:rPr>
              <w:t>③故障解决方案</w:t>
            </w:r>
            <w:r>
              <w:rPr>
                <w:rFonts w:hint="eastAsia" w:cs="宋体"/>
                <w:color w:val="auto"/>
                <w:kern w:val="0"/>
                <w:sz w:val="21"/>
                <w:szCs w:val="21"/>
                <w:highlight w:val="none"/>
                <w:lang w:val="zh-CN"/>
              </w:rPr>
              <w:t>；</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④专业技术人员保障；</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⑤服务电话等。</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有缺项的扣</w:t>
            </w: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lang w:val="zh-CN"/>
              </w:rPr>
              <w:t>分，扣完为止；</w:t>
            </w:r>
          </w:p>
          <w:p>
            <w:pPr>
              <w:pStyle w:val="56"/>
              <w:ind w:firstLine="420" w:firstLineChars="200"/>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每有一处存在缺陷（缺陷是指该项内容分析不全面；阐述存在逻辑错误；涉及内容无重点，不能体现本项目的特点；语言错误或存在歧义；与本项目实际不完全相符；项目名称、实施地点与本项目不一致等）扣</w:t>
            </w:r>
            <w:r>
              <w:rPr>
                <w:rFonts w:hint="eastAsia" w:ascii="宋体" w:hAnsi="宋体" w:cs="宋体"/>
                <w:color w:val="auto"/>
                <w:kern w:val="0"/>
                <w:sz w:val="21"/>
                <w:szCs w:val="21"/>
                <w:highlight w:val="none"/>
              </w:rPr>
              <w:t>1</w:t>
            </w:r>
            <w:r>
              <w:rPr>
                <w:rFonts w:hint="eastAsia" w:ascii="宋体" w:hAnsi="宋体" w:cs="宋体"/>
                <w:color w:val="auto"/>
                <w:kern w:val="0"/>
                <w:sz w:val="21"/>
                <w:szCs w:val="21"/>
                <w:highlight w:val="none"/>
                <w:lang w:val="zh-CN"/>
              </w:rPr>
              <w:t>分，扣完为止。</w:t>
            </w:r>
          </w:p>
          <w:p>
            <w:pPr>
              <w:pStyle w:val="56"/>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lang w:val="zh-CN"/>
              </w:rPr>
              <w:t>本项满分</w:t>
            </w:r>
            <w:r>
              <w:rPr>
                <w:rFonts w:hint="eastAsia" w:ascii="宋体" w:hAnsi="宋体" w:cs="宋体"/>
                <w:color w:val="auto"/>
                <w:kern w:val="0"/>
                <w:sz w:val="21"/>
                <w:szCs w:val="21"/>
                <w:highlight w:val="none"/>
              </w:rPr>
              <w:t>10</w:t>
            </w:r>
            <w:r>
              <w:rPr>
                <w:rFonts w:hint="eastAsia" w:ascii="宋体" w:hAnsi="宋体" w:cs="宋体"/>
                <w:color w:val="auto"/>
                <w:kern w:val="0"/>
                <w:sz w:val="21"/>
                <w:szCs w:val="21"/>
                <w:highlight w:val="none"/>
                <w:lang w:val="zh-CN"/>
              </w:rPr>
              <w:t>分。</w:t>
            </w:r>
          </w:p>
        </w:tc>
        <w:tc>
          <w:tcPr>
            <w:tcW w:w="1214" w:type="dxa"/>
            <w:noWrap w:val="0"/>
            <w:vAlign w:val="center"/>
          </w:tcPr>
          <w:p>
            <w:pPr>
              <w:jc w:val="center"/>
              <w:rPr>
                <w:rFonts w:ascii="宋体" w:hAnsi="宋体" w:cs="宋体"/>
                <w:color w:val="auto"/>
                <w:kern w:val="0"/>
                <w:sz w:val="24"/>
                <w:highlight w:val="none"/>
              </w:rPr>
            </w:pPr>
            <w:r>
              <w:rPr>
                <w:rFonts w:hint="eastAsia" w:ascii="宋体" w:hAnsi="宋体" w:cs="宋体"/>
                <w:color w:val="auto"/>
                <w:kern w:val="0"/>
                <w:szCs w:val="21"/>
                <w:highlight w:val="none"/>
              </w:rPr>
              <w:t>技术评分因素</w:t>
            </w:r>
          </w:p>
        </w:tc>
      </w:tr>
    </w:tbl>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注：评标总得分=F1×A1+F2×A2+……+Fn×An</w:t>
      </w:r>
    </w:p>
    <w:p>
      <w:pPr>
        <w:adjustRightInd w:val="0"/>
        <w:snapToGrid w:val="0"/>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F1、F2……Fn分别为各项评审因素的得分</w:t>
      </w:r>
      <w:r>
        <w:rPr>
          <w:rFonts w:hint="eastAsia" w:ascii="宋体" w:hAnsi="宋体" w:cs="宋体"/>
          <w:bCs/>
          <w:color w:val="auto"/>
          <w:sz w:val="24"/>
          <w:highlight w:val="none"/>
          <w:lang w:eastAsia="zh-CN"/>
        </w:rPr>
        <w:t>；</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A1、A2、……An 分别为各项评审因素所占的权重(A1+A2+……+An=1)。</w:t>
      </w:r>
    </w:p>
    <w:p>
      <w:pPr>
        <w:adjustRightInd w:val="0"/>
        <w:snapToGrid w:val="0"/>
        <w:spacing w:line="360" w:lineRule="auto"/>
        <w:ind w:firstLine="480" w:firstLineChars="200"/>
        <w:rPr>
          <w:rFonts w:hint="eastAsia" w:ascii="宋体" w:hAnsi="宋体" w:cs="宋体"/>
          <w:bCs/>
          <w:color w:val="auto"/>
          <w:sz w:val="24"/>
          <w:highlight w:val="none"/>
        </w:rPr>
      </w:pPr>
      <w:bookmarkStart w:id="371" w:name="_Toc503863074"/>
    </w:p>
    <w:p>
      <w:pPr>
        <w:adjustRightInd w:val="0"/>
        <w:snapToGrid w:val="0"/>
        <w:spacing w:line="360" w:lineRule="auto"/>
        <w:ind w:firstLine="482" w:firstLineChars="200"/>
        <w:outlineLvl w:val="1"/>
        <w:rPr>
          <w:rFonts w:ascii="宋体" w:hAnsi="宋体" w:cs="宋体"/>
          <w:b/>
          <w:color w:val="auto"/>
          <w:sz w:val="24"/>
          <w:highlight w:val="none"/>
        </w:rPr>
      </w:pPr>
      <w:r>
        <w:rPr>
          <w:rFonts w:hint="eastAsia" w:ascii="宋体" w:hAnsi="宋体" w:cs="宋体"/>
          <w:b/>
          <w:color w:val="auto"/>
          <w:sz w:val="24"/>
          <w:highlight w:val="none"/>
        </w:rPr>
        <w:t>5．废标</w:t>
      </w:r>
      <w:bookmarkEnd w:id="371"/>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5.1本次政府采购活动中，出现下列情形之一的，予以废标：</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（1）符合专业条件的供应商或者对招标文件作实质响应的供应商不足三家的；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（2）出现影响采购公正的违法、违规行为的；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（3）投标人的报价均超过了采购预算，采购人不能支付的；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（4）因重大变故，采购任务取消的。</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废标后，采购代理机构应在四川政府采购网上公告，并公告废标的情形。投标人需要知晓导致废标情形的具体原因和理由的，可以通过书面形式询问招标采购单位。</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5.2对于评标过程中废标的采购项目，评标委员会应当对招标文件是否存在倾向性和歧视性、是否存在不合理条款进行论证，并出具书面论证意见。</w:t>
      </w:r>
    </w:p>
    <w:p>
      <w:pPr>
        <w:adjustRightInd w:val="0"/>
        <w:snapToGrid w:val="0"/>
        <w:spacing w:line="360" w:lineRule="auto"/>
        <w:ind w:firstLine="482" w:firstLineChars="200"/>
        <w:outlineLvl w:val="1"/>
        <w:rPr>
          <w:rFonts w:ascii="宋体" w:hAnsi="宋体" w:cs="宋体"/>
          <w:b/>
          <w:color w:val="auto"/>
          <w:sz w:val="24"/>
          <w:highlight w:val="none"/>
        </w:rPr>
      </w:pPr>
      <w:bookmarkStart w:id="372" w:name="_Toc503863075"/>
      <w:r>
        <w:rPr>
          <w:rFonts w:hint="eastAsia" w:ascii="宋体" w:hAnsi="宋体" w:cs="宋体"/>
          <w:b/>
          <w:color w:val="auto"/>
          <w:sz w:val="24"/>
          <w:highlight w:val="none"/>
        </w:rPr>
        <w:t>6．定标</w:t>
      </w:r>
      <w:bookmarkEnd w:id="370"/>
      <w:bookmarkEnd w:id="372"/>
      <w:bookmarkStart w:id="373" w:name="_Toc217446061"/>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6.1. 定标原则</w:t>
      </w:r>
      <w:bookmarkEnd w:id="373"/>
      <w:r>
        <w:rPr>
          <w:rFonts w:hint="eastAsia" w:ascii="宋体" w:hAnsi="宋体" w:cs="宋体"/>
          <w:bCs/>
          <w:color w:val="auto"/>
          <w:sz w:val="24"/>
          <w:highlight w:val="none"/>
        </w:rPr>
        <w:t>：本项目根据评标委员会推荐的中标候选供应商名单，按顺序确定中标供应商。</w:t>
      </w:r>
    </w:p>
    <w:p>
      <w:pPr>
        <w:adjustRightInd w:val="0"/>
        <w:snapToGrid w:val="0"/>
        <w:spacing w:line="360" w:lineRule="auto"/>
        <w:ind w:firstLine="480" w:firstLineChars="200"/>
        <w:rPr>
          <w:rFonts w:ascii="宋体" w:hAnsi="宋体" w:cs="宋体"/>
          <w:bCs/>
          <w:color w:val="auto"/>
          <w:sz w:val="24"/>
          <w:highlight w:val="none"/>
        </w:rPr>
      </w:pPr>
      <w:bookmarkStart w:id="374" w:name="_Toc217446062"/>
      <w:r>
        <w:rPr>
          <w:rFonts w:hint="eastAsia" w:ascii="宋体" w:hAnsi="宋体" w:cs="宋体"/>
          <w:bCs/>
          <w:color w:val="auto"/>
          <w:sz w:val="24"/>
          <w:highlight w:val="none"/>
        </w:rPr>
        <w:t>6.2. 定标程序</w:t>
      </w:r>
      <w:bookmarkEnd w:id="374"/>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6.2.1 评标委员会将评标情况写出书面报告，推荐中标候选供应商。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6.2.2 采购代理机构在评标结束后2个工作日内将评标报告送采购人。</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6.2.4 根据采购人确定的中标供应商，采购代理机构在四川政府采购网上发布中标公告，并自采购人确定中标之日起2个工作日内向中标供应商发出中标通知书。</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6.2.5 招标采购单位不退回投标人投标文件和其他投标资料。</w:t>
      </w:r>
    </w:p>
    <w:bookmarkEnd w:id="365"/>
    <w:p>
      <w:pPr>
        <w:adjustRightInd w:val="0"/>
        <w:snapToGrid w:val="0"/>
        <w:spacing w:line="360" w:lineRule="auto"/>
        <w:ind w:firstLine="482" w:firstLineChars="200"/>
        <w:outlineLvl w:val="1"/>
        <w:rPr>
          <w:rFonts w:ascii="宋体" w:hAnsi="宋体" w:cs="宋体"/>
          <w:b/>
          <w:color w:val="auto"/>
          <w:sz w:val="24"/>
          <w:highlight w:val="none"/>
        </w:rPr>
      </w:pPr>
      <w:bookmarkStart w:id="375" w:name="_Toc183682432"/>
      <w:bookmarkStart w:id="376" w:name="_Toc217446105"/>
      <w:bookmarkStart w:id="377" w:name="_Toc183582297"/>
      <w:bookmarkStart w:id="378" w:name="_Toc208849022"/>
      <w:bookmarkStart w:id="379" w:name="_Toc503863076"/>
      <w:r>
        <w:rPr>
          <w:rFonts w:hint="eastAsia" w:ascii="宋体" w:hAnsi="宋体" w:cs="宋体"/>
          <w:b/>
          <w:color w:val="auto"/>
          <w:sz w:val="24"/>
          <w:highlight w:val="none"/>
        </w:rPr>
        <w:t>7</w:t>
      </w:r>
      <w:bookmarkEnd w:id="375"/>
      <w:bookmarkEnd w:id="376"/>
      <w:bookmarkEnd w:id="377"/>
      <w:bookmarkEnd w:id="378"/>
      <w:r>
        <w:rPr>
          <w:rFonts w:hint="eastAsia" w:ascii="宋体" w:hAnsi="宋体" w:cs="宋体"/>
          <w:b/>
          <w:color w:val="auto"/>
          <w:sz w:val="24"/>
          <w:highlight w:val="none"/>
        </w:rPr>
        <w:t>．评标专家在政府采购活动中承担以下义务：</w:t>
      </w:r>
      <w:bookmarkEnd w:id="379"/>
    </w:p>
    <w:p>
      <w:pPr>
        <w:adjustRightInd w:val="0"/>
        <w:snapToGrid w:val="0"/>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（一）遵守评审工作纪律</w:t>
      </w:r>
      <w:r>
        <w:rPr>
          <w:rFonts w:hint="eastAsia" w:ascii="宋体" w:hAnsi="宋体" w:cs="宋体"/>
          <w:bCs/>
          <w:color w:val="auto"/>
          <w:sz w:val="24"/>
          <w:highlight w:val="none"/>
          <w:lang w:eastAsia="zh-CN"/>
        </w:rPr>
        <w:t>；</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（二）按照客观、公正、审慎的原则，根据采购文件规定的评审程序、评审方法和评审标准进行独立评审；</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（三）不得泄露评审文件、评审情况和在评审过程中获悉的商业秘密；</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（四）及时向监督部门报告评审过程中采购组织单位向评审专家做倾向性、误导性的解释或者说明，供应商行贿、提供虚假材料或者串通、受到的非法干预情况等违法违规行为；</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（五）发现采购文件内容违反国家有关强制性规定或者存在</w:t>
      </w:r>
      <w:r>
        <w:rPr>
          <w:rFonts w:hint="eastAsia" w:ascii="宋体" w:hAnsi="宋体" w:cs="宋体"/>
          <w:bCs/>
          <w:color w:val="auto"/>
          <w:sz w:val="24"/>
          <w:highlight w:val="none"/>
          <w:lang w:eastAsia="zh-CN"/>
        </w:rPr>
        <w:t>重大</w:t>
      </w:r>
      <w:r>
        <w:rPr>
          <w:rFonts w:hint="eastAsia" w:ascii="宋体" w:hAnsi="宋体" w:cs="宋体"/>
          <w:bCs/>
          <w:color w:val="auto"/>
          <w:sz w:val="24"/>
          <w:highlight w:val="none"/>
        </w:rPr>
        <w:t>歧义</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重大缺陷导致评审工作无法进行时，停止评审并向采购组织单位书面说明情况；</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（六）配合答复处理供应商的询问、质疑和投诉等事项；</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（七）法律、法规和规章规定的其他义务。</w:t>
      </w:r>
    </w:p>
    <w:p>
      <w:pPr>
        <w:adjustRightInd w:val="0"/>
        <w:snapToGrid w:val="0"/>
        <w:spacing w:line="360" w:lineRule="auto"/>
        <w:ind w:firstLine="482" w:firstLineChars="200"/>
        <w:outlineLvl w:val="1"/>
        <w:rPr>
          <w:rFonts w:ascii="宋体" w:hAnsi="宋体" w:cs="宋体"/>
          <w:b/>
          <w:color w:val="auto"/>
          <w:sz w:val="24"/>
          <w:highlight w:val="none"/>
        </w:rPr>
      </w:pPr>
      <w:r>
        <w:rPr>
          <w:rFonts w:hint="eastAsia" w:ascii="宋体" w:hAnsi="宋体" w:cs="宋体"/>
          <w:b/>
          <w:color w:val="auto"/>
          <w:sz w:val="24"/>
          <w:highlight w:val="none"/>
        </w:rPr>
        <w:t>8．评标专家在政府采购活动中应当遵守以下工作纪律：</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（一）遵行《政府采购法》第十二条和《政府采购法实施条例》第九条及财政部关于回避的规定。</w:t>
      </w:r>
    </w:p>
    <w:p>
      <w:pPr>
        <w:adjustRightInd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（二）评标前，应当将通讯工具或者相关电子设备交由招标采购单位统一保管。</w:t>
      </w:r>
    </w:p>
    <w:p>
      <w:pPr>
        <w:adjustRightInd w:val="0"/>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highlight w:val="none"/>
        </w:rPr>
        <w:t>（三）评标过程中，不得与外界联系，因发生不可预见情况，确实需要与外界联系</w:t>
      </w:r>
      <w:r>
        <w:rPr>
          <w:rFonts w:hint="eastAsia" w:ascii="宋体" w:hAnsi="宋体" w:cs="宋体"/>
          <w:bCs/>
          <w:color w:val="auto"/>
          <w:sz w:val="24"/>
          <w:szCs w:val="24"/>
          <w:highlight w:val="none"/>
        </w:rPr>
        <w:t>的，应当在监督人员督之下办理。</w:t>
      </w:r>
    </w:p>
    <w:p>
      <w:pPr>
        <w:adjustRightInd w:val="0"/>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adjustRightInd w:val="0"/>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（五）在评标过程中和评标结束后，不得记录、复制或带走任何评标资料，除因规定的义务外，不得向外界透露评标内容。</w:t>
      </w:r>
    </w:p>
    <w:p>
      <w:pPr>
        <w:adjustRightInd w:val="0"/>
        <w:snapToGri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（六）服从评标现场招标采购单位的现场秩序管理，接受评标现场监督人员的合法监督。</w:t>
      </w:r>
    </w:p>
    <w:p>
      <w:pPr>
        <w:adjustRightInd w:val="0"/>
        <w:snapToGrid w:val="0"/>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（七）遵守有关廉洁自律规定，不得私下接触供应商，不得收受供应商及有关业务单位和个人的财物或好处，不得接受采购组织单位的请托。</w:t>
      </w:r>
    </w:p>
    <w:p>
      <w:pPr>
        <w:pStyle w:val="8"/>
        <w:rPr>
          <w:color w:val="auto"/>
          <w:sz w:val="24"/>
          <w:szCs w:val="24"/>
          <w:highlight w:val="none"/>
        </w:rPr>
      </w:pPr>
    </w:p>
    <w:p>
      <w:pPr>
        <w:rPr>
          <w:rFonts w:ascii="宋体" w:hAnsi="宋体" w:cs="宋体"/>
          <w:color w:val="auto"/>
          <w:sz w:val="24"/>
          <w:highlight w:val="none"/>
        </w:rPr>
      </w:pPr>
      <w:r>
        <w:rPr>
          <w:rFonts w:hint="eastAsia" w:ascii="宋体" w:hAnsi="宋体" w:cs="宋体"/>
          <w:color w:val="auto"/>
          <w:sz w:val="24"/>
          <w:highlight w:val="none"/>
        </w:rPr>
        <w:br w:type="page"/>
      </w:r>
    </w:p>
    <w:p>
      <w:pPr>
        <w:pStyle w:val="3"/>
        <w:rPr>
          <w:rFonts w:ascii="宋体" w:hAnsi="宋体" w:cs="宋体"/>
          <w:color w:val="auto"/>
          <w:highlight w:val="none"/>
        </w:rPr>
      </w:pPr>
      <w:bookmarkStart w:id="380" w:name="_Toc11212"/>
      <w:bookmarkStart w:id="381" w:name="_Toc21369"/>
      <w:bookmarkStart w:id="382" w:name="_Toc513202003"/>
      <w:bookmarkStart w:id="383" w:name="_Toc28451"/>
      <w:r>
        <w:rPr>
          <w:rFonts w:hint="eastAsia" w:ascii="宋体" w:hAnsi="宋体" w:cs="宋体"/>
          <w:color w:val="auto"/>
          <w:highlight w:val="none"/>
        </w:rPr>
        <w:t>第八章  政府采购合同（样例）</w:t>
      </w:r>
      <w:bookmarkEnd w:id="380"/>
      <w:bookmarkEnd w:id="381"/>
      <w:bookmarkEnd w:id="382"/>
      <w:bookmarkEnd w:id="383"/>
    </w:p>
    <w:p>
      <w:pPr>
        <w:bidi w:val="0"/>
        <w:rPr>
          <w:rFonts w:hint="eastAsia" w:asciiTheme="minorEastAsia" w:hAnsiTheme="minorEastAsia" w:eastAsiaTheme="minorEastAsia" w:cstheme="minorEastAsia"/>
          <w:color w:val="auto"/>
          <w:sz w:val="24"/>
          <w:szCs w:val="24"/>
          <w:highlight w:val="none"/>
        </w:rPr>
      </w:pP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合同编号：</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签订地点：</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签订时间：年月日</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采购人（甲方）：</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供应商（乙方）：</w:t>
      </w:r>
    </w:p>
    <w:p>
      <w:pPr>
        <w:pStyle w:val="8"/>
        <w:spacing w:after="0" w:line="48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rPr>
        <w:t>依据《中华人民共和国民法典》、《中华人民共和国政府采购法》与项目行业有关的法律法规，以及XXXX项目（项目编号：XXXX）的《采购文件》，乙方的《投标/响应文件》及《中标/成交通知书》，甲、乙双方同意签订本合同。详细技术说明及其他有关合同项目的特定信息由合同附件予以说明，合同附件及本项目的《采购文件》、《投标/响应文件》、《中标/成交通知书》等均为本合同的组成部分。</w:t>
      </w:r>
      <w:r>
        <w:rPr>
          <w:rFonts w:hint="eastAsia" w:ascii="宋体" w:hAnsi="宋体" w:cs="宋体"/>
          <w:color w:val="auto"/>
          <w:sz w:val="24"/>
          <w:highlight w:val="none"/>
        </w:rPr>
        <w:t>双方同意共同遵守如下条款：</w:t>
      </w:r>
    </w:p>
    <w:p>
      <w:pPr>
        <w:pStyle w:val="8"/>
        <w:spacing w:after="0"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第一条合同文件</w:t>
      </w:r>
    </w:p>
    <w:p>
      <w:pPr>
        <w:pStyle w:val="8"/>
        <w:spacing w:after="0"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下列与本次采购活动有关的文件及附件是本合同不可分割的组成部分，与本合同具有同等法律效力，这些文件包括但不限于：</w:t>
      </w:r>
    </w:p>
    <w:p>
      <w:pPr>
        <w:pStyle w:val="8"/>
        <w:spacing w:after="0"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Cs/>
          <w:color w:val="auto"/>
          <w:sz w:val="24"/>
          <w:highlight w:val="none"/>
        </w:rPr>
        <w:t>采购文件</w:t>
      </w:r>
    </w:p>
    <w:p>
      <w:pPr>
        <w:pStyle w:val="8"/>
        <w:spacing w:after="0"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bCs/>
          <w:color w:val="auto"/>
          <w:sz w:val="24"/>
          <w:highlight w:val="none"/>
        </w:rPr>
        <w:t>投标/响应文件</w:t>
      </w:r>
    </w:p>
    <w:p>
      <w:pPr>
        <w:pStyle w:val="8"/>
        <w:spacing w:after="0"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3.乙方在响应时的书面承诺</w:t>
      </w:r>
    </w:p>
    <w:p>
      <w:pPr>
        <w:pStyle w:val="8"/>
        <w:spacing w:after="0"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4.中标/成交通知书</w:t>
      </w:r>
    </w:p>
    <w:p>
      <w:pPr>
        <w:pStyle w:val="8"/>
        <w:spacing w:after="0"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5.合同补充条款或说明</w:t>
      </w:r>
    </w:p>
    <w:p>
      <w:pPr>
        <w:pStyle w:val="8"/>
        <w:spacing w:after="0"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6.相关附件</w:t>
      </w:r>
    </w:p>
    <w:p>
      <w:pPr>
        <w:pStyle w:val="8"/>
        <w:spacing w:after="0"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第二条合同期限</w:t>
      </w:r>
    </w:p>
    <w:p>
      <w:pPr>
        <w:spacing w:line="480" w:lineRule="exact"/>
        <w:ind w:firstLine="480" w:firstLineChars="200"/>
        <w:rPr>
          <w:color w:val="auto"/>
          <w:highlight w:val="none"/>
        </w:rPr>
      </w:pPr>
      <w:r>
        <w:rPr>
          <w:rFonts w:hint="eastAsia" w:ascii="宋体" w:hAnsi="宋体" w:cs="宋体"/>
          <w:bCs/>
          <w:color w:val="auto"/>
          <w:sz w:val="24"/>
          <w:highlight w:val="none"/>
        </w:rPr>
        <w:t>XXXX</w:t>
      </w:r>
    </w:p>
    <w:p>
      <w:pPr>
        <w:pStyle w:val="8"/>
        <w:spacing w:after="0"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第三条服务内容</w:t>
      </w:r>
    </w:p>
    <w:p>
      <w:pPr>
        <w:pStyle w:val="8"/>
        <w:spacing w:after="0"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采购文件要求、</w:t>
      </w:r>
      <w:r>
        <w:rPr>
          <w:rFonts w:hint="eastAsia" w:ascii="宋体" w:hAnsi="宋体" w:cs="宋体"/>
          <w:bCs/>
          <w:color w:val="auto"/>
          <w:sz w:val="24"/>
          <w:highlight w:val="none"/>
        </w:rPr>
        <w:t>投标/响应</w:t>
      </w:r>
      <w:r>
        <w:rPr>
          <w:rFonts w:hint="eastAsia" w:ascii="宋体" w:hAnsi="宋体" w:cs="宋体"/>
          <w:color w:val="auto"/>
          <w:sz w:val="24"/>
          <w:highlight w:val="none"/>
        </w:rPr>
        <w:t>文件响应的服务内容（合同签订时明确）。</w:t>
      </w:r>
    </w:p>
    <w:p>
      <w:pPr>
        <w:pStyle w:val="8"/>
        <w:spacing w:after="0"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第四条合同金额及支付方式</w:t>
      </w:r>
    </w:p>
    <w:p>
      <w:pPr>
        <w:pStyle w:val="8"/>
        <w:spacing w:after="0" w:line="480" w:lineRule="exact"/>
        <w:ind w:firstLine="480" w:firstLineChars="200"/>
        <w:rPr>
          <w:rFonts w:hAnsi="宋体"/>
          <w:color w:val="auto"/>
          <w:highlight w:val="none"/>
        </w:rPr>
      </w:pPr>
      <w:r>
        <w:rPr>
          <w:rFonts w:hint="eastAsia" w:ascii="宋体" w:hAnsi="宋体" w:cs="宋体"/>
          <w:color w:val="auto"/>
          <w:sz w:val="24"/>
          <w:highlight w:val="none"/>
        </w:rPr>
        <w:t>4.1合同金额为：人民币_________________元（大写：）。本合同执行期间合同金额不变，甲方无须另向乙方支付本合同规定之外的其他任何费用。</w:t>
      </w:r>
    </w:p>
    <w:p>
      <w:pPr>
        <w:pStyle w:val="34"/>
        <w:autoSpaceDE/>
        <w:autoSpaceDN/>
        <w:spacing w:line="480" w:lineRule="exact"/>
        <w:ind w:firstLine="480" w:firstLineChars="200"/>
        <w:jc w:val="both"/>
        <w:rPr>
          <w:rFonts w:hAnsi="宋体"/>
          <w:color w:val="auto"/>
          <w:highlight w:val="none"/>
        </w:rPr>
      </w:pPr>
      <w:r>
        <w:rPr>
          <w:rFonts w:hint="eastAsia" w:ascii="宋体" w:hAnsi="宋体" w:eastAsia="宋体" w:cs="宋体"/>
          <w:color w:val="auto"/>
          <w:sz w:val="24"/>
          <w:szCs w:val="20"/>
          <w:highlight w:val="none"/>
          <w:lang w:val="en-US" w:eastAsia="zh-CN" w:bidi="ar-SA"/>
        </w:rPr>
        <w:t>4.2支付方</w:t>
      </w:r>
      <w:r>
        <w:rPr>
          <w:rFonts w:hint="eastAsia" w:hAnsi="宋体"/>
          <w:color w:val="auto"/>
          <w:highlight w:val="none"/>
        </w:rPr>
        <w:t>式</w:t>
      </w:r>
    </w:p>
    <w:p>
      <w:pPr>
        <w:spacing w:line="480" w:lineRule="exact"/>
        <w:ind w:firstLine="480" w:firstLineChars="200"/>
        <w:rPr>
          <w:color w:val="auto"/>
          <w:highlight w:val="none"/>
        </w:rPr>
      </w:pPr>
      <w:r>
        <w:rPr>
          <w:rFonts w:hint="eastAsia" w:ascii="宋体" w:hAnsi="宋体" w:cs="宋体"/>
          <w:bCs/>
          <w:color w:val="auto"/>
          <w:sz w:val="24"/>
          <w:highlight w:val="none"/>
        </w:rPr>
        <w:t>XXXX</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第五条知识产权及承诺</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5.1乙方保证所提供的服务、使用的工具或其任何一部分均不会侵犯任何第三方的专利权、商标权、著作权或其他合法权益，否则视为乙方违约，由此产生的一切损失由乙方承担。</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5.2经甲乙双方协商一致，若本项目产生知识产权，则归拥有。</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第六条甲方的权利与义务</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6.1甲方有权对合同规定范围内乙方的服务行为进行监督和检查，拥有监管权。有权定期核对乙方提供服务所配备的人员数量。对甲方认为不合理的部分有权下达整改通知书，并要求乙方限期整改。</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6.2甲方有权依据双方签订的考评办法对乙方提供的服务进行定期考评。当考评结果未达到标准时，有权依据考评办法约定的数额扣除履约保证金。</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6.3负责监督乙方服务的实施及执行情况。</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6.4根据本合同规定，按时向乙方支付应付服务费用。</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6.5国家法律、法规所规定由甲方承担的其它责任。</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第七条乙方的权利与义务</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7.1对委托服务范围内的项目有管理权及服务义务。按照服务内容和质量标准按时保质完成服务。</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7.2根据本合同规定向甲方收取服务费用，并有权在项目管理范围内管理及合理使用。</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7.3及时向甲方通告项目服务范围内有关服务的重大事项，及时配合处理争议、纠纷或投诉。</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7.4接受项目行业管理部门及政府有关部门的指导，接受甲方的监督。</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7.5国家法律、法规所规定由乙方承担的其它责任。</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第八条履约保证金（如涉及）</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8.1乙方向甲方缴纳人民币元（大写：）作为本合同的履约保证金。</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8.2缴纳时间：成交通知书签发后，签订合同前。退还时间：监理的各项目全部最终验收通过，甲方接到乙方退还履约保证金申请后无息退还。</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8.3履约保证金作为违约金的一部分及用于补偿甲方因乙方不能履行合同义务而蒙受的损失。</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第九条违约责任</w:t>
      </w:r>
    </w:p>
    <w:p>
      <w:pPr>
        <w:pStyle w:val="34"/>
        <w:autoSpaceDE/>
        <w:autoSpaceDN/>
        <w:spacing w:line="480" w:lineRule="exact"/>
        <w:ind w:firstLine="480" w:firstLineChars="200"/>
        <w:jc w:val="both"/>
        <w:rPr>
          <w:rFonts w:hint="eastAsia" w:ascii="Arial" w:hAnsi="宋体" w:eastAsia="宋体" w:cs="Arial"/>
          <w:color w:val="auto"/>
          <w:highlight w:val="none"/>
        </w:rPr>
      </w:pPr>
      <w:r>
        <w:rPr>
          <w:rFonts w:hint="eastAsia" w:ascii="Arial" w:hAnsi="宋体" w:eastAsia="宋体" w:cs="Arial"/>
          <w:color w:val="auto"/>
          <w:highlight w:val="none"/>
        </w:rPr>
        <w:t>9.1甲乙双方必须遵守本合同并执行合同中的各项规定，保证本合同的合法正常履行。</w:t>
      </w:r>
    </w:p>
    <w:p>
      <w:pPr>
        <w:pStyle w:val="34"/>
        <w:autoSpaceDE/>
        <w:autoSpaceDN/>
        <w:spacing w:line="480" w:lineRule="exact"/>
        <w:ind w:firstLine="480" w:firstLineChars="200"/>
        <w:jc w:val="both"/>
        <w:rPr>
          <w:rFonts w:hint="eastAsia" w:ascii="Arial" w:hAnsi="宋体" w:eastAsia="宋体" w:cs="Arial"/>
          <w:color w:val="auto"/>
          <w:highlight w:val="none"/>
        </w:rPr>
      </w:pPr>
      <w:r>
        <w:rPr>
          <w:rFonts w:hint="eastAsia" w:ascii="Arial" w:hAnsi="宋体" w:eastAsia="宋体" w:cs="Arial"/>
          <w:color w:val="auto"/>
          <w:highlight w:val="none"/>
        </w:rPr>
        <w:t>9.2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34"/>
        <w:autoSpaceDE/>
        <w:autoSpaceDN/>
        <w:spacing w:line="480" w:lineRule="exact"/>
        <w:ind w:firstLine="480" w:firstLineChars="200"/>
        <w:jc w:val="both"/>
        <w:rPr>
          <w:rFonts w:hint="eastAsia" w:ascii="Arial" w:hAnsi="宋体" w:eastAsia="宋体" w:cs="Arial"/>
          <w:color w:val="auto"/>
          <w:highlight w:val="none"/>
        </w:rPr>
      </w:pPr>
      <w:r>
        <w:rPr>
          <w:rFonts w:hint="eastAsia" w:ascii="Arial" w:hAnsi="宋体" w:eastAsia="宋体" w:cs="Arial"/>
          <w:color w:val="auto"/>
          <w:highlight w:val="none"/>
        </w:rPr>
        <w:t>9.3乙方提供的服务不符合投标/响应文件、报价文件或本合同规定的，每项违约乙方须向甲方支付本合同总价%的违约金。</w:t>
      </w:r>
    </w:p>
    <w:p>
      <w:pPr>
        <w:pStyle w:val="34"/>
        <w:autoSpaceDE/>
        <w:autoSpaceDN/>
        <w:spacing w:line="480" w:lineRule="exact"/>
        <w:ind w:firstLine="480" w:firstLineChars="200"/>
        <w:jc w:val="both"/>
        <w:rPr>
          <w:rFonts w:hAnsi="宋体"/>
          <w:color w:val="auto"/>
          <w:highlight w:val="none"/>
        </w:rPr>
      </w:pPr>
      <w:r>
        <w:rPr>
          <w:rFonts w:hint="eastAsia" w:ascii="Arial" w:hAnsi="宋体" w:eastAsia="宋体" w:cs="Arial"/>
          <w:color w:val="auto"/>
          <w:highlight w:val="none"/>
        </w:rPr>
        <w:t>9.4乙方未能按本合同规定时间提供服务，从逾期之日起每日按本合同总价‰的数额向甲方支付违约金；逾期</w:t>
      </w:r>
      <w:r>
        <w:rPr>
          <w:rFonts w:hint="eastAsia" w:hAnsi="宋体"/>
          <w:color w:val="auto"/>
          <w:highlight w:val="none"/>
        </w:rPr>
        <w:t>半个月以上的，甲方有权解除合同，由此造成的甲方经济损失由乙方承担。</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9.5甲方无正当理由拒绝接受服务，甲方向乙方偿付本合同总的%的违约金。甲方逾期付款，则每日按本合同总价的‰向乙方偿付违约金。</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第十条不可抗力</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10.1任何一方由于不可抗力原因不能履行合同时，应在不可抗力事件发生后应立即通知对方，以减轻可能给对方造成的损失。在取得有关机构的不可抗力证明或双方谅解确认后，允许延期履行或修订合同，并根据情况可部分或全部免于承担违约责任。</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10.2不可抗力事件延续120天以上，双方应友好协商，确定是否继续履行合同。</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第十一条争议的解决</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在执行本合同中发生的或与本合同有关的争端，双方应通过友好协商解决，经协商在不能达成协议时，应选择以下第种解决方式：</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1.向成都仲裁委员会提起仲裁；</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2.向甲方所在地有管辖权的法院提起诉讼。</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在法院审理和仲裁期间，除有争议部分外，本合同其他部分可以履行的仍应按合同条款继续履行。</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第十二条其他</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12.1合同经双方法定代表人或授权委托代理人签字并加盖单位公章后生效。合同一经生效，双方应诚信履行合同，除双方协商一致解除合同外，一方不得无理由解除合同。</w:t>
      </w:r>
    </w:p>
    <w:p>
      <w:pPr>
        <w:pStyle w:val="34"/>
        <w:autoSpaceDE/>
        <w:autoSpaceDN/>
        <w:spacing w:line="480" w:lineRule="exact"/>
        <w:ind w:firstLine="480" w:firstLineChars="200"/>
        <w:jc w:val="both"/>
        <w:rPr>
          <w:rFonts w:hAnsi="宋体"/>
          <w:color w:val="auto"/>
          <w:highlight w:val="none"/>
        </w:rPr>
      </w:pPr>
      <w:r>
        <w:rPr>
          <w:rFonts w:hint="eastAsia" w:hAnsi="宋体"/>
          <w:color w:val="auto"/>
          <w:highlight w:val="none"/>
        </w:rPr>
        <w:t>12.2合同执行中涉及采购资金和采购内容修改或补充的，在符合《中华人民共和国政府采购法》第49条的前提下，须经政府采购监管部门审批，签订书面补充协议后须报政府采购监督管理部门备案，方可作为主合同不可分割的一部分。</w:t>
      </w:r>
    </w:p>
    <w:p>
      <w:pPr>
        <w:pStyle w:val="34"/>
        <w:kinsoku w:val="0"/>
        <w:autoSpaceDE/>
        <w:autoSpaceDN/>
        <w:spacing w:line="480" w:lineRule="exact"/>
        <w:ind w:firstLine="480" w:firstLineChars="200"/>
        <w:jc w:val="both"/>
        <w:rPr>
          <w:rFonts w:hAnsi="宋体"/>
          <w:color w:val="auto"/>
          <w:highlight w:val="none"/>
        </w:rPr>
      </w:pPr>
      <w:r>
        <w:rPr>
          <w:rFonts w:hint="eastAsia" w:hAnsi="宋体"/>
          <w:color w:val="auto"/>
          <w:highlight w:val="none"/>
        </w:rPr>
        <w:t>12.3本合同一式份，自双方签章之日起起效。甲方份，乙方份，政府采购代理机构份，同级财政部门备案份，具有同等法律效力。</w:t>
      </w:r>
    </w:p>
    <w:p>
      <w:pPr>
        <w:pStyle w:val="34"/>
        <w:kinsoku w:val="0"/>
        <w:autoSpaceDE/>
        <w:autoSpaceDN/>
        <w:spacing w:line="480" w:lineRule="exact"/>
        <w:ind w:firstLine="480" w:firstLineChars="200"/>
        <w:jc w:val="both"/>
        <w:rPr>
          <w:rFonts w:hAnsi="宋体"/>
          <w:color w:val="auto"/>
          <w:highlight w:val="none"/>
        </w:rPr>
      </w:pPr>
    </w:p>
    <w:p>
      <w:pPr>
        <w:pStyle w:val="34"/>
        <w:kinsoku w:val="0"/>
        <w:autoSpaceDE/>
        <w:autoSpaceDN/>
        <w:spacing w:line="480" w:lineRule="exact"/>
        <w:ind w:firstLine="480" w:firstLineChars="200"/>
        <w:jc w:val="both"/>
        <w:rPr>
          <w:rFonts w:hAnsi="宋体"/>
          <w:color w:val="auto"/>
          <w:highlight w:val="none"/>
        </w:rPr>
      </w:pPr>
      <w:r>
        <w:rPr>
          <w:rFonts w:hint="eastAsia" w:hAnsi="宋体"/>
          <w:color w:val="auto"/>
          <w:highlight w:val="none"/>
        </w:rPr>
        <w:t>甲方：                              乙方：</w:t>
      </w:r>
    </w:p>
    <w:p>
      <w:pPr>
        <w:pStyle w:val="34"/>
        <w:kinsoku w:val="0"/>
        <w:autoSpaceDE/>
        <w:autoSpaceDN/>
        <w:spacing w:line="480" w:lineRule="exact"/>
        <w:ind w:firstLine="480" w:firstLineChars="200"/>
        <w:jc w:val="both"/>
        <w:rPr>
          <w:rFonts w:hAnsi="宋体"/>
          <w:color w:val="auto"/>
          <w:highlight w:val="none"/>
        </w:rPr>
      </w:pPr>
      <w:r>
        <w:rPr>
          <w:rFonts w:hint="eastAsia" w:hAnsi="宋体"/>
          <w:color w:val="auto"/>
          <w:highlight w:val="none"/>
        </w:rPr>
        <w:t>法定代表人（授权代表）：            法定代表人（授权代表）：</w:t>
      </w:r>
    </w:p>
    <w:p>
      <w:pPr>
        <w:pStyle w:val="34"/>
        <w:kinsoku w:val="0"/>
        <w:autoSpaceDE/>
        <w:autoSpaceDN/>
        <w:spacing w:line="480" w:lineRule="exact"/>
        <w:ind w:firstLine="480" w:firstLineChars="200"/>
        <w:jc w:val="both"/>
        <w:rPr>
          <w:rFonts w:hAnsi="宋体"/>
          <w:color w:val="auto"/>
          <w:highlight w:val="none"/>
        </w:rPr>
      </w:pPr>
      <w:r>
        <w:rPr>
          <w:rFonts w:hint="eastAsia" w:hAnsi="宋体"/>
          <w:color w:val="auto"/>
          <w:highlight w:val="none"/>
        </w:rPr>
        <w:t>地址：                              地址：</w:t>
      </w:r>
    </w:p>
    <w:p>
      <w:pPr>
        <w:pStyle w:val="34"/>
        <w:kinsoku w:val="0"/>
        <w:autoSpaceDE/>
        <w:autoSpaceDN/>
        <w:spacing w:line="480" w:lineRule="exact"/>
        <w:ind w:firstLine="480" w:firstLineChars="200"/>
        <w:jc w:val="both"/>
        <w:rPr>
          <w:rFonts w:hAnsi="宋体"/>
          <w:color w:val="auto"/>
          <w:highlight w:val="none"/>
        </w:rPr>
      </w:pPr>
      <w:r>
        <w:rPr>
          <w:rFonts w:hint="eastAsia" w:hAnsi="宋体"/>
          <w:color w:val="auto"/>
          <w:highlight w:val="none"/>
        </w:rPr>
        <w:t>开户银行：                          开户银行：</w:t>
      </w:r>
    </w:p>
    <w:p>
      <w:pPr>
        <w:pStyle w:val="34"/>
        <w:kinsoku w:val="0"/>
        <w:autoSpaceDE/>
        <w:autoSpaceDN/>
        <w:spacing w:line="480" w:lineRule="exact"/>
        <w:ind w:firstLine="480" w:firstLineChars="200"/>
        <w:jc w:val="both"/>
        <w:rPr>
          <w:rFonts w:hAnsi="宋体"/>
          <w:color w:val="auto"/>
          <w:highlight w:val="none"/>
        </w:rPr>
      </w:pPr>
      <w:r>
        <w:rPr>
          <w:rFonts w:hint="eastAsia" w:hAnsi="宋体"/>
          <w:color w:val="auto"/>
          <w:highlight w:val="none"/>
        </w:rPr>
        <w:t>账号：                              账号：</w:t>
      </w:r>
    </w:p>
    <w:p>
      <w:pPr>
        <w:pStyle w:val="34"/>
        <w:kinsoku w:val="0"/>
        <w:autoSpaceDE/>
        <w:autoSpaceDN/>
        <w:spacing w:line="480" w:lineRule="exact"/>
        <w:ind w:firstLine="480" w:firstLineChars="200"/>
        <w:jc w:val="both"/>
        <w:rPr>
          <w:rFonts w:hAnsi="宋体"/>
          <w:color w:val="auto"/>
          <w:highlight w:val="none"/>
        </w:rPr>
      </w:pPr>
      <w:r>
        <w:rPr>
          <w:rFonts w:hint="eastAsia" w:hAnsi="宋体"/>
          <w:color w:val="auto"/>
          <w:highlight w:val="none"/>
        </w:rPr>
        <w:t>电话：                              电话：</w:t>
      </w:r>
    </w:p>
    <w:p>
      <w:pPr>
        <w:pStyle w:val="34"/>
        <w:kinsoku w:val="0"/>
        <w:autoSpaceDE/>
        <w:autoSpaceDN/>
        <w:spacing w:line="480" w:lineRule="exact"/>
        <w:ind w:firstLine="480" w:firstLineChars="200"/>
        <w:jc w:val="both"/>
        <w:rPr>
          <w:rFonts w:hAnsi="宋体"/>
          <w:color w:val="auto"/>
          <w:highlight w:val="none"/>
        </w:rPr>
      </w:pPr>
      <w:r>
        <w:rPr>
          <w:rFonts w:hint="eastAsia" w:hAnsi="宋体"/>
          <w:color w:val="auto"/>
          <w:highlight w:val="none"/>
        </w:rPr>
        <w:t>传真：                              传真：</w:t>
      </w:r>
    </w:p>
    <w:p>
      <w:pPr>
        <w:adjustRightInd w:val="0"/>
        <w:snapToGrid w:val="0"/>
        <w:spacing w:line="360" w:lineRule="auto"/>
        <w:ind w:firstLine="480" w:firstLineChars="200"/>
        <w:rPr>
          <w:rFonts w:hint="eastAsia" w:ascii="宋体" w:hAnsi="宋体" w:cs="宋体"/>
          <w:b/>
          <w:color w:val="auto"/>
          <w:sz w:val="24"/>
          <w:szCs w:val="24"/>
          <w:highlight w:val="none"/>
          <w:lang w:eastAsia="zh-CN"/>
        </w:rPr>
      </w:pPr>
      <w:r>
        <w:rPr>
          <w:rFonts w:hint="eastAsia" w:hAnsi="宋体"/>
          <w:color w:val="auto"/>
          <w:sz w:val="24"/>
          <w:highlight w:val="none"/>
        </w:rPr>
        <w:t>签约日期：  年  月  日              签约日期：  年  月  日</w:t>
      </w:r>
    </w:p>
    <w:p>
      <w:pPr>
        <w:pStyle w:val="8"/>
        <w:rPr>
          <w:rFonts w:hint="eastAsia"/>
          <w:color w:val="auto"/>
          <w:sz w:val="24"/>
          <w:szCs w:val="24"/>
          <w:highlight w:val="none"/>
          <w:lang w:eastAsia="zh-CN"/>
        </w:rPr>
      </w:pPr>
    </w:p>
    <w:p>
      <w:pPr>
        <w:rPr>
          <w:rFonts w:hint="eastAsia" w:ascii="宋体" w:hAnsi="宋体" w:cs="宋体"/>
          <w:b/>
          <w:color w:val="auto"/>
          <w:sz w:val="24"/>
          <w:highlight w:val="none"/>
        </w:rPr>
      </w:pPr>
      <w:r>
        <w:rPr>
          <w:rFonts w:hint="eastAsia" w:ascii="宋体" w:hAnsi="宋体" w:cs="宋体"/>
          <w:b/>
          <w:color w:val="auto"/>
          <w:sz w:val="24"/>
          <w:highlight w:val="none"/>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color w:val="auto"/>
          <w:sz w:val="36"/>
          <w:szCs w:val="36"/>
          <w:highlight w:val="none"/>
        </w:rPr>
      </w:pPr>
      <w:bookmarkStart w:id="384" w:name="_Toc7028"/>
      <w:bookmarkStart w:id="385" w:name="_Toc19955"/>
      <w:r>
        <w:rPr>
          <w:rStyle w:val="63"/>
          <w:rFonts w:hint="eastAsia" w:ascii="宋体" w:hAnsi="宋体" w:eastAsia="宋体" w:cs="宋体"/>
          <w:b/>
          <w:bCs/>
          <w:color w:val="auto"/>
          <w:sz w:val="36"/>
          <w:szCs w:val="36"/>
          <w:highlight w:val="none"/>
          <w:lang w:val="en-US" w:eastAsia="zh-CN"/>
        </w:rPr>
        <w:t>第九章 四川省财政厅关于推进四川省政府采购供应商信用融资工作的通知</w:t>
      </w:r>
      <w:bookmarkEnd w:id="384"/>
      <w:bookmarkEnd w:id="385"/>
    </w:p>
    <w:p>
      <w:pPr>
        <w:keepNext w:val="0"/>
        <w:keepLines w:val="0"/>
        <w:pageBreakBefore w:val="0"/>
        <w:widowControl/>
        <w:suppressLineNumbers w:val="0"/>
        <w:kinsoku/>
        <w:wordWrap/>
        <w:overflowPunct/>
        <w:topLinePunct w:val="0"/>
        <w:autoSpaceDE/>
        <w:autoSpaceDN/>
        <w:bidi w:val="0"/>
        <w:adjustRightInd/>
        <w:snapToGrid/>
        <w:ind w:firstLine="480" w:firstLineChars="200"/>
        <w:jc w:val="center"/>
        <w:textAlignment w:val="auto"/>
        <w:rPr>
          <w:rFonts w:hint="eastAsia" w:ascii="宋体" w:hAnsi="宋体" w:eastAsia="宋体" w:cs="宋体"/>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川财采〔2018〕123号</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各市（州）、扩权县（市）财政局，各省直机关、事业单位、团体组织，各金融机构，各采购代理机构，各政府采购供应商：</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bidi="ar"/>
        </w:rPr>
        <w:t>一、融资概念</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bidi="ar"/>
        </w:rPr>
        <w:t>二、基本原则</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（一）财政引导，市场运行</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财政部门推进“政采贷”，银行和供应商按照自愿原则参与。供应商自愿选择是否申请“政采贷”，银行依据其内部审查制度和决策程序决定是否为供应商提供融资，自担风险。</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（二）建立机制，服务银企</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财政部门与银行建立“政采贷”工作机制，推动政府采购政策功能和金融资源的有机结合，拓宽银行的融资业务，助力解决政府采购中标、成交供应商资金不足、融资难、融资贵的困难，促进企业健康发展。</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（三）优质优惠，加强扶持</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bidi="ar"/>
        </w:rPr>
        <w:t>三、基本条件</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（一）银行暨“政采贷”金融产品</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征集。在四川省行政区域内，有意向开展“政采贷”工作的银行，可以于2018年12月21日前，直接向四川省财政厅（政府采购监督管理处）提交书面申请。四川省财政厅可以根据情况每年征集一次有意向开展“政采贷”工作的银行。申请材料应当包括银行基本情况、“政采贷”产品名称、申请贷款条件、申请贷款方式、申请贷款程序、贷款审查流程、贷款额度、发放贷款时间、收款方式及其他优质服务和优惠承诺等。银行提供的“政采贷”产品应当满足“无抵押担保、程序简便、利率优惠、放款及时”的基本条件以及本通知其他相关规定。</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银行申请材料中应当载明其自愿提供“政采贷”产品，自担风险，不得要求或者变相要求财政部门和采购人为其提供风险担保、承诺。</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（二）供应商</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政府采购供应商向银行申请“政采贷”，应当满足下列基本条件：</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1、具有依法承担民事责任的能力；</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2、具有依法履行政府采购合同的能力；</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3、参加的政府采购活动未被财政部门依法暂停、责令重新开展或者认定中标、成交无效；</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4、无《中华人民共和国政府采购法》第二十二条第一款第（五）项所称的重大违法记录；</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5、未被法院、市场监管、税务、银行等部门单位纳入失信名单且在有效期内；</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6、在一定期限内的（银行可以具体确定）政府采购合同履约过程中或者其他经营活动履约过程中，无不依法履约被有关行政部门行政处罚的或者产生法律纠纷被法院、仲裁机构判决、裁决败诉的；</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7、其他银行要求的不属于提供财产抵押或第三方担保的条件。</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bidi="ar"/>
        </w:rPr>
        <w:t>四、构建平台</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四川省财政厅将在四川政府采购网统一构建四川省“政采贷”信息化服务平台，推进四川省“政采贷”工作信息化建设。</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五、财金互动</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各级财政部门应当按照《四川省政府采购促进中小企业发展的若干规定》（川财采〔2016〕35号）等有关规定，对金融机构向小微企业提供“政采贷”贷款产生的损失，纳入财政金融互动政策范围给予风险补贴。</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bidi="ar"/>
        </w:rPr>
        <w:t>六、基本流程</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（一）意向申请</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（二）正式申请</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（三）贷款审查</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银行按规定对申请“政采贷”的供应商及其提供的政府采购合同等信息进行审查。</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（四）信息报送</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（五）资金支付</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政府采购资金支付时，采购人必须将采购资金支付到政府采购合同中注明的贷款银行名称及账号，以保障贷款资金的安全回收。采购人不得将采购资金支付在政府采购合同约定以外的收款账号。</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政府采购资金支付过程中，银行需要查询采购资金支付进程有关信息的，财政部门和采购人应当支持。</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bidi="ar"/>
        </w:rPr>
        <w:t>七、职责要求</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三）采购人应当积极支持“政采贷”工作，对于银行、供应商提出的合理需求，应当支持。对于已融资采购项目，供应商履约完成后，要及时开展履约验收工作，及时支付采购资金，不得无故拖延和拒付采购资金。</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（四）采购代理机构在组织实施政府采购活动中，应当采取有效方式，向供应商宣传“政采贷”政策。银行需要借用采购代理机构的场所直接向供应商介绍其“政采贷”产品的，采购代理机构应当支持。</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（五）供应商应当依法参加政府采购活动，公平竞争，诚实守信，严格按照政府采购合同履约，严格按照借款合同偿还债务。</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（六）财政部门、采购人、采购代理机构及其他有关单位和个人不得违规干预供应商选择“政采贷”银行及其产品，也不得违规干预银行向供应商进行贷款。</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（七）相关单位和个人在开展“政采贷”工作过程中，发现新问题、新情况或者有意见建议的，请及时向四川省财政厅反馈。</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bidi="ar"/>
        </w:rPr>
        <w:t>八、违规处理</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（一）银行违规处理</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（二）供应商违规处理</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（三）其他违规处理</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widowControl w:val="0"/>
        <w:kinsoku w:val="0"/>
        <w:spacing w:line="360" w:lineRule="auto"/>
        <w:jc w:val="both"/>
        <w:rPr>
          <w:rFonts w:hint="eastAsia" w:ascii="宋体" w:hAnsi="宋体" w:eastAsia="宋体" w:cs="宋体"/>
          <w:color w:val="auto"/>
          <w:sz w:val="24"/>
          <w:szCs w:val="22"/>
          <w:highlight w:val="none"/>
        </w:rPr>
      </w:pP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spacing w:before="37"/>
        <w:ind w:left="119" w:right="0" w:firstLine="0"/>
        <w:jc w:val="left"/>
        <w:rPr>
          <w:rFonts w:hint="eastAsia" w:ascii="宋体" w:hAnsi="宋体" w:eastAsia="宋体" w:cs="宋体"/>
          <w:b/>
          <w:bCs/>
          <w:i/>
          <w:iCs/>
          <w:color w:val="auto"/>
          <w:sz w:val="24"/>
          <w:szCs w:val="24"/>
          <w:highlight w:val="none"/>
        </w:rPr>
      </w:pPr>
      <w:r>
        <w:rPr>
          <w:rFonts w:hint="eastAsia" w:ascii="宋体" w:hAnsi="宋体" w:eastAsia="宋体" w:cs="宋体"/>
          <w:b/>
          <w:bCs/>
          <w:color w:val="auto"/>
          <w:sz w:val="24"/>
          <w:szCs w:val="24"/>
          <w:highlight w:val="none"/>
        </w:rPr>
        <w:t>附件：</w:t>
      </w:r>
    </w:p>
    <w:p>
      <w:pPr>
        <w:pStyle w:val="8"/>
        <w:spacing w:before="4"/>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节能产品政府采购品目清单</w:t>
      </w:r>
      <w:r>
        <w:rPr>
          <w:rFonts w:hint="eastAsia" w:ascii="宋体" w:hAnsi="宋体" w:cs="宋体"/>
          <w:b/>
          <w:bCs/>
          <w:color w:val="auto"/>
          <w:sz w:val="24"/>
          <w:szCs w:val="24"/>
          <w:highlight w:val="none"/>
          <w:lang w:eastAsia="zh-CN"/>
        </w:rPr>
        <w:t>（如适用）</w:t>
      </w:r>
    </w:p>
    <w:p>
      <w:pPr>
        <w:pStyle w:val="8"/>
        <w:spacing w:before="4"/>
        <w:jc w:val="both"/>
        <w:rPr>
          <w:rFonts w:hint="eastAsia" w:ascii="宋体" w:hAnsi="宋体" w:eastAsia="宋体" w:cs="宋体"/>
          <w:b/>
          <w:bCs/>
          <w:color w:val="auto"/>
          <w:sz w:val="24"/>
          <w:szCs w:val="24"/>
          <w:highlight w:val="none"/>
        </w:rPr>
      </w:pPr>
    </w:p>
    <w:tbl>
      <w:tblPr>
        <w:tblStyle w:val="2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4"/>
        <w:gridCol w:w="1167"/>
        <w:gridCol w:w="1801"/>
        <w:gridCol w:w="1916"/>
        <w:gridCol w:w="3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574" w:type="dxa"/>
          </w:tcPr>
          <w:p>
            <w:pPr>
              <w:pStyle w:val="56"/>
              <w:spacing w:before="94" w:line="266" w:lineRule="auto"/>
              <w:ind w:left="64" w:right="55"/>
              <w:rPr>
                <w:b/>
                <w:color w:val="auto"/>
                <w:sz w:val="22"/>
                <w:highlight w:val="none"/>
              </w:rPr>
            </w:pPr>
            <w:r>
              <w:rPr>
                <w:b/>
                <w:color w:val="auto"/>
                <w:sz w:val="22"/>
                <w:highlight w:val="none"/>
              </w:rPr>
              <w:t>品目序号</w:t>
            </w:r>
          </w:p>
        </w:tc>
        <w:tc>
          <w:tcPr>
            <w:tcW w:w="4884" w:type="dxa"/>
            <w:gridSpan w:val="3"/>
          </w:tcPr>
          <w:p>
            <w:pPr>
              <w:pStyle w:val="56"/>
              <w:spacing w:before="6"/>
              <w:rPr>
                <w:color w:val="auto"/>
                <w:sz w:val="19"/>
                <w:highlight w:val="none"/>
              </w:rPr>
            </w:pPr>
          </w:p>
          <w:p>
            <w:pPr>
              <w:pStyle w:val="56"/>
              <w:spacing w:before="1"/>
              <w:ind w:left="2199" w:right="2193"/>
              <w:jc w:val="center"/>
              <w:rPr>
                <w:b/>
                <w:color w:val="auto"/>
                <w:sz w:val="22"/>
                <w:highlight w:val="none"/>
              </w:rPr>
            </w:pPr>
            <w:r>
              <w:rPr>
                <w:b/>
                <w:color w:val="auto"/>
                <w:sz w:val="22"/>
                <w:highlight w:val="none"/>
              </w:rPr>
              <w:t>名称</w:t>
            </w:r>
          </w:p>
        </w:tc>
        <w:tc>
          <w:tcPr>
            <w:tcW w:w="3281" w:type="dxa"/>
          </w:tcPr>
          <w:p>
            <w:pPr>
              <w:pStyle w:val="56"/>
              <w:spacing w:before="6"/>
              <w:rPr>
                <w:color w:val="auto"/>
                <w:sz w:val="19"/>
                <w:highlight w:val="none"/>
              </w:rPr>
            </w:pPr>
          </w:p>
          <w:p>
            <w:pPr>
              <w:pStyle w:val="56"/>
              <w:spacing w:before="1"/>
              <w:ind w:left="928"/>
              <w:rPr>
                <w:b/>
                <w:color w:val="auto"/>
                <w:sz w:val="22"/>
                <w:highlight w:val="none"/>
              </w:rPr>
            </w:pPr>
            <w:r>
              <w:rPr>
                <w:b/>
                <w:color w:val="auto"/>
                <w:sz w:val="22"/>
                <w:highlight w:val="none"/>
              </w:rPr>
              <w:t>依据的标准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74" w:type="dxa"/>
            <w:vMerge w:val="restart"/>
          </w:tcPr>
          <w:p>
            <w:pPr>
              <w:pStyle w:val="56"/>
              <w:spacing w:before="1"/>
              <w:rPr>
                <w:color w:val="auto"/>
                <w:sz w:val="20"/>
                <w:highlight w:val="none"/>
              </w:rPr>
            </w:pPr>
          </w:p>
          <w:p>
            <w:pPr>
              <w:pStyle w:val="56"/>
              <w:ind w:left="5"/>
              <w:jc w:val="center"/>
              <w:rPr>
                <w:color w:val="auto"/>
                <w:sz w:val="20"/>
                <w:highlight w:val="none"/>
              </w:rPr>
            </w:pPr>
            <w:r>
              <w:rPr>
                <w:color w:val="auto"/>
                <w:w w:val="99"/>
                <w:sz w:val="20"/>
                <w:highlight w:val="none"/>
              </w:rPr>
              <w:t>1</w:t>
            </w:r>
          </w:p>
        </w:tc>
        <w:tc>
          <w:tcPr>
            <w:tcW w:w="1167" w:type="dxa"/>
            <w:vMerge w:val="restart"/>
          </w:tcPr>
          <w:p>
            <w:pPr>
              <w:pStyle w:val="56"/>
              <w:rPr>
                <w:color w:val="auto"/>
                <w:sz w:val="20"/>
                <w:highlight w:val="none"/>
              </w:rPr>
            </w:pPr>
          </w:p>
          <w:p>
            <w:pPr>
              <w:pStyle w:val="56"/>
              <w:rPr>
                <w:color w:val="auto"/>
                <w:sz w:val="20"/>
                <w:highlight w:val="none"/>
              </w:rPr>
            </w:pPr>
          </w:p>
          <w:p>
            <w:pPr>
              <w:pStyle w:val="56"/>
              <w:spacing w:before="11"/>
              <w:rPr>
                <w:color w:val="auto"/>
                <w:sz w:val="27"/>
                <w:highlight w:val="none"/>
              </w:rPr>
            </w:pPr>
          </w:p>
          <w:p>
            <w:pPr>
              <w:pStyle w:val="56"/>
              <w:spacing w:before="1"/>
              <w:ind w:left="11"/>
              <w:rPr>
                <w:color w:val="auto"/>
                <w:sz w:val="20"/>
                <w:highlight w:val="none"/>
              </w:rPr>
            </w:pPr>
            <w:r>
              <w:rPr>
                <w:color w:val="auto"/>
                <w:sz w:val="20"/>
                <w:highlight w:val="none"/>
              </w:rPr>
              <w:t>A020101</w:t>
            </w:r>
            <w:r>
              <w:rPr>
                <w:color w:val="auto"/>
                <w:spacing w:val="-25"/>
                <w:sz w:val="20"/>
                <w:highlight w:val="none"/>
              </w:rPr>
              <w:t xml:space="preserve"> 计算</w:t>
            </w:r>
          </w:p>
          <w:p>
            <w:pPr>
              <w:pStyle w:val="56"/>
              <w:spacing w:before="55"/>
              <w:ind w:left="11"/>
              <w:rPr>
                <w:color w:val="auto"/>
                <w:sz w:val="20"/>
                <w:highlight w:val="none"/>
              </w:rPr>
            </w:pPr>
            <w:r>
              <w:rPr>
                <w:color w:val="auto"/>
                <w:sz w:val="20"/>
                <w:highlight w:val="none"/>
              </w:rPr>
              <w:t>机设备</w:t>
            </w:r>
          </w:p>
        </w:tc>
        <w:tc>
          <w:tcPr>
            <w:tcW w:w="1801" w:type="dxa"/>
          </w:tcPr>
          <w:p>
            <w:pPr>
              <w:pStyle w:val="56"/>
              <w:spacing w:before="126" w:line="292" w:lineRule="auto"/>
              <w:ind w:left="10" w:right="2"/>
              <w:rPr>
                <w:color w:val="auto"/>
                <w:sz w:val="20"/>
                <w:highlight w:val="none"/>
              </w:rPr>
            </w:pPr>
            <w:r>
              <w:rPr>
                <w:rFonts w:hint="eastAsia"/>
                <w:color w:val="auto"/>
                <w:sz w:val="20"/>
                <w:highlight w:val="none"/>
                <w:lang w:eastAsia="zh-CN"/>
              </w:rPr>
              <w:t>▼</w:t>
            </w:r>
            <w:r>
              <w:rPr>
                <w:color w:val="auto"/>
                <w:sz w:val="20"/>
                <w:highlight w:val="none"/>
              </w:rPr>
              <w:t>A02010104</w:t>
            </w:r>
            <w:r>
              <w:rPr>
                <w:color w:val="auto"/>
                <w:spacing w:val="-11"/>
                <w:sz w:val="20"/>
                <w:highlight w:val="none"/>
              </w:rPr>
              <w:t xml:space="preserve"> 台式计</w:t>
            </w:r>
            <w:r>
              <w:rPr>
                <w:color w:val="auto"/>
                <w:sz w:val="20"/>
                <w:highlight w:val="none"/>
              </w:rPr>
              <w:t>算机</w:t>
            </w:r>
          </w:p>
        </w:tc>
        <w:tc>
          <w:tcPr>
            <w:tcW w:w="1916" w:type="dxa"/>
          </w:tcPr>
          <w:p>
            <w:pPr>
              <w:pStyle w:val="56"/>
              <w:rPr>
                <w:rFonts w:ascii="Times New Roman"/>
                <w:color w:val="auto"/>
                <w:sz w:val="20"/>
                <w:highlight w:val="none"/>
              </w:rPr>
            </w:pPr>
          </w:p>
        </w:tc>
        <w:tc>
          <w:tcPr>
            <w:tcW w:w="3281" w:type="dxa"/>
          </w:tcPr>
          <w:p>
            <w:pPr>
              <w:pStyle w:val="56"/>
              <w:spacing w:before="126" w:line="292" w:lineRule="auto"/>
              <w:ind w:left="9" w:right="3"/>
              <w:rPr>
                <w:color w:val="auto"/>
                <w:sz w:val="20"/>
                <w:highlight w:val="none"/>
              </w:rPr>
            </w:pPr>
            <w:r>
              <w:rPr>
                <w:color w:val="auto"/>
                <w:sz w:val="20"/>
                <w:highlight w:val="none"/>
              </w:rPr>
              <w:t>《微型计算机能效限定值及能效等级》（GB 28380）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tcPr>
          <w:p>
            <w:pPr>
              <w:pStyle w:val="56"/>
              <w:spacing w:before="24" w:line="310" w:lineRule="atLeast"/>
              <w:ind w:left="10" w:right="2"/>
              <w:rPr>
                <w:color w:val="auto"/>
                <w:sz w:val="20"/>
                <w:highlight w:val="none"/>
              </w:rPr>
            </w:pPr>
            <w:r>
              <w:rPr>
                <w:rFonts w:hint="eastAsia"/>
                <w:color w:val="auto"/>
                <w:sz w:val="20"/>
                <w:highlight w:val="none"/>
                <w:lang w:eastAsia="zh-CN"/>
              </w:rPr>
              <w:t>▼</w:t>
            </w:r>
            <w:r>
              <w:rPr>
                <w:color w:val="auto"/>
                <w:sz w:val="20"/>
                <w:highlight w:val="none"/>
              </w:rPr>
              <w:t>A02010105</w:t>
            </w:r>
            <w:r>
              <w:rPr>
                <w:color w:val="auto"/>
                <w:spacing w:val="-11"/>
                <w:sz w:val="20"/>
                <w:highlight w:val="none"/>
              </w:rPr>
              <w:t xml:space="preserve"> 便携式</w:t>
            </w:r>
            <w:r>
              <w:rPr>
                <w:color w:val="auto"/>
                <w:sz w:val="20"/>
                <w:highlight w:val="none"/>
              </w:rPr>
              <w:t>计算机</w:t>
            </w:r>
          </w:p>
        </w:tc>
        <w:tc>
          <w:tcPr>
            <w:tcW w:w="1916" w:type="dxa"/>
          </w:tcPr>
          <w:p>
            <w:pPr>
              <w:pStyle w:val="56"/>
              <w:rPr>
                <w:rFonts w:ascii="Times New Roman"/>
                <w:color w:val="auto"/>
                <w:sz w:val="20"/>
                <w:highlight w:val="none"/>
              </w:rPr>
            </w:pPr>
          </w:p>
        </w:tc>
        <w:tc>
          <w:tcPr>
            <w:tcW w:w="3281" w:type="dxa"/>
          </w:tcPr>
          <w:p>
            <w:pPr>
              <w:pStyle w:val="56"/>
              <w:spacing w:before="24" w:line="310" w:lineRule="atLeast"/>
              <w:ind w:left="9" w:right="3"/>
              <w:rPr>
                <w:color w:val="auto"/>
                <w:sz w:val="20"/>
                <w:highlight w:val="none"/>
              </w:rPr>
            </w:pPr>
            <w:r>
              <w:rPr>
                <w:color w:val="auto"/>
                <w:sz w:val="20"/>
                <w:highlight w:val="none"/>
              </w:rPr>
              <w:t>《微型计算机能效限定值及能效等级》（GB 28380）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tcPr>
          <w:p>
            <w:pPr>
              <w:pStyle w:val="56"/>
              <w:spacing w:before="97" w:line="292" w:lineRule="auto"/>
              <w:ind w:left="10" w:right="2"/>
              <w:rPr>
                <w:color w:val="auto"/>
                <w:sz w:val="20"/>
                <w:highlight w:val="none"/>
              </w:rPr>
            </w:pPr>
            <w:r>
              <w:rPr>
                <w:rFonts w:hint="eastAsia"/>
                <w:color w:val="auto"/>
                <w:sz w:val="20"/>
                <w:highlight w:val="none"/>
                <w:lang w:eastAsia="zh-CN"/>
              </w:rPr>
              <w:t>▼</w:t>
            </w:r>
            <w:r>
              <w:rPr>
                <w:color w:val="auto"/>
                <w:sz w:val="20"/>
                <w:highlight w:val="none"/>
              </w:rPr>
              <w:t>A02010107</w:t>
            </w:r>
            <w:r>
              <w:rPr>
                <w:color w:val="auto"/>
                <w:spacing w:val="-11"/>
                <w:sz w:val="20"/>
                <w:highlight w:val="none"/>
              </w:rPr>
              <w:t xml:space="preserve"> 平板式</w:t>
            </w:r>
            <w:r>
              <w:rPr>
                <w:color w:val="auto"/>
                <w:sz w:val="20"/>
                <w:highlight w:val="none"/>
              </w:rPr>
              <w:t>微型计算机</w:t>
            </w:r>
          </w:p>
        </w:tc>
        <w:tc>
          <w:tcPr>
            <w:tcW w:w="1916" w:type="dxa"/>
          </w:tcPr>
          <w:p>
            <w:pPr>
              <w:pStyle w:val="56"/>
              <w:rPr>
                <w:rFonts w:ascii="Times New Roman"/>
                <w:color w:val="auto"/>
                <w:sz w:val="20"/>
                <w:highlight w:val="none"/>
              </w:rPr>
            </w:pPr>
          </w:p>
        </w:tc>
        <w:tc>
          <w:tcPr>
            <w:tcW w:w="3281" w:type="dxa"/>
          </w:tcPr>
          <w:p>
            <w:pPr>
              <w:pStyle w:val="56"/>
              <w:spacing w:before="97" w:line="292" w:lineRule="auto"/>
              <w:ind w:left="9" w:right="3"/>
              <w:rPr>
                <w:color w:val="auto"/>
                <w:sz w:val="20"/>
                <w:highlight w:val="none"/>
              </w:rPr>
            </w:pPr>
            <w:r>
              <w:rPr>
                <w:color w:val="auto"/>
                <w:sz w:val="20"/>
                <w:highlight w:val="none"/>
              </w:rPr>
              <w:t>《微型计算机能效限定值及能效等级》（GB 28380）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574" w:type="dxa"/>
            <w:vMerge w:val="restart"/>
          </w:tcPr>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spacing w:before="1"/>
              <w:rPr>
                <w:color w:val="auto"/>
                <w:sz w:val="20"/>
                <w:highlight w:val="none"/>
              </w:rPr>
            </w:pPr>
          </w:p>
          <w:p>
            <w:pPr>
              <w:pStyle w:val="56"/>
              <w:ind w:left="5"/>
              <w:jc w:val="center"/>
              <w:rPr>
                <w:color w:val="auto"/>
                <w:sz w:val="20"/>
                <w:highlight w:val="none"/>
              </w:rPr>
            </w:pPr>
            <w:r>
              <w:rPr>
                <w:color w:val="auto"/>
                <w:w w:val="99"/>
                <w:sz w:val="20"/>
                <w:highlight w:val="none"/>
              </w:rPr>
              <w:t>2</w:t>
            </w:r>
          </w:p>
        </w:tc>
        <w:tc>
          <w:tcPr>
            <w:tcW w:w="1167" w:type="dxa"/>
            <w:vMerge w:val="restart"/>
          </w:tcPr>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spacing w:before="11"/>
              <w:rPr>
                <w:color w:val="auto"/>
                <w:sz w:val="27"/>
                <w:highlight w:val="none"/>
              </w:rPr>
            </w:pPr>
          </w:p>
          <w:p>
            <w:pPr>
              <w:pStyle w:val="56"/>
              <w:ind w:left="11"/>
              <w:rPr>
                <w:color w:val="auto"/>
                <w:sz w:val="20"/>
                <w:highlight w:val="none"/>
              </w:rPr>
            </w:pPr>
            <w:r>
              <w:rPr>
                <w:color w:val="auto"/>
                <w:sz w:val="20"/>
                <w:highlight w:val="none"/>
              </w:rPr>
              <w:t>A020106</w:t>
            </w:r>
            <w:r>
              <w:rPr>
                <w:color w:val="auto"/>
                <w:spacing w:val="-25"/>
                <w:sz w:val="20"/>
                <w:highlight w:val="none"/>
              </w:rPr>
              <w:t xml:space="preserve"> 输入</w:t>
            </w:r>
          </w:p>
          <w:p>
            <w:pPr>
              <w:pStyle w:val="56"/>
              <w:spacing w:before="56"/>
              <w:ind w:left="11"/>
              <w:rPr>
                <w:color w:val="auto"/>
                <w:sz w:val="20"/>
                <w:highlight w:val="none"/>
              </w:rPr>
            </w:pPr>
            <w:r>
              <w:rPr>
                <w:color w:val="auto"/>
                <w:sz w:val="20"/>
                <w:highlight w:val="none"/>
              </w:rPr>
              <w:t>输出设备</w:t>
            </w:r>
          </w:p>
        </w:tc>
        <w:tc>
          <w:tcPr>
            <w:tcW w:w="1801" w:type="dxa"/>
            <w:vMerge w:val="restart"/>
          </w:tcPr>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spacing w:before="9"/>
              <w:rPr>
                <w:color w:val="auto"/>
                <w:sz w:val="16"/>
                <w:highlight w:val="none"/>
              </w:rPr>
            </w:pPr>
          </w:p>
          <w:p>
            <w:pPr>
              <w:pStyle w:val="56"/>
              <w:ind w:left="10"/>
              <w:rPr>
                <w:color w:val="auto"/>
                <w:sz w:val="20"/>
                <w:highlight w:val="none"/>
              </w:rPr>
            </w:pPr>
            <w:r>
              <w:rPr>
                <w:color w:val="auto"/>
                <w:sz w:val="20"/>
                <w:highlight w:val="none"/>
              </w:rPr>
              <w:t>A02010601</w:t>
            </w:r>
            <w:r>
              <w:rPr>
                <w:color w:val="auto"/>
                <w:spacing w:val="-12"/>
                <w:sz w:val="20"/>
                <w:highlight w:val="none"/>
              </w:rPr>
              <w:t xml:space="preserve"> 打印设备</w:t>
            </w:r>
          </w:p>
        </w:tc>
        <w:tc>
          <w:tcPr>
            <w:tcW w:w="1916" w:type="dxa"/>
          </w:tcPr>
          <w:p>
            <w:pPr>
              <w:pStyle w:val="56"/>
              <w:spacing w:before="85"/>
              <w:ind w:left="9"/>
              <w:rPr>
                <w:color w:val="auto"/>
                <w:sz w:val="20"/>
                <w:highlight w:val="none"/>
              </w:rPr>
            </w:pPr>
            <w:r>
              <w:rPr>
                <w:color w:val="auto"/>
                <w:sz w:val="20"/>
                <w:highlight w:val="none"/>
              </w:rPr>
              <w:t>A0201060101 喷墨打</w:t>
            </w:r>
          </w:p>
          <w:p>
            <w:pPr>
              <w:pStyle w:val="56"/>
              <w:spacing w:before="56"/>
              <w:ind w:left="9"/>
              <w:rPr>
                <w:color w:val="auto"/>
                <w:sz w:val="20"/>
                <w:highlight w:val="none"/>
              </w:rPr>
            </w:pPr>
            <w:r>
              <w:rPr>
                <w:color w:val="auto"/>
                <w:sz w:val="20"/>
                <w:highlight w:val="none"/>
              </w:rPr>
              <w:t>印机</w:t>
            </w:r>
          </w:p>
        </w:tc>
        <w:tc>
          <w:tcPr>
            <w:tcW w:w="3281" w:type="dxa"/>
          </w:tcPr>
          <w:p>
            <w:pPr>
              <w:pStyle w:val="56"/>
              <w:spacing w:before="85" w:line="292" w:lineRule="auto"/>
              <w:ind w:left="9" w:right="5"/>
              <w:rPr>
                <w:color w:val="auto"/>
                <w:sz w:val="20"/>
                <w:highlight w:val="none"/>
              </w:rPr>
            </w:pPr>
            <w:r>
              <w:rPr>
                <w:color w:val="auto"/>
                <w:spacing w:val="-9"/>
                <w:sz w:val="20"/>
                <w:highlight w:val="none"/>
              </w:rPr>
              <w:t>《复印机、打印机和传真机能效限</w:t>
            </w:r>
            <w:r>
              <w:rPr>
                <w:color w:val="auto"/>
                <w:sz w:val="20"/>
                <w:highlight w:val="none"/>
              </w:rPr>
              <w:t>定值及能效等级》（GB 21521）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vMerge w:val="continue"/>
            <w:tcBorders>
              <w:top w:val="nil"/>
            </w:tcBorders>
          </w:tcPr>
          <w:p>
            <w:pPr>
              <w:rPr>
                <w:color w:val="auto"/>
                <w:sz w:val="2"/>
                <w:szCs w:val="2"/>
                <w:highlight w:val="none"/>
              </w:rPr>
            </w:pPr>
          </w:p>
        </w:tc>
        <w:tc>
          <w:tcPr>
            <w:tcW w:w="1916" w:type="dxa"/>
          </w:tcPr>
          <w:p>
            <w:pPr>
              <w:pStyle w:val="56"/>
              <w:spacing w:before="85"/>
              <w:ind w:left="9"/>
              <w:rPr>
                <w:color w:val="auto"/>
                <w:sz w:val="20"/>
                <w:highlight w:val="none"/>
              </w:rPr>
            </w:pPr>
            <w:r>
              <w:rPr>
                <w:rFonts w:hint="eastAsia"/>
                <w:color w:val="auto"/>
                <w:spacing w:val="-35"/>
                <w:sz w:val="20"/>
                <w:highlight w:val="none"/>
                <w:lang w:eastAsia="zh-CN"/>
              </w:rPr>
              <w:t>▼</w:t>
            </w:r>
            <w:r>
              <w:rPr>
                <w:color w:val="auto"/>
                <w:spacing w:val="-35"/>
                <w:sz w:val="20"/>
                <w:highlight w:val="none"/>
              </w:rPr>
              <w:t xml:space="preserve"> </w:t>
            </w:r>
            <w:r>
              <w:rPr>
                <w:color w:val="auto"/>
                <w:sz w:val="20"/>
                <w:highlight w:val="none"/>
              </w:rPr>
              <w:t>A0201060102</w:t>
            </w:r>
            <w:r>
              <w:rPr>
                <w:color w:val="auto"/>
                <w:spacing w:val="15"/>
                <w:sz w:val="20"/>
                <w:highlight w:val="none"/>
              </w:rPr>
              <w:t xml:space="preserve"> 激光</w:t>
            </w:r>
          </w:p>
          <w:p>
            <w:pPr>
              <w:pStyle w:val="56"/>
              <w:spacing w:before="56"/>
              <w:ind w:left="9"/>
              <w:rPr>
                <w:color w:val="auto"/>
                <w:sz w:val="20"/>
                <w:highlight w:val="none"/>
              </w:rPr>
            </w:pPr>
            <w:r>
              <w:rPr>
                <w:color w:val="auto"/>
                <w:sz w:val="20"/>
                <w:highlight w:val="none"/>
              </w:rPr>
              <w:t>打印机</w:t>
            </w:r>
          </w:p>
        </w:tc>
        <w:tc>
          <w:tcPr>
            <w:tcW w:w="3281" w:type="dxa"/>
          </w:tcPr>
          <w:p>
            <w:pPr>
              <w:pStyle w:val="56"/>
              <w:spacing w:before="85" w:line="292" w:lineRule="auto"/>
              <w:ind w:left="9" w:right="5"/>
              <w:rPr>
                <w:color w:val="auto"/>
                <w:sz w:val="20"/>
                <w:highlight w:val="none"/>
              </w:rPr>
            </w:pPr>
            <w:r>
              <w:rPr>
                <w:color w:val="auto"/>
                <w:spacing w:val="-9"/>
                <w:sz w:val="20"/>
                <w:highlight w:val="none"/>
              </w:rPr>
              <w:t>《复印机、打印机和传真机能效限</w:t>
            </w:r>
            <w:r>
              <w:rPr>
                <w:color w:val="auto"/>
                <w:sz w:val="20"/>
                <w:highlight w:val="none"/>
              </w:rPr>
              <w:t>定值及能效等级》（GB 21521）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vMerge w:val="continue"/>
            <w:tcBorders>
              <w:top w:val="nil"/>
            </w:tcBorders>
          </w:tcPr>
          <w:p>
            <w:pPr>
              <w:rPr>
                <w:color w:val="auto"/>
                <w:sz w:val="2"/>
                <w:szCs w:val="2"/>
                <w:highlight w:val="none"/>
              </w:rPr>
            </w:pPr>
          </w:p>
        </w:tc>
        <w:tc>
          <w:tcPr>
            <w:tcW w:w="1916" w:type="dxa"/>
          </w:tcPr>
          <w:p>
            <w:pPr>
              <w:pStyle w:val="56"/>
              <w:spacing w:before="85"/>
              <w:ind w:left="9"/>
              <w:rPr>
                <w:color w:val="auto"/>
                <w:sz w:val="20"/>
                <w:highlight w:val="none"/>
              </w:rPr>
            </w:pPr>
            <w:r>
              <w:rPr>
                <w:rFonts w:hint="eastAsia"/>
                <w:color w:val="auto"/>
                <w:spacing w:val="-35"/>
                <w:sz w:val="20"/>
                <w:highlight w:val="none"/>
                <w:lang w:eastAsia="zh-CN"/>
              </w:rPr>
              <w:t>▼</w:t>
            </w:r>
            <w:r>
              <w:rPr>
                <w:color w:val="auto"/>
                <w:spacing w:val="-35"/>
                <w:sz w:val="20"/>
                <w:highlight w:val="none"/>
              </w:rPr>
              <w:t xml:space="preserve"> </w:t>
            </w:r>
            <w:r>
              <w:rPr>
                <w:color w:val="auto"/>
                <w:sz w:val="20"/>
                <w:highlight w:val="none"/>
              </w:rPr>
              <w:t>A0201060104</w:t>
            </w:r>
            <w:r>
              <w:rPr>
                <w:color w:val="auto"/>
                <w:spacing w:val="15"/>
                <w:sz w:val="20"/>
                <w:highlight w:val="none"/>
              </w:rPr>
              <w:t xml:space="preserve"> 针式</w:t>
            </w:r>
          </w:p>
          <w:p>
            <w:pPr>
              <w:pStyle w:val="56"/>
              <w:spacing w:before="56"/>
              <w:ind w:left="9"/>
              <w:rPr>
                <w:color w:val="auto"/>
                <w:sz w:val="20"/>
                <w:highlight w:val="none"/>
              </w:rPr>
            </w:pPr>
            <w:r>
              <w:rPr>
                <w:color w:val="auto"/>
                <w:sz w:val="20"/>
                <w:highlight w:val="none"/>
              </w:rPr>
              <w:t>打印机</w:t>
            </w:r>
          </w:p>
        </w:tc>
        <w:tc>
          <w:tcPr>
            <w:tcW w:w="3281" w:type="dxa"/>
          </w:tcPr>
          <w:p>
            <w:pPr>
              <w:pStyle w:val="56"/>
              <w:spacing w:before="85" w:line="292" w:lineRule="auto"/>
              <w:ind w:left="9" w:right="5"/>
              <w:rPr>
                <w:color w:val="auto"/>
                <w:sz w:val="20"/>
                <w:highlight w:val="none"/>
              </w:rPr>
            </w:pPr>
            <w:r>
              <w:rPr>
                <w:color w:val="auto"/>
                <w:spacing w:val="-9"/>
                <w:sz w:val="20"/>
                <w:highlight w:val="none"/>
              </w:rPr>
              <w:t>《复印机、打印机和传真机能效限</w:t>
            </w:r>
            <w:r>
              <w:rPr>
                <w:color w:val="auto"/>
                <w:sz w:val="20"/>
                <w:highlight w:val="none"/>
              </w:rPr>
              <w:t>定值及能效等级》（GB 21521）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tcPr>
          <w:p>
            <w:pPr>
              <w:pStyle w:val="56"/>
              <w:spacing w:before="1"/>
              <w:rPr>
                <w:color w:val="auto"/>
                <w:sz w:val="20"/>
                <w:highlight w:val="none"/>
              </w:rPr>
            </w:pPr>
          </w:p>
          <w:p>
            <w:pPr>
              <w:pStyle w:val="56"/>
              <w:spacing w:before="1"/>
              <w:ind w:left="10"/>
              <w:rPr>
                <w:color w:val="auto"/>
                <w:sz w:val="20"/>
                <w:highlight w:val="none"/>
              </w:rPr>
            </w:pPr>
            <w:r>
              <w:rPr>
                <w:color w:val="auto"/>
                <w:sz w:val="20"/>
                <w:highlight w:val="none"/>
              </w:rPr>
              <w:t>A02010604</w:t>
            </w:r>
            <w:r>
              <w:rPr>
                <w:color w:val="auto"/>
                <w:spacing w:val="-12"/>
                <w:sz w:val="20"/>
                <w:highlight w:val="none"/>
              </w:rPr>
              <w:t xml:space="preserve"> 显示设备</w:t>
            </w:r>
          </w:p>
        </w:tc>
        <w:tc>
          <w:tcPr>
            <w:tcW w:w="1916" w:type="dxa"/>
          </w:tcPr>
          <w:p>
            <w:pPr>
              <w:pStyle w:val="56"/>
              <w:spacing w:before="102"/>
              <w:ind w:left="9"/>
              <w:rPr>
                <w:color w:val="auto"/>
                <w:sz w:val="20"/>
                <w:highlight w:val="none"/>
              </w:rPr>
            </w:pPr>
            <w:r>
              <w:rPr>
                <w:rFonts w:hint="eastAsia"/>
                <w:color w:val="auto"/>
                <w:spacing w:val="-35"/>
                <w:sz w:val="20"/>
                <w:highlight w:val="none"/>
                <w:lang w:eastAsia="zh-CN"/>
              </w:rPr>
              <w:t>▼</w:t>
            </w:r>
            <w:r>
              <w:rPr>
                <w:color w:val="auto"/>
                <w:spacing w:val="-35"/>
                <w:sz w:val="20"/>
                <w:highlight w:val="none"/>
              </w:rPr>
              <w:t xml:space="preserve"> </w:t>
            </w:r>
            <w:r>
              <w:rPr>
                <w:color w:val="auto"/>
                <w:sz w:val="20"/>
                <w:highlight w:val="none"/>
              </w:rPr>
              <w:t>A0201060401</w:t>
            </w:r>
            <w:r>
              <w:rPr>
                <w:color w:val="auto"/>
                <w:spacing w:val="15"/>
                <w:sz w:val="20"/>
                <w:highlight w:val="none"/>
              </w:rPr>
              <w:t xml:space="preserve"> 液晶</w:t>
            </w:r>
          </w:p>
          <w:p>
            <w:pPr>
              <w:pStyle w:val="56"/>
              <w:spacing w:before="56"/>
              <w:ind w:left="9"/>
              <w:rPr>
                <w:color w:val="auto"/>
                <w:sz w:val="20"/>
                <w:highlight w:val="none"/>
              </w:rPr>
            </w:pPr>
            <w:r>
              <w:rPr>
                <w:color w:val="auto"/>
                <w:sz w:val="20"/>
                <w:highlight w:val="none"/>
              </w:rPr>
              <w:t>显示器</w:t>
            </w:r>
          </w:p>
        </w:tc>
        <w:tc>
          <w:tcPr>
            <w:tcW w:w="3281" w:type="dxa"/>
          </w:tcPr>
          <w:p>
            <w:pPr>
              <w:pStyle w:val="56"/>
              <w:spacing w:before="102" w:line="292" w:lineRule="auto"/>
              <w:ind w:left="9" w:right="3"/>
              <w:rPr>
                <w:color w:val="auto"/>
                <w:sz w:val="20"/>
                <w:highlight w:val="none"/>
              </w:rPr>
            </w:pPr>
            <w:r>
              <w:rPr>
                <w:color w:val="auto"/>
                <w:sz w:val="20"/>
                <w:highlight w:val="none"/>
              </w:rPr>
              <w:t>《计算机显示器能效限定值及能效等级》（GB 21520）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tcPr>
          <w:p>
            <w:pPr>
              <w:pStyle w:val="56"/>
              <w:rPr>
                <w:color w:val="auto"/>
                <w:sz w:val="20"/>
                <w:highlight w:val="none"/>
              </w:rPr>
            </w:pPr>
          </w:p>
          <w:p>
            <w:pPr>
              <w:pStyle w:val="56"/>
              <w:spacing w:before="139" w:line="292" w:lineRule="auto"/>
              <w:ind w:left="10" w:right="2"/>
              <w:rPr>
                <w:color w:val="auto"/>
                <w:sz w:val="20"/>
                <w:highlight w:val="none"/>
              </w:rPr>
            </w:pPr>
            <w:r>
              <w:rPr>
                <w:color w:val="auto"/>
                <w:sz w:val="20"/>
                <w:highlight w:val="none"/>
              </w:rPr>
              <w:t>A02010609</w:t>
            </w:r>
            <w:r>
              <w:rPr>
                <w:color w:val="auto"/>
                <w:spacing w:val="-9"/>
                <w:sz w:val="20"/>
                <w:highlight w:val="none"/>
              </w:rPr>
              <w:t xml:space="preserve"> 图形图像</w:t>
            </w:r>
            <w:r>
              <w:rPr>
                <w:color w:val="auto"/>
                <w:sz w:val="20"/>
                <w:highlight w:val="none"/>
              </w:rPr>
              <w:t>输入设备</w:t>
            </w:r>
          </w:p>
        </w:tc>
        <w:tc>
          <w:tcPr>
            <w:tcW w:w="1916" w:type="dxa"/>
          </w:tcPr>
          <w:p>
            <w:pPr>
              <w:pStyle w:val="56"/>
              <w:rPr>
                <w:color w:val="auto"/>
                <w:sz w:val="20"/>
                <w:highlight w:val="none"/>
              </w:rPr>
            </w:pPr>
          </w:p>
          <w:p>
            <w:pPr>
              <w:pStyle w:val="56"/>
              <w:rPr>
                <w:color w:val="auto"/>
                <w:sz w:val="23"/>
                <w:highlight w:val="none"/>
              </w:rPr>
            </w:pPr>
          </w:p>
          <w:p>
            <w:pPr>
              <w:pStyle w:val="56"/>
              <w:ind w:left="9"/>
              <w:rPr>
                <w:color w:val="auto"/>
                <w:sz w:val="20"/>
                <w:highlight w:val="none"/>
              </w:rPr>
            </w:pPr>
            <w:r>
              <w:rPr>
                <w:color w:val="auto"/>
                <w:sz w:val="20"/>
                <w:highlight w:val="none"/>
              </w:rPr>
              <w:t>A0201060901 扫描仪</w:t>
            </w:r>
          </w:p>
        </w:tc>
        <w:tc>
          <w:tcPr>
            <w:tcW w:w="3281" w:type="dxa"/>
          </w:tcPr>
          <w:p>
            <w:pPr>
              <w:pStyle w:val="56"/>
              <w:spacing w:before="83" w:line="292" w:lineRule="auto"/>
              <w:ind w:left="9" w:right="5"/>
              <w:rPr>
                <w:color w:val="auto"/>
                <w:sz w:val="20"/>
                <w:highlight w:val="none"/>
              </w:rPr>
            </w:pPr>
            <w:r>
              <w:rPr>
                <w:color w:val="auto"/>
                <w:spacing w:val="-9"/>
                <w:sz w:val="20"/>
                <w:highlight w:val="none"/>
              </w:rPr>
              <w:t>参照《复印机、打印机和传真机能</w:t>
            </w:r>
            <w:r>
              <w:rPr>
                <w:color w:val="auto"/>
                <w:spacing w:val="-11"/>
                <w:sz w:val="20"/>
                <w:highlight w:val="none"/>
              </w:rPr>
              <w:t>效限定值及能效等级》</w:t>
            </w:r>
            <w:r>
              <w:rPr>
                <w:color w:val="auto"/>
                <w:sz w:val="20"/>
                <w:highlight w:val="none"/>
              </w:rPr>
              <w:t>（GB 21521</w:t>
            </w:r>
          </w:p>
          <w:p>
            <w:pPr>
              <w:pStyle w:val="56"/>
              <w:spacing w:line="255" w:lineRule="exact"/>
              <w:ind w:left="9"/>
              <w:rPr>
                <w:color w:val="auto"/>
                <w:sz w:val="20"/>
                <w:highlight w:val="none"/>
              </w:rPr>
            </w:pPr>
            <w:r>
              <w:rPr>
                <w:color w:val="auto"/>
                <w:sz w:val="20"/>
                <w:highlight w:val="none"/>
              </w:rPr>
              <w:t>中打印速度为 15 页/分的针式打</w:t>
            </w:r>
          </w:p>
          <w:p>
            <w:pPr>
              <w:pStyle w:val="56"/>
              <w:spacing w:before="55"/>
              <w:ind w:left="9"/>
              <w:rPr>
                <w:color w:val="auto"/>
                <w:sz w:val="20"/>
                <w:highlight w:val="none"/>
              </w:rPr>
            </w:pPr>
            <w:r>
              <w:rPr>
                <w:color w:val="auto"/>
                <w:sz w:val="20"/>
                <w:highlight w:val="none"/>
              </w:rPr>
              <w:t>印机相关要求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574" w:type="dxa"/>
          </w:tcPr>
          <w:p>
            <w:pPr>
              <w:pStyle w:val="56"/>
              <w:spacing w:before="7"/>
              <w:rPr>
                <w:color w:val="auto"/>
                <w:sz w:val="16"/>
                <w:highlight w:val="none"/>
              </w:rPr>
            </w:pPr>
          </w:p>
          <w:p>
            <w:pPr>
              <w:pStyle w:val="56"/>
              <w:ind w:left="5"/>
              <w:jc w:val="center"/>
              <w:rPr>
                <w:color w:val="auto"/>
                <w:sz w:val="20"/>
                <w:highlight w:val="none"/>
              </w:rPr>
            </w:pPr>
            <w:r>
              <w:rPr>
                <w:color w:val="auto"/>
                <w:w w:val="99"/>
                <w:sz w:val="20"/>
                <w:highlight w:val="none"/>
              </w:rPr>
              <w:t>3</w:t>
            </w:r>
          </w:p>
        </w:tc>
        <w:tc>
          <w:tcPr>
            <w:tcW w:w="1167" w:type="dxa"/>
          </w:tcPr>
          <w:p>
            <w:pPr>
              <w:pStyle w:val="56"/>
              <w:spacing w:before="56"/>
              <w:ind w:left="11"/>
              <w:rPr>
                <w:color w:val="auto"/>
                <w:sz w:val="20"/>
                <w:highlight w:val="none"/>
              </w:rPr>
            </w:pPr>
            <w:r>
              <w:rPr>
                <w:color w:val="auto"/>
                <w:sz w:val="20"/>
                <w:highlight w:val="none"/>
              </w:rPr>
              <w:t>A020202</w:t>
            </w:r>
            <w:r>
              <w:rPr>
                <w:color w:val="auto"/>
                <w:spacing w:val="-25"/>
                <w:sz w:val="20"/>
                <w:highlight w:val="none"/>
              </w:rPr>
              <w:t xml:space="preserve"> 投影</w:t>
            </w:r>
          </w:p>
          <w:p>
            <w:pPr>
              <w:pStyle w:val="56"/>
              <w:spacing w:before="56"/>
              <w:ind w:left="11"/>
              <w:rPr>
                <w:color w:val="auto"/>
                <w:sz w:val="20"/>
                <w:highlight w:val="none"/>
              </w:rPr>
            </w:pPr>
            <w:r>
              <w:rPr>
                <w:color w:val="auto"/>
                <w:w w:val="99"/>
                <w:sz w:val="20"/>
                <w:highlight w:val="none"/>
              </w:rPr>
              <w:t>仪</w:t>
            </w:r>
          </w:p>
        </w:tc>
        <w:tc>
          <w:tcPr>
            <w:tcW w:w="1801" w:type="dxa"/>
          </w:tcPr>
          <w:p>
            <w:pPr>
              <w:pStyle w:val="56"/>
              <w:rPr>
                <w:rFonts w:ascii="Times New Roman"/>
                <w:color w:val="auto"/>
                <w:sz w:val="20"/>
                <w:highlight w:val="none"/>
              </w:rPr>
            </w:pPr>
          </w:p>
        </w:tc>
        <w:tc>
          <w:tcPr>
            <w:tcW w:w="1916" w:type="dxa"/>
          </w:tcPr>
          <w:p>
            <w:pPr>
              <w:pStyle w:val="56"/>
              <w:rPr>
                <w:rFonts w:ascii="Times New Roman"/>
                <w:color w:val="auto"/>
                <w:sz w:val="20"/>
                <w:highlight w:val="none"/>
              </w:rPr>
            </w:pPr>
          </w:p>
        </w:tc>
        <w:tc>
          <w:tcPr>
            <w:tcW w:w="3281" w:type="dxa"/>
          </w:tcPr>
          <w:p>
            <w:pPr>
              <w:pStyle w:val="56"/>
              <w:spacing w:before="56"/>
              <w:ind w:left="9"/>
              <w:rPr>
                <w:color w:val="auto"/>
                <w:sz w:val="20"/>
                <w:highlight w:val="none"/>
              </w:rPr>
            </w:pPr>
            <w:r>
              <w:rPr>
                <w:color w:val="auto"/>
                <w:sz w:val="20"/>
                <w:highlight w:val="none"/>
              </w:rPr>
              <w:t>《投影机能效限定值及能效等级</w:t>
            </w:r>
          </w:p>
          <w:p>
            <w:pPr>
              <w:pStyle w:val="56"/>
              <w:spacing w:before="56"/>
              <w:ind w:left="9"/>
              <w:rPr>
                <w:color w:val="auto"/>
                <w:sz w:val="20"/>
                <w:highlight w:val="none"/>
              </w:rPr>
            </w:pPr>
            <w:r>
              <w:rPr>
                <w:color w:val="auto"/>
                <w:sz w:val="20"/>
                <w:highlight w:val="none"/>
              </w:rPr>
              <w:t>（GB 32028）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574" w:type="dxa"/>
          </w:tcPr>
          <w:p>
            <w:pPr>
              <w:pStyle w:val="56"/>
              <w:spacing w:before="12"/>
              <w:rPr>
                <w:color w:val="auto"/>
                <w:sz w:val="19"/>
                <w:highlight w:val="none"/>
              </w:rPr>
            </w:pPr>
          </w:p>
          <w:p>
            <w:pPr>
              <w:pStyle w:val="56"/>
              <w:ind w:left="5"/>
              <w:jc w:val="center"/>
              <w:rPr>
                <w:color w:val="auto"/>
                <w:sz w:val="20"/>
                <w:highlight w:val="none"/>
              </w:rPr>
            </w:pPr>
            <w:r>
              <w:rPr>
                <w:color w:val="auto"/>
                <w:w w:val="99"/>
                <w:sz w:val="20"/>
                <w:highlight w:val="none"/>
              </w:rPr>
              <w:t>4</w:t>
            </w:r>
          </w:p>
        </w:tc>
        <w:tc>
          <w:tcPr>
            <w:tcW w:w="1167" w:type="dxa"/>
          </w:tcPr>
          <w:p>
            <w:pPr>
              <w:pStyle w:val="56"/>
              <w:spacing w:before="100"/>
              <w:ind w:left="11"/>
              <w:rPr>
                <w:color w:val="auto"/>
                <w:sz w:val="20"/>
                <w:highlight w:val="none"/>
              </w:rPr>
            </w:pPr>
            <w:r>
              <w:rPr>
                <w:color w:val="auto"/>
                <w:sz w:val="20"/>
                <w:highlight w:val="none"/>
              </w:rPr>
              <w:t>A020204</w:t>
            </w:r>
            <w:r>
              <w:rPr>
                <w:color w:val="auto"/>
                <w:spacing w:val="-25"/>
                <w:sz w:val="20"/>
                <w:highlight w:val="none"/>
              </w:rPr>
              <w:t xml:space="preserve"> 多功</w:t>
            </w:r>
          </w:p>
          <w:p>
            <w:pPr>
              <w:pStyle w:val="56"/>
              <w:spacing w:before="55"/>
              <w:ind w:left="11"/>
              <w:rPr>
                <w:color w:val="auto"/>
                <w:sz w:val="20"/>
                <w:highlight w:val="none"/>
              </w:rPr>
            </w:pPr>
            <w:r>
              <w:rPr>
                <w:color w:val="auto"/>
                <w:sz w:val="20"/>
                <w:highlight w:val="none"/>
              </w:rPr>
              <w:t>能一体机</w:t>
            </w:r>
          </w:p>
        </w:tc>
        <w:tc>
          <w:tcPr>
            <w:tcW w:w="1801" w:type="dxa"/>
          </w:tcPr>
          <w:p>
            <w:pPr>
              <w:pStyle w:val="56"/>
              <w:rPr>
                <w:rFonts w:ascii="Times New Roman"/>
                <w:color w:val="auto"/>
                <w:sz w:val="20"/>
                <w:highlight w:val="none"/>
              </w:rPr>
            </w:pPr>
          </w:p>
        </w:tc>
        <w:tc>
          <w:tcPr>
            <w:tcW w:w="1916" w:type="dxa"/>
          </w:tcPr>
          <w:p>
            <w:pPr>
              <w:pStyle w:val="56"/>
              <w:rPr>
                <w:rFonts w:ascii="Times New Roman"/>
                <w:color w:val="auto"/>
                <w:sz w:val="20"/>
                <w:highlight w:val="none"/>
              </w:rPr>
            </w:pPr>
          </w:p>
        </w:tc>
        <w:tc>
          <w:tcPr>
            <w:tcW w:w="3281" w:type="dxa"/>
          </w:tcPr>
          <w:p>
            <w:pPr>
              <w:pStyle w:val="56"/>
              <w:spacing w:before="100" w:line="292" w:lineRule="auto"/>
              <w:ind w:left="9" w:right="5"/>
              <w:rPr>
                <w:color w:val="auto"/>
                <w:sz w:val="20"/>
                <w:highlight w:val="none"/>
              </w:rPr>
            </w:pPr>
            <w:r>
              <w:rPr>
                <w:color w:val="auto"/>
                <w:spacing w:val="-9"/>
                <w:sz w:val="20"/>
                <w:highlight w:val="none"/>
              </w:rPr>
              <w:t>《复印机、打印机和传真机能效限</w:t>
            </w:r>
            <w:r>
              <w:rPr>
                <w:color w:val="auto"/>
                <w:sz w:val="20"/>
                <w:highlight w:val="none"/>
              </w:rPr>
              <w:t>定值及能效等级》（GB 21521）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574" w:type="dxa"/>
          </w:tcPr>
          <w:p>
            <w:pPr>
              <w:pStyle w:val="56"/>
              <w:spacing w:before="1"/>
              <w:rPr>
                <w:color w:val="auto"/>
                <w:sz w:val="15"/>
                <w:highlight w:val="none"/>
              </w:rPr>
            </w:pPr>
          </w:p>
          <w:p>
            <w:pPr>
              <w:pStyle w:val="56"/>
              <w:ind w:left="5"/>
              <w:jc w:val="center"/>
              <w:rPr>
                <w:color w:val="auto"/>
                <w:sz w:val="20"/>
                <w:highlight w:val="none"/>
              </w:rPr>
            </w:pPr>
            <w:r>
              <w:rPr>
                <w:color w:val="auto"/>
                <w:w w:val="99"/>
                <w:sz w:val="20"/>
                <w:highlight w:val="none"/>
              </w:rPr>
              <w:t>5</w:t>
            </w:r>
          </w:p>
        </w:tc>
        <w:tc>
          <w:tcPr>
            <w:tcW w:w="1167" w:type="dxa"/>
          </w:tcPr>
          <w:p>
            <w:pPr>
              <w:pStyle w:val="56"/>
              <w:spacing w:before="1"/>
              <w:rPr>
                <w:color w:val="auto"/>
                <w:sz w:val="15"/>
                <w:highlight w:val="none"/>
              </w:rPr>
            </w:pPr>
          </w:p>
          <w:p>
            <w:pPr>
              <w:pStyle w:val="56"/>
              <w:ind w:left="11"/>
              <w:rPr>
                <w:color w:val="auto"/>
                <w:sz w:val="20"/>
                <w:highlight w:val="none"/>
              </w:rPr>
            </w:pPr>
            <w:r>
              <w:rPr>
                <w:color w:val="auto"/>
                <w:sz w:val="20"/>
                <w:highlight w:val="none"/>
              </w:rPr>
              <w:t>A020519 泵</w:t>
            </w:r>
          </w:p>
        </w:tc>
        <w:tc>
          <w:tcPr>
            <w:tcW w:w="1801" w:type="dxa"/>
          </w:tcPr>
          <w:p>
            <w:pPr>
              <w:pStyle w:val="56"/>
              <w:spacing w:before="1"/>
              <w:rPr>
                <w:color w:val="auto"/>
                <w:sz w:val="15"/>
                <w:highlight w:val="none"/>
              </w:rPr>
            </w:pPr>
          </w:p>
          <w:p>
            <w:pPr>
              <w:pStyle w:val="56"/>
              <w:ind w:left="10"/>
              <w:rPr>
                <w:color w:val="auto"/>
                <w:sz w:val="20"/>
                <w:highlight w:val="none"/>
              </w:rPr>
            </w:pPr>
            <w:r>
              <w:rPr>
                <w:color w:val="auto"/>
                <w:sz w:val="20"/>
                <w:highlight w:val="none"/>
              </w:rPr>
              <w:t>A02051901 离心泵</w:t>
            </w:r>
          </w:p>
        </w:tc>
        <w:tc>
          <w:tcPr>
            <w:tcW w:w="1916" w:type="dxa"/>
          </w:tcPr>
          <w:p>
            <w:pPr>
              <w:pStyle w:val="56"/>
              <w:rPr>
                <w:rFonts w:ascii="Times New Roman"/>
                <w:color w:val="auto"/>
                <w:sz w:val="20"/>
                <w:highlight w:val="none"/>
              </w:rPr>
            </w:pPr>
          </w:p>
        </w:tc>
        <w:tc>
          <w:tcPr>
            <w:tcW w:w="3281" w:type="dxa"/>
          </w:tcPr>
          <w:p>
            <w:pPr>
              <w:pStyle w:val="56"/>
              <w:spacing w:before="37"/>
              <w:ind w:left="9"/>
              <w:rPr>
                <w:color w:val="auto"/>
                <w:sz w:val="20"/>
                <w:highlight w:val="none"/>
              </w:rPr>
            </w:pPr>
            <w:r>
              <w:rPr>
                <w:color w:val="auto"/>
                <w:sz w:val="20"/>
                <w:highlight w:val="none"/>
              </w:rPr>
              <w:t>《清水离心泵能效限定值及节能</w:t>
            </w:r>
          </w:p>
          <w:p>
            <w:pPr>
              <w:pStyle w:val="56"/>
              <w:spacing w:before="56"/>
              <w:ind w:left="9"/>
              <w:rPr>
                <w:color w:val="auto"/>
                <w:sz w:val="20"/>
                <w:highlight w:val="none"/>
              </w:rPr>
            </w:pPr>
            <w:r>
              <w:rPr>
                <w:color w:val="auto"/>
                <w:sz w:val="20"/>
                <w:highlight w:val="none"/>
              </w:rPr>
              <w:t>评价值》（GB 19762）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2" w:hRule="atLeast"/>
        </w:trPr>
        <w:tc>
          <w:tcPr>
            <w:tcW w:w="574" w:type="dxa"/>
            <w:vMerge w:val="restart"/>
          </w:tcPr>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spacing w:before="135"/>
              <w:ind w:left="5"/>
              <w:jc w:val="center"/>
              <w:rPr>
                <w:color w:val="auto"/>
                <w:sz w:val="20"/>
                <w:highlight w:val="none"/>
              </w:rPr>
            </w:pPr>
            <w:r>
              <w:rPr>
                <w:color w:val="auto"/>
                <w:w w:val="99"/>
                <w:sz w:val="20"/>
                <w:highlight w:val="none"/>
              </w:rPr>
              <w:t>6</w:t>
            </w:r>
          </w:p>
        </w:tc>
        <w:tc>
          <w:tcPr>
            <w:tcW w:w="1167" w:type="dxa"/>
            <w:vMerge w:val="restart"/>
          </w:tcPr>
          <w:p>
            <w:pPr>
              <w:pStyle w:val="56"/>
              <w:rPr>
                <w:color w:val="auto"/>
                <w:sz w:val="20"/>
                <w:highlight w:val="none"/>
              </w:rPr>
            </w:pPr>
          </w:p>
          <w:p>
            <w:pPr>
              <w:pStyle w:val="56"/>
              <w:rPr>
                <w:color w:val="auto"/>
                <w:sz w:val="20"/>
                <w:highlight w:val="none"/>
              </w:rPr>
            </w:pPr>
          </w:p>
          <w:p>
            <w:pPr>
              <w:pStyle w:val="56"/>
              <w:spacing w:before="4"/>
              <w:rPr>
                <w:color w:val="auto"/>
                <w:sz w:val="18"/>
                <w:highlight w:val="none"/>
              </w:rPr>
            </w:pPr>
          </w:p>
          <w:p>
            <w:pPr>
              <w:pStyle w:val="56"/>
              <w:ind w:left="11"/>
              <w:rPr>
                <w:color w:val="auto"/>
                <w:sz w:val="20"/>
                <w:highlight w:val="none"/>
              </w:rPr>
            </w:pPr>
            <w:r>
              <w:rPr>
                <w:color w:val="auto"/>
                <w:sz w:val="20"/>
                <w:highlight w:val="none"/>
              </w:rPr>
              <w:t>A020523</w:t>
            </w:r>
            <w:r>
              <w:rPr>
                <w:color w:val="auto"/>
                <w:spacing w:val="-25"/>
                <w:sz w:val="20"/>
                <w:highlight w:val="none"/>
              </w:rPr>
              <w:t xml:space="preserve"> 制冷</w:t>
            </w:r>
          </w:p>
          <w:p>
            <w:pPr>
              <w:pStyle w:val="56"/>
              <w:spacing w:before="56"/>
              <w:ind w:left="11"/>
              <w:rPr>
                <w:color w:val="auto"/>
                <w:sz w:val="20"/>
                <w:highlight w:val="none"/>
              </w:rPr>
            </w:pPr>
            <w:r>
              <w:rPr>
                <w:color w:val="auto"/>
                <w:sz w:val="20"/>
                <w:highlight w:val="none"/>
              </w:rPr>
              <w:t>空调设备</w:t>
            </w:r>
          </w:p>
        </w:tc>
        <w:tc>
          <w:tcPr>
            <w:tcW w:w="1801" w:type="dxa"/>
            <w:vMerge w:val="restart"/>
          </w:tcPr>
          <w:p>
            <w:pPr>
              <w:pStyle w:val="56"/>
              <w:rPr>
                <w:color w:val="auto"/>
                <w:sz w:val="20"/>
                <w:highlight w:val="none"/>
              </w:rPr>
            </w:pPr>
          </w:p>
          <w:p>
            <w:pPr>
              <w:pStyle w:val="56"/>
              <w:rPr>
                <w:color w:val="auto"/>
                <w:sz w:val="20"/>
                <w:highlight w:val="none"/>
              </w:rPr>
            </w:pPr>
          </w:p>
          <w:p>
            <w:pPr>
              <w:pStyle w:val="56"/>
              <w:spacing w:before="4"/>
              <w:rPr>
                <w:color w:val="auto"/>
                <w:sz w:val="18"/>
                <w:highlight w:val="none"/>
              </w:rPr>
            </w:pPr>
          </w:p>
          <w:p>
            <w:pPr>
              <w:pStyle w:val="56"/>
              <w:spacing w:line="292" w:lineRule="auto"/>
              <w:ind w:left="10" w:right="2"/>
              <w:rPr>
                <w:color w:val="auto"/>
                <w:sz w:val="20"/>
                <w:highlight w:val="none"/>
              </w:rPr>
            </w:pPr>
            <w:r>
              <w:rPr>
                <w:rFonts w:hint="eastAsia"/>
                <w:color w:val="auto"/>
                <w:sz w:val="20"/>
                <w:highlight w:val="none"/>
                <w:lang w:eastAsia="zh-CN"/>
              </w:rPr>
              <w:t>▼</w:t>
            </w:r>
            <w:r>
              <w:rPr>
                <w:color w:val="auto"/>
                <w:sz w:val="20"/>
                <w:highlight w:val="none"/>
              </w:rPr>
              <w:t>A02052301</w:t>
            </w:r>
            <w:r>
              <w:rPr>
                <w:color w:val="auto"/>
                <w:spacing w:val="-11"/>
                <w:sz w:val="20"/>
                <w:highlight w:val="none"/>
              </w:rPr>
              <w:t xml:space="preserve"> 制冷压</w:t>
            </w:r>
            <w:r>
              <w:rPr>
                <w:color w:val="auto"/>
                <w:sz w:val="20"/>
                <w:highlight w:val="none"/>
              </w:rPr>
              <w:t>缩机</w:t>
            </w:r>
          </w:p>
        </w:tc>
        <w:tc>
          <w:tcPr>
            <w:tcW w:w="1916" w:type="dxa"/>
          </w:tcPr>
          <w:p>
            <w:pPr>
              <w:pStyle w:val="56"/>
              <w:rPr>
                <w:color w:val="auto"/>
                <w:sz w:val="20"/>
                <w:highlight w:val="none"/>
              </w:rPr>
            </w:pPr>
          </w:p>
          <w:p>
            <w:pPr>
              <w:pStyle w:val="56"/>
              <w:spacing w:before="6"/>
              <w:rPr>
                <w:color w:val="auto"/>
                <w:sz w:val="21"/>
                <w:highlight w:val="none"/>
              </w:rPr>
            </w:pPr>
          </w:p>
          <w:p>
            <w:pPr>
              <w:pStyle w:val="56"/>
              <w:ind w:left="9"/>
              <w:rPr>
                <w:color w:val="auto"/>
                <w:sz w:val="20"/>
                <w:highlight w:val="none"/>
              </w:rPr>
            </w:pPr>
            <w:r>
              <w:rPr>
                <w:color w:val="auto"/>
                <w:sz w:val="20"/>
                <w:highlight w:val="none"/>
              </w:rPr>
              <w:t>冷水机组</w:t>
            </w:r>
          </w:p>
        </w:tc>
        <w:tc>
          <w:tcPr>
            <w:tcW w:w="3281" w:type="dxa"/>
          </w:tcPr>
          <w:p>
            <w:pPr>
              <w:pStyle w:val="56"/>
              <w:spacing w:before="10" w:line="310" w:lineRule="atLeast"/>
              <w:ind w:left="9" w:right="3"/>
              <w:jc w:val="both"/>
              <w:rPr>
                <w:color w:val="auto"/>
                <w:sz w:val="20"/>
                <w:highlight w:val="none"/>
              </w:rPr>
            </w:pPr>
            <w:r>
              <w:rPr>
                <w:color w:val="auto"/>
                <w:spacing w:val="9"/>
                <w:sz w:val="20"/>
                <w:highlight w:val="none"/>
              </w:rPr>
              <w:t>《冷水机组能效限定值及能效等</w:t>
            </w:r>
            <w:r>
              <w:rPr>
                <w:color w:val="auto"/>
                <w:spacing w:val="-2"/>
                <w:sz w:val="20"/>
                <w:highlight w:val="none"/>
              </w:rPr>
              <w:t>级》</w:t>
            </w:r>
            <w:r>
              <w:rPr>
                <w:color w:val="auto"/>
                <w:sz w:val="20"/>
                <w:highlight w:val="none"/>
              </w:rPr>
              <w:t>（GB</w:t>
            </w:r>
            <w:r>
              <w:rPr>
                <w:color w:val="auto"/>
                <w:spacing w:val="-57"/>
                <w:sz w:val="20"/>
                <w:highlight w:val="none"/>
              </w:rPr>
              <w:t xml:space="preserve"> </w:t>
            </w:r>
            <w:r>
              <w:rPr>
                <w:color w:val="auto"/>
                <w:sz w:val="20"/>
                <w:highlight w:val="none"/>
              </w:rPr>
              <w:t>19577），</w:t>
            </w:r>
            <w:r>
              <w:rPr>
                <w:color w:val="auto"/>
                <w:spacing w:val="-2"/>
                <w:sz w:val="20"/>
                <w:highlight w:val="none"/>
              </w:rPr>
              <w:t>《低环境温度</w:t>
            </w:r>
            <w:r>
              <w:rPr>
                <w:color w:val="auto"/>
                <w:spacing w:val="-6"/>
                <w:sz w:val="20"/>
                <w:highlight w:val="none"/>
              </w:rPr>
              <w:t>空气源热泵</w:t>
            </w:r>
            <w:r>
              <w:rPr>
                <w:color w:val="auto"/>
                <w:sz w:val="20"/>
                <w:highlight w:val="none"/>
              </w:rPr>
              <w:t>（冷水</w:t>
            </w:r>
            <w:r>
              <w:rPr>
                <w:color w:val="auto"/>
                <w:spacing w:val="-27"/>
                <w:sz w:val="20"/>
                <w:highlight w:val="none"/>
              </w:rPr>
              <w:t>）</w:t>
            </w:r>
            <w:r>
              <w:rPr>
                <w:color w:val="auto"/>
                <w:spacing w:val="-3"/>
                <w:sz w:val="20"/>
                <w:highlight w:val="none"/>
              </w:rPr>
              <w:t>机组能效限定</w:t>
            </w:r>
            <w:r>
              <w:rPr>
                <w:color w:val="auto"/>
                <w:sz w:val="20"/>
                <w:highlight w:val="none"/>
              </w:rPr>
              <w:t>值及能效等级》（GB 37480）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vMerge w:val="continue"/>
            <w:tcBorders>
              <w:top w:val="nil"/>
            </w:tcBorders>
          </w:tcPr>
          <w:p>
            <w:pPr>
              <w:rPr>
                <w:color w:val="auto"/>
                <w:sz w:val="2"/>
                <w:szCs w:val="2"/>
                <w:highlight w:val="none"/>
              </w:rPr>
            </w:pPr>
          </w:p>
        </w:tc>
        <w:tc>
          <w:tcPr>
            <w:tcW w:w="1916" w:type="dxa"/>
          </w:tcPr>
          <w:p>
            <w:pPr>
              <w:pStyle w:val="56"/>
              <w:spacing w:before="10"/>
              <w:rPr>
                <w:color w:val="auto"/>
                <w:sz w:val="18"/>
                <w:highlight w:val="none"/>
              </w:rPr>
            </w:pPr>
          </w:p>
          <w:p>
            <w:pPr>
              <w:pStyle w:val="56"/>
              <w:spacing w:before="1"/>
              <w:ind w:left="9"/>
              <w:rPr>
                <w:color w:val="auto"/>
                <w:sz w:val="20"/>
                <w:highlight w:val="none"/>
              </w:rPr>
            </w:pPr>
            <w:r>
              <w:rPr>
                <w:color w:val="auto"/>
                <w:sz w:val="20"/>
                <w:highlight w:val="none"/>
              </w:rPr>
              <w:t>水源热泵机组</w:t>
            </w:r>
          </w:p>
        </w:tc>
        <w:tc>
          <w:tcPr>
            <w:tcW w:w="3281" w:type="dxa"/>
          </w:tcPr>
          <w:p>
            <w:pPr>
              <w:pStyle w:val="56"/>
              <w:spacing w:before="85" w:line="292" w:lineRule="auto"/>
              <w:ind w:left="9" w:right="5"/>
              <w:rPr>
                <w:color w:val="auto"/>
                <w:sz w:val="20"/>
                <w:highlight w:val="none"/>
              </w:rPr>
            </w:pPr>
            <w:r>
              <w:rPr>
                <w:color w:val="auto"/>
                <w:spacing w:val="-15"/>
                <w:sz w:val="20"/>
                <w:highlight w:val="none"/>
              </w:rPr>
              <w:t>《水</w:t>
            </w:r>
            <w:r>
              <w:rPr>
                <w:color w:val="auto"/>
                <w:sz w:val="20"/>
                <w:highlight w:val="none"/>
              </w:rPr>
              <w:t>（地</w:t>
            </w:r>
            <w:r>
              <w:rPr>
                <w:color w:val="auto"/>
                <w:spacing w:val="-29"/>
                <w:sz w:val="20"/>
                <w:highlight w:val="none"/>
              </w:rPr>
              <w:t>）</w:t>
            </w:r>
            <w:r>
              <w:rPr>
                <w:color w:val="auto"/>
                <w:spacing w:val="-2"/>
                <w:sz w:val="20"/>
                <w:highlight w:val="none"/>
              </w:rPr>
              <w:t>源热泵机组能效限定值</w:t>
            </w:r>
            <w:r>
              <w:rPr>
                <w:color w:val="auto"/>
                <w:sz w:val="20"/>
                <w:highlight w:val="none"/>
              </w:rPr>
              <w:t>及能效等级》（GB 30721）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574" w:type="dxa"/>
            <w:vMerge w:val="restart"/>
          </w:tcPr>
          <w:p>
            <w:pPr>
              <w:pStyle w:val="56"/>
              <w:rPr>
                <w:rFonts w:ascii="Times New Roman"/>
                <w:color w:val="auto"/>
                <w:sz w:val="18"/>
                <w:highlight w:val="none"/>
              </w:rPr>
            </w:pPr>
          </w:p>
        </w:tc>
        <w:tc>
          <w:tcPr>
            <w:tcW w:w="1167" w:type="dxa"/>
            <w:vMerge w:val="restart"/>
          </w:tcPr>
          <w:p>
            <w:pPr>
              <w:pStyle w:val="56"/>
              <w:rPr>
                <w:rFonts w:ascii="Times New Roman"/>
                <w:color w:val="auto"/>
                <w:sz w:val="18"/>
                <w:highlight w:val="none"/>
              </w:rPr>
            </w:pPr>
          </w:p>
        </w:tc>
        <w:tc>
          <w:tcPr>
            <w:tcW w:w="1801" w:type="dxa"/>
          </w:tcPr>
          <w:p>
            <w:pPr>
              <w:pStyle w:val="56"/>
              <w:rPr>
                <w:rFonts w:ascii="Times New Roman"/>
                <w:color w:val="auto"/>
                <w:sz w:val="18"/>
                <w:highlight w:val="none"/>
              </w:rPr>
            </w:pPr>
          </w:p>
        </w:tc>
        <w:tc>
          <w:tcPr>
            <w:tcW w:w="1916" w:type="dxa"/>
          </w:tcPr>
          <w:p>
            <w:pPr>
              <w:pStyle w:val="56"/>
              <w:spacing w:before="126" w:line="292" w:lineRule="auto"/>
              <w:ind w:left="9" w:right="5"/>
              <w:rPr>
                <w:color w:val="auto"/>
                <w:sz w:val="20"/>
                <w:highlight w:val="none"/>
              </w:rPr>
            </w:pPr>
            <w:r>
              <w:rPr>
                <w:color w:val="auto"/>
                <w:sz w:val="20"/>
                <w:highlight w:val="none"/>
              </w:rPr>
              <w:t>溴化锂吸收式冷水机组</w:t>
            </w:r>
          </w:p>
        </w:tc>
        <w:tc>
          <w:tcPr>
            <w:tcW w:w="3281" w:type="dxa"/>
          </w:tcPr>
          <w:p>
            <w:pPr>
              <w:pStyle w:val="56"/>
              <w:spacing w:before="126" w:line="292" w:lineRule="auto"/>
              <w:ind w:left="9" w:right="3"/>
              <w:rPr>
                <w:color w:val="auto"/>
                <w:sz w:val="20"/>
                <w:highlight w:val="none"/>
              </w:rPr>
            </w:pPr>
            <w:r>
              <w:rPr>
                <w:color w:val="auto"/>
                <w:sz w:val="20"/>
                <w:highlight w:val="none"/>
              </w:rPr>
              <w:t>《溴化锂吸收式冷水机组能效限定值及能效等级》（GB 29540）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vMerge w:val="restart"/>
          </w:tcPr>
          <w:p>
            <w:pPr>
              <w:pStyle w:val="56"/>
              <w:rPr>
                <w:color w:val="auto"/>
                <w:sz w:val="20"/>
                <w:highlight w:val="none"/>
              </w:rPr>
            </w:pPr>
          </w:p>
          <w:p>
            <w:pPr>
              <w:pStyle w:val="56"/>
              <w:rPr>
                <w:color w:val="auto"/>
                <w:sz w:val="20"/>
                <w:highlight w:val="none"/>
              </w:rPr>
            </w:pPr>
          </w:p>
          <w:p>
            <w:pPr>
              <w:pStyle w:val="56"/>
              <w:spacing w:before="1"/>
              <w:rPr>
                <w:color w:val="auto"/>
                <w:sz w:val="25"/>
                <w:highlight w:val="none"/>
              </w:rPr>
            </w:pPr>
          </w:p>
          <w:p>
            <w:pPr>
              <w:pStyle w:val="56"/>
              <w:spacing w:line="292" w:lineRule="auto"/>
              <w:ind w:left="10" w:right="2"/>
              <w:rPr>
                <w:color w:val="auto"/>
                <w:sz w:val="20"/>
                <w:highlight w:val="none"/>
              </w:rPr>
            </w:pPr>
            <w:r>
              <w:rPr>
                <w:rFonts w:hint="eastAsia"/>
                <w:color w:val="auto"/>
                <w:sz w:val="20"/>
                <w:highlight w:val="none"/>
                <w:lang w:eastAsia="zh-CN"/>
              </w:rPr>
              <w:t>▼</w:t>
            </w:r>
            <w:r>
              <w:rPr>
                <w:color w:val="auto"/>
                <w:sz w:val="20"/>
                <w:highlight w:val="none"/>
              </w:rPr>
              <w:t>A02052305</w:t>
            </w:r>
            <w:r>
              <w:rPr>
                <w:color w:val="auto"/>
                <w:spacing w:val="-11"/>
                <w:sz w:val="20"/>
                <w:highlight w:val="none"/>
              </w:rPr>
              <w:t xml:space="preserve"> 空调机</w:t>
            </w:r>
            <w:r>
              <w:rPr>
                <w:color w:val="auto"/>
                <w:sz w:val="20"/>
                <w:highlight w:val="none"/>
              </w:rPr>
              <w:t>组</w:t>
            </w:r>
          </w:p>
        </w:tc>
        <w:tc>
          <w:tcPr>
            <w:tcW w:w="1916" w:type="dxa"/>
          </w:tcPr>
          <w:p>
            <w:pPr>
              <w:pStyle w:val="56"/>
              <w:spacing w:before="37"/>
              <w:ind w:left="9"/>
              <w:rPr>
                <w:color w:val="auto"/>
                <w:sz w:val="20"/>
                <w:highlight w:val="none"/>
              </w:rPr>
            </w:pPr>
            <w:r>
              <w:rPr>
                <w:color w:val="auto"/>
                <w:w w:val="95"/>
                <w:sz w:val="20"/>
                <w:highlight w:val="none"/>
              </w:rPr>
              <w:t>多联式空调（热泵）</w:t>
            </w:r>
          </w:p>
          <w:p>
            <w:pPr>
              <w:pStyle w:val="56"/>
              <w:tabs>
                <w:tab w:val="left" w:pos="456"/>
                <w:tab w:val="left" w:pos="902"/>
                <w:tab w:val="left" w:pos="1250"/>
                <w:tab w:val="left" w:pos="1699"/>
              </w:tabs>
              <w:spacing w:before="2" w:line="310" w:lineRule="atLeast"/>
              <w:ind w:left="9" w:right="5"/>
              <w:rPr>
                <w:color w:val="auto"/>
                <w:sz w:val="20"/>
                <w:highlight w:val="none"/>
              </w:rPr>
            </w:pPr>
            <w:r>
              <w:rPr>
                <w:color w:val="auto"/>
                <w:sz w:val="20"/>
                <w:highlight w:val="none"/>
              </w:rPr>
              <w:t>机</w:t>
            </w:r>
            <w:r>
              <w:rPr>
                <w:color w:val="auto"/>
                <w:sz w:val="20"/>
                <w:highlight w:val="none"/>
              </w:rPr>
              <w:tab/>
            </w:r>
            <w:r>
              <w:rPr>
                <w:color w:val="auto"/>
                <w:sz w:val="20"/>
                <w:highlight w:val="none"/>
              </w:rPr>
              <w:t>组</w:t>
            </w:r>
            <w:r>
              <w:rPr>
                <w:color w:val="auto"/>
                <w:sz w:val="20"/>
                <w:highlight w:val="none"/>
              </w:rPr>
              <w:tab/>
            </w:r>
            <w:r>
              <w:rPr>
                <w:color w:val="auto"/>
                <w:sz w:val="20"/>
                <w:highlight w:val="none"/>
              </w:rPr>
              <w:t>(</w:t>
            </w:r>
            <w:r>
              <w:rPr>
                <w:color w:val="auto"/>
                <w:sz w:val="20"/>
                <w:highlight w:val="none"/>
              </w:rPr>
              <w:tab/>
            </w:r>
            <w:r>
              <w:rPr>
                <w:color w:val="auto"/>
                <w:sz w:val="20"/>
                <w:highlight w:val="none"/>
              </w:rPr>
              <w:t>制</w:t>
            </w:r>
            <w:r>
              <w:rPr>
                <w:color w:val="auto"/>
                <w:sz w:val="20"/>
                <w:highlight w:val="none"/>
              </w:rPr>
              <w:tab/>
            </w:r>
            <w:r>
              <w:rPr>
                <w:color w:val="auto"/>
                <w:spacing w:val="-18"/>
                <w:sz w:val="20"/>
                <w:highlight w:val="none"/>
              </w:rPr>
              <w:t>冷</w:t>
            </w:r>
            <w:r>
              <w:rPr>
                <w:color w:val="auto"/>
                <w:sz w:val="20"/>
                <w:highlight w:val="none"/>
              </w:rPr>
              <w:t>量&gt;14000W)</w:t>
            </w:r>
          </w:p>
        </w:tc>
        <w:tc>
          <w:tcPr>
            <w:tcW w:w="3281" w:type="dxa"/>
          </w:tcPr>
          <w:p>
            <w:pPr>
              <w:pStyle w:val="56"/>
              <w:spacing w:before="1"/>
              <w:rPr>
                <w:color w:val="auto"/>
                <w:sz w:val="15"/>
                <w:highlight w:val="none"/>
              </w:rPr>
            </w:pPr>
          </w:p>
          <w:p>
            <w:pPr>
              <w:pStyle w:val="56"/>
              <w:spacing w:line="292" w:lineRule="auto"/>
              <w:ind w:left="9" w:right="5"/>
              <w:rPr>
                <w:color w:val="auto"/>
                <w:sz w:val="20"/>
                <w:highlight w:val="none"/>
              </w:rPr>
            </w:pPr>
            <w:r>
              <w:rPr>
                <w:color w:val="auto"/>
                <w:spacing w:val="-5"/>
                <w:sz w:val="20"/>
                <w:highlight w:val="none"/>
              </w:rPr>
              <w:t>《多联式空调</w:t>
            </w:r>
            <w:r>
              <w:rPr>
                <w:color w:val="auto"/>
                <w:sz w:val="20"/>
                <w:highlight w:val="none"/>
              </w:rPr>
              <w:t>（热泵</w:t>
            </w:r>
            <w:r>
              <w:rPr>
                <w:color w:val="auto"/>
                <w:spacing w:val="-29"/>
                <w:sz w:val="20"/>
                <w:highlight w:val="none"/>
              </w:rPr>
              <w:t>）</w:t>
            </w:r>
            <w:r>
              <w:rPr>
                <w:color w:val="auto"/>
                <w:spacing w:val="-3"/>
                <w:sz w:val="20"/>
                <w:highlight w:val="none"/>
              </w:rPr>
              <w:t>机组能效限</w:t>
            </w:r>
            <w:r>
              <w:rPr>
                <w:color w:val="auto"/>
                <w:spacing w:val="-11"/>
                <w:sz w:val="20"/>
                <w:highlight w:val="none"/>
              </w:rPr>
              <w:t>定值及能源效率等级》</w:t>
            </w:r>
            <w:r>
              <w:rPr>
                <w:color w:val="auto"/>
                <w:sz w:val="20"/>
                <w:highlight w:val="none"/>
              </w:rPr>
              <w:t>（GB 21454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vMerge w:val="continue"/>
            <w:tcBorders>
              <w:top w:val="nil"/>
            </w:tcBorders>
          </w:tcPr>
          <w:p>
            <w:pPr>
              <w:rPr>
                <w:color w:val="auto"/>
                <w:sz w:val="2"/>
                <w:szCs w:val="2"/>
                <w:highlight w:val="none"/>
              </w:rPr>
            </w:pPr>
          </w:p>
        </w:tc>
        <w:tc>
          <w:tcPr>
            <w:tcW w:w="1916" w:type="dxa"/>
          </w:tcPr>
          <w:p>
            <w:pPr>
              <w:pStyle w:val="56"/>
              <w:spacing w:before="8"/>
              <w:rPr>
                <w:color w:val="auto"/>
                <w:sz w:val="27"/>
                <w:highlight w:val="none"/>
              </w:rPr>
            </w:pPr>
          </w:p>
          <w:p>
            <w:pPr>
              <w:pStyle w:val="56"/>
              <w:spacing w:line="292" w:lineRule="auto"/>
              <w:ind w:left="9" w:right="5"/>
              <w:rPr>
                <w:color w:val="auto"/>
                <w:sz w:val="20"/>
                <w:highlight w:val="none"/>
              </w:rPr>
            </w:pPr>
            <w:r>
              <w:rPr>
                <w:color w:val="auto"/>
                <w:sz w:val="20"/>
                <w:highlight w:val="none"/>
              </w:rPr>
              <w:t>单元式空气调节机(制冷量&gt;14000W)</w:t>
            </w:r>
          </w:p>
        </w:tc>
        <w:tc>
          <w:tcPr>
            <w:tcW w:w="3281" w:type="dxa"/>
          </w:tcPr>
          <w:p>
            <w:pPr>
              <w:pStyle w:val="56"/>
              <w:spacing w:before="42" w:line="292" w:lineRule="auto"/>
              <w:ind w:left="9" w:right="3"/>
              <w:jc w:val="both"/>
              <w:rPr>
                <w:color w:val="auto"/>
                <w:sz w:val="20"/>
                <w:highlight w:val="none"/>
              </w:rPr>
            </w:pPr>
            <w:r>
              <w:rPr>
                <w:color w:val="auto"/>
                <w:spacing w:val="9"/>
                <w:sz w:val="20"/>
                <w:highlight w:val="none"/>
              </w:rPr>
              <w:t>《单元式空气调节机能效限定值</w:t>
            </w:r>
            <w:r>
              <w:rPr>
                <w:color w:val="auto"/>
                <w:spacing w:val="-1"/>
                <w:sz w:val="20"/>
                <w:highlight w:val="none"/>
              </w:rPr>
              <w:t>及能效等级》</w:t>
            </w:r>
            <w:r>
              <w:rPr>
                <w:color w:val="auto"/>
                <w:sz w:val="20"/>
                <w:highlight w:val="none"/>
              </w:rPr>
              <w:t>（GB</w:t>
            </w:r>
            <w:r>
              <w:rPr>
                <w:color w:val="auto"/>
                <w:spacing w:val="-57"/>
                <w:sz w:val="20"/>
                <w:highlight w:val="none"/>
              </w:rPr>
              <w:t xml:space="preserve"> </w:t>
            </w:r>
            <w:r>
              <w:rPr>
                <w:color w:val="auto"/>
                <w:sz w:val="20"/>
                <w:highlight w:val="none"/>
              </w:rPr>
              <w:t>19576）</w:t>
            </w:r>
            <w:r>
              <w:rPr>
                <w:color w:val="auto"/>
                <w:spacing w:val="-4"/>
                <w:sz w:val="20"/>
                <w:highlight w:val="none"/>
              </w:rPr>
              <w:t>《风管</w:t>
            </w:r>
            <w:r>
              <w:rPr>
                <w:color w:val="auto"/>
                <w:spacing w:val="9"/>
                <w:sz w:val="20"/>
                <w:highlight w:val="none"/>
              </w:rPr>
              <w:t>送风式空调机组能效限定值及能</w:t>
            </w:r>
          </w:p>
          <w:p>
            <w:pPr>
              <w:pStyle w:val="56"/>
              <w:spacing w:line="254" w:lineRule="exact"/>
              <w:ind w:left="9"/>
              <w:jc w:val="both"/>
              <w:rPr>
                <w:color w:val="auto"/>
                <w:sz w:val="20"/>
                <w:highlight w:val="none"/>
              </w:rPr>
            </w:pPr>
            <w:r>
              <w:rPr>
                <w:color w:val="auto"/>
                <w:sz w:val="20"/>
                <w:highlight w:val="none"/>
              </w:rPr>
              <w:t>效等级》（GB 37479）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tcPr>
          <w:p>
            <w:pPr>
              <w:pStyle w:val="56"/>
              <w:spacing w:before="116" w:line="290" w:lineRule="auto"/>
              <w:ind w:left="10" w:right="2"/>
              <w:rPr>
                <w:color w:val="auto"/>
                <w:sz w:val="20"/>
                <w:highlight w:val="none"/>
              </w:rPr>
            </w:pPr>
            <w:r>
              <w:rPr>
                <w:rFonts w:hint="eastAsia"/>
                <w:color w:val="auto"/>
                <w:sz w:val="20"/>
                <w:highlight w:val="none"/>
                <w:lang w:eastAsia="zh-CN"/>
              </w:rPr>
              <w:t>▼</w:t>
            </w:r>
            <w:r>
              <w:rPr>
                <w:color w:val="auto"/>
                <w:sz w:val="20"/>
                <w:highlight w:val="none"/>
              </w:rPr>
              <w:t>A02052309</w:t>
            </w:r>
            <w:r>
              <w:rPr>
                <w:color w:val="auto"/>
                <w:spacing w:val="-11"/>
                <w:sz w:val="20"/>
                <w:highlight w:val="none"/>
              </w:rPr>
              <w:t xml:space="preserve"> 专用制</w:t>
            </w:r>
            <w:r>
              <w:rPr>
                <w:color w:val="auto"/>
                <w:sz w:val="20"/>
                <w:highlight w:val="none"/>
              </w:rPr>
              <w:t>冷、空调设备</w:t>
            </w:r>
          </w:p>
        </w:tc>
        <w:tc>
          <w:tcPr>
            <w:tcW w:w="1916" w:type="dxa"/>
          </w:tcPr>
          <w:p>
            <w:pPr>
              <w:pStyle w:val="56"/>
              <w:spacing w:before="1"/>
              <w:rPr>
                <w:color w:val="auto"/>
                <w:sz w:val="21"/>
                <w:highlight w:val="none"/>
              </w:rPr>
            </w:pPr>
          </w:p>
          <w:p>
            <w:pPr>
              <w:pStyle w:val="56"/>
              <w:ind w:left="9"/>
              <w:rPr>
                <w:color w:val="auto"/>
                <w:sz w:val="20"/>
                <w:highlight w:val="none"/>
              </w:rPr>
            </w:pPr>
            <w:r>
              <w:rPr>
                <w:color w:val="auto"/>
                <w:sz w:val="20"/>
                <w:highlight w:val="none"/>
              </w:rPr>
              <w:t>机房空调</w:t>
            </w:r>
          </w:p>
        </w:tc>
        <w:tc>
          <w:tcPr>
            <w:tcW w:w="3281" w:type="dxa"/>
          </w:tcPr>
          <w:p>
            <w:pPr>
              <w:pStyle w:val="56"/>
              <w:spacing w:before="116" w:line="290" w:lineRule="auto"/>
              <w:ind w:left="9" w:right="3"/>
              <w:rPr>
                <w:color w:val="auto"/>
                <w:sz w:val="20"/>
                <w:highlight w:val="none"/>
              </w:rPr>
            </w:pPr>
            <w:r>
              <w:rPr>
                <w:color w:val="auto"/>
                <w:sz w:val="20"/>
                <w:highlight w:val="none"/>
              </w:rPr>
              <w:t>《单元式空气调节机能效限定值及能效等级》（GB 19576）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tcPr>
          <w:p>
            <w:pPr>
              <w:pStyle w:val="56"/>
              <w:rPr>
                <w:color w:val="auto"/>
                <w:sz w:val="20"/>
                <w:highlight w:val="none"/>
              </w:rPr>
            </w:pPr>
          </w:p>
          <w:p>
            <w:pPr>
              <w:pStyle w:val="56"/>
              <w:spacing w:before="1"/>
              <w:rPr>
                <w:color w:val="auto"/>
                <w:sz w:val="24"/>
                <w:highlight w:val="none"/>
              </w:rPr>
            </w:pPr>
          </w:p>
          <w:p>
            <w:pPr>
              <w:pStyle w:val="56"/>
              <w:spacing w:line="292" w:lineRule="auto"/>
              <w:ind w:left="10" w:right="2"/>
              <w:rPr>
                <w:color w:val="auto"/>
                <w:sz w:val="20"/>
                <w:highlight w:val="none"/>
              </w:rPr>
            </w:pPr>
            <w:r>
              <w:rPr>
                <w:color w:val="auto"/>
                <w:sz w:val="20"/>
                <w:highlight w:val="none"/>
              </w:rPr>
              <w:t>A02052399</w:t>
            </w:r>
            <w:r>
              <w:rPr>
                <w:color w:val="auto"/>
                <w:spacing w:val="-9"/>
                <w:sz w:val="20"/>
                <w:highlight w:val="none"/>
              </w:rPr>
              <w:t xml:space="preserve"> 其他制冷</w:t>
            </w:r>
            <w:r>
              <w:rPr>
                <w:color w:val="auto"/>
                <w:sz w:val="20"/>
                <w:highlight w:val="none"/>
              </w:rPr>
              <w:t>空调设备</w:t>
            </w:r>
          </w:p>
        </w:tc>
        <w:tc>
          <w:tcPr>
            <w:tcW w:w="1916" w:type="dxa"/>
          </w:tcPr>
          <w:p>
            <w:pPr>
              <w:pStyle w:val="56"/>
              <w:rPr>
                <w:color w:val="auto"/>
                <w:sz w:val="20"/>
                <w:highlight w:val="none"/>
              </w:rPr>
            </w:pPr>
          </w:p>
          <w:p>
            <w:pPr>
              <w:pStyle w:val="56"/>
              <w:rPr>
                <w:color w:val="auto"/>
                <w:sz w:val="20"/>
                <w:highlight w:val="none"/>
              </w:rPr>
            </w:pPr>
          </w:p>
          <w:p>
            <w:pPr>
              <w:pStyle w:val="56"/>
              <w:spacing w:before="3"/>
              <w:rPr>
                <w:color w:val="auto"/>
                <w:sz w:val="16"/>
                <w:highlight w:val="none"/>
              </w:rPr>
            </w:pPr>
          </w:p>
          <w:p>
            <w:pPr>
              <w:pStyle w:val="56"/>
              <w:spacing w:before="1"/>
              <w:ind w:left="9"/>
              <w:rPr>
                <w:color w:val="auto"/>
                <w:sz w:val="20"/>
                <w:highlight w:val="none"/>
              </w:rPr>
            </w:pPr>
            <w:r>
              <w:rPr>
                <w:color w:val="auto"/>
                <w:sz w:val="20"/>
                <w:highlight w:val="none"/>
              </w:rPr>
              <w:t>冷却塔</w:t>
            </w:r>
          </w:p>
        </w:tc>
        <w:tc>
          <w:tcPr>
            <w:tcW w:w="3281" w:type="dxa"/>
          </w:tcPr>
          <w:p>
            <w:pPr>
              <w:pStyle w:val="56"/>
              <w:spacing w:before="10"/>
              <w:rPr>
                <w:color w:val="auto"/>
                <w:sz w:val="19"/>
                <w:highlight w:val="none"/>
              </w:rPr>
            </w:pPr>
          </w:p>
          <w:p>
            <w:pPr>
              <w:pStyle w:val="56"/>
              <w:spacing w:line="292" w:lineRule="auto"/>
              <w:ind w:left="9" w:right="5"/>
              <w:rPr>
                <w:color w:val="auto"/>
                <w:sz w:val="20"/>
                <w:highlight w:val="none"/>
              </w:rPr>
            </w:pPr>
            <w:r>
              <w:rPr>
                <w:color w:val="auto"/>
                <w:spacing w:val="-4"/>
                <w:sz w:val="20"/>
                <w:highlight w:val="none"/>
              </w:rPr>
              <w:t xml:space="preserve">《机械通风冷却塔 第 </w:t>
            </w:r>
            <w:r>
              <w:rPr>
                <w:color w:val="auto"/>
                <w:sz w:val="20"/>
                <w:highlight w:val="none"/>
              </w:rPr>
              <w:t>1</w:t>
            </w:r>
            <w:r>
              <w:rPr>
                <w:color w:val="auto"/>
                <w:spacing w:val="-10"/>
                <w:sz w:val="20"/>
                <w:highlight w:val="none"/>
              </w:rPr>
              <w:t xml:space="preserve"> 部分：中</w:t>
            </w:r>
            <w:r>
              <w:rPr>
                <w:color w:val="auto"/>
                <w:w w:val="99"/>
                <w:sz w:val="20"/>
                <w:highlight w:val="none"/>
              </w:rPr>
              <w:t>小型开式冷却塔</w:t>
            </w:r>
            <w:r>
              <w:rPr>
                <w:color w:val="auto"/>
                <w:spacing w:val="-171"/>
                <w:w w:val="99"/>
                <w:sz w:val="20"/>
                <w:highlight w:val="none"/>
              </w:rPr>
              <w:t>》</w:t>
            </w:r>
            <w:r>
              <w:rPr>
                <w:color w:val="auto"/>
                <w:spacing w:val="-1"/>
                <w:w w:val="99"/>
                <w:sz w:val="20"/>
                <w:highlight w:val="none"/>
              </w:rPr>
              <w:t>（</w:t>
            </w:r>
            <w:r>
              <w:rPr>
                <w:color w:val="auto"/>
                <w:spacing w:val="1"/>
                <w:w w:val="99"/>
                <w:sz w:val="20"/>
                <w:highlight w:val="none"/>
              </w:rPr>
              <w:t>G</w:t>
            </w:r>
            <w:r>
              <w:rPr>
                <w:color w:val="auto"/>
                <w:w w:val="99"/>
                <w:sz w:val="20"/>
                <w:highlight w:val="none"/>
              </w:rPr>
              <w:t>B</w:t>
            </w:r>
            <w:r>
              <w:rPr>
                <w:color w:val="auto"/>
                <w:sz w:val="20"/>
                <w:highlight w:val="none"/>
              </w:rPr>
              <w:t xml:space="preserve"> </w:t>
            </w:r>
            <w:r>
              <w:rPr>
                <w:color w:val="auto"/>
                <w:spacing w:val="1"/>
                <w:w w:val="99"/>
                <w:sz w:val="20"/>
                <w:highlight w:val="none"/>
              </w:rPr>
              <w:t>/</w:t>
            </w:r>
            <w:r>
              <w:rPr>
                <w:color w:val="auto"/>
                <w:w w:val="99"/>
                <w:sz w:val="20"/>
                <w:highlight w:val="none"/>
              </w:rPr>
              <w:t>T</w:t>
            </w:r>
            <w:r>
              <w:rPr>
                <w:color w:val="auto"/>
                <w:sz w:val="20"/>
                <w:highlight w:val="none"/>
              </w:rPr>
              <w:t xml:space="preserve"> </w:t>
            </w:r>
            <w:r>
              <w:rPr>
                <w:color w:val="auto"/>
                <w:w w:val="99"/>
                <w:sz w:val="20"/>
                <w:highlight w:val="none"/>
              </w:rPr>
              <w:t>7190</w:t>
            </w:r>
            <w:r>
              <w:rPr>
                <w:color w:val="auto"/>
                <w:spacing w:val="1"/>
                <w:w w:val="99"/>
                <w:sz w:val="20"/>
                <w:highlight w:val="none"/>
              </w:rPr>
              <w:t>.1</w:t>
            </w:r>
            <w:r>
              <w:rPr>
                <w:color w:val="auto"/>
                <w:spacing w:val="-87"/>
                <w:w w:val="99"/>
                <w:sz w:val="20"/>
                <w:highlight w:val="none"/>
              </w:rPr>
              <w:t>）</w:t>
            </w:r>
          </w:p>
          <w:p>
            <w:pPr>
              <w:pStyle w:val="56"/>
              <w:spacing w:line="292" w:lineRule="auto"/>
              <w:ind w:left="9" w:right="5"/>
              <w:rPr>
                <w:color w:val="auto"/>
                <w:sz w:val="20"/>
                <w:highlight w:val="none"/>
              </w:rPr>
            </w:pPr>
            <w:r>
              <w:rPr>
                <w:color w:val="auto"/>
                <w:spacing w:val="-4"/>
                <w:sz w:val="20"/>
                <w:highlight w:val="none"/>
              </w:rPr>
              <w:t xml:space="preserve">《机械通风冷却塔 第 </w:t>
            </w:r>
            <w:r>
              <w:rPr>
                <w:color w:val="auto"/>
                <w:sz w:val="20"/>
                <w:highlight w:val="none"/>
              </w:rPr>
              <w:t>2</w:t>
            </w:r>
            <w:r>
              <w:rPr>
                <w:color w:val="auto"/>
                <w:spacing w:val="-10"/>
                <w:sz w:val="20"/>
                <w:highlight w:val="none"/>
              </w:rPr>
              <w:t xml:space="preserve"> 部分：大</w:t>
            </w:r>
            <w:r>
              <w:rPr>
                <w:color w:val="auto"/>
                <w:sz w:val="20"/>
                <w:highlight w:val="none"/>
              </w:rPr>
              <w:t>型开式冷却塔》（GB /T 7190.2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574" w:type="dxa"/>
          </w:tcPr>
          <w:p>
            <w:pPr>
              <w:pStyle w:val="56"/>
              <w:spacing w:before="10"/>
              <w:rPr>
                <w:color w:val="auto"/>
                <w:sz w:val="18"/>
                <w:highlight w:val="none"/>
              </w:rPr>
            </w:pPr>
          </w:p>
          <w:p>
            <w:pPr>
              <w:pStyle w:val="56"/>
              <w:spacing w:before="1"/>
              <w:ind w:left="5"/>
              <w:jc w:val="center"/>
              <w:rPr>
                <w:color w:val="auto"/>
                <w:sz w:val="20"/>
                <w:highlight w:val="none"/>
              </w:rPr>
            </w:pPr>
            <w:r>
              <w:rPr>
                <w:color w:val="auto"/>
                <w:w w:val="99"/>
                <w:sz w:val="20"/>
                <w:highlight w:val="none"/>
              </w:rPr>
              <w:t>7</w:t>
            </w:r>
          </w:p>
        </w:tc>
        <w:tc>
          <w:tcPr>
            <w:tcW w:w="1167" w:type="dxa"/>
          </w:tcPr>
          <w:p>
            <w:pPr>
              <w:pStyle w:val="56"/>
              <w:spacing w:before="10"/>
              <w:rPr>
                <w:color w:val="auto"/>
                <w:sz w:val="18"/>
                <w:highlight w:val="none"/>
              </w:rPr>
            </w:pPr>
          </w:p>
          <w:p>
            <w:pPr>
              <w:pStyle w:val="56"/>
              <w:spacing w:before="1"/>
              <w:ind w:left="11"/>
              <w:rPr>
                <w:color w:val="auto"/>
                <w:sz w:val="20"/>
                <w:highlight w:val="none"/>
              </w:rPr>
            </w:pPr>
            <w:r>
              <w:rPr>
                <w:color w:val="auto"/>
                <w:sz w:val="20"/>
                <w:highlight w:val="none"/>
              </w:rPr>
              <w:t>A020601</w:t>
            </w:r>
            <w:r>
              <w:rPr>
                <w:color w:val="auto"/>
                <w:spacing w:val="-25"/>
                <w:sz w:val="20"/>
                <w:highlight w:val="none"/>
              </w:rPr>
              <w:t xml:space="preserve"> 电机</w:t>
            </w:r>
          </w:p>
        </w:tc>
        <w:tc>
          <w:tcPr>
            <w:tcW w:w="1801" w:type="dxa"/>
          </w:tcPr>
          <w:p>
            <w:pPr>
              <w:pStyle w:val="56"/>
              <w:rPr>
                <w:rFonts w:ascii="Times New Roman"/>
                <w:color w:val="auto"/>
                <w:sz w:val="18"/>
                <w:highlight w:val="none"/>
              </w:rPr>
            </w:pPr>
          </w:p>
        </w:tc>
        <w:tc>
          <w:tcPr>
            <w:tcW w:w="1916" w:type="dxa"/>
          </w:tcPr>
          <w:p>
            <w:pPr>
              <w:pStyle w:val="56"/>
              <w:rPr>
                <w:rFonts w:ascii="Times New Roman"/>
                <w:color w:val="auto"/>
                <w:sz w:val="18"/>
                <w:highlight w:val="none"/>
              </w:rPr>
            </w:pPr>
          </w:p>
        </w:tc>
        <w:tc>
          <w:tcPr>
            <w:tcW w:w="3281" w:type="dxa"/>
          </w:tcPr>
          <w:p>
            <w:pPr>
              <w:pStyle w:val="56"/>
              <w:spacing w:before="85" w:line="292" w:lineRule="auto"/>
              <w:ind w:left="9" w:right="3"/>
              <w:rPr>
                <w:color w:val="auto"/>
                <w:sz w:val="20"/>
                <w:highlight w:val="none"/>
              </w:rPr>
            </w:pPr>
            <w:r>
              <w:rPr>
                <w:color w:val="auto"/>
                <w:sz w:val="20"/>
                <w:highlight w:val="none"/>
              </w:rPr>
              <w:t>《中小型三相异步电动机能效限定值及能效等级》（GB 18613）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574" w:type="dxa"/>
          </w:tcPr>
          <w:p>
            <w:pPr>
              <w:pStyle w:val="56"/>
              <w:spacing w:before="1"/>
              <w:rPr>
                <w:color w:val="auto"/>
                <w:sz w:val="17"/>
                <w:highlight w:val="none"/>
              </w:rPr>
            </w:pPr>
          </w:p>
          <w:p>
            <w:pPr>
              <w:pStyle w:val="56"/>
              <w:spacing w:before="1"/>
              <w:ind w:left="5"/>
              <w:jc w:val="center"/>
              <w:rPr>
                <w:color w:val="auto"/>
                <w:sz w:val="20"/>
                <w:highlight w:val="none"/>
              </w:rPr>
            </w:pPr>
            <w:r>
              <w:rPr>
                <w:color w:val="auto"/>
                <w:w w:val="99"/>
                <w:sz w:val="20"/>
                <w:highlight w:val="none"/>
              </w:rPr>
              <w:t>8</w:t>
            </w:r>
          </w:p>
        </w:tc>
        <w:tc>
          <w:tcPr>
            <w:tcW w:w="1167" w:type="dxa"/>
          </w:tcPr>
          <w:p>
            <w:pPr>
              <w:pStyle w:val="56"/>
              <w:spacing w:before="64"/>
              <w:ind w:left="11"/>
              <w:rPr>
                <w:color w:val="auto"/>
                <w:sz w:val="20"/>
                <w:highlight w:val="none"/>
              </w:rPr>
            </w:pPr>
            <w:r>
              <w:rPr>
                <w:color w:val="auto"/>
                <w:sz w:val="20"/>
                <w:highlight w:val="none"/>
              </w:rPr>
              <w:t>A020602</w:t>
            </w:r>
            <w:r>
              <w:rPr>
                <w:color w:val="auto"/>
                <w:spacing w:val="-25"/>
                <w:sz w:val="20"/>
                <w:highlight w:val="none"/>
              </w:rPr>
              <w:t xml:space="preserve"> 变压</w:t>
            </w:r>
          </w:p>
          <w:p>
            <w:pPr>
              <w:pStyle w:val="56"/>
              <w:spacing w:before="55"/>
              <w:ind w:left="11"/>
              <w:rPr>
                <w:color w:val="auto"/>
                <w:sz w:val="20"/>
                <w:highlight w:val="none"/>
              </w:rPr>
            </w:pPr>
            <w:r>
              <w:rPr>
                <w:color w:val="auto"/>
                <w:w w:val="99"/>
                <w:sz w:val="20"/>
                <w:highlight w:val="none"/>
              </w:rPr>
              <w:t>器</w:t>
            </w:r>
          </w:p>
        </w:tc>
        <w:tc>
          <w:tcPr>
            <w:tcW w:w="1801" w:type="dxa"/>
          </w:tcPr>
          <w:p>
            <w:pPr>
              <w:pStyle w:val="56"/>
              <w:spacing w:before="1"/>
              <w:rPr>
                <w:color w:val="auto"/>
                <w:sz w:val="17"/>
                <w:highlight w:val="none"/>
              </w:rPr>
            </w:pPr>
          </w:p>
          <w:p>
            <w:pPr>
              <w:pStyle w:val="56"/>
              <w:spacing w:before="1"/>
              <w:ind w:left="10"/>
              <w:rPr>
                <w:color w:val="auto"/>
                <w:sz w:val="20"/>
                <w:highlight w:val="none"/>
              </w:rPr>
            </w:pPr>
            <w:r>
              <w:rPr>
                <w:color w:val="auto"/>
                <w:sz w:val="20"/>
                <w:highlight w:val="none"/>
              </w:rPr>
              <w:t>配电变压器</w:t>
            </w:r>
          </w:p>
        </w:tc>
        <w:tc>
          <w:tcPr>
            <w:tcW w:w="1916" w:type="dxa"/>
          </w:tcPr>
          <w:p>
            <w:pPr>
              <w:pStyle w:val="56"/>
              <w:rPr>
                <w:rFonts w:ascii="Times New Roman"/>
                <w:color w:val="auto"/>
                <w:sz w:val="18"/>
                <w:highlight w:val="none"/>
              </w:rPr>
            </w:pPr>
          </w:p>
        </w:tc>
        <w:tc>
          <w:tcPr>
            <w:tcW w:w="3281" w:type="dxa"/>
          </w:tcPr>
          <w:p>
            <w:pPr>
              <w:pStyle w:val="56"/>
              <w:spacing w:before="10" w:line="310" w:lineRule="atLeast"/>
              <w:ind w:left="9" w:right="3"/>
              <w:rPr>
                <w:color w:val="auto"/>
                <w:sz w:val="20"/>
                <w:highlight w:val="none"/>
              </w:rPr>
            </w:pPr>
            <w:r>
              <w:rPr>
                <w:color w:val="auto"/>
                <w:sz w:val="20"/>
                <w:highlight w:val="none"/>
              </w:rPr>
              <w:t>《三相配电变压器能效限定值及能效等级》（GB 20052）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574" w:type="dxa"/>
          </w:tcPr>
          <w:p>
            <w:pPr>
              <w:pStyle w:val="56"/>
              <w:spacing w:before="8"/>
              <w:rPr>
                <w:color w:val="auto"/>
                <w:sz w:val="24"/>
                <w:highlight w:val="none"/>
              </w:rPr>
            </w:pPr>
          </w:p>
          <w:p>
            <w:pPr>
              <w:pStyle w:val="56"/>
              <w:ind w:left="5"/>
              <w:jc w:val="center"/>
              <w:rPr>
                <w:color w:val="auto"/>
                <w:sz w:val="20"/>
                <w:highlight w:val="none"/>
              </w:rPr>
            </w:pPr>
            <w:r>
              <w:rPr>
                <w:color w:val="auto"/>
                <w:w w:val="99"/>
                <w:sz w:val="20"/>
                <w:highlight w:val="none"/>
              </w:rPr>
              <w:t>9</w:t>
            </w:r>
          </w:p>
        </w:tc>
        <w:tc>
          <w:tcPr>
            <w:tcW w:w="1167" w:type="dxa"/>
          </w:tcPr>
          <w:p>
            <w:pPr>
              <w:pStyle w:val="56"/>
              <w:spacing w:before="160"/>
              <w:ind w:left="11"/>
              <w:rPr>
                <w:color w:val="auto"/>
                <w:sz w:val="20"/>
                <w:highlight w:val="none"/>
              </w:rPr>
            </w:pPr>
            <w:r>
              <w:rPr>
                <w:rFonts w:hint="eastAsia"/>
                <w:color w:val="auto"/>
                <w:sz w:val="20"/>
                <w:highlight w:val="none"/>
                <w:lang w:eastAsia="zh-CN"/>
              </w:rPr>
              <w:t>▼</w:t>
            </w:r>
            <w:r>
              <w:rPr>
                <w:color w:val="auto"/>
                <w:sz w:val="20"/>
                <w:highlight w:val="none"/>
              </w:rPr>
              <w:t>A020609</w:t>
            </w:r>
            <w:r>
              <w:rPr>
                <w:color w:val="auto"/>
                <w:spacing w:val="-37"/>
                <w:sz w:val="20"/>
                <w:highlight w:val="none"/>
              </w:rPr>
              <w:t xml:space="preserve"> 镇</w:t>
            </w:r>
          </w:p>
          <w:p>
            <w:pPr>
              <w:pStyle w:val="56"/>
              <w:spacing w:before="55"/>
              <w:ind w:left="11"/>
              <w:rPr>
                <w:color w:val="auto"/>
                <w:sz w:val="20"/>
                <w:highlight w:val="none"/>
              </w:rPr>
            </w:pPr>
            <w:r>
              <w:rPr>
                <w:color w:val="auto"/>
                <w:sz w:val="20"/>
                <w:highlight w:val="none"/>
              </w:rPr>
              <w:t>流器</w:t>
            </w:r>
          </w:p>
        </w:tc>
        <w:tc>
          <w:tcPr>
            <w:tcW w:w="1801" w:type="dxa"/>
          </w:tcPr>
          <w:p>
            <w:pPr>
              <w:pStyle w:val="56"/>
              <w:spacing w:before="8"/>
              <w:rPr>
                <w:color w:val="auto"/>
                <w:sz w:val="24"/>
                <w:highlight w:val="none"/>
              </w:rPr>
            </w:pPr>
          </w:p>
          <w:p>
            <w:pPr>
              <w:pStyle w:val="56"/>
              <w:ind w:left="10"/>
              <w:rPr>
                <w:color w:val="auto"/>
                <w:sz w:val="20"/>
                <w:highlight w:val="none"/>
              </w:rPr>
            </w:pPr>
            <w:r>
              <w:rPr>
                <w:color w:val="auto"/>
                <w:sz w:val="20"/>
                <w:highlight w:val="none"/>
              </w:rPr>
              <w:t>管型荧光灯镇流器</w:t>
            </w:r>
          </w:p>
        </w:tc>
        <w:tc>
          <w:tcPr>
            <w:tcW w:w="1916" w:type="dxa"/>
          </w:tcPr>
          <w:p>
            <w:pPr>
              <w:pStyle w:val="56"/>
              <w:rPr>
                <w:rFonts w:ascii="Times New Roman"/>
                <w:color w:val="auto"/>
                <w:sz w:val="18"/>
                <w:highlight w:val="none"/>
              </w:rPr>
            </w:pPr>
          </w:p>
        </w:tc>
        <w:tc>
          <w:tcPr>
            <w:tcW w:w="3281" w:type="dxa"/>
          </w:tcPr>
          <w:p>
            <w:pPr>
              <w:pStyle w:val="56"/>
              <w:spacing w:before="160" w:line="292" w:lineRule="auto"/>
              <w:ind w:left="9" w:right="3"/>
              <w:rPr>
                <w:color w:val="auto"/>
                <w:sz w:val="20"/>
                <w:highlight w:val="none"/>
              </w:rPr>
            </w:pPr>
            <w:r>
              <w:rPr>
                <w:color w:val="auto"/>
                <w:sz w:val="20"/>
                <w:highlight w:val="none"/>
              </w:rPr>
              <w:t>《管形荧光灯镇流器能效限定值及能效等级》（GB 17896）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574" w:type="dxa"/>
            <w:vMerge w:val="restart"/>
          </w:tcPr>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spacing w:before="2"/>
              <w:rPr>
                <w:color w:val="auto"/>
                <w:sz w:val="25"/>
                <w:highlight w:val="none"/>
              </w:rPr>
            </w:pPr>
          </w:p>
          <w:p>
            <w:pPr>
              <w:pStyle w:val="56"/>
              <w:ind w:left="187"/>
              <w:rPr>
                <w:color w:val="auto"/>
                <w:sz w:val="20"/>
                <w:highlight w:val="none"/>
              </w:rPr>
            </w:pPr>
            <w:r>
              <w:rPr>
                <w:color w:val="auto"/>
                <w:sz w:val="20"/>
                <w:highlight w:val="none"/>
              </w:rPr>
              <w:t>10</w:t>
            </w:r>
          </w:p>
        </w:tc>
        <w:tc>
          <w:tcPr>
            <w:tcW w:w="1167" w:type="dxa"/>
            <w:vMerge w:val="restart"/>
          </w:tcPr>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spacing w:before="167"/>
              <w:ind w:left="11"/>
              <w:rPr>
                <w:color w:val="auto"/>
                <w:sz w:val="20"/>
                <w:highlight w:val="none"/>
              </w:rPr>
            </w:pPr>
            <w:r>
              <w:rPr>
                <w:color w:val="auto"/>
                <w:sz w:val="20"/>
                <w:highlight w:val="none"/>
              </w:rPr>
              <w:t>A020618</w:t>
            </w:r>
            <w:r>
              <w:rPr>
                <w:color w:val="auto"/>
                <w:spacing w:val="-25"/>
                <w:sz w:val="20"/>
                <w:highlight w:val="none"/>
              </w:rPr>
              <w:t xml:space="preserve"> 生活</w:t>
            </w:r>
          </w:p>
          <w:p>
            <w:pPr>
              <w:pStyle w:val="56"/>
              <w:spacing w:before="56"/>
              <w:ind w:left="11"/>
              <w:rPr>
                <w:color w:val="auto"/>
                <w:sz w:val="20"/>
                <w:highlight w:val="none"/>
              </w:rPr>
            </w:pPr>
            <w:r>
              <w:rPr>
                <w:color w:val="auto"/>
                <w:sz w:val="20"/>
                <w:highlight w:val="none"/>
              </w:rPr>
              <w:t>用电器</w:t>
            </w:r>
          </w:p>
        </w:tc>
        <w:tc>
          <w:tcPr>
            <w:tcW w:w="1801" w:type="dxa"/>
          </w:tcPr>
          <w:p>
            <w:pPr>
              <w:pStyle w:val="56"/>
              <w:rPr>
                <w:color w:val="auto"/>
                <w:sz w:val="19"/>
                <w:highlight w:val="none"/>
              </w:rPr>
            </w:pPr>
          </w:p>
          <w:p>
            <w:pPr>
              <w:pStyle w:val="56"/>
              <w:ind w:left="10"/>
              <w:rPr>
                <w:color w:val="auto"/>
                <w:sz w:val="20"/>
                <w:highlight w:val="none"/>
              </w:rPr>
            </w:pPr>
            <w:r>
              <w:rPr>
                <w:color w:val="auto"/>
                <w:sz w:val="20"/>
                <w:highlight w:val="none"/>
              </w:rPr>
              <w:t>A0206180101</w:t>
            </w:r>
            <w:r>
              <w:rPr>
                <w:color w:val="auto"/>
                <w:spacing w:val="-14"/>
                <w:sz w:val="20"/>
                <w:highlight w:val="none"/>
              </w:rPr>
              <w:t xml:space="preserve"> 电冰箱</w:t>
            </w:r>
          </w:p>
        </w:tc>
        <w:tc>
          <w:tcPr>
            <w:tcW w:w="1916" w:type="dxa"/>
          </w:tcPr>
          <w:p>
            <w:pPr>
              <w:pStyle w:val="56"/>
              <w:rPr>
                <w:rFonts w:ascii="Times New Roman"/>
                <w:color w:val="auto"/>
                <w:sz w:val="18"/>
                <w:highlight w:val="none"/>
              </w:rPr>
            </w:pPr>
          </w:p>
        </w:tc>
        <w:tc>
          <w:tcPr>
            <w:tcW w:w="3281" w:type="dxa"/>
          </w:tcPr>
          <w:p>
            <w:pPr>
              <w:pStyle w:val="56"/>
              <w:tabs>
                <w:tab w:val="left" w:pos="1410"/>
              </w:tabs>
              <w:spacing w:before="87" w:line="292" w:lineRule="auto"/>
              <w:ind w:left="9" w:right="3"/>
              <w:rPr>
                <w:color w:val="auto"/>
                <w:sz w:val="20"/>
                <w:highlight w:val="none"/>
              </w:rPr>
            </w:pPr>
            <w:r>
              <w:rPr>
                <w:color w:val="auto"/>
                <w:spacing w:val="12"/>
                <w:sz w:val="20"/>
                <w:highlight w:val="none"/>
              </w:rPr>
              <w:t>《家用电冰箱耗电量限</w:t>
            </w:r>
            <w:r>
              <w:rPr>
                <w:color w:val="auto"/>
                <w:spacing w:val="9"/>
                <w:sz w:val="20"/>
                <w:highlight w:val="none"/>
              </w:rPr>
              <w:t>定</w:t>
            </w:r>
            <w:r>
              <w:rPr>
                <w:color w:val="auto"/>
                <w:spacing w:val="12"/>
                <w:sz w:val="20"/>
                <w:highlight w:val="none"/>
              </w:rPr>
              <w:t>值及</w:t>
            </w:r>
            <w:r>
              <w:rPr>
                <w:color w:val="auto"/>
                <w:spacing w:val="-17"/>
                <w:sz w:val="20"/>
                <w:highlight w:val="none"/>
              </w:rPr>
              <w:t>能</w:t>
            </w:r>
            <w:r>
              <w:rPr>
                <w:color w:val="auto"/>
                <w:sz w:val="20"/>
                <w:highlight w:val="none"/>
              </w:rPr>
              <w:t>效等级》（GB</w:t>
            </w:r>
            <w:r>
              <w:rPr>
                <w:color w:val="auto"/>
                <w:sz w:val="20"/>
                <w:highlight w:val="none"/>
              </w:rPr>
              <w:tab/>
            </w:r>
            <w:r>
              <w:rPr>
                <w:color w:val="auto"/>
                <w:sz w:val="20"/>
                <w:highlight w:val="none"/>
              </w:rPr>
              <w:t>12021.2）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3"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vMerge w:val="restart"/>
          </w:tcPr>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spacing w:before="6"/>
              <w:rPr>
                <w:color w:val="auto"/>
                <w:sz w:val="18"/>
                <w:highlight w:val="none"/>
              </w:rPr>
            </w:pPr>
          </w:p>
          <w:p>
            <w:pPr>
              <w:pStyle w:val="56"/>
              <w:spacing w:before="1"/>
              <w:ind w:left="10"/>
              <w:rPr>
                <w:color w:val="auto"/>
                <w:sz w:val="20"/>
                <w:highlight w:val="none"/>
              </w:rPr>
            </w:pPr>
            <w:r>
              <w:rPr>
                <w:rFonts w:hint="eastAsia"/>
                <w:color w:val="auto"/>
                <w:sz w:val="20"/>
                <w:highlight w:val="none"/>
                <w:lang w:eastAsia="zh-CN"/>
              </w:rPr>
              <w:t>▼</w:t>
            </w:r>
            <w:r>
              <w:rPr>
                <w:color w:val="auto"/>
                <w:sz w:val="20"/>
                <w:highlight w:val="none"/>
              </w:rPr>
              <w:t>A0206180203</w:t>
            </w:r>
            <w:r>
              <w:rPr>
                <w:color w:val="auto"/>
                <w:spacing w:val="-14"/>
                <w:sz w:val="20"/>
                <w:highlight w:val="none"/>
              </w:rPr>
              <w:t xml:space="preserve"> 空调</w:t>
            </w:r>
          </w:p>
          <w:p>
            <w:pPr>
              <w:pStyle w:val="56"/>
              <w:spacing w:before="55"/>
              <w:ind w:left="10"/>
              <w:rPr>
                <w:color w:val="auto"/>
                <w:sz w:val="20"/>
                <w:highlight w:val="none"/>
              </w:rPr>
            </w:pPr>
            <w:r>
              <w:rPr>
                <w:color w:val="auto"/>
                <w:w w:val="99"/>
                <w:sz w:val="20"/>
                <w:highlight w:val="none"/>
              </w:rPr>
              <w:t>机</w:t>
            </w:r>
          </w:p>
        </w:tc>
        <w:tc>
          <w:tcPr>
            <w:tcW w:w="1916" w:type="dxa"/>
          </w:tcPr>
          <w:p>
            <w:pPr>
              <w:pStyle w:val="56"/>
              <w:rPr>
                <w:color w:val="auto"/>
                <w:sz w:val="20"/>
                <w:highlight w:val="none"/>
              </w:rPr>
            </w:pPr>
          </w:p>
          <w:p>
            <w:pPr>
              <w:pStyle w:val="56"/>
              <w:rPr>
                <w:color w:val="auto"/>
                <w:sz w:val="20"/>
                <w:highlight w:val="none"/>
              </w:rPr>
            </w:pPr>
          </w:p>
          <w:p>
            <w:pPr>
              <w:pStyle w:val="56"/>
              <w:spacing w:before="10"/>
              <w:rPr>
                <w:color w:val="auto"/>
                <w:sz w:val="23"/>
                <w:highlight w:val="none"/>
              </w:rPr>
            </w:pPr>
          </w:p>
          <w:p>
            <w:pPr>
              <w:pStyle w:val="56"/>
              <w:ind w:left="9"/>
              <w:rPr>
                <w:color w:val="auto"/>
                <w:sz w:val="20"/>
                <w:highlight w:val="none"/>
              </w:rPr>
            </w:pPr>
            <w:r>
              <w:rPr>
                <w:color w:val="auto"/>
                <w:sz w:val="20"/>
                <w:highlight w:val="none"/>
              </w:rPr>
              <w:t>房间空气调节器</w:t>
            </w:r>
          </w:p>
        </w:tc>
        <w:tc>
          <w:tcPr>
            <w:tcW w:w="3281" w:type="dxa"/>
          </w:tcPr>
          <w:p>
            <w:pPr>
              <w:pStyle w:val="56"/>
              <w:spacing w:before="37" w:line="292" w:lineRule="auto"/>
              <w:ind w:left="9" w:right="2"/>
              <w:jc w:val="both"/>
              <w:rPr>
                <w:color w:val="auto"/>
                <w:sz w:val="20"/>
                <w:highlight w:val="none"/>
              </w:rPr>
            </w:pPr>
            <w:r>
              <w:rPr>
                <w:color w:val="auto"/>
                <w:spacing w:val="9"/>
                <w:sz w:val="20"/>
                <w:highlight w:val="none"/>
              </w:rPr>
              <w:t>《转速可控型房间空气调节器能</w:t>
            </w:r>
            <w:r>
              <w:rPr>
                <w:color w:val="auto"/>
                <w:spacing w:val="-27"/>
                <w:sz w:val="20"/>
                <w:highlight w:val="none"/>
              </w:rPr>
              <w:t xml:space="preserve">效 限 定 值 及 能 效 等 级》 </w:t>
            </w:r>
            <w:r>
              <w:rPr>
                <w:color w:val="auto"/>
                <w:sz w:val="20"/>
                <w:highlight w:val="none"/>
              </w:rPr>
              <w:t>（</w:t>
            </w:r>
            <w:r>
              <w:rPr>
                <w:color w:val="auto"/>
                <w:spacing w:val="-51"/>
                <w:sz w:val="20"/>
                <w:highlight w:val="none"/>
              </w:rPr>
              <w:t xml:space="preserve"> </w:t>
            </w:r>
            <w:r>
              <w:rPr>
                <w:color w:val="auto"/>
                <w:spacing w:val="-7"/>
                <w:sz w:val="20"/>
                <w:highlight w:val="none"/>
              </w:rPr>
              <w:t xml:space="preserve">GB </w:t>
            </w:r>
            <w:r>
              <w:rPr>
                <w:color w:val="auto"/>
                <w:sz w:val="20"/>
                <w:highlight w:val="none"/>
              </w:rPr>
              <w:t>21455-2013），</w:t>
            </w:r>
            <w:r>
              <w:rPr>
                <w:color w:val="auto"/>
                <w:spacing w:val="-16"/>
                <w:sz w:val="20"/>
                <w:highlight w:val="none"/>
              </w:rPr>
              <w:t xml:space="preserve">待 </w:t>
            </w:r>
            <w:r>
              <w:rPr>
                <w:color w:val="auto"/>
                <w:sz w:val="20"/>
                <w:highlight w:val="none"/>
              </w:rPr>
              <w:t>2019</w:t>
            </w:r>
            <w:r>
              <w:rPr>
                <w:color w:val="auto"/>
                <w:spacing w:val="-10"/>
                <w:sz w:val="20"/>
                <w:highlight w:val="none"/>
              </w:rPr>
              <w:t xml:space="preserve"> 年修订发</w:t>
            </w:r>
            <w:r>
              <w:rPr>
                <w:color w:val="auto"/>
                <w:spacing w:val="-9"/>
                <w:sz w:val="20"/>
                <w:highlight w:val="none"/>
              </w:rPr>
              <w:t>布后，按《房间空气调节器能效限</w:t>
            </w:r>
            <w:r>
              <w:rPr>
                <w:color w:val="auto"/>
                <w:sz w:val="20"/>
                <w:highlight w:val="none"/>
              </w:rPr>
              <w:t>定值及能效等级</w:t>
            </w:r>
            <w:r>
              <w:rPr>
                <w:color w:val="auto"/>
                <w:spacing w:val="-156"/>
                <w:sz w:val="20"/>
                <w:highlight w:val="none"/>
              </w:rPr>
              <w:t>》</w:t>
            </w:r>
            <w:r>
              <w:rPr>
                <w:color w:val="auto"/>
                <w:sz w:val="20"/>
                <w:highlight w:val="none"/>
              </w:rPr>
              <w:t>（GB21455-2019</w:t>
            </w:r>
          </w:p>
          <w:p>
            <w:pPr>
              <w:pStyle w:val="56"/>
              <w:spacing w:line="253" w:lineRule="exact"/>
              <w:ind w:left="9"/>
              <w:rPr>
                <w:color w:val="auto"/>
                <w:sz w:val="20"/>
                <w:highlight w:val="none"/>
              </w:rPr>
            </w:pPr>
            <w:r>
              <w:rPr>
                <w:color w:val="auto"/>
                <w:sz w:val="20"/>
                <w:highlight w:val="none"/>
              </w:rPr>
              <w:t>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vMerge w:val="continue"/>
            <w:tcBorders>
              <w:top w:val="nil"/>
            </w:tcBorders>
          </w:tcPr>
          <w:p>
            <w:pPr>
              <w:rPr>
                <w:color w:val="auto"/>
                <w:sz w:val="2"/>
                <w:szCs w:val="2"/>
                <w:highlight w:val="none"/>
              </w:rPr>
            </w:pPr>
          </w:p>
        </w:tc>
        <w:tc>
          <w:tcPr>
            <w:tcW w:w="1916" w:type="dxa"/>
          </w:tcPr>
          <w:p>
            <w:pPr>
              <w:pStyle w:val="56"/>
              <w:spacing w:before="37"/>
              <w:ind w:left="9"/>
              <w:rPr>
                <w:color w:val="auto"/>
                <w:sz w:val="20"/>
                <w:highlight w:val="none"/>
              </w:rPr>
            </w:pPr>
            <w:r>
              <w:rPr>
                <w:color w:val="auto"/>
                <w:w w:val="95"/>
                <w:sz w:val="20"/>
                <w:highlight w:val="none"/>
              </w:rPr>
              <w:t>多联式空调（热泵）</w:t>
            </w:r>
          </w:p>
          <w:p>
            <w:pPr>
              <w:pStyle w:val="56"/>
              <w:spacing w:before="2" w:line="310" w:lineRule="atLeast"/>
              <w:ind w:left="9"/>
              <w:rPr>
                <w:color w:val="auto"/>
                <w:sz w:val="20"/>
                <w:highlight w:val="none"/>
              </w:rPr>
            </w:pPr>
            <w:r>
              <w:rPr>
                <w:color w:val="auto"/>
                <w:spacing w:val="-11"/>
                <w:sz w:val="20"/>
                <w:highlight w:val="none"/>
              </w:rPr>
              <w:t xml:space="preserve">机 组 </w:t>
            </w:r>
            <w:r>
              <w:rPr>
                <w:color w:val="auto"/>
                <w:sz w:val="20"/>
                <w:highlight w:val="none"/>
              </w:rPr>
              <w:t>（</w:t>
            </w:r>
            <w:r>
              <w:rPr>
                <w:color w:val="auto"/>
                <w:spacing w:val="-13"/>
                <w:sz w:val="20"/>
                <w:highlight w:val="none"/>
              </w:rPr>
              <w:t xml:space="preserve"> 制 冷 量 ≤ </w:t>
            </w:r>
            <w:r>
              <w:rPr>
                <w:color w:val="auto"/>
                <w:sz w:val="20"/>
                <w:highlight w:val="none"/>
              </w:rPr>
              <w:t>14000W）</w:t>
            </w:r>
          </w:p>
        </w:tc>
        <w:tc>
          <w:tcPr>
            <w:tcW w:w="3281" w:type="dxa"/>
          </w:tcPr>
          <w:p>
            <w:pPr>
              <w:pStyle w:val="56"/>
              <w:spacing w:before="1"/>
              <w:rPr>
                <w:color w:val="auto"/>
                <w:sz w:val="15"/>
                <w:highlight w:val="none"/>
              </w:rPr>
            </w:pPr>
          </w:p>
          <w:p>
            <w:pPr>
              <w:pStyle w:val="56"/>
              <w:spacing w:line="292" w:lineRule="auto"/>
              <w:ind w:left="9" w:right="5"/>
              <w:rPr>
                <w:color w:val="auto"/>
                <w:sz w:val="20"/>
                <w:highlight w:val="none"/>
              </w:rPr>
            </w:pPr>
            <w:r>
              <w:rPr>
                <w:color w:val="auto"/>
                <w:spacing w:val="-5"/>
                <w:sz w:val="20"/>
                <w:highlight w:val="none"/>
              </w:rPr>
              <w:t>《多联式空调</w:t>
            </w:r>
            <w:r>
              <w:rPr>
                <w:color w:val="auto"/>
                <w:sz w:val="20"/>
                <w:highlight w:val="none"/>
              </w:rPr>
              <w:t>（热泵</w:t>
            </w:r>
            <w:r>
              <w:rPr>
                <w:color w:val="auto"/>
                <w:spacing w:val="-29"/>
                <w:sz w:val="20"/>
                <w:highlight w:val="none"/>
              </w:rPr>
              <w:t>）</w:t>
            </w:r>
            <w:r>
              <w:rPr>
                <w:color w:val="auto"/>
                <w:spacing w:val="-3"/>
                <w:sz w:val="20"/>
                <w:highlight w:val="none"/>
              </w:rPr>
              <w:t>机组能效限</w:t>
            </w:r>
            <w:r>
              <w:rPr>
                <w:color w:val="auto"/>
                <w:spacing w:val="-11"/>
                <w:sz w:val="20"/>
                <w:highlight w:val="none"/>
              </w:rPr>
              <w:t>定值及能源效率等级》</w:t>
            </w:r>
            <w:r>
              <w:rPr>
                <w:color w:val="auto"/>
                <w:sz w:val="20"/>
                <w:highlight w:val="none"/>
              </w:rPr>
              <w:t>（GB 21454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vMerge w:val="continue"/>
            <w:tcBorders>
              <w:top w:val="nil"/>
            </w:tcBorders>
          </w:tcPr>
          <w:p>
            <w:pPr>
              <w:rPr>
                <w:color w:val="auto"/>
                <w:sz w:val="2"/>
                <w:szCs w:val="2"/>
                <w:highlight w:val="none"/>
              </w:rPr>
            </w:pPr>
          </w:p>
        </w:tc>
        <w:tc>
          <w:tcPr>
            <w:tcW w:w="1916" w:type="dxa"/>
          </w:tcPr>
          <w:p>
            <w:pPr>
              <w:pStyle w:val="56"/>
              <w:spacing w:before="3"/>
              <w:rPr>
                <w:color w:val="auto"/>
                <w:sz w:val="27"/>
                <w:highlight w:val="none"/>
              </w:rPr>
            </w:pPr>
          </w:p>
          <w:p>
            <w:pPr>
              <w:pStyle w:val="56"/>
              <w:spacing w:line="292" w:lineRule="auto"/>
              <w:ind w:left="9" w:right="5"/>
              <w:rPr>
                <w:color w:val="auto"/>
                <w:sz w:val="20"/>
                <w:highlight w:val="none"/>
              </w:rPr>
            </w:pPr>
            <w:r>
              <w:rPr>
                <w:color w:val="auto"/>
                <w:sz w:val="20"/>
                <w:highlight w:val="none"/>
              </w:rPr>
              <w:t>单元式空气调节机(制冷量≤14000W)</w:t>
            </w:r>
          </w:p>
        </w:tc>
        <w:tc>
          <w:tcPr>
            <w:tcW w:w="3281" w:type="dxa"/>
          </w:tcPr>
          <w:p>
            <w:pPr>
              <w:pStyle w:val="56"/>
              <w:spacing w:before="37" w:line="292" w:lineRule="auto"/>
              <w:ind w:left="9" w:right="3"/>
              <w:jc w:val="both"/>
              <w:rPr>
                <w:color w:val="auto"/>
                <w:sz w:val="20"/>
                <w:highlight w:val="none"/>
              </w:rPr>
            </w:pPr>
            <w:r>
              <w:rPr>
                <w:color w:val="auto"/>
                <w:spacing w:val="9"/>
                <w:sz w:val="20"/>
                <w:highlight w:val="none"/>
              </w:rPr>
              <w:t>《单元式空气调节机能效限定值</w:t>
            </w:r>
            <w:r>
              <w:rPr>
                <w:color w:val="auto"/>
                <w:spacing w:val="-13"/>
                <w:w w:val="99"/>
                <w:sz w:val="20"/>
                <w:highlight w:val="none"/>
              </w:rPr>
              <w:t>及能源效率等级》</w:t>
            </w:r>
            <w:r>
              <w:rPr>
                <w:color w:val="auto"/>
                <w:w w:val="99"/>
                <w:sz w:val="20"/>
                <w:highlight w:val="none"/>
              </w:rPr>
              <w:t>（</w:t>
            </w:r>
            <w:r>
              <w:rPr>
                <w:color w:val="auto"/>
                <w:spacing w:val="1"/>
                <w:w w:val="99"/>
                <w:sz w:val="20"/>
                <w:highlight w:val="none"/>
              </w:rPr>
              <w:t>G</w:t>
            </w:r>
            <w:r>
              <w:rPr>
                <w:color w:val="auto"/>
                <w:w w:val="99"/>
                <w:sz w:val="20"/>
                <w:highlight w:val="none"/>
              </w:rPr>
              <w:t>B</w:t>
            </w:r>
            <w:r>
              <w:rPr>
                <w:color w:val="auto"/>
                <w:spacing w:val="-49"/>
                <w:sz w:val="20"/>
                <w:highlight w:val="none"/>
              </w:rPr>
              <w:t xml:space="preserve"> </w:t>
            </w:r>
            <w:r>
              <w:rPr>
                <w:color w:val="auto"/>
                <w:spacing w:val="1"/>
                <w:w w:val="99"/>
                <w:sz w:val="20"/>
                <w:highlight w:val="none"/>
              </w:rPr>
              <w:t>195</w:t>
            </w:r>
            <w:r>
              <w:rPr>
                <w:color w:val="auto"/>
                <w:w w:val="99"/>
                <w:sz w:val="20"/>
                <w:highlight w:val="none"/>
              </w:rPr>
              <w:t>7</w:t>
            </w:r>
            <w:r>
              <w:rPr>
                <w:color w:val="auto"/>
                <w:spacing w:val="-3"/>
                <w:w w:val="99"/>
                <w:sz w:val="20"/>
                <w:highlight w:val="none"/>
              </w:rPr>
              <w:t>6</w:t>
            </w:r>
            <w:r>
              <w:rPr>
                <w:color w:val="auto"/>
                <w:spacing w:val="-104"/>
                <w:w w:val="99"/>
                <w:sz w:val="20"/>
                <w:highlight w:val="none"/>
              </w:rPr>
              <w:t>）</w:t>
            </w:r>
            <w:r>
              <w:rPr>
                <w:color w:val="auto"/>
                <w:spacing w:val="-6"/>
                <w:w w:val="99"/>
                <w:sz w:val="20"/>
                <w:highlight w:val="none"/>
              </w:rPr>
              <w:t>《风</w:t>
            </w:r>
            <w:r>
              <w:rPr>
                <w:color w:val="auto"/>
                <w:spacing w:val="9"/>
                <w:sz w:val="20"/>
                <w:highlight w:val="none"/>
              </w:rPr>
              <w:t>管送风式空调机组能效限定值及</w:t>
            </w:r>
          </w:p>
          <w:p>
            <w:pPr>
              <w:pStyle w:val="56"/>
              <w:spacing w:line="254" w:lineRule="exact"/>
              <w:ind w:left="9"/>
              <w:jc w:val="both"/>
              <w:rPr>
                <w:color w:val="auto"/>
                <w:sz w:val="20"/>
                <w:highlight w:val="none"/>
              </w:rPr>
            </w:pPr>
            <w:r>
              <w:rPr>
                <w:color w:val="auto"/>
                <w:sz w:val="20"/>
                <w:highlight w:val="none"/>
              </w:rPr>
              <w:t>能效等级》（GB 37479）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tcPr>
          <w:p>
            <w:pPr>
              <w:pStyle w:val="56"/>
              <w:spacing w:before="3"/>
              <w:rPr>
                <w:color w:val="auto"/>
                <w:sz w:val="15"/>
                <w:highlight w:val="none"/>
              </w:rPr>
            </w:pPr>
          </w:p>
          <w:p>
            <w:pPr>
              <w:pStyle w:val="56"/>
              <w:ind w:left="10"/>
              <w:rPr>
                <w:color w:val="auto"/>
                <w:sz w:val="20"/>
                <w:highlight w:val="none"/>
              </w:rPr>
            </w:pPr>
            <w:r>
              <w:rPr>
                <w:color w:val="auto"/>
                <w:sz w:val="20"/>
                <w:highlight w:val="none"/>
              </w:rPr>
              <w:t>A0206180301</w:t>
            </w:r>
            <w:r>
              <w:rPr>
                <w:color w:val="auto"/>
                <w:spacing w:val="-14"/>
                <w:sz w:val="20"/>
                <w:highlight w:val="none"/>
              </w:rPr>
              <w:t xml:space="preserve"> 洗衣机</w:t>
            </w:r>
          </w:p>
        </w:tc>
        <w:tc>
          <w:tcPr>
            <w:tcW w:w="1916" w:type="dxa"/>
          </w:tcPr>
          <w:p>
            <w:pPr>
              <w:pStyle w:val="56"/>
              <w:rPr>
                <w:rFonts w:ascii="Times New Roman"/>
                <w:color w:val="auto"/>
                <w:sz w:val="18"/>
                <w:highlight w:val="none"/>
              </w:rPr>
            </w:pPr>
          </w:p>
        </w:tc>
        <w:tc>
          <w:tcPr>
            <w:tcW w:w="3281" w:type="dxa"/>
          </w:tcPr>
          <w:p>
            <w:pPr>
              <w:pStyle w:val="56"/>
              <w:spacing w:before="39"/>
              <w:ind w:left="9"/>
              <w:rPr>
                <w:color w:val="auto"/>
                <w:sz w:val="20"/>
                <w:highlight w:val="none"/>
              </w:rPr>
            </w:pPr>
            <w:r>
              <w:rPr>
                <w:color w:val="auto"/>
                <w:sz w:val="20"/>
                <w:highlight w:val="none"/>
              </w:rPr>
              <w:t>《电动洗衣机能效水效限定值及</w:t>
            </w:r>
          </w:p>
          <w:p>
            <w:pPr>
              <w:pStyle w:val="56"/>
              <w:spacing w:before="56"/>
              <w:ind w:left="9"/>
              <w:rPr>
                <w:color w:val="auto"/>
                <w:sz w:val="20"/>
                <w:highlight w:val="none"/>
              </w:rPr>
            </w:pPr>
            <w:r>
              <w:rPr>
                <w:color w:val="auto"/>
                <w:sz w:val="20"/>
                <w:highlight w:val="none"/>
              </w:rPr>
              <w:t>等级》（GB 12021.4）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574" w:type="dxa"/>
            <w:vMerge w:val="restart"/>
          </w:tcPr>
          <w:p>
            <w:pPr>
              <w:pStyle w:val="56"/>
              <w:rPr>
                <w:rFonts w:ascii="Times New Roman"/>
                <w:color w:val="auto"/>
                <w:sz w:val="18"/>
                <w:highlight w:val="none"/>
              </w:rPr>
            </w:pPr>
          </w:p>
        </w:tc>
        <w:tc>
          <w:tcPr>
            <w:tcW w:w="1167" w:type="dxa"/>
            <w:vMerge w:val="restart"/>
          </w:tcPr>
          <w:p>
            <w:pPr>
              <w:pStyle w:val="56"/>
              <w:rPr>
                <w:rFonts w:ascii="Times New Roman"/>
                <w:color w:val="auto"/>
                <w:sz w:val="18"/>
                <w:highlight w:val="none"/>
              </w:rPr>
            </w:pPr>
          </w:p>
        </w:tc>
        <w:tc>
          <w:tcPr>
            <w:tcW w:w="1801" w:type="dxa"/>
            <w:vMerge w:val="restart"/>
          </w:tcPr>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spacing w:before="4"/>
              <w:rPr>
                <w:color w:val="auto"/>
                <w:sz w:val="17"/>
                <w:highlight w:val="none"/>
              </w:rPr>
            </w:pPr>
          </w:p>
          <w:p>
            <w:pPr>
              <w:pStyle w:val="56"/>
              <w:ind w:left="10"/>
              <w:rPr>
                <w:color w:val="auto"/>
                <w:sz w:val="20"/>
                <w:highlight w:val="none"/>
              </w:rPr>
            </w:pPr>
            <w:r>
              <w:rPr>
                <w:color w:val="auto"/>
                <w:sz w:val="20"/>
                <w:highlight w:val="none"/>
              </w:rPr>
              <w:t>A02061808 热水器</w:t>
            </w:r>
          </w:p>
        </w:tc>
        <w:tc>
          <w:tcPr>
            <w:tcW w:w="1916" w:type="dxa"/>
          </w:tcPr>
          <w:p>
            <w:pPr>
              <w:pStyle w:val="56"/>
              <w:spacing w:before="10"/>
              <w:rPr>
                <w:color w:val="auto"/>
                <w:sz w:val="18"/>
                <w:highlight w:val="none"/>
              </w:rPr>
            </w:pPr>
          </w:p>
          <w:p>
            <w:pPr>
              <w:pStyle w:val="56"/>
              <w:spacing w:before="1"/>
              <w:ind w:left="9"/>
              <w:rPr>
                <w:color w:val="auto"/>
                <w:sz w:val="20"/>
                <w:highlight w:val="none"/>
              </w:rPr>
            </w:pPr>
            <w:r>
              <w:rPr>
                <w:rFonts w:hint="eastAsia"/>
                <w:color w:val="auto"/>
                <w:sz w:val="20"/>
                <w:highlight w:val="none"/>
                <w:lang w:eastAsia="zh-CN"/>
              </w:rPr>
              <w:t>▼</w:t>
            </w:r>
            <w:r>
              <w:rPr>
                <w:color w:val="auto"/>
                <w:sz w:val="20"/>
                <w:highlight w:val="none"/>
              </w:rPr>
              <w:t>电热水器</w:t>
            </w:r>
          </w:p>
        </w:tc>
        <w:tc>
          <w:tcPr>
            <w:tcW w:w="3281" w:type="dxa"/>
          </w:tcPr>
          <w:p>
            <w:pPr>
              <w:pStyle w:val="56"/>
              <w:tabs>
                <w:tab w:val="left" w:pos="1609"/>
              </w:tabs>
              <w:spacing w:before="85" w:line="292" w:lineRule="auto"/>
              <w:ind w:left="9" w:right="3"/>
              <w:rPr>
                <w:color w:val="auto"/>
                <w:sz w:val="20"/>
                <w:highlight w:val="none"/>
              </w:rPr>
            </w:pPr>
            <w:r>
              <w:rPr>
                <w:color w:val="auto"/>
                <w:spacing w:val="12"/>
                <w:sz w:val="20"/>
                <w:highlight w:val="none"/>
              </w:rPr>
              <w:t>《储水式电热水器能效</w:t>
            </w:r>
            <w:r>
              <w:rPr>
                <w:color w:val="auto"/>
                <w:spacing w:val="9"/>
                <w:sz w:val="20"/>
                <w:highlight w:val="none"/>
              </w:rPr>
              <w:t>限</w:t>
            </w:r>
            <w:r>
              <w:rPr>
                <w:color w:val="auto"/>
                <w:spacing w:val="12"/>
                <w:sz w:val="20"/>
                <w:highlight w:val="none"/>
              </w:rPr>
              <w:t>定值</w:t>
            </w:r>
            <w:r>
              <w:rPr>
                <w:color w:val="auto"/>
                <w:spacing w:val="-17"/>
                <w:sz w:val="20"/>
                <w:highlight w:val="none"/>
              </w:rPr>
              <w:t>及</w:t>
            </w:r>
            <w:r>
              <w:rPr>
                <w:color w:val="auto"/>
                <w:sz w:val="20"/>
                <w:highlight w:val="none"/>
              </w:rPr>
              <w:t>能效等级》（GB</w:t>
            </w:r>
            <w:r>
              <w:rPr>
                <w:color w:val="auto"/>
                <w:sz w:val="20"/>
                <w:highlight w:val="none"/>
              </w:rPr>
              <w:tab/>
            </w:r>
            <w:r>
              <w:rPr>
                <w:color w:val="auto"/>
                <w:sz w:val="20"/>
                <w:highlight w:val="none"/>
              </w:rPr>
              <w:t>21519）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vMerge w:val="continue"/>
            <w:tcBorders>
              <w:top w:val="nil"/>
            </w:tcBorders>
          </w:tcPr>
          <w:p>
            <w:pPr>
              <w:rPr>
                <w:color w:val="auto"/>
                <w:sz w:val="2"/>
                <w:szCs w:val="2"/>
                <w:highlight w:val="none"/>
              </w:rPr>
            </w:pPr>
          </w:p>
        </w:tc>
        <w:tc>
          <w:tcPr>
            <w:tcW w:w="1916" w:type="dxa"/>
          </w:tcPr>
          <w:p>
            <w:pPr>
              <w:pStyle w:val="56"/>
              <w:spacing w:before="3"/>
              <w:rPr>
                <w:color w:val="auto"/>
                <w:sz w:val="27"/>
                <w:highlight w:val="none"/>
              </w:rPr>
            </w:pPr>
          </w:p>
          <w:p>
            <w:pPr>
              <w:pStyle w:val="56"/>
              <w:ind w:left="9"/>
              <w:rPr>
                <w:color w:val="auto"/>
                <w:sz w:val="20"/>
                <w:highlight w:val="none"/>
              </w:rPr>
            </w:pPr>
            <w:r>
              <w:rPr>
                <w:color w:val="auto"/>
                <w:sz w:val="20"/>
                <w:highlight w:val="none"/>
              </w:rPr>
              <w:t>燃气热水器</w:t>
            </w:r>
          </w:p>
        </w:tc>
        <w:tc>
          <w:tcPr>
            <w:tcW w:w="3281" w:type="dxa"/>
          </w:tcPr>
          <w:p>
            <w:pPr>
              <w:pStyle w:val="56"/>
              <w:spacing w:before="37" w:line="292" w:lineRule="auto"/>
              <w:ind w:left="9" w:right="3"/>
              <w:rPr>
                <w:color w:val="auto"/>
                <w:sz w:val="20"/>
                <w:highlight w:val="none"/>
              </w:rPr>
            </w:pPr>
            <w:r>
              <w:rPr>
                <w:color w:val="auto"/>
                <w:sz w:val="20"/>
                <w:highlight w:val="none"/>
              </w:rPr>
              <w:t>《家用燃气快速热水器和燃气采暖热水炉能效限定值及能效等级</w:t>
            </w:r>
          </w:p>
          <w:p>
            <w:pPr>
              <w:pStyle w:val="56"/>
              <w:spacing w:line="255" w:lineRule="exact"/>
              <w:ind w:left="9"/>
              <w:rPr>
                <w:color w:val="auto"/>
                <w:sz w:val="20"/>
                <w:highlight w:val="none"/>
              </w:rPr>
            </w:pPr>
            <w:r>
              <w:rPr>
                <w:color w:val="auto"/>
                <w:sz w:val="20"/>
                <w:highlight w:val="none"/>
              </w:rPr>
              <w:t>（GB 20665）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vMerge w:val="continue"/>
            <w:tcBorders>
              <w:top w:val="nil"/>
            </w:tcBorders>
          </w:tcPr>
          <w:p>
            <w:pPr>
              <w:rPr>
                <w:color w:val="auto"/>
                <w:sz w:val="2"/>
                <w:szCs w:val="2"/>
                <w:highlight w:val="none"/>
              </w:rPr>
            </w:pPr>
          </w:p>
        </w:tc>
        <w:tc>
          <w:tcPr>
            <w:tcW w:w="1916" w:type="dxa"/>
          </w:tcPr>
          <w:p>
            <w:pPr>
              <w:pStyle w:val="56"/>
              <w:rPr>
                <w:color w:val="auto"/>
                <w:sz w:val="22"/>
                <w:highlight w:val="none"/>
              </w:rPr>
            </w:pPr>
          </w:p>
          <w:p>
            <w:pPr>
              <w:pStyle w:val="56"/>
              <w:ind w:left="9"/>
              <w:rPr>
                <w:color w:val="auto"/>
                <w:sz w:val="20"/>
                <w:highlight w:val="none"/>
              </w:rPr>
            </w:pPr>
            <w:r>
              <w:rPr>
                <w:color w:val="auto"/>
                <w:sz w:val="20"/>
                <w:highlight w:val="none"/>
              </w:rPr>
              <w:t>热泵热水器</w:t>
            </w:r>
          </w:p>
        </w:tc>
        <w:tc>
          <w:tcPr>
            <w:tcW w:w="3281" w:type="dxa"/>
          </w:tcPr>
          <w:p>
            <w:pPr>
              <w:pStyle w:val="56"/>
              <w:spacing w:before="126" w:line="292" w:lineRule="auto"/>
              <w:ind w:left="9" w:right="5"/>
              <w:rPr>
                <w:color w:val="auto"/>
                <w:sz w:val="20"/>
                <w:highlight w:val="none"/>
              </w:rPr>
            </w:pPr>
            <w:r>
              <w:rPr>
                <w:color w:val="auto"/>
                <w:spacing w:val="-5"/>
                <w:sz w:val="20"/>
                <w:highlight w:val="none"/>
              </w:rPr>
              <w:t>《热泵热水机</w:t>
            </w:r>
            <w:r>
              <w:rPr>
                <w:color w:val="auto"/>
                <w:sz w:val="20"/>
                <w:highlight w:val="none"/>
              </w:rPr>
              <w:t>（器</w:t>
            </w:r>
            <w:r>
              <w:rPr>
                <w:color w:val="auto"/>
                <w:spacing w:val="-27"/>
                <w:sz w:val="20"/>
                <w:highlight w:val="none"/>
              </w:rPr>
              <w:t>）</w:t>
            </w:r>
            <w:r>
              <w:rPr>
                <w:color w:val="auto"/>
                <w:spacing w:val="-3"/>
                <w:sz w:val="20"/>
                <w:highlight w:val="none"/>
              </w:rPr>
              <w:t>能效限定值及</w:t>
            </w:r>
            <w:r>
              <w:rPr>
                <w:color w:val="auto"/>
                <w:sz w:val="20"/>
                <w:highlight w:val="none"/>
              </w:rPr>
              <w:t>能效等级》（GB 29541）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vMerge w:val="continue"/>
            <w:tcBorders>
              <w:top w:val="nil"/>
            </w:tcBorders>
          </w:tcPr>
          <w:p>
            <w:pPr>
              <w:rPr>
                <w:color w:val="auto"/>
                <w:sz w:val="2"/>
                <w:szCs w:val="2"/>
                <w:highlight w:val="none"/>
              </w:rPr>
            </w:pPr>
          </w:p>
        </w:tc>
        <w:tc>
          <w:tcPr>
            <w:tcW w:w="1916" w:type="dxa"/>
          </w:tcPr>
          <w:p>
            <w:pPr>
              <w:pStyle w:val="56"/>
              <w:spacing w:before="10"/>
              <w:rPr>
                <w:color w:val="auto"/>
                <w:sz w:val="18"/>
                <w:highlight w:val="none"/>
              </w:rPr>
            </w:pPr>
          </w:p>
          <w:p>
            <w:pPr>
              <w:pStyle w:val="56"/>
              <w:spacing w:before="1"/>
              <w:ind w:left="9"/>
              <w:rPr>
                <w:color w:val="auto"/>
                <w:sz w:val="20"/>
                <w:highlight w:val="none"/>
              </w:rPr>
            </w:pPr>
            <w:r>
              <w:rPr>
                <w:color w:val="auto"/>
                <w:sz w:val="20"/>
                <w:highlight w:val="none"/>
              </w:rPr>
              <w:t>太阳能热水系统</w:t>
            </w:r>
          </w:p>
        </w:tc>
        <w:tc>
          <w:tcPr>
            <w:tcW w:w="3281" w:type="dxa"/>
          </w:tcPr>
          <w:p>
            <w:pPr>
              <w:pStyle w:val="56"/>
              <w:spacing w:before="85" w:line="292" w:lineRule="auto"/>
              <w:ind w:left="9" w:right="3"/>
              <w:rPr>
                <w:color w:val="auto"/>
                <w:sz w:val="20"/>
                <w:highlight w:val="none"/>
              </w:rPr>
            </w:pPr>
            <w:r>
              <w:rPr>
                <w:color w:val="auto"/>
                <w:sz w:val="20"/>
                <w:highlight w:val="none"/>
              </w:rPr>
              <w:t>《家用太阳能热水系统能效限定值及能效等级》（GB 26969）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574" w:type="dxa"/>
            <w:vMerge w:val="restart"/>
          </w:tcPr>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spacing w:before="2"/>
              <w:rPr>
                <w:color w:val="auto"/>
                <w:sz w:val="29"/>
                <w:highlight w:val="none"/>
              </w:rPr>
            </w:pPr>
          </w:p>
          <w:p>
            <w:pPr>
              <w:pStyle w:val="56"/>
              <w:ind w:left="187"/>
              <w:rPr>
                <w:color w:val="auto"/>
                <w:sz w:val="20"/>
                <w:highlight w:val="none"/>
              </w:rPr>
            </w:pPr>
            <w:r>
              <w:rPr>
                <w:color w:val="auto"/>
                <w:sz w:val="20"/>
                <w:highlight w:val="none"/>
              </w:rPr>
              <w:t>11</w:t>
            </w:r>
          </w:p>
        </w:tc>
        <w:tc>
          <w:tcPr>
            <w:tcW w:w="1167" w:type="dxa"/>
            <w:vMerge w:val="restart"/>
          </w:tcPr>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17"/>
                <w:highlight w:val="none"/>
              </w:rPr>
            </w:pPr>
          </w:p>
          <w:p>
            <w:pPr>
              <w:pStyle w:val="56"/>
              <w:ind w:left="11"/>
              <w:rPr>
                <w:color w:val="auto"/>
                <w:sz w:val="20"/>
                <w:highlight w:val="none"/>
              </w:rPr>
            </w:pPr>
            <w:r>
              <w:rPr>
                <w:color w:val="auto"/>
                <w:sz w:val="20"/>
                <w:highlight w:val="none"/>
              </w:rPr>
              <w:t>A020619</w:t>
            </w:r>
            <w:r>
              <w:rPr>
                <w:color w:val="auto"/>
                <w:spacing w:val="-25"/>
                <w:sz w:val="20"/>
                <w:highlight w:val="none"/>
              </w:rPr>
              <w:t xml:space="preserve"> 照明</w:t>
            </w:r>
          </w:p>
          <w:p>
            <w:pPr>
              <w:pStyle w:val="56"/>
              <w:spacing w:before="55"/>
              <w:ind w:left="11"/>
              <w:rPr>
                <w:color w:val="auto"/>
                <w:sz w:val="20"/>
                <w:highlight w:val="none"/>
              </w:rPr>
            </w:pPr>
            <w:r>
              <w:rPr>
                <w:color w:val="auto"/>
                <w:sz w:val="20"/>
                <w:highlight w:val="none"/>
              </w:rPr>
              <w:t>设备</w:t>
            </w:r>
          </w:p>
        </w:tc>
        <w:tc>
          <w:tcPr>
            <w:tcW w:w="1801" w:type="dxa"/>
          </w:tcPr>
          <w:p>
            <w:pPr>
              <w:pStyle w:val="56"/>
              <w:spacing w:before="167" w:line="292" w:lineRule="auto"/>
              <w:ind w:left="10" w:right="4"/>
              <w:rPr>
                <w:color w:val="auto"/>
                <w:sz w:val="20"/>
                <w:highlight w:val="none"/>
              </w:rPr>
            </w:pPr>
            <w:r>
              <w:rPr>
                <w:rFonts w:hint="eastAsia"/>
                <w:color w:val="auto"/>
                <w:sz w:val="20"/>
                <w:highlight w:val="none"/>
                <w:lang w:eastAsia="zh-CN"/>
              </w:rPr>
              <w:t>▼</w:t>
            </w:r>
            <w:r>
              <w:rPr>
                <w:color w:val="auto"/>
                <w:sz w:val="20"/>
                <w:highlight w:val="none"/>
              </w:rPr>
              <w:t xml:space="preserve"> 普通照明用双端荧光灯</w:t>
            </w:r>
          </w:p>
        </w:tc>
        <w:tc>
          <w:tcPr>
            <w:tcW w:w="1916" w:type="dxa"/>
          </w:tcPr>
          <w:p>
            <w:pPr>
              <w:pStyle w:val="56"/>
              <w:rPr>
                <w:rFonts w:ascii="Times New Roman"/>
                <w:color w:val="auto"/>
                <w:sz w:val="18"/>
                <w:highlight w:val="none"/>
              </w:rPr>
            </w:pPr>
          </w:p>
        </w:tc>
        <w:tc>
          <w:tcPr>
            <w:tcW w:w="3281" w:type="dxa"/>
          </w:tcPr>
          <w:p>
            <w:pPr>
              <w:pStyle w:val="56"/>
              <w:spacing w:before="167" w:line="292" w:lineRule="auto"/>
              <w:ind w:left="9" w:right="3"/>
              <w:rPr>
                <w:color w:val="auto"/>
                <w:sz w:val="20"/>
                <w:highlight w:val="none"/>
              </w:rPr>
            </w:pPr>
            <w:r>
              <w:rPr>
                <w:color w:val="auto"/>
                <w:sz w:val="20"/>
                <w:highlight w:val="none"/>
              </w:rPr>
              <w:t>《普通照明用双端荧光灯能效限定值及能效等级》（GB 19043）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tcPr>
          <w:p>
            <w:pPr>
              <w:pStyle w:val="56"/>
              <w:spacing w:before="126" w:line="292" w:lineRule="auto"/>
              <w:ind w:left="10" w:right="1"/>
              <w:rPr>
                <w:color w:val="auto"/>
                <w:sz w:val="20"/>
                <w:highlight w:val="none"/>
              </w:rPr>
            </w:pPr>
            <w:r>
              <w:rPr>
                <w:color w:val="auto"/>
                <w:sz w:val="20"/>
                <w:highlight w:val="none"/>
              </w:rPr>
              <w:t>LED 道路/隧道照明产品</w:t>
            </w:r>
          </w:p>
        </w:tc>
        <w:tc>
          <w:tcPr>
            <w:tcW w:w="1916" w:type="dxa"/>
          </w:tcPr>
          <w:p>
            <w:pPr>
              <w:pStyle w:val="56"/>
              <w:rPr>
                <w:rFonts w:ascii="Times New Roman"/>
                <w:color w:val="auto"/>
                <w:sz w:val="18"/>
                <w:highlight w:val="none"/>
              </w:rPr>
            </w:pPr>
          </w:p>
        </w:tc>
        <w:tc>
          <w:tcPr>
            <w:tcW w:w="3281" w:type="dxa"/>
          </w:tcPr>
          <w:p>
            <w:pPr>
              <w:pStyle w:val="56"/>
              <w:spacing w:before="126" w:line="292" w:lineRule="auto"/>
              <w:ind w:left="9" w:right="5"/>
              <w:rPr>
                <w:color w:val="auto"/>
                <w:sz w:val="20"/>
                <w:highlight w:val="none"/>
              </w:rPr>
            </w:pPr>
            <w:r>
              <w:rPr>
                <w:color w:val="auto"/>
                <w:sz w:val="20"/>
                <w:highlight w:val="none"/>
              </w:rPr>
              <w:t>《道路和隧道照明用 LED</w:t>
            </w:r>
            <w:r>
              <w:rPr>
                <w:color w:val="auto"/>
                <w:spacing w:val="1"/>
                <w:sz w:val="20"/>
                <w:highlight w:val="none"/>
              </w:rPr>
              <w:t xml:space="preserve"> 灯具能</w:t>
            </w:r>
            <w:r>
              <w:rPr>
                <w:color w:val="auto"/>
                <w:spacing w:val="-10"/>
                <w:sz w:val="20"/>
                <w:highlight w:val="none"/>
              </w:rPr>
              <w:t>效限定值及能效等级》</w:t>
            </w:r>
            <w:r>
              <w:rPr>
                <w:color w:val="auto"/>
                <w:sz w:val="20"/>
                <w:highlight w:val="none"/>
              </w:rPr>
              <w:t>（GB 37478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tcPr>
          <w:p>
            <w:pPr>
              <w:pStyle w:val="56"/>
              <w:spacing w:before="3"/>
              <w:rPr>
                <w:color w:val="auto"/>
                <w:sz w:val="21"/>
                <w:highlight w:val="none"/>
              </w:rPr>
            </w:pPr>
          </w:p>
          <w:p>
            <w:pPr>
              <w:pStyle w:val="56"/>
              <w:ind w:left="10"/>
              <w:rPr>
                <w:color w:val="auto"/>
                <w:sz w:val="20"/>
                <w:highlight w:val="none"/>
              </w:rPr>
            </w:pPr>
            <w:r>
              <w:rPr>
                <w:color w:val="auto"/>
                <w:sz w:val="20"/>
                <w:highlight w:val="none"/>
              </w:rPr>
              <w:t>LED 筒灯</w:t>
            </w:r>
          </w:p>
        </w:tc>
        <w:tc>
          <w:tcPr>
            <w:tcW w:w="1916" w:type="dxa"/>
          </w:tcPr>
          <w:p>
            <w:pPr>
              <w:pStyle w:val="56"/>
              <w:rPr>
                <w:rFonts w:ascii="Times New Roman"/>
                <w:color w:val="auto"/>
                <w:sz w:val="18"/>
                <w:highlight w:val="none"/>
              </w:rPr>
            </w:pPr>
          </w:p>
        </w:tc>
        <w:tc>
          <w:tcPr>
            <w:tcW w:w="3281" w:type="dxa"/>
          </w:tcPr>
          <w:p>
            <w:pPr>
              <w:pStyle w:val="56"/>
              <w:spacing w:before="116" w:line="292" w:lineRule="auto"/>
              <w:ind w:left="9" w:right="5"/>
              <w:rPr>
                <w:color w:val="auto"/>
                <w:sz w:val="20"/>
                <w:highlight w:val="none"/>
              </w:rPr>
            </w:pPr>
            <w:r>
              <w:rPr>
                <w:color w:val="auto"/>
                <w:sz w:val="20"/>
                <w:highlight w:val="none"/>
              </w:rPr>
              <w:t>《室内照明用 LED 产品能效限定值及能效等级》（GB 30255）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tcPr>
          <w:p>
            <w:pPr>
              <w:pStyle w:val="56"/>
              <w:spacing w:before="3"/>
              <w:rPr>
                <w:color w:val="auto"/>
                <w:sz w:val="18"/>
                <w:highlight w:val="none"/>
              </w:rPr>
            </w:pPr>
          </w:p>
          <w:p>
            <w:pPr>
              <w:pStyle w:val="56"/>
              <w:spacing w:line="292" w:lineRule="auto"/>
              <w:ind w:left="10" w:right="4"/>
              <w:rPr>
                <w:color w:val="auto"/>
                <w:sz w:val="20"/>
                <w:highlight w:val="none"/>
              </w:rPr>
            </w:pPr>
            <w:r>
              <w:rPr>
                <w:color w:val="auto"/>
                <w:sz w:val="20"/>
                <w:highlight w:val="none"/>
              </w:rPr>
              <w:t>普通照明用非定向自镇流 LED 灯</w:t>
            </w:r>
          </w:p>
        </w:tc>
        <w:tc>
          <w:tcPr>
            <w:tcW w:w="1916" w:type="dxa"/>
          </w:tcPr>
          <w:p>
            <w:pPr>
              <w:pStyle w:val="56"/>
              <w:rPr>
                <w:rFonts w:ascii="Times New Roman"/>
                <w:color w:val="auto"/>
                <w:sz w:val="18"/>
                <w:highlight w:val="none"/>
              </w:rPr>
            </w:pPr>
          </w:p>
        </w:tc>
        <w:tc>
          <w:tcPr>
            <w:tcW w:w="3281" w:type="dxa"/>
          </w:tcPr>
          <w:p>
            <w:pPr>
              <w:pStyle w:val="56"/>
              <w:spacing w:before="3"/>
              <w:rPr>
                <w:color w:val="auto"/>
                <w:sz w:val="18"/>
                <w:highlight w:val="none"/>
              </w:rPr>
            </w:pPr>
          </w:p>
          <w:p>
            <w:pPr>
              <w:pStyle w:val="56"/>
              <w:spacing w:line="292" w:lineRule="auto"/>
              <w:ind w:left="9" w:right="5"/>
              <w:rPr>
                <w:color w:val="auto"/>
                <w:sz w:val="20"/>
                <w:highlight w:val="none"/>
              </w:rPr>
            </w:pPr>
            <w:r>
              <w:rPr>
                <w:color w:val="auto"/>
                <w:sz w:val="20"/>
                <w:highlight w:val="none"/>
              </w:rPr>
              <w:t>《室内照明用 LED 产品能效限定值及能效等级》（GB 30255）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574" w:type="dxa"/>
          </w:tcPr>
          <w:p>
            <w:pPr>
              <w:pStyle w:val="56"/>
              <w:spacing w:before="1"/>
              <w:rPr>
                <w:color w:val="auto"/>
                <w:sz w:val="21"/>
                <w:highlight w:val="none"/>
              </w:rPr>
            </w:pPr>
          </w:p>
          <w:p>
            <w:pPr>
              <w:pStyle w:val="56"/>
              <w:ind w:left="167" w:right="157"/>
              <w:jc w:val="center"/>
              <w:rPr>
                <w:color w:val="auto"/>
                <w:sz w:val="20"/>
                <w:highlight w:val="none"/>
              </w:rPr>
            </w:pPr>
            <w:r>
              <w:rPr>
                <w:color w:val="auto"/>
                <w:sz w:val="20"/>
                <w:highlight w:val="none"/>
              </w:rPr>
              <w:t>12</w:t>
            </w:r>
          </w:p>
        </w:tc>
        <w:tc>
          <w:tcPr>
            <w:tcW w:w="1167" w:type="dxa"/>
          </w:tcPr>
          <w:p>
            <w:pPr>
              <w:pStyle w:val="56"/>
              <w:spacing w:before="114"/>
              <w:ind w:left="11"/>
              <w:rPr>
                <w:color w:val="auto"/>
                <w:sz w:val="20"/>
                <w:highlight w:val="none"/>
              </w:rPr>
            </w:pPr>
            <w:r>
              <w:rPr>
                <w:rFonts w:hint="eastAsia"/>
                <w:color w:val="auto"/>
                <w:sz w:val="20"/>
                <w:highlight w:val="none"/>
                <w:lang w:eastAsia="zh-CN"/>
              </w:rPr>
              <w:t>▼</w:t>
            </w:r>
            <w:r>
              <w:rPr>
                <w:color w:val="auto"/>
                <w:sz w:val="20"/>
                <w:highlight w:val="none"/>
              </w:rPr>
              <w:t>A020910</w:t>
            </w:r>
            <w:r>
              <w:rPr>
                <w:color w:val="auto"/>
                <w:spacing w:val="-37"/>
                <w:sz w:val="20"/>
                <w:highlight w:val="none"/>
              </w:rPr>
              <w:t xml:space="preserve"> 电</w:t>
            </w:r>
          </w:p>
          <w:p>
            <w:pPr>
              <w:pStyle w:val="56"/>
              <w:spacing w:before="56"/>
              <w:ind w:left="11"/>
              <w:rPr>
                <w:color w:val="auto"/>
                <w:sz w:val="20"/>
                <w:highlight w:val="none"/>
              </w:rPr>
            </w:pPr>
            <w:r>
              <w:rPr>
                <w:color w:val="auto"/>
                <w:sz w:val="20"/>
                <w:highlight w:val="none"/>
              </w:rPr>
              <w:t>视设备</w:t>
            </w:r>
          </w:p>
        </w:tc>
        <w:tc>
          <w:tcPr>
            <w:tcW w:w="1801" w:type="dxa"/>
          </w:tcPr>
          <w:p>
            <w:pPr>
              <w:pStyle w:val="56"/>
              <w:spacing w:before="114" w:line="292" w:lineRule="auto"/>
              <w:ind w:left="10" w:right="2"/>
              <w:rPr>
                <w:color w:val="auto"/>
                <w:sz w:val="20"/>
                <w:highlight w:val="none"/>
              </w:rPr>
            </w:pPr>
            <w:r>
              <w:rPr>
                <w:color w:val="auto"/>
                <w:sz w:val="20"/>
                <w:highlight w:val="none"/>
              </w:rPr>
              <w:t>A02091001</w:t>
            </w:r>
            <w:r>
              <w:rPr>
                <w:color w:val="auto"/>
                <w:spacing w:val="-9"/>
                <w:sz w:val="20"/>
                <w:highlight w:val="none"/>
              </w:rPr>
              <w:t xml:space="preserve"> 普通电视</w:t>
            </w:r>
            <w:r>
              <w:rPr>
                <w:color w:val="auto"/>
                <w:sz w:val="20"/>
                <w:highlight w:val="none"/>
              </w:rPr>
              <w:t>设备（电视机）</w:t>
            </w:r>
          </w:p>
        </w:tc>
        <w:tc>
          <w:tcPr>
            <w:tcW w:w="1916" w:type="dxa"/>
          </w:tcPr>
          <w:p>
            <w:pPr>
              <w:pStyle w:val="56"/>
              <w:rPr>
                <w:rFonts w:ascii="Times New Roman"/>
                <w:color w:val="auto"/>
                <w:sz w:val="18"/>
                <w:highlight w:val="none"/>
              </w:rPr>
            </w:pPr>
          </w:p>
        </w:tc>
        <w:tc>
          <w:tcPr>
            <w:tcW w:w="3281" w:type="dxa"/>
          </w:tcPr>
          <w:p>
            <w:pPr>
              <w:pStyle w:val="56"/>
              <w:spacing w:before="114" w:line="292" w:lineRule="auto"/>
              <w:ind w:left="9" w:right="3"/>
              <w:rPr>
                <w:color w:val="auto"/>
                <w:sz w:val="20"/>
                <w:highlight w:val="none"/>
              </w:rPr>
            </w:pPr>
            <w:r>
              <w:rPr>
                <w:color w:val="auto"/>
                <w:sz w:val="20"/>
                <w:highlight w:val="none"/>
              </w:rPr>
              <w:t>《平板电视能效限定值及能效等级》（GB 24850）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574" w:type="dxa"/>
          </w:tcPr>
          <w:p>
            <w:pPr>
              <w:pStyle w:val="56"/>
              <w:rPr>
                <w:color w:val="auto"/>
                <w:sz w:val="20"/>
                <w:highlight w:val="none"/>
              </w:rPr>
            </w:pPr>
          </w:p>
          <w:p>
            <w:pPr>
              <w:pStyle w:val="56"/>
              <w:rPr>
                <w:color w:val="auto"/>
                <w:sz w:val="20"/>
                <w:highlight w:val="none"/>
              </w:rPr>
            </w:pPr>
          </w:p>
          <w:p>
            <w:pPr>
              <w:pStyle w:val="56"/>
              <w:spacing w:before="8"/>
              <w:rPr>
                <w:color w:val="auto"/>
                <w:sz w:val="25"/>
                <w:highlight w:val="none"/>
              </w:rPr>
            </w:pPr>
          </w:p>
          <w:p>
            <w:pPr>
              <w:pStyle w:val="56"/>
              <w:ind w:left="167" w:right="157"/>
              <w:jc w:val="center"/>
              <w:rPr>
                <w:color w:val="auto"/>
                <w:sz w:val="20"/>
                <w:highlight w:val="none"/>
              </w:rPr>
            </w:pPr>
            <w:r>
              <w:rPr>
                <w:color w:val="auto"/>
                <w:sz w:val="20"/>
                <w:highlight w:val="none"/>
              </w:rPr>
              <w:t>13</w:t>
            </w:r>
          </w:p>
        </w:tc>
        <w:tc>
          <w:tcPr>
            <w:tcW w:w="1167" w:type="dxa"/>
          </w:tcPr>
          <w:p>
            <w:pPr>
              <w:pStyle w:val="56"/>
              <w:rPr>
                <w:color w:val="auto"/>
                <w:sz w:val="20"/>
                <w:highlight w:val="none"/>
              </w:rPr>
            </w:pPr>
          </w:p>
          <w:p>
            <w:pPr>
              <w:pStyle w:val="56"/>
              <w:rPr>
                <w:color w:val="auto"/>
                <w:sz w:val="20"/>
                <w:highlight w:val="none"/>
              </w:rPr>
            </w:pPr>
          </w:p>
          <w:p>
            <w:pPr>
              <w:pStyle w:val="56"/>
              <w:spacing w:before="173"/>
              <w:ind w:left="11"/>
              <w:rPr>
                <w:color w:val="auto"/>
                <w:sz w:val="20"/>
                <w:highlight w:val="none"/>
              </w:rPr>
            </w:pPr>
            <w:r>
              <w:rPr>
                <w:rFonts w:hint="eastAsia"/>
                <w:color w:val="auto"/>
                <w:sz w:val="20"/>
                <w:highlight w:val="none"/>
                <w:lang w:eastAsia="zh-CN"/>
              </w:rPr>
              <w:t>▼</w:t>
            </w:r>
            <w:r>
              <w:rPr>
                <w:color w:val="auto"/>
                <w:sz w:val="20"/>
                <w:highlight w:val="none"/>
              </w:rPr>
              <w:t>A020911</w:t>
            </w:r>
            <w:r>
              <w:rPr>
                <w:color w:val="auto"/>
                <w:spacing w:val="-37"/>
                <w:sz w:val="20"/>
                <w:highlight w:val="none"/>
              </w:rPr>
              <w:t xml:space="preserve"> 视</w:t>
            </w:r>
          </w:p>
          <w:p>
            <w:pPr>
              <w:pStyle w:val="56"/>
              <w:spacing w:before="55"/>
              <w:ind w:left="11"/>
              <w:rPr>
                <w:color w:val="auto"/>
                <w:sz w:val="20"/>
                <w:highlight w:val="none"/>
              </w:rPr>
            </w:pPr>
            <w:r>
              <w:rPr>
                <w:color w:val="auto"/>
                <w:sz w:val="20"/>
                <w:highlight w:val="none"/>
              </w:rPr>
              <w:t>频设备</w:t>
            </w:r>
          </w:p>
        </w:tc>
        <w:tc>
          <w:tcPr>
            <w:tcW w:w="1801" w:type="dxa"/>
          </w:tcPr>
          <w:p>
            <w:pPr>
              <w:pStyle w:val="56"/>
              <w:rPr>
                <w:color w:val="auto"/>
                <w:sz w:val="20"/>
                <w:highlight w:val="none"/>
              </w:rPr>
            </w:pPr>
          </w:p>
          <w:p>
            <w:pPr>
              <w:pStyle w:val="56"/>
              <w:rPr>
                <w:color w:val="auto"/>
                <w:sz w:val="20"/>
                <w:highlight w:val="none"/>
              </w:rPr>
            </w:pPr>
          </w:p>
          <w:p>
            <w:pPr>
              <w:pStyle w:val="56"/>
              <w:spacing w:before="173" w:line="292" w:lineRule="auto"/>
              <w:ind w:left="10" w:right="2"/>
              <w:rPr>
                <w:color w:val="auto"/>
                <w:sz w:val="20"/>
                <w:highlight w:val="none"/>
              </w:rPr>
            </w:pPr>
            <w:r>
              <w:rPr>
                <w:color w:val="auto"/>
                <w:sz w:val="20"/>
                <w:highlight w:val="none"/>
              </w:rPr>
              <w:t>A02091107</w:t>
            </w:r>
            <w:r>
              <w:rPr>
                <w:color w:val="auto"/>
                <w:spacing w:val="-9"/>
                <w:sz w:val="20"/>
                <w:highlight w:val="none"/>
              </w:rPr>
              <w:t xml:space="preserve"> 视频监控</w:t>
            </w:r>
            <w:r>
              <w:rPr>
                <w:color w:val="auto"/>
                <w:sz w:val="20"/>
                <w:highlight w:val="none"/>
              </w:rPr>
              <w:t>设备</w:t>
            </w:r>
          </w:p>
        </w:tc>
        <w:tc>
          <w:tcPr>
            <w:tcW w:w="1916" w:type="dxa"/>
          </w:tcPr>
          <w:p>
            <w:pPr>
              <w:pStyle w:val="56"/>
              <w:rPr>
                <w:color w:val="auto"/>
                <w:sz w:val="20"/>
                <w:highlight w:val="none"/>
              </w:rPr>
            </w:pPr>
          </w:p>
          <w:p>
            <w:pPr>
              <w:pStyle w:val="56"/>
              <w:rPr>
                <w:color w:val="auto"/>
                <w:sz w:val="20"/>
                <w:highlight w:val="none"/>
              </w:rPr>
            </w:pPr>
          </w:p>
          <w:p>
            <w:pPr>
              <w:pStyle w:val="56"/>
              <w:spacing w:before="8"/>
              <w:rPr>
                <w:color w:val="auto"/>
                <w:sz w:val="25"/>
                <w:highlight w:val="none"/>
              </w:rPr>
            </w:pPr>
          </w:p>
          <w:p>
            <w:pPr>
              <w:pStyle w:val="56"/>
              <w:ind w:left="9"/>
              <w:rPr>
                <w:color w:val="auto"/>
                <w:sz w:val="20"/>
                <w:highlight w:val="none"/>
              </w:rPr>
            </w:pPr>
            <w:r>
              <w:rPr>
                <w:color w:val="auto"/>
                <w:sz w:val="20"/>
                <w:highlight w:val="none"/>
              </w:rPr>
              <w:t>监视器</w:t>
            </w:r>
          </w:p>
        </w:tc>
        <w:tc>
          <w:tcPr>
            <w:tcW w:w="3281" w:type="dxa"/>
          </w:tcPr>
          <w:p>
            <w:pPr>
              <w:pStyle w:val="56"/>
              <w:spacing w:before="61" w:line="292" w:lineRule="auto"/>
              <w:ind w:left="9" w:right="3"/>
              <w:jc w:val="both"/>
              <w:rPr>
                <w:color w:val="auto"/>
                <w:sz w:val="20"/>
                <w:highlight w:val="none"/>
              </w:rPr>
            </w:pPr>
            <w:r>
              <w:rPr>
                <w:color w:val="auto"/>
                <w:spacing w:val="9"/>
                <w:sz w:val="20"/>
                <w:highlight w:val="none"/>
              </w:rPr>
              <w:t>以射频信号为主要信号输入的监</w:t>
            </w:r>
            <w:r>
              <w:rPr>
                <w:color w:val="auto"/>
                <w:spacing w:val="-9"/>
                <w:sz w:val="20"/>
                <w:highlight w:val="none"/>
              </w:rPr>
              <w:t>视器应符合《平板电视能效限定值</w:t>
            </w:r>
            <w:r>
              <w:rPr>
                <w:color w:val="auto"/>
                <w:sz w:val="20"/>
                <w:highlight w:val="none"/>
              </w:rPr>
              <w:t>及能效等级》（GB 24850），</w:t>
            </w:r>
          </w:p>
          <w:p>
            <w:pPr>
              <w:pStyle w:val="56"/>
              <w:spacing w:line="254" w:lineRule="exact"/>
              <w:ind w:left="9"/>
              <w:rPr>
                <w:color w:val="auto"/>
                <w:sz w:val="20"/>
                <w:highlight w:val="none"/>
              </w:rPr>
            </w:pPr>
            <w:r>
              <w:rPr>
                <w:color w:val="auto"/>
                <w:sz w:val="20"/>
                <w:highlight w:val="none"/>
              </w:rPr>
              <w:t>以数字信号为主要信号输入的监</w:t>
            </w:r>
          </w:p>
          <w:p>
            <w:pPr>
              <w:pStyle w:val="56"/>
              <w:spacing w:before="2" w:line="310" w:lineRule="atLeast"/>
              <w:ind w:left="9" w:right="5"/>
              <w:rPr>
                <w:color w:val="auto"/>
                <w:sz w:val="20"/>
                <w:highlight w:val="none"/>
              </w:rPr>
            </w:pPr>
            <w:r>
              <w:rPr>
                <w:color w:val="auto"/>
                <w:spacing w:val="-9"/>
                <w:sz w:val="20"/>
                <w:highlight w:val="none"/>
              </w:rPr>
              <w:t>视器应符合《计算机显示器能效限</w:t>
            </w:r>
            <w:r>
              <w:rPr>
                <w:color w:val="auto"/>
                <w:sz w:val="20"/>
                <w:highlight w:val="none"/>
              </w:rPr>
              <w:t>定值及能效等级》（GB 21520）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574" w:type="dxa"/>
          </w:tcPr>
          <w:p>
            <w:pPr>
              <w:pStyle w:val="56"/>
              <w:spacing w:before="9"/>
              <w:rPr>
                <w:color w:val="auto"/>
                <w:sz w:val="20"/>
                <w:highlight w:val="none"/>
              </w:rPr>
            </w:pPr>
          </w:p>
          <w:p>
            <w:pPr>
              <w:pStyle w:val="56"/>
              <w:ind w:left="167" w:right="157"/>
              <w:jc w:val="center"/>
              <w:rPr>
                <w:color w:val="auto"/>
                <w:sz w:val="20"/>
                <w:highlight w:val="none"/>
              </w:rPr>
            </w:pPr>
            <w:r>
              <w:rPr>
                <w:color w:val="auto"/>
                <w:sz w:val="20"/>
                <w:highlight w:val="none"/>
              </w:rPr>
              <w:t>14</w:t>
            </w:r>
          </w:p>
        </w:tc>
        <w:tc>
          <w:tcPr>
            <w:tcW w:w="1167" w:type="dxa"/>
          </w:tcPr>
          <w:p>
            <w:pPr>
              <w:pStyle w:val="56"/>
              <w:spacing w:before="109"/>
              <w:ind w:left="11"/>
              <w:rPr>
                <w:color w:val="auto"/>
                <w:sz w:val="20"/>
                <w:highlight w:val="none"/>
              </w:rPr>
            </w:pPr>
            <w:r>
              <w:rPr>
                <w:color w:val="auto"/>
                <w:sz w:val="20"/>
                <w:highlight w:val="none"/>
              </w:rPr>
              <w:t>A031210</w:t>
            </w:r>
            <w:r>
              <w:rPr>
                <w:color w:val="auto"/>
                <w:spacing w:val="-25"/>
                <w:sz w:val="20"/>
                <w:highlight w:val="none"/>
              </w:rPr>
              <w:t xml:space="preserve"> 饮食</w:t>
            </w:r>
          </w:p>
          <w:p>
            <w:pPr>
              <w:pStyle w:val="56"/>
              <w:spacing w:before="56"/>
              <w:ind w:left="11"/>
              <w:rPr>
                <w:color w:val="auto"/>
                <w:sz w:val="20"/>
                <w:highlight w:val="none"/>
              </w:rPr>
            </w:pPr>
            <w:r>
              <w:rPr>
                <w:color w:val="auto"/>
                <w:sz w:val="20"/>
                <w:highlight w:val="none"/>
              </w:rPr>
              <w:t>炊事机械</w:t>
            </w:r>
          </w:p>
        </w:tc>
        <w:tc>
          <w:tcPr>
            <w:tcW w:w="1801" w:type="dxa"/>
          </w:tcPr>
          <w:p>
            <w:pPr>
              <w:pStyle w:val="56"/>
              <w:spacing w:before="9"/>
              <w:rPr>
                <w:color w:val="auto"/>
                <w:sz w:val="20"/>
                <w:highlight w:val="none"/>
              </w:rPr>
            </w:pPr>
          </w:p>
          <w:p>
            <w:pPr>
              <w:pStyle w:val="56"/>
              <w:ind w:left="10"/>
              <w:rPr>
                <w:color w:val="auto"/>
                <w:sz w:val="20"/>
                <w:highlight w:val="none"/>
              </w:rPr>
            </w:pPr>
            <w:r>
              <w:rPr>
                <w:color w:val="auto"/>
                <w:sz w:val="20"/>
                <w:highlight w:val="none"/>
              </w:rPr>
              <w:t>商用燃气灶具</w:t>
            </w:r>
          </w:p>
        </w:tc>
        <w:tc>
          <w:tcPr>
            <w:tcW w:w="1916" w:type="dxa"/>
          </w:tcPr>
          <w:p>
            <w:pPr>
              <w:pStyle w:val="56"/>
              <w:rPr>
                <w:rFonts w:ascii="Times New Roman"/>
                <w:color w:val="auto"/>
                <w:sz w:val="18"/>
                <w:highlight w:val="none"/>
              </w:rPr>
            </w:pPr>
          </w:p>
        </w:tc>
        <w:tc>
          <w:tcPr>
            <w:tcW w:w="3281" w:type="dxa"/>
          </w:tcPr>
          <w:p>
            <w:pPr>
              <w:pStyle w:val="56"/>
              <w:spacing w:before="109" w:line="292" w:lineRule="auto"/>
              <w:ind w:left="9" w:right="3"/>
              <w:rPr>
                <w:color w:val="auto"/>
                <w:sz w:val="20"/>
                <w:highlight w:val="none"/>
              </w:rPr>
            </w:pPr>
            <w:r>
              <w:rPr>
                <w:color w:val="auto"/>
                <w:sz w:val="20"/>
                <w:highlight w:val="none"/>
              </w:rPr>
              <w:t>《商用燃气灶具能效限定值及能效等级》（GB 30531）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574" w:type="dxa"/>
            <w:vMerge w:val="restart"/>
          </w:tcPr>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rPr>
                <w:color w:val="auto"/>
                <w:sz w:val="20"/>
                <w:highlight w:val="none"/>
              </w:rPr>
            </w:pPr>
          </w:p>
          <w:p>
            <w:pPr>
              <w:pStyle w:val="56"/>
              <w:spacing w:before="174"/>
              <w:ind w:left="187"/>
              <w:rPr>
                <w:color w:val="auto"/>
                <w:sz w:val="20"/>
                <w:highlight w:val="none"/>
              </w:rPr>
            </w:pPr>
            <w:r>
              <w:rPr>
                <w:color w:val="auto"/>
                <w:sz w:val="20"/>
                <w:highlight w:val="none"/>
              </w:rPr>
              <w:t>15</w:t>
            </w:r>
          </w:p>
        </w:tc>
        <w:tc>
          <w:tcPr>
            <w:tcW w:w="1167" w:type="dxa"/>
            <w:vMerge w:val="restart"/>
          </w:tcPr>
          <w:p>
            <w:pPr>
              <w:pStyle w:val="56"/>
              <w:rPr>
                <w:color w:val="auto"/>
                <w:sz w:val="20"/>
                <w:highlight w:val="none"/>
              </w:rPr>
            </w:pPr>
          </w:p>
          <w:p>
            <w:pPr>
              <w:pStyle w:val="56"/>
              <w:rPr>
                <w:color w:val="auto"/>
                <w:sz w:val="20"/>
                <w:highlight w:val="none"/>
              </w:rPr>
            </w:pPr>
          </w:p>
          <w:p>
            <w:pPr>
              <w:pStyle w:val="56"/>
              <w:spacing w:before="7"/>
              <w:rPr>
                <w:color w:val="auto"/>
                <w:sz w:val="21"/>
                <w:highlight w:val="none"/>
              </w:rPr>
            </w:pPr>
          </w:p>
          <w:p>
            <w:pPr>
              <w:pStyle w:val="56"/>
              <w:ind w:left="11"/>
              <w:rPr>
                <w:color w:val="auto"/>
                <w:sz w:val="20"/>
                <w:highlight w:val="none"/>
              </w:rPr>
            </w:pPr>
            <w:r>
              <w:rPr>
                <w:rFonts w:hint="eastAsia"/>
                <w:color w:val="auto"/>
                <w:sz w:val="20"/>
                <w:highlight w:val="none"/>
                <w:lang w:eastAsia="zh-CN"/>
              </w:rPr>
              <w:t>▼</w:t>
            </w:r>
            <w:r>
              <w:rPr>
                <w:color w:val="auto"/>
                <w:sz w:val="20"/>
                <w:highlight w:val="none"/>
              </w:rPr>
              <w:t>A060805</w:t>
            </w:r>
            <w:r>
              <w:rPr>
                <w:color w:val="auto"/>
                <w:spacing w:val="-37"/>
                <w:sz w:val="20"/>
                <w:highlight w:val="none"/>
              </w:rPr>
              <w:t xml:space="preserve"> 便</w:t>
            </w:r>
          </w:p>
          <w:p>
            <w:pPr>
              <w:pStyle w:val="56"/>
              <w:spacing w:before="55"/>
              <w:ind w:left="11"/>
              <w:rPr>
                <w:color w:val="auto"/>
                <w:sz w:val="20"/>
                <w:highlight w:val="none"/>
              </w:rPr>
            </w:pPr>
            <w:r>
              <w:rPr>
                <w:color w:val="auto"/>
                <w:w w:val="99"/>
                <w:sz w:val="20"/>
                <w:highlight w:val="none"/>
              </w:rPr>
              <w:t>器</w:t>
            </w:r>
          </w:p>
        </w:tc>
        <w:tc>
          <w:tcPr>
            <w:tcW w:w="1801" w:type="dxa"/>
          </w:tcPr>
          <w:p>
            <w:pPr>
              <w:pStyle w:val="56"/>
              <w:spacing w:before="5"/>
              <w:rPr>
                <w:color w:val="auto"/>
                <w:sz w:val="24"/>
                <w:highlight w:val="none"/>
              </w:rPr>
            </w:pPr>
          </w:p>
          <w:p>
            <w:pPr>
              <w:pStyle w:val="56"/>
              <w:spacing w:before="1"/>
              <w:ind w:left="10"/>
              <w:rPr>
                <w:color w:val="auto"/>
                <w:sz w:val="20"/>
                <w:highlight w:val="none"/>
              </w:rPr>
            </w:pPr>
            <w:r>
              <w:rPr>
                <w:color w:val="auto"/>
                <w:sz w:val="20"/>
                <w:highlight w:val="none"/>
              </w:rPr>
              <w:t>坐便器</w:t>
            </w:r>
          </w:p>
        </w:tc>
        <w:tc>
          <w:tcPr>
            <w:tcW w:w="1916" w:type="dxa"/>
          </w:tcPr>
          <w:p>
            <w:pPr>
              <w:pStyle w:val="56"/>
              <w:rPr>
                <w:rFonts w:ascii="Times New Roman"/>
                <w:color w:val="auto"/>
                <w:sz w:val="18"/>
                <w:highlight w:val="none"/>
              </w:rPr>
            </w:pPr>
          </w:p>
        </w:tc>
        <w:tc>
          <w:tcPr>
            <w:tcW w:w="3281" w:type="dxa"/>
          </w:tcPr>
          <w:p>
            <w:pPr>
              <w:pStyle w:val="56"/>
              <w:spacing w:before="157"/>
              <w:ind w:left="9"/>
              <w:rPr>
                <w:color w:val="auto"/>
                <w:sz w:val="20"/>
                <w:highlight w:val="none"/>
              </w:rPr>
            </w:pPr>
            <w:r>
              <w:rPr>
                <w:color w:val="auto"/>
                <w:sz w:val="20"/>
                <w:highlight w:val="none"/>
              </w:rPr>
              <w:t>《坐便器水效限定值及水效等级</w:t>
            </w:r>
          </w:p>
          <w:p>
            <w:pPr>
              <w:pStyle w:val="56"/>
              <w:spacing w:before="56"/>
              <w:ind w:left="9"/>
              <w:rPr>
                <w:color w:val="auto"/>
                <w:sz w:val="20"/>
                <w:highlight w:val="none"/>
              </w:rPr>
            </w:pPr>
            <w:r>
              <w:rPr>
                <w:color w:val="auto"/>
                <w:sz w:val="20"/>
                <w:highlight w:val="none"/>
              </w:rPr>
              <w:t>（GB 25502）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tcPr>
          <w:p>
            <w:pPr>
              <w:pStyle w:val="56"/>
              <w:spacing w:before="5"/>
              <w:rPr>
                <w:color w:val="auto"/>
                <w:sz w:val="24"/>
                <w:highlight w:val="none"/>
              </w:rPr>
            </w:pPr>
          </w:p>
          <w:p>
            <w:pPr>
              <w:pStyle w:val="56"/>
              <w:spacing w:before="1"/>
              <w:ind w:left="10"/>
              <w:rPr>
                <w:color w:val="auto"/>
                <w:sz w:val="20"/>
                <w:highlight w:val="none"/>
              </w:rPr>
            </w:pPr>
            <w:r>
              <w:rPr>
                <w:color w:val="auto"/>
                <w:sz w:val="20"/>
                <w:highlight w:val="none"/>
              </w:rPr>
              <w:t>蹲便器</w:t>
            </w:r>
          </w:p>
        </w:tc>
        <w:tc>
          <w:tcPr>
            <w:tcW w:w="1916" w:type="dxa"/>
          </w:tcPr>
          <w:p>
            <w:pPr>
              <w:pStyle w:val="56"/>
              <w:rPr>
                <w:rFonts w:ascii="Times New Roman"/>
                <w:color w:val="auto"/>
                <w:sz w:val="18"/>
                <w:highlight w:val="none"/>
              </w:rPr>
            </w:pPr>
          </w:p>
        </w:tc>
        <w:tc>
          <w:tcPr>
            <w:tcW w:w="3281" w:type="dxa"/>
          </w:tcPr>
          <w:p>
            <w:pPr>
              <w:pStyle w:val="56"/>
              <w:spacing w:before="157" w:line="292" w:lineRule="auto"/>
              <w:ind w:left="9" w:right="3"/>
              <w:rPr>
                <w:color w:val="auto"/>
                <w:sz w:val="20"/>
                <w:highlight w:val="none"/>
              </w:rPr>
            </w:pPr>
            <w:r>
              <w:rPr>
                <w:color w:val="auto"/>
                <w:sz w:val="20"/>
                <w:highlight w:val="none"/>
              </w:rPr>
              <w:t>《蹲便器用水效率限定值及用水效率等级》（GB 30717）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574" w:type="dxa"/>
            <w:vMerge w:val="continue"/>
            <w:tcBorders>
              <w:top w:val="nil"/>
            </w:tcBorders>
          </w:tcPr>
          <w:p>
            <w:pPr>
              <w:rPr>
                <w:color w:val="auto"/>
                <w:sz w:val="2"/>
                <w:szCs w:val="2"/>
                <w:highlight w:val="none"/>
              </w:rPr>
            </w:pPr>
          </w:p>
        </w:tc>
        <w:tc>
          <w:tcPr>
            <w:tcW w:w="1167" w:type="dxa"/>
            <w:vMerge w:val="continue"/>
            <w:tcBorders>
              <w:top w:val="nil"/>
            </w:tcBorders>
          </w:tcPr>
          <w:p>
            <w:pPr>
              <w:rPr>
                <w:color w:val="auto"/>
                <w:sz w:val="2"/>
                <w:szCs w:val="2"/>
                <w:highlight w:val="none"/>
              </w:rPr>
            </w:pPr>
          </w:p>
        </w:tc>
        <w:tc>
          <w:tcPr>
            <w:tcW w:w="1801" w:type="dxa"/>
          </w:tcPr>
          <w:p>
            <w:pPr>
              <w:pStyle w:val="56"/>
              <w:spacing w:before="5"/>
              <w:rPr>
                <w:color w:val="auto"/>
                <w:sz w:val="24"/>
                <w:highlight w:val="none"/>
              </w:rPr>
            </w:pPr>
          </w:p>
          <w:p>
            <w:pPr>
              <w:pStyle w:val="56"/>
              <w:spacing w:before="1"/>
              <w:ind w:left="10"/>
              <w:rPr>
                <w:color w:val="auto"/>
                <w:sz w:val="20"/>
                <w:highlight w:val="none"/>
              </w:rPr>
            </w:pPr>
            <w:r>
              <w:rPr>
                <w:color w:val="auto"/>
                <w:sz w:val="20"/>
                <w:highlight w:val="none"/>
              </w:rPr>
              <w:t>小便器</w:t>
            </w:r>
          </w:p>
        </w:tc>
        <w:tc>
          <w:tcPr>
            <w:tcW w:w="1916" w:type="dxa"/>
          </w:tcPr>
          <w:p>
            <w:pPr>
              <w:pStyle w:val="56"/>
              <w:rPr>
                <w:rFonts w:ascii="Times New Roman"/>
                <w:color w:val="auto"/>
                <w:sz w:val="18"/>
                <w:highlight w:val="none"/>
              </w:rPr>
            </w:pPr>
          </w:p>
        </w:tc>
        <w:tc>
          <w:tcPr>
            <w:tcW w:w="3281" w:type="dxa"/>
          </w:tcPr>
          <w:p>
            <w:pPr>
              <w:pStyle w:val="56"/>
              <w:spacing w:before="157" w:line="292" w:lineRule="auto"/>
              <w:ind w:left="9" w:right="3"/>
              <w:rPr>
                <w:color w:val="auto"/>
                <w:sz w:val="20"/>
                <w:highlight w:val="none"/>
              </w:rPr>
            </w:pPr>
            <w:r>
              <w:rPr>
                <w:color w:val="auto"/>
                <w:sz w:val="20"/>
                <w:highlight w:val="none"/>
              </w:rPr>
              <w:t>《小便器用水效率限定值及用水效率等级》（GB 28377）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574" w:type="dxa"/>
          </w:tcPr>
          <w:p>
            <w:pPr>
              <w:pStyle w:val="56"/>
              <w:spacing w:before="9"/>
              <w:rPr>
                <w:color w:val="auto"/>
                <w:sz w:val="26"/>
                <w:highlight w:val="none"/>
              </w:rPr>
            </w:pPr>
          </w:p>
          <w:p>
            <w:pPr>
              <w:pStyle w:val="56"/>
              <w:ind w:left="167" w:right="157"/>
              <w:jc w:val="center"/>
              <w:rPr>
                <w:color w:val="auto"/>
                <w:sz w:val="20"/>
                <w:highlight w:val="none"/>
              </w:rPr>
            </w:pPr>
            <w:r>
              <w:rPr>
                <w:color w:val="auto"/>
                <w:sz w:val="20"/>
                <w:highlight w:val="none"/>
              </w:rPr>
              <w:t>16</w:t>
            </w:r>
          </w:p>
        </w:tc>
        <w:tc>
          <w:tcPr>
            <w:tcW w:w="1167" w:type="dxa"/>
          </w:tcPr>
          <w:p>
            <w:pPr>
              <w:pStyle w:val="56"/>
              <w:spacing w:before="6"/>
              <w:rPr>
                <w:color w:val="auto"/>
                <w:sz w:val="14"/>
                <w:highlight w:val="none"/>
              </w:rPr>
            </w:pPr>
          </w:p>
          <w:p>
            <w:pPr>
              <w:pStyle w:val="56"/>
              <w:spacing w:before="1"/>
              <w:ind w:left="11"/>
              <w:rPr>
                <w:color w:val="auto"/>
                <w:sz w:val="20"/>
                <w:highlight w:val="none"/>
              </w:rPr>
            </w:pPr>
            <w:r>
              <w:rPr>
                <w:rFonts w:hint="eastAsia"/>
                <w:color w:val="auto"/>
                <w:sz w:val="20"/>
                <w:highlight w:val="none"/>
                <w:lang w:eastAsia="zh-CN"/>
              </w:rPr>
              <w:t>▼</w:t>
            </w:r>
            <w:r>
              <w:rPr>
                <w:color w:val="auto"/>
                <w:sz w:val="20"/>
                <w:highlight w:val="none"/>
              </w:rPr>
              <w:t>A060806</w:t>
            </w:r>
            <w:r>
              <w:rPr>
                <w:color w:val="auto"/>
                <w:spacing w:val="-37"/>
                <w:sz w:val="20"/>
                <w:highlight w:val="none"/>
              </w:rPr>
              <w:t xml:space="preserve"> 水</w:t>
            </w:r>
          </w:p>
          <w:p>
            <w:pPr>
              <w:pStyle w:val="56"/>
              <w:spacing w:before="55"/>
              <w:ind w:left="11"/>
              <w:rPr>
                <w:color w:val="auto"/>
                <w:sz w:val="20"/>
                <w:highlight w:val="none"/>
              </w:rPr>
            </w:pPr>
            <w:r>
              <w:rPr>
                <w:color w:val="auto"/>
                <w:w w:val="99"/>
                <w:sz w:val="20"/>
                <w:highlight w:val="none"/>
              </w:rPr>
              <w:t>嘴</w:t>
            </w:r>
          </w:p>
        </w:tc>
        <w:tc>
          <w:tcPr>
            <w:tcW w:w="1801" w:type="dxa"/>
          </w:tcPr>
          <w:p>
            <w:pPr>
              <w:pStyle w:val="56"/>
              <w:rPr>
                <w:rFonts w:ascii="Times New Roman"/>
                <w:color w:val="auto"/>
                <w:sz w:val="20"/>
                <w:highlight w:val="none"/>
              </w:rPr>
            </w:pPr>
          </w:p>
        </w:tc>
        <w:tc>
          <w:tcPr>
            <w:tcW w:w="1916" w:type="dxa"/>
          </w:tcPr>
          <w:p>
            <w:pPr>
              <w:pStyle w:val="56"/>
              <w:rPr>
                <w:rFonts w:ascii="Times New Roman"/>
                <w:color w:val="auto"/>
                <w:sz w:val="20"/>
                <w:highlight w:val="none"/>
              </w:rPr>
            </w:pPr>
          </w:p>
        </w:tc>
        <w:tc>
          <w:tcPr>
            <w:tcW w:w="3281" w:type="dxa"/>
          </w:tcPr>
          <w:p>
            <w:pPr>
              <w:pStyle w:val="56"/>
              <w:spacing w:before="6"/>
              <w:rPr>
                <w:color w:val="auto"/>
                <w:sz w:val="14"/>
                <w:highlight w:val="none"/>
              </w:rPr>
            </w:pPr>
          </w:p>
          <w:p>
            <w:pPr>
              <w:pStyle w:val="56"/>
              <w:spacing w:before="1" w:line="292" w:lineRule="auto"/>
              <w:ind w:left="9" w:right="3"/>
              <w:rPr>
                <w:color w:val="auto"/>
                <w:sz w:val="20"/>
                <w:highlight w:val="none"/>
              </w:rPr>
            </w:pPr>
            <w:r>
              <w:rPr>
                <w:color w:val="auto"/>
                <w:sz w:val="20"/>
                <w:highlight w:val="none"/>
              </w:rPr>
              <w:t>《水嘴用水效率限定值及用水效率等级》（GB 25501）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574" w:type="dxa"/>
          </w:tcPr>
          <w:p>
            <w:pPr>
              <w:pStyle w:val="56"/>
              <w:spacing w:before="6"/>
              <w:rPr>
                <w:color w:val="auto"/>
                <w:sz w:val="23"/>
                <w:highlight w:val="none"/>
              </w:rPr>
            </w:pPr>
          </w:p>
          <w:p>
            <w:pPr>
              <w:pStyle w:val="56"/>
              <w:ind w:left="167" w:right="157"/>
              <w:jc w:val="center"/>
              <w:rPr>
                <w:color w:val="auto"/>
                <w:sz w:val="20"/>
                <w:highlight w:val="none"/>
              </w:rPr>
            </w:pPr>
            <w:r>
              <w:rPr>
                <w:color w:val="auto"/>
                <w:sz w:val="20"/>
                <w:highlight w:val="none"/>
              </w:rPr>
              <w:t>17</w:t>
            </w:r>
          </w:p>
        </w:tc>
        <w:tc>
          <w:tcPr>
            <w:tcW w:w="1167" w:type="dxa"/>
          </w:tcPr>
          <w:p>
            <w:pPr>
              <w:pStyle w:val="56"/>
              <w:spacing w:before="145"/>
              <w:ind w:left="11"/>
              <w:rPr>
                <w:color w:val="auto"/>
                <w:sz w:val="20"/>
                <w:highlight w:val="none"/>
              </w:rPr>
            </w:pPr>
            <w:r>
              <w:rPr>
                <w:color w:val="auto"/>
                <w:sz w:val="20"/>
                <w:highlight w:val="none"/>
              </w:rPr>
              <w:t>A060807</w:t>
            </w:r>
            <w:r>
              <w:rPr>
                <w:color w:val="auto"/>
                <w:spacing w:val="-25"/>
                <w:sz w:val="20"/>
                <w:highlight w:val="none"/>
              </w:rPr>
              <w:t xml:space="preserve"> 便器</w:t>
            </w:r>
          </w:p>
          <w:p>
            <w:pPr>
              <w:pStyle w:val="56"/>
              <w:spacing w:before="56"/>
              <w:ind w:left="11"/>
              <w:rPr>
                <w:color w:val="auto"/>
                <w:sz w:val="20"/>
                <w:highlight w:val="none"/>
              </w:rPr>
            </w:pPr>
            <w:r>
              <w:rPr>
                <w:color w:val="auto"/>
                <w:sz w:val="20"/>
                <w:highlight w:val="none"/>
              </w:rPr>
              <w:t>冲洗阀</w:t>
            </w:r>
          </w:p>
        </w:tc>
        <w:tc>
          <w:tcPr>
            <w:tcW w:w="1801" w:type="dxa"/>
          </w:tcPr>
          <w:p>
            <w:pPr>
              <w:pStyle w:val="56"/>
              <w:rPr>
                <w:rFonts w:ascii="Times New Roman"/>
                <w:color w:val="auto"/>
                <w:sz w:val="20"/>
                <w:highlight w:val="none"/>
              </w:rPr>
            </w:pPr>
          </w:p>
        </w:tc>
        <w:tc>
          <w:tcPr>
            <w:tcW w:w="1916" w:type="dxa"/>
          </w:tcPr>
          <w:p>
            <w:pPr>
              <w:pStyle w:val="56"/>
              <w:rPr>
                <w:rFonts w:ascii="Times New Roman"/>
                <w:color w:val="auto"/>
                <w:sz w:val="20"/>
                <w:highlight w:val="none"/>
              </w:rPr>
            </w:pPr>
          </w:p>
        </w:tc>
        <w:tc>
          <w:tcPr>
            <w:tcW w:w="3281" w:type="dxa"/>
          </w:tcPr>
          <w:p>
            <w:pPr>
              <w:pStyle w:val="56"/>
              <w:spacing w:before="145" w:line="292" w:lineRule="auto"/>
              <w:ind w:left="9" w:right="3"/>
              <w:rPr>
                <w:color w:val="auto"/>
                <w:sz w:val="20"/>
                <w:highlight w:val="none"/>
              </w:rPr>
            </w:pPr>
            <w:r>
              <w:rPr>
                <w:color w:val="auto"/>
                <w:sz w:val="20"/>
                <w:highlight w:val="none"/>
              </w:rPr>
              <w:t>《便器冲洗阀用水效率限定值及用水效率等级》（GB 28379）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574" w:type="dxa"/>
          </w:tcPr>
          <w:p>
            <w:pPr>
              <w:pStyle w:val="56"/>
              <w:rPr>
                <w:color w:val="auto"/>
                <w:sz w:val="25"/>
                <w:highlight w:val="none"/>
              </w:rPr>
            </w:pPr>
          </w:p>
          <w:p>
            <w:pPr>
              <w:pStyle w:val="56"/>
              <w:ind w:left="167" w:right="157"/>
              <w:jc w:val="center"/>
              <w:rPr>
                <w:color w:val="auto"/>
                <w:sz w:val="20"/>
                <w:highlight w:val="none"/>
              </w:rPr>
            </w:pPr>
            <w:r>
              <w:rPr>
                <w:color w:val="auto"/>
                <w:sz w:val="20"/>
                <w:highlight w:val="none"/>
              </w:rPr>
              <w:t>18</w:t>
            </w:r>
          </w:p>
        </w:tc>
        <w:tc>
          <w:tcPr>
            <w:tcW w:w="1167" w:type="dxa"/>
          </w:tcPr>
          <w:p>
            <w:pPr>
              <w:pStyle w:val="56"/>
              <w:spacing w:before="164"/>
              <w:ind w:left="11"/>
              <w:rPr>
                <w:color w:val="auto"/>
                <w:sz w:val="20"/>
                <w:highlight w:val="none"/>
              </w:rPr>
            </w:pPr>
            <w:r>
              <w:rPr>
                <w:color w:val="auto"/>
                <w:sz w:val="20"/>
                <w:highlight w:val="none"/>
              </w:rPr>
              <w:t>A060810</w:t>
            </w:r>
            <w:r>
              <w:rPr>
                <w:color w:val="auto"/>
                <w:spacing w:val="-25"/>
                <w:sz w:val="20"/>
                <w:highlight w:val="none"/>
              </w:rPr>
              <w:t xml:space="preserve"> 淋浴</w:t>
            </w:r>
          </w:p>
          <w:p>
            <w:pPr>
              <w:pStyle w:val="56"/>
              <w:spacing w:before="56"/>
              <w:ind w:left="11"/>
              <w:rPr>
                <w:color w:val="auto"/>
                <w:sz w:val="20"/>
                <w:highlight w:val="none"/>
              </w:rPr>
            </w:pPr>
            <w:r>
              <w:rPr>
                <w:color w:val="auto"/>
                <w:w w:val="99"/>
                <w:sz w:val="20"/>
                <w:highlight w:val="none"/>
              </w:rPr>
              <w:t>器</w:t>
            </w:r>
          </w:p>
        </w:tc>
        <w:tc>
          <w:tcPr>
            <w:tcW w:w="1801" w:type="dxa"/>
          </w:tcPr>
          <w:p>
            <w:pPr>
              <w:pStyle w:val="56"/>
              <w:rPr>
                <w:rFonts w:ascii="Times New Roman"/>
                <w:color w:val="auto"/>
                <w:sz w:val="20"/>
                <w:highlight w:val="none"/>
              </w:rPr>
            </w:pPr>
          </w:p>
        </w:tc>
        <w:tc>
          <w:tcPr>
            <w:tcW w:w="1916" w:type="dxa"/>
          </w:tcPr>
          <w:p>
            <w:pPr>
              <w:pStyle w:val="56"/>
              <w:rPr>
                <w:rFonts w:ascii="Times New Roman"/>
                <w:color w:val="auto"/>
                <w:sz w:val="20"/>
                <w:highlight w:val="none"/>
              </w:rPr>
            </w:pPr>
          </w:p>
        </w:tc>
        <w:tc>
          <w:tcPr>
            <w:tcW w:w="3281" w:type="dxa"/>
          </w:tcPr>
          <w:p>
            <w:pPr>
              <w:pStyle w:val="56"/>
              <w:spacing w:before="164" w:line="292" w:lineRule="auto"/>
              <w:ind w:left="9" w:right="3"/>
              <w:rPr>
                <w:color w:val="auto"/>
                <w:sz w:val="20"/>
                <w:highlight w:val="none"/>
              </w:rPr>
            </w:pPr>
            <w:r>
              <w:rPr>
                <w:color w:val="auto"/>
                <w:sz w:val="20"/>
                <w:highlight w:val="none"/>
              </w:rPr>
              <w:t>《淋浴器用水效率限定值及用水效率等级》（GB 28378）</w:t>
            </w:r>
          </w:p>
        </w:tc>
      </w:tr>
    </w:tbl>
    <w:p>
      <w:pPr>
        <w:pStyle w:val="8"/>
        <w:spacing w:before="29" w:line="266" w:lineRule="auto"/>
        <w:ind w:right="51"/>
        <w:rPr>
          <w:rFonts w:hint="eastAsia" w:asciiTheme="minorEastAsia" w:hAnsiTheme="minorEastAsia" w:eastAsiaTheme="minorEastAsia" w:cstheme="minorEastAsia"/>
          <w:color w:val="auto"/>
          <w:sz w:val="21"/>
          <w:szCs w:val="21"/>
          <w:highlight w:val="none"/>
        </w:rPr>
      </w:pPr>
    </w:p>
    <w:p>
      <w:pPr>
        <w:pStyle w:val="8"/>
        <w:spacing w:before="29" w:line="360" w:lineRule="auto"/>
        <w:ind w:left="17" w:leftChars="0" w:right="51" w:hanging="17" w:hangingChars="8"/>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注</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1.</w:t>
      </w:r>
      <w:r>
        <w:rPr>
          <w:rFonts w:hint="eastAsia" w:asciiTheme="minorEastAsia" w:hAnsiTheme="minorEastAsia" w:eastAsiaTheme="minorEastAsia" w:cstheme="minorEastAsia"/>
          <w:b/>
          <w:bCs/>
          <w:color w:val="auto"/>
          <w:sz w:val="21"/>
          <w:szCs w:val="21"/>
          <w:highlight w:val="none"/>
        </w:rPr>
        <w:t>节能产品认证应依据相关国家标准的最新版本，依据国家标准中二级能效（水效）指标。</w:t>
      </w:r>
    </w:p>
    <w:p>
      <w:pPr>
        <w:pStyle w:val="58"/>
        <w:numPr>
          <w:ilvl w:val="0"/>
          <w:numId w:val="0"/>
        </w:numPr>
        <w:tabs>
          <w:tab w:val="left" w:pos="784"/>
        </w:tabs>
        <w:spacing w:before="0" w:after="0" w:line="360" w:lineRule="auto"/>
        <w:ind w:right="228" w:rightChars="0" w:firstLine="418" w:firstLineChars="200"/>
        <w:jc w:val="lef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pacing w:val="-1"/>
          <w:sz w:val="21"/>
          <w:szCs w:val="21"/>
          <w:highlight w:val="none"/>
          <w:lang w:val="en-US" w:eastAsia="zh-CN"/>
        </w:rPr>
        <w:t>2.</w:t>
      </w:r>
      <w:r>
        <w:rPr>
          <w:rFonts w:hint="eastAsia" w:asciiTheme="minorEastAsia" w:hAnsiTheme="minorEastAsia" w:eastAsiaTheme="minorEastAsia" w:cstheme="minorEastAsia"/>
          <w:b/>
          <w:bCs/>
          <w:color w:val="auto"/>
          <w:spacing w:val="-1"/>
          <w:sz w:val="21"/>
          <w:szCs w:val="21"/>
          <w:highlight w:val="none"/>
        </w:rPr>
        <w:t>上述产品中认证标准发生变更的，依据原认证标准获得的、仍在有效期内的认证</w:t>
      </w:r>
      <w:r>
        <w:rPr>
          <w:rFonts w:hint="eastAsia" w:asciiTheme="minorEastAsia" w:hAnsiTheme="minorEastAsia" w:eastAsiaTheme="minorEastAsia" w:cstheme="minorEastAsia"/>
          <w:b/>
          <w:bCs/>
          <w:color w:val="auto"/>
          <w:spacing w:val="-9"/>
          <w:sz w:val="21"/>
          <w:szCs w:val="21"/>
          <w:highlight w:val="none"/>
        </w:rPr>
        <w:t>证书可使用至</w:t>
      </w:r>
      <w:r>
        <w:rPr>
          <w:rFonts w:hint="eastAsia" w:asciiTheme="minorEastAsia" w:hAnsiTheme="minorEastAsia" w:eastAsiaTheme="minorEastAsia" w:cstheme="minorEastAsia"/>
          <w:b/>
          <w:bCs/>
          <w:color w:val="auto"/>
          <w:sz w:val="21"/>
          <w:szCs w:val="21"/>
          <w:highlight w:val="none"/>
        </w:rPr>
        <w:t>2019</w:t>
      </w:r>
      <w:r>
        <w:rPr>
          <w:rFonts w:hint="eastAsia" w:asciiTheme="minorEastAsia" w:hAnsiTheme="minorEastAsia" w:eastAsiaTheme="minorEastAsia" w:cstheme="minorEastAsia"/>
          <w:b/>
          <w:bCs/>
          <w:color w:val="auto"/>
          <w:spacing w:val="-37"/>
          <w:sz w:val="21"/>
          <w:szCs w:val="21"/>
          <w:highlight w:val="none"/>
        </w:rPr>
        <w:t xml:space="preserve">年 </w:t>
      </w:r>
      <w:r>
        <w:rPr>
          <w:rFonts w:hint="eastAsia" w:asciiTheme="minorEastAsia" w:hAnsiTheme="minorEastAsia" w:eastAsiaTheme="minorEastAsia" w:cstheme="minorEastAsia"/>
          <w:b/>
          <w:bCs/>
          <w:color w:val="auto"/>
          <w:sz w:val="21"/>
          <w:szCs w:val="21"/>
          <w:highlight w:val="none"/>
        </w:rPr>
        <w:t>6</w:t>
      </w:r>
      <w:r>
        <w:rPr>
          <w:rFonts w:hint="eastAsia" w:asciiTheme="minorEastAsia" w:hAnsiTheme="minorEastAsia" w:eastAsiaTheme="minorEastAsia" w:cstheme="minorEastAsia"/>
          <w:b/>
          <w:bCs/>
          <w:color w:val="auto"/>
          <w:spacing w:val="-38"/>
          <w:sz w:val="21"/>
          <w:szCs w:val="21"/>
          <w:highlight w:val="none"/>
        </w:rPr>
        <w:t xml:space="preserve">月 </w:t>
      </w:r>
      <w:r>
        <w:rPr>
          <w:rFonts w:hint="eastAsia" w:asciiTheme="minorEastAsia" w:hAnsiTheme="minorEastAsia" w:eastAsiaTheme="minorEastAsia" w:cstheme="minorEastAsia"/>
          <w:b/>
          <w:bCs/>
          <w:color w:val="auto"/>
          <w:spacing w:val="-38"/>
          <w:sz w:val="21"/>
          <w:szCs w:val="21"/>
          <w:highlight w:val="none"/>
          <w:lang w:val="en-US" w:eastAsia="zh-CN"/>
        </w:rPr>
        <w:t>1</w:t>
      </w:r>
      <w:r>
        <w:rPr>
          <w:rFonts w:hint="eastAsia" w:asciiTheme="minorEastAsia" w:hAnsiTheme="minorEastAsia" w:eastAsiaTheme="minorEastAsia" w:cstheme="minorEastAsia"/>
          <w:b/>
          <w:bCs/>
          <w:color w:val="auto"/>
          <w:spacing w:val="-19"/>
          <w:sz w:val="21"/>
          <w:szCs w:val="21"/>
          <w:highlight w:val="none"/>
        </w:rPr>
        <w:t>日。</w:t>
      </w:r>
    </w:p>
    <w:p>
      <w:pPr>
        <w:pStyle w:val="58"/>
        <w:numPr>
          <w:ilvl w:val="0"/>
          <w:numId w:val="0"/>
        </w:numPr>
        <w:tabs>
          <w:tab w:val="left" w:pos="784"/>
        </w:tabs>
        <w:spacing w:before="0" w:after="0" w:line="360" w:lineRule="auto"/>
        <w:ind w:right="0" w:rightChars="0" w:firstLine="41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pacing w:val="-3"/>
          <w:sz w:val="21"/>
          <w:szCs w:val="21"/>
          <w:highlight w:val="none"/>
          <w:lang w:val="en-US" w:eastAsia="zh-CN"/>
        </w:rPr>
        <w:t>3.</w:t>
      </w:r>
      <w:r>
        <w:rPr>
          <w:rFonts w:hint="eastAsia" w:asciiTheme="minorEastAsia" w:hAnsiTheme="minorEastAsia" w:eastAsiaTheme="minorEastAsia" w:cstheme="minorEastAsia"/>
          <w:b/>
          <w:bCs/>
          <w:color w:val="auto"/>
          <w:spacing w:val="-3"/>
          <w:sz w:val="21"/>
          <w:szCs w:val="21"/>
          <w:highlight w:val="none"/>
        </w:rPr>
        <w:t>以“▼”标注的为政府强制采购产品。</w:t>
      </w:r>
    </w:p>
    <w:p>
      <w:pPr>
        <w:pStyle w:val="8"/>
        <w:rPr>
          <w:rFonts w:hint="eastAsia" w:asciiTheme="minorEastAsia" w:hAnsiTheme="minorEastAsia" w:eastAsiaTheme="minorEastAsia" w:cstheme="minorEastAsia"/>
          <w:color w:val="auto"/>
          <w:sz w:val="21"/>
          <w:szCs w:val="21"/>
          <w:highlight w:val="none"/>
        </w:rPr>
      </w:pPr>
    </w:p>
    <w:sectPr>
      <w:footerReference r:id="rId13" w:type="default"/>
      <w:pgSz w:w="11906" w:h="16838"/>
      <w:pgMar w:top="1440" w:right="1417" w:bottom="1440" w:left="1417" w:header="992"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yriad Pro">
    <w:altName w:val="Malgun Gothic"/>
    <w:panose1 w:val="00000000000000000000"/>
    <w:charset w:val="00"/>
    <w:family w:val="swiss"/>
    <w:pitch w:val="default"/>
    <w:sig w:usb0="00000000" w:usb1="00000000" w:usb2="00000000" w:usb3="00000000" w:csb0="2000019F" w:csb1="00000000"/>
  </w:font>
  <w:font w:name="Malgun Gothic">
    <w:panose1 w:val="020B0503020000020004"/>
    <w:charset w:val="81"/>
    <w:family w:val="auto"/>
    <w:pitch w:val="default"/>
    <w:sig w:usb0="900002AF" w:usb1="01D77CFB" w:usb2="00000012" w:usb3="00000000" w:csb0="00080001"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 xml:space="preserve"> </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pfMzM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yl8zMyQEAAJkDAAAOAAAAAAAAAAEAIAAAAB4BAABkcnMvZTJvRG9j&#10;LnhtbFBLBQYAAAAABgAGAFkBAABZ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29</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F7+8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C8Xv7yQEAAJkDAAAOAAAAAAAAAAEAIAAAAB4BAABkcnMvZTJvRG9j&#10;LnhtbFBLBQYAAAAABgAGAFkBAABZ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 xml:space="preserve"> </w:t>
    </w:r>
    <w:r>
      <w:fldChar w:fldCharType="end"/>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48</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tUyEMkBAACZ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W1TIQyQEAAJkDAAAOAAAAAAAAAAEAIAAAAB4BAABkcnMvZTJvRG9j&#10;LnhtbFBLBQYAAAAABgAGAFkBAABZ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64</w:t>
                          </w:r>
                          <w: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rOFJ8kBAACZ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s4UnyQEAAJkDAAAOAAAAAAAAAAEAIAAAAB4BAABkcnMvZTJvRG9j&#10;LnhtbFBLBQYAAAAABgAGAFkBAABZ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64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4BBEE7"/>
    <w:multiLevelType w:val="singleLevel"/>
    <w:tmpl w:val="A64BBEE7"/>
    <w:lvl w:ilvl="0" w:tentative="0">
      <w:start w:val="7"/>
      <w:numFmt w:val="decimal"/>
      <w:suff w:val="space"/>
      <w:lvlText w:val="%1."/>
      <w:lvlJc w:val="left"/>
    </w:lvl>
  </w:abstractNum>
  <w:abstractNum w:abstractNumId="1">
    <w:nsid w:val="E96772BD"/>
    <w:multiLevelType w:val="singleLevel"/>
    <w:tmpl w:val="E96772BD"/>
    <w:lvl w:ilvl="0" w:tentative="0">
      <w:start w:val="2"/>
      <w:numFmt w:val="decimal"/>
      <w:lvlText w:val="%1."/>
      <w:lvlJc w:val="left"/>
      <w:pPr>
        <w:tabs>
          <w:tab w:val="left" w:pos="312"/>
        </w:tabs>
      </w:p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181AA9C"/>
    <w:multiLevelType w:val="singleLevel"/>
    <w:tmpl w:val="5181AA9C"/>
    <w:lvl w:ilvl="0" w:tentative="0">
      <w:start w:val="4"/>
      <w:numFmt w:val="decimal"/>
      <w:suff w:val="space"/>
      <w:lvlText w:val="%1."/>
      <w:lvlJc w:val="left"/>
    </w:lvl>
  </w:abstractNum>
  <w:abstractNum w:abstractNumId="4">
    <w:nsid w:val="58807131"/>
    <w:multiLevelType w:val="singleLevel"/>
    <w:tmpl w:val="58807131"/>
    <w:lvl w:ilvl="0" w:tentative="0">
      <w:start w:val="1"/>
      <w:numFmt w:val="decimal"/>
      <w:suff w:val="nothing"/>
      <w:lvlText w:val="%1、"/>
      <w:lvlJc w:val="left"/>
    </w:lvl>
  </w:abstractNum>
  <w:abstractNum w:abstractNumId="5">
    <w:nsid w:val="59C07086"/>
    <w:multiLevelType w:val="singleLevel"/>
    <w:tmpl w:val="59C07086"/>
    <w:lvl w:ilvl="0" w:tentative="0">
      <w:start w:val="1"/>
      <w:numFmt w:val="decimal"/>
      <w:suff w:val="nothing"/>
      <w:lvlText w:val="%1、"/>
      <w:lvlJc w:val="left"/>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F22FD"/>
    <w:rsid w:val="00264070"/>
    <w:rsid w:val="00273C85"/>
    <w:rsid w:val="00422CAF"/>
    <w:rsid w:val="00721E33"/>
    <w:rsid w:val="00875344"/>
    <w:rsid w:val="00960926"/>
    <w:rsid w:val="00AE113B"/>
    <w:rsid w:val="00B50279"/>
    <w:rsid w:val="00C83752"/>
    <w:rsid w:val="00F26D39"/>
    <w:rsid w:val="01694E46"/>
    <w:rsid w:val="01FF0928"/>
    <w:rsid w:val="02347309"/>
    <w:rsid w:val="02681060"/>
    <w:rsid w:val="02824816"/>
    <w:rsid w:val="02FE7F4D"/>
    <w:rsid w:val="032111FA"/>
    <w:rsid w:val="03523446"/>
    <w:rsid w:val="03743110"/>
    <w:rsid w:val="03B8768B"/>
    <w:rsid w:val="03C42001"/>
    <w:rsid w:val="043A712F"/>
    <w:rsid w:val="044A50F4"/>
    <w:rsid w:val="04722464"/>
    <w:rsid w:val="04B1655C"/>
    <w:rsid w:val="04D84690"/>
    <w:rsid w:val="04FF5313"/>
    <w:rsid w:val="051132F8"/>
    <w:rsid w:val="052766F7"/>
    <w:rsid w:val="054D7E31"/>
    <w:rsid w:val="0550326D"/>
    <w:rsid w:val="0566728C"/>
    <w:rsid w:val="0575368D"/>
    <w:rsid w:val="057A2E4A"/>
    <w:rsid w:val="05A07DA7"/>
    <w:rsid w:val="05A30F5C"/>
    <w:rsid w:val="05BB690F"/>
    <w:rsid w:val="05DE2F51"/>
    <w:rsid w:val="05E312D5"/>
    <w:rsid w:val="06285418"/>
    <w:rsid w:val="06564725"/>
    <w:rsid w:val="06B45FFC"/>
    <w:rsid w:val="06BD69C8"/>
    <w:rsid w:val="06E77C4C"/>
    <w:rsid w:val="077B0190"/>
    <w:rsid w:val="078C6095"/>
    <w:rsid w:val="07CA57C3"/>
    <w:rsid w:val="081123EC"/>
    <w:rsid w:val="082C50B8"/>
    <w:rsid w:val="083322F7"/>
    <w:rsid w:val="083842E2"/>
    <w:rsid w:val="0869083D"/>
    <w:rsid w:val="08B64716"/>
    <w:rsid w:val="08C82A72"/>
    <w:rsid w:val="08EF5B8B"/>
    <w:rsid w:val="094B402B"/>
    <w:rsid w:val="09726393"/>
    <w:rsid w:val="09B80603"/>
    <w:rsid w:val="0A2213B1"/>
    <w:rsid w:val="0A454C36"/>
    <w:rsid w:val="0A6025DC"/>
    <w:rsid w:val="0A697C7E"/>
    <w:rsid w:val="0A7925F0"/>
    <w:rsid w:val="0AA52129"/>
    <w:rsid w:val="0AE82922"/>
    <w:rsid w:val="0AF56C18"/>
    <w:rsid w:val="0B163B8B"/>
    <w:rsid w:val="0B64630F"/>
    <w:rsid w:val="0B7B6C76"/>
    <w:rsid w:val="0B7D7F39"/>
    <w:rsid w:val="0BD64F2A"/>
    <w:rsid w:val="0C3A0C8F"/>
    <w:rsid w:val="0C4F5747"/>
    <w:rsid w:val="0C521721"/>
    <w:rsid w:val="0C556BDD"/>
    <w:rsid w:val="0CBD4730"/>
    <w:rsid w:val="0CF83CD1"/>
    <w:rsid w:val="0D395AD0"/>
    <w:rsid w:val="0D5123C8"/>
    <w:rsid w:val="0D9F0F2E"/>
    <w:rsid w:val="0DA32A74"/>
    <w:rsid w:val="0DA34D1D"/>
    <w:rsid w:val="0DB74C81"/>
    <w:rsid w:val="0DBA0BE0"/>
    <w:rsid w:val="0DD24150"/>
    <w:rsid w:val="0E104F85"/>
    <w:rsid w:val="0E1A1774"/>
    <w:rsid w:val="0E240160"/>
    <w:rsid w:val="0E360497"/>
    <w:rsid w:val="0E6405C1"/>
    <w:rsid w:val="0E825021"/>
    <w:rsid w:val="0F094281"/>
    <w:rsid w:val="0F1E5078"/>
    <w:rsid w:val="0F2D166B"/>
    <w:rsid w:val="0F2D3FD6"/>
    <w:rsid w:val="0F5C5CAA"/>
    <w:rsid w:val="0F5F0CA1"/>
    <w:rsid w:val="0F7873D9"/>
    <w:rsid w:val="0FC460D2"/>
    <w:rsid w:val="0FEB50A0"/>
    <w:rsid w:val="0FFA621C"/>
    <w:rsid w:val="0FFF3284"/>
    <w:rsid w:val="10100742"/>
    <w:rsid w:val="101B5722"/>
    <w:rsid w:val="104F22BD"/>
    <w:rsid w:val="10677753"/>
    <w:rsid w:val="107B41D7"/>
    <w:rsid w:val="10DF5FB0"/>
    <w:rsid w:val="11147D71"/>
    <w:rsid w:val="11214746"/>
    <w:rsid w:val="11B11FA0"/>
    <w:rsid w:val="121647C7"/>
    <w:rsid w:val="12511C63"/>
    <w:rsid w:val="12757ACF"/>
    <w:rsid w:val="12EE6CC9"/>
    <w:rsid w:val="13206686"/>
    <w:rsid w:val="136E73A6"/>
    <w:rsid w:val="13BB4266"/>
    <w:rsid w:val="140842AC"/>
    <w:rsid w:val="141E2FA3"/>
    <w:rsid w:val="147E0046"/>
    <w:rsid w:val="14A53BDF"/>
    <w:rsid w:val="15023A3D"/>
    <w:rsid w:val="15024676"/>
    <w:rsid w:val="15142719"/>
    <w:rsid w:val="1552737B"/>
    <w:rsid w:val="155B2E04"/>
    <w:rsid w:val="159C7F5E"/>
    <w:rsid w:val="16701DAF"/>
    <w:rsid w:val="167247D9"/>
    <w:rsid w:val="168B6FEC"/>
    <w:rsid w:val="168F6A6D"/>
    <w:rsid w:val="16A83B3E"/>
    <w:rsid w:val="16D33A46"/>
    <w:rsid w:val="16EA5A59"/>
    <w:rsid w:val="171419F9"/>
    <w:rsid w:val="17212808"/>
    <w:rsid w:val="17586F89"/>
    <w:rsid w:val="182757CA"/>
    <w:rsid w:val="18317AF8"/>
    <w:rsid w:val="188B2674"/>
    <w:rsid w:val="18E86539"/>
    <w:rsid w:val="19DC475A"/>
    <w:rsid w:val="19F21A4B"/>
    <w:rsid w:val="19FD2F1A"/>
    <w:rsid w:val="1A305A03"/>
    <w:rsid w:val="1A415549"/>
    <w:rsid w:val="1A5367CD"/>
    <w:rsid w:val="1A6524F0"/>
    <w:rsid w:val="1A9C1008"/>
    <w:rsid w:val="1AC83A5C"/>
    <w:rsid w:val="1ACC4587"/>
    <w:rsid w:val="1B535DB2"/>
    <w:rsid w:val="1B6044D4"/>
    <w:rsid w:val="1BDC0EA6"/>
    <w:rsid w:val="1C264883"/>
    <w:rsid w:val="1C2C75D1"/>
    <w:rsid w:val="1C336D7B"/>
    <w:rsid w:val="1C423270"/>
    <w:rsid w:val="1C60058D"/>
    <w:rsid w:val="1CC56605"/>
    <w:rsid w:val="1D2742F5"/>
    <w:rsid w:val="1D432257"/>
    <w:rsid w:val="1D452A98"/>
    <w:rsid w:val="1D683894"/>
    <w:rsid w:val="1D7418C5"/>
    <w:rsid w:val="1DA60623"/>
    <w:rsid w:val="1DC5117A"/>
    <w:rsid w:val="1DE15887"/>
    <w:rsid w:val="1DE353A8"/>
    <w:rsid w:val="1E0D2474"/>
    <w:rsid w:val="1E1D6A9A"/>
    <w:rsid w:val="1E701465"/>
    <w:rsid w:val="1E83795A"/>
    <w:rsid w:val="1F176D88"/>
    <w:rsid w:val="1F5B7EC4"/>
    <w:rsid w:val="20064B96"/>
    <w:rsid w:val="203C2320"/>
    <w:rsid w:val="205F5AC8"/>
    <w:rsid w:val="209D3917"/>
    <w:rsid w:val="20BF0FC4"/>
    <w:rsid w:val="20D15C44"/>
    <w:rsid w:val="20E546C1"/>
    <w:rsid w:val="21117B79"/>
    <w:rsid w:val="2194639E"/>
    <w:rsid w:val="21C1652D"/>
    <w:rsid w:val="22082956"/>
    <w:rsid w:val="222A48EB"/>
    <w:rsid w:val="227674C0"/>
    <w:rsid w:val="228965D3"/>
    <w:rsid w:val="22B321D1"/>
    <w:rsid w:val="22CE2489"/>
    <w:rsid w:val="22F33BE7"/>
    <w:rsid w:val="233A753F"/>
    <w:rsid w:val="23757C0A"/>
    <w:rsid w:val="23771C78"/>
    <w:rsid w:val="23A05A51"/>
    <w:rsid w:val="23BC362D"/>
    <w:rsid w:val="23BE79A5"/>
    <w:rsid w:val="23CB6225"/>
    <w:rsid w:val="23EA195B"/>
    <w:rsid w:val="2408755C"/>
    <w:rsid w:val="24105818"/>
    <w:rsid w:val="241B4550"/>
    <w:rsid w:val="247312AF"/>
    <w:rsid w:val="24A40A96"/>
    <w:rsid w:val="24AC4E51"/>
    <w:rsid w:val="24D420EB"/>
    <w:rsid w:val="2509299B"/>
    <w:rsid w:val="253253D6"/>
    <w:rsid w:val="25654E69"/>
    <w:rsid w:val="2582095F"/>
    <w:rsid w:val="25BB43DA"/>
    <w:rsid w:val="25E241E4"/>
    <w:rsid w:val="25E62B70"/>
    <w:rsid w:val="26035EA4"/>
    <w:rsid w:val="263751C2"/>
    <w:rsid w:val="266E4EDA"/>
    <w:rsid w:val="2707291B"/>
    <w:rsid w:val="2738239E"/>
    <w:rsid w:val="276F047C"/>
    <w:rsid w:val="27883D84"/>
    <w:rsid w:val="28006895"/>
    <w:rsid w:val="286E3CAB"/>
    <w:rsid w:val="2872417E"/>
    <w:rsid w:val="287F32E3"/>
    <w:rsid w:val="28A603D3"/>
    <w:rsid w:val="28E937E5"/>
    <w:rsid w:val="2959448B"/>
    <w:rsid w:val="298839D7"/>
    <w:rsid w:val="29AA086A"/>
    <w:rsid w:val="29AE572B"/>
    <w:rsid w:val="29C63615"/>
    <w:rsid w:val="29EF0A22"/>
    <w:rsid w:val="29EF3E72"/>
    <w:rsid w:val="29FD37D2"/>
    <w:rsid w:val="2A3F24A4"/>
    <w:rsid w:val="2A6226CD"/>
    <w:rsid w:val="2A704DAF"/>
    <w:rsid w:val="2A9413C6"/>
    <w:rsid w:val="2A9739ED"/>
    <w:rsid w:val="2ACC147E"/>
    <w:rsid w:val="2AD70285"/>
    <w:rsid w:val="2AE6491B"/>
    <w:rsid w:val="2AFC69F1"/>
    <w:rsid w:val="2B14786A"/>
    <w:rsid w:val="2B641D79"/>
    <w:rsid w:val="2B985DCD"/>
    <w:rsid w:val="2BB30594"/>
    <w:rsid w:val="2BE719F0"/>
    <w:rsid w:val="2BF60989"/>
    <w:rsid w:val="2C171077"/>
    <w:rsid w:val="2C502F89"/>
    <w:rsid w:val="2C752FC6"/>
    <w:rsid w:val="2C9544AE"/>
    <w:rsid w:val="2D116F45"/>
    <w:rsid w:val="2D620BF4"/>
    <w:rsid w:val="2DC6028F"/>
    <w:rsid w:val="2DF55F7A"/>
    <w:rsid w:val="2DFB4406"/>
    <w:rsid w:val="2EAF22FD"/>
    <w:rsid w:val="2EBF2A7F"/>
    <w:rsid w:val="2EF83E9A"/>
    <w:rsid w:val="2F727AD3"/>
    <w:rsid w:val="2F7762DB"/>
    <w:rsid w:val="2F901033"/>
    <w:rsid w:val="2FDE0496"/>
    <w:rsid w:val="301158B1"/>
    <w:rsid w:val="303226C5"/>
    <w:rsid w:val="306B4362"/>
    <w:rsid w:val="30E66F2A"/>
    <w:rsid w:val="313846EF"/>
    <w:rsid w:val="314F08CF"/>
    <w:rsid w:val="318B02E7"/>
    <w:rsid w:val="31EB05DF"/>
    <w:rsid w:val="323B6BD7"/>
    <w:rsid w:val="327374BD"/>
    <w:rsid w:val="32E4235A"/>
    <w:rsid w:val="32EB2E03"/>
    <w:rsid w:val="33006949"/>
    <w:rsid w:val="334A14DC"/>
    <w:rsid w:val="334C7E7C"/>
    <w:rsid w:val="33A654A7"/>
    <w:rsid w:val="33D928F6"/>
    <w:rsid w:val="340958D4"/>
    <w:rsid w:val="34BF2DC0"/>
    <w:rsid w:val="35045ADE"/>
    <w:rsid w:val="351416D1"/>
    <w:rsid w:val="358920EF"/>
    <w:rsid w:val="36342A3E"/>
    <w:rsid w:val="36447892"/>
    <w:rsid w:val="36C92EEB"/>
    <w:rsid w:val="36E87840"/>
    <w:rsid w:val="37423FEE"/>
    <w:rsid w:val="37BA72F6"/>
    <w:rsid w:val="37C145BA"/>
    <w:rsid w:val="37CD2791"/>
    <w:rsid w:val="37DA7AF7"/>
    <w:rsid w:val="3805625D"/>
    <w:rsid w:val="38344670"/>
    <w:rsid w:val="386E5993"/>
    <w:rsid w:val="388E629A"/>
    <w:rsid w:val="38950F76"/>
    <w:rsid w:val="38A25B59"/>
    <w:rsid w:val="38A50C6A"/>
    <w:rsid w:val="38CC76C9"/>
    <w:rsid w:val="39374C5D"/>
    <w:rsid w:val="39524E6C"/>
    <w:rsid w:val="397F0FF2"/>
    <w:rsid w:val="39981F55"/>
    <w:rsid w:val="39CB12E3"/>
    <w:rsid w:val="39FE25FE"/>
    <w:rsid w:val="3A4C6AD2"/>
    <w:rsid w:val="3A746DAE"/>
    <w:rsid w:val="3A82375A"/>
    <w:rsid w:val="3AB81B9E"/>
    <w:rsid w:val="3ADC15C9"/>
    <w:rsid w:val="3ADF21C5"/>
    <w:rsid w:val="3AED4FBB"/>
    <w:rsid w:val="3B5D776D"/>
    <w:rsid w:val="3B65258D"/>
    <w:rsid w:val="3BA306FE"/>
    <w:rsid w:val="3BB376B2"/>
    <w:rsid w:val="3BB50773"/>
    <w:rsid w:val="3BBD1C34"/>
    <w:rsid w:val="3BE12E63"/>
    <w:rsid w:val="3BF536CB"/>
    <w:rsid w:val="3C33643B"/>
    <w:rsid w:val="3C6329C5"/>
    <w:rsid w:val="3C691CF7"/>
    <w:rsid w:val="3C6E366A"/>
    <w:rsid w:val="3C6F6D1A"/>
    <w:rsid w:val="3D2C6057"/>
    <w:rsid w:val="3D4D70BD"/>
    <w:rsid w:val="3D627FCA"/>
    <w:rsid w:val="3DD86181"/>
    <w:rsid w:val="3E215302"/>
    <w:rsid w:val="3E463783"/>
    <w:rsid w:val="3E75624D"/>
    <w:rsid w:val="3EB47D3A"/>
    <w:rsid w:val="3EB8020F"/>
    <w:rsid w:val="3ED72C4C"/>
    <w:rsid w:val="3EFF495B"/>
    <w:rsid w:val="3F531C1E"/>
    <w:rsid w:val="3FEA17E3"/>
    <w:rsid w:val="3FEC45BE"/>
    <w:rsid w:val="405C185F"/>
    <w:rsid w:val="40BE5F5A"/>
    <w:rsid w:val="40D92238"/>
    <w:rsid w:val="40EC40B3"/>
    <w:rsid w:val="40F1050C"/>
    <w:rsid w:val="410B3E07"/>
    <w:rsid w:val="410B72A2"/>
    <w:rsid w:val="410D12C1"/>
    <w:rsid w:val="4165369E"/>
    <w:rsid w:val="416610AF"/>
    <w:rsid w:val="418741F0"/>
    <w:rsid w:val="41E35FC7"/>
    <w:rsid w:val="41F373E4"/>
    <w:rsid w:val="421B029C"/>
    <w:rsid w:val="421C0DFA"/>
    <w:rsid w:val="42232FF8"/>
    <w:rsid w:val="424F1AF5"/>
    <w:rsid w:val="42837B5C"/>
    <w:rsid w:val="438E5977"/>
    <w:rsid w:val="439539AE"/>
    <w:rsid w:val="43BD73E0"/>
    <w:rsid w:val="440E0955"/>
    <w:rsid w:val="44730E35"/>
    <w:rsid w:val="447704F6"/>
    <w:rsid w:val="447908AA"/>
    <w:rsid w:val="44A1109F"/>
    <w:rsid w:val="44BC1337"/>
    <w:rsid w:val="44DD031B"/>
    <w:rsid w:val="453706FB"/>
    <w:rsid w:val="453E29A4"/>
    <w:rsid w:val="45512365"/>
    <w:rsid w:val="45AB565F"/>
    <w:rsid w:val="45F76757"/>
    <w:rsid w:val="45FD378A"/>
    <w:rsid w:val="4604228B"/>
    <w:rsid w:val="462C3F94"/>
    <w:rsid w:val="468A14B3"/>
    <w:rsid w:val="469F6E23"/>
    <w:rsid w:val="46CA1E04"/>
    <w:rsid w:val="47231741"/>
    <w:rsid w:val="474E7DCE"/>
    <w:rsid w:val="47597CD8"/>
    <w:rsid w:val="475E23B7"/>
    <w:rsid w:val="476C6C80"/>
    <w:rsid w:val="47974B61"/>
    <w:rsid w:val="47AE0CDC"/>
    <w:rsid w:val="48243396"/>
    <w:rsid w:val="48554C50"/>
    <w:rsid w:val="4867475C"/>
    <w:rsid w:val="486B6FCF"/>
    <w:rsid w:val="48956FC4"/>
    <w:rsid w:val="49102BD6"/>
    <w:rsid w:val="49132159"/>
    <w:rsid w:val="49365BD9"/>
    <w:rsid w:val="49481FD5"/>
    <w:rsid w:val="49784602"/>
    <w:rsid w:val="49891CA3"/>
    <w:rsid w:val="49CC0065"/>
    <w:rsid w:val="49D57172"/>
    <w:rsid w:val="49EC294D"/>
    <w:rsid w:val="4A050FF7"/>
    <w:rsid w:val="4A1E2951"/>
    <w:rsid w:val="4A7556EB"/>
    <w:rsid w:val="4A953C3B"/>
    <w:rsid w:val="4AC26D64"/>
    <w:rsid w:val="4B091A22"/>
    <w:rsid w:val="4B133CC7"/>
    <w:rsid w:val="4B4C5FA5"/>
    <w:rsid w:val="4B9705E8"/>
    <w:rsid w:val="4BBD1AF4"/>
    <w:rsid w:val="4BD363B8"/>
    <w:rsid w:val="4BDF2416"/>
    <w:rsid w:val="4C6F4401"/>
    <w:rsid w:val="4C7D1249"/>
    <w:rsid w:val="4C8B38F8"/>
    <w:rsid w:val="4C945975"/>
    <w:rsid w:val="4C96682A"/>
    <w:rsid w:val="4C9B3AB5"/>
    <w:rsid w:val="4CBB4CD9"/>
    <w:rsid w:val="4CD84AB1"/>
    <w:rsid w:val="4D114338"/>
    <w:rsid w:val="4D430BB7"/>
    <w:rsid w:val="4D726A38"/>
    <w:rsid w:val="4E463862"/>
    <w:rsid w:val="4E563B90"/>
    <w:rsid w:val="4E9F7936"/>
    <w:rsid w:val="4EA07161"/>
    <w:rsid w:val="4EA80645"/>
    <w:rsid w:val="4EAB451C"/>
    <w:rsid w:val="4EDD42A2"/>
    <w:rsid w:val="4F1523EE"/>
    <w:rsid w:val="4F187AF5"/>
    <w:rsid w:val="4F1B4586"/>
    <w:rsid w:val="4F440929"/>
    <w:rsid w:val="4FB311C0"/>
    <w:rsid w:val="4FD22285"/>
    <w:rsid w:val="4FF130C2"/>
    <w:rsid w:val="4FF42604"/>
    <w:rsid w:val="502C7F53"/>
    <w:rsid w:val="50B7276F"/>
    <w:rsid w:val="50F24067"/>
    <w:rsid w:val="51233D5D"/>
    <w:rsid w:val="51897E16"/>
    <w:rsid w:val="51BC3537"/>
    <w:rsid w:val="51D16F44"/>
    <w:rsid w:val="520730B4"/>
    <w:rsid w:val="52173852"/>
    <w:rsid w:val="52277860"/>
    <w:rsid w:val="52980BB5"/>
    <w:rsid w:val="52B465AA"/>
    <w:rsid w:val="52D448E3"/>
    <w:rsid w:val="52E00E82"/>
    <w:rsid w:val="52F82FFB"/>
    <w:rsid w:val="531225F7"/>
    <w:rsid w:val="531C0CC6"/>
    <w:rsid w:val="53340CC7"/>
    <w:rsid w:val="534D2682"/>
    <w:rsid w:val="5352072F"/>
    <w:rsid w:val="53A653A3"/>
    <w:rsid w:val="53B132E7"/>
    <w:rsid w:val="53EC005F"/>
    <w:rsid w:val="542069EF"/>
    <w:rsid w:val="542645AC"/>
    <w:rsid w:val="547B3A21"/>
    <w:rsid w:val="54A91E8F"/>
    <w:rsid w:val="54C21E8F"/>
    <w:rsid w:val="54C327B0"/>
    <w:rsid w:val="550301A1"/>
    <w:rsid w:val="55127E68"/>
    <w:rsid w:val="5547789C"/>
    <w:rsid w:val="560A7819"/>
    <w:rsid w:val="56100C20"/>
    <w:rsid w:val="563C2FDF"/>
    <w:rsid w:val="56E47939"/>
    <w:rsid w:val="57175EDA"/>
    <w:rsid w:val="571C39A5"/>
    <w:rsid w:val="574151A7"/>
    <w:rsid w:val="574C6FF4"/>
    <w:rsid w:val="579A5915"/>
    <w:rsid w:val="57C50243"/>
    <w:rsid w:val="58060ADA"/>
    <w:rsid w:val="580D1AB2"/>
    <w:rsid w:val="584115CF"/>
    <w:rsid w:val="587A560D"/>
    <w:rsid w:val="5883309E"/>
    <w:rsid w:val="589C1ABE"/>
    <w:rsid w:val="58D26BD9"/>
    <w:rsid w:val="59186625"/>
    <w:rsid w:val="59695EE5"/>
    <w:rsid w:val="59953023"/>
    <w:rsid w:val="599674CF"/>
    <w:rsid w:val="5A4A6C24"/>
    <w:rsid w:val="5A8075AF"/>
    <w:rsid w:val="5ABC07FA"/>
    <w:rsid w:val="5ABD67D5"/>
    <w:rsid w:val="5ACE14FA"/>
    <w:rsid w:val="5B0631DD"/>
    <w:rsid w:val="5B2C25EA"/>
    <w:rsid w:val="5B7E01B5"/>
    <w:rsid w:val="5B9223E8"/>
    <w:rsid w:val="5BA077DD"/>
    <w:rsid w:val="5BE45361"/>
    <w:rsid w:val="5C115FFA"/>
    <w:rsid w:val="5C4D2F31"/>
    <w:rsid w:val="5C5F6503"/>
    <w:rsid w:val="5C656F04"/>
    <w:rsid w:val="5CAD4DAF"/>
    <w:rsid w:val="5CED0393"/>
    <w:rsid w:val="5D0B3A01"/>
    <w:rsid w:val="5D667E3A"/>
    <w:rsid w:val="5D7756D8"/>
    <w:rsid w:val="5D834813"/>
    <w:rsid w:val="5DA721BC"/>
    <w:rsid w:val="5DCA244C"/>
    <w:rsid w:val="5E072F09"/>
    <w:rsid w:val="5E0B1DAA"/>
    <w:rsid w:val="5E5F5BF4"/>
    <w:rsid w:val="5E8A04E3"/>
    <w:rsid w:val="5E8C2C97"/>
    <w:rsid w:val="5E8C3A2E"/>
    <w:rsid w:val="5E994B44"/>
    <w:rsid w:val="5EBF0D78"/>
    <w:rsid w:val="5F6B5569"/>
    <w:rsid w:val="5F9B0D47"/>
    <w:rsid w:val="5FC04FC0"/>
    <w:rsid w:val="5FE43B4E"/>
    <w:rsid w:val="5FEC36E0"/>
    <w:rsid w:val="5FF1201F"/>
    <w:rsid w:val="5FFC265B"/>
    <w:rsid w:val="5FFC5B0D"/>
    <w:rsid w:val="6014463C"/>
    <w:rsid w:val="603B57F2"/>
    <w:rsid w:val="604868D3"/>
    <w:rsid w:val="610D5066"/>
    <w:rsid w:val="61816A0B"/>
    <w:rsid w:val="61FC4BC6"/>
    <w:rsid w:val="625260C1"/>
    <w:rsid w:val="628A1322"/>
    <w:rsid w:val="629D2A7B"/>
    <w:rsid w:val="62D05482"/>
    <w:rsid w:val="63123934"/>
    <w:rsid w:val="63227125"/>
    <w:rsid w:val="6351253B"/>
    <w:rsid w:val="638B5099"/>
    <w:rsid w:val="63A65794"/>
    <w:rsid w:val="63AE4364"/>
    <w:rsid w:val="63E442E3"/>
    <w:rsid w:val="64155D50"/>
    <w:rsid w:val="64C07F3A"/>
    <w:rsid w:val="64E32DF1"/>
    <w:rsid w:val="64F76FF0"/>
    <w:rsid w:val="64F81D85"/>
    <w:rsid w:val="64FE6286"/>
    <w:rsid w:val="65106B3E"/>
    <w:rsid w:val="653D79AC"/>
    <w:rsid w:val="654623A3"/>
    <w:rsid w:val="658D4C95"/>
    <w:rsid w:val="65932E5F"/>
    <w:rsid w:val="65A7167F"/>
    <w:rsid w:val="65A9753D"/>
    <w:rsid w:val="65DB22E5"/>
    <w:rsid w:val="668C423C"/>
    <w:rsid w:val="67150357"/>
    <w:rsid w:val="671E6D09"/>
    <w:rsid w:val="67316911"/>
    <w:rsid w:val="677859F2"/>
    <w:rsid w:val="67AF33D0"/>
    <w:rsid w:val="67FD64A6"/>
    <w:rsid w:val="680E53BD"/>
    <w:rsid w:val="68105A04"/>
    <w:rsid w:val="683B5A41"/>
    <w:rsid w:val="684B69CC"/>
    <w:rsid w:val="68552301"/>
    <w:rsid w:val="68843EF7"/>
    <w:rsid w:val="68A16ED2"/>
    <w:rsid w:val="68B9689B"/>
    <w:rsid w:val="68C5021B"/>
    <w:rsid w:val="68CF30D4"/>
    <w:rsid w:val="68DC5CD9"/>
    <w:rsid w:val="69763B37"/>
    <w:rsid w:val="6A0B6C5B"/>
    <w:rsid w:val="6A1C4ADE"/>
    <w:rsid w:val="6A29105F"/>
    <w:rsid w:val="6A494F51"/>
    <w:rsid w:val="6A7C72D0"/>
    <w:rsid w:val="6A9F08B9"/>
    <w:rsid w:val="6ACB7799"/>
    <w:rsid w:val="6AD667A4"/>
    <w:rsid w:val="6AD70C76"/>
    <w:rsid w:val="6B3C4E97"/>
    <w:rsid w:val="6B4D3807"/>
    <w:rsid w:val="6B4E0149"/>
    <w:rsid w:val="6B946AE0"/>
    <w:rsid w:val="6BA616E0"/>
    <w:rsid w:val="6BBE5D7B"/>
    <w:rsid w:val="6BD64882"/>
    <w:rsid w:val="6C2B3938"/>
    <w:rsid w:val="6C61780B"/>
    <w:rsid w:val="6C652C16"/>
    <w:rsid w:val="6C900B01"/>
    <w:rsid w:val="6C9346E3"/>
    <w:rsid w:val="6CD563D6"/>
    <w:rsid w:val="6D172819"/>
    <w:rsid w:val="6D535020"/>
    <w:rsid w:val="6D6120B3"/>
    <w:rsid w:val="6D7A68A3"/>
    <w:rsid w:val="6D8336E9"/>
    <w:rsid w:val="6DB921FB"/>
    <w:rsid w:val="6DF86FBD"/>
    <w:rsid w:val="6E151731"/>
    <w:rsid w:val="6E3D6E02"/>
    <w:rsid w:val="6EB57BB7"/>
    <w:rsid w:val="6EEB4D13"/>
    <w:rsid w:val="6F22269C"/>
    <w:rsid w:val="6F4B7827"/>
    <w:rsid w:val="6FB3070A"/>
    <w:rsid w:val="700429E7"/>
    <w:rsid w:val="7021039F"/>
    <w:rsid w:val="70356D03"/>
    <w:rsid w:val="708647CC"/>
    <w:rsid w:val="709E00E3"/>
    <w:rsid w:val="70B233A9"/>
    <w:rsid w:val="71145E1B"/>
    <w:rsid w:val="712F06ED"/>
    <w:rsid w:val="71692A39"/>
    <w:rsid w:val="71720714"/>
    <w:rsid w:val="718D78AB"/>
    <w:rsid w:val="719E1125"/>
    <w:rsid w:val="71B41D71"/>
    <w:rsid w:val="71F630DC"/>
    <w:rsid w:val="721D54AA"/>
    <w:rsid w:val="723F68E6"/>
    <w:rsid w:val="72602F96"/>
    <w:rsid w:val="72993A33"/>
    <w:rsid w:val="72B26655"/>
    <w:rsid w:val="73070703"/>
    <w:rsid w:val="73326672"/>
    <w:rsid w:val="73937CDD"/>
    <w:rsid w:val="73F178BA"/>
    <w:rsid w:val="73FE6E2A"/>
    <w:rsid w:val="74816CB1"/>
    <w:rsid w:val="74E3036D"/>
    <w:rsid w:val="754C7AE7"/>
    <w:rsid w:val="759747A8"/>
    <w:rsid w:val="75BB3DB3"/>
    <w:rsid w:val="75F50410"/>
    <w:rsid w:val="75FB0F9D"/>
    <w:rsid w:val="76166F38"/>
    <w:rsid w:val="763C4D18"/>
    <w:rsid w:val="7691216F"/>
    <w:rsid w:val="76DC5DF3"/>
    <w:rsid w:val="76F46BC4"/>
    <w:rsid w:val="76FA5626"/>
    <w:rsid w:val="770E513C"/>
    <w:rsid w:val="77240C76"/>
    <w:rsid w:val="772476F4"/>
    <w:rsid w:val="774D62A5"/>
    <w:rsid w:val="775D69DE"/>
    <w:rsid w:val="77656883"/>
    <w:rsid w:val="776B7A44"/>
    <w:rsid w:val="776F4942"/>
    <w:rsid w:val="77EF61F8"/>
    <w:rsid w:val="77F52B15"/>
    <w:rsid w:val="78784079"/>
    <w:rsid w:val="78ED2684"/>
    <w:rsid w:val="7933144A"/>
    <w:rsid w:val="79463002"/>
    <w:rsid w:val="79552B7E"/>
    <w:rsid w:val="79733D4B"/>
    <w:rsid w:val="79A704C5"/>
    <w:rsid w:val="79AB35BB"/>
    <w:rsid w:val="79CE1352"/>
    <w:rsid w:val="79EA6C9C"/>
    <w:rsid w:val="79FC79D6"/>
    <w:rsid w:val="7A0C023F"/>
    <w:rsid w:val="7A211BCA"/>
    <w:rsid w:val="7A2F0069"/>
    <w:rsid w:val="7A5769C5"/>
    <w:rsid w:val="7A6B565D"/>
    <w:rsid w:val="7B03675E"/>
    <w:rsid w:val="7B4F2E9A"/>
    <w:rsid w:val="7B521A14"/>
    <w:rsid w:val="7B7A43A1"/>
    <w:rsid w:val="7BA43465"/>
    <w:rsid w:val="7BB5051B"/>
    <w:rsid w:val="7BCD01A5"/>
    <w:rsid w:val="7D057390"/>
    <w:rsid w:val="7DAA54EF"/>
    <w:rsid w:val="7DB35752"/>
    <w:rsid w:val="7DBD5D35"/>
    <w:rsid w:val="7DDC523C"/>
    <w:rsid w:val="7DE82BA2"/>
    <w:rsid w:val="7DF0257B"/>
    <w:rsid w:val="7E182FD0"/>
    <w:rsid w:val="7E8017EF"/>
    <w:rsid w:val="7ED9263F"/>
    <w:rsid w:val="7EF73484"/>
    <w:rsid w:val="7F264338"/>
    <w:rsid w:val="7F37671F"/>
    <w:rsid w:val="7F3C1B08"/>
    <w:rsid w:val="7F931F19"/>
    <w:rsid w:val="7FA166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8"/>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3"/>
    <w:qFormat/>
    <w:uiPriority w:val="9"/>
    <w:pPr>
      <w:keepNext/>
      <w:keepLines/>
      <w:adjustRightInd w:val="0"/>
      <w:snapToGrid w:val="0"/>
      <w:spacing w:line="360" w:lineRule="auto"/>
      <w:jc w:val="center"/>
      <w:outlineLvl w:val="0"/>
    </w:pPr>
    <w:rPr>
      <w:b/>
      <w:bCs/>
      <w:kern w:val="44"/>
      <w:sz w:val="36"/>
      <w:szCs w:val="44"/>
    </w:rPr>
  </w:style>
  <w:style w:type="paragraph" w:styleId="4">
    <w:name w:val="heading 2"/>
    <w:basedOn w:val="1"/>
    <w:next w:val="1"/>
    <w:qFormat/>
    <w:uiPriority w:val="9"/>
    <w:pPr>
      <w:keepNext/>
      <w:keepLines/>
      <w:adjustRightInd w:val="0"/>
      <w:snapToGrid w:val="0"/>
      <w:spacing w:line="416" w:lineRule="auto"/>
      <w:outlineLvl w:val="1"/>
    </w:pPr>
    <w:rPr>
      <w:rFonts w:ascii="Arial" w:hAnsi="Arial" w:eastAsia="黑体"/>
      <w:b/>
      <w:bCs/>
      <w:sz w:val="32"/>
      <w:szCs w:val="32"/>
    </w:rPr>
  </w:style>
  <w:style w:type="paragraph" w:styleId="5">
    <w:name w:val="heading 3"/>
    <w:basedOn w:val="1"/>
    <w:next w:val="1"/>
    <w:qFormat/>
    <w:uiPriority w:val="0"/>
    <w:pPr>
      <w:keepNext/>
      <w:keepLines/>
      <w:adjustRightInd w:val="0"/>
      <w:snapToGrid w:val="0"/>
      <w:spacing w:line="416" w:lineRule="auto"/>
      <w:ind w:firstLine="964" w:firstLineChars="200"/>
      <w:outlineLvl w:val="2"/>
    </w:pPr>
    <w:rPr>
      <w:b/>
      <w:bCs/>
      <w:sz w:val="24"/>
      <w:szCs w:val="32"/>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7">
    <w:name w:val="annotation text"/>
    <w:basedOn w:val="1"/>
    <w:qFormat/>
    <w:uiPriority w:val="0"/>
    <w:pPr>
      <w:jc w:val="left"/>
    </w:pPr>
  </w:style>
  <w:style w:type="paragraph" w:styleId="8">
    <w:name w:val="Body Text"/>
    <w:basedOn w:val="1"/>
    <w:next w:val="1"/>
    <w:qFormat/>
    <w:uiPriority w:val="0"/>
    <w:pPr>
      <w:spacing w:after="120"/>
    </w:pPr>
  </w:style>
  <w:style w:type="paragraph" w:styleId="9">
    <w:name w:val="Body Text Indent"/>
    <w:basedOn w:val="1"/>
    <w:next w:val="10"/>
    <w:qFormat/>
    <w:uiPriority w:val="0"/>
    <w:pPr>
      <w:ind w:firstLine="630"/>
    </w:pPr>
    <w:rPr>
      <w:sz w:val="32"/>
      <w:szCs w:val="20"/>
    </w:rPr>
  </w:style>
  <w:style w:type="paragraph" w:styleId="10">
    <w:name w:val="envelope return"/>
    <w:basedOn w:val="1"/>
    <w:qFormat/>
    <w:uiPriority w:val="0"/>
    <w:pPr>
      <w:snapToGrid w:val="0"/>
    </w:pPr>
    <w:rPr>
      <w:rFonts w:ascii="Arial" w:hAnsi="Arial"/>
    </w:rPr>
  </w:style>
  <w:style w:type="paragraph" w:styleId="11">
    <w:name w:val="Plain Text"/>
    <w:basedOn w:val="1"/>
    <w:qFormat/>
    <w:uiPriority w:val="0"/>
    <w:rPr>
      <w:rFonts w:ascii="宋体" w:hAnsi="Courier New"/>
      <w:szCs w:val="20"/>
    </w:rPr>
  </w:style>
  <w:style w:type="paragraph" w:styleId="12">
    <w:name w:val="Body Text Indent 2"/>
    <w:basedOn w:val="1"/>
    <w:unhideWhenUsed/>
    <w:qFormat/>
    <w:uiPriority w:val="0"/>
    <w:pPr>
      <w:spacing w:after="120" w:line="480" w:lineRule="auto"/>
      <w:ind w:left="420" w:leftChars="200"/>
    </w:p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5">
    <w:name w:val="toc 1"/>
    <w:basedOn w:val="1"/>
    <w:next w:val="1"/>
    <w:qFormat/>
    <w:uiPriority w:val="0"/>
  </w:style>
  <w:style w:type="paragraph" w:styleId="16">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17">
    <w:name w:val="Normal (Web)"/>
    <w:basedOn w:val="1"/>
    <w:qFormat/>
    <w:uiPriority w:val="0"/>
    <w:pPr>
      <w:widowControl/>
      <w:spacing w:before="100" w:beforeAutospacing="1" w:after="100" w:afterAutospacing="1"/>
      <w:jc w:val="left"/>
    </w:pPr>
    <w:rPr>
      <w:rFonts w:ascii="宋体"/>
      <w:kern w:val="0"/>
      <w:sz w:val="18"/>
      <w:szCs w:val="18"/>
    </w:rPr>
  </w:style>
  <w:style w:type="paragraph" w:styleId="18">
    <w:name w:val="Title"/>
    <w:basedOn w:val="1"/>
    <w:next w:val="1"/>
    <w:qFormat/>
    <w:uiPriority w:val="0"/>
    <w:pPr>
      <w:spacing w:before="240" w:after="60"/>
      <w:jc w:val="center"/>
      <w:outlineLvl w:val="0"/>
    </w:pPr>
    <w:rPr>
      <w:b/>
      <w:bCs/>
      <w:sz w:val="32"/>
      <w:szCs w:val="32"/>
    </w:rPr>
  </w:style>
  <w:style w:type="paragraph" w:styleId="19">
    <w:name w:val="Body Text First Indent"/>
    <w:basedOn w:val="8"/>
    <w:qFormat/>
    <w:uiPriority w:val="0"/>
    <w:pPr>
      <w:spacing w:after="0"/>
      <w:ind w:firstLine="420" w:firstLineChars="100"/>
    </w:pPr>
    <w:rPr>
      <w:rFonts w:ascii="Arial" w:hAnsi="Arial"/>
      <w:color w:val="000000"/>
    </w:rPr>
  </w:style>
  <w:style w:type="paragraph" w:styleId="20">
    <w:name w:val="Body Text First Indent 2"/>
    <w:basedOn w:val="9"/>
    <w:next w:val="1"/>
    <w:qFormat/>
    <w:uiPriority w:val="0"/>
    <w:pPr>
      <w:keepNext/>
      <w:keepLines/>
      <w:spacing w:line="380" w:lineRule="exact"/>
      <w:ind w:firstLine="480"/>
      <w:jc w:val="left"/>
      <w:outlineLvl w:val="3"/>
    </w:pPr>
    <w:rPr>
      <w:rFonts w:hint="eastAsia" w:ascii="Times New Roman" w:hAnsi="Times New Roman"/>
      <w:b/>
      <w:sz w:val="28"/>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qFormat/>
    <w:uiPriority w:val="0"/>
  </w:style>
  <w:style w:type="character" w:styleId="25">
    <w:name w:val="FollowedHyperlink"/>
    <w:basedOn w:val="23"/>
    <w:qFormat/>
    <w:uiPriority w:val="0"/>
    <w:rPr>
      <w:color w:val="3D3D3D"/>
      <w:u w:val="none"/>
    </w:rPr>
  </w:style>
  <w:style w:type="character" w:styleId="26">
    <w:name w:val="HTML Definition"/>
    <w:basedOn w:val="23"/>
    <w:qFormat/>
    <w:uiPriority w:val="0"/>
  </w:style>
  <w:style w:type="character" w:styleId="27">
    <w:name w:val="HTML Variable"/>
    <w:basedOn w:val="23"/>
    <w:qFormat/>
    <w:uiPriority w:val="0"/>
  </w:style>
  <w:style w:type="character" w:styleId="28">
    <w:name w:val="Hyperlink"/>
    <w:basedOn w:val="23"/>
    <w:qFormat/>
    <w:uiPriority w:val="0"/>
    <w:rPr>
      <w:color w:val="3D3D3D"/>
      <w:u w:val="none"/>
    </w:rPr>
  </w:style>
  <w:style w:type="character" w:styleId="29">
    <w:name w:val="HTML Code"/>
    <w:basedOn w:val="23"/>
    <w:qFormat/>
    <w:uiPriority w:val="0"/>
    <w:rPr>
      <w:rFonts w:ascii="Courier New" w:hAnsi="Courier New"/>
      <w:sz w:val="20"/>
    </w:rPr>
  </w:style>
  <w:style w:type="character" w:styleId="30">
    <w:name w:val="annotation reference"/>
    <w:basedOn w:val="23"/>
    <w:qFormat/>
    <w:uiPriority w:val="0"/>
    <w:rPr>
      <w:sz w:val="21"/>
      <w:szCs w:val="21"/>
    </w:rPr>
  </w:style>
  <w:style w:type="character" w:styleId="31">
    <w:name w:val="HTML Cite"/>
    <w:basedOn w:val="23"/>
    <w:qFormat/>
    <w:uiPriority w:val="0"/>
  </w:style>
  <w:style w:type="paragraph" w:customStyle="1" w:styleId="32">
    <w:name w:val="标题 5（有编号）（绿盟科技）"/>
    <w:basedOn w:val="1"/>
    <w:next w:val="33"/>
    <w:qFormat/>
    <w:uiPriority w:val="99"/>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3">
    <w:name w:val="正文（绿盟科技）"/>
    <w:qFormat/>
    <w:uiPriority w:val="99"/>
    <w:pPr>
      <w:spacing w:line="300" w:lineRule="auto"/>
    </w:pPr>
    <w:rPr>
      <w:rFonts w:ascii="Arial" w:hAnsi="Arial" w:eastAsia="宋体" w:cs="黑体"/>
      <w:sz w:val="21"/>
      <w:szCs w:val="21"/>
      <w:lang w:val="en-US" w:eastAsia="zh-CN" w:bidi="ar-SA"/>
    </w:rPr>
  </w:style>
  <w:style w:type="paragraph" w:customStyle="1" w:styleId="34">
    <w:name w:val="Default"/>
    <w:next w:val="1"/>
    <w:qFormat/>
    <w:uiPriority w:val="0"/>
    <w:pPr>
      <w:widowControl w:val="0"/>
      <w:autoSpaceDE w:val="0"/>
      <w:autoSpaceDN w:val="0"/>
      <w:adjustRightInd w:val="0"/>
    </w:pPr>
    <w:rPr>
      <w:rFonts w:ascii="Myriad Pro" w:hAnsi="Myriad Pro" w:eastAsia="Myriad Pro" w:cs="Myriad Pro"/>
      <w:color w:val="000000"/>
      <w:sz w:val="24"/>
      <w:szCs w:val="24"/>
      <w:lang w:val="en-US" w:eastAsia="zh-CN" w:bidi="ar-SA"/>
    </w:rPr>
  </w:style>
  <w:style w:type="paragraph" w:customStyle="1" w:styleId="35">
    <w:name w:val="表格文字"/>
    <w:basedOn w:val="1"/>
    <w:qFormat/>
    <w:uiPriority w:val="0"/>
    <w:pPr>
      <w:autoSpaceDE w:val="0"/>
      <w:autoSpaceDN w:val="0"/>
      <w:adjustRightInd w:val="0"/>
      <w:jc w:val="left"/>
    </w:pPr>
  </w:style>
  <w:style w:type="paragraph" w:styleId="36">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37">
    <w:name w:val="WPSOffice手动目录 1"/>
    <w:qFormat/>
    <w:uiPriority w:val="0"/>
    <w:pPr>
      <w:adjustRightInd w:val="0"/>
      <w:snapToGrid w:val="0"/>
      <w:spacing w:line="360" w:lineRule="auto"/>
    </w:pPr>
    <w:rPr>
      <w:rFonts w:ascii="Times New Roman" w:hAnsi="Times New Roman" w:eastAsia="宋体" w:cs="Times New Roman"/>
      <w:sz w:val="24"/>
      <w:lang w:val="en-US" w:eastAsia="zh-CN" w:bidi="ar-SA"/>
    </w:rPr>
  </w:style>
  <w:style w:type="paragraph" w:customStyle="1" w:styleId="38">
    <w:name w:val="正文首行缩进两字符"/>
    <w:basedOn w:val="1"/>
    <w:qFormat/>
    <w:uiPriority w:val="0"/>
    <w:pPr>
      <w:spacing w:line="360" w:lineRule="auto"/>
      <w:ind w:firstLine="200" w:firstLineChars="200"/>
    </w:pPr>
  </w:style>
  <w:style w:type="paragraph" w:customStyle="1" w:styleId="39">
    <w:name w:val="_正文段落"/>
    <w:basedOn w:val="1"/>
    <w:qFormat/>
    <w:uiPriority w:val="0"/>
    <w:pPr>
      <w:spacing w:beforeLines="15" w:afterLines="15" w:line="360" w:lineRule="auto"/>
      <w:ind w:firstLine="200" w:firstLineChars="200"/>
    </w:pPr>
    <w:rPr>
      <w:rFonts w:ascii="宋体" w:eastAsia="仿宋_GB2312"/>
      <w:kern w:val="0"/>
      <w:sz w:val="28"/>
    </w:rPr>
  </w:style>
  <w:style w:type="paragraph" w:customStyle="1" w:styleId="4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1">
    <w:name w:val="正文文本 21"/>
    <w:basedOn w:val="1"/>
    <w:qFormat/>
    <w:uiPriority w:val="0"/>
    <w:pPr>
      <w:adjustRightInd w:val="0"/>
      <w:spacing w:line="300" w:lineRule="auto"/>
      <w:jc w:val="center"/>
      <w:textAlignment w:val="baseline"/>
    </w:pPr>
    <w:rPr>
      <w:rFonts w:ascii="宋体" w:hAnsi="宋体"/>
      <w:kern w:val="0"/>
      <w:sz w:val="24"/>
      <w:szCs w:val="20"/>
    </w:rPr>
  </w:style>
  <w:style w:type="paragraph" w:customStyle="1" w:styleId="42">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43">
    <w:name w:val="列出段落1"/>
    <w:basedOn w:val="1"/>
    <w:qFormat/>
    <w:uiPriority w:val="34"/>
    <w:pPr>
      <w:ind w:firstLine="420" w:firstLineChars="200"/>
    </w:pPr>
  </w:style>
  <w:style w:type="paragraph" w:customStyle="1" w:styleId="44">
    <w:name w:val="列出段落11"/>
    <w:basedOn w:val="1"/>
    <w:qFormat/>
    <w:uiPriority w:val="34"/>
    <w:pPr>
      <w:ind w:firstLine="420" w:firstLineChars="200"/>
    </w:pPr>
    <w:rPr>
      <w:rFonts w:ascii="宋体" w:hAnsi="宋体" w:cs="宋体"/>
      <w:sz w:val="24"/>
    </w:rPr>
  </w:style>
  <w:style w:type="paragraph" w:customStyle="1" w:styleId="45">
    <w:name w:val="样式 首行缩进:  2 字符"/>
    <w:basedOn w:val="1"/>
    <w:qFormat/>
    <w:uiPriority w:val="0"/>
    <w:pPr>
      <w:spacing w:line="400" w:lineRule="exact"/>
      <w:ind w:firstLine="200" w:firstLineChars="200"/>
    </w:pPr>
    <w:rPr>
      <w:rFonts w:cs="宋体"/>
      <w:sz w:val="24"/>
    </w:rPr>
  </w:style>
  <w:style w:type="paragraph" w:customStyle="1" w:styleId="46">
    <w:name w:val="p0"/>
    <w:basedOn w:val="1"/>
    <w:qFormat/>
    <w:uiPriority w:val="0"/>
    <w:pPr>
      <w:widowControl/>
    </w:pPr>
    <w:rPr>
      <w:kern w:val="0"/>
      <w:szCs w:val="21"/>
    </w:rPr>
  </w:style>
  <w:style w:type="paragraph" w:customStyle="1" w:styleId="47">
    <w:name w:val="List Paragraph1"/>
    <w:basedOn w:val="1"/>
    <w:qFormat/>
    <w:uiPriority w:val="0"/>
    <w:pPr>
      <w:ind w:firstLine="420" w:firstLineChars="200"/>
    </w:pPr>
    <w:rPr>
      <w:rFonts w:ascii="Calibri" w:hAnsi="Calibri"/>
      <w:szCs w:val="22"/>
    </w:rPr>
  </w:style>
  <w:style w:type="character" w:customStyle="1" w:styleId="48">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49">
    <w:name w:val="img"/>
    <w:basedOn w:val="23"/>
    <w:qFormat/>
    <w:uiPriority w:val="0"/>
  </w:style>
  <w:style w:type="character" w:customStyle="1" w:styleId="50">
    <w:name w:val="img1"/>
    <w:basedOn w:val="23"/>
    <w:qFormat/>
    <w:uiPriority w:val="0"/>
  </w:style>
  <w:style w:type="paragraph" w:customStyle="1" w:styleId="51">
    <w:name w:val="BodyText"/>
    <w:basedOn w:val="1"/>
    <w:next w:val="52"/>
    <w:qFormat/>
    <w:uiPriority w:val="0"/>
    <w:pPr>
      <w:spacing w:after="120"/>
    </w:pPr>
  </w:style>
  <w:style w:type="paragraph" w:customStyle="1" w:styleId="52">
    <w:name w:val="UserStyle_0"/>
    <w:next w:val="1"/>
    <w:qFormat/>
    <w:uiPriority w:val="0"/>
    <w:pPr>
      <w:widowControl/>
      <w:spacing w:before="200" w:after="160"/>
      <w:ind w:left="864" w:right="864"/>
      <w:jc w:val="center"/>
      <w:textAlignment w:val="baseline"/>
    </w:pPr>
    <w:rPr>
      <w:rFonts w:ascii="Calibri" w:hAnsi="Calibri" w:eastAsia="宋体" w:cs="Times New Roman"/>
      <w:i/>
      <w:sz w:val="21"/>
      <w:szCs w:val="22"/>
      <w:lang w:val="en-US" w:eastAsia="zh-CN" w:bidi="ar-SA"/>
    </w:rPr>
  </w:style>
  <w:style w:type="paragraph" w:customStyle="1" w:styleId="53">
    <w:name w:val="Body text|1"/>
    <w:basedOn w:val="1"/>
    <w:qFormat/>
    <w:uiPriority w:val="0"/>
    <w:pPr>
      <w:spacing w:line="432" w:lineRule="auto"/>
    </w:pPr>
    <w:rPr>
      <w:rFonts w:ascii="宋体" w:hAnsi="宋体" w:cs="宋体"/>
      <w:sz w:val="22"/>
      <w:szCs w:val="22"/>
      <w:lang w:val="zh-TW" w:eastAsia="zh-TW" w:bidi="zh-TW"/>
    </w:rPr>
  </w:style>
  <w:style w:type="paragraph" w:customStyle="1" w:styleId="54">
    <w:name w:val="_Style 3"/>
    <w:basedOn w:val="1"/>
    <w:next w:val="1"/>
    <w:qFormat/>
    <w:uiPriority w:val="0"/>
    <w:pPr>
      <w:ind w:firstLine="420" w:firstLineChars="200"/>
    </w:pPr>
  </w:style>
  <w:style w:type="character" w:customStyle="1" w:styleId="55">
    <w:name w:val="font01"/>
    <w:basedOn w:val="23"/>
    <w:qFormat/>
    <w:uiPriority w:val="99"/>
    <w:rPr>
      <w:rFonts w:ascii="仿宋_GB2312" w:eastAsia="仿宋_GB2312" w:cs="仿宋_GB2312"/>
      <w:color w:val="000000"/>
      <w:sz w:val="20"/>
      <w:szCs w:val="20"/>
      <w:u w:val="none"/>
    </w:rPr>
  </w:style>
  <w:style w:type="paragraph" w:customStyle="1" w:styleId="56">
    <w:name w:val="Table Paragraph"/>
    <w:basedOn w:val="1"/>
    <w:unhideWhenUsed/>
    <w:qFormat/>
    <w:uiPriority w:val="1"/>
    <w:rPr>
      <w:sz w:val="24"/>
    </w:rPr>
  </w:style>
  <w:style w:type="paragraph" w:customStyle="1" w:styleId="57">
    <w:name w:val="_Style 1"/>
    <w:basedOn w:val="1"/>
    <w:qFormat/>
    <w:uiPriority w:val="0"/>
    <w:pPr>
      <w:ind w:firstLine="420" w:firstLineChars="200"/>
    </w:pPr>
  </w:style>
  <w:style w:type="paragraph" w:styleId="58">
    <w:name w:val="List Paragraph"/>
    <w:basedOn w:val="1"/>
    <w:qFormat/>
    <w:uiPriority w:val="1"/>
    <w:pPr>
      <w:ind w:left="119" w:hanging="223"/>
    </w:pPr>
    <w:rPr>
      <w:rFonts w:ascii="宋体" w:hAnsi="宋体" w:eastAsia="宋体" w:cs="宋体"/>
      <w:lang w:val="zh-CN" w:eastAsia="zh-CN" w:bidi="zh-CN"/>
    </w:rPr>
  </w:style>
  <w:style w:type="paragraph" w:customStyle="1" w:styleId="59">
    <w:name w:val="正文 A"/>
    <w:next w:val="8"/>
    <w:qFormat/>
    <w:uiPriority w:val="0"/>
    <w:rPr>
      <w:rFonts w:hint="eastAsia" w:ascii="Arial Unicode MS" w:hAnsi="Arial Unicode MS" w:eastAsia="Times New Roman" w:cs="Arial Unicode MS"/>
      <w:color w:val="000000"/>
      <w:sz w:val="24"/>
      <w:szCs w:val="24"/>
      <w:u w:color="000000"/>
      <w:lang w:val="en-US" w:eastAsia="zh-CN" w:bidi="ar-SA"/>
    </w:rPr>
  </w:style>
  <w:style w:type="paragraph" w:customStyle="1" w:styleId="60">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61">
    <w:name w:val="font81"/>
    <w:basedOn w:val="23"/>
    <w:qFormat/>
    <w:uiPriority w:val="0"/>
    <w:rPr>
      <w:rFonts w:hint="eastAsia" w:ascii="宋体" w:hAnsi="宋体" w:eastAsia="宋体" w:cs="宋体"/>
      <w:color w:val="000000"/>
      <w:sz w:val="32"/>
      <w:szCs w:val="32"/>
      <w:u w:val="none"/>
    </w:rPr>
  </w:style>
  <w:style w:type="table" w:customStyle="1" w:styleId="62">
    <w:name w:val="Table Normal"/>
    <w:qFormat/>
    <w:uiPriority w:val="2"/>
    <w:tblPr>
      <w:tblCellMar>
        <w:top w:w="0" w:type="dxa"/>
        <w:left w:w="0" w:type="dxa"/>
        <w:bottom w:w="0" w:type="dxa"/>
        <w:right w:w="0" w:type="dxa"/>
      </w:tblCellMar>
    </w:tblPr>
  </w:style>
  <w:style w:type="character" w:customStyle="1" w:styleId="63">
    <w:name w:val="标题 1 Char"/>
    <w:link w:val="3"/>
    <w:qFormat/>
    <w:uiPriority w:val="9"/>
    <w:rPr>
      <w:b/>
      <w:bCs/>
      <w:kern w:val="44"/>
      <w:sz w:val="36"/>
      <w:szCs w:val="44"/>
    </w:rPr>
  </w:style>
  <w:style w:type="character" w:customStyle="1" w:styleId="64">
    <w:name w:val="无"/>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85</Pages>
  <Words>46180</Words>
  <Characters>48776</Characters>
  <Lines>372</Lines>
  <Paragraphs>104</Paragraphs>
  <TotalTime>24</TotalTime>
  <ScaleCrop>false</ScaleCrop>
  <LinksUpToDate>false</LinksUpToDate>
  <CharactersWithSpaces>50020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2019-06-13T02:50:00Z</dcterms:created>
  <dc:creator>Administrator</dc:creator>
  <cp:lastModifiedBy>L.</cp:lastModifiedBy>
  <cp:lastPrinted>2021-08-27T07:17:00Z</cp:lastPrinted>
  <dcterms:modified xsi:type="dcterms:W3CDTF">2021-11-26T00:55:39Z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21751FEC8D5E4D1BAE442ADE89EE2F1B</vt:lpwstr>
  </property>
</Properties>
</file>