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000000"/>
          <w:sz w:val="30"/>
          <w:szCs w:val="30"/>
          <w:highlight w:val="none"/>
        </w:rPr>
      </w:pPr>
      <w:bookmarkStart w:id="301" w:name="_GoBack"/>
      <w:bookmarkEnd w:id="301"/>
      <w:r>
        <w:rPr>
          <w:rFonts w:hint="eastAsia" w:ascii="宋体" w:hAnsi="宋体" w:cs="宋体"/>
          <w:b/>
          <w:color w:val="000000"/>
          <w:sz w:val="30"/>
          <w:szCs w:val="30"/>
          <w:highlight w:val="none"/>
        </w:rPr>
        <w:t xml:space="preserve"> 采购编号：510118202100180</w:t>
      </w:r>
    </w:p>
    <w:p>
      <w:pPr>
        <w:pStyle w:val="2"/>
      </w:pPr>
    </w:p>
    <w:p>
      <w:pPr>
        <w:pStyle w:val="2"/>
        <w:rPr>
          <w:rFonts w:hAnsi="宋体"/>
        </w:rPr>
      </w:pPr>
    </w:p>
    <w:p>
      <w:pPr>
        <w:pStyle w:val="9"/>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lang w:eastAsia="zh-CN"/>
        </w:rPr>
        <w:t>成都东部新区党工委管委会(成都市东部新城办)综合执法局成都东部新区食品安全快速检测项目</w:t>
      </w:r>
    </w:p>
    <w:p>
      <w:pPr>
        <w:pStyle w:val="9"/>
        <w:jc w:val="center"/>
        <w:rPr>
          <w:rFonts w:ascii="宋体" w:hAnsi="宋体" w:cs="宋体"/>
          <w:b/>
          <w:bCs/>
          <w:color w:val="000000"/>
          <w:sz w:val="24"/>
        </w:rPr>
      </w:pP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竞</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争</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性</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磋</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商</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文</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件</w:t>
      </w:r>
    </w:p>
    <w:p>
      <w:pPr>
        <w:pStyle w:val="2"/>
        <w:rPr>
          <w:rFonts w:hAnsi="宋体"/>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中国·成都</w:t>
      </w:r>
    </w:p>
    <w:p>
      <w:pPr>
        <w:spacing w:line="360" w:lineRule="auto"/>
        <w:ind w:left="3208" w:leftChars="304" w:hanging="2570" w:hangingChars="800"/>
        <w:rPr>
          <w:rFonts w:ascii="宋体" w:hAnsi="宋体" w:cs="宋体"/>
          <w:b/>
          <w:color w:val="000000"/>
          <w:sz w:val="32"/>
          <w:szCs w:val="32"/>
        </w:rPr>
      </w:pPr>
      <w:r>
        <w:rPr>
          <w:rFonts w:hint="eastAsia" w:ascii="宋体" w:hAnsi="宋体" w:cs="宋体"/>
          <w:b/>
          <w:color w:val="000000"/>
          <w:sz w:val="32"/>
          <w:szCs w:val="32"/>
        </w:rPr>
        <w:t>采购人：成都东部新区党工委管委会(成都市东部新城办)综合执法局</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 xml:space="preserve">  采购代理机构：四川建茂同方工程项目管理有限公司</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共同编制</w:t>
      </w:r>
    </w:p>
    <w:p>
      <w:pPr>
        <w:spacing w:line="360" w:lineRule="auto"/>
        <w:jc w:val="center"/>
        <w:rPr>
          <w:rFonts w:ascii="宋体" w:hAnsi="宋体" w:cs="宋体"/>
          <w:b/>
          <w:bCs/>
          <w:color w:val="000000"/>
          <w:sz w:val="32"/>
          <w:szCs w:val="32"/>
          <w:lang w:val="zh-CN"/>
        </w:rPr>
      </w:pPr>
      <w:r>
        <w:rPr>
          <w:rFonts w:hint="eastAsia" w:ascii="宋体" w:hAnsi="宋体" w:cs="宋体"/>
          <w:b/>
          <w:color w:val="000000"/>
          <w:sz w:val="30"/>
          <w:szCs w:val="30"/>
        </w:rPr>
        <w:t>2021年10</w:t>
      </w:r>
      <w:r>
        <w:rPr>
          <w:rFonts w:hint="eastAsia" w:ascii="宋体" w:hAnsi="宋体" w:cs="宋体"/>
          <w:b/>
          <w:bCs/>
          <w:color w:val="000000"/>
          <w:sz w:val="32"/>
          <w:szCs w:val="32"/>
          <w:lang w:val="zh-CN"/>
        </w:rPr>
        <w:t>月</w:t>
      </w:r>
    </w:p>
    <w:p>
      <w:pPr>
        <w:pStyle w:val="4"/>
        <w:keepNext w:val="0"/>
        <w:keepLines w:val="0"/>
        <w:spacing w:line="360" w:lineRule="auto"/>
        <w:rPr>
          <w:rFonts w:ascii="宋体" w:hAnsi="宋体" w:eastAsia="宋体" w:cs="宋体"/>
          <w:bCs w:val="0"/>
          <w:color w:val="000000"/>
          <w:sz w:val="36"/>
        </w:rPr>
        <w:sectPr>
          <w:headerReference r:id="rId5"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_Hlt101843627"/>
      <w:bookmarkEnd w:id="0"/>
      <w:bookmarkStart w:id="1" w:name="_Hlt101233737"/>
      <w:bookmarkEnd w:id="1"/>
    </w:p>
    <w:p>
      <w:pPr>
        <w:jc w:val="center"/>
        <w:rPr>
          <w:rFonts w:ascii="宋体" w:hAnsi="宋体" w:cs="宋体"/>
          <w:b/>
          <w:bCs/>
          <w:sz w:val="44"/>
          <w:szCs w:val="44"/>
        </w:rPr>
      </w:pPr>
      <w:r>
        <w:rPr>
          <w:rFonts w:hint="eastAsia" w:ascii="宋体" w:hAnsi="宋体" w:cs="宋体"/>
          <w:b/>
          <w:bCs/>
          <w:sz w:val="44"/>
          <w:szCs w:val="44"/>
        </w:rPr>
        <w:t>目 录</w:t>
      </w:r>
    </w:p>
    <w:p>
      <w:pPr>
        <w:pStyle w:val="2"/>
        <w:rPr>
          <w:rFonts w:hAnsi="宋体"/>
        </w:rPr>
      </w:pPr>
    </w:p>
    <w:p>
      <w:pPr>
        <w:pStyle w:val="73"/>
        <w:tabs>
          <w:tab w:val="right" w:leader="dot" w:pos="8306"/>
        </w:tabs>
        <w:spacing w:line="60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"_Toc6910" </w:instrText>
      </w:r>
      <w:r>
        <w:fldChar w:fldCharType="separate"/>
      </w:r>
      <w:r>
        <w:rPr>
          <w:rFonts w:hint="eastAsia" w:ascii="宋体" w:hAnsi="宋体" w:cs="宋体"/>
          <w:sz w:val="24"/>
          <w:szCs w:val="24"/>
        </w:rPr>
        <w:t>第一章  磋商邀请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_Toc6910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"_Toc24420" </w:instrText>
      </w:r>
      <w:r>
        <w:fldChar w:fldCharType="separate"/>
      </w:r>
      <w:r>
        <w:rPr>
          <w:rFonts w:hint="eastAsia" w:ascii="宋体" w:hAnsi="宋体" w:cs="宋体"/>
          <w:sz w:val="24"/>
          <w:szCs w:val="24"/>
        </w:rPr>
        <w:t>第二章 磋商须知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_Toc24420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"_Toc2360" </w:instrText>
      </w:r>
      <w:r>
        <w:fldChar w:fldCharType="separate"/>
      </w:r>
      <w:r>
        <w:rPr>
          <w:rFonts w:hint="eastAsia" w:ascii="宋体" w:hAnsi="宋体" w:cs="宋体"/>
          <w:sz w:val="24"/>
          <w:szCs w:val="24"/>
        </w:rPr>
        <w:t>第三章</w:t>
      </w:r>
      <w:r>
        <w:rPr>
          <w:rFonts w:hint="eastAsia" w:ascii="宋体" w:hAnsi="宋体" w:cs="宋体"/>
          <w:bCs/>
          <w:kern w:val="2"/>
          <w:sz w:val="24"/>
          <w:szCs w:val="24"/>
        </w:rPr>
        <w:t xml:space="preserve"> </w:t>
      </w:r>
      <w:r>
        <w:rPr>
          <w:rFonts w:hint="eastAsia" w:ascii="宋体" w:hAnsi="宋体" w:cs="宋体"/>
          <w:sz w:val="24"/>
          <w:szCs w:val="24"/>
        </w:rPr>
        <w:t>供应商资格条件要求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_Toc2360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"_Toc27415" </w:instrText>
      </w:r>
      <w:r>
        <w:fldChar w:fldCharType="separate"/>
      </w:r>
      <w:r>
        <w:rPr>
          <w:rFonts w:hint="eastAsia" w:ascii="宋体" w:hAnsi="宋体" w:cs="宋体"/>
          <w:sz w:val="24"/>
          <w:szCs w:val="24"/>
        </w:rPr>
        <w:t>第四章 供应商资格证明材料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_Toc27415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"_Toc6674" </w:instrText>
      </w:r>
      <w:r>
        <w:fldChar w:fldCharType="separate"/>
      </w:r>
      <w:r>
        <w:rPr>
          <w:rFonts w:hint="eastAsia" w:ascii="宋体" w:hAnsi="宋体" w:cs="宋体"/>
          <w:sz w:val="24"/>
          <w:szCs w:val="24"/>
        </w:rPr>
        <w:t>第五章  采购项目技术、服务、政府采购合同内容条款及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_Toc6674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"_Toc30534" </w:instrText>
      </w:r>
      <w:r>
        <w:fldChar w:fldCharType="separate"/>
      </w:r>
      <w:r>
        <w:rPr>
          <w:rFonts w:hint="eastAsia" w:ascii="宋体" w:hAnsi="宋体" w:cs="宋体"/>
          <w:sz w:val="24"/>
          <w:szCs w:val="24"/>
        </w:rPr>
        <w:t>第六章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_Toc30534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"_Toc10605" </w:instrText>
      </w:r>
      <w:r>
        <w:fldChar w:fldCharType="separate"/>
      </w:r>
      <w:r>
        <w:rPr>
          <w:rFonts w:hint="eastAsia" w:ascii="宋体" w:hAnsi="宋体" w:cs="宋体"/>
          <w:sz w:val="24"/>
          <w:szCs w:val="24"/>
        </w:rPr>
        <w:t>第七章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_Toc10605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pPr>
        <w:pStyle w:val="73"/>
        <w:tabs>
          <w:tab w:val="right" w:leader="dot" w:pos="8306"/>
        </w:tabs>
        <w:spacing w:line="600" w:lineRule="auto"/>
        <w:rPr>
          <w:rFonts w:ascii="宋体" w:hAnsi="宋体" w:cs="宋体"/>
          <w:sz w:val="24"/>
          <w:szCs w:val="24"/>
        </w:rPr>
      </w:pPr>
      <w:r>
        <w:fldChar w:fldCharType="begin"/>
      </w:r>
      <w:r>
        <w:instrText xml:space="preserve"> HYPERLINK \l "_Toc23839" </w:instrText>
      </w:r>
      <w:r>
        <w:fldChar w:fldCharType="separate"/>
      </w:r>
      <w:r>
        <w:rPr>
          <w:rFonts w:hint="eastAsia" w:ascii="宋体" w:hAnsi="宋体" w:cs="宋体"/>
          <w:sz w:val="24"/>
          <w:szCs w:val="24"/>
        </w:rPr>
        <w:t>第八章  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_Toc23839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pPr>
        <w:spacing w:line="600" w:lineRule="auto"/>
        <w:rPr>
          <w:rFonts w:ascii="宋体" w:hAnsi="宋体" w:cs="宋体"/>
        </w:rPr>
      </w:pPr>
      <w:r>
        <w:rPr>
          <w:rFonts w:hint="eastAsia" w:ascii="宋体" w:hAnsi="宋体" w:cs="宋体"/>
          <w:sz w:val="24"/>
        </w:rPr>
        <w:fldChar w:fldCharType="end"/>
      </w: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rPr>
          <w:rFonts w:ascii="宋体" w:hAnsi="宋体" w:cs="宋体"/>
          <w:bCs/>
          <w:color w:val="000000"/>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4"/>
        <w:jc w:val="center"/>
        <w:rPr>
          <w:rFonts w:ascii="宋体" w:hAnsi="宋体" w:eastAsia="宋体" w:cs="宋体"/>
          <w:color w:val="000000"/>
        </w:rPr>
      </w:pPr>
      <w:bookmarkStart w:id="2" w:name="_Toc9190"/>
      <w:bookmarkStart w:id="3" w:name="_Toc6910"/>
      <w:bookmarkStart w:id="4" w:name="_Toc2872"/>
      <w:r>
        <w:rPr>
          <w:rFonts w:hint="eastAsia" w:ascii="宋体" w:hAnsi="宋体" w:eastAsia="宋体" w:cs="宋体"/>
          <w:color w:val="000000"/>
        </w:rPr>
        <w:t>第一章  磋商邀请</w:t>
      </w:r>
      <w:bookmarkEnd w:id="2"/>
      <w:bookmarkEnd w:id="3"/>
      <w:bookmarkEnd w:id="4"/>
    </w:p>
    <w:p>
      <w:pPr>
        <w:spacing w:line="360" w:lineRule="auto"/>
        <w:ind w:firstLine="482" w:firstLineChars="200"/>
        <w:jc w:val="left"/>
        <w:rPr>
          <w:rFonts w:ascii="宋体" w:hAnsi="宋体" w:cs="宋体"/>
          <w:color w:val="000000"/>
          <w:sz w:val="24"/>
          <w:szCs w:val="28"/>
        </w:rPr>
      </w:pPr>
      <w:r>
        <w:rPr>
          <w:rFonts w:hint="eastAsia" w:ascii="宋体" w:hAnsi="宋体" w:cs="宋体"/>
          <w:b/>
          <w:bCs/>
          <w:color w:val="000000"/>
          <w:sz w:val="24"/>
          <w:szCs w:val="28"/>
          <w:u w:val="single"/>
        </w:rPr>
        <w:t>四川建茂同方工程项目管理有限公司</w:t>
      </w:r>
      <w:r>
        <w:rPr>
          <w:rFonts w:hint="eastAsia" w:ascii="宋体" w:hAnsi="宋体" w:cs="宋体"/>
          <w:color w:val="000000"/>
          <w:sz w:val="24"/>
          <w:szCs w:val="28"/>
        </w:rPr>
        <w:t>受</w:t>
      </w:r>
      <w:r>
        <w:rPr>
          <w:rFonts w:hint="eastAsia" w:ascii="宋体" w:hAnsi="宋体" w:cs="宋体"/>
          <w:b/>
          <w:bCs/>
          <w:color w:val="000000"/>
          <w:sz w:val="24"/>
          <w:szCs w:val="28"/>
          <w:u w:val="single"/>
        </w:rPr>
        <w:t>成都东部新区党工委管委会(成都市东部新城办)综合执法局</w:t>
      </w:r>
      <w:r>
        <w:rPr>
          <w:rFonts w:hint="eastAsia" w:ascii="宋体" w:hAnsi="宋体" w:cs="宋体"/>
          <w:color w:val="000000"/>
          <w:sz w:val="24"/>
          <w:szCs w:val="28"/>
        </w:rPr>
        <w:t>委托，拟对</w:t>
      </w:r>
      <w:r>
        <w:rPr>
          <w:rFonts w:hint="eastAsia" w:ascii="宋体" w:hAnsi="宋体" w:cs="宋体"/>
          <w:b/>
          <w:bCs/>
          <w:color w:val="000000"/>
          <w:sz w:val="24"/>
          <w:szCs w:val="28"/>
          <w:u w:val="single"/>
          <w:lang w:eastAsia="zh-CN"/>
        </w:rPr>
        <w:t>成都东部新区党工委管委会(成都市东部新城办)综合执法局成都东部新区食品安全快速检测项目</w:t>
      </w:r>
      <w:r>
        <w:rPr>
          <w:rFonts w:hint="eastAsia" w:ascii="宋体" w:hAnsi="宋体" w:cs="宋体"/>
          <w:color w:val="000000"/>
          <w:sz w:val="24"/>
          <w:szCs w:val="28"/>
        </w:rPr>
        <w:t>采用</w:t>
      </w:r>
      <w:r>
        <w:rPr>
          <w:rFonts w:hint="eastAsia" w:ascii="宋体" w:hAnsi="宋体" w:cs="宋体"/>
          <w:b/>
          <w:bCs/>
          <w:color w:val="000000"/>
          <w:sz w:val="24"/>
          <w:szCs w:val="28"/>
          <w:u w:val="single"/>
        </w:rPr>
        <w:t>竞争性磋商</w:t>
      </w:r>
      <w:r>
        <w:rPr>
          <w:rFonts w:hint="eastAsia" w:ascii="宋体" w:hAnsi="宋体" w:cs="宋体"/>
          <w:color w:val="000000"/>
          <w:sz w:val="24"/>
          <w:szCs w:val="28"/>
        </w:rPr>
        <w:t>方式进行采购，特邀请符合本次采购要求的供应商参加本项目的竞争性磋商。</w:t>
      </w:r>
    </w:p>
    <w:p>
      <w:pPr>
        <w:spacing w:line="360" w:lineRule="auto"/>
        <w:rPr>
          <w:rFonts w:ascii="宋体" w:hAnsi="宋体" w:cs="宋体"/>
          <w:b/>
          <w:bCs/>
          <w:color w:val="000000"/>
          <w:sz w:val="24"/>
        </w:rPr>
      </w:pPr>
      <w:r>
        <w:rPr>
          <w:rFonts w:hint="eastAsia" w:ascii="宋体" w:hAnsi="宋体" w:cs="宋体"/>
          <w:b/>
          <w:bCs/>
          <w:color w:val="000000"/>
          <w:sz w:val="24"/>
        </w:rPr>
        <w:t>一、采购项目基本情况</w:t>
      </w:r>
    </w:p>
    <w:p>
      <w:pPr>
        <w:spacing w:line="360" w:lineRule="auto"/>
        <w:ind w:firstLine="480" w:firstLineChars="200"/>
        <w:rPr>
          <w:rFonts w:ascii="宋体" w:hAnsi="宋体" w:cs="宋体"/>
          <w:color w:val="000000"/>
          <w:sz w:val="24"/>
          <w:szCs w:val="32"/>
          <w:highlight w:val="none"/>
        </w:rPr>
      </w:pPr>
      <w:r>
        <w:rPr>
          <w:rFonts w:hint="eastAsia" w:ascii="宋体" w:hAnsi="宋体" w:cs="宋体"/>
          <w:color w:val="000000"/>
          <w:sz w:val="24"/>
          <w:szCs w:val="32"/>
          <w:highlight w:val="none"/>
        </w:rPr>
        <w:t>1.项目编号：510118202100180。</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2.项目名称：</w:t>
      </w:r>
      <w:r>
        <w:rPr>
          <w:rFonts w:hint="eastAsia" w:ascii="宋体" w:hAnsi="宋体" w:cs="宋体"/>
          <w:color w:val="000000"/>
          <w:sz w:val="24"/>
          <w:szCs w:val="28"/>
          <w:u w:val="single"/>
          <w:lang w:eastAsia="zh-CN"/>
        </w:rPr>
        <w:t>成都东部新区党工委管委会(成都市东部新城办)综合执法局成都东部新区食品安全快速检测项目</w:t>
      </w:r>
      <w:r>
        <w:rPr>
          <w:rFonts w:hint="eastAsia" w:ascii="宋体" w:hAnsi="宋体" w:cs="宋体"/>
          <w:color w:val="000000"/>
          <w:sz w:val="24"/>
          <w:szCs w:val="32"/>
        </w:rPr>
        <w:t>。</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3.采购人：</w:t>
      </w:r>
      <w:r>
        <w:rPr>
          <w:rFonts w:hint="eastAsia" w:ascii="宋体" w:hAnsi="宋体" w:cs="宋体"/>
          <w:color w:val="000000"/>
          <w:sz w:val="24"/>
          <w:szCs w:val="28"/>
          <w:u w:val="single"/>
        </w:rPr>
        <w:t>成都东部新区党工委管委会(成都市东部新城办)综合执法局</w:t>
      </w:r>
      <w:r>
        <w:rPr>
          <w:rFonts w:hint="eastAsia" w:ascii="宋体" w:hAnsi="宋体" w:cs="宋体"/>
          <w:color w:val="000000"/>
          <w:sz w:val="24"/>
          <w:szCs w:val="32"/>
        </w:rPr>
        <w:t>。</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4.采购代理机构：</w:t>
      </w:r>
      <w:r>
        <w:rPr>
          <w:rFonts w:hint="eastAsia" w:ascii="宋体" w:hAnsi="宋体" w:cs="宋体"/>
          <w:color w:val="000000"/>
          <w:sz w:val="24"/>
          <w:szCs w:val="32"/>
          <w:u w:val="single"/>
        </w:rPr>
        <w:t>四川建茂同方工程项目管理有限公司</w:t>
      </w:r>
      <w:r>
        <w:rPr>
          <w:rFonts w:hint="eastAsia" w:ascii="宋体" w:hAnsi="宋体" w:cs="宋体"/>
          <w:color w:val="000000"/>
          <w:sz w:val="24"/>
          <w:szCs w:val="32"/>
        </w:rPr>
        <w:t>。</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5.所属行业：其他未列明行业。</w:t>
      </w:r>
    </w:p>
    <w:p>
      <w:pPr>
        <w:spacing w:line="360" w:lineRule="auto"/>
        <w:rPr>
          <w:rFonts w:ascii="宋体" w:hAnsi="宋体" w:cs="宋体"/>
          <w:b/>
          <w:bCs/>
          <w:color w:val="000000"/>
          <w:sz w:val="24"/>
        </w:rPr>
      </w:pPr>
      <w:r>
        <w:rPr>
          <w:rFonts w:hint="eastAsia" w:ascii="宋体" w:hAnsi="宋体" w:cs="宋体"/>
          <w:b/>
          <w:bCs/>
          <w:color w:val="000000"/>
          <w:sz w:val="24"/>
        </w:rPr>
        <w:t>二、资金情况</w:t>
      </w:r>
    </w:p>
    <w:p>
      <w:pPr>
        <w:spacing w:line="360" w:lineRule="auto"/>
        <w:ind w:firstLine="480" w:firstLineChars="200"/>
        <w:rPr>
          <w:rFonts w:ascii="宋体" w:hAnsi="宋体" w:cs="宋体"/>
          <w:color w:val="000000"/>
          <w:sz w:val="24"/>
          <w:highlight w:val="yellow"/>
        </w:rPr>
      </w:pPr>
      <w:r>
        <w:rPr>
          <w:rFonts w:hint="eastAsia" w:ascii="宋体" w:hAnsi="宋体" w:cs="宋体"/>
          <w:color w:val="000000"/>
          <w:sz w:val="24"/>
        </w:rPr>
        <w:t>本项目共计一个包。采购内容：</w:t>
      </w:r>
      <w:r>
        <w:rPr>
          <w:rFonts w:hint="eastAsia" w:ascii="宋体" w:hAnsi="宋体" w:cs="宋体"/>
          <w:color w:val="000000"/>
          <w:sz w:val="24"/>
          <w:szCs w:val="28"/>
          <w:u w:val="single"/>
        </w:rPr>
        <w:t>食品安全快速检测项目</w:t>
      </w:r>
      <w:r>
        <w:rPr>
          <w:rFonts w:hint="eastAsia" w:ascii="宋体" w:hAnsi="宋体" w:cs="宋体"/>
          <w:color w:val="000000"/>
          <w:sz w:val="24"/>
          <w:szCs w:val="28"/>
        </w:rPr>
        <w:t>。</w:t>
      </w:r>
      <w:r>
        <w:rPr>
          <w:rFonts w:hint="eastAsia" w:ascii="宋体" w:hAnsi="宋体" w:cs="宋体"/>
          <w:color w:val="000000"/>
          <w:sz w:val="24"/>
        </w:rPr>
        <w:t>资金来源：</w:t>
      </w:r>
      <w:r>
        <w:rPr>
          <w:rFonts w:hint="eastAsia" w:ascii="宋体" w:hAnsi="宋体" w:cs="宋体"/>
          <w:color w:val="000000"/>
          <w:sz w:val="24"/>
          <w:u w:val="single"/>
        </w:rPr>
        <w:t>财政资金</w:t>
      </w:r>
      <w:r>
        <w:rPr>
          <w:rFonts w:hint="eastAsia" w:ascii="宋体" w:hAnsi="宋体" w:cs="宋体"/>
          <w:color w:val="000000"/>
          <w:sz w:val="24"/>
        </w:rPr>
        <w:t>。</w:t>
      </w:r>
      <w:r>
        <w:rPr>
          <w:rFonts w:hint="eastAsia" w:ascii="宋体" w:hAnsi="宋体" w:cs="宋体"/>
          <w:color w:val="000000"/>
          <w:sz w:val="24"/>
          <w:highlight w:val="none"/>
        </w:rPr>
        <w:t>预算执行号：</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2021）0620号</w:t>
      </w:r>
      <w:r>
        <w:rPr>
          <w:rFonts w:hint="eastAsia" w:ascii="宋体" w:hAnsi="宋体" w:cs="宋体"/>
          <w:color w:val="000000"/>
          <w:sz w:val="24"/>
          <w:highlight w:val="none"/>
        </w:rPr>
        <w:t>。</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供应商的报价不得超过本项目预算金额和最高限价，否则视为无效响应。</w:t>
      </w:r>
    </w:p>
    <w:p>
      <w:pPr>
        <w:spacing w:line="360" w:lineRule="auto"/>
        <w:rPr>
          <w:rFonts w:ascii="宋体" w:hAnsi="宋体" w:cs="宋体"/>
          <w:color w:val="000000"/>
          <w:sz w:val="24"/>
        </w:rPr>
      </w:pPr>
      <w:r>
        <w:rPr>
          <w:rFonts w:hint="eastAsia" w:ascii="宋体" w:hAnsi="宋体" w:cs="宋体"/>
          <w:b/>
          <w:color w:val="000000"/>
          <w:sz w:val="24"/>
        </w:rPr>
        <w:t>三</w:t>
      </w:r>
      <w:r>
        <w:rPr>
          <w:rFonts w:hint="eastAsia" w:ascii="宋体" w:hAnsi="宋体" w:cs="宋体"/>
          <w:b/>
          <w:bCs/>
          <w:color w:val="000000"/>
          <w:sz w:val="24"/>
        </w:rPr>
        <w:t>、</w:t>
      </w:r>
      <w:r>
        <w:rPr>
          <w:rFonts w:hint="eastAsia" w:ascii="宋体" w:hAnsi="宋体" w:cs="宋体"/>
          <w:b/>
          <w:color w:val="000000"/>
          <w:sz w:val="24"/>
        </w:rPr>
        <w:t>采购项目简介：</w:t>
      </w:r>
    </w:p>
    <w:p>
      <w:pPr>
        <w:spacing w:after="120" w:line="360" w:lineRule="auto"/>
        <w:ind w:firstLine="464" w:firstLineChars="200"/>
        <w:rPr>
          <w:rFonts w:ascii="宋体" w:hAnsi="宋体" w:cs="宋体"/>
          <w:color w:val="000000"/>
          <w:sz w:val="24"/>
          <w:szCs w:val="28"/>
        </w:rPr>
      </w:pPr>
      <w:r>
        <w:rPr>
          <w:rFonts w:hint="eastAsia" w:ascii="宋体" w:hAnsi="宋体" w:cs="宋体"/>
          <w:color w:val="000000"/>
          <w:spacing w:val="-4"/>
          <w:sz w:val="24"/>
        </w:rPr>
        <w:t>具体要求见磋商文件“第五章  采购项目技术、服务及其他商务要求”</w:t>
      </w:r>
      <w:r>
        <w:rPr>
          <w:rFonts w:hint="eastAsia" w:ascii="宋体" w:hAnsi="宋体" w:cs="宋体"/>
          <w:color w:val="000000"/>
          <w:sz w:val="24"/>
          <w:szCs w:val="28"/>
        </w:rPr>
        <w:t>。</w:t>
      </w:r>
    </w:p>
    <w:p>
      <w:pPr>
        <w:spacing w:after="120" w:line="360" w:lineRule="auto"/>
        <w:rPr>
          <w:rFonts w:ascii="宋体" w:hAnsi="宋体" w:cs="宋体"/>
          <w:b/>
          <w:bCs/>
          <w:color w:val="000000"/>
          <w:sz w:val="24"/>
        </w:rPr>
      </w:pPr>
      <w:r>
        <w:rPr>
          <w:rFonts w:hint="eastAsia" w:ascii="宋体" w:hAnsi="宋体" w:cs="宋体"/>
          <w:b/>
          <w:bCs/>
          <w:color w:val="000000"/>
          <w:sz w:val="24"/>
        </w:rPr>
        <w:t>四、供应商邀请方式</w:t>
      </w:r>
    </w:p>
    <w:p>
      <w:pPr>
        <w:spacing w:after="120" w:line="360" w:lineRule="auto"/>
        <w:ind w:firstLine="480" w:firstLineChars="200"/>
        <w:rPr>
          <w:rFonts w:ascii="宋体" w:hAnsi="宋体" w:cs="宋体"/>
          <w:bCs/>
          <w:color w:val="000000"/>
          <w:sz w:val="24"/>
        </w:rPr>
      </w:pPr>
      <w:r>
        <w:rPr>
          <w:rFonts w:hint="eastAsia" w:ascii="宋体" w:hAnsi="宋体" w:cs="宋体"/>
          <w:bCs/>
          <w:color w:val="000000"/>
          <w:sz w:val="24"/>
        </w:rPr>
        <w:t>本次竞争性磋商邀请在</w:t>
      </w:r>
      <w:r>
        <w:rPr>
          <w:rFonts w:hint="eastAsia" w:ascii="宋体" w:hAnsi="宋体" w:cs="宋体"/>
          <w:b/>
          <w:color w:val="000000"/>
          <w:sz w:val="24"/>
          <w:u w:val="single"/>
        </w:rPr>
        <w:t>四川省政府采购网</w:t>
      </w:r>
      <w:r>
        <w:rPr>
          <w:rFonts w:hint="eastAsia" w:ascii="宋体" w:hAnsi="宋体" w:cs="宋体"/>
          <w:bCs/>
          <w:color w:val="000000"/>
          <w:sz w:val="24"/>
        </w:rPr>
        <w:t>上以公告形式发布。</w:t>
      </w:r>
    </w:p>
    <w:p>
      <w:pPr>
        <w:spacing w:after="120" w:line="360" w:lineRule="auto"/>
        <w:rPr>
          <w:rFonts w:ascii="宋体" w:hAnsi="宋体" w:cs="宋体"/>
          <w:b/>
          <w:bCs/>
          <w:color w:val="000000"/>
          <w:sz w:val="24"/>
        </w:rPr>
      </w:pPr>
      <w:r>
        <w:rPr>
          <w:rFonts w:hint="eastAsia" w:ascii="宋体" w:hAnsi="宋体" w:cs="宋体"/>
          <w:b/>
          <w:bCs/>
          <w:color w:val="000000"/>
          <w:sz w:val="24"/>
        </w:rPr>
        <w:t>五、供应商参加本次政府采购活动应具备下列条件</w:t>
      </w:r>
    </w:p>
    <w:p>
      <w:pPr>
        <w:pStyle w:val="67"/>
        <w:ind w:firstLine="0" w:firstLineChars="0"/>
        <w:rPr>
          <w:rFonts w:ascii="宋体" w:hAnsi="宋体" w:cs="宋体"/>
          <w:b/>
          <w:bCs/>
          <w:color w:val="000000"/>
          <w:sz w:val="24"/>
        </w:rPr>
      </w:pPr>
      <w:bookmarkStart w:id="5" w:name="_Toc213396945"/>
      <w:bookmarkStart w:id="6" w:name="_Toc213397009"/>
      <w:bookmarkStart w:id="7" w:name="_Toc217446031"/>
      <w:bookmarkStart w:id="8" w:name="_Toc213496267"/>
      <w:bookmarkStart w:id="9" w:name="_Toc213396759"/>
      <w:r>
        <w:rPr>
          <w:rFonts w:hint="eastAsia" w:ascii="宋体" w:hAnsi="宋体" w:cs="宋体"/>
          <w:b/>
          <w:bCs/>
          <w:color w:val="000000"/>
          <w:sz w:val="24"/>
        </w:rPr>
        <w:t>（一）供应商的申请资格条件：</w:t>
      </w:r>
    </w:p>
    <w:p>
      <w:pPr>
        <w:pStyle w:val="67"/>
        <w:ind w:firstLine="480"/>
        <w:rPr>
          <w:rFonts w:ascii="宋体" w:hAnsi="宋体" w:cs="宋体"/>
          <w:color w:val="000000"/>
          <w:sz w:val="24"/>
          <w:lang w:val="zh-CN"/>
        </w:rPr>
      </w:pPr>
      <w:r>
        <w:rPr>
          <w:rFonts w:hint="eastAsia" w:ascii="宋体" w:hAnsi="宋体" w:cs="宋体"/>
          <w:color w:val="000000"/>
          <w:sz w:val="24"/>
          <w:lang w:val="zh-CN"/>
        </w:rPr>
        <w:t>1.具有独立承担民事责任的能力；</w:t>
      </w:r>
    </w:p>
    <w:p>
      <w:pPr>
        <w:pStyle w:val="67"/>
        <w:ind w:firstLine="480"/>
        <w:rPr>
          <w:rFonts w:ascii="宋体" w:hAnsi="宋体" w:cs="宋体"/>
          <w:color w:val="000000"/>
          <w:sz w:val="24"/>
          <w:lang w:val="zh-CN"/>
        </w:rPr>
      </w:pPr>
      <w:r>
        <w:rPr>
          <w:rFonts w:hint="eastAsia" w:ascii="宋体" w:hAnsi="宋体" w:cs="宋体"/>
          <w:color w:val="000000"/>
          <w:sz w:val="24"/>
          <w:lang w:val="zh-CN"/>
        </w:rPr>
        <w:t>2.具有良好的商业信誉和健全的财务会计制度；</w:t>
      </w:r>
    </w:p>
    <w:p>
      <w:pPr>
        <w:pStyle w:val="67"/>
        <w:ind w:firstLine="480"/>
        <w:rPr>
          <w:rFonts w:ascii="宋体" w:hAnsi="宋体" w:cs="宋体"/>
          <w:color w:val="000000"/>
          <w:sz w:val="24"/>
          <w:lang w:val="zh-CN"/>
        </w:rPr>
      </w:pPr>
      <w:r>
        <w:rPr>
          <w:rFonts w:hint="eastAsia" w:ascii="宋体" w:hAnsi="宋体" w:cs="宋体"/>
          <w:color w:val="000000"/>
          <w:sz w:val="24"/>
          <w:lang w:val="zh-CN"/>
        </w:rPr>
        <w:t>3.具有履行合同所必需的设备和专业技术能力；</w:t>
      </w:r>
    </w:p>
    <w:p>
      <w:pPr>
        <w:pStyle w:val="67"/>
        <w:ind w:firstLine="480"/>
        <w:rPr>
          <w:rFonts w:ascii="宋体" w:hAnsi="宋体" w:cs="宋体"/>
          <w:color w:val="000000"/>
          <w:sz w:val="24"/>
          <w:lang w:val="zh-CN"/>
        </w:rPr>
      </w:pPr>
      <w:r>
        <w:rPr>
          <w:rFonts w:hint="eastAsia" w:ascii="宋体" w:hAnsi="宋体" w:cs="宋体"/>
          <w:color w:val="000000"/>
          <w:sz w:val="24"/>
          <w:lang w:val="zh-CN"/>
        </w:rPr>
        <w:t>4.具有依法缴纳税收和社会保障资金的良好记录；</w:t>
      </w:r>
    </w:p>
    <w:p>
      <w:pPr>
        <w:pStyle w:val="67"/>
        <w:ind w:firstLine="480"/>
        <w:rPr>
          <w:rFonts w:ascii="宋体" w:hAnsi="宋体" w:cs="宋体"/>
          <w:color w:val="000000"/>
          <w:sz w:val="24"/>
          <w:lang w:val="zh-CN"/>
        </w:rPr>
      </w:pPr>
      <w:r>
        <w:rPr>
          <w:rFonts w:hint="eastAsia" w:ascii="宋体" w:hAnsi="宋体" w:cs="宋体"/>
          <w:color w:val="000000"/>
          <w:sz w:val="24"/>
          <w:lang w:val="zh-CN"/>
        </w:rPr>
        <w:t>5.参加此项采购活动前三年内，在经营活动中没有重大违法记录；</w:t>
      </w:r>
    </w:p>
    <w:p>
      <w:pPr>
        <w:pStyle w:val="67"/>
        <w:ind w:firstLine="480"/>
        <w:rPr>
          <w:rFonts w:ascii="宋体" w:hAnsi="宋体" w:cs="宋体"/>
          <w:color w:val="000000"/>
          <w:sz w:val="24"/>
          <w:lang w:val="zh-CN"/>
        </w:rPr>
      </w:pPr>
      <w:r>
        <w:rPr>
          <w:rFonts w:hint="eastAsia" w:ascii="宋体" w:hAnsi="宋体" w:cs="宋体"/>
          <w:color w:val="000000"/>
          <w:sz w:val="24"/>
          <w:lang w:val="zh-CN"/>
        </w:rPr>
        <w:t>6.法律、行政法规规定的其他条件。</w:t>
      </w:r>
    </w:p>
    <w:p>
      <w:pPr>
        <w:pStyle w:val="67"/>
        <w:ind w:firstLine="480"/>
        <w:rPr>
          <w:rFonts w:ascii="宋体" w:hAnsi="宋体" w:cs="宋体"/>
          <w:color w:val="000000"/>
          <w:sz w:val="24"/>
          <w:lang w:val="zh-CN"/>
        </w:rPr>
      </w:pPr>
      <w:r>
        <w:rPr>
          <w:rFonts w:hint="eastAsia" w:ascii="宋体" w:hAnsi="宋体" w:cs="宋体"/>
          <w:color w:val="000000"/>
          <w:sz w:val="24"/>
        </w:rPr>
        <w:t>6.1</w:t>
      </w:r>
      <w:r>
        <w:rPr>
          <w:rFonts w:hint="eastAsia" w:ascii="宋体" w:hAnsi="宋体" w:cs="宋体"/>
          <w:color w:val="000000"/>
          <w:sz w:val="24"/>
          <w:lang w:val="zh-CN"/>
        </w:rPr>
        <w:t>供应商及其现任法定代表人、主要负责人在参加本项目政府采购活动前三年无行贿犯罪记录。</w:t>
      </w:r>
    </w:p>
    <w:p>
      <w:pPr>
        <w:pStyle w:val="67"/>
        <w:ind w:firstLine="480"/>
        <w:rPr>
          <w:rFonts w:ascii="宋体" w:hAnsi="宋体" w:cs="宋体"/>
          <w:color w:val="000000"/>
          <w:sz w:val="24"/>
          <w:lang w:val="zh-CN"/>
        </w:rPr>
      </w:pPr>
      <w:r>
        <w:rPr>
          <w:rFonts w:hint="eastAsia" w:ascii="宋体" w:hAnsi="宋体" w:cs="宋体"/>
          <w:color w:val="000000"/>
          <w:sz w:val="24"/>
        </w:rPr>
        <w:t>6.2</w:t>
      </w:r>
      <w:r>
        <w:rPr>
          <w:rFonts w:hint="eastAsia" w:ascii="宋体" w:hAnsi="宋体" w:cs="宋体"/>
          <w:color w:val="000000"/>
          <w:sz w:val="24"/>
          <w:lang w:val="zh-CN"/>
        </w:rPr>
        <w:t>供应商须提供“截至投标截止日未被列入失信被执行人、重大税收违法案件当事人名单、政府采购严重违法失信行为记录名单的承诺函”。</w:t>
      </w:r>
    </w:p>
    <w:p>
      <w:pPr>
        <w:pStyle w:val="67"/>
        <w:ind w:firstLine="480"/>
        <w:rPr>
          <w:rFonts w:ascii="宋体" w:hAnsi="宋体" w:cs="宋体"/>
          <w:color w:val="000000"/>
          <w:sz w:val="24"/>
          <w:lang w:val="zh-CN"/>
        </w:rPr>
      </w:pPr>
      <w:r>
        <w:rPr>
          <w:rFonts w:hint="eastAsia" w:ascii="宋体" w:hAnsi="宋体" w:cs="宋体"/>
          <w:b/>
          <w:bCs/>
          <w:color w:val="000000"/>
          <w:sz w:val="24"/>
        </w:rPr>
        <w:t>注：采购人或采购代理机构将于本项目投标截止日在‘信用中国’网站、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p>
    <w:p>
      <w:pPr>
        <w:pStyle w:val="67"/>
        <w:ind w:firstLine="0" w:firstLineChars="0"/>
        <w:rPr>
          <w:rFonts w:ascii="宋体" w:hAnsi="宋体" w:cs="宋体"/>
          <w:b/>
          <w:color w:val="000000"/>
          <w:sz w:val="24"/>
        </w:rPr>
      </w:pPr>
      <w:r>
        <w:rPr>
          <w:rFonts w:hint="eastAsia" w:ascii="宋体" w:hAnsi="宋体" w:cs="宋体"/>
          <w:b/>
          <w:color w:val="000000"/>
          <w:sz w:val="24"/>
        </w:rPr>
        <w:t>（二）落实政府采购政策需满足的资格要求：</w:t>
      </w:r>
    </w:p>
    <w:p>
      <w:pPr>
        <w:pStyle w:val="67"/>
        <w:ind w:firstLine="480"/>
        <w:rPr>
          <w:rFonts w:ascii="宋体" w:hAnsi="宋体" w:cs="宋体"/>
          <w:bCs/>
          <w:color w:val="000000"/>
          <w:sz w:val="24"/>
        </w:rPr>
      </w:pPr>
      <w:r>
        <w:rPr>
          <w:rFonts w:hint="eastAsia" w:ascii="宋体" w:hAnsi="宋体" w:cs="宋体"/>
          <w:bCs/>
          <w:color w:val="000000"/>
          <w:sz w:val="24"/>
        </w:rPr>
        <w:t>本项目为专门面向中小企业采购项目，供应商必须为中小企业/小微企业（监狱企业、残疾人福利企业视为中小企业/小微企业）。</w:t>
      </w:r>
    </w:p>
    <w:p>
      <w:pPr>
        <w:pStyle w:val="67"/>
        <w:ind w:firstLine="0" w:firstLineChars="0"/>
        <w:rPr>
          <w:rFonts w:ascii="宋体" w:hAnsi="宋体" w:cs="宋体"/>
          <w:b/>
          <w:color w:val="000000"/>
          <w:sz w:val="24"/>
        </w:rPr>
      </w:pPr>
      <w:r>
        <w:rPr>
          <w:rFonts w:hint="eastAsia" w:ascii="宋体" w:hAnsi="宋体" w:cs="宋体"/>
          <w:b/>
          <w:color w:val="000000"/>
          <w:sz w:val="24"/>
        </w:rPr>
        <w:t>（三）本项目的特定资格要求：</w:t>
      </w:r>
    </w:p>
    <w:p>
      <w:pPr>
        <w:pStyle w:val="67"/>
        <w:ind w:firstLine="480"/>
        <w:rPr>
          <w:rFonts w:ascii="宋体" w:hAnsi="宋体" w:cs="宋体"/>
          <w:sz w:val="24"/>
        </w:rPr>
      </w:pPr>
      <w:r>
        <w:rPr>
          <w:rFonts w:hint="eastAsia" w:ascii="宋体" w:hAnsi="宋体" w:cs="宋体"/>
          <w:sz w:val="24"/>
        </w:rPr>
        <w:t>供应商须具备省级及以上行政主管部门颁发的CMA检验检测机构资质认定证书。</w:t>
      </w:r>
    </w:p>
    <w:p>
      <w:pPr>
        <w:pStyle w:val="67"/>
        <w:ind w:firstLine="0" w:firstLineChars="0"/>
        <w:rPr>
          <w:rFonts w:ascii="宋体" w:hAnsi="宋体" w:cs="宋体"/>
          <w:b/>
          <w:bCs/>
          <w:color w:val="000000"/>
          <w:sz w:val="24"/>
        </w:rPr>
      </w:pPr>
      <w:r>
        <w:rPr>
          <w:rFonts w:hint="eastAsia" w:ascii="宋体" w:hAnsi="宋体" w:cs="宋体"/>
          <w:b/>
          <w:bCs/>
          <w:color w:val="000000"/>
          <w:sz w:val="24"/>
        </w:rPr>
        <w:t>（四）本项目不接受联合体参与采购活动。</w:t>
      </w:r>
    </w:p>
    <w:p>
      <w:pPr>
        <w:spacing w:line="360" w:lineRule="auto"/>
        <w:rPr>
          <w:rFonts w:ascii="宋体" w:hAnsi="宋体" w:cs="宋体"/>
          <w:b/>
          <w:color w:val="000000"/>
          <w:sz w:val="24"/>
        </w:rPr>
      </w:pPr>
      <w:r>
        <w:rPr>
          <w:rFonts w:hint="eastAsia" w:ascii="宋体" w:hAnsi="宋体" w:cs="宋体"/>
          <w:b/>
          <w:color w:val="000000"/>
          <w:sz w:val="24"/>
        </w:rPr>
        <w:t>六、禁止参加本次采购活动的供应商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ascii="宋体" w:hAnsi="宋体" w:cs="宋体"/>
          <w:b/>
          <w:color w:val="000000"/>
          <w:sz w:val="24"/>
        </w:rPr>
      </w:pPr>
      <w:r>
        <w:rPr>
          <w:rFonts w:hint="eastAsia" w:ascii="宋体" w:hAnsi="宋体" w:cs="宋体"/>
          <w:b/>
          <w:color w:val="000000"/>
          <w:sz w:val="24"/>
        </w:rPr>
        <w:t>七、磋商文件获取方式、时间、地点：</w:t>
      </w:r>
    </w:p>
    <w:p>
      <w:pPr>
        <w:spacing w:line="360" w:lineRule="auto"/>
        <w:ind w:firstLine="480" w:firstLineChars="200"/>
        <w:rPr>
          <w:rFonts w:ascii="宋体" w:hAnsi="宋体" w:cs="宋体"/>
          <w:color w:val="000000"/>
          <w:sz w:val="24"/>
        </w:rPr>
      </w:pPr>
      <w:r>
        <w:rPr>
          <w:rFonts w:hint="eastAsia" w:ascii="宋体" w:hAnsi="宋体" w:cs="宋体"/>
          <w:color w:val="000000"/>
          <w:sz w:val="24"/>
        </w:rPr>
        <w:t>磋商文件自</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26</w:t>
      </w:r>
      <w:r>
        <w:rPr>
          <w:rFonts w:hint="eastAsia" w:ascii="宋体" w:hAnsi="宋体" w:cs="宋体"/>
          <w:color w:val="000000"/>
          <w:sz w:val="24"/>
          <w:highlight w:val="none"/>
        </w:rPr>
        <w:t>日至</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 xml:space="preserve">年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w:t>
      </w:r>
      <w:r>
        <w:rPr>
          <w:rFonts w:hint="eastAsia" w:ascii="宋体" w:hAnsi="宋体" w:cs="宋体"/>
          <w:color w:val="000000"/>
          <w:sz w:val="24"/>
          <w:highlight w:val="none"/>
        </w:rPr>
        <w:t>日</w:t>
      </w:r>
      <w:r>
        <w:rPr>
          <w:rFonts w:hint="eastAsia" w:ascii="宋体" w:hAnsi="宋体" w:cs="宋体"/>
          <w:color w:val="000000"/>
          <w:sz w:val="24"/>
        </w:rPr>
        <w:t>9:</w:t>
      </w:r>
      <w:r>
        <w:rPr>
          <w:rFonts w:hint="eastAsia" w:ascii="宋体" w:hAnsi="宋体" w:cs="宋体"/>
          <w:color w:val="000000"/>
          <w:sz w:val="24"/>
          <w:lang w:val="en-US" w:eastAsia="zh-CN"/>
        </w:rPr>
        <w:t>0</w:t>
      </w:r>
      <w:r>
        <w:rPr>
          <w:rFonts w:hint="eastAsia" w:ascii="宋体" w:hAnsi="宋体" w:cs="宋体"/>
          <w:color w:val="000000"/>
          <w:sz w:val="24"/>
        </w:rPr>
        <w:t>0- 23:59</w:t>
      </w:r>
      <w:r>
        <w:rPr>
          <w:rFonts w:hint="eastAsia" w:ascii="宋体" w:hAnsi="宋体" w:cs="宋体"/>
          <w:color w:val="000000"/>
          <w:sz w:val="24"/>
          <w:szCs w:val="28"/>
        </w:rPr>
        <w:t>（北京时间，法定节假日除外）</w:t>
      </w:r>
      <w:r>
        <w:rPr>
          <w:rFonts w:hint="eastAsia" w:ascii="宋体" w:hAnsi="宋体" w:cs="宋体"/>
          <w:color w:val="000000"/>
          <w:sz w:val="24"/>
        </w:rPr>
        <w:t>在通过“政府采购云平台”获取(网址：https://www.zcygov.cn)。登录“政府采购云平台”—项目采购—获取采购文件—申请获取采购文件。</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18"/>
        </w:rPr>
        <w:t>本项目磋商文件无偿获取，</w:t>
      </w:r>
      <w:r>
        <w:rPr>
          <w:rFonts w:hint="eastAsia" w:ascii="宋体" w:hAnsi="宋体" w:cs="宋体"/>
          <w:color w:val="000000"/>
          <w:sz w:val="24"/>
        </w:rPr>
        <w:t>磋商资格不能转让。</w:t>
      </w:r>
    </w:p>
    <w:p>
      <w:pPr>
        <w:spacing w:line="360" w:lineRule="auto"/>
        <w:ind w:firstLine="482" w:firstLineChars="200"/>
        <w:rPr>
          <w:rFonts w:ascii="宋体" w:hAnsi="宋体" w:cs="宋体"/>
          <w:b/>
          <w:bCs/>
          <w:color w:val="000000"/>
          <w:sz w:val="24"/>
          <w:szCs w:val="32"/>
        </w:rPr>
      </w:pPr>
      <w:r>
        <w:rPr>
          <w:rFonts w:hint="eastAsia" w:ascii="宋体" w:hAnsi="宋体" w:cs="宋体"/>
          <w:b/>
          <w:bCs/>
          <w:color w:val="000000"/>
          <w:sz w:val="24"/>
          <w:szCs w:val="32"/>
        </w:rPr>
        <w:t>注：获取磋商文件时，经办人员通过网上（远程）报名，须提交以下资料：</w:t>
      </w:r>
    </w:p>
    <w:p>
      <w:pPr>
        <w:spacing w:line="360" w:lineRule="auto"/>
        <w:ind w:firstLine="482" w:firstLineChars="200"/>
        <w:rPr>
          <w:rFonts w:ascii="宋体" w:hAnsi="宋体" w:cs="宋体"/>
          <w:b/>
          <w:bCs/>
          <w:color w:val="000000"/>
          <w:sz w:val="24"/>
          <w:szCs w:val="32"/>
        </w:rPr>
      </w:pPr>
      <w:r>
        <w:rPr>
          <w:rFonts w:hint="eastAsia" w:ascii="宋体" w:hAnsi="宋体" w:cs="宋体"/>
          <w:b/>
          <w:bCs/>
          <w:color w:val="000000"/>
          <w:sz w:val="24"/>
          <w:szCs w:val="32"/>
        </w:rPr>
        <w:t>磋商文件自</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26</w:t>
      </w:r>
      <w:r>
        <w:rPr>
          <w:rFonts w:hint="eastAsia" w:ascii="宋体" w:hAnsi="宋体" w:cs="宋体"/>
          <w:color w:val="000000"/>
          <w:sz w:val="24"/>
          <w:highlight w:val="none"/>
        </w:rPr>
        <w:t>日至</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 xml:space="preserve">年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w:t>
      </w:r>
      <w:r>
        <w:rPr>
          <w:rFonts w:hint="eastAsia" w:ascii="宋体" w:hAnsi="宋体" w:cs="宋体"/>
          <w:color w:val="000000"/>
          <w:sz w:val="24"/>
          <w:highlight w:val="none"/>
        </w:rPr>
        <w:t>日</w:t>
      </w:r>
      <w:r>
        <w:rPr>
          <w:rFonts w:hint="eastAsia" w:ascii="宋体" w:hAnsi="宋体" w:cs="宋体"/>
          <w:b/>
          <w:bCs/>
          <w:color w:val="000000"/>
          <w:sz w:val="24"/>
          <w:szCs w:val="32"/>
        </w:rPr>
        <w:t>09:00-23:59（北京时间，法定节假日除外）通过“政府采购云平台”获取(网址：https://www.zcygov.cn)。登录“政府采购云平台”—项目采购—获取采购文件—申请获取采购文件。</w:t>
      </w:r>
    </w:p>
    <w:p>
      <w:pPr>
        <w:spacing w:after="120" w:line="360" w:lineRule="auto"/>
        <w:rPr>
          <w:rFonts w:ascii="宋体" w:hAnsi="宋体" w:cs="宋体"/>
          <w:b/>
          <w:color w:val="000000"/>
          <w:sz w:val="24"/>
          <w:szCs w:val="28"/>
        </w:rPr>
      </w:pPr>
      <w:r>
        <w:rPr>
          <w:rFonts w:hint="eastAsia" w:ascii="宋体" w:hAnsi="宋体" w:cs="宋体"/>
          <w:b/>
          <w:color w:val="000000"/>
          <w:sz w:val="24"/>
          <w:szCs w:val="28"/>
        </w:rPr>
        <w:t>八、递交响应文件</w:t>
      </w:r>
      <w:r>
        <w:rPr>
          <w:rFonts w:hint="eastAsia" w:ascii="宋体" w:hAnsi="宋体" w:cs="宋体"/>
          <w:b/>
          <w:color w:val="000000"/>
          <w:sz w:val="24"/>
        </w:rPr>
        <w:t>截止时间：</w:t>
      </w:r>
      <w:r>
        <w:rPr>
          <w:rFonts w:hint="eastAsia" w:ascii="宋体" w:hAnsi="宋体" w:cs="宋体"/>
          <w:b/>
          <w:color w:val="000000"/>
          <w:sz w:val="24"/>
          <w:highlight w:val="none"/>
          <w:u w:val="single"/>
        </w:rPr>
        <w:t xml:space="preserve"> </w:t>
      </w:r>
      <w:r>
        <w:rPr>
          <w:rFonts w:hint="eastAsia" w:ascii="宋体" w:hAnsi="宋体" w:cs="宋体"/>
          <w:bCs/>
          <w:color w:val="000000"/>
          <w:sz w:val="24"/>
          <w:highlight w:val="none"/>
          <w:u w:val="single"/>
        </w:rPr>
        <w:t xml:space="preserve">2021 </w:t>
      </w:r>
      <w:r>
        <w:rPr>
          <w:rFonts w:hint="eastAsia" w:ascii="宋体" w:hAnsi="宋体" w:cs="宋体"/>
          <w:bCs/>
          <w:color w:val="000000"/>
          <w:sz w:val="24"/>
          <w:highlight w:val="none"/>
        </w:rPr>
        <w:t>年</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11</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月</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8</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日1</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w:t>
      </w:r>
      <w:r>
        <w:rPr>
          <w:rFonts w:hint="eastAsia" w:ascii="宋体" w:hAnsi="宋体" w:cs="宋体"/>
          <w:color w:val="000000"/>
          <w:sz w:val="24"/>
          <w:szCs w:val="28"/>
        </w:rPr>
        <w:t>（北京时间）。</w:t>
      </w:r>
    </w:p>
    <w:p>
      <w:pPr>
        <w:spacing w:after="120" w:line="360" w:lineRule="auto"/>
        <w:rPr>
          <w:rFonts w:ascii="宋体" w:hAnsi="宋体" w:cs="宋体"/>
          <w:color w:val="000000"/>
          <w:sz w:val="24"/>
        </w:rPr>
      </w:pPr>
      <w:r>
        <w:rPr>
          <w:rFonts w:hint="eastAsia" w:ascii="宋体" w:hAnsi="宋体" w:cs="宋体"/>
          <w:b/>
          <w:color w:val="000000"/>
          <w:sz w:val="24"/>
          <w:szCs w:val="28"/>
        </w:rPr>
        <w:t>九</w:t>
      </w:r>
      <w:r>
        <w:rPr>
          <w:rFonts w:hint="eastAsia" w:ascii="宋体" w:hAnsi="宋体" w:cs="宋体"/>
          <w:b/>
          <w:color w:val="000000"/>
          <w:sz w:val="24"/>
        </w:rPr>
        <w:t>、递交响应文件地点：</w:t>
      </w:r>
      <w:r>
        <w:rPr>
          <w:rFonts w:hint="eastAsia" w:ascii="宋体" w:hAnsi="宋体" w:cs="宋体"/>
          <w:color w:val="000000"/>
          <w:sz w:val="24"/>
        </w:rPr>
        <w:t>响应文件必须在递交响应文件截止时间前送达磋商地点。逾期送达、密封和标注错误的响应文件，采购代理机构恕不接收。本次采购不接收邮寄的响应文件。</w:t>
      </w:r>
    </w:p>
    <w:p>
      <w:pPr>
        <w:spacing w:after="120" w:line="360" w:lineRule="auto"/>
        <w:rPr>
          <w:rFonts w:ascii="宋体" w:hAnsi="宋体" w:cs="宋体"/>
          <w:color w:val="000000"/>
        </w:rPr>
      </w:pPr>
      <w:r>
        <w:rPr>
          <w:rFonts w:hint="eastAsia" w:ascii="宋体" w:hAnsi="宋体" w:cs="宋体"/>
          <w:b/>
          <w:color w:val="000000"/>
          <w:sz w:val="24"/>
          <w:szCs w:val="28"/>
        </w:rPr>
        <w:t>十、响应文件开启时间：</w:t>
      </w:r>
      <w:r>
        <w:rPr>
          <w:rFonts w:hint="eastAsia" w:ascii="宋体" w:hAnsi="宋体" w:cs="宋体"/>
          <w:b/>
          <w:color w:val="000000"/>
          <w:sz w:val="24"/>
          <w:szCs w:val="28"/>
          <w:highlight w:val="none"/>
          <w:u w:val="single"/>
        </w:rPr>
        <w:t xml:space="preserve"> </w:t>
      </w:r>
      <w:r>
        <w:rPr>
          <w:rFonts w:hint="eastAsia" w:ascii="宋体" w:hAnsi="宋体" w:cs="宋体"/>
          <w:bCs/>
          <w:color w:val="000000"/>
          <w:sz w:val="24"/>
          <w:highlight w:val="none"/>
          <w:u w:val="single"/>
        </w:rPr>
        <w:t xml:space="preserve">2021 </w:t>
      </w:r>
      <w:r>
        <w:rPr>
          <w:rFonts w:hint="eastAsia" w:ascii="宋体" w:hAnsi="宋体" w:cs="宋体"/>
          <w:bCs/>
          <w:color w:val="000000"/>
          <w:sz w:val="24"/>
          <w:highlight w:val="none"/>
        </w:rPr>
        <w:t>年</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11</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月</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8</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日1</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w:t>
      </w:r>
      <w:r>
        <w:rPr>
          <w:rFonts w:hint="eastAsia" w:ascii="宋体" w:hAnsi="宋体" w:cs="宋体"/>
          <w:color w:val="000000"/>
          <w:sz w:val="24"/>
          <w:szCs w:val="28"/>
        </w:rPr>
        <w:t>（北京时间）在磋商地点本项目磋商室开启。</w:t>
      </w:r>
    </w:p>
    <w:p>
      <w:pPr>
        <w:spacing w:line="360" w:lineRule="auto"/>
        <w:rPr>
          <w:rFonts w:ascii="宋体" w:hAnsi="宋体" w:cs="宋体"/>
          <w:color w:val="000000"/>
        </w:rPr>
      </w:pPr>
      <w:r>
        <w:rPr>
          <w:rFonts w:hint="eastAsia" w:ascii="宋体" w:hAnsi="宋体" w:cs="宋体"/>
          <w:b/>
          <w:color w:val="000000"/>
          <w:sz w:val="24"/>
          <w:szCs w:val="28"/>
        </w:rPr>
        <w:t>十一、磋商地点：</w:t>
      </w:r>
      <w:r>
        <w:rPr>
          <w:rFonts w:hint="eastAsia" w:ascii="宋体" w:hAnsi="宋体" w:cs="宋体"/>
          <w:color w:val="000000"/>
          <w:sz w:val="24"/>
          <w:szCs w:val="28"/>
        </w:rPr>
        <w:t>四川建茂同方工程项目管理有限公司（成都市青羊区西御街8号西御大厦A座26楼A）。</w:t>
      </w:r>
    </w:p>
    <w:p>
      <w:pPr>
        <w:pStyle w:val="67"/>
        <w:ind w:firstLine="0" w:firstLineChars="0"/>
        <w:rPr>
          <w:rFonts w:ascii="宋体" w:hAnsi="宋体" w:cs="宋体"/>
          <w:b/>
          <w:color w:val="000000"/>
          <w:sz w:val="24"/>
        </w:rPr>
      </w:pPr>
      <w:r>
        <w:rPr>
          <w:rFonts w:hint="eastAsia" w:ascii="宋体" w:hAnsi="宋体" w:cs="宋体"/>
          <w:b/>
          <w:color w:val="000000"/>
          <w:sz w:val="24"/>
        </w:rPr>
        <w:t>十二、联系方式</w:t>
      </w:r>
    </w:p>
    <w:p>
      <w:pPr>
        <w:pStyle w:val="67"/>
        <w:ind w:firstLine="480"/>
        <w:rPr>
          <w:rFonts w:ascii="宋体" w:hAnsi="宋体" w:cs="宋体"/>
          <w:sz w:val="24"/>
        </w:rPr>
      </w:pPr>
      <w:r>
        <w:rPr>
          <w:rFonts w:hint="eastAsia" w:ascii="宋体" w:hAnsi="宋体" w:cs="宋体"/>
          <w:sz w:val="24"/>
        </w:rPr>
        <w:t>采 购 人：成都东部新区党工会管委会（成都市东部新城办）综合执法局</w:t>
      </w:r>
    </w:p>
    <w:p>
      <w:pPr>
        <w:pStyle w:val="67"/>
        <w:ind w:firstLine="480"/>
        <w:rPr>
          <w:rFonts w:ascii="宋体" w:hAnsi="宋体" w:cs="宋体"/>
          <w:sz w:val="24"/>
        </w:rPr>
      </w:pPr>
      <w:r>
        <w:rPr>
          <w:rFonts w:hint="eastAsia" w:ascii="宋体" w:hAnsi="宋体" w:cs="宋体"/>
          <w:sz w:val="24"/>
        </w:rPr>
        <w:t>地    址：成都东部新区三岔街道板桥村 2 组 166 号</w:t>
      </w:r>
    </w:p>
    <w:p>
      <w:pPr>
        <w:pStyle w:val="67"/>
        <w:ind w:firstLine="480"/>
        <w:rPr>
          <w:rFonts w:ascii="宋体" w:hAnsi="宋体" w:cs="宋体"/>
          <w:sz w:val="24"/>
        </w:rPr>
      </w:pPr>
      <w:r>
        <w:rPr>
          <w:rFonts w:hint="eastAsia" w:ascii="宋体" w:hAnsi="宋体" w:cs="宋体"/>
          <w:sz w:val="24"/>
        </w:rPr>
        <w:t>联 系 人：毛老师</w:t>
      </w:r>
    </w:p>
    <w:p>
      <w:pPr>
        <w:pStyle w:val="67"/>
        <w:ind w:firstLine="480"/>
        <w:rPr>
          <w:rFonts w:ascii="宋体" w:hAnsi="宋体" w:cs="宋体"/>
          <w:sz w:val="24"/>
        </w:rPr>
      </w:pPr>
      <w:r>
        <w:rPr>
          <w:rFonts w:hint="eastAsia" w:ascii="宋体" w:hAnsi="宋体" w:cs="宋体"/>
          <w:sz w:val="24"/>
        </w:rPr>
        <w:t xml:space="preserve">联系电话：028-86360199   </w:t>
      </w:r>
    </w:p>
    <w:p>
      <w:pPr>
        <w:pStyle w:val="67"/>
        <w:ind w:firstLine="1017" w:firstLineChars="424"/>
        <w:rPr>
          <w:rFonts w:ascii="宋体" w:hAnsi="宋体" w:cs="宋体"/>
          <w:sz w:val="24"/>
        </w:rPr>
      </w:pPr>
    </w:p>
    <w:p>
      <w:pPr>
        <w:pStyle w:val="67"/>
        <w:ind w:firstLine="480"/>
        <w:rPr>
          <w:rFonts w:ascii="宋体" w:hAnsi="宋体" w:cs="宋体"/>
          <w:sz w:val="24"/>
        </w:rPr>
      </w:pPr>
      <w:r>
        <w:rPr>
          <w:rFonts w:hint="eastAsia" w:ascii="宋体" w:hAnsi="宋体" w:cs="宋体"/>
          <w:sz w:val="24"/>
        </w:rPr>
        <w:t>采购代理机构： 四川建茂同方工程项目管理有限公司</w:t>
      </w:r>
    </w:p>
    <w:p>
      <w:pPr>
        <w:pStyle w:val="67"/>
        <w:ind w:firstLine="480"/>
        <w:rPr>
          <w:rFonts w:ascii="宋体" w:hAnsi="宋体" w:cs="宋体"/>
          <w:sz w:val="24"/>
        </w:rPr>
      </w:pPr>
      <w:r>
        <w:rPr>
          <w:rFonts w:hint="eastAsia" w:ascii="宋体" w:hAnsi="宋体" w:cs="宋体"/>
          <w:sz w:val="24"/>
        </w:rPr>
        <w:t xml:space="preserve">地    址：成都市青羊区西御街8号西御大厦A座26楼 A </w:t>
      </w:r>
    </w:p>
    <w:p>
      <w:pPr>
        <w:pStyle w:val="67"/>
        <w:ind w:firstLine="480"/>
        <w:rPr>
          <w:rFonts w:ascii="宋体" w:hAnsi="宋体" w:cs="宋体"/>
          <w:sz w:val="24"/>
        </w:rPr>
      </w:pPr>
      <w:r>
        <w:rPr>
          <w:rFonts w:hint="eastAsia" w:ascii="宋体" w:hAnsi="宋体" w:cs="宋体"/>
          <w:sz w:val="24"/>
        </w:rPr>
        <w:t>联 系 人：苟先生、李女士</w:t>
      </w:r>
    </w:p>
    <w:p>
      <w:pPr>
        <w:pStyle w:val="67"/>
        <w:ind w:firstLine="480"/>
        <w:rPr>
          <w:rFonts w:ascii="宋体" w:hAnsi="宋体" w:cs="宋体"/>
          <w:sz w:val="24"/>
        </w:rPr>
      </w:pPr>
      <w:r>
        <w:rPr>
          <w:rFonts w:hint="eastAsia" w:ascii="宋体" w:hAnsi="宋体" w:cs="宋体"/>
          <w:sz w:val="24"/>
        </w:rPr>
        <w:t>联系电话：028-86273853</w:t>
      </w:r>
    </w:p>
    <w:p>
      <w:pPr>
        <w:pStyle w:val="2"/>
        <w:rPr>
          <w:rFonts w:hAnsi="宋体"/>
        </w:rPr>
      </w:pPr>
    </w:p>
    <w:p>
      <w:pPr>
        <w:pStyle w:val="2"/>
        <w:rPr>
          <w:rFonts w:hAnsi="宋体"/>
        </w:rPr>
      </w:pPr>
    </w:p>
    <w:p>
      <w:pPr>
        <w:pStyle w:val="2"/>
        <w:rPr>
          <w:rFonts w:hAnsi="宋体"/>
        </w:rPr>
      </w:pPr>
    </w:p>
    <w:p>
      <w:pPr>
        <w:pStyle w:val="2"/>
        <w:rPr>
          <w:rFonts w:hAnsi="宋体"/>
        </w:rPr>
      </w:pPr>
    </w:p>
    <w:p>
      <w:pPr>
        <w:pStyle w:val="4"/>
        <w:keepNext w:val="0"/>
        <w:keepLines w:val="0"/>
        <w:numPr>
          <w:ilvl w:val="0"/>
          <w:numId w:val="2"/>
        </w:numPr>
        <w:spacing w:line="360" w:lineRule="auto"/>
        <w:jc w:val="center"/>
        <w:rPr>
          <w:rFonts w:ascii="宋体" w:hAnsi="宋体" w:eastAsia="宋体" w:cs="宋体"/>
          <w:color w:val="000000"/>
        </w:rPr>
      </w:pPr>
      <w:bookmarkStart w:id="10" w:name="_Toc17850"/>
      <w:r>
        <w:rPr>
          <w:rFonts w:hint="eastAsia" w:ascii="宋体" w:hAnsi="宋体" w:eastAsia="宋体" w:cs="宋体"/>
          <w:color w:val="000000"/>
        </w:rPr>
        <w:t xml:space="preserve"> </w:t>
      </w:r>
      <w:bookmarkStart w:id="11" w:name="_Toc24420"/>
      <w:bookmarkStart w:id="12" w:name="_Toc15343"/>
      <w:r>
        <w:rPr>
          <w:rFonts w:hint="eastAsia" w:ascii="宋体" w:hAnsi="宋体" w:eastAsia="宋体" w:cs="宋体"/>
          <w:color w:val="000000"/>
        </w:rPr>
        <w:t>磋商须知</w:t>
      </w:r>
      <w:bookmarkEnd w:id="5"/>
      <w:bookmarkEnd w:id="6"/>
      <w:bookmarkEnd w:id="7"/>
      <w:bookmarkEnd w:id="8"/>
      <w:bookmarkEnd w:id="9"/>
      <w:bookmarkEnd w:id="10"/>
      <w:bookmarkEnd w:id="11"/>
      <w:bookmarkEnd w:id="12"/>
    </w:p>
    <w:p>
      <w:pPr>
        <w:jc w:val="center"/>
        <w:rPr>
          <w:b/>
          <w:bCs/>
          <w:sz w:val="28"/>
          <w:szCs w:val="28"/>
        </w:rPr>
      </w:pPr>
      <w:bookmarkStart w:id="13" w:name="_Toc4952"/>
      <w:r>
        <w:rPr>
          <w:rFonts w:hint="eastAsia"/>
          <w:b/>
          <w:bCs/>
          <w:sz w:val="28"/>
          <w:szCs w:val="28"/>
        </w:rPr>
        <w:t>一、供应商须知附表</w:t>
      </w:r>
      <w:bookmarkEnd w:id="13"/>
    </w:p>
    <w:tbl>
      <w:tblPr>
        <w:tblStyle w:val="24"/>
        <w:tblW w:w="1018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6"/>
        <w:gridCol w:w="710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1" w:hRule="atLeast"/>
          <w:tblHeader/>
          <w:jc w:val="center"/>
        </w:trPr>
        <w:tc>
          <w:tcPr>
            <w:tcW w:w="838" w:type="dxa"/>
            <w:vAlign w:val="center"/>
          </w:tcPr>
          <w:p>
            <w:pPr>
              <w:pStyle w:val="55"/>
              <w:spacing w:line="360" w:lineRule="auto"/>
              <w:ind w:left="9"/>
              <w:jc w:val="center"/>
              <w:rPr>
                <w:color w:val="000000"/>
                <w:kern w:val="2"/>
              </w:rPr>
            </w:pPr>
            <w:bookmarkStart w:id="14" w:name="_Toc22751"/>
            <w:r>
              <w:rPr>
                <w:rFonts w:hint="eastAsia"/>
                <w:color w:val="000000"/>
                <w:kern w:val="2"/>
              </w:rPr>
              <w:t>序号</w:t>
            </w:r>
          </w:p>
        </w:tc>
        <w:tc>
          <w:tcPr>
            <w:tcW w:w="2236" w:type="dxa"/>
            <w:vAlign w:val="center"/>
          </w:tcPr>
          <w:p>
            <w:pPr>
              <w:pStyle w:val="55"/>
              <w:spacing w:line="360" w:lineRule="auto"/>
              <w:ind w:left="38"/>
              <w:jc w:val="center"/>
              <w:rPr>
                <w:color w:val="000000"/>
                <w:kern w:val="2"/>
              </w:rPr>
            </w:pPr>
            <w:r>
              <w:rPr>
                <w:rFonts w:hint="eastAsia"/>
                <w:color w:val="000000"/>
                <w:kern w:val="2"/>
              </w:rPr>
              <w:t>条款名称</w:t>
            </w:r>
          </w:p>
        </w:tc>
        <w:tc>
          <w:tcPr>
            <w:tcW w:w="7109" w:type="dxa"/>
            <w:vAlign w:val="center"/>
          </w:tcPr>
          <w:p>
            <w:pPr>
              <w:pStyle w:val="55"/>
              <w:spacing w:line="360" w:lineRule="auto"/>
              <w:jc w:val="center"/>
              <w:rPr>
                <w:color w:val="000000"/>
                <w:kern w:val="2"/>
              </w:rPr>
            </w:pPr>
            <w:r>
              <w:rPr>
                <w:rFonts w:hint="eastAsia"/>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98" w:hRule="atLeast"/>
          <w:jc w:val="center"/>
        </w:trPr>
        <w:tc>
          <w:tcPr>
            <w:tcW w:w="838" w:type="dxa"/>
            <w:vAlign w:val="center"/>
          </w:tcPr>
          <w:p>
            <w:pPr>
              <w:pStyle w:val="55"/>
              <w:spacing w:line="360" w:lineRule="auto"/>
              <w:ind w:right="230"/>
              <w:jc w:val="center"/>
              <w:rPr>
                <w:color w:val="000000"/>
                <w:kern w:val="2"/>
              </w:rPr>
            </w:pPr>
            <w:r>
              <w:rPr>
                <w:rFonts w:hint="eastAsia"/>
                <w:color w:val="000000"/>
                <w:kern w:val="2"/>
              </w:rPr>
              <w:t xml:space="preserve">  1</w:t>
            </w:r>
          </w:p>
        </w:tc>
        <w:tc>
          <w:tcPr>
            <w:tcW w:w="2236" w:type="dxa"/>
            <w:vAlign w:val="center"/>
          </w:tcPr>
          <w:p>
            <w:pPr>
              <w:pStyle w:val="55"/>
              <w:spacing w:line="360" w:lineRule="auto"/>
              <w:jc w:val="center"/>
              <w:rPr>
                <w:color w:val="000000"/>
                <w:kern w:val="2"/>
              </w:rPr>
            </w:pPr>
            <w:r>
              <w:rPr>
                <w:rFonts w:hint="eastAsia"/>
                <w:color w:val="000000"/>
                <w:kern w:val="2"/>
              </w:rPr>
              <w:t>预算金额</w:t>
            </w:r>
            <w:r>
              <w:rPr>
                <w:rFonts w:hint="eastAsia"/>
                <w:color w:val="000000"/>
              </w:rPr>
              <w:t>和</w:t>
            </w:r>
            <w:r>
              <w:rPr>
                <w:rFonts w:hint="eastAsia"/>
                <w:color w:val="000000"/>
                <w:kern w:val="2"/>
              </w:rPr>
              <w:t>最高限价</w:t>
            </w:r>
          </w:p>
          <w:p>
            <w:pPr>
              <w:pStyle w:val="55"/>
              <w:spacing w:line="360" w:lineRule="auto"/>
              <w:jc w:val="center"/>
              <w:rPr>
                <w:color w:val="000000"/>
                <w:kern w:val="2"/>
              </w:rPr>
            </w:pPr>
            <w:r>
              <w:rPr>
                <w:rFonts w:hint="eastAsia"/>
                <w:color w:val="000000"/>
              </w:rPr>
              <w:t>（实质性要求）</w:t>
            </w:r>
          </w:p>
        </w:tc>
        <w:tc>
          <w:tcPr>
            <w:tcW w:w="7109" w:type="dxa"/>
            <w:vAlign w:val="center"/>
          </w:tcPr>
          <w:p>
            <w:pPr>
              <w:snapToGrid w:val="0"/>
              <w:spacing w:line="360" w:lineRule="auto"/>
              <w:ind w:right="31" w:rightChars="15"/>
              <w:jc w:val="left"/>
              <w:rPr>
                <w:rFonts w:ascii="宋体" w:hAnsi="宋体" w:cs="宋体"/>
                <w:color w:val="000000"/>
                <w:sz w:val="24"/>
                <w:u w:val="single"/>
              </w:rPr>
            </w:pPr>
            <w:r>
              <w:rPr>
                <w:rFonts w:hint="eastAsia" w:ascii="宋体" w:hAnsi="宋体" w:cs="宋体"/>
                <w:color w:val="000000"/>
                <w:sz w:val="24"/>
              </w:rPr>
              <w:t>预算金额：</w:t>
            </w:r>
            <w:r>
              <w:rPr>
                <w:rFonts w:hint="eastAsia" w:ascii="宋体" w:hAnsi="宋体" w:cs="宋体"/>
                <w:color w:val="000000"/>
                <w:sz w:val="24"/>
                <w:u w:val="single"/>
              </w:rPr>
              <w:t>人民币70万元</w:t>
            </w:r>
            <w:r>
              <w:rPr>
                <w:rFonts w:hint="eastAsia" w:ascii="宋体" w:hAnsi="宋体" w:cs="宋体"/>
                <w:color w:val="000000"/>
                <w:sz w:val="24"/>
              </w:rPr>
              <w:t>，最高限价：</w:t>
            </w:r>
            <w:r>
              <w:rPr>
                <w:rFonts w:hint="eastAsia" w:ascii="宋体" w:hAnsi="宋体" w:cs="宋体"/>
                <w:color w:val="000000"/>
                <w:sz w:val="24"/>
                <w:u w:val="single"/>
              </w:rPr>
              <w:t>人民币70万元。</w:t>
            </w:r>
          </w:p>
          <w:p>
            <w:pPr>
              <w:snapToGrid w:val="0"/>
              <w:spacing w:line="360" w:lineRule="auto"/>
              <w:ind w:right="31" w:rightChars="15"/>
              <w:jc w:val="left"/>
              <w:rPr>
                <w:rFonts w:ascii="宋体" w:hAnsi="宋体" w:cs="宋体"/>
                <w:color w:val="000000"/>
                <w:sz w:val="24"/>
              </w:rPr>
            </w:pPr>
            <w:r>
              <w:rPr>
                <w:rFonts w:hint="eastAsia" w:ascii="宋体" w:hAnsi="宋体" w:cs="宋体"/>
                <w:color w:val="000000"/>
                <w:sz w:val="24"/>
              </w:rPr>
              <w:t>供应商应在填报投标报价之前，已经仔细阅读了本竞争性磋商文件的所有有关章节以及审查了所有相关资料，已确保本次政府采购项目的所有采购服务范围内的各种价格风险均已包含在投标报价内。</w:t>
            </w:r>
          </w:p>
          <w:p>
            <w:pPr>
              <w:pStyle w:val="55"/>
              <w:snapToGrid w:val="0"/>
              <w:spacing w:line="360" w:lineRule="auto"/>
              <w:rPr>
                <w:color w:val="000000"/>
              </w:rPr>
            </w:pPr>
            <w:r>
              <w:rPr>
                <w:rFonts w:hint="eastAsia"/>
                <w:color w:val="000000"/>
              </w:rPr>
              <w:t>超过预算金额和最高限价的报价为无效响应。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3" w:hRule="atLeast"/>
          <w:jc w:val="center"/>
        </w:trPr>
        <w:tc>
          <w:tcPr>
            <w:tcW w:w="838" w:type="dxa"/>
            <w:vAlign w:val="center"/>
          </w:tcPr>
          <w:p>
            <w:pPr>
              <w:pStyle w:val="55"/>
              <w:spacing w:line="360" w:lineRule="auto"/>
              <w:ind w:right="230"/>
              <w:jc w:val="center"/>
              <w:rPr>
                <w:color w:val="000000"/>
                <w:kern w:val="2"/>
              </w:rPr>
            </w:pPr>
            <w:r>
              <w:rPr>
                <w:rFonts w:hint="eastAsia"/>
                <w:color w:val="000000"/>
                <w:kern w:val="2"/>
              </w:rPr>
              <w:t xml:space="preserve">  2</w:t>
            </w:r>
          </w:p>
        </w:tc>
        <w:tc>
          <w:tcPr>
            <w:tcW w:w="2236" w:type="dxa"/>
            <w:vAlign w:val="center"/>
          </w:tcPr>
          <w:p>
            <w:pPr>
              <w:pStyle w:val="55"/>
              <w:spacing w:line="360" w:lineRule="auto"/>
              <w:ind w:left="38"/>
              <w:jc w:val="center"/>
              <w:rPr>
                <w:color w:val="000000"/>
                <w:kern w:val="2"/>
              </w:rPr>
            </w:pPr>
            <w:r>
              <w:rPr>
                <w:rFonts w:hint="eastAsia"/>
                <w:color w:val="000000"/>
                <w:kern w:val="2"/>
              </w:rPr>
              <w:t>低于成本价不正当</w:t>
            </w:r>
          </w:p>
          <w:p>
            <w:pPr>
              <w:pStyle w:val="55"/>
              <w:spacing w:line="360" w:lineRule="auto"/>
              <w:ind w:left="38"/>
              <w:jc w:val="center"/>
              <w:rPr>
                <w:color w:val="000000"/>
                <w:kern w:val="2"/>
              </w:rPr>
            </w:pPr>
            <w:r>
              <w:rPr>
                <w:rFonts w:hint="eastAsia"/>
                <w:color w:val="000000"/>
                <w:kern w:val="2"/>
              </w:rPr>
              <w:t>竞争预防措施</w:t>
            </w:r>
          </w:p>
          <w:p>
            <w:pPr>
              <w:pStyle w:val="55"/>
              <w:spacing w:line="360" w:lineRule="auto"/>
              <w:ind w:left="38"/>
              <w:jc w:val="center"/>
              <w:rPr>
                <w:color w:val="000000"/>
                <w:kern w:val="2"/>
              </w:rPr>
            </w:pPr>
            <w:r>
              <w:rPr>
                <w:rFonts w:hint="eastAsia"/>
                <w:color w:val="000000"/>
              </w:rPr>
              <w:t>（实质性要求）</w:t>
            </w:r>
          </w:p>
        </w:tc>
        <w:tc>
          <w:tcPr>
            <w:tcW w:w="7109" w:type="dxa"/>
            <w:vAlign w:val="center"/>
          </w:tcPr>
          <w:p>
            <w:pPr>
              <w:pStyle w:val="55"/>
              <w:snapToGrid w:val="0"/>
              <w:spacing w:line="336" w:lineRule="auto"/>
              <w:rPr>
                <w:color w:val="000000"/>
              </w:rPr>
            </w:pPr>
            <w:r>
              <w:rPr>
                <w:rFonts w:hint="eastAsia"/>
                <w:color w:val="000000"/>
              </w:rPr>
              <w:t>在评审过程中，磋商小组认为供应商的报价明显低于其他通过有效性、完整性和响应程度审查情况供应商的报价，有可能影响产品质量或者不能诚信履约的，磋商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5"/>
              <w:snapToGrid w:val="0"/>
              <w:spacing w:line="336" w:lineRule="auto"/>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5"/>
              <w:snapToGrid w:val="0"/>
              <w:spacing w:line="336" w:lineRule="auto"/>
              <w:rPr>
                <w:color w:val="000000"/>
                <w:kern w:val="2"/>
              </w:rPr>
            </w:pPr>
            <w:r>
              <w:rPr>
                <w:rFonts w:hint="eastAsia"/>
                <w:color w:val="000000"/>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spacing w:line="360" w:lineRule="auto"/>
              <w:ind w:right="230"/>
              <w:jc w:val="center"/>
              <w:rPr>
                <w:color w:val="000000"/>
                <w:lang w:val="zh-CN"/>
              </w:rPr>
            </w:pPr>
            <w:r>
              <w:rPr>
                <w:rFonts w:hint="eastAsia"/>
                <w:color w:val="000000"/>
              </w:rPr>
              <w:t xml:space="preserve">  </w:t>
            </w:r>
            <w:r>
              <w:rPr>
                <w:rFonts w:hint="eastAsia"/>
                <w:color w:val="000000"/>
                <w:lang w:val="zh-CN"/>
              </w:rPr>
              <w:t>3</w:t>
            </w:r>
          </w:p>
        </w:tc>
        <w:tc>
          <w:tcPr>
            <w:tcW w:w="2236" w:type="dxa"/>
            <w:vAlign w:val="center"/>
          </w:tcPr>
          <w:p>
            <w:pPr>
              <w:pStyle w:val="55"/>
              <w:spacing w:line="360" w:lineRule="auto"/>
              <w:jc w:val="center"/>
              <w:rPr>
                <w:color w:val="000000"/>
                <w:kern w:val="2"/>
              </w:rPr>
            </w:pPr>
            <w:r>
              <w:rPr>
                <w:rFonts w:hint="eastAsia"/>
                <w:color w:val="000000"/>
                <w:kern w:val="2"/>
              </w:rPr>
              <w:t>促进中小企业发展</w:t>
            </w:r>
          </w:p>
        </w:tc>
        <w:tc>
          <w:tcPr>
            <w:tcW w:w="7109" w:type="dxa"/>
            <w:vAlign w:val="center"/>
          </w:tcPr>
          <w:p>
            <w:pPr>
              <w:pStyle w:val="55"/>
              <w:snapToGrid w:val="0"/>
              <w:spacing w:line="336" w:lineRule="auto"/>
              <w:rPr>
                <w:b/>
                <w:bCs/>
                <w:color w:val="000000"/>
                <w:lang w:val="zh-CN"/>
              </w:rPr>
            </w:pPr>
            <w:r>
              <w:rPr>
                <w:rFonts w:hint="eastAsia"/>
                <w:b/>
                <w:bCs/>
                <w:color w:val="000000"/>
                <w:lang w:val="zh-CN"/>
              </w:rPr>
              <w:t xml:space="preserve">促进中小企业发展（监狱企业、残疾人福利性单位视同小微企业） </w:t>
            </w:r>
          </w:p>
          <w:p>
            <w:pPr>
              <w:pStyle w:val="55"/>
              <w:snapToGrid w:val="0"/>
              <w:spacing w:line="336" w:lineRule="auto"/>
              <w:rPr>
                <w:b/>
                <w:bCs/>
                <w:color w:val="000000"/>
              </w:rPr>
            </w:pPr>
            <w:r>
              <w:rPr>
                <w:rFonts w:hint="eastAsia"/>
                <w:color w:val="000000"/>
                <w:lang w:val="zh-CN"/>
              </w:rPr>
              <w:t>本项目为专门面向中小企业采购，参加本次采购活动的中小企业应当提供《中小企业声明函》原件，监狱企业应当提供省级以上监狱管理局、戒毒管理局（含新疆生产建设兵团）出具的属于监狱企业的证明文件，残疾人福利性单位应该提供《残疾人福利性单位声明函》原件。以上三类证明材料提供其中之一均可。若未提供，则资格性审查不予通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838" w:type="dxa"/>
            <w:vAlign w:val="center"/>
          </w:tcPr>
          <w:p>
            <w:pPr>
              <w:pStyle w:val="55"/>
              <w:spacing w:line="360" w:lineRule="auto"/>
              <w:ind w:right="230"/>
              <w:jc w:val="center"/>
              <w:rPr>
                <w:color w:val="000000"/>
              </w:rPr>
            </w:pPr>
            <w:r>
              <w:rPr>
                <w:rFonts w:hint="eastAsia"/>
                <w:color w:val="000000"/>
              </w:rPr>
              <w:t xml:space="preserve">  4</w:t>
            </w:r>
          </w:p>
        </w:tc>
        <w:tc>
          <w:tcPr>
            <w:tcW w:w="2236"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关于执行《政府采购竞争性磋商采购方式管理暂行办法》财库〔2014〕214号文件及财库〔2015〕124号的要求</w:t>
            </w:r>
          </w:p>
        </w:tc>
        <w:tc>
          <w:tcPr>
            <w:tcW w:w="7109" w:type="dxa"/>
            <w:vAlign w:val="center"/>
          </w:tcPr>
          <w:p>
            <w:pPr>
              <w:pStyle w:val="54"/>
              <w:snapToGrid w:val="0"/>
              <w:spacing w:line="336" w:lineRule="auto"/>
              <w:ind w:firstLine="0"/>
              <w:jc w:val="left"/>
              <w:rPr>
                <w:rFonts w:ascii="宋体" w:hAnsi="宋体" w:cs="宋体"/>
                <w:color w:val="000000"/>
                <w:sz w:val="24"/>
                <w:szCs w:val="24"/>
              </w:rPr>
            </w:pPr>
            <w:r>
              <w:rPr>
                <w:rFonts w:hint="eastAsia" w:ascii="宋体" w:hAnsi="宋体" w:cs="宋体"/>
                <w:color w:val="000000"/>
                <w:sz w:val="24"/>
                <w:szCs w:val="24"/>
              </w:rPr>
              <w:t>1、根据该办法第三条：符合下列情形的项目，可以采用竞争性磋商方式开展采购：(四)市场竞争不充分的科研项目，以及需要扶持的科技成果转化项目；符合本办法第三条第四项情形的，提交最后报价的供应商可以为2家；</w:t>
            </w:r>
          </w:p>
          <w:p>
            <w:pPr>
              <w:pStyle w:val="54"/>
              <w:snapToGrid w:val="0"/>
              <w:spacing w:line="336" w:lineRule="auto"/>
              <w:ind w:firstLine="0"/>
              <w:jc w:val="left"/>
              <w:rPr>
                <w:rFonts w:ascii="宋体" w:hAnsi="宋体" w:cs="宋体"/>
                <w:color w:val="000000"/>
                <w:sz w:val="24"/>
                <w:szCs w:val="24"/>
              </w:rPr>
            </w:pPr>
            <w:r>
              <w:rPr>
                <w:rFonts w:hint="eastAsia" w:ascii="宋体" w:hAnsi="宋体" w:cs="宋体"/>
                <w:color w:val="000000"/>
                <w:sz w:val="24"/>
                <w:szCs w:val="24"/>
              </w:rPr>
              <w:t>2、依据财库〔2015〕124号的要求，采用竞争性磋商采购方式采购的政府购买服务项目（含政府和社会资本合作项目），在采购过程中符合要求的供应商（社会资本）只有2家的，竞争性磋商采购活动可以继续进行。</w:t>
            </w:r>
          </w:p>
          <w:p>
            <w:pPr>
              <w:pStyle w:val="54"/>
              <w:snapToGrid w:val="0"/>
              <w:spacing w:line="336" w:lineRule="auto"/>
              <w:ind w:firstLine="0"/>
              <w:jc w:val="left"/>
              <w:rPr>
                <w:rFonts w:ascii="宋体" w:hAnsi="宋体" w:cs="宋体"/>
                <w:color w:val="000000"/>
                <w:sz w:val="24"/>
                <w:szCs w:val="24"/>
                <w:lang w:val="zh-CN"/>
              </w:rPr>
            </w:pPr>
            <w:r>
              <w:rPr>
                <w:rFonts w:hint="eastAsia" w:ascii="宋体" w:hAnsi="宋体" w:cs="宋体"/>
                <w:color w:val="000000"/>
                <w:sz w:val="24"/>
              </w:rPr>
              <w:t>3、本项目属于政府购买服务项目。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spacing w:line="360" w:lineRule="auto"/>
              <w:ind w:right="230"/>
              <w:jc w:val="center"/>
              <w:rPr>
                <w:color w:val="000000"/>
              </w:rPr>
            </w:pPr>
            <w:r>
              <w:rPr>
                <w:rFonts w:hint="eastAsia"/>
                <w:color w:val="000000"/>
              </w:rPr>
              <w:t xml:space="preserve">  5</w:t>
            </w:r>
          </w:p>
        </w:tc>
        <w:tc>
          <w:tcPr>
            <w:tcW w:w="2236" w:type="dxa"/>
            <w:vAlign w:val="center"/>
          </w:tcPr>
          <w:p>
            <w:pPr>
              <w:pStyle w:val="55"/>
              <w:spacing w:line="360" w:lineRule="auto"/>
              <w:jc w:val="center"/>
              <w:rPr>
                <w:color w:val="000000"/>
              </w:rPr>
            </w:pPr>
            <w:r>
              <w:rPr>
                <w:rFonts w:hint="eastAsia"/>
                <w:color w:val="000000"/>
              </w:rPr>
              <w:t>节能产品或者政府采购环境标志产品或者无线局域网产品</w:t>
            </w:r>
          </w:p>
          <w:p>
            <w:pPr>
              <w:pStyle w:val="55"/>
              <w:spacing w:line="360" w:lineRule="auto"/>
              <w:jc w:val="center"/>
              <w:rPr>
                <w:color w:val="000000"/>
              </w:rPr>
            </w:pPr>
            <w:r>
              <w:rPr>
                <w:rFonts w:hint="eastAsia"/>
                <w:color w:val="000000"/>
              </w:rPr>
              <w:t>（本项目不涉及）</w:t>
            </w:r>
          </w:p>
        </w:tc>
        <w:tc>
          <w:tcPr>
            <w:tcW w:w="7109" w:type="dxa"/>
            <w:vAlign w:val="center"/>
          </w:tcPr>
          <w:p>
            <w:pPr>
              <w:pStyle w:val="55"/>
              <w:spacing w:line="360" w:lineRule="auto"/>
              <w:rPr>
                <w:rFonts w:hint="eastAsia"/>
                <w:color w:val="000000"/>
                <w:lang w:val="zh-CN"/>
              </w:rPr>
            </w:pPr>
            <w:r>
              <w:rPr>
                <w:rFonts w:hint="eastAsia"/>
                <w:color w:val="000000"/>
                <w:lang w:val="zh-CN"/>
              </w:rPr>
              <w:t>一、节能、环保产品政府采购政策：</w:t>
            </w:r>
          </w:p>
          <w:p>
            <w:pPr>
              <w:pStyle w:val="55"/>
              <w:spacing w:line="360" w:lineRule="auto"/>
              <w:rPr>
                <w:rFonts w:hint="eastAsia"/>
                <w:color w:val="000000"/>
                <w:lang w:val="zh-CN"/>
              </w:rPr>
            </w:pPr>
            <w:r>
              <w:rPr>
                <w:rFonts w:hint="eastAsia"/>
                <w:color w:val="000000"/>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5"/>
              <w:spacing w:line="360" w:lineRule="auto"/>
              <w:rPr>
                <w:rFonts w:hint="eastAsia"/>
                <w:color w:val="000000"/>
                <w:lang w:val="zh-CN"/>
              </w:rPr>
            </w:pPr>
            <w:r>
              <w:rPr>
                <w:rFonts w:hint="eastAsia"/>
                <w:color w:val="000000"/>
                <w:lang w:val="zh-CN"/>
              </w:rPr>
              <w:t>本项目采购的产品属于品目清单范围内强制采购的，供应商应按上述要求提供产品认证证书复印件并加盖供应商单位公章（鲜章），否则投标无效。</w:t>
            </w:r>
          </w:p>
          <w:p>
            <w:pPr>
              <w:pStyle w:val="55"/>
              <w:spacing w:line="360" w:lineRule="auto"/>
              <w:rPr>
                <w:rFonts w:hint="eastAsia"/>
                <w:color w:val="000000"/>
                <w:lang w:val="zh-CN"/>
              </w:rPr>
            </w:pPr>
            <w:r>
              <w:rPr>
                <w:rFonts w:hint="eastAsia"/>
                <w:color w:val="000000"/>
                <w:lang w:val="zh-CN"/>
              </w:rPr>
              <w:t>本项目采购的产品属于品目清单范围内优先采购的，按照第七章《综合评分明细表》的规则进行加分。</w:t>
            </w:r>
          </w:p>
          <w:p>
            <w:pPr>
              <w:pStyle w:val="55"/>
              <w:spacing w:line="360" w:lineRule="auto"/>
              <w:rPr>
                <w:rFonts w:hint="eastAsia"/>
                <w:color w:val="000000"/>
                <w:lang w:val="zh-CN"/>
              </w:rPr>
            </w:pPr>
            <w:r>
              <w:rPr>
                <w:rFonts w:hint="eastAsia"/>
                <w:color w:val="000000"/>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55"/>
              <w:spacing w:line="360" w:lineRule="auto"/>
              <w:rPr>
                <w:rFonts w:hint="eastAsia"/>
                <w:color w:val="000000"/>
                <w:lang w:val="zh-CN"/>
              </w:rPr>
            </w:pPr>
            <w:r>
              <w:rPr>
                <w:rFonts w:hint="eastAsia"/>
                <w:color w:val="000000"/>
                <w:lang w:val="zh-CN"/>
              </w:rPr>
              <w:t>二、无线局域网产品政府采购政策：</w:t>
            </w:r>
          </w:p>
          <w:p>
            <w:pPr>
              <w:pStyle w:val="55"/>
              <w:spacing w:line="360" w:lineRule="auto"/>
              <w:rPr>
                <w:rFonts w:hint="default" w:eastAsia="宋体"/>
                <w:color w:val="000000"/>
                <w:lang w:val="en-US" w:eastAsia="zh-CN"/>
              </w:rPr>
            </w:pPr>
            <w:r>
              <w:rPr>
                <w:rFonts w:hint="eastAsia"/>
                <w:color w:val="000000"/>
                <w:lang w:val="zh-CN"/>
              </w:rPr>
              <w:t>本项目采购的产品属于中国政府采购网公布的《无线局域网认证产品政府采购清单》的，将按照第七章《综合评分明细表》的规则进行加分。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9" w:hRule="atLeast"/>
          <w:jc w:val="center"/>
        </w:trPr>
        <w:tc>
          <w:tcPr>
            <w:tcW w:w="838" w:type="dxa"/>
            <w:vAlign w:val="center"/>
          </w:tcPr>
          <w:p>
            <w:pPr>
              <w:pStyle w:val="55"/>
              <w:spacing w:line="360" w:lineRule="auto"/>
              <w:ind w:right="230"/>
              <w:jc w:val="center"/>
              <w:rPr>
                <w:color w:val="000000"/>
              </w:rPr>
            </w:pPr>
            <w:r>
              <w:rPr>
                <w:rFonts w:hint="eastAsia"/>
                <w:color w:val="000000"/>
              </w:rPr>
              <w:t xml:space="preserve">  6</w:t>
            </w:r>
          </w:p>
        </w:tc>
        <w:tc>
          <w:tcPr>
            <w:tcW w:w="2236" w:type="dxa"/>
            <w:vAlign w:val="center"/>
          </w:tcPr>
          <w:p>
            <w:pPr>
              <w:pStyle w:val="55"/>
              <w:spacing w:line="360" w:lineRule="auto"/>
              <w:jc w:val="center"/>
              <w:rPr>
                <w:color w:val="000000"/>
              </w:rPr>
            </w:pPr>
            <w:r>
              <w:rPr>
                <w:rFonts w:hint="eastAsia"/>
                <w:color w:val="000000"/>
              </w:rPr>
              <w:t>扶持不发达地区和少数民族地区</w:t>
            </w:r>
          </w:p>
        </w:tc>
        <w:tc>
          <w:tcPr>
            <w:tcW w:w="7109" w:type="dxa"/>
            <w:vAlign w:val="center"/>
          </w:tcPr>
          <w:p>
            <w:pPr>
              <w:pStyle w:val="55"/>
              <w:spacing w:line="360" w:lineRule="auto"/>
              <w:rPr>
                <w:color w:val="000000"/>
                <w:lang w:val="zh-CN"/>
              </w:rPr>
            </w:pPr>
            <w:r>
              <w:rPr>
                <w:rFonts w:hint="eastAsia"/>
                <w:color w:val="000000"/>
                <w:lang w:val="zh-CN"/>
              </w:rPr>
              <w:t>符合扶持不发达地区和少数民族地区政策条件的，根据《政府采购货物和服务招标投标管理办法》（财政部令第87号）的规定，对不发达地区和少数民族地区的供应商产品及服务实行优先采购。</w:t>
            </w:r>
          </w:p>
          <w:p>
            <w:pPr>
              <w:pStyle w:val="55"/>
              <w:spacing w:line="360" w:lineRule="auto"/>
              <w:rPr>
                <w:color w:val="000000"/>
                <w:lang w:val="zh-CN"/>
              </w:rPr>
            </w:pPr>
            <w:r>
              <w:rPr>
                <w:rFonts w:hint="eastAsia"/>
                <w:b/>
                <w:bCs/>
                <w:color w:val="000000"/>
                <w:lang w:val="zh-CN"/>
              </w:rPr>
              <w:t>注：评审得分、最后报价和技术指标相同的，不发达地区或少数民族地区的供应商排列顺序在非不发达地区或少数民族地区的供应商之前；评审得分、最后报价和技术指标相同的，且均为不发达地区或少数民族地区的供应商并列；评审得分、最后报价和技术指标相同的，且不能判定为不发达地区或少数民族地区的供应商并列。（不发达地区或少数民族地区的供应商需提供属于不发达地区或少数民族地区企业的相关证明材料，或供应商注册地为少数民族地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559" w:hRule="atLeast"/>
          <w:jc w:val="center"/>
        </w:trPr>
        <w:tc>
          <w:tcPr>
            <w:tcW w:w="838" w:type="dxa"/>
            <w:vAlign w:val="center"/>
          </w:tcPr>
          <w:p>
            <w:pPr>
              <w:pStyle w:val="55"/>
              <w:spacing w:before="72" w:after="72" w:line="360" w:lineRule="auto"/>
              <w:ind w:right="264"/>
              <w:jc w:val="center"/>
              <w:rPr>
                <w:color w:val="000000"/>
              </w:rPr>
            </w:pPr>
            <w:r>
              <w:rPr>
                <w:rFonts w:hint="eastAsia"/>
                <w:color w:val="000000"/>
                <w:kern w:val="2"/>
              </w:rPr>
              <w:t xml:space="preserve">  7</w:t>
            </w:r>
          </w:p>
        </w:tc>
        <w:tc>
          <w:tcPr>
            <w:tcW w:w="2236" w:type="dxa"/>
            <w:vAlign w:val="center"/>
          </w:tcPr>
          <w:p>
            <w:pPr>
              <w:pStyle w:val="55"/>
              <w:spacing w:line="360" w:lineRule="auto"/>
              <w:jc w:val="center"/>
              <w:rPr>
                <w:color w:val="000000"/>
              </w:rPr>
            </w:pPr>
            <w:r>
              <w:rPr>
                <w:rFonts w:hint="eastAsia"/>
                <w:color w:val="000000"/>
              </w:rPr>
              <w:t>中小企业政府采购</w:t>
            </w:r>
          </w:p>
          <w:p>
            <w:pPr>
              <w:pStyle w:val="55"/>
              <w:spacing w:line="360" w:lineRule="auto"/>
              <w:jc w:val="center"/>
              <w:rPr>
                <w:color w:val="000000"/>
              </w:rPr>
            </w:pPr>
            <w:r>
              <w:rPr>
                <w:rFonts w:hint="eastAsia"/>
                <w:color w:val="000000"/>
              </w:rPr>
              <w:t>信用融资</w:t>
            </w:r>
          </w:p>
        </w:tc>
        <w:tc>
          <w:tcPr>
            <w:tcW w:w="7109" w:type="dxa"/>
            <w:vAlign w:val="center"/>
          </w:tcPr>
          <w:p>
            <w:pPr>
              <w:pStyle w:val="55"/>
              <w:spacing w:line="360" w:lineRule="auto"/>
              <w:rPr>
                <w:b/>
                <w:bCs/>
                <w:color w:val="000000"/>
              </w:rPr>
            </w:pPr>
            <w:r>
              <w:rPr>
                <w:rFonts w:hint="eastAsia"/>
                <w:color w:val="000000"/>
              </w:rPr>
              <w:t>根据四川省财政厅关于推进四川省政府采购供应商信用融资工作的通知（川财采[2018]123号）、成都市财政局 中国人民银行成都分行营业管理部 关于印发《成都市中小企业政府采购信用融资暂行办法》和《成都市级支持中小企业政府采购信用融资实施方案》的通知（成财采[2019]17号）。供应商若为中小微企业的，可依据政府采购合同申请政府采购信用融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344" w:hRule="atLeast"/>
          <w:jc w:val="center"/>
        </w:trPr>
        <w:tc>
          <w:tcPr>
            <w:tcW w:w="838" w:type="dxa"/>
            <w:vAlign w:val="center"/>
          </w:tcPr>
          <w:p>
            <w:pPr>
              <w:pStyle w:val="55"/>
              <w:spacing w:line="360" w:lineRule="auto"/>
              <w:ind w:right="230"/>
              <w:jc w:val="center"/>
              <w:rPr>
                <w:rFonts w:hint="eastAsia" w:eastAsia="宋体"/>
                <w:color w:val="000000"/>
                <w:kern w:val="2"/>
                <w:lang w:val="en-US" w:eastAsia="zh-CN"/>
              </w:rPr>
            </w:pPr>
            <w:r>
              <w:rPr>
                <w:rFonts w:hint="eastAsia"/>
                <w:color w:val="000000"/>
                <w:kern w:val="2"/>
              </w:rPr>
              <w:t xml:space="preserve">  </w:t>
            </w:r>
            <w:r>
              <w:rPr>
                <w:rFonts w:hint="eastAsia"/>
                <w:color w:val="000000"/>
                <w:kern w:val="2"/>
                <w:lang w:val="en-US" w:eastAsia="zh-CN"/>
              </w:rPr>
              <w:t>8</w:t>
            </w:r>
          </w:p>
        </w:tc>
        <w:tc>
          <w:tcPr>
            <w:tcW w:w="2236" w:type="dxa"/>
            <w:vAlign w:val="center"/>
          </w:tcPr>
          <w:p>
            <w:pPr>
              <w:spacing w:line="360" w:lineRule="auto"/>
              <w:ind w:left="105" w:leftChars="50" w:right="105" w:rightChars="50"/>
              <w:jc w:val="center"/>
              <w:rPr>
                <w:rFonts w:ascii="宋体" w:hAnsi="宋体" w:cs="宋体"/>
                <w:color w:val="000000"/>
                <w:sz w:val="24"/>
              </w:rPr>
            </w:pPr>
            <w:r>
              <w:rPr>
                <w:rFonts w:hint="eastAsia" w:ascii="宋体" w:hAnsi="宋体" w:cs="宋体"/>
                <w:color w:val="000000"/>
                <w:kern w:val="0"/>
                <w:sz w:val="24"/>
              </w:rPr>
              <w:t>评审情况公告</w:t>
            </w:r>
          </w:p>
        </w:tc>
        <w:tc>
          <w:tcPr>
            <w:tcW w:w="7109" w:type="dxa"/>
            <w:vAlign w:val="center"/>
          </w:tcPr>
          <w:p>
            <w:pPr>
              <w:widowControl/>
              <w:spacing w:line="360" w:lineRule="auto"/>
              <w:jc w:val="left"/>
              <w:rPr>
                <w:rFonts w:ascii="宋体" w:hAnsi="宋体" w:cs="宋体"/>
                <w:color w:val="000000"/>
                <w:sz w:val="24"/>
              </w:rPr>
            </w:pPr>
            <w:r>
              <w:rPr>
                <w:rFonts w:hint="eastAsia" w:ascii="宋体" w:hAnsi="宋体" w:cs="宋体"/>
                <w:color w:val="000000"/>
                <w:kern w:val="0"/>
                <w:sz w:val="24"/>
              </w:rPr>
              <w:t>所有供应商响应文件资格性、有效性、完整性和响应程度审查情况、采用综合评分法时的总得分和分项汇总得分情况、评标结果等将在四川政府采购网上采购结果公告栏中予以公告。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2" w:hRule="atLeast"/>
          <w:jc w:val="center"/>
        </w:trPr>
        <w:tc>
          <w:tcPr>
            <w:tcW w:w="838" w:type="dxa"/>
            <w:vAlign w:val="center"/>
          </w:tcPr>
          <w:p>
            <w:pPr>
              <w:pStyle w:val="55"/>
              <w:spacing w:line="360" w:lineRule="auto"/>
              <w:ind w:right="230" w:rightChars="0"/>
              <w:jc w:val="center"/>
              <w:rPr>
                <w:color w:val="000000"/>
                <w:kern w:val="2"/>
              </w:rPr>
            </w:pPr>
            <w:r>
              <w:rPr>
                <w:rFonts w:hint="eastAsia"/>
                <w:color w:val="000000"/>
                <w:kern w:val="2"/>
              </w:rPr>
              <w:t xml:space="preserve">  9</w:t>
            </w:r>
          </w:p>
        </w:tc>
        <w:tc>
          <w:tcPr>
            <w:tcW w:w="2236" w:type="dxa"/>
            <w:vAlign w:val="center"/>
          </w:tcPr>
          <w:p>
            <w:pPr>
              <w:pStyle w:val="55"/>
              <w:spacing w:line="360" w:lineRule="auto"/>
              <w:ind w:left="96"/>
              <w:jc w:val="center"/>
              <w:rPr>
                <w:color w:val="000000"/>
                <w:lang w:val="zh-CN"/>
              </w:rPr>
            </w:pPr>
            <w:r>
              <w:rPr>
                <w:rFonts w:hint="eastAsia"/>
                <w:color w:val="000000"/>
                <w:lang w:val="zh-CN"/>
              </w:rPr>
              <w:t>磋商保证金</w:t>
            </w:r>
          </w:p>
        </w:tc>
        <w:tc>
          <w:tcPr>
            <w:tcW w:w="7109" w:type="dxa"/>
            <w:vAlign w:val="center"/>
          </w:tcPr>
          <w:p>
            <w:pPr>
              <w:pStyle w:val="55"/>
              <w:spacing w:line="360" w:lineRule="auto"/>
              <w:rPr>
                <w:color w:val="000000"/>
                <w:lang w:val="zh-CN"/>
              </w:rPr>
            </w:pPr>
            <w:r>
              <w:rPr>
                <w:rFonts w:hint="eastAsia"/>
                <w:color w:val="000000"/>
                <w:lang w:val="zh-CN"/>
              </w:rPr>
              <w:t>根据《四川省财政厅文件&lt;四川省财政厅关于进一步做好疫情防控期间政府采购工作有关事项的通知&gt;》（川财采〔2020〕28号）相关文件指导，为了做好疫情防控期间政府采购工作，加强采购活动场所防护，减少大型人员参会活动，本项目不收取</w:t>
            </w:r>
            <w:r>
              <w:rPr>
                <w:rFonts w:hint="eastAsia"/>
                <w:color w:val="000000"/>
              </w:rPr>
              <w:t>磋商</w:t>
            </w:r>
            <w:r>
              <w:rPr>
                <w:rFonts w:hint="eastAsia"/>
                <w:color w:val="000000"/>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838" w:type="dxa"/>
            <w:vAlign w:val="center"/>
          </w:tcPr>
          <w:p>
            <w:pPr>
              <w:pStyle w:val="55"/>
              <w:spacing w:line="360" w:lineRule="auto"/>
              <w:ind w:right="264" w:rightChars="0" w:firstLine="240" w:firstLineChars="100"/>
              <w:jc w:val="center"/>
              <w:rPr>
                <w:color w:val="000000"/>
                <w:kern w:val="2"/>
              </w:rPr>
            </w:pPr>
            <w:r>
              <w:rPr>
                <w:rFonts w:hint="eastAsia"/>
                <w:color w:val="000000"/>
                <w:kern w:val="2"/>
              </w:rPr>
              <w:t>10</w:t>
            </w:r>
          </w:p>
        </w:tc>
        <w:tc>
          <w:tcPr>
            <w:tcW w:w="2236" w:type="dxa"/>
            <w:vAlign w:val="center"/>
          </w:tcPr>
          <w:p>
            <w:pPr>
              <w:pStyle w:val="55"/>
              <w:spacing w:line="360" w:lineRule="auto"/>
              <w:jc w:val="center"/>
              <w:rPr>
                <w:color w:val="000000"/>
                <w:lang w:val="zh-CN"/>
              </w:rPr>
            </w:pPr>
            <w:r>
              <w:rPr>
                <w:rFonts w:hint="eastAsia"/>
                <w:color w:val="000000"/>
                <w:lang w:val="zh-CN"/>
              </w:rPr>
              <w:t>履约保证金</w:t>
            </w:r>
          </w:p>
        </w:tc>
        <w:tc>
          <w:tcPr>
            <w:tcW w:w="7109" w:type="dxa"/>
            <w:vAlign w:val="center"/>
          </w:tcPr>
          <w:p>
            <w:pPr>
              <w:pStyle w:val="55"/>
              <w:spacing w:line="360" w:lineRule="auto"/>
              <w:rPr>
                <w:color w:val="000000"/>
                <w:lang w:val="zh-CN"/>
              </w:rPr>
            </w:pPr>
            <w:r>
              <w:rPr>
                <w:rFonts w:hint="eastAsia"/>
                <w:color w:val="000000"/>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8" w:hRule="atLeast"/>
          <w:jc w:val="center"/>
        </w:trPr>
        <w:tc>
          <w:tcPr>
            <w:tcW w:w="838" w:type="dxa"/>
            <w:tcBorders>
              <w:top w:val="single" w:color="auto" w:sz="4" w:space="0"/>
              <w:bottom w:val="single" w:color="auto" w:sz="4" w:space="0"/>
            </w:tcBorders>
            <w:vAlign w:val="center"/>
          </w:tcPr>
          <w:p>
            <w:pPr>
              <w:pStyle w:val="55"/>
              <w:spacing w:line="360" w:lineRule="auto"/>
              <w:ind w:right="264" w:rightChars="0"/>
              <w:jc w:val="center"/>
              <w:rPr>
                <w:color w:val="000000"/>
                <w:kern w:val="2"/>
              </w:rPr>
            </w:pPr>
            <w:r>
              <w:rPr>
                <w:rFonts w:hint="eastAsia"/>
                <w:color w:val="000000"/>
                <w:kern w:val="2"/>
              </w:rPr>
              <w:t xml:space="preserve">  11</w:t>
            </w:r>
          </w:p>
        </w:tc>
        <w:tc>
          <w:tcPr>
            <w:tcW w:w="2236" w:type="dxa"/>
            <w:tcBorders>
              <w:top w:val="single" w:color="auto" w:sz="4" w:space="0"/>
              <w:bottom w:val="single" w:color="auto" w:sz="4" w:space="0"/>
            </w:tcBorders>
            <w:vAlign w:val="center"/>
          </w:tcPr>
          <w:p>
            <w:pPr>
              <w:pStyle w:val="55"/>
              <w:spacing w:line="360" w:lineRule="auto"/>
              <w:jc w:val="center"/>
              <w:rPr>
                <w:color w:val="000000"/>
                <w:kern w:val="2"/>
              </w:rPr>
            </w:pPr>
            <w:r>
              <w:rPr>
                <w:rFonts w:hint="eastAsia"/>
                <w:color w:val="000000"/>
                <w:kern w:val="2"/>
              </w:rPr>
              <w:t>竞争性磋商文件咨询</w:t>
            </w:r>
          </w:p>
        </w:tc>
        <w:tc>
          <w:tcPr>
            <w:tcW w:w="7109" w:type="dxa"/>
            <w:tcBorders>
              <w:top w:val="single" w:color="auto" w:sz="4" w:space="0"/>
              <w:bottom w:val="single" w:color="auto" w:sz="4" w:space="0"/>
            </w:tcBorders>
            <w:vAlign w:val="center"/>
          </w:tcPr>
          <w:p>
            <w:pPr>
              <w:spacing w:line="360" w:lineRule="auto"/>
              <w:ind w:right="105" w:rightChars="50"/>
              <w:jc w:val="left"/>
              <w:rPr>
                <w:rFonts w:ascii="宋体" w:hAnsi="宋体" w:cs="宋体"/>
                <w:color w:val="000000"/>
                <w:sz w:val="24"/>
              </w:rPr>
            </w:pPr>
            <w:r>
              <w:rPr>
                <w:rFonts w:hint="eastAsia" w:ascii="宋体" w:hAnsi="宋体" w:cs="宋体"/>
                <w:color w:val="000000"/>
                <w:sz w:val="24"/>
              </w:rPr>
              <w:t>联系人：苟先生。联系电话：028-86273853。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9" w:hRule="atLeast"/>
          <w:jc w:val="center"/>
        </w:trPr>
        <w:tc>
          <w:tcPr>
            <w:tcW w:w="838" w:type="dxa"/>
            <w:tcBorders>
              <w:top w:val="single" w:color="auto" w:sz="4" w:space="0"/>
              <w:bottom w:val="single" w:color="auto" w:sz="4" w:space="0"/>
            </w:tcBorders>
            <w:vAlign w:val="center"/>
          </w:tcPr>
          <w:p>
            <w:pPr>
              <w:pStyle w:val="55"/>
              <w:spacing w:before="72" w:after="72" w:line="360" w:lineRule="auto"/>
              <w:ind w:right="264" w:rightChars="0"/>
              <w:jc w:val="center"/>
              <w:rPr>
                <w:color w:val="000000"/>
                <w:kern w:val="2"/>
              </w:rPr>
            </w:pPr>
            <w:r>
              <w:rPr>
                <w:rFonts w:hint="eastAsia"/>
                <w:color w:val="000000"/>
                <w:kern w:val="2"/>
              </w:rPr>
              <w:t xml:space="preserve">  12</w:t>
            </w:r>
          </w:p>
        </w:tc>
        <w:tc>
          <w:tcPr>
            <w:tcW w:w="2236" w:type="dxa"/>
            <w:tcBorders>
              <w:top w:val="single" w:color="auto" w:sz="4" w:space="0"/>
              <w:bottom w:val="single" w:color="auto" w:sz="4" w:space="0"/>
            </w:tcBorders>
            <w:vAlign w:val="center"/>
          </w:tcPr>
          <w:p>
            <w:pPr>
              <w:pStyle w:val="55"/>
              <w:spacing w:line="360" w:lineRule="auto"/>
              <w:jc w:val="center"/>
              <w:rPr>
                <w:color w:val="000000"/>
                <w:kern w:val="2"/>
              </w:rPr>
            </w:pPr>
            <w:r>
              <w:rPr>
                <w:rFonts w:hint="eastAsia"/>
                <w:color w:val="000000"/>
                <w:kern w:val="2"/>
              </w:rPr>
              <w:t>开标、评审工作咨询</w:t>
            </w:r>
          </w:p>
        </w:tc>
        <w:tc>
          <w:tcPr>
            <w:tcW w:w="7109" w:type="dxa"/>
            <w:tcBorders>
              <w:top w:val="single" w:color="auto" w:sz="4" w:space="0"/>
              <w:bottom w:val="single" w:color="auto" w:sz="4" w:space="0"/>
            </w:tcBorders>
            <w:vAlign w:val="center"/>
          </w:tcPr>
          <w:p>
            <w:pPr>
              <w:spacing w:line="360" w:lineRule="auto"/>
              <w:ind w:right="105" w:rightChars="50"/>
              <w:jc w:val="left"/>
              <w:rPr>
                <w:rFonts w:ascii="宋体" w:hAnsi="宋体" w:cs="宋体"/>
                <w:color w:val="000000"/>
                <w:sz w:val="24"/>
              </w:rPr>
            </w:pPr>
            <w:r>
              <w:rPr>
                <w:rFonts w:hint="eastAsia" w:ascii="宋体" w:hAnsi="宋体" w:cs="宋体"/>
                <w:color w:val="000000"/>
                <w:sz w:val="24"/>
              </w:rPr>
              <w:t>联系人：李女士。联系电话：028-86273853。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55"/>
              <w:spacing w:line="360" w:lineRule="auto"/>
              <w:ind w:right="264" w:rightChars="0"/>
              <w:jc w:val="center"/>
              <w:rPr>
                <w:color w:val="000000"/>
                <w:kern w:val="2"/>
              </w:rPr>
            </w:pPr>
            <w:r>
              <w:rPr>
                <w:rFonts w:hint="eastAsia"/>
                <w:color w:val="000000"/>
                <w:kern w:val="2"/>
              </w:rPr>
              <w:t xml:space="preserve">  13</w:t>
            </w:r>
          </w:p>
        </w:tc>
        <w:tc>
          <w:tcPr>
            <w:tcW w:w="2236" w:type="dxa"/>
            <w:tcBorders>
              <w:top w:val="single" w:color="auto" w:sz="4" w:space="0"/>
            </w:tcBorders>
            <w:vAlign w:val="center"/>
          </w:tcPr>
          <w:p>
            <w:pPr>
              <w:spacing w:line="360" w:lineRule="auto"/>
              <w:ind w:left="105" w:leftChars="50" w:right="105" w:rightChars="50"/>
              <w:jc w:val="center"/>
              <w:rPr>
                <w:rFonts w:ascii="宋体" w:hAnsi="宋体" w:cs="宋体"/>
                <w:color w:val="000000"/>
                <w:sz w:val="24"/>
              </w:rPr>
            </w:pPr>
            <w:r>
              <w:rPr>
                <w:rFonts w:hint="eastAsia" w:ascii="宋体" w:hAnsi="宋体" w:cs="宋体"/>
                <w:color w:val="000000"/>
                <w:sz w:val="24"/>
              </w:rPr>
              <w:t>成交通知书领取</w:t>
            </w:r>
          </w:p>
        </w:tc>
        <w:tc>
          <w:tcPr>
            <w:tcW w:w="7109" w:type="dxa"/>
            <w:tcBorders>
              <w:top w:val="single" w:color="auto" w:sz="4" w:space="0"/>
            </w:tcBorders>
            <w:vAlign w:val="center"/>
          </w:tcPr>
          <w:p>
            <w:pPr>
              <w:tabs>
                <w:tab w:val="left" w:pos="7665"/>
              </w:tabs>
              <w:spacing w:line="360" w:lineRule="auto"/>
              <w:jc w:val="left"/>
              <w:rPr>
                <w:rFonts w:ascii="宋体" w:hAnsi="宋体" w:cs="宋体"/>
                <w:color w:val="000000"/>
                <w:sz w:val="24"/>
              </w:rPr>
            </w:pPr>
            <w:r>
              <w:rPr>
                <w:rFonts w:hint="eastAsia" w:ascii="宋体" w:hAnsi="宋体" w:cs="宋体"/>
                <w:color w:val="000000"/>
                <w:sz w:val="24"/>
              </w:rPr>
              <w:t>成交公告在四川政府采购网上公告后，请成交供应商凭有效身份证明证件到</w:t>
            </w:r>
            <w:r>
              <w:rPr>
                <w:rFonts w:hint="eastAsia" w:ascii="宋体" w:hAnsi="宋体" w:cs="宋体"/>
                <w:color w:val="000000"/>
                <w:sz w:val="24"/>
                <w:lang w:val="zh-CN"/>
              </w:rPr>
              <w:t>采购代理机构</w:t>
            </w:r>
            <w:r>
              <w:rPr>
                <w:rFonts w:hint="eastAsia" w:ascii="宋体" w:hAnsi="宋体" w:cs="宋体"/>
                <w:color w:val="000000"/>
                <w:sz w:val="24"/>
              </w:rPr>
              <w:t>领取成交通知书。</w:t>
            </w:r>
          </w:p>
          <w:p>
            <w:pPr>
              <w:spacing w:line="360" w:lineRule="auto"/>
              <w:jc w:val="left"/>
              <w:rPr>
                <w:rFonts w:ascii="宋体" w:hAnsi="宋体" w:cs="宋体"/>
                <w:color w:val="000000"/>
                <w:sz w:val="24"/>
                <w:lang w:val="zh-CN"/>
              </w:rPr>
            </w:pPr>
            <w:r>
              <w:rPr>
                <w:rFonts w:hint="eastAsia" w:ascii="宋体" w:hAnsi="宋体" w:cs="宋体"/>
                <w:color w:val="000000"/>
                <w:sz w:val="24"/>
                <w:lang w:val="zh-CN"/>
              </w:rPr>
              <w:t>联系人：</w:t>
            </w:r>
            <w:r>
              <w:rPr>
                <w:rFonts w:hint="eastAsia" w:ascii="宋体" w:hAnsi="宋体" w:cs="宋体"/>
                <w:color w:val="000000"/>
                <w:sz w:val="24"/>
                <w:lang w:val="en-US" w:eastAsia="zh-CN"/>
              </w:rPr>
              <w:t>李</w:t>
            </w:r>
            <w:r>
              <w:rPr>
                <w:rFonts w:hint="eastAsia" w:ascii="宋体" w:hAnsi="宋体" w:cs="宋体"/>
                <w:color w:val="000000"/>
                <w:sz w:val="24"/>
              </w:rPr>
              <w:t>女士</w:t>
            </w:r>
            <w:r>
              <w:rPr>
                <w:rFonts w:hint="eastAsia" w:ascii="宋体" w:hAnsi="宋体" w:cs="宋体"/>
                <w:color w:val="000000"/>
                <w:sz w:val="24"/>
                <w:lang w:val="zh-CN"/>
              </w:rPr>
              <w:t>。</w:t>
            </w:r>
          </w:p>
          <w:p>
            <w:pPr>
              <w:spacing w:line="360" w:lineRule="auto"/>
              <w:jc w:val="left"/>
              <w:rPr>
                <w:rFonts w:ascii="宋体" w:hAnsi="宋体" w:cs="宋体"/>
                <w:color w:val="000000"/>
                <w:sz w:val="24"/>
                <w:lang w:val="zh-CN"/>
              </w:rPr>
            </w:pPr>
            <w:r>
              <w:rPr>
                <w:rFonts w:hint="eastAsia" w:ascii="宋体" w:hAnsi="宋体" w:cs="宋体"/>
                <w:color w:val="000000"/>
                <w:sz w:val="24"/>
                <w:lang w:val="zh-CN"/>
              </w:rPr>
              <w:t>联系电话：</w:t>
            </w:r>
            <w:r>
              <w:rPr>
                <w:rFonts w:hint="eastAsia" w:ascii="宋体" w:hAnsi="宋体" w:cs="宋体"/>
                <w:color w:val="000000"/>
                <w:sz w:val="24"/>
              </w:rPr>
              <w:t>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5" w:hRule="atLeast"/>
          <w:jc w:val="center"/>
        </w:trPr>
        <w:tc>
          <w:tcPr>
            <w:tcW w:w="838" w:type="dxa"/>
            <w:tcBorders>
              <w:top w:val="single" w:color="auto" w:sz="4" w:space="0"/>
            </w:tcBorders>
            <w:vAlign w:val="center"/>
          </w:tcPr>
          <w:p>
            <w:pPr>
              <w:pStyle w:val="55"/>
              <w:spacing w:line="360" w:lineRule="auto"/>
              <w:ind w:right="264" w:rightChars="0"/>
              <w:jc w:val="center"/>
              <w:rPr>
                <w:color w:val="000000"/>
                <w:kern w:val="2"/>
              </w:rPr>
            </w:pPr>
            <w:r>
              <w:rPr>
                <w:rFonts w:hint="eastAsia"/>
                <w:color w:val="000000"/>
                <w:kern w:val="2"/>
              </w:rPr>
              <w:t xml:space="preserve">  14</w:t>
            </w:r>
          </w:p>
        </w:tc>
        <w:tc>
          <w:tcPr>
            <w:tcW w:w="2236" w:type="dxa"/>
            <w:tcBorders>
              <w:top w:val="single" w:color="auto" w:sz="4" w:space="0"/>
            </w:tcBorders>
            <w:vAlign w:val="center"/>
          </w:tcPr>
          <w:p>
            <w:pPr>
              <w:pStyle w:val="55"/>
              <w:spacing w:line="360" w:lineRule="auto"/>
              <w:jc w:val="center"/>
              <w:rPr>
                <w:color w:val="000000"/>
                <w:kern w:val="2"/>
              </w:rPr>
            </w:pPr>
            <w:r>
              <w:rPr>
                <w:rFonts w:hint="eastAsia"/>
                <w:color w:val="000000"/>
                <w:kern w:val="2"/>
              </w:rPr>
              <w:t>供应商询问</w:t>
            </w:r>
          </w:p>
        </w:tc>
        <w:tc>
          <w:tcPr>
            <w:tcW w:w="7109" w:type="dxa"/>
            <w:tcBorders>
              <w:top w:val="single" w:color="auto" w:sz="4" w:space="0"/>
            </w:tcBorders>
            <w:vAlign w:val="center"/>
          </w:tcPr>
          <w:p>
            <w:pPr>
              <w:spacing w:line="360" w:lineRule="auto"/>
              <w:jc w:val="left"/>
              <w:rPr>
                <w:rFonts w:ascii="宋体" w:hAnsi="宋体" w:cs="宋体"/>
                <w:color w:val="000000"/>
                <w:sz w:val="24"/>
                <w:lang w:val="zh-CN"/>
              </w:rPr>
            </w:pPr>
            <w:r>
              <w:rPr>
                <w:rFonts w:hint="eastAsia" w:ascii="宋体" w:hAnsi="宋体" w:cs="宋体"/>
                <w:color w:val="000000"/>
                <w:sz w:val="24"/>
              </w:rPr>
              <w:t>根据委托代理协议约定，供应商询问由</w:t>
            </w:r>
            <w:r>
              <w:rPr>
                <w:rFonts w:hint="eastAsia" w:ascii="宋体" w:hAnsi="宋体" w:cs="宋体"/>
                <w:color w:val="000000"/>
                <w:sz w:val="24"/>
                <w:lang w:val="zh-CN"/>
              </w:rPr>
              <w:t>采购代理机构负责答复。</w:t>
            </w:r>
          </w:p>
          <w:p>
            <w:pPr>
              <w:spacing w:line="360" w:lineRule="auto"/>
              <w:jc w:val="left"/>
              <w:rPr>
                <w:rFonts w:ascii="宋体" w:hAnsi="宋体" w:cs="宋体"/>
                <w:color w:val="000000"/>
                <w:sz w:val="24"/>
                <w:lang w:val="zh-CN"/>
              </w:rPr>
            </w:pPr>
            <w:r>
              <w:rPr>
                <w:rFonts w:hint="eastAsia" w:ascii="宋体" w:hAnsi="宋体" w:cs="宋体"/>
                <w:color w:val="000000"/>
                <w:sz w:val="24"/>
                <w:lang w:val="zh-CN"/>
              </w:rPr>
              <w:t>联系人：</w:t>
            </w:r>
            <w:r>
              <w:rPr>
                <w:rFonts w:hint="eastAsia" w:ascii="宋体" w:hAnsi="宋体" w:cs="宋体"/>
                <w:color w:val="000000"/>
                <w:sz w:val="24"/>
              </w:rPr>
              <w:t>苟先生。</w:t>
            </w:r>
          </w:p>
          <w:p>
            <w:pPr>
              <w:spacing w:line="360" w:lineRule="auto"/>
              <w:jc w:val="left"/>
              <w:rPr>
                <w:rFonts w:ascii="宋体" w:hAnsi="宋体" w:cs="宋体"/>
                <w:color w:val="000000"/>
                <w:sz w:val="24"/>
              </w:rPr>
            </w:pPr>
            <w:r>
              <w:rPr>
                <w:rFonts w:hint="eastAsia" w:ascii="宋体" w:hAnsi="宋体" w:cs="宋体"/>
                <w:color w:val="000000"/>
                <w:sz w:val="24"/>
                <w:lang w:val="zh-CN"/>
              </w:rPr>
              <w:t>联系电话：</w:t>
            </w:r>
            <w:r>
              <w:rPr>
                <w:rFonts w:hint="eastAsia" w:ascii="宋体" w:hAnsi="宋体" w:cs="宋体"/>
                <w:color w:val="000000"/>
                <w:sz w:val="24"/>
              </w:rPr>
              <w:t>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0" w:hRule="atLeast"/>
          <w:jc w:val="center"/>
        </w:trPr>
        <w:tc>
          <w:tcPr>
            <w:tcW w:w="838" w:type="dxa"/>
            <w:vAlign w:val="center"/>
          </w:tcPr>
          <w:p>
            <w:pPr>
              <w:pStyle w:val="55"/>
              <w:spacing w:line="360" w:lineRule="auto"/>
              <w:ind w:right="264" w:rightChars="0"/>
              <w:jc w:val="center"/>
              <w:rPr>
                <w:rFonts w:ascii="宋体" w:hAnsi="宋体" w:cs="宋体"/>
                <w:color w:val="000000"/>
              </w:rPr>
            </w:pPr>
            <w:r>
              <w:rPr>
                <w:rFonts w:hint="eastAsia"/>
                <w:color w:val="000000"/>
                <w:kern w:val="2"/>
              </w:rPr>
              <w:t xml:space="preserve">  15</w:t>
            </w:r>
          </w:p>
        </w:tc>
        <w:tc>
          <w:tcPr>
            <w:tcW w:w="2236" w:type="dxa"/>
            <w:vAlign w:val="center"/>
          </w:tcPr>
          <w:p>
            <w:pPr>
              <w:pStyle w:val="55"/>
              <w:spacing w:line="360" w:lineRule="auto"/>
              <w:jc w:val="center"/>
              <w:rPr>
                <w:color w:val="000000"/>
                <w:kern w:val="2"/>
              </w:rPr>
            </w:pPr>
            <w:r>
              <w:rPr>
                <w:rFonts w:hint="eastAsia"/>
                <w:color w:val="000000"/>
                <w:kern w:val="2"/>
              </w:rPr>
              <w:t>供应商质疑</w:t>
            </w:r>
          </w:p>
        </w:tc>
        <w:tc>
          <w:tcPr>
            <w:tcW w:w="7109" w:type="dxa"/>
            <w:vAlign w:val="center"/>
          </w:tcPr>
          <w:p>
            <w:pPr>
              <w:spacing w:line="360" w:lineRule="auto"/>
              <w:ind w:right="105" w:rightChars="50"/>
              <w:jc w:val="left"/>
              <w:rPr>
                <w:rFonts w:ascii="宋体" w:hAnsi="宋体" w:cs="宋体"/>
                <w:color w:val="000000"/>
                <w:sz w:val="24"/>
                <w:lang w:val="zh-CN"/>
              </w:rPr>
            </w:pPr>
            <w:r>
              <w:rPr>
                <w:rFonts w:hint="eastAsia" w:ascii="宋体" w:hAnsi="宋体" w:cs="宋体"/>
                <w:color w:val="000000"/>
                <w:sz w:val="24"/>
                <w:lang w:val="zh-CN"/>
              </w:rPr>
              <w:t>1.根据委托代理协议约定，对于磋商文件的质疑委托代理机构答复，但不免除采购人应当承担的责任。</w:t>
            </w:r>
          </w:p>
          <w:p>
            <w:pPr>
              <w:spacing w:line="360" w:lineRule="auto"/>
              <w:ind w:right="105" w:rightChars="50"/>
              <w:jc w:val="left"/>
              <w:rPr>
                <w:rFonts w:ascii="宋体" w:hAnsi="宋体" w:cs="宋体"/>
                <w:color w:val="000000"/>
                <w:sz w:val="24"/>
                <w:lang w:val="zh-CN"/>
              </w:rPr>
            </w:pPr>
            <w:r>
              <w:rPr>
                <w:rFonts w:hint="eastAsia" w:ascii="宋体" w:hAnsi="宋体" w:cs="宋体"/>
                <w:color w:val="000000"/>
                <w:sz w:val="24"/>
                <w:lang w:val="zh-CN"/>
              </w:rPr>
              <w:t>2.接收质疑函的方式：供应商在法定时间内以书面形式现场、邮寄或快递提交质疑函(邮寄以寄出的邮戳日期为准，快递以受送达人在签收单上签收之日为准)，逾期提交不予受理。</w:t>
            </w:r>
          </w:p>
          <w:p>
            <w:pPr>
              <w:spacing w:line="360" w:lineRule="auto"/>
              <w:ind w:right="105" w:rightChars="50"/>
              <w:jc w:val="left"/>
              <w:rPr>
                <w:rFonts w:ascii="宋体" w:hAnsi="宋体" w:cs="宋体"/>
                <w:color w:val="000000"/>
                <w:sz w:val="24"/>
                <w:lang w:val="zh-CN"/>
              </w:rPr>
            </w:pPr>
            <w:r>
              <w:rPr>
                <w:rFonts w:hint="eastAsia" w:ascii="宋体" w:hAnsi="宋体" w:cs="宋体"/>
                <w:color w:val="000000"/>
                <w:sz w:val="24"/>
                <w:lang w:val="zh-CN"/>
              </w:rPr>
              <w:t>联系人：</w:t>
            </w:r>
            <w:r>
              <w:rPr>
                <w:rFonts w:hint="eastAsia" w:ascii="宋体" w:hAnsi="宋体" w:cs="宋体"/>
                <w:color w:val="000000"/>
                <w:sz w:val="24"/>
              </w:rPr>
              <w:t>苟先生。</w:t>
            </w:r>
          </w:p>
          <w:p>
            <w:pPr>
              <w:spacing w:line="360" w:lineRule="auto"/>
              <w:jc w:val="left"/>
              <w:rPr>
                <w:rFonts w:ascii="宋体" w:hAnsi="宋体" w:cs="宋体"/>
                <w:color w:val="000000"/>
                <w:sz w:val="24"/>
                <w:lang w:val="zh-CN"/>
              </w:rPr>
            </w:pPr>
            <w:r>
              <w:rPr>
                <w:rFonts w:hint="eastAsia" w:ascii="宋体" w:hAnsi="宋体" w:cs="宋体"/>
                <w:color w:val="000000"/>
                <w:sz w:val="24"/>
                <w:lang w:val="zh-CN"/>
              </w:rPr>
              <w:t>联系电话：</w:t>
            </w:r>
            <w:r>
              <w:rPr>
                <w:rFonts w:hint="eastAsia" w:ascii="宋体" w:hAnsi="宋体" w:cs="宋体"/>
                <w:color w:val="000000"/>
                <w:sz w:val="24"/>
              </w:rPr>
              <w:t>028-86273853。</w:t>
            </w:r>
          </w:p>
          <w:p>
            <w:pPr>
              <w:spacing w:line="360" w:lineRule="auto"/>
              <w:ind w:right="105" w:rightChars="50"/>
              <w:jc w:val="left"/>
              <w:rPr>
                <w:rFonts w:ascii="宋体" w:hAnsi="宋体" w:cs="宋体"/>
                <w:color w:val="000000"/>
                <w:sz w:val="24"/>
                <w:lang w:val="zh-CN"/>
              </w:rPr>
            </w:pPr>
            <w:r>
              <w:rPr>
                <w:rFonts w:hint="eastAsia" w:ascii="宋体" w:hAnsi="宋体" w:cs="宋体"/>
                <w:color w:val="000000"/>
                <w:sz w:val="24"/>
                <w:lang w:val="zh-CN"/>
              </w:rPr>
              <w:t>注：①根据《中华人民共和国政府采购法》等法律法规规定，供应商质疑应当有明确的请求和必要的证明材料，须符合《政府采购质疑和投诉办法》财政部第94号令规定。</w:t>
            </w:r>
          </w:p>
          <w:p>
            <w:pPr>
              <w:spacing w:line="360" w:lineRule="auto"/>
              <w:ind w:right="105" w:rightChars="50"/>
              <w:jc w:val="left"/>
              <w:rPr>
                <w:rFonts w:ascii="宋体" w:hAnsi="宋体" w:cs="宋体"/>
                <w:color w:val="000000"/>
                <w:sz w:val="24"/>
                <w:lang w:val="zh-CN"/>
              </w:rPr>
            </w:pPr>
            <w:r>
              <w:rPr>
                <w:rFonts w:hint="eastAsia" w:ascii="宋体" w:hAnsi="宋体" w:cs="宋体"/>
                <w:color w:val="000000"/>
                <w:sz w:val="24"/>
                <w:lang w:val="zh-CN"/>
              </w:rPr>
              <w:t>②供应商应当在法定质疑期内一次性提出针对同一采购程序环节的质疑，否则不予受理。</w:t>
            </w:r>
          </w:p>
          <w:p>
            <w:pPr>
              <w:spacing w:line="360" w:lineRule="auto"/>
              <w:ind w:right="105" w:rightChars="50"/>
              <w:jc w:val="left"/>
              <w:rPr>
                <w:rFonts w:ascii="宋体" w:hAnsi="宋体" w:cs="宋体"/>
                <w:color w:val="000000"/>
                <w:sz w:val="24"/>
              </w:rPr>
            </w:pPr>
            <w:r>
              <w:rPr>
                <w:rFonts w:hint="eastAsia" w:ascii="宋体" w:hAnsi="宋体" w:cs="宋体"/>
                <w:color w:val="000000"/>
                <w:sz w:val="24"/>
                <w:lang w:val="zh-CN"/>
              </w:rPr>
              <w:t>③供应商质疑不得超出磋商文件、采购过程、采购结果的范围，不得进行虚假、恶意质疑，不得以质疑为手段获取不当得利、实现非法目的。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838" w:type="dxa"/>
            <w:vAlign w:val="center"/>
          </w:tcPr>
          <w:p>
            <w:pPr>
              <w:spacing w:line="360" w:lineRule="auto"/>
              <w:jc w:val="center"/>
              <w:rPr>
                <w:rFonts w:ascii="宋体" w:hAnsi="宋体" w:cs="宋体"/>
                <w:color w:val="000000"/>
              </w:rPr>
            </w:pPr>
            <w:r>
              <w:rPr>
                <w:rFonts w:hint="eastAsia" w:ascii="宋体" w:hAnsi="宋体" w:cs="宋体"/>
                <w:color w:val="000000"/>
                <w:sz w:val="24"/>
              </w:rPr>
              <w:t>16</w:t>
            </w:r>
          </w:p>
        </w:tc>
        <w:tc>
          <w:tcPr>
            <w:tcW w:w="2236" w:type="dxa"/>
            <w:vAlign w:val="center"/>
          </w:tcPr>
          <w:p>
            <w:pPr>
              <w:pStyle w:val="55"/>
              <w:spacing w:line="360" w:lineRule="auto"/>
              <w:jc w:val="center"/>
              <w:rPr>
                <w:color w:val="000000"/>
                <w:kern w:val="2"/>
              </w:rPr>
            </w:pPr>
            <w:r>
              <w:rPr>
                <w:rFonts w:hint="eastAsia"/>
                <w:color w:val="000000"/>
                <w:kern w:val="2"/>
              </w:rPr>
              <w:t>供应商投诉</w:t>
            </w:r>
          </w:p>
        </w:tc>
        <w:tc>
          <w:tcPr>
            <w:tcW w:w="7109" w:type="dxa"/>
            <w:vAlign w:val="center"/>
          </w:tcPr>
          <w:p>
            <w:pPr>
              <w:pStyle w:val="2"/>
              <w:spacing w:line="360" w:lineRule="auto"/>
              <w:rPr>
                <w:rFonts w:hAnsi="宋体"/>
              </w:rPr>
            </w:pPr>
            <w:r>
              <w:rPr>
                <w:rFonts w:hint="eastAsia" w:hAnsi="宋体"/>
              </w:rPr>
              <w:t>投诉受理单位：成都东部新区党工委管委会(成都市东部新城办)财政金融局</w:t>
            </w:r>
          </w:p>
          <w:p>
            <w:pPr>
              <w:pStyle w:val="2"/>
              <w:spacing w:line="360" w:lineRule="auto"/>
              <w:rPr>
                <w:rFonts w:hAnsi="宋体"/>
              </w:rPr>
            </w:pPr>
            <w:r>
              <w:rPr>
                <w:rFonts w:hint="eastAsia" w:hAnsi="宋体"/>
              </w:rPr>
              <w:t>联系电话：028-86360129</w:t>
            </w:r>
          </w:p>
          <w:p>
            <w:pPr>
              <w:pStyle w:val="2"/>
              <w:spacing w:line="360" w:lineRule="auto"/>
              <w:rPr>
                <w:rFonts w:hAnsi="宋体"/>
              </w:rPr>
            </w:pPr>
            <w:r>
              <w:rPr>
                <w:rFonts w:hint="eastAsia" w:hAnsi="宋体"/>
              </w:rPr>
              <w:t>联系人：温老师</w:t>
            </w:r>
          </w:p>
          <w:p>
            <w:pPr>
              <w:pStyle w:val="2"/>
              <w:spacing w:line="360" w:lineRule="auto"/>
              <w:rPr>
                <w:rFonts w:hAnsi="宋体"/>
              </w:rPr>
            </w:pPr>
            <w:r>
              <w:rPr>
                <w:rFonts w:hint="eastAsia" w:hAnsi="宋体"/>
              </w:rPr>
              <w:t>地址：成都东部新区三岔街道板桥村2组166号</w:t>
            </w:r>
          </w:p>
          <w:p>
            <w:pPr>
              <w:pStyle w:val="2"/>
              <w:spacing w:line="360" w:lineRule="auto"/>
              <w:rPr>
                <w:rFonts w:hAnsi="宋体"/>
              </w:rPr>
            </w:pPr>
            <w:r>
              <w:rPr>
                <w:rFonts w:hint="eastAsia" w:hAnsi="宋体"/>
              </w:rPr>
              <w:t>邮编：610000</w:t>
            </w:r>
            <w:r>
              <w:rPr>
                <w:rFonts w:hint="eastAsia" w:hAnsi="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17</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政府采购合同</w:t>
            </w:r>
          </w:p>
          <w:p>
            <w:pPr>
              <w:spacing w:line="360" w:lineRule="auto"/>
              <w:ind w:firstLine="120" w:firstLineChars="50"/>
              <w:jc w:val="center"/>
              <w:rPr>
                <w:rFonts w:ascii="宋体" w:hAnsi="宋体" w:cs="宋体"/>
                <w:color w:val="000000"/>
                <w:sz w:val="24"/>
              </w:rPr>
            </w:pPr>
            <w:r>
              <w:rPr>
                <w:rFonts w:hint="eastAsia" w:ascii="宋体" w:hAnsi="宋体" w:cs="宋体"/>
                <w:color w:val="000000"/>
                <w:sz w:val="24"/>
              </w:rPr>
              <w:t>公告备案</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政府采购合同签订之日起2个工作日内，政府采购合同将在四川政府采购网公告；政府采购合同签订之日起7个工作日内，政府采购合同将向本采购项目同级财政部门，即成都东部新区党工委管委会(成都市东部新城办)财政金融局备案</w:t>
            </w:r>
            <w:r>
              <w:rPr>
                <w:rFonts w:hint="eastAsia" w:ascii="宋体" w:hAnsi="宋体" w:cs="宋体"/>
                <w:color w:val="000000"/>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9" w:hRule="atLeast"/>
          <w:jc w:val="center"/>
        </w:trPr>
        <w:tc>
          <w:tcPr>
            <w:tcW w:w="838"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rPr>
              <w:t>18</w:t>
            </w:r>
          </w:p>
        </w:tc>
        <w:tc>
          <w:tcPr>
            <w:tcW w:w="2236" w:type="dxa"/>
            <w:tcBorders>
              <w:right w:val="single" w:color="auto" w:sz="4" w:space="0"/>
            </w:tcBorders>
            <w:vAlign w:val="center"/>
          </w:tcPr>
          <w:p>
            <w:pPr>
              <w:pStyle w:val="55"/>
              <w:spacing w:line="360" w:lineRule="auto"/>
              <w:ind w:left="96"/>
              <w:jc w:val="center"/>
              <w:rPr>
                <w:color w:val="000000"/>
                <w:highlight w:val="none"/>
              </w:rPr>
            </w:pPr>
            <w:r>
              <w:rPr>
                <w:rFonts w:hint="eastAsia"/>
                <w:color w:val="000000"/>
                <w:highlight w:val="none"/>
                <w:lang w:val="zh-CN"/>
              </w:rPr>
              <w:t>代理服务费</w:t>
            </w:r>
          </w:p>
        </w:tc>
        <w:tc>
          <w:tcPr>
            <w:tcW w:w="7109" w:type="dxa"/>
            <w:tcBorders>
              <w:left w:val="single" w:color="auto" w:sz="4" w:space="0"/>
            </w:tcBorders>
            <w:vAlign w:val="center"/>
          </w:tcPr>
          <w:p>
            <w:pPr>
              <w:pStyle w:val="55"/>
              <w:spacing w:line="360" w:lineRule="auto"/>
              <w:rPr>
                <w:color w:val="000000"/>
                <w:highlight w:val="none"/>
              </w:rPr>
            </w:pPr>
            <w:r>
              <w:rPr>
                <w:rFonts w:hint="eastAsia"/>
                <w:color w:val="000000"/>
                <w:highlight w:val="none"/>
              </w:rPr>
              <w:t>根据成本加合理利润的原则，借鉴《国家计委关于印发〈招标代理服务费收费标准管理暂行办法〉的通知》（计价格[2002]1980号）的收费标准</w:t>
            </w:r>
            <w:r>
              <w:rPr>
                <w:rFonts w:hint="eastAsia"/>
                <w:color w:val="000000"/>
                <w:highlight w:val="none"/>
                <w:lang w:val="en-US" w:eastAsia="zh-CN"/>
              </w:rPr>
              <w:t>规定下浮10%，</w:t>
            </w:r>
            <w:r>
              <w:rPr>
                <w:rFonts w:hint="eastAsia"/>
                <w:color w:val="000000"/>
                <w:highlight w:val="none"/>
              </w:rPr>
              <w:t>向中标单位收取本项目的代理</w:t>
            </w:r>
            <w:r>
              <w:rPr>
                <w:rFonts w:hint="eastAsia"/>
                <w:color w:val="000000"/>
                <w:highlight w:val="none"/>
                <w:lang w:val="en-US" w:eastAsia="zh-CN"/>
              </w:rPr>
              <w:t>费</w:t>
            </w:r>
            <w:r>
              <w:rPr>
                <w:rFonts w:hint="eastAsia"/>
                <w:color w:val="000000"/>
                <w:highlight w:val="none"/>
                <w:lang w:eastAsia="zh-CN"/>
              </w:rPr>
              <w:t>。</w:t>
            </w:r>
          </w:p>
          <w:p>
            <w:pPr>
              <w:pStyle w:val="55"/>
              <w:spacing w:line="360" w:lineRule="auto"/>
              <w:rPr>
                <w:color w:val="000000"/>
                <w:highlight w:val="none"/>
              </w:rPr>
            </w:pPr>
            <w:r>
              <w:rPr>
                <w:rFonts w:hint="eastAsia"/>
                <w:color w:val="000000"/>
                <w:highlight w:val="none"/>
              </w:rPr>
              <w:t>收款单位：四川建茂同方工程项目管理有限公司</w:t>
            </w:r>
          </w:p>
          <w:p>
            <w:pPr>
              <w:pStyle w:val="55"/>
              <w:spacing w:line="360" w:lineRule="auto"/>
              <w:rPr>
                <w:color w:val="000000"/>
                <w:highlight w:val="none"/>
              </w:rPr>
            </w:pPr>
            <w:r>
              <w:rPr>
                <w:rFonts w:hint="eastAsia"/>
                <w:color w:val="000000"/>
                <w:highlight w:val="none"/>
              </w:rPr>
              <w:t>开户银行：交通银行股份有限公司成都人民南路支行</w:t>
            </w:r>
          </w:p>
          <w:p>
            <w:pPr>
              <w:pStyle w:val="55"/>
              <w:spacing w:line="360" w:lineRule="auto"/>
              <w:rPr>
                <w:color w:val="000000"/>
                <w:highlight w:val="none"/>
              </w:rPr>
            </w:pPr>
            <w:r>
              <w:rPr>
                <w:rFonts w:hint="eastAsia"/>
                <w:color w:val="000000"/>
                <w:highlight w:val="none"/>
              </w:rPr>
              <w:t>账    号：5116 0701 4018 0100 07134</w:t>
            </w:r>
          </w:p>
          <w:p>
            <w:pPr>
              <w:pStyle w:val="55"/>
              <w:spacing w:line="360" w:lineRule="auto"/>
              <w:rPr>
                <w:color w:val="000000"/>
                <w:highlight w:val="none"/>
              </w:rPr>
            </w:pPr>
            <w:r>
              <w:rPr>
                <w:rFonts w:hint="eastAsia"/>
                <w:color w:val="000000"/>
                <w:highlight w:val="none"/>
                <w:lang w:val="zh-CN"/>
              </w:rPr>
              <w:t>交款时间：成交通知书发出时由成交供应商一次性支付。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ascii="宋体" w:hAnsi="宋体" w:cs="宋体"/>
                <w:color w:val="000000"/>
                <w:sz w:val="24"/>
              </w:rPr>
            </w:pPr>
            <w:r>
              <w:rPr>
                <w:rFonts w:hint="eastAsia" w:ascii="宋体" w:hAnsi="宋体" w:cs="宋体"/>
                <w:color w:val="000000"/>
                <w:sz w:val="24"/>
                <w:highlight w:val="none"/>
              </w:rPr>
              <w:t>19</w:t>
            </w:r>
          </w:p>
        </w:tc>
        <w:tc>
          <w:tcPr>
            <w:tcW w:w="2236" w:type="dxa"/>
            <w:tcBorders>
              <w:right w:val="single" w:color="auto" w:sz="4" w:space="0"/>
            </w:tcBorders>
            <w:vAlign w:val="center"/>
          </w:tcPr>
          <w:p>
            <w:pPr>
              <w:spacing w:line="360" w:lineRule="auto"/>
              <w:jc w:val="center"/>
              <w:rPr>
                <w:rFonts w:ascii="宋体" w:hAnsi="宋体" w:cs="宋体"/>
                <w:color w:val="000000"/>
                <w:sz w:val="24"/>
                <w:lang w:val="zh-CN"/>
              </w:rPr>
            </w:pPr>
            <w:r>
              <w:rPr>
                <w:rFonts w:hint="eastAsia" w:ascii="宋体" w:hAnsi="宋体" w:cs="宋体"/>
                <w:color w:val="000000"/>
                <w:sz w:val="24"/>
              </w:rPr>
              <w:t>答疑会和现场考察</w:t>
            </w:r>
          </w:p>
        </w:tc>
        <w:tc>
          <w:tcPr>
            <w:tcW w:w="7109" w:type="dxa"/>
            <w:tcBorders>
              <w:left w:val="single" w:color="auto" w:sz="4" w:space="0"/>
            </w:tcBorders>
            <w:vAlign w:val="center"/>
          </w:tcPr>
          <w:p>
            <w:pPr>
              <w:spacing w:line="360" w:lineRule="auto"/>
              <w:jc w:val="left"/>
              <w:rPr>
                <w:rFonts w:ascii="宋体" w:hAnsi="宋体" w:cs="宋体"/>
                <w:color w:val="000000"/>
                <w:sz w:val="24"/>
                <w:lang w:val="zh-CN"/>
              </w:rPr>
            </w:pPr>
            <w:r>
              <w:rPr>
                <w:rFonts w:hint="eastAsia" w:ascii="宋体" w:hAnsi="宋体" w:cs="宋体"/>
                <w:color w:val="000000"/>
                <w:sz w:val="24"/>
              </w:rPr>
              <w:t>本次政府采购项目不组织现场踏勘。如供应商自行现场踏勘，将承担现场考察的责任和风险，勘察现场的费用由供应商自行承担。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0</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充分、公平竞争保障措施</w:t>
            </w:r>
          </w:p>
          <w:p>
            <w:pPr>
              <w:spacing w:line="360" w:lineRule="auto"/>
              <w:jc w:val="center"/>
              <w:rPr>
                <w:rFonts w:ascii="宋体" w:hAnsi="宋体" w:cs="宋体"/>
                <w:color w:val="000000"/>
                <w:sz w:val="24"/>
              </w:rPr>
            </w:pPr>
            <w:r>
              <w:rPr>
                <w:rFonts w:hint="eastAsia" w:ascii="宋体" w:hAnsi="宋体" w:cs="宋体"/>
                <w:color w:val="000000"/>
                <w:sz w:val="24"/>
              </w:rPr>
              <w:t>(实质性要求)</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1.根据《关于在政府采购活动中查询及使用信用记录有关问题的通知》(财库〔2016〕125号)等文件要求，采购代理机构将通过“信用中国”网站 (www.creditchina.gov.cn)、“中国政府采购网”网站(www.ccgp.gov.cn) 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line="360" w:lineRule="auto"/>
              <w:jc w:val="left"/>
              <w:rPr>
                <w:rFonts w:ascii="宋体" w:hAnsi="宋体" w:cs="宋体"/>
                <w:color w:val="000000"/>
                <w:sz w:val="24"/>
              </w:rPr>
            </w:pPr>
            <w:r>
              <w:rPr>
                <w:rFonts w:hint="eastAsia" w:ascii="宋体" w:hAnsi="宋体" w:cs="宋体"/>
                <w:color w:val="000000"/>
                <w:sz w:val="24"/>
              </w:rPr>
              <w:t>2.利害关系供应商处理。单位负责人为同一人或者存在直接控股、管理关系的不同供应商不得参加同一合同项下的政府采购活动。</w:t>
            </w:r>
          </w:p>
          <w:p>
            <w:pPr>
              <w:spacing w:line="360" w:lineRule="auto"/>
              <w:jc w:val="left"/>
              <w:rPr>
                <w:rFonts w:ascii="宋体" w:hAnsi="宋体" w:cs="宋体"/>
                <w:color w:val="000000"/>
                <w:sz w:val="24"/>
              </w:rPr>
            </w:pPr>
            <w:r>
              <w:rPr>
                <w:rFonts w:hint="eastAsia" w:ascii="宋体" w:hAnsi="宋体" w:cs="宋体"/>
                <w:color w:val="000000"/>
                <w:sz w:val="24"/>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jc w:val="left"/>
              <w:rPr>
                <w:rFonts w:ascii="宋体" w:hAnsi="宋体" w:cs="宋体"/>
                <w:color w:val="000000"/>
                <w:sz w:val="24"/>
              </w:rPr>
            </w:pPr>
            <w:r>
              <w:rPr>
                <w:rFonts w:hint="eastAsia" w:ascii="宋体" w:hAnsi="宋体" w:cs="宋体"/>
                <w:color w:val="000000"/>
                <w:sz w:val="24"/>
              </w:rPr>
              <w:t>4.利害关系代理人处理。2家以上的供应商不得在同一合同项下的采购项目中，同时委托同一个自然人、同一家庭的人员、同一单位的人员作为其代理人，否则，其响应文件作为无效处理。</w:t>
            </w:r>
          </w:p>
          <w:p>
            <w:pPr>
              <w:spacing w:line="360" w:lineRule="auto"/>
              <w:jc w:val="left"/>
              <w:rPr>
                <w:rFonts w:ascii="宋体" w:hAnsi="宋体" w:cs="宋体"/>
                <w:color w:val="000000"/>
                <w:sz w:val="24"/>
              </w:rPr>
            </w:pPr>
            <w:r>
              <w:rPr>
                <w:rFonts w:hint="eastAsia" w:ascii="宋体" w:hAnsi="宋体" w:cs="宋体"/>
                <w:color w:val="000000"/>
                <w:sz w:val="24"/>
              </w:rPr>
              <w:t>5.供应商实际控制人或者中高级管理人员，同时是采购代理机构工作人员，不得参与本项目政府采购活动。</w:t>
            </w:r>
          </w:p>
          <w:p>
            <w:pPr>
              <w:spacing w:line="360" w:lineRule="auto"/>
              <w:jc w:val="left"/>
              <w:rPr>
                <w:rFonts w:ascii="宋体" w:hAnsi="宋体" w:cs="宋体"/>
                <w:color w:val="000000"/>
                <w:sz w:val="24"/>
              </w:rPr>
            </w:pPr>
            <w:r>
              <w:rPr>
                <w:rFonts w:hint="eastAsia" w:ascii="宋体" w:hAnsi="宋体" w:cs="宋体"/>
                <w:color w:val="000000"/>
                <w:sz w:val="24"/>
              </w:rPr>
              <w:t>6.同一母公司的两家以上的子公司只能组成联合体参加本项目同一合同项下的采购活动，不得以不同供应商身份同时参加本项目同一合同项下的采购活动。</w:t>
            </w:r>
          </w:p>
          <w:p>
            <w:pPr>
              <w:spacing w:line="360" w:lineRule="auto"/>
              <w:jc w:val="left"/>
              <w:rPr>
                <w:rFonts w:ascii="宋体" w:hAnsi="宋体" w:cs="宋体"/>
                <w:color w:val="000000"/>
                <w:sz w:val="24"/>
              </w:rPr>
            </w:pPr>
            <w:r>
              <w:rPr>
                <w:rFonts w:hint="eastAsia" w:ascii="宋体" w:hAnsi="宋体" w:cs="宋体"/>
                <w:color w:val="000000"/>
                <w:sz w:val="24"/>
              </w:rPr>
              <w:t>7.供应商与采购代理机构存在关联关系，或者是采购代理机构的母公司或子公司，不得参加本项目政府采购活动。</w:t>
            </w:r>
          </w:p>
          <w:p>
            <w:pPr>
              <w:spacing w:line="360" w:lineRule="auto"/>
              <w:jc w:val="left"/>
              <w:rPr>
                <w:rFonts w:ascii="宋体" w:hAnsi="宋体" w:cs="宋体"/>
                <w:color w:val="000000"/>
                <w:sz w:val="24"/>
              </w:rPr>
            </w:pPr>
            <w:r>
              <w:rPr>
                <w:rFonts w:hint="eastAsia" w:ascii="宋体" w:hAnsi="宋体" w:cs="宋体"/>
                <w:color w:val="000000"/>
                <w:sz w:val="24"/>
              </w:rPr>
              <w:t>8.回避。政府采购活动中，采购人员及相关人员与供应商有下列利害关系之一的，应当回避：</w:t>
            </w:r>
          </w:p>
          <w:p>
            <w:pPr>
              <w:spacing w:line="360" w:lineRule="auto"/>
              <w:jc w:val="left"/>
              <w:rPr>
                <w:rFonts w:ascii="宋体" w:hAnsi="宋体" w:cs="宋体"/>
                <w:color w:val="000000"/>
                <w:sz w:val="24"/>
              </w:rPr>
            </w:pPr>
            <w:r>
              <w:rPr>
                <w:rFonts w:hint="eastAsia" w:ascii="宋体" w:hAnsi="宋体" w:cs="宋体"/>
                <w:color w:val="000000"/>
                <w:sz w:val="24"/>
              </w:rPr>
              <w:t>(1)参加采购活动前3年内与供应商存在劳动关系；</w:t>
            </w:r>
          </w:p>
          <w:p>
            <w:pPr>
              <w:spacing w:line="360" w:lineRule="auto"/>
              <w:jc w:val="left"/>
              <w:rPr>
                <w:rFonts w:ascii="宋体" w:hAnsi="宋体" w:cs="宋体"/>
                <w:color w:val="000000"/>
                <w:sz w:val="24"/>
              </w:rPr>
            </w:pPr>
            <w:r>
              <w:rPr>
                <w:rFonts w:hint="eastAsia" w:ascii="宋体" w:hAnsi="宋体" w:cs="宋体"/>
                <w:color w:val="000000"/>
                <w:sz w:val="24"/>
              </w:rPr>
              <w:t>(2)参加采购活动前3年内担任供应商的董事、监事；</w:t>
            </w:r>
          </w:p>
          <w:p>
            <w:pPr>
              <w:spacing w:line="360" w:lineRule="auto"/>
              <w:jc w:val="left"/>
              <w:rPr>
                <w:rFonts w:ascii="宋体" w:hAnsi="宋体" w:cs="宋体"/>
                <w:color w:val="000000"/>
                <w:sz w:val="24"/>
              </w:rPr>
            </w:pPr>
            <w:r>
              <w:rPr>
                <w:rFonts w:hint="eastAsia" w:ascii="宋体" w:hAnsi="宋体" w:cs="宋体"/>
                <w:color w:val="000000"/>
                <w:sz w:val="24"/>
              </w:rPr>
              <w:t>(3)参加采购活动前3年内是供应商的控股股东或者实际控制人；</w:t>
            </w:r>
          </w:p>
          <w:p>
            <w:pPr>
              <w:spacing w:line="360" w:lineRule="auto"/>
              <w:jc w:val="left"/>
              <w:rPr>
                <w:rFonts w:ascii="宋体" w:hAnsi="宋体" w:cs="宋体"/>
                <w:color w:val="000000"/>
                <w:sz w:val="24"/>
              </w:rPr>
            </w:pPr>
            <w:r>
              <w:rPr>
                <w:rFonts w:hint="eastAsia" w:ascii="宋体" w:hAnsi="宋体" w:cs="宋体"/>
                <w:color w:val="000000"/>
                <w:sz w:val="24"/>
              </w:rPr>
              <w:t>(4)与供应商的法定代表人或者负责人有夫妻、直系血亲、三代以内旁系血亲或者近姻亲关系；</w:t>
            </w:r>
          </w:p>
          <w:p>
            <w:pPr>
              <w:spacing w:line="360" w:lineRule="auto"/>
              <w:jc w:val="left"/>
              <w:rPr>
                <w:rFonts w:ascii="宋体" w:hAnsi="宋体" w:cs="宋体"/>
                <w:color w:val="000000"/>
                <w:sz w:val="24"/>
              </w:rPr>
            </w:pPr>
            <w:r>
              <w:rPr>
                <w:rFonts w:hint="eastAsia" w:ascii="宋体" w:hAnsi="宋体" w:cs="宋体"/>
                <w:color w:val="000000"/>
                <w:sz w:val="24"/>
              </w:rPr>
              <w:t>(5)与供应商有其他可能影响政府采购活动公平、公正进行的关系。</w:t>
            </w:r>
          </w:p>
          <w:p>
            <w:pPr>
              <w:spacing w:line="360" w:lineRule="auto"/>
              <w:jc w:val="left"/>
              <w:rPr>
                <w:rFonts w:ascii="宋体" w:hAnsi="宋体" w:cs="宋体"/>
                <w:color w:val="000000"/>
                <w:sz w:val="24"/>
              </w:rPr>
            </w:pPr>
            <w:r>
              <w:rPr>
                <w:rFonts w:hint="eastAsia" w:ascii="宋体" w:hAnsi="宋体" w:cs="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jc w:val="left"/>
              <w:rPr>
                <w:rFonts w:ascii="宋体" w:hAnsi="宋体" w:cs="宋体"/>
                <w:color w:val="000000"/>
                <w:sz w:val="24"/>
              </w:rPr>
            </w:pPr>
            <w:r>
              <w:rPr>
                <w:rFonts w:hint="eastAsia" w:ascii="宋体" w:hAnsi="宋体" w:cs="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jc w:val="left"/>
              <w:rPr>
                <w:rFonts w:ascii="宋体" w:hAnsi="宋体" w:cs="宋体"/>
                <w:color w:val="000000"/>
                <w:sz w:val="24"/>
              </w:rPr>
            </w:pPr>
            <w:r>
              <w:rPr>
                <w:rFonts w:hint="eastAsia" w:ascii="宋体" w:hAnsi="宋体" w:cs="宋体"/>
                <w:color w:val="000000"/>
                <w:sz w:val="24"/>
              </w:rPr>
              <w:t>9.提供相同品牌产品处理。提供相同品牌产品的不同供应商参加同一合同项下采购活动的，以其中通过资格审查且满足实质性要求的供应商参加磋商，报价相同的，由采购人或者采购人委托评审委员会按照随机抽签的公平方式确定一个供应商参加磋商，其他响应文件无效。</w:t>
            </w:r>
          </w:p>
          <w:p>
            <w:pPr>
              <w:spacing w:line="360" w:lineRule="auto"/>
              <w:jc w:val="left"/>
              <w:rPr>
                <w:rFonts w:ascii="宋体" w:hAnsi="宋体" w:cs="宋体"/>
                <w:color w:val="000000"/>
                <w:sz w:val="24"/>
              </w:rPr>
            </w:pPr>
            <w:r>
              <w:rPr>
                <w:rFonts w:hint="eastAsia" w:ascii="宋体" w:hAnsi="宋体" w:cs="宋体"/>
                <w:color w:val="000000"/>
                <w:sz w:val="24"/>
              </w:rPr>
              <w:t>非单一产品采购项目中，多家供应商提供的部分或所有核心产品品牌相同的，视为提供相同品牌产品。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1</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竞争性磋商费用</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无论竞争性磋商的结果如何，供应商自行承担所有与参加竞争性磋商有关的全部费用。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2</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建议品牌或者供应商</w:t>
            </w:r>
          </w:p>
          <w:p>
            <w:pPr>
              <w:spacing w:line="360" w:lineRule="auto"/>
              <w:jc w:val="center"/>
              <w:rPr>
                <w:rFonts w:ascii="宋体" w:hAnsi="宋体" w:cs="宋体"/>
                <w:color w:val="000000"/>
                <w:sz w:val="24"/>
              </w:rPr>
            </w:pPr>
            <w:r>
              <w:rPr>
                <w:rFonts w:hint="eastAsia" w:ascii="宋体" w:hAnsi="宋体" w:cs="宋体"/>
                <w:color w:val="000000"/>
                <w:sz w:val="24"/>
              </w:rPr>
              <w:t>(如涉及)</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838" w:type="dxa"/>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3</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强制认证产品</w:t>
            </w:r>
          </w:p>
          <w:p>
            <w:pPr>
              <w:spacing w:line="360" w:lineRule="auto"/>
              <w:jc w:val="center"/>
              <w:rPr>
                <w:rFonts w:ascii="宋体" w:hAnsi="宋体" w:cs="宋体"/>
                <w:color w:val="000000"/>
                <w:sz w:val="24"/>
              </w:rPr>
            </w:pPr>
            <w:r>
              <w:rPr>
                <w:rFonts w:hint="eastAsia" w:ascii="宋体" w:hAnsi="宋体" w:cs="宋体"/>
                <w:color w:val="000000"/>
                <w:sz w:val="24"/>
              </w:rPr>
              <w:t>(如涉及)</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1.如涉及CCC认证产品的CCC认证证书在响应文件中可不提供，成交供应商应在成交通知书发出之日起30日内提供至采购人，未提供或不能提供的视为放弃成交。采购人将另行确定成交供应商或重新组织磋商。</w:t>
            </w:r>
          </w:p>
          <w:p>
            <w:pPr>
              <w:spacing w:line="360" w:lineRule="auto"/>
              <w:jc w:val="left"/>
              <w:rPr>
                <w:rFonts w:ascii="宋体" w:hAnsi="宋体" w:cs="宋体"/>
                <w:color w:val="000000"/>
                <w:sz w:val="24"/>
              </w:rPr>
            </w:pPr>
            <w:r>
              <w:rPr>
                <w:rFonts w:hint="eastAsia" w:ascii="宋体" w:hAnsi="宋体" w:cs="宋体"/>
                <w:color w:val="000000"/>
                <w:sz w:val="24"/>
              </w:rPr>
              <w:t>2.如涉及政府强制采购节能产品参加磋商的须提供该产品最新一期的强制采购节能产品清单所在页截图证明(详见中国政府采购网)。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4</w:t>
            </w:r>
          </w:p>
        </w:tc>
        <w:tc>
          <w:tcPr>
            <w:tcW w:w="2236" w:type="dxa"/>
            <w:tcBorders>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备注</w:t>
            </w:r>
          </w:p>
        </w:tc>
        <w:tc>
          <w:tcPr>
            <w:tcW w:w="7109" w:type="dxa"/>
            <w:tcBorders>
              <w:left w:val="single" w:color="auto" w:sz="4" w:space="0"/>
            </w:tcBorders>
            <w:vAlign w:val="center"/>
          </w:tcPr>
          <w:p>
            <w:pPr>
              <w:spacing w:line="360" w:lineRule="auto"/>
              <w:jc w:val="left"/>
              <w:rPr>
                <w:rFonts w:ascii="宋体" w:hAnsi="宋体" w:cs="宋体"/>
                <w:color w:val="000000"/>
                <w:sz w:val="24"/>
              </w:rPr>
            </w:pPr>
            <w:r>
              <w:rPr>
                <w:rFonts w:hint="eastAsia" w:ascii="宋体" w:hAnsi="宋体" w:cs="宋体"/>
                <w:color w:val="000000"/>
                <w:sz w:val="24"/>
              </w:rPr>
              <w:t>若竞争性磋商文件中其他内容与磋商须知表内容不一致的，以磋商须知表为准。</w:t>
            </w:r>
          </w:p>
        </w:tc>
      </w:tr>
      <w:bookmarkEnd w:id="14"/>
    </w:tbl>
    <w:p>
      <w:pPr>
        <w:jc w:val="center"/>
        <w:rPr>
          <w:b/>
          <w:bCs/>
          <w:sz w:val="28"/>
          <w:szCs w:val="36"/>
        </w:rPr>
      </w:pPr>
      <w:bookmarkStart w:id="15" w:name="_Toc31970"/>
      <w:bookmarkStart w:id="16" w:name="_Toc7356"/>
      <w:r>
        <w:rPr>
          <w:rFonts w:hint="eastAsia"/>
          <w:b/>
          <w:bCs/>
          <w:sz w:val="28"/>
          <w:szCs w:val="36"/>
        </w:rPr>
        <w:t>二、总  则</w:t>
      </w:r>
      <w:bookmarkEnd w:id="15"/>
      <w:bookmarkEnd w:id="16"/>
      <w:bookmarkStart w:id="17" w:name="_Toc183682342"/>
      <w:bookmarkStart w:id="18" w:name="_Toc183582205"/>
      <w:bookmarkStart w:id="19" w:name="_Toc217446034"/>
    </w:p>
    <w:p>
      <w:pPr>
        <w:spacing w:line="360" w:lineRule="auto"/>
        <w:rPr>
          <w:rFonts w:ascii="宋体" w:hAnsi="宋体" w:cs="宋体"/>
          <w:b/>
          <w:bCs/>
          <w:sz w:val="24"/>
        </w:rPr>
      </w:pPr>
      <w:bookmarkStart w:id="20" w:name="_Toc18488"/>
      <w:r>
        <w:rPr>
          <w:rFonts w:hint="eastAsia" w:ascii="宋体" w:hAnsi="宋体" w:cs="宋体"/>
          <w:sz w:val="24"/>
        </w:rPr>
        <w:t>1</w:t>
      </w:r>
      <w:r>
        <w:rPr>
          <w:rFonts w:hint="eastAsia" w:ascii="宋体" w:hAnsi="宋体" w:cs="宋体"/>
          <w:b/>
          <w:bCs/>
          <w:sz w:val="24"/>
        </w:rPr>
        <w:t>.</w:t>
      </w:r>
      <w:bookmarkEnd w:id="17"/>
      <w:bookmarkEnd w:id="18"/>
      <w:r>
        <w:rPr>
          <w:rFonts w:hint="eastAsia" w:ascii="宋体" w:hAnsi="宋体" w:cs="宋体"/>
          <w:b/>
          <w:bCs/>
          <w:sz w:val="24"/>
        </w:rPr>
        <w:t>适用范围</w:t>
      </w:r>
      <w:bookmarkEnd w:id="19"/>
      <w:bookmarkEnd w:id="20"/>
    </w:p>
    <w:p>
      <w:pPr>
        <w:spacing w:line="360" w:lineRule="auto"/>
        <w:ind w:firstLine="480" w:firstLineChars="200"/>
        <w:rPr>
          <w:rFonts w:ascii="宋体" w:hAnsi="宋体" w:cs="宋体"/>
          <w:sz w:val="24"/>
        </w:rPr>
      </w:pPr>
      <w:r>
        <w:rPr>
          <w:rFonts w:hint="eastAsia" w:ascii="宋体" w:hAnsi="宋体" w:cs="宋体"/>
          <w:sz w:val="24"/>
        </w:rPr>
        <w:t>1.1 本磋商文件仅适用于本次磋商所叙述的服务采购。</w:t>
      </w:r>
    </w:p>
    <w:p>
      <w:pPr>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p>
    <w:p>
      <w:pPr>
        <w:spacing w:line="360" w:lineRule="auto"/>
        <w:rPr>
          <w:rFonts w:ascii="宋体" w:hAnsi="宋体" w:cs="宋体"/>
          <w:b/>
          <w:bCs/>
          <w:sz w:val="24"/>
        </w:rPr>
      </w:pPr>
      <w:bookmarkStart w:id="21" w:name="_Toc183582206"/>
      <w:bookmarkStart w:id="22" w:name="_Toc217446035"/>
      <w:bookmarkStart w:id="23" w:name="_Toc183682343"/>
      <w:bookmarkStart w:id="24" w:name="_Toc4358"/>
      <w:r>
        <w:rPr>
          <w:rFonts w:hint="eastAsia" w:ascii="宋体" w:hAnsi="宋体" w:cs="宋体"/>
          <w:b/>
          <w:bCs/>
          <w:sz w:val="24"/>
        </w:rPr>
        <w:t>2.</w:t>
      </w:r>
      <w:bookmarkEnd w:id="21"/>
      <w:bookmarkEnd w:id="22"/>
      <w:bookmarkEnd w:id="23"/>
      <w:r>
        <w:rPr>
          <w:rFonts w:hint="eastAsia" w:ascii="宋体" w:hAnsi="宋体" w:cs="宋体"/>
          <w:b/>
          <w:bCs/>
          <w:sz w:val="24"/>
        </w:rPr>
        <w:t>采购主体</w:t>
      </w:r>
      <w:bookmarkEnd w:id="24"/>
    </w:p>
    <w:p>
      <w:pPr>
        <w:spacing w:line="360" w:lineRule="auto"/>
        <w:ind w:firstLine="480" w:firstLineChars="200"/>
        <w:rPr>
          <w:rFonts w:ascii="宋体" w:hAnsi="宋体" w:cs="宋体"/>
          <w:sz w:val="24"/>
        </w:rPr>
      </w:pPr>
      <w:r>
        <w:rPr>
          <w:rFonts w:hint="eastAsia" w:ascii="宋体" w:hAnsi="宋体" w:cs="宋体"/>
          <w:sz w:val="24"/>
        </w:rPr>
        <w:t>2.1本次磋商的采购人是成都东部新区党工委管委会(成都市东部新城办)综合执法局。</w:t>
      </w:r>
    </w:p>
    <w:p>
      <w:pPr>
        <w:spacing w:line="360" w:lineRule="auto"/>
        <w:ind w:firstLine="480" w:firstLineChars="200"/>
        <w:rPr>
          <w:rFonts w:ascii="宋体" w:hAnsi="宋体" w:cs="宋体"/>
          <w:sz w:val="24"/>
        </w:rPr>
      </w:pPr>
      <w:r>
        <w:rPr>
          <w:rFonts w:hint="eastAsia" w:ascii="宋体" w:hAnsi="宋体" w:cs="宋体"/>
          <w:sz w:val="24"/>
        </w:rPr>
        <w:t>2.2本次磋商的采购代理机构是四川建茂同方工程项目管理有限公司。</w:t>
      </w:r>
    </w:p>
    <w:p>
      <w:pPr>
        <w:spacing w:line="360" w:lineRule="auto"/>
        <w:rPr>
          <w:rFonts w:ascii="宋体" w:hAnsi="宋体" w:cs="宋体"/>
          <w:b/>
          <w:bCs/>
          <w:sz w:val="24"/>
        </w:rPr>
      </w:pPr>
      <w:bookmarkStart w:id="25" w:name="_Toc217390843"/>
      <w:bookmarkStart w:id="26" w:name="_Toc217446036"/>
      <w:bookmarkStart w:id="27" w:name="_Toc183682344"/>
      <w:bookmarkStart w:id="28" w:name="_Toc183582207"/>
      <w:bookmarkStart w:id="29" w:name="_Toc856"/>
      <w:r>
        <w:rPr>
          <w:rFonts w:hint="eastAsia" w:ascii="宋体" w:hAnsi="宋体" w:cs="宋体"/>
          <w:b/>
          <w:bCs/>
          <w:sz w:val="24"/>
        </w:rPr>
        <w:t>3.合格</w:t>
      </w:r>
      <w:bookmarkEnd w:id="25"/>
      <w:bookmarkEnd w:id="26"/>
      <w:bookmarkEnd w:id="27"/>
      <w:bookmarkEnd w:id="28"/>
      <w:r>
        <w:rPr>
          <w:rFonts w:hint="eastAsia" w:ascii="宋体" w:hAnsi="宋体" w:cs="宋体"/>
          <w:b/>
          <w:bCs/>
          <w:sz w:val="24"/>
        </w:rPr>
        <w:t>供应商（实质性要求）</w:t>
      </w:r>
      <w:bookmarkEnd w:id="29"/>
    </w:p>
    <w:p>
      <w:pPr>
        <w:spacing w:line="360" w:lineRule="auto"/>
        <w:ind w:firstLine="480" w:firstLineChars="200"/>
        <w:rPr>
          <w:rFonts w:ascii="宋体" w:hAnsi="宋体" w:cs="宋体"/>
          <w:sz w:val="24"/>
        </w:rPr>
      </w:pPr>
      <w:r>
        <w:rPr>
          <w:rFonts w:hint="eastAsia" w:ascii="宋体" w:hAnsi="宋体" w:cs="宋体"/>
          <w:sz w:val="24"/>
        </w:rPr>
        <w:t>合格供应商应同时具备以下条件：</w:t>
      </w:r>
    </w:p>
    <w:p>
      <w:pPr>
        <w:spacing w:line="360" w:lineRule="auto"/>
        <w:ind w:firstLine="480" w:firstLineChars="200"/>
        <w:rPr>
          <w:rFonts w:ascii="宋体" w:hAnsi="宋体" w:cs="宋体"/>
          <w:sz w:val="24"/>
        </w:rPr>
      </w:pPr>
      <w:r>
        <w:rPr>
          <w:rFonts w:hint="eastAsia" w:ascii="宋体" w:hAnsi="宋体" w:cs="宋体"/>
          <w:sz w:val="24"/>
        </w:rPr>
        <w:t>3.1 具备法律法规和本采购文件规定的资格条件；</w:t>
      </w:r>
    </w:p>
    <w:p>
      <w:pPr>
        <w:spacing w:line="360" w:lineRule="auto"/>
        <w:ind w:firstLine="480" w:firstLineChars="200"/>
        <w:rPr>
          <w:rFonts w:ascii="宋体" w:hAnsi="宋体" w:cs="宋体"/>
          <w:sz w:val="24"/>
        </w:rPr>
      </w:pPr>
      <w:r>
        <w:rPr>
          <w:rFonts w:hint="eastAsia" w:ascii="宋体" w:hAnsi="宋体" w:cs="宋体"/>
          <w:sz w:val="24"/>
        </w:rPr>
        <w:t>3.2 不属于禁止参加本项目采购活动的供应商；</w:t>
      </w:r>
    </w:p>
    <w:p>
      <w:pPr>
        <w:spacing w:line="360" w:lineRule="auto"/>
        <w:ind w:firstLine="480" w:firstLineChars="200"/>
        <w:rPr>
          <w:rFonts w:ascii="宋体" w:hAnsi="宋体" w:cs="宋体"/>
          <w:sz w:val="24"/>
        </w:rPr>
      </w:pPr>
      <w:r>
        <w:rPr>
          <w:rFonts w:hint="eastAsia" w:ascii="宋体" w:hAnsi="宋体" w:cs="宋体"/>
          <w:sz w:val="24"/>
        </w:rPr>
        <w:t>3.3 按照规定获取了磋商文件，属于实质性参加政府采购活动的供应商。</w:t>
      </w:r>
      <w:bookmarkStart w:id="30" w:name="_Toc183682345"/>
      <w:bookmarkStart w:id="31" w:name="_Toc183582208"/>
      <w:bookmarkStart w:id="32" w:name="_Toc217446037"/>
    </w:p>
    <w:p>
      <w:pPr>
        <w:spacing w:line="360" w:lineRule="auto"/>
        <w:rPr>
          <w:rFonts w:ascii="宋体" w:hAnsi="宋体" w:cs="宋体"/>
          <w:b/>
          <w:bCs/>
          <w:sz w:val="24"/>
        </w:rPr>
      </w:pPr>
      <w:bookmarkStart w:id="33" w:name="_Toc7841"/>
      <w:r>
        <w:rPr>
          <w:rFonts w:hint="eastAsia" w:ascii="宋体" w:hAnsi="宋体" w:cs="宋体"/>
          <w:b/>
          <w:bCs/>
          <w:sz w:val="24"/>
        </w:rPr>
        <w:t>4.磋商费用</w:t>
      </w:r>
      <w:bookmarkEnd w:id="30"/>
      <w:bookmarkEnd w:id="31"/>
      <w:bookmarkEnd w:id="32"/>
      <w:bookmarkEnd w:id="33"/>
    </w:p>
    <w:p>
      <w:pPr>
        <w:spacing w:line="360" w:lineRule="auto"/>
        <w:ind w:firstLine="480" w:firstLineChars="20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b/>
          <w:bCs/>
          <w:sz w:val="24"/>
        </w:rPr>
      </w:pPr>
      <w:r>
        <w:rPr>
          <w:rFonts w:hint="eastAsia" w:ascii="宋体" w:hAnsi="宋体" w:cs="宋体"/>
          <w:b/>
          <w:bCs/>
          <w:sz w:val="24"/>
        </w:rPr>
        <w:t>5.充分、公平竞争保障措施（实质性要求）</w:t>
      </w:r>
    </w:p>
    <w:p>
      <w:pPr>
        <w:spacing w:line="360" w:lineRule="auto"/>
        <w:ind w:firstLine="480" w:firstLineChars="200"/>
        <w:rPr>
          <w:rFonts w:ascii="宋体" w:hAnsi="宋体" w:cs="宋体"/>
          <w:sz w:val="24"/>
        </w:rPr>
      </w:pPr>
      <w:r>
        <w:rPr>
          <w:rFonts w:hint="eastAsia" w:ascii="宋体" w:hAnsi="宋体" w:cs="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80" w:firstLineChars="200"/>
        <w:rPr>
          <w:rFonts w:ascii="宋体" w:hAnsi="宋体" w:cs="宋体"/>
          <w:sz w:val="24"/>
        </w:rPr>
      </w:pPr>
      <w:r>
        <w:rPr>
          <w:rFonts w:hint="eastAsia" w:ascii="宋体" w:hAnsi="宋体" w:cs="宋体"/>
          <w:sz w:val="24"/>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80" w:firstLineChars="200"/>
        <w:rPr>
          <w:rFonts w:ascii="宋体" w:hAnsi="宋体" w:cs="宋体"/>
          <w:sz w:val="24"/>
        </w:rPr>
      </w:pPr>
      <w:r>
        <w:rPr>
          <w:rFonts w:hint="eastAsia" w:ascii="宋体" w:hAnsi="宋体" w:cs="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宋体" w:hAnsi="宋体" w:cs="宋体"/>
          <w:sz w:val="24"/>
        </w:rPr>
      </w:pPr>
      <w:r>
        <w:rPr>
          <w:rFonts w:hint="eastAsia" w:ascii="宋体" w:hAnsi="宋体" w:cs="宋体"/>
          <w:sz w:val="24"/>
        </w:rPr>
        <w:t>5.4提供相同品牌产品处理。提供相同品牌产品的不同供应商参加同一合同项下采购活动的，以其中通过资格审查且报价最低的供应商参加磋商，报价相同的，报价相同的，由采购人或者采购人委托评审委员会按照随机抽签的公平方式确定一个供应商参加磋商，其他响应文件无效。</w:t>
      </w:r>
    </w:p>
    <w:p>
      <w:pPr>
        <w:spacing w:line="360" w:lineRule="auto"/>
        <w:ind w:firstLine="480" w:firstLineChars="200"/>
        <w:rPr>
          <w:rFonts w:ascii="宋体" w:hAnsi="宋体" w:cs="宋体"/>
          <w:sz w:val="24"/>
        </w:rPr>
      </w:pPr>
      <w:r>
        <w:rPr>
          <w:rFonts w:hint="eastAsia" w:ascii="宋体" w:hAnsi="宋体" w:cs="宋体"/>
          <w:sz w:val="24"/>
        </w:rPr>
        <w:t>非单一产品采购项目中，多家供应商提供的部分或所有核心产品品牌相同的，视为提供相同品牌产品。</w:t>
      </w:r>
    </w:p>
    <w:p>
      <w:pPr>
        <w:spacing w:line="360" w:lineRule="auto"/>
        <w:ind w:firstLine="480" w:firstLineChars="200"/>
        <w:rPr>
          <w:rFonts w:ascii="宋体" w:hAnsi="宋体" w:cs="宋体"/>
          <w:sz w:val="24"/>
        </w:rPr>
      </w:pPr>
      <w:r>
        <w:rPr>
          <w:rFonts w:hint="eastAsia" w:ascii="宋体" w:hAnsi="宋体" w:cs="宋体"/>
          <w:sz w:val="24"/>
        </w:rPr>
        <w:t>5.5供应商实际控制人或者中高级管理人员，同时是采购代理机构工作人员，不得参与本项目政府采购活动。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5.7供应商与采购代理机构存在关联关系，或者是采购代理机构的母公司或子公司，不得参加本项目政府采购活动。</w:t>
      </w:r>
    </w:p>
    <w:p>
      <w:pPr>
        <w:spacing w:line="360" w:lineRule="auto"/>
        <w:ind w:firstLine="480" w:firstLineChars="200"/>
        <w:rPr>
          <w:rFonts w:ascii="宋体" w:hAnsi="宋体" w:cs="宋体"/>
          <w:sz w:val="24"/>
        </w:rPr>
      </w:pPr>
      <w:r>
        <w:rPr>
          <w:rFonts w:hint="eastAsia" w:ascii="宋体" w:hAnsi="宋体" w:cs="宋体"/>
          <w:sz w:val="24"/>
        </w:rPr>
        <w:t>5.8回避。政府采购活动中，采购人员及相关人员与供应商有下列利害关系之一的，应当回避：</w:t>
      </w:r>
    </w:p>
    <w:p>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pPr>
        <w:spacing w:line="360" w:lineRule="auto"/>
        <w:ind w:firstLine="480" w:firstLineChars="200"/>
        <w:rPr>
          <w:rFonts w:ascii="宋体" w:hAnsi="宋体" w:cs="宋体"/>
          <w:sz w:val="24"/>
        </w:rPr>
      </w:pPr>
      <w:r>
        <w:rPr>
          <w:rFonts w:hint="eastAsia" w:ascii="宋体"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宋体" w:hAnsi="宋体" w:cs="宋体"/>
          <w:b/>
          <w:bCs/>
          <w:sz w:val="24"/>
        </w:rPr>
      </w:pPr>
      <w:r>
        <w:rPr>
          <w:rFonts w:hint="eastAsia" w:ascii="宋体" w:hAnsi="宋体" w:cs="宋体"/>
          <w:b/>
          <w:bCs/>
          <w:sz w:val="24"/>
        </w:rPr>
        <w:t>6.联合体竞争性磋商（实质性要求）</w:t>
      </w:r>
    </w:p>
    <w:p>
      <w:pPr>
        <w:spacing w:line="360" w:lineRule="auto"/>
        <w:ind w:firstLine="480" w:firstLineChars="200"/>
        <w:rPr>
          <w:rFonts w:ascii="宋体" w:hAnsi="宋体" w:cs="宋体"/>
          <w:sz w:val="24"/>
        </w:rPr>
      </w:pPr>
      <w:r>
        <w:rPr>
          <w:rFonts w:hint="eastAsia" w:ascii="宋体" w:hAnsi="宋体" w:cs="宋体"/>
          <w:sz w:val="24"/>
        </w:rPr>
        <w:t>本项目不接受联合体参与采购活动。</w:t>
      </w:r>
    </w:p>
    <w:p>
      <w:pPr>
        <w:spacing w:line="360" w:lineRule="auto"/>
        <w:rPr>
          <w:rFonts w:ascii="宋体" w:hAnsi="宋体" w:cs="宋体"/>
          <w:sz w:val="24"/>
        </w:rPr>
      </w:pPr>
      <w:r>
        <w:rPr>
          <w:rFonts w:hint="eastAsia" w:ascii="宋体" w:hAnsi="宋体" w:cs="宋体"/>
          <w:b/>
          <w:bCs/>
          <w:sz w:val="24"/>
        </w:rPr>
        <w:t>7.磋商保证金（本项目不收取）</w:t>
      </w:r>
    </w:p>
    <w:p>
      <w:pPr>
        <w:spacing w:line="360" w:lineRule="auto"/>
        <w:rPr>
          <w:rFonts w:ascii="宋体" w:hAnsi="宋体" w:cs="宋体"/>
          <w:b/>
          <w:bCs/>
          <w:sz w:val="24"/>
        </w:rPr>
      </w:pPr>
      <w:r>
        <w:rPr>
          <w:rFonts w:hint="eastAsia" w:ascii="宋体" w:hAnsi="宋体" w:cs="宋体"/>
          <w:b/>
          <w:bCs/>
          <w:sz w:val="24"/>
        </w:rPr>
        <w:t>8.响应文件有效期（实质性要求）</w:t>
      </w:r>
    </w:p>
    <w:p>
      <w:pPr>
        <w:spacing w:line="360" w:lineRule="auto"/>
        <w:ind w:firstLine="480" w:firstLineChars="200"/>
        <w:rPr>
          <w:rFonts w:ascii="宋体" w:hAnsi="宋体" w:cs="宋体"/>
          <w:sz w:val="24"/>
        </w:rPr>
      </w:pPr>
      <w:r>
        <w:rPr>
          <w:rFonts w:hint="eastAsia" w:ascii="宋体" w:hAnsi="宋体" w:cs="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宋体" w:hAnsi="宋体" w:cs="宋体"/>
          <w:b/>
          <w:bCs/>
          <w:sz w:val="24"/>
        </w:rPr>
      </w:pPr>
      <w:r>
        <w:rPr>
          <w:rFonts w:hint="eastAsia" w:ascii="宋体" w:hAnsi="宋体" w:cs="宋体"/>
          <w:b/>
          <w:bCs/>
          <w:sz w:val="24"/>
        </w:rPr>
        <w:t>9.知识产权（实质性要求）</w:t>
      </w:r>
    </w:p>
    <w:p>
      <w:pPr>
        <w:spacing w:line="360" w:lineRule="auto"/>
        <w:ind w:firstLine="480" w:firstLineChars="200"/>
        <w:rPr>
          <w:rFonts w:ascii="宋体" w:hAnsi="宋体" w:cs="宋体"/>
          <w:sz w:val="24"/>
        </w:rPr>
      </w:pPr>
      <w:r>
        <w:rPr>
          <w:rFonts w:hint="eastAsia" w:ascii="宋体" w:hAnsi="宋体" w:cs="宋体"/>
          <w:sz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24"/>
        </w:rPr>
      </w:pPr>
      <w:r>
        <w:rPr>
          <w:rFonts w:hint="eastAsia" w:ascii="宋体" w:hAnsi="宋体" w:cs="宋体"/>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rFonts w:ascii="宋体" w:hAnsi="宋体" w:cs="宋体"/>
          <w:sz w:val="24"/>
        </w:rPr>
      </w:pPr>
      <w:r>
        <w:rPr>
          <w:rFonts w:hint="eastAsia" w:ascii="宋体" w:hAnsi="宋体" w:cs="宋体"/>
          <w:sz w:val="24"/>
        </w:rPr>
        <w:t xml:space="preserve">9.4 如采用供应商所不拥有的知识产权，则在报价中必须包括合法获取该知识产权的相关费用。 </w:t>
      </w:r>
      <w:bookmarkStart w:id="34" w:name="_Toc11453"/>
      <w:bookmarkStart w:id="35" w:name="_Toc217446038"/>
      <w:bookmarkStart w:id="36" w:name="_Toc183682346"/>
      <w:bookmarkStart w:id="37" w:name="_Toc89075875"/>
      <w:bookmarkStart w:id="38" w:name="_Toc77400779"/>
      <w:bookmarkStart w:id="39" w:name="_Toc183582209"/>
    </w:p>
    <w:p>
      <w:pPr>
        <w:jc w:val="center"/>
        <w:rPr>
          <w:b/>
          <w:bCs/>
          <w:sz w:val="28"/>
          <w:szCs w:val="36"/>
        </w:rPr>
      </w:pPr>
      <w:bookmarkStart w:id="40" w:name="_Toc18212"/>
      <w:r>
        <w:rPr>
          <w:rFonts w:hint="eastAsia"/>
          <w:b/>
          <w:bCs/>
          <w:sz w:val="28"/>
          <w:szCs w:val="36"/>
        </w:rPr>
        <w:t>三、磋商文件</w:t>
      </w:r>
      <w:bookmarkEnd w:id="34"/>
      <w:bookmarkEnd w:id="35"/>
      <w:bookmarkEnd w:id="36"/>
      <w:bookmarkEnd w:id="37"/>
      <w:bookmarkEnd w:id="38"/>
      <w:bookmarkEnd w:id="39"/>
      <w:bookmarkEnd w:id="40"/>
      <w:bookmarkStart w:id="41" w:name="_Toc217446039"/>
      <w:bookmarkStart w:id="42" w:name="_Toc183682347"/>
      <w:bookmarkStart w:id="43" w:name="_Toc183582210"/>
    </w:p>
    <w:p>
      <w:pPr>
        <w:spacing w:line="360" w:lineRule="auto"/>
        <w:rPr>
          <w:rFonts w:ascii="宋体" w:hAnsi="宋体" w:cs="宋体"/>
          <w:b/>
          <w:bCs/>
          <w:sz w:val="24"/>
        </w:rPr>
      </w:pPr>
      <w:bookmarkStart w:id="44" w:name="_Toc32374"/>
      <w:r>
        <w:rPr>
          <w:rFonts w:hint="eastAsia" w:ascii="宋体" w:hAnsi="宋体" w:cs="宋体"/>
          <w:b/>
          <w:bCs/>
          <w:sz w:val="24"/>
        </w:rPr>
        <w:t>10．磋商文件的构成</w:t>
      </w:r>
      <w:bookmarkEnd w:id="41"/>
      <w:bookmarkEnd w:id="42"/>
      <w:bookmarkEnd w:id="43"/>
      <w:r>
        <w:rPr>
          <w:rFonts w:hint="eastAsia" w:ascii="宋体" w:hAnsi="宋体" w:cs="宋体"/>
          <w:b/>
          <w:bCs/>
          <w:sz w:val="24"/>
        </w:rPr>
        <w:t>（实质性要求）</w:t>
      </w:r>
      <w:bookmarkEnd w:id="44"/>
    </w:p>
    <w:p>
      <w:pPr>
        <w:spacing w:line="360" w:lineRule="auto"/>
        <w:ind w:firstLine="480" w:firstLineChars="200"/>
        <w:rPr>
          <w:rFonts w:ascii="宋体" w:hAnsi="宋体" w:cs="宋体"/>
          <w:sz w:val="24"/>
        </w:rPr>
      </w:pPr>
      <w:r>
        <w:rPr>
          <w:rFonts w:hint="eastAsia" w:ascii="宋体" w:hAnsi="宋体" w:cs="宋体"/>
          <w:sz w:val="24"/>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80" w:firstLineChars="200"/>
        <w:rPr>
          <w:rFonts w:ascii="宋体" w:hAnsi="宋体" w:cs="宋体"/>
          <w:sz w:val="24"/>
        </w:rPr>
      </w:pPr>
      <w:r>
        <w:rPr>
          <w:rFonts w:hint="eastAsia" w:ascii="宋体" w:hAnsi="宋体" w:cs="宋体"/>
          <w:sz w:val="24"/>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5" w:name="_Toc183582211"/>
      <w:bookmarkStart w:id="46" w:name="_Toc183682348"/>
      <w:bookmarkStart w:id="47" w:name="_Toc217446040"/>
    </w:p>
    <w:p>
      <w:pPr>
        <w:spacing w:line="360" w:lineRule="auto"/>
        <w:rPr>
          <w:rFonts w:ascii="宋体" w:hAnsi="宋体" w:cs="宋体"/>
          <w:b/>
          <w:bCs/>
          <w:sz w:val="24"/>
        </w:rPr>
      </w:pPr>
      <w:bookmarkStart w:id="48" w:name="_Toc339"/>
      <w:r>
        <w:rPr>
          <w:rFonts w:hint="eastAsia" w:ascii="宋体" w:hAnsi="宋体" w:cs="宋体"/>
          <w:b/>
          <w:bCs/>
          <w:sz w:val="24"/>
        </w:rPr>
        <w:t>11. 磋商文件的澄清</w:t>
      </w:r>
      <w:bookmarkEnd w:id="45"/>
      <w:bookmarkEnd w:id="46"/>
      <w:r>
        <w:rPr>
          <w:rFonts w:hint="eastAsia" w:ascii="宋体" w:hAnsi="宋体" w:cs="宋体"/>
          <w:b/>
          <w:bCs/>
          <w:sz w:val="24"/>
        </w:rPr>
        <w:t>和修改</w:t>
      </w:r>
      <w:bookmarkEnd w:id="47"/>
      <w:bookmarkEnd w:id="48"/>
    </w:p>
    <w:p>
      <w:pPr>
        <w:spacing w:line="360" w:lineRule="auto"/>
        <w:ind w:firstLine="480" w:firstLineChars="200"/>
        <w:rPr>
          <w:rFonts w:ascii="宋体" w:hAnsi="宋体" w:cs="宋体"/>
          <w:sz w:val="24"/>
        </w:rPr>
      </w:pPr>
      <w:r>
        <w:rPr>
          <w:rFonts w:hint="eastAsia" w:ascii="宋体" w:hAnsi="宋体" w:cs="宋体"/>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60" w:lineRule="auto"/>
        <w:rPr>
          <w:rFonts w:ascii="宋体" w:hAnsi="宋体" w:cs="宋体"/>
          <w:b/>
          <w:bCs/>
          <w:sz w:val="24"/>
        </w:rPr>
      </w:pPr>
      <w:bookmarkStart w:id="49" w:name="_Toc208848971"/>
      <w:bookmarkStart w:id="50" w:name="_Toc217446041"/>
      <w:bookmarkStart w:id="51" w:name="_Toc3090"/>
      <w:r>
        <w:rPr>
          <w:rFonts w:hint="eastAsia" w:ascii="宋体" w:hAnsi="宋体" w:cs="宋体"/>
          <w:b/>
          <w:bCs/>
          <w:sz w:val="24"/>
        </w:rPr>
        <w:t>12. 答疑会和现场考察</w:t>
      </w:r>
      <w:bookmarkEnd w:id="49"/>
      <w:bookmarkEnd w:id="50"/>
      <w:bookmarkEnd w:id="51"/>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ascii="宋体" w:hAnsi="宋体" w:cs="宋体"/>
          <w:sz w:val="24"/>
        </w:rPr>
      </w:pPr>
      <w:r>
        <w:rPr>
          <w:rFonts w:hint="eastAsia" w:ascii="宋体" w:hAnsi="宋体" w:cs="宋体"/>
          <w:sz w:val="24"/>
        </w:rPr>
        <w:t>12.3 供应商考察现场或者参加答疑会所发生的一切费用由供应商自己承担。</w:t>
      </w:r>
      <w:bookmarkStart w:id="52" w:name="_Toc89075876"/>
      <w:bookmarkStart w:id="53" w:name="_Toc77400780"/>
      <w:bookmarkStart w:id="54" w:name="_Toc183682351"/>
      <w:bookmarkStart w:id="55" w:name="_Toc217446042"/>
      <w:bookmarkStart w:id="56" w:name="_Toc183582214"/>
    </w:p>
    <w:p>
      <w:pPr>
        <w:jc w:val="center"/>
        <w:rPr>
          <w:b/>
          <w:bCs/>
          <w:sz w:val="28"/>
          <w:szCs w:val="36"/>
        </w:rPr>
      </w:pPr>
      <w:bookmarkStart w:id="57" w:name="_Toc21474"/>
      <w:bookmarkStart w:id="58" w:name="_Toc32639"/>
      <w:r>
        <w:rPr>
          <w:rFonts w:hint="eastAsia"/>
          <w:b/>
          <w:bCs/>
          <w:sz w:val="28"/>
          <w:szCs w:val="36"/>
        </w:rPr>
        <w:t>四、响应文件</w:t>
      </w:r>
      <w:bookmarkEnd w:id="52"/>
      <w:bookmarkEnd w:id="53"/>
      <w:bookmarkEnd w:id="54"/>
      <w:bookmarkEnd w:id="55"/>
      <w:bookmarkEnd w:id="56"/>
      <w:bookmarkEnd w:id="57"/>
      <w:bookmarkEnd w:id="58"/>
    </w:p>
    <w:p>
      <w:pPr>
        <w:spacing w:line="360" w:lineRule="auto"/>
        <w:rPr>
          <w:rFonts w:ascii="宋体" w:hAnsi="宋体" w:cs="宋体"/>
          <w:b/>
          <w:bCs/>
          <w:sz w:val="24"/>
        </w:rPr>
      </w:pPr>
      <w:bookmarkStart w:id="59" w:name="_Toc16684"/>
      <w:bookmarkStart w:id="60" w:name="_Toc183682352"/>
      <w:bookmarkStart w:id="61" w:name="_Toc217446043"/>
      <w:bookmarkStart w:id="62" w:name="_Toc183582215"/>
      <w:r>
        <w:rPr>
          <w:rFonts w:hint="eastAsia" w:ascii="宋体" w:hAnsi="宋体" w:cs="宋体"/>
          <w:b/>
          <w:bCs/>
          <w:sz w:val="24"/>
        </w:rPr>
        <w:t>13.响应文件的组成（实质性要求）</w:t>
      </w:r>
      <w:bookmarkEnd w:id="59"/>
    </w:p>
    <w:p>
      <w:pPr>
        <w:spacing w:line="360" w:lineRule="auto"/>
        <w:ind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宋体" w:hAnsi="宋体" w:cs="宋体"/>
          <w:b/>
          <w:bCs/>
          <w:sz w:val="24"/>
        </w:rPr>
      </w:pPr>
      <w:bookmarkStart w:id="63" w:name="_Toc25463"/>
      <w:r>
        <w:rPr>
          <w:rFonts w:hint="eastAsia" w:ascii="宋体" w:hAnsi="宋体" w:cs="宋体"/>
          <w:b/>
          <w:bCs/>
          <w:sz w:val="24"/>
        </w:rPr>
        <w:t>14.响应文件的语言</w:t>
      </w:r>
      <w:bookmarkEnd w:id="60"/>
      <w:bookmarkEnd w:id="61"/>
      <w:bookmarkEnd w:id="62"/>
      <w:r>
        <w:rPr>
          <w:rFonts w:hint="eastAsia" w:ascii="宋体" w:hAnsi="宋体" w:cs="宋体"/>
          <w:b/>
          <w:bCs/>
          <w:sz w:val="24"/>
        </w:rPr>
        <w:t>（实质性要求）</w:t>
      </w:r>
      <w:bookmarkEnd w:id="63"/>
    </w:p>
    <w:p>
      <w:pPr>
        <w:spacing w:line="360" w:lineRule="auto"/>
        <w:ind w:firstLine="480" w:firstLineChars="200"/>
        <w:rPr>
          <w:rFonts w:ascii="宋体" w:hAnsi="宋体" w:cs="宋体"/>
          <w:sz w:val="24"/>
        </w:rPr>
      </w:pPr>
      <w:r>
        <w:rPr>
          <w:rFonts w:hint="eastAsia" w:ascii="宋体" w:hAnsi="宋体" w:cs="宋体"/>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s="宋体"/>
          <w:sz w:val="24"/>
        </w:rPr>
      </w:pPr>
      <w:r>
        <w:rPr>
          <w:rFonts w:hint="eastAsia" w:ascii="宋体" w:hAnsi="宋体" w:cs="宋体"/>
          <w:sz w:val="24"/>
        </w:rPr>
        <w:t>14.2 翻译的中文资料与外文资料如果出现差异和矛盾，以中文为准。但不能故意错误翻译，否则，供应商的响应文件将作为无效处理。</w:t>
      </w:r>
      <w:bookmarkStart w:id="64" w:name="_Toc217446044"/>
      <w:bookmarkStart w:id="65" w:name="_Toc183582216"/>
      <w:bookmarkStart w:id="66" w:name="_Toc183682353"/>
      <w:bookmarkStart w:id="67" w:name="_Toc21779"/>
    </w:p>
    <w:p>
      <w:pPr>
        <w:spacing w:line="360" w:lineRule="auto"/>
        <w:rPr>
          <w:rFonts w:ascii="宋体" w:hAnsi="宋体" w:cs="宋体"/>
          <w:b/>
          <w:bCs/>
          <w:sz w:val="24"/>
        </w:rPr>
      </w:pPr>
      <w:r>
        <w:rPr>
          <w:rFonts w:hint="eastAsia" w:ascii="宋体" w:hAnsi="宋体" w:cs="宋体"/>
          <w:b/>
          <w:bCs/>
          <w:sz w:val="24"/>
        </w:rPr>
        <w:t>15．计量单位</w:t>
      </w:r>
      <w:bookmarkEnd w:id="64"/>
      <w:bookmarkEnd w:id="65"/>
      <w:bookmarkEnd w:id="66"/>
      <w:r>
        <w:rPr>
          <w:rFonts w:hint="eastAsia" w:ascii="宋体" w:hAnsi="宋体" w:cs="宋体"/>
          <w:b/>
          <w:bCs/>
          <w:sz w:val="24"/>
        </w:rPr>
        <w:t>（实质性要求）</w:t>
      </w:r>
      <w:bookmarkEnd w:id="67"/>
    </w:p>
    <w:p>
      <w:pPr>
        <w:spacing w:line="360" w:lineRule="auto"/>
        <w:ind w:firstLine="480" w:firstLineChars="200"/>
        <w:rPr>
          <w:rFonts w:ascii="宋体" w:hAnsi="宋体" w:cs="宋体"/>
          <w:sz w:val="24"/>
        </w:rPr>
      </w:pPr>
      <w:r>
        <w:rPr>
          <w:rFonts w:hint="eastAsia" w:ascii="宋体" w:hAnsi="宋体" w:cs="宋体"/>
          <w:sz w:val="24"/>
        </w:rPr>
        <w:t>除磋商文件中另有规定外，本次采购项目所有合同项下的报价均采用国家法定的计量单位。</w:t>
      </w:r>
      <w:bookmarkStart w:id="68" w:name="_Toc217446045"/>
      <w:r>
        <w:rPr>
          <w:rFonts w:hint="eastAsia" w:ascii="宋体" w:hAnsi="宋体" w:cs="宋体"/>
          <w:sz w:val="24"/>
        </w:rPr>
        <w:t xml:space="preserve">  </w:t>
      </w:r>
    </w:p>
    <w:p>
      <w:pPr>
        <w:spacing w:line="360" w:lineRule="auto"/>
        <w:rPr>
          <w:rFonts w:ascii="宋体" w:hAnsi="宋体" w:cs="宋体"/>
          <w:b/>
          <w:bCs/>
          <w:sz w:val="24"/>
        </w:rPr>
      </w:pPr>
      <w:r>
        <w:rPr>
          <w:rFonts w:hint="eastAsia" w:ascii="宋体" w:hAnsi="宋体" w:cs="宋体"/>
          <w:b/>
          <w:bCs/>
          <w:sz w:val="24"/>
        </w:rPr>
        <w:t>16. 报价货币（实质性要求）</w:t>
      </w:r>
    </w:p>
    <w:p>
      <w:pPr>
        <w:spacing w:line="360" w:lineRule="auto"/>
        <w:ind w:firstLine="480" w:firstLineChars="200"/>
        <w:rPr>
          <w:rFonts w:ascii="宋体" w:hAnsi="宋体" w:cs="宋体"/>
          <w:sz w:val="24"/>
        </w:rPr>
      </w:pPr>
      <w:r>
        <w:rPr>
          <w:rFonts w:hint="eastAsia" w:ascii="宋体" w:hAnsi="宋体" w:cs="宋体"/>
          <w:sz w:val="24"/>
        </w:rPr>
        <w:t>本次磋商项目的报价货币为人民币，报价以磋商文件规定为准。</w:t>
      </w:r>
    </w:p>
    <w:bookmarkEnd w:id="68"/>
    <w:p>
      <w:pPr>
        <w:spacing w:line="360" w:lineRule="auto"/>
        <w:rPr>
          <w:rFonts w:ascii="宋体" w:hAnsi="宋体" w:cs="宋体"/>
          <w:b/>
          <w:bCs/>
          <w:sz w:val="24"/>
        </w:rPr>
      </w:pPr>
      <w:r>
        <w:rPr>
          <w:rFonts w:hint="eastAsia" w:ascii="宋体" w:hAnsi="宋体" w:cs="宋体"/>
          <w:b/>
          <w:bCs/>
          <w:sz w:val="24"/>
        </w:rPr>
        <w:t>17.响应文件格式</w:t>
      </w:r>
    </w:p>
    <w:p>
      <w:pPr>
        <w:spacing w:line="360" w:lineRule="auto"/>
        <w:ind w:firstLine="480" w:firstLineChars="200"/>
        <w:rPr>
          <w:rFonts w:ascii="宋体" w:hAnsi="宋体" w:cs="宋体"/>
          <w:sz w:val="24"/>
        </w:rPr>
      </w:pPr>
      <w:r>
        <w:rPr>
          <w:rFonts w:hint="eastAsia" w:ascii="宋体" w:hAnsi="宋体" w:cs="宋体"/>
          <w:sz w:val="24"/>
        </w:rPr>
        <w:t>17.1 供应商应执行磋商文件第六章的规定要求。</w:t>
      </w:r>
    </w:p>
    <w:p>
      <w:pPr>
        <w:spacing w:line="360" w:lineRule="auto"/>
        <w:ind w:firstLine="480" w:firstLineChars="200"/>
        <w:rPr>
          <w:rFonts w:ascii="宋体" w:hAnsi="宋体" w:cs="宋体"/>
          <w:sz w:val="24"/>
        </w:rPr>
      </w:pPr>
      <w:r>
        <w:rPr>
          <w:rFonts w:hint="eastAsia" w:ascii="宋体" w:hAnsi="宋体" w:cs="宋体"/>
          <w:sz w:val="24"/>
        </w:rPr>
        <w:t>17.2 对于没有格式要求的磋商文件由供应商自行编写。</w:t>
      </w:r>
      <w:bookmarkStart w:id="69" w:name="_Toc217446051"/>
      <w:bookmarkStart w:id="70" w:name="_Toc183582224"/>
      <w:bookmarkStart w:id="71" w:name="_Toc183682361"/>
    </w:p>
    <w:p>
      <w:pPr>
        <w:spacing w:line="360" w:lineRule="auto"/>
        <w:rPr>
          <w:rFonts w:ascii="宋体" w:hAnsi="宋体" w:cs="宋体"/>
          <w:b/>
          <w:bCs/>
          <w:sz w:val="24"/>
        </w:rPr>
      </w:pPr>
      <w:r>
        <w:rPr>
          <w:rFonts w:hint="eastAsia" w:ascii="宋体" w:hAnsi="宋体" w:cs="宋体"/>
          <w:b/>
          <w:bCs/>
          <w:sz w:val="24"/>
        </w:rPr>
        <w:t>18.响应文件的编制和签署</w:t>
      </w:r>
    </w:p>
    <w:p>
      <w:pPr>
        <w:spacing w:line="360" w:lineRule="auto"/>
        <w:ind w:firstLine="480" w:firstLineChars="200"/>
        <w:rPr>
          <w:rFonts w:ascii="宋体" w:hAnsi="宋体" w:cs="宋体"/>
          <w:sz w:val="24"/>
        </w:rPr>
      </w:pPr>
      <w:r>
        <w:rPr>
          <w:rFonts w:hint="eastAsia" w:ascii="宋体" w:hAnsi="宋体" w:cs="宋体"/>
          <w:sz w:val="24"/>
        </w:rPr>
        <w:t>18.1 资格性响应文件正本壹份副本贰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ascii="宋体" w:hAnsi="宋体" w:cs="宋体"/>
          <w:sz w:val="24"/>
        </w:rPr>
      </w:pPr>
      <w:r>
        <w:rPr>
          <w:rFonts w:hint="eastAsia" w:ascii="宋体" w:hAnsi="宋体" w:cs="宋体"/>
          <w:sz w:val="24"/>
        </w:rPr>
        <w:t>18.2 其他响应文件正本壹份副本贰份，并在其封面上清楚地标明其他响应文件、采购项目名称、采购项目编号、包件号及名称（若有）、供应商名称以及“正本”或“副本”字样。若正本和副本有不一致的内容，以正本书面响应文件为准。</w:t>
      </w:r>
    </w:p>
    <w:bookmarkEnd w:id="69"/>
    <w:bookmarkEnd w:id="70"/>
    <w:bookmarkEnd w:id="71"/>
    <w:p>
      <w:pPr>
        <w:spacing w:line="360" w:lineRule="auto"/>
        <w:ind w:firstLine="480" w:firstLineChars="200"/>
        <w:rPr>
          <w:rFonts w:ascii="宋体" w:hAnsi="宋体" w:cs="宋体"/>
          <w:sz w:val="24"/>
        </w:rPr>
      </w:pPr>
      <w:r>
        <w:rPr>
          <w:rFonts w:hint="eastAsia" w:ascii="宋体" w:hAnsi="宋体" w:cs="宋体"/>
          <w:sz w:val="24"/>
        </w:rPr>
        <w:t>18.3 响应文件正本和副本均需在规定签章处签字和盖章。响应文件副本可采用正本的复印件，电子文档采用U盘或光盘制作。</w:t>
      </w:r>
    </w:p>
    <w:p>
      <w:pPr>
        <w:spacing w:line="360" w:lineRule="auto"/>
        <w:ind w:firstLine="480" w:firstLineChars="200"/>
        <w:rPr>
          <w:rFonts w:ascii="宋体" w:hAnsi="宋体" w:cs="宋体"/>
          <w:sz w:val="24"/>
        </w:rPr>
      </w:pPr>
      <w:r>
        <w:rPr>
          <w:rFonts w:hint="eastAsia" w:ascii="宋体" w:hAnsi="宋体" w:cs="宋体"/>
          <w:sz w:val="24"/>
        </w:rPr>
        <w:t>18.4响应文件的打印和书写应清楚工整，任何行间插字、涂改或增删，必须由供应商的法定代表人或其授权代表签字并盖供应商公章。</w:t>
      </w:r>
    </w:p>
    <w:p>
      <w:pPr>
        <w:spacing w:line="360" w:lineRule="auto"/>
        <w:ind w:firstLine="480" w:firstLineChars="200"/>
        <w:rPr>
          <w:rFonts w:ascii="宋体" w:hAnsi="宋体" w:cs="宋体"/>
          <w:sz w:val="24"/>
        </w:rPr>
      </w:pPr>
      <w:r>
        <w:rPr>
          <w:rFonts w:hint="eastAsia" w:ascii="宋体" w:hAnsi="宋体" w:cs="宋体"/>
          <w:sz w:val="24"/>
        </w:rPr>
        <w:t>18.5（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80" w:firstLineChars="200"/>
        <w:rPr>
          <w:rFonts w:ascii="宋体" w:hAnsi="宋体" w:cs="宋体"/>
          <w:sz w:val="24"/>
        </w:rPr>
      </w:pPr>
      <w:r>
        <w:rPr>
          <w:rFonts w:hint="eastAsia" w:ascii="宋体" w:hAnsi="宋体" w:cs="宋体"/>
          <w:sz w:val="24"/>
        </w:rPr>
        <w:t>18.6响应文件正本和副本需要逐页编目编码。</w:t>
      </w:r>
    </w:p>
    <w:p>
      <w:pPr>
        <w:spacing w:line="360" w:lineRule="auto"/>
        <w:ind w:firstLine="480" w:firstLineChars="200"/>
        <w:rPr>
          <w:rFonts w:ascii="宋体" w:hAnsi="宋体" w:cs="宋体"/>
          <w:sz w:val="24"/>
        </w:rPr>
      </w:pPr>
      <w:r>
        <w:rPr>
          <w:rFonts w:hint="eastAsia" w:ascii="宋体" w:hAnsi="宋体" w:cs="宋体"/>
          <w:sz w:val="24"/>
        </w:rPr>
        <w:t>18.7响应文件正本和副本应当采用胶装方式装订成册，不得散装或者合页装订。</w:t>
      </w:r>
    </w:p>
    <w:p>
      <w:pPr>
        <w:spacing w:line="360" w:lineRule="auto"/>
        <w:ind w:firstLine="480" w:firstLineChars="200"/>
        <w:rPr>
          <w:rFonts w:ascii="宋体" w:hAnsi="宋体" w:cs="宋体"/>
          <w:sz w:val="24"/>
        </w:rPr>
      </w:pPr>
      <w:r>
        <w:rPr>
          <w:rFonts w:hint="eastAsia" w:ascii="宋体" w:hAnsi="宋体" w:cs="宋体"/>
          <w:sz w:val="24"/>
        </w:rPr>
        <w:t>18.8（实质性要求）响应文件应根据磋商文件的要求制作，签署、盖章。（按照《四川省政府采购评审工作规程（修订）》规范）</w:t>
      </w:r>
    </w:p>
    <w:p>
      <w:pPr>
        <w:spacing w:line="360" w:lineRule="auto"/>
        <w:ind w:firstLine="480" w:firstLineChars="200"/>
        <w:rPr>
          <w:rFonts w:ascii="宋体" w:hAnsi="宋体" w:cs="宋体"/>
          <w:sz w:val="24"/>
        </w:rPr>
      </w:pPr>
      <w:r>
        <w:rPr>
          <w:rFonts w:hint="eastAsia" w:ascii="宋体" w:hAnsi="宋体" w:cs="宋体"/>
          <w:sz w:val="24"/>
        </w:rPr>
        <w:t>18.9响应文件统一用A4幅面纸印制，除另有规定外。</w:t>
      </w:r>
      <w:bookmarkStart w:id="72" w:name="_Toc89075877"/>
      <w:bookmarkStart w:id="73" w:name="_Toc183682363"/>
      <w:bookmarkStart w:id="74" w:name="_Toc77400781"/>
      <w:bookmarkStart w:id="75" w:name="_Toc217446053"/>
      <w:bookmarkStart w:id="76" w:name="_Toc183582226"/>
    </w:p>
    <w:p>
      <w:pPr>
        <w:spacing w:line="360" w:lineRule="auto"/>
        <w:rPr>
          <w:rFonts w:ascii="宋体" w:hAnsi="宋体" w:cs="宋体"/>
          <w:b/>
          <w:bCs/>
          <w:sz w:val="24"/>
        </w:rPr>
      </w:pPr>
      <w:r>
        <w:rPr>
          <w:rFonts w:hint="eastAsia" w:ascii="宋体" w:hAnsi="宋体" w:cs="宋体"/>
          <w:b/>
          <w:bCs/>
          <w:sz w:val="24"/>
        </w:rPr>
        <w:t>19.</w:t>
      </w:r>
      <w:r>
        <w:rPr>
          <w:rFonts w:hint="eastAsia" w:ascii="宋体" w:hAnsi="宋体" w:cs="宋体"/>
          <w:sz w:val="24"/>
        </w:rPr>
        <w:t>响应文件的密封和标注（不属于本项目磋商小组评审范畴，由采购人、采购代理机构在接收响应文件时及时处理）</w:t>
      </w:r>
    </w:p>
    <w:p>
      <w:pPr>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spacing w:line="360" w:lineRule="auto"/>
        <w:ind w:firstLine="480" w:firstLineChars="200"/>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spacing w:line="360" w:lineRule="auto"/>
        <w:ind w:firstLine="480" w:firstLineChars="200"/>
        <w:rPr>
          <w:rFonts w:ascii="宋体" w:hAnsi="宋体" w:cs="宋体"/>
          <w:sz w:val="24"/>
        </w:rPr>
      </w:pPr>
      <w:r>
        <w:rPr>
          <w:rFonts w:hint="eastAsia" w:ascii="宋体" w:hAnsi="宋体" w:cs="宋体"/>
          <w:sz w:val="24"/>
        </w:rPr>
        <w:t>19.3 所有外层密封袋的封口处应粘贴牢固。</w:t>
      </w:r>
    </w:p>
    <w:p>
      <w:pPr>
        <w:spacing w:line="360" w:lineRule="auto"/>
        <w:ind w:firstLine="480" w:firstLineChars="200"/>
        <w:rPr>
          <w:rFonts w:ascii="宋体" w:hAnsi="宋体" w:cs="宋体"/>
          <w:sz w:val="24"/>
        </w:rPr>
      </w:pPr>
      <w:r>
        <w:rPr>
          <w:rFonts w:hint="eastAsia" w:ascii="宋体" w:hAnsi="宋体" w:cs="宋体"/>
          <w:sz w:val="24"/>
        </w:rPr>
        <w:t>19.4 未按以上要求进行密封和标注的响应文件，采购人、采购代理机构将拒收或者在时间允许的范围内，要求修改完善后接收。</w:t>
      </w:r>
    </w:p>
    <w:p>
      <w:pPr>
        <w:spacing w:line="360" w:lineRule="auto"/>
        <w:rPr>
          <w:rFonts w:ascii="宋体" w:hAnsi="宋体" w:cs="宋体"/>
          <w:b/>
          <w:bCs/>
          <w:sz w:val="24"/>
        </w:rPr>
      </w:pPr>
      <w:r>
        <w:rPr>
          <w:rFonts w:hint="eastAsia" w:ascii="宋体" w:hAnsi="宋体" w:cs="宋体"/>
          <w:b/>
          <w:bCs/>
          <w:sz w:val="24"/>
        </w:rPr>
        <w:t>20.响应文件的递交</w:t>
      </w:r>
    </w:p>
    <w:p>
      <w:pPr>
        <w:spacing w:line="360" w:lineRule="auto"/>
        <w:ind w:firstLine="480" w:firstLineChars="200"/>
        <w:rPr>
          <w:rFonts w:ascii="宋体" w:hAnsi="宋体" w:cs="宋体"/>
          <w:sz w:val="24"/>
        </w:rPr>
      </w:pPr>
      <w:r>
        <w:rPr>
          <w:rFonts w:hint="eastAsia" w:ascii="宋体" w:hAnsi="宋体" w:cs="宋体"/>
          <w:sz w:val="24"/>
        </w:rPr>
        <w:t>20.1 资格性响应文件和其他响应文件应于递交响应文件截止时间前送达指定地点，采购代理机构拒绝接收截止时间后送达的响应文件。</w:t>
      </w:r>
    </w:p>
    <w:p>
      <w:pPr>
        <w:spacing w:line="360" w:lineRule="auto"/>
        <w:ind w:firstLine="480" w:firstLineChars="200"/>
        <w:rPr>
          <w:rFonts w:ascii="宋体" w:hAnsi="宋体" w:cs="宋体"/>
          <w:sz w:val="24"/>
        </w:rPr>
      </w:pPr>
      <w:r>
        <w:rPr>
          <w:rFonts w:hint="eastAsia" w:ascii="宋体" w:hAnsi="宋体" w:cs="宋体"/>
          <w:sz w:val="24"/>
        </w:rPr>
        <w:t>20.2 采购代理机构将向通过资格审查的供应商发出磋商邀请；告知未通过资格审查的供应商未通过的原因。</w:t>
      </w:r>
    </w:p>
    <w:p>
      <w:pPr>
        <w:spacing w:line="360" w:lineRule="auto"/>
        <w:ind w:firstLine="480" w:firstLineChars="200"/>
        <w:rPr>
          <w:rFonts w:ascii="宋体" w:hAnsi="宋体" w:cs="宋体"/>
          <w:sz w:val="24"/>
        </w:rPr>
      </w:pPr>
      <w:r>
        <w:rPr>
          <w:rFonts w:hint="eastAsia" w:ascii="宋体" w:hAnsi="宋体" w:cs="宋体"/>
          <w:sz w:val="24"/>
        </w:rPr>
        <w:t>20.3 报价表在磋商后，磋商小组要求供应商进行最后报价时递交。</w:t>
      </w:r>
    </w:p>
    <w:p>
      <w:pPr>
        <w:spacing w:line="360" w:lineRule="auto"/>
        <w:ind w:firstLine="480" w:firstLineChars="200"/>
        <w:rPr>
          <w:rFonts w:ascii="宋体" w:hAnsi="宋体" w:cs="宋体"/>
          <w:sz w:val="24"/>
        </w:rPr>
      </w:pPr>
      <w:r>
        <w:rPr>
          <w:rFonts w:hint="eastAsia" w:ascii="宋体" w:hAnsi="宋体" w:cs="宋体"/>
          <w:sz w:val="24"/>
        </w:rPr>
        <w:t>20.4 本次采购不接收邮寄的响应文件。</w:t>
      </w:r>
    </w:p>
    <w:bookmarkEnd w:id="72"/>
    <w:bookmarkEnd w:id="73"/>
    <w:bookmarkEnd w:id="74"/>
    <w:bookmarkEnd w:id="75"/>
    <w:bookmarkEnd w:id="76"/>
    <w:p>
      <w:pPr>
        <w:spacing w:line="360" w:lineRule="auto"/>
        <w:rPr>
          <w:rFonts w:ascii="宋体" w:hAnsi="宋体" w:cs="宋体"/>
          <w:b/>
          <w:bCs/>
          <w:sz w:val="24"/>
        </w:rPr>
      </w:pPr>
      <w:bookmarkStart w:id="77" w:name="_Toc183582228"/>
      <w:bookmarkStart w:id="78" w:name="_Toc217446055"/>
      <w:bookmarkStart w:id="79" w:name="_Toc183682365"/>
      <w:r>
        <w:rPr>
          <w:rFonts w:hint="eastAsia" w:ascii="宋体" w:hAnsi="宋体" w:cs="宋体"/>
          <w:b/>
          <w:bCs/>
          <w:sz w:val="24"/>
        </w:rPr>
        <w:t>21.</w:t>
      </w:r>
      <w:r>
        <w:rPr>
          <w:rFonts w:hint="eastAsia" w:ascii="宋体" w:hAnsi="宋体" w:cs="宋体"/>
          <w:sz w:val="24"/>
        </w:rPr>
        <w:t>响应文件的修改和撤回（补充、修改响应文件的密封和标注按照本章“19.响应文件的密封和标注”规定处理）</w:t>
      </w:r>
    </w:p>
    <w:p>
      <w:pPr>
        <w:spacing w:line="360" w:lineRule="auto"/>
        <w:ind w:firstLine="480" w:firstLineChars="20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21.3供应商不得在递交截止时间起至响应文件有效期期满前撤销其响应文件。否则其磋商保证金将按“第二部分供应商采购须知7”的相关规定被没收。</w:t>
      </w:r>
    </w:p>
    <w:p>
      <w:pPr>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宋体" w:hAnsi="宋体" w:cs="宋体"/>
          <w:color w:val="000000"/>
        </w:rPr>
      </w:pPr>
      <w:r>
        <w:rPr>
          <w:rFonts w:hint="eastAsia" w:ascii="宋体" w:hAnsi="宋体" w:cs="宋体"/>
          <w:sz w:val="24"/>
        </w:rPr>
        <w:t>21.5供应商对其提交的响应文件的真实性、合法性承担法律责任。</w:t>
      </w:r>
      <w:bookmarkEnd w:id="77"/>
      <w:bookmarkEnd w:id="78"/>
      <w:bookmarkEnd w:id="79"/>
    </w:p>
    <w:p>
      <w:pPr>
        <w:jc w:val="center"/>
        <w:rPr>
          <w:b/>
          <w:bCs/>
          <w:sz w:val="28"/>
          <w:szCs w:val="36"/>
        </w:rPr>
      </w:pPr>
      <w:bookmarkStart w:id="80" w:name="_Toc2936"/>
      <w:bookmarkStart w:id="81" w:name="_Toc10940"/>
      <w:bookmarkStart w:id="82" w:name="_Toc183582231"/>
      <w:bookmarkStart w:id="83" w:name="_Toc89075878"/>
      <w:bookmarkStart w:id="84" w:name="_Toc217446056"/>
      <w:bookmarkStart w:id="85" w:name="_Toc183682368"/>
      <w:bookmarkStart w:id="86" w:name="_Toc77400782"/>
      <w:r>
        <w:rPr>
          <w:rFonts w:hint="eastAsia"/>
          <w:b/>
          <w:bCs/>
          <w:sz w:val="28"/>
          <w:szCs w:val="36"/>
        </w:rPr>
        <w:t>五、评审</w:t>
      </w:r>
      <w:bookmarkEnd w:id="80"/>
      <w:bookmarkEnd w:id="81"/>
    </w:p>
    <w:p>
      <w:pPr>
        <w:spacing w:line="360" w:lineRule="auto"/>
        <w:rPr>
          <w:rFonts w:ascii="宋体" w:hAnsi="宋体" w:cs="宋体"/>
          <w:sz w:val="24"/>
        </w:rPr>
      </w:pPr>
      <w:bookmarkStart w:id="87" w:name="_Toc18577"/>
      <w:r>
        <w:rPr>
          <w:rFonts w:hint="eastAsia" w:ascii="宋体" w:hAnsi="宋体" w:cs="宋体"/>
          <w:b/>
          <w:bCs/>
          <w:sz w:val="24"/>
        </w:rPr>
        <w:t>22.</w:t>
      </w:r>
      <w:r>
        <w:rPr>
          <w:rFonts w:hint="eastAsia" w:ascii="宋体" w:hAnsi="宋体" w:cs="宋体"/>
          <w:sz w:val="24"/>
        </w:rPr>
        <w:t>磋商小组的组建及其评审工作按照有关法律制度和本文件第七章的规定进行。</w:t>
      </w:r>
      <w:bookmarkEnd w:id="87"/>
    </w:p>
    <w:p>
      <w:pPr>
        <w:jc w:val="center"/>
        <w:rPr>
          <w:b/>
          <w:bCs/>
          <w:sz w:val="28"/>
          <w:szCs w:val="36"/>
        </w:rPr>
      </w:pPr>
      <w:bookmarkStart w:id="88" w:name="_Toc10906"/>
      <w:bookmarkStart w:id="89" w:name="_Toc3100"/>
      <w:r>
        <w:rPr>
          <w:rFonts w:hint="eastAsia"/>
          <w:b/>
          <w:bCs/>
          <w:sz w:val="28"/>
          <w:szCs w:val="36"/>
        </w:rPr>
        <w:t>六、成交事项</w:t>
      </w:r>
      <w:bookmarkEnd w:id="88"/>
      <w:bookmarkEnd w:id="89"/>
    </w:p>
    <w:p>
      <w:pPr>
        <w:spacing w:line="360" w:lineRule="auto"/>
        <w:rPr>
          <w:rFonts w:ascii="宋体" w:hAnsi="宋体" w:cs="宋体"/>
          <w:b/>
          <w:bCs/>
          <w:sz w:val="24"/>
        </w:rPr>
      </w:pPr>
      <w:bookmarkStart w:id="90" w:name="_Toc18928"/>
      <w:r>
        <w:rPr>
          <w:rFonts w:hint="eastAsia" w:ascii="宋体" w:hAnsi="宋体" w:cs="宋体"/>
          <w:b/>
          <w:bCs/>
          <w:sz w:val="24"/>
        </w:rPr>
        <w:t>23.确定成交供应商</w:t>
      </w:r>
      <w:bookmarkEnd w:id="90"/>
    </w:p>
    <w:p>
      <w:pPr>
        <w:spacing w:line="360" w:lineRule="auto"/>
        <w:ind w:firstLine="480" w:firstLineChars="200"/>
        <w:rPr>
          <w:rFonts w:ascii="宋体" w:hAnsi="宋体" w:cs="宋体"/>
          <w:sz w:val="24"/>
        </w:rPr>
      </w:pPr>
      <w:bookmarkStart w:id="91" w:name="_Toc10064"/>
      <w:r>
        <w:rPr>
          <w:rFonts w:hint="eastAsia" w:ascii="宋体" w:hAnsi="宋体" w:cs="宋体"/>
          <w:sz w:val="24"/>
        </w:rPr>
        <w:t>采购人将按磋商小组推荐的成交候选供应商顺序确定成交供应商。</w:t>
      </w:r>
      <w:bookmarkEnd w:id="91"/>
    </w:p>
    <w:p>
      <w:pPr>
        <w:spacing w:line="360" w:lineRule="auto"/>
        <w:ind w:firstLine="480" w:firstLineChars="200"/>
        <w:rPr>
          <w:rFonts w:ascii="宋体" w:hAnsi="宋体" w:cs="宋体"/>
          <w:sz w:val="24"/>
        </w:rPr>
      </w:pPr>
      <w:bookmarkStart w:id="92" w:name="_Toc31224"/>
      <w:r>
        <w:rPr>
          <w:rFonts w:hint="eastAsia" w:ascii="宋体" w:hAnsi="宋体" w:cs="宋体"/>
          <w:sz w:val="24"/>
        </w:rPr>
        <w:t>23.1采购代理机构自评审结束后2个工作日内将磋商报告及有关资料送交采购人确定成交供应商。</w:t>
      </w:r>
      <w:bookmarkEnd w:id="92"/>
    </w:p>
    <w:p>
      <w:pPr>
        <w:spacing w:line="360" w:lineRule="auto"/>
        <w:ind w:firstLine="480" w:firstLineChars="200"/>
        <w:rPr>
          <w:rFonts w:ascii="宋体" w:hAnsi="宋体" w:cs="宋体"/>
          <w:sz w:val="24"/>
        </w:rPr>
      </w:pPr>
      <w:bookmarkStart w:id="93" w:name="_Toc10966"/>
      <w:r>
        <w:rPr>
          <w:rFonts w:hint="eastAsia" w:ascii="宋体" w:hAnsi="宋体" w:cs="宋体"/>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93"/>
    </w:p>
    <w:p>
      <w:pPr>
        <w:spacing w:line="360" w:lineRule="auto"/>
        <w:ind w:firstLine="480" w:firstLineChars="200"/>
        <w:rPr>
          <w:rFonts w:ascii="宋体" w:hAnsi="宋体" w:cs="宋体"/>
          <w:sz w:val="24"/>
        </w:rPr>
      </w:pPr>
      <w:bookmarkStart w:id="94" w:name="_Toc8745"/>
      <w:r>
        <w:rPr>
          <w:rFonts w:hint="eastAsia" w:ascii="宋体" w:hAnsi="宋体" w:cs="宋体"/>
          <w:sz w:val="24"/>
        </w:rPr>
        <w:t>23.3采购人确定成交供应商过程中，发现成交候选供应商有下列情形之一的，应当不予确定其为成交供应商：</w:t>
      </w:r>
      <w:bookmarkEnd w:id="94"/>
    </w:p>
    <w:p>
      <w:pPr>
        <w:spacing w:line="360" w:lineRule="auto"/>
        <w:ind w:firstLine="480" w:firstLineChars="200"/>
        <w:rPr>
          <w:rFonts w:ascii="宋体" w:hAnsi="宋体" w:cs="宋体"/>
          <w:sz w:val="24"/>
        </w:rPr>
      </w:pPr>
      <w:bookmarkStart w:id="95" w:name="_Toc20761"/>
      <w:r>
        <w:rPr>
          <w:rFonts w:hint="eastAsia" w:ascii="宋体" w:hAnsi="宋体" w:cs="宋体"/>
          <w:sz w:val="24"/>
        </w:rPr>
        <w:t>（1）发现成交候选供应商存在禁止参加本项目采购活动的违法行为的；</w:t>
      </w:r>
      <w:bookmarkEnd w:id="95"/>
    </w:p>
    <w:p>
      <w:pPr>
        <w:spacing w:line="360" w:lineRule="auto"/>
        <w:ind w:firstLine="480" w:firstLineChars="200"/>
        <w:rPr>
          <w:rFonts w:ascii="宋体" w:hAnsi="宋体" w:cs="宋体"/>
          <w:sz w:val="24"/>
        </w:rPr>
      </w:pPr>
      <w:bookmarkStart w:id="96" w:name="_Toc11647"/>
      <w:r>
        <w:rPr>
          <w:rFonts w:hint="eastAsia" w:ascii="宋体" w:hAnsi="宋体" w:cs="宋体"/>
          <w:sz w:val="24"/>
        </w:rPr>
        <w:t>（2）成交候选供应商因不可抗力，不能继续参加政府采购活动；</w:t>
      </w:r>
      <w:bookmarkEnd w:id="96"/>
    </w:p>
    <w:p>
      <w:pPr>
        <w:spacing w:line="360" w:lineRule="auto"/>
        <w:ind w:firstLine="480" w:firstLineChars="200"/>
        <w:rPr>
          <w:rFonts w:ascii="宋体" w:hAnsi="宋体" w:cs="宋体"/>
          <w:sz w:val="24"/>
        </w:rPr>
      </w:pPr>
      <w:bookmarkStart w:id="97" w:name="_Toc9439"/>
      <w:r>
        <w:rPr>
          <w:rFonts w:hint="eastAsia" w:ascii="宋体" w:hAnsi="宋体" w:cs="宋体"/>
          <w:sz w:val="24"/>
        </w:rPr>
        <w:t>（3）成交候选供应商无偿赠与或者低于成本价竞争；</w:t>
      </w:r>
      <w:bookmarkEnd w:id="97"/>
    </w:p>
    <w:p>
      <w:pPr>
        <w:spacing w:line="360" w:lineRule="auto"/>
        <w:ind w:firstLine="480" w:firstLineChars="200"/>
        <w:rPr>
          <w:rFonts w:ascii="宋体" w:hAnsi="宋体" w:cs="宋体"/>
          <w:sz w:val="24"/>
        </w:rPr>
      </w:pPr>
      <w:bookmarkStart w:id="98" w:name="_Toc118"/>
      <w:r>
        <w:rPr>
          <w:rFonts w:hint="eastAsia" w:ascii="宋体" w:hAnsi="宋体" w:cs="宋体"/>
          <w:sz w:val="24"/>
        </w:rPr>
        <w:t>（4）成交候选供应商提供虚假材料；</w:t>
      </w:r>
      <w:bookmarkEnd w:id="98"/>
    </w:p>
    <w:p>
      <w:pPr>
        <w:spacing w:line="360" w:lineRule="auto"/>
        <w:ind w:firstLine="480" w:firstLineChars="200"/>
        <w:rPr>
          <w:rFonts w:ascii="宋体" w:hAnsi="宋体" w:cs="宋体"/>
          <w:sz w:val="24"/>
        </w:rPr>
      </w:pPr>
      <w:bookmarkStart w:id="99" w:name="_Toc12860"/>
      <w:r>
        <w:rPr>
          <w:rFonts w:hint="eastAsia" w:ascii="宋体" w:hAnsi="宋体" w:cs="宋体"/>
          <w:sz w:val="24"/>
        </w:rPr>
        <w:t>（5）成交候选供应商恶意串通。</w:t>
      </w:r>
      <w:bookmarkEnd w:id="99"/>
    </w:p>
    <w:p>
      <w:pPr>
        <w:spacing w:line="360" w:lineRule="auto"/>
        <w:ind w:firstLine="480" w:firstLineChars="200"/>
        <w:rPr>
          <w:rFonts w:ascii="宋体" w:hAnsi="宋体" w:cs="宋体"/>
          <w:sz w:val="24"/>
        </w:rPr>
      </w:pPr>
      <w:bookmarkStart w:id="100" w:name="_Toc29238"/>
      <w:r>
        <w:rPr>
          <w:rFonts w:hint="eastAsia" w:ascii="宋体" w:hAnsi="宋体" w:cs="宋体"/>
          <w:sz w:val="24"/>
        </w:rPr>
        <w:t>成交候选供应商有本条情形之一的，采购人可以确定后一位成交候选供应商为成交供应商，依次类推。无法确定成交供应商的，应当重新组织采购。</w:t>
      </w:r>
      <w:bookmarkEnd w:id="100"/>
    </w:p>
    <w:p>
      <w:pPr>
        <w:spacing w:line="360" w:lineRule="auto"/>
        <w:rPr>
          <w:rFonts w:ascii="宋体" w:hAnsi="宋体" w:cs="宋体"/>
          <w:b/>
          <w:bCs/>
          <w:sz w:val="24"/>
        </w:rPr>
      </w:pPr>
      <w:bookmarkStart w:id="101" w:name="_Toc2451"/>
      <w:r>
        <w:rPr>
          <w:rFonts w:hint="eastAsia" w:ascii="宋体" w:hAnsi="宋体" w:cs="宋体"/>
          <w:b/>
          <w:bCs/>
          <w:sz w:val="24"/>
        </w:rPr>
        <w:t>24.供应商存在行贿犯罪</w:t>
      </w:r>
      <w:bookmarkEnd w:id="101"/>
      <w:r>
        <w:rPr>
          <w:rFonts w:hint="eastAsia" w:ascii="宋体" w:hAnsi="宋体" w:cs="宋体"/>
          <w:b/>
          <w:bCs/>
          <w:sz w:val="24"/>
        </w:rPr>
        <w:t>记录的</w:t>
      </w:r>
    </w:p>
    <w:p>
      <w:pPr>
        <w:spacing w:line="360" w:lineRule="auto"/>
        <w:ind w:firstLine="480" w:firstLineChars="200"/>
        <w:rPr>
          <w:rFonts w:ascii="宋体" w:hAnsi="宋体" w:cs="宋体"/>
          <w:sz w:val="24"/>
        </w:rPr>
      </w:pPr>
      <w:bookmarkStart w:id="102" w:name="_Toc23940"/>
      <w:r>
        <w:rPr>
          <w:rFonts w:hint="eastAsia" w:ascii="宋体" w:hAnsi="宋体" w:cs="宋体"/>
          <w:sz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02"/>
    </w:p>
    <w:p>
      <w:pPr>
        <w:spacing w:line="360" w:lineRule="auto"/>
        <w:rPr>
          <w:rFonts w:ascii="宋体" w:hAnsi="宋体" w:cs="宋体"/>
          <w:b/>
          <w:bCs/>
          <w:sz w:val="24"/>
        </w:rPr>
      </w:pPr>
      <w:bookmarkStart w:id="103" w:name="_Toc7123"/>
      <w:r>
        <w:rPr>
          <w:rFonts w:hint="eastAsia" w:ascii="宋体" w:hAnsi="宋体" w:cs="宋体"/>
          <w:b/>
          <w:bCs/>
          <w:sz w:val="24"/>
        </w:rPr>
        <w:t>25.成交结果</w:t>
      </w:r>
      <w:bookmarkEnd w:id="103"/>
    </w:p>
    <w:p>
      <w:pPr>
        <w:spacing w:line="360" w:lineRule="auto"/>
        <w:ind w:firstLine="480" w:firstLineChars="200"/>
        <w:rPr>
          <w:rFonts w:ascii="宋体" w:hAnsi="宋体" w:cs="宋体"/>
          <w:sz w:val="24"/>
        </w:rPr>
      </w:pPr>
      <w:bookmarkStart w:id="104" w:name="_Toc30483"/>
      <w:r>
        <w:rPr>
          <w:rFonts w:hint="eastAsia" w:ascii="宋体" w:hAnsi="宋体" w:cs="宋体"/>
          <w:sz w:val="24"/>
        </w:rPr>
        <w:t>25.1采购人确定成交供应商后，将及时书面通知采购代理机构，发出成交通知书并发布成交结果公告。</w:t>
      </w:r>
      <w:bookmarkEnd w:id="104"/>
    </w:p>
    <w:p>
      <w:pPr>
        <w:spacing w:line="360" w:lineRule="auto"/>
        <w:ind w:firstLine="480" w:firstLineChars="200"/>
        <w:rPr>
          <w:rFonts w:ascii="宋体" w:hAnsi="宋体" w:cs="宋体"/>
          <w:sz w:val="24"/>
        </w:rPr>
      </w:pPr>
      <w:r>
        <w:rPr>
          <w:rFonts w:hint="eastAsia" w:ascii="宋体" w:hAnsi="宋体" w:cs="宋体"/>
          <w:sz w:val="24"/>
        </w:rPr>
        <w:t>25.2成交供应商应当及时领取成交通知书。本项目需要交纳履约保证金的，成交供应商应当及时向采购人交纳。</w:t>
      </w:r>
    </w:p>
    <w:p>
      <w:pPr>
        <w:spacing w:line="360" w:lineRule="auto"/>
        <w:rPr>
          <w:rFonts w:ascii="宋体" w:hAnsi="宋体" w:cs="宋体"/>
          <w:b/>
          <w:bCs/>
          <w:sz w:val="24"/>
        </w:rPr>
      </w:pPr>
      <w:bookmarkStart w:id="105" w:name="_Toc27257"/>
      <w:r>
        <w:rPr>
          <w:rFonts w:hint="eastAsia" w:ascii="宋体" w:hAnsi="宋体" w:cs="宋体"/>
          <w:b/>
          <w:bCs/>
          <w:sz w:val="24"/>
        </w:rPr>
        <w:t>26.成交通知书</w:t>
      </w:r>
      <w:bookmarkEnd w:id="105"/>
    </w:p>
    <w:p>
      <w:pPr>
        <w:spacing w:line="360" w:lineRule="auto"/>
        <w:ind w:firstLine="480" w:firstLineChars="200"/>
        <w:rPr>
          <w:rFonts w:ascii="宋体" w:hAnsi="宋体" w:cs="宋体"/>
          <w:sz w:val="24"/>
        </w:rPr>
      </w:pPr>
      <w:bookmarkStart w:id="106" w:name="_Toc27078"/>
      <w:r>
        <w:rPr>
          <w:rFonts w:hint="eastAsia" w:ascii="宋体" w:hAnsi="宋体" w:cs="宋体"/>
          <w:sz w:val="24"/>
        </w:rPr>
        <w:t>26.1成交通知书为签订政府采购合同的依据之一，是合同的有效组成部分。</w:t>
      </w:r>
      <w:bookmarkEnd w:id="106"/>
    </w:p>
    <w:p>
      <w:pPr>
        <w:spacing w:line="360" w:lineRule="auto"/>
        <w:ind w:firstLine="480" w:firstLineChars="200"/>
        <w:rPr>
          <w:rFonts w:ascii="宋体" w:hAnsi="宋体" w:cs="宋体"/>
          <w:sz w:val="24"/>
        </w:rPr>
      </w:pPr>
      <w:bookmarkStart w:id="107" w:name="_Toc25746"/>
      <w:r>
        <w:rPr>
          <w:rFonts w:hint="eastAsia" w:ascii="宋体" w:hAnsi="宋体" w:cs="宋体"/>
          <w:sz w:val="24"/>
        </w:rPr>
        <w:t>26.2成交通知书对采购人和成交供应商均具有法律效力。成交通知书发出后，采购人无正当理由改变成交结果，或者成交供应商无正当理由放弃成交的，将承担相应的法律责任。</w:t>
      </w:r>
      <w:bookmarkEnd w:id="107"/>
    </w:p>
    <w:p>
      <w:pPr>
        <w:spacing w:line="360" w:lineRule="auto"/>
        <w:ind w:firstLine="480" w:firstLineChars="200"/>
        <w:rPr>
          <w:rFonts w:ascii="宋体" w:hAnsi="宋体" w:cs="宋体"/>
          <w:sz w:val="24"/>
        </w:rPr>
      </w:pPr>
      <w:bookmarkStart w:id="108" w:name="_Toc14985"/>
      <w:r>
        <w:rPr>
          <w:rFonts w:hint="eastAsia" w:ascii="宋体" w:hAnsi="宋体" w:cs="宋体"/>
          <w:sz w:val="24"/>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108"/>
    </w:p>
    <w:p>
      <w:pPr>
        <w:jc w:val="center"/>
        <w:rPr>
          <w:b/>
          <w:bCs/>
          <w:sz w:val="28"/>
          <w:szCs w:val="36"/>
        </w:rPr>
      </w:pPr>
      <w:bookmarkStart w:id="109" w:name="_Toc5183"/>
      <w:bookmarkStart w:id="110" w:name="_Toc24223"/>
      <w:r>
        <w:rPr>
          <w:rFonts w:hint="eastAsia"/>
          <w:b/>
          <w:bCs/>
          <w:sz w:val="28"/>
          <w:szCs w:val="36"/>
        </w:rPr>
        <w:t>七、合同事项</w:t>
      </w:r>
      <w:bookmarkEnd w:id="109"/>
      <w:bookmarkEnd w:id="110"/>
    </w:p>
    <w:p>
      <w:pPr>
        <w:spacing w:line="360" w:lineRule="auto"/>
        <w:rPr>
          <w:rFonts w:ascii="宋体" w:hAnsi="宋体" w:cs="宋体"/>
          <w:b/>
          <w:bCs/>
          <w:sz w:val="24"/>
        </w:rPr>
      </w:pPr>
      <w:bookmarkStart w:id="111" w:name="_Toc209847069"/>
      <w:bookmarkStart w:id="112" w:name="_Toc430773927"/>
      <w:bookmarkStart w:id="113" w:name="_Toc101338364"/>
      <w:bookmarkStart w:id="114" w:name="_Toc101174151"/>
      <w:bookmarkStart w:id="115" w:name="_Toc10296"/>
      <w:bookmarkStart w:id="116" w:name="_Toc101250646"/>
      <w:r>
        <w:rPr>
          <w:rFonts w:hint="eastAsia" w:ascii="宋体" w:hAnsi="宋体" w:cs="宋体"/>
          <w:b/>
          <w:bCs/>
          <w:sz w:val="24"/>
        </w:rPr>
        <w:t>27.签订合同</w:t>
      </w:r>
      <w:bookmarkEnd w:id="111"/>
      <w:bookmarkEnd w:id="112"/>
      <w:bookmarkEnd w:id="113"/>
      <w:bookmarkEnd w:id="114"/>
      <w:bookmarkEnd w:id="115"/>
      <w:bookmarkEnd w:id="116"/>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rPr>
          <w:rFonts w:ascii="宋体" w:hAnsi="宋体" w:cs="宋体"/>
          <w:b/>
          <w:bCs/>
          <w:sz w:val="24"/>
        </w:rPr>
      </w:pPr>
      <w:r>
        <w:rPr>
          <w:rFonts w:hint="eastAsia" w:ascii="宋体" w:hAnsi="宋体" w:cs="宋体"/>
          <w:b/>
          <w:bCs/>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根据《政府采购促进中小企业发展管理办法》（财库[2020]46号）规定的政策获取政府采购合同后，小型、微型企业不得分包或转包给大型、中型企业，中型企业不得分包或转包给大型企业。</w:t>
      </w:r>
    </w:p>
    <w:p>
      <w:pPr>
        <w:spacing w:line="360" w:lineRule="auto"/>
        <w:rPr>
          <w:rFonts w:ascii="宋体" w:hAnsi="宋体" w:cs="宋体"/>
          <w:b/>
          <w:bCs/>
          <w:sz w:val="24"/>
        </w:rPr>
      </w:pPr>
      <w:r>
        <w:rPr>
          <w:rFonts w:hint="eastAsia" w:ascii="宋体" w:hAnsi="宋体" w:cs="宋体"/>
          <w:b/>
          <w:bCs/>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rPr>
          <w:rFonts w:ascii="宋体" w:hAnsi="宋体" w:cs="宋体"/>
          <w:b/>
          <w:bCs/>
          <w:sz w:val="24"/>
        </w:rPr>
      </w:pPr>
      <w:r>
        <w:rPr>
          <w:rFonts w:hint="eastAsia" w:ascii="宋体" w:hAnsi="宋体" w:cs="宋体"/>
          <w:b/>
          <w:bCs/>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r>
        <w:rPr>
          <w:rFonts w:hint="eastAsia" w:ascii="宋体" w:hAnsi="宋体" w:cs="宋体"/>
          <w:b/>
          <w:bCs/>
          <w:sz w:val="24"/>
        </w:rPr>
        <w:t>31.履约保证金（本项目不收取）</w:t>
      </w:r>
    </w:p>
    <w:p>
      <w:pPr>
        <w:spacing w:line="360" w:lineRule="auto"/>
        <w:rPr>
          <w:rFonts w:ascii="宋体" w:hAnsi="宋体" w:cs="宋体"/>
          <w:b/>
          <w:bCs/>
          <w:sz w:val="24"/>
        </w:rPr>
      </w:pPr>
      <w:r>
        <w:rPr>
          <w:rFonts w:hint="eastAsia" w:ascii="宋体" w:hAnsi="宋体" w:cs="宋体"/>
          <w:b/>
          <w:bCs/>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cs="宋体"/>
          <w:b/>
          <w:bCs/>
          <w:sz w:val="24"/>
        </w:rPr>
      </w:pPr>
      <w:r>
        <w:rPr>
          <w:rFonts w:hint="eastAsia" w:ascii="宋体" w:hAnsi="宋体" w:cs="宋体"/>
          <w:b/>
          <w:bCs/>
          <w:sz w:val="24"/>
        </w:rPr>
        <w:t>33.合同备案</w:t>
      </w:r>
    </w:p>
    <w:p>
      <w:pPr>
        <w:spacing w:line="360" w:lineRule="auto"/>
        <w:ind w:firstLine="480" w:firstLineChars="200"/>
        <w:rPr>
          <w:rFonts w:ascii="宋体" w:hAnsi="宋体" w:cs="宋体"/>
          <w:sz w:val="24"/>
        </w:rPr>
      </w:pPr>
      <w:r>
        <w:rPr>
          <w:rFonts w:hint="eastAsia" w:ascii="宋体" w:hAnsi="宋体" w:cs="宋体"/>
          <w:sz w:val="24"/>
        </w:rPr>
        <w:t>采购人应当将政府采购合同副本自签订（双方当事人均已签字盖章）之日起7个工作日内通过四川政府采购网报同级财政部门备案。</w:t>
      </w:r>
    </w:p>
    <w:p>
      <w:pPr>
        <w:spacing w:line="360" w:lineRule="auto"/>
        <w:rPr>
          <w:rFonts w:ascii="宋体" w:hAnsi="宋体" w:cs="宋体"/>
          <w:b/>
          <w:bCs/>
          <w:sz w:val="24"/>
        </w:rPr>
      </w:pPr>
      <w:r>
        <w:rPr>
          <w:rFonts w:hint="eastAsia" w:ascii="宋体" w:hAnsi="宋体" w:cs="宋体"/>
          <w:b/>
          <w:bCs/>
          <w:sz w:val="24"/>
        </w:rPr>
        <w:t>34.履行合同</w:t>
      </w:r>
    </w:p>
    <w:p>
      <w:pPr>
        <w:spacing w:line="360" w:lineRule="auto"/>
        <w:ind w:firstLine="480" w:firstLineChars="200"/>
        <w:rPr>
          <w:rFonts w:ascii="宋体" w:hAnsi="宋体" w:cs="宋体"/>
          <w:sz w:val="24"/>
        </w:rPr>
      </w:pPr>
      <w:r>
        <w:rPr>
          <w:rFonts w:hint="eastAsia" w:ascii="宋体" w:hAnsi="宋体" w:cs="宋体"/>
          <w:sz w:val="24"/>
        </w:rPr>
        <w:t>34.1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34.2 在合同履行过程中，如发生合同纠纷，合同双方应按照《合同法》的有关规定进行处理。</w:t>
      </w:r>
    </w:p>
    <w:p>
      <w:pPr>
        <w:spacing w:line="360" w:lineRule="auto"/>
        <w:rPr>
          <w:rFonts w:ascii="宋体" w:hAnsi="宋体" w:cs="宋体"/>
          <w:b/>
          <w:bCs/>
          <w:sz w:val="24"/>
        </w:rPr>
      </w:pPr>
      <w:r>
        <w:rPr>
          <w:rFonts w:hint="eastAsia" w:ascii="宋体" w:hAnsi="宋体" w:cs="宋体"/>
          <w:b/>
          <w:bCs/>
          <w:sz w:val="24"/>
        </w:rPr>
        <w:t>35.验收标准</w:t>
      </w:r>
    </w:p>
    <w:p>
      <w:pPr>
        <w:spacing w:line="360" w:lineRule="auto"/>
        <w:ind w:firstLine="480" w:firstLineChars="200"/>
        <w:rPr>
          <w:rFonts w:hint="eastAsia" w:ascii="宋体" w:hAnsi="宋体" w:cs="宋体"/>
          <w:sz w:val="24"/>
        </w:rPr>
      </w:pPr>
      <w:r>
        <w:rPr>
          <w:rFonts w:hint="eastAsia" w:ascii="宋体" w:hAnsi="宋体" w:cs="宋体"/>
          <w:sz w:val="24"/>
        </w:rPr>
        <w:t>35.1本项目采购人及其委托的采购代理机构将严格按照《财政部关于进一步加强政府采购需求和履约验收管理的指导意见》（财库〔2016〕205号）《政府采购需求管理办法》（财库〔2021〕22号）等政府采购相关法律法规的要求进行验收。</w:t>
      </w:r>
    </w:p>
    <w:p>
      <w:pPr>
        <w:spacing w:line="360" w:lineRule="auto"/>
        <w:ind w:firstLine="480" w:firstLineChars="200"/>
        <w:rPr>
          <w:rFonts w:ascii="宋体" w:hAnsi="宋体" w:cs="宋体"/>
          <w:sz w:val="24"/>
        </w:rPr>
      </w:pPr>
      <w:r>
        <w:rPr>
          <w:rFonts w:hint="eastAsia" w:ascii="宋体" w:hAnsi="宋体" w:cs="宋体"/>
          <w:sz w:val="24"/>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jc w:val="center"/>
        <w:rPr>
          <w:b/>
          <w:bCs/>
          <w:sz w:val="28"/>
          <w:szCs w:val="36"/>
        </w:rPr>
      </w:pPr>
      <w:bookmarkStart w:id="117" w:name="_Toc18912"/>
      <w:bookmarkStart w:id="118" w:name="_Toc11563"/>
      <w:r>
        <w:rPr>
          <w:rFonts w:hint="eastAsia"/>
          <w:b/>
          <w:bCs/>
          <w:sz w:val="28"/>
          <w:szCs w:val="36"/>
        </w:rPr>
        <w:t>八、磋商纪律要求</w:t>
      </w:r>
      <w:bookmarkEnd w:id="117"/>
      <w:bookmarkEnd w:id="118"/>
    </w:p>
    <w:p>
      <w:pPr>
        <w:spacing w:line="360" w:lineRule="auto"/>
        <w:rPr>
          <w:rFonts w:ascii="宋体" w:hAnsi="宋体" w:cs="宋体"/>
          <w:sz w:val="24"/>
        </w:rPr>
      </w:pPr>
      <w:r>
        <w:rPr>
          <w:rFonts w:hint="eastAsia" w:ascii="宋体" w:hAnsi="宋体" w:cs="宋体"/>
          <w:b/>
          <w:bCs/>
          <w:sz w:val="24"/>
        </w:rPr>
        <w:t>36.供应商不得具有的情形</w:t>
      </w:r>
    </w:p>
    <w:p>
      <w:pPr>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spacing w:line="360" w:lineRule="auto"/>
        <w:ind w:firstLine="480" w:firstLineChars="200"/>
        <w:rPr>
          <w:rFonts w:ascii="宋体" w:hAnsi="宋体" w:cs="宋体"/>
          <w:sz w:val="24"/>
        </w:rPr>
      </w:pPr>
      <w:r>
        <w:rPr>
          <w:rFonts w:hint="eastAsia" w:ascii="宋体" w:hAnsi="宋体" w:cs="宋体"/>
          <w:sz w:val="24"/>
        </w:rPr>
        <w:t>（1）提供虚假材料谋取成交；</w:t>
      </w:r>
    </w:p>
    <w:p>
      <w:pPr>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spacing w:line="360" w:lineRule="auto"/>
        <w:ind w:firstLine="480" w:firstLineChars="200"/>
        <w:rPr>
          <w:rFonts w:ascii="宋体" w:hAnsi="宋体" w:cs="宋体"/>
          <w:sz w:val="24"/>
        </w:rPr>
      </w:pPr>
      <w:r>
        <w:rPr>
          <w:rFonts w:hint="eastAsia" w:ascii="宋体" w:hAnsi="宋体" w:cs="宋体"/>
          <w:sz w:val="24"/>
        </w:rPr>
        <w:t>（9）提供假冒伪劣产品；</w:t>
      </w:r>
    </w:p>
    <w:p>
      <w:pPr>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spacing w:line="360" w:lineRule="auto"/>
        <w:ind w:firstLine="480" w:firstLineChars="200"/>
        <w:rPr>
          <w:rFonts w:ascii="宋体" w:hAnsi="宋体" w:cs="宋体"/>
          <w:sz w:val="24"/>
        </w:rPr>
      </w:pPr>
      <w:r>
        <w:rPr>
          <w:rFonts w:hint="eastAsia" w:ascii="宋体" w:hAnsi="宋体" w:cs="宋体"/>
          <w:sz w:val="24"/>
        </w:rPr>
        <w:t>（12）法律法规规定的其他情形。</w:t>
      </w:r>
    </w:p>
    <w:p>
      <w:pPr>
        <w:spacing w:line="360" w:lineRule="auto"/>
        <w:ind w:firstLine="480" w:firstLineChars="200"/>
        <w:rPr>
          <w:rFonts w:ascii="宋体" w:hAnsi="宋体" w:cs="宋体"/>
          <w:b/>
          <w:color w:val="000000"/>
          <w:sz w:val="32"/>
          <w:szCs w:val="32"/>
        </w:rPr>
      </w:pPr>
      <w:r>
        <w:rPr>
          <w:rFonts w:hint="eastAsia" w:ascii="宋体" w:hAnsi="宋体" w:cs="宋体"/>
          <w:sz w:val="24"/>
        </w:rPr>
        <w:t>供应商有上述情形的，按照规定追究法律责任，具备（1）-（10）条情形之一的，同时将取消被确认为成交供应商的资格或者认定成交无效。</w:t>
      </w:r>
    </w:p>
    <w:p>
      <w:pPr>
        <w:jc w:val="center"/>
        <w:rPr>
          <w:b/>
          <w:bCs/>
          <w:sz w:val="28"/>
          <w:szCs w:val="36"/>
        </w:rPr>
      </w:pPr>
      <w:bookmarkStart w:id="119" w:name="_Toc19376"/>
      <w:r>
        <w:rPr>
          <w:rFonts w:hint="eastAsia"/>
          <w:b/>
          <w:bCs/>
          <w:sz w:val="28"/>
          <w:szCs w:val="36"/>
        </w:rPr>
        <w:t>九、询问、质疑和投诉</w:t>
      </w:r>
      <w:bookmarkEnd w:id="119"/>
    </w:p>
    <w:p>
      <w:pPr>
        <w:spacing w:line="360" w:lineRule="auto"/>
        <w:ind w:firstLine="482" w:firstLineChars="200"/>
        <w:rPr>
          <w:rFonts w:ascii="宋体" w:hAnsi="宋体" w:cs="宋体"/>
          <w:sz w:val="24"/>
        </w:rPr>
      </w:pPr>
      <w:r>
        <w:rPr>
          <w:rFonts w:hint="eastAsia" w:ascii="宋体" w:hAnsi="宋体" w:cs="宋体"/>
          <w:b/>
          <w:bCs/>
          <w:sz w:val="24"/>
        </w:rPr>
        <w:t>37.</w:t>
      </w:r>
      <w:r>
        <w:rPr>
          <w:rFonts w:hint="eastAsia" w:ascii="宋体" w:hAnsi="宋体" w:cs="宋体"/>
          <w:sz w:val="24"/>
        </w:rPr>
        <w:t>询问、质疑、投诉的接收和处理严格按照《中华人民共和国政府采购法》、《中华人民共和国政府采购法实施条例》、《政府采购竞争性磋商采购方式管理暂行办法》、《中华人民共和国财政部令第94号--政府采购质疑和投诉办法》等有关规定办理（详细规定请在四川政府采购网政策法规模块查询）。</w:t>
      </w:r>
    </w:p>
    <w:p>
      <w:pPr>
        <w:pStyle w:val="9"/>
        <w:rPr>
          <w:rFonts w:ascii="宋体" w:hAnsi="宋体" w:cs="宋体"/>
          <w:color w:val="000000"/>
          <w:sz w:val="24"/>
        </w:rPr>
      </w:pPr>
    </w:p>
    <w:p>
      <w:pPr>
        <w:jc w:val="center"/>
        <w:outlineLvl w:val="0"/>
        <w:rPr>
          <w:rFonts w:ascii="宋体" w:hAnsi="宋体" w:cs="宋体"/>
        </w:rPr>
      </w:pPr>
      <w:bookmarkStart w:id="120" w:name="_Toc12072"/>
      <w:r>
        <w:rPr>
          <w:rStyle w:val="72"/>
          <w:rFonts w:hint="eastAsia" w:ascii="宋体" w:hAnsi="宋体" w:eastAsia="宋体" w:cs="宋体"/>
        </w:rPr>
        <w:br w:type="page"/>
      </w:r>
      <w:bookmarkStart w:id="121" w:name="_Toc30650"/>
      <w:bookmarkStart w:id="122" w:name="_Toc2360"/>
      <w:r>
        <w:rPr>
          <w:rStyle w:val="72"/>
          <w:rFonts w:hint="eastAsia" w:ascii="宋体" w:hAnsi="宋体" w:eastAsia="宋体" w:cs="宋体"/>
        </w:rPr>
        <w:t>第三章</w:t>
      </w:r>
      <w:r>
        <w:rPr>
          <w:rFonts w:hint="eastAsia" w:ascii="宋体" w:hAnsi="宋体" w:cs="宋体"/>
          <w:b/>
          <w:bCs/>
          <w:color w:val="000000"/>
          <w:sz w:val="32"/>
          <w:szCs w:val="32"/>
        </w:rPr>
        <w:t xml:space="preserve"> </w:t>
      </w:r>
      <w:r>
        <w:rPr>
          <w:rStyle w:val="72"/>
          <w:rFonts w:hint="eastAsia" w:ascii="宋体" w:hAnsi="宋体" w:eastAsia="宋体" w:cs="宋体"/>
        </w:rPr>
        <w:t>供应商资格条件要求</w:t>
      </w:r>
      <w:bookmarkEnd w:id="120"/>
      <w:bookmarkEnd w:id="121"/>
      <w:bookmarkEnd w:id="122"/>
    </w:p>
    <w:p>
      <w:pPr>
        <w:spacing w:line="360" w:lineRule="auto"/>
        <w:rPr>
          <w:rFonts w:ascii="宋体" w:hAnsi="宋体" w:cs="宋体"/>
          <w:b/>
          <w:bCs/>
          <w:color w:val="000000"/>
          <w:sz w:val="24"/>
          <w:szCs w:val="32"/>
          <w:lang w:val="zh-CN"/>
        </w:rPr>
      </w:pPr>
      <w:r>
        <w:rPr>
          <w:rFonts w:hint="eastAsia" w:ascii="宋体" w:hAnsi="宋体" w:cs="宋体"/>
          <w:b/>
          <w:bCs/>
          <w:color w:val="000000"/>
          <w:sz w:val="24"/>
          <w:szCs w:val="32"/>
          <w:lang w:val="zh-CN"/>
        </w:rPr>
        <w:t>（一）</w:t>
      </w:r>
      <w:r>
        <w:rPr>
          <w:rFonts w:hint="eastAsia" w:ascii="宋体" w:hAnsi="宋体" w:cs="宋体"/>
          <w:b/>
          <w:bCs/>
          <w:color w:val="000000"/>
          <w:sz w:val="24"/>
        </w:rPr>
        <w:t>供应商</w:t>
      </w:r>
      <w:r>
        <w:rPr>
          <w:rFonts w:hint="eastAsia" w:ascii="宋体" w:hAnsi="宋体" w:cs="宋体"/>
          <w:b/>
          <w:bCs/>
          <w:color w:val="000000"/>
          <w:sz w:val="24"/>
          <w:szCs w:val="32"/>
          <w:lang w:val="zh-CN"/>
        </w:rPr>
        <w:t>的申请资格条件：</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1.具有独立承担民事责任的能力；</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2.具有良好的商业信誉和健全的财务会计制度；</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3.具有履行合同所必需的设备和专业技术能力；</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4.具有依法缴纳税收和社会保障资金的良好记录；</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5.参加此项采购活动前三年内，在经营活动中没有重大违法记录；</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6.法律、行政法规规定的其他条件：</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rPr>
        <w:t>6.</w:t>
      </w:r>
      <w:r>
        <w:rPr>
          <w:rFonts w:hint="eastAsia" w:ascii="宋体" w:hAnsi="宋体" w:cs="宋体"/>
          <w:color w:val="000000"/>
          <w:sz w:val="24"/>
          <w:szCs w:val="32"/>
          <w:lang w:val="zh-CN"/>
        </w:rPr>
        <w:t>1投标人及其现任法定代表人、主要负责人在参加本项目政府采购活动前三年无行贿犯罪记录。</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rPr>
        <w:t>6.2</w:t>
      </w:r>
      <w:r>
        <w:rPr>
          <w:rFonts w:hint="eastAsia" w:ascii="宋体" w:hAnsi="宋体" w:cs="宋体"/>
          <w:color w:val="000000"/>
          <w:sz w:val="24"/>
          <w:szCs w:val="32"/>
          <w:lang w:val="zh-CN"/>
        </w:rPr>
        <w:t>投标人须提供“截至投标截止日未被列入失信被执行人、重大税收违法案件当事人名单、政府采购严重违法失信行为记录名单的承诺函”。</w:t>
      </w:r>
    </w:p>
    <w:p>
      <w:pPr>
        <w:spacing w:line="360" w:lineRule="auto"/>
        <w:ind w:firstLine="482" w:firstLineChars="200"/>
        <w:rPr>
          <w:rFonts w:ascii="宋体" w:hAnsi="宋体" w:cs="宋体"/>
          <w:b/>
          <w:bCs/>
          <w:color w:val="000000"/>
          <w:sz w:val="24"/>
          <w:szCs w:val="32"/>
          <w:lang w:val="zh-CN"/>
        </w:rPr>
      </w:pPr>
      <w:r>
        <w:rPr>
          <w:rFonts w:hint="eastAsia" w:ascii="宋体" w:hAnsi="宋体" w:cs="宋体"/>
          <w:b/>
          <w:bCs/>
          <w:color w:val="000000"/>
          <w:sz w:val="24"/>
          <w:szCs w:val="32"/>
          <w:lang w:val="zh-CN"/>
        </w:rPr>
        <w:t>注：招标人或招标代理机构将于本项目投标截止日在‘信用中国’网站、 ‘中国政府采购网’网站等渠道对投标人进行信用记录查询，并将查询记录存档。凡被列入失信被执行人、重大税收违法案件当事人名单、政府采购严重违法失信行为记录名单的，视为存在不良信用记录，参与本项目的将被拒绝。</w:t>
      </w:r>
    </w:p>
    <w:p>
      <w:pPr>
        <w:spacing w:line="360" w:lineRule="auto"/>
        <w:rPr>
          <w:rFonts w:ascii="宋体" w:hAnsi="宋体" w:cs="宋体"/>
          <w:b/>
          <w:bCs/>
          <w:color w:val="000000"/>
          <w:sz w:val="24"/>
          <w:szCs w:val="32"/>
          <w:lang w:val="zh-CN"/>
        </w:rPr>
      </w:pPr>
      <w:r>
        <w:rPr>
          <w:rFonts w:hint="eastAsia" w:ascii="宋体" w:hAnsi="宋体" w:cs="宋体"/>
          <w:b/>
          <w:bCs/>
          <w:color w:val="000000"/>
          <w:sz w:val="24"/>
          <w:szCs w:val="32"/>
          <w:lang w:val="zh-CN"/>
        </w:rPr>
        <w:t>（二）落实政府采购政策需满足的资格要求：</w:t>
      </w:r>
    </w:p>
    <w:p>
      <w:pPr>
        <w:pStyle w:val="67"/>
        <w:ind w:firstLine="480"/>
        <w:rPr>
          <w:rFonts w:ascii="宋体" w:hAnsi="宋体" w:cs="宋体"/>
          <w:bCs/>
          <w:color w:val="000000"/>
          <w:sz w:val="24"/>
        </w:rPr>
      </w:pPr>
      <w:r>
        <w:rPr>
          <w:rFonts w:hint="eastAsia" w:ascii="宋体" w:hAnsi="宋体" w:cs="宋体"/>
          <w:bCs/>
          <w:color w:val="000000"/>
          <w:sz w:val="24"/>
        </w:rPr>
        <w:t>本项目为专门面向中小企业采购项目，供应商必须为中小企业/小微企业（监狱企业、残疾人福利企业视为中小企业/小微企业）。</w:t>
      </w:r>
    </w:p>
    <w:p>
      <w:pPr>
        <w:pStyle w:val="67"/>
        <w:ind w:firstLine="0" w:firstLineChars="0"/>
        <w:rPr>
          <w:rFonts w:ascii="宋体" w:hAnsi="宋体" w:cs="宋体"/>
          <w:b/>
          <w:color w:val="000000"/>
          <w:sz w:val="24"/>
        </w:rPr>
      </w:pPr>
      <w:r>
        <w:rPr>
          <w:rFonts w:hint="eastAsia" w:ascii="宋体" w:hAnsi="宋体" w:cs="宋体"/>
          <w:b/>
          <w:color w:val="000000"/>
          <w:sz w:val="24"/>
        </w:rPr>
        <w:t>（三）本项目的特定资格要求：</w:t>
      </w:r>
    </w:p>
    <w:p>
      <w:pPr>
        <w:pStyle w:val="67"/>
        <w:ind w:firstLine="480"/>
        <w:rPr>
          <w:rFonts w:ascii="宋体" w:hAnsi="宋体" w:cs="宋体"/>
          <w:b/>
          <w:bCs/>
          <w:color w:val="000000"/>
          <w:sz w:val="24"/>
        </w:rPr>
      </w:pPr>
      <w:r>
        <w:rPr>
          <w:rFonts w:hint="eastAsia" w:ascii="宋体" w:hAnsi="宋体" w:cs="宋体"/>
          <w:sz w:val="24"/>
        </w:rPr>
        <w:t>供应商须具备省级及以上行政主管部门颁发的CMA检验检测机构资质认定证书。</w:t>
      </w:r>
    </w:p>
    <w:p>
      <w:pPr>
        <w:pStyle w:val="67"/>
        <w:ind w:firstLine="0" w:firstLineChars="0"/>
        <w:rPr>
          <w:rFonts w:ascii="宋体" w:hAnsi="宋体" w:cs="宋体"/>
          <w:b/>
          <w:bCs/>
          <w:color w:val="000000"/>
          <w:sz w:val="24"/>
        </w:rPr>
      </w:pPr>
      <w:r>
        <w:rPr>
          <w:rFonts w:hint="eastAsia" w:ascii="宋体" w:hAnsi="宋体" w:cs="宋体"/>
          <w:b/>
          <w:bCs/>
          <w:color w:val="000000"/>
          <w:sz w:val="24"/>
        </w:rPr>
        <w:t>（四）本项目不接受联合体参与采购活动。</w:t>
      </w:r>
    </w:p>
    <w:p>
      <w:pPr>
        <w:spacing w:line="360" w:lineRule="auto"/>
        <w:rPr>
          <w:rFonts w:ascii="宋体" w:hAnsi="宋体" w:cs="宋体"/>
          <w:b/>
          <w:bCs/>
          <w:color w:val="000000"/>
          <w:sz w:val="24"/>
          <w:szCs w:val="32"/>
        </w:rPr>
      </w:pPr>
      <w:r>
        <w:rPr>
          <w:rFonts w:hint="eastAsia" w:ascii="宋体" w:hAnsi="宋体" w:cs="宋体"/>
          <w:b/>
          <w:bCs/>
          <w:color w:val="000000"/>
          <w:sz w:val="24"/>
          <w:szCs w:val="32"/>
        </w:rPr>
        <w:t>注：</w:t>
      </w:r>
    </w:p>
    <w:p>
      <w:pPr>
        <w:spacing w:line="360" w:lineRule="auto"/>
        <w:ind w:firstLine="482" w:firstLineChars="200"/>
        <w:rPr>
          <w:rFonts w:ascii="宋体" w:hAnsi="宋体" w:cs="宋体"/>
          <w:b/>
          <w:bCs/>
          <w:color w:val="000000"/>
          <w:sz w:val="24"/>
          <w:szCs w:val="32"/>
        </w:rPr>
      </w:pPr>
      <w:r>
        <w:rPr>
          <w:rFonts w:hint="eastAsia" w:ascii="宋体" w:hAnsi="宋体" w:cs="宋体"/>
          <w:b/>
          <w:bCs/>
          <w:color w:val="000000"/>
          <w:sz w:val="24"/>
          <w:szCs w:val="32"/>
        </w:rPr>
        <w:t>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50000元。</w:t>
      </w:r>
    </w:p>
    <w:p>
      <w:pPr>
        <w:numPr>
          <w:ilvl w:val="0"/>
          <w:numId w:val="3"/>
        </w:numPr>
        <w:spacing w:line="360" w:lineRule="auto"/>
        <w:ind w:firstLine="482" w:firstLineChars="200"/>
        <w:rPr>
          <w:rFonts w:ascii="宋体" w:hAnsi="宋体" w:cs="宋体"/>
          <w:b/>
          <w:bCs/>
          <w:color w:val="000000"/>
          <w:sz w:val="24"/>
          <w:szCs w:val="32"/>
        </w:rPr>
      </w:pPr>
      <w:r>
        <w:rPr>
          <w:rFonts w:hint="eastAsia" w:ascii="宋体" w:hAnsi="宋体" w:cs="宋体"/>
          <w:b/>
          <w:bCs/>
          <w:color w:val="000000"/>
          <w:sz w:val="24"/>
          <w:szCs w:val="32"/>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宋体" w:hAnsi="宋体" w:cs="宋体"/>
        </w:rPr>
      </w:pPr>
    </w:p>
    <w:p>
      <w:pPr>
        <w:pStyle w:val="67"/>
        <w:ind w:firstLine="480"/>
        <w:rPr>
          <w:rFonts w:ascii="宋体" w:hAnsi="宋体" w:cs="宋体"/>
          <w:color w:val="000000"/>
          <w:sz w:val="24"/>
        </w:rPr>
      </w:pPr>
    </w:p>
    <w:p>
      <w:pPr>
        <w:pStyle w:val="67"/>
        <w:ind w:firstLine="480"/>
        <w:rPr>
          <w:rFonts w:ascii="宋体" w:hAnsi="宋体" w:cs="宋体"/>
          <w:color w:val="000000"/>
          <w:sz w:val="24"/>
        </w:rPr>
      </w:pPr>
    </w:p>
    <w:p>
      <w:pPr>
        <w:pStyle w:val="67"/>
        <w:ind w:firstLine="480"/>
        <w:rPr>
          <w:rFonts w:ascii="宋体" w:hAnsi="宋体" w:cs="宋体"/>
          <w:color w:val="000000"/>
          <w:sz w:val="24"/>
        </w:rPr>
      </w:pPr>
    </w:p>
    <w:p>
      <w:pPr>
        <w:pStyle w:val="67"/>
        <w:ind w:firstLine="480"/>
        <w:rPr>
          <w:rFonts w:ascii="宋体" w:hAnsi="宋体" w:cs="宋体"/>
          <w:color w:val="000000"/>
          <w:sz w:val="24"/>
        </w:rPr>
      </w:pPr>
    </w:p>
    <w:p>
      <w:pPr>
        <w:pStyle w:val="67"/>
        <w:ind w:firstLine="480"/>
        <w:rPr>
          <w:rFonts w:ascii="宋体" w:hAnsi="宋体" w:cs="宋体"/>
          <w:color w:val="000000"/>
          <w:sz w:val="24"/>
        </w:rPr>
      </w:pPr>
    </w:p>
    <w:p>
      <w:pPr>
        <w:pStyle w:val="67"/>
        <w:ind w:firstLine="480"/>
        <w:rPr>
          <w:rFonts w:ascii="宋体" w:hAnsi="宋体" w:cs="宋体"/>
          <w:color w:val="000000"/>
          <w:sz w:val="24"/>
        </w:rPr>
      </w:pPr>
    </w:p>
    <w:p>
      <w:pPr>
        <w:pStyle w:val="67"/>
        <w:ind w:firstLine="0" w:firstLineChars="0"/>
        <w:rPr>
          <w:rFonts w:ascii="宋体" w:hAnsi="宋体" w:cs="宋体"/>
          <w:color w:val="000000"/>
          <w:sz w:val="24"/>
        </w:rPr>
      </w:pPr>
    </w:p>
    <w:p>
      <w:pPr>
        <w:pStyle w:val="4"/>
        <w:numPr>
          <w:ilvl w:val="0"/>
          <w:numId w:val="4"/>
        </w:numPr>
        <w:jc w:val="center"/>
        <w:rPr>
          <w:rFonts w:ascii="宋体" w:hAnsi="宋体" w:eastAsia="宋体" w:cs="宋体"/>
          <w:color w:val="000000"/>
        </w:rPr>
      </w:pPr>
      <w:bookmarkStart w:id="123" w:name="_Toc15457"/>
      <w:r>
        <w:rPr>
          <w:rFonts w:hint="eastAsia" w:ascii="宋体" w:hAnsi="宋体" w:eastAsia="宋体" w:cs="宋体"/>
          <w:color w:val="000000"/>
        </w:rPr>
        <w:br w:type="page"/>
      </w:r>
      <w:bookmarkStart w:id="124" w:name="_Toc10903"/>
      <w:bookmarkStart w:id="125" w:name="_Toc27415"/>
      <w:r>
        <w:rPr>
          <w:rFonts w:hint="eastAsia" w:ascii="宋体" w:hAnsi="宋体" w:eastAsia="宋体" w:cs="宋体"/>
          <w:color w:val="000000"/>
        </w:rPr>
        <w:t>供应商资格证明材料</w:t>
      </w:r>
      <w:bookmarkEnd w:id="123"/>
      <w:bookmarkEnd w:id="124"/>
      <w:bookmarkEnd w:id="125"/>
    </w:p>
    <w:p>
      <w:pPr>
        <w:spacing w:line="360" w:lineRule="auto"/>
        <w:rPr>
          <w:rFonts w:ascii="宋体" w:hAnsi="宋体" w:cs="宋体"/>
          <w:b/>
          <w:bCs/>
          <w:color w:val="000000"/>
          <w:sz w:val="24"/>
          <w:szCs w:val="32"/>
          <w:lang w:val="zh-CN"/>
        </w:rPr>
      </w:pPr>
      <w:bookmarkStart w:id="126" w:name="_Toc18969"/>
      <w:bookmarkStart w:id="127" w:name="_Toc18870"/>
      <w:bookmarkStart w:id="128" w:name="_Toc19522"/>
      <w:r>
        <w:rPr>
          <w:rFonts w:hint="eastAsia" w:ascii="宋体" w:hAnsi="宋体" w:cs="宋体"/>
          <w:b/>
          <w:bCs/>
          <w:color w:val="000000"/>
          <w:sz w:val="24"/>
          <w:szCs w:val="32"/>
          <w:lang w:val="zh-CN"/>
        </w:rPr>
        <w:t>（一）供应商应当提供的资质性及其他类似效力要求的相关证明材料：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spacing w:line="360" w:lineRule="auto"/>
        <w:ind w:firstLine="480" w:firstLineChars="200"/>
        <w:rPr>
          <w:rFonts w:ascii="宋体" w:hAnsi="宋体" w:cs="宋体"/>
          <w:color w:val="000000"/>
          <w:sz w:val="24"/>
        </w:rPr>
      </w:pPr>
      <w:r>
        <w:rPr>
          <w:rFonts w:hint="eastAsia" w:ascii="宋体" w:hAnsi="宋体" w:cs="宋体"/>
          <w:color w:val="000000"/>
          <w:sz w:val="24"/>
          <w:lang w:val="zh-CN"/>
        </w:rPr>
        <w:t>企业提供营业执照副本复印件，事业单位提供事业单位法人证书复印件，其他组织提供营业执照等证明文件复印件，自然人提供身份证明复印件</w:t>
      </w:r>
      <w:r>
        <w:rPr>
          <w:rFonts w:hint="eastAsia" w:ascii="宋体" w:hAnsi="宋体" w:cs="宋体"/>
          <w:color w:val="000000"/>
          <w:sz w:val="24"/>
        </w:rPr>
        <w:t>加盖单位电子印章。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2.具有良好的商业信誉和健全的财务会计制度：</w:t>
      </w:r>
    </w:p>
    <w:p>
      <w:pPr>
        <w:spacing w:line="360" w:lineRule="auto"/>
        <w:ind w:firstLine="480" w:firstLineChars="200"/>
        <w:rPr>
          <w:rFonts w:ascii="宋体" w:hAnsi="宋体" w:cs="宋体"/>
          <w:sz w:val="24"/>
          <w:szCs w:val="32"/>
        </w:rPr>
      </w:pPr>
      <w:r>
        <w:rPr>
          <w:rFonts w:hint="eastAsia" w:ascii="宋体" w:hAnsi="宋体" w:cs="宋体"/>
          <w:sz w:val="24"/>
          <w:szCs w:val="32"/>
        </w:rPr>
        <w:t>（1）可提供2019年度或2020年度经审计的财务报告【复印件】；（包含审计报告和审计报告中所涉及的财务报表和报表附注）</w:t>
      </w:r>
    </w:p>
    <w:p>
      <w:pPr>
        <w:spacing w:line="360" w:lineRule="auto"/>
        <w:ind w:firstLine="480" w:firstLineChars="200"/>
        <w:rPr>
          <w:rFonts w:ascii="宋体" w:hAnsi="宋体" w:cs="宋体"/>
          <w:sz w:val="24"/>
          <w:szCs w:val="32"/>
        </w:rPr>
      </w:pPr>
      <w:r>
        <w:rPr>
          <w:rFonts w:hint="eastAsia" w:ascii="宋体" w:hAnsi="宋体" w:cs="宋体"/>
          <w:sz w:val="24"/>
          <w:szCs w:val="32"/>
        </w:rPr>
        <w:t>（2）可提供2019年度或2020年度内部的财务报表复印件(至少包含资产负债表)【复印件】；</w:t>
      </w:r>
    </w:p>
    <w:p>
      <w:pPr>
        <w:spacing w:line="360" w:lineRule="auto"/>
        <w:ind w:firstLine="480" w:firstLineChars="200"/>
        <w:rPr>
          <w:rFonts w:ascii="宋体" w:hAnsi="宋体" w:cs="宋体"/>
          <w:sz w:val="24"/>
          <w:szCs w:val="32"/>
        </w:rPr>
      </w:pPr>
      <w:r>
        <w:rPr>
          <w:rFonts w:hint="eastAsia" w:ascii="宋体" w:hAnsi="宋体" w:cs="宋体"/>
          <w:sz w:val="24"/>
          <w:szCs w:val="32"/>
        </w:rPr>
        <w:t>（3）可提供距响应文件递交截止日一年内银行出具的资信证明【复印件】；</w:t>
      </w:r>
    </w:p>
    <w:p>
      <w:pPr>
        <w:spacing w:line="360" w:lineRule="auto"/>
        <w:ind w:firstLine="480" w:firstLineChars="200"/>
        <w:rPr>
          <w:rFonts w:ascii="宋体" w:hAnsi="宋体" w:cs="宋体"/>
          <w:sz w:val="24"/>
          <w:szCs w:val="32"/>
        </w:rPr>
      </w:pPr>
      <w:r>
        <w:rPr>
          <w:rFonts w:hint="eastAsia" w:ascii="宋体" w:hAnsi="宋体" w:cs="宋体"/>
          <w:sz w:val="24"/>
          <w:szCs w:val="32"/>
        </w:rPr>
        <w:t>（4）供应商注册时间至响应文件递交截止日不足一年的，也可提供在工商备案的公司章程；</w:t>
      </w:r>
    </w:p>
    <w:p>
      <w:pPr>
        <w:spacing w:line="360" w:lineRule="auto"/>
        <w:ind w:firstLine="480" w:firstLineChars="200"/>
        <w:rPr>
          <w:rFonts w:ascii="宋体" w:hAnsi="宋体" w:cs="宋体"/>
          <w:sz w:val="24"/>
          <w:szCs w:val="32"/>
        </w:rPr>
      </w:pPr>
      <w:r>
        <w:rPr>
          <w:rFonts w:hint="eastAsia" w:ascii="宋体" w:hAnsi="宋体" w:cs="宋体"/>
          <w:sz w:val="24"/>
          <w:szCs w:val="32"/>
        </w:rPr>
        <w:t>（5）供应商为事业单位、大型国有企业或其他组织(不具备法人条件的组织，如合伙组织、个体工商户、农村承包经营户等)或自然人时，可提供承诺函【原件】。</w:t>
      </w:r>
    </w:p>
    <w:p>
      <w:pPr>
        <w:spacing w:line="360" w:lineRule="auto"/>
        <w:rPr>
          <w:rFonts w:ascii="宋体" w:hAnsi="宋体" w:cs="宋体"/>
          <w:sz w:val="24"/>
          <w:szCs w:val="32"/>
          <w:lang w:val="zh-CN"/>
        </w:rPr>
      </w:pPr>
      <w:r>
        <w:rPr>
          <w:rFonts w:hint="eastAsia" w:ascii="宋体" w:hAnsi="宋体" w:cs="宋体"/>
          <w:b/>
          <w:bCs/>
          <w:sz w:val="24"/>
          <w:szCs w:val="32"/>
        </w:rPr>
        <w:t>注：以上（1）（2）（3）（4）（5）项具有同等的效力，提供任一项均可。</w:t>
      </w:r>
    </w:p>
    <w:p>
      <w:pPr>
        <w:spacing w:line="360" w:lineRule="auto"/>
        <w:ind w:firstLine="480" w:firstLineChars="200"/>
        <w:rPr>
          <w:rFonts w:ascii="宋体" w:hAnsi="宋体" w:cs="宋体"/>
          <w:color w:val="000000"/>
          <w:sz w:val="24"/>
        </w:rPr>
      </w:pPr>
      <w:r>
        <w:rPr>
          <w:rFonts w:hint="eastAsia" w:ascii="宋体" w:hAnsi="宋体" w:cs="宋体"/>
          <w:color w:val="000000"/>
          <w:sz w:val="24"/>
        </w:rPr>
        <w:t>3.提供具有履行合同所必需的设备和专业技术能力的承诺函或其他证明材料。</w:t>
      </w:r>
    </w:p>
    <w:p>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4.</w:t>
      </w:r>
      <w:r>
        <w:rPr>
          <w:rFonts w:hint="eastAsia" w:ascii="宋体" w:hAnsi="宋体" w:cs="宋体"/>
          <w:color w:val="000000"/>
          <w:sz w:val="24"/>
        </w:rPr>
        <w:t>提供具有依法缴纳税收和社会保障资金的良好记录：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（1）投标人提供2021年1月1日以后任意一个月的缴纳税收的银行电子回单或者税务部门出具的纳税证明或完税证明【复印件】或自行提供承诺函【</w:t>
      </w:r>
      <w:r>
        <w:rPr>
          <w:rFonts w:hint="eastAsia" w:ascii="宋体" w:hAnsi="宋体" w:cs="宋体"/>
          <w:b/>
          <w:bCs/>
          <w:color w:val="000000"/>
          <w:sz w:val="24"/>
        </w:rPr>
        <w:t>原件</w:t>
      </w:r>
      <w:r>
        <w:rPr>
          <w:rFonts w:hint="eastAsia" w:ascii="宋体" w:hAnsi="宋体" w:cs="宋体"/>
          <w:color w:val="000000"/>
          <w:sz w:val="24"/>
        </w:rPr>
        <w:t>】。</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（2）投标人提供社保部门出具的2021年1月1日以后任意一个月社保缴纳的证明材料（注：1.缴纳的银行电子回单或以社保部门出具的为准；2.复印件）或自行提供承诺函。</w:t>
      </w:r>
    </w:p>
    <w:p>
      <w:pPr>
        <w:spacing w:line="360" w:lineRule="auto"/>
        <w:ind w:firstLine="482" w:firstLineChars="200"/>
        <w:rPr>
          <w:rFonts w:ascii="宋体" w:hAnsi="宋体" w:cs="宋体"/>
          <w:color w:val="000000"/>
          <w:sz w:val="24"/>
        </w:rPr>
      </w:pPr>
      <w:r>
        <w:rPr>
          <w:rFonts w:hint="eastAsia" w:ascii="宋体" w:hAnsi="宋体" w:cs="宋体"/>
          <w:b/>
          <w:bCs/>
          <w:sz w:val="24"/>
        </w:rPr>
        <w:t>注：依法免税或不需要缴纳社会保障资金的供应商，应提供相应文件证明其依法免税或不需要缴纳社会保障资金。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5.提供参加此项采购活动前三年内，在经营活动中没有重大违法记录承诺函【原件】。</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lang w:val="zh-CN"/>
        </w:rPr>
        <w:t>6.法律、行政法规规定的其他条件：</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rPr>
        <w:t>6.1提供</w:t>
      </w:r>
      <w:r>
        <w:rPr>
          <w:rFonts w:hint="eastAsia" w:ascii="宋体" w:hAnsi="宋体" w:cs="宋体"/>
          <w:color w:val="000000"/>
          <w:sz w:val="24"/>
          <w:szCs w:val="32"/>
          <w:lang w:val="zh-CN"/>
        </w:rPr>
        <w:t>投标人及其现任法定代表人、主要负责人在参加本项目政府采购活动前三年无行贿犯罪记录的</w:t>
      </w:r>
      <w:r>
        <w:rPr>
          <w:rFonts w:hint="eastAsia" w:ascii="宋体" w:hAnsi="宋体" w:cs="宋体"/>
          <w:color w:val="000000"/>
          <w:sz w:val="24"/>
        </w:rPr>
        <w:t>承诺函【原件】</w:t>
      </w:r>
      <w:r>
        <w:rPr>
          <w:rFonts w:hint="eastAsia" w:ascii="宋体" w:hAnsi="宋体" w:cs="宋体"/>
          <w:color w:val="000000"/>
          <w:sz w:val="24"/>
          <w:szCs w:val="32"/>
          <w:lang w:val="zh-CN"/>
        </w:rPr>
        <w:t>。</w:t>
      </w:r>
    </w:p>
    <w:p>
      <w:pPr>
        <w:spacing w:line="360" w:lineRule="auto"/>
        <w:ind w:firstLine="480" w:firstLineChars="200"/>
        <w:rPr>
          <w:rFonts w:ascii="宋体" w:hAnsi="宋体" w:cs="宋体"/>
          <w:color w:val="000000"/>
          <w:sz w:val="24"/>
          <w:szCs w:val="32"/>
          <w:lang w:val="zh-CN"/>
        </w:rPr>
      </w:pPr>
      <w:r>
        <w:rPr>
          <w:rFonts w:hint="eastAsia" w:ascii="宋体" w:hAnsi="宋体" w:cs="宋体"/>
          <w:color w:val="000000"/>
          <w:sz w:val="24"/>
          <w:szCs w:val="32"/>
        </w:rPr>
        <w:t>6.2</w:t>
      </w:r>
      <w:r>
        <w:rPr>
          <w:rFonts w:hint="eastAsia" w:ascii="宋体" w:hAnsi="宋体" w:cs="宋体"/>
          <w:color w:val="000000"/>
          <w:sz w:val="24"/>
          <w:szCs w:val="32"/>
          <w:lang w:val="zh-CN"/>
        </w:rPr>
        <w:t>投标人须提供“截至投标截止日未被列入失信被执行人、重大税收违法案件当事人名单、政府采购严重违法失信行为记录名单的承诺函</w:t>
      </w:r>
      <w:r>
        <w:rPr>
          <w:rFonts w:hint="eastAsia" w:ascii="宋体" w:hAnsi="宋体" w:cs="宋体"/>
          <w:color w:val="000000"/>
          <w:sz w:val="24"/>
        </w:rPr>
        <w:t>【原件】</w:t>
      </w:r>
      <w:r>
        <w:rPr>
          <w:rFonts w:hint="eastAsia" w:ascii="宋体" w:hAnsi="宋体" w:cs="宋体"/>
          <w:color w:val="000000"/>
          <w:sz w:val="24"/>
          <w:szCs w:val="32"/>
          <w:lang w:val="zh-CN"/>
        </w:rPr>
        <w:t>”。</w:t>
      </w:r>
    </w:p>
    <w:p>
      <w:pPr>
        <w:spacing w:line="360" w:lineRule="auto"/>
        <w:ind w:firstLine="482" w:firstLineChars="200"/>
        <w:rPr>
          <w:rFonts w:ascii="宋体" w:hAnsi="宋体" w:cs="宋体"/>
          <w:color w:val="000000"/>
          <w:sz w:val="24"/>
        </w:rPr>
      </w:pPr>
      <w:r>
        <w:rPr>
          <w:rFonts w:hint="eastAsia" w:ascii="宋体" w:hAnsi="宋体" w:cs="宋体"/>
          <w:b/>
          <w:bCs/>
          <w:color w:val="000000"/>
          <w:sz w:val="24"/>
          <w:szCs w:val="32"/>
        </w:rPr>
        <w:t>注：招标人或招标代理机构将于本项目投标截止日在‘信用中国’网站、 ‘中国政府采购网’网站等渠道对投标人进行信用记录查询，并将查询记录存档。凡被列入失信被执行人、重大税收违法案件当事人名单、政府采购严重违法失信行为记录名单的，视为存在不良信用记录，参与本项目的将被拒绝。</w:t>
      </w:r>
    </w:p>
    <w:p>
      <w:pPr>
        <w:spacing w:line="360" w:lineRule="auto"/>
        <w:rPr>
          <w:rFonts w:ascii="宋体" w:hAnsi="宋体" w:cs="宋体"/>
          <w:b/>
          <w:bCs/>
          <w:color w:val="000000"/>
          <w:sz w:val="24"/>
          <w:szCs w:val="32"/>
          <w:lang w:val="zh-CN"/>
        </w:rPr>
      </w:pPr>
      <w:r>
        <w:rPr>
          <w:rFonts w:hint="eastAsia" w:ascii="宋体" w:hAnsi="宋体" w:cs="宋体"/>
          <w:b/>
          <w:bCs/>
          <w:color w:val="000000"/>
          <w:sz w:val="24"/>
          <w:szCs w:val="32"/>
          <w:lang w:val="zh-CN"/>
        </w:rPr>
        <w:t>（二）落实政府采购政策需满足的资格要求：</w:t>
      </w:r>
    </w:p>
    <w:p>
      <w:pPr>
        <w:pStyle w:val="67"/>
        <w:ind w:firstLine="480"/>
        <w:rPr>
          <w:rFonts w:ascii="宋体" w:hAnsi="宋体" w:cs="宋体"/>
          <w:color w:val="000000"/>
          <w:sz w:val="24"/>
        </w:rPr>
      </w:pPr>
      <w:r>
        <w:rPr>
          <w:rFonts w:hint="eastAsia" w:ascii="宋体" w:hAnsi="宋体" w:cs="宋体"/>
          <w:bCs/>
          <w:color w:val="000000"/>
          <w:sz w:val="24"/>
        </w:rPr>
        <w:t>本项目为专门面向中小企业采购项目，供应商必须为中小企业/小微企业（监狱企业、残疾人福利企业视为中小企业/小微企业）。</w:t>
      </w:r>
      <w:r>
        <w:rPr>
          <w:rFonts w:hint="eastAsia" w:ascii="宋体" w:hAnsi="宋体" w:cs="宋体"/>
          <w:color w:val="000000"/>
          <w:sz w:val="24"/>
        </w:rPr>
        <w:t>【提供承诺函原件】</w:t>
      </w:r>
    </w:p>
    <w:bookmarkEnd w:id="126"/>
    <w:bookmarkEnd w:id="127"/>
    <w:bookmarkEnd w:id="128"/>
    <w:p>
      <w:pPr>
        <w:spacing w:line="360" w:lineRule="auto"/>
        <w:rPr>
          <w:rFonts w:ascii="宋体" w:hAnsi="宋体" w:cs="宋体"/>
          <w:b/>
          <w:bCs/>
          <w:color w:val="000000"/>
          <w:sz w:val="24"/>
        </w:rPr>
      </w:pPr>
      <w:r>
        <w:rPr>
          <w:rFonts w:hint="eastAsia" w:ascii="宋体" w:hAnsi="宋体" w:cs="宋体"/>
          <w:b/>
          <w:bCs/>
          <w:color w:val="000000"/>
          <w:sz w:val="24"/>
        </w:rPr>
        <w:t>（三）本项目的特定资格要求应当提供的相关证明材料：</w:t>
      </w:r>
    </w:p>
    <w:p>
      <w:pPr>
        <w:spacing w:line="360" w:lineRule="auto"/>
        <w:ind w:firstLine="480" w:firstLineChars="200"/>
        <w:rPr>
          <w:rFonts w:ascii="宋体" w:hAnsi="宋体" w:cs="宋体"/>
          <w:sz w:val="24"/>
        </w:rPr>
      </w:pPr>
      <w:r>
        <w:rPr>
          <w:rFonts w:hint="eastAsia" w:ascii="宋体" w:hAnsi="宋体" w:cs="宋体"/>
          <w:sz w:val="24"/>
        </w:rPr>
        <w:t>供应商须具备省级及以上行政主管部门颁发的CMA检验检测机构资质认定证书。</w:t>
      </w:r>
      <w:r>
        <w:rPr>
          <w:rFonts w:hint="eastAsia" w:ascii="宋体" w:hAnsi="宋体" w:cs="宋体"/>
          <w:color w:val="000000"/>
          <w:sz w:val="24"/>
        </w:rPr>
        <w:t>【</w:t>
      </w:r>
      <w:r>
        <w:rPr>
          <w:rFonts w:hint="eastAsia" w:ascii="宋体" w:hAnsi="宋体" w:cs="宋体"/>
          <w:sz w:val="24"/>
        </w:rPr>
        <w:t>提供复印件并加盖公章</w:t>
      </w:r>
      <w:r>
        <w:rPr>
          <w:rFonts w:hint="eastAsia" w:ascii="宋体" w:hAnsi="宋体" w:cs="宋体"/>
          <w:color w:val="000000"/>
          <w:sz w:val="24"/>
        </w:rPr>
        <w:t>】</w:t>
      </w:r>
    </w:p>
    <w:p>
      <w:pPr>
        <w:spacing w:line="360" w:lineRule="auto"/>
        <w:rPr>
          <w:rFonts w:ascii="宋体" w:hAnsi="宋体" w:cs="宋体"/>
          <w:b/>
          <w:bCs/>
          <w:color w:val="000000"/>
          <w:sz w:val="24"/>
        </w:rPr>
      </w:pPr>
      <w:r>
        <w:rPr>
          <w:rFonts w:hint="eastAsia" w:ascii="宋体" w:hAnsi="宋体" w:cs="宋体"/>
          <w:b/>
          <w:bCs/>
          <w:color w:val="000000"/>
          <w:sz w:val="24"/>
        </w:rPr>
        <w:t>（四）本项目不接受联合体参与采购活动。</w:t>
      </w:r>
    </w:p>
    <w:p>
      <w:pPr>
        <w:spacing w:line="360" w:lineRule="auto"/>
        <w:rPr>
          <w:rFonts w:ascii="宋体" w:hAnsi="宋体" w:cs="宋体"/>
          <w:b/>
          <w:bCs/>
          <w:color w:val="000000"/>
          <w:sz w:val="24"/>
        </w:rPr>
      </w:pPr>
      <w:r>
        <w:rPr>
          <w:rFonts w:hint="eastAsia" w:ascii="宋体" w:hAnsi="宋体" w:cs="宋体"/>
          <w:b/>
          <w:bCs/>
          <w:color w:val="000000"/>
          <w:sz w:val="24"/>
        </w:rPr>
        <w:t>注：</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1、①附法定代表人和被授权人身份证复印件正反面；②法定代表人亲自参与磋商时只需提供</w:t>
      </w:r>
      <w:r>
        <w:rPr>
          <w:rFonts w:hint="eastAsia" w:ascii="宋体" w:hAnsi="宋体" w:cs="宋体"/>
          <w:b/>
          <w:bCs/>
          <w:color w:val="000000"/>
          <w:sz w:val="24"/>
          <w:lang w:val="zh-CN"/>
        </w:rPr>
        <w:t>法定代表人证明书原件</w:t>
      </w:r>
      <w:r>
        <w:rPr>
          <w:rFonts w:hint="eastAsia" w:ascii="宋体" w:hAnsi="宋体" w:cs="宋体"/>
          <w:b/>
          <w:bCs/>
          <w:color w:val="000000"/>
          <w:sz w:val="24"/>
        </w:rPr>
        <w:t>。</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3、供应商应对其所提供的资格证明材料来源的合法性、真实性承担法律责任。以上材料均须加盖公章。</w:t>
      </w:r>
    </w:p>
    <w:p>
      <w:pPr>
        <w:pStyle w:val="67"/>
        <w:ind w:firstLine="0" w:firstLineChars="0"/>
        <w:rPr>
          <w:rFonts w:ascii="宋体" w:hAnsi="宋体" w:cs="宋体"/>
          <w:b/>
          <w:color w:val="000000"/>
          <w:sz w:val="24"/>
        </w:rPr>
      </w:pPr>
    </w:p>
    <w:p>
      <w:pPr>
        <w:pStyle w:val="67"/>
        <w:ind w:firstLine="0" w:firstLineChars="0"/>
        <w:rPr>
          <w:rFonts w:ascii="宋体" w:hAnsi="宋体" w:cs="宋体"/>
          <w:b/>
          <w:color w:val="000000"/>
          <w:sz w:val="24"/>
        </w:rPr>
      </w:pPr>
    </w:p>
    <w:p>
      <w:pPr>
        <w:pStyle w:val="67"/>
        <w:ind w:firstLine="0" w:firstLineChars="0"/>
        <w:rPr>
          <w:rFonts w:ascii="宋体" w:hAnsi="宋体" w:cs="宋体"/>
          <w:b/>
          <w:color w:val="000000"/>
          <w:sz w:val="24"/>
        </w:rPr>
      </w:pPr>
    </w:p>
    <w:p>
      <w:pPr>
        <w:pStyle w:val="67"/>
        <w:ind w:firstLine="0" w:firstLineChars="0"/>
        <w:rPr>
          <w:rFonts w:ascii="宋体" w:hAnsi="宋体" w:cs="宋体"/>
          <w:b/>
          <w:color w:val="000000"/>
          <w:sz w:val="24"/>
        </w:rPr>
      </w:pPr>
    </w:p>
    <w:p>
      <w:pPr>
        <w:pStyle w:val="67"/>
        <w:ind w:firstLine="0" w:firstLineChars="0"/>
        <w:rPr>
          <w:rFonts w:ascii="宋体" w:hAnsi="宋体" w:cs="宋体"/>
          <w:b/>
          <w:color w:val="000000"/>
          <w:sz w:val="24"/>
        </w:rPr>
      </w:pPr>
    </w:p>
    <w:bookmarkEnd w:id="82"/>
    <w:bookmarkEnd w:id="83"/>
    <w:bookmarkEnd w:id="84"/>
    <w:bookmarkEnd w:id="85"/>
    <w:bookmarkEnd w:id="86"/>
    <w:p>
      <w:pPr>
        <w:pStyle w:val="4"/>
        <w:jc w:val="center"/>
        <w:rPr>
          <w:rFonts w:ascii="宋体" w:hAnsi="宋体" w:eastAsia="宋体" w:cs="宋体"/>
        </w:rPr>
      </w:pPr>
      <w:bookmarkStart w:id="129" w:name="_Toc6674"/>
      <w:bookmarkStart w:id="130" w:name="_Toc19134"/>
      <w:bookmarkStart w:id="131" w:name="_Toc25527"/>
      <w:bookmarkStart w:id="132" w:name="_Toc217446057"/>
      <w:bookmarkStart w:id="133" w:name="_Toc183682369"/>
      <w:bookmarkStart w:id="134" w:name="_Toc183582232"/>
      <w:r>
        <w:rPr>
          <w:rFonts w:hint="eastAsia" w:ascii="宋体" w:hAnsi="宋体" w:eastAsia="宋体" w:cs="宋体"/>
        </w:rPr>
        <w:t>第五章  采购项目技术、服务、政府采购合同内容条款及</w:t>
      </w:r>
      <w:bookmarkEnd w:id="129"/>
      <w:bookmarkEnd w:id="130"/>
    </w:p>
    <w:p>
      <w:pPr>
        <w:pStyle w:val="4"/>
        <w:jc w:val="center"/>
        <w:rPr>
          <w:rFonts w:ascii="宋体" w:hAnsi="宋体" w:eastAsia="宋体" w:cs="宋体"/>
        </w:rPr>
      </w:pPr>
      <w:bookmarkStart w:id="135" w:name="_Toc26370"/>
      <w:r>
        <w:rPr>
          <w:rFonts w:hint="eastAsia" w:ascii="宋体" w:hAnsi="宋体" w:eastAsia="宋体" w:cs="宋体"/>
        </w:rPr>
        <w:t>其他商务要求</w:t>
      </w:r>
      <w:bookmarkEnd w:id="135"/>
    </w:p>
    <w:p>
      <w:pPr>
        <w:spacing w:line="360" w:lineRule="auto"/>
        <w:jc w:val="left"/>
        <w:rPr>
          <w:rFonts w:ascii="宋体" w:hAnsi="宋体" w:cs="宋体"/>
          <w:bCs/>
          <w:sz w:val="24"/>
        </w:rPr>
      </w:pPr>
      <w:r>
        <w:rPr>
          <w:rFonts w:hint="eastAsia" w:ascii="宋体" w:hAnsi="宋体" w:cs="宋体"/>
          <w:b/>
          <w:bCs/>
          <w:sz w:val="24"/>
        </w:rPr>
        <w:t>一、采购内容</w:t>
      </w:r>
    </w:p>
    <w:tbl>
      <w:tblPr>
        <w:tblStyle w:val="24"/>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977"/>
        <w:gridCol w:w="1527"/>
        <w:gridCol w:w="219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1" w:type="dxa"/>
            <w:noWrap/>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2977" w:type="dxa"/>
            <w:noWrap/>
            <w:vAlign w:val="center"/>
          </w:tcPr>
          <w:p>
            <w:pPr>
              <w:spacing w:line="360" w:lineRule="auto"/>
              <w:jc w:val="center"/>
              <w:rPr>
                <w:rFonts w:ascii="宋体" w:hAnsi="宋体" w:cs="宋体"/>
                <w:b/>
                <w:bCs/>
                <w:sz w:val="24"/>
              </w:rPr>
            </w:pPr>
            <w:r>
              <w:rPr>
                <w:rFonts w:hint="eastAsia" w:ascii="宋体" w:hAnsi="宋体" w:cs="宋体"/>
                <w:b/>
                <w:bCs/>
                <w:sz w:val="24"/>
              </w:rPr>
              <w:t>服务内容</w:t>
            </w:r>
          </w:p>
        </w:tc>
        <w:tc>
          <w:tcPr>
            <w:tcW w:w="1527" w:type="dxa"/>
            <w:noWrap/>
            <w:vAlign w:val="center"/>
          </w:tcPr>
          <w:p>
            <w:pPr>
              <w:spacing w:line="360" w:lineRule="auto"/>
              <w:jc w:val="center"/>
              <w:rPr>
                <w:rFonts w:ascii="宋体" w:hAnsi="宋体" w:cs="宋体"/>
                <w:b/>
                <w:bCs/>
                <w:sz w:val="24"/>
              </w:rPr>
            </w:pPr>
            <w:r>
              <w:rPr>
                <w:rFonts w:hint="eastAsia" w:ascii="宋体" w:hAnsi="宋体" w:cs="宋体"/>
                <w:b/>
                <w:bCs/>
                <w:sz w:val="24"/>
              </w:rPr>
              <w:t>服务时间</w:t>
            </w:r>
          </w:p>
        </w:tc>
        <w:tc>
          <w:tcPr>
            <w:tcW w:w="2196" w:type="dxa"/>
            <w:noWrap/>
            <w:vAlign w:val="center"/>
          </w:tcPr>
          <w:p>
            <w:pPr>
              <w:spacing w:line="360" w:lineRule="auto"/>
              <w:jc w:val="center"/>
              <w:rPr>
                <w:rFonts w:ascii="宋体" w:hAnsi="宋体" w:cs="宋体"/>
                <w:b/>
                <w:bCs/>
                <w:sz w:val="24"/>
              </w:rPr>
            </w:pPr>
            <w:r>
              <w:rPr>
                <w:rFonts w:hint="eastAsia" w:ascii="宋体" w:hAnsi="宋体" w:cs="宋体"/>
                <w:b/>
                <w:bCs/>
                <w:sz w:val="24"/>
              </w:rPr>
              <w:t>预算金额（万元）</w:t>
            </w:r>
          </w:p>
        </w:tc>
        <w:tc>
          <w:tcPr>
            <w:tcW w:w="1179" w:type="dxa"/>
            <w:noWrap/>
            <w:vAlign w:val="center"/>
          </w:tcPr>
          <w:p>
            <w:pPr>
              <w:spacing w:line="360" w:lineRule="auto"/>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1"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2977" w:type="dxa"/>
            <w:noWrap/>
            <w:vAlign w:val="center"/>
          </w:tcPr>
          <w:p>
            <w:pPr>
              <w:spacing w:line="360" w:lineRule="auto"/>
              <w:jc w:val="center"/>
              <w:rPr>
                <w:rFonts w:ascii="宋体" w:hAnsi="宋体" w:cs="宋体"/>
                <w:sz w:val="24"/>
              </w:rPr>
            </w:pPr>
            <w:r>
              <w:rPr>
                <w:rFonts w:hint="eastAsia" w:ascii="宋体" w:hAnsi="宋体" w:cs="宋体"/>
                <w:sz w:val="24"/>
              </w:rPr>
              <w:t>食用质量安全快速检测</w:t>
            </w:r>
          </w:p>
        </w:tc>
        <w:tc>
          <w:tcPr>
            <w:tcW w:w="1527" w:type="dxa"/>
            <w:noWrap/>
            <w:vAlign w:val="center"/>
          </w:tcPr>
          <w:p>
            <w:pPr>
              <w:spacing w:line="360" w:lineRule="auto"/>
              <w:jc w:val="center"/>
              <w:rPr>
                <w:rFonts w:ascii="宋体" w:hAnsi="宋体" w:cs="宋体"/>
                <w:sz w:val="24"/>
                <w:lang w:val="zh-CN"/>
              </w:rPr>
            </w:pPr>
            <w:r>
              <w:rPr>
                <w:rFonts w:hint="eastAsia" w:ascii="宋体" w:hAnsi="宋体" w:cs="宋体"/>
                <w:sz w:val="24"/>
              </w:rPr>
              <w:t>一年</w:t>
            </w:r>
          </w:p>
        </w:tc>
        <w:tc>
          <w:tcPr>
            <w:tcW w:w="2196" w:type="dxa"/>
            <w:noWrap/>
            <w:vAlign w:val="center"/>
          </w:tcPr>
          <w:p>
            <w:pPr>
              <w:spacing w:line="360" w:lineRule="auto"/>
              <w:jc w:val="center"/>
              <w:rPr>
                <w:rFonts w:ascii="宋体" w:hAnsi="宋体" w:cs="宋体"/>
                <w:sz w:val="24"/>
              </w:rPr>
            </w:pPr>
            <w:r>
              <w:rPr>
                <w:rFonts w:hint="eastAsia" w:ascii="宋体" w:hAnsi="宋体" w:cs="宋体"/>
                <w:sz w:val="24"/>
              </w:rPr>
              <w:t>70</w:t>
            </w:r>
          </w:p>
        </w:tc>
        <w:tc>
          <w:tcPr>
            <w:tcW w:w="1179" w:type="dxa"/>
            <w:noWrap/>
            <w:vAlign w:val="center"/>
          </w:tcPr>
          <w:p>
            <w:pPr>
              <w:spacing w:line="360" w:lineRule="auto"/>
              <w:jc w:val="center"/>
              <w:rPr>
                <w:rFonts w:ascii="宋体" w:hAnsi="宋体" w:cs="宋体"/>
                <w:sz w:val="24"/>
              </w:rPr>
            </w:pPr>
          </w:p>
        </w:tc>
      </w:tr>
    </w:tbl>
    <w:p>
      <w:pPr>
        <w:pStyle w:val="70"/>
        <w:spacing w:line="360" w:lineRule="auto"/>
        <w:rPr>
          <w:rFonts w:hAnsi="宋体" w:cs="宋体"/>
          <w:b/>
          <w:bCs/>
          <w:sz w:val="24"/>
          <w:szCs w:val="24"/>
        </w:rPr>
      </w:pPr>
      <w:r>
        <w:rPr>
          <w:rFonts w:hint="eastAsia" w:hAnsi="宋体" w:cs="宋体"/>
          <w:b/>
          <w:bCs/>
          <w:sz w:val="24"/>
          <w:szCs w:val="24"/>
        </w:rPr>
        <w:t>二、服务要求</w:t>
      </w:r>
    </w:p>
    <w:p>
      <w:pPr>
        <w:adjustRightInd w:val="0"/>
        <w:snapToGrid w:val="0"/>
        <w:spacing w:line="360" w:lineRule="auto"/>
        <w:rPr>
          <w:rFonts w:ascii="宋体" w:hAnsi="宋体" w:cs="宋体"/>
          <w:sz w:val="24"/>
        </w:rPr>
      </w:pPr>
      <w:r>
        <w:rPr>
          <w:rFonts w:hint="eastAsia" w:ascii="宋体" w:hAnsi="宋体" w:cs="宋体"/>
          <w:sz w:val="24"/>
        </w:rPr>
        <w:t>（一）检测对象</w:t>
      </w:r>
    </w:p>
    <w:p>
      <w:pPr>
        <w:adjustRightInd w:val="0"/>
        <w:snapToGrid w:val="0"/>
        <w:spacing w:line="360" w:lineRule="auto"/>
        <w:ind w:firstLine="480" w:firstLineChars="200"/>
        <w:rPr>
          <w:rFonts w:ascii="宋体" w:hAnsi="宋体" w:cs="宋体"/>
          <w:sz w:val="24"/>
        </w:rPr>
      </w:pPr>
      <w:r>
        <w:rPr>
          <w:rFonts w:hint="eastAsia" w:ascii="宋体" w:hAnsi="宋体" w:cs="宋体"/>
          <w:color w:val="000000"/>
          <w:sz w:val="24"/>
        </w:rPr>
        <w:t>检测对象覆盖</w:t>
      </w:r>
      <w:r>
        <w:rPr>
          <w:rFonts w:hint="eastAsia" w:ascii="宋体" w:hAnsi="宋体" w:cs="宋体"/>
          <w:sz w:val="24"/>
        </w:rPr>
        <w:t>全区</w:t>
      </w:r>
      <w:r>
        <w:rPr>
          <w:rFonts w:hint="eastAsia" w:ascii="宋体" w:hAnsi="宋体" w:cs="宋体"/>
          <w:color w:val="000000"/>
          <w:sz w:val="24"/>
        </w:rPr>
        <w:t>商超、市场、小作坊和餐饮服务单位，</w:t>
      </w:r>
      <w:r>
        <w:rPr>
          <w:rFonts w:hint="eastAsia" w:ascii="宋体" w:hAnsi="宋体" w:cs="宋体"/>
          <w:sz w:val="24"/>
        </w:rPr>
        <w:t>突出学校及周边、食用农产品批发市场、集贸商超、食品“三小”、农村“坝坝宴”、农家乐和旅游景区餐饮服务单位等重点场所和单位。检测类别尽量覆盖辖区内经营的蔬菜、水果、畜禽肉、水产品、鲜蛋等食用农产品，肉类和水产品等高风险品种应占年度快检任务总量的30％即3000批次，原则上不得抽取预包装食品。总体数量上，其中对农集贸市场（批发市场）的抽检量应不少于任务总数的50%，对食品“三小”的抽检量应不少于任务总数的5%，监管单位预留1000个指标任务数作为机动批次，用于重要活动保障或者由中标人根据实际工作经验以问题为导向自行确定。</w:t>
      </w:r>
    </w:p>
    <w:p>
      <w:pPr>
        <w:adjustRightInd w:val="0"/>
        <w:snapToGrid w:val="0"/>
        <w:spacing w:line="360" w:lineRule="auto"/>
        <w:rPr>
          <w:rFonts w:ascii="宋体" w:hAnsi="宋体" w:cs="宋体"/>
          <w:sz w:val="24"/>
        </w:rPr>
      </w:pPr>
      <w:r>
        <w:rPr>
          <w:rFonts w:hint="eastAsia" w:ascii="宋体" w:hAnsi="宋体" w:cs="宋体"/>
          <w:sz w:val="24"/>
        </w:rPr>
        <w:t>（二）服务内容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对辖区内各类型食品生产经营单位进行快速检测，开展便民服务活动，向消费者宣传、普及食品安全知识，依托食品快速检测等形式开展5场食品安全科普宣传。</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本项目计划</w:t>
      </w:r>
      <w:r>
        <w:rPr>
          <w:rFonts w:hint="eastAsia" w:ascii="宋体" w:hAnsi="宋体" w:cs="宋体"/>
          <w:color w:val="000000"/>
          <w:sz w:val="24"/>
        </w:rPr>
        <w:t>安排各类食品批次10000批次，快速检测指标项目数14110个。</w:t>
      </w:r>
    </w:p>
    <w:tbl>
      <w:tblPr>
        <w:tblStyle w:val="24"/>
        <w:tblW w:w="10680" w:type="dxa"/>
        <w:tblInd w:w="-1026" w:type="dxa"/>
        <w:tblLayout w:type="autofit"/>
        <w:tblCellMar>
          <w:top w:w="0" w:type="dxa"/>
          <w:left w:w="108" w:type="dxa"/>
          <w:bottom w:w="0" w:type="dxa"/>
          <w:right w:w="108" w:type="dxa"/>
        </w:tblCellMar>
      </w:tblPr>
      <w:tblGrid>
        <w:gridCol w:w="880"/>
        <w:gridCol w:w="1460"/>
        <w:gridCol w:w="1460"/>
        <w:gridCol w:w="2360"/>
        <w:gridCol w:w="1820"/>
        <w:gridCol w:w="720"/>
        <w:gridCol w:w="1080"/>
        <w:gridCol w:w="900"/>
      </w:tblGrid>
      <w:tr>
        <w:tblPrEx>
          <w:tblCellMar>
            <w:top w:w="0" w:type="dxa"/>
            <w:left w:w="108" w:type="dxa"/>
            <w:bottom w:w="0" w:type="dxa"/>
            <w:right w:w="108" w:type="dxa"/>
          </w:tblCellMar>
        </w:tblPrEx>
        <w:trPr>
          <w:trHeight w:val="39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抽样场所</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食品大类</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食品亚类</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食品细类</w:t>
            </w:r>
          </w:p>
        </w:tc>
        <w:tc>
          <w:tcPr>
            <w:tcW w:w="18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检测项目</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批次数</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检测项目数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项目总数</w:t>
            </w:r>
          </w:p>
        </w:tc>
      </w:tr>
      <w:tr>
        <w:tblPrEx>
          <w:tblCellMar>
            <w:top w:w="0" w:type="dxa"/>
            <w:left w:w="108" w:type="dxa"/>
            <w:bottom w:w="0" w:type="dxa"/>
            <w:right w:w="108" w:type="dxa"/>
          </w:tblCellMar>
        </w:tblPrEx>
        <w:trPr>
          <w:trHeight w:val="260" w:hRule="atLeast"/>
        </w:trPr>
        <w:tc>
          <w:tcPr>
            <w:tcW w:w="8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农集贸市场（批发市场）</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粮食加工品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小麦粉</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小麦粉</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吊白块</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39"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大米</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大米</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镉</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挂面</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挂面</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吊白块</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其他粮食加工品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谷物粉类制成品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黄曲霉毒素B</w:t>
            </w:r>
            <w:r>
              <w:rPr>
                <w:rFonts w:hint="eastAsia" w:ascii="宋体" w:hAnsi="宋体" w:cs="宋体"/>
                <w:kern w:val="0"/>
                <w:sz w:val="18"/>
                <w:szCs w:val="18"/>
                <w:vertAlign w:val="subscript"/>
              </w:rPr>
              <w:t>1</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谷物加工品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黄曲霉毒素B</w:t>
            </w:r>
            <w:r>
              <w:rPr>
                <w:rFonts w:hint="eastAsia" w:ascii="宋体" w:hAnsi="宋体" w:cs="宋体"/>
                <w:kern w:val="0"/>
                <w:sz w:val="18"/>
                <w:szCs w:val="18"/>
                <w:vertAlign w:val="subscript"/>
              </w:rPr>
              <w:t>1</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谷物碾磨加工品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吊白块</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食用油、油脂及其制品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酸价、过氧化值</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酸价、过氧化值</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食用油脂制品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饼干</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甜蜜素</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蔬菜制品</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蔬菜制品</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酱腌菜</w:t>
            </w: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二氧化硫</w:t>
            </w:r>
          </w:p>
        </w:tc>
        <w:tc>
          <w:tcPr>
            <w:tcW w:w="720" w:type="dxa"/>
            <w:vMerge w:val="restart"/>
            <w:tcBorders>
              <w:top w:val="nil"/>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蔬菜干制品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食用菌制品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52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炒货食品及坚果制品</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炒货食品及坚果制品</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炒货食品及坚果制品（烘炒类、油炸类、其他类）</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黄曲霉毒素B</w:t>
            </w:r>
            <w:r>
              <w:rPr>
                <w:rFonts w:hint="eastAsia" w:ascii="宋体" w:hAnsi="宋体" w:cs="宋体"/>
                <w:kern w:val="0"/>
                <w:sz w:val="18"/>
                <w:szCs w:val="18"/>
                <w:vertAlign w:val="subscript"/>
              </w:rPr>
              <w:t>1</w:t>
            </w:r>
            <w:r>
              <w:rPr>
                <w:rFonts w:hint="eastAsia" w:ascii="宋体" w:hAnsi="宋体" w:cs="宋体"/>
                <w:kern w:val="0"/>
                <w:sz w:val="18"/>
                <w:szCs w:val="18"/>
              </w:rPr>
              <w:t>、过氧化值</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淀粉及淀粉制品</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淀粉及淀粉制品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淀粉</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吊白块</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淀粉制品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食用农产品</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畜禽肉及副产品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畜肉</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克伦特罗、莱克多巴胺、沙丁胺醇</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4500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畜副产品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禽肉</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恩诺沙星</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禽副产品</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r>
      <w:tr>
        <w:tblPrEx>
          <w:tblCellMar>
            <w:top w:w="0" w:type="dxa"/>
            <w:left w:w="108" w:type="dxa"/>
            <w:bottom w:w="0" w:type="dxa"/>
            <w:right w:w="108" w:type="dxa"/>
          </w:tblCellMar>
        </w:tblPrEx>
        <w:trPr>
          <w:trHeight w:val="11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蔬菜</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新鲜蔬菜（含冬季大棚蔬菜）</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农残（有机磷、氨基甲酸酯类）</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4600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水产品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淡水鱼虾</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孔雀石绿、呋喃妥因代谢物、呋喃西林代谢物</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350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1050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海水鱼虾</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水发产品、软体动物</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水产品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淡水鱼虾</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氯霉素、恩诺沙星</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海水鱼虾</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水发产品、软体动物</w:t>
            </w: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水果</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新鲜水果</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农残（有机磷、氨基甲酸酯类）</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鲜蛋</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鲜蛋</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恩诺沙星</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r>
      <w:tr>
        <w:tblPrEx>
          <w:tblCellMar>
            <w:top w:w="0" w:type="dxa"/>
            <w:left w:w="108" w:type="dxa"/>
            <w:bottom w:w="0" w:type="dxa"/>
            <w:right w:w="108" w:type="dxa"/>
          </w:tblCellMar>
        </w:tblPrEx>
        <w:trPr>
          <w:trHeight w:val="520" w:hRule="atLeast"/>
        </w:trPr>
        <w:tc>
          <w:tcPr>
            <w:tcW w:w="8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食品生产加工小作坊</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食用油、油脂及其制品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食用植物油（含煎炸用油）</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食用植物油（半精炼、全精炼）</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酸价、过氧化值</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酒类</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配制酒</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配制酒</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甲醇、甜蜜素</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蒸馏酒</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白酒</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甲醇、甜蜜素</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蛋制品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蛋制品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再制蛋</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铅、山梨酸钾</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52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糕点</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糕点</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糕点（烘烤类、油炸类、蒸煮类、熟粉类、月饼）</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甜蜜素、过氧化值</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25"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豆制品</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豆制品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发酵性豆制品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甜蜜素、二氧化硫</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非发酵性豆制品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山梨酸钾、糖精钠</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20" w:hRule="atLeast"/>
        </w:trPr>
        <w:tc>
          <w:tcPr>
            <w:tcW w:w="8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校园食堂、小餐馆、农家乐和旅游景区餐饮服务单位</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食用油、油脂及其制品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食用植物油（含煎炸用油）</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煎炸过程用油（餐饮环节）</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酸价、极性组分</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食用动物油脂</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酸价、过氧化值</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肉制品</w:t>
            </w: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预制肉制品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调理肉制品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硼砂、铅</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腌腊肉制品</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过氧化值、亚硝酸盐</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2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熟肉制品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发酵肉制品、酱卤肉制品、熏烧烤肉制品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亚硝酸盐</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饮料</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饮料</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果、蔬汁饮料</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甜蜜素、糖精钠</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蔬菜制品</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蔬菜制品</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酱腌菜</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亚硝酸盐、糖精钠</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餐饮食品</w:t>
            </w: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米面制品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小麦粉制品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吊白块</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复合调味料</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半固态调味料</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酸价、二氧化硫</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水产及水产制品</w:t>
            </w:r>
          </w:p>
        </w:tc>
        <w:tc>
          <w:tcPr>
            <w:tcW w:w="23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生食动物性水产品</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孔雀石绿</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60" w:hRule="atLeast"/>
        </w:trPr>
        <w:tc>
          <w:tcPr>
            <w:tcW w:w="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餐饮具</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复用餐饮具</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ATP表面洁净度</w:t>
            </w:r>
          </w:p>
        </w:tc>
        <w:tc>
          <w:tcPr>
            <w:tcW w:w="720" w:type="dxa"/>
            <w:tcBorders>
              <w:top w:val="nil"/>
              <w:left w:val="nil"/>
              <w:bottom w:val="single" w:color="auto" w:sz="4" w:space="0"/>
              <w:right w:val="single" w:color="auto" w:sz="4" w:space="0"/>
            </w:tcBorders>
            <w:shd w:val="clear" w:color="000000"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60" w:hRule="atLeast"/>
        </w:trPr>
        <w:tc>
          <w:tcPr>
            <w:tcW w:w="6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机动批次</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指标待定</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60" w:hRule="atLeast"/>
        </w:trPr>
        <w:tc>
          <w:tcPr>
            <w:tcW w:w="61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14110</w:t>
            </w:r>
          </w:p>
        </w:tc>
      </w:tr>
    </w:tbl>
    <w:p>
      <w:pPr>
        <w:adjustRightInd w:val="0"/>
        <w:snapToGrid w:val="0"/>
        <w:spacing w:line="440" w:lineRule="exact"/>
        <w:rPr>
          <w:rFonts w:ascii="宋体" w:hAnsi="宋体" w:cs="宋体"/>
          <w:sz w:val="24"/>
        </w:rPr>
      </w:pPr>
      <w:r>
        <w:rPr>
          <w:rFonts w:hint="eastAsia" w:ascii="宋体" w:hAnsi="宋体" w:cs="宋体"/>
          <w:sz w:val="24"/>
        </w:rPr>
        <w:t>（三）检验品种和项目</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本项目原则上不抽检预包装食品。</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本项目检测项目设置参考</w:t>
      </w:r>
      <w:r>
        <w:rPr>
          <w:rFonts w:hint="eastAsia" w:ascii="宋体" w:hAnsi="宋体" w:cs="宋体"/>
          <w:color w:val="000000"/>
          <w:sz w:val="24"/>
        </w:rPr>
        <w:t>《四川省食品安全监督抽检实施细则（2021年版）》，建议检测</w:t>
      </w:r>
      <w:r>
        <w:rPr>
          <w:rFonts w:hint="eastAsia" w:ascii="宋体" w:hAnsi="宋体" w:cs="宋体"/>
          <w:sz w:val="24"/>
        </w:rPr>
        <w:t>项目包括有机磷、氨基甲酸酯类等农药残留；禽畜肉检测参数参考瘦肉精（盐酸克伦特罗、沙丁胺醇、莱克多巴胺）、氯霉素、磺胺类、恩诺沙星、四环素等；水产品检测参数参考孔雀石绿、氯霉素、呋喃西林、呋喃唑酮、磺胺类、恩诺沙星、四环素等兽药残留；甲醛、硼砂、溴酸钾等非食用物质；山梨酸钾、甜蜜素、糖精钠等食品添加剂等项目。检测指标供应商可根据实际情况自行增加。</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本项目要求必以异常结果发现率为目标，含中标人自行增加的快检项目异常结果。</w:t>
      </w:r>
    </w:p>
    <w:p>
      <w:pPr>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三、人员要求</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供应商为本项目配备抽样人员至少6名、检测人员至少10名。</w:t>
      </w:r>
    </w:p>
    <w:p>
      <w:pPr>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四、商务要求（实质性要求）</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1、服务时间：合同签订之日起至2021年12月5日止全面完成快检工作及快检工作总结分析报告。</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2、服务地点：成都东部新区内采购人指定地点。</w:t>
      </w:r>
    </w:p>
    <w:p>
      <w:pPr>
        <w:adjustRightInd w:val="0"/>
        <w:snapToGrid w:val="0"/>
        <w:spacing w:line="440" w:lineRule="exact"/>
        <w:ind w:firstLine="480" w:firstLineChars="200"/>
        <w:rPr>
          <w:rFonts w:ascii="宋体" w:hAnsi="宋体" w:cs="宋体"/>
          <w:sz w:val="24"/>
        </w:rPr>
      </w:pPr>
      <w:r>
        <w:rPr>
          <w:rFonts w:hint="eastAsia" w:ascii="宋体" w:hAnsi="宋体" w:cs="宋体"/>
          <w:sz w:val="24"/>
          <w:highlight w:val="none"/>
        </w:rPr>
        <w:t>3、付款方式：合同签订后，采购方预付总金额的50%作为启动资金，</w:t>
      </w:r>
      <w:r>
        <w:rPr>
          <w:rFonts w:hint="eastAsia" w:asciiTheme="minorEastAsia" w:hAnsiTheme="minorEastAsia" w:eastAsiaTheme="minorEastAsia"/>
          <w:sz w:val="24"/>
        </w:rPr>
        <w:t>剩余款项，在验收完成后一次性支付。最终结算金额不超过采购预算70万元（采购人在收到中标供应商出具的合法有效完整的完税发票及相关凭证资料后30天内进行支付）</w:t>
      </w:r>
      <w:r>
        <w:rPr>
          <w:rFonts w:hint="eastAsia" w:ascii="宋体" w:hAnsi="宋体" w:cs="宋体"/>
          <w:sz w:val="24"/>
          <w:highlight w:val="none"/>
        </w:rPr>
        <w:t>。</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4、验收要求：</w:t>
      </w:r>
      <w:r>
        <w:rPr>
          <w:rFonts w:hint="eastAsia" w:cs="宋体" w:asciiTheme="minorEastAsia" w:hAnsiTheme="minorEastAsia" w:eastAsiaTheme="minorEastAsia"/>
          <w:color w:val="000000"/>
          <w:sz w:val="24"/>
        </w:rPr>
        <w:t>本项目将严格按照《财政部关于进一步加强政府采购需求和履约验收管理的指导意见》（财库〔2016〕205号）《政府采购需求管理办法》（财库〔2021〕22号）等政府采购相关法律法规的要求进行验收。</w:t>
      </w:r>
    </w:p>
    <w:p>
      <w:pPr>
        <w:adjustRightInd w:val="0"/>
        <w:snapToGrid w:val="0"/>
        <w:spacing w:line="440" w:lineRule="exact"/>
        <w:rPr>
          <w:rFonts w:ascii="宋体" w:hAnsi="宋体" w:cs="宋体"/>
          <w:b/>
          <w:bCs/>
          <w:sz w:val="24"/>
        </w:rPr>
      </w:pPr>
      <w:r>
        <w:rPr>
          <w:rFonts w:hint="eastAsia" w:ascii="宋体" w:hAnsi="宋体" w:cs="宋体"/>
          <w:b/>
          <w:bCs/>
          <w:sz w:val="24"/>
        </w:rPr>
        <w:t>五、其他要求（实质性要求）</w:t>
      </w:r>
    </w:p>
    <w:p>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本项目实行包干制，采购价格包括样本购买、采集、运输、检测、结论出具等所有相关工作事项的费用（含税）及磋商文件规定的其他所有费用。</w:t>
      </w:r>
    </w:p>
    <w:p>
      <w:pPr>
        <w:rPr>
          <w:rFonts w:ascii="宋体" w:hAnsi="宋体" w:cs="宋体"/>
          <w:sz w:val="24"/>
        </w:rPr>
      </w:pPr>
    </w:p>
    <w:p>
      <w:pPr>
        <w:numPr>
          <w:ilvl w:val="-1"/>
          <w:numId w:val="0"/>
        </w:numPr>
        <w:adjustRightInd w:val="0"/>
        <w:snapToGrid w:val="0"/>
        <w:spacing w:line="440" w:lineRule="exact"/>
        <w:ind w:firstLine="0" w:firstLineChars="0"/>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六、服务方案</w:t>
      </w:r>
    </w:p>
    <w:p>
      <w:pPr>
        <w:snapToGrid w:val="0"/>
        <w:spacing w:line="440" w:lineRule="exact"/>
        <w:ind w:firstLine="48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本次</w:t>
      </w:r>
      <w:r>
        <w:rPr>
          <w:rFonts w:hint="eastAsia" w:cs="Times New Roman" w:asciiTheme="minorEastAsia" w:hAnsiTheme="minorEastAsia" w:eastAsiaTheme="minorEastAsia"/>
          <w:sz w:val="24"/>
        </w:rPr>
        <w:t>食用质量安全快速检测</w:t>
      </w:r>
      <w:r>
        <w:rPr>
          <w:rFonts w:hint="eastAsia" w:cs="Times New Roman" w:asciiTheme="minorEastAsia" w:hAnsiTheme="minorEastAsia" w:eastAsiaTheme="minorEastAsia"/>
          <w:sz w:val="24"/>
          <w:lang w:val="en-US" w:eastAsia="zh-CN"/>
        </w:rPr>
        <w:t>项目的服务方案要针对</w:t>
      </w:r>
      <w:r>
        <w:rPr>
          <w:rFonts w:hint="eastAsia" w:asciiTheme="minorEastAsia" w:hAnsiTheme="minorEastAsia" w:eastAsiaTheme="minorEastAsia"/>
          <w:sz w:val="24"/>
          <w:szCs w:val="24"/>
        </w:rPr>
        <w:t>团队设置；工作计划；抽样、保存、运输、检测、质量控制、数据处理、结果异议处置、应急服务</w:t>
      </w:r>
      <w:r>
        <w:rPr>
          <w:rFonts w:hint="eastAsia" w:asciiTheme="minorEastAsia" w:hAnsiTheme="minorEastAsia" w:eastAsiaTheme="minorEastAsia"/>
          <w:sz w:val="24"/>
          <w:szCs w:val="24"/>
          <w:lang w:val="en-US" w:eastAsia="zh-CN"/>
        </w:rPr>
        <w:t>和售后服务等相关要点进行阐述。</w:t>
      </w:r>
    </w:p>
    <w:p>
      <w:pPr>
        <w:snapToGrid w:val="0"/>
        <w:spacing w:line="440" w:lineRule="exact"/>
        <w:ind w:firstLine="480"/>
        <w:rPr>
          <w:rFonts w:hint="eastAsia" w:asciiTheme="minorEastAsia" w:hAnsiTheme="minorEastAsia" w:eastAsiaTheme="minorEastAsia"/>
          <w:sz w:val="24"/>
          <w:szCs w:val="24"/>
          <w:lang w:val="en-US" w:eastAsia="zh-CN"/>
        </w:rPr>
      </w:pPr>
    </w:p>
    <w:p>
      <w:pPr>
        <w:pStyle w:val="2"/>
        <w:numPr>
          <w:ilvl w:val="-1"/>
          <w:numId w:val="0"/>
        </w:numPr>
        <w:ind w:firstLine="420" w:firstLineChars="200"/>
        <w:rPr>
          <w:rFonts w:hint="eastAsia" w:hAnsi="宋体"/>
          <w:sz w:val="21"/>
          <w:szCs w:val="21"/>
          <w:lang w:val="en-US" w:eastAsia="zh-CN"/>
        </w:rPr>
      </w:pPr>
    </w:p>
    <w:p>
      <w:pPr>
        <w:pStyle w:val="2"/>
        <w:numPr>
          <w:ilvl w:val="-1"/>
          <w:numId w:val="0"/>
        </w:numPr>
        <w:ind w:firstLine="420" w:firstLineChars="200"/>
        <w:rPr>
          <w:rFonts w:hint="default" w:hAnsi="宋体"/>
          <w:sz w:val="21"/>
          <w:szCs w:val="21"/>
          <w:lang w:val="en-US" w:eastAsia="zh-CN"/>
        </w:rPr>
      </w:pPr>
    </w:p>
    <w:p>
      <w:pPr>
        <w:spacing w:line="360" w:lineRule="auto"/>
        <w:ind w:firstLine="482" w:firstLineChars="200"/>
        <w:rPr>
          <w:rFonts w:ascii="宋体" w:hAnsi="宋体" w:cs="宋体"/>
          <w:b/>
          <w:bCs/>
          <w:color w:val="000000"/>
          <w:sz w:val="24"/>
          <w:szCs w:val="32"/>
        </w:rPr>
      </w:pPr>
      <w:r>
        <w:rPr>
          <w:rFonts w:hint="eastAsia" w:ascii="宋体" w:hAnsi="宋体" w:cs="宋体"/>
          <w:b/>
          <w:bCs/>
          <w:color w:val="000000"/>
          <w:sz w:val="24"/>
          <w:szCs w:val="32"/>
        </w:rPr>
        <w:t>注：在磋商过程中，磋商小组可以根据磋商文件和磋商情况实质性变动磋商文件的技术、服务要求以及合同草案条款，但不得变动磋商文件中的其他内容。实质性变动的内容，须经采购人代表书面确认。</w:t>
      </w:r>
    </w:p>
    <w:p>
      <w:pPr>
        <w:pStyle w:val="4"/>
        <w:jc w:val="center"/>
        <w:rPr>
          <w:rFonts w:ascii="宋体" w:hAnsi="宋体" w:eastAsia="宋体" w:cs="宋体"/>
          <w:color w:val="000000"/>
          <w:lang w:val="zh-CN"/>
        </w:rPr>
      </w:pPr>
      <w:bookmarkStart w:id="136" w:name="_Toc30534"/>
      <w:bookmarkStart w:id="137" w:name="_Toc26426"/>
      <w:r>
        <w:rPr>
          <w:rFonts w:hint="eastAsia" w:ascii="宋体" w:hAnsi="宋体" w:eastAsia="宋体" w:cs="宋体"/>
          <w:color w:val="000000"/>
        </w:rPr>
        <w:br w:type="page"/>
      </w:r>
      <w:r>
        <w:rPr>
          <w:rFonts w:hint="eastAsia" w:ascii="宋体" w:hAnsi="宋体" w:eastAsia="宋体" w:cs="宋体"/>
          <w:color w:val="000000"/>
        </w:rPr>
        <w:t>第六章  响应文件格式</w:t>
      </w:r>
      <w:bookmarkEnd w:id="131"/>
      <w:bookmarkEnd w:id="136"/>
      <w:bookmarkEnd w:id="137"/>
    </w:p>
    <w:p>
      <w:pPr>
        <w:spacing w:line="360" w:lineRule="auto"/>
        <w:ind w:firstLine="480" w:firstLineChars="200"/>
        <w:rPr>
          <w:rFonts w:ascii="宋体" w:hAnsi="宋体" w:cs="宋体"/>
          <w:sz w:val="24"/>
          <w:lang w:val="zh-CN"/>
        </w:rPr>
      </w:pPr>
      <w:r>
        <w:rPr>
          <w:rFonts w:hint="eastAsia" w:ascii="宋体" w:hAnsi="宋体" w:cs="宋体"/>
          <w:sz w:val="24"/>
          <w:lang w:val="zh-CN"/>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lang w:val="zh-CN"/>
        </w:rPr>
      </w:pPr>
      <w:r>
        <w:rPr>
          <w:rFonts w:hint="eastAsia" w:ascii="宋体" w:hAnsi="宋体" w:cs="宋体"/>
          <w:sz w:val="24"/>
          <w:lang w:val="zh-CN"/>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ascii="宋体" w:hAnsi="宋体" w:cs="宋体"/>
          <w:sz w:val="24"/>
        </w:rPr>
      </w:pPr>
      <w:r>
        <w:rPr>
          <w:rFonts w:hint="eastAsia" w:ascii="宋体" w:hAnsi="宋体" w:cs="宋体"/>
          <w:sz w:val="24"/>
        </w:rPr>
        <w:t>四、响应文件分资格性响应文件、其他响应文件、电子文档三部分，应分册装订密封分。</w:t>
      </w: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spacing w:line="360" w:lineRule="auto"/>
        <w:jc w:val="center"/>
        <w:rPr>
          <w:rFonts w:ascii="宋体" w:hAnsi="宋体" w:cs="宋体"/>
          <w:b/>
          <w:bCs/>
          <w:color w:val="000000"/>
          <w:sz w:val="24"/>
        </w:rPr>
      </w:pPr>
    </w:p>
    <w:p>
      <w:pPr>
        <w:pStyle w:val="4"/>
        <w:jc w:val="center"/>
        <w:rPr>
          <w:rFonts w:ascii="宋体" w:hAnsi="宋体" w:eastAsia="宋体" w:cs="宋体"/>
        </w:rPr>
      </w:pPr>
      <w:bookmarkStart w:id="138" w:name="_Toc17908"/>
      <w:r>
        <w:rPr>
          <w:rFonts w:hint="eastAsia" w:ascii="宋体" w:hAnsi="宋体" w:eastAsia="宋体" w:cs="宋体"/>
        </w:rPr>
        <w:t>第一部分  资格性响应文件(格式)</w:t>
      </w:r>
      <w:bookmarkEnd w:id="138"/>
    </w:p>
    <w:p>
      <w:pPr>
        <w:jc w:val="center"/>
        <w:rPr>
          <w:b/>
          <w:bCs/>
          <w:sz w:val="28"/>
          <w:szCs w:val="36"/>
        </w:rPr>
      </w:pPr>
      <w:bookmarkStart w:id="139" w:name="_Toc12369"/>
      <w:r>
        <w:rPr>
          <w:rFonts w:hint="eastAsia"/>
          <w:b/>
          <w:bCs/>
          <w:sz w:val="28"/>
          <w:szCs w:val="36"/>
        </w:rPr>
        <w:t>一、法定代表人授权书</w:t>
      </w:r>
      <w:bookmarkEnd w:id="139"/>
    </w:p>
    <w:p>
      <w:pPr>
        <w:spacing w:line="360" w:lineRule="auto"/>
        <w:jc w:val="left"/>
        <w:rPr>
          <w:rFonts w:ascii="宋体" w:hAnsi="宋体" w:cs="宋体"/>
          <w:color w:val="000000"/>
          <w:sz w:val="24"/>
        </w:rPr>
      </w:pPr>
      <w:r>
        <w:rPr>
          <w:rFonts w:hint="eastAsia" w:ascii="宋体" w:hAnsi="宋体" w:cs="宋体"/>
          <w:color w:val="000000"/>
          <w:sz w:val="24"/>
        </w:rPr>
        <w:t>四川建茂同方工程项目管理有限公司：</w:t>
      </w:r>
    </w:p>
    <w:p>
      <w:pPr>
        <w:spacing w:line="360" w:lineRule="auto"/>
        <w:jc w:val="left"/>
        <w:rPr>
          <w:rFonts w:ascii="宋体" w:hAnsi="宋体" w:cs="宋体"/>
          <w:color w:val="000000"/>
          <w:sz w:val="24"/>
        </w:rPr>
      </w:pPr>
      <w:r>
        <w:rPr>
          <w:rFonts w:hint="eastAsia" w:ascii="宋体" w:hAnsi="宋体" w:cs="宋体"/>
          <w:color w:val="000000"/>
          <w:sz w:val="24"/>
        </w:rPr>
        <w:t xml:space="preserve">    本授权声明：(</w:t>
      </w:r>
      <w:r>
        <w:rPr>
          <w:rFonts w:hint="eastAsia" w:ascii="宋体" w:hAnsi="宋体" w:cs="宋体"/>
          <w:color w:val="000000"/>
          <w:sz w:val="24"/>
          <w:u w:val="single"/>
        </w:rPr>
        <w:t>磋商供应商名称</w:t>
      </w:r>
      <w:r>
        <w:rPr>
          <w:rFonts w:hint="eastAsia" w:ascii="宋体" w:hAnsi="宋体" w:cs="宋体"/>
          <w:color w:val="000000"/>
          <w:sz w:val="24"/>
        </w:rPr>
        <w:t>)(</w:t>
      </w:r>
      <w:r>
        <w:rPr>
          <w:rFonts w:hint="eastAsia" w:ascii="宋体" w:hAnsi="宋体" w:cs="宋体"/>
          <w:color w:val="000000"/>
          <w:sz w:val="24"/>
          <w:u w:val="single"/>
        </w:rPr>
        <w:t>法定代表人姓名、职务</w:t>
      </w:r>
      <w:r>
        <w:rPr>
          <w:rFonts w:hint="eastAsia" w:ascii="宋体" w:hAnsi="宋体" w:cs="宋体"/>
          <w:color w:val="000000"/>
          <w:sz w:val="24"/>
        </w:rPr>
        <w:t>)授权(</w:t>
      </w:r>
      <w:r>
        <w:rPr>
          <w:rFonts w:hint="eastAsia" w:ascii="宋体" w:hAnsi="宋体" w:cs="宋体"/>
          <w:color w:val="000000"/>
          <w:sz w:val="24"/>
          <w:u w:val="single"/>
        </w:rPr>
        <w:t>被授权人姓名、职务、身份证号码</w:t>
      </w:r>
      <w:r>
        <w:rPr>
          <w:rFonts w:hint="eastAsia" w:ascii="宋体" w:hAnsi="宋体" w:cs="宋体"/>
          <w:color w:val="000000"/>
          <w:sz w:val="24"/>
        </w:rPr>
        <w:t>)为我方参加“（</w:t>
      </w:r>
      <w:r>
        <w:rPr>
          <w:rFonts w:hint="eastAsia" w:ascii="宋体" w:hAnsi="宋体" w:cs="宋体"/>
          <w:color w:val="000000"/>
          <w:sz w:val="24"/>
          <w:u w:val="single"/>
        </w:rPr>
        <w:t>项目名称</w:t>
      </w:r>
      <w:r>
        <w:rPr>
          <w:rFonts w:hint="eastAsia" w:ascii="宋体" w:hAnsi="宋体" w:cs="宋体"/>
          <w:color w:val="000000"/>
          <w:sz w:val="24"/>
        </w:rPr>
        <w:t>）”磋商活动的合法代表，以我方名义全权处理该项目有关磋商、签订合同以及执行合同等一切事宜。</w:t>
      </w:r>
    </w:p>
    <w:p>
      <w:pPr>
        <w:spacing w:line="360" w:lineRule="auto"/>
        <w:jc w:val="left"/>
        <w:rPr>
          <w:rFonts w:ascii="宋体" w:hAnsi="宋体" w:cs="宋体"/>
          <w:color w:val="000000"/>
          <w:sz w:val="24"/>
        </w:rPr>
      </w:pPr>
      <w:r>
        <w:rPr>
          <w:rFonts w:hint="eastAsia" w:ascii="宋体" w:hAnsi="宋体" w:cs="宋体"/>
          <w:color w:val="000000"/>
          <w:sz w:val="24"/>
        </w:rPr>
        <w:t xml:space="preserve">    特此声明。</w:t>
      </w:r>
    </w:p>
    <w:p>
      <w:pPr>
        <w:spacing w:line="360" w:lineRule="auto"/>
        <w:rPr>
          <w:rFonts w:ascii="宋体" w:hAnsi="宋体" w:cs="宋体"/>
          <w:color w:val="000000"/>
          <w:sz w:val="24"/>
        </w:rPr>
      </w:pPr>
      <w:r>
        <w:rPr>
          <w:rFonts w:hint="eastAsia" w:ascii="宋体" w:hAnsi="宋体" w:cs="宋体"/>
          <w:color w:val="000000"/>
          <w:sz w:val="24"/>
        </w:rPr>
        <w:t>附：法定代表人和被授权人身份证复印件正反面</w:t>
      </w:r>
    </w:p>
    <w:p>
      <w:pPr>
        <w:spacing w:line="360" w:lineRule="auto"/>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授权代表签字（</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磋商供应商名称： (加盖公章)</w:t>
      </w:r>
    </w:p>
    <w:p>
      <w:pPr>
        <w:spacing w:line="360" w:lineRule="auto"/>
        <w:rPr>
          <w:rFonts w:ascii="宋体" w:hAnsi="宋体" w:cs="宋体"/>
          <w:color w:val="000000"/>
          <w:sz w:val="24"/>
        </w:rPr>
      </w:pPr>
      <w:r>
        <w:rPr>
          <w:rFonts w:hint="eastAsia" w:ascii="宋体" w:hAnsi="宋体" w:cs="宋体"/>
          <w:color w:val="000000"/>
          <w:sz w:val="24"/>
        </w:rPr>
        <w:t>磋商日期：</w:t>
      </w:r>
    </w:p>
    <w:p>
      <w:pPr>
        <w:spacing w:line="360" w:lineRule="auto"/>
        <w:rPr>
          <w:rFonts w:ascii="宋体" w:hAnsi="宋体" w:cs="宋体"/>
          <w:color w:val="000000"/>
          <w:sz w:val="24"/>
        </w:rPr>
      </w:pPr>
      <w:r>
        <w:rPr>
          <w:rFonts w:hint="eastAsia" w:ascii="宋体" w:hAnsi="宋体" w:cs="宋体"/>
          <w:color w:val="000000"/>
          <w:sz w:val="24"/>
        </w:rPr>
        <w:t>注：法定代表人不亲自参加磋商，而授权代表参加磋商的适用。</w:t>
      </w:r>
    </w:p>
    <w:p>
      <w:pPr>
        <w:pStyle w:val="2"/>
        <w:spacing w:line="360" w:lineRule="auto"/>
        <w:rPr>
          <w:rFonts w:hAnsi="宋体"/>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jc w:val="center"/>
        <w:rPr>
          <w:rFonts w:ascii="宋体" w:hAnsi="宋体" w:cs="宋体"/>
          <w:b/>
          <w:bCs/>
          <w:color w:val="000000"/>
          <w:sz w:val="24"/>
        </w:rPr>
      </w:pPr>
    </w:p>
    <w:p>
      <w:pPr>
        <w:spacing w:line="360" w:lineRule="auto"/>
        <w:rPr>
          <w:rFonts w:ascii="宋体" w:hAnsi="宋体" w:cs="宋体"/>
          <w:b/>
          <w:bCs/>
          <w:color w:val="000000"/>
          <w:sz w:val="24"/>
        </w:rPr>
      </w:pPr>
    </w:p>
    <w:p>
      <w:pPr>
        <w:pStyle w:val="9"/>
        <w:rPr>
          <w:rFonts w:ascii="宋体" w:hAnsi="宋体" w:cs="宋体"/>
          <w:color w:val="000000"/>
        </w:rPr>
      </w:pPr>
    </w:p>
    <w:p>
      <w:pPr>
        <w:spacing w:line="360" w:lineRule="auto"/>
        <w:jc w:val="center"/>
        <w:rPr>
          <w:rFonts w:ascii="宋体" w:hAnsi="宋体" w:cs="宋体"/>
          <w:b/>
          <w:bCs/>
          <w:color w:val="000000"/>
          <w:sz w:val="24"/>
        </w:rPr>
      </w:pPr>
    </w:p>
    <w:p>
      <w:pPr>
        <w:pStyle w:val="2"/>
      </w:pPr>
    </w:p>
    <w:p>
      <w:pPr>
        <w:jc w:val="center"/>
        <w:rPr>
          <w:b/>
          <w:bCs/>
          <w:sz w:val="28"/>
          <w:szCs w:val="36"/>
        </w:rPr>
      </w:pPr>
      <w:bookmarkStart w:id="140" w:name="_Toc12168"/>
      <w:r>
        <w:rPr>
          <w:rFonts w:hint="eastAsia"/>
          <w:b/>
          <w:bCs/>
          <w:sz w:val="28"/>
          <w:szCs w:val="36"/>
        </w:rPr>
        <w:t>二、法定代表人证明书</w:t>
      </w:r>
      <w:bookmarkEnd w:id="140"/>
    </w:p>
    <w:p>
      <w:pPr>
        <w:spacing w:line="360" w:lineRule="auto"/>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 xml:space="preserve">    本人系（</w:t>
      </w:r>
      <w:r>
        <w:rPr>
          <w:rFonts w:hint="eastAsia" w:ascii="宋体" w:hAnsi="宋体" w:cs="宋体"/>
          <w:color w:val="000000"/>
          <w:sz w:val="24"/>
          <w:u w:val="single"/>
        </w:rPr>
        <w:t xml:space="preserve">    供应商名称   </w:t>
      </w:r>
      <w:r>
        <w:rPr>
          <w:rFonts w:hint="eastAsia" w:ascii="宋体" w:hAnsi="宋体" w:cs="宋体"/>
          <w:color w:val="000000"/>
          <w:sz w:val="24"/>
        </w:rPr>
        <w:t>）的法定代表人。就参加你单位组织的</w:t>
      </w:r>
      <w:r>
        <w:rPr>
          <w:rFonts w:hint="eastAsia" w:ascii="宋体" w:hAnsi="宋体" w:cs="宋体"/>
          <w:color w:val="000000"/>
          <w:sz w:val="24"/>
          <w:u w:val="single"/>
        </w:rPr>
        <w:t>“              项目(        项目编号    )”</w:t>
      </w:r>
      <w:r>
        <w:rPr>
          <w:rFonts w:hint="eastAsia" w:ascii="宋体" w:hAnsi="宋体" w:cs="宋体"/>
          <w:color w:val="000000"/>
          <w:sz w:val="24"/>
        </w:rPr>
        <w:t>的磋商活动、并参与项目的磋商、签订合同以及执行合同等一切事宜。</w:t>
      </w:r>
    </w:p>
    <w:p>
      <w:pPr>
        <w:spacing w:line="360" w:lineRule="auto"/>
        <w:jc w:val="left"/>
        <w:rPr>
          <w:rFonts w:ascii="宋体" w:hAnsi="宋体" w:cs="宋体"/>
          <w:color w:val="000000"/>
          <w:sz w:val="24"/>
        </w:rPr>
      </w:pPr>
      <w:r>
        <w:rPr>
          <w:rFonts w:hint="eastAsia" w:ascii="宋体" w:hAnsi="宋体" w:cs="宋体"/>
          <w:color w:val="000000"/>
          <w:sz w:val="24"/>
        </w:rPr>
        <w:t xml:space="preserve">    特此证明。</w:t>
      </w:r>
    </w:p>
    <w:p>
      <w:pPr>
        <w:spacing w:line="360" w:lineRule="auto"/>
        <w:rPr>
          <w:rFonts w:ascii="宋体" w:hAnsi="宋体" w:cs="宋体"/>
          <w:color w:val="000000"/>
          <w:sz w:val="24"/>
        </w:rPr>
      </w:pPr>
      <w:r>
        <w:rPr>
          <w:rFonts w:hint="eastAsia" w:ascii="宋体" w:hAnsi="宋体" w:cs="宋体"/>
          <w:color w:val="000000"/>
          <w:sz w:val="24"/>
        </w:rPr>
        <w:t>附：法定代表人身份证复印件正反面</w:t>
      </w: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rPr>
          <w:rFonts w:ascii="宋体" w:hAnsi="宋体" w:cs="宋体"/>
          <w:color w:val="000000"/>
          <w:sz w:val="24"/>
        </w:rPr>
      </w:pPr>
    </w:p>
    <w:p>
      <w:pPr>
        <w:pStyle w:val="2"/>
        <w:rPr>
          <w:rFonts w:hAnsi="宋体"/>
        </w:rPr>
      </w:pPr>
    </w:p>
    <w:p>
      <w:pPr>
        <w:pStyle w:val="2"/>
        <w:rPr>
          <w:rFonts w:hAnsi="宋体"/>
        </w:rPr>
      </w:pPr>
    </w:p>
    <w:p/>
    <w:p>
      <w:pPr>
        <w:jc w:val="center"/>
        <w:rPr>
          <w:b/>
          <w:bCs/>
          <w:sz w:val="28"/>
          <w:szCs w:val="36"/>
        </w:rPr>
      </w:pPr>
      <w:bookmarkStart w:id="141" w:name="_Toc16685"/>
      <w:r>
        <w:rPr>
          <w:rFonts w:hint="eastAsia"/>
          <w:b/>
          <w:bCs/>
          <w:sz w:val="28"/>
          <w:szCs w:val="36"/>
        </w:rPr>
        <w:t>三、承诺函</w:t>
      </w:r>
      <w:bookmarkEnd w:id="141"/>
    </w:p>
    <w:p>
      <w:pPr>
        <w:spacing w:line="360" w:lineRule="auto"/>
        <w:rPr>
          <w:rFonts w:ascii="宋体" w:hAnsi="宋体" w:cs="宋体"/>
          <w:sz w:val="24"/>
        </w:rPr>
      </w:pPr>
      <w:r>
        <w:rPr>
          <w:rFonts w:hint="eastAsia" w:ascii="宋体" w:hAnsi="宋体" w:cs="宋体"/>
          <w:sz w:val="24"/>
        </w:rPr>
        <w:t>四川建茂同方工程项目管理有限公司：</w:t>
      </w:r>
    </w:p>
    <w:p>
      <w:pPr>
        <w:spacing w:line="360" w:lineRule="auto"/>
        <w:ind w:firstLine="480" w:firstLineChars="200"/>
        <w:rPr>
          <w:rFonts w:ascii="宋体" w:hAnsi="宋体" w:cs="宋体"/>
          <w:sz w:val="24"/>
        </w:rPr>
      </w:pPr>
      <w:r>
        <w:rPr>
          <w:rFonts w:hint="eastAsia" w:ascii="宋体" w:hAnsi="宋体" w:cs="宋体"/>
          <w:sz w:val="24"/>
        </w:rPr>
        <w:t>我公司作为</w:t>
      </w:r>
      <w:r>
        <w:rPr>
          <w:rFonts w:hint="eastAsia" w:ascii="宋体" w:hAnsi="宋体" w:cs="宋体"/>
          <w:sz w:val="24"/>
          <w:u w:val="single"/>
        </w:rPr>
        <w:t xml:space="preserve">  项目名称 </w:t>
      </w:r>
      <w:r>
        <w:rPr>
          <w:rFonts w:hint="eastAsia" w:ascii="宋体" w:hAnsi="宋体" w:cs="宋体"/>
          <w:sz w:val="24"/>
        </w:rPr>
        <w:t>的磋商供应商，根据采购文件要求，现郑重承诺如下：</w:t>
      </w:r>
    </w:p>
    <w:p>
      <w:pPr>
        <w:spacing w:line="360" w:lineRule="auto"/>
        <w:ind w:firstLine="480" w:firstLineChars="200"/>
        <w:rPr>
          <w:rFonts w:ascii="宋体" w:hAnsi="宋体" w:cs="宋体"/>
          <w:sz w:val="24"/>
        </w:rPr>
      </w:pPr>
      <w:r>
        <w:rPr>
          <w:rFonts w:hint="eastAsia" w:ascii="宋体" w:hAnsi="宋体" w:cs="宋体"/>
          <w:sz w:val="24"/>
        </w:rPr>
        <w:t>一、具备《中华人民共和国政府采购法》第二十二条第一款和本项目规定的条件：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二、完全接受和满足本项目采购文件中规定的实质性要求，如对采购文件有异议，已经在磋商截止时间届满前依法进行维权救济，不存在对采购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三、参加本次招标采购活动，不存在与单位负责人为同一人或者存在直接控股、管理关系的其他供应商参与同一合同项下的政府采购活动的行为；</w:t>
      </w:r>
    </w:p>
    <w:p>
      <w:pPr>
        <w:spacing w:line="360" w:lineRule="auto"/>
        <w:ind w:firstLine="480" w:firstLineChars="200"/>
        <w:rPr>
          <w:rFonts w:ascii="宋体" w:hAnsi="宋体" w:cs="宋体"/>
          <w:sz w:val="24"/>
        </w:rPr>
      </w:pPr>
      <w:r>
        <w:rPr>
          <w:rFonts w:hint="eastAsia" w:ascii="宋体" w:hAnsi="宋体" w:cs="宋体"/>
          <w:sz w:val="24"/>
        </w:rPr>
        <w:t>四、参加本次招标采购活动，不存在和其他供应商在同一合同项下的采购项目中，同时委托同一个自然人、同一家庭的人员、同一单位的人员作为代理人的行为；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五、参加本次招标采购活动前本单位未对本次采购项目提供过整体设计、规范编制或者项目管理、监理、检测等服务；</w:t>
      </w:r>
    </w:p>
    <w:p>
      <w:pPr>
        <w:spacing w:line="360" w:lineRule="auto"/>
        <w:ind w:firstLine="480" w:firstLineChars="200"/>
        <w:rPr>
          <w:rFonts w:ascii="宋体" w:hAnsi="宋体" w:cs="宋体"/>
          <w:sz w:val="24"/>
        </w:rPr>
      </w:pPr>
      <w:r>
        <w:rPr>
          <w:rFonts w:hint="eastAsia" w:ascii="宋体" w:hAnsi="宋体" w:cs="宋体"/>
          <w:sz w:val="24"/>
        </w:rPr>
        <w:t>六、如果有《四川省政府采购当事人诚信管理办法》（川财采[2015]33 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七、响应文件中提供的能够给予我公司带来优惠、好处的任何材料资料和服务、商务等响应承诺情况都是真实的、有效的、合法的。</w:t>
      </w:r>
    </w:p>
    <w:p>
      <w:pPr>
        <w:spacing w:line="360" w:lineRule="auto"/>
        <w:ind w:firstLine="480" w:firstLineChars="200"/>
        <w:rPr>
          <w:rFonts w:ascii="宋体" w:hAnsi="宋体" w:cs="宋体"/>
          <w:sz w:val="24"/>
        </w:rPr>
      </w:pPr>
      <w:bookmarkStart w:id="142" w:name="_Toc22808"/>
      <w:r>
        <w:rPr>
          <w:rFonts w:hint="eastAsia" w:ascii="宋体" w:hAnsi="宋体" w:cs="宋体"/>
          <w:sz w:val="24"/>
        </w:rPr>
        <w:t>八、我单位</w:t>
      </w:r>
      <w:r>
        <w:rPr>
          <w:rFonts w:hint="eastAsia" w:ascii="宋体" w:hAnsi="宋体" w:cs="宋体"/>
          <w:sz w:val="24"/>
          <w:u w:val="single"/>
        </w:rPr>
        <w:t xml:space="preserve">        </w:t>
      </w:r>
      <w:r>
        <w:rPr>
          <w:rFonts w:hint="eastAsia" w:ascii="宋体" w:hAnsi="宋体" w:cs="宋体"/>
          <w:sz w:val="24"/>
        </w:rPr>
        <w:t>（单位名称）承诺截至磋商截止日未被列入失信被执行人、重大税收违法案件当事人名单、政府采购严重违法失信行为记录名单。</w:t>
      </w:r>
      <w:bookmarkEnd w:id="142"/>
    </w:p>
    <w:p>
      <w:pPr>
        <w:spacing w:line="360" w:lineRule="auto"/>
        <w:ind w:firstLine="480" w:firstLineChars="200"/>
        <w:rPr>
          <w:rFonts w:ascii="宋体" w:hAnsi="宋体" w:cs="宋体"/>
          <w:sz w:val="24"/>
        </w:rPr>
      </w:pPr>
      <w:bookmarkStart w:id="143" w:name="_Toc17674"/>
      <w:r>
        <w:rPr>
          <w:rFonts w:hint="eastAsia" w:ascii="宋体" w:hAnsi="宋体" w:cs="宋体"/>
          <w:sz w:val="24"/>
        </w:rPr>
        <w:t>九、我单位</w:t>
      </w:r>
      <w:r>
        <w:rPr>
          <w:rFonts w:hint="eastAsia" w:ascii="宋体" w:hAnsi="宋体" w:cs="宋体"/>
          <w:sz w:val="24"/>
          <w:u w:val="single"/>
        </w:rPr>
        <w:t xml:space="preserve">        </w:t>
      </w:r>
      <w:r>
        <w:rPr>
          <w:rFonts w:hint="eastAsia" w:ascii="宋体" w:hAnsi="宋体" w:cs="宋体"/>
          <w:sz w:val="24"/>
        </w:rPr>
        <w:t xml:space="preserve">（单位名称）、 </w:t>
      </w:r>
      <w:r>
        <w:rPr>
          <w:rFonts w:hint="eastAsia" w:ascii="宋体" w:hAnsi="宋体" w:cs="宋体"/>
          <w:sz w:val="24"/>
          <w:u w:val="single"/>
        </w:rPr>
        <w:t xml:space="preserve">       </w:t>
      </w: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（主要负责人）在参加本项目政府采购活动前三年内没有行贿犯罪记录。</w:t>
      </w:r>
      <w:bookmarkEnd w:id="143"/>
    </w:p>
    <w:p>
      <w:pPr>
        <w:spacing w:line="360" w:lineRule="auto"/>
        <w:ind w:firstLine="480" w:firstLineChars="200"/>
        <w:rPr>
          <w:rFonts w:ascii="宋体" w:hAnsi="宋体" w:cs="宋体"/>
          <w:sz w:val="24"/>
        </w:rPr>
      </w:pPr>
      <w:r>
        <w:rPr>
          <w:rFonts w:hint="eastAsia" w:ascii="宋体" w:hAnsi="宋体" w:cs="宋体"/>
          <w:sz w:val="24"/>
        </w:rPr>
        <w:t>十、我单位承诺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本公司对上述承诺的内容事项真实性负责。如经查实上述承诺的内容事项存在虚假，我公司愿意接受以提供虚假材料谋取成交追究法律责任。</w:t>
      </w:r>
    </w:p>
    <w:p>
      <w:pPr>
        <w:pStyle w:val="2"/>
        <w:spacing w:line="360" w:lineRule="auto"/>
        <w:ind w:firstLine="480"/>
        <w:rPr>
          <w:rFonts w:hAnsi="宋体"/>
        </w:rPr>
      </w:pP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67"/>
        <w:ind w:left="792" w:hanging="795" w:hangingChars="330"/>
        <w:rPr>
          <w:rFonts w:ascii="宋体" w:hAnsi="宋体" w:cs="宋体"/>
          <w:b/>
          <w:color w:val="000000"/>
          <w:sz w:val="24"/>
        </w:rPr>
      </w:pPr>
      <w:r>
        <w:rPr>
          <w:rFonts w:hint="eastAsia" w:ascii="宋体" w:hAnsi="宋体" w:cs="宋体"/>
          <w:b/>
          <w:color w:val="000000"/>
          <w:sz w:val="24"/>
        </w:rPr>
        <w:t>注：</w:t>
      </w:r>
    </w:p>
    <w:p>
      <w:pPr>
        <w:pStyle w:val="67"/>
        <w:ind w:left="789" w:leftChars="229" w:hanging="308" w:hangingChars="128"/>
        <w:rPr>
          <w:rFonts w:ascii="宋体" w:hAnsi="宋体" w:cs="宋体"/>
          <w:b/>
          <w:color w:val="000000"/>
          <w:sz w:val="24"/>
        </w:rPr>
      </w:pPr>
      <w:r>
        <w:rPr>
          <w:rFonts w:hint="eastAsia" w:ascii="宋体" w:hAnsi="宋体" w:cs="宋体"/>
          <w:b/>
          <w:color w:val="000000"/>
          <w:sz w:val="24"/>
        </w:rPr>
        <w:t>1、本项目确定供应商重大违法记录中较大数额罚款的金额标准是指：若采</w:t>
      </w:r>
    </w:p>
    <w:p>
      <w:pPr>
        <w:pStyle w:val="67"/>
        <w:ind w:left="792" w:hanging="795" w:hangingChars="330"/>
        <w:rPr>
          <w:rFonts w:ascii="宋体" w:hAnsi="宋体" w:cs="宋体"/>
          <w:b/>
          <w:color w:val="000000"/>
          <w:sz w:val="24"/>
        </w:rPr>
      </w:pPr>
      <w:r>
        <w:rPr>
          <w:rFonts w:hint="eastAsia" w:ascii="宋体" w:hAnsi="宋体" w:cs="宋体"/>
          <w:b/>
          <w:color w:val="000000"/>
          <w:sz w:val="24"/>
        </w:rPr>
        <w:t>购项目所属行业行政主管部门对较大数额罚款金额标准有明文规定的，以所属</w:t>
      </w:r>
    </w:p>
    <w:p>
      <w:pPr>
        <w:pStyle w:val="67"/>
        <w:ind w:left="792" w:hanging="795" w:hangingChars="330"/>
        <w:rPr>
          <w:rFonts w:ascii="宋体" w:hAnsi="宋体" w:cs="宋体"/>
          <w:b/>
          <w:color w:val="000000"/>
          <w:sz w:val="24"/>
        </w:rPr>
      </w:pPr>
      <w:r>
        <w:rPr>
          <w:rFonts w:hint="eastAsia" w:ascii="宋体" w:hAnsi="宋体" w:cs="宋体"/>
          <w:b/>
          <w:color w:val="000000"/>
          <w:sz w:val="24"/>
        </w:rPr>
        <w:t>行业行政主管部门规定的较大数额罚款金额标准；若采购项目所属行业行政主</w:t>
      </w:r>
    </w:p>
    <w:p>
      <w:pPr>
        <w:pStyle w:val="67"/>
        <w:ind w:left="792" w:hanging="795" w:hangingChars="330"/>
        <w:rPr>
          <w:rFonts w:ascii="宋体" w:hAnsi="宋体" w:cs="宋体"/>
          <w:b/>
          <w:color w:val="000000"/>
          <w:sz w:val="24"/>
        </w:rPr>
      </w:pPr>
      <w:r>
        <w:rPr>
          <w:rFonts w:hint="eastAsia" w:ascii="宋体" w:hAnsi="宋体" w:cs="宋体"/>
          <w:b/>
          <w:color w:val="000000"/>
          <w:sz w:val="24"/>
        </w:rPr>
        <w:t>管部门对较大数额罚款金额标准未明文规定的，以四川省人民政府规定的行政</w:t>
      </w:r>
    </w:p>
    <w:p>
      <w:pPr>
        <w:pStyle w:val="67"/>
        <w:ind w:left="792" w:hanging="795" w:hangingChars="330"/>
        <w:rPr>
          <w:rFonts w:ascii="宋体" w:hAnsi="宋体" w:cs="宋体"/>
          <w:b/>
          <w:color w:val="000000"/>
          <w:sz w:val="24"/>
        </w:rPr>
      </w:pPr>
      <w:r>
        <w:rPr>
          <w:rFonts w:hint="eastAsia" w:ascii="宋体" w:hAnsi="宋体" w:cs="宋体"/>
          <w:b/>
          <w:color w:val="000000"/>
          <w:sz w:val="24"/>
        </w:rPr>
        <w:t>处罚罚款听证标准金额50000元。</w:t>
      </w:r>
    </w:p>
    <w:p>
      <w:pPr>
        <w:pStyle w:val="67"/>
        <w:ind w:left="105" w:leftChars="50" w:firstLine="480"/>
        <w:rPr>
          <w:rFonts w:ascii="宋体" w:hAnsi="宋体" w:cs="宋体"/>
          <w:b/>
          <w:color w:val="000000"/>
          <w:sz w:val="24"/>
        </w:rPr>
      </w:pPr>
      <w:r>
        <w:rPr>
          <w:rFonts w:hint="eastAsia" w:ascii="宋体" w:hAnsi="宋体" w:cs="宋体"/>
          <w:b/>
          <w:color w:val="000000"/>
          <w:sz w:val="24"/>
        </w:rPr>
        <w:t>2、供应商在参加政府采购活动前，被纳入法院、工商行政管理部门、税务</w:t>
      </w:r>
    </w:p>
    <w:p>
      <w:pPr>
        <w:pStyle w:val="67"/>
        <w:ind w:left="105" w:leftChars="50" w:firstLine="0" w:firstLineChars="0"/>
        <w:rPr>
          <w:rFonts w:ascii="宋体" w:hAnsi="宋体" w:cs="宋体"/>
          <w:b/>
          <w:color w:val="000000"/>
          <w:sz w:val="24"/>
        </w:rPr>
      </w:pPr>
      <w:r>
        <w:rPr>
          <w:rFonts w:hint="eastAsia" w:ascii="宋体" w:hAnsi="宋体" w:cs="宋体"/>
          <w:b/>
          <w:color w:val="000000"/>
          <w:sz w:val="24"/>
        </w:rPr>
        <w:t>部门、银行认定的失信名单且在有效期内，或者在前三年政府采购合同履约过程中及其他经营活动履约过程中未依法履约被有关行政部门处罚（处理）的，本项目不认定其具有良好的商业信誉。</w:t>
      </w:r>
    </w:p>
    <w:p>
      <w:pPr>
        <w:pStyle w:val="67"/>
        <w:ind w:left="105" w:leftChars="50" w:firstLine="480"/>
        <w:rPr>
          <w:rFonts w:ascii="宋体" w:hAnsi="宋体" w:cs="宋体"/>
          <w:b/>
          <w:color w:val="000000"/>
          <w:sz w:val="24"/>
        </w:rPr>
      </w:pPr>
      <w:r>
        <w:rPr>
          <w:rFonts w:hint="eastAsia" w:ascii="宋体" w:hAnsi="宋体" w:cs="宋体"/>
          <w:b/>
          <w:color w:val="000000"/>
          <w:sz w:val="24"/>
        </w:rPr>
        <w:t>3、法定代表人与主要负责人为同一人的，需另提供相关事声明，格式自拟。</w:t>
      </w:r>
    </w:p>
    <w:p>
      <w:pPr>
        <w:pStyle w:val="67"/>
        <w:ind w:left="105" w:leftChars="50" w:firstLine="0" w:firstLineChars="0"/>
        <w:rPr>
          <w:rFonts w:ascii="宋体" w:hAnsi="宋体" w:cs="宋体"/>
          <w:b/>
          <w:color w:val="000000"/>
          <w:sz w:val="24"/>
        </w:rPr>
      </w:pPr>
    </w:p>
    <w:p>
      <w:pPr>
        <w:pStyle w:val="67"/>
        <w:ind w:firstLine="0" w:firstLineChars="0"/>
        <w:rPr>
          <w:rFonts w:ascii="宋体" w:hAnsi="宋体" w:cs="宋体"/>
          <w:b/>
          <w:bCs/>
          <w:color w:val="000000"/>
          <w:kern w:val="0"/>
          <w:sz w:val="24"/>
        </w:rPr>
      </w:pPr>
    </w:p>
    <w:p>
      <w:pPr>
        <w:pStyle w:val="67"/>
        <w:ind w:firstLine="0" w:firstLineChars="0"/>
        <w:rPr>
          <w:rFonts w:ascii="宋体" w:hAnsi="宋体" w:cs="宋体"/>
          <w:b/>
          <w:bCs/>
          <w:color w:val="000000"/>
          <w:kern w:val="0"/>
          <w:sz w:val="24"/>
        </w:rPr>
      </w:pPr>
    </w:p>
    <w:p>
      <w:pPr>
        <w:pStyle w:val="67"/>
        <w:ind w:firstLine="0" w:firstLineChars="0"/>
        <w:rPr>
          <w:rFonts w:ascii="宋体" w:hAnsi="宋体" w:cs="宋体"/>
          <w:b/>
          <w:bCs/>
          <w:color w:val="000000"/>
          <w:kern w:val="0"/>
          <w:sz w:val="24"/>
        </w:rPr>
      </w:pPr>
    </w:p>
    <w:p>
      <w:pPr>
        <w:pStyle w:val="67"/>
        <w:ind w:firstLine="0" w:firstLineChars="0"/>
        <w:rPr>
          <w:rFonts w:ascii="宋体" w:hAnsi="宋体" w:cs="宋体"/>
          <w:b/>
          <w:bCs/>
          <w:color w:val="000000"/>
          <w:kern w:val="0"/>
          <w:sz w:val="24"/>
        </w:rPr>
      </w:pPr>
    </w:p>
    <w:p>
      <w:pPr>
        <w:pStyle w:val="67"/>
        <w:ind w:firstLine="0" w:firstLineChars="0"/>
        <w:rPr>
          <w:rFonts w:ascii="宋体" w:hAnsi="宋体" w:cs="宋体"/>
          <w:b/>
          <w:bCs/>
          <w:color w:val="000000"/>
          <w:kern w:val="0"/>
          <w:sz w:val="24"/>
        </w:rPr>
      </w:pPr>
    </w:p>
    <w:p>
      <w:pPr>
        <w:pStyle w:val="67"/>
        <w:ind w:firstLine="0" w:firstLineChars="0"/>
        <w:rPr>
          <w:rFonts w:ascii="宋体" w:hAnsi="宋体" w:cs="宋体"/>
          <w:b/>
          <w:bCs/>
          <w:color w:val="000000"/>
          <w:kern w:val="0"/>
          <w:sz w:val="24"/>
        </w:rPr>
      </w:pPr>
    </w:p>
    <w:p>
      <w:pPr>
        <w:jc w:val="center"/>
        <w:rPr>
          <w:b/>
          <w:bCs/>
          <w:sz w:val="28"/>
          <w:szCs w:val="36"/>
        </w:rPr>
      </w:pPr>
      <w:bookmarkStart w:id="144" w:name="_Toc30801"/>
      <w:bookmarkStart w:id="145" w:name="_Toc489015429"/>
      <w:bookmarkStart w:id="146" w:name="_Toc16336"/>
      <w:bookmarkStart w:id="147" w:name="_Toc468700787"/>
      <w:r>
        <w:rPr>
          <w:rFonts w:hint="eastAsia"/>
          <w:b/>
          <w:bCs/>
          <w:sz w:val="28"/>
          <w:szCs w:val="36"/>
        </w:rPr>
        <w:t>四、中小企业声明函</w:t>
      </w:r>
      <w:bookmarkEnd w:id="144"/>
      <w:bookmarkEnd w:id="145"/>
      <w:bookmarkEnd w:id="146"/>
      <w:bookmarkEnd w:id="147"/>
    </w:p>
    <w:p>
      <w:pPr>
        <w:spacing w:line="360" w:lineRule="auto"/>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本公司郑重声明，根据《政府采购促进中小企业发展管理办法》（财库[2020]46号）的规定，本公司参加</w:t>
      </w:r>
      <w:r>
        <w:rPr>
          <w:rFonts w:hint="eastAsia" w:ascii="宋体" w:hAnsi="宋体" w:cs="宋体"/>
          <w:color w:val="000000"/>
          <w:sz w:val="24"/>
          <w:u w:val="single"/>
        </w:rPr>
        <w:t xml:space="preserve"> （单位名称）的（项目名称）采购活动，</w:t>
      </w:r>
      <w:r>
        <w:rPr>
          <w:rFonts w:hint="eastAsia" w:ascii="宋体" w:hAnsi="宋体" w:cs="宋体"/>
          <w:color w:val="000000"/>
          <w:sz w:val="24"/>
        </w:rPr>
        <w:t>服务全部由符合政策要求的中小企业承接。相关企业的具体情况如下：</w:t>
      </w:r>
    </w:p>
    <w:p>
      <w:pPr>
        <w:numPr>
          <w:ilvl w:val="0"/>
          <w:numId w:val="5"/>
        </w:numPr>
        <w:spacing w:line="360" w:lineRule="auto"/>
        <w:ind w:firstLine="482" w:firstLineChars="200"/>
        <w:rPr>
          <w:rFonts w:ascii="宋体" w:hAnsi="宋体" w:cs="宋体"/>
          <w:color w:val="000000"/>
          <w:sz w:val="24"/>
        </w:rPr>
      </w:pPr>
      <w:r>
        <w:rPr>
          <w:rFonts w:hint="eastAsia" w:ascii="宋体" w:hAnsi="宋体" w:cs="宋体"/>
          <w:b/>
          <w:bCs/>
          <w:color w:val="000000"/>
          <w:sz w:val="24"/>
          <w:u w:val="single"/>
        </w:rPr>
        <w:t>（标的名称）</w:t>
      </w:r>
      <w:r>
        <w:rPr>
          <w:rFonts w:hint="eastAsia" w:ascii="宋体" w:hAnsi="宋体" w:cs="宋体"/>
          <w:color w:val="000000"/>
          <w:sz w:val="24"/>
        </w:rPr>
        <w:t>，属于</w:t>
      </w:r>
      <w:r>
        <w:rPr>
          <w:rFonts w:hint="eastAsia" w:ascii="宋体" w:hAnsi="宋体" w:cs="宋体"/>
          <w:b/>
          <w:bCs/>
          <w:color w:val="000000"/>
          <w:sz w:val="24"/>
          <w:u w:val="single"/>
        </w:rPr>
        <w:t>（采购文件中明确的所属行业）</w:t>
      </w:r>
      <w:r>
        <w:rPr>
          <w:rFonts w:hint="eastAsia" w:ascii="宋体" w:hAnsi="宋体" w:cs="宋体"/>
          <w:color w:val="000000"/>
          <w:sz w:val="24"/>
        </w:rPr>
        <w:t>；承接企业为</w:t>
      </w:r>
      <w:r>
        <w:rPr>
          <w:rFonts w:hint="eastAsia" w:ascii="宋体" w:hAnsi="宋体" w:cs="宋体"/>
          <w:b/>
          <w:bCs/>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b/>
          <w:bCs/>
          <w:color w:val="000000"/>
          <w:sz w:val="24"/>
          <w:u w:val="single"/>
        </w:rPr>
        <w:t>（中型企业、小型企业、微型企业）</w:t>
      </w:r>
      <w:r>
        <w:rPr>
          <w:rFonts w:hint="eastAsia" w:ascii="宋体" w:hAnsi="宋体" w:cs="宋体"/>
          <w:color w:val="000000"/>
          <w:sz w:val="24"/>
        </w:rPr>
        <w:t>；</w:t>
      </w:r>
    </w:p>
    <w:p>
      <w:pPr>
        <w:spacing w:line="360" w:lineRule="auto"/>
        <w:ind w:firstLine="482" w:firstLineChars="200"/>
        <w:rPr>
          <w:rFonts w:ascii="宋体" w:hAnsi="宋体" w:cs="宋体"/>
          <w:color w:val="000000"/>
        </w:rPr>
      </w:pPr>
      <w:r>
        <w:rPr>
          <w:rFonts w:hint="eastAsia" w:ascii="宋体" w:hAnsi="宋体" w:cs="宋体"/>
          <w:b/>
          <w:bCs/>
          <w:color w:val="000000"/>
          <w:sz w:val="24"/>
        </w:rPr>
        <w:t>2.</w:t>
      </w:r>
      <w:r>
        <w:rPr>
          <w:rFonts w:hint="eastAsia" w:ascii="宋体" w:hAnsi="宋体" w:cs="宋体"/>
          <w:b/>
          <w:bCs/>
          <w:color w:val="000000"/>
          <w:sz w:val="24"/>
          <w:u w:val="single"/>
        </w:rPr>
        <w:t>（标的名称）</w:t>
      </w:r>
      <w:r>
        <w:rPr>
          <w:rFonts w:hint="eastAsia" w:ascii="宋体" w:hAnsi="宋体" w:cs="宋体"/>
          <w:color w:val="000000"/>
          <w:sz w:val="24"/>
        </w:rPr>
        <w:t>，属于</w:t>
      </w:r>
      <w:r>
        <w:rPr>
          <w:rFonts w:hint="eastAsia" w:ascii="宋体" w:hAnsi="宋体" w:cs="宋体"/>
          <w:b/>
          <w:bCs/>
          <w:color w:val="000000"/>
          <w:sz w:val="24"/>
          <w:u w:val="single"/>
        </w:rPr>
        <w:t>（采购文件中明确的所属行业）</w:t>
      </w:r>
      <w:r>
        <w:rPr>
          <w:rFonts w:hint="eastAsia" w:ascii="宋体" w:hAnsi="宋体" w:cs="宋体"/>
          <w:color w:val="000000"/>
          <w:sz w:val="24"/>
        </w:rPr>
        <w:t>；承接企业为</w:t>
      </w:r>
      <w:r>
        <w:rPr>
          <w:rFonts w:hint="eastAsia" w:ascii="宋体" w:hAnsi="宋体" w:cs="宋体"/>
          <w:b/>
          <w:bCs/>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b/>
          <w:bCs/>
          <w:color w:val="000000"/>
          <w:sz w:val="24"/>
          <w:u w:val="single"/>
        </w:rPr>
        <w:t>（中型企业、小型企业、微型企业）</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520" w:lineRule="exact"/>
        <w:rPr>
          <w:rFonts w:ascii="宋体" w:hAnsi="宋体" w:cs="宋体"/>
          <w:color w:val="000000"/>
          <w:sz w:val="24"/>
        </w:rPr>
      </w:pPr>
      <w:r>
        <w:rPr>
          <w:rFonts w:hint="eastAsia" w:ascii="宋体" w:hAnsi="宋体" w:cs="宋体"/>
          <w:color w:val="000000"/>
          <w:sz w:val="24"/>
        </w:rPr>
        <w:t> </w:t>
      </w:r>
    </w:p>
    <w:p>
      <w:pPr>
        <w:widowControl/>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widowControl/>
        <w:spacing w:line="360" w:lineRule="auto"/>
        <w:jc w:val="left"/>
        <w:rPr>
          <w:rFonts w:ascii="宋体" w:hAnsi="宋体" w:cs="宋体"/>
          <w:color w:val="000000"/>
          <w:sz w:val="24"/>
          <w:u w:val="single"/>
        </w:rPr>
      </w:pPr>
      <w:r>
        <w:rPr>
          <w:rFonts w:hint="eastAsia" w:ascii="宋体" w:hAnsi="宋体" w:cs="宋体"/>
          <w:color w:val="000000"/>
          <w:sz w:val="24"/>
        </w:rPr>
        <w:t>磋商日期：</w:t>
      </w:r>
      <w:r>
        <w:rPr>
          <w:rFonts w:hint="eastAsia" w:ascii="宋体" w:hAnsi="宋体" w:cs="宋体"/>
          <w:color w:val="000000"/>
          <w:sz w:val="24"/>
          <w:u w:val="single"/>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rPr>
          <w:rFonts w:ascii="宋体" w:hAnsi="宋体" w:cs="宋体"/>
          <w:color w:val="000000"/>
          <w:kern w:val="0"/>
          <w:sz w:val="24"/>
        </w:rPr>
      </w:pPr>
    </w:p>
    <w:p>
      <w:pPr>
        <w:pStyle w:val="9"/>
        <w:rPr>
          <w:rFonts w:ascii="宋体" w:hAnsi="宋体" w:cs="宋体"/>
          <w:color w:val="000000"/>
        </w:rPr>
      </w:pPr>
    </w:p>
    <w:p>
      <w:pPr>
        <w:spacing w:line="360" w:lineRule="auto"/>
        <w:jc w:val="center"/>
        <w:rPr>
          <w:rFonts w:ascii="宋体" w:hAnsi="宋体" w:cs="宋体"/>
          <w:color w:val="000000"/>
          <w:sz w:val="24"/>
        </w:rPr>
      </w:pPr>
      <w:bookmarkStart w:id="148" w:name="_Toc18558"/>
      <w:bookmarkStart w:id="149" w:name="_Toc489015431"/>
      <w:bookmarkStart w:id="150" w:name="_Toc482023488"/>
      <w:r>
        <w:rPr>
          <w:rFonts w:hint="eastAsia" w:ascii="宋体" w:hAnsi="宋体" w:cs="宋体"/>
          <w:color w:val="000000"/>
          <w:sz w:val="24"/>
        </w:rPr>
        <w:br w:type="page"/>
      </w:r>
    </w:p>
    <w:p>
      <w:pPr>
        <w:jc w:val="center"/>
        <w:rPr>
          <w:b/>
          <w:bCs/>
          <w:sz w:val="28"/>
          <w:szCs w:val="36"/>
          <w:lang w:val="zh-CN"/>
        </w:rPr>
      </w:pPr>
      <w:bookmarkStart w:id="151" w:name="_Toc17631"/>
      <w:r>
        <w:rPr>
          <w:rFonts w:hint="eastAsia"/>
          <w:b/>
          <w:bCs/>
          <w:sz w:val="28"/>
          <w:szCs w:val="36"/>
        </w:rPr>
        <w:t>五</w:t>
      </w:r>
      <w:r>
        <w:rPr>
          <w:rFonts w:hint="eastAsia"/>
          <w:b/>
          <w:bCs/>
          <w:sz w:val="28"/>
          <w:szCs w:val="36"/>
          <w:lang w:val="zh-CN"/>
        </w:rPr>
        <w:t>、监狱企业证明材料</w:t>
      </w:r>
      <w:bookmarkEnd w:id="148"/>
      <w:bookmarkEnd w:id="149"/>
      <w:bookmarkEnd w:id="150"/>
      <w:bookmarkEnd w:id="151"/>
    </w:p>
    <w:p>
      <w:pPr>
        <w:pStyle w:val="2"/>
        <w:rPr>
          <w:lang w:val="zh-CN"/>
        </w:rPr>
      </w:pPr>
    </w:p>
    <w:p>
      <w:pPr>
        <w:spacing w:line="360" w:lineRule="auto"/>
        <w:ind w:firstLine="630" w:firstLineChars="250"/>
        <w:rPr>
          <w:rFonts w:ascii="宋体" w:hAnsi="宋体" w:cs="宋体"/>
          <w:color w:val="000000"/>
          <w:spacing w:val="6"/>
          <w:sz w:val="24"/>
        </w:rPr>
      </w:pPr>
      <w:r>
        <w:rPr>
          <w:rFonts w:hint="eastAsia" w:ascii="宋体" w:hAnsi="宋体" w:cs="宋体"/>
          <w:color w:val="000000"/>
          <w:spacing w:val="6"/>
          <w:sz w:val="24"/>
        </w:rPr>
        <w:t>由供应商提供由省级以上监狱管理局、戒毒管理局（含新疆生产建设兵团）出具的属于监狱企业的证明文件。</w:t>
      </w: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color w:val="000000"/>
          <w:spacing w:val="6"/>
          <w:sz w:val="24"/>
        </w:rPr>
      </w:pPr>
    </w:p>
    <w:p>
      <w:pPr>
        <w:spacing w:line="360" w:lineRule="auto"/>
        <w:jc w:val="left"/>
        <w:rPr>
          <w:rFonts w:ascii="宋体" w:hAnsi="宋体" w:cs="宋体"/>
          <w:color w:val="000000"/>
          <w:spacing w:val="6"/>
          <w:sz w:val="24"/>
        </w:rPr>
      </w:pPr>
      <w:r>
        <w:rPr>
          <w:rFonts w:hint="eastAsia" w:ascii="宋体" w:hAnsi="宋体" w:cs="宋体"/>
          <w:b/>
          <w:bCs/>
          <w:color w:val="000000"/>
          <w:sz w:val="24"/>
          <w:szCs w:val="32"/>
        </w:rPr>
        <w:t>注：供应商属于监狱企业单位则提供，不属于监狱企业不需要提供；</w:t>
      </w: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pStyle w:val="2"/>
        <w:spacing w:line="360" w:lineRule="auto"/>
        <w:rPr>
          <w:rFonts w:hAnsi="宋体"/>
          <w:spacing w:val="6"/>
        </w:rPr>
      </w:pPr>
    </w:p>
    <w:p>
      <w:pPr>
        <w:jc w:val="center"/>
        <w:rPr>
          <w:rFonts w:ascii="宋体" w:hAnsi="宋体" w:cs="宋体"/>
          <w:b/>
          <w:color w:val="000000"/>
          <w:spacing w:val="6"/>
          <w:sz w:val="24"/>
        </w:rPr>
      </w:pPr>
      <w:bookmarkStart w:id="152" w:name="OLE_LINK14"/>
      <w:bookmarkStart w:id="153" w:name="_Toc8126"/>
      <w:bookmarkStart w:id="154" w:name="OLE_LINK13"/>
      <w:r>
        <w:rPr>
          <w:rFonts w:hint="eastAsia"/>
          <w:b/>
          <w:bCs/>
          <w:sz w:val="28"/>
          <w:szCs w:val="36"/>
        </w:rPr>
        <w:t>六、残疾人福利性单位声明函</w:t>
      </w:r>
      <w:bookmarkEnd w:id="152"/>
      <w:bookmarkEnd w:id="153"/>
      <w:bookmarkEnd w:id="154"/>
    </w:p>
    <w:p>
      <w:pPr>
        <w:spacing w:line="360" w:lineRule="auto"/>
        <w:ind w:firstLine="504" w:firstLineChars="200"/>
        <w:rPr>
          <w:rFonts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w:t>
      </w:r>
      <w:r>
        <w:rPr>
          <w:rFonts w:hint="eastAsia" w:ascii="宋体" w:hAnsi="宋体" w:cs="宋体"/>
          <w:color w:val="000000"/>
          <w:spacing w:val="6"/>
          <w:sz w:val="24"/>
          <w:u w:val="single"/>
        </w:rPr>
        <w:t xml:space="preserve">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w:t>
      </w:r>
      <w:r>
        <w:rPr>
          <w:rFonts w:hint="eastAsia" w:ascii="宋体" w:hAnsi="宋体" w:cs="宋体"/>
          <w:color w:val="000000"/>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360" w:lineRule="auto"/>
        <w:ind w:firstLine="504" w:firstLineChars="200"/>
        <w:rPr>
          <w:rFonts w:ascii="宋体" w:hAnsi="宋体" w:cs="宋体"/>
          <w:color w:val="000000"/>
          <w:spacing w:val="6"/>
          <w:sz w:val="24"/>
        </w:rPr>
      </w:pPr>
    </w:p>
    <w:p>
      <w:pPr>
        <w:spacing w:line="360" w:lineRule="auto"/>
        <w:ind w:firstLine="504" w:firstLineChars="200"/>
        <w:rPr>
          <w:rFonts w:ascii="宋体" w:hAnsi="宋体" w:cs="宋体"/>
          <w:color w:val="000000"/>
          <w:spacing w:val="6"/>
          <w:sz w:val="24"/>
        </w:rPr>
      </w:pPr>
    </w:p>
    <w:p>
      <w:pPr>
        <w:tabs>
          <w:tab w:val="left" w:pos="4860"/>
        </w:tabs>
        <w:spacing w:line="360" w:lineRule="auto"/>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360" w:lineRule="auto"/>
        <w:ind w:right="1560" w:firstLine="504" w:firstLineChars="200"/>
        <w:jc w:val="center"/>
        <w:rPr>
          <w:rFonts w:ascii="宋体" w:hAnsi="宋体" w:cs="宋体"/>
          <w:color w:val="000000"/>
          <w:sz w:val="24"/>
        </w:rPr>
      </w:pPr>
      <w:r>
        <w:rPr>
          <w:rFonts w:hint="eastAsia" w:ascii="宋体" w:hAnsi="宋体" w:cs="宋体"/>
          <w:color w:val="000000"/>
          <w:spacing w:val="6"/>
          <w:sz w:val="24"/>
        </w:rPr>
        <w:t xml:space="preserve">      日  期：</w:t>
      </w:r>
    </w:p>
    <w:p>
      <w:pPr>
        <w:pStyle w:val="23"/>
        <w:ind w:firstLine="0" w:firstLineChars="0"/>
        <w:rPr>
          <w:rFonts w:ascii="宋体" w:hAnsi="宋体" w:cs="宋体"/>
          <w:color w:val="000000"/>
          <w:lang w:val="zh-CN"/>
        </w:rPr>
      </w:pPr>
    </w:p>
    <w:p>
      <w:pPr>
        <w:spacing w:line="360" w:lineRule="auto"/>
        <w:jc w:val="left"/>
        <w:rPr>
          <w:rFonts w:ascii="宋体" w:hAnsi="宋体" w:cs="宋体"/>
          <w:color w:val="000000"/>
          <w:lang w:val="zh-CN"/>
        </w:rPr>
        <w:sectPr>
          <w:footerReference r:id="rId7" w:type="default"/>
          <w:pgSz w:w="11906" w:h="16838"/>
          <w:pgMar w:top="1134" w:right="1797"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bCs/>
          <w:color w:val="000000"/>
          <w:sz w:val="24"/>
          <w:szCs w:val="32"/>
        </w:rPr>
        <w:t>注：供应商属于残疾人福利性单位则提供，不属于残疾人福利性单位不需要提供。</w:t>
      </w:r>
    </w:p>
    <w:p>
      <w:pPr>
        <w:pStyle w:val="4"/>
        <w:jc w:val="center"/>
        <w:rPr>
          <w:rFonts w:ascii="宋体" w:hAnsi="宋体" w:eastAsia="宋体" w:cs="宋体"/>
        </w:rPr>
      </w:pPr>
      <w:bookmarkStart w:id="155" w:name="_Toc18987"/>
      <w:r>
        <w:rPr>
          <w:rFonts w:hint="eastAsia" w:ascii="宋体" w:hAnsi="宋体" w:eastAsia="宋体" w:cs="宋体"/>
        </w:rPr>
        <w:t>第二部分 其他响应文件（格式）</w:t>
      </w:r>
      <w:bookmarkEnd w:id="155"/>
    </w:p>
    <w:p>
      <w:pPr>
        <w:jc w:val="center"/>
        <w:rPr>
          <w:b/>
          <w:bCs/>
          <w:sz w:val="28"/>
          <w:szCs w:val="36"/>
        </w:rPr>
      </w:pPr>
      <w:bookmarkStart w:id="156" w:name="_Toc28213"/>
      <w:r>
        <w:rPr>
          <w:rFonts w:hint="eastAsia"/>
          <w:b/>
          <w:bCs/>
          <w:sz w:val="28"/>
          <w:szCs w:val="36"/>
        </w:rPr>
        <w:t>一、磋商函</w:t>
      </w:r>
      <w:bookmarkEnd w:id="156"/>
    </w:p>
    <w:p>
      <w:pPr>
        <w:spacing w:line="480" w:lineRule="auto"/>
        <w:rPr>
          <w:rFonts w:ascii="宋体" w:hAnsi="宋体" w:cs="宋体"/>
          <w:color w:val="000000"/>
          <w:sz w:val="24"/>
        </w:rPr>
      </w:pPr>
      <w:r>
        <w:rPr>
          <w:rFonts w:hint="eastAsia" w:ascii="宋体" w:hAnsi="宋体" w:cs="宋体"/>
          <w:color w:val="000000"/>
          <w:sz w:val="24"/>
          <w:u w:val="single"/>
        </w:rPr>
        <w:t>(采购代理机构名称)</w:t>
      </w:r>
      <w:r>
        <w:rPr>
          <w:rFonts w:hint="eastAsia" w:ascii="宋体" w:hAnsi="宋体" w:cs="宋体"/>
          <w:color w:val="000000"/>
          <w:sz w:val="24"/>
        </w:rPr>
        <w:t>：</w:t>
      </w:r>
    </w:p>
    <w:p>
      <w:pPr>
        <w:spacing w:line="480" w:lineRule="auto"/>
        <w:rPr>
          <w:rFonts w:ascii="宋体" w:hAnsi="宋体" w:cs="宋体"/>
          <w:color w:val="000000"/>
          <w:sz w:val="24"/>
        </w:rPr>
      </w:pPr>
      <w:r>
        <w:rPr>
          <w:rFonts w:hint="eastAsia" w:ascii="宋体" w:hAnsi="宋体" w:cs="宋体"/>
          <w:color w:val="000000"/>
          <w:sz w:val="24"/>
        </w:rPr>
        <w:t xml:space="preserve">    我方全面研究了“</w:t>
      </w:r>
      <w:r>
        <w:rPr>
          <w:rFonts w:hint="eastAsia" w:ascii="宋体" w:hAnsi="宋体" w:cs="宋体"/>
          <w:color w:val="000000"/>
          <w:sz w:val="24"/>
          <w:u w:val="single"/>
        </w:rPr>
        <w:t xml:space="preserve">           </w:t>
      </w:r>
      <w:r>
        <w:rPr>
          <w:rFonts w:hint="eastAsia" w:ascii="宋体" w:hAnsi="宋体" w:cs="宋体"/>
          <w:color w:val="000000"/>
          <w:sz w:val="24"/>
        </w:rPr>
        <w:t>”项目磋商文件</w:t>
      </w:r>
      <w:r>
        <w:rPr>
          <w:rFonts w:hint="eastAsia" w:ascii="宋体" w:hAnsi="宋体" w:cs="宋体"/>
          <w:color w:val="000000"/>
          <w:sz w:val="24"/>
          <w:u w:val="single"/>
        </w:rPr>
        <w:t>(    项目编号     )</w:t>
      </w:r>
      <w:r>
        <w:rPr>
          <w:rFonts w:hint="eastAsia" w:ascii="宋体" w:hAnsi="宋体" w:cs="宋体"/>
          <w:color w:val="000000"/>
          <w:sz w:val="24"/>
        </w:rPr>
        <w:t>，决定参加贵单位组织的本项目磋商。我方授权 (姓名、职务)代表我方</w:t>
      </w:r>
      <w:r>
        <w:rPr>
          <w:rFonts w:hint="eastAsia" w:ascii="宋体" w:hAnsi="宋体" w:cs="宋体"/>
          <w:color w:val="000000"/>
          <w:sz w:val="24"/>
          <w:u w:val="single"/>
        </w:rPr>
        <w:t xml:space="preserve">    (磋商单位的名称)   </w:t>
      </w:r>
      <w:r>
        <w:rPr>
          <w:rFonts w:hint="eastAsia" w:ascii="宋体" w:hAnsi="宋体" w:cs="宋体"/>
          <w:color w:val="000000"/>
          <w:sz w:val="24"/>
        </w:rPr>
        <w:t>全权处理本项目磋商的有关事宜。</w:t>
      </w:r>
    </w:p>
    <w:p>
      <w:pPr>
        <w:spacing w:line="480" w:lineRule="auto"/>
        <w:rPr>
          <w:rFonts w:ascii="宋体" w:hAnsi="宋体" w:cs="宋体"/>
          <w:color w:val="000000"/>
          <w:sz w:val="24"/>
        </w:rPr>
      </w:pPr>
      <w:r>
        <w:rPr>
          <w:rFonts w:hint="eastAsia" w:ascii="宋体" w:hAnsi="宋体" w:cs="宋体"/>
          <w:color w:val="000000"/>
          <w:sz w:val="24"/>
        </w:rPr>
        <w:t>1、我方自愿按照磋商文件规定的各项要求向采购人提供所需服务。</w:t>
      </w:r>
    </w:p>
    <w:p>
      <w:pPr>
        <w:spacing w:line="480" w:lineRule="auto"/>
        <w:rPr>
          <w:rFonts w:ascii="宋体" w:hAnsi="宋体" w:cs="宋体"/>
          <w:color w:val="000000"/>
          <w:sz w:val="24"/>
        </w:rPr>
      </w:pPr>
      <w:r>
        <w:rPr>
          <w:rFonts w:hint="eastAsia" w:ascii="宋体" w:hAnsi="宋体" w:cs="宋体"/>
          <w:color w:val="000000"/>
          <w:sz w:val="24"/>
        </w:rPr>
        <w:t>2、一旦我方成交，我方保证于合同签字生效后将严格履行合同规定的责任和义务。</w:t>
      </w:r>
    </w:p>
    <w:p>
      <w:pPr>
        <w:spacing w:line="480" w:lineRule="auto"/>
        <w:rPr>
          <w:rFonts w:ascii="宋体" w:hAnsi="宋体" w:cs="宋体"/>
          <w:color w:val="000000"/>
          <w:sz w:val="24"/>
        </w:rPr>
      </w:pPr>
      <w:r>
        <w:rPr>
          <w:rFonts w:hint="eastAsia" w:ascii="宋体" w:hAnsi="宋体" w:cs="宋体"/>
          <w:color w:val="000000"/>
          <w:sz w:val="24"/>
        </w:rPr>
        <w:t>3、我方同意按照磋商文件的要求，向贵单位缴纳人民币</w:t>
      </w:r>
      <w:r>
        <w:rPr>
          <w:rFonts w:hint="eastAsia" w:ascii="宋体" w:hAnsi="宋体" w:cs="宋体"/>
          <w:color w:val="000000"/>
          <w:sz w:val="24"/>
          <w:u w:val="single"/>
        </w:rPr>
        <w:t xml:space="preserve"> / </w:t>
      </w:r>
      <w:r>
        <w:rPr>
          <w:rFonts w:hint="eastAsia" w:ascii="宋体" w:hAnsi="宋体" w:cs="宋体"/>
          <w:color w:val="000000"/>
          <w:sz w:val="24"/>
        </w:rPr>
        <w:t>元(大写：</w:t>
      </w:r>
      <w:r>
        <w:rPr>
          <w:rFonts w:hint="eastAsia" w:ascii="宋体" w:hAnsi="宋体" w:cs="宋体"/>
          <w:color w:val="000000"/>
          <w:sz w:val="24"/>
          <w:u w:val="single"/>
        </w:rPr>
        <w:t xml:space="preserve"> / </w:t>
      </w:r>
      <w:r>
        <w:rPr>
          <w:rFonts w:hint="eastAsia" w:ascii="宋体" w:hAnsi="宋体" w:cs="宋体"/>
          <w:color w:val="000000"/>
          <w:sz w:val="24"/>
        </w:rPr>
        <w:t>)的磋商保证金。并承诺：下列任何情况发生时，我方将不要求退还磋商保证金：</w:t>
      </w:r>
    </w:p>
    <w:p>
      <w:pPr>
        <w:spacing w:line="480" w:lineRule="auto"/>
        <w:rPr>
          <w:rFonts w:ascii="宋体" w:hAnsi="宋体" w:cs="宋体"/>
          <w:color w:val="000000"/>
          <w:sz w:val="24"/>
        </w:rPr>
      </w:pPr>
      <w:r>
        <w:rPr>
          <w:rFonts w:hint="eastAsia" w:ascii="宋体" w:hAnsi="宋体" w:cs="宋体"/>
          <w:color w:val="000000"/>
          <w:sz w:val="24"/>
        </w:rPr>
        <w:t>(1)如果我方在磋商有效期内撤回磋商；</w:t>
      </w:r>
    </w:p>
    <w:p>
      <w:pPr>
        <w:spacing w:line="480" w:lineRule="auto"/>
        <w:rPr>
          <w:rFonts w:ascii="宋体" w:hAnsi="宋体" w:cs="宋体"/>
          <w:color w:val="000000"/>
          <w:sz w:val="24"/>
        </w:rPr>
      </w:pPr>
      <w:r>
        <w:rPr>
          <w:rFonts w:hint="eastAsia" w:ascii="宋体" w:hAnsi="宋体" w:cs="宋体"/>
          <w:color w:val="000000"/>
          <w:sz w:val="24"/>
        </w:rPr>
        <w:t>(2)我方提供了虚假响应磋商文件的响应文件；</w:t>
      </w:r>
    </w:p>
    <w:p>
      <w:pPr>
        <w:spacing w:line="480" w:lineRule="auto"/>
        <w:rPr>
          <w:rFonts w:ascii="宋体" w:hAnsi="宋体" w:cs="宋体"/>
          <w:color w:val="000000"/>
          <w:sz w:val="24"/>
        </w:rPr>
      </w:pPr>
      <w:r>
        <w:rPr>
          <w:rFonts w:hint="eastAsia" w:ascii="宋体" w:hAnsi="宋体" w:cs="宋体"/>
          <w:color w:val="000000"/>
          <w:sz w:val="24"/>
        </w:rPr>
        <w:t>(3)在磋商过程中有违规违纪行为；</w:t>
      </w:r>
    </w:p>
    <w:p>
      <w:pPr>
        <w:spacing w:line="480" w:lineRule="auto"/>
        <w:rPr>
          <w:rFonts w:ascii="宋体" w:hAnsi="宋体" w:cs="宋体"/>
          <w:color w:val="000000"/>
          <w:sz w:val="24"/>
        </w:rPr>
      </w:pPr>
      <w:r>
        <w:rPr>
          <w:rFonts w:hint="eastAsia" w:ascii="宋体" w:hAnsi="宋体" w:cs="宋体"/>
          <w:color w:val="000000"/>
          <w:sz w:val="24"/>
        </w:rPr>
        <w:t>(4)我方在磋商有效期内收到成交通知书后，由于我方原因未能按照磋商文件要求提交履约保证金或与采购人签订并履行合同。</w:t>
      </w:r>
    </w:p>
    <w:p>
      <w:pPr>
        <w:spacing w:line="480" w:lineRule="auto"/>
        <w:rPr>
          <w:rFonts w:ascii="宋体" w:hAnsi="宋体" w:cs="宋体"/>
          <w:color w:val="000000"/>
          <w:sz w:val="24"/>
        </w:rPr>
      </w:pPr>
      <w:r>
        <w:rPr>
          <w:rFonts w:hint="eastAsia" w:ascii="宋体" w:hAnsi="宋体" w:cs="宋体"/>
          <w:color w:val="000000"/>
          <w:sz w:val="24"/>
        </w:rPr>
        <w:t>4、我方为本项目提交的资格性响应文件、其他响应文件、正本1份，副本2份，电子文档U盘（或光盘）1份。</w:t>
      </w:r>
    </w:p>
    <w:p>
      <w:pPr>
        <w:spacing w:line="480" w:lineRule="auto"/>
        <w:rPr>
          <w:rFonts w:ascii="宋体" w:hAnsi="宋体" w:cs="宋体"/>
          <w:color w:val="000000"/>
          <w:sz w:val="24"/>
        </w:rPr>
      </w:pPr>
      <w:r>
        <w:rPr>
          <w:rFonts w:hint="eastAsia" w:ascii="宋体" w:hAnsi="宋体" w:cs="宋体"/>
          <w:color w:val="000000"/>
          <w:sz w:val="24"/>
        </w:rPr>
        <w:t>5、我方承诺，响应文件有效期为递交磋商响应文件截止之日起</w:t>
      </w:r>
      <w:r>
        <w:rPr>
          <w:rFonts w:hint="eastAsia" w:ascii="宋体" w:hAnsi="宋体" w:cs="宋体"/>
          <w:color w:val="000000"/>
          <w:sz w:val="24"/>
          <w:u w:val="single"/>
        </w:rPr>
        <w:t>90</w:t>
      </w:r>
      <w:r>
        <w:rPr>
          <w:rFonts w:hint="eastAsia" w:ascii="宋体" w:hAnsi="宋体" w:cs="宋体"/>
          <w:color w:val="000000"/>
          <w:sz w:val="24"/>
        </w:rPr>
        <w:t>天。</w:t>
      </w:r>
    </w:p>
    <w:p>
      <w:pPr>
        <w:spacing w:line="480" w:lineRule="auto"/>
        <w:rPr>
          <w:rFonts w:ascii="宋体" w:hAnsi="宋体" w:cs="宋体"/>
          <w:color w:val="000000"/>
          <w:sz w:val="24"/>
        </w:rPr>
      </w:pPr>
      <w:r>
        <w:rPr>
          <w:rFonts w:hint="eastAsia" w:ascii="宋体" w:hAnsi="宋体" w:cs="宋体"/>
          <w:color w:val="000000"/>
          <w:sz w:val="24"/>
        </w:rPr>
        <w:t>6、我方愿意提供贵单位可能另外要求的，与磋商有关的文件资料，并保证我方已提供和将要提供的文件资料是真实、准确的。</w:t>
      </w:r>
    </w:p>
    <w:p>
      <w:pPr>
        <w:spacing w:line="480" w:lineRule="auto"/>
        <w:rPr>
          <w:rFonts w:ascii="宋体" w:hAnsi="宋体" w:cs="宋体"/>
          <w:color w:val="000000"/>
          <w:sz w:val="24"/>
        </w:rPr>
      </w:pPr>
      <w:r>
        <w:rPr>
          <w:rFonts w:hint="eastAsia" w:ascii="宋体" w:hAnsi="宋体" w:cs="宋体"/>
          <w:color w:val="000000"/>
          <w:sz w:val="24"/>
        </w:rPr>
        <w:t>7、我们完全理解贵方不一定要接受最低报价的报价。</w:t>
      </w:r>
    </w:p>
    <w:p>
      <w:pPr>
        <w:pStyle w:val="9"/>
        <w:rPr>
          <w:rFonts w:ascii="宋体" w:hAnsi="宋体" w:cs="宋体"/>
          <w:color w:val="000000"/>
        </w:rPr>
      </w:pPr>
    </w:p>
    <w:p>
      <w:pPr>
        <w:spacing w:line="480" w:lineRule="auto"/>
        <w:rPr>
          <w:rFonts w:ascii="宋体" w:hAnsi="宋体" w:cs="宋体"/>
          <w:color w:val="000000"/>
          <w:sz w:val="24"/>
        </w:rPr>
      </w:pPr>
      <w:r>
        <w:rPr>
          <w:rFonts w:hint="eastAsia" w:ascii="宋体" w:hAnsi="宋体" w:cs="宋体"/>
          <w:color w:val="000000"/>
          <w:sz w:val="24"/>
        </w:rPr>
        <w:t>磋商供应商名称：(加盖公章)</w:t>
      </w:r>
    </w:p>
    <w:p>
      <w:pPr>
        <w:spacing w:line="48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480" w:lineRule="auto"/>
        <w:rPr>
          <w:rFonts w:ascii="宋体" w:hAnsi="宋体" w:cs="宋体"/>
          <w:color w:val="000000"/>
          <w:sz w:val="24"/>
        </w:rPr>
      </w:pPr>
      <w:r>
        <w:rPr>
          <w:rFonts w:hint="eastAsia" w:ascii="宋体" w:hAnsi="宋体" w:cs="宋体"/>
          <w:color w:val="000000"/>
          <w:sz w:val="24"/>
        </w:rPr>
        <w:t>通讯地址：</w:t>
      </w:r>
    </w:p>
    <w:p>
      <w:pPr>
        <w:spacing w:line="480" w:lineRule="auto"/>
        <w:rPr>
          <w:rFonts w:ascii="宋体" w:hAnsi="宋体" w:cs="宋体"/>
          <w:color w:val="000000"/>
          <w:sz w:val="24"/>
        </w:rPr>
      </w:pPr>
      <w:r>
        <w:rPr>
          <w:rFonts w:hint="eastAsia" w:ascii="宋体" w:hAnsi="宋体" w:cs="宋体"/>
          <w:color w:val="000000"/>
          <w:sz w:val="24"/>
        </w:rPr>
        <w:t>邮政编码：</w:t>
      </w:r>
    </w:p>
    <w:p>
      <w:pPr>
        <w:spacing w:line="480" w:lineRule="auto"/>
        <w:rPr>
          <w:rFonts w:ascii="宋体" w:hAnsi="宋体" w:cs="宋体"/>
          <w:color w:val="000000"/>
          <w:sz w:val="24"/>
        </w:rPr>
      </w:pPr>
      <w:r>
        <w:rPr>
          <w:rFonts w:hint="eastAsia" w:ascii="宋体" w:hAnsi="宋体" w:cs="宋体"/>
          <w:color w:val="000000"/>
          <w:sz w:val="24"/>
        </w:rPr>
        <w:t>联系电话：</w:t>
      </w:r>
    </w:p>
    <w:p>
      <w:pPr>
        <w:spacing w:line="480" w:lineRule="auto"/>
        <w:rPr>
          <w:rFonts w:ascii="宋体" w:hAnsi="宋体" w:cs="宋体"/>
          <w:color w:val="000000"/>
          <w:sz w:val="24"/>
        </w:rPr>
      </w:pPr>
      <w:r>
        <w:rPr>
          <w:rFonts w:hint="eastAsia" w:ascii="宋体" w:hAnsi="宋体" w:cs="宋体"/>
          <w:color w:val="000000"/>
          <w:sz w:val="24"/>
        </w:rPr>
        <w:t>磋商日期：</w:t>
      </w:r>
    </w:p>
    <w:p>
      <w:pPr>
        <w:pStyle w:val="23"/>
        <w:ind w:firstLine="210"/>
        <w:rPr>
          <w:rFonts w:ascii="宋体" w:hAnsi="宋体" w:cs="宋体"/>
          <w:color w:val="000000"/>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3"/>
        <w:ind w:firstLine="240"/>
        <w:rPr>
          <w:rFonts w:ascii="宋体" w:hAnsi="宋体" w:cs="宋体"/>
          <w:b/>
          <w:color w:val="000000"/>
          <w:sz w:val="24"/>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jc w:val="center"/>
        <w:rPr>
          <w:b/>
          <w:bCs/>
          <w:sz w:val="28"/>
          <w:szCs w:val="36"/>
        </w:rPr>
      </w:pPr>
      <w:bookmarkStart w:id="157" w:name="_Toc23252"/>
      <w:r>
        <w:rPr>
          <w:rFonts w:hint="eastAsia"/>
          <w:b/>
          <w:bCs/>
          <w:sz w:val="28"/>
          <w:szCs w:val="36"/>
        </w:rPr>
        <w:t>二、承诺函（实质性要求）</w:t>
      </w:r>
      <w:bookmarkEnd w:id="157"/>
    </w:p>
    <w:p>
      <w:pPr>
        <w:spacing w:line="360" w:lineRule="auto"/>
        <w:rPr>
          <w:rFonts w:ascii="宋体" w:hAnsi="宋体" w:cs="宋体"/>
          <w:sz w:val="24"/>
          <w:u w:val="single"/>
        </w:rPr>
      </w:pPr>
      <w:bookmarkStart w:id="158" w:name="_Toc17562"/>
      <w:bookmarkStart w:id="159" w:name="_Toc1864"/>
      <w:bookmarkStart w:id="160" w:name="_Toc6322"/>
      <w:bookmarkStart w:id="161" w:name="_Toc2852"/>
      <w:r>
        <w:rPr>
          <w:rFonts w:hint="eastAsia" w:ascii="宋体" w:hAnsi="宋体" w:cs="宋体"/>
          <w:sz w:val="24"/>
          <w:u w:val="single"/>
        </w:rPr>
        <w:t>XXXX（采购代理机构名称）：</w:t>
      </w:r>
      <w:bookmarkEnd w:id="158"/>
      <w:bookmarkEnd w:id="159"/>
      <w:bookmarkEnd w:id="160"/>
      <w:bookmarkEnd w:id="161"/>
    </w:p>
    <w:p>
      <w:pPr>
        <w:spacing w:line="360" w:lineRule="auto"/>
        <w:ind w:firstLine="480" w:firstLineChars="200"/>
        <w:rPr>
          <w:rFonts w:ascii="宋体" w:hAnsi="宋体" w:cs="宋体"/>
          <w:sz w:val="24"/>
        </w:rPr>
      </w:pPr>
      <w:bookmarkStart w:id="162" w:name="_Toc31402"/>
      <w:bookmarkStart w:id="163" w:name="_Toc9090"/>
      <w:bookmarkStart w:id="164" w:name="_Toc22380"/>
      <w:bookmarkStart w:id="165" w:name="_Toc4118"/>
      <w:r>
        <w:rPr>
          <w:rFonts w:hint="eastAsia" w:ascii="宋体" w:hAnsi="宋体" w:cs="宋体"/>
          <w:sz w:val="24"/>
        </w:rPr>
        <w:t>我方作为</w:t>
      </w:r>
      <w:r>
        <w:rPr>
          <w:rFonts w:hint="eastAsia" w:ascii="宋体" w:hAnsi="宋体" w:cs="宋体"/>
          <w:sz w:val="24"/>
          <w:u w:val="single"/>
        </w:rPr>
        <w:t xml:space="preserve">    （项目名称）    </w:t>
      </w:r>
      <w:r>
        <w:rPr>
          <w:rFonts w:hint="eastAsia" w:ascii="宋体" w:hAnsi="宋体" w:cs="宋体"/>
          <w:sz w:val="24"/>
        </w:rPr>
        <w:t>的供应商，根据磋商文件要求，现郑重承诺如下：</w:t>
      </w:r>
      <w:bookmarkEnd w:id="162"/>
      <w:bookmarkEnd w:id="163"/>
      <w:bookmarkEnd w:id="164"/>
      <w:bookmarkEnd w:id="165"/>
    </w:p>
    <w:p>
      <w:pPr>
        <w:spacing w:line="360" w:lineRule="auto"/>
        <w:ind w:firstLine="480" w:firstLineChars="200"/>
        <w:rPr>
          <w:rFonts w:ascii="宋体" w:hAnsi="宋体" w:cs="宋体"/>
          <w:sz w:val="24"/>
        </w:rPr>
      </w:pPr>
      <w:bookmarkStart w:id="166" w:name="_Toc23320"/>
      <w:bookmarkStart w:id="167" w:name="_Toc7019"/>
      <w:bookmarkStart w:id="168" w:name="_Toc29368"/>
      <w:bookmarkStart w:id="169" w:name="_Toc23643"/>
      <w:r>
        <w:rPr>
          <w:rFonts w:hint="eastAsia" w:ascii="宋体" w:hAnsi="宋体" w:cs="宋体"/>
          <w:sz w:val="24"/>
        </w:rPr>
        <w:t>一、我方已认真阅读并接受本项目磋商文件第二章的全部实质性要求，如对磋商文件有异议，已依法进行维权救济，不存在对磋商文件有异议的同时又参加投标以求侥幸中标或者为实现其他非法目的的行为。</w:t>
      </w:r>
      <w:bookmarkEnd w:id="166"/>
      <w:bookmarkEnd w:id="167"/>
      <w:bookmarkEnd w:id="168"/>
      <w:bookmarkEnd w:id="169"/>
    </w:p>
    <w:p>
      <w:pPr>
        <w:spacing w:line="360" w:lineRule="auto"/>
        <w:ind w:firstLine="480" w:firstLineChars="200"/>
        <w:rPr>
          <w:rFonts w:ascii="宋体" w:hAnsi="宋体" w:cs="宋体"/>
          <w:sz w:val="24"/>
        </w:rPr>
      </w:pPr>
      <w:bookmarkStart w:id="170" w:name="_Toc4892"/>
      <w:bookmarkStart w:id="171" w:name="_Toc12941"/>
      <w:bookmarkStart w:id="172" w:name="_Toc12089"/>
      <w:bookmarkStart w:id="173" w:name="_Toc20573"/>
      <w:r>
        <w:rPr>
          <w:rFonts w:hint="eastAsia" w:ascii="宋体" w:hAnsi="宋体" w:cs="宋体"/>
          <w:sz w:val="24"/>
        </w:rPr>
        <w:t>二、参加本次采购活动，不存在与单位负责人为同一人或者存在直接控股、管理关系的其他供应商参与同一合同项下的政府采购活动的行为。</w:t>
      </w:r>
      <w:bookmarkEnd w:id="170"/>
      <w:bookmarkEnd w:id="171"/>
      <w:bookmarkEnd w:id="172"/>
      <w:bookmarkEnd w:id="173"/>
    </w:p>
    <w:p>
      <w:pPr>
        <w:spacing w:line="360" w:lineRule="auto"/>
        <w:ind w:firstLine="480" w:firstLineChars="200"/>
        <w:rPr>
          <w:rFonts w:ascii="宋体" w:hAnsi="宋体" w:cs="宋体"/>
          <w:sz w:val="24"/>
        </w:rPr>
      </w:pPr>
      <w:bookmarkStart w:id="174" w:name="_Toc26985"/>
      <w:bookmarkStart w:id="175" w:name="_Toc12533"/>
      <w:bookmarkStart w:id="176" w:name="_Toc31847"/>
      <w:bookmarkStart w:id="177" w:name="_Toc8987"/>
      <w:r>
        <w:rPr>
          <w:rFonts w:hint="eastAsia" w:ascii="宋体" w:hAnsi="宋体" w:cs="宋体"/>
          <w:sz w:val="24"/>
        </w:rPr>
        <w:t>三、为采购项目提供整体设计、规范编制或者项目管理、监理、检测等服务的供应商，不得再参加该采购项目的其他采购活动，我方承诺不属于此类禁止参加本项目的供应商。</w:t>
      </w:r>
      <w:bookmarkEnd w:id="174"/>
      <w:bookmarkEnd w:id="175"/>
      <w:bookmarkEnd w:id="176"/>
      <w:bookmarkEnd w:id="177"/>
    </w:p>
    <w:p>
      <w:pPr>
        <w:spacing w:line="360" w:lineRule="auto"/>
        <w:ind w:firstLine="480" w:firstLineChars="200"/>
        <w:rPr>
          <w:rFonts w:ascii="宋体" w:hAnsi="宋体" w:cs="宋体"/>
          <w:sz w:val="24"/>
        </w:rPr>
      </w:pPr>
      <w:bookmarkStart w:id="178" w:name="_Toc7983"/>
      <w:bookmarkStart w:id="179" w:name="_Toc26779"/>
      <w:bookmarkStart w:id="180" w:name="_Toc20557"/>
      <w:bookmarkStart w:id="181" w:name="_Toc5078"/>
      <w:r>
        <w:rPr>
          <w:rFonts w:hint="eastAsia" w:ascii="宋体" w:hAnsi="宋体" w:cs="宋体"/>
          <w:sz w:val="24"/>
        </w:rPr>
        <w:t>四、参加本次采购活动，不存在和其他供应商在同一合同项下的采购项目中，同时委托同一个自然人、同一家庭的人员、同一单位的人员作为代理人的行为。</w:t>
      </w:r>
      <w:bookmarkEnd w:id="178"/>
      <w:bookmarkEnd w:id="179"/>
      <w:bookmarkEnd w:id="180"/>
      <w:bookmarkEnd w:id="181"/>
    </w:p>
    <w:p>
      <w:pPr>
        <w:spacing w:line="360" w:lineRule="auto"/>
        <w:ind w:firstLine="480" w:firstLineChars="200"/>
        <w:rPr>
          <w:rFonts w:ascii="宋体" w:hAnsi="宋体" w:cs="宋体"/>
          <w:sz w:val="24"/>
        </w:rPr>
      </w:pPr>
      <w:bookmarkStart w:id="182" w:name="_Toc6845"/>
      <w:bookmarkStart w:id="183" w:name="_Toc28701"/>
      <w:bookmarkStart w:id="184" w:name="_Toc17655"/>
      <w:bookmarkStart w:id="185" w:name="_Toc8251"/>
      <w:r>
        <w:rPr>
          <w:rFonts w:hint="eastAsia" w:ascii="宋体" w:hAnsi="宋体" w:cs="宋体"/>
          <w:sz w:val="24"/>
        </w:rPr>
        <w:t>五、如果有《四川省政府采购当事人诚信管理办法》（川财采[2015]33号）规定的记入诚信档案的失信行为，将在投标文件中全面如实反映。</w:t>
      </w:r>
      <w:bookmarkEnd w:id="182"/>
      <w:bookmarkEnd w:id="183"/>
      <w:bookmarkEnd w:id="184"/>
      <w:bookmarkEnd w:id="185"/>
    </w:p>
    <w:p>
      <w:pPr>
        <w:spacing w:line="360" w:lineRule="auto"/>
        <w:ind w:firstLine="480" w:firstLineChars="200"/>
        <w:rPr>
          <w:rFonts w:ascii="宋体" w:hAnsi="宋体" w:cs="宋体"/>
          <w:sz w:val="24"/>
        </w:rPr>
      </w:pPr>
      <w:bookmarkStart w:id="186" w:name="_Toc3486"/>
      <w:bookmarkStart w:id="187" w:name="_Toc16494"/>
      <w:bookmarkStart w:id="188" w:name="_Toc11854"/>
      <w:bookmarkStart w:id="189" w:name="_Toc23832"/>
      <w:r>
        <w:rPr>
          <w:rFonts w:hint="eastAsia" w:ascii="宋体" w:hAnsi="宋体" w:cs="宋体"/>
          <w:sz w:val="24"/>
        </w:rPr>
        <w:t>六、响应文件中提供的能够给予我方带来优惠、好处的任何材料资料和技术、服务、商务、响应产品等响应承诺情况都是真实的、有效的、合法的。</w:t>
      </w:r>
      <w:bookmarkEnd w:id="186"/>
      <w:bookmarkEnd w:id="187"/>
      <w:bookmarkEnd w:id="188"/>
      <w:bookmarkEnd w:id="189"/>
    </w:p>
    <w:p>
      <w:pPr>
        <w:spacing w:line="360" w:lineRule="auto"/>
        <w:ind w:firstLine="480" w:firstLineChars="200"/>
        <w:rPr>
          <w:rFonts w:ascii="宋体" w:hAnsi="宋体" w:cs="宋体"/>
          <w:sz w:val="24"/>
        </w:rPr>
      </w:pPr>
      <w:bookmarkStart w:id="190" w:name="_Toc1863"/>
      <w:bookmarkStart w:id="191" w:name="_Toc12790"/>
      <w:bookmarkStart w:id="192" w:name="_Toc4039"/>
      <w:bookmarkStart w:id="193" w:name="_Toc21164"/>
      <w:r>
        <w:rPr>
          <w:rFonts w:hint="eastAsia" w:ascii="宋体" w:hAnsi="宋体" w:cs="宋体"/>
          <w:sz w:val="24"/>
        </w:rPr>
        <w:t>七、如本项目评审过程中需要提供样品，则我方提供的样品即为中标后将要提供的中标产品，我方对提供样品的性能和质量负责，因样品存在缺陷或者不符合磋商文件要求导致未能中标的，我方愿意承担相应不利后果。</w:t>
      </w:r>
      <w:bookmarkEnd w:id="190"/>
      <w:bookmarkEnd w:id="191"/>
      <w:bookmarkEnd w:id="192"/>
      <w:bookmarkEnd w:id="193"/>
    </w:p>
    <w:p>
      <w:pPr>
        <w:spacing w:line="360" w:lineRule="auto"/>
        <w:ind w:firstLine="480" w:firstLineChars="200"/>
        <w:rPr>
          <w:rFonts w:ascii="宋体" w:hAnsi="宋体" w:cs="宋体"/>
          <w:sz w:val="24"/>
        </w:rPr>
      </w:pPr>
      <w:bookmarkStart w:id="194" w:name="_Toc11498"/>
      <w:bookmarkStart w:id="195" w:name="_Toc5786"/>
      <w:bookmarkStart w:id="196" w:name="_Toc24676"/>
      <w:bookmarkStart w:id="197" w:name="_Toc24461"/>
      <w:r>
        <w:rPr>
          <w:rFonts w:hint="eastAsia" w:ascii="宋体" w:hAnsi="宋体" w:cs="宋体"/>
          <w:sz w:val="24"/>
        </w:rPr>
        <w:t>八、国家或行业主管部门对采购产品的技术标准、质量标准和资格资质条件等有强制性规定的，我方承诺符合其要求。</w:t>
      </w:r>
      <w:bookmarkEnd w:id="194"/>
      <w:bookmarkEnd w:id="195"/>
      <w:bookmarkEnd w:id="196"/>
      <w:bookmarkEnd w:id="197"/>
    </w:p>
    <w:p>
      <w:pPr>
        <w:spacing w:line="360" w:lineRule="auto"/>
        <w:ind w:firstLine="480" w:firstLineChars="200"/>
        <w:rPr>
          <w:rFonts w:ascii="宋体" w:hAnsi="宋体" w:cs="宋体"/>
          <w:sz w:val="24"/>
        </w:rPr>
      </w:pPr>
      <w:bookmarkStart w:id="198" w:name="_Toc29429"/>
      <w:bookmarkStart w:id="199" w:name="_Toc18056"/>
      <w:bookmarkStart w:id="200" w:name="_Toc15253"/>
      <w:bookmarkStart w:id="201" w:name="_Toc16682"/>
      <w:r>
        <w:rPr>
          <w:rFonts w:hint="eastAsia" w:ascii="宋体" w:hAnsi="宋体" w:cs="宋体"/>
          <w:sz w:val="24"/>
        </w:rPr>
        <w:t>九、参加本次采购活动，我方完全同意磋商文件第二章关于“投标费用”、“合同分包”、“合同转包”、“履约保证金”等的实质性要求，并承诺严格按照磋商文件要求履行。</w:t>
      </w:r>
      <w:bookmarkEnd w:id="198"/>
      <w:bookmarkEnd w:id="199"/>
      <w:bookmarkEnd w:id="200"/>
      <w:bookmarkEnd w:id="201"/>
    </w:p>
    <w:p>
      <w:pPr>
        <w:spacing w:line="360" w:lineRule="auto"/>
        <w:ind w:firstLine="480" w:firstLineChars="200"/>
        <w:rPr>
          <w:rFonts w:ascii="宋体" w:hAnsi="宋体" w:cs="宋体"/>
          <w:sz w:val="24"/>
        </w:rPr>
      </w:pPr>
      <w:bookmarkStart w:id="202" w:name="_Toc8046"/>
      <w:bookmarkStart w:id="203" w:name="_Toc3182"/>
      <w:bookmarkStart w:id="204" w:name="_Toc3984"/>
      <w:bookmarkStart w:id="205" w:name="_Toc27831"/>
      <w:r>
        <w:rPr>
          <w:rFonts w:hint="eastAsia" w:ascii="宋体" w:hAnsi="宋体" w:cs="宋体"/>
          <w:sz w:val="24"/>
        </w:rPr>
        <w:t>十、在本次投标之前一周年内，供应商本次投标中对同一品牌同一型号相同配置的产品报价与其在中国境内其他地方的最低报价比例不得高于20%，我方承诺符合该要求。</w:t>
      </w:r>
      <w:bookmarkEnd w:id="202"/>
      <w:bookmarkEnd w:id="203"/>
      <w:bookmarkEnd w:id="204"/>
      <w:bookmarkEnd w:id="205"/>
    </w:p>
    <w:p>
      <w:pPr>
        <w:spacing w:line="360" w:lineRule="auto"/>
        <w:ind w:firstLine="480" w:firstLineChars="200"/>
        <w:rPr>
          <w:rFonts w:ascii="宋体" w:hAnsi="宋体" w:cs="宋体"/>
          <w:sz w:val="24"/>
        </w:rPr>
      </w:pPr>
      <w:bookmarkStart w:id="206" w:name="_Toc2433"/>
      <w:bookmarkStart w:id="207" w:name="_Toc22670"/>
      <w:bookmarkStart w:id="208" w:name="_Toc28939"/>
      <w:bookmarkStart w:id="209" w:name="_Toc1833"/>
      <w:r>
        <w:rPr>
          <w:rFonts w:hint="eastAsia" w:ascii="宋体" w:hAnsi="宋体" w:cs="宋体"/>
          <w:sz w:val="24"/>
        </w:rPr>
        <w:t>十一、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bookmarkEnd w:id="206"/>
      <w:bookmarkEnd w:id="207"/>
      <w:bookmarkEnd w:id="208"/>
      <w:bookmarkEnd w:id="209"/>
    </w:p>
    <w:p>
      <w:pPr>
        <w:spacing w:line="360" w:lineRule="auto"/>
        <w:ind w:firstLine="480" w:firstLineChars="200"/>
        <w:rPr>
          <w:rFonts w:ascii="宋体" w:hAnsi="宋体" w:cs="宋体"/>
          <w:sz w:val="24"/>
        </w:rPr>
      </w:pPr>
      <w:bookmarkStart w:id="210" w:name="_Toc31136"/>
      <w:bookmarkStart w:id="211" w:name="_Toc5289"/>
      <w:bookmarkStart w:id="212" w:name="_Toc17841"/>
      <w:bookmarkStart w:id="213" w:name="_Toc25825"/>
      <w:r>
        <w:rPr>
          <w:rFonts w:hint="eastAsia" w:ascii="宋体" w:hAnsi="宋体" w:cs="宋体"/>
          <w:sz w:val="24"/>
        </w:rPr>
        <w:t>我方对上述承诺的内容事项真实性负责。如经查实上述承诺的内容事项存在虚假，我方愿意接受以提供虚假材料谋取中标追究法律责任。</w:t>
      </w:r>
      <w:bookmarkEnd w:id="210"/>
      <w:bookmarkEnd w:id="211"/>
      <w:bookmarkEnd w:id="212"/>
      <w:bookmarkEnd w:id="213"/>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bookmarkStart w:id="214" w:name="_Toc14308"/>
      <w:bookmarkStart w:id="215" w:name="_Toc26560"/>
      <w:bookmarkStart w:id="216" w:name="_Toc28831"/>
      <w:bookmarkStart w:id="217" w:name="_Toc2159"/>
      <w:r>
        <w:rPr>
          <w:rFonts w:hint="eastAsia" w:ascii="宋体" w:hAnsi="宋体" w:cs="宋体"/>
          <w:sz w:val="24"/>
        </w:rPr>
        <w:t>供应商名称：XXXX（单位公章）。</w:t>
      </w:r>
      <w:bookmarkEnd w:id="214"/>
      <w:bookmarkEnd w:id="215"/>
      <w:bookmarkEnd w:id="216"/>
      <w:bookmarkEnd w:id="217"/>
    </w:p>
    <w:p>
      <w:pPr>
        <w:spacing w:line="360" w:lineRule="auto"/>
        <w:ind w:firstLine="480" w:firstLineChars="200"/>
        <w:rPr>
          <w:rFonts w:ascii="宋体" w:hAnsi="宋体" w:cs="宋体"/>
          <w:sz w:val="24"/>
        </w:rPr>
      </w:pPr>
      <w:bookmarkStart w:id="218" w:name="_Toc16037"/>
      <w:bookmarkStart w:id="219" w:name="_Toc5819"/>
      <w:bookmarkStart w:id="220" w:name="_Toc13646"/>
      <w:bookmarkStart w:id="221" w:name="_Toc27674"/>
      <w:r>
        <w:rPr>
          <w:rFonts w:hint="eastAsia" w:ascii="宋体" w:hAnsi="宋体" w:cs="宋体"/>
          <w:sz w:val="24"/>
        </w:rPr>
        <w:t>法定代表人或授权代表（签字或加盖个人名章）：XXXX。</w:t>
      </w:r>
      <w:bookmarkEnd w:id="218"/>
      <w:bookmarkEnd w:id="219"/>
      <w:bookmarkEnd w:id="220"/>
      <w:bookmarkEnd w:id="221"/>
    </w:p>
    <w:p>
      <w:pPr>
        <w:spacing w:line="360" w:lineRule="auto"/>
        <w:ind w:firstLine="480" w:firstLineChars="200"/>
        <w:rPr>
          <w:rFonts w:ascii="宋体" w:hAnsi="宋体" w:cs="宋体"/>
          <w:sz w:val="24"/>
        </w:rPr>
      </w:pPr>
      <w:r>
        <w:rPr>
          <w:rFonts w:hint="eastAsia" w:ascii="宋体" w:hAnsi="宋体" w:cs="宋体"/>
          <w:sz w:val="24"/>
        </w:rPr>
        <w:t>磋商日期：XXXX。</w:t>
      </w:r>
    </w:p>
    <w:p>
      <w:pPr>
        <w:spacing w:line="360" w:lineRule="auto"/>
        <w:ind w:firstLine="480" w:firstLineChars="200"/>
        <w:rPr>
          <w:rFonts w:ascii="宋体" w:hAnsi="宋体" w:cs="宋体"/>
          <w:sz w:val="24"/>
        </w:rPr>
      </w:pPr>
    </w:p>
    <w:p>
      <w:pPr>
        <w:pStyle w:val="2"/>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r>
        <w:rPr>
          <w:rFonts w:hint="eastAsia" w:hAnsi="宋体"/>
        </w:rPr>
        <w:br w:type="textWrapping"/>
      </w: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pStyle w:val="2"/>
        <w:ind w:firstLine="480" w:firstLineChars="200"/>
        <w:rPr>
          <w:rFonts w:hAnsi="宋体"/>
        </w:rPr>
      </w:pPr>
    </w:p>
    <w:p>
      <w:pPr>
        <w:jc w:val="center"/>
        <w:rPr>
          <w:b/>
          <w:bCs/>
          <w:sz w:val="28"/>
          <w:szCs w:val="36"/>
        </w:rPr>
      </w:pPr>
      <w:bookmarkStart w:id="222" w:name="_Toc688"/>
      <w:r>
        <w:rPr>
          <w:rFonts w:hint="eastAsia"/>
          <w:b/>
          <w:bCs/>
          <w:sz w:val="28"/>
          <w:szCs w:val="36"/>
        </w:rPr>
        <w:t>三、供应商基本情况表</w:t>
      </w:r>
      <w:bookmarkEnd w:id="222"/>
    </w:p>
    <w:tbl>
      <w:tblPr>
        <w:tblStyle w:val="24"/>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338"/>
        <w:gridCol w:w="1141"/>
        <w:gridCol w:w="1229"/>
        <w:gridCol w:w="246"/>
        <w:gridCol w:w="1533"/>
        <w:gridCol w:w="131"/>
        <w:gridCol w:w="11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供应商名称</w:t>
            </w:r>
          </w:p>
        </w:tc>
        <w:tc>
          <w:tcPr>
            <w:tcW w:w="8134" w:type="dxa"/>
            <w:gridSpan w:val="8"/>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注册地址</w:t>
            </w:r>
          </w:p>
        </w:tc>
        <w:tc>
          <w:tcPr>
            <w:tcW w:w="3708" w:type="dxa"/>
            <w:gridSpan w:val="3"/>
            <w:vAlign w:val="center"/>
          </w:tcPr>
          <w:p>
            <w:pPr>
              <w:spacing w:line="360" w:lineRule="auto"/>
              <w:jc w:val="center"/>
              <w:rPr>
                <w:rFonts w:ascii="宋体" w:hAnsi="宋体" w:cs="宋体"/>
                <w:color w:val="000000"/>
                <w:sz w:val="24"/>
              </w:rPr>
            </w:pPr>
          </w:p>
        </w:tc>
        <w:tc>
          <w:tcPr>
            <w:tcW w:w="177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邮政编码</w:t>
            </w:r>
          </w:p>
        </w:tc>
        <w:tc>
          <w:tcPr>
            <w:tcW w:w="2647" w:type="dxa"/>
            <w:gridSpan w:val="3"/>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81" w:type="dxa"/>
            <w:vMerge w:val="restart"/>
            <w:vAlign w:val="center"/>
          </w:tcPr>
          <w:p>
            <w:pPr>
              <w:spacing w:line="360" w:lineRule="auto"/>
              <w:jc w:val="center"/>
              <w:rPr>
                <w:rFonts w:ascii="宋体" w:hAnsi="宋体" w:cs="宋体"/>
                <w:color w:val="000000"/>
                <w:sz w:val="24"/>
              </w:rPr>
            </w:pPr>
            <w:r>
              <w:rPr>
                <w:rFonts w:hint="eastAsia" w:ascii="宋体" w:hAnsi="宋体" w:cs="宋体"/>
                <w:color w:val="000000"/>
                <w:sz w:val="24"/>
              </w:rPr>
              <w:t>联系方式</w:t>
            </w:r>
          </w:p>
        </w:tc>
        <w:tc>
          <w:tcPr>
            <w:tcW w:w="133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联系人</w:t>
            </w:r>
          </w:p>
        </w:tc>
        <w:tc>
          <w:tcPr>
            <w:tcW w:w="2370" w:type="dxa"/>
            <w:gridSpan w:val="2"/>
            <w:vAlign w:val="center"/>
          </w:tcPr>
          <w:p>
            <w:pPr>
              <w:spacing w:line="360" w:lineRule="auto"/>
              <w:jc w:val="center"/>
              <w:rPr>
                <w:rFonts w:ascii="宋体" w:hAnsi="宋体" w:cs="宋体"/>
                <w:color w:val="000000"/>
                <w:sz w:val="24"/>
              </w:rPr>
            </w:pPr>
          </w:p>
        </w:tc>
        <w:tc>
          <w:tcPr>
            <w:tcW w:w="177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电话</w:t>
            </w:r>
          </w:p>
        </w:tc>
        <w:tc>
          <w:tcPr>
            <w:tcW w:w="2647" w:type="dxa"/>
            <w:gridSpan w:val="3"/>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1" w:type="dxa"/>
            <w:vMerge w:val="continue"/>
            <w:vAlign w:val="center"/>
          </w:tcPr>
          <w:p>
            <w:pPr>
              <w:spacing w:line="360" w:lineRule="auto"/>
              <w:jc w:val="center"/>
              <w:rPr>
                <w:rFonts w:ascii="宋体" w:hAnsi="宋体" w:cs="宋体"/>
                <w:color w:val="000000"/>
                <w:sz w:val="24"/>
              </w:rPr>
            </w:pPr>
          </w:p>
        </w:tc>
        <w:tc>
          <w:tcPr>
            <w:tcW w:w="133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传真</w:t>
            </w:r>
          </w:p>
        </w:tc>
        <w:tc>
          <w:tcPr>
            <w:tcW w:w="2370" w:type="dxa"/>
            <w:gridSpan w:val="2"/>
            <w:vAlign w:val="center"/>
          </w:tcPr>
          <w:p>
            <w:pPr>
              <w:spacing w:line="360" w:lineRule="auto"/>
              <w:jc w:val="center"/>
              <w:rPr>
                <w:rFonts w:ascii="宋体" w:hAnsi="宋体" w:cs="宋体"/>
                <w:color w:val="000000"/>
                <w:sz w:val="24"/>
              </w:rPr>
            </w:pPr>
          </w:p>
        </w:tc>
        <w:tc>
          <w:tcPr>
            <w:tcW w:w="177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网址</w:t>
            </w:r>
          </w:p>
        </w:tc>
        <w:tc>
          <w:tcPr>
            <w:tcW w:w="2647" w:type="dxa"/>
            <w:gridSpan w:val="3"/>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组织结构</w:t>
            </w:r>
          </w:p>
        </w:tc>
        <w:tc>
          <w:tcPr>
            <w:tcW w:w="8134" w:type="dxa"/>
            <w:gridSpan w:val="8"/>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法定代表人（或其他组织主要负责人）</w:t>
            </w:r>
          </w:p>
        </w:tc>
        <w:tc>
          <w:tcPr>
            <w:tcW w:w="133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1141" w:type="dxa"/>
            <w:vAlign w:val="center"/>
          </w:tcPr>
          <w:p>
            <w:pPr>
              <w:spacing w:line="360" w:lineRule="auto"/>
              <w:jc w:val="center"/>
              <w:rPr>
                <w:rFonts w:ascii="宋体" w:hAnsi="宋体" w:cs="宋体"/>
                <w:color w:val="000000"/>
                <w:sz w:val="24"/>
              </w:rPr>
            </w:pPr>
          </w:p>
        </w:tc>
        <w:tc>
          <w:tcPr>
            <w:tcW w:w="1475"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技术职称</w:t>
            </w:r>
          </w:p>
        </w:tc>
        <w:tc>
          <w:tcPr>
            <w:tcW w:w="1533" w:type="dxa"/>
            <w:vAlign w:val="center"/>
          </w:tcPr>
          <w:p>
            <w:pPr>
              <w:spacing w:line="360" w:lineRule="auto"/>
              <w:jc w:val="center"/>
              <w:rPr>
                <w:rFonts w:ascii="宋体" w:hAnsi="宋体" w:cs="宋体"/>
                <w:color w:val="000000"/>
                <w:sz w:val="24"/>
              </w:rPr>
            </w:pPr>
          </w:p>
        </w:tc>
        <w:tc>
          <w:tcPr>
            <w:tcW w:w="123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电话</w:t>
            </w:r>
          </w:p>
        </w:tc>
        <w:tc>
          <w:tcPr>
            <w:tcW w:w="1408"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技术负责人</w:t>
            </w:r>
          </w:p>
        </w:tc>
        <w:tc>
          <w:tcPr>
            <w:tcW w:w="133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1141" w:type="dxa"/>
            <w:vAlign w:val="center"/>
          </w:tcPr>
          <w:p>
            <w:pPr>
              <w:spacing w:line="360" w:lineRule="auto"/>
              <w:jc w:val="center"/>
              <w:rPr>
                <w:rFonts w:ascii="宋体" w:hAnsi="宋体" w:cs="宋体"/>
                <w:color w:val="000000"/>
                <w:sz w:val="24"/>
              </w:rPr>
            </w:pPr>
          </w:p>
        </w:tc>
        <w:tc>
          <w:tcPr>
            <w:tcW w:w="1475"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技术职称</w:t>
            </w:r>
          </w:p>
        </w:tc>
        <w:tc>
          <w:tcPr>
            <w:tcW w:w="1533" w:type="dxa"/>
            <w:vAlign w:val="center"/>
          </w:tcPr>
          <w:p>
            <w:pPr>
              <w:spacing w:line="360" w:lineRule="auto"/>
              <w:jc w:val="center"/>
              <w:rPr>
                <w:rFonts w:ascii="宋体" w:hAnsi="宋体" w:cs="宋体"/>
                <w:color w:val="000000"/>
                <w:sz w:val="24"/>
              </w:rPr>
            </w:pPr>
          </w:p>
        </w:tc>
        <w:tc>
          <w:tcPr>
            <w:tcW w:w="1239" w:type="dxa"/>
            <w:gridSpan w:val="2"/>
            <w:vAlign w:val="center"/>
          </w:tcPr>
          <w:p>
            <w:pPr>
              <w:spacing w:line="360" w:lineRule="auto"/>
              <w:jc w:val="center"/>
              <w:rPr>
                <w:rFonts w:ascii="宋体" w:hAnsi="宋体" w:cs="宋体"/>
                <w:color w:val="000000"/>
                <w:sz w:val="24"/>
              </w:rPr>
            </w:pPr>
            <w:r>
              <w:rPr>
                <w:rFonts w:hint="eastAsia" w:ascii="宋体" w:hAnsi="宋体" w:cs="宋体"/>
                <w:color w:val="000000"/>
                <w:sz w:val="24"/>
              </w:rPr>
              <w:t>电话</w:t>
            </w:r>
          </w:p>
        </w:tc>
        <w:tc>
          <w:tcPr>
            <w:tcW w:w="1408"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成立时间</w:t>
            </w:r>
          </w:p>
        </w:tc>
        <w:tc>
          <w:tcPr>
            <w:tcW w:w="2479" w:type="dxa"/>
            <w:gridSpan w:val="2"/>
            <w:vAlign w:val="center"/>
          </w:tcPr>
          <w:p>
            <w:pPr>
              <w:spacing w:line="360" w:lineRule="auto"/>
              <w:jc w:val="center"/>
              <w:rPr>
                <w:rFonts w:ascii="宋体" w:hAnsi="宋体" w:cs="宋体"/>
                <w:color w:val="000000"/>
                <w:sz w:val="24"/>
              </w:rPr>
            </w:pPr>
          </w:p>
        </w:tc>
        <w:tc>
          <w:tcPr>
            <w:tcW w:w="5655" w:type="dxa"/>
            <w:gridSpan w:val="6"/>
            <w:vAlign w:val="center"/>
          </w:tcPr>
          <w:p>
            <w:pPr>
              <w:spacing w:line="360" w:lineRule="auto"/>
              <w:rPr>
                <w:rFonts w:ascii="宋体" w:hAnsi="宋体" w:cs="宋体"/>
                <w:color w:val="000000"/>
                <w:sz w:val="24"/>
              </w:rPr>
            </w:pPr>
            <w:r>
              <w:rPr>
                <w:rFonts w:hint="eastAsia" w:ascii="宋体" w:hAnsi="宋体" w:cs="宋体"/>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企业资质等级</w:t>
            </w:r>
          </w:p>
        </w:tc>
        <w:tc>
          <w:tcPr>
            <w:tcW w:w="2479" w:type="dxa"/>
            <w:gridSpan w:val="2"/>
            <w:vAlign w:val="center"/>
          </w:tcPr>
          <w:p>
            <w:pPr>
              <w:spacing w:line="360" w:lineRule="auto"/>
              <w:jc w:val="center"/>
              <w:rPr>
                <w:rFonts w:ascii="宋体" w:hAnsi="宋体" w:cs="宋体"/>
                <w:color w:val="000000"/>
                <w:sz w:val="24"/>
              </w:rPr>
            </w:pPr>
          </w:p>
        </w:tc>
        <w:tc>
          <w:tcPr>
            <w:tcW w:w="1229" w:type="dxa"/>
            <w:vMerge w:val="restart"/>
            <w:vAlign w:val="center"/>
          </w:tcPr>
          <w:p>
            <w:pPr>
              <w:spacing w:line="360" w:lineRule="auto"/>
              <w:jc w:val="center"/>
              <w:rPr>
                <w:rFonts w:ascii="宋体" w:hAnsi="宋体" w:cs="宋体"/>
                <w:color w:val="000000"/>
                <w:sz w:val="24"/>
              </w:rPr>
            </w:pPr>
            <w:r>
              <w:rPr>
                <w:rFonts w:hint="eastAsia" w:ascii="宋体" w:hAnsi="宋体" w:cs="宋体"/>
                <w:color w:val="000000"/>
                <w:sz w:val="24"/>
              </w:rPr>
              <w:t>其中</w:t>
            </w:r>
          </w:p>
        </w:tc>
        <w:tc>
          <w:tcPr>
            <w:tcW w:w="1910" w:type="dxa"/>
            <w:gridSpan w:val="3"/>
            <w:vAlign w:val="center"/>
          </w:tcPr>
          <w:p>
            <w:pPr>
              <w:spacing w:line="360" w:lineRule="auto"/>
              <w:jc w:val="center"/>
              <w:rPr>
                <w:rFonts w:ascii="宋体" w:hAnsi="宋体" w:cs="宋体"/>
                <w:color w:val="000000"/>
                <w:sz w:val="24"/>
              </w:rPr>
            </w:pPr>
            <w:r>
              <w:rPr>
                <w:rFonts w:hint="eastAsia" w:ascii="宋体" w:hAnsi="宋体" w:cs="宋体"/>
                <w:color w:val="000000"/>
                <w:sz w:val="24"/>
              </w:rPr>
              <w:t>项目经理</w:t>
            </w:r>
          </w:p>
        </w:tc>
        <w:tc>
          <w:tcPr>
            <w:tcW w:w="2516" w:type="dxa"/>
            <w:gridSpan w:val="2"/>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营业执照号</w:t>
            </w:r>
          </w:p>
        </w:tc>
        <w:tc>
          <w:tcPr>
            <w:tcW w:w="2479" w:type="dxa"/>
            <w:gridSpan w:val="2"/>
            <w:vAlign w:val="center"/>
          </w:tcPr>
          <w:p>
            <w:pPr>
              <w:spacing w:line="360" w:lineRule="auto"/>
              <w:jc w:val="center"/>
              <w:rPr>
                <w:rFonts w:ascii="宋体" w:hAnsi="宋体" w:cs="宋体"/>
                <w:color w:val="000000"/>
                <w:sz w:val="24"/>
              </w:rPr>
            </w:pPr>
          </w:p>
        </w:tc>
        <w:tc>
          <w:tcPr>
            <w:tcW w:w="1229" w:type="dxa"/>
            <w:vMerge w:val="continue"/>
            <w:vAlign w:val="center"/>
          </w:tcPr>
          <w:p>
            <w:pPr>
              <w:spacing w:line="360" w:lineRule="auto"/>
              <w:jc w:val="center"/>
              <w:rPr>
                <w:rFonts w:ascii="宋体" w:hAnsi="宋体" w:cs="宋体"/>
                <w:color w:val="000000"/>
                <w:sz w:val="24"/>
              </w:rPr>
            </w:pPr>
          </w:p>
        </w:tc>
        <w:tc>
          <w:tcPr>
            <w:tcW w:w="1910" w:type="dxa"/>
            <w:gridSpan w:val="3"/>
            <w:vAlign w:val="center"/>
          </w:tcPr>
          <w:p>
            <w:pPr>
              <w:spacing w:line="360" w:lineRule="auto"/>
              <w:jc w:val="center"/>
              <w:rPr>
                <w:rFonts w:ascii="宋体" w:hAnsi="宋体" w:cs="宋体"/>
                <w:color w:val="000000"/>
                <w:sz w:val="24"/>
              </w:rPr>
            </w:pPr>
            <w:r>
              <w:rPr>
                <w:rFonts w:hint="eastAsia" w:ascii="宋体" w:hAnsi="宋体" w:cs="宋体"/>
                <w:color w:val="000000"/>
                <w:sz w:val="24"/>
              </w:rPr>
              <w:t>高级职称人员</w:t>
            </w:r>
          </w:p>
        </w:tc>
        <w:tc>
          <w:tcPr>
            <w:tcW w:w="2516" w:type="dxa"/>
            <w:gridSpan w:val="2"/>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注册资金</w:t>
            </w:r>
          </w:p>
        </w:tc>
        <w:tc>
          <w:tcPr>
            <w:tcW w:w="2479" w:type="dxa"/>
            <w:gridSpan w:val="2"/>
            <w:vAlign w:val="center"/>
          </w:tcPr>
          <w:p>
            <w:pPr>
              <w:spacing w:line="360" w:lineRule="auto"/>
              <w:jc w:val="center"/>
              <w:rPr>
                <w:rFonts w:ascii="宋体" w:hAnsi="宋体" w:cs="宋体"/>
                <w:color w:val="000000"/>
                <w:sz w:val="24"/>
              </w:rPr>
            </w:pPr>
          </w:p>
        </w:tc>
        <w:tc>
          <w:tcPr>
            <w:tcW w:w="1229" w:type="dxa"/>
            <w:vMerge w:val="continue"/>
            <w:vAlign w:val="center"/>
          </w:tcPr>
          <w:p>
            <w:pPr>
              <w:spacing w:line="360" w:lineRule="auto"/>
              <w:jc w:val="center"/>
              <w:rPr>
                <w:rFonts w:ascii="宋体" w:hAnsi="宋体" w:cs="宋体"/>
                <w:color w:val="000000"/>
                <w:sz w:val="24"/>
              </w:rPr>
            </w:pPr>
          </w:p>
        </w:tc>
        <w:tc>
          <w:tcPr>
            <w:tcW w:w="1910" w:type="dxa"/>
            <w:gridSpan w:val="3"/>
            <w:vAlign w:val="center"/>
          </w:tcPr>
          <w:p>
            <w:pPr>
              <w:spacing w:line="360" w:lineRule="auto"/>
              <w:jc w:val="center"/>
              <w:rPr>
                <w:rFonts w:ascii="宋体" w:hAnsi="宋体" w:cs="宋体"/>
                <w:color w:val="000000"/>
                <w:sz w:val="24"/>
              </w:rPr>
            </w:pPr>
            <w:r>
              <w:rPr>
                <w:rFonts w:hint="eastAsia" w:ascii="宋体" w:hAnsi="宋体" w:cs="宋体"/>
                <w:color w:val="000000"/>
                <w:sz w:val="24"/>
              </w:rPr>
              <w:t>中级职称人员</w:t>
            </w:r>
          </w:p>
        </w:tc>
        <w:tc>
          <w:tcPr>
            <w:tcW w:w="2516" w:type="dxa"/>
            <w:gridSpan w:val="2"/>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开户银行</w:t>
            </w:r>
          </w:p>
        </w:tc>
        <w:tc>
          <w:tcPr>
            <w:tcW w:w="2479" w:type="dxa"/>
            <w:gridSpan w:val="2"/>
            <w:vAlign w:val="center"/>
          </w:tcPr>
          <w:p>
            <w:pPr>
              <w:spacing w:line="360" w:lineRule="auto"/>
              <w:jc w:val="center"/>
              <w:rPr>
                <w:rFonts w:ascii="宋体" w:hAnsi="宋体" w:cs="宋体"/>
                <w:color w:val="000000"/>
                <w:sz w:val="24"/>
              </w:rPr>
            </w:pPr>
          </w:p>
        </w:tc>
        <w:tc>
          <w:tcPr>
            <w:tcW w:w="1229" w:type="dxa"/>
            <w:vMerge w:val="continue"/>
            <w:vAlign w:val="center"/>
          </w:tcPr>
          <w:p>
            <w:pPr>
              <w:spacing w:line="360" w:lineRule="auto"/>
              <w:jc w:val="center"/>
              <w:rPr>
                <w:rFonts w:ascii="宋体" w:hAnsi="宋体" w:cs="宋体"/>
                <w:color w:val="000000"/>
                <w:sz w:val="24"/>
              </w:rPr>
            </w:pPr>
          </w:p>
        </w:tc>
        <w:tc>
          <w:tcPr>
            <w:tcW w:w="1910" w:type="dxa"/>
            <w:gridSpan w:val="3"/>
            <w:vAlign w:val="center"/>
          </w:tcPr>
          <w:p>
            <w:pPr>
              <w:spacing w:line="360" w:lineRule="auto"/>
              <w:jc w:val="center"/>
              <w:rPr>
                <w:rFonts w:ascii="宋体" w:hAnsi="宋体" w:cs="宋体"/>
                <w:color w:val="000000"/>
                <w:sz w:val="24"/>
              </w:rPr>
            </w:pPr>
            <w:r>
              <w:rPr>
                <w:rFonts w:hint="eastAsia" w:ascii="宋体" w:hAnsi="宋体" w:cs="宋体"/>
                <w:color w:val="000000"/>
                <w:sz w:val="24"/>
              </w:rPr>
              <w:t>初级职称人员</w:t>
            </w:r>
          </w:p>
        </w:tc>
        <w:tc>
          <w:tcPr>
            <w:tcW w:w="2516" w:type="dxa"/>
            <w:gridSpan w:val="2"/>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账号</w:t>
            </w:r>
          </w:p>
        </w:tc>
        <w:tc>
          <w:tcPr>
            <w:tcW w:w="2479" w:type="dxa"/>
            <w:gridSpan w:val="2"/>
            <w:vAlign w:val="center"/>
          </w:tcPr>
          <w:p>
            <w:pPr>
              <w:spacing w:line="360" w:lineRule="auto"/>
              <w:jc w:val="center"/>
              <w:rPr>
                <w:rFonts w:ascii="宋体" w:hAnsi="宋体" w:cs="宋体"/>
                <w:color w:val="000000"/>
                <w:sz w:val="24"/>
              </w:rPr>
            </w:pPr>
          </w:p>
        </w:tc>
        <w:tc>
          <w:tcPr>
            <w:tcW w:w="1229" w:type="dxa"/>
            <w:vMerge w:val="continue"/>
            <w:vAlign w:val="center"/>
          </w:tcPr>
          <w:p>
            <w:pPr>
              <w:spacing w:line="360" w:lineRule="auto"/>
              <w:jc w:val="center"/>
              <w:rPr>
                <w:rFonts w:ascii="宋体" w:hAnsi="宋体" w:cs="宋体"/>
                <w:color w:val="000000"/>
                <w:sz w:val="24"/>
              </w:rPr>
            </w:pPr>
          </w:p>
        </w:tc>
        <w:tc>
          <w:tcPr>
            <w:tcW w:w="1910" w:type="dxa"/>
            <w:gridSpan w:val="3"/>
            <w:vAlign w:val="center"/>
          </w:tcPr>
          <w:p>
            <w:pPr>
              <w:spacing w:line="360" w:lineRule="auto"/>
              <w:jc w:val="center"/>
              <w:rPr>
                <w:rFonts w:ascii="宋体" w:hAnsi="宋体" w:cs="宋体"/>
                <w:color w:val="000000"/>
                <w:sz w:val="24"/>
              </w:rPr>
            </w:pPr>
            <w:r>
              <w:rPr>
                <w:rFonts w:hint="eastAsia" w:ascii="宋体" w:hAnsi="宋体" w:cs="宋体"/>
                <w:color w:val="000000"/>
                <w:sz w:val="24"/>
              </w:rPr>
              <w:t>技工</w:t>
            </w:r>
          </w:p>
        </w:tc>
        <w:tc>
          <w:tcPr>
            <w:tcW w:w="2516" w:type="dxa"/>
            <w:gridSpan w:val="2"/>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经营范围</w:t>
            </w:r>
          </w:p>
        </w:tc>
        <w:tc>
          <w:tcPr>
            <w:tcW w:w="8134" w:type="dxa"/>
            <w:gridSpan w:val="8"/>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备注</w:t>
            </w:r>
          </w:p>
        </w:tc>
        <w:tc>
          <w:tcPr>
            <w:tcW w:w="8134" w:type="dxa"/>
            <w:gridSpan w:val="8"/>
            <w:vAlign w:val="center"/>
          </w:tcPr>
          <w:p>
            <w:pPr>
              <w:spacing w:line="360" w:lineRule="auto"/>
              <w:jc w:val="center"/>
              <w:rPr>
                <w:rFonts w:ascii="宋体" w:hAnsi="宋体" w:cs="宋体"/>
                <w:color w:val="000000"/>
                <w:sz w:val="24"/>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pStyle w:val="23"/>
        <w:ind w:firstLine="0" w:firstLineChars="0"/>
        <w:rPr>
          <w:rFonts w:ascii="宋体" w:hAnsi="宋体" w:cs="宋体"/>
          <w:color w:val="000000"/>
        </w:rPr>
      </w:pPr>
    </w:p>
    <w:p>
      <w:pPr>
        <w:pStyle w:val="23"/>
        <w:ind w:firstLine="0" w:firstLineChars="0"/>
        <w:rPr>
          <w:rFonts w:ascii="宋体" w:hAnsi="宋体" w:cs="宋体"/>
          <w:color w:val="000000"/>
        </w:rPr>
      </w:pPr>
    </w:p>
    <w:p>
      <w:pPr>
        <w:pStyle w:val="23"/>
        <w:ind w:firstLine="0" w:firstLineChars="0"/>
        <w:rPr>
          <w:rFonts w:ascii="宋体" w:hAnsi="宋体" w:cs="宋体"/>
          <w:color w:val="000000"/>
        </w:rPr>
      </w:pPr>
    </w:p>
    <w:p>
      <w:pPr>
        <w:jc w:val="center"/>
        <w:rPr>
          <w:rFonts w:ascii="宋体" w:hAnsi="宋体" w:cs="宋体"/>
          <w:color w:val="000000"/>
        </w:rPr>
      </w:pPr>
      <w:bookmarkStart w:id="223" w:name="_Toc6690"/>
      <w:r>
        <w:rPr>
          <w:rFonts w:hint="eastAsia"/>
          <w:b/>
          <w:bCs/>
          <w:sz w:val="28"/>
          <w:szCs w:val="36"/>
        </w:rPr>
        <w:t>四、商务应答表</w:t>
      </w:r>
      <w:bookmarkEnd w:id="223"/>
      <w:r>
        <w:rPr>
          <w:rFonts w:hint="eastAsia" w:ascii="宋体" w:hAnsi="宋体" w:cs="宋体"/>
          <w:color w:val="000000"/>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476"/>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81" w:type="dxa"/>
            <w:vAlign w:val="center"/>
          </w:tcPr>
          <w:p>
            <w:pPr>
              <w:widowControl/>
              <w:spacing w:line="360" w:lineRule="auto"/>
              <w:jc w:val="center"/>
              <w:outlineLvl w:val="1"/>
              <w:rPr>
                <w:rFonts w:ascii="宋体" w:hAnsi="宋体" w:cs="宋体"/>
                <w:color w:val="000000"/>
                <w:sz w:val="24"/>
              </w:rPr>
            </w:pPr>
            <w:bookmarkStart w:id="224" w:name="_Toc24104"/>
            <w:bookmarkStart w:id="225" w:name="_Toc705"/>
            <w:bookmarkStart w:id="226" w:name="_Toc3872"/>
            <w:bookmarkStart w:id="227" w:name="OLE_LINK4"/>
            <w:r>
              <w:rPr>
                <w:rFonts w:hint="eastAsia" w:ascii="宋体" w:hAnsi="宋体" w:cs="宋体"/>
                <w:color w:val="000000"/>
                <w:sz w:val="24"/>
              </w:rPr>
              <w:t>序号</w:t>
            </w:r>
            <w:bookmarkEnd w:id="224"/>
            <w:bookmarkEnd w:id="225"/>
            <w:bookmarkEnd w:id="226"/>
          </w:p>
        </w:tc>
        <w:tc>
          <w:tcPr>
            <w:tcW w:w="3476" w:type="dxa"/>
            <w:vAlign w:val="center"/>
          </w:tcPr>
          <w:p>
            <w:pPr>
              <w:widowControl/>
              <w:spacing w:line="360" w:lineRule="auto"/>
              <w:jc w:val="center"/>
              <w:outlineLvl w:val="1"/>
              <w:rPr>
                <w:rFonts w:ascii="宋体" w:hAnsi="宋体" w:cs="宋体"/>
                <w:color w:val="000000"/>
                <w:sz w:val="24"/>
              </w:rPr>
            </w:pPr>
            <w:bookmarkStart w:id="228" w:name="_Toc3254"/>
            <w:bookmarkStart w:id="229" w:name="_Toc28812"/>
            <w:bookmarkStart w:id="230" w:name="_Toc20186"/>
            <w:r>
              <w:rPr>
                <w:rFonts w:hint="eastAsia" w:ascii="宋体" w:hAnsi="宋体" w:cs="宋体"/>
                <w:color w:val="000000"/>
                <w:sz w:val="24"/>
              </w:rPr>
              <w:t>竞争性磋商文件要求</w:t>
            </w:r>
            <w:bookmarkEnd w:id="228"/>
            <w:bookmarkEnd w:id="229"/>
            <w:bookmarkEnd w:id="230"/>
          </w:p>
        </w:tc>
        <w:tc>
          <w:tcPr>
            <w:tcW w:w="3165" w:type="dxa"/>
            <w:vAlign w:val="center"/>
          </w:tcPr>
          <w:p>
            <w:pPr>
              <w:widowControl/>
              <w:spacing w:line="360" w:lineRule="auto"/>
              <w:jc w:val="center"/>
              <w:outlineLvl w:val="1"/>
              <w:rPr>
                <w:rFonts w:ascii="宋体" w:hAnsi="宋体" w:cs="宋体"/>
                <w:color w:val="000000"/>
                <w:sz w:val="24"/>
              </w:rPr>
            </w:pPr>
            <w:bookmarkStart w:id="231" w:name="_Toc5026"/>
            <w:bookmarkStart w:id="232" w:name="_Toc1051"/>
            <w:bookmarkStart w:id="233" w:name="_Toc4337"/>
            <w:r>
              <w:rPr>
                <w:rFonts w:hint="eastAsia" w:ascii="宋体" w:hAnsi="宋体" w:cs="宋体"/>
                <w:color w:val="000000"/>
                <w:sz w:val="24"/>
              </w:rPr>
              <w:t>响应文件</w:t>
            </w:r>
            <w:bookmarkEnd w:id="231"/>
            <w:r>
              <w:rPr>
                <w:rFonts w:hint="eastAsia" w:ascii="宋体" w:hAnsi="宋体" w:cs="宋体"/>
                <w:color w:val="000000"/>
                <w:sz w:val="24"/>
              </w:rPr>
              <w:t>响应说明</w:t>
            </w:r>
            <w:bookmarkEnd w:id="232"/>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tcPr>
          <w:p>
            <w:pPr>
              <w:widowControl/>
              <w:spacing w:line="360" w:lineRule="auto"/>
              <w:ind w:firstLine="470" w:firstLineChars="196"/>
              <w:jc w:val="center"/>
              <w:rPr>
                <w:rFonts w:ascii="宋体" w:hAnsi="宋体" w:cs="宋体"/>
                <w:color w:val="000000"/>
                <w:sz w:val="24"/>
              </w:rPr>
            </w:pPr>
          </w:p>
        </w:tc>
        <w:tc>
          <w:tcPr>
            <w:tcW w:w="3476" w:type="dxa"/>
          </w:tcPr>
          <w:p>
            <w:pPr>
              <w:widowControl/>
              <w:spacing w:line="360" w:lineRule="auto"/>
              <w:ind w:firstLine="470" w:firstLineChars="196"/>
              <w:jc w:val="center"/>
              <w:rPr>
                <w:rFonts w:ascii="宋体" w:hAnsi="宋体" w:cs="宋体"/>
                <w:color w:val="000000"/>
                <w:sz w:val="24"/>
              </w:rPr>
            </w:pPr>
          </w:p>
        </w:tc>
        <w:tc>
          <w:tcPr>
            <w:tcW w:w="3165" w:type="dxa"/>
          </w:tcPr>
          <w:p>
            <w:pPr>
              <w:widowControl/>
              <w:spacing w:line="360" w:lineRule="auto"/>
              <w:ind w:firstLine="470" w:firstLineChars="196"/>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tcPr>
          <w:p>
            <w:pPr>
              <w:widowControl/>
              <w:spacing w:line="360" w:lineRule="auto"/>
              <w:ind w:firstLine="470" w:firstLineChars="196"/>
              <w:jc w:val="center"/>
              <w:rPr>
                <w:rFonts w:ascii="宋体" w:hAnsi="宋体" w:cs="宋体"/>
                <w:color w:val="000000"/>
                <w:sz w:val="24"/>
              </w:rPr>
            </w:pPr>
          </w:p>
        </w:tc>
        <w:tc>
          <w:tcPr>
            <w:tcW w:w="3476" w:type="dxa"/>
          </w:tcPr>
          <w:p>
            <w:pPr>
              <w:widowControl/>
              <w:spacing w:line="360" w:lineRule="auto"/>
              <w:ind w:firstLine="470" w:firstLineChars="196"/>
              <w:jc w:val="center"/>
              <w:rPr>
                <w:rFonts w:ascii="宋体" w:hAnsi="宋体" w:cs="宋体"/>
                <w:color w:val="000000"/>
                <w:sz w:val="24"/>
              </w:rPr>
            </w:pPr>
          </w:p>
        </w:tc>
        <w:tc>
          <w:tcPr>
            <w:tcW w:w="3165" w:type="dxa"/>
          </w:tcPr>
          <w:p>
            <w:pPr>
              <w:widowControl/>
              <w:spacing w:line="360" w:lineRule="auto"/>
              <w:ind w:firstLine="470" w:firstLineChars="196"/>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tcPr>
          <w:p>
            <w:pPr>
              <w:widowControl/>
              <w:spacing w:line="360" w:lineRule="auto"/>
              <w:ind w:firstLine="470" w:firstLineChars="196"/>
              <w:jc w:val="center"/>
              <w:rPr>
                <w:rFonts w:ascii="宋体" w:hAnsi="宋体" w:cs="宋体"/>
                <w:color w:val="000000"/>
                <w:sz w:val="24"/>
              </w:rPr>
            </w:pPr>
          </w:p>
        </w:tc>
        <w:tc>
          <w:tcPr>
            <w:tcW w:w="3476" w:type="dxa"/>
          </w:tcPr>
          <w:p>
            <w:pPr>
              <w:widowControl/>
              <w:spacing w:line="360" w:lineRule="auto"/>
              <w:ind w:firstLine="470" w:firstLineChars="196"/>
              <w:jc w:val="center"/>
              <w:rPr>
                <w:rFonts w:ascii="宋体" w:hAnsi="宋体" w:cs="宋体"/>
                <w:color w:val="000000"/>
                <w:sz w:val="24"/>
              </w:rPr>
            </w:pPr>
          </w:p>
        </w:tc>
        <w:tc>
          <w:tcPr>
            <w:tcW w:w="3165" w:type="dxa"/>
          </w:tcPr>
          <w:p>
            <w:pPr>
              <w:widowControl/>
              <w:spacing w:line="360" w:lineRule="auto"/>
              <w:ind w:firstLine="470" w:firstLineChars="196"/>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tcPr>
          <w:p>
            <w:pPr>
              <w:widowControl/>
              <w:spacing w:line="360" w:lineRule="auto"/>
              <w:ind w:firstLine="470" w:firstLineChars="196"/>
              <w:jc w:val="center"/>
              <w:rPr>
                <w:rFonts w:ascii="宋体" w:hAnsi="宋体" w:cs="宋体"/>
                <w:color w:val="000000"/>
                <w:sz w:val="24"/>
              </w:rPr>
            </w:pPr>
          </w:p>
        </w:tc>
        <w:tc>
          <w:tcPr>
            <w:tcW w:w="3476" w:type="dxa"/>
          </w:tcPr>
          <w:p>
            <w:pPr>
              <w:widowControl/>
              <w:spacing w:line="360" w:lineRule="auto"/>
              <w:ind w:firstLine="470" w:firstLineChars="196"/>
              <w:jc w:val="center"/>
              <w:rPr>
                <w:rFonts w:ascii="宋体" w:hAnsi="宋体" w:cs="宋体"/>
                <w:color w:val="000000"/>
                <w:sz w:val="24"/>
              </w:rPr>
            </w:pPr>
          </w:p>
        </w:tc>
        <w:tc>
          <w:tcPr>
            <w:tcW w:w="3165" w:type="dxa"/>
          </w:tcPr>
          <w:p>
            <w:pPr>
              <w:widowControl/>
              <w:spacing w:line="360" w:lineRule="auto"/>
              <w:ind w:firstLine="470" w:firstLineChars="196"/>
              <w:jc w:val="center"/>
              <w:rPr>
                <w:rFonts w:ascii="宋体" w:hAnsi="宋体" w:cs="宋体"/>
                <w:color w:val="000000"/>
                <w:sz w:val="24"/>
              </w:rPr>
            </w:pPr>
          </w:p>
        </w:tc>
      </w:tr>
      <w:bookmarkEnd w:id="227"/>
    </w:tbl>
    <w:p>
      <w:pPr>
        <w:spacing w:line="360" w:lineRule="auto"/>
        <w:ind w:firstLine="480" w:firstLineChars="200"/>
        <w:rPr>
          <w:rFonts w:ascii="宋体" w:hAnsi="宋体" w:cs="宋体"/>
          <w:sz w:val="24"/>
        </w:rPr>
      </w:pPr>
      <w:bookmarkStart w:id="234" w:name="_Toc25070"/>
      <w:bookmarkStart w:id="235" w:name="_Toc5816"/>
      <w:r>
        <w:rPr>
          <w:rFonts w:hint="eastAsia" w:ascii="宋体" w:hAnsi="宋体" w:cs="宋体"/>
          <w:sz w:val="24"/>
        </w:rPr>
        <w:t>注：</w:t>
      </w:r>
      <w:bookmarkEnd w:id="234"/>
      <w:r>
        <w:rPr>
          <w:rFonts w:hint="eastAsia" w:ascii="宋体" w:hAnsi="宋体" w:cs="宋体"/>
          <w:sz w:val="24"/>
        </w:rPr>
        <w:t>本表只填写响应文件中与磋商文件有偏离（包括正偏离和负偏离）的内容，响应文件中商务响应与磋商文件要求完全一致的，不用在此表中列出。</w:t>
      </w:r>
      <w:bookmarkEnd w:id="235"/>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磋商供应商名称：(加盖公章)</w:t>
      </w:r>
    </w:p>
    <w:p>
      <w:pPr>
        <w:spacing w:line="360" w:lineRule="auto"/>
        <w:ind w:firstLine="480" w:firstLineChars="200"/>
        <w:rPr>
          <w:rFonts w:ascii="宋体" w:hAnsi="宋体" w:cs="宋体"/>
          <w:sz w:val="24"/>
        </w:rPr>
      </w:pPr>
      <w:r>
        <w:rPr>
          <w:rFonts w:hint="eastAsia" w:ascii="宋体" w:hAnsi="宋体" w:cs="宋体"/>
          <w:sz w:val="24"/>
        </w:rPr>
        <w:t>法定代表人或授权代表（签字或加盖个人名章）：</w:t>
      </w:r>
    </w:p>
    <w:p>
      <w:pPr>
        <w:spacing w:line="360" w:lineRule="auto"/>
        <w:ind w:firstLine="480" w:firstLineChars="200"/>
        <w:rPr>
          <w:rFonts w:ascii="宋体" w:hAnsi="宋体" w:cs="宋体"/>
          <w:sz w:val="24"/>
        </w:rPr>
      </w:pPr>
      <w:r>
        <w:rPr>
          <w:rFonts w:hint="eastAsia" w:ascii="宋体" w:hAnsi="宋体" w:cs="宋体"/>
          <w:sz w:val="24"/>
        </w:rPr>
        <w:t>磋商日期:</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rPr>
          <w:rFonts w:ascii="宋体" w:hAnsi="宋体" w:cs="宋体"/>
          <w:color w:val="000000"/>
          <w:sz w:val="24"/>
        </w:rPr>
      </w:pPr>
    </w:p>
    <w:p>
      <w:pPr>
        <w:pStyle w:val="9"/>
        <w:rPr>
          <w:rFonts w:ascii="宋体" w:hAnsi="宋体" w:cs="宋体"/>
          <w:color w:val="000000"/>
        </w:rPr>
      </w:pPr>
    </w:p>
    <w:p>
      <w:pPr>
        <w:spacing w:line="360" w:lineRule="auto"/>
        <w:rPr>
          <w:rFonts w:ascii="宋体" w:hAnsi="宋体" w:cs="宋体"/>
          <w:color w:val="000000"/>
          <w:sz w:val="24"/>
        </w:rPr>
      </w:pPr>
    </w:p>
    <w:p>
      <w:bookmarkStart w:id="236" w:name="_Toc31725"/>
      <w:r>
        <w:rPr>
          <w:rFonts w:hint="eastAsia"/>
        </w:rPr>
        <w:br w:type="page"/>
      </w:r>
    </w:p>
    <w:p>
      <w:pPr>
        <w:jc w:val="center"/>
        <w:rPr>
          <w:b/>
          <w:bCs/>
          <w:sz w:val="28"/>
          <w:szCs w:val="28"/>
        </w:rPr>
      </w:pPr>
      <w:r>
        <w:rPr>
          <w:rFonts w:hint="eastAsia"/>
          <w:b/>
          <w:bCs/>
          <w:sz w:val="28"/>
          <w:szCs w:val="28"/>
        </w:rPr>
        <w:t>五、技术、服务要求偏离表</w:t>
      </w:r>
      <w:bookmarkEnd w:id="23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000"/>
        <w:gridCol w:w="2867"/>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300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竞争性磋商文件要求</w:t>
            </w:r>
          </w:p>
        </w:tc>
        <w:tc>
          <w:tcPr>
            <w:tcW w:w="2867"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响应文件响应说明</w:t>
            </w:r>
          </w:p>
        </w:tc>
        <w:tc>
          <w:tcPr>
            <w:tcW w:w="2645"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000000"/>
                <w:sz w:val="24"/>
              </w:rPr>
            </w:pPr>
          </w:p>
        </w:tc>
        <w:tc>
          <w:tcPr>
            <w:tcW w:w="3000" w:type="dxa"/>
          </w:tcPr>
          <w:p>
            <w:pPr>
              <w:spacing w:line="360" w:lineRule="auto"/>
              <w:rPr>
                <w:rFonts w:ascii="宋体" w:hAnsi="宋体" w:cs="宋体"/>
                <w:color w:val="000000"/>
                <w:sz w:val="24"/>
              </w:rPr>
            </w:pPr>
          </w:p>
        </w:tc>
        <w:tc>
          <w:tcPr>
            <w:tcW w:w="2867" w:type="dxa"/>
          </w:tcPr>
          <w:p>
            <w:pPr>
              <w:spacing w:line="360" w:lineRule="auto"/>
              <w:rPr>
                <w:rFonts w:ascii="宋体" w:hAnsi="宋体" w:cs="宋体"/>
                <w:color w:val="000000"/>
                <w:sz w:val="24"/>
              </w:rPr>
            </w:pPr>
          </w:p>
        </w:tc>
        <w:tc>
          <w:tcPr>
            <w:tcW w:w="2645" w:type="dxa"/>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000000"/>
                <w:sz w:val="24"/>
              </w:rPr>
            </w:pPr>
          </w:p>
        </w:tc>
        <w:tc>
          <w:tcPr>
            <w:tcW w:w="3000" w:type="dxa"/>
          </w:tcPr>
          <w:p>
            <w:pPr>
              <w:spacing w:line="360" w:lineRule="auto"/>
              <w:rPr>
                <w:rFonts w:ascii="宋体" w:hAnsi="宋体" w:cs="宋体"/>
                <w:color w:val="000000"/>
                <w:sz w:val="24"/>
              </w:rPr>
            </w:pPr>
          </w:p>
        </w:tc>
        <w:tc>
          <w:tcPr>
            <w:tcW w:w="2867" w:type="dxa"/>
          </w:tcPr>
          <w:p>
            <w:pPr>
              <w:spacing w:line="360" w:lineRule="auto"/>
              <w:rPr>
                <w:rFonts w:ascii="宋体" w:hAnsi="宋体" w:cs="宋体"/>
                <w:color w:val="000000"/>
                <w:sz w:val="24"/>
              </w:rPr>
            </w:pPr>
          </w:p>
        </w:tc>
        <w:tc>
          <w:tcPr>
            <w:tcW w:w="2645" w:type="dxa"/>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000000"/>
                <w:sz w:val="24"/>
              </w:rPr>
            </w:pPr>
          </w:p>
        </w:tc>
        <w:tc>
          <w:tcPr>
            <w:tcW w:w="3000" w:type="dxa"/>
          </w:tcPr>
          <w:p>
            <w:pPr>
              <w:spacing w:line="360" w:lineRule="auto"/>
              <w:rPr>
                <w:rFonts w:ascii="宋体" w:hAnsi="宋体" w:cs="宋体"/>
                <w:color w:val="000000"/>
                <w:sz w:val="24"/>
              </w:rPr>
            </w:pPr>
          </w:p>
        </w:tc>
        <w:tc>
          <w:tcPr>
            <w:tcW w:w="2867" w:type="dxa"/>
          </w:tcPr>
          <w:p>
            <w:pPr>
              <w:spacing w:line="360" w:lineRule="auto"/>
              <w:rPr>
                <w:rFonts w:ascii="宋体" w:hAnsi="宋体" w:cs="宋体"/>
                <w:color w:val="000000"/>
                <w:sz w:val="24"/>
              </w:rPr>
            </w:pPr>
          </w:p>
        </w:tc>
        <w:tc>
          <w:tcPr>
            <w:tcW w:w="2645" w:type="dxa"/>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tcPr>
          <w:p>
            <w:pPr>
              <w:spacing w:line="360" w:lineRule="auto"/>
              <w:jc w:val="center"/>
              <w:rPr>
                <w:rFonts w:ascii="宋体" w:hAnsi="宋体" w:cs="宋体"/>
                <w:color w:val="000000"/>
                <w:sz w:val="24"/>
              </w:rPr>
            </w:pPr>
          </w:p>
        </w:tc>
        <w:tc>
          <w:tcPr>
            <w:tcW w:w="3000" w:type="dxa"/>
          </w:tcPr>
          <w:p>
            <w:pPr>
              <w:spacing w:line="360" w:lineRule="auto"/>
              <w:rPr>
                <w:rFonts w:ascii="宋体" w:hAnsi="宋体" w:cs="宋体"/>
                <w:color w:val="000000"/>
                <w:sz w:val="24"/>
              </w:rPr>
            </w:pPr>
          </w:p>
        </w:tc>
        <w:tc>
          <w:tcPr>
            <w:tcW w:w="2867" w:type="dxa"/>
          </w:tcPr>
          <w:p>
            <w:pPr>
              <w:spacing w:line="360" w:lineRule="auto"/>
              <w:rPr>
                <w:rFonts w:ascii="宋体" w:hAnsi="宋体" w:cs="宋体"/>
                <w:color w:val="000000"/>
                <w:sz w:val="24"/>
              </w:rPr>
            </w:pPr>
          </w:p>
        </w:tc>
        <w:tc>
          <w:tcPr>
            <w:tcW w:w="2645" w:type="dxa"/>
          </w:tcPr>
          <w:p>
            <w:pPr>
              <w:spacing w:line="360" w:lineRule="auto"/>
              <w:rPr>
                <w:rFonts w:ascii="宋体" w:hAnsi="宋体" w:cs="宋体"/>
                <w:color w:val="000000"/>
                <w:sz w:val="24"/>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注：供应商必须据实填写，不得虚假应答，否则将取消其报价或成交资格。本表只填写响应文件中与磋商文件有偏离（包括正偏离和负偏离）的内容，响应文件中技术、服务响应与磋商文件要求完全一致的，不用在此表中列出。未明确偏离的条款，视为默认接受，供应商不得籍未作应答而拒不接受。</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pStyle w:val="23"/>
        <w:ind w:firstLine="210"/>
        <w:rPr>
          <w:rFonts w:ascii="宋体" w:hAnsi="宋体" w:cs="宋体"/>
          <w:color w:val="000000"/>
        </w:rPr>
      </w:pPr>
    </w:p>
    <w:p>
      <w:pPr>
        <w:spacing w:line="360" w:lineRule="auto"/>
        <w:rPr>
          <w:rFonts w:ascii="宋体" w:hAnsi="宋体" w:cs="宋体"/>
          <w:color w:val="000000"/>
          <w:sz w:val="24"/>
        </w:rPr>
      </w:pPr>
    </w:p>
    <w:p>
      <w:pPr>
        <w:pStyle w:val="9"/>
        <w:rPr>
          <w:rFonts w:ascii="宋体" w:hAnsi="宋体" w:cs="宋体"/>
          <w:color w:val="000000"/>
          <w:sz w:val="24"/>
        </w:rPr>
      </w:pPr>
    </w:p>
    <w:p>
      <w:pPr>
        <w:rPr>
          <w:rFonts w:ascii="宋体" w:hAnsi="宋体" w:cs="宋体"/>
          <w:color w:val="000000"/>
        </w:rPr>
      </w:pPr>
    </w:p>
    <w:p>
      <w:pPr>
        <w:spacing w:line="360" w:lineRule="auto"/>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pStyle w:val="9"/>
        <w:rPr>
          <w:rFonts w:ascii="宋体" w:hAnsi="宋体" w:cs="宋体"/>
          <w:color w:val="000000"/>
          <w:sz w:val="24"/>
        </w:rPr>
      </w:pPr>
    </w:p>
    <w:p>
      <w:pPr>
        <w:spacing w:line="360" w:lineRule="auto"/>
        <w:rPr>
          <w:rFonts w:ascii="宋体" w:hAnsi="宋体" w:cs="宋体"/>
          <w:color w:val="000000"/>
          <w:sz w:val="24"/>
        </w:rPr>
      </w:pPr>
    </w:p>
    <w:p>
      <w:pPr>
        <w:jc w:val="center"/>
        <w:rPr>
          <w:b/>
          <w:bCs/>
          <w:sz w:val="28"/>
          <w:szCs w:val="36"/>
        </w:rPr>
      </w:pPr>
      <w:bookmarkStart w:id="237" w:name="_Toc1254"/>
      <w:r>
        <w:rPr>
          <w:rFonts w:hint="eastAsia"/>
          <w:b/>
          <w:bCs/>
          <w:sz w:val="28"/>
          <w:szCs w:val="36"/>
        </w:rPr>
        <w:t>六、项目服务方案</w:t>
      </w:r>
      <w:bookmarkEnd w:id="237"/>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项目名称： </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注：由供应商自行编写（格式不限）。</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pStyle w:val="23"/>
        <w:ind w:firstLine="210"/>
        <w:rPr>
          <w:rFonts w:ascii="宋体" w:hAnsi="宋体" w:cs="宋体"/>
          <w:color w:val="000000"/>
        </w:rPr>
      </w:pPr>
    </w:p>
    <w:p>
      <w:pPr>
        <w:pStyle w:val="23"/>
        <w:ind w:firstLine="0" w:firstLineChars="0"/>
        <w:rPr>
          <w:rFonts w:ascii="宋体" w:hAnsi="宋体" w:cs="宋体"/>
          <w:b/>
          <w:bCs/>
          <w:color w:val="000000"/>
        </w:rPr>
      </w:pPr>
    </w:p>
    <w:p>
      <w:pPr>
        <w:pStyle w:val="23"/>
        <w:ind w:firstLine="0" w:firstLineChars="0"/>
        <w:rPr>
          <w:rFonts w:ascii="宋体" w:hAnsi="宋体" w:cs="宋体"/>
          <w:b/>
          <w:bCs/>
          <w:color w:val="000000"/>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jc w:val="center"/>
        <w:rPr>
          <w:b/>
          <w:bCs/>
          <w:sz w:val="28"/>
          <w:szCs w:val="36"/>
        </w:rPr>
      </w:pPr>
      <w:bookmarkStart w:id="238" w:name="_Toc14683"/>
      <w:r>
        <w:rPr>
          <w:rFonts w:hint="eastAsia"/>
          <w:b/>
          <w:bCs/>
          <w:sz w:val="28"/>
          <w:szCs w:val="36"/>
        </w:rPr>
        <w:t>七、项目管理、服务人员情况表</w:t>
      </w:r>
      <w:bookmarkEnd w:id="238"/>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类别</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职务</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职称</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常住地</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证书名称</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级别</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证号</w:t>
            </w:r>
          </w:p>
        </w:tc>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管</w:t>
            </w:r>
          </w:p>
          <w:p>
            <w:pPr>
              <w:spacing w:line="360" w:lineRule="auto"/>
              <w:jc w:val="center"/>
              <w:rPr>
                <w:rFonts w:ascii="宋体" w:hAnsi="宋体" w:cs="宋体"/>
                <w:color w:val="000000"/>
                <w:sz w:val="24"/>
              </w:rPr>
            </w:pPr>
            <w:r>
              <w:rPr>
                <w:rFonts w:hint="eastAsia" w:ascii="宋体" w:hAnsi="宋体" w:cs="宋体"/>
                <w:color w:val="000000"/>
                <w:sz w:val="24"/>
              </w:rPr>
              <w:t>理</w:t>
            </w:r>
          </w:p>
          <w:p>
            <w:pPr>
              <w:spacing w:line="360" w:lineRule="auto"/>
              <w:jc w:val="center"/>
              <w:rPr>
                <w:rFonts w:ascii="宋体" w:hAnsi="宋体" w:cs="宋体"/>
                <w:color w:val="000000"/>
                <w:sz w:val="24"/>
              </w:rPr>
            </w:pPr>
            <w:r>
              <w:rPr>
                <w:rFonts w:hint="eastAsia" w:ascii="宋体" w:hAnsi="宋体" w:cs="宋体"/>
                <w:color w:val="000000"/>
                <w:sz w:val="24"/>
              </w:rPr>
              <w:t>人</w:t>
            </w:r>
          </w:p>
          <w:p>
            <w:pPr>
              <w:spacing w:line="360" w:lineRule="auto"/>
              <w:jc w:val="center"/>
              <w:rPr>
                <w:rFonts w:ascii="宋体" w:hAnsi="宋体" w:cs="宋体"/>
                <w:color w:val="000000"/>
                <w:sz w:val="24"/>
              </w:rPr>
            </w:pPr>
            <w:r>
              <w:rPr>
                <w:rFonts w:hint="eastAsia" w:ascii="宋体" w:hAnsi="宋体" w:cs="宋体"/>
                <w:color w:val="000000"/>
                <w:sz w:val="24"/>
              </w:rPr>
              <w:t>员</w:t>
            </w:r>
          </w:p>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技</w:t>
            </w:r>
          </w:p>
          <w:p>
            <w:pPr>
              <w:spacing w:line="360" w:lineRule="auto"/>
              <w:jc w:val="center"/>
              <w:rPr>
                <w:rFonts w:ascii="宋体" w:hAnsi="宋体" w:cs="宋体"/>
                <w:color w:val="000000"/>
                <w:sz w:val="24"/>
              </w:rPr>
            </w:pPr>
            <w:r>
              <w:rPr>
                <w:rFonts w:hint="eastAsia" w:ascii="宋体" w:hAnsi="宋体" w:cs="宋体"/>
                <w:color w:val="000000"/>
                <w:sz w:val="24"/>
              </w:rPr>
              <w:t>术</w:t>
            </w:r>
          </w:p>
          <w:p>
            <w:pPr>
              <w:spacing w:line="360" w:lineRule="auto"/>
              <w:jc w:val="center"/>
              <w:rPr>
                <w:rFonts w:ascii="宋体" w:hAnsi="宋体" w:cs="宋体"/>
                <w:color w:val="000000"/>
                <w:sz w:val="24"/>
              </w:rPr>
            </w:pPr>
            <w:r>
              <w:rPr>
                <w:rFonts w:hint="eastAsia" w:ascii="宋体" w:hAnsi="宋体" w:cs="宋体"/>
                <w:color w:val="000000"/>
                <w:sz w:val="24"/>
              </w:rPr>
              <w:t>人</w:t>
            </w:r>
          </w:p>
          <w:p>
            <w:pPr>
              <w:spacing w:line="360" w:lineRule="auto"/>
              <w:jc w:val="center"/>
              <w:rPr>
                <w:rFonts w:ascii="宋体" w:hAnsi="宋体" w:cs="宋体"/>
                <w:color w:val="000000"/>
                <w:sz w:val="24"/>
              </w:rPr>
            </w:pPr>
            <w:r>
              <w:rPr>
                <w:rFonts w:hint="eastAsia" w:ascii="宋体" w:hAnsi="宋体" w:cs="宋体"/>
                <w:color w:val="000000"/>
                <w:sz w:val="24"/>
              </w:rPr>
              <w:t>员</w:t>
            </w:r>
          </w:p>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5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其</w:t>
            </w:r>
          </w:p>
          <w:p>
            <w:pPr>
              <w:spacing w:line="360" w:lineRule="auto"/>
              <w:jc w:val="center"/>
              <w:rPr>
                <w:rFonts w:ascii="宋体" w:hAnsi="宋体" w:cs="宋体"/>
                <w:color w:val="000000"/>
                <w:sz w:val="24"/>
              </w:rPr>
            </w:pPr>
            <w:r>
              <w:rPr>
                <w:rFonts w:hint="eastAsia" w:ascii="宋体" w:hAnsi="宋体" w:cs="宋体"/>
                <w:color w:val="000000"/>
                <w:sz w:val="24"/>
              </w:rPr>
              <w:t>他</w:t>
            </w:r>
          </w:p>
          <w:p>
            <w:pPr>
              <w:spacing w:line="360" w:lineRule="auto"/>
              <w:jc w:val="center"/>
              <w:rPr>
                <w:rFonts w:ascii="宋体" w:hAnsi="宋体" w:cs="宋体"/>
                <w:color w:val="000000"/>
                <w:sz w:val="24"/>
              </w:rPr>
            </w:pPr>
            <w:r>
              <w:rPr>
                <w:rFonts w:hint="eastAsia" w:ascii="宋体" w:hAnsi="宋体" w:cs="宋体"/>
                <w:color w:val="000000"/>
                <w:sz w:val="24"/>
              </w:rPr>
              <w:t>人</w:t>
            </w:r>
          </w:p>
          <w:p>
            <w:pPr>
              <w:spacing w:line="360" w:lineRule="auto"/>
              <w:jc w:val="center"/>
              <w:rPr>
                <w:rFonts w:ascii="宋体" w:hAnsi="宋体" w:cs="宋体"/>
                <w:color w:val="000000"/>
                <w:sz w:val="24"/>
              </w:rPr>
            </w:pPr>
            <w:r>
              <w:rPr>
                <w:rFonts w:hint="eastAsia" w:ascii="宋体" w:hAnsi="宋体" w:cs="宋体"/>
                <w:color w:val="000000"/>
                <w:sz w:val="24"/>
              </w:rPr>
              <w:t>员</w:t>
            </w:r>
          </w:p>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c>
          <w:tcPr>
            <w:tcW w:w="850" w:type="dxa"/>
            <w:vAlign w:val="center"/>
          </w:tcPr>
          <w:p>
            <w:pPr>
              <w:spacing w:line="360" w:lineRule="auto"/>
              <w:jc w:val="center"/>
              <w:rPr>
                <w:rFonts w:ascii="宋体" w:hAnsi="宋体" w:cs="宋体"/>
                <w:color w:val="000000"/>
                <w:sz w:val="24"/>
              </w:rPr>
            </w:pPr>
          </w:p>
        </w:tc>
      </w:tr>
    </w:tbl>
    <w:p>
      <w:pPr>
        <w:spacing w:line="360" w:lineRule="auto"/>
        <w:ind w:firstLine="723" w:firstLineChars="300"/>
        <w:rPr>
          <w:rFonts w:ascii="宋体" w:hAnsi="宋体" w:cs="宋体"/>
          <w:b/>
          <w:bCs/>
          <w:color w:val="000000"/>
          <w:sz w:val="24"/>
        </w:rPr>
      </w:pPr>
      <w:r>
        <w:rPr>
          <w:rFonts w:hint="eastAsia" w:ascii="宋体" w:hAnsi="宋体" w:cs="宋体"/>
          <w:b/>
          <w:bCs/>
          <w:color w:val="000000"/>
          <w:sz w:val="24"/>
        </w:rPr>
        <w:t>注：本表后须附资格证明(附复印件)。</w:t>
      </w:r>
    </w:p>
    <w:p>
      <w:pPr>
        <w:pStyle w:val="2"/>
        <w:rPr>
          <w:rFonts w:hAnsi="宋体"/>
          <w:b/>
          <w:bCs/>
        </w:rPr>
      </w:pPr>
    </w:p>
    <w:p>
      <w:pPr>
        <w:pStyle w:val="2"/>
        <w:rPr>
          <w:rFonts w:hAnsi="宋体"/>
          <w:b/>
          <w:bCs/>
        </w:rPr>
      </w:pPr>
    </w:p>
    <w:p>
      <w:pPr>
        <w:spacing w:line="360" w:lineRule="auto"/>
        <w:ind w:firstLine="720" w:firstLineChars="300"/>
        <w:rPr>
          <w:rFonts w:ascii="宋体" w:hAnsi="宋体" w:cs="宋体"/>
          <w:color w:val="000000"/>
          <w:sz w:val="24"/>
        </w:rPr>
      </w:pPr>
      <w:r>
        <w:rPr>
          <w:rFonts w:hint="eastAsia" w:ascii="宋体" w:hAnsi="宋体" w:cs="宋体"/>
          <w:color w:val="000000"/>
          <w:sz w:val="24"/>
        </w:rPr>
        <w:t>磋商供应商名称：(加盖公章)</w:t>
      </w:r>
    </w:p>
    <w:p>
      <w:pPr>
        <w:spacing w:line="360" w:lineRule="auto"/>
        <w:ind w:firstLine="720" w:firstLineChars="300"/>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ind w:firstLine="720" w:firstLineChars="300"/>
        <w:rPr>
          <w:rFonts w:ascii="宋体" w:hAnsi="宋体" w:cs="宋体"/>
          <w:color w:val="000000"/>
          <w:sz w:val="24"/>
        </w:rPr>
      </w:pPr>
      <w:r>
        <w:rPr>
          <w:rFonts w:hint="eastAsia" w:ascii="宋体" w:hAnsi="宋体" w:cs="宋体"/>
          <w:color w:val="000000"/>
          <w:sz w:val="24"/>
        </w:rPr>
        <w:t>磋商日期:</w:t>
      </w:r>
    </w:p>
    <w:p>
      <w:pPr>
        <w:pStyle w:val="9"/>
        <w:rPr>
          <w:rFonts w:ascii="宋体" w:hAnsi="宋体" w:cs="宋体"/>
          <w:color w:val="000000"/>
          <w:sz w:val="24"/>
        </w:rPr>
      </w:pPr>
    </w:p>
    <w:p>
      <w:pPr>
        <w:pStyle w:val="23"/>
        <w:ind w:firstLine="210"/>
        <w:rPr>
          <w:rFonts w:ascii="宋体" w:hAnsi="宋体" w:cs="宋体"/>
          <w:color w:val="000000"/>
        </w:rPr>
      </w:pPr>
    </w:p>
    <w:p>
      <w:pPr>
        <w:pStyle w:val="9"/>
        <w:rPr>
          <w:rFonts w:ascii="宋体" w:hAnsi="宋体" w:cs="宋体"/>
          <w:color w:val="000000"/>
          <w:sz w:val="24"/>
        </w:rPr>
      </w:pPr>
    </w:p>
    <w:p>
      <w:pPr>
        <w:pStyle w:val="9"/>
        <w:rPr>
          <w:rFonts w:ascii="宋体" w:hAnsi="宋体" w:cs="宋体"/>
          <w:color w:val="000000"/>
          <w:sz w:val="24"/>
        </w:rPr>
      </w:pPr>
    </w:p>
    <w:p>
      <w:pPr>
        <w:rPr>
          <w:rFonts w:ascii="宋体" w:hAnsi="宋体" w:cs="宋体"/>
          <w:color w:val="000000"/>
        </w:rPr>
      </w:pPr>
    </w:p>
    <w:p>
      <w:pPr>
        <w:jc w:val="center"/>
        <w:rPr>
          <w:rFonts w:ascii="宋体" w:hAnsi="宋体" w:cs="宋体"/>
          <w:color w:val="000000"/>
        </w:rPr>
      </w:pPr>
      <w:bookmarkStart w:id="239" w:name="_Toc3023"/>
      <w:r>
        <w:rPr>
          <w:rFonts w:hint="eastAsia"/>
          <w:b/>
          <w:bCs/>
          <w:sz w:val="28"/>
          <w:szCs w:val="36"/>
        </w:rPr>
        <w:t>八、供应商类似项目业绩一览表</w:t>
      </w:r>
      <w:bookmarkEnd w:id="23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77"/>
        <w:gridCol w:w="1353"/>
        <w:gridCol w:w="1374"/>
        <w:gridCol w:w="1391"/>
        <w:gridCol w:w="124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年份</w:t>
            </w:r>
          </w:p>
        </w:tc>
        <w:tc>
          <w:tcPr>
            <w:tcW w:w="1377"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用户名称</w:t>
            </w:r>
          </w:p>
        </w:tc>
        <w:tc>
          <w:tcPr>
            <w:tcW w:w="135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1374"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完成时间</w:t>
            </w:r>
          </w:p>
        </w:tc>
        <w:tc>
          <w:tcPr>
            <w:tcW w:w="139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合同金额</w:t>
            </w:r>
          </w:p>
        </w:tc>
        <w:tc>
          <w:tcPr>
            <w:tcW w:w="1241"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完成项目质量</w:t>
            </w:r>
          </w:p>
        </w:tc>
        <w:tc>
          <w:tcPr>
            <w:tcW w:w="1309"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spacing w:line="360" w:lineRule="auto"/>
              <w:jc w:val="center"/>
              <w:rPr>
                <w:rFonts w:ascii="宋体" w:hAnsi="宋体" w:cs="宋体"/>
                <w:color w:val="000000"/>
                <w:sz w:val="24"/>
              </w:rPr>
            </w:pPr>
          </w:p>
        </w:tc>
        <w:tc>
          <w:tcPr>
            <w:tcW w:w="1377" w:type="dxa"/>
            <w:vAlign w:val="center"/>
          </w:tcPr>
          <w:p>
            <w:pPr>
              <w:spacing w:line="360" w:lineRule="auto"/>
              <w:jc w:val="center"/>
              <w:rPr>
                <w:rFonts w:ascii="宋体" w:hAnsi="宋体" w:cs="宋体"/>
                <w:color w:val="000000"/>
                <w:sz w:val="24"/>
              </w:rPr>
            </w:pPr>
          </w:p>
        </w:tc>
        <w:tc>
          <w:tcPr>
            <w:tcW w:w="1353" w:type="dxa"/>
            <w:vAlign w:val="center"/>
          </w:tcPr>
          <w:p>
            <w:pPr>
              <w:spacing w:line="360" w:lineRule="auto"/>
              <w:jc w:val="center"/>
              <w:rPr>
                <w:rFonts w:ascii="宋体" w:hAnsi="宋体" w:cs="宋体"/>
                <w:color w:val="000000"/>
                <w:sz w:val="24"/>
              </w:rPr>
            </w:pPr>
          </w:p>
        </w:tc>
        <w:tc>
          <w:tcPr>
            <w:tcW w:w="1374" w:type="dxa"/>
            <w:vAlign w:val="center"/>
          </w:tcPr>
          <w:p>
            <w:pPr>
              <w:spacing w:line="360" w:lineRule="auto"/>
              <w:jc w:val="center"/>
              <w:rPr>
                <w:rFonts w:ascii="宋体" w:hAnsi="宋体" w:cs="宋体"/>
                <w:color w:val="000000"/>
                <w:sz w:val="24"/>
              </w:rPr>
            </w:pPr>
          </w:p>
        </w:tc>
        <w:tc>
          <w:tcPr>
            <w:tcW w:w="1391" w:type="dxa"/>
            <w:vAlign w:val="center"/>
          </w:tcPr>
          <w:p>
            <w:pPr>
              <w:spacing w:line="360" w:lineRule="auto"/>
              <w:jc w:val="center"/>
              <w:rPr>
                <w:rFonts w:ascii="宋体" w:hAnsi="宋体" w:cs="宋体"/>
                <w:color w:val="000000"/>
                <w:sz w:val="24"/>
              </w:rPr>
            </w:pPr>
          </w:p>
        </w:tc>
        <w:tc>
          <w:tcPr>
            <w:tcW w:w="1241" w:type="dxa"/>
            <w:vAlign w:val="center"/>
          </w:tcPr>
          <w:p>
            <w:pPr>
              <w:spacing w:line="360" w:lineRule="auto"/>
              <w:jc w:val="center"/>
              <w:rPr>
                <w:rFonts w:ascii="宋体" w:hAnsi="宋体" w:cs="宋体"/>
                <w:color w:val="000000"/>
                <w:sz w:val="24"/>
              </w:rPr>
            </w:pPr>
          </w:p>
        </w:tc>
        <w:tc>
          <w:tcPr>
            <w:tcW w:w="1309" w:type="dxa"/>
            <w:vAlign w:val="center"/>
          </w:tcPr>
          <w:p>
            <w:pPr>
              <w:spacing w:line="360" w:lineRule="auto"/>
              <w:jc w:val="center"/>
              <w:rPr>
                <w:rFonts w:ascii="宋体" w:hAnsi="宋体" w:cs="宋体"/>
                <w:color w:val="000000"/>
                <w:sz w:val="24"/>
              </w:rPr>
            </w:pPr>
          </w:p>
        </w:tc>
      </w:tr>
    </w:tbl>
    <w:p>
      <w:pPr>
        <w:spacing w:line="360" w:lineRule="auto"/>
        <w:rPr>
          <w:rFonts w:ascii="宋体" w:hAnsi="宋体" w:cs="宋体"/>
          <w:color w:val="000000"/>
          <w:sz w:val="24"/>
        </w:rPr>
      </w:pPr>
      <w:r>
        <w:rPr>
          <w:rFonts w:hint="eastAsia" w:ascii="宋体" w:hAnsi="宋体" w:cs="宋体"/>
          <w:color w:val="000000"/>
          <w:sz w:val="24"/>
        </w:rPr>
        <w:t>注：供应商（仅限于供应商以自身名义实施的）以上业绩需提供有关书面证明材料复印件。</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磋商日期:</w:t>
      </w:r>
    </w:p>
    <w:p>
      <w:pPr>
        <w:pStyle w:val="23"/>
        <w:ind w:firstLine="0" w:firstLineChars="0"/>
        <w:rPr>
          <w:rFonts w:ascii="宋体" w:hAnsi="宋体" w:cs="宋体"/>
          <w:color w:val="000000"/>
          <w:sz w:val="24"/>
        </w:rPr>
      </w:pPr>
    </w:p>
    <w:p>
      <w:pPr>
        <w:pStyle w:val="23"/>
        <w:ind w:firstLine="0" w:firstLineChars="0"/>
        <w:rPr>
          <w:rFonts w:ascii="宋体" w:hAnsi="宋体" w:cs="宋体"/>
          <w:color w:val="000000"/>
          <w:sz w:val="24"/>
        </w:rPr>
        <w:sectPr>
          <w:pgSz w:w="11906" w:h="16838"/>
          <w:pgMar w:top="1440" w:right="1406" w:bottom="1440" w:left="129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bCs/>
          <w:sz w:val="28"/>
          <w:szCs w:val="36"/>
        </w:rPr>
      </w:pPr>
      <w:bookmarkStart w:id="240" w:name="_Toc1522"/>
      <w:bookmarkStart w:id="241" w:name="_Toc27433"/>
      <w:bookmarkStart w:id="242" w:name="_Toc27578"/>
      <w:bookmarkStart w:id="243" w:name="_Toc489015433"/>
      <w:bookmarkStart w:id="244" w:name="_Toc10559"/>
      <w:r>
        <w:rPr>
          <w:rFonts w:hint="eastAsia"/>
          <w:b/>
          <w:bCs/>
          <w:sz w:val="28"/>
          <w:szCs w:val="36"/>
        </w:rPr>
        <w:t>九、其他供应商认为需要提供的文件和资料</w:t>
      </w:r>
      <w:bookmarkEnd w:id="240"/>
      <w:bookmarkEnd w:id="241"/>
      <w:bookmarkEnd w:id="242"/>
      <w:bookmarkEnd w:id="243"/>
      <w:bookmarkEnd w:id="244"/>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p>
    <w:p>
      <w:pPr>
        <w:spacing w:line="360" w:lineRule="auto"/>
        <w:jc w:val="center"/>
        <w:rPr>
          <w:rFonts w:ascii="宋体" w:hAnsi="宋体" w:cs="宋体"/>
          <w:b/>
          <w:color w:val="000000"/>
          <w:kern w:val="0"/>
          <w:sz w:val="32"/>
          <w:szCs w:val="28"/>
        </w:rPr>
      </w:pPr>
      <w:r>
        <w:rPr>
          <w:rFonts w:hint="eastAsia" w:ascii="宋体" w:hAnsi="宋体" w:cs="宋体"/>
          <w:b/>
          <w:color w:val="000000"/>
          <w:kern w:val="0"/>
          <w:sz w:val="32"/>
          <w:szCs w:val="28"/>
        </w:rPr>
        <w:t>（具体内容由各供应商自拟）</w:t>
      </w:r>
    </w:p>
    <w:p>
      <w:pPr>
        <w:spacing w:line="360" w:lineRule="auto"/>
        <w:rPr>
          <w:rFonts w:ascii="宋体" w:hAnsi="宋体" w:cs="宋体"/>
          <w:color w:val="000000"/>
          <w:sz w:val="24"/>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pStyle w:val="2"/>
        <w:spacing w:line="360" w:lineRule="auto"/>
        <w:rPr>
          <w:rFonts w:hAnsi="宋体"/>
        </w:rPr>
      </w:pPr>
    </w:p>
    <w:p>
      <w:pPr>
        <w:jc w:val="center"/>
        <w:rPr>
          <w:b/>
          <w:bCs/>
          <w:sz w:val="28"/>
          <w:szCs w:val="36"/>
        </w:rPr>
      </w:pPr>
      <w:bookmarkStart w:id="245" w:name="_Toc5741"/>
      <w:r>
        <w:rPr>
          <w:rFonts w:hint="eastAsia"/>
          <w:b/>
          <w:bCs/>
          <w:sz w:val="28"/>
          <w:szCs w:val="36"/>
        </w:rPr>
        <w:t>十、第</w:t>
      </w:r>
      <w:r>
        <w:rPr>
          <w:rFonts w:hint="eastAsia"/>
          <w:b/>
          <w:bCs/>
          <w:sz w:val="28"/>
          <w:szCs w:val="36"/>
          <w:u w:val="single"/>
        </w:rPr>
        <w:t xml:space="preserve">    </w:t>
      </w:r>
      <w:r>
        <w:rPr>
          <w:rFonts w:hint="eastAsia"/>
          <w:b/>
          <w:bCs/>
          <w:sz w:val="28"/>
          <w:szCs w:val="36"/>
        </w:rPr>
        <w:t>次报价表（可以不在响应文件中报价）</w:t>
      </w:r>
      <w:bookmarkEnd w:id="24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9" w:type="dxa"/>
            <w:vAlign w:val="center"/>
          </w:tcPr>
          <w:p>
            <w:pPr>
              <w:jc w:val="center"/>
              <w:rPr>
                <w:rFonts w:ascii="宋体" w:hAnsi="宋体" w:cs="宋体"/>
                <w:b/>
                <w:bCs/>
                <w:caps/>
                <w:snapToGrid w:val="0"/>
                <w:color w:val="000000"/>
                <w:sz w:val="24"/>
              </w:rPr>
            </w:pPr>
            <w:r>
              <w:rPr>
                <w:rFonts w:hint="eastAsia" w:ascii="宋体" w:hAnsi="宋体" w:cs="宋体"/>
                <w:snapToGrid w:val="0"/>
                <w:color w:val="000000"/>
                <w:sz w:val="24"/>
              </w:rPr>
              <w:t>项目名称</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snapToGrid w:val="0"/>
                <w:color w:val="000000"/>
                <w:sz w:val="24"/>
              </w:rPr>
              <w:t>项目编号</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vAlign w:val="center"/>
          </w:tcPr>
          <w:p>
            <w:pPr>
              <w:jc w:val="center"/>
              <w:rPr>
                <w:rFonts w:ascii="宋体" w:hAnsi="宋体" w:cs="宋体"/>
                <w:b/>
                <w:bCs/>
                <w:snapToGrid w:val="0"/>
                <w:color w:val="000000"/>
                <w:sz w:val="24"/>
              </w:rPr>
            </w:pPr>
            <w:r>
              <w:rPr>
                <w:rFonts w:hint="eastAsia" w:ascii="宋体" w:hAnsi="宋体" w:cs="宋体"/>
                <w:color w:val="000000"/>
                <w:sz w:val="24"/>
              </w:rPr>
              <w:t>磋商供应商名称</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次报价</w:t>
            </w:r>
          </w:p>
        </w:tc>
        <w:tc>
          <w:tcPr>
            <w:tcW w:w="6645" w:type="dxa"/>
            <w:vAlign w:val="center"/>
          </w:tcPr>
          <w:p>
            <w:pPr>
              <w:rPr>
                <w:rFonts w:ascii="宋体" w:hAnsi="宋体" w:cs="宋体"/>
                <w:snapToGrid w:val="0"/>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color w:val="000000"/>
                <w:sz w:val="24"/>
              </w:rPr>
              <w:t>其他承诺</w:t>
            </w:r>
          </w:p>
        </w:tc>
        <w:tc>
          <w:tcPr>
            <w:tcW w:w="6645" w:type="dxa"/>
            <w:vAlign w:val="center"/>
          </w:tcPr>
          <w:p>
            <w:pPr>
              <w:spacing w:line="360" w:lineRule="auto"/>
              <w:ind w:right="31" w:rightChars="15" w:firstLine="480" w:firstLineChars="200"/>
              <w:rPr>
                <w:rFonts w:ascii="宋体" w:hAnsi="宋体" w:cs="宋体"/>
                <w:snapToGrid w:val="0"/>
                <w:color w:val="000000"/>
                <w:sz w:val="24"/>
              </w:rPr>
            </w:pPr>
          </w:p>
        </w:tc>
      </w:tr>
    </w:tbl>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bCs/>
          <w:color w:val="000000"/>
          <w:sz w:val="24"/>
        </w:rPr>
      </w:pPr>
      <w:r>
        <w:rPr>
          <w:rFonts w:hint="eastAsia" w:ascii="宋体" w:hAnsi="宋体" w:cs="宋体"/>
          <w:bCs/>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bCs/>
          <w:color w:val="000000"/>
          <w:sz w:val="24"/>
        </w:rPr>
        <w:t>）：</w:t>
      </w:r>
    </w:p>
    <w:p>
      <w:pPr>
        <w:spacing w:line="360" w:lineRule="auto"/>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pPr>
        <w:pStyle w:val="23"/>
        <w:ind w:firstLine="210"/>
        <w:rPr>
          <w:rFonts w:ascii="宋体" w:hAnsi="宋体" w:cs="宋体"/>
          <w:color w:val="000000"/>
        </w:rPr>
      </w:pPr>
    </w:p>
    <w:p>
      <w:pPr>
        <w:spacing w:line="360" w:lineRule="auto"/>
        <w:rPr>
          <w:rFonts w:ascii="宋体" w:hAnsi="宋体" w:cs="宋体"/>
          <w:b/>
          <w:bCs/>
          <w:color w:val="000000"/>
          <w:sz w:val="24"/>
          <w:szCs w:val="32"/>
        </w:rPr>
      </w:pPr>
      <w:r>
        <w:rPr>
          <w:rFonts w:hint="eastAsia" w:ascii="宋体" w:hAnsi="宋体" w:cs="宋体"/>
          <w:b/>
          <w:bCs/>
          <w:color w:val="000000"/>
          <w:sz w:val="24"/>
          <w:szCs w:val="32"/>
        </w:rPr>
        <w:t>注：1、此表每一页都须加盖供应商公章，并持未填写的模板带至现场根据实际需要填写（现场填写）后密封。</w:t>
      </w:r>
    </w:p>
    <w:p>
      <w:pPr>
        <w:spacing w:line="360" w:lineRule="auto"/>
        <w:rPr>
          <w:rFonts w:ascii="宋体" w:hAnsi="宋体" w:cs="宋体"/>
          <w:b/>
          <w:bCs/>
          <w:color w:val="000000"/>
          <w:sz w:val="24"/>
          <w:szCs w:val="32"/>
        </w:rPr>
      </w:pPr>
      <w:r>
        <w:rPr>
          <w:rFonts w:hint="eastAsia" w:ascii="宋体" w:hAnsi="宋体" w:cs="宋体"/>
          <w:b/>
          <w:bCs/>
          <w:color w:val="000000"/>
          <w:sz w:val="24"/>
          <w:szCs w:val="32"/>
        </w:rPr>
        <w:t>2、供应商可将此表多印制几张带至现场。</w:t>
      </w:r>
    </w:p>
    <w:p>
      <w:pPr>
        <w:spacing w:line="360" w:lineRule="auto"/>
        <w:rPr>
          <w:rFonts w:ascii="宋体" w:hAnsi="宋体" w:cs="宋体"/>
          <w:b/>
          <w:bCs/>
          <w:color w:val="000000"/>
          <w:sz w:val="24"/>
          <w:szCs w:val="32"/>
        </w:rPr>
      </w:pPr>
      <w:r>
        <w:rPr>
          <w:rFonts w:hint="eastAsia" w:ascii="宋体" w:hAnsi="宋体" w:cs="宋体"/>
          <w:b/>
          <w:bCs/>
          <w:color w:val="000000"/>
          <w:sz w:val="24"/>
          <w:szCs w:val="32"/>
        </w:rPr>
        <w:t>3、供应商的最终报价应当为不可变动的总和。</w:t>
      </w:r>
    </w:p>
    <w:p>
      <w:pPr>
        <w:pStyle w:val="2"/>
        <w:spacing w:line="360" w:lineRule="auto"/>
        <w:rPr>
          <w:rFonts w:hAnsi="宋体"/>
          <w:b/>
          <w:bCs/>
        </w:rPr>
      </w:pPr>
    </w:p>
    <w:p>
      <w:pPr>
        <w:pStyle w:val="2"/>
        <w:spacing w:line="360" w:lineRule="auto"/>
        <w:rPr>
          <w:rFonts w:hAnsi="宋体"/>
          <w:b/>
          <w:bCs/>
        </w:rPr>
      </w:pPr>
    </w:p>
    <w:p>
      <w:pPr>
        <w:pStyle w:val="2"/>
        <w:spacing w:line="360" w:lineRule="auto"/>
        <w:rPr>
          <w:rFonts w:hAnsi="宋体"/>
          <w:b/>
          <w:bCs/>
        </w:rPr>
      </w:pPr>
    </w:p>
    <w:p>
      <w:pPr>
        <w:pStyle w:val="2"/>
        <w:spacing w:line="360" w:lineRule="auto"/>
        <w:rPr>
          <w:rFonts w:hAnsi="宋体"/>
          <w:b/>
          <w:bCs/>
        </w:rPr>
      </w:pPr>
    </w:p>
    <w:p>
      <w:pPr>
        <w:pStyle w:val="2"/>
        <w:spacing w:line="360" w:lineRule="auto"/>
        <w:rPr>
          <w:rFonts w:hAnsi="宋体"/>
          <w:b/>
          <w:bCs/>
        </w:rPr>
      </w:pPr>
    </w:p>
    <w:p>
      <w:pPr>
        <w:pStyle w:val="2"/>
        <w:spacing w:line="360" w:lineRule="auto"/>
        <w:rPr>
          <w:rFonts w:hAnsi="宋体"/>
          <w:b/>
          <w:bCs/>
        </w:rPr>
      </w:pPr>
    </w:p>
    <w:p>
      <w:pPr>
        <w:jc w:val="center"/>
        <w:rPr>
          <w:b/>
          <w:bCs/>
          <w:sz w:val="28"/>
          <w:szCs w:val="36"/>
        </w:rPr>
      </w:pPr>
      <w:bookmarkStart w:id="246" w:name="_Toc4186"/>
      <w:r>
        <w:rPr>
          <w:rFonts w:hint="eastAsia"/>
          <w:b/>
          <w:bCs/>
          <w:sz w:val="28"/>
          <w:szCs w:val="36"/>
        </w:rPr>
        <w:t>十一、最终报价表（</w:t>
      </w:r>
      <w:r>
        <w:rPr>
          <w:rFonts w:hint="eastAsia"/>
          <w:b/>
          <w:bCs/>
          <w:sz w:val="28"/>
          <w:szCs w:val="36"/>
          <w:lang w:val="en-US" w:eastAsia="zh-CN"/>
        </w:rPr>
        <w:t>现场报价</w:t>
      </w:r>
      <w:r>
        <w:rPr>
          <w:rFonts w:hint="eastAsia"/>
          <w:b/>
          <w:bCs/>
          <w:sz w:val="28"/>
          <w:szCs w:val="36"/>
        </w:rPr>
        <w:t>）</w:t>
      </w:r>
      <w:bookmarkEnd w:id="24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9" w:type="dxa"/>
            <w:vAlign w:val="center"/>
          </w:tcPr>
          <w:p>
            <w:pPr>
              <w:jc w:val="center"/>
              <w:rPr>
                <w:rFonts w:ascii="宋体" w:hAnsi="宋体" w:cs="宋体"/>
                <w:b/>
                <w:bCs/>
                <w:caps/>
                <w:snapToGrid w:val="0"/>
                <w:color w:val="000000"/>
                <w:sz w:val="24"/>
              </w:rPr>
            </w:pPr>
            <w:r>
              <w:rPr>
                <w:rFonts w:hint="eastAsia" w:ascii="宋体" w:hAnsi="宋体" w:cs="宋体"/>
                <w:snapToGrid w:val="0"/>
                <w:color w:val="000000"/>
                <w:sz w:val="24"/>
              </w:rPr>
              <w:t>项目名称</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snapToGrid w:val="0"/>
                <w:color w:val="000000"/>
                <w:sz w:val="24"/>
              </w:rPr>
              <w:t>项目编号</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vAlign w:val="center"/>
          </w:tcPr>
          <w:p>
            <w:pPr>
              <w:jc w:val="center"/>
              <w:rPr>
                <w:rFonts w:ascii="宋体" w:hAnsi="宋体" w:cs="宋体"/>
                <w:b/>
                <w:bCs/>
                <w:snapToGrid w:val="0"/>
                <w:color w:val="000000"/>
                <w:sz w:val="24"/>
              </w:rPr>
            </w:pPr>
            <w:r>
              <w:rPr>
                <w:rFonts w:hint="eastAsia" w:ascii="宋体" w:hAnsi="宋体" w:cs="宋体"/>
                <w:color w:val="000000"/>
                <w:sz w:val="24"/>
              </w:rPr>
              <w:t>磋商供应商名称</w:t>
            </w:r>
          </w:p>
        </w:tc>
        <w:tc>
          <w:tcPr>
            <w:tcW w:w="6645" w:type="dxa"/>
            <w:vAlign w:val="center"/>
          </w:tcPr>
          <w:p>
            <w:pPr>
              <w:jc w:val="center"/>
              <w:rPr>
                <w:rFonts w:ascii="宋体" w:hAnsi="宋体"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color w:val="000000"/>
                <w:sz w:val="24"/>
              </w:rPr>
              <w:t>最终报价</w:t>
            </w:r>
          </w:p>
        </w:tc>
        <w:tc>
          <w:tcPr>
            <w:tcW w:w="6645" w:type="dxa"/>
            <w:vAlign w:val="center"/>
          </w:tcPr>
          <w:p>
            <w:pPr>
              <w:rPr>
                <w:rFonts w:ascii="宋体" w:hAnsi="宋体" w:cs="宋体"/>
                <w:snapToGrid w:val="0"/>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2739" w:type="dxa"/>
            <w:vAlign w:val="center"/>
          </w:tcPr>
          <w:p>
            <w:pPr>
              <w:jc w:val="center"/>
              <w:rPr>
                <w:rFonts w:ascii="宋体" w:hAnsi="宋体" w:cs="宋体"/>
                <w:snapToGrid w:val="0"/>
                <w:color w:val="000000"/>
                <w:sz w:val="24"/>
              </w:rPr>
            </w:pPr>
            <w:r>
              <w:rPr>
                <w:rFonts w:hint="eastAsia" w:ascii="宋体" w:hAnsi="宋体" w:cs="宋体"/>
                <w:color w:val="000000"/>
                <w:sz w:val="24"/>
              </w:rPr>
              <w:t>其他承诺</w:t>
            </w:r>
          </w:p>
        </w:tc>
        <w:tc>
          <w:tcPr>
            <w:tcW w:w="6645" w:type="dxa"/>
            <w:vAlign w:val="center"/>
          </w:tcPr>
          <w:p>
            <w:pPr>
              <w:spacing w:line="360" w:lineRule="auto"/>
              <w:ind w:right="31" w:rightChars="15" w:firstLine="480" w:firstLineChars="200"/>
              <w:rPr>
                <w:rFonts w:ascii="宋体" w:hAnsi="宋体" w:cs="宋体"/>
                <w:snapToGrid w:val="0"/>
                <w:color w:val="000000"/>
                <w:sz w:val="24"/>
              </w:rPr>
            </w:pPr>
          </w:p>
        </w:tc>
      </w:tr>
    </w:tbl>
    <w:p>
      <w:pPr>
        <w:spacing w:line="360" w:lineRule="auto"/>
        <w:rPr>
          <w:rFonts w:ascii="宋体" w:hAnsi="宋体" w:cs="宋体"/>
          <w:color w:val="000000"/>
          <w:sz w:val="24"/>
        </w:rPr>
      </w:pPr>
      <w:r>
        <w:rPr>
          <w:rFonts w:hint="eastAsia" w:ascii="宋体" w:hAnsi="宋体" w:cs="宋体"/>
          <w:color w:val="000000"/>
          <w:sz w:val="24"/>
        </w:rPr>
        <w:t>磋商供应商名称：(加盖公章)</w:t>
      </w:r>
    </w:p>
    <w:p>
      <w:pPr>
        <w:spacing w:line="360" w:lineRule="auto"/>
        <w:rPr>
          <w:rFonts w:ascii="宋体" w:hAnsi="宋体" w:cs="宋体"/>
          <w:bCs/>
          <w:color w:val="000000"/>
          <w:sz w:val="24"/>
        </w:rPr>
      </w:pPr>
      <w:r>
        <w:rPr>
          <w:rFonts w:hint="eastAsia" w:ascii="宋体" w:hAnsi="宋体" w:cs="宋体"/>
          <w:bCs/>
          <w:color w:val="000000"/>
          <w:sz w:val="24"/>
        </w:rPr>
        <w:t>法定代表人或授权代表（</w:t>
      </w:r>
      <w:r>
        <w:rPr>
          <w:rFonts w:hint="eastAsia" w:ascii="宋体" w:hAnsi="宋体" w:cs="宋体"/>
          <w:color w:val="000000"/>
          <w:kern w:val="0"/>
          <w:sz w:val="24"/>
        </w:rPr>
        <w:t>签字或加盖个人名章</w:t>
      </w:r>
      <w:r>
        <w:rPr>
          <w:rFonts w:hint="eastAsia" w:ascii="宋体" w:hAnsi="宋体" w:cs="宋体"/>
          <w:bCs/>
          <w:color w:val="000000"/>
          <w:sz w:val="24"/>
        </w:rPr>
        <w:t>）：</w:t>
      </w:r>
    </w:p>
    <w:p>
      <w:pPr>
        <w:spacing w:line="360" w:lineRule="auto"/>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pPr>
        <w:pStyle w:val="23"/>
        <w:ind w:firstLine="210"/>
        <w:rPr>
          <w:rFonts w:ascii="宋体" w:hAnsi="宋体" w:cs="宋体"/>
          <w:color w:val="000000"/>
        </w:rPr>
      </w:pPr>
    </w:p>
    <w:p>
      <w:pPr>
        <w:spacing w:line="360" w:lineRule="auto"/>
        <w:rPr>
          <w:rFonts w:ascii="宋体" w:hAnsi="宋体" w:cs="宋体"/>
          <w:b/>
          <w:bCs/>
          <w:color w:val="000000"/>
          <w:sz w:val="24"/>
          <w:szCs w:val="32"/>
        </w:rPr>
      </w:pPr>
      <w:r>
        <w:rPr>
          <w:rFonts w:hint="eastAsia" w:ascii="宋体" w:hAnsi="宋体" w:cs="宋体"/>
          <w:b/>
          <w:bCs/>
          <w:color w:val="000000"/>
          <w:sz w:val="24"/>
          <w:szCs w:val="32"/>
        </w:rPr>
        <w:t>注：1、此表每一页都须加盖供应商公章，并持未填写的模板带至现场根据实际需要填写（现场填写）后密封。</w:t>
      </w:r>
    </w:p>
    <w:p>
      <w:pPr>
        <w:spacing w:line="360" w:lineRule="auto"/>
        <w:rPr>
          <w:rFonts w:ascii="宋体" w:hAnsi="宋体" w:cs="宋体"/>
          <w:b/>
          <w:bCs/>
          <w:color w:val="000000"/>
          <w:sz w:val="24"/>
          <w:szCs w:val="32"/>
        </w:rPr>
      </w:pPr>
      <w:r>
        <w:rPr>
          <w:rFonts w:hint="eastAsia" w:ascii="宋体" w:hAnsi="宋体" w:cs="宋体"/>
          <w:b/>
          <w:bCs/>
          <w:color w:val="000000"/>
          <w:sz w:val="24"/>
          <w:szCs w:val="32"/>
        </w:rPr>
        <w:t>2、供应商可将此表多印制几张带至现场。</w:t>
      </w:r>
    </w:p>
    <w:p>
      <w:pPr>
        <w:spacing w:line="360" w:lineRule="auto"/>
        <w:rPr>
          <w:rFonts w:ascii="宋体" w:hAnsi="宋体" w:cs="宋体"/>
          <w:b/>
          <w:bCs/>
          <w:color w:val="000000"/>
          <w:sz w:val="24"/>
          <w:szCs w:val="32"/>
        </w:rPr>
      </w:pPr>
      <w:r>
        <w:rPr>
          <w:rFonts w:hint="eastAsia" w:ascii="宋体" w:hAnsi="宋体" w:cs="宋体"/>
          <w:b/>
          <w:bCs/>
          <w:color w:val="000000"/>
          <w:sz w:val="24"/>
          <w:szCs w:val="32"/>
        </w:rPr>
        <w:t>3、供应商的最终报价应当为不可变动的总和。</w:t>
      </w:r>
    </w:p>
    <w:p>
      <w:pPr>
        <w:pStyle w:val="23"/>
        <w:ind w:firstLine="210"/>
        <w:rPr>
          <w:rFonts w:ascii="宋体" w:hAnsi="宋体" w:cs="宋体"/>
          <w:color w:val="000000"/>
        </w:rPr>
      </w:pPr>
    </w:p>
    <w:p>
      <w:pPr>
        <w:pStyle w:val="23"/>
        <w:ind w:firstLine="210"/>
        <w:rPr>
          <w:rFonts w:ascii="宋体" w:hAnsi="宋体" w:cs="宋体"/>
          <w:color w:val="000000"/>
        </w:rPr>
      </w:pPr>
    </w:p>
    <w:p>
      <w:pPr>
        <w:pStyle w:val="23"/>
        <w:ind w:firstLine="210"/>
        <w:rPr>
          <w:rFonts w:ascii="宋体" w:hAnsi="宋体" w:cs="宋体"/>
          <w:color w:val="000000"/>
        </w:rPr>
      </w:pPr>
    </w:p>
    <w:p>
      <w:pPr>
        <w:pStyle w:val="23"/>
        <w:ind w:firstLine="210"/>
        <w:rPr>
          <w:rFonts w:ascii="宋体" w:hAnsi="宋体" w:cs="宋体"/>
          <w:color w:val="000000"/>
        </w:rPr>
      </w:pPr>
    </w:p>
    <w:p>
      <w:pPr>
        <w:pStyle w:val="23"/>
        <w:ind w:firstLine="210"/>
        <w:rPr>
          <w:rFonts w:ascii="宋体" w:hAnsi="宋体" w:cs="宋体"/>
          <w:color w:val="000000"/>
        </w:rPr>
      </w:pPr>
    </w:p>
    <w:p>
      <w:pPr>
        <w:pStyle w:val="23"/>
        <w:ind w:firstLine="210"/>
        <w:rPr>
          <w:rFonts w:ascii="宋体" w:hAnsi="宋体" w:cs="宋体"/>
          <w:color w:val="000000"/>
        </w:rPr>
      </w:pPr>
    </w:p>
    <w:p>
      <w:pPr>
        <w:pStyle w:val="23"/>
        <w:ind w:firstLine="210"/>
        <w:rPr>
          <w:rFonts w:ascii="宋体" w:hAnsi="宋体" w:cs="宋体"/>
          <w:color w:val="000000"/>
        </w:rPr>
      </w:pPr>
    </w:p>
    <w:p>
      <w:pPr>
        <w:pStyle w:val="4"/>
        <w:jc w:val="center"/>
        <w:rPr>
          <w:rFonts w:ascii="宋体" w:hAnsi="宋体" w:eastAsia="宋体" w:cs="宋体"/>
          <w:sz w:val="24"/>
          <w:szCs w:val="24"/>
        </w:rPr>
      </w:pPr>
      <w:bookmarkStart w:id="247" w:name="_Toc26711"/>
      <w:r>
        <w:rPr>
          <w:rFonts w:hint="eastAsia" w:ascii="宋体" w:hAnsi="宋体" w:eastAsia="宋体" w:cs="宋体"/>
          <w:sz w:val="24"/>
          <w:szCs w:val="24"/>
        </w:rPr>
        <w:t>第三部分 电子文档</w:t>
      </w:r>
      <w:bookmarkEnd w:id="247"/>
    </w:p>
    <w:p>
      <w:pPr>
        <w:spacing w:line="360" w:lineRule="auto"/>
        <w:jc w:val="center"/>
        <w:rPr>
          <w:rFonts w:ascii="宋体" w:hAnsi="宋体" w:cs="宋体"/>
          <w:color w:val="000000"/>
          <w:sz w:val="24"/>
        </w:rPr>
      </w:pPr>
      <w:r>
        <w:rPr>
          <w:rFonts w:hint="eastAsia" w:ascii="宋体" w:hAnsi="宋体" w:cs="宋体"/>
          <w:color w:val="000000"/>
          <w:sz w:val="24"/>
        </w:rPr>
        <w:t>用U盘（或光盘）封装，封面格式自拟。</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sz w:val="24"/>
        </w:rPr>
        <w:sectPr>
          <w:headerReference r:id="rId8" w:type="default"/>
          <w:footerReference r:id="rId9" w:type="default"/>
          <w:footerReference r:id="rId10" w:type="even"/>
          <w:pgSz w:w="11850" w:h="16783"/>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jc w:val="center"/>
        <w:rPr>
          <w:rFonts w:ascii="宋体" w:hAnsi="宋体" w:eastAsia="宋体" w:cs="宋体"/>
          <w:color w:val="000000"/>
          <w:sz w:val="24"/>
          <w:szCs w:val="24"/>
        </w:rPr>
      </w:pPr>
      <w:bookmarkStart w:id="248" w:name="_Toc10605"/>
      <w:bookmarkStart w:id="249" w:name="_Toc18158"/>
      <w:bookmarkStart w:id="250" w:name="_Toc9284"/>
      <w:r>
        <w:rPr>
          <w:rFonts w:hint="eastAsia" w:ascii="宋体" w:hAnsi="宋体" w:eastAsia="宋体" w:cs="宋体"/>
          <w:color w:val="000000"/>
        </w:rPr>
        <w:t>第七章  评审方法</w:t>
      </w:r>
      <w:bookmarkEnd w:id="248"/>
      <w:bookmarkEnd w:id="249"/>
      <w:bookmarkEnd w:id="250"/>
      <w:bookmarkStart w:id="251" w:name="_Toc209847065"/>
      <w:bookmarkStart w:id="252" w:name="_Toc101250640"/>
      <w:bookmarkStart w:id="253" w:name="_Toc101338358"/>
      <w:bookmarkStart w:id="254" w:name="_Toc101174146"/>
      <w:bookmarkStart w:id="255" w:name="_Toc430773924"/>
    </w:p>
    <w:p>
      <w:pPr>
        <w:spacing w:line="360" w:lineRule="auto"/>
        <w:rPr>
          <w:rFonts w:ascii="宋体" w:hAnsi="宋体" w:cs="宋体"/>
          <w:b/>
          <w:bCs/>
          <w:sz w:val="24"/>
        </w:rPr>
      </w:pPr>
      <w:bookmarkStart w:id="256" w:name="_Toc9736"/>
      <w:r>
        <w:rPr>
          <w:rFonts w:hint="eastAsia" w:ascii="宋体" w:hAnsi="宋体" w:cs="宋体"/>
          <w:b/>
          <w:bCs/>
          <w:sz w:val="24"/>
        </w:rPr>
        <w:t>1.总则</w:t>
      </w:r>
      <w:bookmarkEnd w:id="256"/>
    </w:p>
    <w:p>
      <w:pPr>
        <w:spacing w:line="360" w:lineRule="auto"/>
        <w:ind w:firstLine="480" w:firstLineChars="200"/>
        <w:rPr>
          <w:rFonts w:ascii="宋体" w:hAnsi="宋体" w:cs="宋体"/>
          <w:sz w:val="24"/>
        </w:rPr>
      </w:pPr>
      <w:bookmarkStart w:id="257" w:name="_Toc14411"/>
      <w:r>
        <w:rPr>
          <w:rFonts w:hint="eastAsia" w:ascii="宋体" w:hAnsi="宋体" w:cs="宋体"/>
          <w:sz w:val="24"/>
        </w:rPr>
        <w:t>1.1 根据《中华人民共和国政府采购法》、《中华人民共和国政府采购法实施条例》、《政府采购竞争性磋商采购方式管理暂行办法》等法律制度，结合本采购项目特点制定本磋商方法。</w:t>
      </w:r>
      <w:bookmarkEnd w:id="257"/>
    </w:p>
    <w:p>
      <w:pPr>
        <w:spacing w:line="360" w:lineRule="auto"/>
        <w:ind w:firstLine="480" w:firstLineChars="200"/>
        <w:rPr>
          <w:rFonts w:ascii="宋体" w:hAnsi="宋体" w:cs="宋体"/>
          <w:sz w:val="24"/>
        </w:rPr>
      </w:pPr>
      <w:bookmarkStart w:id="258" w:name="_Toc11709"/>
      <w:r>
        <w:rPr>
          <w:rFonts w:hint="eastAsia" w:ascii="宋体" w:hAnsi="宋体" w:cs="宋体"/>
          <w:sz w:val="24"/>
        </w:rPr>
        <w:t>1.2 磋商工作由采购代理机构负责组织，具体磋商由采购代理机构依法组建的磋商小组负责。</w:t>
      </w:r>
      <w:bookmarkEnd w:id="258"/>
    </w:p>
    <w:p>
      <w:pPr>
        <w:spacing w:line="360" w:lineRule="auto"/>
        <w:ind w:firstLine="480" w:firstLineChars="200"/>
        <w:rPr>
          <w:rFonts w:ascii="宋体" w:hAnsi="宋体" w:cs="宋体"/>
          <w:sz w:val="24"/>
        </w:rPr>
      </w:pPr>
      <w:bookmarkStart w:id="259" w:name="_Toc22506"/>
      <w:r>
        <w:rPr>
          <w:rFonts w:hint="eastAsia" w:ascii="宋体" w:hAnsi="宋体" w:cs="宋体"/>
          <w:sz w:val="24"/>
        </w:rPr>
        <w:t>1.3 磋商工作应遵循公平、公正、科学及择优的原则，并以相同的磋商程序和标准对待所有的供应商。</w:t>
      </w:r>
      <w:bookmarkEnd w:id="259"/>
    </w:p>
    <w:p>
      <w:pPr>
        <w:spacing w:line="360" w:lineRule="auto"/>
        <w:ind w:firstLine="480" w:firstLineChars="200"/>
        <w:rPr>
          <w:rFonts w:ascii="宋体" w:hAnsi="宋体" w:cs="宋体"/>
          <w:sz w:val="24"/>
        </w:rPr>
      </w:pPr>
      <w:bookmarkStart w:id="260" w:name="_Toc19533"/>
      <w:r>
        <w:rPr>
          <w:rFonts w:hint="eastAsia" w:ascii="宋体" w:hAnsi="宋体" w:cs="宋体"/>
          <w:sz w:val="24"/>
        </w:rPr>
        <w:t>1.4 磋商小组按照磋商文件规定的磋商程序、评分方法和标准进行评审，并独立履行下列职责：</w:t>
      </w:r>
      <w:bookmarkEnd w:id="260"/>
    </w:p>
    <w:p>
      <w:pPr>
        <w:spacing w:line="360" w:lineRule="auto"/>
        <w:ind w:firstLine="480" w:firstLineChars="200"/>
        <w:rPr>
          <w:rFonts w:ascii="宋体" w:hAnsi="宋体" w:cs="宋体"/>
          <w:sz w:val="24"/>
        </w:rPr>
      </w:pPr>
      <w:bookmarkStart w:id="261" w:name="_Toc7955"/>
      <w:r>
        <w:rPr>
          <w:rFonts w:hint="eastAsia" w:ascii="宋体" w:hAnsi="宋体" w:cs="宋体"/>
          <w:sz w:val="24"/>
        </w:rPr>
        <w:t>（一）熟悉和理解磋商文件，确定磋商文件内容是否违反国家有关强制性规定或者磋商文件存在歧义、重大缺陷，根据需要书面要求采购人、采购代理机构对磋商文件作出解释；</w:t>
      </w:r>
      <w:bookmarkEnd w:id="261"/>
    </w:p>
    <w:p>
      <w:pPr>
        <w:spacing w:line="360" w:lineRule="auto"/>
        <w:ind w:firstLine="480" w:firstLineChars="200"/>
        <w:rPr>
          <w:rFonts w:ascii="宋体" w:hAnsi="宋体" w:cs="宋体"/>
          <w:sz w:val="24"/>
        </w:rPr>
      </w:pPr>
      <w:bookmarkStart w:id="262" w:name="_Toc15582"/>
      <w:r>
        <w:rPr>
          <w:rFonts w:hint="eastAsia" w:ascii="宋体" w:hAnsi="宋体" w:cs="宋体"/>
          <w:sz w:val="24"/>
        </w:rPr>
        <w:t>（二）审查供应商响应文件是否满足磋商文件要求，并作出公正评价；</w:t>
      </w:r>
      <w:bookmarkEnd w:id="262"/>
    </w:p>
    <w:p>
      <w:pPr>
        <w:spacing w:line="360" w:lineRule="auto"/>
        <w:ind w:firstLine="480" w:firstLineChars="200"/>
        <w:rPr>
          <w:rFonts w:ascii="宋体" w:hAnsi="宋体" w:cs="宋体"/>
          <w:sz w:val="24"/>
        </w:rPr>
      </w:pPr>
      <w:bookmarkStart w:id="263" w:name="_Toc28501"/>
      <w:r>
        <w:rPr>
          <w:rFonts w:hint="eastAsia" w:ascii="宋体" w:hAnsi="宋体" w:cs="宋体"/>
          <w:sz w:val="24"/>
        </w:rPr>
        <w:t>（三）根据需要要求供应商对响应文件中含义不明确、同类问题表述不一致或者有明显文字和计算错误的内容等作出必要的澄清、说明或者更正；</w:t>
      </w:r>
      <w:bookmarkEnd w:id="263"/>
    </w:p>
    <w:p>
      <w:pPr>
        <w:spacing w:line="360" w:lineRule="auto"/>
        <w:ind w:firstLine="480" w:firstLineChars="200"/>
        <w:rPr>
          <w:rFonts w:ascii="宋体" w:hAnsi="宋体" w:cs="宋体"/>
          <w:sz w:val="24"/>
        </w:rPr>
      </w:pPr>
      <w:bookmarkStart w:id="264" w:name="_Toc2523"/>
      <w:r>
        <w:rPr>
          <w:rFonts w:hint="eastAsia" w:ascii="宋体" w:hAnsi="宋体" w:cs="宋体"/>
          <w:sz w:val="24"/>
        </w:rPr>
        <w:t>（四）推荐成交供应商，或者受采购人委托确定成交供应商；</w:t>
      </w:r>
      <w:bookmarkEnd w:id="264"/>
    </w:p>
    <w:p>
      <w:pPr>
        <w:spacing w:line="360" w:lineRule="auto"/>
        <w:ind w:firstLine="480" w:firstLineChars="200"/>
        <w:rPr>
          <w:rFonts w:ascii="宋体" w:hAnsi="宋体" w:cs="宋体"/>
          <w:sz w:val="24"/>
        </w:rPr>
      </w:pPr>
      <w:bookmarkStart w:id="265" w:name="_Toc25652"/>
      <w:r>
        <w:rPr>
          <w:rFonts w:hint="eastAsia" w:ascii="宋体" w:hAnsi="宋体" w:cs="宋体"/>
          <w:sz w:val="24"/>
        </w:rPr>
        <w:t>（五）起草评审报告并进行签署；</w:t>
      </w:r>
      <w:bookmarkEnd w:id="265"/>
    </w:p>
    <w:p>
      <w:pPr>
        <w:spacing w:line="360" w:lineRule="auto"/>
        <w:ind w:firstLine="480" w:firstLineChars="200"/>
        <w:rPr>
          <w:rFonts w:ascii="宋体" w:hAnsi="宋体" w:cs="宋体"/>
          <w:sz w:val="24"/>
        </w:rPr>
      </w:pPr>
      <w:bookmarkStart w:id="266" w:name="_Toc22615"/>
      <w:r>
        <w:rPr>
          <w:rFonts w:hint="eastAsia" w:ascii="宋体" w:hAnsi="宋体" w:cs="宋体"/>
          <w:sz w:val="24"/>
        </w:rPr>
        <w:t>（六）采购代理机构、财政部门或者其他监督部门报告非法干预评审工作的行为；</w:t>
      </w:r>
      <w:bookmarkEnd w:id="266"/>
    </w:p>
    <w:p>
      <w:pPr>
        <w:spacing w:line="360" w:lineRule="auto"/>
        <w:ind w:firstLine="480" w:firstLineChars="200"/>
        <w:rPr>
          <w:rFonts w:ascii="宋体" w:hAnsi="宋体" w:cs="宋体"/>
          <w:sz w:val="24"/>
        </w:rPr>
      </w:pPr>
      <w:bookmarkStart w:id="267" w:name="_Toc12182"/>
      <w:r>
        <w:rPr>
          <w:rFonts w:hint="eastAsia" w:ascii="宋体" w:hAnsi="宋体" w:cs="宋体"/>
          <w:sz w:val="24"/>
        </w:rPr>
        <w:t>（七）法律、法规和规章规定的其他职责。</w:t>
      </w:r>
      <w:bookmarkEnd w:id="267"/>
    </w:p>
    <w:p>
      <w:pPr>
        <w:spacing w:line="360" w:lineRule="auto"/>
        <w:ind w:firstLine="480" w:firstLineChars="200"/>
        <w:rPr>
          <w:rFonts w:ascii="宋体" w:hAnsi="宋体" w:cs="宋体"/>
          <w:sz w:val="24"/>
        </w:rPr>
      </w:pPr>
      <w:bookmarkStart w:id="268" w:name="_Toc5970"/>
      <w:r>
        <w:rPr>
          <w:rFonts w:hint="eastAsia" w:ascii="宋体" w:hAnsi="宋体" w:cs="宋体"/>
          <w:sz w:val="24"/>
        </w:rPr>
        <w:t>1.5 （实质性要求）磋商过程独立、保密。供应商非法干预磋商过程的，其响应文件作无效处理。</w:t>
      </w:r>
      <w:bookmarkEnd w:id="268"/>
    </w:p>
    <w:p>
      <w:pPr>
        <w:spacing w:line="360" w:lineRule="auto"/>
        <w:ind w:firstLine="480" w:firstLineChars="200"/>
        <w:rPr>
          <w:rFonts w:ascii="宋体" w:hAnsi="宋体" w:cs="宋体"/>
          <w:sz w:val="24"/>
        </w:rPr>
      </w:pPr>
    </w:p>
    <w:p>
      <w:pPr>
        <w:spacing w:line="360" w:lineRule="auto"/>
        <w:rPr>
          <w:rFonts w:ascii="宋体" w:hAnsi="宋体" w:cs="宋体"/>
          <w:b/>
          <w:bCs/>
          <w:sz w:val="24"/>
        </w:rPr>
      </w:pPr>
      <w:bookmarkStart w:id="269" w:name="_Toc15969"/>
      <w:r>
        <w:rPr>
          <w:rFonts w:hint="eastAsia" w:ascii="宋体" w:hAnsi="宋体" w:cs="宋体"/>
          <w:b/>
          <w:bCs/>
          <w:sz w:val="24"/>
        </w:rPr>
        <w:t>2.磋商程序</w:t>
      </w:r>
      <w:bookmarkEnd w:id="269"/>
    </w:p>
    <w:p>
      <w:pPr>
        <w:spacing w:line="360" w:lineRule="auto"/>
        <w:ind w:firstLine="480" w:firstLineChars="200"/>
        <w:rPr>
          <w:rFonts w:ascii="宋体" w:hAnsi="宋体" w:cs="宋体"/>
          <w:sz w:val="24"/>
        </w:rPr>
      </w:pPr>
      <w:bookmarkStart w:id="270" w:name="_Toc31326"/>
      <w:r>
        <w:rPr>
          <w:rFonts w:hint="eastAsia" w:ascii="宋体" w:hAnsi="宋体" w:cs="宋体"/>
          <w:sz w:val="24"/>
        </w:rPr>
        <w:t>2.1审查磋商文件和停止评审。</w:t>
      </w:r>
      <w:bookmarkEnd w:id="270"/>
    </w:p>
    <w:p>
      <w:pPr>
        <w:spacing w:line="360" w:lineRule="auto"/>
        <w:ind w:firstLine="480" w:firstLineChars="200"/>
        <w:rPr>
          <w:rFonts w:ascii="宋体" w:hAnsi="宋体" w:cs="宋体"/>
          <w:sz w:val="24"/>
        </w:rPr>
      </w:pPr>
      <w:bookmarkStart w:id="271" w:name="_Toc3867"/>
      <w:r>
        <w:rPr>
          <w:rFonts w:hint="eastAsia" w:ascii="宋体" w:hAnsi="宋体" w:cs="宋体"/>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71"/>
    </w:p>
    <w:p>
      <w:pPr>
        <w:spacing w:line="360" w:lineRule="auto"/>
        <w:ind w:firstLine="480" w:firstLineChars="200"/>
        <w:rPr>
          <w:rFonts w:ascii="宋体" w:hAnsi="宋体" w:cs="宋体"/>
          <w:sz w:val="24"/>
        </w:rPr>
      </w:pPr>
      <w:bookmarkStart w:id="272" w:name="_Toc8760"/>
      <w:r>
        <w:rPr>
          <w:rFonts w:hint="eastAsia" w:ascii="宋体" w:hAnsi="宋体" w:cs="宋体"/>
          <w:sz w:val="24"/>
        </w:rPr>
        <w:t>2.1.2 本磋商文件有下列情形之一的，磋商小组应当停止评审：</w:t>
      </w:r>
      <w:bookmarkEnd w:id="272"/>
    </w:p>
    <w:p>
      <w:pPr>
        <w:spacing w:line="360" w:lineRule="auto"/>
        <w:ind w:firstLine="480" w:firstLineChars="200"/>
        <w:rPr>
          <w:rFonts w:ascii="宋体" w:hAnsi="宋体" w:cs="宋体"/>
          <w:sz w:val="24"/>
        </w:rPr>
      </w:pPr>
      <w:bookmarkStart w:id="273" w:name="_Toc12951"/>
      <w:r>
        <w:rPr>
          <w:rFonts w:hint="eastAsia" w:ascii="宋体" w:hAnsi="宋体" w:cs="宋体"/>
          <w:sz w:val="24"/>
        </w:rPr>
        <w:t>（1）磋商文件的规定存在歧义、重大缺陷的；</w:t>
      </w:r>
      <w:bookmarkEnd w:id="273"/>
    </w:p>
    <w:p>
      <w:pPr>
        <w:spacing w:line="360" w:lineRule="auto"/>
        <w:ind w:firstLine="480" w:firstLineChars="200"/>
        <w:rPr>
          <w:rFonts w:ascii="宋体" w:hAnsi="宋体" w:cs="宋体"/>
          <w:sz w:val="24"/>
        </w:rPr>
      </w:pPr>
      <w:bookmarkStart w:id="274" w:name="_Toc11082"/>
      <w:r>
        <w:rPr>
          <w:rFonts w:hint="eastAsia" w:ascii="宋体" w:hAnsi="宋体" w:cs="宋体"/>
          <w:sz w:val="24"/>
        </w:rPr>
        <w:t>（2）磋商文件明显以不合理条件对供应商实行差别待遇或者歧视待遇的；</w:t>
      </w:r>
      <w:bookmarkEnd w:id="274"/>
    </w:p>
    <w:p>
      <w:pPr>
        <w:spacing w:line="360" w:lineRule="auto"/>
        <w:ind w:firstLine="480" w:firstLineChars="200"/>
        <w:rPr>
          <w:rFonts w:ascii="宋体" w:hAnsi="宋体" w:cs="宋体"/>
          <w:sz w:val="24"/>
        </w:rPr>
      </w:pPr>
      <w:bookmarkStart w:id="275" w:name="_Toc28397"/>
      <w:r>
        <w:rPr>
          <w:rFonts w:hint="eastAsia" w:ascii="宋体" w:hAnsi="宋体" w:cs="宋体"/>
          <w:sz w:val="24"/>
        </w:rPr>
        <w:t>（3）采购项目属于国家规定的优先、强制采购范围，但是磋商文件未依法体现优先、强制采购相关规定的；</w:t>
      </w:r>
      <w:bookmarkEnd w:id="275"/>
    </w:p>
    <w:p>
      <w:pPr>
        <w:spacing w:line="360" w:lineRule="auto"/>
        <w:ind w:firstLine="480" w:firstLineChars="200"/>
        <w:rPr>
          <w:rFonts w:ascii="宋体" w:hAnsi="宋体" w:cs="宋体"/>
          <w:sz w:val="24"/>
        </w:rPr>
      </w:pPr>
      <w:bookmarkStart w:id="276" w:name="_Toc22845"/>
      <w:r>
        <w:rPr>
          <w:rFonts w:hint="eastAsia" w:ascii="宋体" w:hAnsi="宋体" w:cs="宋体"/>
          <w:sz w:val="24"/>
        </w:rPr>
        <w:t>（4）采购项目属于政府采购促进中小企业发展的范围，但是磋商文件未依法体现促进中小企业发展相关规定的；</w:t>
      </w:r>
      <w:bookmarkEnd w:id="276"/>
    </w:p>
    <w:p>
      <w:pPr>
        <w:spacing w:line="360" w:lineRule="auto"/>
        <w:ind w:firstLine="480" w:firstLineChars="200"/>
        <w:rPr>
          <w:rFonts w:ascii="宋体" w:hAnsi="宋体" w:cs="宋体"/>
          <w:sz w:val="24"/>
        </w:rPr>
      </w:pPr>
      <w:bookmarkStart w:id="277" w:name="_Toc32594"/>
      <w:r>
        <w:rPr>
          <w:rFonts w:hint="eastAsia" w:ascii="宋体" w:hAnsi="宋体" w:cs="宋体"/>
          <w:sz w:val="24"/>
        </w:rPr>
        <w:t>（5）磋商文件将供应商的资格条件列为评分因素的；</w:t>
      </w:r>
      <w:bookmarkEnd w:id="277"/>
    </w:p>
    <w:p>
      <w:pPr>
        <w:spacing w:line="360" w:lineRule="auto"/>
        <w:ind w:firstLine="480" w:firstLineChars="200"/>
        <w:rPr>
          <w:rFonts w:ascii="宋体" w:hAnsi="宋体" w:cs="宋体"/>
          <w:sz w:val="24"/>
        </w:rPr>
      </w:pPr>
      <w:bookmarkStart w:id="278" w:name="_Toc4088"/>
      <w:r>
        <w:rPr>
          <w:rFonts w:hint="eastAsia" w:ascii="宋体" w:hAnsi="宋体" w:cs="宋体"/>
          <w:sz w:val="24"/>
        </w:rPr>
        <w:t>（6）磋商文件载明的成交原则不合法的；</w:t>
      </w:r>
      <w:bookmarkEnd w:id="278"/>
    </w:p>
    <w:p>
      <w:pPr>
        <w:spacing w:line="360" w:lineRule="auto"/>
        <w:ind w:firstLine="480" w:firstLineChars="200"/>
        <w:rPr>
          <w:rFonts w:ascii="宋体" w:hAnsi="宋体" w:cs="宋体"/>
          <w:sz w:val="24"/>
        </w:rPr>
      </w:pPr>
      <w:bookmarkStart w:id="279" w:name="_Toc32648"/>
      <w:r>
        <w:rPr>
          <w:rFonts w:hint="eastAsia" w:ascii="宋体" w:hAnsi="宋体" w:cs="宋体"/>
          <w:sz w:val="24"/>
        </w:rPr>
        <w:t>（7）磋商文件有违反国家其他有关强制性规定的情形。</w:t>
      </w:r>
      <w:bookmarkEnd w:id="279"/>
    </w:p>
    <w:p>
      <w:pPr>
        <w:spacing w:line="360" w:lineRule="auto"/>
        <w:ind w:firstLine="480" w:firstLineChars="200"/>
        <w:rPr>
          <w:rFonts w:ascii="宋体" w:hAnsi="宋体" w:cs="宋体"/>
          <w:sz w:val="24"/>
        </w:rPr>
      </w:pPr>
      <w:bookmarkStart w:id="280" w:name="_Toc3523"/>
      <w:r>
        <w:rPr>
          <w:rFonts w:hint="eastAsia" w:ascii="宋体" w:hAnsi="宋体" w:cs="宋体"/>
          <w:sz w:val="24"/>
        </w:rPr>
        <w:t>2.1.3 出现本条2.1.2规定应当停止评审情形的，磋商小组应当向采购人书面说明情况。除本条规定的情形外，磋商小组不得以任何方式和理由停止评审。</w:t>
      </w:r>
      <w:bookmarkEnd w:id="280"/>
    </w:p>
    <w:p>
      <w:pPr>
        <w:spacing w:line="360" w:lineRule="auto"/>
        <w:ind w:firstLine="480" w:firstLineChars="200"/>
        <w:rPr>
          <w:rFonts w:ascii="宋体" w:hAnsi="宋体" w:cs="宋体"/>
          <w:sz w:val="24"/>
        </w:rPr>
      </w:pPr>
      <w:bookmarkStart w:id="281" w:name="_Toc18432"/>
      <w:r>
        <w:rPr>
          <w:rFonts w:hint="eastAsia" w:ascii="宋体" w:hAnsi="宋体" w:cs="宋体"/>
          <w:sz w:val="24"/>
        </w:rPr>
        <w:t>2.2资格性审查。</w:t>
      </w:r>
      <w:bookmarkEnd w:id="281"/>
    </w:p>
    <w:p>
      <w:pPr>
        <w:spacing w:line="360" w:lineRule="auto"/>
        <w:ind w:firstLine="480" w:firstLineChars="200"/>
        <w:rPr>
          <w:rFonts w:ascii="宋体" w:hAnsi="宋体" w:cs="宋体"/>
          <w:sz w:val="24"/>
        </w:rPr>
      </w:pPr>
      <w:bookmarkStart w:id="282" w:name="_Toc14189"/>
      <w:r>
        <w:rPr>
          <w:rFonts w:hint="eastAsia" w:ascii="宋体" w:hAnsi="宋体" w:cs="宋体"/>
          <w:sz w:val="24"/>
        </w:rPr>
        <w:t>2.2.1本项目需要磋商小组进行资格性检查。</w:t>
      </w:r>
      <w:bookmarkEnd w:id="282"/>
    </w:p>
    <w:p>
      <w:pPr>
        <w:spacing w:line="360" w:lineRule="auto"/>
        <w:ind w:firstLine="480" w:firstLineChars="200"/>
        <w:rPr>
          <w:rFonts w:ascii="宋体" w:hAnsi="宋体" w:cs="宋体"/>
          <w:sz w:val="24"/>
        </w:rPr>
      </w:pPr>
      <w:bookmarkStart w:id="283" w:name="_Toc26601"/>
      <w:r>
        <w:rPr>
          <w:rFonts w:hint="eastAsia" w:ascii="宋体" w:hAnsi="宋体" w:cs="宋体"/>
          <w:sz w:val="24"/>
        </w:rPr>
        <w:t>磋商小组应依据法律法规和磋商文件的规定，对响应文件是否按照规定要求提供资格性证明材料、是否属于禁止参加磋商的供应商等进行审查，以确定供应商是否具备磋商资格。</w:t>
      </w:r>
      <w:bookmarkEnd w:id="283"/>
    </w:p>
    <w:p>
      <w:pPr>
        <w:spacing w:line="360" w:lineRule="auto"/>
        <w:ind w:firstLine="480" w:firstLineChars="200"/>
        <w:rPr>
          <w:rFonts w:ascii="宋体" w:hAnsi="宋体" w:cs="宋体"/>
          <w:sz w:val="24"/>
        </w:rPr>
      </w:pPr>
      <w:bookmarkStart w:id="284" w:name="_Toc3741"/>
      <w:r>
        <w:rPr>
          <w:rFonts w:hint="eastAsia" w:ascii="宋体" w:hAnsi="宋体" w:cs="宋体"/>
          <w:sz w:val="24"/>
        </w:rPr>
        <w:t>2.2.2资格性审查结束后，磋商小组应当出具资格性审查报告，没有通过资格审查的供应商，磋商小组应当在资格审查报告中说明原因。</w:t>
      </w:r>
      <w:bookmarkEnd w:id="284"/>
    </w:p>
    <w:p>
      <w:pPr>
        <w:spacing w:line="360" w:lineRule="auto"/>
        <w:ind w:firstLine="480" w:firstLineChars="200"/>
        <w:rPr>
          <w:rFonts w:ascii="宋体" w:hAnsi="宋体" w:cs="宋体"/>
          <w:sz w:val="24"/>
        </w:rPr>
      </w:pPr>
      <w:bookmarkStart w:id="285" w:name="_Toc5302"/>
      <w:r>
        <w:rPr>
          <w:rFonts w:hint="eastAsia" w:ascii="宋体" w:hAnsi="宋体" w:cs="宋体"/>
          <w:sz w:val="24"/>
        </w:rPr>
        <w:t>2.2.3磋商小组应依据磋商文件规定的实质性要求，对符合资格的响应文件进行有效性、完整性和响应程度审查，以确定参加磋商的供应商名单。</w:t>
      </w:r>
      <w:bookmarkEnd w:id="285"/>
    </w:p>
    <w:p>
      <w:pPr>
        <w:spacing w:line="360" w:lineRule="auto"/>
        <w:ind w:firstLine="480" w:firstLineChars="200"/>
        <w:rPr>
          <w:rFonts w:ascii="宋体" w:hAnsi="宋体" w:cs="宋体"/>
          <w:sz w:val="24"/>
        </w:rPr>
      </w:pPr>
      <w:bookmarkStart w:id="286" w:name="_Toc27580"/>
      <w:r>
        <w:rPr>
          <w:rFonts w:hint="eastAsia" w:ascii="宋体" w:hAnsi="宋体" w:cs="宋体"/>
          <w:sz w:val="24"/>
        </w:rPr>
        <w:t>2.2.4采购人或者采购代理机构宣布未通过资格性审查的供应商名单时，应当告知供应商未通过审查的原因。</w:t>
      </w:r>
      <w:bookmarkEnd w:id="286"/>
    </w:p>
    <w:p>
      <w:pPr>
        <w:spacing w:line="360" w:lineRule="auto"/>
        <w:ind w:firstLine="480" w:firstLineChars="200"/>
        <w:rPr>
          <w:rFonts w:ascii="宋体" w:hAnsi="宋体" w:cs="宋体"/>
          <w:sz w:val="24"/>
        </w:rPr>
      </w:pPr>
      <w:bookmarkStart w:id="287" w:name="_Toc25320"/>
      <w:r>
        <w:rPr>
          <w:rFonts w:hint="eastAsia" w:ascii="宋体" w:hAnsi="宋体" w:cs="宋体"/>
          <w:sz w:val="24"/>
        </w:rPr>
        <w:t>2.3 通过资格性审查的供应商不足</w:t>
      </w:r>
      <w:r>
        <w:rPr>
          <w:rFonts w:hint="eastAsia" w:ascii="宋体" w:hAnsi="宋体" w:cs="宋体"/>
          <w:sz w:val="24"/>
          <w:lang w:val="en-US" w:eastAsia="zh-CN"/>
        </w:rPr>
        <w:t>3</w:t>
      </w:r>
      <w:r>
        <w:rPr>
          <w:rFonts w:hint="eastAsia" w:ascii="宋体" w:hAnsi="宋体" w:cs="宋体"/>
          <w:sz w:val="24"/>
        </w:rPr>
        <w:t>家的，终止本次采购活动，并发布终止采购活动公告。</w:t>
      </w:r>
      <w:bookmarkEnd w:id="287"/>
    </w:p>
    <w:p>
      <w:pPr>
        <w:spacing w:line="360" w:lineRule="auto"/>
        <w:ind w:firstLine="480" w:firstLineChars="200"/>
        <w:rPr>
          <w:rFonts w:ascii="宋体" w:hAnsi="宋体" w:cs="宋体"/>
          <w:sz w:val="24"/>
        </w:rPr>
      </w:pPr>
      <w:bookmarkStart w:id="288" w:name="_Toc8215"/>
      <w:r>
        <w:rPr>
          <w:rFonts w:hint="eastAsia" w:ascii="宋体" w:hAnsi="宋体" w:cs="宋体"/>
          <w:sz w:val="24"/>
        </w:rPr>
        <w:t>2.4磋商。</w:t>
      </w:r>
      <w:bookmarkEnd w:id="288"/>
    </w:p>
    <w:p>
      <w:pPr>
        <w:spacing w:line="360" w:lineRule="auto"/>
        <w:ind w:firstLine="480" w:firstLineChars="200"/>
        <w:rPr>
          <w:rFonts w:ascii="宋体" w:hAnsi="宋体" w:cs="宋体"/>
          <w:sz w:val="24"/>
        </w:rPr>
      </w:pPr>
      <w:bookmarkStart w:id="289" w:name="_Toc31266"/>
      <w:r>
        <w:rPr>
          <w:rFonts w:hint="eastAsia" w:ascii="宋体" w:hAnsi="宋体" w:cs="宋体"/>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289"/>
    </w:p>
    <w:p>
      <w:pPr>
        <w:spacing w:line="360" w:lineRule="auto"/>
        <w:ind w:firstLine="480" w:firstLineChars="200"/>
        <w:rPr>
          <w:rFonts w:ascii="宋体" w:hAnsi="宋体" w:cs="宋体"/>
          <w:sz w:val="24"/>
        </w:rPr>
      </w:pPr>
      <w:bookmarkStart w:id="290" w:name="_Toc2602"/>
      <w:r>
        <w:rPr>
          <w:rFonts w:hint="eastAsia" w:ascii="宋体" w:hAnsi="宋体" w:cs="宋体"/>
          <w:sz w:val="24"/>
        </w:rPr>
        <w:t>2.4.2每轮磋商开始前，磋商小组应根据磋商文件的规定，并结合各供应商的响应文件拟定磋商内容。</w:t>
      </w:r>
      <w:bookmarkEnd w:id="290"/>
    </w:p>
    <w:p>
      <w:pPr>
        <w:spacing w:line="360" w:lineRule="auto"/>
        <w:ind w:firstLine="480" w:firstLineChars="200"/>
        <w:rPr>
          <w:rFonts w:ascii="宋体" w:hAnsi="宋体" w:cs="宋体"/>
          <w:sz w:val="24"/>
        </w:rPr>
      </w:pPr>
      <w:bookmarkStart w:id="291" w:name="_Toc18120"/>
      <w:r>
        <w:rPr>
          <w:rFonts w:hint="eastAsia" w:ascii="宋体" w:hAnsi="宋体" w:cs="宋体"/>
          <w:sz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291"/>
    </w:p>
    <w:p>
      <w:pPr>
        <w:spacing w:line="360" w:lineRule="auto"/>
        <w:ind w:firstLine="480" w:firstLineChars="200"/>
        <w:rPr>
          <w:rFonts w:ascii="宋体" w:hAnsi="宋体" w:cs="宋体"/>
          <w:sz w:val="24"/>
        </w:rPr>
      </w:pPr>
      <w:bookmarkStart w:id="292" w:name="_Toc13623"/>
      <w:r>
        <w:rPr>
          <w:rFonts w:hint="eastAsia" w:ascii="宋体" w:hAnsi="宋体" w:cs="宋体"/>
          <w:sz w:val="24"/>
        </w:rPr>
        <w:t>2.4.4对磋商文件作出的实质性变动是磋商文件的有效组成部分，磋商小组应当及时以书面形式同时通知所有参加磋商的供应商。</w:t>
      </w:r>
      <w:bookmarkEnd w:id="292"/>
    </w:p>
    <w:p>
      <w:pPr>
        <w:spacing w:line="360" w:lineRule="auto"/>
        <w:ind w:firstLine="480" w:firstLineChars="200"/>
        <w:rPr>
          <w:rFonts w:ascii="宋体" w:hAnsi="宋体" w:cs="宋体"/>
          <w:sz w:val="24"/>
        </w:rPr>
      </w:pPr>
      <w:bookmarkStart w:id="293" w:name="_Toc32193"/>
      <w:r>
        <w:rPr>
          <w:rFonts w:hint="eastAsia" w:ascii="宋体" w:hAnsi="宋体" w:cs="宋体"/>
          <w:sz w:val="24"/>
        </w:rPr>
        <w:t>2.4.5磋商过程中，磋商文件变动的，供应商应当按照磋商文件的变动情况和磋商小组的要求重新提交响应文件，并由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93"/>
    </w:p>
    <w:p>
      <w:pPr>
        <w:spacing w:line="360" w:lineRule="auto"/>
        <w:ind w:firstLine="480" w:firstLineChars="200"/>
        <w:rPr>
          <w:rFonts w:ascii="宋体" w:hAnsi="宋体" w:cs="宋体"/>
          <w:sz w:val="24"/>
        </w:rPr>
      </w:pPr>
      <w:bookmarkStart w:id="294" w:name="_Toc9873"/>
      <w:r>
        <w:rPr>
          <w:rFonts w:hint="eastAsia" w:ascii="宋体" w:hAnsi="宋体" w:cs="宋体"/>
          <w:sz w:val="24"/>
        </w:rPr>
        <w:t>2.4.6磋商过程中，磋商的任何一方不得透露与磋商有关的其他供应商的技术资料、价格和其他信息。</w:t>
      </w:r>
      <w:bookmarkEnd w:id="294"/>
    </w:p>
    <w:p>
      <w:pPr>
        <w:spacing w:line="360" w:lineRule="auto"/>
        <w:ind w:firstLine="480" w:firstLineChars="200"/>
        <w:rPr>
          <w:rFonts w:ascii="宋体" w:hAnsi="宋体" w:cs="宋体"/>
          <w:sz w:val="24"/>
        </w:rPr>
      </w:pPr>
      <w:bookmarkStart w:id="295" w:name="_Toc11021"/>
      <w:r>
        <w:rPr>
          <w:rFonts w:hint="eastAsia" w:ascii="宋体" w:hAnsi="宋体" w:cs="宋体"/>
          <w:sz w:val="24"/>
        </w:rPr>
        <w:t>2.4.7磋商过程中，磋商小组发现或者知晓供应商存在违法、违纪行为的，磋商小组应当将该供应商响应文件作无效处理，不允许其提交最后报价。</w:t>
      </w:r>
      <w:bookmarkEnd w:id="295"/>
    </w:p>
    <w:p>
      <w:pPr>
        <w:spacing w:line="360" w:lineRule="auto"/>
        <w:ind w:firstLine="480" w:firstLineChars="200"/>
        <w:rPr>
          <w:rFonts w:ascii="宋体" w:hAnsi="宋体" w:cs="宋体"/>
          <w:sz w:val="24"/>
        </w:rPr>
      </w:pPr>
      <w:bookmarkStart w:id="296" w:name="_Toc20035"/>
      <w:r>
        <w:rPr>
          <w:rFonts w:hint="eastAsia" w:ascii="宋体" w:hAnsi="宋体" w:cs="宋体"/>
          <w:sz w:val="24"/>
        </w:rPr>
        <w:t>2.4.8磋商完成后，磋商小组应出具磋商情况记录表，磋商情况记录表需包含磋商内容、磋商意见、实质性变动内容等。</w:t>
      </w:r>
      <w:bookmarkEnd w:id="296"/>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2.5最后报价。</w:t>
      </w:r>
    </w:p>
    <w:p>
      <w:pPr>
        <w:spacing w:line="360" w:lineRule="auto"/>
        <w:ind w:firstLine="480" w:firstLineChars="200"/>
        <w:rPr>
          <w:rFonts w:ascii="宋体" w:hAnsi="宋体" w:cs="宋体"/>
          <w:sz w:val="24"/>
        </w:rPr>
      </w:pPr>
      <w:r>
        <w:rPr>
          <w:rFonts w:hint="eastAsia" w:ascii="宋体" w:hAnsi="宋体" w:cs="宋体"/>
          <w:sz w:val="24"/>
        </w:rPr>
        <w:t>2.5.1磋商文件能够详细列明采购标的的技术、服务要求的，磋商结束后，磋商小组应当要求所有实质性响应的供应商在规定时间内提交最后报价，提交最后报价的供应商不得少于2家。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cs="宋体"/>
          <w:sz w:val="24"/>
        </w:rPr>
      </w:pPr>
      <w:r>
        <w:rPr>
          <w:rFonts w:hint="eastAsia" w:ascii="宋体" w:hAnsi="宋体" w:cs="宋体"/>
          <w:sz w:val="24"/>
        </w:rPr>
        <w:t>2.5.3供应商最后报价应当由法定代表人或其授权代表签字确认或加盖公章。最后报价是供应商响应文件的有效组成部分。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（3）在采购过程中符合要求的供应商或者报价未超过采购预算的供应商不足2家的。</w:t>
      </w:r>
    </w:p>
    <w:p>
      <w:pPr>
        <w:spacing w:line="360" w:lineRule="auto"/>
        <w:rPr>
          <w:rFonts w:ascii="宋体" w:hAnsi="宋体" w:cs="宋体"/>
          <w:b/>
          <w:bCs/>
          <w:sz w:val="24"/>
        </w:rPr>
      </w:pPr>
      <w:r>
        <w:rPr>
          <w:rFonts w:hint="eastAsia" w:ascii="宋体" w:hAnsi="宋体" w:cs="宋体"/>
          <w:b/>
          <w:bCs/>
          <w:sz w:val="24"/>
        </w:rPr>
        <w:t>3.综合评分</w:t>
      </w:r>
    </w:p>
    <w:p>
      <w:pPr>
        <w:spacing w:line="360" w:lineRule="auto"/>
        <w:ind w:firstLine="482" w:firstLineChars="200"/>
        <w:rPr>
          <w:rFonts w:ascii="宋体" w:hAnsi="宋体" w:cs="宋体"/>
          <w:b/>
          <w:bCs/>
          <w:sz w:val="24"/>
        </w:rPr>
      </w:pPr>
      <w:r>
        <w:rPr>
          <w:rFonts w:hint="eastAsia" w:ascii="宋体" w:hAnsi="宋体" w:cs="宋体"/>
          <w:b/>
          <w:bCs/>
          <w:sz w:val="24"/>
        </w:rPr>
        <w:t>3.1本次综合评分的因素是：详见3.3综合评分明细表。</w:t>
      </w:r>
    </w:p>
    <w:p>
      <w:pPr>
        <w:spacing w:line="360" w:lineRule="auto"/>
        <w:ind w:firstLine="480" w:firstLineChars="200"/>
        <w:rPr>
          <w:rFonts w:hint="eastAsia" w:ascii="宋体" w:hAnsi="宋体" w:cs="宋体"/>
          <w:sz w:val="24"/>
        </w:rPr>
      </w:pPr>
      <w:r>
        <w:rPr>
          <w:rFonts w:hint="eastAsia" w:ascii="宋体" w:hAnsi="宋体" w:cs="宋体"/>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
        <w:ind w:firstLine="482" w:firstLineChars="200"/>
      </w:pPr>
      <w:r>
        <w:rPr>
          <w:rFonts w:hint="eastAsia" w:ascii="宋体" w:hAnsi="宋体" w:cs="宋体"/>
          <w:b/>
          <w:bCs/>
          <w:color w:val="000000"/>
          <w:sz w:val="24"/>
        </w:rPr>
        <w:t>3.3综合评分明细表</w:t>
      </w:r>
    </w:p>
    <w:p>
      <w:pPr>
        <w:pStyle w:val="2"/>
        <w:rPr>
          <w:rFonts w:hAnsi="宋体"/>
        </w:rPr>
      </w:pPr>
    </w:p>
    <w:p>
      <w:pPr>
        <w:pStyle w:val="2"/>
        <w:rPr>
          <w:rFonts w:hAnsi="宋体"/>
        </w:rPr>
      </w:pPr>
    </w:p>
    <w:tbl>
      <w:tblPr>
        <w:tblStyle w:val="24"/>
        <w:tblW w:w="9088" w:type="dxa"/>
        <w:tblInd w:w="-132" w:type="dxa"/>
        <w:tblLayout w:type="autofit"/>
        <w:tblCellMar>
          <w:top w:w="15" w:type="dxa"/>
          <w:left w:w="15" w:type="dxa"/>
          <w:bottom w:w="15" w:type="dxa"/>
          <w:right w:w="15" w:type="dxa"/>
        </w:tblCellMar>
      </w:tblPr>
      <w:tblGrid>
        <w:gridCol w:w="642"/>
        <w:gridCol w:w="1196"/>
        <w:gridCol w:w="912"/>
        <w:gridCol w:w="4779"/>
        <w:gridCol w:w="1559"/>
      </w:tblGrid>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序 号</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评分因素及权重</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分值</w:t>
            </w:r>
          </w:p>
        </w:tc>
        <w:tc>
          <w:tcPr>
            <w:tcW w:w="477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评分标准</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说明</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1</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报价</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10分</w:t>
            </w:r>
          </w:p>
        </w:tc>
        <w:tc>
          <w:tcPr>
            <w:tcW w:w="4779" w:type="dxa"/>
            <w:tcBorders>
              <w:top w:val="single" w:color="000000" w:sz="4" w:space="0"/>
              <w:left w:val="nil"/>
              <w:bottom w:val="single" w:color="000000" w:sz="4" w:space="0"/>
              <w:right w:val="single" w:color="000000" w:sz="4" w:space="0"/>
            </w:tcBorders>
            <w:vAlign w:val="center"/>
          </w:tcPr>
          <w:p>
            <w:pPr>
              <w:spacing w:line="360" w:lineRule="auto"/>
              <w:jc w:val="left"/>
              <w:rPr>
                <w:rFonts w:ascii="宋体" w:hAnsi="宋体" w:cs="宋体"/>
                <w:szCs w:val="21"/>
              </w:rPr>
            </w:pPr>
            <w:r>
              <w:rPr>
                <w:rFonts w:hint="eastAsia" w:ascii="宋体" w:hAnsi="宋体" w:cs="宋体"/>
                <w:szCs w:val="21"/>
              </w:rPr>
              <w:t>满足磋商文件要求且报价最低的供应商的价格为磋商基准价，其价格分为满分。其他供应商的价格分统一按照下列公式计算：</w:t>
            </w:r>
          </w:p>
          <w:p>
            <w:pPr>
              <w:widowControl/>
              <w:autoSpaceDE w:val="0"/>
              <w:spacing w:line="360" w:lineRule="auto"/>
              <w:jc w:val="left"/>
              <w:rPr>
                <w:rFonts w:ascii="宋体" w:hAnsi="宋体" w:cs="宋体"/>
                <w:kern w:val="0"/>
                <w:szCs w:val="21"/>
              </w:rPr>
            </w:pPr>
            <w:r>
              <w:rPr>
                <w:rFonts w:hint="eastAsia" w:ascii="宋体" w:hAnsi="宋体" w:cs="宋体"/>
                <w:szCs w:val="21"/>
              </w:rPr>
              <w:t>报价得分=(磋商基准价/最后磋商报价)×10%×100</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共同评分因素</w:t>
            </w:r>
          </w:p>
        </w:tc>
      </w:tr>
      <w:tr>
        <w:tblPrEx>
          <w:tblCellMar>
            <w:top w:w="15" w:type="dxa"/>
            <w:left w:w="15" w:type="dxa"/>
            <w:bottom w:w="15" w:type="dxa"/>
            <w:right w:w="15" w:type="dxa"/>
          </w:tblCellMar>
        </w:tblPrEx>
        <w:trPr>
          <w:trHeight w:val="478"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2</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人员配备</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15分</w:t>
            </w:r>
          </w:p>
        </w:tc>
        <w:tc>
          <w:tcPr>
            <w:tcW w:w="4779" w:type="dxa"/>
            <w:tcBorders>
              <w:top w:val="single" w:color="000000" w:sz="4" w:space="0"/>
              <w:left w:val="nil"/>
              <w:bottom w:val="single" w:color="000000" w:sz="4" w:space="0"/>
              <w:right w:val="single" w:color="000000" w:sz="4" w:space="0"/>
            </w:tcBorders>
            <w:vAlign w:val="center"/>
          </w:tcPr>
          <w:p>
            <w:pPr>
              <w:pStyle w:val="71"/>
              <w:adjustRightInd w:val="0"/>
              <w:snapToGrid w:val="0"/>
              <w:spacing w:line="360" w:lineRule="auto"/>
              <w:jc w:val="left"/>
              <w:rPr>
                <w:rFonts w:ascii="宋体" w:hAnsi="宋体" w:cs="宋体"/>
                <w:szCs w:val="21"/>
              </w:rPr>
            </w:pPr>
            <w:r>
              <w:rPr>
                <w:rFonts w:hint="eastAsia" w:ascii="宋体" w:hAnsi="宋体" w:cs="宋体"/>
                <w:szCs w:val="21"/>
              </w:rPr>
              <w:t>1、供应商拟投入本项目的抽样人员6人得3分，每增加一名抽样人员得0.5分，本项最多得6分。</w:t>
            </w:r>
          </w:p>
          <w:p>
            <w:pPr>
              <w:pStyle w:val="71"/>
              <w:adjustRightInd w:val="0"/>
              <w:snapToGrid w:val="0"/>
              <w:spacing w:line="360" w:lineRule="auto"/>
              <w:ind w:left="0" w:leftChars="0"/>
              <w:jc w:val="left"/>
              <w:rPr>
                <w:rFonts w:ascii="宋体" w:hAnsi="宋体" w:cs="宋体"/>
                <w:b/>
                <w:bCs/>
                <w:szCs w:val="21"/>
              </w:rPr>
            </w:pPr>
            <w:r>
              <w:rPr>
                <w:rFonts w:hint="eastAsia" w:ascii="宋体" w:hAnsi="宋体" w:cs="宋体"/>
                <w:b/>
                <w:bCs/>
                <w:szCs w:val="21"/>
              </w:rPr>
              <w:t>注：提供上述人员的身份证复印件及相关人员的上岗证复印件，加盖供应商公章。</w:t>
            </w:r>
          </w:p>
          <w:p>
            <w:pPr>
              <w:pStyle w:val="71"/>
              <w:adjustRightInd w:val="0"/>
              <w:snapToGrid w:val="0"/>
              <w:spacing w:line="360" w:lineRule="auto"/>
              <w:jc w:val="left"/>
              <w:rPr>
                <w:rFonts w:ascii="宋体" w:hAnsi="宋体" w:cs="宋体"/>
                <w:szCs w:val="21"/>
              </w:rPr>
            </w:pPr>
            <w:r>
              <w:rPr>
                <w:rFonts w:hint="eastAsia" w:ascii="宋体" w:hAnsi="宋体" w:cs="宋体"/>
                <w:szCs w:val="21"/>
              </w:rPr>
              <w:t>2、供应商拟投入本项目的检测人员10人得2分，每增加一名检测人员得0.2分，本项最多得4分。</w:t>
            </w:r>
          </w:p>
          <w:p>
            <w:pPr>
              <w:pStyle w:val="71"/>
              <w:adjustRightInd w:val="0"/>
              <w:snapToGrid w:val="0"/>
              <w:spacing w:line="360" w:lineRule="auto"/>
              <w:ind w:left="0" w:leftChars="0"/>
              <w:jc w:val="left"/>
              <w:rPr>
                <w:rFonts w:ascii="宋体" w:hAnsi="宋体" w:cs="宋体"/>
                <w:b/>
                <w:bCs/>
                <w:szCs w:val="21"/>
              </w:rPr>
            </w:pPr>
            <w:r>
              <w:rPr>
                <w:rFonts w:hint="eastAsia" w:ascii="宋体" w:hAnsi="宋体" w:cs="宋体"/>
                <w:b/>
                <w:bCs/>
                <w:szCs w:val="21"/>
              </w:rPr>
              <w:t>注：提供上述人员的身份证复印件及相关人员的上岗证复印件，加盖供应商公章。</w:t>
            </w:r>
          </w:p>
          <w:p>
            <w:pPr>
              <w:pStyle w:val="71"/>
              <w:adjustRightInd w:val="0"/>
              <w:snapToGrid w:val="0"/>
              <w:spacing w:line="360" w:lineRule="auto"/>
              <w:jc w:val="left"/>
              <w:rPr>
                <w:rFonts w:ascii="宋体" w:hAnsi="宋体" w:cs="宋体"/>
                <w:szCs w:val="21"/>
              </w:rPr>
            </w:pPr>
            <w:r>
              <w:rPr>
                <w:rFonts w:hint="eastAsia" w:ascii="宋体" w:hAnsi="宋体" w:cs="宋体"/>
                <w:szCs w:val="21"/>
              </w:rPr>
              <w:t>3、供应商拟投入本项目的具有化学、食品、农业等相关专业高级及以上职称每有1人得1分，本项最多得5分。</w:t>
            </w:r>
          </w:p>
          <w:p>
            <w:pPr>
              <w:autoSpaceDE w:val="0"/>
              <w:spacing w:line="360" w:lineRule="auto"/>
              <w:jc w:val="left"/>
              <w:rPr>
                <w:rFonts w:ascii="宋体" w:hAnsi="宋体" w:cs="宋体"/>
                <w:szCs w:val="21"/>
              </w:rPr>
            </w:pPr>
            <w:r>
              <w:rPr>
                <w:rFonts w:hint="eastAsia" w:ascii="宋体" w:hAnsi="宋体" w:cs="宋体"/>
                <w:b/>
                <w:bCs/>
                <w:szCs w:val="21"/>
              </w:rPr>
              <w:t>注：提供职称证书复印件，加盖供应商公章。</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共同评分因素</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3</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履约能力</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10分</w:t>
            </w:r>
          </w:p>
        </w:tc>
        <w:tc>
          <w:tcPr>
            <w:tcW w:w="4779" w:type="dxa"/>
            <w:tcBorders>
              <w:top w:val="single" w:color="000000" w:sz="4" w:space="0"/>
              <w:left w:val="nil"/>
              <w:bottom w:val="single" w:color="000000" w:sz="4" w:space="0"/>
              <w:right w:val="single" w:color="000000" w:sz="4" w:space="0"/>
            </w:tcBorders>
            <w:vAlign w:val="center"/>
          </w:tcPr>
          <w:p>
            <w:pPr>
              <w:pStyle w:val="71"/>
              <w:adjustRightInd w:val="0"/>
              <w:snapToGrid w:val="0"/>
              <w:spacing w:line="360" w:lineRule="auto"/>
              <w:ind w:left="42"/>
              <w:jc w:val="left"/>
              <w:rPr>
                <w:rFonts w:ascii="宋体" w:hAnsi="宋体" w:cs="宋体"/>
                <w:snapToGrid/>
                <w:kern w:val="0"/>
                <w:szCs w:val="21"/>
              </w:rPr>
            </w:pPr>
            <w:r>
              <w:rPr>
                <w:rFonts w:hint="eastAsia" w:ascii="宋体" w:hAnsi="宋体" w:cs="宋体"/>
                <w:snapToGrid/>
                <w:kern w:val="0"/>
                <w:szCs w:val="21"/>
              </w:rPr>
              <w:t>供应商2018年1月1日</w:t>
            </w:r>
            <w:r>
              <w:rPr>
                <w:rFonts w:hint="eastAsia" w:ascii="宋体" w:hAnsi="宋体" w:cs="宋体"/>
                <w:szCs w:val="21"/>
              </w:rPr>
              <w:t>(以合同签订时间为准）</w:t>
            </w:r>
            <w:r>
              <w:rPr>
                <w:rFonts w:hint="eastAsia" w:ascii="宋体" w:hAnsi="宋体" w:cs="宋体"/>
                <w:snapToGrid/>
                <w:kern w:val="0"/>
                <w:szCs w:val="21"/>
              </w:rPr>
              <w:t>以来，每具有一个类似项目业绩（含快检项目）得2分；本项最多得10分。</w:t>
            </w:r>
          </w:p>
          <w:p>
            <w:pPr>
              <w:widowControl/>
              <w:autoSpaceDE w:val="0"/>
              <w:spacing w:line="360" w:lineRule="auto"/>
              <w:ind w:firstLine="0"/>
              <w:jc w:val="left"/>
              <w:rPr>
                <w:rFonts w:ascii="宋体" w:hAnsi="宋体" w:cs="宋体"/>
                <w:kern w:val="0"/>
                <w:szCs w:val="21"/>
              </w:rPr>
            </w:pPr>
            <w:r>
              <w:rPr>
                <w:rFonts w:hint="eastAsia" w:ascii="宋体" w:hAnsi="宋体" w:cs="宋体"/>
                <w:b/>
                <w:bCs/>
                <w:kern w:val="0"/>
                <w:szCs w:val="21"/>
              </w:rPr>
              <w:t>注：提供合同或协议复印件，加盖供应商公章。</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共同评分因素</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4</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综合能力</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17分</w:t>
            </w:r>
          </w:p>
        </w:tc>
        <w:tc>
          <w:tcPr>
            <w:tcW w:w="477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具有知识产权管理体系认证证书得2分；未提供不得分。本项最多得2分。</w:t>
            </w:r>
          </w:p>
          <w:p>
            <w:pPr>
              <w:widowControl/>
              <w:autoSpaceDE w:val="0"/>
              <w:spacing w:line="360" w:lineRule="auto"/>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投标人具有有效期内质量管理体系认证证书得2分、环境管理体系认证证书得2分、职业健康安全管理体系认证证书得2分，最多得6分；</w:t>
            </w:r>
          </w:p>
          <w:p>
            <w:pPr>
              <w:widowControl/>
              <w:autoSpaceDE w:val="0"/>
              <w:spacing w:line="360" w:lineRule="auto"/>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供应商具有相关食品检验员职业技能鉴定工作职能的加4分，未提供不得分。</w:t>
            </w:r>
          </w:p>
          <w:p>
            <w:pPr>
              <w:widowControl/>
              <w:autoSpaceDE w:val="0"/>
              <w:spacing w:line="360" w:lineRule="auto"/>
              <w:jc w:val="left"/>
              <w:rPr>
                <w:rFonts w:ascii="宋体" w:hAnsi="宋体" w:cs="宋体"/>
                <w:szCs w:val="21"/>
              </w:rPr>
            </w:pPr>
            <w:r>
              <w:rPr>
                <w:rFonts w:hint="eastAsia" w:ascii="宋体" w:hAnsi="宋体" w:cs="宋体"/>
                <w:kern w:val="0"/>
                <w:szCs w:val="21"/>
              </w:rPr>
              <w:t>4、提供自有或租赁食品抽样车的得2分，不提供不得分。每增加1辆抽样车得0.5分，提供有效期内行驶证、车辆照片、购车发票或租赁合同，本项最高得5分。</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共同评分因素</w:t>
            </w:r>
          </w:p>
          <w:p>
            <w:pPr>
              <w:widowControl/>
              <w:autoSpaceDE w:val="0"/>
              <w:spacing w:line="360" w:lineRule="auto"/>
              <w:jc w:val="left"/>
              <w:rPr>
                <w:rFonts w:ascii="宋体" w:hAnsi="宋体" w:cs="宋体"/>
                <w:kern w:val="0"/>
                <w:szCs w:val="21"/>
              </w:rPr>
            </w:pPr>
          </w:p>
          <w:p>
            <w:pPr>
              <w:widowControl/>
              <w:autoSpaceDE w:val="0"/>
              <w:spacing w:line="360" w:lineRule="auto"/>
              <w:jc w:val="left"/>
              <w:rPr>
                <w:rFonts w:ascii="宋体" w:hAnsi="宋体" w:cs="宋体"/>
                <w:kern w:val="0"/>
                <w:szCs w:val="21"/>
              </w:rPr>
            </w:pPr>
            <w:r>
              <w:rPr>
                <w:rFonts w:hint="eastAsia" w:ascii="宋体" w:hAnsi="宋体" w:cs="宋体"/>
                <w:kern w:val="0"/>
                <w:szCs w:val="21"/>
              </w:rPr>
              <w:t>提供相关证明材料复印件，所有证明材料需与投标人名称一致。</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5</w:t>
            </w:r>
          </w:p>
        </w:tc>
        <w:tc>
          <w:tcPr>
            <w:tcW w:w="1196"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服务方案</w:t>
            </w:r>
          </w:p>
        </w:tc>
        <w:tc>
          <w:tcPr>
            <w:tcW w:w="912"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35分</w:t>
            </w:r>
          </w:p>
        </w:tc>
        <w:tc>
          <w:tcPr>
            <w:tcW w:w="4779" w:type="dxa"/>
            <w:tcBorders>
              <w:top w:val="single" w:color="000000" w:sz="4" w:space="0"/>
              <w:left w:val="nil"/>
              <w:bottom w:val="single" w:color="000000" w:sz="4" w:space="0"/>
              <w:right w:val="single" w:color="000000" w:sz="4" w:space="0"/>
            </w:tcBorders>
            <w:vAlign w:val="center"/>
          </w:tcPr>
          <w:p>
            <w:pPr>
              <w:pStyle w:val="2"/>
              <w:spacing w:line="360" w:lineRule="auto"/>
              <w:rPr>
                <w:rFonts w:hAnsi="宋体"/>
                <w:sz w:val="21"/>
                <w:szCs w:val="21"/>
              </w:rPr>
            </w:pPr>
            <w:r>
              <w:rPr>
                <w:rFonts w:hint="eastAsia" w:hAnsi="宋体"/>
                <w:sz w:val="21"/>
                <w:szCs w:val="21"/>
              </w:rPr>
              <w:t>根据供应商提供的服务方案进行综合评分。方案包含但不限于：①团队设置；②工作计划；③抽样、④保存、⑤运输、⑥检测、⑦质量控制、⑧数据处理、⑨结果异议处置、⑩应急服务等内容。满足以上全部内容的得35分；每缺少一项内容扣3.5分，方案中每有一项内容不完整或每有一项存在无关内容或方案内容过于简略或细微偏差扣1.75分，扣完为止。</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技术评分因素</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6</w:t>
            </w:r>
          </w:p>
        </w:tc>
        <w:tc>
          <w:tcPr>
            <w:tcW w:w="119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售后服务</w:t>
            </w:r>
          </w:p>
        </w:tc>
        <w:tc>
          <w:tcPr>
            <w:tcW w:w="91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10分</w:t>
            </w:r>
          </w:p>
        </w:tc>
        <w:tc>
          <w:tcPr>
            <w:tcW w:w="477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s="宋体"/>
                <w:szCs w:val="21"/>
              </w:rPr>
            </w:pPr>
            <w:r>
              <w:rPr>
                <w:rFonts w:hint="eastAsia" w:ascii="宋体" w:hAnsi="宋体" w:cs="宋体"/>
                <w:szCs w:val="21"/>
                <w:lang w:val="zh-CN"/>
              </w:rPr>
              <w:t>根据供应商提供的售后服务方案进行综合评分。方案包含但不限于：①技术服务工作流程②检测保障措施③服务工作要点④管理措施等内容。满足以上全部内容的得10分，每缺少一项内容扣2.5分，方案中每有一项内容不完整或每有一项存在无关内容或方案内容过于简略或细微偏差扣1.25分，扣完为止。</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技术评分因素</w:t>
            </w:r>
          </w:p>
        </w:tc>
      </w:tr>
      <w:tr>
        <w:tblPrEx>
          <w:tblCellMar>
            <w:top w:w="15" w:type="dxa"/>
            <w:left w:w="15" w:type="dxa"/>
            <w:bottom w:w="15" w:type="dxa"/>
            <w:right w:w="15" w:type="dxa"/>
          </w:tblCellMar>
        </w:tblPrEx>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6</w:t>
            </w:r>
          </w:p>
        </w:tc>
        <w:tc>
          <w:tcPr>
            <w:tcW w:w="119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cs="宋体"/>
                <w:szCs w:val="21"/>
              </w:rPr>
            </w:pPr>
            <w:r>
              <w:rPr>
                <w:rFonts w:hint="eastAsia" w:ascii="宋体" w:hAnsi="宋体" w:cs="宋体"/>
                <w:szCs w:val="21"/>
              </w:rPr>
              <w:t>服务响应</w:t>
            </w:r>
          </w:p>
          <w:p>
            <w:pPr>
              <w:widowControl/>
              <w:spacing w:line="360" w:lineRule="auto"/>
              <w:jc w:val="center"/>
              <w:rPr>
                <w:rFonts w:ascii="宋体" w:hAnsi="宋体" w:cs="宋体"/>
                <w:szCs w:val="21"/>
              </w:rPr>
            </w:pPr>
            <w:r>
              <w:rPr>
                <w:rFonts w:hint="eastAsia" w:ascii="宋体" w:hAnsi="宋体" w:cs="宋体"/>
                <w:szCs w:val="21"/>
              </w:rPr>
              <w:t>程度</w:t>
            </w:r>
          </w:p>
        </w:tc>
        <w:tc>
          <w:tcPr>
            <w:tcW w:w="91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3分</w:t>
            </w:r>
          </w:p>
        </w:tc>
        <w:tc>
          <w:tcPr>
            <w:tcW w:w="477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s="宋体"/>
                <w:szCs w:val="21"/>
              </w:rPr>
            </w:pPr>
            <w:r>
              <w:rPr>
                <w:rFonts w:hint="eastAsia" w:ascii="宋体" w:hAnsi="宋体" w:cs="宋体"/>
                <w:szCs w:val="21"/>
              </w:rPr>
              <w:t>由于快检农食样品的特殊性，为保证样品抽检的时效性、完整性及食品安全事故应急检验等需要,供应商在抽样完成后，采样车或冷藏车从采购人所在地送达到与供应商名称一致的资质认定证书上的实验室地址时间在1小时内的得3分,1-3 小时得1分，3小时以上不得分。</w:t>
            </w:r>
          </w:p>
          <w:p>
            <w:pPr>
              <w:widowControl/>
              <w:spacing w:line="360" w:lineRule="auto"/>
              <w:jc w:val="left"/>
              <w:rPr>
                <w:rFonts w:ascii="宋体" w:hAnsi="宋体" w:cs="宋体"/>
                <w:szCs w:val="21"/>
              </w:rPr>
            </w:pPr>
            <w:r>
              <w:rPr>
                <w:rFonts w:hint="eastAsia" w:ascii="宋体" w:hAnsi="宋体" w:cs="宋体"/>
                <w:b/>
                <w:bCs/>
                <w:szCs w:val="21"/>
              </w:rPr>
              <w:t>注：提供导航截图或提供承诺函</w:t>
            </w:r>
            <w:r>
              <w:rPr>
                <w:rFonts w:hint="eastAsia" w:ascii="宋体" w:hAnsi="宋体" w:cs="宋体"/>
                <w:b/>
                <w:bCs/>
                <w:szCs w:val="21"/>
                <w:lang w:val="en-US" w:eastAsia="zh-CN"/>
              </w:rPr>
              <w:t>原件</w:t>
            </w:r>
            <w:r>
              <w:rPr>
                <w:rFonts w:hint="eastAsia" w:ascii="宋体" w:hAnsi="宋体" w:cs="宋体"/>
                <w:b/>
                <w:bCs/>
                <w:szCs w:val="21"/>
              </w:rPr>
              <w:t>，以与供应商名称一致的CMA 证书及具有食品检测参数的能力附表上的地址为评审依据，未提供或不符合要求不得分。</w:t>
            </w:r>
          </w:p>
        </w:tc>
        <w:tc>
          <w:tcPr>
            <w:tcW w:w="1559" w:type="dxa"/>
            <w:tcBorders>
              <w:top w:val="single" w:color="000000" w:sz="4" w:space="0"/>
              <w:left w:val="nil"/>
              <w:bottom w:val="single" w:color="000000" w:sz="4" w:space="0"/>
              <w:right w:val="single" w:color="000000" w:sz="4" w:space="0"/>
            </w:tcBorders>
            <w:vAlign w:val="center"/>
          </w:tcPr>
          <w:p>
            <w:pPr>
              <w:widowControl/>
              <w:autoSpaceDE w:val="0"/>
              <w:spacing w:line="360" w:lineRule="auto"/>
              <w:jc w:val="center"/>
              <w:rPr>
                <w:rFonts w:ascii="宋体" w:hAnsi="宋体" w:cs="宋体"/>
                <w:kern w:val="0"/>
                <w:szCs w:val="21"/>
              </w:rPr>
            </w:pPr>
            <w:r>
              <w:rPr>
                <w:rFonts w:hint="eastAsia" w:ascii="宋体" w:hAnsi="宋体" w:cs="宋体"/>
                <w:kern w:val="0"/>
                <w:szCs w:val="21"/>
              </w:rPr>
              <w:t>共同评分因素</w:t>
            </w:r>
          </w:p>
        </w:tc>
      </w:tr>
    </w:tbl>
    <w:p>
      <w:pPr>
        <w:spacing w:line="360" w:lineRule="auto"/>
        <w:rPr>
          <w:rFonts w:ascii="宋体" w:hAnsi="宋体" w:cs="宋体"/>
          <w:b/>
          <w:bCs/>
          <w:color w:val="000000"/>
          <w:sz w:val="24"/>
        </w:rPr>
      </w:pPr>
      <w:r>
        <w:rPr>
          <w:rFonts w:hint="eastAsia" w:ascii="宋体" w:hAnsi="宋体" w:cs="宋体"/>
          <w:b/>
          <w:bCs/>
          <w:color w:val="000000"/>
          <w:sz w:val="24"/>
        </w:rPr>
        <w:t>注：评分的取值按四舍五入法，保留小数点后两位。</w:t>
      </w:r>
      <w:bookmarkEnd w:id="251"/>
      <w:bookmarkEnd w:id="252"/>
      <w:bookmarkEnd w:id="253"/>
      <w:bookmarkEnd w:id="254"/>
    </w:p>
    <w:p>
      <w:pPr>
        <w:tabs>
          <w:tab w:val="left" w:pos="851"/>
        </w:tabs>
        <w:spacing w:line="360" w:lineRule="auto"/>
        <w:rPr>
          <w:rFonts w:ascii="宋体" w:hAnsi="宋体" w:cs="宋体"/>
          <w:b/>
          <w:color w:val="000000"/>
          <w:sz w:val="24"/>
        </w:rPr>
      </w:pPr>
      <w:r>
        <w:rPr>
          <w:rFonts w:hint="eastAsia" w:ascii="宋体" w:hAnsi="宋体" w:cs="宋体"/>
          <w:b/>
          <w:color w:val="000000"/>
          <w:sz w:val="24"/>
        </w:rPr>
        <w:t>4.磋商纪律及注意事项</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4.4 磋商小组独立评判，推荐成交候选人，并写出书面报告。</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4.5 磋商小组可根据需要对供应商进行实地考察。</w:t>
      </w:r>
    </w:p>
    <w:p>
      <w:pPr>
        <w:tabs>
          <w:tab w:val="left" w:pos="7665"/>
        </w:tabs>
        <w:spacing w:line="360" w:lineRule="auto"/>
        <w:rPr>
          <w:rFonts w:ascii="宋体" w:hAnsi="宋体" w:cs="宋体"/>
          <w:b/>
          <w:color w:val="000000"/>
          <w:sz w:val="24"/>
        </w:rPr>
      </w:pPr>
      <w:r>
        <w:rPr>
          <w:rFonts w:hint="eastAsia" w:ascii="宋体" w:hAnsi="宋体" w:cs="宋体"/>
          <w:b/>
          <w:bCs/>
          <w:color w:val="000000"/>
          <w:sz w:val="24"/>
        </w:rPr>
        <w:t>5.</w:t>
      </w:r>
      <w:bookmarkEnd w:id="255"/>
      <w:r>
        <w:rPr>
          <w:rFonts w:hint="eastAsia" w:ascii="宋体" w:hAnsi="宋体" w:cs="宋体"/>
          <w:b/>
          <w:color w:val="000000"/>
          <w:sz w:val="24"/>
        </w:rPr>
        <w:t>磋商小组在政府采购活动中承担以下义务：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（一）遵守评审工作纪律；</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（三）不得泄露评审文件、评审情况和在评审过程中获悉的商业秘密；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（六）及时向财政、监察等部门举报在评审过程中受到非法干预的情况；</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（七）配合答复处理供应商的询问、质疑和投诉等事项；</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（八）法律、法规和规章规定的其他义务。</w:t>
      </w:r>
    </w:p>
    <w:p>
      <w:pPr>
        <w:tabs>
          <w:tab w:val="left" w:pos="7665"/>
        </w:tabs>
        <w:spacing w:line="360" w:lineRule="auto"/>
        <w:rPr>
          <w:rFonts w:ascii="宋体" w:hAnsi="宋体" w:cs="宋体"/>
          <w:b/>
          <w:color w:val="000000"/>
          <w:sz w:val="24"/>
        </w:rPr>
      </w:pPr>
      <w:r>
        <w:rPr>
          <w:rFonts w:hint="eastAsia" w:ascii="宋体" w:hAnsi="宋体" w:cs="宋体"/>
          <w:b/>
          <w:color w:val="000000"/>
          <w:sz w:val="24"/>
        </w:rPr>
        <w:t>6.评审专家在政府采购活动中应当遵守以下工作纪律：</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（七）遵守有关廉洁自律规定，不得私下接触供应商，不得收受供应商及有关业务单位和个人的财物或好处，不得接受采购代理机构的请托。</w:t>
      </w:r>
    </w:p>
    <w:p>
      <w:pPr>
        <w:pStyle w:val="2"/>
        <w:rPr>
          <w:rFonts w:hAnsi="宋体"/>
        </w:rPr>
      </w:pPr>
    </w:p>
    <w:p>
      <w:pPr>
        <w:pStyle w:val="2"/>
        <w:rPr>
          <w:rFonts w:hAnsi="宋体"/>
        </w:rPr>
      </w:pPr>
    </w:p>
    <w:p>
      <w:pPr>
        <w:pStyle w:val="2"/>
        <w:rPr>
          <w:rFonts w:hAnsi="宋体"/>
        </w:rPr>
      </w:pPr>
    </w:p>
    <w:p>
      <w:pPr>
        <w:pStyle w:val="2"/>
        <w:rPr>
          <w:rFonts w:hAnsi="宋体"/>
        </w:rPr>
      </w:pPr>
    </w:p>
    <w:p>
      <w:pPr>
        <w:pStyle w:val="4"/>
        <w:jc w:val="center"/>
        <w:rPr>
          <w:rFonts w:hint="eastAsia" w:ascii="宋体" w:hAnsi="宋体" w:eastAsia="宋体" w:cs="宋体"/>
          <w:color w:val="000000"/>
          <w:sz w:val="24"/>
        </w:rPr>
      </w:pPr>
      <w:bookmarkStart w:id="297" w:name="_Toc32258"/>
      <w:r>
        <w:rPr>
          <w:rFonts w:hint="eastAsia" w:ascii="宋体" w:hAnsi="宋体" w:eastAsia="宋体" w:cs="宋体"/>
          <w:color w:val="000000"/>
        </w:rPr>
        <w:br w:type="page"/>
      </w:r>
      <w:bookmarkStart w:id="298" w:name="_Toc9534"/>
      <w:bookmarkStart w:id="299" w:name="_Toc23839"/>
      <w:r>
        <w:rPr>
          <w:rFonts w:hint="eastAsia" w:ascii="宋体" w:hAnsi="宋体" w:eastAsia="宋体" w:cs="宋体"/>
          <w:color w:val="000000"/>
        </w:rPr>
        <w:t>第八章  政府采购合同</w:t>
      </w:r>
      <w:bookmarkEnd w:id="132"/>
      <w:bookmarkEnd w:id="133"/>
      <w:bookmarkEnd w:id="134"/>
      <w:bookmarkEnd w:id="297"/>
      <w:bookmarkEnd w:id="298"/>
      <w:bookmarkEnd w:id="299"/>
      <w:bookmarkStart w:id="300" w:name="_Hlt101846155"/>
      <w:bookmarkEnd w:id="300"/>
      <w:r>
        <w:rPr>
          <w:rFonts w:ascii="宋体" w:hAnsi="宋体" w:eastAsia="宋体" w:cs="宋体"/>
          <w:color w:val="000000"/>
        </w:rPr>
        <w:br w:type="textWrapping"/>
      </w:r>
      <w:r>
        <w:rPr>
          <w:rFonts w:ascii="宋体" w:hAnsi="宋体" w:eastAsia="宋体" w:cs="宋体"/>
          <w:color w:val="000000"/>
        </w:rPr>
        <w:t>（</w:t>
      </w:r>
      <w:r>
        <w:rPr>
          <w:rFonts w:hint="eastAsia" w:ascii="宋体" w:hAnsi="宋体" w:eastAsia="宋体" w:cs="宋体"/>
          <w:color w:val="000000"/>
        </w:rPr>
        <w:t>此为建议模版，以采购方和中标供应商协商为准）</w:t>
      </w:r>
    </w:p>
    <w:p>
      <w:pPr>
        <w:tabs>
          <w:tab w:val="left" w:pos="7665"/>
        </w:tabs>
        <w:spacing w:line="360" w:lineRule="auto"/>
        <w:rPr>
          <w:rFonts w:ascii="宋体" w:hAnsi="宋体" w:cs="宋体"/>
          <w:color w:val="000000"/>
          <w:sz w:val="24"/>
        </w:rPr>
      </w:pPr>
      <w:r>
        <w:rPr>
          <w:rFonts w:hint="eastAsia" w:ascii="宋体" w:hAnsi="宋体" w:cs="宋体"/>
          <w:color w:val="000000"/>
          <w:sz w:val="24"/>
        </w:rPr>
        <w:t>合同编号：与项目编号一致。</w:t>
      </w:r>
    </w:p>
    <w:p>
      <w:pPr>
        <w:tabs>
          <w:tab w:val="left" w:pos="7665"/>
        </w:tabs>
        <w:spacing w:line="360" w:lineRule="auto"/>
        <w:rPr>
          <w:rFonts w:ascii="宋体" w:hAnsi="宋体" w:cs="宋体"/>
          <w:color w:val="000000"/>
          <w:sz w:val="24"/>
        </w:rPr>
      </w:pPr>
      <w:r>
        <w:rPr>
          <w:rFonts w:hint="eastAsia" w:ascii="宋体" w:hAnsi="宋体" w:cs="宋体"/>
          <w:color w:val="000000"/>
          <w:sz w:val="24"/>
        </w:rPr>
        <w:t>签订地点：</w:t>
      </w:r>
      <w:r>
        <w:rPr>
          <w:rFonts w:hint="eastAsia" w:ascii="宋体" w:hAnsi="宋体" w:cs="宋体"/>
          <w:sz w:val="24"/>
        </w:rPr>
        <w:t>：成都东部新区三岔街道板桥村 2 组 166 号</w:t>
      </w:r>
    </w:p>
    <w:p>
      <w:pPr>
        <w:tabs>
          <w:tab w:val="left" w:pos="7665"/>
        </w:tabs>
        <w:spacing w:line="360" w:lineRule="auto"/>
        <w:rPr>
          <w:rFonts w:ascii="宋体" w:hAnsi="宋体" w:cs="宋体"/>
          <w:color w:val="000000"/>
          <w:sz w:val="24"/>
        </w:rPr>
      </w:pPr>
      <w:r>
        <w:rPr>
          <w:rFonts w:hint="eastAsia" w:ascii="宋体" w:hAnsi="宋体" w:cs="宋体"/>
          <w:color w:val="000000"/>
          <w:sz w:val="24"/>
        </w:rPr>
        <w:t>签订时间：XXXX 年 XX 月 XX 日。</w:t>
      </w:r>
    </w:p>
    <w:p>
      <w:pPr>
        <w:tabs>
          <w:tab w:val="left" w:pos="7665"/>
        </w:tabs>
        <w:spacing w:line="360" w:lineRule="auto"/>
        <w:rPr>
          <w:rFonts w:ascii="宋体" w:hAnsi="宋体" w:cs="宋体"/>
          <w:color w:val="000000"/>
          <w:sz w:val="24"/>
        </w:rPr>
      </w:pPr>
      <w:r>
        <w:rPr>
          <w:rFonts w:hint="eastAsia" w:ascii="宋体" w:hAnsi="宋体" w:cs="宋体"/>
          <w:color w:val="000000"/>
          <w:sz w:val="24"/>
        </w:rPr>
        <w:t>采购人(甲方)：成都东部新区党工委管委会(成都市东部新城办)综合执法局</w:t>
      </w:r>
    </w:p>
    <w:p>
      <w:pPr>
        <w:tabs>
          <w:tab w:val="left" w:pos="7665"/>
        </w:tabs>
        <w:spacing w:line="360" w:lineRule="auto"/>
        <w:rPr>
          <w:rFonts w:ascii="宋体" w:hAnsi="宋体" w:cs="宋体"/>
          <w:color w:val="000000"/>
          <w:sz w:val="24"/>
        </w:rPr>
      </w:pPr>
      <w:r>
        <w:rPr>
          <w:rFonts w:hint="eastAsia" w:ascii="宋体" w:hAnsi="宋体" w:cs="宋体"/>
          <w:color w:val="000000"/>
          <w:sz w:val="24"/>
        </w:rPr>
        <w:t>供应商(乙方)：</w:t>
      </w:r>
    </w:p>
    <w:p>
      <w:pPr>
        <w:tabs>
          <w:tab w:val="left" w:pos="7665"/>
        </w:tabs>
        <w:spacing w:line="360" w:lineRule="auto"/>
        <w:ind w:firstLine="720" w:firstLineChars="300"/>
        <w:rPr>
          <w:rFonts w:ascii="宋体" w:hAnsi="宋体" w:cs="宋体"/>
          <w:color w:val="000000"/>
          <w:sz w:val="24"/>
        </w:rPr>
      </w:pPr>
      <w:r>
        <w:rPr>
          <w:rFonts w:hint="eastAsia" w:ascii="宋体" w:hAnsi="宋体" w:cs="宋体"/>
          <w:color w:val="000000"/>
          <w:sz w:val="24"/>
        </w:rPr>
        <w:t>依据《中华人民共和国民法典》、《中华人民共和国政府采购法》以及与项目行业有关的法律法规，以及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第一条 项目基本情况</w:t>
      </w:r>
    </w:p>
    <w:p>
      <w:pPr>
        <w:adjustRightInd w:val="0"/>
        <w:snapToGrid w:val="0"/>
        <w:spacing w:line="440" w:lineRule="exact"/>
        <w:ind w:firstLine="480" w:firstLineChars="200"/>
        <w:rPr>
          <w:rFonts w:ascii="宋体" w:hAnsi="宋体" w:cs="宋体"/>
          <w:sz w:val="24"/>
        </w:rPr>
      </w:pPr>
      <w:r>
        <w:rPr>
          <w:rFonts w:hint="eastAsia" w:ascii="宋体" w:hAnsi="宋体" w:cs="宋体"/>
          <w:color w:val="000000"/>
          <w:sz w:val="24"/>
        </w:rPr>
        <w:t>检测对象覆盖</w:t>
      </w:r>
      <w:r>
        <w:rPr>
          <w:rFonts w:hint="eastAsia" w:ascii="宋体" w:hAnsi="宋体" w:cs="宋体"/>
          <w:sz w:val="24"/>
        </w:rPr>
        <w:t>全区</w:t>
      </w:r>
      <w:r>
        <w:rPr>
          <w:rFonts w:hint="eastAsia" w:ascii="宋体" w:hAnsi="宋体" w:cs="宋体"/>
          <w:color w:val="000000"/>
          <w:sz w:val="24"/>
        </w:rPr>
        <w:t>商超、市场、小作坊和餐饮服务单位，</w:t>
      </w:r>
      <w:r>
        <w:rPr>
          <w:rFonts w:hint="eastAsia" w:ascii="宋体" w:hAnsi="宋体" w:cs="宋体"/>
          <w:sz w:val="24"/>
        </w:rPr>
        <w:t>突出学校及周边、食用农产品批发市场、集贸商超、食品“三小”、农村“坝坝宴”、农家乐和旅游景区餐饮服务单位等重点场所和单位。检测类别尽量覆盖辖区内经营的蔬菜、水果、畜禽肉、水产品、鲜蛋等食用农产品，肉类和水产品等高风险品种应占年度快检任务总量的30％即3000批次，原则上不得抽取预包装食品。总体数量上，其中对农集贸市场（批发市场）的抽检量应不少于任务总数的50%，对食品“三小”的抽检量应不少于任务总数的5%，监管单位预留1000个指标任务数作为机动批次，用于重要活动保障或者由中标人根据实际工作经验以问题为导向自行确定。</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第二条 合同期限</w:t>
      </w:r>
    </w:p>
    <w:p>
      <w:pPr>
        <w:pStyle w:val="2"/>
        <w:spacing w:line="360" w:lineRule="auto"/>
        <w:ind w:firstLine="480" w:firstLineChars="200"/>
        <w:rPr>
          <w:rFonts w:hAnsi="宋体"/>
        </w:rPr>
      </w:pPr>
      <w:r>
        <w:rPr>
          <w:rFonts w:hint="eastAsia" w:hAnsi="宋体"/>
          <w:kern w:val="2"/>
        </w:rPr>
        <w:t>合同签订之日起至2021年12月5日止全面完成快检工作及快检工作总结分析报告。</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第三条 服务内容与质量标准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对辖区内各类型食品生产经营单位进行快速检测，开展便民服务活动，向消费者宣传、普及食品安全知识，依托食品快速检测等形式开展5场食品安全科普宣传。</w:t>
      </w:r>
    </w:p>
    <w:p>
      <w:pPr>
        <w:adjustRightInd w:val="0"/>
        <w:snapToGrid w:val="0"/>
        <w:spacing w:line="440" w:lineRule="exact"/>
        <w:ind w:firstLine="480" w:firstLineChars="200"/>
        <w:rPr>
          <w:rFonts w:ascii="宋体" w:hAnsi="宋体" w:cs="宋体"/>
          <w:color w:val="000000"/>
          <w:sz w:val="24"/>
        </w:rPr>
      </w:pPr>
      <w:r>
        <w:rPr>
          <w:rFonts w:hint="eastAsia" w:ascii="宋体" w:hAnsi="宋体" w:cs="宋体"/>
          <w:sz w:val="24"/>
        </w:rPr>
        <w:t>本项目计划</w:t>
      </w:r>
      <w:r>
        <w:rPr>
          <w:rFonts w:hint="eastAsia" w:ascii="宋体" w:hAnsi="宋体" w:cs="宋体"/>
          <w:color w:val="000000"/>
          <w:sz w:val="24"/>
        </w:rPr>
        <w:t>安排各类食品批次10000批次，快速检测指标项目数14110个。</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本项目原则上不抽检预包装食品。</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本项目检测项目设置参考</w:t>
      </w:r>
      <w:r>
        <w:rPr>
          <w:rFonts w:hint="eastAsia" w:ascii="宋体" w:hAnsi="宋体" w:cs="宋体"/>
          <w:color w:val="000000"/>
          <w:sz w:val="24"/>
        </w:rPr>
        <w:t>《四川省食品安全监督抽检实施细则（2021年版）》，建议检测</w:t>
      </w:r>
      <w:r>
        <w:rPr>
          <w:rFonts w:hint="eastAsia" w:ascii="宋体" w:hAnsi="宋体" w:cs="宋体"/>
          <w:sz w:val="24"/>
        </w:rPr>
        <w:t>项目包括有机磷、氨基甲酸酯类等农药残留；禽畜肉检测参数参考瘦肉精（盐酸克伦特罗、沙丁胺醇、莱克多巴胺）、氯霉素、磺胺类、恩诺沙星、四环素等；水产品检测参数参考孔雀石绿、氯霉素、呋喃西林、呋喃唑酮、磺胺类、恩诺沙星、四环素等兽药残留；甲醛、硼砂、溴酸钾等非食用物质；山梨酸钾、甜蜜素、糖精钠等食品添加剂等项目。检测指标供应商可根据实际情况自行增加。</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本项目要求必以异常结果发现率为目标，含中标人自行增加的快检项目异常结果。</w:t>
      </w:r>
    </w:p>
    <w:p>
      <w:pPr>
        <w:pStyle w:val="2"/>
        <w:numPr>
          <w:ilvl w:val="255"/>
          <w:numId w:val="0"/>
        </w:numPr>
        <w:spacing w:line="440" w:lineRule="exact"/>
        <w:ind w:firstLine="480" w:firstLineChars="200"/>
        <w:rPr>
          <w:rFonts w:hAnsi="宋体"/>
          <w:highlight w:val="none"/>
        </w:rPr>
      </w:pPr>
      <w:r>
        <w:rPr>
          <w:rFonts w:hint="eastAsia" w:hAnsi="宋体"/>
          <w:highlight w:val="none"/>
        </w:rPr>
        <w:t>供应商为本项目配备抽样人员至少6名、检测人员至少10名。</w:t>
      </w:r>
    </w:p>
    <w:p>
      <w:pPr>
        <w:pStyle w:val="2"/>
        <w:numPr>
          <w:ilvl w:val="255"/>
          <w:numId w:val="0"/>
        </w:numPr>
        <w:spacing w:line="440" w:lineRule="exact"/>
        <w:ind w:firstLine="480" w:firstLineChars="200"/>
        <w:rPr>
          <w:rFonts w:hAnsi="宋体"/>
          <w:highlight w:val="none"/>
        </w:rPr>
      </w:pPr>
      <w:r>
        <w:rPr>
          <w:rFonts w:hint="eastAsia" w:hAnsi="宋体"/>
          <w:highlight w:val="none"/>
        </w:rPr>
        <w:t>验收要求：本项目将严格按照《财政部关于进一步加强政府采购需求和履约验收管理的指导意见》（财库〔2016〕205号）《政府采购需求管理办法》（财库〔2021〕22号）等政府采购相关法律法规的要求进行验收。</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第四条 服务费用及支付方式</w:t>
      </w:r>
    </w:p>
    <w:p>
      <w:pPr>
        <w:pStyle w:val="2"/>
        <w:spacing w:line="360" w:lineRule="auto"/>
        <w:ind w:firstLine="480" w:firstLineChars="200"/>
        <w:rPr>
          <w:rFonts w:hAnsi="宋体"/>
        </w:rPr>
      </w:pPr>
      <w:r>
        <w:rPr>
          <w:rFonts w:hint="eastAsia" w:hAnsi="宋体"/>
        </w:rPr>
        <w:t>付款方式：合同签订后，采购方预付总金额的50%作为启动资金，项目完成验收后，凭中标供应商相关票据和清单一次性支付全部余款。</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知识产权</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乙方应保证所提供的服务或其任何一部分均不会侵犯任何第三方的专利权、商标权或著作权。</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无产权瑕疵条款</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乙方保证所提供的服务的所有权完全属于乙方且无任何抵押、查封等产权瑕疵。如有产权瑕疵的，视为乙方违约。乙方应负担由此而产生的一切损失。</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第七条 履约保证金</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本项目不收取履约保证金。</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第八条 甲方的权利和义务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2、负责检查监督乙方管理工作的实施及制度的执行情况。</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3、根据本合同规定，按时向乙方支付应付服务费用。</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4、国家法律、法规所规定由甲方承担的其它责任。</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第九条 乙方的权利和义务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1、对本合同规定的委托服务范围内的项目享有管理权及服务义务。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2、根据本合同的规定向甲方收取相关服务费用，并有权在本项目管理范围内管理及合理使用。</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3、及时向甲方通告本项目服务范围内有关服务的重大事项，及时配合处理投诉。</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4、接受项目行业管理部门及政府有关部门的指导，接受甲方的监督。</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5、国家法律、法规所规定由乙方承担的其它责任。</w:t>
      </w:r>
    </w:p>
    <w:p>
      <w:pPr>
        <w:pStyle w:val="9"/>
        <w:rPr>
          <w:rFonts w:ascii="宋体" w:hAnsi="宋体" w:cs="宋体"/>
          <w:color w:val="000000"/>
        </w:rPr>
      </w:pPr>
      <w:r>
        <w:rPr>
          <w:rFonts w:hint="eastAsia" w:ascii="宋体" w:hAnsi="宋体" w:cs="宋体"/>
          <w:color w:val="000000"/>
          <w:sz w:val="24"/>
        </w:rPr>
        <w:t xml:space="preserve">    6、乙方应当在规定的期限内向甲方提供书面检测报告。</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第十条 违约责任</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1、甲乙双方必须遵守本合同并执行合同中的各项规定，保证本合同的正常履行。</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第十一条 不可抗力事件处理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2、不可抗力事件发生后，应立即通知对方，并寄送有关权威机构出具的证明。</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3、不可抗力事件延续 XX 天以上，双方应通过友好协商，确定是否继续履行合同。</w:t>
      </w:r>
    </w:p>
    <w:p>
      <w:pPr>
        <w:tabs>
          <w:tab w:val="left" w:pos="7665"/>
        </w:tabs>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第十二条 解决合同纠纷的方式</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1、在执行本合同中发生的或与本合同有关的争端，双方应通过友好协商解决，经协商在XX 天内不能达成协议时，应提交成都仲裁委仲裁。</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2、仲裁裁决应为最终决定，并对双方具有约束力。</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3、除另有裁决外，仲裁费应由败诉方负担。</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4、在仲裁期间，除正在进行仲裁部分外，合同其他部分继续执行。</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第十三条 合同生效及其他</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1、合同经双方法定代表人或授权委托代理人签字并加盖单位公章后生效。</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2、合同执行中涉及采购资金和采购内容修改或补充的，须经政府采购监管部门审批，并签书面补充协议报政府采购监督管理部门备案，方可作为主合同不可分割的一部分。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3、本合同一式 XX 份，自双方签章之日起起效。甲方 XX 份，乙方 XX 份，政府采购代理机构 XX 份，同级财政部门备案 XX 份，具有同等法律效力。</w:t>
      </w:r>
    </w:p>
    <w:p>
      <w:pPr>
        <w:tabs>
          <w:tab w:val="left" w:pos="7665"/>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第十四条 附件</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1、项目竞争性磋商文件</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2、项目修改澄清文件</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3、项目响应文件</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4、成交通知书</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5、其他</w:t>
      </w:r>
    </w:p>
    <w:p>
      <w:pPr>
        <w:pStyle w:val="2"/>
        <w:rPr>
          <w:rFonts w:hAnsi="宋体"/>
        </w:rPr>
      </w:pPr>
    </w:p>
    <w:p>
      <w:pPr>
        <w:pStyle w:val="2"/>
        <w:rPr>
          <w:rFonts w:hAnsi="宋体"/>
        </w:rPr>
      </w:pPr>
    </w:p>
    <w:p>
      <w:pPr>
        <w:pStyle w:val="2"/>
        <w:rPr>
          <w:rFonts w:hAnsi="宋体"/>
        </w:rPr>
      </w:pPr>
    </w:p>
    <w:p>
      <w:pPr>
        <w:tabs>
          <w:tab w:val="left" w:pos="7665"/>
        </w:tabs>
        <w:spacing w:line="360" w:lineRule="auto"/>
        <w:rPr>
          <w:rFonts w:ascii="宋体" w:hAnsi="宋体" w:cs="宋体"/>
          <w:color w:val="000000"/>
          <w:sz w:val="24"/>
        </w:rPr>
      </w:pPr>
      <w:r>
        <w:rPr>
          <w:rFonts w:hint="eastAsia" w:ascii="宋体" w:hAnsi="宋体" w:cs="宋体"/>
          <w:color w:val="000000"/>
          <w:sz w:val="24"/>
        </w:rPr>
        <w:t>甲方： (盖章)                           乙方： (盖章)</w:t>
      </w:r>
    </w:p>
    <w:p>
      <w:pPr>
        <w:tabs>
          <w:tab w:val="left" w:pos="7665"/>
        </w:tabs>
        <w:spacing w:line="360" w:lineRule="auto"/>
        <w:rPr>
          <w:rFonts w:ascii="宋体" w:hAnsi="宋体" w:cs="宋体"/>
          <w:color w:val="000000"/>
          <w:sz w:val="24"/>
        </w:rPr>
      </w:pPr>
      <w:r>
        <w:rPr>
          <w:rFonts w:hint="eastAsia" w:ascii="宋体" w:hAnsi="宋体" w:cs="宋体"/>
          <w:color w:val="000000"/>
          <w:sz w:val="24"/>
        </w:rPr>
        <w:t>法定代表人(授权代表)：                  法定代表人(授权代表)：</w:t>
      </w:r>
    </w:p>
    <w:p>
      <w:pPr>
        <w:tabs>
          <w:tab w:val="left" w:pos="7665"/>
        </w:tabs>
        <w:spacing w:line="360" w:lineRule="auto"/>
        <w:rPr>
          <w:rFonts w:ascii="宋体" w:hAnsi="宋体" w:cs="宋体"/>
          <w:color w:val="000000"/>
          <w:sz w:val="24"/>
        </w:rPr>
      </w:pPr>
      <w:r>
        <w:rPr>
          <w:rFonts w:hint="eastAsia" w:ascii="宋体" w:hAnsi="宋体" w:cs="宋体"/>
          <w:color w:val="000000"/>
          <w:sz w:val="24"/>
        </w:rPr>
        <w:t>地 址：                                 地 址：</w:t>
      </w:r>
    </w:p>
    <w:p>
      <w:pPr>
        <w:tabs>
          <w:tab w:val="left" w:pos="7665"/>
        </w:tabs>
        <w:spacing w:line="360" w:lineRule="auto"/>
        <w:rPr>
          <w:rFonts w:ascii="宋体" w:hAnsi="宋体" w:cs="宋体"/>
          <w:color w:val="000000"/>
          <w:sz w:val="24"/>
        </w:rPr>
      </w:pPr>
      <w:r>
        <w:rPr>
          <w:rFonts w:hint="eastAsia" w:ascii="宋体" w:hAnsi="宋体" w:cs="宋体"/>
          <w:color w:val="000000"/>
          <w:sz w:val="24"/>
        </w:rPr>
        <w:t>开户银行：                              开户银行：</w:t>
      </w:r>
    </w:p>
    <w:p>
      <w:pPr>
        <w:tabs>
          <w:tab w:val="left" w:pos="7665"/>
        </w:tabs>
        <w:spacing w:line="360" w:lineRule="auto"/>
        <w:rPr>
          <w:rFonts w:ascii="宋体" w:hAnsi="宋体" w:cs="宋体"/>
          <w:color w:val="000000"/>
          <w:sz w:val="24"/>
        </w:rPr>
      </w:pPr>
      <w:r>
        <w:rPr>
          <w:rFonts w:hint="eastAsia" w:ascii="宋体" w:hAnsi="宋体" w:cs="宋体"/>
          <w:color w:val="000000"/>
          <w:sz w:val="24"/>
        </w:rPr>
        <w:t>账号：                                  账号：</w:t>
      </w:r>
    </w:p>
    <w:p>
      <w:pPr>
        <w:tabs>
          <w:tab w:val="left" w:pos="7665"/>
        </w:tabs>
        <w:spacing w:line="360" w:lineRule="auto"/>
        <w:rPr>
          <w:rFonts w:ascii="宋体" w:hAnsi="宋体" w:cs="宋体"/>
          <w:color w:val="000000"/>
          <w:sz w:val="24"/>
        </w:rPr>
      </w:pPr>
      <w:r>
        <w:rPr>
          <w:rFonts w:hint="eastAsia" w:ascii="宋体" w:hAnsi="宋体" w:cs="宋体"/>
          <w:color w:val="000000"/>
          <w:sz w:val="24"/>
        </w:rPr>
        <w:t>电 话：                                 电 话：</w:t>
      </w:r>
    </w:p>
    <w:p>
      <w:pPr>
        <w:tabs>
          <w:tab w:val="left" w:pos="7665"/>
        </w:tabs>
        <w:spacing w:line="360" w:lineRule="auto"/>
        <w:rPr>
          <w:rFonts w:ascii="宋体" w:hAnsi="宋体" w:cs="宋体"/>
          <w:color w:val="000000"/>
          <w:sz w:val="24"/>
        </w:rPr>
      </w:pPr>
      <w:r>
        <w:rPr>
          <w:rFonts w:hint="eastAsia" w:ascii="宋体" w:hAnsi="宋体" w:cs="宋体"/>
          <w:color w:val="000000"/>
          <w:sz w:val="24"/>
        </w:rPr>
        <w:t>传 真：                                 传 真：</w:t>
      </w:r>
    </w:p>
    <w:p>
      <w:pPr>
        <w:tabs>
          <w:tab w:val="left" w:pos="7665"/>
        </w:tabs>
        <w:spacing w:line="360" w:lineRule="auto"/>
        <w:rPr>
          <w:rFonts w:ascii="宋体" w:hAnsi="宋体" w:cs="宋体"/>
          <w:color w:val="000000"/>
        </w:rPr>
      </w:pPr>
      <w:r>
        <w:rPr>
          <w:rFonts w:hint="eastAsia" w:ascii="宋体" w:hAnsi="宋体" w:cs="宋体"/>
          <w:color w:val="000000"/>
          <w:sz w:val="24"/>
        </w:rPr>
        <w:t>签约日期：XX 年 XX 月 XX 日             签约日期：XX 年 XX 月 XX 日</w:t>
      </w:r>
    </w:p>
    <w:sectPr>
      <w:footerReference r:id="rId11" w:type="default"/>
      <w:pgSz w:w="11850" w:h="16783"/>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0000000000000000000"/>
    <w:charset w:val="4D"/>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5"/>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YulhTQAAAAAwEAAA8AAAAAAAAAAQAgAAAAIgAAAGRycy9kb3ducmV2Lnht&#10;bFBLAQIUABQAAAAIAIdO4kBHdn4iyAEAAI4DAAAOAAAAAAAAAAEAIAAAAB8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5"/>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ulhTQAAAAAwEAAA8AAAAAAAAAAQAgAAAAIgAAAGRycy9kb3ducmV2&#10;LnhtbFBLAQIUABQAAAAIAIdO4kBzYRE4ywEAAI4DAAAOAAAAAAAAAAEAIAAAAB8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fldChar w:fldCharType="begin"/>
    </w:r>
    <w:r>
      <w:rPr>
        <w:rStyle w:val="27"/>
      </w:rPr>
      <w:instrText xml:space="preserve">PAGE  </w:instrText>
    </w:r>
    <w:r>
      <w:fldChar w:fldCharType="end"/>
    </w:r>
  </w:p>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5"/>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i6WFNAAAAADAQAADwAAAAAAAAABACAAAAAiAAAAZHJzL2Rvd25yZXYu&#10;eG1sUEsBAhQAFAAAAAgAh07iQEG6Ct7KAQAAjgMAAA4AAAAAAAAAAQAgAAAAHw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26B23"/>
    <w:multiLevelType w:val="singleLevel"/>
    <w:tmpl w:val="90926B23"/>
    <w:lvl w:ilvl="0" w:tentative="0">
      <w:start w:val="2"/>
      <w:numFmt w:val="decimal"/>
      <w:suff w:val="nothing"/>
      <w:lvlText w:val="%1、"/>
      <w:lvlJc w:val="left"/>
    </w:lvl>
  </w:abstractNum>
  <w:abstractNum w:abstractNumId="1">
    <w:nsid w:val="E6BC58B1"/>
    <w:multiLevelType w:val="singleLevel"/>
    <w:tmpl w:val="E6BC58B1"/>
    <w:lvl w:ilvl="0" w:tentative="0">
      <w:start w:val="2"/>
      <w:numFmt w:val="chineseCounting"/>
      <w:suff w:val="space"/>
      <w:lvlText w:val="第%1章"/>
      <w:lvlJc w:val="left"/>
      <w:rPr>
        <w:rFonts w:hint="eastAsia"/>
      </w:rPr>
    </w:lvl>
  </w:abstractNum>
  <w:abstractNum w:abstractNumId="2">
    <w:nsid w:val="272858C2"/>
    <w:multiLevelType w:val="singleLevel"/>
    <w:tmpl w:val="272858C2"/>
    <w:lvl w:ilvl="0" w:tentative="0">
      <w:start w:val="4"/>
      <w:numFmt w:val="chineseCounting"/>
      <w:suff w:val="space"/>
      <w:lvlText w:val="第%1章"/>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FE809A0"/>
    <w:multiLevelType w:val="singleLevel"/>
    <w:tmpl w:val="4FE809A0"/>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06556"/>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660E"/>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282C"/>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186D"/>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020"/>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37AB"/>
    <w:rsid w:val="00224333"/>
    <w:rsid w:val="00224CDC"/>
    <w:rsid w:val="002270B2"/>
    <w:rsid w:val="00230304"/>
    <w:rsid w:val="00230D10"/>
    <w:rsid w:val="002320BC"/>
    <w:rsid w:val="002332EA"/>
    <w:rsid w:val="002342C9"/>
    <w:rsid w:val="0024059F"/>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239"/>
    <w:rsid w:val="00262A61"/>
    <w:rsid w:val="00263B9A"/>
    <w:rsid w:val="00265F18"/>
    <w:rsid w:val="002665C5"/>
    <w:rsid w:val="002703E3"/>
    <w:rsid w:val="00272326"/>
    <w:rsid w:val="0027252A"/>
    <w:rsid w:val="00277B58"/>
    <w:rsid w:val="00280D8F"/>
    <w:rsid w:val="00281347"/>
    <w:rsid w:val="00283F02"/>
    <w:rsid w:val="002857AA"/>
    <w:rsid w:val="00286859"/>
    <w:rsid w:val="0029048E"/>
    <w:rsid w:val="00290AEB"/>
    <w:rsid w:val="00291539"/>
    <w:rsid w:val="00292632"/>
    <w:rsid w:val="00294EBC"/>
    <w:rsid w:val="0029626C"/>
    <w:rsid w:val="00297B8B"/>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3093"/>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AE2"/>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57D9E"/>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2ABB"/>
    <w:rsid w:val="003A44B1"/>
    <w:rsid w:val="003B035C"/>
    <w:rsid w:val="003B07A2"/>
    <w:rsid w:val="003B0FE8"/>
    <w:rsid w:val="003B135C"/>
    <w:rsid w:val="003B1AB5"/>
    <w:rsid w:val="003B1E98"/>
    <w:rsid w:val="003B22D9"/>
    <w:rsid w:val="003B3290"/>
    <w:rsid w:val="003B3755"/>
    <w:rsid w:val="003B4511"/>
    <w:rsid w:val="003B4C27"/>
    <w:rsid w:val="003B5C05"/>
    <w:rsid w:val="003B61BE"/>
    <w:rsid w:val="003B6F87"/>
    <w:rsid w:val="003C0054"/>
    <w:rsid w:val="003C0851"/>
    <w:rsid w:val="003C14AB"/>
    <w:rsid w:val="003C1E7C"/>
    <w:rsid w:val="003C668B"/>
    <w:rsid w:val="003D1437"/>
    <w:rsid w:val="003D3B7C"/>
    <w:rsid w:val="003D629B"/>
    <w:rsid w:val="003D6F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AD8"/>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86968"/>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96F97"/>
    <w:rsid w:val="005A6B6C"/>
    <w:rsid w:val="005B0EA2"/>
    <w:rsid w:val="005B3818"/>
    <w:rsid w:val="005B4B72"/>
    <w:rsid w:val="005B52B1"/>
    <w:rsid w:val="005B5AEB"/>
    <w:rsid w:val="005C08FA"/>
    <w:rsid w:val="005C10F2"/>
    <w:rsid w:val="005C3E17"/>
    <w:rsid w:val="005C42F9"/>
    <w:rsid w:val="005D1258"/>
    <w:rsid w:val="005D3DE5"/>
    <w:rsid w:val="005D691C"/>
    <w:rsid w:val="005D72BC"/>
    <w:rsid w:val="005D7BAC"/>
    <w:rsid w:val="005E0927"/>
    <w:rsid w:val="005E0EB8"/>
    <w:rsid w:val="005E1042"/>
    <w:rsid w:val="005E290B"/>
    <w:rsid w:val="005E61DB"/>
    <w:rsid w:val="005F038E"/>
    <w:rsid w:val="005F28F4"/>
    <w:rsid w:val="005F39AC"/>
    <w:rsid w:val="005F61B5"/>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244F"/>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0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5011"/>
    <w:rsid w:val="0076635D"/>
    <w:rsid w:val="007663CC"/>
    <w:rsid w:val="00766C89"/>
    <w:rsid w:val="00766D98"/>
    <w:rsid w:val="007673B6"/>
    <w:rsid w:val="007707AA"/>
    <w:rsid w:val="00774962"/>
    <w:rsid w:val="00774A21"/>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42FE"/>
    <w:rsid w:val="00835E74"/>
    <w:rsid w:val="008373DB"/>
    <w:rsid w:val="00840B26"/>
    <w:rsid w:val="00840D1C"/>
    <w:rsid w:val="00841CA6"/>
    <w:rsid w:val="00843A50"/>
    <w:rsid w:val="00843C8D"/>
    <w:rsid w:val="00844361"/>
    <w:rsid w:val="00844DF9"/>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0679"/>
    <w:rsid w:val="008E165B"/>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265E"/>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16BF"/>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04FB"/>
    <w:rsid w:val="009D19AE"/>
    <w:rsid w:val="009D1FA3"/>
    <w:rsid w:val="009D2805"/>
    <w:rsid w:val="009D3609"/>
    <w:rsid w:val="009D7994"/>
    <w:rsid w:val="009E1712"/>
    <w:rsid w:val="009E3963"/>
    <w:rsid w:val="009E46B1"/>
    <w:rsid w:val="009E7AD9"/>
    <w:rsid w:val="009F1FFE"/>
    <w:rsid w:val="009F31B2"/>
    <w:rsid w:val="009F5C6E"/>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3B22"/>
    <w:rsid w:val="00A34DB9"/>
    <w:rsid w:val="00A3546D"/>
    <w:rsid w:val="00A35DEB"/>
    <w:rsid w:val="00A365D7"/>
    <w:rsid w:val="00A36E24"/>
    <w:rsid w:val="00A3709F"/>
    <w:rsid w:val="00A3731C"/>
    <w:rsid w:val="00A3757E"/>
    <w:rsid w:val="00A40262"/>
    <w:rsid w:val="00A40333"/>
    <w:rsid w:val="00A40BCF"/>
    <w:rsid w:val="00A40FA5"/>
    <w:rsid w:val="00A42BBA"/>
    <w:rsid w:val="00A444F5"/>
    <w:rsid w:val="00A450A0"/>
    <w:rsid w:val="00A4520A"/>
    <w:rsid w:val="00A456AE"/>
    <w:rsid w:val="00A46D08"/>
    <w:rsid w:val="00A47CB3"/>
    <w:rsid w:val="00A51A79"/>
    <w:rsid w:val="00A53021"/>
    <w:rsid w:val="00A53A2C"/>
    <w:rsid w:val="00A55909"/>
    <w:rsid w:val="00A56417"/>
    <w:rsid w:val="00A57448"/>
    <w:rsid w:val="00A65E47"/>
    <w:rsid w:val="00A66011"/>
    <w:rsid w:val="00A664D0"/>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60C"/>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68D8"/>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3273"/>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276"/>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135"/>
    <w:rsid w:val="00C0539B"/>
    <w:rsid w:val="00C056EE"/>
    <w:rsid w:val="00C05C8D"/>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4EB4"/>
    <w:rsid w:val="00C65FAA"/>
    <w:rsid w:val="00C7317A"/>
    <w:rsid w:val="00C736B2"/>
    <w:rsid w:val="00C74A60"/>
    <w:rsid w:val="00C75C51"/>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01EF"/>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3CD7"/>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192A"/>
    <w:rsid w:val="00DD52DE"/>
    <w:rsid w:val="00DD7107"/>
    <w:rsid w:val="00DE0993"/>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372C"/>
    <w:rsid w:val="00E0432C"/>
    <w:rsid w:val="00E048E5"/>
    <w:rsid w:val="00E061F3"/>
    <w:rsid w:val="00E07B26"/>
    <w:rsid w:val="00E07F21"/>
    <w:rsid w:val="00E13FB6"/>
    <w:rsid w:val="00E1487A"/>
    <w:rsid w:val="00E16DAB"/>
    <w:rsid w:val="00E2006D"/>
    <w:rsid w:val="00E22756"/>
    <w:rsid w:val="00E255E9"/>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084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20F"/>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665A"/>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133645"/>
    <w:rsid w:val="017D4368"/>
    <w:rsid w:val="01813682"/>
    <w:rsid w:val="01914598"/>
    <w:rsid w:val="01946A33"/>
    <w:rsid w:val="01E455E0"/>
    <w:rsid w:val="02166F99"/>
    <w:rsid w:val="02295A44"/>
    <w:rsid w:val="0246768E"/>
    <w:rsid w:val="0296377D"/>
    <w:rsid w:val="02BB4615"/>
    <w:rsid w:val="02F137D4"/>
    <w:rsid w:val="03312716"/>
    <w:rsid w:val="035615FF"/>
    <w:rsid w:val="0365125B"/>
    <w:rsid w:val="03B53620"/>
    <w:rsid w:val="046562FF"/>
    <w:rsid w:val="05107A50"/>
    <w:rsid w:val="051C3731"/>
    <w:rsid w:val="053C5534"/>
    <w:rsid w:val="05503CDB"/>
    <w:rsid w:val="056A79D6"/>
    <w:rsid w:val="05C76B61"/>
    <w:rsid w:val="05E30C72"/>
    <w:rsid w:val="05E941D8"/>
    <w:rsid w:val="06217D3C"/>
    <w:rsid w:val="062B283F"/>
    <w:rsid w:val="06453669"/>
    <w:rsid w:val="06592D04"/>
    <w:rsid w:val="067D7810"/>
    <w:rsid w:val="06D5614F"/>
    <w:rsid w:val="06EE7C13"/>
    <w:rsid w:val="071E3E2A"/>
    <w:rsid w:val="076B1286"/>
    <w:rsid w:val="07BA3BEA"/>
    <w:rsid w:val="07BF40AC"/>
    <w:rsid w:val="081636D9"/>
    <w:rsid w:val="0822404C"/>
    <w:rsid w:val="088B63E0"/>
    <w:rsid w:val="08F37C57"/>
    <w:rsid w:val="09181E6A"/>
    <w:rsid w:val="098A335F"/>
    <w:rsid w:val="0A2211FC"/>
    <w:rsid w:val="0A2B485A"/>
    <w:rsid w:val="0A404077"/>
    <w:rsid w:val="0A736EEB"/>
    <w:rsid w:val="0A832561"/>
    <w:rsid w:val="0A874D1D"/>
    <w:rsid w:val="0B0232EE"/>
    <w:rsid w:val="0B0B5171"/>
    <w:rsid w:val="0B1825C1"/>
    <w:rsid w:val="0B3B522E"/>
    <w:rsid w:val="0B7F78E1"/>
    <w:rsid w:val="0BA81D19"/>
    <w:rsid w:val="0BE110CD"/>
    <w:rsid w:val="0BE35FE6"/>
    <w:rsid w:val="0C297755"/>
    <w:rsid w:val="0C473029"/>
    <w:rsid w:val="0C501B2C"/>
    <w:rsid w:val="0C514BFB"/>
    <w:rsid w:val="0C95406A"/>
    <w:rsid w:val="0D37538B"/>
    <w:rsid w:val="0D396B6B"/>
    <w:rsid w:val="0D5A1E42"/>
    <w:rsid w:val="0D6018AF"/>
    <w:rsid w:val="0D677898"/>
    <w:rsid w:val="0D79598F"/>
    <w:rsid w:val="0D8C499D"/>
    <w:rsid w:val="0D903AB6"/>
    <w:rsid w:val="0DB216C8"/>
    <w:rsid w:val="0DBB6769"/>
    <w:rsid w:val="0DD07B6B"/>
    <w:rsid w:val="0E6C0F63"/>
    <w:rsid w:val="0E7C27A8"/>
    <w:rsid w:val="0F3A00E9"/>
    <w:rsid w:val="0F6058F5"/>
    <w:rsid w:val="0F8129C4"/>
    <w:rsid w:val="0FB25786"/>
    <w:rsid w:val="10093E37"/>
    <w:rsid w:val="102E6181"/>
    <w:rsid w:val="105109E6"/>
    <w:rsid w:val="10950E4C"/>
    <w:rsid w:val="10AF35D4"/>
    <w:rsid w:val="10D325C8"/>
    <w:rsid w:val="10D8581C"/>
    <w:rsid w:val="10F307E9"/>
    <w:rsid w:val="11100D0E"/>
    <w:rsid w:val="115F43F4"/>
    <w:rsid w:val="11A73DD3"/>
    <w:rsid w:val="11DA7E41"/>
    <w:rsid w:val="11E45E13"/>
    <w:rsid w:val="121764F7"/>
    <w:rsid w:val="12595F3E"/>
    <w:rsid w:val="12630ADA"/>
    <w:rsid w:val="12826C3B"/>
    <w:rsid w:val="12AF3C98"/>
    <w:rsid w:val="12B767CB"/>
    <w:rsid w:val="12CF3F6C"/>
    <w:rsid w:val="12D14B85"/>
    <w:rsid w:val="12E2445A"/>
    <w:rsid w:val="130F279B"/>
    <w:rsid w:val="13241D62"/>
    <w:rsid w:val="13651CEC"/>
    <w:rsid w:val="136C253A"/>
    <w:rsid w:val="13720901"/>
    <w:rsid w:val="137F4E7B"/>
    <w:rsid w:val="13EC7FA0"/>
    <w:rsid w:val="14244D98"/>
    <w:rsid w:val="143A728D"/>
    <w:rsid w:val="15033247"/>
    <w:rsid w:val="15040B08"/>
    <w:rsid w:val="15101B33"/>
    <w:rsid w:val="15376753"/>
    <w:rsid w:val="1552397E"/>
    <w:rsid w:val="15CA18B2"/>
    <w:rsid w:val="15D83A93"/>
    <w:rsid w:val="15E73A99"/>
    <w:rsid w:val="16811F84"/>
    <w:rsid w:val="169802DE"/>
    <w:rsid w:val="169B1705"/>
    <w:rsid w:val="169E17A5"/>
    <w:rsid w:val="16C4089B"/>
    <w:rsid w:val="16DF1879"/>
    <w:rsid w:val="16F35E12"/>
    <w:rsid w:val="17296213"/>
    <w:rsid w:val="174E52A5"/>
    <w:rsid w:val="17563F8E"/>
    <w:rsid w:val="17C52F50"/>
    <w:rsid w:val="17DF76F8"/>
    <w:rsid w:val="18650639"/>
    <w:rsid w:val="18684ABA"/>
    <w:rsid w:val="18863C52"/>
    <w:rsid w:val="18FE4776"/>
    <w:rsid w:val="18FE7701"/>
    <w:rsid w:val="191C7D0E"/>
    <w:rsid w:val="192047A8"/>
    <w:rsid w:val="195E2DFC"/>
    <w:rsid w:val="1992366E"/>
    <w:rsid w:val="19F86F5F"/>
    <w:rsid w:val="1A080F10"/>
    <w:rsid w:val="1A1723BD"/>
    <w:rsid w:val="1A1D1757"/>
    <w:rsid w:val="1A3A2665"/>
    <w:rsid w:val="1A941AAF"/>
    <w:rsid w:val="1A9B3CAC"/>
    <w:rsid w:val="1AA3651D"/>
    <w:rsid w:val="1AEC0189"/>
    <w:rsid w:val="1B3E21AC"/>
    <w:rsid w:val="1B463B17"/>
    <w:rsid w:val="1B666430"/>
    <w:rsid w:val="1BBE779D"/>
    <w:rsid w:val="1BC21F64"/>
    <w:rsid w:val="1BCA02A6"/>
    <w:rsid w:val="1BF26A1D"/>
    <w:rsid w:val="1C017BCE"/>
    <w:rsid w:val="1C737E61"/>
    <w:rsid w:val="1C8C35FB"/>
    <w:rsid w:val="1CE36B90"/>
    <w:rsid w:val="1CF61F83"/>
    <w:rsid w:val="1CF95239"/>
    <w:rsid w:val="1D082E0D"/>
    <w:rsid w:val="1D157C7A"/>
    <w:rsid w:val="1D9B4032"/>
    <w:rsid w:val="1E74516F"/>
    <w:rsid w:val="1E7758AA"/>
    <w:rsid w:val="1E957916"/>
    <w:rsid w:val="1EEB33A2"/>
    <w:rsid w:val="1EF940F9"/>
    <w:rsid w:val="1F0862C8"/>
    <w:rsid w:val="1F0D30A3"/>
    <w:rsid w:val="1F1E66D8"/>
    <w:rsid w:val="1F650E57"/>
    <w:rsid w:val="1F717A08"/>
    <w:rsid w:val="1F7D3D77"/>
    <w:rsid w:val="1FA97E1F"/>
    <w:rsid w:val="1FED6F81"/>
    <w:rsid w:val="20105A13"/>
    <w:rsid w:val="205D00B4"/>
    <w:rsid w:val="20661212"/>
    <w:rsid w:val="206A62CB"/>
    <w:rsid w:val="20A3661E"/>
    <w:rsid w:val="20C71CDD"/>
    <w:rsid w:val="20DA0E7B"/>
    <w:rsid w:val="20FD203C"/>
    <w:rsid w:val="21215C9A"/>
    <w:rsid w:val="21377129"/>
    <w:rsid w:val="21733676"/>
    <w:rsid w:val="218C4752"/>
    <w:rsid w:val="21C038E5"/>
    <w:rsid w:val="21F255AE"/>
    <w:rsid w:val="222760E0"/>
    <w:rsid w:val="222A3A1D"/>
    <w:rsid w:val="228B154E"/>
    <w:rsid w:val="22A733BC"/>
    <w:rsid w:val="22C14EFA"/>
    <w:rsid w:val="22F6610F"/>
    <w:rsid w:val="22F9490D"/>
    <w:rsid w:val="234B50E3"/>
    <w:rsid w:val="23543B9D"/>
    <w:rsid w:val="239D2E0B"/>
    <w:rsid w:val="23AF25C7"/>
    <w:rsid w:val="23CC48C0"/>
    <w:rsid w:val="23F90B8D"/>
    <w:rsid w:val="240F082C"/>
    <w:rsid w:val="24127AB1"/>
    <w:rsid w:val="241B04F6"/>
    <w:rsid w:val="245A45AE"/>
    <w:rsid w:val="24B07F63"/>
    <w:rsid w:val="24BF3E8B"/>
    <w:rsid w:val="24C7508A"/>
    <w:rsid w:val="24DF66ED"/>
    <w:rsid w:val="24F56189"/>
    <w:rsid w:val="254B1FF4"/>
    <w:rsid w:val="255D78D9"/>
    <w:rsid w:val="25622FA4"/>
    <w:rsid w:val="25683AEC"/>
    <w:rsid w:val="25701CBF"/>
    <w:rsid w:val="25BA5CBE"/>
    <w:rsid w:val="25D2677D"/>
    <w:rsid w:val="25E96B58"/>
    <w:rsid w:val="2694304E"/>
    <w:rsid w:val="269F36B2"/>
    <w:rsid w:val="26C13F50"/>
    <w:rsid w:val="26F34C30"/>
    <w:rsid w:val="27026407"/>
    <w:rsid w:val="278513C5"/>
    <w:rsid w:val="27B30DDE"/>
    <w:rsid w:val="28411E01"/>
    <w:rsid w:val="284561AD"/>
    <w:rsid w:val="28A071A4"/>
    <w:rsid w:val="28F52FB5"/>
    <w:rsid w:val="29150F7D"/>
    <w:rsid w:val="291901E0"/>
    <w:rsid w:val="2932284F"/>
    <w:rsid w:val="29444DF8"/>
    <w:rsid w:val="295B0AAE"/>
    <w:rsid w:val="296B121F"/>
    <w:rsid w:val="29AD5297"/>
    <w:rsid w:val="29BD06AD"/>
    <w:rsid w:val="29BD7A6E"/>
    <w:rsid w:val="29E55F44"/>
    <w:rsid w:val="29EB475B"/>
    <w:rsid w:val="2A9B30C0"/>
    <w:rsid w:val="2AAB15A3"/>
    <w:rsid w:val="2AC64860"/>
    <w:rsid w:val="2B467BAD"/>
    <w:rsid w:val="2B4D6250"/>
    <w:rsid w:val="2B5234B6"/>
    <w:rsid w:val="2B92096C"/>
    <w:rsid w:val="2B9D0947"/>
    <w:rsid w:val="2BA51BCF"/>
    <w:rsid w:val="2BB9081C"/>
    <w:rsid w:val="2BB96CF1"/>
    <w:rsid w:val="2BBB7AEE"/>
    <w:rsid w:val="2BF2410E"/>
    <w:rsid w:val="2BFC46CB"/>
    <w:rsid w:val="2C636B26"/>
    <w:rsid w:val="2C7F23E9"/>
    <w:rsid w:val="2C8A7054"/>
    <w:rsid w:val="2C9C1D8E"/>
    <w:rsid w:val="2D077227"/>
    <w:rsid w:val="2D5842AC"/>
    <w:rsid w:val="2D5865B8"/>
    <w:rsid w:val="2D97032C"/>
    <w:rsid w:val="2DA34585"/>
    <w:rsid w:val="2DEC045F"/>
    <w:rsid w:val="2E5107EB"/>
    <w:rsid w:val="2E647D44"/>
    <w:rsid w:val="2E6837A8"/>
    <w:rsid w:val="2EA62E8E"/>
    <w:rsid w:val="2EC216B4"/>
    <w:rsid w:val="2ED65FE7"/>
    <w:rsid w:val="2F185226"/>
    <w:rsid w:val="2F25585B"/>
    <w:rsid w:val="2F2B3E6C"/>
    <w:rsid w:val="2F3C229A"/>
    <w:rsid w:val="2F4C6088"/>
    <w:rsid w:val="2F9A6806"/>
    <w:rsid w:val="2F9A74C7"/>
    <w:rsid w:val="2FDC6090"/>
    <w:rsid w:val="2FF54A82"/>
    <w:rsid w:val="30015080"/>
    <w:rsid w:val="30042259"/>
    <w:rsid w:val="30494BB5"/>
    <w:rsid w:val="304A39DE"/>
    <w:rsid w:val="305675E7"/>
    <w:rsid w:val="30733591"/>
    <w:rsid w:val="30EB3836"/>
    <w:rsid w:val="310B0FA0"/>
    <w:rsid w:val="3112200A"/>
    <w:rsid w:val="316047DF"/>
    <w:rsid w:val="31942964"/>
    <w:rsid w:val="31C51E84"/>
    <w:rsid w:val="31E17BC6"/>
    <w:rsid w:val="320F1C65"/>
    <w:rsid w:val="3223357F"/>
    <w:rsid w:val="326C6D93"/>
    <w:rsid w:val="32961437"/>
    <w:rsid w:val="32B1627B"/>
    <w:rsid w:val="33305C13"/>
    <w:rsid w:val="33437BE8"/>
    <w:rsid w:val="334B3F6D"/>
    <w:rsid w:val="337E3FFB"/>
    <w:rsid w:val="339E68B4"/>
    <w:rsid w:val="33B636DE"/>
    <w:rsid w:val="33B8008B"/>
    <w:rsid w:val="33BD4250"/>
    <w:rsid w:val="33ED5276"/>
    <w:rsid w:val="348C67DA"/>
    <w:rsid w:val="34A87069"/>
    <w:rsid w:val="34AB4C4F"/>
    <w:rsid w:val="34CA23CA"/>
    <w:rsid w:val="34FE11F5"/>
    <w:rsid w:val="350318A9"/>
    <w:rsid w:val="35056489"/>
    <w:rsid w:val="3518676F"/>
    <w:rsid w:val="35330C9E"/>
    <w:rsid w:val="357D4A8A"/>
    <w:rsid w:val="35BD474E"/>
    <w:rsid w:val="35C95316"/>
    <w:rsid w:val="35DB36F0"/>
    <w:rsid w:val="362F0231"/>
    <w:rsid w:val="36575EF3"/>
    <w:rsid w:val="36AA658F"/>
    <w:rsid w:val="36F2329E"/>
    <w:rsid w:val="36F323C4"/>
    <w:rsid w:val="370428D3"/>
    <w:rsid w:val="373A66D4"/>
    <w:rsid w:val="37490F7E"/>
    <w:rsid w:val="375132DB"/>
    <w:rsid w:val="3775113E"/>
    <w:rsid w:val="37910CA7"/>
    <w:rsid w:val="3795046C"/>
    <w:rsid w:val="37A81DBB"/>
    <w:rsid w:val="37AA49EC"/>
    <w:rsid w:val="37AF0717"/>
    <w:rsid w:val="37C2533F"/>
    <w:rsid w:val="37DB7E6F"/>
    <w:rsid w:val="380D6141"/>
    <w:rsid w:val="381C4B3D"/>
    <w:rsid w:val="386418F5"/>
    <w:rsid w:val="386468CE"/>
    <w:rsid w:val="38915912"/>
    <w:rsid w:val="38AE17A3"/>
    <w:rsid w:val="38FA7F2F"/>
    <w:rsid w:val="39520077"/>
    <w:rsid w:val="396A3AC2"/>
    <w:rsid w:val="397E0A07"/>
    <w:rsid w:val="399929EF"/>
    <w:rsid w:val="39F64CD0"/>
    <w:rsid w:val="3A1C1D24"/>
    <w:rsid w:val="3A7633E7"/>
    <w:rsid w:val="3AB755C2"/>
    <w:rsid w:val="3B052877"/>
    <w:rsid w:val="3B6C7053"/>
    <w:rsid w:val="3BE23DE8"/>
    <w:rsid w:val="3BF66B62"/>
    <w:rsid w:val="3C113874"/>
    <w:rsid w:val="3C333E11"/>
    <w:rsid w:val="3C3E149F"/>
    <w:rsid w:val="3C7A163B"/>
    <w:rsid w:val="3C941268"/>
    <w:rsid w:val="3D042BB8"/>
    <w:rsid w:val="3D216F51"/>
    <w:rsid w:val="3D7645F3"/>
    <w:rsid w:val="3D886979"/>
    <w:rsid w:val="3DBA3E7C"/>
    <w:rsid w:val="3DFE0568"/>
    <w:rsid w:val="3E491420"/>
    <w:rsid w:val="3E7A3CDD"/>
    <w:rsid w:val="3E897AB1"/>
    <w:rsid w:val="3EA56234"/>
    <w:rsid w:val="3EB2119A"/>
    <w:rsid w:val="3EB8056A"/>
    <w:rsid w:val="3EFE1679"/>
    <w:rsid w:val="3F1F4FCE"/>
    <w:rsid w:val="3F2606ED"/>
    <w:rsid w:val="3F475AA4"/>
    <w:rsid w:val="3F4B3E20"/>
    <w:rsid w:val="3F970BF0"/>
    <w:rsid w:val="3FAD5213"/>
    <w:rsid w:val="3FDE1482"/>
    <w:rsid w:val="3FEB261B"/>
    <w:rsid w:val="406B5905"/>
    <w:rsid w:val="40714BA7"/>
    <w:rsid w:val="4099507F"/>
    <w:rsid w:val="40F9279D"/>
    <w:rsid w:val="4108518D"/>
    <w:rsid w:val="411D494B"/>
    <w:rsid w:val="415529A8"/>
    <w:rsid w:val="415A2C36"/>
    <w:rsid w:val="41E127F6"/>
    <w:rsid w:val="41EA3BE1"/>
    <w:rsid w:val="41FB0AEB"/>
    <w:rsid w:val="42A5142B"/>
    <w:rsid w:val="42D26646"/>
    <w:rsid w:val="42D7129A"/>
    <w:rsid w:val="42DA5CF4"/>
    <w:rsid w:val="431418B5"/>
    <w:rsid w:val="4357140F"/>
    <w:rsid w:val="43B94CEA"/>
    <w:rsid w:val="43D00661"/>
    <w:rsid w:val="43DA69F7"/>
    <w:rsid w:val="444C50DE"/>
    <w:rsid w:val="44571534"/>
    <w:rsid w:val="44FC53A7"/>
    <w:rsid w:val="4516477F"/>
    <w:rsid w:val="452A37DB"/>
    <w:rsid w:val="453C7A2C"/>
    <w:rsid w:val="45814776"/>
    <w:rsid w:val="45B41F42"/>
    <w:rsid w:val="46143F72"/>
    <w:rsid w:val="4666656A"/>
    <w:rsid w:val="46BD4EB8"/>
    <w:rsid w:val="46EB4DF8"/>
    <w:rsid w:val="470E5B5B"/>
    <w:rsid w:val="474D068A"/>
    <w:rsid w:val="47550C36"/>
    <w:rsid w:val="47D1358B"/>
    <w:rsid w:val="47D35855"/>
    <w:rsid w:val="480824BD"/>
    <w:rsid w:val="48240F36"/>
    <w:rsid w:val="48542B41"/>
    <w:rsid w:val="4875142C"/>
    <w:rsid w:val="48C90640"/>
    <w:rsid w:val="48C9671E"/>
    <w:rsid w:val="49130BEC"/>
    <w:rsid w:val="49566652"/>
    <w:rsid w:val="49827A93"/>
    <w:rsid w:val="49873168"/>
    <w:rsid w:val="498C4B2D"/>
    <w:rsid w:val="49C845A0"/>
    <w:rsid w:val="49F05A71"/>
    <w:rsid w:val="4A16716B"/>
    <w:rsid w:val="4A1C2755"/>
    <w:rsid w:val="4A37453B"/>
    <w:rsid w:val="4A3C5304"/>
    <w:rsid w:val="4A40754B"/>
    <w:rsid w:val="4A4B6E08"/>
    <w:rsid w:val="4A780C0F"/>
    <w:rsid w:val="4A9152B0"/>
    <w:rsid w:val="4AD11774"/>
    <w:rsid w:val="4AD75B47"/>
    <w:rsid w:val="4AFE7A48"/>
    <w:rsid w:val="4B042CC3"/>
    <w:rsid w:val="4B0A411F"/>
    <w:rsid w:val="4B0C3D2A"/>
    <w:rsid w:val="4B146A14"/>
    <w:rsid w:val="4B231B0F"/>
    <w:rsid w:val="4B2D3399"/>
    <w:rsid w:val="4B677681"/>
    <w:rsid w:val="4B9B5D4A"/>
    <w:rsid w:val="4BAC2F83"/>
    <w:rsid w:val="4BDE5EE3"/>
    <w:rsid w:val="4C017F30"/>
    <w:rsid w:val="4C214E9E"/>
    <w:rsid w:val="4C971CC6"/>
    <w:rsid w:val="4C9C27CE"/>
    <w:rsid w:val="4C9D26B8"/>
    <w:rsid w:val="4C9F5B11"/>
    <w:rsid w:val="4D93750E"/>
    <w:rsid w:val="4D975C62"/>
    <w:rsid w:val="4E1464F3"/>
    <w:rsid w:val="4E784953"/>
    <w:rsid w:val="4EED213E"/>
    <w:rsid w:val="4FAD3EDE"/>
    <w:rsid w:val="4FD51626"/>
    <w:rsid w:val="4FEE66EE"/>
    <w:rsid w:val="50002C54"/>
    <w:rsid w:val="50061B91"/>
    <w:rsid w:val="50270759"/>
    <w:rsid w:val="50D25EFB"/>
    <w:rsid w:val="512A7139"/>
    <w:rsid w:val="513F4A22"/>
    <w:rsid w:val="5141724D"/>
    <w:rsid w:val="514221E9"/>
    <w:rsid w:val="51884A9F"/>
    <w:rsid w:val="51BF4CFB"/>
    <w:rsid w:val="51CA51A3"/>
    <w:rsid w:val="52254B58"/>
    <w:rsid w:val="52316E46"/>
    <w:rsid w:val="52DD554B"/>
    <w:rsid w:val="52E57FB1"/>
    <w:rsid w:val="52EE3F32"/>
    <w:rsid w:val="531E58E8"/>
    <w:rsid w:val="533158AB"/>
    <w:rsid w:val="537C41E5"/>
    <w:rsid w:val="53A92F79"/>
    <w:rsid w:val="5417797E"/>
    <w:rsid w:val="549127A3"/>
    <w:rsid w:val="549C0F2F"/>
    <w:rsid w:val="54CD1A4C"/>
    <w:rsid w:val="54E25BC1"/>
    <w:rsid w:val="55393464"/>
    <w:rsid w:val="55AD1688"/>
    <w:rsid w:val="55C6627E"/>
    <w:rsid w:val="55D76BF5"/>
    <w:rsid w:val="562E0043"/>
    <w:rsid w:val="566B5531"/>
    <w:rsid w:val="567F3A22"/>
    <w:rsid w:val="56CA6A0D"/>
    <w:rsid w:val="571451E3"/>
    <w:rsid w:val="57705612"/>
    <w:rsid w:val="577D4F85"/>
    <w:rsid w:val="57D024EC"/>
    <w:rsid w:val="581461FA"/>
    <w:rsid w:val="584F6259"/>
    <w:rsid w:val="58506052"/>
    <w:rsid w:val="586174CF"/>
    <w:rsid w:val="58C73A59"/>
    <w:rsid w:val="59781D59"/>
    <w:rsid w:val="59A5352D"/>
    <w:rsid w:val="59AA0ACD"/>
    <w:rsid w:val="59B0214D"/>
    <w:rsid w:val="59BE1DB0"/>
    <w:rsid w:val="59E55820"/>
    <w:rsid w:val="5A09483E"/>
    <w:rsid w:val="5A2661E6"/>
    <w:rsid w:val="5A2A5610"/>
    <w:rsid w:val="5A3C7B41"/>
    <w:rsid w:val="5A6F1484"/>
    <w:rsid w:val="5AA65777"/>
    <w:rsid w:val="5AD10ABE"/>
    <w:rsid w:val="5AE468D4"/>
    <w:rsid w:val="5AF15C45"/>
    <w:rsid w:val="5B42795C"/>
    <w:rsid w:val="5BCD2143"/>
    <w:rsid w:val="5BE33F3F"/>
    <w:rsid w:val="5BE62563"/>
    <w:rsid w:val="5BE921D0"/>
    <w:rsid w:val="5BEC43B1"/>
    <w:rsid w:val="5BEF35FC"/>
    <w:rsid w:val="5C0A2F94"/>
    <w:rsid w:val="5C0C11EF"/>
    <w:rsid w:val="5C0F3456"/>
    <w:rsid w:val="5C855BE8"/>
    <w:rsid w:val="5CB82EA4"/>
    <w:rsid w:val="5CDB5111"/>
    <w:rsid w:val="5D4922D7"/>
    <w:rsid w:val="5D4F0259"/>
    <w:rsid w:val="5D771D30"/>
    <w:rsid w:val="5D973100"/>
    <w:rsid w:val="5DD15290"/>
    <w:rsid w:val="5DE14844"/>
    <w:rsid w:val="5E477529"/>
    <w:rsid w:val="5F232641"/>
    <w:rsid w:val="5F4E2E05"/>
    <w:rsid w:val="5FAE1852"/>
    <w:rsid w:val="5FC14F1C"/>
    <w:rsid w:val="5FC31F32"/>
    <w:rsid w:val="60141D45"/>
    <w:rsid w:val="6035762E"/>
    <w:rsid w:val="60417ADB"/>
    <w:rsid w:val="604A3AE8"/>
    <w:rsid w:val="607B07AC"/>
    <w:rsid w:val="60A00656"/>
    <w:rsid w:val="611356F0"/>
    <w:rsid w:val="61630EFB"/>
    <w:rsid w:val="620736E2"/>
    <w:rsid w:val="62130CAE"/>
    <w:rsid w:val="624A7950"/>
    <w:rsid w:val="625919BC"/>
    <w:rsid w:val="62621620"/>
    <w:rsid w:val="62623F59"/>
    <w:rsid w:val="627D1648"/>
    <w:rsid w:val="62CF7586"/>
    <w:rsid w:val="62FC1956"/>
    <w:rsid w:val="63343EEA"/>
    <w:rsid w:val="633A71B0"/>
    <w:rsid w:val="63736F5F"/>
    <w:rsid w:val="63DB732D"/>
    <w:rsid w:val="64041887"/>
    <w:rsid w:val="64335F0D"/>
    <w:rsid w:val="643A3E9E"/>
    <w:rsid w:val="64463269"/>
    <w:rsid w:val="64574939"/>
    <w:rsid w:val="645B1598"/>
    <w:rsid w:val="645F1F90"/>
    <w:rsid w:val="64603181"/>
    <w:rsid w:val="64826A80"/>
    <w:rsid w:val="64895DD4"/>
    <w:rsid w:val="649810AE"/>
    <w:rsid w:val="64A80B0E"/>
    <w:rsid w:val="64CC1D19"/>
    <w:rsid w:val="64CC5155"/>
    <w:rsid w:val="64D01364"/>
    <w:rsid w:val="65492F86"/>
    <w:rsid w:val="655341F0"/>
    <w:rsid w:val="65544F6D"/>
    <w:rsid w:val="656647AC"/>
    <w:rsid w:val="65A87FAF"/>
    <w:rsid w:val="65C92E4B"/>
    <w:rsid w:val="6609364A"/>
    <w:rsid w:val="6613635D"/>
    <w:rsid w:val="6649349B"/>
    <w:rsid w:val="6722241D"/>
    <w:rsid w:val="678E2859"/>
    <w:rsid w:val="67FB1C20"/>
    <w:rsid w:val="681B430C"/>
    <w:rsid w:val="68281E23"/>
    <w:rsid w:val="68706475"/>
    <w:rsid w:val="68A62CBA"/>
    <w:rsid w:val="68BD6F8F"/>
    <w:rsid w:val="68E1670B"/>
    <w:rsid w:val="68F72A58"/>
    <w:rsid w:val="690E414E"/>
    <w:rsid w:val="690E44CB"/>
    <w:rsid w:val="69461F71"/>
    <w:rsid w:val="698A048D"/>
    <w:rsid w:val="698F7882"/>
    <w:rsid w:val="69BC0E96"/>
    <w:rsid w:val="69C2118F"/>
    <w:rsid w:val="69D078F7"/>
    <w:rsid w:val="6A06533F"/>
    <w:rsid w:val="6A41092A"/>
    <w:rsid w:val="6A44117C"/>
    <w:rsid w:val="6A5C4E20"/>
    <w:rsid w:val="6A6A1B77"/>
    <w:rsid w:val="6A6C5F70"/>
    <w:rsid w:val="6A9A6878"/>
    <w:rsid w:val="6AC31419"/>
    <w:rsid w:val="6AE173BB"/>
    <w:rsid w:val="6B4247ED"/>
    <w:rsid w:val="6B451A0C"/>
    <w:rsid w:val="6B4627A5"/>
    <w:rsid w:val="6B574C81"/>
    <w:rsid w:val="6B5F37EC"/>
    <w:rsid w:val="6B785B3D"/>
    <w:rsid w:val="6B9042EB"/>
    <w:rsid w:val="6BCA3FD0"/>
    <w:rsid w:val="6BE102D0"/>
    <w:rsid w:val="6BF71B94"/>
    <w:rsid w:val="6C4309A9"/>
    <w:rsid w:val="6C6818BD"/>
    <w:rsid w:val="6CDB520D"/>
    <w:rsid w:val="6CDF3D7B"/>
    <w:rsid w:val="6D275E90"/>
    <w:rsid w:val="6DC21EAC"/>
    <w:rsid w:val="6DDF207F"/>
    <w:rsid w:val="6DEB7B40"/>
    <w:rsid w:val="6E1F24DE"/>
    <w:rsid w:val="6E45247C"/>
    <w:rsid w:val="6E5D5E40"/>
    <w:rsid w:val="6E6F33D3"/>
    <w:rsid w:val="6E8329A2"/>
    <w:rsid w:val="6E9C32F9"/>
    <w:rsid w:val="6E9C37F3"/>
    <w:rsid w:val="6EBE76B8"/>
    <w:rsid w:val="6EE14146"/>
    <w:rsid w:val="6EF379F1"/>
    <w:rsid w:val="6EF5256B"/>
    <w:rsid w:val="6F455F9D"/>
    <w:rsid w:val="6F4F6AA3"/>
    <w:rsid w:val="6F5172AB"/>
    <w:rsid w:val="6F5B46CA"/>
    <w:rsid w:val="6F607BC9"/>
    <w:rsid w:val="6F9D6F71"/>
    <w:rsid w:val="6FD43C5F"/>
    <w:rsid w:val="6FEE7404"/>
    <w:rsid w:val="700369C0"/>
    <w:rsid w:val="700B17BD"/>
    <w:rsid w:val="7085135D"/>
    <w:rsid w:val="70871327"/>
    <w:rsid w:val="70B60963"/>
    <w:rsid w:val="70B62197"/>
    <w:rsid w:val="70E10B12"/>
    <w:rsid w:val="70F33624"/>
    <w:rsid w:val="711019F0"/>
    <w:rsid w:val="713C6128"/>
    <w:rsid w:val="71661719"/>
    <w:rsid w:val="71B87806"/>
    <w:rsid w:val="71DC3008"/>
    <w:rsid w:val="72502070"/>
    <w:rsid w:val="72656DD3"/>
    <w:rsid w:val="726D5BC5"/>
    <w:rsid w:val="72D16458"/>
    <w:rsid w:val="732B1AD2"/>
    <w:rsid w:val="733F0D8F"/>
    <w:rsid w:val="738552C4"/>
    <w:rsid w:val="73BE570A"/>
    <w:rsid w:val="73C072E4"/>
    <w:rsid w:val="742626EE"/>
    <w:rsid w:val="748A7722"/>
    <w:rsid w:val="74E36E25"/>
    <w:rsid w:val="75007B1F"/>
    <w:rsid w:val="75047F67"/>
    <w:rsid w:val="75BF34E0"/>
    <w:rsid w:val="75CA4F73"/>
    <w:rsid w:val="75F35E7C"/>
    <w:rsid w:val="75F532DE"/>
    <w:rsid w:val="76240F46"/>
    <w:rsid w:val="768D257E"/>
    <w:rsid w:val="76AE13E1"/>
    <w:rsid w:val="76CC764E"/>
    <w:rsid w:val="76D850A0"/>
    <w:rsid w:val="7739709A"/>
    <w:rsid w:val="777A429F"/>
    <w:rsid w:val="779D5AC5"/>
    <w:rsid w:val="77E418BC"/>
    <w:rsid w:val="78280B41"/>
    <w:rsid w:val="782A180D"/>
    <w:rsid w:val="78630D1F"/>
    <w:rsid w:val="7868156E"/>
    <w:rsid w:val="787A3F90"/>
    <w:rsid w:val="78862114"/>
    <w:rsid w:val="78964C3E"/>
    <w:rsid w:val="78B10414"/>
    <w:rsid w:val="78E15B7F"/>
    <w:rsid w:val="7987219A"/>
    <w:rsid w:val="79CE38C9"/>
    <w:rsid w:val="7A3C7B91"/>
    <w:rsid w:val="7A7259C5"/>
    <w:rsid w:val="7AA34A09"/>
    <w:rsid w:val="7AFD5FDC"/>
    <w:rsid w:val="7C4B6F3D"/>
    <w:rsid w:val="7C8E5650"/>
    <w:rsid w:val="7C9B019A"/>
    <w:rsid w:val="7CAC7093"/>
    <w:rsid w:val="7CDB7057"/>
    <w:rsid w:val="7CE74579"/>
    <w:rsid w:val="7D0E4BEE"/>
    <w:rsid w:val="7D1D63E9"/>
    <w:rsid w:val="7D740A5A"/>
    <w:rsid w:val="7DC23DF4"/>
    <w:rsid w:val="7DD015E4"/>
    <w:rsid w:val="7DD42C84"/>
    <w:rsid w:val="7E040B7A"/>
    <w:rsid w:val="7E1C29A8"/>
    <w:rsid w:val="7E690B9D"/>
    <w:rsid w:val="7E740E33"/>
    <w:rsid w:val="7E7F0644"/>
    <w:rsid w:val="7E845E2E"/>
    <w:rsid w:val="7E9275E4"/>
    <w:rsid w:val="7EC0035D"/>
    <w:rsid w:val="7ECC095E"/>
    <w:rsid w:val="7EE72EE3"/>
    <w:rsid w:val="7F015D9E"/>
    <w:rsid w:val="7FCE4C47"/>
    <w:rsid w:val="7FDD1A10"/>
    <w:rsid w:val="7FE96180"/>
    <w:rsid w:val="7FF56FD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51"/>
    <w:qFormat/>
    <w:uiPriority w:val="0"/>
    <w:pPr>
      <w:ind w:firstLine="420" w:firstLineChars="200"/>
    </w:pPr>
  </w:style>
  <w:style w:type="paragraph" w:styleId="8">
    <w:name w:val="annotation text"/>
    <w:basedOn w:val="1"/>
    <w:link w:val="33"/>
    <w:qFormat/>
    <w:uiPriority w:val="0"/>
    <w:pPr>
      <w:jc w:val="left"/>
    </w:pPr>
    <w:rPr>
      <w:sz w:val="18"/>
      <w:szCs w:val="20"/>
    </w:rPr>
  </w:style>
  <w:style w:type="paragraph" w:styleId="9">
    <w:name w:val="Body Text"/>
    <w:basedOn w:val="1"/>
    <w:next w:val="1"/>
    <w:qFormat/>
    <w:uiPriority w:val="0"/>
    <w:pPr>
      <w:spacing w:after="120"/>
    </w:pPr>
  </w:style>
  <w:style w:type="paragraph" w:styleId="10">
    <w:name w:val="Body Text Indent"/>
    <w:basedOn w:val="1"/>
    <w:link w:val="37"/>
    <w:qFormat/>
    <w:uiPriority w:val="0"/>
    <w:pPr>
      <w:ind w:firstLine="630"/>
    </w:pPr>
    <w:rPr>
      <w:sz w:val="32"/>
      <w:szCs w:val="20"/>
    </w:rPr>
  </w:style>
  <w:style w:type="paragraph" w:styleId="11">
    <w:name w:val="toc 3"/>
    <w:basedOn w:val="1"/>
    <w:next w:val="1"/>
    <w:qFormat/>
    <w:uiPriority w:val="0"/>
    <w:pPr>
      <w:ind w:left="840" w:leftChars="400"/>
    </w:pPr>
  </w:style>
  <w:style w:type="paragraph" w:styleId="12">
    <w:name w:val="Plain Text"/>
    <w:basedOn w:val="1"/>
    <w:link w:val="50"/>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sz w:val="18"/>
      <w:szCs w:val="20"/>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9">
    <w:name w:val="Body Text Indent 3"/>
    <w:basedOn w:val="1"/>
    <w:link w:val="48"/>
    <w:qFormat/>
    <w:uiPriority w:val="0"/>
    <w:pPr>
      <w:spacing w:after="120"/>
      <w:ind w:left="420" w:leftChars="200"/>
    </w:pPr>
    <w:rPr>
      <w:sz w:val="16"/>
      <w:szCs w:val="16"/>
    </w:rPr>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annotation subject"/>
    <w:basedOn w:val="8"/>
    <w:next w:val="8"/>
    <w:link w:val="32"/>
    <w:qFormat/>
    <w:uiPriority w:val="0"/>
    <w:rPr>
      <w:b/>
      <w:bCs/>
      <w:sz w:val="21"/>
      <w:szCs w:val="24"/>
    </w:rPr>
  </w:style>
  <w:style w:type="paragraph" w:styleId="23">
    <w:name w:val="Body Text First Indent"/>
    <w:basedOn w:val="9"/>
    <w:unhideWhenUsed/>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qFormat/>
    <w:uiPriority w:val="0"/>
    <w:rPr>
      <w:color w:val="000000"/>
      <w:sz w:val="18"/>
      <w:szCs w:val="18"/>
      <w:u w:val="none"/>
    </w:rPr>
  </w:style>
  <w:style w:type="character" w:styleId="29">
    <w:name w:val="Hyperlink"/>
    <w:basedOn w:val="26"/>
    <w:qFormat/>
    <w:uiPriority w:val="0"/>
    <w:rPr>
      <w:color w:val="000000"/>
      <w:sz w:val="18"/>
      <w:szCs w:val="18"/>
      <w:u w:val="none"/>
    </w:rPr>
  </w:style>
  <w:style w:type="character" w:styleId="30">
    <w:name w:val="annotation reference"/>
    <w:basedOn w:val="26"/>
    <w:qFormat/>
    <w:uiPriority w:val="0"/>
    <w:rPr>
      <w:sz w:val="21"/>
      <w:szCs w:val="21"/>
    </w:rPr>
  </w:style>
  <w:style w:type="character" w:customStyle="1" w:styleId="31">
    <w:name w:val="批注文字 Char1"/>
    <w:qFormat/>
    <w:uiPriority w:val="0"/>
    <w:rPr>
      <w:kern w:val="2"/>
      <w:sz w:val="18"/>
      <w:lang w:bidi="ar-SA"/>
    </w:rPr>
  </w:style>
  <w:style w:type="character" w:customStyle="1" w:styleId="32">
    <w:name w:val="批注主题字符"/>
    <w:basedOn w:val="33"/>
    <w:link w:val="22"/>
    <w:qFormat/>
    <w:uiPriority w:val="0"/>
    <w:rPr>
      <w:b/>
      <w:bCs/>
      <w:kern w:val="2"/>
      <w:sz w:val="21"/>
      <w:szCs w:val="24"/>
      <w:lang w:bidi="ar-SA"/>
    </w:rPr>
  </w:style>
  <w:style w:type="character" w:customStyle="1" w:styleId="33">
    <w:name w:val="批注文字字符"/>
    <w:link w:val="8"/>
    <w:qFormat/>
    <w:uiPriority w:val="0"/>
    <w:rPr>
      <w:kern w:val="2"/>
      <w:sz w:val="18"/>
      <w:lang w:bidi="ar-SA"/>
    </w:rPr>
  </w:style>
  <w:style w:type="character" w:customStyle="1" w:styleId="34">
    <w:name w:val="jbox-icon-none"/>
    <w:basedOn w:val="26"/>
    <w:qFormat/>
    <w:uiPriority w:val="0"/>
    <w:rPr>
      <w:vanish/>
    </w:rPr>
  </w:style>
  <w:style w:type="character" w:customStyle="1" w:styleId="35">
    <w:name w:val="列出段落字符"/>
    <w:link w:val="36"/>
    <w:qFormat/>
    <w:uiPriority w:val="0"/>
    <w:rPr>
      <w:rFonts w:eastAsia="宋体"/>
      <w:kern w:val="2"/>
      <w:sz w:val="21"/>
      <w:szCs w:val="24"/>
      <w:lang w:val="en-US" w:eastAsia="zh-CN" w:bidi="ar-SA"/>
    </w:rPr>
  </w:style>
  <w:style w:type="paragraph" w:styleId="36">
    <w:name w:val="List Paragraph"/>
    <w:basedOn w:val="1"/>
    <w:link w:val="35"/>
    <w:qFormat/>
    <w:uiPriority w:val="0"/>
    <w:pPr>
      <w:ind w:firstLine="420" w:firstLineChars="200"/>
    </w:pPr>
  </w:style>
  <w:style w:type="character" w:customStyle="1" w:styleId="37">
    <w:name w:val="正文文本缩进字符"/>
    <w:link w:val="10"/>
    <w:qFormat/>
    <w:uiPriority w:val="0"/>
    <w:rPr>
      <w:rFonts w:eastAsia="宋体"/>
      <w:kern w:val="2"/>
      <w:sz w:val="32"/>
      <w:lang w:val="en-US" w:eastAsia="zh-CN" w:bidi="ar-SA"/>
    </w:rPr>
  </w:style>
  <w:style w:type="character" w:customStyle="1" w:styleId="38">
    <w:name w:val="页脚字符"/>
    <w:link w:val="15"/>
    <w:qFormat/>
    <w:uiPriority w:val="99"/>
    <w:rPr>
      <w:rFonts w:eastAsia="宋体"/>
      <w:kern w:val="2"/>
      <w:sz w:val="18"/>
      <w:lang w:val="en-US" w:eastAsia="zh-CN" w:bidi="ar-SA"/>
    </w:rPr>
  </w:style>
  <w:style w:type="character" w:customStyle="1" w:styleId="39">
    <w:name w:val="（符号）邀请函中一、"/>
    <w:basedOn w:val="26"/>
    <w:qFormat/>
    <w:uiPriority w:val="0"/>
    <w:rPr>
      <w:rFonts w:ascii="黑体" w:hAnsi="黑体" w:eastAsia="黑体"/>
      <w:b/>
      <w:bCs/>
      <w:sz w:val="24"/>
    </w:rPr>
  </w:style>
  <w:style w:type="character" w:customStyle="1" w:styleId="40">
    <w:name w:val="jbox-icon-info"/>
    <w:basedOn w:val="26"/>
    <w:qFormat/>
    <w:uiPriority w:val="0"/>
  </w:style>
  <w:style w:type="character" w:customStyle="1" w:styleId="41">
    <w:name w:val="jbox-icon-warning"/>
    <w:basedOn w:val="26"/>
    <w:qFormat/>
    <w:uiPriority w:val="0"/>
  </w:style>
  <w:style w:type="character" w:customStyle="1" w:styleId="42">
    <w:name w:val="jbox-icon-success"/>
    <w:basedOn w:val="26"/>
    <w:qFormat/>
    <w:uiPriority w:val="0"/>
  </w:style>
  <w:style w:type="character" w:customStyle="1" w:styleId="43">
    <w:name w:val="jbox-icon-loading"/>
    <w:basedOn w:val="26"/>
    <w:qFormat/>
    <w:uiPriority w:val="0"/>
  </w:style>
  <w:style w:type="character" w:customStyle="1" w:styleId="44">
    <w:name w:val="jbox-icon-question"/>
    <w:basedOn w:val="26"/>
    <w:qFormat/>
    <w:uiPriority w:val="0"/>
  </w:style>
  <w:style w:type="character" w:customStyle="1" w:styleId="45">
    <w:name w:val="GW-正文 Char"/>
    <w:link w:val="46"/>
    <w:qFormat/>
    <w:uiPriority w:val="0"/>
    <w:rPr>
      <w:rFonts w:eastAsia="仿宋_GB2312"/>
      <w:kern w:val="2"/>
      <w:sz w:val="24"/>
      <w:szCs w:val="24"/>
      <w:lang w:val="en-US" w:eastAsia="zh-CN" w:bidi="ar-SA"/>
    </w:rPr>
  </w:style>
  <w:style w:type="paragraph" w:customStyle="1" w:styleId="46">
    <w:name w:val="GW-正文"/>
    <w:basedOn w:val="1"/>
    <w:link w:val="45"/>
    <w:qFormat/>
    <w:uiPriority w:val="0"/>
    <w:pPr>
      <w:spacing w:line="360" w:lineRule="auto"/>
      <w:ind w:firstLine="200" w:firstLineChars="200"/>
    </w:pPr>
    <w:rPr>
      <w:rFonts w:eastAsia="仿宋_GB2312"/>
      <w:sz w:val="24"/>
    </w:rPr>
  </w:style>
  <w:style w:type="character" w:customStyle="1" w:styleId="47">
    <w:name w:val="jbox-icon-error"/>
    <w:basedOn w:val="26"/>
    <w:qFormat/>
    <w:uiPriority w:val="0"/>
  </w:style>
  <w:style w:type="character" w:customStyle="1" w:styleId="48">
    <w:name w:val="正文文本缩进 3字符"/>
    <w:basedOn w:val="26"/>
    <w:link w:val="19"/>
    <w:qFormat/>
    <w:uiPriority w:val="0"/>
    <w:rPr>
      <w:kern w:val="2"/>
      <w:sz w:val="16"/>
      <w:szCs w:val="16"/>
    </w:rPr>
  </w:style>
  <w:style w:type="character" w:customStyle="1" w:styleId="49">
    <w:name w:val="页眉字符"/>
    <w:link w:val="16"/>
    <w:qFormat/>
    <w:uiPriority w:val="0"/>
    <w:rPr>
      <w:rFonts w:eastAsia="宋体"/>
      <w:kern w:val="2"/>
      <w:sz w:val="18"/>
      <w:lang w:val="en-US" w:eastAsia="zh-CN" w:bidi="ar-SA"/>
    </w:rPr>
  </w:style>
  <w:style w:type="character" w:customStyle="1" w:styleId="50">
    <w:name w:val="纯文本字符"/>
    <w:link w:val="12"/>
    <w:unhideWhenUsed/>
    <w:qFormat/>
    <w:uiPriority w:val="0"/>
    <w:rPr>
      <w:rFonts w:ascii="宋体" w:hAnsi="Tms Rmn" w:eastAsia="宋体"/>
      <w:sz w:val="21"/>
      <w:lang w:val="en-US" w:eastAsia="zh-CN" w:bidi="ar-SA"/>
    </w:rPr>
  </w:style>
  <w:style w:type="character" w:customStyle="1" w:styleId="51">
    <w:name w:val="正文缩进字符"/>
    <w:link w:val="7"/>
    <w:qFormat/>
    <w:uiPriority w:val="0"/>
    <w:rPr>
      <w:rFonts w:eastAsia="宋体"/>
      <w:kern w:val="2"/>
      <w:sz w:val="21"/>
      <w:szCs w:val="24"/>
      <w:lang w:val="en-US" w:eastAsia="zh-CN" w:bidi="ar-SA"/>
    </w:rPr>
  </w:style>
  <w:style w:type="character" w:customStyle="1" w:styleId="52">
    <w:name w:val="Char Char9"/>
    <w:qFormat/>
    <w:uiPriority w:val="0"/>
    <w:rPr>
      <w:kern w:val="2"/>
      <w:sz w:val="21"/>
    </w:rPr>
  </w:style>
  <w:style w:type="character" w:customStyle="1" w:styleId="53">
    <w:name w:val="jbox-icon"/>
    <w:basedOn w:val="26"/>
    <w:qFormat/>
    <w:uiPriority w:val="0"/>
  </w:style>
  <w:style w:type="paragraph" w:customStyle="1" w:styleId="54">
    <w:name w:val="List Paragraph1"/>
    <w:basedOn w:val="1"/>
    <w:qFormat/>
    <w:uiPriority w:val="99"/>
    <w:pPr>
      <w:ind w:firstLine="420"/>
    </w:pPr>
    <w:rPr>
      <w:szCs w:val="20"/>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Char Char Char Char Char Char Char Char Char Char Char Char Char Char1 Char Char Char Char"/>
    <w:basedOn w:val="1"/>
    <w:qFormat/>
    <w:uiPriority w:val="0"/>
    <w:rPr>
      <w:szCs w:val="21"/>
    </w:rPr>
  </w:style>
  <w:style w:type="paragraph" w:customStyle="1" w:styleId="57">
    <w:name w:val="_Style 2"/>
    <w:basedOn w:val="1"/>
    <w:qFormat/>
    <w:uiPriority w:val="0"/>
    <w:pPr>
      <w:ind w:firstLine="420" w:firstLineChars="200"/>
    </w:pPr>
    <w:rPr>
      <w:rFonts w:eastAsia="方正仿宋"/>
      <w:sz w:val="32"/>
      <w:szCs w:val="32"/>
    </w:rPr>
  </w:style>
  <w:style w:type="paragraph" w:customStyle="1" w:styleId="58">
    <w:name w:val="表格"/>
    <w:basedOn w:val="1"/>
    <w:qFormat/>
    <w:uiPriority w:val="0"/>
    <w:pPr>
      <w:spacing w:line="400" w:lineRule="exact"/>
    </w:pPr>
    <w:rPr>
      <w:sz w:val="24"/>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z-窗体底端1"/>
    <w:basedOn w:val="1"/>
    <w:next w:val="1"/>
    <w:qFormat/>
    <w:uiPriority w:val="0"/>
    <w:pPr>
      <w:pBdr>
        <w:top w:val="single" w:color="auto" w:sz="6" w:space="1"/>
      </w:pBdr>
      <w:jc w:val="center"/>
    </w:pPr>
    <w:rPr>
      <w:rFonts w:ascii="Arial"/>
      <w:vanish/>
      <w:sz w:val="16"/>
    </w:rPr>
  </w:style>
  <w:style w:type="paragraph" w:customStyle="1" w:styleId="61">
    <w:name w:val="列出段落11"/>
    <w:basedOn w:val="1"/>
    <w:qFormat/>
    <w:uiPriority w:val="0"/>
    <w:pPr>
      <w:ind w:firstLine="420" w:firstLineChars="200"/>
    </w:pPr>
    <w:rPr>
      <w:szCs w:val="22"/>
    </w:rPr>
  </w:style>
  <w:style w:type="paragraph" w:customStyle="1" w:styleId="62">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3">
    <w:name w:val="z-窗体顶端1"/>
    <w:basedOn w:val="1"/>
    <w:next w:val="1"/>
    <w:qFormat/>
    <w:uiPriority w:val="0"/>
    <w:pPr>
      <w:pBdr>
        <w:bottom w:val="single" w:color="auto" w:sz="6" w:space="1"/>
      </w:pBdr>
      <w:jc w:val="center"/>
    </w:pPr>
    <w:rPr>
      <w:rFonts w:ascii="Arial"/>
      <w:vanish/>
      <w:sz w:val="16"/>
    </w:rPr>
  </w:style>
  <w:style w:type="paragraph" w:customStyle="1" w:styleId="64">
    <w:name w:val="02、首行缩进2字符正文"/>
    <w:basedOn w:val="1"/>
    <w:qFormat/>
    <w:uiPriority w:val="0"/>
    <w:pPr>
      <w:tabs>
        <w:tab w:val="left" w:pos="0"/>
      </w:tabs>
      <w:wordWrap w:val="0"/>
      <w:topLinePunct/>
      <w:adjustRightInd w:val="0"/>
      <w:snapToGrid w:val="0"/>
      <w:spacing w:line="440" w:lineRule="exact"/>
      <w:ind w:firstLine="480" w:firstLineChars="200"/>
      <w:jc w:val="left"/>
    </w:pPr>
    <w:rPr>
      <w:rFonts w:ascii="宋体" w:hAnsi="宋体"/>
      <w:sz w:val="24"/>
    </w:rPr>
  </w:style>
  <w:style w:type="paragraph" w:customStyle="1" w:styleId="65">
    <w:name w:val="样式 首行缩进:  2 字符"/>
    <w:basedOn w:val="1"/>
    <w:qFormat/>
    <w:uiPriority w:val="0"/>
    <w:pPr>
      <w:spacing w:line="400" w:lineRule="exact"/>
      <w:ind w:firstLine="200" w:firstLineChars="200"/>
    </w:pPr>
    <w:rPr>
      <w:rFonts w:cs="宋体"/>
      <w:sz w:val="24"/>
    </w:rPr>
  </w:style>
  <w:style w:type="paragraph" w:customStyle="1" w:styleId="66">
    <w:name w:val="01、普通正文"/>
    <w:basedOn w:val="1"/>
    <w:qFormat/>
    <w:uiPriority w:val="0"/>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67">
    <w:name w:val="正文首行缩进两字符"/>
    <w:basedOn w:val="1"/>
    <w:qFormat/>
    <w:uiPriority w:val="0"/>
    <w:pPr>
      <w:spacing w:line="360" w:lineRule="auto"/>
      <w:ind w:firstLine="200" w:firstLineChars="200"/>
    </w:pPr>
  </w:style>
  <w:style w:type="paragraph" w:customStyle="1" w:styleId="68">
    <w:name w:val="标题 5（有编号）（绿盟科技）"/>
    <w:basedOn w:val="1"/>
    <w:next w:val="5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69">
    <w:name w:val="列出段落1"/>
    <w:basedOn w:val="1"/>
    <w:qFormat/>
    <w:uiPriority w:val="99"/>
    <w:pPr>
      <w:ind w:firstLine="420"/>
    </w:pPr>
    <w:rPr>
      <w:szCs w:val="20"/>
    </w:rPr>
  </w:style>
  <w:style w:type="paragraph" w:customStyle="1" w:styleId="70">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1">
    <w:name w:val="12、表格内左对齐正文"/>
    <w:basedOn w:val="1"/>
    <w:qFormat/>
    <w:uiPriority w:val="0"/>
    <w:pPr>
      <w:tabs>
        <w:tab w:val="left" w:pos="0"/>
      </w:tabs>
      <w:wordWrap w:val="0"/>
      <w:topLinePunct/>
      <w:spacing w:line="360" w:lineRule="exact"/>
      <w:ind w:left="48" w:leftChars="20"/>
    </w:pPr>
    <w:rPr>
      <w:rFonts w:ascii="Times New Roman" w:hAnsi="Times New Roman"/>
      <w:snapToGrid w:val="0"/>
    </w:rPr>
  </w:style>
  <w:style w:type="character" w:customStyle="1" w:styleId="72">
    <w:name w:val="标题 2字符"/>
    <w:link w:val="4"/>
    <w:qFormat/>
    <w:uiPriority w:val="0"/>
    <w:rPr>
      <w:rFonts w:ascii="Arial" w:hAnsi="Arial" w:eastAsia="黑体"/>
      <w:b/>
      <w:bCs/>
      <w:sz w:val="32"/>
      <w:szCs w:val="32"/>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5674</Words>
  <Characters>32345</Characters>
  <Lines>269</Lines>
  <Paragraphs>75</Paragraphs>
  <TotalTime>2</TotalTime>
  <ScaleCrop>false</ScaleCrop>
  <LinksUpToDate>false</LinksUpToDate>
  <CharactersWithSpaces>37944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2021-03-17T02:30:00Z</dcterms:created>
  <dc:creator>林传雨</dc:creator>
  <cp:lastModifiedBy>晨夕之间</cp:lastModifiedBy>
  <cp:lastPrinted>2020-03-30T03:22:00Z</cp:lastPrinted>
  <dcterms:modified xsi:type="dcterms:W3CDTF">2021-10-25T06:53:21Z</dcterms:modified>
  <dc:title>四川建茂同方工程项目管理有限公司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85E2FB91637B4BE592D3F723A914B8EE</vt:lpwstr>
  </property>
</Properties>
</file>