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6"/>
        <w:spacing w:before="120" w:beforeLines="50" w:line="360" w:lineRule="auto"/>
        <w:rPr>
          <w:b/>
          <w:bCs/>
          <w:sz w:val="40"/>
          <w:szCs w:val="40"/>
        </w:rPr>
      </w:pPr>
      <w:bookmarkStart w:id="0" w:name="_Toc578"/>
      <w:bookmarkStart w:id="1" w:name="_Toc5725"/>
      <w:bookmarkStart w:id="2" w:name="_Toc6478"/>
      <w:r>
        <w:rPr>
          <w:rFonts w:hint="eastAsia"/>
          <w:b/>
          <w:bCs/>
          <w:sz w:val="40"/>
          <w:szCs w:val="40"/>
        </w:rPr>
        <w:t>项目编号：510101202101135</w:t>
      </w:r>
    </w:p>
    <w:p>
      <w:pPr>
        <w:pStyle w:val="36"/>
        <w:spacing w:line="360" w:lineRule="auto"/>
        <w:rPr>
          <w:b/>
          <w:bCs/>
          <w:sz w:val="40"/>
          <w:szCs w:val="40"/>
        </w:rPr>
      </w:pPr>
      <w:r>
        <w:rPr>
          <w:rFonts w:hint="eastAsia"/>
          <w:b/>
          <w:bCs/>
          <w:sz w:val="40"/>
          <w:szCs w:val="40"/>
        </w:rPr>
        <w:t>内部编号：ZCQXZB-2021-0459S</w:t>
      </w:r>
    </w:p>
    <w:p>
      <w:pPr>
        <w:pStyle w:val="36"/>
        <w:spacing w:line="360" w:lineRule="auto"/>
        <w:rPr>
          <w:b/>
          <w:bCs/>
          <w:sz w:val="40"/>
          <w:szCs w:val="40"/>
        </w:rPr>
      </w:pPr>
      <w:r>
        <w:rPr>
          <w:rFonts w:hint="eastAsia"/>
          <w:b/>
          <w:bCs/>
          <w:sz w:val="40"/>
          <w:szCs w:val="40"/>
        </w:rPr>
        <w:t>项目名称：成都市住房和城乡建设信息档案中心终端运维外包服务项目</w:t>
      </w:r>
    </w:p>
    <w:p>
      <w:pPr>
        <w:pStyle w:val="36"/>
        <w:spacing w:line="360" w:lineRule="auto"/>
        <w:rPr>
          <w:b/>
          <w:bCs/>
          <w:sz w:val="40"/>
          <w:szCs w:val="40"/>
        </w:rPr>
      </w:pPr>
    </w:p>
    <w:p>
      <w:pPr>
        <w:pStyle w:val="36"/>
        <w:wordWrap w:val="0"/>
        <w:topLinePunct/>
        <w:spacing w:before="2640" w:beforeLines="1100" w:after="2640" w:afterLines="1100" w:line="240" w:lineRule="auto"/>
        <w:jc w:val="center"/>
        <w:rPr>
          <w:b/>
          <w:bCs/>
          <w:sz w:val="96"/>
          <w:szCs w:val="96"/>
        </w:rPr>
      </w:pPr>
      <w:r>
        <w:rPr>
          <w:rFonts w:hint="eastAsia"/>
          <w:b/>
          <w:bCs/>
          <w:sz w:val="96"/>
          <w:szCs w:val="96"/>
        </w:rPr>
        <w:t>招标文件</w:t>
      </w:r>
    </w:p>
    <w:p>
      <w:pPr>
        <w:pStyle w:val="36"/>
        <w:spacing w:line="360" w:lineRule="auto"/>
        <w:jc w:val="center"/>
        <w:rPr>
          <w:b/>
          <w:bCs/>
          <w:sz w:val="28"/>
          <w:szCs w:val="28"/>
        </w:rPr>
      </w:pPr>
      <w:r>
        <w:rPr>
          <w:rFonts w:hint="eastAsia"/>
          <w:b/>
          <w:bCs/>
          <w:sz w:val="28"/>
          <w:szCs w:val="28"/>
        </w:rPr>
        <w:t>中国·四川</w:t>
      </w:r>
    </w:p>
    <w:p>
      <w:pPr>
        <w:pStyle w:val="36"/>
        <w:spacing w:line="360" w:lineRule="auto"/>
        <w:ind w:left="2400" w:leftChars="1000"/>
        <w:rPr>
          <w:b/>
          <w:bCs/>
          <w:sz w:val="28"/>
          <w:szCs w:val="28"/>
        </w:rPr>
      </w:pPr>
      <w:r>
        <w:rPr>
          <w:rFonts w:hint="eastAsia"/>
          <w:b/>
          <w:bCs/>
          <w:sz w:val="28"/>
          <w:szCs w:val="28"/>
        </w:rPr>
        <w:t>采   购   人：成都市住房和城乡建设信息档案中心</w:t>
      </w:r>
    </w:p>
    <w:p>
      <w:pPr>
        <w:pStyle w:val="36"/>
        <w:spacing w:line="360" w:lineRule="auto"/>
        <w:ind w:left="2400" w:leftChars="1000"/>
        <w:rPr>
          <w:b/>
          <w:bCs/>
          <w:sz w:val="28"/>
          <w:szCs w:val="28"/>
        </w:rPr>
      </w:pPr>
      <w:r>
        <w:rPr>
          <w:rFonts w:hint="eastAsia"/>
          <w:b/>
          <w:bCs/>
          <w:sz w:val="28"/>
          <w:szCs w:val="28"/>
        </w:rPr>
        <w:t>采购代理机构：四川乾新招投标代理有限公司</w:t>
      </w:r>
    </w:p>
    <w:p>
      <w:pPr>
        <w:pStyle w:val="36"/>
        <w:spacing w:line="360" w:lineRule="auto"/>
        <w:ind w:left="2400" w:leftChars="1000"/>
        <w:rPr>
          <w:b/>
          <w:bCs/>
          <w:sz w:val="28"/>
          <w:szCs w:val="28"/>
        </w:rPr>
      </w:pPr>
      <w:r>
        <w:rPr>
          <w:rFonts w:hint="eastAsia"/>
          <w:b/>
          <w:bCs/>
          <w:sz w:val="28"/>
          <w:szCs w:val="28"/>
        </w:rPr>
        <w:t>文  件 编 制：由采购人和采购代理机构共同编制</w:t>
      </w:r>
    </w:p>
    <w:p>
      <w:pPr>
        <w:pStyle w:val="36"/>
        <w:spacing w:line="360" w:lineRule="auto"/>
        <w:jc w:val="center"/>
        <w:rPr>
          <w:b/>
          <w:bCs/>
          <w:sz w:val="28"/>
          <w:szCs w:val="28"/>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720" w:num="1"/>
          <w:titlePg/>
          <w:docGrid w:linePitch="312" w:charSpace="0"/>
        </w:sectPr>
      </w:pPr>
      <w:r>
        <w:rPr>
          <w:rFonts w:hint="eastAsia"/>
          <w:b/>
          <w:bCs/>
          <w:sz w:val="28"/>
          <w:szCs w:val="28"/>
        </w:rPr>
        <w:t>2021年</w:t>
      </w:r>
      <w:r>
        <w:rPr>
          <w:rFonts w:hint="eastAsia"/>
          <w:b/>
          <w:bCs/>
          <w:sz w:val="28"/>
          <w:szCs w:val="28"/>
          <w:lang w:val="en-US" w:eastAsia="zh-CN"/>
        </w:rPr>
        <w:t>8</w:t>
      </w:r>
      <w:r>
        <w:rPr>
          <w:rFonts w:hint="eastAsia"/>
          <w:b/>
          <w:bCs/>
          <w:sz w:val="28"/>
          <w:szCs w:val="28"/>
        </w:rPr>
        <w:t>月</w:t>
      </w:r>
    </w:p>
    <w:p>
      <w:pPr>
        <w:pStyle w:val="36"/>
        <w:spacing w:line="240" w:lineRule="auto"/>
        <w:jc w:val="center"/>
        <w:rPr>
          <w:b/>
          <w:bCs/>
          <w:sz w:val="40"/>
          <w:szCs w:val="40"/>
        </w:rPr>
      </w:pPr>
      <w:bookmarkStart w:id="3" w:name="_Toc452473646"/>
      <w:bookmarkStart w:id="4" w:name="_Toc502651262"/>
      <w:bookmarkStart w:id="5" w:name="_Toc336690878"/>
      <w:bookmarkStart w:id="6" w:name="_Toc373139265"/>
      <w:bookmarkStart w:id="7" w:name="_Toc372620750"/>
      <w:bookmarkStart w:id="8" w:name="_Toc371958974"/>
      <w:r>
        <w:rPr>
          <w:rFonts w:hint="eastAsia"/>
          <w:b/>
          <w:bCs/>
          <w:sz w:val="40"/>
          <w:szCs w:val="40"/>
        </w:rPr>
        <w:t>政府采购阳光宣言</w:t>
      </w:r>
      <w:bookmarkEnd w:id="3"/>
      <w:bookmarkEnd w:id="4"/>
    </w:p>
    <w:p>
      <w:pPr>
        <w:pStyle w:val="36"/>
        <w:ind w:firstLine="480" w:firstLineChars="200"/>
      </w:pPr>
      <w:r>
        <w:rPr>
          <w:rFonts w:hint="eastAsia"/>
        </w:rPr>
        <w:t>四川乾新践行公平竞争、诚信的核心价值观，诚信于股东、诚信于服务对象、诚信于员工、诚信于社会。</w:t>
      </w:r>
    </w:p>
    <w:p>
      <w:pPr>
        <w:pStyle w:val="36"/>
        <w:ind w:firstLine="480" w:firstLineChars="200"/>
      </w:pPr>
      <w:r>
        <w:rPr>
          <w:rFonts w:hint="eastAsia"/>
        </w:rPr>
        <w:t>四川乾新全体员工严格遵守《乾新十戒》和《员工廉洁从业规定》，遵纪守法，强化自律，廉洁从业，规范经营。</w:t>
      </w:r>
    </w:p>
    <w:p>
      <w:pPr>
        <w:pStyle w:val="36"/>
        <w:ind w:firstLine="480" w:firstLineChars="200"/>
      </w:pPr>
      <w:r>
        <w:rPr>
          <w:rFonts w:hint="eastAsia"/>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36"/>
        <w:ind w:firstLine="480" w:firstLineChars="200"/>
      </w:pPr>
      <w:r>
        <w:rPr>
          <w:rFonts w:hint="eastAsia"/>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38"/>
        <w:ind w:firstLine="480"/>
      </w:pPr>
      <w:r>
        <w:rPr>
          <w:rFonts w:hint="eastAsia"/>
        </w:rPr>
        <w:t>四川乾新不以向采购人及其亲属提供任何个人利益的方式谋求合作关系；</w:t>
      </w:r>
    </w:p>
    <w:p>
      <w:pPr>
        <w:pStyle w:val="38"/>
        <w:ind w:firstLine="480"/>
      </w:pPr>
      <w:r>
        <w:rPr>
          <w:rFonts w:hint="eastAsia"/>
        </w:rPr>
        <w:t xml:space="preserve">四川乾新不迷信任何实际存在的或虚构的所谓关系； </w:t>
      </w:r>
    </w:p>
    <w:p>
      <w:pPr>
        <w:pStyle w:val="38"/>
        <w:ind w:firstLine="480"/>
      </w:pPr>
      <w:r>
        <w:rPr>
          <w:rFonts w:hint="eastAsia"/>
        </w:rPr>
        <w:t>四川乾新不采取恶性竞争等不正当手段竞争业务；</w:t>
      </w:r>
    </w:p>
    <w:p>
      <w:pPr>
        <w:pStyle w:val="38"/>
        <w:ind w:firstLine="480"/>
      </w:pPr>
      <w:r>
        <w:rPr>
          <w:rFonts w:hint="eastAsia"/>
        </w:rPr>
        <w:t>四川乾新不向采购人提供好处费、回扣、现金及有价证券、支付凭证、贵重礼物；</w:t>
      </w:r>
    </w:p>
    <w:p>
      <w:pPr>
        <w:pStyle w:val="38"/>
        <w:ind w:firstLine="480"/>
      </w:pPr>
      <w:r>
        <w:rPr>
          <w:rFonts w:hint="eastAsia"/>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38"/>
        <w:ind w:firstLine="480"/>
      </w:pPr>
      <w:r>
        <w:rPr>
          <w:rFonts w:hint="eastAsia"/>
        </w:rPr>
        <w:t>供应商在参与项目时公平竞争，充分发挥市场主体作用，降低采购成本，节约采购资金；</w:t>
      </w:r>
    </w:p>
    <w:p>
      <w:pPr>
        <w:pStyle w:val="38"/>
        <w:ind w:firstLine="480"/>
      </w:pPr>
      <w:r>
        <w:rPr>
          <w:rFonts w:hint="eastAsia"/>
        </w:rPr>
        <w:t>四川乾新不与采购人、供应商串通投标；</w:t>
      </w:r>
    </w:p>
    <w:p>
      <w:pPr>
        <w:pStyle w:val="38"/>
        <w:ind w:firstLine="480"/>
      </w:pPr>
      <w:r>
        <w:rPr>
          <w:rFonts w:hint="eastAsia"/>
        </w:rPr>
        <w:t>四川乾新、采购人不与供应商就标底、其他单位的投标书等商业秘密及合同中的质量、价格、验收等条款进行私下商谈或者达成默契；</w:t>
      </w:r>
    </w:p>
    <w:p>
      <w:pPr>
        <w:pStyle w:val="38"/>
        <w:ind w:firstLine="480"/>
      </w:pPr>
      <w:r>
        <w:rPr>
          <w:rFonts w:hint="eastAsia"/>
        </w:rPr>
        <w:t>四川乾新坚决杜绝以下行为：①乾新员工有行贿倾向、建议等行为；②乾新员工有索贿、受贿等行为。</w:t>
      </w:r>
    </w:p>
    <w:p>
      <w:pPr>
        <w:pStyle w:val="36"/>
        <w:ind w:firstLine="480" w:firstLineChars="200"/>
      </w:pPr>
      <w:r>
        <w:rPr>
          <w:rFonts w:hint="eastAsia"/>
        </w:rPr>
        <w:t>如出现违反宣言的行为，请及时向四川乾新监察部投诉或举报，经核查属实的，严格按照公司规定处理，涉及违法违纪的将追究相关法律责任。请各采购人及供应商积极宣传本宣言，了解并自觉践行宣言，共同营造廉洁、公正、诚实信用的政采环境，共同推动政府采购阳光公开。</w:t>
      </w:r>
    </w:p>
    <w:p>
      <w:pPr>
        <w:pStyle w:val="36"/>
        <w:ind w:firstLine="480" w:firstLineChars="200"/>
      </w:pPr>
      <w:r>
        <w:rPr>
          <w:rFonts w:hint="eastAsia"/>
        </w:rPr>
        <w:t>监察部投诉及举报邮箱：scqxzb_shl@163.com</w:t>
      </w:r>
    </w:p>
    <w:p>
      <w:pPr>
        <w:pStyle w:val="36"/>
        <w:ind w:firstLine="480" w:firstLineChars="200"/>
        <w:sectPr>
          <w:headerReference r:id="rId11" w:type="first"/>
          <w:footerReference r:id="rId13" w:type="first"/>
          <w:headerReference r:id="rId10" w:type="default"/>
          <w:footerReference r:id="rId12" w:type="default"/>
          <w:pgSz w:w="11906" w:h="16838"/>
          <w:pgMar w:top="1440" w:right="1083" w:bottom="1440" w:left="1083" w:header="851" w:footer="992" w:gutter="0"/>
          <w:cols w:space="720" w:num="1"/>
          <w:titlePg/>
          <w:docGrid w:linePitch="312" w:charSpace="0"/>
        </w:sectPr>
      </w:pPr>
      <w:r>
        <w:rPr>
          <w:rFonts w:hint="eastAsia"/>
        </w:rPr>
        <w:t>监察部投诉及举报电话：028-62630990</w:t>
      </w:r>
      <w:bookmarkEnd w:id="5"/>
      <w:bookmarkEnd w:id="6"/>
      <w:bookmarkEnd w:id="7"/>
      <w:bookmarkEnd w:id="8"/>
    </w:p>
    <w:p>
      <w:pPr>
        <w:pStyle w:val="36"/>
        <w:jc w:val="center"/>
      </w:pPr>
      <w:r>
        <w:rPr>
          <w:rFonts w:hint="eastAsia"/>
        </w:rPr>
        <w:t>目  录</w:t>
      </w:r>
      <w:bookmarkEnd w:id="0"/>
      <w:bookmarkEnd w:id="1"/>
    </w:p>
    <w:p>
      <w:pPr>
        <w:pStyle w:val="19"/>
        <w:tabs>
          <w:tab w:val="right" w:leader="dot" w:pos="9025"/>
          <w:tab w:val="clear" w:pos="0"/>
          <w:tab w:val="clear" w:pos="9746"/>
        </w:tabs>
      </w:pPr>
      <w:bookmarkStart w:id="9" w:name="_Toc26242"/>
      <w:bookmarkStart w:id="10" w:name="_Toc15794"/>
      <w:bookmarkStart w:id="11" w:name="_Toc28748"/>
      <w:r>
        <w:fldChar w:fldCharType="begin"/>
      </w:r>
      <w:r>
        <w:instrText xml:space="preserve">TOC \o "1-3" \h \u </w:instrText>
      </w:r>
      <w:r>
        <w:fldChar w:fldCharType="separate"/>
      </w:r>
      <w:r>
        <w:fldChar w:fldCharType="begin"/>
      </w:r>
      <w:r>
        <w:instrText xml:space="preserve"> HYPERLINK \l _Toc7805 </w:instrText>
      </w:r>
      <w:r>
        <w:fldChar w:fldCharType="separate"/>
      </w:r>
      <w:r>
        <w:rPr>
          <w:rFonts w:hint="eastAsia" w:ascii="宋体" w:hAnsi="宋体" w:eastAsia="宋体" w:cs="宋体"/>
        </w:rPr>
        <w:t xml:space="preserve">第一章 </w:t>
      </w:r>
      <w:r>
        <w:rPr>
          <w:rFonts w:hint="eastAsia"/>
        </w:rPr>
        <w:t>投标邀请</w:t>
      </w:r>
      <w:r>
        <w:tab/>
      </w:r>
      <w:r>
        <w:fldChar w:fldCharType="begin"/>
      </w:r>
      <w:r>
        <w:instrText xml:space="preserve"> PAGEREF _Toc7805 \h </w:instrText>
      </w:r>
      <w:r>
        <w:fldChar w:fldCharType="separate"/>
      </w:r>
      <w:r>
        <w:t>5</w:t>
      </w:r>
      <w:r>
        <w:fldChar w:fldCharType="end"/>
      </w:r>
      <w:r>
        <w:fldChar w:fldCharType="end"/>
      </w:r>
    </w:p>
    <w:p>
      <w:pPr>
        <w:pStyle w:val="19"/>
        <w:tabs>
          <w:tab w:val="right" w:leader="dot" w:pos="9025"/>
          <w:tab w:val="clear" w:pos="0"/>
          <w:tab w:val="clear" w:pos="9746"/>
        </w:tabs>
      </w:pPr>
      <w:r>
        <w:fldChar w:fldCharType="begin"/>
      </w:r>
      <w:r>
        <w:instrText xml:space="preserve"> HYPERLINK \l _Toc24742 </w:instrText>
      </w:r>
      <w:r>
        <w:fldChar w:fldCharType="separate"/>
      </w:r>
      <w:r>
        <w:rPr>
          <w:rFonts w:hint="eastAsia" w:ascii="宋体" w:hAnsi="宋体" w:eastAsia="宋体" w:cs="宋体"/>
        </w:rPr>
        <w:t xml:space="preserve">第二章 </w:t>
      </w:r>
      <w:r>
        <w:rPr>
          <w:rFonts w:hint="eastAsia"/>
        </w:rPr>
        <w:t>投标人须知</w:t>
      </w:r>
      <w:r>
        <w:tab/>
      </w:r>
      <w:r>
        <w:fldChar w:fldCharType="begin"/>
      </w:r>
      <w:r>
        <w:instrText xml:space="preserve"> PAGEREF _Toc24742 \h </w:instrText>
      </w:r>
      <w:r>
        <w:fldChar w:fldCharType="separate"/>
      </w:r>
      <w:r>
        <w:t>8</w:t>
      </w:r>
      <w:r>
        <w:fldChar w:fldCharType="end"/>
      </w:r>
      <w:r>
        <w:fldChar w:fldCharType="end"/>
      </w:r>
    </w:p>
    <w:p>
      <w:pPr>
        <w:pStyle w:val="20"/>
        <w:tabs>
          <w:tab w:val="right" w:leader="dot" w:pos="9025"/>
          <w:tab w:val="clear" w:pos="0"/>
        </w:tabs>
      </w:pPr>
      <w:r>
        <w:fldChar w:fldCharType="begin"/>
      </w:r>
      <w:r>
        <w:instrText xml:space="preserve"> HYPERLINK \l _Toc18449 </w:instrText>
      </w:r>
      <w:r>
        <w:fldChar w:fldCharType="separate"/>
      </w:r>
      <w:r>
        <w:rPr>
          <w:rFonts w:hint="eastAsia"/>
        </w:rPr>
        <w:t>一、 投标人须知前附表</w:t>
      </w:r>
      <w:r>
        <w:tab/>
      </w:r>
      <w:r>
        <w:fldChar w:fldCharType="begin"/>
      </w:r>
      <w:r>
        <w:instrText xml:space="preserve"> PAGEREF _Toc18449 \h </w:instrText>
      </w:r>
      <w:r>
        <w:fldChar w:fldCharType="separate"/>
      </w:r>
      <w:r>
        <w:t>8</w:t>
      </w:r>
      <w:r>
        <w:fldChar w:fldCharType="end"/>
      </w:r>
      <w:r>
        <w:fldChar w:fldCharType="end"/>
      </w:r>
    </w:p>
    <w:p>
      <w:pPr>
        <w:pStyle w:val="20"/>
        <w:tabs>
          <w:tab w:val="right" w:leader="dot" w:pos="9025"/>
          <w:tab w:val="clear" w:pos="0"/>
        </w:tabs>
      </w:pPr>
      <w:r>
        <w:fldChar w:fldCharType="begin"/>
      </w:r>
      <w:r>
        <w:instrText xml:space="preserve"> HYPERLINK \l _Toc13579 </w:instrText>
      </w:r>
      <w:r>
        <w:fldChar w:fldCharType="separate"/>
      </w:r>
      <w:r>
        <w:rPr>
          <w:rFonts w:hint="eastAsia"/>
        </w:rPr>
        <w:t>二、 总 则</w:t>
      </w:r>
      <w:r>
        <w:tab/>
      </w:r>
      <w:r>
        <w:fldChar w:fldCharType="begin"/>
      </w:r>
      <w:r>
        <w:instrText xml:space="preserve"> PAGEREF _Toc13579 \h </w:instrText>
      </w:r>
      <w:r>
        <w:fldChar w:fldCharType="separate"/>
      </w:r>
      <w:r>
        <w:t>13</w:t>
      </w:r>
      <w:r>
        <w:fldChar w:fldCharType="end"/>
      </w:r>
      <w:r>
        <w:fldChar w:fldCharType="end"/>
      </w:r>
    </w:p>
    <w:p>
      <w:pPr>
        <w:pStyle w:val="14"/>
        <w:tabs>
          <w:tab w:val="right" w:leader="dot" w:pos="9025"/>
          <w:tab w:val="clear" w:pos="0"/>
        </w:tabs>
      </w:pPr>
      <w:r>
        <w:fldChar w:fldCharType="begin"/>
      </w:r>
      <w:r>
        <w:instrText xml:space="preserve"> HYPERLINK \l _Toc15769 </w:instrText>
      </w:r>
      <w:r>
        <w:fldChar w:fldCharType="separate"/>
      </w:r>
      <w:r>
        <w:rPr>
          <w:rFonts w:hint="eastAsia" w:ascii="宋体" w:hAnsi="宋体" w:eastAsia="宋体" w:cs="宋体"/>
        </w:rPr>
        <w:t xml:space="preserve">(一) </w:t>
      </w:r>
      <w:r>
        <w:rPr>
          <w:rFonts w:hint="eastAsia"/>
        </w:rPr>
        <w:t>适用范围</w:t>
      </w:r>
      <w:r>
        <w:tab/>
      </w:r>
      <w:r>
        <w:fldChar w:fldCharType="begin"/>
      </w:r>
      <w:r>
        <w:instrText xml:space="preserve"> PAGEREF _Toc15769 \h </w:instrText>
      </w:r>
      <w:r>
        <w:fldChar w:fldCharType="separate"/>
      </w:r>
      <w:r>
        <w:t>13</w:t>
      </w:r>
      <w:r>
        <w:fldChar w:fldCharType="end"/>
      </w:r>
      <w:r>
        <w:fldChar w:fldCharType="end"/>
      </w:r>
    </w:p>
    <w:p>
      <w:pPr>
        <w:pStyle w:val="14"/>
        <w:tabs>
          <w:tab w:val="right" w:leader="dot" w:pos="9025"/>
          <w:tab w:val="clear" w:pos="0"/>
        </w:tabs>
      </w:pPr>
      <w:r>
        <w:fldChar w:fldCharType="begin"/>
      </w:r>
      <w:r>
        <w:instrText xml:space="preserve"> HYPERLINK \l _Toc18928 </w:instrText>
      </w:r>
      <w:r>
        <w:fldChar w:fldCharType="separate"/>
      </w:r>
      <w:r>
        <w:rPr>
          <w:rFonts w:hint="eastAsia" w:ascii="宋体" w:hAnsi="宋体" w:eastAsia="宋体" w:cs="宋体"/>
        </w:rPr>
        <w:t xml:space="preserve">(二) </w:t>
      </w:r>
      <w:r>
        <w:rPr>
          <w:rFonts w:hint="eastAsia"/>
        </w:rPr>
        <w:t>有关定义</w:t>
      </w:r>
      <w:r>
        <w:tab/>
      </w:r>
      <w:r>
        <w:fldChar w:fldCharType="begin"/>
      </w:r>
      <w:r>
        <w:instrText xml:space="preserve"> PAGEREF _Toc18928 \h </w:instrText>
      </w:r>
      <w:r>
        <w:fldChar w:fldCharType="separate"/>
      </w:r>
      <w:r>
        <w:t>13</w:t>
      </w:r>
      <w:r>
        <w:fldChar w:fldCharType="end"/>
      </w:r>
      <w:r>
        <w:fldChar w:fldCharType="end"/>
      </w:r>
    </w:p>
    <w:p>
      <w:pPr>
        <w:pStyle w:val="14"/>
        <w:tabs>
          <w:tab w:val="right" w:leader="dot" w:pos="9025"/>
          <w:tab w:val="clear" w:pos="0"/>
        </w:tabs>
      </w:pPr>
      <w:r>
        <w:fldChar w:fldCharType="begin"/>
      </w:r>
      <w:r>
        <w:instrText xml:space="preserve"> HYPERLINK \l _Toc13719 </w:instrText>
      </w:r>
      <w:r>
        <w:fldChar w:fldCharType="separate"/>
      </w:r>
      <w:r>
        <w:rPr>
          <w:rFonts w:hint="eastAsia" w:ascii="宋体" w:hAnsi="宋体" w:eastAsia="宋体" w:cs="宋体"/>
        </w:rPr>
        <w:t xml:space="preserve">(三) </w:t>
      </w:r>
      <w:r>
        <w:rPr>
          <w:rFonts w:hint="eastAsia"/>
        </w:rPr>
        <w:t>合格的投标人(实质性要求)</w:t>
      </w:r>
      <w:r>
        <w:tab/>
      </w:r>
      <w:r>
        <w:fldChar w:fldCharType="begin"/>
      </w:r>
      <w:r>
        <w:instrText xml:space="preserve"> PAGEREF _Toc13719 \h </w:instrText>
      </w:r>
      <w:r>
        <w:fldChar w:fldCharType="separate"/>
      </w:r>
      <w:r>
        <w:t>13</w:t>
      </w:r>
      <w:r>
        <w:fldChar w:fldCharType="end"/>
      </w:r>
      <w:r>
        <w:fldChar w:fldCharType="end"/>
      </w:r>
    </w:p>
    <w:p>
      <w:pPr>
        <w:pStyle w:val="14"/>
        <w:tabs>
          <w:tab w:val="right" w:leader="dot" w:pos="9025"/>
          <w:tab w:val="clear" w:pos="0"/>
        </w:tabs>
      </w:pPr>
      <w:r>
        <w:fldChar w:fldCharType="begin"/>
      </w:r>
      <w:r>
        <w:instrText xml:space="preserve"> HYPERLINK \l _Toc30859 </w:instrText>
      </w:r>
      <w:r>
        <w:fldChar w:fldCharType="separate"/>
      </w:r>
      <w:r>
        <w:rPr>
          <w:rFonts w:hint="eastAsia" w:ascii="宋体" w:hAnsi="宋体" w:eastAsia="宋体" w:cs="宋体"/>
        </w:rPr>
        <w:t xml:space="preserve">(四) </w:t>
      </w:r>
      <w:r>
        <w:rPr>
          <w:rFonts w:hint="eastAsia"/>
        </w:rPr>
        <w:t>投标费用(实质性要求)</w:t>
      </w:r>
      <w:r>
        <w:tab/>
      </w:r>
      <w:r>
        <w:fldChar w:fldCharType="begin"/>
      </w:r>
      <w:r>
        <w:instrText xml:space="preserve"> PAGEREF _Toc30859 \h </w:instrText>
      </w:r>
      <w:r>
        <w:fldChar w:fldCharType="separate"/>
      </w:r>
      <w:r>
        <w:t>13</w:t>
      </w:r>
      <w:r>
        <w:fldChar w:fldCharType="end"/>
      </w:r>
      <w:r>
        <w:fldChar w:fldCharType="end"/>
      </w:r>
    </w:p>
    <w:p>
      <w:pPr>
        <w:pStyle w:val="14"/>
        <w:tabs>
          <w:tab w:val="right" w:leader="dot" w:pos="9025"/>
          <w:tab w:val="clear" w:pos="0"/>
        </w:tabs>
      </w:pPr>
      <w:r>
        <w:fldChar w:fldCharType="begin"/>
      </w:r>
      <w:r>
        <w:instrText xml:space="preserve"> HYPERLINK \l _Toc13863 </w:instrText>
      </w:r>
      <w:r>
        <w:fldChar w:fldCharType="separate"/>
      </w:r>
      <w:r>
        <w:rPr>
          <w:rFonts w:hint="eastAsia" w:ascii="宋体" w:hAnsi="宋体" w:eastAsia="宋体" w:cs="宋体"/>
        </w:rPr>
        <w:t xml:space="preserve">(五) </w:t>
      </w:r>
      <w:r>
        <w:rPr>
          <w:rFonts w:hint="eastAsia"/>
        </w:rPr>
        <w:t>充分、公平竞争保障措施(实质性要求)</w:t>
      </w:r>
      <w:r>
        <w:tab/>
      </w:r>
      <w:r>
        <w:fldChar w:fldCharType="begin"/>
      </w:r>
      <w:r>
        <w:instrText xml:space="preserve"> PAGEREF _Toc13863 \h </w:instrText>
      </w:r>
      <w:r>
        <w:fldChar w:fldCharType="separate"/>
      </w:r>
      <w:r>
        <w:t>13</w:t>
      </w:r>
      <w:r>
        <w:fldChar w:fldCharType="end"/>
      </w:r>
      <w:r>
        <w:fldChar w:fldCharType="end"/>
      </w:r>
    </w:p>
    <w:p>
      <w:pPr>
        <w:pStyle w:val="20"/>
        <w:tabs>
          <w:tab w:val="right" w:leader="dot" w:pos="9025"/>
          <w:tab w:val="clear" w:pos="0"/>
        </w:tabs>
      </w:pPr>
      <w:r>
        <w:fldChar w:fldCharType="begin"/>
      </w:r>
      <w:r>
        <w:instrText xml:space="preserve"> HYPERLINK \l _Toc24925 </w:instrText>
      </w:r>
      <w:r>
        <w:fldChar w:fldCharType="separate"/>
      </w:r>
      <w:r>
        <w:rPr>
          <w:rFonts w:hint="eastAsia"/>
        </w:rPr>
        <w:t>三、 招标文件</w:t>
      </w:r>
      <w:r>
        <w:tab/>
      </w:r>
      <w:r>
        <w:fldChar w:fldCharType="begin"/>
      </w:r>
      <w:r>
        <w:instrText xml:space="preserve"> PAGEREF _Toc24925 \h </w:instrText>
      </w:r>
      <w:r>
        <w:fldChar w:fldCharType="separate"/>
      </w:r>
      <w:r>
        <w:t>14</w:t>
      </w:r>
      <w:r>
        <w:fldChar w:fldCharType="end"/>
      </w:r>
      <w:r>
        <w:fldChar w:fldCharType="end"/>
      </w:r>
    </w:p>
    <w:p>
      <w:pPr>
        <w:pStyle w:val="14"/>
        <w:tabs>
          <w:tab w:val="right" w:leader="dot" w:pos="9025"/>
          <w:tab w:val="clear" w:pos="0"/>
        </w:tabs>
      </w:pPr>
      <w:r>
        <w:fldChar w:fldCharType="begin"/>
      </w:r>
      <w:r>
        <w:instrText xml:space="preserve"> HYPERLINK \l _Toc3403 </w:instrText>
      </w:r>
      <w:r>
        <w:fldChar w:fldCharType="separate"/>
      </w:r>
      <w:r>
        <w:rPr>
          <w:rFonts w:hint="eastAsia" w:ascii="宋体" w:hAnsi="宋体" w:eastAsia="宋体" w:cs="宋体"/>
        </w:rPr>
        <w:t xml:space="preserve">(一) </w:t>
      </w:r>
      <w:r>
        <w:rPr>
          <w:rFonts w:hint="eastAsia"/>
        </w:rPr>
        <w:t>招标文件的构成</w:t>
      </w:r>
      <w:r>
        <w:tab/>
      </w:r>
      <w:r>
        <w:fldChar w:fldCharType="begin"/>
      </w:r>
      <w:r>
        <w:instrText xml:space="preserve"> PAGEREF _Toc3403 \h </w:instrText>
      </w:r>
      <w:r>
        <w:fldChar w:fldCharType="separate"/>
      </w:r>
      <w:r>
        <w:t>14</w:t>
      </w:r>
      <w:r>
        <w:fldChar w:fldCharType="end"/>
      </w:r>
      <w:r>
        <w:fldChar w:fldCharType="end"/>
      </w:r>
    </w:p>
    <w:p>
      <w:pPr>
        <w:pStyle w:val="14"/>
        <w:tabs>
          <w:tab w:val="right" w:leader="dot" w:pos="9025"/>
          <w:tab w:val="clear" w:pos="0"/>
        </w:tabs>
      </w:pPr>
      <w:r>
        <w:fldChar w:fldCharType="begin"/>
      </w:r>
      <w:r>
        <w:instrText xml:space="preserve"> HYPERLINK \l _Toc13248 </w:instrText>
      </w:r>
      <w:r>
        <w:fldChar w:fldCharType="separate"/>
      </w:r>
      <w:r>
        <w:rPr>
          <w:rFonts w:hint="eastAsia" w:ascii="宋体" w:hAnsi="宋体" w:eastAsia="宋体" w:cs="宋体"/>
        </w:rPr>
        <w:t xml:space="preserve">(二) </w:t>
      </w:r>
      <w:r>
        <w:rPr>
          <w:rFonts w:hint="eastAsia"/>
        </w:rPr>
        <w:t>招标文件的澄清和修改</w:t>
      </w:r>
      <w:r>
        <w:tab/>
      </w:r>
      <w:r>
        <w:fldChar w:fldCharType="begin"/>
      </w:r>
      <w:r>
        <w:instrText xml:space="preserve"> PAGEREF _Toc13248 \h </w:instrText>
      </w:r>
      <w:r>
        <w:fldChar w:fldCharType="separate"/>
      </w:r>
      <w:r>
        <w:t>15</w:t>
      </w:r>
      <w:r>
        <w:fldChar w:fldCharType="end"/>
      </w:r>
      <w:r>
        <w:fldChar w:fldCharType="end"/>
      </w:r>
    </w:p>
    <w:p>
      <w:pPr>
        <w:pStyle w:val="14"/>
        <w:tabs>
          <w:tab w:val="right" w:leader="dot" w:pos="9025"/>
          <w:tab w:val="clear" w:pos="0"/>
        </w:tabs>
      </w:pPr>
      <w:r>
        <w:fldChar w:fldCharType="begin"/>
      </w:r>
      <w:r>
        <w:instrText xml:space="preserve"> HYPERLINK \l _Toc26835 </w:instrText>
      </w:r>
      <w:r>
        <w:fldChar w:fldCharType="separate"/>
      </w:r>
      <w:r>
        <w:rPr>
          <w:rFonts w:hint="eastAsia" w:ascii="宋体" w:hAnsi="宋体" w:eastAsia="宋体" w:cs="宋体"/>
        </w:rPr>
        <w:t xml:space="preserve">(三) </w:t>
      </w:r>
      <w:r>
        <w:rPr>
          <w:rFonts w:hint="eastAsia"/>
        </w:rPr>
        <w:t>答疑会和现场考察</w:t>
      </w:r>
      <w:r>
        <w:tab/>
      </w:r>
      <w:r>
        <w:fldChar w:fldCharType="begin"/>
      </w:r>
      <w:r>
        <w:instrText xml:space="preserve"> PAGEREF _Toc26835 \h </w:instrText>
      </w:r>
      <w:r>
        <w:fldChar w:fldCharType="separate"/>
      </w:r>
      <w:r>
        <w:t>15</w:t>
      </w:r>
      <w:r>
        <w:fldChar w:fldCharType="end"/>
      </w:r>
      <w:r>
        <w:fldChar w:fldCharType="end"/>
      </w:r>
    </w:p>
    <w:p>
      <w:pPr>
        <w:pStyle w:val="20"/>
        <w:tabs>
          <w:tab w:val="right" w:leader="dot" w:pos="9025"/>
          <w:tab w:val="clear" w:pos="0"/>
        </w:tabs>
      </w:pPr>
      <w:r>
        <w:fldChar w:fldCharType="begin"/>
      </w:r>
      <w:r>
        <w:instrText xml:space="preserve"> HYPERLINK \l _Toc6842 </w:instrText>
      </w:r>
      <w:r>
        <w:fldChar w:fldCharType="separate"/>
      </w:r>
      <w:r>
        <w:rPr>
          <w:rFonts w:hint="eastAsia"/>
        </w:rPr>
        <w:t>四、 投标文件</w:t>
      </w:r>
      <w:r>
        <w:tab/>
      </w:r>
      <w:r>
        <w:fldChar w:fldCharType="begin"/>
      </w:r>
      <w:r>
        <w:instrText xml:space="preserve"> PAGEREF _Toc6842 \h </w:instrText>
      </w:r>
      <w:r>
        <w:fldChar w:fldCharType="separate"/>
      </w:r>
      <w:r>
        <w:t>15</w:t>
      </w:r>
      <w:r>
        <w:fldChar w:fldCharType="end"/>
      </w:r>
      <w:r>
        <w:fldChar w:fldCharType="end"/>
      </w:r>
    </w:p>
    <w:p>
      <w:pPr>
        <w:pStyle w:val="14"/>
        <w:tabs>
          <w:tab w:val="right" w:leader="dot" w:pos="9025"/>
          <w:tab w:val="clear" w:pos="0"/>
        </w:tabs>
      </w:pPr>
      <w:r>
        <w:fldChar w:fldCharType="begin"/>
      </w:r>
      <w:r>
        <w:instrText xml:space="preserve"> HYPERLINK \l _Toc29267 </w:instrText>
      </w:r>
      <w:r>
        <w:fldChar w:fldCharType="separate"/>
      </w:r>
      <w:r>
        <w:rPr>
          <w:rFonts w:hint="eastAsia" w:ascii="宋体" w:hAnsi="宋体" w:eastAsia="宋体" w:cs="宋体"/>
        </w:rPr>
        <w:t xml:space="preserve">(一) </w:t>
      </w:r>
      <w:r>
        <w:rPr>
          <w:rFonts w:hint="eastAsia"/>
        </w:rPr>
        <w:t>投标文件的语言(实质性要求)</w:t>
      </w:r>
      <w:r>
        <w:tab/>
      </w:r>
      <w:r>
        <w:fldChar w:fldCharType="begin"/>
      </w:r>
      <w:r>
        <w:instrText xml:space="preserve"> PAGEREF _Toc29267 \h </w:instrText>
      </w:r>
      <w:r>
        <w:fldChar w:fldCharType="separate"/>
      </w:r>
      <w:r>
        <w:t>16</w:t>
      </w:r>
      <w:r>
        <w:fldChar w:fldCharType="end"/>
      </w:r>
      <w:r>
        <w:fldChar w:fldCharType="end"/>
      </w:r>
    </w:p>
    <w:p>
      <w:pPr>
        <w:pStyle w:val="14"/>
        <w:tabs>
          <w:tab w:val="right" w:leader="dot" w:pos="9025"/>
          <w:tab w:val="clear" w:pos="0"/>
        </w:tabs>
      </w:pPr>
      <w:r>
        <w:fldChar w:fldCharType="begin"/>
      </w:r>
      <w:r>
        <w:instrText xml:space="preserve"> HYPERLINK \l _Toc16779 </w:instrText>
      </w:r>
      <w:r>
        <w:fldChar w:fldCharType="separate"/>
      </w:r>
      <w:r>
        <w:rPr>
          <w:rFonts w:hint="eastAsia" w:ascii="宋体" w:hAnsi="宋体" w:eastAsia="宋体" w:cs="宋体"/>
        </w:rPr>
        <w:t xml:space="preserve">(二) </w:t>
      </w:r>
      <w:r>
        <w:rPr>
          <w:rFonts w:hint="eastAsia"/>
        </w:rPr>
        <w:t>计量单位(实质性要求)</w:t>
      </w:r>
      <w:r>
        <w:tab/>
      </w:r>
      <w:r>
        <w:fldChar w:fldCharType="begin"/>
      </w:r>
      <w:r>
        <w:instrText xml:space="preserve"> PAGEREF _Toc16779 \h </w:instrText>
      </w:r>
      <w:r>
        <w:fldChar w:fldCharType="separate"/>
      </w:r>
      <w:r>
        <w:t>16</w:t>
      </w:r>
      <w:r>
        <w:fldChar w:fldCharType="end"/>
      </w:r>
      <w:r>
        <w:fldChar w:fldCharType="end"/>
      </w:r>
    </w:p>
    <w:p>
      <w:pPr>
        <w:pStyle w:val="14"/>
        <w:tabs>
          <w:tab w:val="right" w:leader="dot" w:pos="9025"/>
          <w:tab w:val="clear" w:pos="0"/>
        </w:tabs>
      </w:pPr>
      <w:r>
        <w:fldChar w:fldCharType="begin"/>
      </w:r>
      <w:r>
        <w:instrText xml:space="preserve"> HYPERLINK \l _Toc14343 </w:instrText>
      </w:r>
      <w:r>
        <w:fldChar w:fldCharType="separate"/>
      </w:r>
      <w:r>
        <w:rPr>
          <w:rFonts w:hint="eastAsia" w:ascii="宋体" w:hAnsi="宋体" w:eastAsia="宋体" w:cs="宋体"/>
        </w:rPr>
        <w:t xml:space="preserve">(三) </w:t>
      </w:r>
      <w:r>
        <w:rPr>
          <w:rFonts w:hint="eastAsia"/>
        </w:rPr>
        <w:t>投标货币(实质性要求)</w:t>
      </w:r>
      <w:r>
        <w:tab/>
      </w:r>
      <w:r>
        <w:fldChar w:fldCharType="begin"/>
      </w:r>
      <w:r>
        <w:instrText xml:space="preserve"> PAGEREF _Toc14343 \h </w:instrText>
      </w:r>
      <w:r>
        <w:fldChar w:fldCharType="separate"/>
      </w:r>
      <w:r>
        <w:t>16</w:t>
      </w:r>
      <w:r>
        <w:fldChar w:fldCharType="end"/>
      </w:r>
      <w:r>
        <w:fldChar w:fldCharType="end"/>
      </w:r>
    </w:p>
    <w:p>
      <w:pPr>
        <w:pStyle w:val="14"/>
        <w:tabs>
          <w:tab w:val="right" w:leader="dot" w:pos="9025"/>
          <w:tab w:val="clear" w:pos="0"/>
        </w:tabs>
      </w:pPr>
      <w:r>
        <w:fldChar w:fldCharType="begin"/>
      </w:r>
      <w:r>
        <w:instrText xml:space="preserve"> HYPERLINK \l _Toc13717 </w:instrText>
      </w:r>
      <w:r>
        <w:fldChar w:fldCharType="separate"/>
      </w:r>
      <w:r>
        <w:rPr>
          <w:rFonts w:hint="eastAsia" w:ascii="宋体" w:hAnsi="宋体" w:eastAsia="宋体" w:cs="宋体"/>
        </w:rPr>
        <w:t xml:space="preserve">(四) </w:t>
      </w:r>
      <w:r>
        <w:rPr>
          <w:rFonts w:hint="eastAsia"/>
        </w:rPr>
        <w:t>联合体投标(实质性要求)</w:t>
      </w:r>
      <w:r>
        <w:tab/>
      </w:r>
      <w:r>
        <w:fldChar w:fldCharType="begin"/>
      </w:r>
      <w:r>
        <w:instrText xml:space="preserve"> PAGEREF _Toc13717 \h </w:instrText>
      </w:r>
      <w:r>
        <w:fldChar w:fldCharType="separate"/>
      </w:r>
      <w:r>
        <w:t>16</w:t>
      </w:r>
      <w:r>
        <w:fldChar w:fldCharType="end"/>
      </w:r>
      <w:r>
        <w:fldChar w:fldCharType="end"/>
      </w:r>
    </w:p>
    <w:p>
      <w:pPr>
        <w:pStyle w:val="14"/>
        <w:tabs>
          <w:tab w:val="right" w:leader="dot" w:pos="9025"/>
          <w:tab w:val="clear" w:pos="0"/>
        </w:tabs>
      </w:pPr>
      <w:r>
        <w:fldChar w:fldCharType="begin"/>
      </w:r>
      <w:r>
        <w:instrText xml:space="preserve"> HYPERLINK \l _Toc12693 </w:instrText>
      </w:r>
      <w:r>
        <w:fldChar w:fldCharType="separate"/>
      </w:r>
      <w:r>
        <w:rPr>
          <w:rFonts w:hint="eastAsia" w:ascii="宋体" w:hAnsi="宋体" w:eastAsia="宋体" w:cs="宋体"/>
        </w:rPr>
        <w:t xml:space="preserve">(五) </w:t>
      </w:r>
      <w:r>
        <w:rPr>
          <w:rFonts w:hint="eastAsia"/>
        </w:rPr>
        <w:t>知识产权(实质性要求)</w:t>
      </w:r>
      <w:r>
        <w:tab/>
      </w:r>
      <w:r>
        <w:fldChar w:fldCharType="begin"/>
      </w:r>
      <w:r>
        <w:instrText xml:space="preserve"> PAGEREF _Toc12693 \h </w:instrText>
      </w:r>
      <w:r>
        <w:fldChar w:fldCharType="separate"/>
      </w:r>
      <w:r>
        <w:t>16</w:t>
      </w:r>
      <w:r>
        <w:fldChar w:fldCharType="end"/>
      </w:r>
      <w:r>
        <w:fldChar w:fldCharType="end"/>
      </w:r>
    </w:p>
    <w:p>
      <w:pPr>
        <w:pStyle w:val="14"/>
        <w:tabs>
          <w:tab w:val="right" w:leader="dot" w:pos="9025"/>
          <w:tab w:val="clear" w:pos="0"/>
        </w:tabs>
      </w:pPr>
      <w:r>
        <w:fldChar w:fldCharType="begin"/>
      </w:r>
      <w:r>
        <w:instrText xml:space="preserve"> HYPERLINK \l _Toc22664 </w:instrText>
      </w:r>
      <w:r>
        <w:fldChar w:fldCharType="separate"/>
      </w:r>
      <w:r>
        <w:rPr>
          <w:rFonts w:hint="eastAsia" w:ascii="宋体" w:hAnsi="宋体" w:eastAsia="宋体" w:cs="宋体"/>
        </w:rPr>
        <w:t xml:space="preserve">(六) </w:t>
      </w:r>
      <w:r>
        <w:rPr>
          <w:rFonts w:hint="eastAsia"/>
        </w:rPr>
        <w:t>投标文件的组成</w:t>
      </w:r>
      <w:r>
        <w:tab/>
      </w:r>
      <w:r>
        <w:fldChar w:fldCharType="begin"/>
      </w:r>
      <w:r>
        <w:instrText xml:space="preserve"> PAGEREF _Toc22664 \h </w:instrText>
      </w:r>
      <w:r>
        <w:fldChar w:fldCharType="separate"/>
      </w:r>
      <w:r>
        <w:t>16</w:t>
      </w:r>
      <w:r>
        <w:fldChar w:fldCharType="end"/>
      </w:r>
      <w:r>
        <w:fldChar w:fldCharType="end"/>
      </w:r>
    </w:p>
    <w:p>
      <w:pPr>
        <w:pStyle w:val="14"/>
        <w:tabs>
          <w:tab w:val="right" w:leader="dot" w:pos="9025"/>
          <w:tab w:val="clear" w:pos="0"/>
        </w:tabs>
      </w:pPr>
      <w:r>
        <w:fldChar w:fldCharType="begin"/>
      </w:r>
      <w:r>
        <w:instrText xml:space="preserve"> HYPERLINK \l _Toc26629 </w:instrText>
      </w:r>
      <w:r>
        <w:fldChar w:fldCharType="separate"/>
      </w:r>
      <w:r>
        <w:rPr>
          <w:rFonts w:hint="eastAsia" w:ascii="宋体" w:hAnsi="宋体" w:eastAsia="宋体" w:cs="宋体"/>
        </w:rPr>
        <w:t xml:space="preserve">(七) </w:t>
      </w:r>
      <w:r>
        <w:rPr>
          <w:rFonts w:hint="eastAsia"/>
        </w:rPr>
        <w:t>投标文件格式</w:t>
      </w:r>
      <w:r>
        <w:tab/>
      </w:r>
      <w:r>
        <w:fldChar w:fldCharType="begin"/>
      </w:r>
      <w:r>
        <w:instrText xml:space="preserve"> PAGEREF _Toc26629 \h </w:instrText>
      </w:r>
      <w:r>
        <w:fldChar w:fldCharType="separate"/>
      </w:r>
      <w:r>
        <w:t>18</w:t>
      </w:r>
      <w:r>
        <w:fldChar w:fldCharType="end"/>
      </w:r>
      <w:r>
        <w:fldChar w:fldCharType="end"/>
      </w:r>
    </w:p>
    <w:p>
      <w:pPr>
        <w:pStyle w:val="14"/>
        <w:tabs>
          <w:tab w:val="right" w:leader="dot" w:pos="9025"/>
          <w:tab w:val="clear" w:pos="0"/>
        </w:tabs>
      </w:pPr>
      <w:r>
        <w:fldChar w:fldCharType="begin"/>
      </w:r>
      <w:r>
        <w:instrText xml:space="preserve"> HYPERLINK \l _Toc27904 </w:instrText>
      </w:r>
      <w:r>
        <w:fldChar w:fldCharType="separate"/>
      </w:r>
      <w:r>
        <w:rPr>
          <w:rFonts w:hint="eastAsia" w:ascii="宋体" w:hAnsi="宋体" w:eastAsia="宋体" w:cs="宋体"/>
        </w:rPr>
        <w:t xml:space="preserve">(八) </w:t>
      </w:r>
      <w:r>
        <w:rPr>
          <w:rFonts w:hint="eastAsia"/>
        </w:rPr>
        <w:t>投标保证金</w:t>
      </w:r>
      <w:r>
        <w:tab/>
      </w:r>
      <w:r>
        <w:fldChar w:fldCharType="begin"/>
      </w:r>
      <w:r>
        <w:instrText xml:space="preserve"> PAGEREF _Toc27904 \h </w:instrText>
      </w:r>
      <w:r>
        <w:fldChar w:fldCharType="separate"/>
      </w:r>
      <w:r>
        <w:t>18</w:t>
      </w:r>
      <w:r>
        <w:fldChar w:fldCharType="end"/>
      </w:r>
      <w:r>
        <w:fldChar w:fldCharType="end"/>
      </w:r>
    </w:p>
    <w:p>
      <w:pPr>
        <w:pStyle w:val="14"/>
        <w:tabs>
          <w:tab w:val="right" w:leader="dot" w:pos="9025"/>
          <w:tab w:val="clear" w:pos="0"/>
        </w:tabs>
      </w:pPr>
      <w:r>
        <w:fldChar w:fldCharType="begin"/>
      </w:r>
      <w:r>
        <w:instrText xml:space="preserve"> HYPERLINK \l _Toc17007 </w:instrText>
      </w:r>
      <w:r>
        <w:fldChar w:fldCharType="separate"/>
      </w:r>
      <w:r>
        <w:rPr>
          <w:rFonts w:hint="eastAsia" w:ascii="宋体" w:hAnsi="宋体" w:eastAsia="宋体" w:cs="宋体"/>
        </w:rPr>
        <w:t xml:space="preserve">(九) </w:t>
      </w:r>
      <w:r>
        <w:rPr>
          <w:rFonts w:hint="eastAsia"/>
        </w:rPr>
        <w:t>投标有效期(实质性要求)</w:t>
      </w:r>
      <w:r>
        <w:tab/>
      </w:r>
      <w:r>
        <w:fldChar w:fldCharType="begin"/>
      </w:r>
      <w:r>
        <w:instrText xml:space="preserve"> PAGEREF _Toc17007 \h </w:instrText>
      </w:r>
      <w:r>
        <w:fldChar w:fldCharType="separate"/>
      </w:r>
      <w:r>
        <w:t>18</w:t>
      </w:r>
      <w:r>
        <w:fldChar w:fldCharType="end"/>
      </w:r>
      <w:r>
        <w:fldChar w:fldCharType="end"/>
      </w:r>
    </w:p>
    <w:p>
      <w:pPr>
        <w:pStyle w:val="14"/>
        <w:tabs>
          <w:tab w:val="right" w:leader="dot" w:pos="9025"/>
          <w:tab w:val="clear" w:pos="0"/>
        </w:tabs>
      </w:pPr>
      <w:r>
        <w:fldChar w:fldCharType="begin"/>
      </w:r>
      <w:r>
        <w:instrText xml:space="preserve"> HYPERLINK \l _Toc22767 </w:instrText>
      </w:r>
      <w:r>
        <w:fldChar w:fldCharType="separate"/>
      </w:r>
      <w:r>
        <w:rPr>
          <w:rFonts w:hint="eastAsia" w:ascii="宋体" w:hAnsi="宋体" w:eastAsia="宋体" w:cs="宋体"/>
        </w:rPr>
        <w:t xml:space="preserve">(十) </w:t>
      </w:r>
      <w:r>
        <w:rPr>
          <w:rFonts w:hint="eastAsia" w:cs="宋体"/>
        </w:rPr>
        <w:t>投标文件的制作和签章、加密</w:t>
      </w:r>
      <w:r>
        <w:tab/>
      </w:r>
      <w:r>
        <w:fldChar w:fldCharType="begin"/>
      </w:r>
      <w:r>
        <w:instrText xml:space="preserve"> PAGEREF _Toc22767 \h </w:instrText>
      </w:r>
      <w:r>
        <w:fldChar w:fldCharType="separate"/>
      </w:r>
      <w:r>
        <w:t>18</w:t>
      </w:r>
      <w:r>
        <w:fldChar w:fldCharType="end"/>
      </w:r>
      <w:r>
        <w:fldChar w:fldCharType="end"/>
      </w:r>
    </w:p>
    <w:p>
      <w:pPr>
        <w:pStyle w:val="14"/>
        <w:tabs>
          <w:tab w:val="right" w:leader="dot" w:pos="9025"/>
          <w:tab w:val="clear" w:pos="0"/>
        </w:tabs>
      </w:pPr>
      <w:r>
        <w:fldChar w:fldCharType="begin"/>
      </w:r>
      <w:r>
        <w:instrText xml:space="preserve"> HYPERLINK \l _Toc17715 </w:instrText>
      </w:r>
      <w:r>
        <w:fldChar w:fldCharType="separate"/>
      </w:r>
      <w:r>
        <w:rPr>
          <w:rFonts w:hint="eastAsia" w:ascii="宋体" w:hAnsi="宋体" w:eastAsia="宋体" w:cs="宋体"/>
        </w:rPr>
        <w:t xml:space="preserve">(十一) </w:t>
      </w:r>
      <w:r>
        <w:rPr>
          <w:rFonts w:hint="eastAsia"/>
        </w:rPr>
        <w:t>投标文件的递交</w:t>
      </w:r>
      <w:r>
        <w:tab/>
      </w:r>
      <w:r>
        <w:fldChar w:fldCharType="begin"/>
      </w:r>
      <w:r>
        <w:instrText xml:space="preserve"> PAGEREF _Toc17715 \h </w:instrText>
      </w:r>
      <w:r>
        <w:fldChar w:fldCharType="separate"/>
      </w:r>
      <w:r>
        <w:t>19</w:t>
      </w:r>
      <w:r>
        <w:fldChar w:fldCharType="end"/>
      </w:r>
      <w:r>
        <w:fldChar w:fldCharType="end"/>
      </w:r>
    </w:p>
    <w:p>
      <w:pPr>
        <w:pStyle w:val="14"/>
        <w:tabs>
          <w:tab w:val="right" w:leader="dot" w:pos="9025"/>
          <w:tab w:val="clear" w:pos="0"/>
        </w:tabs>
      </w:pPr>
      <w:r>
        <w:fldChar w:fldCharType="begin"/>
      </w:r>
      <w:r>
        <w:instrText xml:space="preserve"> HYPERLINK \l _Toc16297 </w:instrText>
      </w:r>
      <w:r>
        <w:fldChar w:fldCharType="separate"/>
      </w:r>
      <w:r>
        <w:rPr>
          <w:rFonts w:hint="eastAsia" w:ascii="宋体" w:hAnsi="宋体" w:eastAsia="宋体" w:cs="宋体"/>
        </w:rPr>
        <w:t xml:space="preserve">(十二) </w:t>
      </w:r>
      <w:r>
        <w:rPr>
          <w:rFonts w:hint="eastAsia"/>
        </w:rPr>
        <w:t>投标文件的修改和撤回</w:t>
      </w:r>
      <w:r>
        <w:tab/>
      </w:r>
      <w:r>
        <w:fldChar w:fldCharType="begin"/>
      </w:r>
      <w:r>
        <w:instrText xml:space="preserve"> PAGEREF _Toc16297 \h </w:instrText>
      </w:r>
      <w:r>
        <w:fldChar w:fldCharType="separate"/>
      </w:r>
      <w:r>
        <w:t>19</w:t>
      </w:r>
      <w:r>
        <w:fldChar w:fldCharType="end"/>
      </w:r>
      <w:r>
        <w:fldChar w:fldCharType="end"/>
      </w:r>
    </w:p>
    <w:p>
      <w:pPr>
        <w:pStyle w:val="14"/>
        <w:tabs>
          <w:tab w:val="right" w:leader="dot" w:pos="9025"/>
          <w:tab w:val="clear" w:pos="0"/>
        </w:tabs>
      </w:pPr>
      <w:r>
        <w:fldChar w:fldCharType="begin"/>
      </w:r>
      <w:r>
        <w:instrText xml:space="preserve"> HYPERLINK \l _Toc12728 </w:instrText>
      </w:r>
      <w:r>
        <w:fldChar w:fldCharType="separate"/>
      </w:r>
      <w:r>
        <w:rPr>
          <w:rFonts w:hint="eastAsia" w:ascii="宋体" w:hAnsi="宋体" w:eastAsia="宋体" w:cs="宋体"/>
        </w:rPr>
        <w:t xml:space="preserve">(十三) </w:t>
      </w:r>
      <w:r>
        <w:rPr>
          <w:rFonts w:hint="eastAsia" w:cs="宋体"/>
        </w:rPr>
        <w:t>投标文件的解密</w:t>
      </w:r>
      <w:r>
        <w:tab/>
      </w:r>
      <w:r>
        <w:fldChar w:fldCharType="begin"/>
      </w:r>
      <w:r>
        <w:instrText xml:space="preserve"> PAGEREF _Toc12728 \h </w:instrText>
      </w:r>
      <w:r>
        <w:fldChar w:fldCharType="separate"/>
      </w:r>
      <w:r>
        <w:t>19</w:t>
      </w:r>
      <w:r>
        <w:fldChar w:fldCharType="end"/>
      </w:r>
      <w:r>
        <w:fldChar w:fldCharType="end"/>
      </w:r>
    </w:p>
    <w:p>
      <w:pPr>
        <w:pStyle w:val="20"/>
        <w:tabs>
          <w:tab w:val="right" w:leader="dot" w:pos="9025"/>
          <w:tab w:val="clear" w:pos="0"/>
        </w:tabs>
      </w:pPr>
      <w:r>
        <w:fldChar w:fldCharType="begin"/>
      </w:r>
      <w:r>
        <w:instrText xml:space="preserve"> HYPERLINK \l _Toc1205 </w:instrText>
      </w:r>
      <w:r>
        <w:fldChar w:fldCharType="separate"/>
      </w:r>
      <w:r>
        <w:rPr>
          <w:rFonts w:hint="eastAsia"/>
        </w:rPr>
        <w:t>五、 开标和中标</w:t>
      </w:r>
      <w:r>
        <w:tab/>
      </w:r>
      <w:r>
        <w:fldChar w:fldCharType="begin"/>
      </w:r>
      <w:r>
        <w:instrText xml:space="preserve"> PAGEREF _Toc1205 \h </w:instrText>
      </w:r>
      <w:r>
        <w:fldChar w:fldCharType="separate"/>
      </w:r>
      <w:r>
        <w:t>19</w:t>
      </w:r>
      <w:r>
        <w:fldChar w:fldCharType="end"/>
      </w:r>
      <w:r>
        <w:fldChar w:fldCharType="end"/>
      </w:r>
    </w:p>
    <w:p>
      <w:pPr>
        <w:pStyle w:val="14"/>
        <w:tabs>
          <w:tab w:val="right" w:leader="dot" w:pos="9025"/>
          <w:tab w:val="clear" w:pos="0"/>
        </w:tabs>
      </w:pPr>
      <w:r>
        <w:fldChar w:fldCharType="begin"/>
      </w:r>
      <w:r>
        <w:instrText xml:space="preserve"> HYPERLINK \l _Toc1709 </w:instrText>
      </w:r>
      <w:r>
        <w:fldChar w:fldCharType="separate"/>
      </w:r>
      <w:r>
        <w:rPr>
          <w:rFonts w:hint="eastAsia" w:ascii="宋体" w:hAnsi="宋体" w:eastAsia="宋体" w:cs="宋体"/>
        </w:rPr>
        <w:t xml:space="preserve">(一) </w:t>
      </w:r>
      <w:r>
        <w:rPr>
          <w:rFonts w:hint="eastAsia"/>
        </w:rPr>
        <w:t>开标及开标程序</w:t>
      </w:r>
      <w:r>
        <w:tab/>
      </w:r>
      <w:r>
        <w:fldChar w:fldCharType="begin"/>
      </w:r>
      <w:r>
        <w:instrText xml:space="preserve"> PAGEREF _Toc1709 \h </w:instrText>
      </w:r>
      <w:r>
        <w:fldChar w:fldCharType="separate"/>
      </w:r>
      <w:r>
        <w:t>19</w:t>
      </w:r>
      <w:r>
        <w:fldChar w:fldCharType="end"/>
      </w:r>
      <w:r>
        <w:fldChar w:fldCharType="end"/>
      </w:r>
    </w:p>
    <w:p>
      <w:pPr>
        <w:pStyle w:val="14"/>
        <w:tabs>
          <w:tab w:val="right" w:leader="dot" w:pos="9025"/>
          <w:tab w:val="clear" w:pos="0"/>
        </w:tabs>
      </w:pPr>
      <w:r>
        <w:fldChar w:fldCharType="begin"/>
      </w:r>
      <w:r>
        <w:instrText xml:space="preserve"> HYPERLINK \l _Toc27816 </w:instrText>
      </w:r>
      <w:r>
        <w:fldChar w:fldCharType="separate"/>
      </w:r>
      <w:r>
        <w:rPr>
          <w:rFonts w:hint="eastAsia" w:ascii="宋体" w:hAnsi="宋体" w:eastAsia="宋体" w:cs="宋体"/>
        </w:rPr>
        <w:t xml:space="preserve">(二) </w:t>
      </w:r>
      <w:r>
        <w:rPr>
          <w:rFonts w:hint="eastAsia"/>
        </w:rPr>
        <w:t>开评标过程存档</w:t>
      </w:r>
      <w:r>
        <w:tab/>
      </w:r>
      <w:r>
        <w:fldChar w:fldCharType="begin"/>
      </w:r>
      <w:r>
        <w:instrText xml:space="preserve"> PAGEREF _Toc27816 \h </w:instrText>
      </w:r>
      <w:r>
        <w:fldChar w:fldCharType="separate"/>
      </w:r>
      <w:r>
        <w:t>20</w:t>
      </w:r>
      <w:r>
        <w:fldChar w:fldCharType="end"/>
      </w:r>
      <w:r>
        <w:fldChar w:fldCharType="end"/>
      </w:r>
    </w:p>
    <w:p>
      <w:pPr>
        <w:pStyle w:val="14"/>
        <w:tabs>
          <w:tab w:val="right" w:leader="dot" w:pos="9025"/>
          <w:tab w:val="clear" w:pos="0"/>
        </w:tabs>
      </w:pPr>
      <w:r>
        <w:fldChar w:fldCharType="begin"/>
      </w:r>
      <w:r>
        <w:instrText xml:space="preserve"> HYPERLINK \l _Toc8451 </w:instrText>
      </w:r>
      <w:r>
        <w:fldChar w:fldCharType="separate"/>
      </w:r>
      <w:r>
        <w:rPr>
          <w:rFonts w:hint="eastAsia" w:ascii="宋体" w:hAnsi="宋体" w:eastAsia="宋体" w:cs="宋体"/>
        </w:rPr>
        <w:t xml:space="preserve">(三) </w:t>
      </w:r>
      <w:r>
        <w:rPr>
          <w:rFonts w:hint="eastAsia"/>
        </w:rPr>
        <w:t>中标通知书</w:t>
      </w:r>
      <w:r>
        <w:tab/>
      </w:r>
      <w:r>
        <w:fldChar w:fldCharType="begin"/>
      </w:r>
      <w:r>
        <w:instrText xml:space="preserve"> PAGEREF _Toc8451 \h </w:instrText>
      </w:r>
      <w:r>
        <w:fldChar w:fldCharType="separate"/>
      </w:r>
      <w:r>
        <w:t>20</w:t>
      </w:r>
      <w:r>
        <w:fldChar w:fldCharType="end"/>
      </w:r>
      <w:r>
        <w:fldChar w:fldCharType="end"/>
      </w:r>
    </w:p>
    <w:p>
      <w:pPr>
        <w:pStyle w:val="20"/>
        <w:tabs>
          <w:tab w:val="right" w:leader="dot" w:pos="9025"/>
          <w:tab w:val="clear" w:pos="0"/>
        </w:tabs>
      </w:pPr>
      <w:r>
        <w:fldChar w:fldCharType="begin"/>
      </w:r>
      <w:r>
        <w:instrText xml:space="preserve"> HYPERLINK \l _Toc4929 </w:instrText>
      </w:r>
      <w:r>
        <w:fldChar w:fldCharType="separate"/>
      </w:r>
      <w:r>
        <w:rPr>
          <w:rFonts w:hint="eastAsia"/>
        </w:rPr>
        <w:t>六、 签订及履行合同和验收</w:t>
      </w:r>
      <w:r>
        <w:tab/>
      </w:r>
      <w:r>
        <w:fldChar w:fldCharType="begin"/>
      </w:r>
      <w:r>
        <w:instrText xml:space="preserve"> PAGEREF _Toc4929 \h </w:instrText>
      </w:r>
      <w:r>
        <w:fldChar w:fldCharType="separate"/>
      </w:r>
      <w:r>
        <w:t>20</w:t>
      </w:r>
      <w:r>
        <w:fldChar w:fldCharType="end"/>
      </w:r>
      <w:r>
        <w:fldChar w:fldCharType="end"/>
      </w:r>
    </w:p>
    <w:p>
      <w:pPr>
        <w:pStyle w:val="14"/>
        <w:tabs>
          <w:tab w:val="right" w:leader="dot" w:pos="9025"/>
          <w:tab w:val="clear" w:pos="0"/>
        </w:tabs>
      </w:pPr>
      <w:r>
        <w:fldChar w:fldCharType="begin"/>
      </w:r>
      <w:r>
        <w:instrText xml:space="preserve"> HYPERLINK \l _Toc2054 </w:instrText>
      </w:r>
      <w:r>
        <w:fldChar w:fldCharType="separate"/>
      </w:r>
      <w:r>
        <w:rPr>
          <w:rFonts w:hint="eastAsia" w:ascii="宋体" w:hAnsi="宋体" w:eastAsia="宋体" w:cs="宋体"/>
        </w:rPr>
        <w:t xml:space="preserve">(一) </w:t>
      </w:r>
      <w:r>
        <w:rPr>
          <w:rFonts w:hint="eastAsia"/>
        </w:rPr>
        <w:t>签订合同</w:t>
      </w:r>
      <w:r>
        <w:tab/>
      </w:r>
      <w:r>
        <w:fldChar w:fldCharType="begin"/>
      </w:r>
      <w:r>
        <w:instrText xml:space="preserve"> PAGEREF _Toc2054 \h </w:instrText>
      </w:r>
      <w:r>
        <w:fldChar w:fldCharType="separate"/>
      </w:r>
      <w:r>
        <w:t>21</w:t>
      </w:r>
      <w:r>
        <w:fldChar w:fldCharType="end"/>
      </w:r>
      <w:r>
        <w:fldChar w:fldCharType="end"/>
      </w:r>
    </w:p>
    <w:p>
      <w:pPr>
        <w:pStyle w:val="14"/>
        <w:tabs>
          <w:tab w:val="right" w:leader="dot" w:pos="9025"/>
          <w:tab w:val="clear" w:pos="0"/>
        </w:tabs>
      </w:pPr>
      <w:r>
        <w:fldChar w:fldCharType="begin"/>
      </w:r>
      <w:r>
        <w:instrText xml:space="preserve"> HYPERLINK \l _Toc6884 </w:instrText>
      </w:r>
      <w:r>
        <w:fldChar w:fldCharType="separate"/>
      </w:r>
      <w:r>
        <w:rPr>
          <w:rFonts w:hint="eastAsia" w:ascii="宋体" w:hAnsi="宋体" w:eastAsia="宋体" w:cs="宋体"/>
        </w:rPr>
        <w:t xml:space="preserve">(二) </w:t>
      </w:r>
      <w:r>
        <w:rPr>
          <w:rFonts w:hint="eastAsia"/>
        </w:rPr>
        <w:t>合同分包(实质性要求)</w:t>
      </w:r>
      <w:r>
        <w:tab/>
      </w:r>
      <w:r>
        <w:fldChar w:fldCharType="begin"/>
      </w:r>
      <w:r>
        <w:instrText xml:space="preserve"> PAGEREF _Toc6884 \h </w:instrText>
      </w:r>
      <w:r>
        <w:fldChar w:fldCharType="separate"/>
      </w:r>
      <w:r>
        <w:t>21</w:t>
      </w:r>
      <w:r>
        <w:fldChar w:fldCharType="end"/>
      </w:r>
      <w:r>
        <w:fldChar w:fldCharType="end"/>
      </w:r>
    </w:p>
    <w:p>
      <w:pPr>
        <w:pStyle w:val="14"/>
        <w:tabs>
          <w:tab w:val="right" w:leader="dot" w:pos="9025"/>
          <w:tab w:val="clear" w:pos="0"/>
        </w:tabs>
      </w:pPr>
      <w:r>
        <w:fldChar w:fldCharType="begin"/>
      </w:r>
      <w:r>
        <w:instrText xml:space="preserve"> HYPERLINK \l _Toc17967 </w:instrText>
      </w:r>
      <w:r>
        <w:fldChar w:fldCharType="separate"/>
      </w:r>
      <w:r>
        <w:rPr>
          <w:rFonts w:hint="eastAsia" w:ascii="宋体" w:hAnsi="宋体" w:eastAsia="宋体" w:cs="宋体"/>
        </w:rPr>
        <w:t xml:space="preserve">(三) </w:t>
      </w:r>
      <w:r>
        <w:rPr>
          <w:rFonts w:hint="eastAsia"/>
        </w:rPr>
        <w:t>合同转包(实质性要求)</w:t>
      </w:r>
      <w:r>
        <w:tab/>
      </w:r>
      <w:r>
        <w:fldChar w:fldCharType="begin"/>
      </w:r>
      <w:r>
        <w:instrText xml:space="preserve"> PAGEREF _Toc17967 \h </w:instrText>
      </w:r>
      <w:r>
        <w:fldChar w:fldCharType="separate"/>
      </w:r>
      <w:r>
        <w:t>21</w:t>
      </w:r>
      <w:r>
        <w:fldChar w:fldCharType="end"/>
      </w:r>
      <w:r>
        <w:fldChar w:fldCharType="end"/>
      </w:r>
    </w:p>
    <w:p>
      <w:pPr>
        <w:pStyle w:val="14"/>
        <w:tabs>
          <w:tab w:val="right" w:leader="dot" w:pos="9025"/>
          <w:tab w:val="clear" w:pos="0"/>
        </w:tabs>
      </w:pPr>
      <w:r>
        <w:fldChar w:fldCharType="begin"/>
      </w:r>
      <w:r>
        <w:instrText xml:space="preserve"> HYPERLINK \l _Toc1123 </w:instrText>
      </w:r>
      <w:r>
        <w:fldChar w:fldCharType="separate"/>
      </w:r>
      <w:r>
        <w:rPr>
          <w:rFonts w:hint="eastAsia" w:ascii="宋体" w:hAnsi="宋体" w:eastAsia="宋体" w:cs="宋体"/>
        </w:rPr>
        <w:t xml:space="preserve">(四) </w:t>
      </w:r>
      <w:r>
        <w:rPr>
          <w:rFonts w:hint="eastAsia"/>
        </w:rPr>
        <w:t>补充合同</w:t>
      </w:r>
      <w:r>
        <w:tab/>
      </w:r>
      <w:r>
        <w:fldChar w:fldCharType="begin"/>
      </w:r>
      <w:r>
        <w:instrText xml:space="preserve"> PAGEREF _Toc1123 \h </w:instrText>
      </w:r>
      <w:r>
        <w:fldChar w:fldCharType="separate"/>
      </w:r>
      <w:r>
        <w:t>21</w:t>
      </w:r>
      <w:r>
        <w:fldChar w:fldCharType="end"/>
      </w:r>
      <w:r>
        <w:fldChar w:fldCharType="end"/>
      </w:r>
    </w:p>
    <w:p>
      <w:pPr>
        <w:pStyle w:val="14"/>
        <w:tabs>
          <w:tab w:val="right" w:leader="dot" w:pos="9025"/>
          <w:tab w:val="clear" w:pos="0"/>
        </w:tabs>
      </w:pPr>
      <w:r>
        <w:fldChar w:fldCharType="begin"/>
      </w:r>
      <w:r>
        <w:instrText xml:space="preserve"> HYPERLINK \l _Toc924 </w:instrText>
      </w:r>
      <w:r>
        <w:fldChar w:fldCharType="separate"/>
      </w:r>
      <w:r>
        <w:rPr>
          <w:rFonts w:hint="eastAsia" w:ascii="宋体" w:hAnsi="宋体" w:eastAsia="宋体" w:cs="宋体"/>
        </w:rPr>
        <w:t xml:space="preserve">(五) </w:t>
      </w:r>
      <w:r>
        <w:rPr>
          <w:rFonts w:hint="eastAsia"/>
        </w:rPr>
        <w:t>合同公告</w:t>
      </w:r>
      <w:r>
        <w:tab/>
      </w:r>
      <w:r>
        <w:fldChar w:fldCharType="begin"/>
      </w:r>
      <w:r>
        <w:instrText xml:space="preserve"> PAGEREF _Toc924 \h </w:instrText>
      </w:r>
      <w:r>
        <w:fldChar w:fldCharType="separate"/>
      </w:r>
      <w:r>
        <w:t>21</w:t>
      </w:r>
      <w:r>
        <w:fldChar w:fldCharType="end"/>
      </w:r>
      <w:r>
        <w:fldChar w:fldCharType="end"/>
      </w:r>
    </w:p>
    <w:p>
      <w:pPr>
        <w:pStyle w:val="14"/>
        <w:tabs>
          <w:tab w:val="right" w:leader="dot" w:pos="9025"/>
          <w:tab w:val="clear" w:pos="0"/>
        </w:tabs>
      </w:pPr>
      <w:r>
        <w:fldChar w:fldCharType="begin"/>
      </w:r>
      <w:r>
        <w:instrText xml:space="preserve"> HYPERLINK \l _Toc10344 </w:instrText>
      </w:r>
      <w:r>
        <w:fldChar w:fldCharType="separate"/>
      </w:r>
      <w:r>
        <w:rPr>
          <w:rFonts w:hint="eastAsia" w:ascii="宋体" w:hAnsi="宋体" w:eastAsia="宋体" w:cs="宋体"/>
        </w:rPr>
        <w:t xml:space="preserve">(六) </w:t>
      </w:r>
      <w:r>
        <w:rPr>
          <w:rFonts w:hint="eastAsia"/>
        </w:rPr>
        <w:t>合同备案</w:t>
      </w:r>
      <w:r>
        <w:tab/>
      </w:r>
      <w:r>
        <w:fldChar w:fldCharType="begin"/>
      </w:r>
      <w:r>
        <w:instrText xml:space="preserve"> PAGEREF _Toc10344 \h </w:instrText>
      </w:r>
      <w:r>
        <w:fldChar w:fldCharType="separate"/>
      </w:r>
      <w:r>
        <w:t>21</w:t>
      </w:r>
      <w:r>
        <w:fldChar w:fldCharType="end"/>
      </w:r>
      <w:r>
        <w:fldChar w:fldCharType="end"/>
      </w:r>
    </w:p>
    <w:p>
      <w:pPr>
        <w:pStyle w:val="14"/>
        <w:tabs>
          <w:tab w:val="right" w:leader="dot" w:pos="9025"/>
          <w:tab w:val="clear" w:pos="0"/>
        </w:tabs>
      </w:pPr>
      <w:r>
        <w:fldChar w:fldCharType="begin"/>
      </w:r>
      <w:r>
        <w:instrText xml:space="preserve"> HYPERLINK \l _Toc8912 </w:instrText>
      </w:r>
      <w:r>
        <w:fldChar w:fldCharType="separate"/>
      </w:r>
      <w:r>
        <w:rPr>
          <w:rFonts w:hint="eastAsia" w:ascii="宋体" w:hAnsi="宋体" w:eastAsia="宋体" w:cs="宋体"/>
        </w:rPr>
        <w:t xml:space="preserve">(七) </w:t>
      </w:r>
      <w:r>
        <w:rPr>
          <w:rFonts w:hint="eastAsia"/>
        </w:rPr>
        <w:t>履约保证金（实质性要求）</w:t>
      </w:r>
      <w:r>
        <w:tab/>
      </w:r>
      <w:r>
        <w:fldChar w:fldCharType="begin"/>
      </w:r>
      <w:r>
        <w:instrText xml:space="preserve"> PAGEREF _Toc8912 \h </w:instrText>
      </w:r>
      <w:r>
        <w:fldChar w:fldCharType="separate"/>
      </w:r>
      <w:r>
        <w:t>22</w:t>
      </w:r>
      <w:r>
        <w:fldChar w:fldCharType="end"/>
      </w:r>
      <w:r>
        <w:fldChar w:fldCharType="end"/>
      </w:r>
    </w:p>
    <w:p>
      <w:pPr>
        <w:pStyle w:val="14"/>
        <w:tabs>
          <w:tab w:val="right" w:leader="dot" w:pos="9025"/>
          <w:tab w:val="clear" w:pos="0"/>
        </w:tabs>
      </w:pPr>
      <w:r>
        <w:fldChar w:fldCharType="begin"/>
      </w:r>
      <w:r>
        <w:instrText xml:space="preserve"> HYPERLINK \l _Toc18592 </w:instrText>
      </w:r>
      <w:r>
        <w:fldChar w:fldCharType="separate"/>
      </w:r>
      <w:r>
        <w:rPr>
          <w:rFonts w:hint="eastAsia"/>
        </w:rPr>
        <w:t>1.中标人应在合同签订之前交纳招标文件规定数额的履约保证金。</w:t>
      </w:r>
      <w:r>
        <w:tab/>
      </w:r>
      <w:r>
        <w:fldChar w:fldCharType="begin"/>
      </w:r>
      <w:r>
        <w:instrText xml:space="preserve"> PAGEREF _Toc18592 \h </w:instrText>
      </w:r>
      <w:r>
        <w:fldChar w:fldCharType="separate"/>
      </w:r>
      <w:r>
        <w:t>22</w:t>
      </w:r>
      <w:r>
        <w:fldChar w:fldCharType="end"/>
      </w:r>
      <w:r>
        <w:fldChar w:fldCharType="end"/>
      </w:r>
    </w:p>
    <w:p>
      <w:pPr>
        <w:pStyle w:val="14"/>
        <w:tabs>
          <w:tab w:val="right" w:leader="dot" w:pos="9025"/>
          <w:tab w:val="clear" w:pos="0"/>
        </w:tabs>
      </w:pPr>
      <w:r>
        <w:fldChar w:fldCharType="begin"/>
      </w:r>
      <w:r>
        <w:instrText xml:space="preserve"> HYPERLINK \l _Toc27080 </w:instrText>
      </w:r>
      <w:r>
        <w:fldChar w:fldCharType="separate"/>
      </w:r>
      <w:r>
        <w:rPr>
          <w:rFonts w:hint="eastAsia"/>
        </w:rPr>
        <w:t>2.如果中标人在规定的合同签订时间内，没有按照招标文件的规定交纳履约保证金，且又无正当理由的，将视为放弃中标。</w:t>
      </w:r>
      <w:r>
        <w:tab/>
      </w:r>
      <w:r>
        <w:fldChar w:fldCharType="begin"/>
      </w:r>
      <w:r>
        <w:instrText xml:space="preserve"> PAGEREF _Toc27080 \h </w:instrText>
      </w:r>
      <w:r>
        <w:fldChar w:fldCharType="separate"/>
      </w:r>
      <w:r>
        <w:t>22</w:t>
      </w:r>
      <w:r>
        <w:fldChar w:fldCharType="end"/>
      </w:r>
      <w:r>
        <w:fldChar w:fldCharType="end"/>
      </w:r>
    </w:p>
    <w:p>
      <w:pPr>
        <w:pStyle w:val="14"/>
        <w:tabs>
          <w:tab w:val="right" w:leader="dot" w:pos="9025"/>
          <w:tab w:val="clear" w:pos="0"/>
        </w:tabs>
      </w:pPr>
      <w:r>
        <w:fldChar w:fldCharType="begin"/>
      </w:r>
      <w:r>
        <w:instrText xml:space="preserve"> HYPERLINK \l _Toc6526 </w:instrText>
      </w:r>
      <w:r>
        <w:fldChar w:fldCharType="separate"/>
      </w:r>
      <w:r>
        <w:rPr>
          <w:rFonts w:hint="eastAsia" w:ascii="宋体" w:hAnsi="宋体" w:eastAsia="宋体" w:cs="宋体"/>
        </w:rPr>
        <w:t xml:space="preserve">(八) </w:t>
      </w:r>
      <w:r>
        <w:rPr>
          <w:rFonts w:hint="eastAsia"/>
        </w:rPr>
        <w:t>履行合同</w:t>
      </w:r>
      <w:r>
        <w:tab/>
      </w:r>
      <w:r>
        <w:fldChar w:fldCharType="begin"/>
      </w:r>
      <w:r>
        <w:instrText xml:space="preserve"> PAGEREF _Toc6526 \h </w:instrText>
      </w:r>
      <w:r>
        <w:fldChar w:fldCharType="separate"/>
      </w:r>
      <w:r>
        <w:t>22</w:t>
      </w:r>
      <w:r>
        <w:fldChar w:fldCharType="end"/>
      </w:r>
      <w:r>
        <w:fldChar w:fldCharType="end"/>
      </w:r>
    </w:p>
    <w:p>
      <w:pPr>
        <w:pStyle w:val="14"/>
        <w:tabs>
          <w:tab w:val="right" w:leader="dot" w:pos="9025"/>
          <w:tab w:val="clear" w:pos="0"/>
        </w:tabs>
      </w:pPr>
      <w:r>
        <w:fldChar w:fldCharType="begin"/>
      </w:r>
      <w:r>
        <w:instrText xml:space="preserve"> HYPERLINK \l _Toc12289 </w:instrText>
      </w:r>
      <w:r>
        <w:fldChar w:fldCharType="separate"/>
      </w:r>
      <w:r>
        <w:rPr>
          <w:rFonts w:hint="eastAsia" w:ascii="宋体" w:hAnsi="宋体" w:eastAsia="宋体" w:cs="宋体"/>
        </w:rPr>
        <w:t xml:space="preserve">(九) </w:t>
      </w:r>
      <w:r>
        <w:rPr>
          <w:rFonts w:hint="eastAsia"/>
        </w:rPr>
        <w:t>验收</w:t>
      </w:r>
      <w:r>
        <w:tab/>
      </w:r>
      <w:r>
        <w:fldChar w:fldCharType="begin"/>
      </w:r>
      <w:r>
        <w:instrText xml:space="preserve"> PAGEREF _Toc12289 \h </w:instrText>
      </w:r>
      <w:r>
        <w:fldChar w:fldCharType="separate"/>
      </w:r>
      <w:r>
        <w:t>22</w:t>
      </w:r>
      <w:r>
        <w:fldChar w:fldCharType="end"/>
      </w:r>
      <w:r>
        <w:fldChar w:fldCharType="end"/>
      </w:r>
    </w:p>
    <w:p>
      <w:pPr>
        <w:pStyle w:val="14"/>
        <w:tabs>
          <w:tab w:val="right" w:leader="dot" w:pos="9025"/>
          <w:tab w:val="clear" w:pos="0"/>
        </w:tabs>
      </w:pPr>
      <w:r>
        <w:fldChar w:fldCharType="begin"/>
      </w:r>
      <w:r>
        <w:instrText xml:space="preserve"> HYPERLINK \l _Toc7669 </w:instrText>
      </w:r>
      <w:r>
        <w:fldChar w:fldCharType="separate"/>
      </w:r>
      <w:r>
        <w:rPr>
          <w:rFonts w:hint="eastAsia" w:ascii="宋体" w:hAnsi="宋体" w:eastAsia="宋体" w:cs="宋体"/>
        </w:rPr>
        <w:t xml:space="preserve">(十) </w:t>
      </w:r>
      <w:r>
        <w:rPr>
          <w:rFonts w:hint="eastAsia"/>
        </w:rPr>
        <w:t>资金支付方式、时间、条件</w:t>
      </w:r>
      <w:r>
        <w:tab/>
      </w:r>
      <w:r>
        <w:fldChar w:fldCharType="begin"/>
      </w:r>
      <w:r>
        <w:instrText xml:space="preserve"> PAGEREF _Toc7669 \h </w:instrText>
      </w:r>
      <w:r>
        <w:fldChar w:fldCharType="separate"/>
      </w:r>
      <w:r>
        <w:t>22</w:t>
      </w:r>
      <w:r>
        <w:fldChar w:fldCharType="end"/>
      </w:r>
      <w:r>
        <w:fldChar w:fldCharType="end"/>
      </w:r>
    </w:p>
    <w:p>
      <w:pPr>
        <w:pStyle w:val="20"/>
        <w:tabs>
          <w:tab w:val="right" w:leader="dot" w:pos="9025"/>
          <w:tab w:val="clear" w:pos="0"/>
        </w:tabs>
      </w:pPr>
      <w:r>
        <w:fldChar w:fldCharType="begin"/>
      </w:r>
      <w:r>
        <w:instrText xml:space="preserve"> HYPERLINK \l _Toc6223 </w:instrText>
      </w:r>
      <w:r>
        <w:fldChar w:fldCharType="separate"/>
      </w:r>
      <w:r>
        <w:rPr>
          <w:rFonts w:hint="eastAsia"/>
        </w:rPr>
        <w:t>七、 投标纪律要求</w:t>
      </w:r>
      <w:r>
        <w:tab/>
      </w:r>
      <w:r>
        <w:fldChar w:fldCharType="begin"/>
      </w:r>
      <w:r>
        <w:instrText xml:space="preserve"> PAGEREF _Toc6223 \h </w:instrText>
      </w:r>
      <w:r>
        <w:fldChar w:fldCharType="separate"/>
      </w:r>
      <w:r>
        <w:t>22</w:t>
      </w:r>
      <w:r>
        <w:fldChar w:fldCharType="end"/>
      </w:r>
      <w:r>
        <w:fldChar w:fldCharType="end"/>
      </w:r>
    </w:p>
    <w:p>
      <w:pPr>
        <w:pStyle w:val="20"/>
        <w:tabs>
          <w:tab w:val="right" w:leader="dot" w:pos="9025"/>
          <w:tab w:val="clear" w:pos="0"/>
        </w:tabs>
      </w:pPr>
      <w:r>
        <w:fldChar w:fldCharType="begin"/>
      </w:r>
      <w:r>
        <w:instrText xml:space="preserve"> HYPERLINK \l _Toc4755 </w:instrText>
      </w:r>
      <w:r>
        <w:fldChar w:fldCharType="separate"/>
      </w:r>
      <w:r>
        <w:rPr>
          <w:rFonts w:hint="eastAsia"/>
        </w:rPr>
        <w:t>八、 其他</w:t>
      </w:r>
      <w:r>
        <w:tab/>
      </w:r>
      <w:r>
        <w:fldChar w:fldCharType="begin"/>
      </w:r>
      <w:r>
        <w:instrText xml:space="preserve"> PAGEREF _Toc4755 \h </w:instrText>
      </w:r>
      <w:r>
        <w:fldChar w:fldCharType="separate"/>
      </w:r>
      <w:r>
        <w:t>23</w:t>
      </w:r>
      <w:r>
        <w:fldChar w:fldCharType="end"/>
      </w:r>
      <w:r>
        <w:fldChar w:fldCharType="end"/>
      </w:r>
    </w:p>
    <w:p>
      <w:pPr>
        <w:pStyle w:val="14"/>
        <w:tabs>
          <w:tab w:val="right" w:leader="dot" w:pos="9025"/>
          <w:tab w:val="clear" w:pos="0"/>
        </w:tabs>
      </w:pPr>
      <w:r>
        <w:fldChar w:fldCharType="begin"/>
      </w:r>
      <w:r>
        <w:instrText xml:space="preserve"> HYPERLINK \l _Toc1536 </w:instrText>
      </w:r>
      <w:r>
        <w:fldChar w:fldCharType="separate"/>
      </w:r>
      <w:r>
        <w:rPr>
          <w:rFonts w:hint="eastAsia" w:ascii="宋体" w:hAnsi="宋体" w:eastAsia="宋体" w:cs="宋体"/>
        </w:rPr>
        <w:t xml:space="preserve">(一) </w:t>
      </w:r>
      <w:r>
        <w:rPr>
          <w:rFonts w:hint="eastAsia"/>
        </w:rPr>
        <w:t>询问、质疑和投诉</w:t>
      </w:r>
      <w:r>
        <w:tab/>
      </w:r>
      <w:r>
        <w:fldChar w:fldCharType="begin"/>
      </w:r>
      <w:r>
        <w:instrText xml:space="preserve"> PAGEREF _Toc1536 \h </w:instrText>
      </w:r>
      <w:r>
        <w:fldChar w:fldCharType="separate"/>
      </w:r>
      <w:r>
        <w:t>23</w:t>
      </w:r>
      <w:r>
        <w:fldChar w:fldCharType="end"/>
      </w:r>
      <w:r>
        <w:fldChar w:fldCharType="end"/>
      </w:r>
    </w:p>
    <w:p>
      <w:pPr>
        <w:pStyle w:val="14"/>
        <w:tabs>
          <w:tab w:val="right" w:leader="dot" w:pos="9025"/>
          <w:tab w:val="clear" w:pos="0"/>
        </w:tabs>
      </w:pPr>
      <w:r>
        <w:fldChar w:fldCharType="begin"/>
      </w:r>
      <w:r>
        <w:instrText xml:space="preserve"> HYPERLINK \l _Toc27259 </w:instrText>
      </w:r>
      <w:r>
        <w:fldChar w:fldCharType="separate"/>
      </w:r>
      <w:r>
        <w:rPr>
          <w:rFonts w:hint="eastAsia" w:ascii="宋体" w:hAnsi="宋体" w:eastAsia="宋体" w:cs="宋体"/>
        </w:rPr>
        <w:t xml:space="preserve">(二) </w:t>
      </w:r>
      <w:r>
        <w:rPr>
          <w:rFonts w:hint="eastAsia"/>
        </w:rPr>
        <w:t>关于行贿犯罪档案查询工作的规定</w:t>
      </w:r>
      <w:r>
        <w:tab/>
      </w:r>
      <w:r>
        <w:fldChar w:fldCharType="begin"/>
      </w:r>
      <w:r>
        <w:instrText xml:space="preserve"> PAGEREF _Toc27259 \h </w:instrText>
      </w:r>
      <w:r>
        <w:fldChar w:fldCharType="separate"/>
      </w:r>
      <w:r>
        <w:t>23</w:t>
      </w:r>
      <w:r>
        <w:fldChar w:fldCharType="end"/>
      </w:r>
      <w:r>
        <w:fldChar w:fldCharType="end"/>
      </w:r>
    </w:p>
    <w:p>
      <w:pPr>
        <w:pStyle w:val="14"/>
        <w:tabs>
          <w:tab w:val="right" w:leader="dot" w:pos="9025"/>
          <w:tab w:val="clear" w:pos="0"/>
        </w:tabs>
      </w:pPr>
      <w:r>
        <w:fldChar w:fldCharType="begin"/>
      </w:r>
      <w:r>
        <w:instrText xml:space="preserve"> HYPERLINK \l _Toc4218 </w:instrText>
      </w:r>
      <w:r>
        <w:fldChar w:fldCharType="separate"/>
      </w:r>
      <w:r>
        <w:rPr>
          <w:rFonts w:hint="eastAsia" w:ascii="宋体" w:hAnsi="宋体" w:eastAsia="宋体" w:cs="宋体"/>
        </w:rPr>
        <w:t xml:space="preserve">(三) </w:t>
      </w:r>
      <w:r>
        <w:rPr>
          <w:rFonts w:hint="eastAsia"/>
        </w:rPr>
        <w:t>串通投标的情形</w:t>
      </w:r>
      <w:r>
        <w:tab/>
      </w:r>
      <w:r>
        <w:fldChar w:fldCharType="begin"/>
      </w:r>
      <w:r>
        <w:instrText xml:space="preserve"> PAGEREF _Toc4218 \h </w:instrText>
      </w:r>
      <w:r>
        <w:fldChar w:fldCharType="separate"/>
      </w:r>
      <w:r>
        <w:t>23</w:t>
      </w:r>
      <w:r>
        <w:fldChar w:fldCharType="end"/>
      </w:r>
      <w:r>
        <w:fldChar w:fldCharType="end"/>
      </w:r>
    </w:p>
    <w:p>
      <w:pPr>
        <w:pStyle w:val="14"/>
        <w:tabs>
          <w:tab w:val="right" w:leader="dot" w:pos="9025"/>
          <w:tab w:val="clear" w:pos="0"/>
        </w:tabs>
      </w:pPr>
      <w:r>
        <w:fldChar w:fldCharType="begin"/>
      </w:r>
      <w:r>
        <w:instrText xml:space="preserve"> HYPERLINK \l _Toc13598 </w:instrText>
      </w:r>
      <w:r>
        <w:fldChar w:fldCharType="separate"/>
      </w:r>
      <w:r>
        <w:rPr>
          <w:rFonts w:hint="eastAsia" w:ascii="宋体" w:hAnsi="宋体" w:eastAsia="宋体" w:cs="宋体"/>
        </w:rPr>
        <w:t xml:space="preserve">(四) </w:t>
      </w:r>
      <w:r>
        <w:rPr>
          <w:rFonts w:hint="eastAsia"/>
        </w:rPr>
        <w:t>投标人信用信息查询</w:t>
      </w:r>
      <w:r>
        <w:tab/>
      </w:r>
      <w:r>
        <w:fldChar w:fldCharType="begin"/>
      </w:r>
      <w:r>
        <w:instrText xml:space="preserve"> PAGEREF _Toc13598 \h </w:instrText>
      </w:r>
      <w:r>
        <w:fldChar w:fldCharType="separate"/>
      </w:r>
      <w:r>
        <w:t>23</w:t>
      </w:r>
      <w:r>
        <w:fldChar w:fldCharType="end"/>
      </w:r>
      <w:r>
        <w:fldChar w:fldCharType="end"/>
      </w:r>
    </w:p>
    <w:p>
      <w:pPr>
        <w:pStyle w:val="14"/>
        <w:tabs>
          <w:tab w:val="right" w:leader="dot" w:pos="9025"/>
          <w:tab w:val="clear" w:pos="0"/>
        </w:tabs>
      </w:pPr>
      <w:r>
        <w:fldChar w:fldCharType="begin"/>
      </w:r>
      <w:r>
        <w:instrText xml:space="preserve"> HYPERLINK \l _Toc4222 </w:instrText>
      </w:r>
      <w:r>
        <w:fldChar w:fldCharType="separate"/>
      </w:r>
      <w:r>
        <w:rPr>
          <w:rFonts w:hint="eastAsia" w:ascii="宋体" w:hAnsi="宋体" w:eastAsia="宋体" w:cs="宋体"/>
        </w:rPr>
        <w:t xml:space="preserve">(五) </w:t>
      </w:r>
      <w:r>
        <w:rPr>
          <w:rFonts w:hint="eastAsia"/>
        </w:rPr>
        <w:t>保密</w:t>
      </w:r>
      <w:r>
        <w:tab/>
      </w:r>
      <w:r>
        <w:fldChar w:fldCharType="begin"/>
      </w:r>
      <w:r>
        <w:instrText xml:space="preserve"> PAGEREF _Toc4222 \h </w:instrText>
      </w:r>
      <w:r>
        <w:fldChar w:fldCharType="separate"/>
      </w:r>
      <w:r>
        <w:t>24</w:t>
      </w:r>
      <w:r>
        <w:fldChar w:fldCharType="end"/>
      </w:r>
      <w:r>
        <w:fldChar w:fldCharType="end"/>
      </w:r>
    </w:p>
    <w:p>
      <w:pPr>
        <w:pStyle w:val="14"/>
        <w:tabs>
          <w:tab w:val="right" w:leader="dot" w:pos="9025"/>
          <w:tab w:val="clear" w:pos="0"/>
        </w:tabs>
      </w:pPr>
      <w:r>
        <w:fldChar w:fldCharType="begin"/>
      </w:r>
      <w:r>
        <w:instrText xml:space="preserve"> HYPERLINK \l _Toc15083 </w:instrText>
      </w:r>
      <w:r>
        <w:fldChar w:fldCharType="separate"/>
      </w:r>
      <w:r>
        <w:rPr>
          <w:rFonts w:hint="eastAsia" w:ascii="宋体" w:hAnsi="宋体" w:eastAsia="宋体" w:cs="宋体"/>
        </w:rPr>
        <w:t xml:space="preserve">(六) </w:t>
      </w:r>
      <w:r>
        <w:rPr>
          <w:rFonts w:hint="eastAsia"/>
        </w:rPr>
        <w:t>回避</w:t>
      </w:r>
      <w:r>
        <w:tab/>
      </w:r>
      <w:r>
        <w:fldChar w:fldCharType="begin"/>
      </w:r>
      <w:r>
        <w:instrText xml:space="preserve"> PAGEREF _Toc15083 \h </w:instrText>
      </w:r>
      <w:r>
        <w:fldChar w:fldCharType="separate"/>
      </w:r>
      <w:r>
        <w:t>24</w:t>
      </w:r>
      <w:r>
        <w:fldChar w:fldCharType="end"/>
      </w:r>
      <w:r>
        <w:fldChar w:fldCharType="end"/>
      </w:r>
    </w:p>
    <w:p>
      <w:pPr>
        <w:pStyle w:val="14"/>
        <w:tabs>
          <w:tab w:val="right" w:leader="dot" w:pos="9025"/>
          <w:tab w:val="clear" w:pos="0"/>
        </w:tabs>
      </w:pPr>
      <w:r>
        <w:fldChar w:fldCharType="begin"/>
      </w:r>
      <w:r>
        <w:instrText xml:space="preserve"> HYPERLINK \l _Toc31912 </w:instrText>
      </w:r>
      <w:r>
        <w:fldChar w:fldCharType="separate"/>
      </w:r>
      <w:r>
        <w:rPr>
          <w:rFonts w:hint="eastAsia" w:ascii="宋体" w:hAnsi="宋体" w:eastAsia="宋体" w:cs="宋体"/>
        </w:rPr>
        <w:t xml:space="preserve">(七) </w:t>
      </w:r>
      <w:r>
        <w:rPr>
          <w:rFonts w:hint="eastAsia"/>
        </w:rPr>
        <w:t>解释说明</w:t>
      </w:r>
      <w:r>
        <w:tab/>
      </w:r>
      <w:r>
        <w:fldChar w:fldCharType="begin"/>
      </w:r>
      <w:r>
        <w:instrText xml:space="preserve"> PAGEREF _Toc31912 \h </w:instrText>
      </w:r>
      <w:r>
        <w:fldChar w:fldCharType="separate"/>
      </w:r>
      <w:r>
        <w:t>24</w:t>
      </w:r>
      <w:r>
        <w:fldChar w:fldCharType="end"/>
      </w:r>
      <w:r>
        <w:fldChar w:fldCharType="end"/>
      </w:r>
    </w:p>
    <w:p>
      <w:pPr>
        <w:pStyle w:val="19"/>
        <w:tabs>
          <w:tab w:val="right" w:leader="dot" w:pos="9025"/>
          <w:tab w:val="clear" w:pos="0"/>
          <w:tab w:val="clear" w:pos="9746"/>
        </w:tabs>
      </w:pPr>
      <w:r>
        <w:fldChar w:fldCharType="begin"/>
      </w:r>
      <w:r>
        <w:instrText xml:space="preserve"> HYPERLINK \l _Toc20558 </w:instrText>
      </w:r>
      <w:r>
        <w:fldChar w:fldCharType="separate"/>
      </w:r>
      <w:r>
        <w:rPr>
          <w:rFonts w:hint="eastAsia" w:ascii="宋体" w:hAnsi="宋体" w:eastAsia="宋体" w:cs="宋体"/>
        </w:rPr>
        <w:t xml:space="preserve">第三章 </w:t>
      </w:r>
      <w:r>
        <w:rPr>
          <w:rFonts w:hint="eastAsia"/>
        </w:rPr>
        <w:t>投标文件格式</w:t>
      </w:r>
      <w:r>
        <w:tab/>
      </w:r>
      <w:r>
        <w:fldChar w:fldCharType="begin"/>
      </w:r>
      <w:r>
        <w:instrText xml:space="preserve"> PAGEREF _Toc20558 \h </w:instrText>
      </w:r>
      <w:r>
        <w:fldChar w:fldCharType="separate"/>
      </w:r>
      <w:r>
        <w:t>25</w:t>
      </w:r>
      <w:r>
        <w:fldChar w:fldCharType="end"/>
      </w:r>
      <w:r>
        <w:fldChar w:fldCharType="end"/>
      </w:r>
    </w:p>
    <w:p>
      <w:pPr>
        <w:pStyle w:val="20"/>
        <w:tabs>
          <w:tab w:val="right" w:leader="dot" w:pos="9025"/>
          <w:tab w:val="clear" w:pos="0"/>
        </w:tabs>
      </w:pPr>
      <w:r>
        <w:fldChar w:fldCharType="begin"/>
      </w:r>
      <w:r>
        <w:instrText xml:space="preserve"> HYPERLINK \l _Toc14069 </w:instrText>
      </w:r>
      <w:r>
        <w:fldChar w:fldCharType="separate"/>
      </w:r>
      <w:r>
        <w:rPr>
          <w:rFonts w:hint="eastAsia"/>
          <w:szCs w:val="32"/>
        </w:rPr>
        <w:t>第一部分 资格、资质性及其他类似效力投标文件(格式)</w:t>
      </w:r>
      <w:r>
        <w:tab/>
      </w:r>
      <w:r>
        <w:fldChar w:fldCharType="begin"/>
      </w:r>
      <w:r>
        <w:instrText xml:space="preserve"> PAGEREF _Toc14069 \h </w:instrText>
      </w:r>
      <w:r>
        <w:fldChar w:fldCharType="separate"/>
      </w:r>
      <w:r>
        <w:t>28</w:t>
      </w:r>
      <w:r>
        <w:fldChar w:fldCharType="end"/>
      </w:r>
      <w:r>
        <w:fldChar w:fldCharType="end"/>
      </w:r>
    </w:p>
    <w:p>
      <w:pPr>
        <w:pStyle w:val="14"/>
        <w:tabs>
          <w:tab w:val="right" w:leader="dot" w:pos="9025"/>
          <w:tab w:val="clear" w:pos="0"/>
        </w:tabs>
      </w:pPr>
      <w:r>
        <w:fldChar w:fldCharType="begin"/>
      </w:r>
      <w:r>
        <w:instrText xml:space="preserve"> HYPERLINK \l _Toc15172 </w:instrText>
      </w:r>
      <w:r>
        <w:fldChar w:fldCharType="separate"/>
      </w:r>
      <w:r>
        <w:rPr>
          <w:rFonts w:hint="eastAsia"/>
        </w:rPr>
        <w:t>一、 法定代表人/单位负责人授权书</w:t>
      </w:r>
      <w:r>
        <w:tab/>
      </w:r>
      <w:r>
        <w:fldChar w:fldCharType="begin"/>
      </w:r>
      <w:r>
        <w:instrText xml:space="preserve"> PAGEREF _Toc15172 \h </w:instrText>
      </w:r>
      <w:r>
        <w:fldChar w:fldCharType="separate"/>
      </w:r>
      <w:r>
        <w:t>1</w:t>
      </w:r>
      <w:r>
        <w:fldChar w:fldCharType="end"/>
      </w:r>
      <w:r>
        <w:fldChar w:fldCharType="end"/>
      </w:r>
    </w:p>
    <w:p>
      <w:pPr>
        <w:pStyle w:val="14"/>
        <w:tabs>
          <w:tab w:val="right" w:leader="dot" w:pos="9025"/>
          <w:tab w:val="clear" w:pos="0"/>
        </w:tabs>
      </w:pPr>
      <w:r>
        <w:fldChar w:fldCharType="begin"/>
      </w:r>
      <w:r>
        <w:instrText xml:space="preserve"> HYPERLINK \l _Toc4153 </w:instrText>
      </w:r>
      <w:r>
        <w:fldChar w:fldCharType="separate"/>
      </w:r>
      <w:r>
        <w:rPr>
          <w:rFonts w:hint="eastAsia"/>
          <w:snapToGrid w:val="0"/>
        </w:rPr>
        <w:t>一、 法定代表人/单位负责人身份证明书</w:t>
      </w:r>
      <w:r>
        <w:tab/>
      </w:r>
      <w:r>
        <w:fldChar w:fldCharType="begin"/>
      </w:r>
      <w:r>
        <w:instrText xml:space="preserve"> PAGEREF _Toc4153 \h </w:instrText>
      </w:r>
      <w:r>
        <w:fldChar w:fldCharType="separate"/>
      </w:r>
      <w:r>
        <w:t>1</w:t>
      </w:r>
      <w:r>
        <w:fldChar w:fldCharType="end"/>
      </w:r>
      <w:r>
        <w:fldChar w:fldCharType="end"/>
      </w:r>
    </w:p>
    <w:p>
      <w:pPr>
        <w:pStyle w:val="14"/>
        <w:tabs>
          <w:tab w:val="right" w:leader="dot" w:pos="9025"/>
          <w:tab w:val="clear" w:pos="0"/>
        </w:tabs>
      </w:pPr>
      <w:r>
        <w:fldChar w:fldCharType="begin"/>
      </w:r>
      <w:r>
        <w:instrText xml:space="preserve"> HYPERLINK \l _Toc24379 </w:instrText>
      </w:r>
      <w:r>
        <w:fldChar w:fldCharType="separate"/>
      </w:r>
      <w:r>
        <w:rPr>
          <w:rFonts w:hint="eastAsia"/>
          <w:snapToGrid w:val="0"/>
        </w:rPr>
        <w:t>二、 具有独立承担民事责任的能力的证明材料</w:t>
      </w:r>
      <w:r>
        <w:tab/>
      </w:r>
      <w:r>
        <w:fldChar w:fldCharType="begin"/>
      </w:r>
      <w:r>
        <w:instrText xml:space="preserve"> PAGEREF _Toc24379 \h </w:instrText>
      </w:r>
      <w:r>
        <w:fldChar w:fldCharType="separate"/>
      </w:r>
      <w:r>
        <w:t>2</w:t>
      </w:r>
      <w:r>
        <w:fldChar w:fldCharType="end"/>
      </w:r>
      <w:r>
        <w:fldChar w:fldCharType="end"/>
      </w:r>
    </w:p>
    <w:p>
      <w:pPr>
        <w:pStyle w:val="14"/>
        <w:tabs>
          <w:tab w:val="right" w:leader="dot" w:pos="9025"/>
          <w:tab w:val="clear" w:pos="0"/>
        </w:tabs>
      </w:pPr>
      <w:r>
        <w:fldChar w:fldCharType="begin"/>
      </w:r>
      <w:r>
        <w:instrText xml:space="preserve"> HYPERLINK \l _Toc22274 </w:instrText>
      </w:r>
      <w:r>
        <w:fldChar w:fldCharType="separate"/>
      </w:r>
      <w:r>
        <w:rPr>
          <w:rFonts w:hint="eastAsia"/>
          <w:snapToGrid w:val="0"/>
        </w:rPr>
        <w:t>三、 投标人具有良好的商业信誉和健全的财务会计制度的证明材料</w:t>
      </w:r>
      <w:r>
        <w:tab/>
      </w:r>
      <w:r>
        <w:fldChar w:fldCharType="begin"/>
      </w:r>
      <w:r>
        <w:instrText xml:space="preserve"> PAGEREF _Toc22274 \h </w:instrText>
      </w:r>
      <w:r>
        <w:fldChar w:fldCharType="separate"/>
      </w:r>
      <w:r>
        <w:t>3</w:t>
      </w:r>
      <w:r>
        <w:fldChar w:fldCharType="end"/>
      </w:r>
      <w:r>
        <w:fldChar w:fldCharType="end"/>
      </w:r>
    </w:p>
    <w:p>
      <w:pPr>
        <w:pStyle w:val="14"/>
        <w:tabs>
          <w:tab w:val="right" w:leader="dot" w:pos="9025"/>
          <w:tab w:val="clear" w:pos="0"/>
        </w:tabs>
      </w:pPr>
      <w:r>
        <w:fldChar w:fldCharType="begin"/>
      </w:r>
      <w:r>
        <w:instrText xml:space="preserve"> HYPERLINK \l _Toc5621 </w:instrText>
      </w:r>
      <w:r>
        <w:fldChar w:fldCharType="separate"/>
      </w:r>
      <w:r>
        <w:rPr>
          <w:rFonts w:hint="eastAsia"/>
          <w:snapToGrid w:val="0"/>
        </w:rPr>
        <w:t>四、 投标人具有依法缴纳税收和社会保障资金的良好记录的证明材料</w:t>
      </w:r>
      <w:r>
        <w:tab/>
      </w:r>
      <w:r>
        <w:fldChar w:fldCharType="begin"/>
      </w:r>
      <w:r>
        <w:instrText xml:space="preserve"> PAGEREF _Toc5621 \h </w:instrText>
      </w:r>
      <w:r>
        <w:fldChar w:fldCharType="separate"/>
      </w:r>
      <w:r>
        <w:t>4</w:t>
      </w:r>
      <w:r>
        <w:fldChar w:fldCharType="end"/>
      </w:r>
      <w:r>
        <w:fldChar w:fldCharType="end"/>
      </w:r>
    </w:p>
    <w:p>
      <w:pPr>
        <w:pStyle w:val="14"/>
        <w:tabs>
          <w:tab w:val="right" w:leader="dot" w:pos="9025"/>
          <w:tab w:val="clear" w:pos="0"/>
        </w:tabs>
      </w:pPr>
      <w:r>
        <w:fldChar w:fldCharType="begin"/>
      </w:r>
      <w:r>
        <w:instrText xml:space="preserve"> HYPERLINK \l _Toc10294 </w:instrText>
      </w:r>
      <w:r>
        <w:fldChar w:fldCharType="separate"/>
      </w:r>
      <w:r>
        <w:rPr>
          <w:rFonts w:hint="eastAsia"/>
          <w:snapToGrid w:val="0"/>
        </w:rPr>
        <w:t>五、 投标人具有履行合同所必需的设备和专业技术能力证明材料</w:t>
      </w:r>
      <w:r>
        <w:tab/>
      </w:r>
      <w:r>
        <w:fldChar w:fldCharType="begin"/>
      </w:r>
      <w:r>
        <w:instrText xml:space="preserve"> PAGEREF _Toc10294 \h </w:instrText>
      </w:r>
      <w:r>
        <w:fldChar w:fldCharType="separate"/>
      </w:r>
      <w:r>
        <w:t>5</w:t>
      </w:r>
      <w:r>
        <w:fldChar w:fldCharType="end"/>
      </w:r>
      <w:r>
        <w:fldChar w:fldCharType="end"/>
      </w:r>
    </w:p>
    <w:p>
      <w:pPr>
        <w:pStyle w:val="14"/>
        <w:tabs>
          <w:tab w:val="right" w:leader="dot" w:pos="9025"/>
          <w:tab w:val="clear" w:pos="0"/>
        </w:tabs>
      </w:pPr>
      <w:r>
        <w:fldChar w:fldCharType="begin"/>
      </w:r>
      <w:r>
        <w:instrText xml:space="preserve"> HYPERLINK \l _Toc32344 </w:instrText>
      </w:r>
      <w:r>
        <w:fldChar w:fldCharType="separate"/>
      </w:r>
      <w:r>
        <w:rPr>
          <w:rFonts w:hint="eastAsia"/>
          <w:snapToGrid w:val="0"/>
        </w:rPr>
        <w:t>六、 投标人参加政府采购活动前三年内，在经营活动中没有重大违法记录的证明材料</w:t>
      </w:r>
      <w:r>
        <w:tab/>
      </w:r>
      <w:r>
        <w:fldChar w:fldCharType="begin"/>
      </w:r>
      <w:r>
        <w:instrText xml:space="preserve"> PAGEREF _Toc32344 \h </w:instrText>
      </w:r>
      <w:r>
        <w:fldChar w:fldCharType="separate"/>
      </w:r>
      <w:r>
        <w:t>6</w:t>
      </w:r>
      <w:r>
        <w:fldChar w:fldCharType="end"/>
      </w:r>
      <w:r>
        <w:fldChar w:fldCharType="end"/>
      </w:r>
    </w:p>
    <w:p>
      <w:pPr>
        <w:pStyle w:val="14"/>
        <w:tabs>
          <w:tab w:val="right" w:leader="dot" w:pos="9025"/>
          <w:tab w:val="clear" w:pos="0"/>
        </w:tabs>
      </w:pPr>
      <w:r>
        <w:fldChar w:fldCharType="begin"/>
      </w:r>
      <w:r>
        <w:instrText xml:space="preserve"> HYPERLINK \l _Toc9906 </w:instrText>
      </w:r>
      <w:r>
        <w:fldChar w:fldCharType="separate"/>
      </w:r>
      <w:r>
        <w:rPr>
          <w:rFonts w:hint="eastAsia"/>
          <w:snapToGrid w:val="0"/>
          <w:lang w:val="zh-CN"/>
        </w:rPr>
        <w:t xml:space="preserve">七、 </w:t>
      </w:r>
      <w:r>
        <w:rPr>
          <w:rFonts w:hint="eastAsia"/>
          <w:snapToGrid w:val="0"/>
        </w:rPr>
        <w:t>投标人</w:t>
      </w:r>
      <w:r>
        <w:rPr>
          <w:rFonts w:hint="eastAsia"/>
          <w:snapToGrid w:val="0"/>
          <w:lang w:val="zh-CN"/>
        </w:rPr>
        <w:t>及其现任法定代表人、主要负责人不得具有行贿犯罪记录</w:t>
      </w:r>
      <w:r>
        <w:rPr>
          <w:rFonts w:hint="eastAsia"/>
          <w:snapToGrid w:val="0"/>
        </w:rPr>
        <w:t>的承诺函</w:t>
      </w:r>
      <w:r>
        <w:tab/>
      </w:r>
      <w:r>
        <w:fldChar w:fldCharType="begin"/>
      </w:r>
      <w:r>
        <w:instrText xml:space="preserve"> PAGEREF _Toc9906 \h </w:instrText>
      </w:r>
      <w:r>
        <w:fldChar w:fldCharType="separate"/>
      </w:r>
      <w:r>
        <w:t>7</w:t>
      </w:r>
      <w:r>
        <w:fldChar w:fldCharType="end"/>
      </w:r>
      <w:r>
        <w:fldChar w:fldCharType="end"/>
      </w:r>
    </w:p>
    <w:p>
      <w:pPr>
        <w:pStyle w:val="14"/>
        <w:tabs>
          <w:tab w:val="right" w:leader="dot" w:pos="9025"/>
          <w:tab w:val="clear" w:pos="0"/>
        </w:tabs>
      </w:pPr>
      <w:r>
        <w:fldChar w:fldCharType="begin"/>
      </w:r>
      <w:r>
        <w:instrText xml:space="preserve"> HYPERLINK \l _Toc30996 </w:instrText>
      </w:r>
      <w:r>
        <w:fldChar w:fldCharType="separate"/>
      </w:r>
      <w:r>
        <w:rPr>
          <w:rFonts w:hint="eastAsia"/>
          <w:snapToGrid w:val="0"/>
        </w:rPr>
        <w:t>八、 符合《中华人民共和国政府采购法》第二十二条规定的条件的承诺及声明函</w:t>
      </w:r>
      <w:r>
        <w:tab/>
      </w:r>
      <w:r>
        <w:fldChar w:fldCharType="begin"/>
      </w:r>
      <w:r>
        <w:instrText xml:space="preserve"> PAGEREF _Toc30996 \h </w:instrText>
      </w:r>
      <w:r>
        <w:fldChar w:fldCharType="separate"/>
      </w:r>
      <w:r>
        <w:t>8</w:t>
      </w:r>
      <w:r>
        <w:fldChar w:fldCharType="end"/>
      </w:r>
      <w:r>
        <w:fldChar w:fldCharType="end"/>
      </w:r>
    </w:p>
    <w:p>
      <w:pPr>
        <w:pStyle w:val="14"/>
        <w:tabs>
          <w:tab w:val="right" w:leader="dot" w:pos="9025"/>
          <w:tab w:val="clear" w:pos="0"/>
        </w:tabs>
      </w:pPr>
      <w:r>
        <w:fldChar w:fldCharType="begin"/>
      </w:r>
      <w:r>
        <w:instrText xml:space="preserve"> HYPERLINK \l _Toc31879 </w:instrText>
      </w:r>
      <w:r>
        <w:fldChar w:fldCharType="separate"/>
      </w:r>
      <w:r>
        <w:rPr>
          <w:rFonts w:hint="eastAsia"/>
          <w:snapToGrid w:val="0"/>
          <w:lang w:val="zh-CN"/>
        </w:rPr>
        <w:t>九、 落实政府采购政策需满足的资格要求</w:t>
      </w:r>
      <w:r>
        <w:tab/>
      </w:r>
      <w:r>
        <w:fldChar w:fldCharType="begin"/>
      </w:r>
      <w:r>
        <w:instrText xml:space="preserve"> PAGEREF _Toc31879 \h </w:instrText>
      </w:r>
      <w:r>
        <w:fldChar w:fldCharType="separate"/>
      </w:r>
      <w:r>
        <w:t>9</w:t>
      </w:r>
      <w:r>
        <w:fldChar w:fldCharType="end"/>
      </w:r>
      <w:r>
        <w:fldChar w:fldCharType="end"/>
      </w:r>
    </w:p>
    <w:p>
      <w:pPr>
        <w:pStyle w:val="20"/>
        <w:tabs>
          <w:tab w:val="right" w:leader="dot" w:pos="9025"/>
          <w:tab w:val="clear" w:pos="0"/>
        </w:tabs>
      </w:pPr>
      <w:r>
        <w:fldChar w:fldCharType="begin"/>
      </w:r>
      <w:r>
        <w:instrText xml:space="preserve"> HYPERLINK \l _Toc11157 </w:instrText>
      </w:r>
      <w:r>
        <w:fldChar w:fldCharType="separate"/>
      </w:r>
      <w:r>
        <w:rPr>
          <w:rFonts w:hint="eastAsia"/>
          <w:szCs w:val="32"/>
        </w:rPr>
        <w:t>第二部分 其他投标文件(格式)</w:t>
      </w:r>
      <w:r>
        <w:tab/>
      </w:r>
      <w:r>
        <w:fldChar w:fldCharType="begin"/>
      </w:r>
      <w:r>
        <w:instrText xml:space="preserve"> PAGEREF _Toc11157 \h </w:instrText>
      </w:r>
      <w:r>
        <w:fldChar w:fldCharType="separate"/>
      </w:r>
      <w:r>
        <w:t>12</w:t>
      </w:r>
      <w:r>
        <w:fldChar w:fldCharType="end"/>
      </w:r>
      <w:r>
        <w:fldChar w:fldCharType="end"/>
      </w:r>
    </w:p>
    <w:p>
      <w:pPr>
        <w:pStyle w:val="14"/>
        <w:tabs>
          <w:tab w:val="right" w:leader="dot" w:pos="9025"/>
          <w:tab w:val="clear" w:pos="0"/>
        </w:tabs>
      </w:pPr>
      <w:r>
        <w:fldChar w:fldCharType="begin"/>
      </w:r>
      <w:r>
        <w:instrText xml:space="preserve"> HYPERLINK \l _Toc13994 </w:instrText>
      </w:r>
      <w:r>
        <w:fldChar w:fldCharType="separate"/>
      </w:r>
      <w:r>
        <w:rPr>
          <w:rFonts w:hint="eastAsia"/>
          <w:snapToGrid w:val="0"/>
        </w:rPr>
        <w:t>一、 投标函</w:t>
      </w:r>
      <w:r>
        <w:tab/>
      </w:r>
      <w:r>
        <w:fldChar w:fldCharType="begin"/>
      </w:r>
      <w:r>
        <w:instrText xml:space="preserve"> PAGEREF _Toc13994 \h </w:instrText>
      </w:r>
      <w:r>
        <w:fldChar w:fldCharType="separate"/>
      </w:r>
      <w:r>
        <w:t>13</w:t>
      </w:r>
      <w:r>
        <w:fldChar w:fldCharType="end"/>
      </w:r>
      <w:r>
        <w:fldChar w:fldCharType="end"/>
      </w:r>
    </w:p>
    <w:p>
      <w:pPr>
        <w:pStyle w:val="14"/>
        <w:tabs>
          <w:tab w:val="right" w:leader="dot" w:pos="9025"/>
          <w:tab w:val="clear" w:pos="0"/>
        </w:tabs>
      </w:pPr>
      <w:r>
        <w:fldChar w:fldCharType="begin"/>
      </w:r>
      <w:r>
        <w:instrText xml:space="preserve"> HYPERLINK \l _Toc16227 </w:instrText>
      </w:r>
      <w:r>
        <w:fldChar w:fldCharType="separate"/>
      </w:r>
      <w:r>
        <w:rPr>
          <w:rFonts w:hint="eastAsia"/>
          <w:snapToGrid w:val="0"/>
        </w:rPr>
        <w:t>二、 实质性要求承诺</w:t>
      </w:r>
      <w:r>
        <w:tab/>
      </w:r>
      <w:r>
        <w:fldChar w:fldCharType="begin"/>
      </w:r>
      <w:r>
        <w:instrText xml:space="preserve"> PAGEREF _Toc16227 \h </w:instrText>
      </w:r>
      <w:r>
        <w:fldChar w:fldCharType="separate"/>
      </w:r>
      <w:r>
        <w:t>15</w:t>
      </w:r>
      <w:r>
        <w:fldChar w:fldCharType="end"/>
      </w:r>
      <w:r>
        <w:fldChar w:fldCharType="end"/>
      </w:r>
    </w:p>
    <w:p>
      <w:pPr>
        <w:pStyle w:val="14"/>
        <w:tabs>
          <w:tab w:val="right" w:leader="dot" w:pos="9025"/>
          <w:tab w:val="clear" w:pos="0"/>
        </w:tabs>
      </w:pPr>
      <w:r>
        <w:fldChar w:fldCharType="begin"/>
      </w:r>
      <w:r>
        <w:instrText xml:space="preserve"> HYPERLINK \l _Toc3900 </w:instrText>
      </w:r>
      <w:r>
        <w:fldChar w:fldCharType="separate"/>
      </w:r>
      <w:r>
        <w:rPr>
          <w:rFonts w:hint="eastAsia"/>
          <w:snapToGrid w:val="0"/>
        </w:rPr>
        <w:t>三、 投标人基本情况表</w:t>
      </w:r>
      <w:r>
        <w:tab/>
      </w:r>
      <w:r>
        <w:fldChar w:fldCharType="begin"/>
      </w:r>
      <w:r>
        <w:instrText xml:space="preserve"> PAGEREF _Toc3900 \h </w:instrText>
      </w:r>
      <w:r>
        <w:fldChar w:fldCharType="separate"/>
      </w:r>
      <w:r>
        <w:t>17</w:t>
      </w:r>
      <w:r>
        <w:fldChar w:fldCharType="end"/>
      </w:r>
      <w:r>
        <w:fldChar w:fldCharType="end"/>
      </w:r>
    </w:p>
    <w:p>
      <w:pPr>
        <w:pStyle w:val="14"/>
        <w:tabs>
          <w:tab w:val="right" w:leader="dot" w:pos="9025"/>
          <w:tab w:val="clear" w:pos="0"/>
        </w:tabs>
      </w:pPr>
      <w:r>
        <w:fldChar w:fldCharType="begin"/>
      </w:r>
      <w:r>
        <w:instrText xml:space="preserve"> HYPERLINK \l _Toc27093 </w:instrText>
      </w:r>
      <w:r>
        <w:fldChar w:fldCharType="separate"/>
      </w:r>
      <w:r>
        <w:rPr>
          <w:rFonts w:hint="eastAsia"/>
          <w:snapToGrid w:val="0"/>
        </w:rPr>
        <w:t>四、 开标一览表</w:t>
      </w:r>
      <w:r>
        <w:tab/>
      </w:r>
      <w:r>
        <w:fldChar w:fldCharType="begin"/>
      </w:r>
      <w:r>
        <w:instrText xml:space="preserve"> PAGEREF _Toc27093 \h </w:instrText>
      </w:r>
      <w:r>
        <w:fldChar w:fldCharType="separate"/>
      </w:r>
      <w:r>
        <w:t>18</w:t>
      </w:r>
      <w:r>
        <w:fldChar w:fldCharType="end"/>
      </w:r>
      <w:r>
        <w:fldChar w:fldCharType="end"/>
      </w:r>
    </w:p>
    <w:p>
      <w:pPr>
        <w:pStyle w:val="14"/>
        <w:tabs>
          <w:tab w:val="right" w:leader="dot" w:pos="9025"/>
          <w:tab w:val="clear" w:pos="0"/>
        </w:tabs>
      </w:pPr>
      <w:r>
        <w:fldChar w:fldCharType="begin"/>
      </w:r>
      <w:r>
        <w:instrText xml:space="preserve"> HYPERLINK \l _Toc8976 </w:instrText>
      </w:r>
      <w:r>
        <w:fldChar w:fldCharType="separate"/>
      </w:r>
      <w:r>
        <w:rPr>
          <w:rFonts w:hint="eastAsia"/>
          <w:snapToGrid w:val="0"/>
        </w:rPr>
        <w:t>五、 商务应答表</w:t>
      </w:r>
      <w:r>
        <w:tab/>
      </w:r>
      <w:r>
        <w:fldChar w:fldCharType="begin"/>
      </w:r>
      <w:r>
        <w:instrText xml:space="preserve"> PAGEREF _Toc8976 \h </w:instrText>
      </w:r>
      <w:r>
        <w:fldChar w:fldCharType="separate"/>
      </w:r>
      <w:r>
        <w:t>19</w:t>
      </w:r>
      <w:r>
        <w:fldChar w:fldCharType="end"/>
      </w:r>
      <w:r>
        <w:fldChar w:fldCharType="end"/>
      </w:r>
    </w:p>
    <w:p>
      <w:pPr>
        <w:pStyle w:val="14"/>
        <w:tabs>
          <w:tab w:val="right" w:leader="dot" w:pos="9025"/>
          <w:tab w:val="clear" w:pos="0"/>
        </w:tabs>
      </w:pPr>
      <w:r>
        <w:fldChar w:fldCharType="begin"/>
      </w:r>
      <w:r>
        <w:instrText xml:space="preserve"> HYPERLINK \l _Toc26108 </w:instrText>
      </w:r>
      <w:r>
        <w:fldChar w:fldCharType="separate"/>
      </w:r>
      <w:r>
        <w:rPr>
          <w:rFonts w:hint="eastAsia"/>
          <w:snapToGrid w:val="0"/>
        </w:rPr>
        <w:t>六、 服务应答表</w:t>
      </w:r>
      <w:r>
        <w:tab/>
      </w:r>
      <w:r>
        <w:fldChar w:fldCharType="begin"/>
      </w:r>
      <w:r>
        <w:instrText xml:space="preserve"> PAGEREF _Toc26108 \h </w:instrText>
      </w:r>
      <w:r>
        <w:fldChar w:fldCharType="separate"/>
      </w:r>
      <w:r>
        <w:t>20</w:t>
      </w:r>
      <w:r>
        <w:fldChar w:fldCharType="end"/>
      </w:r>
      <w:r>
        <w:fldChar w:fldCharType="end"/>
      </w:r>
    </w:p>
    <w:p>
      <w:pPr>
        <w:pStyle w:val="14"/>
        <w:tabs>
          <w:tab w:val="right" w:leader="dot" w:pos="9025"/>
          <w:tab w:val="clear" w:pos="0"/>
        </w:tabs>
      </w:pPr>
      <w:r>
        <w:fldChar w:fldCharType="begin"/>
      </w:r>
      <w:r>
        <w:instrText xml:space="preserve"> HYPERLINK \l _Toc13395 </w:instrText>
      </w:r>
      <w:r>
        <w:fldChar w:fldCharType="separate"/>
      </w:r>
      <w:r>
        <w:rPr>
          <w:rFonts w:hint="eastAsia"/>
          <w:snapToGrid w:val="0"/>
        </w:rPr>
        <w:t>七、 履约能力及相关证明</w:t>
      </w:r>
      <w:r>
        <w:tab/>
      </w:r>
      <w:r>
        <w:fldChar w:fldCharType="begin"/>
      </w:r>
      <w:r>
        <w:instrText xml:space="preserve"> PAGEREF _Toc13395 \h </w:instrText>
      </w:r>
      <w:r>
        <w:fldChar w:fldCharType="separate"/>
      </w:r>
      <w:r>
        <w:t>21</w:t>
      </w:r>
      <w:r>
        <w:fldChar w:fldCharType="end"/>
      </w:r>
      <w:r>
        <w:fldChar w:fldCharType="end"/>
      </w:r>
    </w:p>
    <w:p>
      <w:pPr>
        <w:pStyle w:val="14"/>
        <w:tabs>
          <w:tab w:val="right" w:leader="dot" w:pos="9025"/>
          <w:tab w:val="clear" w:pos="0"/>
        </w:tabs>
      </w:pPr>
      <w:r>
        <w:fldChar w:fldCharType="begin"/>
      </w:r>
      <w:r>
        <w:instrText xml:space="preserve"> HYPERLINK \l _Toc6952 </w:instrText>
      </w:r>
      <w:r>
        <w:fldChar w:fldCharType="separate"/>
      </w:r>
      <w:r>
        <w:rPr>
          <w:rFonts w:hint="eastAsia"/>
          <w:snapToGrid w:val="0"/>
        </w:rPr>
        <w:t>八、 投标人针对本项目人员配置情况表</w:t>
      </w:r>
      <w:r>
        <w:tab/>
      </w:r>
      <w:r>
        <w:fldChar w:fldCharType="begin"/>
      </w:r>
      <w:r>
        <w:instrText xml:space="preserve"> PAGEREF _Toc6952 \h </w:instrText>
      </w:r>
      <w:r>
        <w:fldChar w:fldCharType="separate"/>
      </w:r>
      <w:r>
        <w:t>22</w:t>
      </w:r>
      <w:r>
        <w:fldChar w:fldCharType="end"/>
      </w:r>
      <w:r>
        <w:fldChar w:fldCharType="end"/>
      </w:r>
    </w:p>
    <w:p>
      <w:pPr>
        <w:pStyle w:val="14"/>
        <w:tabs>
          <w:tab w:val="right" w:leader="dot" w:pos="9025"/>
          <w:tab w:val="clear" w:pos="0"/>
        </w:tabs>
      </w:pPr>
      <w:r>
        <w:fldChar w:fldCharType="begin"/>
      </w:r>
      <w:r>
        <w:instrText xml:space="preserve"> HYPERLINK \l _Toc27526 </w:instrText>
      </w:r>
      <w:r>
        <w:fldChar w:fldCharType="separate"/>
      </w:r>
      <w:r>
        <w:rPr>
          <w:rFonts w:hint="eastAsia"/>
          <w:snapToGrid w:val="0"/>
        </w:rPr>
        <w:t>九、 实施方案、文档维护方案</w:t>
      </w:r>
      <w:r>
        <w:tab/>
      </w:r>
      <w:r>
        <w:fldChar w:fldCharType="begin"/>
      </w:r>
      <w:r>
        <w:instrText xml:space="preserve"> PAGEREF _Toc27526 \h </w:instrText>
      </w:r>
      <w:r>
        <w:fldChar w:fldCharType="separate"/>
      </w:r>
      <w:r>
        <w:t>23</w:t>
      </w:r>
      <w:r>
        <w:fldChar w:fldCharType="end"/>
      </w:r>
      <w:r>
        <w:fldChar w:fldCharType="end"/>
      </w:r>
    </w:p>
    <w:p>
      <w:pPr>
        <w:pStyle w:val="14"/>
        <w:tabs>
          <w:tab w:val="right" w:leader="dot" w:pos="9025"/>
          <w:tab w:val="clear" w:pos="0"/>
        </w:tabs>
      </w:pPr>
      <w:r>
        <w:fldChar w:fldCharType="begin"/>
      </w:r>
      <w:r>
        <w:instrText xml:space="preserve"> HYPERLINK \l _Toc15495 </w:instrText>
      </w:r>
      <w:r>
        <w:fldChar w:fldCharType="separate"/>
      </w:r>
      <w:r>
        <w:rPr>
          <w:rFonts w:hint="eastAsia"/>
          <w:snapToGrid w:val="0"/>
        </w:rPr>
        <w:t>十、 招标代理服务费承诺函</w:t>
      </w:r>
      <w:r>
        <w:tab/>
      </w:r>
      <w:r>
        <w:fldChar w:fldCharType="begin"/>
      </w:r>
      <w:r>
        <w:instrText xml:space="preserve"> PAGEREF _Toc15495 \h </w:instrText>
      </w:r>
      <w:r>
        <w:fldChar w:fldCharType="separate"/>
      </w:r>
      <w:r>
        <w:t>24</w:t>
      </w:r>
      <w:r>
        <w:fldChar w:fldCharType="end"/>
      </w:r>
      <w:r>
        <w:fldChar w:fldCharType="end"/>
      </w:r>
    </w:p>
    <w:p>
      <w:pPr>
        <w:pStyle w:val="19"/>
        <w:tabs>
          <w:tab w:val="right" w:leader="dot" w:pos="9025"/>
          <w:tab w:val="clear" w:pos="0"/>
          <w:tab w:val="clear" w:pos="9746"/>
        </w:tabs>
      </w:pPr>
      <w:r>
        <w:fldChar w:fldCharType="begin"/>
      </w:r>
      <w:r>
        <w:instrText xml:space="preserve"> HYPERLINK \l _Toc20772 </w:instrText>
      </w:r>
      <w:r>
        <w:fldChar w:fldCharType="separate"/>
      </w:r>
      <w:r>
        <w:rPr>
          <w:rFonts w:hint="eastAsia" w:ascii="宋体" w:hAnsi="宋体" w:eastAsia="宋体" w:cs="宋体"/>
          <w:snapToGrid w:val="0"/>
        </w:rPr>
        <w:t xml:space="preserve">第四章 </w:t>
      </w:r>
      <w:r>
        <w:rPr>
          <w:rFonts w:hint="eastAsia"/>
          <w:snapToGrid w:val="0"/>
        </w:rPr>
        <w:t>投标人和投标产品的资格、资质性及其他类似效力要求</w:t>
      </w:r>
      <w:r>
        <w:tab/>
      </w:r>
      <w:r>
        <w:fldChar w:fldCharType="begin"/>
      </w:r>
      <w:r>
        <w:instrText xml:space="preserve"> PAGEREF _Toc20772 \h </w:instrText>
      </w:r>
      <w:r>
        <w:fldChar w:fldCharType="separate"/>
      </w:r>
      <w:r>
        <w:t>25</w:t>
      </w:r>
      <w:r>
        <w:fldChar w:fldCharType="end"/>
      </w:r>
      <w:r>
        <w:fldChar w:fldCharType="end"/>
      </w:r>
    </w:p>
    <w:p>
      <w:pPr>
        <w:pStyle w:val="20"/>
        <w:tabs>
          <w:tab w:val="right" w:leader="dot" w:pos="9025"/>
          <w:tab w:val="clear" w:pos="0"/>
        </w:tabs>
      </w:pPr>
      <w:r>
        <w:fldChar w:fldCharType="begin"/>
      </w:r>
      <w:r>
        <w:instrText xml:space="preserve"> HYPERLINK \l _Toc21150 </w:instrText>
      </w:r>
      <w:r>
        <w:fldChar w:fldCharType="separate"/>
      </w:r>
      <w:r>
        <w:rPr>
          <w:rFonts w:hint="eastAsia" w:ascii="宋体" w:hAnsi="宋体" w:eastAsia="宋体" w:cs="宋体"/>
          <w:lang w:val="zh-CN"/>
        </w:rPr>
        <w:t xml:space="preserve">一、 </w:t>
      </w:r>
      <w:r>
        <w:rPr>
          <w:rFonts w:hint="eastAsia"/>
        </w:rPr>
        <w:t>投标人资格、资质性及其他类似效力要求</w:t>
      </w:r>
      <w:r>
        <w:tab/>
      </w:r>
      <w:r>
        <w:fldChar w:fldCharType="begin"/>
      </w:r>
      <w:r>
        <w:instrText xml:space="preserve"> PAGEREF _Toc21150 \h </w:instrText>
      </w:r>
      <w:r>
        <w:fldChar w:fldCharType="separate"/>
      </w:r>
      <w:r>
        <w:t>25</w:t>
      </w:r>
      <w:r>
        <w:fldChar w:fldCharType="end"/>
      </w:r>
      <w:r>
        <w:fldChar w:fldCharType="end"/>
      </w:r>
    </w:p>
    <w:p>
      <w:pPr>
        <w:pStyle w:val="20"/>
        <w:tabs>
          <w:tab w:val="right" w:leader="dot" w:pos="9025"/>
          <w:tab w:val="clear" w:pos="0"/>
        </w:tabs>
      </w:pPr>
      <w:r>
        <w:fldChar w:fldCharType="begin"/>
      </w:r>
      <w:r>
        <w:instrText xml:space="preserve"> HYPERLINK \l _Toc19887 </w:instrText>
      </w:r>
      <w:r>
        <w:fldChar w:fldCharType="separate"/>
      </w:r>
      <w:r>
        <w:rPr>
          <w:rFonts w:hint="eastAsia" w:ascii="宋体" w:hAnsi="宋体" w:eastAsia="宋体" w:cs="宋体"/>
        </w:rPr>
        <w:t xml:space="preserve">二、 </w:t>
      </w:r>
      <w:r>
        <w:rPr>
          <w:rFonts w:hint="eastAsia"/>
        </w:rPr>
        <w:t>投标产品的资格、资质性及其他类似效力要求</w:t>
      </w:r>
      <w:r>
        <w:tab/>
      </w:r>
      <w:r>
        <w:fldChar w:fldCharType="begin"/>
      </w:r>
      <w:r>
        <w:instrText xml:space="preserve"> PAGEREF _Toc19887 \h </w:instrText>
      </w:r>
      <w:r>
        <w:fldChar w:fldCharType="separate"/>
      </w:r>
      <w:r>
        <w:t>25</w:t>
      </w:r>
      <w:r>
        <w:fldChar w:fldCharType="end"/>
      </w:r>
      <w:r>
        <w:fldChar w:fldCharType="end"/>
      </w:r>
    </w:p>
    <w:p>
      <w:pPr>
        <w:pStyle w:val="20"/>
        <w:tabs>
          <w:tab w:val="right" w:leader="dot" w:pos="9025"/>
          <w:tab w:val="clear" w:pos="0"/>
        </w:tabs>
      </w:pPr>
      <w:r>
        <w:fldChar w:fldCharType="begin"/>
      </w:r>
      <w:r>
        <w:instrText xml:space="preserve"> HYPERLINK \l _Toc26032 </w:instrText>
      </w:r>
      <w:r>
        <w:fldChar w:fldCharType="separate"/>
      </w:r>
      <w:r>
        <w:rPr>
          <w:rFonts w:hint="eastAsia" w:ascii="宋体" w:hAnsi="宋体" w:eastAsia="宋体" w:cs="宋体"/>
        </w:rPr>
        <w:t xml:space="preserve">三、 </w:t>
      </w:r>
      <w:r>
        <w:rPr>
          <w:rFonts w:hint="eastAsia"/>
        </w:rPr>
        <w:t>其他类似效力要求</w:t>
      </w:r>
      <w:r>
        <w:tab/>
      </w:r>
      <w:r>
        <w:fldChar w:fldCharType="begin"/>
      </w:r>
      <w:r>
        <w:instrText xml:space="preserve"> PAGEREF _Toc26032 \h </w:instrText>
      </w:r>
      <w:r>
        <w:fldChar w:fldCharType="separate"/>
      </w:r>
      <w:r>
        <w:t>25</w:t>
      </w:r>
      <w:r>
        <w:fldChar w:fldCharType="end"/>
      </w:r>
      <w:r>
        <w:fldChar w:fldCharType="end"/>
      </w:r>
    </w:p>
    <w:p>
      <w:pPr>
        <w:pStyle w:val="19"/>
        <w:tabs>
          <w:tab w:val="right" w:leader="dot" w:pos="9025"/>
          <w:tab w:val="clear" w:pos="0"/>
          <w:tab w:val="clear" w:pos="9746"/>
        </w:tabs>
      </w:pPr>
      <w:r>
        <w:fldChar w:fldCharType="begin"/>
      </w:r>
      <w:r>
        <w:instrText xml:space="preserve"> HYPERLINK \l _Toc11005 </w:instrText>
      </w:r>
      <w:r>
        <w:fldChar w:fldCharType="separate"/>
      </w:r>
      <w:r>
        <w:rPr>
          <w:rFonts w:hint="eastAsia" w:ascii="宋体" w:hAnsi="宋体" w:eastAsia="宋体" w:cs="宋体"/>
        </w:rPr>
        <w:t xml:space="preserve">第五章 </w:t>
      </w:r>
      <w:r>
        <w:rPr>
          <w:rFonts w:hint="eastAsia"/>
        </w:rPr>
        <w:t>资格性审查内容</w:t>
      </w:r>
      <w:r>
        <w:tab/>
      </w:r>
      <w:r>
        <w:fldChar w:fldCharType="begin"/>
      </w:r>
      <w:r>
        <w:instrText xml:space="preserve"> PAGEREF _Toc11005 \h </w:instrText>
      </w:r>
      <w:r>
        <w:fldChar w:fldCharType="separate"/>
      </w:r>
      <w:r>
        <w:t>27</w:t>
      </w:r>
      <w:r>
        <w:fldChar w:fldCharType="end"/>
      </w:r>
      <w:r>
        <w:fldChar w:fldCharType="end"/>
      </w:r>
    </w:p>
    <w:p>
      <w:pPr>
        <w:pStyle w:val="20"/>
        <w:tabs>
          <w:tab w:val="right" w:leader="dot" w:pos="9025"/>
          <w:tab w:val="clear" w:pos="0"/>
        </w:tabs>
      </w:pPr>
      <w:r>
        <w:fldChar w:fldCharType="begin"/>
      </w:r>
      <w:r>
        <w:instrText xml:space="preserve"> HYPERLINK \l _Toc30809 </w:instrText>
      </w:r>
      <w:r>
        <w:fldChar w:fldCharType="separate"/>
      </w:r>
      <w:r>
        <w:rPr>
          <w:rFonts w:hint="eastAsia" w:ascii="宋体" w:hAnsi="宋体" w:eastAsia="宋体" w:cs="宋体"/>
        </w:rPr>
        <w:t xml:space="preserve">一、 </w:t>
      </w:r>
      <w:r>
        <w:rPr>
          <w:rFonts w:hint="eastAsia"/>
        </w:rPr>
        <w:t>应当提供的投标人及投标产品资格、资质性及其他类似效力要求的相关证明材料</w:t>
      </w:r>
      <w:r>
        <w:tab/>
      </w:r>
      <w:r>
        <w:fldChar w:fldCharType="begin"/>
      </w:r>
      <w:r>
        <w:instrText xml:space="preserve"> PAGEREF _Toc30809 \h </w:instrText>
      </w:r>
      <w:r>
        <w:fldChar w:fldCharType="separate"/>
      </w:r>
      <w:r>
        <w:t>27</w:t>
      </w:r>
      <w:r>
        <w:fldChar w:fldCharType="end"/>
      </w:r>
      <w:r>
        <w:fldChar w:fldCharType="end"/>
      </w:r>
    </w:p>
    <w:p>
      <w:pPr>
        <w:pStyle w:val="20"/>
        <w:tabs>
          <w:tab w:val="right" w:leader="dot" w:pos="9025"/>
          <w:tab w:val="clear" w:pos="0"/>
        </w:tabs>
      </w:pPr>
      <w:r>
        <w:fldChar w:fldCharType="begin"/>
      </w:r>
      <w:r>
        <w:instrText xml:space="preserve"> HYPERLINK \l _Toc10479 </w:instrText>
      </w:r>
      <w:r>
        <w:fldChar w:fldCharType="separate"/>
      </w:r>
      <w:r>
        <w:rPr>
          <w:rFonts w:hint="eastAsia" w:ascii="宋体" w:hAnsi="宋体" w:eastAsia="宋体" w:cs="宋体"/>
        </w:rPr>
        <w:t xml:space="preserve">二、 </w:t>
      </w:r>
      <w:r>
        <w:rPr>
          <w:rFonts w:hint="eastAsia"/>
        </w:rPr>
        <w:t>审查程序</w:t>
      </w:r>
      <w:r>
        <w:tab/>
      </w:r>
      <w:r>
        <w:fldChar w:fldCharType="begin"/>
      </w:r>
      <w:r>
        <w:instrText xml:space="preserve"> PAGEREF _Toc10479 \h </w:instrText>
      </w:r>
      <w:r>
        <w:fldChar w:fldCharType="separate"/>
      </w:r>
      <w:r>
        <w:t>29</w:t>
      </w:r>
      <w:r>
        <w:fldChar w:fldCharType="end"/>
      </w:r>
      <w:r>
        <w:fldChar w:fldCharType="end"/>
      </w:r>
    </w:p>
    <w:p>
      <w:pPr>
        <w:pStyle w:val="19"/>
        <w:tabs>
          <w:tab w:val="right" w:leader="dot" w:pos="9025"/>
          <w:tab w:val="clear" w:pos="0"/>
          <w:tab w:val="clear" w:pos="9746"/>
        </w:tabs>
      </w:pPr>
      <w:r>
        <w:fldChar w:fldCharType="begin"/>
      </w:r>
      <w:r>
        <w:instrText xml:space="preserve"> HYPERLINK \l _Toc15321 </w:instrText>
      </w:r>
      <w:r>
        <w:fldChar w:fldCharType="separate"/>
      </w:r>
      <w:r>
        <w:rPr>
          <w:rFonts w:hint="eastAsia" w:ascii="宋体" w:hAnsi="宋体" w:eastAsia="宋体" w:cs="宋体"/>
        </w:rPr>
        <w:t xml:space="preserve">第六章 </w:t>
      </w:r>
      <w:r>
        <w:rPr>
          <w:rFonts w:hint="eastAsia"/>
        </w:rPr>
        <w:t>招标项目技术、服务、政府采购合同内容条款及其他商务要求</w:t>
      </w:r>
      <w:r>
        <w:tab/>
      </w:r>
      <w:r>
        <w:fldChar w:fldCharType="begin"/>
      </w:r>
      <w:r>
        <w:instrText xml:space="preserve"> PAGEREF _Toc15321 \h </w:instrText>
      </w:r>
      <w:r>
        <w:fldChar w:fldCharType="separate"/>
      </w:r>
      <w:r>
        <w:t>31</w:t>
      </w:r>
      <w:r>
        <w:fldChar w:fldCharType="end"/>
      </w:r>
      <w:r>
        <w:fldChar w:fldCharType="end"/>
      </w:r>
    </w:p>
    <w:p>
      <w:pPr>
        <w:pStyle w:val="20"/>
        <w:tabs>
          <w:tab w:val="right" w:leader="dot" w:pos="9025"/>
          <w:tab w:val="clear" w:pos="0"/>
        </w:tabs>
      </w:pPr>
      <w:r>
        <w:fldChar w:fldCharType="begin"/>
      </w:r>
      <w:r>
        <w:instrText xml:space="preserve"> HYPERLINK \l _Toc2313 </w:instrText>
      </w:r>
      <w:r>
        <w:fldChar w:fldCharType="separate"/>
      </w:r>
      <w:r>
        <w:rPr>
          <w:rFonts w:hint="eastAsia" w:ascii="宋体" w:hAnsi="宋体" w:eastAsia="宋体" w:cs="宋体"/>
        </w:rPr>
        <w:t xml:space="preserve">一、 </w:t>
      </w:r>
      <w:r>
        <w:rPr>
          <w:rFonts w:hint="eastAsia"/>
        </w:rPr>
        <w:t>项目概述</w:t>
      </w:r>
      <w:r>
        <w:tab/>
      </w:r>
      <w:r>
        <w:fldChar w:fldCharType="begin"/>
      </w:r>
      <w:r>
        <w:instrText xml:space="preserve"> PAGEREF _Toc2313 \h </w:instrText>
      </w:r>
      <w:r>
        <w:fldChar w:fldCharType="separate"/>
      </w:r>
      <w:r>
        <w:t>31</w:t>
      </w:r>
      <w:r>
        <w:fldChar w:fldCharType="end"/>
      </w:r>
      <w:r>
        <w:fldChar w:fldCharType="end"/>
      </w:r>
    </w:p>
    <w:p>
      <w:pPr>
        <w:pStyle w:val="20"/>
        <w:tabs>
          <w:tab w:val="right" w:leader="dot" w:pos="9025"/>
          <w:tab w:val="clear" w:pos="0"/>
        </w:tabs>
      </w:pPr>
      <w:r>
        <w:fldChar w:fldCharType="begin"/>
      </w:r>
      <w:r>
        <w:instrText xml:space="preserve"> HYPERLINK \l _Toc29670 </w:instrText>
      </w:r>
      <w:r>
        <w:fldChar w:fldCharType="separate"/>
      </w:r>
      <w:r>
        <w:rPr>
          <w:rFonts w:hint="eastAsia" w:ascii="宋体" w:hAnsi="宋体" w:eastAsia="宋体" w:cs="宋体"/>
        </w:rPr>
        <w:t xml:space="preserve">二、 </w:t>
      </w:r>
      <w:r>
        <w:rPr>
          <w:rFonts w:hint="eastAsia"/>
          <w:bCs/>
        </w:rPr>
        <w:t>※</w:t>
      </w:r>
      <w:r>
        <w:rPr>
          <w:rFonts w:hint="eastAsia"/>
        </w:rPr>
        <w:t>服务内容及要求</w:t>
      </w:r>
      <w:r>
        <w:tab/>
      </w:r>
      <w:r>
        <w:fldChar w:fldCharType="begin"/>
      </w:r>
      <w:r>
        <w:instrText xml:space="preserve"> PAGEREF _Toc29670 \h </w:instrText>
      </w:r>
      <w:r>
        <w:fldChar w:fldCharType="separate"/>
      </w:r>
      <w:r>
        <w:t>31</w:t>
      </w:r>
      <w:r>
        <w:fldChar w:fldCharType="end"/>
      </w:r>
      <w:r>
        <w:fldChar w:fldCharType="end"/>
      </w:r>
    </w:p>
    <w:p>
      <w:pPr>
        <w:pStyle w:val="20"/>
        <w:tabs>
          <w:tab w:val="right" w:leader="dot" w:pos="9025"/>
          <w:tab w:val="clear" w:pos="0"/>
        </w:tabs>
      </w:pPr>
      <w:r>
        <w:fldChar w:fldCharType="begin"/>
      </w:r>
      <w:r>
        <w:instrText xml:space="preserve"> HYPERLINK \l _Toc20339 </w:instrText>
      </w:r>
      <w:r>
        <w:fldChar w:fldCharType="separate"/>
      </w:r>
      <w:r>
        <w:rPr>
          <w:rFonts w:hint="eastAsia" w:ascii="宋体" w:hAnsi="宋体" w:eastAsia="宋体" w:cs="宋体"/>
          <w:bCs/>
        </w:rPr>
        <w:t xml:space="preserve">三、 </w:t>
      </w:r>
      <w:r>
        <w:rPr>
          <w:rFonts w:hint="eastAsia"/>
          <w:bCs/>
        </w:rPr>
        <w:t>与评分标准对应的内容</w:t>
      </w:r>
      <w:r>
        <w:tab/>
      </w:r>
      <w:r>
        <w:fldChar w:fldCharType="begin"/>
      </w:r>
      <w:r>
        <w:instrText xml:space="preserve"> PAGEREF _Toc20339 \h </w:instrText>
      </w:r>
      <w:r>
        <w:fldChar w:fldCharType="separate"/>
      </w:r>
      <w:r>
        <w:t>34</w:t>
      </w:r>
      <w:r>
        <w:fldChar w:fldCharType="end"/>
      </w:r>
      <w:r>
        <w:fldChar w:fldCharType="end"/>
      </w:r>
    </w:p>
    <w:p>
      <w:pPr>
        <w:pStyle w:val="20"/>
        <w:tabs>
          <w:tab w:val="right" w:leader="dot" w:pos="9025"/>
          <w:tab w:val="clear" w:pos="0"/>
        </w:tabs>
      </w:pPr>
      <w:r>
        <w:fldChar w:fldCharType="begin"/>
      </w:r>
      <w:r>
        <w:instrText xml:space="preserve"> HYPERLINK \l _Toc28171 </w:instrText>
      </w:r>
      <w:r>
        <w:fldChar w:fldCharType="separate"/>
      </w:r>
      <w:r>
        <w:rPr>
          <w:rFonts w:hint="eastAsia" w:ascii="宋体" w:hAnsi="宋体" w:eastAsia="宋体" w:cs="宋体"/>
        </w:rPr>
        <w:t xml:space="preserve">四、 </w:t>
      </w:r>
      <w:r>
        <w:rPr>
          <w:rFonts w:hint="eastAsia"/>
          <w:bCs/>
        </w:rPr>
        <w:t>※</w:t>
      </w:r>
      <w:r>
        <w:rPr>
          <w:rFonts w:hint="eastAsia"/>
        </w:rPr>
        <w:t>商务要求</w:t>
      </w:r>
      <w:r>
        <w:tab/>
      </w:r>
      <w:r>
        <w:fldChar w:fldCharType="begin"/>
      </w:r>
      <w:r>
        <w:instrText xml:space="preserve"> PAGEREF _Toc28171 \h </w:instrText>
      </w:r>
      <w:r>
        <w:fldChar w:fldCharType="separate"/>
      </w:r>
      <w:r>
        <w:t>34</w:t>
      </w:r>
      <w:r>
        <w:fldChar w:fldCharType="end"/>
      </w:r>
      <w:r>
        <w:fldChar w:fldCharType="end"/>
      </w:r>
    </w:p>
    <w:p>
      <w:pPr>
        <w:pStyle w:val="19"/>
        <w:tabs>
          <w:tab w:val="right" w:leader="dot" w:pos="9025"/>
          <w:tab w:val="clear" w:pos="0"/>
          <w:tab w:val="clear" w:pos="9746"/>
        </w:tabs>
      </w:pPr>
      <w:r>
        <w:fldChar w:fldCharType="begin"/>
      </w:r>
      <w:r>
        <w:instrText xml:space="preserve"> HYPERLINK \l _Toc11638 </w:instrText>
      </w:r>
      <w:r>
        <w:fldChar w:fldCharType="separate"/>
      </w:r>
      <w:r>
        <w:rPr>
          <w:rFonts w:hint="eastAsia" w:ascii="宋体" w:hAnsi="宋体" w:eastAsia="宋体" w:cs="宋体"/>
        </w:rPr>
        <w:t xml:space="preserve">第七章 </w:t>
      </w:r>
      <w:r>
        <w:rPr>
          <w:rFonts w:hint="eastAsia"/>
        </w:rPr>
        <w:t>评标办法</w:t>
      </w:r>
      <w:r>
        <w:tab/>
      </w:r>
      <w:r>
        <w:fldChar w:fldCharType="begin"/>
      </w:r>
      <w:r>
        <w:instrText xml:space="preserve"> PAGEREF _Toc11638 \h </w:instrText>
      </w:r>
      <w:r>
        <w:fldChar w:fldCharType="separate"/>
      </w:r>
      <w:r>
        <w:t>37</w:t>
      </w:r>
      <w:r>
        <w:fldChar w:fldCharType="end"/>
      </w:r>
      <w:r>
        <w:fldChar w:fldCharType="end"/>
      </w:r>
    </w:p>
    <w:p>
      <w:pPr>
        <w:pStyle w:val="20"/>
        <w:tabs>
          <w:tab w:val="right" w:leader="dot" w:pos="9025"/>
          <w:tab w:val="clear" w:pos="0"/>
        </w:tabs>
      </w:pPr>
      <w:r>
        <w:fldChar w:fldCharType="begin"/>
      </w:r>
      <w:r>
        <w:instrText xml:space="preserve"> HYPERLINK \l _Toc20686 </w:instrText>
      </w:r>
      <w:r>
        <w:fldChar w:fldCharType="separate"/>
      </w:r>
      <w:r>
        <w:rPr>
          <w:rFonts w:hint="eastAsia" w:ascii="宋体" w:hAnsi="宋体" w:eastAsia="宋体" w:cs="宋体"/>
        </w:rPr>
        <w:t xml:space="preserve">一、 </w:t>
      </w:r>
      <w:r>
        <w:rPr>
          <w:rFonts w:hint="eastAsia"/>
        </w:rPr>
        <w:t>总则</w:t>
      </w:r>
      <w:bookmarkStart w:id="1301" w:name="_GoBack"/>
      <w:bookmarkEnd w:id="1301"/>
      <w:r>
        <w:tab/>
      </w:r>
      <w:r>
        <w:fldChar w:fldCharType="begin"/>
      </w:r>
      <w:r>
        <w:instrText xml:space="preserve"> PAGEREF _Toc20686 \h </w:instrText>
      </w:r>
      <w:r>
        <w:fldChar w:fldCharType="separate"/>
      </w:r>
      <w:r>
        <w:t>37</w:t>
      </w:r>
      <w:r>
        <w:fldChar w:fldCharType="end"/>
      </w:r>
      <w:r>
        <w:fldChar w:fldCharType="end"/>
      </w:r>
    </w:p>
    <w:p>
      <w:pPr>
        <w:pStyle w:val="20"/>
        <w:tabs>
          <w:tab w:val="right" w:leader="dot" w:pos="9025"/>
          <w:tab w:val="clear" w:pos="0"/>
        </w:tabs>
      </w:pPr>
      <w:r>
        <w:fldChar w:fldCharType="begin"/>
      </w:r>
      <w:r>
        <w:instrText xml:space="preserve"> HYPERLINK \l _Toc26738 </w:instrText>
      </w:r>
      <w:r>
        <w:fldChar w:fldCharType="separate"/>
      </w:r>
      <w:r>
        <w:rPr>
          <w:rFonts w:hint="eastAsia" w:ascii="宋体" w:hAnsi="宋体" w:eastAsia="宋体" w:cs="宋体"/>
        </w:rPr>
        <w:t xml:space="preserve">二、 </w:t>
      </w:r>
      <w:r>
        <w:rPr>
          <w:rFonts w:hint="eastAsia"/>
        </w:rPr>
        <w:t>评标方法</w:t>
      </w:r>
      <w:r>
        <w:tab/>
      </w:r>
      <w:r>
        <w:fldChar w:fldCharType="begin"/>
      </w:r>
      <w:r>
        <w:instrText xml:space="preserve"> PAGEREF _Toc26738 \h </w:instrText>
      </w:r>
      <w:r>
        <w:fldChar w:fldCharType="separate"/>
      </w:r>
      <w:r>
        <w:t>37</w:t>
      </w:r>
      <w:r>
        <w:fldChar w:fldCharType="end"/>
      </w:r>
      <w:r>
        <w:fldChar w:fldCharType="end"/>
      </w:r>
    </w:p>
    <w:p>
      <w:pPr>
        <w:pStyle w:val="20"/>
        <w:tabs>
          <w:tab w:val="right" w:leader="dot" w:pos="9025"/>
          <w:tab w:val="clear" w:pos="0"/>
        </w:tabs>
      </w:pPr>
      <w:r>
        <w:fldChar w:fldCharType="begin"/>
      </w:r>
      <w:r>
        <w:instrText xml:space="preserve"> HYPERLINK \l _Toc26931 </w:instrText>
      </w:r>
      <w:r>
        <w:fldChar w:fldCharType="separate"/>
      </w:r>
      <w:r>
        <w:rPr>
          <w:rFonts w:hint="eastAsia" w:ascii="宋体" w:hAnsi="宋体" w:eastAsia="宋体" w:cs="宋体"/>
        </w:rPr>
        <w:t xml:space="preserve">三、 </w:t>
      </w:r>
      <w:r>
        <w:rPr>
          <w:rFonts w:hint="eastAsia"/>
        </w:rPr>
        <w:t>评标程序</w:t>
      </w:r>
      <w:r>
        <w:tab/>
      </w:r>
      <w:r>
        <w:fldChar w:fldCharType="begin"/>
      </w:r>
      <w:r>
        <w:instrText xml:space="preserve"> PAGEREF _Toc26931 \h </w:instrText>
      </w:r>
      <w:r>
        <w:fldChar w:fldCharType="separate"/>
      </w:r>
      <w:r>
        <w:t>37</w:t>
      </w:r>
      <w:r>
        <w:fldChar w:fldCharType="end"/>
      </w:r>
      <w:r>
        <w:fldChar w:fldCharType="end"/>
      </w:r>
    </w:p>
    <w:p>
      <w:pPr>
        <w:pStyle w:val="20"/>
        <w:tabs>
          <w:tab w:val="right" w:leader="dot" w:pos="9025"/>
          <w:tab w:val="clear" w:pos="0"/>
        </w:tabs>
      </w:pPr>
      <w:r>
        <w:fldChar w:fldCharType="begin"/>
      </w:r>
      <w:r>
        <w:instrText xml:space="preserve"> HYPERLINK \l _Toc27094 </w:instrText>
      </w:r>
      <w:r>
        <w:fldChar w:fldCharType="separate"/>
      </w:r>
      <w:r>
        <w:rPr>
          <w:rFonts w:hint="eastAsia" w:ascii="宋体" w:hAnsi="宋体" w:eastAsia="宋体" w:cs="宋体"/>
        </w:rPr>
        <w:t xml:space="preserve">四、 </w:t>
      </w:r>
      <w:r>
        <w:rPr>
          <w:rFonts w:hint="eastAsia"/>
        </w:rPr>
        <w:t>评标细则及标准</w:t>
      </w:r>
      <w:r>
        <w:tab/>
      </w:r>
      <w:r>
        <w:fldChar w:fldCharType="begin"/>
      </w:r>
      <w:r>
        <w:instrText xml:space="preserve"> PAGEREF _Toc27094 \h </w:instrText>
      </w:r>
      <w:r>
        <w:fldChar w:fldCharType="separate"/>
      </w:r>
      <w:r>
        <w:t>40</w:t>
      </w:r>
      <w:r>
        <w:fldChar w:fldCharType="end"/>
      </w:r>
      <w:r>
        <w:fldChar w:fldCharType="end"/>
      </w:r>
    </w:p>
    <w:p>
      <w:pPr>
        <w:pStyle w:val="20"/>
        <w:tabs>
          <w:tab w:val="right" w:leader="dot" w:pos="9025"/>
          <w:tab w:val="clear" w:pos="0"/>
        </w:tabs>
      </w:pPr>
      <w:r>
        <w:fldChar w:fldCharType="begin"/>
      </w:r>
      <w:r>
        <w:instrText xml:space="preserve"> HYPERLINK \l _Toc4455 </w:instrText>
      </w:r>
      <w:r>
        <w:fldChar w:fldCharType="separate"/>
      </w:r>
      <w:r>
        <w:rPr>
          <w:rFonts w:hint="eastAsia" w:ascii="宋体" w:hAnsi="宋体" w:eastAsia="宋体" w:cs="宋体"/>
        </w:rPr>
        <w:t xml:space="preserve">五、 </w:t>
      </w:r>
      <w:r>
        <w:rPr>
          <w:rFonts w:hint="eastAsia"/>
        </w:rPr>
        <w:t>复核</w:t>
      </w:r>
      <w:r>
        <w:tab/>
      </w:r>
      <w:r>
        <w:fldChar w:fldCharType="begin"/>
      </w:r>
      <w:r>
        <w:instrText xml:space="preserve"> PAGEREF _Toc4455 \h </w:instrText>
      </w:r>
      <w:r>
        <w:fldChar w:fldCharType="separate"/>
      </w:r>
      <w:r>
        <w:t>42</w:t>
      </w:r>
      <w:r>
        <w:fldChar w:fldCharType="end"/>
      </w:r>
      <w:r>
        <w:fldChar w:fldCharType="end"/>
      </w:r>
    </w:p>
    <w:p>
      <w:pPr>
        <w:pStyle w:val="20"/>
        <w:tabs>
          <w:tab w:val="right" w:leader="dot" w:pos="9025"/>
          <w:tab w:val="clear" w:pos="0"/>
        </w:tabs>
      </w:pPr>
      <w:r>
        <w:fldChar w:fldCharType="begin"/>
      </w:r>
      <w:r>
        <w:instrText xml:space="preserve"> HYPERLINK \l _Toc18354 </w:instrText>
      </w:r>
      <w:r>
        <w:fldChar w:fldCharType="separate"/>
      </w:r>
      <w:r>
        <w:rPr>
          <w:rFonts w:hint="eastAsia" w:ascii="宋体" w:hAnsi="宋体" w:eastAsia="宋体" w:cs="宋体"/>
        </w:rPr>
        <w:t xml:space="preserve">六、 </w:t>
      </w:r>
      <w:r>
        <w:rPr>
          <w:rFonts w:hint="eastAsia"/>
        </w:rPr>
        <w:t>推荐中标候选供应商</w:t>
      </w:r>
      <w:r>
        <w:tab/>
      </w:r>
      <w:r>
        <w:fldChar w:fldCharType="begin"/>
      </w:r>
      <w:r>
        <w:instrText xml:space="preserve"> PAGEREF _Toc18354 \h </w:instrText>
      </w:r>
      <w:r>
        <w:fldChar w:fldCharType="separate"/>
      </w:r>
      <w:r>
        <w:t>43</w:t>
      </w:r>
      <w:r>
        <w:fldChar w:fldCharType="end"/>
      </w:r>
      <w:r>
        <w:fldChar w:fldCharType="end"/>
      </w:r>
    </w:p>
    <w:p>
      <w:pPr>
        <w:pStyle w:val="20"/>
        <w:tabs>
          <w:tab w:val="right" w:leader="dot" w:pos="9025"/>
          <w:tab w:val="clear" w:pos="0"/>
        </w:tabs>
      </w:pPr>
      <w:r>
        <w:fldChar w:fldCharType="begin"/>
      </w:r>
      <w:r>
        <w:instrText xml:space="preserve"> HYPERLINK \l _Toc24971 </w:instrText>
      </w:r>
      <w:r>
        <w:fldChar w:fldCharType="separate"/>
      </w:r>
      <w:r>
        <w:rPr>
          <w:rFonts w:hint="eastAsia" w:ascii="宋体" w:hAnsi="宋体" w:eastAsia="宋体" w:cs="宋体"/>
        </w:rPr>
        <w:t xml:space="preserve">七、 </w:t>
      </w:r>
      <w:r>
        <w:rPr>
          <w:rFonts w:hint="eastAsia"/>
        </w:rPr>
        <w:t>出具评标报告</w:t>
      </w:r>
      <w:r>
        <w:tab/>
      </w:r>
      <w:r>
        <w:fldChar w:fldCharType="begin"/>
      </w:r>
      <w:r>
        <w:instrText xml:space="preserve"> PAGEREF _Toc24971 \h </w:instrText>
      </w:r>
      <w:r>
        <w:fldChar w:fldCharType="separate"/>
      </w:r>
      <w:r>
        <w:t>44</w:t>
      </w:r>
      <w:r>
        <w:fldChar w:fldCharType="end"/>
      </w:r>
      <w:r>
        <w:fldChar w:fldCharType="end"/>
      </w:r>
    </w:p>
    <w:p>
      <w:pPr>
        <w:pStyle w:val="20"/>
        <w:tabs>
          <w:tab w:val="right" w:leader="dot" w:pos="9025"/>
          <w:tab w:val="clear" w:pos="0"/>
        </w:tabs>
      </w:pPr>
      <w:r>
        <w:fldChar w:fldCharType="begin"/>
      </w:r>
      <w:r>
        <w:instrText xml:space="preserve"> HYPERLINK \l _Toc21190 </w:instrText>
      </w:r>
      <w:r>
        <w:fldChar w:fldCharType="separate"/>
      </w:r>
      <w:r>
        <w:rPr>
          <w:rFonts w:hint="eastAsia" w:ascii="宋体" w:hAnsi="宋体" w:eastAsia="宋体" w:cs="宋体"/>
        </w:rPr>
        <w:t xml:space="preserve">八、 </w:t>
      </w:r>
      <w:r>
        <w:rPr>
          <w:rFonts w:hint="eastAsia"/>
        </w:rPr>
        <w:t>废标</w:t>
      </w:r>
      <w:r>
        <w:tab/>
      </w:r>
      <w:r>
        <w:fldChar w:fldCharType="begin"/>
      </w:r>
      <w:r>
        <w:instrText xml:space="preserve"> PAGEREF _Toc21190 \h </w:instrText>
      </w:r>
      <w:r>
        <w:fldChar w:fldCharType="separate"/>
      </w:r>
      <w:r>
        <w:t>44</w:t>
      </w:r>
      <w:r>
        <w:fldChar w:fldCharType="end"/>
      </w:r>
      <w:r>
        <w:fldChar w:fldCharType="end"/>
      </w:r>
    </w:p>
    <w:p>
      <w:pPr>
        <w:pStyle w:val="20"/>
        <w:tabs>
          <w:tab w:val="right" w:leader="dot" w:pos="9025"/>
          <w:tab w:val="clear" w:pos="0"/>
        </w:tabs>
      </w:pPr>
      <w:r>
        <w:fldChar w:fldCharType="begin"/>
      </w:r>
      <w:r>
        <w:instrText xml:space="preserve"> HYPERLINK \l _Toc9200 </w:instrText>
      </w:r>
      <w:r>
        <w:fldChar w:fldCharType="separate"/>
      </w:r>
      <w:r>
        <w:rPr>
          <w:rFonts w:hint="eastAsia" w:ascii="宋体" w:hAnsi="宋体" w:eastAsia="宋体" w:cs="宋体"/>
        </w:rPr>
        <w:t xml:space="preserve">九、 </w:t>
      </w:r>
      <w:r>
        <w:rPr>
          <w:rFonts w:hint="eastAsia"/>
        </w:rPr>
        <w:t>定标</w:t>
      </w:r>
      <w:r>
        <w:tab/>
      </w:r>
      <w:r>
        <w:fldChar w:fldCharType="begin"/>
      </w:r>
      <w:r>
        <w:instrText xml:space="preserve"> PAGEREF _Toc9200 \h </w:instrText>
      </w:r>
      <w:r>
        <w:fldChar w:fldCharType="separate"/>
      </w:r>
      <w:r>
        <w:t>44</w:t>
      </w:r>
      <w:r>
        <w:fldChar w:fldCharType="end"/>
      </w:r>
      <w:r>
        <w:fldChar w:fldCharType="end"/>
      </w:r>
    </w:p>
    <w:p>
      <w:pPr>
        <w:pStyle w:val="20"/>
        <w:tabs>
          <w:tab w:val="right" w:leader="dot" w:pos="9025"/>
          <w:tab w:val="clear" w:pos="0"/>
        </w:tabs>
      </w:pPr>
      <w:r>
        <w:fldChar w:fldCharType="begin"/>
      </w:r>
      <w:r>
        <w:instrText xml:space="preserve"> HYPERLINK \l _Toc24141 </w:instrText>
      </w:r>
      <w:r>
        <w:fldChar w:fldCharType="separate"/>
      </w:r>
      <w:r>
        <w:rPr>
          <w:rFonts w:hint="eastAsia" w:ascii="宋体" w:hAnsi="宋体" w:eastAsia="宋体" w:cs="宋体"/>
        </w:rPr>
        <w:t xml:space="preserve">十、 </w:t>
      </w:r>
      <w:r>
        <w:rPr>
          <w:rFonts w:hint="eastAsia"/>
        </w:rPr>
        <w:t>评标专家在政府采购活动中承担以下义务</w:t>
      </w:r>
      <w:r>
        <w:tab/>
      </w:r>
      <w:r>
        <w:fldChar w:fldCharType="begin"/>
      </w:r>
      <w:r>
        <w:instrText xml:space="preserve"> PAGEREF _Toc24141 \h </w:instrText>
      </w:r>
      <w:r>
        <w:fldChar w:fldCharType="separate"/>
      </w:r>
      <w:r>
        <w:t>45</w:t>
      </w:r>
      <w:r>
        <w:fldChar w:fldCharType="end"/>
      </w:r>
      <w:r>
        <w:fldChar w:fldCharType="end"/>
      </w:r>
    </w:p>
    <w:p>
      <w:pPr>
        <w:pStyle w:val="20"/>
        <w:tabs>
          <w:tab w:val="right" w:leader="dot" w:pos="9025"/>
          <w:tab w:val="clear" w:pos="0"/>
        </w:tabs>
      </w:pPr>
      <w:r>
        <w:fldChar w:fldCharType="begin"/>
      </w:r>
      <w:r>
        <w:instrText xml:space="preserve"> HYPERLINK \l _Toc4182 </w:instrText>
      </w:r>
      <w:r>
        <w:fldChar w:fldCharType="separate"/>
      </w:r>
      <w:r>
        <w:rPr>
          <w:rFonts w:hint="eastAsia" w:ascii="宋体" w:hAnsi="宋体" w:eastAsia="宋体" w:cs="宋体"/>
        </w:rPr>
        <w:t xml:space="preserve">十一、 </w:t>
      </w:r>
      <w:r>
        <w:rPr>
          <w:rFonts w:hint="eastAsia"/>
        </w:rPr>
        <w:t>评标专家在政府采购活动中应当遵守以下工作纪律</w:t>
      </w:r>
      <w:r>
        <w:tab/>
      </w:r>
      <w:r>
        <w:fldChar w:fldCharType="begin"/>
      </w:r>
      <w:r>
        <w:instrText xml:space="preserve"> PAGEREF _Toc4182 \h </w:instrText>
      </w:r>
      <w:r>
        <w:fldChar w:fldCharType="separate"/>
      </w:r>
      <w:r>
        <w:t>46</w:t>
      </w:r>
      <w:r>
        <w:fldChar w:fldCharType="end"/>
      </w:r>
      <w:r>
        <w:fldChar w:fldCharType="end"/>
      </w:r>
    </w:p>
    <w:p>
      <w:pPr>
        <w:pStyle w:val="20"/>
        <w:tabs>
          <w:tab w:val="right" w:leader="dot" w:pos="9025"/>
          <w:tab w:val="clear" w:pos="0"/>
        </w:tabs>
      </w:pPr>
      <w:r>
        <w:fldChar w:fldCharType="begin"/>
      </w:r>
      <w:r>
        <w:instrText xml:space="preserve"> HYPERLINK \l _Toc22222 </w:instrText>
      </w:r>
      <w:r>
        <w:fldChar w:fldCharType="separate"/>
      </w:r>
      <w:r>
        <w:rPr>
          <w:rFonts w:hint="eastAsia" w:ascii="宋体" w:hAnsi="宋体" w:eastAsia="宋体" w:cs="宋体"/>
        </w:rPr>
        <w:t xml:space="preserve">十二、 </w:t>
      </w:r>
      <w:r>
        <w:rPr>
          <w:rFonts w:hint="eastAsia"/>
        </w:rPr>
        <w:t>评标委员会及其成员不得有下列行为</w:t>
      </w:r>
      <w:r>
        <w:tab/>
      </w:r>
      <w:r>
        <w:fldChar w:fldCharType="begin"/>
      </w:r>
      <w:r>
        <w:instrText xml:space="preserve"> PAGEREF _Toc22222 \h </w:instrText>
      </w:r>
      <w:r>
        <w:fldChar w:fldCharType="separate"/>
      </w:r>
      <w:r>
        <w:t>46</w:t>
      </w:r>
      <w:r>
        <w:fldChar w:fldCharType="end"/>
      </w:r>
      <w:r>
        <w:fldChar w:fldCharType="end"/>
      </w:r>
    </w:p>
    <w:p>
      <w:pPr>
        <w:pStyle w:val="20"/>
        <w:tabs>
          <w:tab w:val="right" w:leader="dot" w:pos="9025"/>
          <w:tab w:val="clear" w:pos="0"/>
        </w:tabs>
      </w:pPr>
      <w:r>
        <w:fldChar w:fldCharType="begin"/>
      </w:r>
      <w:r>
        <w:instrText xml:space="preserve"> HYPERLINK \l _Toc11741 </w:instrText>
      </w:r>
      <w:r>
        <w:fldChar w:fldCharType="separate"/>
      </w:r>
      <w:r>
        <w:rPr>
          <w:rFonts w:hint="eastAsia" w:ascii="宋体" w:hAnsi="宋体" w:eastAsia="宋体" w:cs="宋体"/>
        </w:rPr>
        <w:t xml:space="preserve">十三、 </w:t>
      </w:r>
      <w:r>
        <w:rPr>
          <w:rFonts w:hint="eastAsia"/>
        </w:rPr>
        <w:t>评标委员会及其成员不得有下列违约情形</w:t>
      </w:r>
      <w:r>
        <w:tab/>
      </w:r>
      <w:r>
        <w:fldChar w:fldCharType="begin"/>
      </w:r>
      <w:r>
        <w:instrText xml:space="preserve"> PAGEREF _Toc11741 \h </w:instrText>
      </w:r>
      <w:r>
        <w:fldChar w:fldCharType="separate"/>
      </w:r>
      <w:r>
        <w:t>46</w:t>
      </w:r>
      <w:r>
        <w:fldChar w:fldCharType="end"/>
      </w:r>
      <w:r>
        <w:fldChar w:fldCharType="end"/>
      </w:r>
    </w:p>
    <w:p>
      <w:pPr>
        <w:pStyle w:val="19"/>
        <w:tabs>
          <w:tab w:val="right" w:leader="dot" w:pos="9025"/>
          <w:tab w:val="clear" w:pos="0"/>
          <w:tab w:val="clear" w:pos="9746"/>
        </w:tabs>
      </w:pPr>
      <w:r>
        <w:fldChar w:fldCharType="begin"/>
      </w:r>
      <w:r>
        <w:instrText xml:space="preserve"> HYPERLINK \l _Toc10421 </w:instrText>
      </w:r>
      <w:r>
        <w:fldChar w:fldCharType="separate"/>
      </w:r>
      <w:r>
        <w:rPr>
          <w:rFonts w:hint="eastAsia" w:ascii="宋体" w:hAnsi="宋体" w:eastAsia="宋体" w:cs="宋体"/>
        </w:rPr>
        <w:t xml:space="preserve">第八章 </w:t>
      </w:r>
      <w:r>
        <w:rPr>
          <w:rFonts w:hint="eastAsia"/>
        </w:rPr>
        <w:t>政府采购合同(参考文本)</w:t>
      </w:r>
      <w:r>
        <w:tab/>
      </w:r>
      <w:r>
        <w:fldChar w:fldCharType="begin"/>
      </w:r>
      <w:r>
        <w:instrText xml:space="preserve"> PAGEREF _Toc10421 \h </w:instrText>
      </w:r>
      <w:r>
        <w:fldChar w:fldCharType="separate"/>
      </w:r>
      <w:r>
        <w:t>48</w:t>
      </w:r>
      <w:r>
        <w:fldChar w:fldCharType="end"/>
      </w:r>
      <w:r>
        <w:fldChar w:fldCharType="end"/>
      </w:r>
    </w:p>
    <w:p>
      <w:pPr>
        <w:pStyle w:val="20"/>
        <w:tabs>
          <w:tab w:val="right" w:leader="dot" w:pos="9025"/>
          <w:tab w:val="clear" w:pos="0"/>
        </w:tabs>
      </w:pPr>
      <w:r>
        <w:fldChar w:fldCharType="begin"/>
      </w:r>
      <w:r>
        <w:instrText xml:space="preserve"> HYPERLINK \l _Toc31184 </w:instrText>
      </w:r>
      <w:r>
        <w:fldChar w:fldCharType="separate"/>
      </w:r>
      <w:r>
        <w:rPr>
          <w:rFonts w:hint="eastAsia" w:ascii="宋体" w:hAnsi="宋体" w:eastAsia="宋体" w:cs="宋体"/>
        </w:rPr>
        <w:t xml:space="preserve">一、 </w:t>
      </w:r>
      <w:r>
        <w:rPr>
          <w:rFonts w:hint="eastAsia" w:asciiTheme="minorEastAsia" w:hAnsiTheme="minorEastAsia" w:eastAsiaTheme="minorEastAsia" w:cstheme="minorEastAsia"/>
        </w:rPr>
        <w:t>项目基本情况</w:t>
      </w:r>
      <w:r>
        <w:tab/>
      </w:r>
      <w:r>
        <w:fldChar w:fldCharType="begin"/>
      </w:r>
      <w:r>
        <w:instrText xml:space="preserve"> PAGEREF _Toc31184 \h </w:instrText>
      </w:r>
      <w:r>
        <w:fldChar w:fldCharType="separate"/>
      </w:r>
      <w:r>
        <w:t>48</w:t>
      </w:r>
      <w:r>
        <w:fldChar w:fldCharType="end"/>
      </w:r>
      <w:r>
        <w:fldChar w:fldCharType="end"/>
      </w:r>
    </w:p>
    <w:p>
      <w:pPr>
        <w:pStyle w:val="20"/>
        <w:tabs>
          <w:tab w:val="right" w:leader="dot" w:pos="9025"/>
          <w:tab w:val="clear" w:pos="0"/>
        </w:tabs>
      </w:pPr>
      <w:r>
        <w:fldChar w:fldCharType="begin"/>
      </w:r>
      <w:r>
        <w:instrText xml:space="preserve"> HYPERLINK \l _Toc15497 </w:instrText>
      </w:r>
      <w:r>
        <w:fldChar w:fldCharType="separate"/>
      </w:r>
      <w:r>
        <w:rPr>
          <w:rFonts w:hint="eastAsia" w:ascii="宋体" w:hAnsi="宋体" w:eastAsia="宋体" w:cs="宋体"/>
        </w:rPr>
        <w:t xml:space="preserve">二、 </w:t>
      </w:r>
      <w:r>
        <w:rPr>
          <w:rFonts w:hint="eastAsia"/>
        </w:rPr>
        <w:t>合同履行</w:t>
      </w:r>
      <w:r>
        <w:tab/>
      </w:r>
      <w:r>
        <w:fldChar w:fldCharType="begin"/>
      </w:r>
      <w:r>
        <w:instrText xml:space="preserve"> PAGEREF _Toc15497 \h </w:instrText>
      </w:r>
      <w:r>
        <w:fldChar w:fldCharType="separate"/>
      </w:r>
      <w:r>
        <w:t>48</w:t>
      </w:r>
      <w:r>
        <w:fldChar w:fldCharType="end"/>
      </w:r>
      <w:r>
        <w:fldChar w:fldCharType="end"/>
      </w:r>
    </w:p>
    <w:p>
      <w:pPr>
        <w:pStyle w:val="20"/>
        <w:tabs>
          <w:tab w:val="right" w:leader="dot" w:pos="9025"/>
          <w:tab w:val="clear" w:pos="0"/>
        </w:tabs>
      </w:pPr>
      <w:r>
        <w:fldChar w:fldCharType="begin"/>
      </w:r>
      <w:r>
        <w:instrText xml:space="preserve"> HYPERLINK \l _Toc8560 </w:instrText>
      </w:r>
      <w:r>
        <w:fldChar w:fldCharType="separate"/>
      </w:r>
      <w:r>
        <w:rPr>
          <w:rFonts w:hint="eastAsia" w:ascii="宋体" w:hAnsi="宋体" w:eastAsia="宋体" w:cs="宋体"/>
        </w:rPr>
        <w:t xml:space="preserve">三、 </w:t>
      </w:r>
      <w:r>
        <w:rPr>
          <w:rFonts w:hint="eastAsia"/>
        </w:rPr>
        <w:t>合同标的</w:t>
      </w:r>
      <w:r>
        <w:tab/>
      </w:r>
      <w:r>
        <w:fldChar w:fldCharType="begin"/>
      </w:r>
      <w:r>
        <w:instrText xml:space="preserve"> PAGEREF _Toc8560 \h </w:instrText>
      </w:r>
      <w:r>
        <w:fldChar w:fldCharType="separate"/>
      </w:r>
      <w:r>
        <w:t>48</w:t>
      </w:r>
      <w:r>
        <w:fldChar w:fldCharType="end"/>
      </w:r>
      <w:r>
        <w:fldChar w:fldCharType="end"/>
      </w:r>
    </w:p>
    <w:p>
      <w:pPr>
        <w:pStyle w:val="20"/>
        <w:tabs>
          <w:tab w:val="right" w:leader="dot" w:pos="9025"/>
          <w:tab w:val="clear" w:pos="0"/>
        </w:tabs>
      </w:pPr>
      <w:r>
        <w:fldChar w:fldCharType="begin"/>
      </w:r>
      <w:r>
        <w:instrText xml:space="preserve"> HYPERLINK \l _Toc15862 </w:instrText>
      </w:r>
      <w:r>
        <w:fldChar w:fldCharType="separate"/>
      </w:r>
      <w:r>
        <w:rPr>
          <w:rFonts w:hint="eastAsia" w:ascii="宋体" w:hAnsi="宋体" w:eastAsia="宋体" w:cs="宋体"/>
        </w:rPr>
        <w:t xml:space="preserve">四、 </w:t>
      </w:r>
      <w:r>
        <w:rPr>
          <w:rFonts w:hint="eastAsia"/>
        </w:rPr>
        <w:t>质量标准</w:t>
      </w:r>
      <w:r>
        <w:tab/>
      </w:r>
      <w:r>
        <w:fldChar w:fldCharType="begin"/>
      </w:r>
      <w:r>
        <w:instrText xml:space="preserve"> PAGEREF _Toc15862 \h </w:instrText>
      </w:r>
      <w:r>
        <w:fldChar w:fldCharType="separate"/>
      </w:r>
      <w:r>
        <w:t>48</w:t>
      </w:r>
      <w:r>
        <w:fldChar w:fldCharType="end"/>
      </w:r>
      <w:r>
        <w:fldChar w:fldCharType="end"/>
      </w:r>
    </w:p>
    <w:p>
      <w:pPr>
        <w:pStyle w:val="20"/>
        <w:tabs>
          <w:tab w:val="right" w:leader="dot" w:pos="9025"/>
          <w:tab w:val="clear" w:pos="0"/>
        </w:tabs>
      </w:pPr>
      <w:r>
        <w:fldChar w:fldCharType="begin"/>
      </w:r>
      <w:r>
        <w:instrText xml:space="preserve"> HYPERLINK \l _Toc20325 </w:instrText>
      </w:r>
      <w:r>
        <w:fldChar w:fldCharType="separate"/>
      </w:r>
      <w:r>
        <w:rPr>
          <w:rFonts w:hint="eastAsia" w:ascii="宋体" w:hAnsi="宋体" w:eastAsia="宋体" w:cs="宋体"/>
        </w:rPr>
        <w:t xml:space="preserve">五、 </w:t>
      </w:r>
      <w:r>
        <w:rPr>
          <w:rFonts w:hint="eastAsia"/>
        </w:rPr>
        <w:t>验收要求</w:t>
      </w:r>
      <w:r>
        <w:tab/>
      </w:r>
      <w:r>
        <w:fldChar w:fldCharType="begin"/>
      </w:r>
      <w:r>
        <w:instrText xml:space="preserve"> PAGEREF _Toc20325 \h </w:instrText>
      </w:r>
      <w:r>
        <w:fldChar w:fldCharType="separate"/>
      </w:r>
      <w:r>
        <w:t>48</w:t>
      </w:r>
      <w:r>
        <w:fldChar w:fldCharType="end"/>
      </w:r>
      <w:r>
        <w:fldChar w:fldCharType="end"/>
      </w:r>
    </w:p>
    <w:p>
      <w:pPr>
        <w:pStyle w:val="20"/>
        <w:tabs>
          <w:tab w:val="right" w:leader="dot" w:pos="9025"/>
          <w:tab w:val="clear" w:pos="0"/>
        </w:tabs>
      </w:pPr>
      <w:r>
        <w:fldChar w:fldCharType="begin"/>
      </w:r>
      <w:r>
        <w:instrText xml:space="preserve"> HYPERLINK \l _Toc19462 </w:instrText>
      </w:r>
      <w:r>
        <w:fldChar w:fldCharType="separate"/>
      </w:r>
      <w:r>
        <w:rPr>
          <w:rFonts w:hint="eastAsia" w:ascii="宋体" w:hAnsi="宋体" w:eastAsia="宋体" w:cs="宋体"/>
        </w:rPr>
        <w:t xml:space="preserve">六、 </w:t>
      </w:r>
      <w:r>
        <w:rPr>
          <w:rFonts w:hint="eastAsia"/>
        </w:rPr>
        <w:t>合同价款及支付方式</w:t>
      </w:r>
      <w:r>
        <w:tab/>
      </w:r>
      <w:r>
        <w:fldChar w:fldCharType="begin"/>
      </w:r>
      <w:r>
        <w:instrText xml:space="preserve"> PAGEREF _Toc19462 \h </w:instrText>
      </w:r>
      <w:r>
        <w:fldChar w:fldCharType="separate"/>
      </w:r>
      <w:r>
        <w:t>49</w:t>
      </w:r>
      <w:r>
        <w:fldChar w:fldCharType="end"/>
      </w:r>
      <w:r>
        <w:fldChar w:fldCharType="end"/>
      </w:r>
    </w:p>
    <w:p>
      <w:pPr>
        <w:pStyle w:val="20"/>
        <w:tabs>
          <w:tab w:val="right" w:leader="dot" w:pos="9025"/>
          <w:tab w:val="clear" w:pos="0"/>
        </w:tabs>
      </w:pPr>
      <w:r>
        <w:fldChar w:fldCharType="begin"/>
      </w:r>
      <w:r>
        <w:instrText xml:space="preserve"> HYPERLINK \l _Toc20873 </w:instrText>
      </w:r>
      <w:r>
        <w:fldChar w:fldCharType="separate"/>
      </w:r>
      <w:r>
        <w:rPr>
          <w:rFonts w:hint="eastAsia" w:ascii="宋体" w:hAnsi="宋体" w:eastAsia="宋体" w:cs="宋体"/>
        </w:rPr>
        <w:t xml:space="preserve">七、 </w:t>
      </w:r>
      <w:r>
        <w:rPr>
          <w:rFonts w:hint="eastAsia"/>
        </w:rPr>
        <w:t>知识产权</w:t>
      </w:r>
      <w:r>
        <w:tab/>
      </w:r>
      <w:r>
        <w:fldChar w:fldCharType="begin"/>
      </w:r>
      <w:r>
        <w:instrText xml:space="preserve"> PAGEREF _Toc20873 \h </w:instrText>
      </w:r>
      <w:r>
        <w:fldChar w:fldCharType="separate"/>
      </w:r>
      <w:r>
        <w:t>49</w:t>
      </w:r>
      <w:r>
        <w:fldChar w:fldCharType="end"/>
      </w:r>
      <w:r>
        <w:fldChar w:fldCharType="end"/>
      </w:r>
    </w:p>
    <w:p>
      <w:pPr>
        <w:pStyle w:val="20"/>
        <w:tabs>
          <w:tab w:val="right" w:leader="dot" w:pos="9025"/>
          <w:tab w:val="clear" w:pos="0"/>
        </w:tabs>
      </w:pPr>
      <w:r>
        <w:fldChar w:fldCharType="begin"/>
      </w:r>
      <w:r>
        <w:instrText xml:space="preserve"> HYPERLINK \l _Toc25659 </w:instrText>
      </w:r>
      <w:r>
        <w:fldChar w:fldCharType="separate"/>
      </w:r>
      <w:r>
        <w:rPr>
          <w:rFonts w:hint="eastAsia" w:ascii="宋体" w:hAnsi="宋体" w:eastAsia="宋体" w:cs="宋体"/>
        </w:rPr>
        <w:t xml:space="preserve">八、 </w:t>
      </w:r>
      <w:r>
        <w:rPr>
          <w:rFonts w:hint="eastAsia"/>
        </w:rPr>
        <w:t>无产权瑕疵条款</w:t>
      </w:r>
      <w:r>
        <w:tab/>
      </w:r>
      <w:r>
        <w:fldChar w:fldCharType="begin"/>
      </w:r>
      <w:r>
        <w:instrText xml:space="preserve"> PAGEREF _Toc25659 \h </w:instrText>
      </w:r>
      <w:r>
        <w:fldChar w:fldCharType="separate"/>
      </w:r>
      <w:r>
        <w:t>49</w:t>
      </w:r>
      <w:r>
        <w:fldChar w:fldCharType="end"/>
      </w:r>
      <w:r>
        <w:fldChar w:fldCharType="end"/>
      </w:r>
    </w:p>
    <w:p>
      <w:pPr>
        <w:pStyle w:val="20"/>
        <w:tabs>
          <w:tab w:val="right" w:leader="dot" w:pos="9025"/>
          <w:tab w:val="clear" w:pos="0"/>
        </w:tabs>
      </w:pPr>
      <w:r>
        <w:fldChar w:fldCharType="begin"/>
      </w:r>
      <w:r>
        <w:instrText xml:space="preserve"> HYPERLINK \l _Toc16929 </w:instrText>
      </w:r>
      <w:r>
        <w:fldChar w:fldCharType="separate"/>
      </w:r>
      <w:r>
        <w:rPr>
          <w:rFonts w:hint="eastAsia" w:ascii="宋体" w:hAnsi="宋体" w:eastAsia="宋体" w:cs="宋体"/>
        </w:rPr>
        <w:t xml:space="preserve">九、 </w:t>
      </w:r>
      <w:r>
        <w:rPr>
          <w:rFonts w:hint="eastAsia"/>
        </w:rPr>
        <w:t>履约保证金</w:t>
      </w:r>
      <w:r>
        <w:tab/>
      </w:r>
      <w:r>
        <w:fldChar w:fldCharType="begin"/>
      </w:r>
      <w:r>
        <w:instrText xml:space="preserve"> PAGEREF _Toc16929 \h </w:instrText>
      </w:r>
      <w:r>
        <w:fldChar w:fldCharType="separate"/>
      </w:r>
      <w:r>
        <w:t>49</w:t>
      </w:r>
      <w:r>
        <w:fldChar w:fldCharType="end"/>
      </w:r>
      <w:r>
        <w:fldChar w:fldCharType="end"/>
      </w:r>
    </w:p>
    <w:p>
      <w:pPr>
        <w:pStyle w:val="20"/>
        <w:tabs>
          <w:tab w:val="right" w:leader="dot" w:pos="9025"/>
          <w:tab w:val="clear" w:pos="0"/>
        </w:tabs>
      </w:pPr>
      <w:r>
        <w:fldChar w:fldCharType="begin"/>
      </w:r>
      <w:r>
        <w:instrText xml:space="preserve"> HYPERLINK \l _Toc10093 </w:instrText>
      </w:r>
      <w:r>
        <w:fldChar w:fldCharType="separate"/>
      </w:r>
      <w:r>
        <w:rPr>
          <w:rFonts w:hint="eastAsia" w:ascii="宋体" w:hAnsi="宋体" w:eastAsia="宋体" w:cs="宋体"/>
        </w:rPr>
        <w:t xml:space="preserve">十、 </w:t>
      </w:r>
      <w:r>
        <w:rPr>
          <w:rFonts w:hint="eastAsia"/>
        </w:rPr>
        <w:t>甲方的权利和义务</w:t>
      </w:r>
      <w:r>
        <w:tab/>
      </w:r>
      <w:r>
        <w:fldChar w:fldCharType="begin"/>
      </w:r>
      <w:r>
        <w:instrText xml:space="preserve"> PAGEREF _Toc10093 \h </w:instrText>
      </w:r>
      <w:r>
        <w:fldChar w:fldCharType="separate"/>
      </w:r>
      <w:r>
        <w:t>49</w:t>
      </w:r>
      <w:r>
        <w:fldChar w:fldCharType="end"/>
      </w:r>
      <w:r>
        <w:fldChar w:fldCharType="end"/>
      </w:r>
    </w:p>
    <w:p>
      <w:pPr>
        <w:pStyle w:val="20"/>
        <w:tabs>
          <w:tab w:val="right" w:leader="dot" w:pos="9025"/>
          <w:tab w:val="clear" w:pos="0"/>
        </w:tabs>
      </w:pPr>
      <w:r>
        <w:fldChar w:fldCharType="begin"/>
      </w:r>
      <w:r>
        <w:instrText xml:space="preserve"> HYPERLINK \l _Toc30655 </w:instrText>
      </w:r>
      <w:r>
        <w:fldChar w:fldCharType="separate"/>
      </w:r>
      <w:r>
        <w:rPr>
          <w:rFonts w:hint="eastAsia" w:ascii="宋体" w:hAnsi="宋体" w:eastAsia="宋体" w:cs="宋体"/>
        </w:rPr>
        <w:t xml:space="preserve">十一、 </w:t>
      </w:r>
      <w:r>
        <w:rPr>
          <w:rFonts w:hint="eastAsia"/>
        </w:rPr>
        <w:t>乙方的权利和义务</w:t>
      </w:r>
      <w:r>
        <w:tab/>
      </w:r>
      <w:r>
        <w:fldChar w:fldCharType="begin"/>
      </w:r>
      <w:r>
        <w:instrText xml:space="preserve"> PAGEREF _Toc30655 \h </w:instrText>
      </w:r>
      <w:r>
        <w:fldChar w:fldCharType="separate"/>
      </w:r>
      <w:r>
        <w:t>50</w:t>
      </w:r>
      <w:r>
        <w:fldChar w:fldCharType="end"/>
      </w:r>
      <w:r>
        <w:fldChar w:fldCharType="end"/>
      </w:r>
    </w:p>
    <w:p>
      <w:pPr>
        <w:pStyle w:val="20"/>
        <w:tabs>
          <w:tab w:val="right" w:leader="dot" w:pos="9025"/>
          <w:tab w:val="clear" w:pos="0"/>
        </w:tabs>
      </w:pPr>
      <w:r>
        <w:fldChar w:fldCharType="begin"/>
      </w:r>
      <w:r>
        <w:instrText xml:space="preserve"> HYPERLINK \l _Toc20116 </w:instrText>
      </w:r>
      <w:r>
        <w:fldChar w:fldCharType="separate"/>
      </w:r>
      <w:r>
        <w:rPr>
          <w:rFonts w:hint="eastAsia" w:ascii="宋体" w:hAnsi="宋体" w:eastAsia="宋体" w:cs="宋体"/>
        </w:rPr>
        <w:t xml:space="preserve">十二、 </w:t>
      </w:r>
      <w:r>
        <w:rPr>
          <w:rFonts w:hint="eastAsia"/>
        </w:rPr>
        <w:t>违约责任</w:t>
      </w:r>
      <w:r>
        <w:tab/>
      </w:r>
      <w:r>
        <w:fldChar w:fldCharType="begin"/>
      </w:r>
      <w:r>
        <w:instrText xml:space="preserve"> PAGEREF _Toc20116 \h </w:instrText>
      </w:r>
      <w:r>
        <w:fldChar w:fldCharType="separate"/>
      </w:r>
      <w:r>
        <w:t>50</w:t>
      </w:r>
      <w:r>
        <w:fldChar w:fldCharType="end"/>
      </w:r>
      <w:r>
        <w:fldChar w:fldCharType="end"/>
      </w:r>
    </w:p>
    <w:p>
      <w:pPr>
        <w:pStyle w:val="20"/>
        <w:tabs>
          <w:tab w:val="right" w:leader="dot" w:pos="9025"/>
          <w:tab w:val="clear" w:pos="0"/>
        </w:tabs>
      </w:pPr>
      <w:r>
        <w:fldChar w:fldCharType="begin"/>
      </w:r>
      <w:r>
        <w:instrText xml:space="preserve"> HYPERLINK \l _Toc22888 </w:instrText>
      </w:r>
      <w:r>
        <w:fldChar w:fldCharType="separate"/>
      </w:r>
      <w:r>
        <w:rPr>
          <w:rFonts w:hint="eastAsia" w:ascii="宋体" w:hAnsi="宋体" w:eastAsia="宋体" w:cs="宋体"/>
        </w:rPr>
        <w:t xml:space="preserve">十三、 </w:t>
      </w:r>
      <w:r>
        <w:rPr>
          <w:rFonts w:hint="eastAsia"/>
        </w:rPr>
        <w:t>不可抗力事件处理</w:t>
      </w:r>
      <w:r>
        <w:tab/>
      </w:r>
      <w:r>
        <w:fldChar w:fldCharType="begin"/>
      </w:r>
      <w:r>
        <w:instrText xml:space="preserve"> PAGEREF _Toc22888 \h </w:instrText>
      </w:r>
      <w:r>
        <w:fldChar w:fldCharType="separate"/>
      </w:r>
      <w:r>
        <w:t>50</w:t>
      </w:r>
      <w:r>
        <w:fldChar w:fldCharType="end"/>
      </w:r>
      <w:r>
        <w:fldChar w:fldCharType="end"/>
      </w:r>
    </w:p>
    <w:p>
      <w:pPr>
        <w:pStyle w:val="20"/>
        <w:tabs>
          <w:tab w:val="right" w:leader="dot" w:pos="9025"/>
          <w:tab w:val="clear" w:pos="0"/>
        </w:tabs>
      </w:pPr>
      <w:r>
        <w:fldChar w:fldCharType="begin"/>
      </w:r>
      <w:r>
        <w:instrText xml:space="preserve"> HYPERLINK \l _Toc5862 </w:instrText>
      </w:r>
      <w:r>
        <w:fldChar w:fldCharType="separate"/>
      </w:r>
      <w:r>
        <w:rPr>
          <w:rFonts w:hint="eastAsia" w:ascii="宋体" w:hAnsi="宋体" w:eastAsia="宋体" w:cs="宋体"/>
        </w:rPr>
        <w:t xml:space="preserve">十四、 </w:t>
      </w:r>
      <w:r>
        <w:rPr>
          <w:rFonts w:hint="eastAsia"/>
        </w:rPr>
        <w:t>解决争议的方法</w:t>
      </w:r>
      <w:r>
        <w:tab/>
      </w:r>
      <w:r>
        <w:fldChar w:fldCharType="begin"/>
      </w:r>
      <w:r>
        <w:instrText xml:space="preserve"> PAGEREF _Toc5862 \h </w:instrText>
      </w:r>
      <w:r>
        <w:fldChar w:fldCharType="separate"/>
      </w:r>
      <w:r>
        <w:t>50</w:t>
      </w:r>
      <w:r>
        <w:fldChar w:fldCharType="end"/>
      </w:r>
      <w:r>
        <w:fldChar w:fldCharType="end"/>
      </w:r>
    </w:p>
    <w:p>
      <w:pPr>
        <w:pStyle w:val="20"/>
        <w:tabs>
          <w:tab w:val="right" w:leader="dot" w:pos="9025"/>
          <w:tab w:val="clear" w:pos="0"/>
        </w:tabs>
      </w:pPr>
      <w:r>
        <w:fldChar w:fldCharType="begin"/>
      </w:r>
      <w:r>
        <w:instrText xml:space="preserve"> HYPERLINK \l _Toc26614 </w:instrText>
      </w:r>
      <w:r>
        <w:fldChar w:fldCharType="separate"/>
      </w:r>
      <w:r>
        <w:rPr>
          <w:rFonts w:hint="eastAsia" w:ascii="宋体" w:hAnsi="宋体" w:eastAsia="宋体" w:cs="宋体"/>
        </w:rPr>
        <w:t xml:space="preserve">十五、 </w:t>
      </w:r>
      <w:r>
        <w:rPr>
          <w:rFonts w:hint="eastAsia"/>
        </w:rPr>
        <w:t>合同生效及其他</w:t>
      </w:r>
      <w:r>
        <w:tab/>
      </w:r>
      <w:r>
        <w:fldChar w:fldCharType="begin"/>
      </w:r>
      <w:r>
        <w:instrText xml:space="preserve"> PAGEREF _Toc26614 \h </w:instrText>
      </w:r>
      <w:r>
        <w:fldChar w:fldCharType="separate"/>
      </w:r>
      <w:r>
        <w:t>50</w:t>
      </w:r>
      <w:r>
        <w:fldChar w:fldCharType="end"/>
      </w:r>
      <w:r>
        <w:fldChar w:fldCharType="end"/>
      </w:r>
    </w:p>
    <w:p>
      <w:pPr>
        <w:pStyle w:val="20"/>
        <w:tabs>
          <w:tab w:val="right" w:leader="dot" w:pos="9025"/>
          <w:tab w:val="clear" w:pos="0"/>
        </w:tabs>
      </w:pPr>
      <w:r>
        <w:fldChar w:fldCharType="begin"/>
      </w:r>
      <w:r>
        <w:instrText xml:space="preserve"> HYPERLINK \l _Toc8679 </w:instrText>
      </w:r>
      <w:r>
        <w:fldChar w:fldCharType="separate"/>
      </w:r>
      <w:r>
        <w:rPr>
          <w:rFonts w:hint="eastAsia" w:ascii="宋体" w:hAnsi="宋体" w:eastAsia="宋体" w:cs="宋体"/>
        </w:rPr>
        <w:t xml:space="preserve">十六、 </w:t>
      </w:r>
      <w:r>
        <w:rPr>
          <w:rFonts w:hint="eastAsia"/>
        </w:rPr>
        <w:t>附件</w:t>
      </w:r>
      <w:r>
        <w:tab/>
      </w:r>
      <w:r>
        <w:fldChar w:fldCharType="begin"/>
      </w:r>
      <w:r>
        <w:instrText xml:space="preserve"> PAGEREF _Toc8679 \h </w:instrText>
      </w:r>
      <w:r>
        <w:fldChar w:fldCharType="separate"/>
      </w:r>
      <w:r>
        <w:t>51</w:t>
      </w:r>
      <w:r>
        <w:fldChar w:fldCharType="end"/>
      </w:r>
      <w:r>
        <w:fldChar w:fldCharType="end"/>
      </w:r>
    </w:p>
    <w:p>
      <w:pPr>
        <w:pStyle w:val="19"/>
        <w:tabs>
          <w:tab w:val="right" w:leader="dot" w:pos="9025"/>
          <w:tab w:val="clear" w:pos="0"/>
          <w:tab w:val="clear" w:pos="9746"/>
        </w:tabs>
      </w:pPr>
      <w:r>
        <w:fldChar w:fldCharType="begin"/>
      </w:r>
      <w:r>
        <w:instrText xml:space="preserve"> HYPERLINK \l _Toc19382 </w:instrText>
      </w:r>
      <w:r>
        <w:fldChar w:fldCharType="separate"/>
      </w:r>
      <w:r>
        <w:rPr>
          <w:rFonts w:hint="eastAsia" w:ascii="宋体" w:hAnsi="宋体" w:eastAsia="宋体" w:cs="宋体"/>
        </w:rPr>
        <w:t xml:space="preserve">第九章 </w:t>
      </w:r>
      <w:r>
        <w:rPr>
          <w:rFonts w:hint="eastAsia"/>
        </w:rPr>
        <w:t>附件</w:t>
      </w:r>
      <w:r>
        <w:tab/>
      </w:r>
      <w:r>
        <w:fldChar w:fldCharType="begin"/>
      </w:r>
      <w:r>
        <w:instrText xml:space="preserve"> PAGEREF _Toc19382 \h </w:instrText>
      </w:r>
      <w:r>
        <w:fldChar w:fldCharType="separate"/>
      </w:r>
      <w:r>
        <w:t>53</w:t>
      </w:r>
      <w:r>
        <w:fldChar w:fldCharType="end"/>
      </w:r>
      <w:r>
        <w:fldChar w:fldCharType="end"/>
      </w:r>
    </w:p>
    <w:p>
      <w:pPr>
        <w:pStyle w:val="19"/>
        <w:tabs>
          <w:tab w:val="right" w:leader="dot" w:pos="9025"/>
          <w:tab w:val="clear" w:pos="0"/>
          <w:tab w:val="clear" w:pos="9746"/>
        </w:tabs>
      </w:pPr>
      <w:r>
        <w:fldChar w:fldCharType="end"/>
      </w:r>
    </w:p>
    <w:p>
      <w:pPr>
        <w:pStyle w:val="51"/>
        <w:spacing w:before="156" w:after="156"/>
      </w:pPr>
      <w:r>
        <w:rPr>
          <w:rFonts w:hint="eastAsia"/>
        </w:rPr>
        <w:br w:type="page"/>
      </w:r>
      <w:bookmarkEnd w:id="2"/>
      <w:bookmarkEnd w:id="9"/>
      <w:bookmarkEnd w:id="10"/>
      <w:bookmarkStart w:id="12" w:name="_Toc9731"/>
      <w:bookmarkStart w:id="13" w:name="_Toc7805"/>
      <w:bookmarkStart w:id="14" w:name="_Toc213397009"/>
      <w:bookmarkStart w:id="15" w:name="_Toc217446031"/>
      <w:bookmarkStart w:id="16" w:name="_Toc213496267"/>
      <w:bookmarkStart w:id="17" w:name="_Toc213396759"/>
      <w:bookmarkStart w:id="18" w:name="_Toc213396945"/>
      <w:r>
        <w:rPr>
          <w:rFonts w:hint="eastAsia"/>
        </w:rPr>
        <w:t>投标邀请</w:t>
      </w:r>
      <w:bookmarkEnd w:id="11"/>
      <w:bookmarkEnd w:id="12"/>
      <w:bookmarkEnd w:id="13"/>
    </w:p>
    <w:p>
      <w:pPr>
        <w:pStyle w:val="49"/>
      </w:pPr>
      <w:r>
        <w:rPr>
          <w:rFonts w:hint="eastAsia"/>
          <w:lang w:val="zh-CN"/>
        </w:rPr>
        <w:t>四川乾新招投标代理有限公司</w:t>
      </w:r>
      <w:r>
        <w:rPr>
          <w:rFonts w:hint="eastAsia"/>
        </w:rPr>
        <w:t>受成都市住房和城乡建设信息档案中心的委托，拟对成都市住房和城乡建设信息档案中心终端运维外包服务项目进行国内公开招标，兹邀请符合本次招标要求的供应商参加投标。</w:t>
      </w:r>
    </w:p>
    <w:p>
      <w:pPr>
        <w:pStyle w:val="45"/>
        <w:numPr>
          <w:ilvl w:val="0"/>
          <w:numId w:val="7"/>
        </w:numPr>
        <w:spacing w:line="420" w:lineRule="exact"/>
        <w:ind w:firstLine="480" w:firstLineChars="200"/>
      </w:pPr>
      <w:r>
        <w:rPr>
          <w:rFonts w:hint="eastAsia"/>
          <w:b/>
          <w:bCs/>
        </w:rPr>
        <w:t>项目编号：510101202101135</w:t>
      </w:r>
    </w:p>
    <w:p>
      <w:pPr>
        <w:pStyle w:val="45"/>
        <w:numPr>
          <w:ilvl w:val="0"/>
          <w:numId w:val="7"/>
        </w:numPr>
        <w:spacing w:line="420" w:lineRule="exact"/>
        <w:ind w:firstLine="480" w:firstLineChars="200"/>
      </w:pPr>
      <w:r>
        <w:rPr>
          <w:rFonts w:hint="eastAsia"/>
          <w:b/>
          <w:bCs/>
        </w:rPr>
        <w:t>项目名称：成都市住房和城乡建设信息档案中心终端运维外包服务项目</w:t>
      </w:r>
    </w:p>
    <w:p>
      <w:pPr>
        <w:pStyle w:val="45"/>
        <w:numPr>
          <w:ilvl w:val="0"/>
          <w:numId w:val="7"/>
        </w:numPr>
        <w:spacing w:line="420" w:lineRule="exact"/>
        <w:ind w:firstLine="480" w:firstLineChars="200"/>
        <w:rPr>
          <w:b/>
          <w:bCs/>
        </w:rPr>
      </w:pPr>
      <w:r>
        <w:rPr>
          <w:rFonts w:hint="eastAsia"/>
          <w:b/>
          <w:bCs/>
        </w:rPr>
        <w:t>资金来源：根据成都市财政局下达的《成都市市级政府采购实施计划备案表》（备案号:〔2021〕2254号），该项目2021年预算资金为75万元。</w:t>
      </w:r>
    </w:p>
    <w:p>
      <w:pPr>
        <w:pStyle w:val="45"/>
        <w:numPr>
          <w:ilvl w:val="0"/>
          <w:numId w:val="7"/>
        </w:numPr>
        <w:spacing w:line="420" w:lineRule="exact"/>
        <w:ind w:firstLine="480" w:firstLineChars="200"/>
        <w:rPr>
          <w:b/>
          <w:bCs/>
        </w:rPr>
      </w:pPr>
      <w:r>
        <w:rPr>
          <w:rFonts w:hint="eastAsia"/>
          <w:b/>
          <w:bCs/>
        </w:rPr>
        <w:t>招标项目简介：</w:t>
      </w:r>
    </w:p>
    <w:p>
      <w:pPr>
        <w:pStyle w:val="45"/>
        <w:ind w:firstLine="480" w:firstLineChars="200"/>
      </w:pPr>
      <w:r>
        <w:rPr>
          <w:rFonts w:hint="eastAsia"/>
          <w:b/>
          <w:bCs/>
        </w:rPr>
        <w:t>(一)采购内容：</w:t>
      </w:r>
      <w:r>
        <w:rPr>
          <w:rFonts w:hint="eastAsia"/>
        </w:rPr>
        <w:t>终端运维外包服务，共</w:t>
      </w:r>
      <w:r>
        <w:rPr>
          <w:rFonts w:hint="eastAsia"/>
          <w:color w:val="000000" w:themeColor="text1"/>
          <w14:textFill>
            <w14:solidFill>
              <w14:schemeClr w14:val="tx1"/>
            </w14:solidFill>
          </w14:textFill>
        </w:rPr>
        <w:t>计1个</w:t>
      </w:r>
      <w:r>
        <w:rPr>
          <w:rFonts w:hint="eastAsia"/>
        </w:rPr>
        <w:t>包，具体详见招标文件第六章。</w:t>
      </w:r>
    </w:p>
    <w:p>
      <w:pPr>
        <w:pStyle w:val="45"/>
        <w:ind w:firstLine="480" w:firstLineChars="200"/>
      </w:pPr>
      <w:r>
        <w:rPr>
          <w:rFonts w:hint="eastAsia"/>
          <w:b/>
          <w:bCs/>
        </w:rPr>
        <w:t>(二)采购用途：</w:t>
      </w:r>
      <w:r>
        <w:rPr>
          <w:rFonts w:hint="eastAsia" w:cs="宋体"/>
          <w:color w:val="000000"/>
          <w:kern w:val="0"/>
        </w:rPr>
        <w:t>为了保证采购人各业务系统的正常运行，提高系统运行保障能力，提高服务质量</w:t>
      </w:r>
      <w:r>
        <w:rPr>
          <w:rFonts w:hint="eastAsia"/>
        </w:rPr>
        <w:t>。</w:t>
      </w:r>
    </w:p>
    <w:p>
      <w:pPr>
        <w:pStyle w:val="45"/>
        <w:ind w:firstLine="480" w:firstLineChars="200"/>
      </w:pPr>
      <w:r>
        <w:rPr>
          <w:rFonts w:hint="eastAsia"/>
          <w:b/>
          <w:bCs/>
        </w:rPr>
        <w:t>(三)项目性质：</w:t>
      </w:r>
      <w:r>
        <w:rPr>
          <w:rFonts w:hint="eastAsia"/>
        </w:rPr>
        <w:t>政府采购。</w:t>
      </w:r>
    </w:p>
    <w:p>
      <w:pPr>
        <w:pStyle w:val="45"/>
        <w:numPr>
          <w:ilvl w:val="0"/>
          <w:numId w:val="7"/>
        </w:numPr>
        <w:spacing w:line="420" w:lineRule="exact"/>
        <w:ind w:firstLine="480" w:firstLineChars="200"/>
        <w:rPr>
          <w:b/>
          <w:bCs/>
        </w:rPr>
      </w:pPr>
      <w:r>
        <w:rPr>
          <w:rFonts w:hint="eastAsia"/>
          <w:b/>
          <w:bCs/>
        </w:rPr>
        <w:t>供应商参加本次政府采购活动应具备下列条件：</w:t>
      </w:r>
    </w:p>
    <w:p>
      <w:pPr>
        <w:pStyle w:val="45"/>
        <w:spacing w:line="460" w:lineRule="exact"/>
        <w:ind w:firstLine="480" w:firstLineChars="200"/>
        <w:rPr>
          <w:lang w:val="zh-CN"/>
        </w:rPr>
      </w:pPr>
      <w:r>
        <w:rPr>
          <w:rFonts w:hint="eastAsia"/>
        </w:rPr>
        <w:t>(一)</w:t>
      </w:r>
      <w:r>
        <w:rPr>
          <w:rFonts w:hint="eastAsia"/>
          <w:lang w:val="zh-CN"/>
        </w:rPr>
        <w:t>符合《中华人民共和国政府采购法》第二十二条规定的条件：</w:t>
      </w:r>
    </w:p>
    <w:p>
      <w:pPr>
        <w:pStyle w:val="45"/>
        <w:spacing w:line="460" w:lineRule="exact"/>
        <w:ind w:firstLine="480" w:firstLineChars="200"/>
      </w:pPr>
      <w:r>
        <w:rPr>
          <w:rFonts w:hint="eastAsia"/>
        </w:rPr>
        <w:t>1.具有独立承担</w:t>
      </w:r>
      <w:r>
        <w:rPr>
          <w:rFonts w:hint="eastAsia"/>
        </w:rPr>
        <w:fldChar w:fldCharType="begin"/>
      </w:r>
      <w:r>
        <w:instrText xml:space="preserve"> HYPERLINK "http://www.lawtime.cn/info/minfa/mszeren/" \t "_blank" </w:instrText>
      </w:r>
      <w:r>
        <w:rPr>
          <w:rFonts w:hint="eastAsia"/>
        </w:rPr>
        <w:fldChar w:fldCharType="separate"/>
      </w:r>
      <w:r>
        <w:rPr>
          <w:rFonts w:hint="eastAsia"/>
        </w:rPr>
        <w:t>民事责任</w:t>
      </w:r>
      <w:r>
        <w:rPr>
          <w:rFonts w:hint="eastAsia"/>
        </w:rPr>
        <w:fldChar w:fldCharType="end"/>
      </w:r>
      <w:r>
        <w:rPr>
          <w:rFonts w:hint="eastAsia"/>
        </w:rPr>
        <w:t>的能力；</w:t>
      </w:r>
    </w:p>
    <w:p>
      <w:pPr>
        <w:pStyle w:val="45"/>
        <w:spacing w:line="460" w:lineRule="exact"/>
        <w:ind w:firstLine="480" w:firstLineChars="200"/>
      </w:pPr>
      <w:r>
        <w:rPr>
          <w:rFonts w:hint="eastAsia"/>
        </w:rPr>
        <w:t>2.具有良好的商业信誉和健全的财务会计制度；</w:t>
      </w:r>
    </w:p>
    <w:p>
      <w:pPr>
        <w:pStyle w:val="45"/>
        <w:spacing w:line="460" w:lineRule="exact"/>
        <w:ind w:firstLine="480" w:firstLineChars="200"/>
      </w:pPr>
      <w:r>
        <w:rPr>
          <w:rFonts w:hint="eastAsia"/>
        </w:rPr>
        <w:t>3.具有履行合同所必需的设备和专业技术能力；</w:t>
      </w:r>
    </w:p>
    <w:p>
      <w:pPr>
        <w:pStyle w:val="45"/>
        <w:spacing w:line="460" w:lineRule="exact"/>
        <w:ind w:firstLine="480" w:firstLineChars="200"/>
      </w:pPr>
      <w:r>
        <w:rPr>
          <w:rFonts w:hint="eastAsia"/>
        </w:rPr>
        <w:t>4.有依法缴纳税收和</w:t>
      </w:r>
      <w:r>
        <w:rPr>
          <w:rFonts w:hint="eastAsia"/>
        </w:rPr>
        <w:fldChar w:fldCharType="begin"/>
      </w:r>
      <w:r>
        <w:instrText xml:space="preserve"> HYPERLINK "http://www.lawtime.cn/info/laodong/shehuibaozhang/" \t "_blank" </w:instrText>
      </w:r>
      <w:r>
        <w:rPr>
          <w:rFonts w:hint="eastAsia"/>
        </w:rPr>
        <w:fldChar w:fldCharType="separate"/>
      </w:r>
      <w:r>
        <w:rPr>
          <w:rFonts w:hint="eastAsia"/>
        </w:rPr>
        <w:t>社会保障</w:t>
      </w:r>
      <w:r>
        <w:rPr>
          <w:rFonts w:hint="eastAsia"/>
        </w:rPr>
        <w:fldChar w:fldCharType="end"/>
      </w:r>
      <w:r>
        <w:rPr>
          <w:rFonts w:hint="eastAsia"/>
        </w:rPr>
        <w:t>资金的良好记录；</w:t>
      </w:r>
    </w:p>
    <w:p>
      <w:pPr>
        <w:pStyle w:val="45"/>
        <w:spacing w:line="460" w:lineRule="exact"/>
        <w:ind w:firstLine="480" w:firstLineChars="200"/>
      </w:pPr>
      <w:r>
        <w:rPr>
          <w:rFonts w:hint="eastAsia"/>
        </w:rPr>
        <w:t>5.参加政府采购活动前三年内，在经营活动中没有重大违法记录；</w:t>
      </w:r>
    </w:p>
    <w:p>
      <w:pPr>
        <w:pStyle w:val="45"/>
        <w:spacing w:line="460" w:lineRule="exact"/>
        <w:ind w:firstLine="480" w:firstLineChars="200"/>
      </w:pPr>
      <w:r>
        <w:rPr>
          <w:rFonts w:hint="eastAsia"/>
        </w:rPr>
        <w:t>6.法律、</w:t>
      </w:r>
      <w:r>
        <w:rPr>
          <w:rFonts w:hint="eastAsia"/>
        </w:rPr>
        <w:fldChar w:fldCharType="begin"/>
      </w:r>
      <w:r>
        <w:instrText xml:space="preserve"> HYPERLINK "http://www.lawtime.cn/info/sifakaoshi/xingzhengfa/" \t "_blank" </w:instrText>
      </w:r>
      <w:r>
        <w:rPr>
          <w:rFonts w:hint="eastAsia"/>
        </w:rPr>
        <w:fldChar w:fldCharType="separate"/>
      </w:r>
      <w:r>
        <w:rPr>
          <w:rFonts w:hint="eastAsia"/>
        </w:rPr>
        <w:t>行政法</w:t>
      </w:r>
      <w:r>
        <w:rPr>
          <w:rFonts w:hint="eastAsia"/>
        </w:rPr>
        <w:fldChar w:fldCharType="end"/>
      </w:r>
      <w:r>
        <w:rPr>
          <w:rFonts w:hint="eastAsia"/>
        </w:rPr>
        <w:t>规规定的其他条件；</w:t>
      </w:r>
    </w:p>
    <w:p>
      <w:pPr>
        <w:pStyle w:val="45"/>
        <w:spacing w:line="460" w:lineRule="exact"/>
        <w:ind w:firstLine="480" w:firstLineChars="200"/>
        <w:rPr>
          <w:lang w:val="zh-CN"/>
        </w:rPr>
      </w:pPr>
      <w:r>
        <w:rPr>
          <w:rFonts w:hint="eastAsia"/>
        </w:rPr>
        <w:t>(二)</w:t>
      </w:r>
      <w:r>
        <w:rPr>
          <w:rFonts w:hint="eastAsia"/>
          <w:lang w:val="zh-CN"/>
        </w:rPr>
        <w:t>落实政府采购政策需满足的资格要求：</w:t>
      </w:r>
    </w:p>
    <w:p>
      <w:pPr>
        <w:pStyle w:val="45"/>
        <w:spacing w:line="460" w:lineRule="exact"/>
        <w:ind w:firstLine="480" w:firstLineChars="200"/>
        <w:rPr>
          <w:lang w:val="zh-CN"/>
        </w:rPr>
      </w:pPr>
      <w:r>
        <w:rPr>
          <w:rFonts w:hint="eastAsia"/>
        </w:rPr>
        <w:t>本项目为专门面向中小企业采购的项目,投标人应为中小微企业或监狱企业或残疾人福利性单位</w:t>
      </w:r>
      <w:r>
        <w:rPr>
          <w:rFonts w:hint="eastAsia"/>
          <w:lang w:val="zh-CN"/>
        </w:rPr>
        <w:t>；</w:t>
      </w:r>
    </w:p>
    <w:p>
      <w:pPr>
        <w:pStyle w:val="45"/>
        <w:spacing w:line="460" w:lineRule="exact"/>
        <w:ind w:firstLine="480" w:firstLineChars="200"/>
        <w:rPr>
          <w:lang w:val="zh-CN"/>
        </w:rPr>
      </w:pPr>
      <w:r>
        <w:rPr>
          <w:rFonts w:hint="eastAsia"/>
        </w:rPr>
        <w:t>(三)</w:t>
      </w:r>
      <w:r>
        <w:rPr>
          <w:rFonts w:hint="eastAsia"/>
          <w:lang w:val="zh-CN"/>
        </w:rPr>
        <w:t>本项目的特定资格要求：</w:t>
      </w:r>
      <w:r>
        <w:rPr>
          <w:rFonts w:hint="eastAsia"/>
        </w:rPr>
        <w:t>本项目不接受联合体投标</w:t>
      </w:r>
      <w:r>
        <w:rPr>
          <w:rFonts w:hint="eastAsia"/>
          <w:lang w:val="zh-CN"/>
        </w:rPr>
        <w:t>。</w:t>
      </w:r>
    </w:p>
    <w:p>
      <w:pPr>
        <w:pStyle w:val="45"/>
        <w:numPr>
          <w:ilvl w:val="0"/>
          <w:numId w:val="7"/>
        </w:numPr>
        <w:spacing w:line="420" w:lineRule="exact"/>
        <w:ind w:firstLine="480" w:firstLineChars="200"/>
        <w:rPr>
          <w:b/>
          <w:bCs/>
        </w:rPr>
      </w:pPr>
      <w:r>
        <w:rPr>
          <w:rFonts w:hint="eastAsia"/>
          <w:b/>
          <w:bCs/>
        </w:rPr>
        <w:t>禁止参加本次采购活动的供应商</w:t>
      </w:r>
    </w:p>
    <w:p>
      <w:pPr>
        <w:pStyle w:val="36"/>
        <w:spacing w:line="420" w:lineRule="exact"/>
        <w:ind w:firstLine="480" w:firstLineChars="200"/>
      </w:pPr>
      <w:bookmarkStart w:id="19" w:name="PO_默认文件内容_4"/>
      <w:r>
        <w:rPr>
          <w:rFonts w:hint="eastAsia"/>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45"/>
        <w:numPr>
          <w:ilvl w:val="0"/>
          <w:numId w:val="7"/>
        </w:numPr>
        <w:spacing w:line="420" w:lineRule="exact"/>
        <w:ind w:firstLine="480" w:firstLineChars="200"/>
        <w:rPr>
          <w:b/>
          <w:bCs/>
        </w:rPr>
      </w:pPr>
      <w:r>
        <w:rPr>
          <w:rFonts w:hint="eastAsia"/>
          <w:b/>
          <w:bCs/>
        </w:rPr>
        <w:t>招标文件获取</w:t>
      </w:r>
    </w:p>
    <w:p>
      <w:pPr>
        <w:pStyle w:val="45"/>
        <w:spacing w:line="460" w:lineRule="exact"/>
        <w:ind w:firstLine="480" w:firstLineChars="200"/>
        <w:rPr>
          <w:rFonts w:cs="宋体"/>
          <w:b/>
          <w:bCs/>
          <w:lang w:val="zh-CN"/>
        </w:rPr>
      </w:pPr>
      <w:r>
        <w:rPr>
          <w:rFonts w:hint="eastAsia" w:cs="宋体"/>
        </w:rPr>
        <w:t>(一)</w:t>
      </w:r>
      <w:r>
        <w:rPr>
          <w:rFonts w:hint="eastAsia" w:cs="宋体"/>
          <w:b/>
          <w:bCs/>
          <w:lang w:val="zh-CN"/>
        </w:rPr>
        <w:t>招标文件获取时间：</w:t>
      </w:r>
      <w:r>
        <w:rPr>
          <w:rFonts w:hint="eastAsia" w:cs="宋体"/>
        </w:rPr>
        <w:t>2021年</w:t>
      </w:r>
      <w:r>
        <w:rPr>
          <w:rFonts w:hint="eastAsia" w:cs="宋体"/>
          <w:lang w:val="en-US" w:eastAsia="zh-CN"/>
        </w:rPr>
        <w:t>8</w:t>
      </w:r>
      <w:r>
        <w:rPr>
          <w:rFonts w:hint="eastAsia" w:cs="宋体"/>
        </w:rPr>
        <w:t>月</w:t>
      </w:r>
      <w:r>
        <w:rPr>
          <w:rFonts w:hint="eastAsia" w:cs="宋体"/>
          <w:lang w:val="en-US" w:eastAsia="zh-CN"/>
        </w:rPr>
        <w:t>19</w:t>
      </w:r>
      <w:r>
        <w:rPr>
          <w:rFonts w:hint="eastAsia" w:cs="宋体"/>
        </w:rPr>
        <w:t>日至2021年8月</w:t>
      </w:r>
      <w:r>
        <w:rPr>
          <w:rFonts w:hint="eastAsia" w:cs="宋体"/>
          <w:lang w:val="en-US" w:eastAsia="zh-CN"/>
        </w:rPr>
        <w:t>25</w:t>
      </w:r>
      <w:r>
        <w:rPr>
          <w:rFonts w:hint="eastAsia" w:cs="宋体"/>
        </w:rPr>
        <w:t>日(北京时间，法定节假日除外)</w:t>
      </w:r>
    </w:p>
    <w:p>
      <w:pPr>
        <w:pStyle w:val="45"/>
        <w:spacing w:line="460" w:lineRule="exact"/>
        <w:ind w:firstLine="480" w:firstLineChars="200"/>
        <w:rPr>
          <w:rFonts w:cs="宋体"/>
          <w:b/>
          <w:bCs/>
          <w:lang w:val="zh-CN"/>
        </w:rPr>
      </w:pPr>
      <w:r>
        <w:rPr>
          <w:rFonts w:hint="eastAsia" w:cs="宋体"/>
        </w:rPr>
        <w:t>(二)</w:t>
      </w:r>
      <w:r>
        <w:rPr>
          <w:rFonts w:hint="eastAsia" w:cs="宋体"/>
          <w:b/>
          <w:bCs/>
          <w:lang w:val="zh-CN"/>
        </w:rPr>
        <w:t>招标文件获取方式：投标人从“政府采购云平台”获取采购文件（网址：</w:t>
      </w:r>
      <w:r>
        <w:rPr>
          <w:rFonts w:hint="eastAsia"/>
        </w:rPr>
        <w:fldChar w:fldCharType="begin"/>
      </w:r>
      <w:r>
        <w:instrText xml:space="preserve"> HYPERLINK "https://www.zcygov.cn）项目采购—获取采购文件—申请获取采购文件。_x0005_" </w:instrText>
      </w:r>
      <w:r>
        <w:rPr>
          <w:rFonts w:hint="eastAsia"/>
        </w:rPr>
        <w:fldChar w:fldCharType="separate"/>
      </w:r>
      <w:r>
        <w:rPr>
          <w:rFonts w:hint="eastAsia" w:cs="宋体"/>
          <w:b/>
          <w:bCs/>
          <w:lang w:val="zh-CN"/>
        </w:rPr>
        <w:t>https://www.zcygov.cn）。登录“政府采购云平台”—项目采购—获取采购文件—申请获取采购文件</w:t>
      </w:r>
      <w:r>
        <w:rPr>
          <w:rFonts w:hint="eastAsia" w:cs="宋体"/>
          <w:b/>
          <w:bCs/>
          <w:lang w:val="zh-CN"/>
        </w:rPr>
        <w:fldChar w:fldCharType="end"/>
      </w:r>
      <w:r>
        <w:rPr>
          <w:rFonts w:hint="eastAsia" w:cs="宋体"/>
          <w:b/>
          <w:bCs/>
          <w:lang w:val="zh-CN"/>
        </w:rPr>
        <w:t>。</w:t>
      </w:r>
    </w:p>
    <w:p>
      <w:pPr>
        <w:pStyle w:val="45"/>
        <w:spacing w:line="460" w:lineRule="exact"/>
        <w:ind w:firstLine="480" w:firstLineChars="200"/>
        <w:rPr>
          <w:rFonts w:cs="宋体"/>
          <w:b/>
          <w:bCs/>
          <w:lang w:val="zh-CN"/>
        </w:rPr>
      </w:pPr>
      <w:r>
        <w:rPr>
          <w:rFonts w:hint="eastAsia" w:cs="宋体"/>
          <w:b/>
          <w:bCs/>
          <w:lang w:val="zh-CN"/>
        </w:rPr>
        <w:t>提示：</w:t>
      </w:r>
    </w:p>
    <w:p>
      <w:pPr>
        <w:pStyle w:val="45"/>
        <w:spacing w:line="460" w:lineRule="exact"/>
        <w:ind w:firstLine="480" w:firstLineChars="200"/>
        <w:rPr>
          <w:rFonts w:cs="宋体"/>
          <w:b/>
          <w:bCs/>
          <w:lang w:val="zh-CN"/>
        </w:rPr>
      </w:pPr>
      <w:r>
        <w:rPr>
          <w:rFonts w:hint="eastAsia" w:cs="宋体"/>
          <w:b/>
          <w:bCs/>
          <w:lang w:val="zh-CN"/>
        </w:rPr>
        <w:t>（1）本项目招标文件免费获取，</w:t>
      </w:r>
      <w:r>
        <w:rPr>
          <w:rFonts w:hint="eastAsia" w:cs="宋体"/>
          <w:b/>
          <w:bCs/>
        </w:rPr>
        <w:t>投标资格不得转让</w:t>
      </w:r>
      <w:r>
        <w:rPr>
          <w:rFonts w:hint="eastAsia" w:cs="宋体"/>
          <w:b/>
          <w:bCs/>
          <w:lang w:val="zh-CN"/>
        </w:rPr>
        <w:t>。</w:t>
      </w:r>
    </w:p>
    <w:p>
      <w:pPr>
        <w:pStyle w:val="45"/>
        <w:spacing w:line="460" w:lineRule="exact"/>
        <w:ind w:firstLine="480" w:firstLineChars="200"/>
        <w:rPr>
          <w:rFonts w:cs="宋体"/>
          <w:b/>
          <w:bCs/>
          <w:lang w:val="zh-CN"/>
        </w:rPr>
      </w:pPr>
      <w:r>
        <w:rPr>
          <w:rFonts w:hint="eastAsia" w:cs="宋体"/>
          <w:b/>
          <w:bCs/>
          <w:lang w:val="zh-CN"/>
        </w:rPr>
        <w:t>（2）投标人只有在“政府采购云平台”完成获取招标文件申请并下载招标文件后才视作依法参与本项目。如未在“政府采购云平台”内完成相关流程，引起的投标无效责任自负。</w:t>
      </w:r>
    </w:p>
    <w:p>
      <w:pPr>
        <w:pStyle w:val="45"/>
        <w:ind w:firstLine="480" w:firstLineChars="200"/>
      </w:pPr>
      <w:r>
        <w:rPr>
          <w:rFonts w:hint="eastAsia" w:cs="宋体"/>
          <w:b/>
          <w:bCs/>
          <w:lang w:val="zh-CN"/>
        </w:rPr>
        <w:t>（3）本项目为电子招标投标项目，投标人参与本项目全过程中凡涉及系统操作请详见《供应商政府采购项目电子交易操作指南》（操作指南以“政府采购云平台”网站发布为准，获取方式详见附件</w:t>
      </w:r>
      <w:r>
        <w:rPr>
          <w:rFonts w:hint="eastAsia" w:cs="宋体"/>
          <w:b/>
          <w:bCs/>
        </w:rPr>
        <w:t>一：</w:t>
      </w:r>
      <w:r>
        <w:rPr>
          <w:rFonts w:hint="eastAsia" w:cs="宋体"/>
          <w:b/>
          <w:bCs/>
          <w:lang w:val="zh-CN"/>
        </w:rPr>
        <w:t>政府采购云平台使用介绍）</w:t>
      </w:r>
      <w:r>
        <w:rPr>
          <w:rFonts w:hint="eastAsia"/>
        </w:rPr>
        <w:t>。</w:t>
      </w:r>
    </w:p>
    <w:p>
      <w:pPr>
        <w:pStyle w:val="45"/>
        <w:numPr>
          <w:ilvl w:val="0"/>
          <w:numId w:val="7"/>
        </w:numPr>
        <w:spacing w:line="420" w:lineRule="exact"/>
        <w:ind w:firstLine="480" w:firstLineChars="200"/>
        <w:rPr>
          <w:rFonts w:cs="宋体"/>
          <w:b/>
          <w:bCs/>
        </w:rPr>
      </w:pPr>
      <w:r>
        <w:rPr>
          <w:rFonts w:hint="eastAsia" w:cs="宋体"/>
          <w:b/>
          <w:bCs/>
        </w:rPr>
        <w:t>提交投标文件截止时间及开标时间：</w:t>
      </w:r>
      <w:r>
        <w:rPr>
          <w:rFonts w:hint="eastAsia" w:cs="宋体"/>
        </w:rPr>
        <w:t>2021年</w:t>
      </w:r>
      <w:r>
        <w:rPr>
          <w:rFonts w:hint="eastAsia" w:cs="宋体"/>
          <w:lang w:val="en-US" w:eastAsia="zh-CN"/>
        </w:rPr>
        <w:t>9</w:t>
      </w:r>
      <w:r>
        <w:rPr>
          <w:rFonts w:hint="eastAsia" w:cs="宋体"/>
        </w:rPr>
        <w:t>月</w:t>
      </w:r>
      <w:r>
        <w:rPr>
          <w:rFonts w:hint="eastAsia" w:cs="宋体"/>
          <w:lang w:val="en-US" w:eastAsia="zh-CN"/>
        </w:rPr>
        <w:t>9</w:t>
      </w:r>
      <w:r>
        <w:rPr>
          <w:rFonts w:hint="eastAsia" w:cs="宋体"/>
        </w:rPr>
        <w:t>日9时30分。</w:t>
      </w:r>
    </w:p>
    <w:p>
      <w:pPr>
        <w:pStyle w:val="45"/>
        <w:ind w:firstLine="480" w:firstLineChars="200"/>
      </w:pPr>
      <w:r>
        <w:rPr>
          <w:rFonts w:hint="eastAsia" w:cs="宋体"/>
          <w:b/>
          <w:bCs/>
        </w:rPr>
        <w:t>投标截止时间前，投标人应将加密的电子投标文件递交至“政府采购云平台”对应项目</w:t>
      </w:r>
      <w:r>
        <w:rPr>
          <w:rFonts w:hint="eastAsia"/>
        </w:rPr>
        <w:t>。</w:t>
      </w:r>
    </w:p>
    <w:p>
      <w:pPr>
        <w:pStyle w:val="45"/>
        <w:numPr>
          <w:ilvl w:val="0"/>
          <w:numId w:val="7"/>
        </w:numPr>
        <w:spacing w:line="420" w:lineRule="exact"/>
        <w:ind w:firstLine="480" w:firstLineChars="200"/>
        <w:rPr>
          <w:rFonts w:cs="宋体"/>
          <w:b/>
          <w:bCs/>
        </w:rPr>
      </w:pPr>
      <w:r>
        <w:rPr>
          <w:rFonts w:hint="eastAsia" w:cs="宋体"/>
          <w:b/>
          <w:bCs/>
        </w:rPr>
        <w:t>开标地点</w:t>
      </w:r>
    </w:p>
    <w:p>
      <w:pPr>
        <w:spacing w:after="50" w:line="420" w:lineRule="exact"/>
        <w:ind w:firstLine="480" w:firstLineChars="200"/>
        <w:rPr>
          <w:rFonts w:cs="宋体"/>
          <w:snapToGrid w:val="0"/>
        </w:rPr>
      </w:pPr>
      <w:r>
        <w:rPr>
          <w:rFonts w:hint="eastAsia" w:cs="宋体"/>
          <w:snapToGrid w:val="0"/>
        </w:rPr>
        <w:t>(一)本项目为不见面开标项目。</w:t>
      </w:r>
    </w:p>
    <w:p>
      <w:pPr>
        <w:spacing w:after="50" w:line="420" w:lineRule="exact"/>
        <w:ind w:firstLine="480" w:firstLineChars="200"/>
        <w:rPr>
          <w:rFonts w:cs="宋体"/>
          <w:snapToGrid w:val="0"/>
        </w:rPr>
      </w:pPr>
      <w:r>
        <w:rPr>
          <w:rFonts w:hint="eastAsia" w:cs="宋体"/>
          <w:snapToGrid w:val="0"/>
        </w:rPr>
        <w:t>(二)开标地点：政府采购云平台(https://www.zcygov.cn)</w:t>
      </w:r>
    </w:p>
    <w:p>
      <w:pPr>
        <w:pStyle w:val="45"/>
        <w:spacing w:line="420" w:lineRule="exact"/>
        <w:ind w:firstLine="480" w:firstLineChars="200"/>
        <w:rPr>
          <w:b/>
          <w:bCs/>
        </w:rPr>
      </w:pPr>
      <w:r>
        <w:rPr>
          <w:rFonts w:hint="eastAsia" w:cs="宋体"/>
        </w:rPr>
        <w:t>(三)本项目只接受投标人加密并递交至“政府采购云平台”的投标文件</w:t>
      </w:r>
      <w:r>
        <w:rPr>
          <w:rFonts w:hint="eastAsia"/>
        </w:rPr>
        <w:t>。</w:t>
      </w:r>
    </w:p>
    <w:p>
      <w:pPr>
        <w:pStyle w:val="45"/>
        <w:numPr>
          <w:ilvl w:val="0"/>
          <w:numId w:val="7"/>
        </w:numPr>
        <w:spacing w:line="420" w:lineRule="exact"/>
        <w:ind w:firstLine="480" w:firstLineChars="200"/>
        <w:rPr>
          <w:b/>
          <w:bCs/>
        </w:rPr>
      </w:pPr>
      <w:r>
        <w:rPr>
          <w:rFonts w:hint="eastAsia" w:cs="宋体"/>
        </w:rPr>
        <w:t>本投标邀请在“四川政府采购网”及“成都市住房和城乡建设局官网”上以公告形式发布</w:t>
      </w:r>
      <w:r>
        <w:rPr>
          <w:rFonts w:hint="eastAsia"/>
        </w:rPr>
        <w:t>。</w:t>
      </w:r>
    </w:p>
    <w:p>
      <w:pPr>
        <w:pStyle w:val="45"/>
        <w:numPr>
          <w:ilvl w:val="0"/>
          <w:numId w:val="7"/>
        </w:numPr>
        <w:spacing w:line="420" w:lineRule="exact"/>
        <w:ind w:firstLine="480" w:firstLineChars="200"/>
        <w:rPr>
          <w:b/>
          <w:bCs/>
        </w:rPr>
      </w:pPr>
      <w:r>
        <w:rPr>
          <w:rFonts w:hint="eastAsia"/>
          <w:b/>
          <w:bCs/>
        </w:rPr>
        <w:t>供应商信用融资：</w:t>
      </w:r>
    </w:p>
    <w:p>
      <w:pPr>
        <w:pStyle w:val="49"/>
        <w:spacing w:line="420" w:lineRule="exact"/>
        <w:jc w:val="both"/>
      </w:pPr>
      <w:r>
        <w:rPr>
          <w:rFonts w:hint="eastAsia"/>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45"/>
        <w:numPr>
          <w:ilvl w:val="0"/>
          <w:numId w:val="7"/>
        </w:numPr>
        <w:spacing w:line="420" w:lineRule="exact"/>
        <w:ind w:firstLine="480" w:firstLineChars="200"/>
        <w:rPr>
          <w:b/>
          <w:bCs/>
        </w:rPr>
      </w:pPr>
      <w:r>
        <w:rPr>
          <w:rFonts w:hint="eastAsia"/>
          <w:b/>
          <w:bCs/>
        </w:rPr>
        <w:t>对本次招标提出询问，请按以下方式联系。</w:t>
      </w:r>
    </w:p>
    <w:p>
      <w:pPr>
        <w:pStyle w:val="45"/>
        <w:spacing w:line="460" w:lineRule="exact"/>
        <w:ind w:firstLine="480" w:firstLineChars="200"/>
      </w:pPr>
      <w:r>
        <w:rPr>
          <w:rFonts w:hint="eastAsia"/>
        </w:rPr>
        <w:t>(一)采购人信息</w:t>
      </w:r>
    </w:p>
    <w:p>
      <w:pPr>
        <w:pStyle w:val="45"/>
        <w:spacing w:line="460" w:lineRule="exact"/>
        <w:ind w:firstLine="480" w:firstLineChars="200"/>
      </w:pPr>
      <w:r>
        <w:rPr>
          <w:rFonts w:hint="eastAsia"/>
        </w:rPr>
        <w:t>名    称：成都市住房和城乡建设信息档案中心</w:t>
      </w:r>
    </w:p>
    <w:p>
      <w:pPr>
        <w:pStyle w:val="45"/>
        <w:spacing w:line="460" w:lineRule="exact"/>
        <w:ind w:firstLine="480" w:firstLineChars="200"/>
      </w:pPr>
      <w:r>
        <w:rPr>
          <w:rFonts w:hint="eastAsia"/>
        </w:rPr>
        <w:t>地    址：成都市青羊区西御河沿街33号</w:t>
      </w:r>
    </w:p>
    <w:p>
      <w:pPr>
        <w:pStyle w:val="45"/>
        <w:spacing w:line="460" w:lineRule="exact"/>
        <w:ind w:firstLine="480" w:firstLineChars="200"/>
      </w:pPr>
      <w:r>
        <w:rPr>
          <w:rFonts w:hint="eastAsia"/>
        </w:rPr>
        <w:t xml:space="preserve">联 系 人：陈老师  </w:t>
      </w:r>
    </w:p>
    <w:p>
      <w:pPr>
        <w:pStyle w:val="45"/>
        <w:ind w:firstLine="480" w:firstLineChars="200"/>
      </w:pPr>
      <w:r>
        <w:rPr>
          <w:rFonts w:hint="eastAsia"/>
        </w:rPr>
        <w:t>联系方式：028-86279756</w:t>
      </w:r>
    </w:p>
    <w:p>
      <w:pPr>
        <w:pStyle w:val="45"/>
        <w:spacing w:line="460" w:lineRule="exact"/>
        <w:ind w:firstLine="480" w:firstLineChars="200"/>
      </w:pPr>
      <w:r>
        <w:rPr>
          <w:rFonts w:hint="eastAsia"/>
        </w:rPr>
        <w:t>(二)采购代理机构信息</w:t>
      </w:r>
    </w:p>
    <w:p>
      <w:pPr>
        <w:pStyle w:val="45"/>
        <w:spacing w:line="460" w:lineRule="exact"/>
        <w:ind w:firstLine="480" w:firstLineChars="200"/>
      </w:pPr>
      <w:r>
        <w:rPr>
          <w:rFonts w:hint="eastAsia"/>
        </w:rPr>
        <w:t>名    称：四川乾新招投标代理有限公司</w:t>
      </w:r>
    </w:p>
    <w:p>
      <w:pPr>
        <w:pStyle w:val="45"/>
        <w:spacing w:line="460" w:lineRule="exact"/>
        <w:ind w:firstLine="480" w:firstLineChars="200"/>
      </w:pPr>
      <w:r>
        <w:rPr>
          <w:rFonts w:hint="eastAsia"/>
        </w:rPr>
        <w:t>地    址：</w:t>
      </w:r>
      <w:r>
        <w:rPr>
          <w:rFonts w:hint="eastAsia"/>
          <w:lang w:val="zh-CN"/>
        </w:rPr>
        <w:t>成都市高新区吉庆三路333号蜀都中心二期一号楼一单元401号</w:t>
      </w:r>
    </w:p>
    <w:p>
      <w:pPr>
        <w:pStyle w:val="45"/>
        <w:spacing w:line="460" w:lineRule="exact"/>
        <w:ind w:firstLine="480" w:firstLineChars="200"/>
      </w:pPr>
      <w:r>
        <w:rPr>
          <w:rFonts w:hint="eastAsia"/>
        </w:rPr>
        <w:t xml:space="preserve">联 系 人：郭巧樾 </w:t>
      </w:r>
    </w:p>
    <w:p>
      <w:pPr>
        <w:pStyle w:val="45"/>
        <w:spacing w:line="460" w:lineRule="exact"/>
        <w:ind w:firstLine="480" w:firstLineChars="200"/>
        <w:rPr>
          <w:rFonts w:hint="default" w:eastAsia="宋体"/>
          <w:lang w:val="en-US" w:eastAsia="zh-CN"/>
        </w:rPr>
      </w:pPr>
      <w:r>
        <w:rPr>
          <w:rFonts w:hint="eastAsia"/>
          <w:lang w:val="zh-CN"/>
        </w:rPr>
        <w:t>联系电话：028-61375575、62600820、62630990转</w:t>
      </w:r>
      <w:r>
        <w:rPr>
          <w:rFonts w:hint="eastAsia"/>
          <w:lang w:val="en-US" w:eastAsia="zh-CN"/>
        </w:rPr>
        <w:t>627</w:t>
      </w:r>
    </w:p>
    <w:p>
      <w:pPr>
        <w:pStyle w:val="45"/>
        <w:spacing w:line="460" w:lineRule="exact"/>
        <w:ind w:firstLine="480" w:firstLineChars="200"/>
        <w:rPr>
          <w:lang w:val="zh-CN"/>
        </w:rPr>
      </w:pPr>
      <w:r>
        <w:rPr>
          <w:rFonts w:hint="eastAsia"/>
          <w:lang w:val="zh-CN"/>
        </w:rPr>
        <w:t>传    真：</w:t>
      </w:r>
      <w:r>
        <w:rPr>
          <w:rFonts w:hint="eastAsia"/>
        </w:rPr>
        <w:t>028-</w:t>
      </w:r>
      <w:r>
        <w:rPr>
          <w:rFonts w:hint="eastAsia"/>
          <w:lang w:val="zh-CN"/>
        </w:rPr>
        <w:t>83381</w:t>
      </w:r>
      <w:r>
        <w:rPr>
          <w:rFonts w:hint="eastAsia"/>
        </w:rPr>
        <w:t>268</w:t>
      </w:r>
    </w:p>
    <w:p>
      <w:pPr>
        <w:pStyle w:val="45"/>
        <w:spacing w:line="460" w:lineRule="exact"/>
        <w:ind w:firstLine="480" w:firstLineChars="200"/>
        <w:rPr>
          <w:lang w:val="zh-CN"/>
        </w:rPr>
      </w:pPr>
      <w:r>
        <w:rPr>
          <w:rFonts w:hint="eastAsia"/>
          <w:lang w:val="zh-CN"/>
        </w:rPr>
        <w:t>电子邮件：</w:t>
      </w:r>
      <w:r>
        <w:rPr>
          <w:rFonts w:hint="eastAsia"/>
        </w:rPr>
        <w:fldChar w:fldCharType="begin"/>
      </w:r>
      <w:r>
        <w:instrText xml:space="preserve"> HYPERLINK "mailto:scqxzb@163.com" </w:instrText>
      </w:r>
      <w:r>
        <w:rPr>
          <w:rFonts w:hint="eastAsia"/>
        </w:rPr>
        <w:fldChar w:fldCharType="separate"/>
      </w:r>
      <w:r>
        <w:rPr>
          <w:rFonts w:hint="eastAsia"/>
          <w:lang w:val="zh-CN"/>
        </w:rPr>
        <w:t>scqxzb@163.com</w:t>
      </w:r>
      <w:r>
        <w:rPr>
          <w:rFonts w:hint="eastAsia"/>
          <w:lang w:val="zh-CN"/>
        </w:rPr>
        <w:fldChar w:fldCharType="end"/>
      </w:r>
    </w:p>
    <w:p>
      <w:pPr>
        <w:pStyle w:val="51"/>
        <w:spacing w:before="156" w:after="156"/>
      </w:pPr>
      <w:r>
        <w:rPr>
          <w:rFonts w:hint="eastAsia"/>
        </w:rPr>
        <w:br w:type="page"/>
      </w:r>
      <w:bookmarkEnd w:id="14"/>
      <w:bookmarkEnd w:id="15"/>
      <w:bookmarkEnd w:id="16"/>
      <w:bookmarkEnd w:id="17"/>
      <w:bookmarkEnd w:id="18"/>
      <w:bookmarkStart w:id="20" w:name="_Toc7416"/>
      <w:bookmarkStart w:id="21" w:name="_Toc30888"/>
      <w:bookmarkStart w:id="22" w:name="_Toc2482"/>
      <w:bookmarkStart w:id="23" w:name="_Toc25668"/>
      <w:bookmarkStart w:id="24" w:name="_Toc24742"/>
      <w:r>
        <w:rPr>
          <w:rFonts w:hint="eastAsia"/>
        </w:rPr>
        <w:t>投标人须知</w:t>
      </w:r>
      <w:bookmarkEnd w:id="20"/>
      <w:bookmarkEnd w:id="21"/>
      <w:bookmarkEnd w:id="22"/>
      <w:bookmarkEnd w:id="23"/>
      <w:bookmarkEnd w:id="24"/>
    </w:p>
    <w:p>
      <w:pPr>
        <w:pStyle w:val="46"/>
        <w:spacing w:before="156" w:after="156"/>
      </w:pPr>
      <w:bookmarkStart w:id="25" w:name="_Toc6734"/>
      <w:bookmarkStart w:id="26" w:name="_Toc213396946"/>
      <w:bookmarkStart w:id="27" w:name="_Toc217446032"/>
      <w:bookmarkStart w:id="28" w:name="_Toc28824"/>
      <w:bookmarkStart w:id="29" w:name="_Toc327196261"/>
      <w:bookmarkStart w:id="30" w:name="_Toc213396760"/>
      <w:bookmarkStart w:id="31" w:name="_Toc189727030"/>
      <w:bookmarkStart w:id="32" w:name="_Toc31215"/>
      <w:bookmarkStart w:id="33" w:name="_Toc14035"/>
      <w:bookmarkStart w:id="34" w:name="_Toc213496268"/>
      <w:bookmarkStart w:id="35" w:name="_Toc213397010"/>
      <w:bookmarkStart w:id="36" w:name="_Toc18449"/>
      <w:r>
        <w:rPr>
          <w:rFonts w:hint="eastAsia"/>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4"/>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51"/>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8"/>
              <w:rPr>
                <w:b/>
                <w:bCs/>
                <w:lang w:val="zh-CN"/>
              </w:rPr>
            </w:pPr>
            <w:bookmarkStart w:id="37" w:name="_Toc327196262"/>
            <w:r>
              <w:rPr>
                <w:rFonts w:hint="eastAsia"/>
                <w:b/>
                <w:bCs/>
                <w:lang w:val="zh-CN"/>
              </w:rPr>
              <w:t>序号</w:t>
            </w:r>
          </w:p>
        </w:tc>
        <w:tc>
          <w:tcPr>
            <w:tcW w:w="1951" w:type="dxa"/>
            <w:vAlign w:val="center"/>
          </w:tcPr>
          <w:p>
            <w:pPr>
              <w:pStyle w:val="48"/>
              <w:rPr>
                <w:b/>
                <w:bCs/>
                <w:lang w:val="zh-CN"/>
              </w:rPr>
            </w:pPr>
            <w:r>
              <w:rPr>
                <w:rFonts w:hint="eastAsia"/>
                <w:b/>
                <w:bCs/>
              </w:rPr>
              <w:t>条款名称</w:t>
            </w:r>
          </w:p>
        </w:tc>
        <w:tc>
          <w:tcPr>
            <w:tcW w:w="7229" w:type="dxa"/>
            <w:vAlign w:val="center"/>
          </w:tcPr>
          <w:p>
            <w:pPr>
              <w:pStyle w:val="48"/>
              <w:ind w:left="60" w:leftChars="25" w:right="60" w:rightChars="25"/>
              <w:rPr>
                <w:b/>
                <w:bCs/>
                <w:lang w:val="zh-CN"/>
              </w:rPr>
            </w:pPr>
            <w:r>
              <w:rPr>
                <w:rFonts w:hint="eastAsia"/>
                <w:b/>
                <w:bCs/>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lang w:val="zh-CN"/>
              </w:rPr>
            </w:pPr>
          </w:p>
        </w:tc>
        <w:tc>
          <w:tcPr>
            <w:tcW w:w="1951" w:type="dxa"/>
            <w:vAlign w:val="center"/>
          </w:tcPr>
          <w:p>
            <w:pPr>
              <w:pStyle w:val="48"/>
            </w:pPr>
            <w:r>
              <w:rPr>
                <w:rFonts w:hint="eastAsia"/>
              </w:rPr>
              <w:t>采购预算及报价要求</w:t>
            </w:r>
          </w:p>
          <w:p>
            <w:pPr>
              <w:pStyle w:val="48"/>
              <w:rPr>
                <w:lang w:val="zh-CN"/>
              </w:rPr>
            </w:pPr>
            <w:r>
              <w:rPr>
                <w:rFonts w:hint="eastAsia"/>
              </w:rPr>
              <w:t>(实质性要求)</w:t>
            </w:r>
          </w:p>
        </w:tc>
        <w:tc>
          <w:tcPr>
            <w:tcW w:w="7229" w:type="dxa"/>
            <w:vAlign w:val="center"/>
          </w:tcPr>
          <w:p>
            <w:pPr>
              <w:pStyle w:val="44"/>
              <w:ind w:left="60" w:leftChars="25" w:right="60" w:rightChars="25"/>
            </w:pPr>
            <w:r>
              <w:rPr>
                <w:rFonts w:hint="eastAsia"/>
              </w:rPr>
              <w:t>1.</w:t>
            </w:r>
            <w:r>
              <w:rPr>
                <w:rFonts w:hint="eastAsia"/>
                <w:lang w:val="zh-CN"/>
              </w:rPr>
              <w:t>本项目</w:t>
            </w:r>
            <w:r>
              <w:rPr>
                <w:rFonts w:hint="eastAsia"/>
              </w:rPr>
              <w:t>采购</w:t>
            </w:r>
            <w:r>
              <w:rPr>
                <w:rFonts w:hint="eastAsia"/>
                <w:lang w:val="zh-CN"/>
              </w:rPr>
              <w:t>预算为人民币</w:t>
            </w:r>
            <w:r>
              <w:rPr>
                <w:rFonts w:hint="eastAsia"/>
              </w:rPr>
              <w:t>75万</w:t>
            </w:r>
            <w:r>
              <w:rPr>
                <w:rFonts w:hint="eastAsia"/>
                <w:lang w:val="zh-CN"/>
              </w:rPr>
              <w:t>元。</w:t>
            </w:r>
          </w:p>
          <w:p>
            <w:pPr>
              <w:pStyle w:val="44"/>
              <w:ind w:left="60" w:leftChars="25" w:right="60" w:rightChars="25"/>
            </w:pPr>
            <w:r>
              <w:rPr>
                <w:rFonts w:hint="eastAsia"/>
              </w:rPr>
              <w:t>2.</w:t>
            </w:r>
            <w:r>
              <w:rPr>
                <w:rFonts w:hint="eastAsia"/>
                <w:lang w:val="zh-CN"/>
              </w:rPr>
              <w:t>本项目</w:t>
            </w:r>
            <w:r>
              <w:rPr>
                <w:rFonts w:hint="eastAsia"/>
              </w:rPr>
              <w:t>投标报价</w:t>
            </w:r>
            <w:r>
              <w:rPr>
                <w:rFonts w:hint="eastAsia"/>
                <w:lang w:val="zh-CN"/>
              </w:rPr>
              <w:t>不</w:t>
            </w:r>
            <w:r>
              <w:rPr>
                <w:rFonts w:hint="eastAsia"/>
              </w:rPr>
              <w:t>得</w:t>
            </w:r>
            <w:r>
              <w:rPr>
                <w:rFonts w:hint="eastAsia"/>
                <w:lang w:val="zh-CN"/>
              </w:rPr>
              <w:t>超过</w:t>
            </w:r>
            <w:r>
              <w:rPr>
                <w:rFonts w:hint="eastAsia"/>
              </w:rPr>
              <w:t>采购</w:t>
            </w:r>
            <w:r>
              <w:rPr>
                <w:rFonts w:hint="eastAsia"/>
                <w:lang w:val="zh-CN"/>
              </w:rPr>
              <w:t>预算，</w:t>
            </w:r>
            <w:r>
              <w:rPr>
                <w:rFonts w:hint="eastAsia"/>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lang w:val="zh-CN"/>
              </w:rPr>
            </w:pPr>
          </w:p>
        </w:tc>
        <w:tc>
          <w:tcPr>
            <w:tcW w:w="1951" w:type="dxa"/>
            <w:vAlign w:val="center"/>
          </w:tcPr>
          <w:p>
            <w:pPr>
              <w:pStyle w:val="48"/>
            </w:pPr>
            <w:r>
              <w:rPr>
                <w:rFonts w:hint="eastAsia"/>
              </w:rPr>
              <w:t>项目属性</w:t>
            </w:r>
          </w:p>
        </w:tc>
        <w:tc>
          <w:tcPr>
            <w:tcW w:w="7229" w:type="dxa"/>
            <w:vAlign w:val="center"/>
          </w:tcPr>
          <w:p>
            <w:pPr>
              <w:pStyle w:val="44"/>
              <w:ind w:left="60" w:leftChars="25" w:right="60" w:rightChars="25"/>
            </w:pPr>
            <w:r>
              <w:rPr>
                <w:rFonts w:hint="eastAsia"/>
              </w:rPr>
              <w:t>本项目属于服务类采购项目，不对其中涉及的货物的制造商是否享受中小企业扶持政策作出要求。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lang w:val="zh-CN"/>
              </w:rPr>
            </w:pPr>
          </w:p>
        </w:tc>
        <w:tc>
          <w:tcPr>
            <w:tcW w:w="1951" w:type="dxa"/>
            <w:vAlign w:val="center"/>
          </w:tcPr>
          <w:p>
            <w:pPr>
              <w:pStyle w:val="48"/>
              <w:ind w:left="24" w:leftChars="10" w:right="24" w:rightChars="10"/>
              <w:rPr>
                <w:lang w:val="zh-CN"/>
              </w:rPr>
            </w:pPr>
            <w:r>
              <w:rPr>
                <w:rFonts w:hint="eastAsia"/>
              </w:rPr>
              <w:t>本项目所属行业</w:t>
            </w:r>
          </w:p>
        </w:tc>
        <w:tc>
          <w:tcPr>
            <w:tcW w:w="7229" w:type="dxa"/>
            <w:vAlign w:val="center"/>
          </w:tcPr>
          <w:p>
            <w:pPr>
              <w:pStyle w:val="44"/>
              <w:ind w:left="60" w:leftChars="25" w:right="60" w:rightChars="25"/>
            </w:pPr>
            <w:r>
              <w:rPr>
                <w:rFonts w:hint="eastAsia"/>
              </w:rPr>
              <w:t>本项目所属行业为其他未列明行业。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numPr>
                <w:ilvl w:val="0"/>
                <w:numId w:val="8"/>
              </w:numPr>
              <w:rPr>
                <w:lang w:val="zh-CN"/>
              </w:rPr>
            </w:pPr>
          </w:p>
        </w:tc>
        <w:tc>
          <w:tcPr>
            <w:tcW w:w="1951" w:type="dxa"/>
            <w:vAlign w:val="center"/>
          </w:tcPr>
          <w:p>
            <w:pPr>
              <w:pStyle w:val="48"/>
              <w:rPr>
                <w:lang w:val="zh-CN"/>
              </w:rPr>
            </w:pPr>
            <w:r>
              <w:rPr>
                <w:rFonts w:hint="eastAsia"/>
                <w:lang w:val="zh-CN"/>
              </w:rPr>
              <w:t>定向采购</w:t>
            </w:r>
          </w:p>
          <w:p>
            <w:pPr>
              <w:pStyle w:val="48"/>
              <w:rPr>
                <w:lang w:val="zh-CN"/>
              </w:rPr>
            </w:pPr>
            <w:r>
              <w:rPr>
                <w:rFonts w:hint="eastAsia"/>
                <w:b/>
                <w:bCs/>
                <w:lang w:val="zh-CN"/>
              </w:rPr>
              <w:t>(实质性要求)</w:t>
            </w:r>
          </w:p>
        </w:tc>
        <w:tc>
          <w:tcPr>
            <w:tcW w:w="7229" w:type="dxa"/>
            <w:vAlign w:val="center"/>
          </w:tcPr>
          <w:p>
            <w:pPr>
              <w:pStyle w:val="44"/>
              <w:ind w:left="60" w:leftChars="25" w:right="60" w:rightChars="25"/>
            </w:pPr>
            <w:r>
              <w:rPr>
                <w:rFonts w:hint="eastAsia"/>
              </w:rPr>
              <w:t>本项目为</w:t>
            </w:r>
            <w:r>
              <w:rPr>
                <w:rFonts w:hint="eastAsia"/>
                <w:lang w:val="zh-CN"/>
              </w:rPr>
              <w:t>专门面向中小企业</w:t>
            </w:r>
            <w:r>
              <w:rPr>
                <w:rFonts w:hint="eastAsia"/>
              </w:rPr>
              <w:t>采购</w:t>
            </w:r>
            <w:r>
              <w:rPr>
                <w:rFonts w:hint="eastAsia"/>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951" w:type="dxa"/>
            <w:vAlign w:val="center"/>
          </w:tcPr>
          <w:p>
            <w:pPr>
              <w:pStyle w:val="48"/>
              <w:rPr>
                <w:lang w:val="zh-CN"/>
              </w:rPr>
            </w:pPr>
            <w:r>
              <w:rPr>
                <w:rFonts w:hint="eastAsia"/>
                <w:lang w:val="zh-CN"/>
              </w:rPr>
              <w:t>采购方式</w:t>
            </w:r>
          </w:p>
        </w:tc>
        <w:tc>
          <w:tcPr>
            <w:tcW w:w="7229" w:type="dxa"/>
            <w:vAlign w:val="center"/>
          </w:tcPr>
          <w:p>
            <w:pPr>
              <w:pStyle w:val="44"/>
              <w:ind w:left="60" w:leftChars="25" w:right="60" w:rightChars="25"/>
              <w:rPr>
                <w:lang w:val="zh-CN"/>
              </w:rPr>
            </w:pPr>
            <w:r>
              <w:rPr>
                <w:rFonts w:hint="eastAsia"/>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951" w:type="dxa"/>
            <w:vAlign w:val="center"/>
          </w:tcPr>
          <w:p>
            <w:pPr>
              <w:pStyle w:val="48"/>
              <w:rPr>
                <w:lang w:val="zh-CN"/>
              </w:rPr>
            </w:pPr>
            <w:r>
              <w:rPr>
                <w:rFonts w:hint="eastAsia"/>
                <w:lang w:val="zh-CN"/>
              </w:rPr>
              <w:t>评标方法</w:t>
            </w:r>
          </w:p>
        </w:tc>
        <w:tc>
          <w:tcPr>
            <w:tcW w:w="7229" w:type="dxa"/>
            <w:vAlign w:val="center"/>
          </w:tcPr>
          <w:p>
            <w:pPr>
              <w:pStyle w:val="44"/>
              <w:ind w:left="60" w:leftChars="25" w:right="60" w:rightChars="25"/>
              <w:rPr>
                <w:lang w:val="zh-CN"/>
              </w:rPr>
            </w:pPr>
            <w:r>
              <w:rPr>
                <w:rFonts w:hint="eastAsia"/>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570" w:type="dxa"/>
            <w:vAlign w:val="center"/>
          </w:tcPr>
          <w:p>
            <w:pPr>
              <w:pStyle w:val="48"/>
              <w:numPr>
                <w:ilvl w:val="0"/>
                <w:numId w:val="8"/>
              </w:numPr>
              <w:rPr>
                <w:lang w:val="zh-CN"/>
              </w:rPr>
            </w:pPr>
          </w:p>
        </w:tc>
        <w:tc>
          <w:tcPr>
            <w:tcW w:w="1951" w:type="dxa"/>
            <w:vAlign w:val="center"/>
          </w:tcPr>
          <w:p>
            <w:pPr>
              <w:pStyle w:val="48"/>
              <w:ind w:left="24" w:leftChars="10" w:right="24" w:rightChars="10"/>
            </w:pPr>
            <w:r>
              <w:rPr>
                <w:rFonts w:hint="eastAsia"/>
              </w:rPr>
              <w:t>合同分包</w:t>
            </w:r>
          </w:p>
          <w:p>
            <w:pPr>
              <w:pStyle w:val="48"/>
              <w:ind w:left="24" w:leftChars="10" w:right="24" w:rightChars="10"/>
              <w:rPr>
                <w:lang w:val="zh-CN"/>
              </w:rPr>
            </w:pPr>
            <w:r>
              <w:rPr>
                <w:rFonts w:hint="eastAsia"/>
                <w:b/>
                <w:bCs/>
              </w:rPr>
              <w:t>(实质性要求)</w:t>
            </w:r>
          </w:p>
        </w:tc>
        <w:tc>
          <w:tcPr>
            <w:tcW w:w="7229" w:type="dxa"/>
            <w:vAlign w:val="center"/>
          </w:tcPr>
          <w:p>
            <w:pPr>
              <w:pStyle w:val="44"/>
              <w:ind w:left="60" w:leftChars="25" w:right="60" w:rightChars="25"/>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951" w:type="dxa"/>
            <w:vAlign w:val="center"/>
          </w:tcPr>
          <w:p>
            <w:pPr>
              <w:pStyle w:val="48"/>
            </w:pPr>
            <w:r>
              <w:rPr>
                <w:rFonts w:hint="eastAsia"/>
              </w:rPr>
              <w:t>联合体投标</w:t>
            </w:r>
          </w:p>
          <w:p>
            <w:pPr>
              <w:pStyle w:val="48"/>
              <w:rPr>
                <w:lang w:val="zh-CN"/>
              </w:rPr>
            </w:pPr>
            <w:r>
              <w:rPr>
                <w:rFonts w:hint="eastAsia"/>
                <w:b/>
                <w:bCs/>
              </w:rPr>
              <w:t>(实质性要求)</w:t>
            </w:r>
          </w:p>
        </w:tc>
        <w:tc>
          <w:tcPr>
            <w:tcW w:w="7229" w:type="dxa"/>
            <w:vAlign w:val="center"/>
          </w:tcPr>
          <w:p>
            <w:pPr>
              <w:pStyle w:val="44"/>
              <w:ind w:left="60" w:leftChars="25" w:right="60" w:rightChars="25"/>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951" w:type="dxa"/>
            <w:vAlign w:val="center"/>
          </w:tcPr>
          <w:p>
            <w:pPr>
              <w:pStyle w:val="48"/>
            </w:pPr>
            <w:r>
              <w:rPr>
                <w:rFonts w:hint="eastAsia"/>
              </w:rPr>
              <w:t>投标有效期</w:t>
            </w:r>
          </w:p>
          <w:p>
            <w:pPr>
              <w:pStyle w:val="48"/>
              <w:rPr>
                <w:lang w:val="zh-CN"/>
              </w:rPr>
            </w:pPr>
            <w:r>
              <w:rPr>
                <w:rFonts w:hint="eastAsia"/>
                <w:b/>
                <w:bCs/>
              </w:rPr>
              <w:t>(实质性要求)</w:t>
            </w:r>
          </w:p>
        </w:tc>
        <w:tc>
          <w:tcPr>
            <w:tcW w:w="7229" w:type="dxa"/>
            <w:vAlign w:val="center"/>
          </w:tcPr>
          <w:p>
            <w:pPr>
              <w:pStyle w:val="44"/>
              <w:ind w:left="60" w:leftChars="25" w:right="60" w:rightChars="25"/>
              <w:rPr>
                <w:lang w:val="zh-CN"/>
              </w:rPr>
            </w:pPr>
            <w:r>
              <w:rPr>
                <w:rFonts w:hint="eastAsia"/>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951" w:type="dxa"/>
            <w:vAlign w:val="center"/>
          </w:tcPr>
          <w:p>
            <w:pPr>
              <w:pStyle w:val="48"/>
            </w:pPr>
            <w:r>
              <w:rPr>
                <w:rFonts w:hint="eastAsia"/>
              </w:rPr>
              <w:t>备选投标方案和报价</w:t>
            </w:r>
          </w:p>
          <w:p>
            <w:pPr>
              <w:pStyle w:val="48"/>
              <w:rPr>
                <w:lang w:val="zh-CN"/>
              </w:rPr>
            </w:pPr>
            <w:r>
              <w:rPr>
                <w:rFonts w:hint="eastAsia"/>
                <w:b/>
                <w:bCs/>
              </w:rPr>
              <w:t>(实质性要求)</w:t>
            </w:r>
          </w:p>
        </w:tc>
        <w:tc>
          <w:tcPr>
            <w:tcW w:w="7229" w:type="dxa"/>
            <w:vAlign w:val="center"/>
          </w:tcPr>
          <w:p>
            <w:pPr>
              <w:pStyle w:val="44"/>
              <w:ind w:left="60" w:leftChars="25" w:right="60" w:rightChars="25"/>
              <w:rPr>
                <w:lang w:val="zh-CN"/>
              </w:rPr>
            </w:pPr>
            <w:r>
              <w:rPr>
                <w:rFonts w:hint="eastAsia"/>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质量要求、履约验收</w:t>
            </w:r>
          </w:p>
          <w:p>
            <w:pPr>
              <w:pStyle w:val="48"/>
            </w:pPr>
            <w:r>
              <w:rPr>
                <w:rFonts w:hint="eastAsia"/>
                <w:b/>
                <w:bCs/>
              </w:rPr>
              <w:t>(实质性要求)</w:t>
            </w:r>
          </w:p>
        </w:tc>
        <w:tc>
          <w:tcPr>
            <w:tcW w:w="7229" w:type="dxa"/>
            <w:vAlign w:val="center"/>
          </w:tcPr>
          <w:p>
            <w:pPr>
              <w:pStyle w:val="44"/>
              <w:ind w:left="60" w:leftChars="25" w:right="60" w:rightChars="25"/>
            </w:pPr>
            <w:r>
              <w:rPr>
                <w:rFonts w:hint="eastAsia"/>
              </w:rPr>
              <w:t>1.质量要求：符合国家相关标准、行业标准、地方标准或者其他标准、规范要求；</w:t>
            </w:r>
          </w:p>
          <w:p>
            <w:pPr>
              <w:pStyle w:val="44"/>
              <w:ind w:left="60" w:leftChars="25" w:right="60" w:rightChars="25"/>
            </w:pPr>
            <w:r>
              <w:rPr>
                <w:rFonts w:hint="eastAsia"/>
              </w:rPr>
              <w:t>2.履约验收：中标人与采购人应严格按照《财政部关于进一步加强政府采购需求和履约验收管理的指导意见》(财库〔2016〕205号)的要求进行验收。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现场考察、标前</w:t>
            </w:r>
          </w:p>
          <w:p>
            <w:pPr>
              <w:pStyle w:val="48"/>
            </w:pPr>
            <w:r>
              <w:rPr>
                <w:rFonts w:hint="eastAsia"/>
              </w:rPr>
              <w:t>答疑会</w:t>
            </w:r>
          </w:p>
        </w:tc>
        <w:tc>
          <w:tcPr>
            <w:tcW w:w="7229" w:type="dxa"/>
            <w:vAlign w:val="center"/>
          </w:tcPr>
          <w:p>
            <w:pPr>
              <w:pStyle w:val="44"/>
              <w:ind w:left="60" w:leftChars="25" w:right="60" w:rightChars="25"/>
            </w:pPr>
            <w:r>
              <w:rPr>
                <w:rFonts w:hint="eastAsia"/>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4"/>
              <w:ind w:left="60" w:leftChars="25" w:right="60" w:rightChars="25"/>
            </w:pPr>
            <w:r>
              <w:rPr>
                <w:rFonts w:hint="eastAsia"/>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951" w:type="dxa"/>
            <w:vAlign w:val="center"/>
          </w:tcPr>
          <w:p>
            <w:pPr>
              <w:pStyle w:val="48"/>
              <w:rPr>
                <w:lang w:val="zh-CN"/>
              </w:rPr>
            </w:pPr>
            <w:r>
              <w:rPr>
                <w:rFonts w:hint="eastAsia"/>
                <w:lang w:val="zh-CN"/>
              </w:rPr>
              <w:t>投标保证金</w:t>
            </w:r>
          </w:p>
        </w:tc>
        <w:tc>
          <w:tcPr>
            <w:tcW w:w="7229" w:type="dxa"/>
            <w:vAlign w:val="center"/>
          </w:tcPr>
          <w:p>
            <w:pPr>
              <w:pStyle w:val="44"/>
              <w:ind w:left="60" w:leftChars="25" w:right="60" w:rightChars="25"/>
              <w:rPr>
                <w:lang w:val="zh-CN"/>
              </w:rPr>
            </w:pPr>
            <w:r>
              <w:rPr>
                <w:rFonts w:hint="eastAsia"/>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951" w:type="dxa"/>
            <w:vAlign w:val="center"/>
          </w:tcPr>
          <w:p>
            <w:pPr>
              <w:pStyle w:val="48"/>
            </w:pPr>
            <w:r>
              <w:rPr>
                <w:rFonts w:hint="eastAsia"/>
              </w:rPr>
              <w:t>低于成本价不正当竞争预防措施</w:t>
            </w:r>
          </w:p>
          <w:p>
            <w:pPr>
              <w:pStyle w:val="48"/>
              <w:rPr>
                <w:lang w:val="zh-CN"/>
              </w:rPr>
            </w:pPr>
            <w:r>
              <w:rPr>
                <w:rFonts w:hint="eastAsia"/>
                <w:b/>
                <w:bCs/>
              </w:rPr>
              <w:t>(实质性要求)</w:t>
            </w:r>
          </w:p>
        </w:tc>
        <w:tc>
          <w:tcPr>
            <w:tcW w:w="7229" w:type="dxa"/>
            <w:vAlign w:val="center"/>
          </w:tcPr>
          <w:p>
            <w:pPr>
              <w:pStyle w:val="44"/>
              <w:ind w:left="60" w:leftChars="25" w:right="60" w:rightChars="25"/>
              <w:rPr>
                <w:rFonts w:cs="宋体"/>
              </w:rPr>
            </w:pPr>
            <w:r>
              <w:rPr>
                <w:rFonts w:hint="eastAsia" w:cs="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4"/>
              <w:ind w:left="60" w:leftChars="25" w:right="60" w:rightChars="25"/>
              <w:rPr>
                <w:highlight w:val="magenta"/>
              </w:rPr>
            </w:pPr>
            <w:r>
              <w:rPr>
                <w:rFonts w:hint="eastAsia" w:cs="宋体"/>
                <w:b/>
                <w:bCs/>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ind w:left="24" w:leftChars="10" w:right="24" w:rightChars="10"/>
            </w:pPr>
            <w:r>
              <w:rPr>
                <w:rFonts w:hint="eastAsia"/>
              </w:rPr>
              <w:t>小微企业、监狱企业、残疾人福利性单位价格扣除</w:t>
            </w:r>
          </w:p>
        </w:tc>
        <w:tc>
          <w:tcPr>
            <w:tcW w:w="7229" w:type="dxa"/>
            <w:vAlign w:val="center"/>
          </w:tcPr>
          <w:p>
            <w:pPr>
              <w:pStyle w:val="44"/>
              <w:ind w:left="60" w:leftChars="25" w:right="60" w:rightChars="25"/>
            </w:pPr>
            <w:r>
              <w:rPr>
                <w:rFonts w:hint="eastAsia"/>
                <w:b/>
                <w:bCs/>
              </w:rPr>
              <w:t>本项目为专门面向中小企业采购的项目，不再执行价格评审优惠的扶持政策。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建议品牌或者供应商</w:t>
            </w:r>
          </w:p>
          <w:p>
            <w:pPr>
              <w:pStyle w:val="48"/>
            </w:pPr>
            <w:r>
              <w:rPr>
                <w:rFonts w:hint="eastAsia"/>
              </w:rPr>
              <w:t>(如涉及)</w:t>
            </w:r>
          </w:p>
        </w:tc>
        <w:tc>
          <w:tcPr>
            <w:tcW w:w="7229" w:type="dxa"/>
            <w:vAlign w:val="center"/>
          </w:tcPr>
          <w:p>
            <w:pPr>
              <w:pStyle w:val="44"/>
              <w:ind w:left="60" w:leftChars="25" w:right="60" w:rightChars="25"/>
            </w:pPr>
            <w:r>
              <w:rPr>
                <w:rFonts w:hint="eastAsia"/>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节能产品、环境标志产品、无线局域网产品、商品包装、快递包装采购政策</w:t>
            </w:r>
          </w:p>
          <w:p>
            <w:pPr>
              <w:pStyle w:val="48"/>
            </w:pPr>
            <w:r>
              <w:rPr>
                <w:rFonts w:hint="eastAsia"/>
              </w:rPr>
              <w:t>(如涉及)</w:t>
            </w:r>
          </w:p>
        </w:tc>
        <w:tc>
          <w:tcPr>
            <w:tcW w:w="7229" w:type="dxa"/>
            <w:vAlign w:val="center"/>
          </w:tcPr>
          <w:p>
            <w:pPr>
              <w:pStyle w:val="44"/>
              <w:ind w:left="60" w:leftChars="25" w:right="60" w:rightChars="25"/>
            </w:pPr>
            <w:r>
              <w:rPr>
                <w:rFonts w:hint="eastAsia"/>
              </w:rPr>
              <w:t>本项目不涉及节能产品、环境标志产品、无线局域网产品，商品包装、快递包装等采购政策，故不在招标文件中体现。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其他强制性规定</w:t>
            </w:r>
          </w:p>
          <w:p>
            <w:pPr>
              <w:pStyle w:val="48"/>
            </w:pPr>
            <w:r>
              <w:rPr>
                <w:rFonts w:hint="eastAsia"/>
              </w:rPr>
              <w:t>(如涉及时作为实质性要求)</w:t>
            </w:r>
          </w:p>
        </w:tc>
        <w:tc>
          <w:tcPr>
            <w:tcW w:w="7229" w:type="dxa"/>
            <w:vAlign w:val="center"/>
          </w:tcPr>
          <w:p>
            <w:pPr>
              <w:pStyle w:val="44"/>
              <w:ind w:left="60" w:leftChars="25" w:right="60" w:rightChars="25"/>
            </w:pPr>
            <w:r>
              <w:rPr>
                <w:rFonts w:hint="eastAsia"/>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rPr>
                <w:lang w:val="zh-CN"/>
              </w:rPr>
            </w:pPr>
            <w:r>
              <w:rPr>
                <w:rFonts w:hint="eastAsia"/>
                <w:lang w:val="zh-CN"/>
              </w:rPr>
              <w:t>评</w:t>
            </w:r>
            <w:r>
              <w:rPr>
                <w:rFonts w:hint="eastAsia"/>
              </w:rPr>
              <w:t>审</w:t>
            </w:r>
            <w:r>
              <w:rPr>
                <w:rFonts w:hint="eastAsia"/>
                <w:lang w:val="zh-CN"/>
              </w:rPr>
              <w:t>情况的公告</w:t>
            </w:r>
          </w:p>
        </w:tc>
        <w:tc>
          <w:tcPr>
            <w:tcW w:w="7229" w:type="dxa"/>
            <w:vAlign w:val="center"/>
          </w:tcPr>
          <w:p>
            <w:pPr>
              <w:pStyle w:val="44"/>
              <w:ind w:left="60" w:leftChars="25" w:right="60" w:rightChars="25"/>
            </w:pPr>
            <w:r>
              <w:rPr>
                <w:rFonts w:hint="eastAsia"/>
              </w:rPr>
              <w:t>1.所有供应商投标文件资格性、符合性审查情况、采用综合评分法时的总得分和分项汇总得分情况、《中小企业声明函》、评审结果等将在“四川政府采购网”及“成都市住房和城乡建设局官网”采购结果公告附件中予以公告。</w:t>
            </w:r>
          </w:p>
          <w:p>
            <w:pPr>
              <w:pStyle w:val="44"/>
              <w:ind w:left="60" w:leftChars="25" w:right="60" w:rightChars="25"/>
              <w:rPr>
                <w:lang w:val="zh-CN"/>
              </w:rPr>
            </w:pPr>
            <w:r>
              <w:rPr>
                <w:rFonts w:hint="eastAsia"/>
              </w:rPr>
              <w:t>2.</w:t>
            </w:r>
            <w:r>
              <w:rPr>
                <w:rFonts w:hint="eastAsia"/>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570" w:type="dxa"/>
            <w:vAlign w:val="center"/>
          </w:tcPr>
          <w:p>
            <w:pPr>
              <w:pStyle w:val="48"/>
              <w:numPr>
                <w:ilvl w:val="0"/>
                <w:numId w:val="8"/>
              </w:numPr>
              <w:ind w:left="24" w:leftChars="10" w:right="24" w:rightChars="10"/>
            </w:pPr>
          </w:p>
        </w:tc>
        <w:tc>
          <w:tcPr>
            <w:tcW w:w="1951" w:type="dxa"/>
            <w:vAlign w:val="center"/>
          </w:tcPr>
          <w:p>
            <w:pPr>
              <w:pStyle w:val="79"/>
              <w:spacing w:after="0" w:line="260" w:lineRule="auto"/>
              <w:ind w:left="40"/>
              <w:jc w:val="center"/>
              <w:rPr>
                <w:lang w:val="zh-CN"/>
              </w:rPr>
            </w:pPr>
            <w:r>
              <w:rPr>
                <w:rFonts w:hint="eastAsia" w:cstheme="minorBidi"/>
                <w:snapToGrid w:val="0"/>
                <w:kern w:val="2"/>
                <w:sz w:val="21"/>
                <w:lang w:val="zh-CN"/>
              </w:rPr>
              <w:t>中标通知书领取</w:t>
            </w:r>
          </w:p>
        </w:tc>
        <w:tc>
          <w:tcPr>
            <w:tcW w:w="7229" w:type="dxa"/>
            <w:vAlign w:val="center"/>
          </w:tcPr>
          <w:p>
            <w:pPr>
              <w:pStyle w:val="79"/>
              <w:spacing w:after="0" w:line="260" w:lineRule="auto"/>
              <w:jc w:val="both"/>
            </w:pPr>
            <w:r>
              <w:rPr>
                <w:rFonts w:hint="eastAsia" w:cstheme="minorBidi"/>
                <w:snapToGrid w:val="0"/>
                <w:kern w:val="2"/>
                <w:sz w:val="21"/>
                <w:lang w:val="zh-CN"/>
              </w:rPr>
              <w:t>在四川政府采购网公告中标结果同时发出中标通知书，中标人自行登录“政府采购云平台”下载中标通知书。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jc w:val="center"/>
        </w:trPr>
        <w:tc>
          <w:tcPr>
            <w:tcW w:w="570" w:type="dxa"/>
            <w:vAlign w:val="center"/>
          </w:tcPr>
          <w:p>
            <w:pPr>
              <w:pStyle w:val="48"/>
              <w:numPr>
                <w:ilvl w:val="0"/>
                <w:numId w:val="8"/>
              </w:numPr>
            </w:pPr>
          </w:p>
        </w:tc>
        <w:tc>
          <w:tcPr>
            <w:tcW w:w="1951" w:type="dxa"/>
            <w:vAlign w:val="center"/>
          </w:tcPr>
          <w:p>
            <w:pPr>
              <w:pStyle w:val="48"/>
              <w:rPr>
                <w:lang w:val="zh-CN"/>
              </w:rPr>
            </w:pPr>
            <w:r>
              <w:rPr>
                <w:rFonts w:hint="eastAsia"/>
              </w:rPr>
              <w:t>招标</w:t>
            </w:r>
            <w:r>
              <w:rPr>
                <w:rFonts w:hint="eastAsia"/>
                <w:lang w:val="zh-CN"/>
              </w:rPr>
              <w:t>代理</w:t>
            </w:r>
          </w:p>
          <w:p>
            <w:pPr>
              <w:pStyle w:val="48"/>
            </w:pPr>
            <w:r>
              <w:rPr>
                <w:rFonts w:hint="eastAsia"/>
                <w:lang w:val="zh-CN"/>
              </w:rPr>
              <w:t>服务费</w:t>
            </w:r>
          </w:p>
        </w:tc>
        <w:tc>
          <w:tcPr>
            <w:tcW w:w="7229" w:type="dxa"/>
            <w:vAlign w:val="center"/>
          </w:tcPr>
          <w:p>
            <w:pPr>
              <w:pStyle w:val="44"/>
              <w:ind w:left="60" w:leftChars="25" w:right="60" w:rightChars="25"/>
            </w:pPr>
            <w:r>
              <w:rPr>
                <w:rFonts w:hint="eastAsia"/>
              </w:rPr>
              <w:t>1.收费标准：按照成本加合理利润原则，本项目定额计取招标代理服务费9000元。</w:t>
            </w:r>
          </w:p>
          <w:p>
            <w:pPr>
              <w:pStyle w:val="44"/>
              <w:ind w:left="60" w:leftChars="25" w:right="60" w:rightChars="25"/>
              <w:rPr>
                <w:rFonts w:cs="宋体"/>
                <w:color w:val="000000" w:themeColor="text1"/>
                <w:szCs w:val="21"/>
                <w14:textFill>
                  <w14:solidFill>
                    <w14:schemeClr w14:val="tx1"/>
                  </w14:solidFill>
                </w14:textFill>
              </w:rPr>
            </w:pPr>
            <w:r>
              <w:rPr>
                <w:rFonts w:hint="eastAsia"/>
              </w:rPr>
              <w:t>2.收取方式：中标</w:t>
            </w:r>
            <w:r>
              <w:rPr>
                <w:rFonts w:hint="eastAsia"/>
                <w:lang w:val="zh-CN"/>
              </w:rPr>
              <w:t>通知发出后二个工作日内由</w:t>
            </w:r>
            <w:r>
              <w:rPr>
                <w:rFonts w:hint="eastAsia"/>
              </w:rPr>
              <w:t>中标人</w:t>
            </w:r>
            <w:r>
              <w:rPr>
                <w:rFonts w:hint="eastAsia"/>
                <w:lang w:val="zh-CN"/>
              </w:rPr>
              <w:t>一次性支付</w:t>
            </w:r>
            <w:r>
              <w:rPr>
                <w:rFonts w:hint="eastAsia"/>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color w:val="000000" w:themeColor="text1"/>
                <w14:textFill>
                  <w14:solidFill>
                    <w14:schemeClr w14:val="tx1"/>
                  </w14:solidFill>
                </w14:textFill>
              </w:rPr>
            </w:pPr>
          </w:p>
        </w:tc>
        <w:tc>
          <w:tcPr>
            <w:tcW w:w="1951" w:type="dxa"/>
            <w:vAlign w:val="center"/>
          </w:tcPr>
          <w:p>
            <w:pPr>
              <w:pStyle w:val="48"/>
              <w:rPr>
                <w:lang w:val="zh-CN"/>
              </w:rPr>
            </w:pPr>
            <w:r>
              <w:rPr>
                <w:rFonts w:hint="eastAsia"/>
                <w:lang w:val="zh-CN"/>
              </w:rPr>
              <w:t>履约保证金</w:t>
            </w:r>
          </w:p>
          <w:p>
            <w:pPr>
              <w:pStyle w:val="48"/>
              <w:rPr>
                <w:color w:val="000000" w:themeColor="text1"/>
                <w:lang w:val="zh-CN"/>
                <w14:textFill>
                  <w14:solidFill>
                    <w14:schemeClr w14:val="tx1"/>
                  </w14:solidFill>
                </w14:textFill>
              </w:rPr>
            </w:pPr>
            <w:r>
              <w:rPr>
                <w:rFonts w:hint="eastAsia"/>
              </w:rPr>
              <w:t>(实质性要求)</w:t>
            </w:r>
          </w:p>
        </w:tc>
        <w:tc>
          <w:tcPr>
            <w:tcW w:w="7229" w:type="dxa"/>
            <w:vAlign w:val="center"/>
          </w:tcPr>
          <w:p>
            <w:pPr>
              <w:pStyle w:val="44"/>
              <w:ind w:left="60" w:leftChars="25" w:right="60" w:rightChars="25"/>
            </w:pPr>
            <w:r>
              <w:rPr>
                <w:rFonts w:hint="eastAsia"/>
              </w:rPr>
              <w:t>金    额：政府采购合同金额的10%。</w:t>
            </w:r>
          </w:p>
          <w:p>
            <w:pPr>
              <w:pStyle w:val="44"/>
              <w:ind w:left="60" w:leftChars="25" w:right="60" w:rightChars="25"/>
              <w:rPr>
                <w:lang w:val="zh-CN"/>
              </w:rPr>
            </w:pPr>
            <w:r>
              <w:rPr>
                <w:rFonts w:hint="eastAsia"/>
                <w:lang w:val="zh-CN"/>
              </w:rPr>
              <w:t>交款方式：</w:t>
            </w:r>
            <w:r>
              <w:rPr>
                <w:rFonts w:hint="eastAsia"/>
              </w:rPr>
              <w:t>以支票、汇票、本票或者金融机构出具的保函等非现金形式提交至采购人</w:t>
            </w:r>
            <w:r>
              <w:rPr>
                <w:rFonts w:hint="eastAsia"/>
                <w:lang w:val="zh-CN"/>
              </w:rPr>
              <w:t>(</w:t>
            </w:r>
            <w:r>
              <w:rPr>
                <w:rFonts w:hint="eastAsia"/>
              </w:rPr>
              <w:t>包括网银转账，电汇等方式</w:t>
            </w:r>
            <w:r>
              <w:rPr>
                <w:rFonts w:hint="eastAsia"/>
                <w:lang w:val="zh-CN"/>
              </w:rPr>
              <w:t>)</w:t>
            </w:r>
            <w:r>
              <w:rPr>
                <w:rFonts w:hint="eastAsia"/>
              </w:rPr>
              <w:t>。</w:t>
            </w:r>
          </w:p>
          <w:p>
            <w:pPr>
              <w:pStyle w:val="44"/>
              <w:ind w:left="60" w:leftChars="25" w:right="60" w:rightChars="25"/>
              <w:rPr>
                <w:lang w:val="zh-CN"/>
              </w:rPr>
            </w:pPr>
            <w:r>
              <w:rPr>
                <w:rFonts w:hint="eastAsia"/>
                <w:lang w:val="zh-CN"/>
              </w:rPr>
              <w:t>交款时间：</w:t>
            </w:r>
            <w:r>
              <w:rPr>
                <w:rFonts w:hint="eastAsia"/>
              </w:rPr>
              <w:t>中标</w:t>
            </w:r>
            <w:r>
              <w:rPr>
                <w:rFonts w:hint="eastAsia"/>
                <w:lang w:val="zh-CN"/>
              </w:rPr>
              <w:t>通知书发放后，政府采购合同签订前。</w:t>
            </w:r>
            <w:r>
              <w:rPr>
                <w:rFonts w:hint="eastAsia"/>
              </w:rPr>
              <w:t>供应商</w:t>
            </w:r>
            <w:r>
              <w:rPr>
                <w:rFonts w:hint="eastAsia"/>
                <w:lang w:val="zh-CN"/>
              </w:rPr>
              <w:t>未按照</w:t>
            </w:r>
            <w:r>
              <w:rPr>
                <w:rFonts w:hint="eastAsia"/>
              </w:rPr>
              <w:t>招标</w:t>
            </w:r>
            <w:r>
              <w:rPr>
                <w:rFonts w:hint="eastAsia"/>
                <w:lang w:val="zh-CN"/>
              </w:rPr>
              <w:t>文件的规定交纳履约保证金，且又无正当理由的，将视为放弃</w:t>
            </w:r>
            <w:r>
              <w:rPr>
                <w:rFonts w:hint="eastAsia"/>
              </w:rPr>
              <w:t>中标。</w:t>
            </w:r>
          </w:p>
          <w:p>
            <w:pPr>
              <w:pStyle w:val="44"/>
              <w:ind w:left="60" w:leftChars="25" w:right="60" w:rightChars="25"/>
              <w:rPr>
                <w:lang w:val="zh-CN"/>
              </w:rPr>
            </w:pPr>
            <w:r>
              <w:rPr>
                <w:rFonts w:hint="eastAsia"/>
                <w:lang w:val="zh-CN"/>
              </w:rPr>
              <w:t>注：</w:t>
            </w:r>
            <w:r>
              <w:rPr>
                <w:rFonts w:hint="eastAsia"/>
              </w:rPr>
              <w:t>1.</w:t>
            </w:r>
            <w:r>
              <w:rPr>
                <w:rFonts w:hint="eastAsia"/>
                <w:lang w:val="zh-CN"/>
              </w:rPr>
              <w:t>提供保函的担保机构必须是依法成立的具有相关资质和偿付能力的担保机构。保函是银行等金融机构出具的，保函必须要在中国人民银行征信系统能够进行查询，否则将取消</w:t>
            </w:r>
            <w:r>
              <w:rPr>
                <w:rFonts w:hint="eastAsia"/>
              </w:rPr>
              <w:t>中标</w:t>
            </w:r>
            <w:r>
              <w:rPr>
                <w:rFonts w:hint="eastAsia"/>
                <w:lang w:val="zh-CN"/>
              </w:rPr>
              <w:t>资格，采购人将重新确定</w:t>
            </w:r>
            <w:r>
              <w:rPr>
                <w:rFonts w:hint="eastAsia"/>
              </w:rPr>
              <w:t>中标人</w:t>
            </w:r>
            <w:r>
              <w:rPr>
                <w:rFonts w:hint="eastAsia"/>
                <w:lang w:val="zh-CN"/>
              </w:rPr>
              <w:t>，并依法追究法律责任。</w:t>
            </w:r>
          </w:p>
          <w:p>
            <w:pPr>
              <w:pStyle w:val="44"/>
              <w:ind w:left="60" w:leftChars="25" w:right="60" w:rightChars="25"/>
              <w:rPr>
                <w:lang w:val="zh-CN"/>
              </w:rPr>
            </w:pPr>
            <w:r>
              <w:rPr>
                <w:rFonts w:hint="eastAsia"/>
              </w:rPr>
              <w:t>2.</w:t>
            </w:r>
            <w:r>
              <w:rPr>
                <w:rFonts w:hint="eastAsia"/>
                <w:lang w:val="zh-CN"/>
              </w:rPr>
              <w:t>履约保证金退还</w:t>
            </w:r>
            <w:r>
              <w:rPr>
                <w:rFonts w:hint="eastAsia"/>
              </w:rPr>
              <w:t>时间及</w:t>
            </w:r>
            <w:r>
              <w:rPr>
                <w:rFonts w:hint="eastAsia"/>
                <w:lang w:val="zh-CN"/>
              </w:rPr>
              <w:t>方式：</w:t>
            </w:r>
            <w:r>
              <w:rPr>
                <w:rFonts w:hint="eastAsia"/>
              </w:rPr>
              <w:t>供应商</w:t>
            </w:r>
            <w:r>
              <w:rPr>
                <w:rFonts w:hint="eastAsia"/>
                <w:lang w:val="zh-CN"/>
              </w:rPr>
              <w:t>完成合同</w:t>
            </w:r>
            <w:r>
              <w:rPr>
                <w:rFonts w:hint="eastAsia"/>
              </w:rPr>
              <w:t>约定所有内容、经采购人验收合格并</w:t>
            </w:r>
            <w:r>
              <w:rPr>
                <w:rFonts w:hint="eastAsia"/>
                <w:lang w:val="zh-CN"/>
              </w:rPr>
              <w:t>接到供应商申请和支付凭证资料文件</w:t>
            </w:r>
            <w:r>
              <w:rPr>
                <w:rFonts w:hint="eastAsia"/>
              </w:rPr>
              <w:t>后7个工作日内，由采购人一次性无息退还至中标人</w:t>
            </w:r>
            <w:r>
              <w:rPr>
                <w:rFonts w:hint="eastAsia"/>
                <w:lang w:val="zh-CN"/>
              </w:rPr>
              <w:t>。</w:t>
            </w:r>
          </w:p>
          <w:p>
            <w:pPr>
              <w:pStyle w:val="44"/>
              <w:ind w:left="60" w:leftChars="25" w:right="60" w:rightChars="25"/>
            </w:pPr>
            <w:r>
              <w:rPr>
                <w:rFonts w:hint="eastAsia"/>
              </w:rPr>
              <w:t>3.</w:t>
            </w:r>
            <w:r>
              <w:rPr>
                <w:rFonts w:hint="eastAsia"/>
                <w:lang w:val="zh-CN"/>
              </w:rPr>
              <w:t>履约保证金不予退还情形：</w:t>
            </w:r>
            <w:r>
              <w:rPr>
                <w:rFonts w:hint="eastAsia"/>
                <w:lang w:val="zh-CN"/>
              </w:rPr>
              <w:fldChar w:fldCharType="begin"/>
            </w:r>
            <w:r>
              <w:rPr>
                <w:rFonts w:hint="eastAsia"/>
                <w:lang w:val="zh-CN"/>
              </w:rPr>
              <w:instrText xml:space="preserve"> = 1 \* GB3 \* MERGEFORMAT </w:instrText>
            </w:r>
            <w:r>
              <w:rPr>
                <w:rFonts w:hint="eastAsia"/>
                <w:lang w:val="zh-CN"/>
              </w:rPr>
              <w:fldChar w:fldCharType="separate"/>
            </w:r>
            <w:r>
              <w:t>①</w:t>
            </w:r>
            <w:r>
              <w:rPr>
                <w:rFonts w:hint="eastAsia"/>
                <w:lang w:val="zh-CN"/>
              </w:rPr>
              <w:fldChar w:fldCharType="end"/>
            </w:r>
            <w:r>
              <w:rPr>
                <w:rFonts w:hint="eastAsia"/>
              </w:rPr>
              <w:t>中标人</w:t>
            </w:r>
            <w:r>
              <w:rPr>
                <w:rFonts w:hint="eastAsia"/>
                <w:lang w:val="zh-CN"/>
              </w:rPr>
              <w:t>不履行与</w:t>
            </w:r>
            <w:r>
              <w:rPr>
                <w:rFonts w:hint="eastAsia"/>
              </w:rPr>
              <w:t>采购</w:t>
            </w:r>
            <w:r>
              <w:rPr>
                <w:rFonts w:hint="eastAsia"/>
                <w:lang w:val="zh-CN"/>
              </w:rPr>
              <w:t>人订立的合同的，履约保证金不予退还，给</w:t>
            </w:r>
            <w:r>
              <w:rPr>
                <w:rFonts w:hint="eastAsia"/>
              </w:rPr>
              <w:t>采购</w:t>
            </w:r>
            <w:r>
              <w:rPr>
                <w:rFonts w:hint="eastAsia"/>
                <w:lang w:val="zh-CN"/>
              </w:rPr>
              <w:t>人造成的损失超过履约保证金数额的，还应当对超过部分予以赔偿。</w:t>
            </w:r>
            <w:r>
              <w:rPr>
                <w:rFonts w:hint="eastAsia"/>
                <w:lang w:val="zh-CN"/>
              </w:rPr>
              <w:fldChar w:fldCharType="begin"/>
            </w:r>
            <w:r>
              <w:rPr>
                <w:rFonts w:hint="eastAsia"/>
                <w:lang w:val="zh-CN"/>
              </w:rPr>
              <w:instrText xml:space="preserve"> = 2 \* GB3 \* MERGEFORMAT </w:instrText>
            </w:r>
            <w:r>
              <w:rPr>
                <w:rFonts w:hint="eastAsia"/>
                <w:lang w:val="zh-CN"/>
              </w:rPr>
              <w:fldChar w:fldCharType="separate"/>
            </w:r>
            <w:r>
              <w:t>②</w:t>
            </w:r>
            <w:r>
              <w:rPr>
                <w:rFonts w:hint="eastAsia"/>
                <w:lang w:val="zh-CN"/>
              </w:rPr>
              <w:fldChar w:fldCharType="end"/>
            </w:r>
            <w:r>
              <w:rPr>
                <w:rFonts w:hint="eastAsia"/>
              </w:rPr>
              <w:t>项目</w:t>
            </w:r>
            <w:r>
              <w:rPr>
                <w:rFonts w:hint="eastAsia"/>
                <w:lang w:val="zh-CN"/>
              </w:rPr>
              <w:t>验收结果不合格的，履约保证金将不予退还</w:t>
            </w:r>
            <w:r>
              <w:rPr>
                <w:rFonts w:hint="eastAsia"/>
              </w:rPr>
              <w:t>。</w:t>
            </w:r>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rPr>
              <w:t>其他违反国家相关法律法规的情形。</w:t>
            </w:r>
          </w:p>
          <w:p>
            <w:pPr>
              <w:pStyle w:val="44"/>
              <w:ind w:left="60" w:leftChars="25" w:right="60" w:rightChars="25"/>
              <w:rPr>
                <w:color w:val="000000" w:themeColor="text1"/>
                <w14:textFill>
                  <w14:solidFill>
                    <w14:schemeClr w14:val="tx1"/>
                  </w14:solidFill>
                </w14:textFill>
              </w:rPr>
            </w:pPr>
            <w:r>
              <w:rPr>
                <w:rFonts w:hint="eastAsia"/>
              </w:rPr>
              <w:t>4.</w:t>
            </w:r>
            <w:r>
              <w:rPr>
                <w:rFonts w:hint="eastAsia"/>
                <w:lang w:val="zh-CN"/>
              </w:rPr>
              <w:t>履约保证金不予退还的，将按照有关规定上缴国库。逾期退还履约保证金的，将依法承担法律责任，并赔偿供应商损失。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政府采购供应商信用融资</w:t>
            </w:r>
          </w:p>
        </w:tc>
        <w:tc>
          <w:tcPr>
            <w:tcW w:w="7229" w:type="dxa"/>
            <w:vAlign w:val="center"/>
          </w:tcPr>
          <w:p>
            <w:pPr>
              <w:pStyle w:val="44"/>
              <w:ind w:left="60" w:leftChars="25" w:right="60" w:rightChars="25"/>
            </w:pPr>
            <w:r>
              <w:rPr>
                <w:rFonts w:hint="eastAsia"/>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4"/>
              <w:ind w:left="60" w:leftChars="25" w:right="60" w:rightChars="25"/>
            </w:pPr>
            <w:r>
              <w:rPr>
                <w:rFonts w:hint="eastAsia"/>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4"/>
              <w:ind w:left="60" w:leftChars="25" w:right="60" w:rightChars="25"/>
            </w:pPr>
            <w:r>
              <w:rPr>
                <w:rFonts w:hint="eastAsia"/>
              </w:rPr>
              <w:t>3.“政采贷”政策咨询电话：</w:t>
            </w:r>
            <w:r>
              <w:rPr>
                <w:rFonts w:hint="eastAsia"/>
                <w:lang w:val="zh-CN"/>
              </w:rPr>
              <w:t>028-61375575转6</w:t>
            </w:r>
            <w:r>
              <w:rPr>
                <w:rFonts w:hint="eastAsia"/>
              </w:rPr>
              <w:t>08。</w:t>
            </w:r>
          </w:p>
          <w:p>
            <w:pPr>
              <w:pStyle w:val="44"/>
              <w:ind w:left="60" w:leftChars="25" w:right="60" w:rightChars="25"/>
            </w:pPr>
            <w:r>
              <w:rPr>
                <w:rFonts w:hint="eastAsia"/>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ind w:left="24" w:leftChars="10" w:right="24" w:rightChars="10"/>
            </w:pPr>
            <w:r>
              <w:rPr>
                <w:rFonts w:hint="eastAsia"/>
              </w:rPr>
              <w:t>政府采购合同公告</w:t>
            </w:r>
          </w:p>
          <w:p>
            <w:pPr>
              <w:pStyle w:val="48"/>
              <w:ind w:left="24" w:leftChars="10" w:right="24" w:rightChars="10"/>
            </w:pPr>
            <w:r>
              <w:rPr>
                <w:rFonts w:hint="eastAsia"/>
              </w:rPr>
              <w:t>备案</w:t>
            </w:r>
          </w:p>
        </w:tc>
        <w:tc>
          <w:tcPr>
            <w:tcW w:w="7229" w:type="dxa"/>
          </w:tcPr>
          <w:p>
            <w:pPr>
              <w:pStyle w:val="44"/>
              <w:ind w:left="60" w:leftChars="25" w:right="60" w:rightChars="25"/>
            </w:pPr>
            <w:r>
              <w:rPr>
                <w:rFonts w:hint="eastAsia"/>
              </w:rPr>
              <w:t>政府采购合同签订之日起2个工作日内，政府采购合同将在“四川政府采购网”公告；政府采购合同签订之日起七个工作日内，政府采购合同将向本采购项目同级财政部门</w:t>
            </w:r>
            <w:r>
              <w:rPr>
                <w:rFonts w:hint="eastAsia"/>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rPr>
                <w:lang w:val="zh-CN"/>
              </w:rPr>
            </w:pPr>
            <w:r>
              <w:rPr>
                <w:rFonts w:hint="eastAsia"/>
              </w:rPr>
              <w:t>供应商询问</w:t>
            </w:r>
          </w:p>
        </w:tc>
        <w:tc>
          <w:tcPr>
            <w:tcW w:w="7229" w:type="dxa"/>
          </w:tcPr>
          <w:p>
            <w:pPr>
              <w:pStyle w:val="44"/>
              <w:ind w:left="60" w:leftChars="25" w:right="60" w:rightChars="25"/>
              <w:rPr>
                <w:lang w:val="zh-CN"/>
              </w:rPr>
            </w:pPr>
            <w:r>
              <w:rPr>
                <w:rFonts w:hint="eastAsia"/>
              </w:rPr>
              <w:t>1.根据委托代理协议约定，采购人负责对采购文件技术参数部分的询问答复，四川乾新招投标代理有限公司负责采购文件技术参数部分以外的询问答复。</w:t>
            </w:r>
          </w:p>
          <w:p>
            <w:pPr>
              <w:pStyle w:val="44"/>
              <w:ind w:left="60" w:leftChars="25" w:right="60" w:rightChars="25"/>
            </w:pPr>
            <w:r>
              <w:rPr>
                <w:rFonts w:hint="eastAsia"/>
              </w:rPr>
              <w:t>2.询问内容不得涉及评审秘密、国家机密和商业秘密等保密内容。</w:t>
            </w:r>
          </w:p>
          <w:p>
            <w:pPr>
              <w:pStyle w:val="44"/>
              <w:ind w:left="60" w:leftChars="25" w:right="60" w:rightChars="25"/>
            </w:pPr>
            <w:r>
              <w:rPr>
                <w:rFonts w:hint="eastAsia"/>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4"/>
              <w:ind w:left="60" w:leftChars="25" w:right="60" w:rightChars="25"/>
            </w:pPr>
            <w:r>
              <w:rPr>
                <w:rFonts w:hint="eastAsia"/>
                <w:lang w:val="zh-CN"/>
              </w:rPr>
              <w:t>联系人：</w:t>
            </w:r>
            <w:r>
              <w:rPr>
                <w:rFonts w:hint="eastAsia"/>
              </w:rPr>
              <w:t>郭巧樾</w:t>
            </w:r>
          </w:p>
          <w:p>
            <w:pPr>
              <w:pStyle w:val="44"/>
              <w:ind w:left="60" w:leftChars="25" w:right="60" w:rightChars="25"/>
            </w:pPr>
            <w:r>
              <w:rPr>
                <w:rFonts w:hint="eastAsia"/>
                <w:lang w:val="zh-CN"/>
              </w:rPr>
              <w:t>联系电话：</w:t>
            </w:r>
            <w:r>
              <w:rPr>
                <w:rFonts w:hint="eastAsia"/>
              </w:rPr>
              <w:t>028-61375575、62600820、62630990转682</w:t>
            </w:r>
          </w:p>
          <w:p>
            <w:pPr>
              <w:pStyle w:val="44"/>
              <w:ind w:left="60" w:leftChars="25" w:right="60" w:rightChars="25"/>
              <w:rPr>
                <w:lang w:val="zh-CN"/>
              </w:rPr>
            </w:pPr>
            <w:r>
              <w:rPr>
                <w:rFonts w:hint="eastAsia"/>
                <w:lang w:val="zh-CN"/>
              </w:rPr>
              <w:t>地址：成都市高新区吉庆三路333号蜀都中心二期一号楼一单元401号</w:t>
            </w:r>
          </w:p>
          <w:p>
            <w:pPr>
              <w:pStyle w:val="44"/>
              <w:ind w:left="60" w:leftChars="25" w:right="60" w:rightChars="25"/>
            </w:pPr>
            <w:r>
              <w:rPr>
                <w:rFonts w:hint="eastAsia"/>
              </w:rPr>
              <w:t>邮编：610041</w:t>
            </w:r>
          </w:p>
          <w:p>
            <w:pPr>
              <w:pStyle w:val="44"/>
              <w:ind w:left="60" w:leftChars="25" w:right="60" w:rightChars="25"/>
            </w:pPr>
            <w:r>
              <w:rPr>
                <w:rFonts w:hint="eastAsia"/>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w:t>
            </w:r>
            <w:r>
              <w:t>②</w:t>
            </w:r>
            <w:r>
              <w:rPr>
                <w:rFonts w:hint="eastAsia"/>
              </w:rPr>
              <w:t>采购过程、采购结果环节：参与采购活动的供应商可以对采购过程、采购结果相关问题向四川乾新招投标代理有限公司提出询问，未参与采购活动的供应商不得对此环节提出询问。</w:t>
            </w:r>
            <w:r>
              <w:t>③</w:t>
            </w:r>
            <w:r>
              <w:rPr>
                <w:rFonts w:hint="eastAsia"/>
              </w:rPr>
              <w:t>询问提出的时间原则上以政府采购活动中有效质疑的时间计算为准。</w:t>
            </w:r>
          </w:p>
          <w:p>
            <w:pPr>
              <w:pStyle w:val="44"/>
              <w:ind w:left="60" w:leftChars="25" w:right="60" w:rightChars="25"/>
            </w:pPr>
            <w:r>
              <w:rPr>
                <w:rFonts w:hint="eastAsia"/>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4"/>
              <w:ind w:left="60" w:leftChars="25" w:right="60" w:rightChars="25"/>
            </w:pPr>
            <w:r>
              <w:rPr>
                <w:rFonts w:hint="eastAsia"/>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rPr>
                <w:lang w:val="zh-CN"/>
              </w:rPr>
            </w:pPr>
            <w:r>
              <w:rPr>
                <w:rFonts w:hint="eastAsia"/>
              </w:rPr>
              <w:t>供应商质疑</w:t>
            </w:r>
          </w:p>
        </w:tc>
        <w:tc>
          <w:tcPr>
            <w:tcW w:w="7229" w:type="dxa"/>
            <w:vAlign w:val="center"/>
          </w:tcPr>
          <w:p>
            <w:pPr>
              <w:pStyle w:val="44"/>
              <w:ind w:left="60" w:leftChars="25" w:right="60" w:rightChars="25"/>
            </w:pPr>
            <w:r>
              <w:rPr>
                <w:rFonts w:hint="eastAsia"/>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rPr>
              <w:br w:type="textWrapping"/>
            </w:r>
            <w:r>
              <w:rPr>
                <w:rFonts w:hint="eastAsia"/>
              </w:rPr>
              <w:t>2.供应商提出质疑应当坚持依法依规、诚实信用原则；不得超出采购文件、采购过程、采购结果的范围，不得进行虚假、恶意质疑，不得以质疑为手段获取不当得利、实现非法目的。</w:t>
            </w:r>
            <w:r>
              <w:rPr>
                <w:rFonts w:hint="eastAsia"/>
              </w:rPr>
              <w:br w:type="textWrapping"/>
            </w:r>
            <w:r>
              <w:rPr>
                <w:rFonts w:hint="eastAsia"/>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rPr>
              <w:br w:type="textWrapping"/>
            </w:r>
            <w:r>
              <w:rPr>
                <w:rFonts w:hint="eastAsia"/>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4"/>
              <w:ind w:left="60" w:leftChars="25" w:right="60" w:rightChars="25"/>
            </w:pPr>
            <w:r>
              <w:rPr>
                <w:rFonts w:hint="eastAsia"/>
              </w:rPr>
              <w:t>联系人：滕德伟</w:t>
            </w:r>
          </w:p>
          <w:p>
            <w:pPr>
              <w:pStyle w:val="44"/>
              <w:ind w:left="60" w:leftChars="25" w:right="60" w:rightChars="25"/>
            </w:pPr>
            <w:r>
              <w:rPr>
                <w:rFonts w:hint="eastAsia"/>
              </w:rPr>
              <w:t>联系电话：028-61375575、62600820、62630990转656</w:t>
            </w:r>
          </w:p>
          <w:p>
            <w:pPr>
              <w:pStyle w:val="44"/>
              <w:ind w:left="60" w:leftChars="25" w:right="60" w:rightChars="25"/>
            </w:pPr>
            <w:r>
              <w:rPr>
                <w:rFonts w:hint="eastAsia"/>
              </w:rPr>
              <w:t>通讯地址：</w:t>
            </w:r>
            <w:r>
              <w:rPr>
                <w:rFonts w:hint="eastAsia"/>
                <w:lang w:val="zh-CN"/>
              </w:rPr>
              <w:t>成都市高新区吉庆三路333号蜀都中心二期一号楼一单元401号</w:t>
            </w:r>
          </w:p>
          <w:p>
            <w:pPr>
              <w:pStyle w:val="44"/>
              <w:ind w:left="60" w:leftChars="25" w:right="60" w:rightChars="25"/>
            </w:pPr>
            <w:r>
              <w:rPr>
                <w:rFonts w:hint="eastAsia"/>
              </w:rPr>
              <w:t>邮编：610041</w:t>
            </w:r>
          </w:p>
          <w:p>
            <w:pPr>
              <w:pStyle w:val="44"/>
              <w:ind w:left="60" w:leftChars="25" w:right="60" w:rightChars="25"/>
            </w:pPr>
            <w:r>
              <w:rPr>
                <w:rFonts w:hint="eastAsia"/>
              </w:rPr>
              <w:t>注：①根据《中华人民共和国政府采购法》等法律法规规定，供应商质疑应当有明确的请求和必要的证明材料，须符合《政府采购质疑和投诉办法》(财政部第94号令)规定，并使用财政部下发《质疑函》范本。</w:t>
            </w:r>
          </w:p>
          <w:p>
            <w:pPr>
              <w:pStyle w:val="44"/>
              <w:ind w:left="60" w:leftChars="25" w:right="60" w:rightChars="25"/>
            </w:pPr>
            <w:r>
              <w:rPr>
                <w:rFonts w:hint="eastAsia"/>
              </w:rPr>
              <w:t>明确的请求是指：供应商对采购文件还是对采购过程还是对中标结果提出质疑；想要达到的结果，如中标无效、废标、重新组织采购、赔偿、追究法律责任等；</w:t>
            </w:r>
          </w:p>
          <w:p>
            <w:pPr>
              <w:pStyle w:val="44"/>
              <w:ind w:left="60" w:leftChars="25" w:right="60" w:rightChars="25"/>
            </w:pPr>
            <w:r>
              <w:rPr>
                <w:rFonts w:hint="eastAsia"/>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44"/>
              <w:ind w:left="60" w:leftChars="25" w:right="60" w:rightChars="25"/>
            </w:pPr>
            <w:r>
              <w:rPr>
                <w:rFonts w:hint="eastAsia"/>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4"/>
              <w:ind w:left="60" w:leftChars="25" w:right="60" w:rightChars="25"/>
            </w:pPr>
            <w:r>
              <w:rPr>
                <w:rFonts w:hint="eastAsia"/>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ind w:left="48" w:leftChars="20"/>
              <w:rPr>
                <w:lang w:val="zh-CN"/>
              </w:rPr>
            </w:pPr>
            <w:r>
              <w:rPr>
                <w:rFonts w:hint="eastAsia" w:cs="宋体" w:asciiTheme="minorEastAsia" w:hAnsiTheme="minorEastAsia" w:eastAsiaTheme="minorEastAsia"/>
                <w:color w:val="000000" w:themeColor="text1"/>
                <w:szCs w:val="21"/>
                <w14:textFill>
                  <w14:solidFill>
                    <w14:schemeClr w14:val="tx1"/>
                  </w14:solidFill>
                </w14:textFill>
              </w:rPr>
              <w:t>供应商投诉</w:t>
            </w:r>
          </w:p>
        </w:tc>
        <w:tc>
          <w:tcPr>
            <w:tcW w:w="7229" w:type="dxa"/>
          </w:tcPr>
          <w:p>
            <w:pPr>
              <w:pStyle w:val="44"/>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投诉受理单位：成都市财政局</w:t>
            </w:r>
            <w:r>
              <w:rPr>
                <w:rFonts w:hint="eastAsia" w:cs="宋体" w:asciiTheme="minorEastAsia" w:hAnsiTheme="minorEastAsia" w:eastAsiaTheme="minorEastAsia"/>
                <w:color w:val="000000" w:themeColor="text1"/>
                <w:szCs w:val="21"/>
                <w:lang w:val="zh-CN"/>
                <w14:textFill>
                  <w14:solidFill>
                    <w14:schemeClr w14:val="tx1"/>
                  </w14:solidFill>
                </w14:textFill>
              </w:rPr>
              <w:t>。</w:t>
            </w:r>
          </w:p>
          <w:p>
            <w:pPr>
              <w:pStyle w:val="44"/>
              <w:rPr>
                <w:rFonts w:cs="宋体" w:asciiTheme="minorEastAsia" w:hAnsiTheme="minorEastAsia" w:eastAsiaTheme="minorEastAsia"/>
                <w:color w:val="000000" w:themeColor="text1"/>
                <w:szCs w:val="21"/>
                <w:lang w:val="zh-CN"/>
                <w14:textFill>
                  <w14:solidFill>
                    <w14:schemeClr w14:val="tx1"/>
                  </w14:solidFill>
                </w14:textFill>
              </w:rPr>
            </w:pPr>
            <w:r>
              <w:rPr>
                <w:rFonts w:hint="eastAsia" w:cs="宋体" w:asciiTheme="minorEastAsia" w:hAnsiTheme="minorEastAsia" w:eastAsiaTheme="minorEastAsia"/>
                <w:color w:val="000000" w:themeColor="text1"/>
                <w:szCs w:val="21"/>
                <w:lang w:val="zh-CN"/>
                <w14:textFill>
                  <w14:solidFill>
                    <w14:schemeClr w14:val="tx1"/>
                  </w14:solidFill>
                </w14:textFill>
              </w:rPr>
              <w:t>联系电话：028-61882648</w:t>
            </w:r>
          </w:p>
          <w:p>
            <w:pPr>
              <w:pStyle w:val="44"/>
              <w:ind w:left="24" w:leftChars="10" w:right="24" w:rightChars="10"/>
              <w:rPr>
                <w:rFonts w:cs="宋体" w:asciiTheme="minorEastAsia" w:hAnsiTheme="minorEastAsia" w:eastAsiaTheme="minorEastAsia"/>
              </w:rPr>
            </w:pPr>
            <w:r>
              <w:rPr>
                <w:rFonts w:hint="eastAsia" w:cs="宋体" w:asciiTheme="minorEastAsia" w:hAnsiTheme="minorEastAsia" w:eastAsiaTheme="minorEastAsia"/>
              </w:rPr>
              <w:t xml:space="preserve">地址：成都市锦城大道366号 </w:t>
            </w:r>
          </w:p>
          <w:p>
            <w:pPr>
              <w:pStyle w:val="44"/>
              <w:ind w:left="24" w:leftChars="10" w:right="24" w:rightChars="10"/>
              <w:rPr>
                <w:rFonts w:cs="宋体" w:asciiTheme="minorEastAsia" w:hAnsiTheme="minorEastAsia" w:eastAsiaTheme="minorEastAsia"/>
              </w:rPr>
            </w:pPr>
            <w:r>
              <w:rPr>
                <w:rFonts w:hint="eastAsia" w:cs="宋体" w:asciiTheme="minorEastAsia" w:hAnsiTheme="minorEastAsia" w:eastAsiaTheme="minorEastAsia"/>
              </w:rPr>
              <w:t>邮编：610041</w:t>
            </w:r>
          </w:p>
          <w:p>
            <w:pPr>
              <w:pStyle w:val="44"/>
            </w:pPr>
            <w:r>
              <w:rPr>
                <w:rFonts w:hint="eastAsia" w:cs="宋体" w:asciiTheme="minorEastAsia" w:hAnsiTheme="minorEastAsia" w:eastAsiaTheme="minorEastAsia"/>
                <w:color w:val="000000" w:themeColor="text1"/>
                <w:szCs w:val="21"/>
                <w14:textFill>
                  <w14:solidFill>
                    <w14:schemeClr w14:val="tx1"/>
                  </w14:solidFill>
                </w14:textFill>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招标文件咨询</w:t>
            </w:r>
          </w:p>
        </w:tc>
        <w:tc>
          <w:tcPr>
            <w:tcW w:w="7229" w:type="dxa"/>
            <w:vAlign w:val="center"/>
          </w:tcPr>
          <w:p>
            <w:pPr>
              <w:pStyle w:val="48"/>
              <w:ind w:left="60" w:leftChars="25" w:right="60" w:rightChars="25"/>
              <w:jc w:val="left"/>
              <w:rPr>
                <w:lang w:val="zh-CN"/>
              </w:rPr>
            </w:pPr>
            <w:r>
              <w:rPr>
                <w:rFonts w:hint="eastAsia"/>
                <w:lang w:val="zh-CN"/>
              </w:rPr>
              <w:t>联系人：</w:t>
            </w:r>
            <w:r>
              <w:rPr>
                <w:rFonts w:hint="eastAsia"/>
              </w:rPr>
              <w:t>郭巧樾</w:t>
            </w:r>
          </w:p>
          <w:p>
            <w:pPr>
              <w:pStyle w:val="48"/>
              <w:ind w:left="60" w:leftChars="25" w:right="60" w:rightChars="25"/>
              <w:jc w:val="left"/>
            </w:pPr>
            <w:r>
              <w:rPr>
                <w:rFonts w:hint="eastAsia"/>
                <w:lang w:val="zh-CN"/>
              </w:rPr>
              <w:t>联系电话：</w:t>
            </w:r>
            <w:r>
              <w:rPr>
                <w:rFonts w:hint="eastAsia"/>
              </w:rPr>
              <w:t>028-61375575、62600820、62630990转682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服务质量投诉电话</w:t>
            </w:r>
          </w:p>
        </w:tc>
        <w:tc>
          <w:tcPr>
            <w:tcW w:w="7229" w:type="dxa"/>
            <w:vAlign w:val="center"/>
          </w:tcPr>
          <w:p>
            <w:pPr>
              <w:pStyle w:val="44"/>
              <w:ind w:left="60" w:leftChars="25" w:right="60" w:rightChars="25"/>
            </w:pPr>
            <w:r>
              <w:rPr>
                <w:rFonts w:hint="eastAsia"/>
              </w:rPr>
              <w:t>联系人：滕德伟</w:t>
            </w:r>
          </w:p>
          <w:p>
            <w:pPr>
              <w:pStyle w:val="44"/>
              <w:ind w:left="60" w:leftChars="25" w:right="60" w:rightChars="25"/>
            </w:pPr>
            <w:r>
              <w:rPr>
                <w:rFonts w:hint="eastAsia"/>
              </w:rPr>
              <w:t>联系电话：028-61375575、62600820、62630990转656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lang w:val="zh-CN"/>
              </w:rPr>
              <w:t>声明承诺提醒</w:t>
            </w:r>
          </w:p>
        </w:tc>
        <w:tc>
          <w:tcPr>
            <w:tcW w:w="7229" w:type="dxa"/>
            <w:vAlign w:val="center"/>
          </w:tcPr>
          <w:p>
            <w:pPr>
              <w:pStyle w:val="48"/>
              <w:ind w:left="60" w:leftChars="25" w:right="60" w:rightChars="25"/>
              <w:jc w:val="left"/>
            </w:pPr>
            <w:r>
              <w:rPr>
                <w:rFonts w:hint="eastAsia"/>
              </w:rPr>
              <w:t>投标人的投标</w:t>
            </w:r>
            <w:r>
              <w:rPr>
                <w:rFonts w:hint="eastAsia"/>
                <w:lang w:val="zh-CN"/>
              </w:rPr>
              <w:t>文件中提供的各种声明和承诺应当真实有效，无效声明和承诺、虚假声明和承诺将由</w:t>
            </w:r>
            <w:r>
              <w:rPr>
                <w:rFonts w:hint="eastAsia"/>
              </w:rPr>
              <w:t>投标人自行</w:t>
            </w:r>
            <w:r>
              <w:rPr>
                <w:rFonts w:hint="eastAsia"/>
                <w:lang w:val="zh-CN"/>
              </w:rPr>
              <w:t>承担由此带来的</w:t>
            </w:r>
            <w:r>
              <w:rPr>
                <w:rFonts w:hint="eastAsia"/>
              </w:rPr>
              <w:t>一切</w:t>
            </w:r>
            <w:r>
              <w:rPr>
                <w:rFonts w:hint="eastAsia"/>
                <w:lang w:val="zh-CN"/>
              </w:rPr>
              <w:t>不利后果，</w:t>
            </w:r>
            <w:r>
              <w:rPr>
                <w:rFonts w:hint="eastAsia"/>
              </w:rPr>
              <w:t>采购代理机构</w:t>
            </w:r>
            <w:r>
              <w:rPr>
                <w:rFonts w:hint="eastAsia"/>
                <w:lang w:val="zh-CN"/>
              </w:rPr>
              <w:t>还将报告监管部门追究</w:t>
            </w:r>
            <w:r>
              <w:rPr>
                <w:rFonts w:hint="eastAsia"/>
              </w:rPr>
              <w:t>其</w:t>
            </w:r>
            <w:r>
              <w:rPr>
                <w:rFonts w:hint="eastAsia"/>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570" w:type="dxa"/>
            <w:vAlign w:val="center"/>
          </w:tcPr>
          <w:p>
            <w:pPr>
              <w:pStyle w:val="48"/>
              <w:numPr>
                <w:ilvl w:val="0"/>
                <w:numId w:val="8"/>
              </w:numPr>
            </w:pPr>
          </w:p>
        </w:tc>
        <w:tc>
          <w:tcPr>
            <w:tcW w:w="1951" w:type="dxa"/>
            <w:vAlign w:val="center"/>
          </w:tcPr>
          <w:p>
            <w:pPr>
              <w:pStyle w:val="48"/>
              <w:rPr>
                <w:lang w:val="zh-CN"/>
              </w:rPr>
            </w:pPr>
            <w:r>
              <w:rPr>
                <w:rFonts w:hint="eastAsia"/>
                <w:lang w:val="zh-CN"/>
              </w:rPr>
              <w:t>温馨提示</w:t>
            </w:r>
          </w:p>
        </w:tc>
        <w:tc>
          <w:tcPr>
            <w:tcW w:w="7229" w:type="dxa"/>
            <w:vAlign w:val="center"/>
          </w:tcPr>
          <w:p>
            <w:pPr>
              <w:pStyle w:val="48"/>
              <w:jc w:val="left"/>
              <w:rPr>
                <w:lang w:val="zh-CN"/>
              </w:rPr>
            </w:pPr>
            <w:r>
              <w:rPr>
                <w:rFonts w:hint="eastAsia"/>
              </w:rPr>
              <w:t>1.</w:t>
            </w:r>
            <w:r>
              <w:rPr>
                <w:rFonts w:hint="eastAsia"/>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48"/>
              <w:jc w:val="left"/>
              <w:rPr>
                <w:lang w:val="zh-CN"/>
              </w:rPr>
            </w:pPr>
            <w:r>
              <w:rPr>
                <w:rFonts w:hint="eastAsia"/>
              </w:rPr>
              <w:t>2.“</w:t>
            </w:r>
            <w:r>
              <w:rPr>
                <w:rFonts w:hint="eastAsia"/>
                <w:lang w:val="zh-CN"/>
              </w:rPr>
              <w:t>政府采购云平台</w:t>
            </w:r>
            <w:r>
              <w:rPr>
                <w:rFonts w:hint="eastAsia"/>
              </w:rPr>
              <w:t>”</w:t>
            </w:r>
            <w:r>
              <w:rPr>
                <w:rFonts w:hint="eastAsia"/>
                <w:lang w:val="zh-CN"/>
              </w:rPr>
              <w:t>供应商注册地址：</w:t>
            </w:r>
          </w:p>
          <w:p>
            <w:pPr>
              <w:pStyle w:val="48"/>
              <w:jc w:val="left"/>
            </w:pPr>
            <w:r>
              <w:rPr>
                <w:rFonts w:hint="eastAsia"/>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951" w:type="dxa"/>
            <w:vAlign w:val="center"/>
          </w:tcPr>
          <w:p>
            <w:pPr>
              <w:pStyle w:val="48"/>
            </w:pPr>
            <w:r>
              <w:rPr>
                <w:rFonts w:hint="eastAsia"/>
              </w:rPr>
              <w:t>备注</w:t>
            </w:r>
          </w:p>
        </w:tc>
        <w:tc>
          <w:tcPr>
            <w:tcW w:w="7229" w:type="dxa"/>
            <w:vAlign w:val="center"/>
          </w:tcPr>
          <w:p>
            <w:pPr>
              <w:pStyle w:val="44"/>
              <w:ind w:left="60" w:leftChars="25" w:right="60" w:rightChars="25"/>
            </w:pPr>
            <w:r>
              <w:rPr>
                <w:rFonts w:hint="eastAsia"/>
              </w:rPr>
              <w:t>若招标文件中其他内容与投标人须知前附表内容不一致的，以投标人须知前附表为准。</w:t>
            </w:r>
          </w:p>
        </w:tc>
      </w:tr>
    </w:tbl>
    <w:p>
      <w:pPr>
        <w:pStyle w:val="46"/>
        <w:spacing w:before="156" w:after="156"/>
      </w:pPr>
      <w:r>
        <w:rPr>
          <w:rFonts w:hint="eastAsia"/>
        </w:rPr>
        <w:br w:type="page"/>
      </w:r>
      <w:bookmarkStart w:id="38" w:name="_Toc4011"/>
      <w:bookmarkStart w:id="39" w:name="_Toc23295"/>
      <w:bookmarkStart w:id="40" w:name="_Toc26593"/>
      <w:bookmarkStart w:id="41" w:name="_Toc2042"/>
      <w:bookmarkStart w:id="42" w:name="_Toc13579"/>
      <w:r>
        <w:rPr>
          <w:rFonts w:hint="eastAsia"/>
        </w:rPr>
        <w:t>总 则</w:t>
      </w:r>
      <w:bookmarkEnd w:id="37"/>
      <w:bookmarkEnd w:id="38"/>
      <w:bookmarkEnd w:id="39"/>
      <w:bookmarkEnd w:id="40"/>
      <w:bookmarkEnd w:id="41"/>
      <w:bookmarkEnd w:id="42"/>
    </w:p>
    <w:p>
      <w:pPr>
        <w:pStyle w:val="52"/>
        <w:ind w:firstLine="482"/>
      </w:pPr>
      <w:bookmarkStart w:id="43" w:name="_Toc3601"/>
      <w:bookmarkStart w:id="44" w:name="_Toc23796"/>
      <w:bookmarkStart w:id="45" w:name="_Toc10311"/>
      <w:bookmarkStart w:id="46" w:name="_Toc32648"/>
      <w:bookmarkStart w:id="47" w:name="_Toc28450"/>
      <w:bookmarkStart w:id="48" w:name="_Toc308084574"/>
      <w:bookmarkStart w:id="49" w:name="_Toc327196263"/>
      <w:bookmarkStart w:id="50" w:name="_Toc307564829"/>
      <w:bookmarkStart w:id="51" w:name="_Toc29532"/>
      <w:bookmarkStart w:id="52" w:name="_Toc20769"/>
      <w:bookmarkStart w:id="53" w:name="_Toc32483"/>
      <w:bookmarkStart w:id="54" w:name="_Toc12046"/>
      <w:bookmarkStart w:id="55" w:name="_Toc307501086"/>
      <w:bookmarkStart w:id="56" w:name="_Toc31870"/>
      <w:bookmarkStart w:id="57" w:name="_Toc309897492"/>
      <w:bookmarkStart w:id="58" w:name="_Toc5790"/>
      <w:bookmarkStart w:id="59" w:name="_Toc319439877"/>
      <w:bookmarkStart w:id="60" w:name="_Toc319440119"/>
      <w:bookmarkStart w:id="61" w:name="_Toc217446034"/>
      <w:bookmarkStart w:id="62" w:name="_Toc308188129"/>
      <w:bookmarkStart w:id="63" w:name="_Toc15769"/>
      <w:r>
        <w:rPr>
          <w:rFonts w:hint="eastAsia"/>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38"/>
        <w:numPr>
          <w:ilvl w:val="2"/>
          <w:numId w:val="0"/>
        </w:numPr>
        <w:ind w:left="480" w:leftChars="200"/>
      </w:pPr>
      <w:r>
        <w:rPr>
          <w:rFonts w:hint="eastAsia"/>
        </w:rPr>
        <w:t>本招标文件仅适用于本次公开招标采购项目。</w:t>
      </w:r>
    </w:p>
    <w:p>
      <w:pPr>
        <w:pStyle w:val="52"/>
        <w:ind w:firstLine="482"/>
      </w:pPr>
      <w:bookmarkStart w:id="64" w:name="_Toc307564830"/>
      <w:bookmarkStart w:id="65" w:name="_Toc307501087"/>
      <w:bookmarkStart w:id="66" w:name="_Toc319439878"/>
      <w:bookmarkStart w:id="67" w:name="_Toc319440120"/>
      <w:bookmarkStart w:id="68" w:name="_Toc308084575"/>
      <w:bookmarkStart w:id="69" w:name="_Toc24985"/>
      <w:bookmarkStart w:id="70" w:name="_Toc24751"/>
      <w:bookmarkStart w:id="71" w:name="_Toc13022"/>
      <w:bookmarkStart w:id="72" w:name="_Toc217446035"/>
      <w:bookmarkStart w:id="73" w:name="_Toc2775"/>
      <w:bookmarkStart w:id="74" w:name="_Toc309897493"/>
      <w:bookmarkStart w:id="75" w:name="_Toc7942"/>
      <w:bookmarkStart w:id="76" w:name="_Toc327196264"/>
      <w:bookmarkStart w:id="77" w:name="_Toc12194"/>
      <w:bookmarkStart w:id="78" w:name="_Toc19670"/>
      <w:bookmarkStart w:id="79" w:name="_Toc308188130"/>
      <w:bookmarkStart w:id="80" w:name="_Toc16858"/>
      <w:bookmarkStart w:id="81" w:name="_Toc19069"/>
      <w:bookmarkStart w:id="82" w:name="_Toc524"/>
      <w:bookmarkStart w:id="83" w:name="_Toc156"/>
      <w:bookmarkStart w:id="84" w:name="_Toc18928"/>
      <w:r>
        <w:rPr>
          <w:rFonts w:hint="eastAsia"/>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66"/>
        <w:ind w:firstLine="480"/>
      </w:pPr>
      <w:r>
        <w:rPr>
          <w:rFonts w:hint="eastAsia"/>
        </w:rPr>
        <w:t>“采购人”系指依法进行政府采购的国家机关、事业单位、团体组织。本次招标的采购人是成都市住房和城乡建设信息档案中心。</w:t>
      </w:r>
    </w:p>
    <w:p>
      <w:pPr>
        <w:pStyle w:val="66"/>
        <w:ind w:firstLine="480"/>
      </w:pPr>
      <w:r>
        <w:rPr>
          <w:rFonts w:hint="eastAsia"/>
        </w:rPr>
        <w:t>“采购代理机构”系指根据采购人的委托依法办理招标事宜的采购机构。本次招标的采购代理机构是四川乾新招投标代理有限公司。</w:t>
      </w:r>
    </w:p>
    <w:p>
      <w:pPr>
        <w:pStyle w:val="66"/>
        <w:ind w:firstLine="480"/>
      </w:pPr>
      <w:r>
        <w:rPr>
          <w:rFonts w:hint="eastAsia"/>
        </w:rPr>
        <w:t>“招标采购单位”系指“采购人”和“采购代理机构”的统称。</w:t>
      </w:r>
    </w:p>
    <w:p>
      <w:pPr>
        <w:pStyle w:val="66"/>
        <w:ind w:firstLine="480"/>
      </w:pPr>
      <w:r>
        <w:rPr>
          <w:rFonts w:hint="eastAsia"/>
        </w:rPr>
        <w:t>“投标人”系指购买了招标文件拟参加投标和向采购人提供服务的供应商。</w:t>
      </w:r>
    </w:p>
    <w:p>
      <w:pPr>
        <w:pStyle w:val="66"/>
        <w:ind w:firstLine="480"/>
      </w:pPr>
      <w:r>
        <w:rPr>
          <w:rFonts w:hint="eastAsia"/>
        </w:rPr>
        <w:t>本招标文件各部分规定的期间以时、日、月、年计算。期间开始的时和日，不计算在期间内，而从次日开始计算。期间届满的最后一天是节假日的，以节假日后的第一日为期间届满的日期。</w:t>
      </w:r>
    </w:p>
    <w:p>
      <w:pPr>
        <w:pStyle w:val="66"/>
        <w:ind w:firstLine="480"/>
      </w:pPr>
      <w:r>
        <w:rPr>
          <w:rFonts w:hint="eastAsia"/>
        </w:rPr>
        <w:t>本招标文件各部分规定的时间均以北京时间为准。</w:t>
      </w:r>
    </w:p>
    <w:p>
      <w:pPr>
        <w:pStyle w:val="52"/>
        <w:ind w:firstLine="482"/>
      </w:pPr>
      <w:bookmarkStart w:id="85" w:name="_Toc319440121"/>
      <w:bookmarkStart w:id="86" w:name="_Toc319439879"/>
      <w:bookmarkStart w:id="87" w:name="_Toc308084576"/>
      <w:bookmarkStart w:id="88" w:name="_Toc307501088"/>
      <w:bookmarkStart w:id="89" w:name="_Toc327196265"/>
      <w:bookmarkStart w:id="90" w:name="_Toc217446036"/>
      <w:bookmarkStart w:id="91" w:name="_Toc24547"/>
      <w:bookmarkStart w:id="92" w:name="_Toc29784"/>
      <w:bookmarkStart w:id="93" w:name="_Toc26508"/>
      <w:bookmarkStart w:id="94" w:name="_Toc307564831"/>
      <w:bookmarkStart w:id="95" w:name="_Toc22174"/>
      <w:bookmarkStart w:id="96" w:name="_Toc3060"/>
      <w:bookmarkStart w:id="97" w:name="_Toc309897494"/>
      <w:bookmarkStart w:id="98" w:name="_Toc30244"/>
      <w:bookmarkStart w:id="99" w:name="_Toc183582207"/>
      <w:bookmarkStart w:id="100" w:name="_Toc217390843"/>
      <w:bookmarkStart w:id="101" w:name="_Toc183682344"/>
      <w:bookmarkStart w:id="102" w:name="_Toc7511"/>
      <w:bookmarkStart w:id="103" w:name="_Toc23383"/>
      <w:bookmarkStart w:id="104" w:name="_Toc308188131"/>
      <w:bookmarkStart w:id="105" w:name="_Toc31295"/>
      <w:bookmarkStart w:id="106" w:name="_Toc30689"/>
      <w:bookmarkStart w:id="107" w:name="_Toc4501"/>
      <w:bookmarkStart w:id="108" w:name="_Toc13719"/>
      <w:r>
        <w:rPr>
          <w:rFonts w:hint="eastAsia"/>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rPr>
        <w:t>(实质性要求)</w:t>
      </w:r>
      <w:bookmarkEnd w:id="105"/>
      <w:bookmarkEnd w:id="106"/>
      <w:bookmarkEnd w:id="107"/>
      <w:bookmarkEnd w:id="108"/>
    </w:p>
    <w:p>
      <w:pPr>
        <w:pStyle w:val="49"/>
      </w:pPr>
      <w:r>
        <w:rPr>
          <w:rFonts w:hint="eastAsia"/>
        </w:rPr>
        <w:t>合格的投标人应具备以下条件：</w:t>
      </w:r>
    </w:p>
    <w:p>
      <w:pPr>
        <w:pStyle w:val="66"/>
        <w:ind w:firstLine="480"/>
      </w:pPr>
      <w:r>
        <w:rPr>
          <w:rFonts w:hint="eastAsia"/>
        </w:rPr>
        <w:t>本招标文件“投标邀请”第五条规定的条件；</w:t>
      </w:r>
    </w:p>
    <w:p>
      <w:pPr>
        <w:pStyle w:val="66"/>
        <w:ind w:firstLine="480"/>
      </w:pPr>
      <w:r>
        <w:rPr>
          <w:rFonts w:hint="eastAsia"/>
        </w:rPr>
        <w:t>遵守国家有关的法律、法规、规章和其他政策制度；</w:t>
      </w:r>
    </w:p>
    <w:p>
      <w:pPr>
        <w:pStyle w:val="66"/>
        <w:ind w:firstLine="480"/>
      </w:pPr>
      <w:r>
        <w:rPr>
          <w:rFonts w:hint="eastAsia"/>
        </w:rPr>
        <w:t>向采购代理机构依法获取了招标文件并完成登记。</w:t>
      </w:r>
    </w:p>
    <w:p>
      <w:pPr>
        <w:pStyle w:val="52"/>
        <w:ind w:firstLine="482"/>
      </w:pPr>
      <w:bookmarkStart w:id="109" w:name="_Toc183682345"/>
      <w:bookmarkStart w:id="110" w:name="_Toc183582208"/>
      <w:bookmarkStart w:id="111" w:name="_Toc308084577"/>
      <w:bookmarkStart w:id="112" w:name="_Toc28895"/>
      <w:bookmarkStart w:id="113" w:name="_Toc26952"/>
      <w:bookmarkStart w:id="114" w:name="_Toc14323"/>
      <w:bookmarkStart w:id="115" w:name="_Toc21649"/>
      <w:bookmarkStart w:id="116" w:name="_Toc307501089"/>
      <w:bookmarkStart w:id="117" w:name="_Toc5067"/>
      <w:bookmarkStart w:id="118" w:name="_Toc319440122"/>
      <w:bookmarkStart w:id="119" w:name="_Toc308188132"/>
      <w:bookmarkStart w:id="120" w:name="_Toc307564832"/>
      <w:bookmarkStart w:id="121" w:name="_Toc217446037"/>
      <w:bookmarkStart w:id="122" w:name="_Toc12293"/>
      <w:bookmarkStart w:id="123" w:name="_Toc319439880"/>
      <w:bookmarkStart w:id="124" w:name="_Toc4414"/>
      <w:bookmarkStart w:id="125" w:name="_Toc327196266"/>
      <w:bookmarkStart w:id="126" w:name="_Toc309897495"/>
      <w:bookmarkStart w:id="127" w:name="_Toc9761"/>
      <w:bookmarkStart w:id="128" w:name="_Toc7047"/>
      <w:bookmarkStart w:id="129" w:name="_Toc31729"/>
      <w:bookmarkStart w:id="130" w:name="_Toc20132"/>
      <w:bookmarkStart w:id="131" w:name="_Toc30859"/>
      <w:r>
        <w:rPr>
          <w:rFonts w:hint="eastAsia"/>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rPr>
        <w:t>(实质性要求)</w:t>
      </w:r>
      <w:bookmarkEnd w:id="128"/>
      <w:bookmarkEnd w:id="129"/>
      <w:bookmarkEnd w:id="130"/>
      <w:bookmarkEnd w:id="131"/>
    </w:p>
    <w:p>
      <w:pPr>
        <w:pStyle w:val="49"/>
      </w:pPr>
      <w:r>
        <w:rPr>
          <w:rFonts w:hint="eastAsia"/>
        </w:rPr>
        <w:t>无论投标的结果如何，投标人参加投标的有关费用由投标人自行承担。</w:t>
      </w:r>
    </w:p>
    <w:p>
      <w:pPr>
        <w:pStyle w:val="52"/>
        <w:ind w:firstLine="482"/>
      </w:pPr>
      <w:bookmarkStart w:id="132" w:name="_Toc7710"/>
      <w:bookmarkStart w:id="133" w:name="_Toc308188133"/>
      <w:bookmarkStart w:id="134" w:name="_Toc309897496"/>
      <w:bookmarkStart w:id="135" w:name="_Toc18984"/>
      <w:bookmarkStart w:id="136" w:name="_Toc11131"/>
      <w:bookmarkStart w:id="137" w:name="_Toc319439881"/>
      <w:bookmarkStart w:id="138" w:name="_Toc307564833"/>
      <w:bookmarkStart w:id="139" w:name="_Toc327196267"/>
      <w:bookmarkStart w:id="140" w:name="_Toc28490"/>
      <w:bookmarkStart w:id="141" w:name="_Toc308084578"/>
      <w:bookmarkStart w:id="142" w:name="_Toc307501090"/>
      <w:bookmarkStart w:id="143" w:name="_Toc11996"/>
      <w:bookmarkStart w:id="144" w:name="_Toc27604"/>
      <w:bookmarkStart w:id="145" w:name="_Toc18993"/>
      <w:bookmarkStart w:id="146" w:name="_Toc319440123"/>
      <w:bookmarkStart w:id="147" w:name="_Toc27927"/>
      <w:bookmarkStart w:id="148" w:name="_Toc433"/>
      <w:bookmarkStart w:id="149" w:name="_Toc11923"/>
      <w:bookmarkStart w:id="150" w:name="_Toc5564"/>
      <w:bookmarkStart w:id="151" w:name="_Toc13863"/>
      <w:r>
        <w:rPr>
          <w:rFonts w:hint="eastAsia"/>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rPr>
        <w:t>(实质性要求)</w:t>
      </w:r>
      <w:bookmarkEnd w:id="148"/>
      <w:bookmarkEnd w:id="149"/>
      <w:bookmarkEnd w:id="150"/>
      <w:bookmarkEnd w:id="151"/>
    </w:p>
    <w:p>
      <w:pPr>
        <w:pStyle w:val="66"/>
        <w:ind w:firstLine="480"/>
      </w:pPr>
      <w:bookmarkStart w:id="152" w:name="_Toc183582209"/>
      <w:bookmarkStart w:id="153" w:name="_Toc89075875"/>
      <w:bookmarkStart w:id="154" w:name="_Toc183682346"/>
      <w:bookmarkStart w:id="155" w:name="_Toc217446038"/>
      <w:bookmarkStart w:id="156" w:name="_Toc327196268"/>
      <w:bookmarkStart w:id="157" w:name="_Toc13891"/>
      <w:bookmarkStart w:id="158" w:name="_Toc77400779"/>
      <w:r>
        <w:rPr>
          <w:rFonts w:hint="eastAsia"/>
        </w:rPr>
        <w:t>利害关系供应商处理。</w:t>
      </w:r>
    </w:p>
    <w:p>
      <w:pPr>
        <w:pStyle w:val="49"/>
      </w:pPr>
      <w:r>
        <w:rPr>
          <w:rFonts w:hint="eastAsia"/>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49"/>
      </w:pPr>
      <w:r>
        <w:rPr>
          <w:rFonts w:hint="eastAsia"/>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66"/>
        <w:ind w:firstLine="480"/>
      </w:pPr>
      <w:r>
        <w:rPr>
          <w:rFonts w:hint="eastAsia"/>
        </w:rPr>
        <w:t>前期参与供应商处理。</w:t>
      </w:r>
    </w:p>
    <w:p>
      <w:pPr>
        <w:pStyle w:val="49"/>
      </w:pPr>
      <w:r>
        <w:rPr>
          <w:rFonts w:hint="eastAsia"/>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9"/>
        <w:ind w:firstLine="482"/>
        <w:rPr>
          <w:b/>
          <w:bCs/>
        </w:rPr>
      </w:pPr>
      <w:r>
        <w:rPr>
          <w:rFonts w:hint="eastAsia"/>
          <w:b/>
          <w:bCs/>
        </w:rPr>
        <w:t>注：本项目无符合本条规定的供应商。</w:t>
      </w:r>
    </w:p>
    <w:p>
      <w:pPr>
        <w:pStyle w:val="66"/>
        <w:ind w:firstLine="480"/>
      </w:pPr>
      <w:r>
        <w:rPr>
          <w:rFonts w:hint="eastAsia"/>
        </w:rPr>
        <w:t>利害关系代理人处理。</w:t>
      </w:r>
    </w:p>
    <w:p>
      <w:pPr>
        <w:pStyle w:val="67"/>
        <w:ind w:firstLine="480"/>
      </w:pPr>
      <w:r>
        <w:rPr>
          <w:rFonts w:hint="eastAsia"/>
        </w:rPr>
        <w:t>在同一合同项下的采购项目中，若有2家及以上的供应商同时委托同一个自然人、同一家庭的人员、同一单位的人员作为其代理人，其投标文件作为无效处理。</w:t>
      </w:r>
    </w:p>
    <w:p>
      <w:pPr>
        <w:pStyle w:val="67"/>
        <w:ind w:firstLine="480"/>
      </w:pPr>
      <w:r>
        <w:rPr>
          <w:rFonts w:hint="eastAsia"/>
        </w:rPr>
        <w:t>供应商实际控制人或者中高级管理人员，同时是采购代理机构工作人员，不得参与本项目政府采购活动。</w:t>
      </w:r>
    </w:p>
    <w:p>
      <w:pPr>
        <w:pStyle w:val="67"/>
        <w:ind w:firstLine="480"/>
      </w:pPr>
      <w:r>
        <w:rPr>
          <w:rFonts w:hint="eastAsia"/>
        </w:rPr>
        <w:t>同一母公司的两家以上的子公司只能组成联合体参加本项目同一合同项下的采购活动，不得以不同供应商身份同时参加本项目同一合同项下的采购活动。</w:t>
      </w:r>
    </w:p>
    <w:p>
      <w:pPr>
        <w:pStyle w:val="67"/>
        <w:ind w:firstLine="480"/>
      </w:pPr>
      <w:r>
        <w:rPr>
          <w:rFonts w:hint="eastAsia"/>
        </w:rPr>
        <w:t>供应商与采购代理机构存在关联关系，或者是采购代理机构的母公司或子公司，不得参加本项目政府采购活动。</w:t>
      </w:r>
    </w:p>
    <w:p>
      <w:pPr>
        <w:pStyle w:val="46"/>
        <w:spacing w:before="156" w:after="156"/>
      </w:pPr>
      <w:bookmarkStart w:id="159" w:name="_Toc14125"/>
      <w:bookmarkStart w:id="160" w:name="_Toc12561"/>
      <w:bookmarkStart w:id="161" w:name="_Toc27564"/>
      <w:bookmarkStart w:id="162" w:name="_Toc24925"/>
      <w:r>
        <w:rPr>
          <w:rFonts w:hint="eastAsia"/>
        </w:rPr>
        <w:t>招标文件</w:t>
      </w:r>
      <w:bookmarkEnd w:id="152"/>
      <w:bookmarkEnd w:id="153"/>
      <w:bookmarkEnd w:id="154"/>
      <w:bookmarkEnd w:id="155"/>
      <w:bookmarkEnd w:id="156"/>
      <w:bookmarkEnd w:id="157"/>
      <w:bookmarkEnd w:id="158"/>
      <w:bookmarkEnd w:id="159"/>
      <w:bookmarkEnd w:id="160"/>
      <w:bookmarkEnd w:id="161"/>
      <w:bookmarkEnd w:id="162"/>
    </w:p>
    <w:p>
      <w:pPr>
        <w:pStyle w:val="52"/>
        <w:numPr>
          <w:ilvl w:val="2"/>
          <w:numId w:val="9"/>
        </w:numPr>
        <w:ind w:firstLine="482"/>
      </w:pPr>
      <w:bookmarkStart w:id="163" w:name="_Toc29642"/>
      <w:bookmarkStart w:id="164" w:name="_Toc25874"/>
      <w:bookmarkStart w:id="165" w:name="_Toc8808"/>
      <w:bookmarkStart w:id="166" w:name="_Toc19030"/>
      <w:bookmarkStart w:id="167" w:name="_Toc309897498"/>
      <w:bookmarkStart w:id="168" w:name="_Toc308188135"/>
      <w:bookmarkStart w:id="169" w:name="_Toc25650"/>
      <w:bookmarkStart w:id="170" w:name="_Toc307564835"/>
      <w:bookmarkStart w:id="171" w:name="_Toc5983"/>
      <w:bookmarkStart w:id="172" w:name="_Toc307501092"/>
      <w:bookmarkStart w:id="173" w:name="_Toc308084580"/>
      <w:bookmarkStart w:id="174" w:name="_Toc183682347"/>
      <w:bookmarkStart w:id="175" w:name="_Toc16404"/>
      <w:bookmarkStart w:id="176" w:name="_Toc29703"/>
      <w:bookmarkStart w:id="177" w:name="_Toc21985"/>
      <w:bookmarkStart w:id="178" w:name="_Toc217446039"/>
      <w:bookmarkStart w:id="179" w:name="_Toc327196269"/>
      <w:bookmarkStart w:id="180" w:name="_Toc319440125"/>
      <w:bookmarkStart w:id="181" w:name="_Toc319439883"/>
      <w:bookmarkStart w:id="182" w:name="_Toc22520"/>
      <w:bookmarkStart w:id="183" w:name="_Toc183582210"/>
      <w:bookmarkStart w:id="184" w:name="_Toc24565"/>
      <w:bookmarkStart w:id="185" w:name="_Toc3403"/>
      <w:r>
        <w:rPr>
          <w:rFonts w:hint="eastAsia"/>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66"/>
        <w:ind w:firstLine="480"/>
      </w:pPr>
      <w:r>
        <w:rPr>
          <w:rFonts w:hint="eastAsia"/>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67"/>
        <w:ind w:firstLine="480"/>
      </w:pPr>
      <w:r>
        <w:rPr>
          <w:rFonts w:hint="eastAsia"/>
        </w:rPr>
        <w:t>投标邀请；</w:t>
      </w:r>
    </w:p>
    <w:p>
      <w:pPr>
        <w:pStyle w:val="67"/>
        <w:ind w:firstLine="480"/>
      </w:pPr>
      <w:r>
        <w:rPr>
          <w:rFonts w:hint="eastAsia"/>
        </w:rPr>
        <w:t>投标人须知(包括投标文件的制作、签章、加密要求等)；</w:t>
      </w:r>
    </w:p>
    <w:p>
      <w:pPr>
        <w:pStyle w:val="67"/>
        <w:ind w:firstLine="480"/>
      </w:pPr>
      <w:r>
        <w:rPr>
          <w:rFonts w:hint="eastAsia"/>
        </w:rPr>
        <w:t>投标人应当提交的资格、资信证明文件；</w:t>
      </w:r>
    </w:p>
    <w:p>
      <w:pPr>
        <w:pStyle w:val="67"/>
        <w:ind w:firstLine="480"/>
      </w:pPr>
      <w:r>
        <w:rPr>
          <w:rFonts w:hint="eastAsia"/>
        </w:rPr>
        <w:t>为落实政府采购政策，采购标的需满足的要求，以及投标人须提供的证明材料；</w:t>
      </w:r>
    </w:p>
    <w:p>
      <w:pPr>
        <w:pStyle w:val="67"/>
        <w:ind w:firstLine="480"/>
      </w:pPr>
      <w:r>
        <w:rPr>
          <w:rFonts w:hint="eastAsia"/>
        </w:rPr>
        <w:t>投标文件编制要求、投标报价要求；</w:t>
      </w:r>
    </w:p>
    <w:p>
      <w:pPr>
        <w:pStyle w:val="67"/>
        <w:ind w:firstLine="480"/>
      </w:pPr>
      <w:r>
        <w:rPr>
          <w:rFonts w:hint="eastAsia"/>
        </w:rPr>
        <w:t>采购项目预算金额，设定最高限价的，还应当公开最高限价；</w:t>
      </w:r>
    </w:p>
    <w:p>
      <w:pPr>
        <w:pStyle w:val="67"/>
        <w:ind w:firstLine="480"/>
      </w:pPr>
      <w:r>
        <w:rPr>
          <w:rFonts w:hint="eastAsia"/>
        </w:rPr>
        <w:t>采购项目的技术规格、数量、服务标准、验收等要求，包括附件、图纸(如涉及)等；</w:t>
      </w:r>
    </w:p>
    <w:p>
      <w:pPr>
        <w:pStyle w:val="67"/>
        <w:ind w:firstLine="480"/>
      </w:pPr>
      <w:r>
        <w:rPr>
          <w:rFonts w:hint="eastAsia"/>
        </w:rPr>
        <w:t>拟签订的合同文本；</w:t>
      </w:r>
    </w:p>
    <w:p>
      <w:pPr>
        <w:pStyle w:val="67"/>
        <w:ind w:firstLine="480"/>
      </w:pPr>
      <w:r>
        <w:rPr>
          <w:rFonts w:hint="eastAsia"/>
        </w:rPr>
        <w:t>货物、服务提供的时间、地点、方式；</w:t>
      </w:r>
    </w:p>
    <w:p>
      <w:pPr>
        <w:pStyle w:val="67"/>
        <w:ind w:firstLine="480"/>
      </w:pPr>
      <w:r>
        <w:rPr>
          <w:rFonts w:hint="eastAsia"/>
        </w:rPr>
        <w:t>采购资金的支付方式、时间、条件；</w:t>
      </w:r>
    </w:p>
    <w:p>
      <w:pPr>
        <w:pStyle w:val="67"/>
        <w:ind w:firstLine="480"/>
      </w:pPr>
      <w:r>
        <w:rPr>
          <w:rFonts w:hint="eastAsia"/>
        </w:rPr>
        <w:t>评标方法、评标标准和投标无效情形；</w:t>
      </w:r>
    </w:p>
    <w:p>
      <w:pPr>
        <w:pStyle w:val="67"/>
        <w:ind w:firstLine="480"/>
      </w:pPr>
      <w:r>
        <w:rPr>
          <w:rFonts w:hint="eastAsia"/>
        </w:rPr>
        <w:t>投标有效期；</w:t>
      </w:r>
    </w:p>
    <w:p>
      <w:pPr>
        <w:pStyle w:val="67"/>
        <w:ind w:firstLine="480"/>
      </w:pPr>
      <w:r>
        <w:rPr>
          <w:rFonts w:hint="eastAsia"/>
        </w:rPr>
        <w:t>投标截止时间、开标时间及地点；</w:t>
      </w:r>
    </w:p>
    <w:p>
      <w:pPr>
        <w:pStyle w:val="67"/>
        <w:ind w:firstLine="480"/>
      </w:pPr>
      <w:r>
        <w:rPr>
          <w:rFonts w:hint="eastAsia"/>
        </w:rPr>
        <w:t>采购代理机构代理费用的收取标准和方式；</w:t>
      </w:r>
    </w:p>
    <w:p>
      <w:pPr>
        <w:pStyle w:val="67"/>
        <w:ind w:firstLine="480"/>
      </w:pPr>
      <w:r>
        <w:rPr>
          <w:rFonts w:hint="eastAsia"/>
        </w:rPr>
        <w:t>投标人信用信息查询渠道及截止时点、信用信息查询记录和证据留存的具体方式、信用信息的使用规则等；</w:t>
      </w:r>
    </w:p>
    <w:p>
      <w:pPr>
        <w:pStyle w:val="67"/>
        <w:ind w:firstLine="480"/>
      </w:pPr>
      <w:r>
        <w:rPr>
          <w:rFonts w:hint="eastAsia"/>
        </w:rPr>
        <w:t>省级以上财政部门规定的其他事项。</w:t>
      </w:r>
    </w:p>
    <w:p>
      <w:pPr>
        <w:pStyle w:val="66"/>
        <w:numPr>
          <w:ilvl w:val="3"/>
          <w:numId w:val="9"/>
        </w:numPr>
        <w:ind w:firstLine="480"/>
      </w:pPr>
      <w:r>
        <w:rPr>
          <w:rFonts w:hint="eastAsia"/>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2"/>
        <w:ind w:firstLine="482"/>
      </w:pPr>
      <w:bookmarkStart w:id="186" w:name="_Toc183682348"/>
      <w:bookmarkStart w:id="187" w:name="_Toc183582211"/>
      <w:bookmarkStart w:id="188" w:name="_Toc319440126"/>
      <w:bookmarkStart w:id="189" w:name="_Toc308188136"/>
      <w:bookmarkStart w:id="190" w:name="_Toc309897499"/>
      <w:bookmarkStart w:id="191" w:name="_Toc17632"/>
      <w:bookmarkStart w:id="192" w:name="_Toc7541"/>
      <w:bookmarkStart w:id="193" w:name="_Toc217446040"/>
      <w:bookmarkStart w:id="194" w:name="_Toc26020"/>
      <w:bookmarkStart w:id="195" w:name="_Toc307564836"/>
      <w:bookmarkStart w:id="196" w:name="_Toc308084581"/>
      <w:bookmarkStart w:id="197" w:name="_Toc13600"/>
      <w:bookmarkStart w:id="198" w:name="_Toc307501093"/>
      <w:bookmarkStart w:id="199" w:name="_Toc19612"/>
      <w:bookmarkStart w:id="200" w:name="_Toc27690"/>
      <w:bookmarkStart w:id="201" w:name="_Toc25894"/>
      <w:bookmarkStart w:id="202" w:name="_Toc31172"/>
      <w:bookmarkStart w:id="203" w:name="_Toc16291"/>
      <w:bookmarkStart w:id="204" w:name="_Toc22085"/>
      <w:bookmarkStart w:id="205" w:name="_Toc319439884"/>
      <w:bookmarkStart w:id="206" w:name="_Toc327196270"/>
      <w:bookmarkStart w:id="207" w:name="_Toc11995"/>
      <w:bookmarkStart w:id="208" w:name="_Toc13248"/>
      <w:r>
        <w:rPr>
          <w:rFonts w:hint="eastAsia"/>
        </w:rPr>
        <w:t>招标文件的澄清</w:t>
      </w:r>
      <w:bookmarkEnd w:id="186"/>
      <w:bookmarkEnd w:id="187"/>
      <w:r>
        <w:rPr>
          <w:rFonts w:hint="eastAsia"/>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66"/>
        <w:ind w:firstLine="480"/>
      </w:pPr>
      <w:bookmarkStart w:id="209" w:name="_Toc308084582"/>
      <w:bookmarkStart w:id="210" w:name="_Toc319440127"/>
      <w:bookmarkStart w:id="211" w:name="_Toc308188137"/>
      <w:bookmarkStart w:id="212" w:name="_Toc217446041"/>
      <w:bookmarkStart w:id="213" w:name="_Toc208848971"/>
      <w:bookmarkStart w:id="214" w:name="_Toc2637"/>
      <w:bookmarkStart w:id="215" w:name="_Toc7026"/>
      <w:bookmarkStart w:id="216" w:name="_Toc9735"/>
      <w:bookmarkStart w:id="217" w:name="_Toc3159"/>
      <w:bookmarkStart w:id="218" w:name="_Toc309897500"/>
      <w:bookmarkStart w:id="219" w:name="_Toc24226"/>
      <w:bookmarkStart w:id="220" w:name="_Toc307501094"/>
      <w:bookmarkStart w:id="221" w:name="_Toc22061"/>
      <w:bookmarkStart w:id="222" w:name="_Toc8838"/>
      <w:bookmarkStart w:id="223" w:name="_Toc327196271"/>
      <w:bookmarkStart w:id="224" w:name="_Toc319439885"/>
      <w:bookmarkStart w:id="225" w:name="_Toc17111"/>
      <w:bookmarkStart w:id="226" w:name="_Toc3361"/>
      <w:bookmarkStart w:id="227" w:name="_Toc307564837"/>
      <w:bookmarkStart w:id="228" w:name="_Toc6811"/>
      <w:r>
        <w:rPr>
          <w:rFonts w:hint="eastAsia"/>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66"/>
        <w:ind w:firstLine="480"/>
      </w:pPr>
      <w:r>
        <w:rPr>
          <w:rFonts w:hint="eastAsia"/>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66"/>
        <w:ind w:firstLine="482"/>
        <w:rPr>
          <w:b/>
          <w:bCs/>
        </w:rPr>
      </w:pPr>
      <w:r>
        <w:rPr>
          <w:rFonts w:hint="eastAsia"/>
          <w:b/>
          <w:bCs/>
        </w:rPr>
        <w:t>供应商应于投标文件递交截止时间之前在“四川政府采购网”及“成都市住房和城乡建设局官网”查询本项目的更正公告，以保证其对招标文件做出正确的响应。供应商未按要求下载相关文件，或由于未及时关注更正公告的信息造成的后果，其责任由供应商自行负责。</w:t>
      </w:r>
    </w:p>
    <w:p>
      <w:pPr>
        <w:pStyle w:val="52"/>
        <w:ind w:firstLine="482"/>
      </w:pPr>
      <w:bookmarkStart w:id="229" w:name="_Toc31570"/>
      <w:bookmarkStart w:id="230" w:name="_Toc26835"/>
      <w:r>
        <w:rPr>
          <w:rFonts w:hint="eastAsia"/>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66"/>
        <w:ind w:firstLine="480"/>
      </w:pPr>
      <w:bookmarkStart w:id="231" w:name="_Toc20199"/>
      <w:bookmarkStart w:id="232" w:name="_Toc77400780"/>
      <w:bookmarkStart w:id="233" w:name="_Toc327196272"/>
      <w:bookmarkStart w:id="234" w:name="_Toc183582214"/>
      <w:bookmarkStart w:id="235" w:name="_Toc217446042"/>
      <w:bookmarkStart w:id="236" w:name="_Toc183682351"/>
      <w:bookmarkStart w:id="237" w:name="_Toc89075876"/>
      <w:r>
        <w:rPr>
          <w:rFonts w:hint="eastAsia"/>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66"/>
        <w:ind w:firstLine="480"/>
      </w:pPr>
      <w:r>
        <w:rPr>
          <w:rFonts w:hint="eastAsia"/>
        </w:rPr>
        <w:t>投标人考察现场所发生的一切费用由投标人自行承担。</w:t>
      </w:r>
    </w:p>
    <w:p>
      <w:pPr>
        <w:pStyle w:val="46"/>
        <w:spacing w:before="156" w:after="156"/>
      </w:pPr>
      <w:bookmarkStart w:id="238" w:name="_Toc16131"/>
      <w:bookmarkStart w:id="239" w:name="_Toc615"/>
      <w:bookmarkStart w:id="240" w:name="_Toc27479"/>
      <w:bookmarkStart w:id="241" w:name="_Toc6842"/>
      <w:r>
        <w:rPr>
          <w:rFonts w:hint="eastAsia"/>
        </w:rPr>
        <w:t>投标文件</w:t>
      </w:r>
      <w:bookmarkEnd w:id="231"/>
      <w:bookmarkEnd w:id="232"/>
      <w:bookmarkEnd w:id="233"/>
      <w:bookmarkEnd w:id="234"/>
      <w:bookmarkEnd w:id="235"/>
      <w:bookmarkEnd w:id="236"/>
      <w:bookmarkEnd w:id="237"/>
      <w:bookmarkEnd w:id="238"/>
      <w:bookmarkEnd w:id="239"/>
      <w:bookmarkEnd w:id="240"/>
      <w:bookmarkEnd w:id="241"/>
    </w:p>
    <w:p>
      <w:pPr>
        <w:pStyle w:val="52"/>
        <w:numPr>
          <w:ilvl w:val="2"/>
          <w:numId w:val="10"/>
        </w:numPr>
        <w:ind w:firstLine="482"/>
      </w:pPr>
      <w:bookmarkStart w:id="242" w:name="_Toc307564839"/>
      <w:bookmarkStart w:id="243" w:name="_Toc1641"/>
      <w:bookmarkStart w:id="244" w:name="_Toc319440129"/>
      <w:bookmarkStart w:id="245" w:name="_Toc319439887"/>
      <w:bookmarkStart w:id="246" w:name="_Toc309897502"/>
      <w:bookmarkStart w:id="247" w:name="_Toc308084584"/>
      <w:bookmarkStart w:id="248" w:name="_Toc3041"/>
      <w:bookmarkStart w:id="249" w:name="_Toc327196273"/>
      <w:bookmarkStart w:id="250" w:name="_Toc307501096"/>
      <w:bookmarkStart w:id="251" w:name="_Toc217446043"/>
      <w:bookmarkStart w:id="252" w:name="_Toc29330"/>
      <w:bookmarkStart w:id="253" w:name="_Toc308188139"/>
      <w:bookmarkStart w:id="254" w:name="_Toc23564"/>
      <w:bookmarkStart w:id="255" w:name="_Toc26076"/>
      <w:bookmarkStart w:id="256" w:name="_Toc2601"/>
      <w:bookmarkStart w:id="257" w:name="_Toc183582215"/>
      <w:bookmarkStart w:id="258" w:name="_Toc183682352"/>
      <w:bookmarkStart w:id="259" w:name="_Toc27053"/>
      <w:bookmarkStart w:id="260" w:name="_Toc21169"/>
      <w:bookmarkStart w:id="261" w:name="_Toc11217"/>
      <w:bookmarkStart w:id="262" w:name="_Toc14178"/>
      <w:bookmarkStart w:id="263" w:name="_Toc8388"/>
      <w:bookmarkStart w:id="264" w:name="_Toc29267"/>
      <w:r>
        <w:rPr>
          <w:rFonts w:hint="eastAsia"/>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rPr>
        <w:t>(实质性要求)</w:t>
      </w:r>
      <w:bookmarkEnd w:id="261"/>
      <w:bookmarkEnd w:id="262"/>
      <w:bookmarkEnd w:id="263"/>
      <w:bookmarkEnd w:id="264"/>
    </w:p>
    <w:p>
      <w:pPr>
        <w:pStyle w:val="66"/>
        <w:ind w:firstLine="480"/>
      </w:pPr>
      <w:r>
        <w:rPr>
          <w:rFonts w:hint="eastAsia"/>
        </w:rPr>
        <w:t>投标人提交的投标文件以及投标人与招标采购单位就有关投标的所有来往书面文件均须使用中文。投标文件中如附有外文资料，必须逐一对应翻译成中文并加盖投标人电子签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66"/>
        <w:ind w:firstLine="480"/>
      </w:pPr>
      <w:r>
        <w:rPr>
          <w:rFonts w:hint="eastAsia"/>
        </w:rPr>
        <w:t>翻译的中文资料与外文资料如果出现差异和矛盾时，以中文为准。但不能故意错误翻译，否则，投标人的投标文件将作为无效投标处理。</w:t>
      </w:r>
    </w:p>
    <w:p>
      <w:pPr>
        <w:pStyle w:val="52"/>
        <w:ind w:firstLine="482"/>
      </w:pPr>
      <w:bookmarkStart w:id="265" w:name="_Toc20091"/>
      <w:bookmarkStart w:id="266" w:name="_Toc319440130"/>
      <w:bookmarkStart w:id="267" w:name="_Toc319439888"/>
      <w:bookmarkStart w:id="268" w:name="_Toc12195"/>
      <w:bookmarkStart w:id="269" w:name="_Toc15145"/>
      <w:bookmarkStart w:id="270" w:name="_Toc15226"/>
      <w:bookmarkStart w:id="271" w:name="_Toc307501097"/>
      <w:bookmarkStart w:id="272" w:name="_Toc2379"/>
      <w:bookmarkStart w:id="273" w:name="_Toc183582216"/>
      <w:bookmarkStart w:id="274" w:name="_Toc309897503"/>
      <w:bookmarkStart w:id="275" w:name="_Toc183682353"/>
      <w:bookmarkStart w:id="276" w:name="_Toc17444"/>
      <w:bookmarkStart w:id="277" w:name="_Toc308188140"/>
      <w:bookmarkStart w:id="278" w:name="_Toc307564840"/>
      <w:bookmarkStart w:id="279" w:name="_Toc327196274"/>
      <w:bookmarkStart w:id="280" w:name="_Toc11901"/>
      <w:bookmarkStart w:id="281" w:name="_Toc20188"/>
      <w:bookmarkStart w:id="282" w:name="_Toc308084585"/>
      <w:bookmarkStart w:id="283" w:name="_Toc217446044"/>
      <w:bookmarkStart w:id="284" w:name="_Toc18700"/>
      <w:bookmarkStart w:id="285" w:name="_Toc12658"/>
      <w:bookmarkStart w:id="286" w:name="_Toc10594"/>
      <w:bookmarkStart w:id="287" w:name="_Toc16779"/>
      <w:r>
        <w:rPr>
          <w:rFonts w:hint="eastAsia"/>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rPr>
        <w:t>(实质性要求)</w:t>
      </w:r>
      <w:bookmarkEnd w:id="284"/>
      <w:bookmarkEnd w:id="285"/>
      <w:bookmarkEnd w:id="286"/>
      <w:bookmarkEnd w:id="287"/>
    </w:p>
    <w:p>
      <w:pPr>
        <w:pStyle w:val="49"/>
      </w:pPr>
      <w:r>
        <w:rPr>
          <w:rFonts w:hint="eastAsia"/>
        </w:rPr>
        <w:t>除技术规格及要求中另有规定外，本采购项下的投标均采用国家法定的计量单位。</w:t>
      </w:r>
    </w:p>
    <w:p>
      <w:pPr>
        <w:pStyle w:val="52"/>
        <w:ind w:firstLine="482"/>
      </w:pPr>
      <w:bookmarkStart w:id="288" w:name="_Toc307501098"/>
      <w:bookmarkStart w:id="289" w:name="_Toc8881"/>
      <w:bookmarkStart w:id="290" w:name="_Toc308188141"/>
      <w:bookmarkStart w:id="291" w:name="_Toc22739"/>
      <w:bookmarkStart w:id="292" w:name="_Toc319439889"/>
      <w:bookmarkStart w:id="293" w:name="_Toc8803"/>
      <w:bookmarkStart w:id="294" w:name="_Toc24761"/>
      <w:bookmarkStart w:id="295" w:name="_Toc327196275"/>
      <w:bookmarkStart w:id="296" w:name="_Toc15435"/>
      <w:bookmarkStart w:id="297" w:name="_Toc307564841"/>
      <w:bookmarkStart w:id="298" w:name="_Toc309897504"/>
      <w:bookmarkStart w:id="299" w:name="_Toc319440131"/>
      <w:bookmarkStart w:id="300" w:name="_Toc16798"/>
      <w:bookmarkStart w:id="301" w:name="_Toc217446045"/>
      <w:bookmarkStart w:id="302" w:name="_Toc25216"/>
      <w:bookmarkStart w:id="303" w:name="_Toc308084586"/>
      <w:bookmarkStart w:id="304" w:name="_Toc698"/>
      <w:bookmarkStart w:id="305" w:name="_Toc11633"/>
      <w:bookmarkStart w:id="306" w:name="_Toc19960"/>
      <w:bookmarkStart w:id="307" w:name="_Toc20780"/>
      <w:bookmarkStart w:id="308" w:name="_Toc14343"/>
      <w:r>
        <w:rPr>
          <w:rFonts w:hint="eastAsia"/>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rPr>
        <w:t>(实质性要求)</w:t>
      </w:r>
      <w:bookmarkEnd w:id="305"/>
      <w:bookmarkEnd w:id="306"/>
      <w:bookmarkEnd w:id="307"/>
      <w:bookmarkEnd w:id="308"/>
    </w:p>
    <w:p>
      <w:pPr>
        <w:pStyle w:val="49"/>
      </w:pPr>
      <w:r>
        <w:rPr>
          <w:rFonts w:hint="eastAsia"/>
        </w:rPr>
        <w:t>本次招标项目的投标均以人民币报价。</w:t>
      </w:r>
    </w:p>
    <w:p>
      <w:pPr>
        <w:pStyle w:val="52"/>
        <w:ind w:firstLine="482"/>
      </w:pPr>
      <w:bookmarkStart w:id="309" w:name="_Toc4336"/>
      <w:bookmarkStart w:id="310" w:name="_Toc21797"/>
      <w:bookmarkStart w:id="311" w:name="_Toc32667"/>
      <w:bookmarkStart w:id="312" w:name="_Toc7935"/>
      <w:bookmarkStart w:id="313" w:name="_Toc16409"/>
      <w:bookmarkStart w:id="314" w:name="_Toc25266"/>
      <w:bookmarkStart w:id="315" w:name="_Toc327196276"/>
      <w:bookmarkStart w:id="316" w:name="_Toc308084587"/>
      <w:bookmarkStart w:id="317" w:name="_Toc24432"/>
      <w:bookmarkStart w:id="318" w:name="_Toc32108"/>
      <w:bookmarkStart w:id="319" w:name="_Toc319439890"/>
      <w:bookmarkStart w:id="320" w:name="_Toc8550"/>
      <w:bookmarkStart w:id="321" w:name="_Toc15074"/>
      <w:bookmarkStart w:id="322" w:name="_Toc307564842"/>
      <w:bookmarkStart w:id="323" w:name="_Toc307501099"/>
      <w:bookmarkStart w:id="324" w:name="_Toc21894"/>
      <w:bookmarkStart w:id="325" w:name="_Toc308188142"/>
      <w:bookmarkStart w:id="326" w:name="_Toc309897505"/>
      <w:bookmarkStart w:id="327" w:name="_Toc217446046"/>
      <w:bookmarkStart w:id="328" w:name="_Toc319440132"/>
      <w:bookmarkStart w:id="329" w:name="_Toc25923"/>
      <w:bookmarkStart w:id="330" w:name="_Toc13717"/>
      <w:bookmarkStart w:id="331" w:name="_Toc319440133"/>
      <w:bookmarkStart w:id="332" w:name="_Toc10974"/>
      <w:bookmarkStart w:id="333" w:name="_Toc307501100"/>
      <w:bookmarkStart w:id="334" w:name="_Toc309897506"/>
      <w:bookmarkStart w:id="335" w:name="_Toc217446047"/>
      <w:bookmarkStart w:id="336" w:name="_Toc308188143"/>
      <w:bookmarkStart w:id="337" w:name="_Toc2050"/>
      <w:bookmarkStart w:id="338" w:name="_Toc308084588"/>
      <w:bookmarkStart w:id="339" w:name="_Toc307564843"/>
      <w:bookmarkStart w:id="340" w:name="_Toc27877"/>
      <w:bookmarkStart w:id="341" w:name="_Toc18912"/>
      <w:bookmarkStart w:id="342" w:name="_Toc3781"/>
      <w:bookmarkStart w:id="343" w:name="_Toc319439891"/>
      <w:bookmarkStart w:id="344" w:name="_Toc30958"/>
      <w:bookmarkStart w:id="345" w:name="_Toc13754"/>
      <w:bookmarkStart w:id="346" w:name="_Toc7819"/>
      <w:bookmarkStart w:id="347" w:name="_Toc327196277"/>
      <w:bookmarkStart w:id="348" w:name="_Toc15468"/>
      <w:bookmarkStart w:id="349" w:name="_Toc9626"/>
      <w:r>
        <w:rPr>
          <w:rFonts w:hint="eastAsia"/>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rPr>
        <w:t>(实质性要求)</w:t>
      </w:r>
      <w:bookmarkEnd w:id="330"/>
    </w:p>
    <w:p>
      <w:pPr>
        <w:pStyle w:val="45"/>
        <w:ind w:firstLine="480" w:firstLineChars="200"/>
      </w:pPr>
      <w:r>
        <w:rPr>
          <w:rFonts w:hint="eastAsia"/>
        </w:rPr>
        <w:t>本项目不接受联合体投标。</w:t>
      </w:r>
    </w:p>
    <w:p>
      <w:pPr>
        <w:pStyle w:val="52"/>
        <w:ind w:firstLine="482"/>
      </w:pPr>
      <w:bookmarkStart w:id="350" w:name="_Toc30421"/>
      <w:bookmarkStart w:id="351" w:name="_Toc12693"/>
      <w:r>
        <w:rPr>
          <w:rFonts w:hint="eastAsia"/>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rPr>
        <w:t>(实质性要求)</w:t>
      </w:r>
      <w:bookmarkEnd w:id="348"/>
      <w:bookmarkEnd w:id="349"/>
      <w:bookmarkEnd w:id="350"/>
      <w:bookmarkEnd w:id="351"/>
    </w:p>
    <w:p>
      <w:pPr>
        <w:pStyle w:val="66"/>
        <w:ind w:firstLine="480"/>
      </w:pPr>
      <w:bookmarkStart w:id="352" w:name="_Toc16281"/>
      <w:bookmarkStart w:id="353" w:name="_Toc7660"/>
      <w:bookmarkStart w:id="354" w:name="_Toc308084589"/>
      <w:bookmarkStart w:id="355" w:name="_Toc217446048"/>
      <w:bookmarkStart w:id="356" w:name="_Toc11856"/>
      <w:bookmarkStart w:id="357" w:name="_Toc6143"/>
      <w:bookmarkStart w:id="358" w:name="_Toc5369"/>
      <w:bookmarkStart w:id="359" w:name="_Toc309897507"/>
      <w:bookmarkStart w:id="360" w:name="_Toc307501101"/>
      <w:bookmarkStart w:id="361" w:name="_Toc319439892"/>
      <w:bookmarkStart w:id="362" w:name="_Toc10817"/>
      <w:bookmarkStart w:id="363" w:name="_Toc2706"/>
      <w:bookmarkStart w:id="364" w:name="_Toc308188144"/>
      <w:bookmarkStart w:id="365" w:name="_Toc183582217"/>
      <w:bookmarkStart w:id="366" w:name="_Toc1140"/>
      <w:bookmarkStart w:id="367" w:name="_Toc8432"/>
      <w:bookmarkStart w:id="368" w:name="_Toc30708"/>
      <w:bookmarkStart w:id="369" w:name="_Toc319440134"/>
      <w:bookmarkStart w:id="370" w:name="_Toc327196278"/>
      <w:bookmarkStart w:id="371" w:name="_Toc183682354"/>
      <w:bookmarkStart w:id="372" w:name="_Toc307564844"/>
      <w:r>
        <w:rPr>
          <w:rFonts w:hint="eastAsia"/>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6"/>
        <w:ind w:firstLine="480"/>
      </w:pPr>
      <w:r>
        <w:rPr>
          <w:rFonts w:hint="eastAsia"/>
        </w:rPr>
        <w:t>采购人享有本项目实施过程中产生的知识成果及知识产权。</w:t>
      </w:r>
    </w:p>
    <w:p>
      <w:pPr>
        <w:pStyle w:val="66"/>
        <w:ind w:firstLine="480"/>
      </w:pPr>
      <w:r>
        <w:rPr>
          <w:rFonts w:hint="eastAsia"/>
        </w:rPr>
        <w:t>投标人如欲在项目实施过程中采用自有知识成果，需在投标文件中声明，并提供相关知识产权证明文件。使用该知识成果后，投标人需提供相关技术文档，并承诺提供无限期技术支持，采购人享有永久使用权，</w:t>
      </w:r>
      <w:r>
        <w:t>同时需在投标文件中提供声明，并提供相关知识产权证明文件，否则视为投标人未在本项目实施过程中采用自有知识成果，不影响有效性</w:t>
      </w:r>
      <w:r>
        <w:rPr>
          <w:rFonts w:hint="eastAsia"/>
        </w:rPr>
        <w:t>。</w:t>
      </w:r>
    </w:p>
    <w:p>
      <w:pPr>
        <w:pStyle w:val="66"/>
        <w:ind w:firstLine="480"/>
      </w:pPr>
      <w:r>
        <w:rPr>
          <w:rFonts w:hint="eastAsia"/>
        </w:rPr>
        <w:t xml:space="preserve">如采用投标人所不拥有的知识产权，则在投标报价中必须包括合法获取该知识产权的相关费用。 </w:t>
      </w:r>
    </w:p>
    <w:p>
      <w:pPr>
        <w:pStyle w:val="66"/>
        <w:ind w:firstLine="480"/>
      </w:pPr>
      <w:r>
        <w:rPr>
          <w:rFonts w:hint="eastAsia"/>
        </w:rPr>
        <w:t>如采购项目涉及知识产权时按照此条要求执行，并在评审时作实质性审查。</w:t>
      </w:r>
    </w:p>
    <w:p>
      <w:pPr>
        <w:pStyle w:val="52"/>
        <w:ind w:firstLine="482"/>
      </w:pPr>
      <w:bookmarkStart w:id="373" w:name="_Toc28370"/>
      <w:bookmarkStart w:id="374" w:name="_Toc22664"/>
      <w:r>
        <w:rPr>
          <w:rFonts w:hint="eastAsia"/>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49"/>
      </w:pPr>
      <w:bookmarkStart w:id="375" w:name="_Toc217446049"/>
      <w:bookmarkStart w:id="376" w:name="_Toc183582218"/>
      <w:bookmarkStart w:id="377" w:name="_Toc183682355"/>
      <w:bookmarkStart w:id="378" w:name="_Toc307501102"/>
      <w:r>
        <w:rPr>
          <w:rFonts w:hint="eastAsia"/>
        </w:rPr>
        <w:t>投标人应按照招标文件的规定和要求编制投标文件，否则视为无效投标。投标人编写的投标文件应包括以下两部分：</w:t>
      </w:r>
    </w:p>
    <w:p>
      <w:pPr>
        <w:pStyle w:val="66"/>
        <w:ind w:firstLine="480"/>
      </w:pPr>
      <w:r>
        <w:rPr>
          <w:rFonts w:hint="eastAsia"/>
        </w:rPr>
        <w:t>第一部分：资格、资质性及其他类似效力投标文件(用于资格审查)</w:t>
      </w:r>
    </w:p>
    <w:p>
      <w:pPr>
        <w:pStyle w:val="49"/>
      </w:pPr>
      <w:r>
        <w:rPr>
          <w:rFonts w:hint="eastAsia"/>
        </w:rPr>
        <w:t>按照招标文件第四、五章要求提供相关资格、资质性及其他类似效力要求的相关证明材料。</w:t>
      </w:r>
    </w:p>
    <w:p>
      <w:pPr>
        <w:pStyle w:val="66"/>
        <w:ind w:firstLine="480"/>
      </w:pPr>
      <w:r>
        <w:rPr>
          <w:rFonts w:hint="eastAsia"/>
        </w:rPr>
        <w:t>第二部分：其它投标文件(用于资格审查以外的评标)</w:t>
      </w:r>
    </w:p>
    <w:p>
      <w:pPr>
        <w:pStyle w:val="49"/>
      </w:pPr>
      <w:r>
        <w:rPr>
          <w:rFonts w:hint="eastAsia"/>
        </w:rPr>
        <w:t>按照招标文件要求提供以下相关材料：</w:t>
      </w:r>
    </w:p>
    <w:p>
      <w:pPr>
        <w:pStyle w:val="67"/>
        <w:ind w:firstLine="482"/>
        <w:rPr>
          <w:b/>
          <w:bCs/>
        </w:rPr>
      </w:pPr>
      <w:r>
        <w:rPr>
          <w:rFonts w:hint="eastAsia"/>
          <w:b/>
          <w:bCs/>
        </w:rPr>
        <w:t>报价部分</w:t>
      </w:r>
      <w:r>
        <w:rPr>
          <w:rFonts w:hint="eastAsia"/>
          <w:b/>
          <w:bCs/>
          <w:lang w:val="zh-CN"/>
        </w:rPr>
        <w:t>(实质性要求)</w:t>
      </w:r>
      <w:r>
        <w:rPr>
          <w:rFonts w:hint="eastAsia"/>
          <w:b/>
          <w:bCs/>
        </w:rPr>
        <w:t>。</w:t>
      </w:r>
    </w:p>
    <w:p>
      <w:pPr>
        <w:pStyle w:val="39"/>
        <w:numPr>
          <w:ilvl w:val="3"/>
          <w:numId w:val="0"/>
        </w:numPr>
        <w:ind w:left="480" w:leftChars="200"/>
      </w:pPr>
      <w:r>
        <w:rPr>
          <w:rFonts w:hint="eastAsia"/>
        </w:rPr>
        <w:t>投标人按照以下要求填写的“开标一览表”。本次招标报价要求：</w:t>
      </w:r>
    </w:p>
    <w:p>
      <w:pPr>
        <w:pStyle w:val="68"/>
        <w:ind w:firstLine="480"/>
      </w:pPr>
      <w:r>
        <w:rPr>
          <w:rFonts w:hint="eastAsia"/>
        </w:rPr>
        <w:t>投标人的报价是投标人响应招标项目要求的全部工作内容的价格体现，包括完成本项目所涉及的一切费用。</w:t>
      </w:r>
    </w:p>
    <w:p>
      <w:pPr>
        <w:pStyle w:val="68"/>
        <w:ind w:firstLine="480"/>
      </w:pPr>
      <w:r>
        <w:rPr>
          <w:rFonts w:hint="eastAsia"/>
        </w:rPr>
        <w:t>投标人只允许有一个报价，并且在合同履行过程中是固定不变的，任何有选择或可调整的报价将不予接受，并按无效投标处理。</w:t>
      </w:r>
    </w:p>
    <w:p>
      <w:pPr>
        <w:pStyle w:val="67"/>
        <w:ind w:firstLine="482"/>
        <w:rPr>
          <w:b/>
          <w:bCs/>
          <w:lang w:val="zh-CN"/>
        </w:rPr>
      </w:pPr>
      <w:r>
        <w:rPr>
          <w:rFonts w:hint="eastAsia"/>
          <w:b/>
          <w:bCs/>
        </w:rPr>
        <w:t>服务</w:t>
      </w:r>
      <w:r>
        <w:rPr>
          <w:rFonts w:hint="eastAsia"/>
          <w:b/>
          <w:bCs/>
          <w:lang w:val="zh-CN"/>
        </w:rPr>
        <w:t>部分</w:t>
      </w:r>
    </w:p>
    <w:p>
      <w:pPr>
        <w:pStyle w:val="49"/>
        <w:rPr>
          <w:lang w:val="zh-CN"/>
        </w:rPr>
      </w:pPr>
      <w:r>
        <w:rPr>
          <w:rFonts w:hint="eastAsia"/>
          <w:lang w:val="zh-CN"/>
        </w:rPr>
        <w:t>投标人按照招标文件要求做出的服务应答，主要是针对招标项目的服务要求做出的实质性响应和满足。投标人的服务应答应尽可能包括下列内容：</w:t>
      </w:r>
    </w:p>
    <w:p>
      <w:pPr>
        <w:pStyle w:val="68"/>
        <w:ind w:firstLine="480"/>
        <w:rPr>
          <w:lang w:val="zh-CN"/>
        </w:rPr>
      </w:pPr>
      <w:r>
        <w:rPr>
          <w:rFonts w:hint="eastAsia"/>
          <w:lang w:val="zh-CN"/>
        </w:rPr>
        <w:t>服务方案、</w:t>
      </w:r>
      <w:r>
        <w:rPr>
          <w:rFonts w:hint="eastAsia"/>
        </w:rPr>
        <w:t>文档维护方案</w:t>
      </w:r>
      <w:r>
        <w:rPr>
          <w:rFonts w:hint="eastAsia"/>
          <w:lang w:val="zh-CN"/>
        </w:rPr>
        <w:t>；</w:t>
      </w:r>
    </w:p>
    <w:p>
      <w:pPr>
        <w:pStyle w:val="68"/>
        <w:ind w:firstLine="480"/>
        <w:rPr>
          <w:lang w:val="zh-CN"/>
        </w:rPr>
      </w:pPr>
      <w:r>
        <w:rPr>
          <w:rFonts w:hint="eastAsia"/>
          <w:lang w:val="zh-CN"/>
        </w:rPr>
        <w:t>拟投本项目的管理、技术及服务人员(如涉及需投入设备的项目可列明设备清单)；</w:t>
      </w:r>
    </w:p>
    <w:p>
      <w:pPr>
        <w:pStyle w:val="68"/>
        <w:ind w:firstLine="480"/>
        <w:rPr>
          <w:lang w:val="zh-CN"/>
        </w:rPr>
      </w:pPr>
      <w:r>
        <w:rPr>
          <w:rFonts w:hint="eastAsia"/>
          <w:lang w:val="zh-CN"/>
        </w:rPr>
        <w:t>服务应答表；</w:t>
      </w:r>
    </w:p>
    <w:p>
      <w:pPr>
        <w:pStyle w:val="68"/>
        <w:ind w:firstLine="480"/>
        <w:rPr>
          <w:lang w:val="zh-CN"/>
        </w:rPr>
      </w:pPr>
      <w:r>
        <w:rPr>
          <w:rFonts w:hint="eastAsia"/>
          <w:lang w:val="zh-CN"/>
        </w:rPr>
        <w:t>投标人认为需要提供的文件和资料。</w:t>
      </w:r>
    </w:p>
    <w:p>
      <w:pPr>
        <w:pStyle w:val="67"/>
        <w:ind w:firstLine="482"/>
        <w:rPr>
          <w:b/>
          <w:bCs/>
        </w:rPr>
      </w:pPr>
      <w:r>
        <w:rPr>
          <w:rFonts w:hint="eastAsia"/>
          <w:b/>
          <w:bCs/>
        </w:rPr>
        <w:t>商务部分</w:t>
      </w:r>
    </w:p>
    <w:p>
      <w:pPr>
        <w:pStyle w:val="49"/>
      </w:pPr>
      <w:r>
        <w:rPr>
          <w:rFonts w:hint="eastAsia"/>
        </w:rPr>
        <w:t>投标人按照招标文件要求提供的有关证明材料；至少应包括但不限于以下内容：</w:t>
      </w:r>
    </w:p>
    <w:p>
      <w:pPr>
        <w:pStyle w:val="68"/>
        <w:ind w:firstLine="480"/>
      </w:pPr>
      <w:bookmarkStart w:id="379" w:name="_Toc177972289"/>
      <w:bookmarkStart w:id="380" w:name="_Toc310410799"/>
      <w:bookmarkStart w:id="381" w:name="_Toc310411990"/>
      <w:bookmarkStart w:id="382" w:name="_Toc148505258"/>
      <w:bookmarkStart w:id="383" w:name="_Toc310412059"/>
      <w:bookmarkStart w:id="384" w:name="_Toc338418069"/>
      <w:bookmarkStart w:id="385" w:name="_Toc177972975"/>
      <w:r>
        <w:rPr>
          <w:rFonts w:hint="eastAsia"/>
        </w:rPr>
        <w:t>投标函；</w:t>
      </w:r>
    </w:p>
    <w:p>
      <w:pPr>
        <w:pStyle w:val="68"/>
        <w:ind w:firstLine="480"/>
      </w:pPr>
      <w:r>
        <w:rPr>
          <w:rFonts w:hint="eastAsia"/>
        </w:rPr>
        <w:t>投标人基本情况表；</w:t>
      </w:r>
    </w:p>
    <w:p>
      <w:pPr>
        <w:pStyle w:val="68"/>
        <w:ind w:firstLine="480"/>
      </w:pPr>
      <w:r>
        <w:rPr>
          <w:rFonts w:hint="eastAsia"/>
        </w:rPr>
        <w:t>商务应答表；</w:t>
      </w:r>
    </w:p>
    <w:p>
      <w:pPr>
        <w:pStyle w:val="68"/>
        <w:ind w:firstLine="480"/>
      </w:pPr>
      <w:r>
        <w:rPr>
          <w:rFonts w:hint="eastAsia"/>
        </w:rPr>
        <w:t>招标代理服务费承诺函；</w:t>
      </w:r>
    </w:p>
    <w:p>
      <w:pPr>
        <w:pStyle w:val="68"/>
        <w:ind w:firstLine="480"/>
      </w:pPr>
      <w:r>
        <w:rPr>
          <w:rFonts w:hint="eastAsia"/>
        </w:rPr>
        <w:t>履约经验；</w:t>
      </w:r>
    </w:p>
    <w:p>
      <w:pPr>
        <w:pStyle w:val="68"/>
        <w:ind w:firstLine="480"/>
      </w:pPr>
      <w:r>
        <w:rPr>
          <w:rFonts w:hint="eastAsia"/>
        </w:rPr>
        <w:t>投标人认为应当提供的其他证明材料；</w:t>
      </w:r>
    </w:p>
    <w:p>
      <w:pPr>
        <w:pStyle w:val="68"/>
        <w:ind w:firstLine="480"/>
      </w:pPr>
      <w:r>
        <w:rPr>
          <w:rFonts w:hint="eastAsia"/>
        </w:rPr>
        <w:t>招标文件规定的其他商务要求。</w:t>
      </w:r>
    </w:p>
    <w:bookmarkEnd w:id="379"/>
    <w:bookmarkEnd w:id="380"/>
    <w:bookmarkEnd w:id="381"/>
    <w:bookmarkEnd w:id="382"/>
    <w:bookmarkEnd w:id="383"/>
    <w:bookmarkEnd w:id="384"/>
    <w:bookmarkEnd w:id="385"/>
    <w:p>
      <w:pPr>
        <w:pStyle w:val="67"/>
        <w:ind w:firstLine="480"/>
      </w:pPr>
      <w:r>
        <w:rPr>
          <w:rFonts w:hint="eastAsia"/>
        </w:rPr>
        <w:t>其他部分。</w:t>
      </w:r>
    </w:p>
    <w:p>
      <w:pPr>
        <w:pStyle w:val="49"/>
      </w:pPr>
      <w:r>
        <w:rPr>
          <w:rFonts w:hint="eastAsia"/>
        </w:rPr>
        <w:t>投标人按照招标文件要求作出的其他应答和承诺。</w:t>
      </w:r>
    </w:p>
    <w:p>
      <w:pPr>
        <w:pStyle w:val="50"/>
        <w:ind w:firstLine="482"/>
      </w:pPr>
      <w:r>
        <w:rPr>
          <w:rFonts w:hint="eastAsia"/>
        </w:rPr>
        <w:t>注：以上1、2要求提供的证明材料均需加盖投标人电子签章，若未加盖投标人电子签章的，则该证明材料涉及的评分项不予评分，涉及资格条件或实质性要求的评审项按未通过处理。</w:t>
      </w:r>
    </w:p>
    <w:p>
      <w:pPr>
        <w:pStyle w:val="49"/>
        <w:ind w:firstLine="482"/>
        <w:rPr>
          <w:b/>
          <w:bCs/>
        </w:rPr>
      </w:pPr>
      <w:r>
        <w:rPr>
          <w:rFonts w:hint="eastAsia"/>
          <w:b/>
          <w:bCs/>
        </w:rPr>
        <w:t>若综合评分明细表和技术参数中需要提供的证明材料上述未提及，投标人根据综合评分明细表和技术参数提供相关的证明材料。</w:t>
      </w:r>
    </w:p>
    <w:p>
      <w:pPr>
        <w:pStyle w:val="52"/>
        <w:ind w:firstLine="482"/>
      </w:pPr>
      <w:bookmarkStart w:id="386" w:name="_Toc32288"/>
      <w:bookmarkStart w:id="387" w:name="_Toc319439893"/>
      <w:bookmarkStart w:id="388" w:name="_Toc319440135"/>
      <w:bookmarkStart w:id="389" w:name="_Toc26967"/>
      <w:bookmarkStart w:id="390" w:name="_Toc309897508"/>
      <w:bookmarkStart w:id="391" w:name="_Toc31194"/>
      <w:bookmarkStart w:id="392" w:name="_Toc308188145"/>
      <w:bookmarkStart w:id="393" w:name="_Toc327196279"/>
      <w:bookmarkStart w:id="394" w:name="_Toc32103"/>
      <w:bookmarkStart w:id="395" w:name="_Toc1874"/>
      <w:bookmarkStart w:id="396" w:name="_Toc4288"/>
      <w:bookmarkStart w:id="397" w:name="_Toc3096"/>
      <w:bookmarkStart w:id="398" w:name="_Toc308084590"/>
      <w:bookmarkStart w:id="399" w:name="_Toc23655"/>
      <w:bookmarkStart w:id="400" w:name="_Toc307564845"/>
      <w:bookmarkStart w:id="401" w:name="_Toc6789"/>
      <w:bookmarkStart w:id="402" w:name="_Toc31136"/>
      <w:bookmarkStart w:id="403" w:name="_Toc15763"/>
      <w:bookmarkStart w:id="404" w:name="_Toc26629"/>
      <w:r>
        <w:rPr>
          <w:rFonts w:hint="eastAsia"/>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rPr>
        <w:tab/>
      </w:r>
    </w:p>
    <w:p>
      <w:pPr>
        <w:pStyle w:val="66"/>
        <w:ind w:firstLine="480"/>
      </w:pPr>
      <w:r>
        <w:rPr>
          <w:rFonts w:hint="eastAsia"/>
        </w:rPr>
        <w:t>投标人应按照招标文件第三章中提供的“投标文件格式”填写相关内容。</w:t>
      </w:r>
    </w:p>
    <w:p>
      <w:pPr>
        <w:pStyle w:val="66"/>
        <w:ind w:firstLine="480"/>
      </w:pPr>
      <w:r>
        <w:rPr>
          <w:rFonts w:hint="eastAsia"/>
        </w:rPr>
        <w:t>对于没有格式要求的由投标人自行编写。</w:t>
      </w:r>
    </w:p>
    <w:p>
      <w:pPr>
        <w:pStyle w:val="52"/>
        <w:ind w:firstLine="482"/>
      </w:pPr>
      <w:bookmarkStart w:id="405" w:name="_Toc307501103"/>
      <w:bookmarkStart w:id="406" w:name="_Toc308084591"/>
      <w:bookmarkStart w:id="407" w:name="_Toc14436"/>
      <w:bookmarkStart w:id="408" w:name="_Toc309897509"/>
      <w:bookmarkStart w:id="409" w:name="_Toc308188146"/>
      <w:bookmarkStart w:id="410" w:name="_Toc20642"/>
      <w:bookmarkStart w:id="411" w:name="_Toc183682360"/>
      <w:bookmarkStart w:id="412" w:name="_Toc319440136"/>
      <w:bookmarkStart w:id="413" w:name="_Toc16016"/>
      <w:bookmarkStart w:id="414" w:name="_Toc327196280"/>
      <w:bookmarkStart w:id="415" w:name="_Toc4102"/>
      <w:bookmarkStart w:id="416" w:name="_Toc183582223"/>
      <w:bookmarkStart w:id="417" w:name="_Toc21884"/>
      <w:bookmarkStart w:id="418" w:name="_Toc21967"/>
      <w:bookmarkStart w:id="419" w:name="_Toc2456"/>
      <w:bookmarkStart w:id="420" w:name="_Toc217446050"/>
      <w:bookmarkStart w:id="421" w:name="_Toc29891"/>
      <w:bookmarkStart w:id="422" w:name="_Toc14382"/>
      <w:bookmarkStart w:id="423" w:name="_Toc307564846"/>
      <w:bookmarkStart w:id="424" w:name="_Toc27418"/>
      <w:bookmarkStart w:id="425" w:name="_Toc31944"/>
      <w:bookmarkStart w:id="426" w:name="_Toc319439894"/>
      <w:bookmarkStart w:id="427" w:name="_Toc27904"/>
      <w:r>
        <w:rPr>
          <w:rFonts w:hint="eastAsia"/>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66"/>
        <w:numPr>
          <w:ilvl w:val="3"/>
          <w:numId w:val="0"/>
        </w:numPr>
        <w:ind w:left="480" w:leftChars="200"/>
      </w:pPr>
      <w:bookmarkStart w:id="428" w:name="_Toc308084592"/>
      <w:bookmarkStart w:id="429" w:name="_Toc21338"/>
      <w:bookmarkStart w:id="430" w:name="_Toc319440137"/>
      <w:bookmarkStart w:id="431" w:name="_Toc217446051"/>
      <w:bookmarkStart w:id="432" w:name="_Toc308188147"/>
      <w:bookmarkStart w:id="433" w:name="_Toc183682361"/>
      <w:bookmarkStart w:id="434" w:name="_Toc9356"/>
      <w:bookmarkStart w:id="435" w:name="_Toc31284"/>
      <w:bookmarkStart w:id="436" w:name="_Toc13956"/>
      <w:bookmarkStart w:id="437" w:name="_Toc183582224"/>
      <w:bookmarkStart w:id="438" w:name="_Toc307501104"/>
      <w:bookmarkStart w:id="439" w:name="_Toc17857"/>
      <w:bookmarkStart w:id="440" w:name="_Toc309897510"/>
      <w:bookmarkStart w:id="441" w:name="_Toc26011"/>
      <w:bookmarkStart w:id="442" w:name="_Toc327196281"/>
      <w:bookmarkStart w:id="443" w:name="_Toc29434"/>
      <w:bookmarkStart w:id="444" w:name="_Toc307564847"/>
      <w:bookmarkStart w:id="445" w:name="_Toc319439895"/>
      <w:bookmarkStart w:id="446" w:name="_Toc27589"/>
      <w:r>
        <w:rPr>
          <w:rFonts w:hint="eastAsia"/>
        </w:rPr>
        <w:t>本项目不收取投标保证金。</w:t>
      </w:r>
    </w:p>
    <w:p>
      <w:pPr>
        <w:pStyle w:val="52"/>
        <w:ind w:firstLine="482"/>
      </w:pPr>
      <w:bookmarkStart w:id="447" w:name="_Toc20243"/>
      <w:bookmarkStart w:id="448" w:name="_Toc19115"/>
      <w:bookmarkStart w:id="449" w:name="_Toc30115"/>
      <w:bookmarkStart w:id="450" w:name="_Toc17007"/>
      <w:r>
        <w:rPr>
          <w:rFonts w:hint="eastAsia"/>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rPr>
        <w:t>(实质性要求</w:t>
      </w:r>
      <w:bookmarkEnd w:id="447"/>
      <w:r>
        <w:rPr>
          <w:rFonts w:hint="eastAsia"/>
        </w:rPr>
        <w:t>)</w:t>
      </w:r>
      <w:bookmarkEnd w:id="448"/>
      <w:bookmarkEnd w:id="449"/>
      <w:bookmarkEnd w:id="450"/>
    </w:p>
    <w:p>
      <w:pPr>
        <w:pStyle w:val="66"/>
        <w:ind w:firstLine="480"/>
      </w:pPr>
      <w:r>
        <w:rPr>
          <w:rFonts w:hint="eastAsia"/>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66"/>
        <w:ind w:firstLine="480"/>
      </w:pPr>
      <w:r>
        <w:rPr>
          <w:rFonts w:hint="eastAsia"/>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6"/>
        <w:ind w:firstLine="480"/>
      </w:pPr>
      <w:r>
        <w:rPr>
          <w:rFonts w:hint="eastAsia"/>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2"/>
        <w:ind w:firstLine="482"/>
        <w:rPr>
          <w:rFonts w:cs="宋体"/>
        </w:rPr>
      </w:pPr>
      <w:bookmarkStart w:id="451" w:name="_Toc28724"/>
      <w:bookmarkStart w:id="452" w:name="_Toc20288"/>
      <w:bookmarkStart w:id="453" w:name="_Toc22767"/>
      <w:bookmarkStart w:id="454" w:name="_Toc19635"/>
      <w:bookmarkStart w:id="455" w:name="_Toc6805"/>
      <w:bookmarkStart w:id="456" w:name="_Toc308188149"/>
      <w:bookmarkStart w:id="457" w:name="_Toc309897512"/>
      <w:bookmarkStart w:id="458" w:name="_Toc23619"/>
      <w:bookmarkStart w:id="459" w:name="_Toc23675"/>
      <w:bookmarkStart w:id="460" w:name="_Toc217446053"/>
      <w:bookmarkStart w:id="461" w:name="_Toc307501106"/>
      <w:bookmarkStart w:id="462" w:name="_Toc27443"/>
      <w:bookmarkStart w:id="463" w:name="_Toc308084594"/>
      <w:bookmarkStart w:id="464" w:name="_Toc5019"/>
      <w:bookmarkStart w:id="465" w:name="_Toc89075877"/>
      <w:bookmarkStart w:id="466" w:name="_Toc319440139"/>
      <w:bookmarkStart w:id="467" w:name="_Toc183682363"/>
      <w:bookmarkStart w:id="468" w:name="_Toc10555"/>
      <w:bookmarkStart w:id="469" w:name="_Toc307564849"/>
      <w:bookmarkStart w:id="470" w:name="_Toc319439897"/>
      <w:bookmarkStart w:id="471" w:name="_Toc327196283"/>
      <w:bookmarkStart w:id="472" w:name="_Toc13153"/>
      <w:bookmarkStart w:id="473" w:name="_Toc17010"/>
      <w:bookmarkStart w:id="474" w:name="_Toc77400781"/>
      <w:bookmarkStart w:id="475" w:name="_Toc16752"/>
      <w:bookmarkStart w:id="476" w:name="_Toc183582226"/>
      <w:r>
        <w:rPr>
          <w:rFonts w:hint="eastAsia" w:cs="宋体"/>
        </w:rPr>
        <w:t>投标文件的制作和签章、加密</w:t>
      </w:r>
      <w:bookmarkEnd w:id="451"/>
      <w:bookmarkEnd w:id="452"/>
      <w:bookmarkEnd w:id="453"/>
    </w:p>
    <w:p>
      <w:pPr>
        <w:pStyle w:val="66"/>
        <w:ind w:firstLine="480"/>
        <w:rPr>
          <w:rFonts w:cs="宋体"/>
        </w:rPr>
      </w:pPr>
      <w:r>
        <w:rPr>
          <w:rFonts w:hint="eastAsia" w:cs="宋体"/>
        </w:rPr>
        <w:t>投标文件应根据招标文件的要求进行制作，投标文件分《资格、资质性及其他类似效力投标文件》、《其他投标文件》两部分。</w:t>
      </w:r>
    </w:p>
    <w:p>
      <w:pPr>
        <w:pStyle w:val="66"/>
        <w:ind w:firstLine="480"/>
        <w:rPr>
          <w:rFonts w:cs="宋体"/>
        </w:rPr>
      </w:pPr>
      <w:r>
        <w:rPr>
          <w:rFonts w:hint="eastAsia" w:cs="宋体"/>
        </w:rPr>
        <w:t>资格、资质性及其他类似效力投标文件用于采购人或采购代理机构对投标人进行资格审查，其他投标文件用于评标委员会评审。</w:t>
      </w:r>
    </w:p>
    <w:p>
      <w:pPr>
        <w:pStyle w:val="66"/>
        <w:ind w:firstLine="480"/>
        <w:rPr>
          <w:rFonts w:cs="宋体"/>
        </w:rPr>
      </w:pPr>
      <w:r>
        <w:rPr>
          <w:rFonts w:hint="eastAsia" w:cs="宋体"/>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b/>
          <w:bCs/>
        </w:rPr>
        <w:t>（实质性要求）</w:t>
      </w:r>
    </w:p>
    <w:p>
      <w:pPr>
        <w:pStyle w:val="66"/>
        <w:ind w:firstLine="480"/>
        <w:rPr>
          <w:rFonts w:cs="宋体"/>
        </w:rPr>
      </w:pPr>
      <w:r>
        <w:rPr>
          <w:rFonts w:hint="eastAsia" w:cs="宋体"/>
        </w:rPr>
        <w:t>投标文件每页均应加盖投标人（法定名称）电子签章，不得使用投标人专用章（如经济合同章、投标专用章等）或下属单位印章代替。</w:t>
      </w:r>
      <w:r>
        <w:rPr>
          <w:rFonts w:hint="eastAsia" w:cs="宋体"/>
          <w:b/>
          <w:bCs/>
        </w:rPr>
        <w:t>（实质性要求）</w:t>
      </w:r>
    </w:p>
    <w:p>
      <w:pPr>
        <w:pStyle w:val="66"/>
        <w:ind w:firstLine="480"/>
        <w:rPr>
          <w:rFonts w:cs="宋体"/>
        </w:rPr>
      </w:pPr>
      <w:r>
        <w:rPr>
          <w:rFonts w:hint="eastAsia" w:cs="宋体"/>
        </w:rPr>
        <w:t>投标人应使用本企业CA数字证书对投标文件进行加密。</w:t>
      </w:r>
      <w:r>
        <w:rPr>
          <w:rFonts w:hint="eastAsia" w:cs="宋体"/>
          <w:b/>
          <w:bCs/>
        </w:rPr>
        <w:t>（实质性要求）</w:t>
      </w:r>
    </w:p>
    <w:p>
      <w:pPr>
        <w:pStyle w:val="66"/>
        <w:ind w:firstLine="480"/>
        <w:rPr>
          <w:rFonts w:cs="宋体"/>
        </w:rPr>
      </w:pPr>
      <w:r>
        <w:rPr>
          <w:rFonts w:hint="eastAsia" w:cs="宋体"/>
        </w:rPr>
        <w:t>招标文件若有修改，投标人根据修改后的招标文件制作或修改并递交投标文件。</w:t>
      </w:r>
    </w:p>
    <w:p>
      <w:pPr>
        <w:pStyle w:val="66"/>
        <w:ind w:firstLine="480"/>
      </w:pPr>
      <w:r>
        <w:rPr>
          <w:rFonts w:hint="eastAsia" w:cs="宋体"/>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cs="宋体"/>
          <w:b/>
          <w:bCs/>
        </w:rPr>
        <w:t>（实质性要求）</w:t>
      </w:r>
    </w:p>
    <w:p>
      <w:pPr>
        <w:pStyle w:val="66"/>
        <w:ind w:firstLine="480"/>
        <w:rPr>
          <w:rFonts w:cs="宋体"/>
        </w:rPr>
      </w:pPr>
      <w:r>
        <w:rPr>
          <w:rFonts w:hint="eastAsia" w:cs="宋体"/>
        </w:rPr>
        <w:t>招标文件中要求投标人投标时提供的复印件等证明材料须清晰可辨，包含提供原件的影印件或复印件。</w:t>
      </w:r>
    </w:p>
    <w:p>
      <w:pPr>
        <w:pStyle w:val="66"/>
        <w:ind w:firstLine="480"/>
        <w:rPr>
          <w:rFonts w:cs="宋体"/>
        </w:rPr>
      </w:pPr>
      <w:r>
        <w:rPr>
          <w:rFonts w:hint="eastAsia" w:cs="宋体"/>
        </w:rPr>
        <w:t>投标文件编制过程中无须提供证明材料的项，上传空白页即可，不对本项上传的材料作相关审查。</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Style w:val="52"/>
        <w:ind w:firstLine="482"/>
      </w:pPr>
      <w:bookmarkStart w:id="477" w:name="_Toc183682364"/>
      <w:bookmarkStart w:id="478" w:name="_Toc183582227"/>
      <w:bookmarkStart w:id="479" w:name="_Toc19406"/>
      <w:bookmarkStart w:id="480" w:name="_Toc319439898"/>
      <w:bookmarkStart w:id="481" w:name="_Toc25947"/>
      <w:bookmarkStart w:id="482" w:name="_Toc54"/>
      <w:bookmarkStart w:id="483" w:name="_Toc27234"/>
      <w:bookmarkStart w:id="484" w:name="_Toc20273"/>
      <w:bookmarkStart w:id="485" w:name="_Toc217446054"/>
      <w:bookmarkStart w:id="486" w:name="_Toc308188150"/>
      <w:bookmarkStart w:id="487" w:name="_Toc319440140"/>
      <w:bookmarkStart w:id="488" w:name="_Toc309897513"/>
      <w:bookmarkStart w:id="489" w:name="_Toc25113"/>
      <w:bookmarkStart w:id="490" w:name="_Toc307501107"/>
      <w:bookmarkStart w:id="491" w:name="_Toc9965"/>
      <w:bookmarkStart w:id="492" w:name="_Toc30361"/>
      <w:bookmarkStart w:id="493" w:name="_Toc308084595"/>
      <w:bookmarkStart w:id="494" w:name="_Toc7231"/>
      <w:bookmarkStart w:id="495" w:name="_Toc327196284"/>
      <w:bookmarkStart w:id="496" w:name="_Toc2092"/>
      <w:bookmarkStart w:id="497" w:name="_Toc307564850"/>
      <w:bookmarkStart w:id="498" w:name="_Toc5768"/>
      <w:bookmarkStart w:id="499" w:name="_Toc17715"/>
      <w:r>
        <w:rPr>
          <w:rFonts w:hint="eastAsia"/>
        </w:rPr>
        <w:t>投标文件的</w:t>
      </w:r>
      <w:bookmarkEnd w:id="477"/>
      <w:bookmarkEnd w:id="478"/>
      <w:r>
        <w:rPr>
          <w:rFonts w:hint="eastAsia"/>
        </w:rPr>
        <w:t>递交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66"/>
        <w:ind w:firstLine="480"/>
        <w:rPr>
          <w:rFonts w:cs="宋体"/>
        </w:rPr>
      </w:pPr>
      <w:bookmarkStart w:id="500" w:name="_Toc183582228"/>
      <w:bookmarkStart w:id="501" w:name="_Toc183682365"/>
      <w:bookmarkStart w:id="502" w:name="_Toc307501108"/>
      <w:bookmarkStart w:id="503" w:name="_Toc17045"/>
      <w:bookmarkStart w:id="504" w:name="_Toc319440141"/>
      <w:bookmarkStart w:id="505" w:name="_Toc309897514"/>
      <w:bookmarkStart w:id="506" w:name="_Toc308188151"/>
      <w:bookmarkStart w:id="507" w:name="_Toc12138"/>
      <w:bookmarkStart w:id="508" w:name="_Toc7313"/>
      <w:bookmarkStart w:id="509" w:name="_Toc4178"/>
      <w:bookmarkStart w:id="510" w:name="_Toc307564851"/>
      <w:bookmarkStart w:id="511" w:name="_Toc23816"/>
      <w:bookmarkStart w:id="512" w:name="_Toc3865"/>
      <w:bookmarkStart w:id="513" w:name="_Toc327196285"/>
      <w:bookmarkStart w:id="514" w:name="_Toc217446055"/>
      <w:bookmarkStart w:id="515" w:name="_Toc1451"/>
      <w:bookmarkStart w:id="516" w:name="_Toc15674"/>
      <w:bookmarkStart w:id="517" w:name="_Toc308084596"/>
      <w:bookmarkStart w:id="518" w:name="_Toc6140"/>
      <w:bookmarkStart w:id="519" w:name="_Toc22634"/>
      <w:bookmarkStart w:id="520" w:name="_Toc319439899"/>
      <w:bookmarkStart w:id="521" w:name="_Toc26118"/>
      <w:r>
        <w:rPr>
          <w:rFonts w:hint="eastAsia" w:cs="宋体"/>
        </w:rPr>
        <w:t>投标人应当在投标文件递交截止时间前，将生成的已加密的电子投标文件成功递交至“政府采购云平台”，上传前须对电子投标文件每页是否都有电子签章等进行核对。</w:t>
      </w:r>
    </w:p>
    <w:p>
      <w:pPr>
        <w:pStyle w:val="66"/>
        <w:ind w:firstLine="480"/>
      </w:pPr>
      <w:r>
        <w:rPr>
          <w:rFonts w:hint="eastAsia" w:cs="宋体"/>
        </w:rPr>
        <w:t>投标人应充分考虑递交文件的不可预见因素，在投标截止时间后将无法递交</w:t>
      </w:r>
      <w:r>
        <w:rPr>
          <w:rFonts w:hint="eastAsia"/>
        </w:rPr>
        <w:t>。</w:t>
      </w:r>
    </w:p>
    <w:p>
      <w:pPr>
        <w:pStyle w:val="52"/>
        <w:ind w:firstLine="482"/>
      </w:pPr>
      <w:bookmarkStart w:id="522" w:name="_Toc16297"/>
      <w:r>
        <w:rPr>
          <w:rFonts w:hint="eastAsia"/>
        </w:rPr>
        <w:t>投标文件的修改和撤</w:t>
      </w:r>
      <w:bookmarkEnd w:id="500"/>
      <w:bookmarkEnd w:id="501"/>
      <w:r>
        <w:rPr>
          <w:rFonts w:hint="eastAsia"/>
        </w:rPr>
        <w:t>回</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66"/>
        <w:ind w:firstLine="480"/>
        <w:rPr>
          <w:rFonts w:cs="宋体"/>
        </w:rPr>
      </w:pPr>
      <w:r>
        <w:rPr>
          <w:rFonts w:hint="eastAsia" w:cs="宋体"/>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66"/>
        <w:ind w:firstLine="480"/>
      </w:pPr>
      <w:r>
        <w:rPr>
          <w:rFonts w:hint="eastAsia" w:cs="宋体"/>
        </w:rPr>
        <w:t>投标截止时间后，投标人不得对其递交的投标文件做任何补充、修改</w:t>
      </w:r>
      <w:r>
        <w:rPr>
          <w:rFonts w:hint="eastAsia"/>
        </w:rPr>
        <w:t>。</w:t>
      </w:r>
    </w:p>
    <w:p>
      <w:pPr>
        <w:pStyle w:val="52"/>
        <w:ind w:firstLine="482"/>
        <w:rPr>
          <w:rFonts w:cs="宋体"/>
        </w:rPr>
      </w:pPr>
      <w:bookmarkStart w:id="523" w:name="_Toc1032"/>
      <w:bookmarkStart w:id="524" w:name="_Toc5718"/>
      <w:bookmarkStart w:id="525" w:name="_Toc12728"/>
      <w:r>
        <w:rPr>
          <w:rFonts w:hint="eastAsia" w:cs="宋体"/>
        </w:rPr>
        <w:t>投标文件的解密</w:t>
      </w:r>
      <w:bookmarkEnd w:id="523"/>
      <w:bookmarkEnd w:id="524"/>
      <w:bookmarkEnd w:id="525"/>
    </w:p>
    <w:p>
      <w:pPr>
        <w:pStyle w:val="66"/>
        <w:numPr>
          <w:ilvl w:val="3"/>
          <w:numId w:val="0"/>
        </w:numPr>
        <w:ind w:firstLine="480" w:firstLineChars="200"/>
      </w:pPr>
      <w:r>
        <w:rPr>
          <w:rFonts w:hint="eastAsia" w:cs="宋体"/>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46"/>
        <w:spacing w:before="156" w:after="156"/>
      </w:pPr>
      <w:bookmarkStart w:id="526" w:name="_Toc21531"/>
      <w:bookmarkStart w:id="527" w:name="_Toc183582231"/>
      <w:bookmarkStart w:id="528" w:name="_Toc16817"/>
      <w:bookmarkStart w:id="529" w:name="_Toc24962"/>
      <w:bookmarkStart w:id="530" w:name="_Toc327196286"/>
      <w:bookmarkStart w:id="531" w:name="_Toc217446056"/>
      <w:bookmarkStart w:id="532" w:name="_Toc89075878"/>
      <w:bookmarkStart w:id="533" w:name="_Toc183682368"/>
      <w:bookmarkStart w:id="534" w:name="_Toc15691"/>
      <w:bookmarkStart w:id="535" w:name="_Toc77400782"/>
      <w:bookmarkStart w:id="536" w:name="_Toc1205"/>
      <w:r>
        <w:rPr>
          <w:rFonts w:hint="eastAsia"/>
        </w:rPr>
        <w:t>开标和中标</w:t>
      </w:r>
      <w:bookmarkEnd w:id="526"/>
      <w:bookmarkEnd w:id="527"/>
      <w:bookmarkEnd w:id="528"/>
      <w:bookmarkEnd w:id="529"/>
      <w:bookmarkEnd w:id="530"/>
      <w:bookmarkEnd w:id="531"/>
      <w:bookmarkEnd w:id="532"/>
      <w:bookmarkEnd w:id="533"/>
      <w:bookmarkEnd w:id="534"/>
      <w:bookmarkEnd w:id="535"/>
      <w:bookmarkEnd w:id="536"/>
    </w:p>
    <w:p>
      <w:pPr>
        <w:pStyle w:val="52"/>
        <w:numPr>
          <w:ilvl w:val="2"/>
          <w:numId w:val="11"/>
        </w:numPr>
        <w:ind w:firstLine="482"/>
      </w:pPr>
      <w:bookmarkStart w:id="537" w:name="_Toc319439901"/>
      <w:bookmarkStart w:id="538" w:name="_Toc327196287"/>
      <w:bookmarkStart w:id="539" w:name="_Toc183682369"/>
      <w:bookmarkStart w:id="540" w:name="_Toc13303"/>
      <w:bookmarkStart w:id="541" w:name="_Toc15426"/>
      <w:bookmarkStart w:id="542" w:name="_Toc307564853"/>
      <w:bookmarkStart w:id="543" w:name="_Toc217446057"/>
      <w:bookmarkStart w:id="544" w:name="_Toc6289"/>
      <w:bookmarkStart w:id="545" w:name="_Toc8915"/>
      <w:bookmarkStart w:id="546" w:name="_Toc13237"/>
      <w:bookmarkStart w:id="547" w:name="_Toc29493"/>
      <w:bookmarkStart w:id="548" w:name="_Toc11957"/>
      <w:bookmarkStart w:id="549" w:name="_Toc307501110"/>
      <w:bookmarkStart w:id="550" w:name="_Toc308188153"/>
      <w:bookmarkStart w:id="551" w:name="_Toc23998"/>
      <w:bookmarkStart w:id="552" w:name="_Toc19952"/>
      <w:bookmarkStart w:id="553" w:name="_Toc309897516"/>
      <w:bookmarkStart w:id="554" w:name="_Toc18049"/>
      <w:bookmarkStart w:id="555" w:name="_Toc23336"/>
      <w:bookmarkStart w:id="556" w:name="_Toc183582232"/>
      <w:bookmarkStart w:id="557" w:name="_Toc319440143"/>
      <w:bookmarkStart w:id="558" w:name="_Toc308084598"/>
      <w:bookmarkStart w:id="559" w:name="_Toc29031"/>
      <w:bookmarkStart w:id="560" w:name="_Toc1709"/>
      <w:r>
        <w:rPr>
          <w:rFonts w:hint="eastAsia"/>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rPr>
        <w:t>及开标程序</w:t>
      </w:r>
      <w:bookmarkEnd w:id="560"/>
    </w:p>
    <w:p>
      <w:pPr>
        <w:pStyle w:val="66"/>
        <w:numPr>
          <w:ilvl w:val="3"/>
          <w:numId w:val="12"/>
        </w:numPr>
        <w:ind w:firstLine="482"/>
        <w:rPr>
          <w:rFonts w:cs="宋体"/>
          <w:b/>
        </w:rPr>
      </w:pPr>
      <w:bookmarkStart w:id="561" w:name="_Toc309897517"/>
      <w:bookmarkStart w:id="562" w:name="_Toc327196288"/>
      <w:bookmarkStart w:id="563" w:name="_Toc307501111"/>
      <w:bookmarkStart w:id="564" w:name="_Toc319439902"/>
      <w:bookmarkStart w:id="565" w:name="_Toc307564854"/>
      <w:bookmarkStart w:id="566" w:name="_Toc308084599"/>
      <w:bookmarkStart w:id="567" w:name="_Toc217446058"/>
      <w:bookmarkStart w:id="568" w:name="_Toc319440144"/>
      <w:bookmarkStart w:id="569" w:name="_Toc308188154"/>
      <w:r>
        <w:rPr>
          <w:rFonts w:hint="eastAsia" w:cs="宋体"/>
          <w:b/>
        </w:rPr>
        <w:t>本项目为不见面开标项目。（递交电子投标文件的投标人不足3家的，不予开标）</w:t>
      </w:r>
    </w:p>
    <w:p>
      <w:pPr>
        <w:pStyle w:val="66"/>
        <w:numPr>
          <w:ilvl w:val="3"/>
          <w:numId w:val="12"/>
        </w:numPr>
        <w:ind w:firstLine="482"/>
        <w:rPr>
          <w:rFonts w:cs="宋体"/>
          <w:b/>
        </w:rPr>
      </w:pPr>
      <w:r>
        <w:rPr>
          <w:rFonts w:hint="eastAsia" w:cs="宋体"/>
          <w:b/>
        </w:rPr>
        <w:t>开标准备工作。投标人需在开标当日、投标截止时间前登录“政府采购云平台”，通过本项目“开标大厅”参与不见面开标。登录“政府采购云平台”—项目采购—开标评标—开标大厅（确保进入本项目开标大厅）。</w:t>
      </w:r>
    </w:p>
    <w:p>
      <w:pPr>
        <w:pStyle w:val="66"/>
        <w:numPr>
          <w:ilvl w:val="0"/>
          <w:numId w:val="0"/>
        </w:numPr>
        <w:ind w:firstLine="480" w:firstLineChars="200"/>
        <w:rPr>
          <w:rFonts w:cs="宋体"/>
          <w:b/>
        </w:rPr>
      </w:pPr>
      <w:r>
        <w:rPr>
          <w:rFonts w:hint="eastAsia" w:cs="宋体"/>
          <w:b/>
        </w:rPr>
        <w:t>提示：投标人未按时登录不见面开标系统，错过开标解密时间的，由投标人自行承担不利后果。</w:t>
      </w:r>
    </w:p>
    <w:p>
      <w:pPr>
        <w:pStyle w:val="66"/>
        <w:numPr>
          <w:ilvl w:val="3"/>
          <w:numId w:val="12"/>
        </w:numPr>
        <w:ind w:firstLine="482"/>
        <w:rPr>
          <w:rFonts w:cs="宋体"/>
          <w:b/>
        </w:rPr>
      </w:pPr>
      <w:r>
        <w:rPr>
          <w:rFonts w:hint="eastAsia" w:cs="宋体"/>
          <w:b/>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66"/>
        <w:numPr>
          <w:ilvl w:val="3"/>
          <w:numId w:val="12"/>
        </w:numPr>
        <w:ind w:firstLine="482"/>
        <w:rPr>
          <w:rFonts w:cs="宋体"/>
          <w:b/>
        </w:rPr>
      </w:pPr>
      <w:r>
        <w:rPr>
          <w:rFonts w:hint="eastAsia" w:cs="宋体"/>
          <w:b/>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66"/>
        <w:numPr>
          <w:ilvl w:val="3"/>
          <w:numId w:val="12"/>
        </w:numPr>
        <w:ind w:firstLine="482"/>
        <w:rPr>
          <w:rFonts w:cs="宋体"/>
          <w:b/>
        </w:rPr>
      </w:pPr>
      <w:r>
        <w:rPr>
          <w:rFonts w:hint="eastAsia" w:cs="宋体"/>
          <w:b/>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66"/>
        <w:numPr>
          <w:ilvl w:val="3"/>
          <w:numId w:val="12"/>
        </w:numPr>
        <w:ind w:firstLine="482"/>
        <w:rPr>
          <w:rFonts w:cs="宋体"/>
          <w:b/>
        </w:rPr>
      </w:pPr>
      <w:r>
        <w:rPr>
          <w:rFonts w:hint="eastAsia" w:cs="宋体"/>
          <w:b/>
        </w:rPr>
        <w:t>因采购代理机构断电、断网、系统故障或其他不可抗力等因素导致不见面开标系统无法正常运行的，开标活动中止或延迟，待系统恢复正常后继续进行开标活动。</w:t>
      </w:r>
    </w:p>
    <w:p>
      <w:pPr>
        <w:pStyle w:val="66"/>
        <w:numPr>
          <w:ilvl w:val="3"/>
          <w:numId w:val="12"/>
        </w:numPr>
        <w:ind w:firstLine="482"/>
        <w:rPr>
          <w:rFonts w:cs="宋体"/>
          <w:b/>
        </w:rPr>
      </w:pPr>
      <w:r>
        <w:rPr>
          <w:rFonts w:hint="eastAsia"/>
          <w:b/>
          <w:color w:val="000000" w:themeColor="text1"/>
          <w14:textFill>
            <w14:solidFill>
              <w14:schemeClr w14:val="tx1"/>
            </w14:solidFill>
          </w14:textFill>
        </w:rPr>
        <w:t>开标、投标文件的解密详见《成都市全流程电子化采购系统操作指南——供应商版》，具体</w:t>
      </w:r>
      <w:r>
        <w:rPr>
          <w:rFonts w:hint="eastAsia" w:cs="宋体"/>
          <w:b/>
          <w:bCs/>
          <w:lang w:val="zh-CN"/>
        </w:rPr>
        <w:t>以“政府采购云平台”网站发布为准。</w:t>
      </w:r>
    </w:p>
    <w:p>
      <w:pPr>
        <w:pStyle w:val="66"/>
        <w:numPr>
          <w:ilvl w:val="3"/>
          <w:numId w:val="12"/>
        </w:numPr>
        <w:ind w:firstLine="482"/>
        <w:rPr>
          <w:b/>
        </w:rPr>
      </w:pPr>
      <w:r>
        <w:rPr>
          <w:rFonts w:hint="eastAsia" w:cs="宋体"/>
          <w:b/>
        </w:rPr>
        <w:t>不见面开标过程中，各方主体均应遵守国家互联网有关规定，不得发表与交易活动无关的言论</w:t>
      </w:r>
      <w:r>
        <w:rPr>
          <w:rFonts w:hint="eastAsia"/>
          <w:b/>
        </w:rPr>
        <w:t>。</w:t>
      </w:r>
    </w:p>
    <w:bookmarkEnd w:id="561"/>
    <w:bookmarkEnd w:id="562"/>
    <w:bookmarkEnd w:id="563"/>
    <w:bookmarkEnd w:id="564"/>
    <w:bookmarkEnd w:id="565"/>
    <w:bookmarkEnd w:id="566"/>
    <w:bookmarkEnd w:id="567"/>
    <w:bookmarkEnd w:id="568"/>
    <w:bookmarkEnd w:id="569"/>
    <w:p>
      <w:pPr>
        <w:pStyle w:val="52"/>
        <w:ind w:firstLine="482"/>
      </w:pPr>
      <w:bookmarkStart w:id="570" w:name="_Toc21578"/>
      <w:bookmarkStart w:id="571" w:name="_Toc27816"/>
      <w:bookmarkStart w:id="572" w:name="_Toc183582238"/>
      <w:bookmarkStart w:id="573" w:name="_Toc183682375"/>
      <w:bookmarkStart w:id="574" w:name="_Toc489"/>
      <w:bookmarkStart w:id="575" w:name="_Toc217446063"/>
      <w:bookmarkStart w:id="576" w:name="_Toc28123"/>
      <w:bookmarkStart w:id="577" w:name="_Toc319439903"/>
      <w:bookmarkStart w:id="578" w:name="_Toc307564855"/>
      <w:bookmarkStart w:id="579" w:name="_Toc308084600"/>
      <w:bookmarkStart w:id="580" w:name="_Toc16512"/>
      <w:bookmarkStart w:id="581" w:name="_Toc13751"/>
      <w:bookmarkStart w:id="582" w:name="_Toc28481"/>
      <w:bookmarkStart w:id="583" w:name="_Toc128"/>
      <w:bookmarkStart w:id="584" w:name="_Toc309897518"/>
      <w:bookmarkStart w:id="585" w:name="_Toc9806"/>
      <w:bookmarkStart w:id="586" w:name="_Toc15967"/>
      <w:bookmarkStart w:id="587" w:name="_Toc327196289"/>
      <w:bookmarkStart w:id="588" w:name="_Toc6332"/>
      <w:bookmarkStart w:id="589" w:name="_Toc307501112"/>
      <w:bookmarkStart w:id="590" w:name="_Toc8800"/>
      <w:bookmarkStart w:id="591" w:name="_Toc319440145"/>
      <w:bookmarkStart w:id="592" w:name="_Toc308188155"/>
      <w:r>
        <w:rPr>
          <w:rFonts w:hint="eastAsia"/>
        </w:rPr>
        <w:t>开评标过程存档</w:t>
      </w:r>
      <w:bookmarkEnd w:id="570"/>
      <w:bookmarkEnd w:id="571"/>
    </w:p>
    <w:p>
      <w:pPr>
        <w:pStyle w:val="45"/>
        <w:ind w:firstLine="480" w:firstLineChars="200"/>
      </w:pPr>
      <w:r>
        <w:rPr>
          <w:rFonts w:hint="eastAsia"/>
        </w:rPr>
        <w:t>开标和评标过程进行全过程电子监控，并将电子监控资料存储介质留存归档。</w:t>
      </w:r>
    </w:p>
    <w:p>
      <w:pPr>
        <w:pStyle w:val="52"/>
        <w:ind w:firstLine="482"/>
      </w:pPr>
      <w:bookmarkStart w:id="593" w:name="_Toc32453"/>
      <w:bookmarkStart w:id="594" w:name="_Toc4085"/>
      <w:bookmarkStart w:id="595" w:name="_Toc8451"/>
      <w:r>
        <w:rPr>
          <w:rFonts w:hint="eastAsia"/>
        </w:rPr>
        <w:t>中标通知</w:t>
      </w:r>
      <w:bookmarkEnd w:id="572"/>
      <w:bookmarkEnd w:id="573"/>
      <w:r>
        <w:rPr>
          <w:rFonts w:hint="eastAsia"/>
        </w:rPr>
        <w:t>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66"/>
        <w:ind w:firstLine="480"/>
      </w:pPr>
      <w:r>
        <w:rPr>
          <w:rFonts w:hint="eastAsia"/>
        </w:rPr>
        <w:t>中标通知书为签订政府采购合同的依据，是合同的有效组成部分。</w:t>
      </w:r>
    </w:p>
    <w:p>
      <w:pPr>
        <w:pStyle w:val="66"/>
        <w:ind w:firstLine="480"/>
      </w:pPr>
      <w:r>
        <w:rPr>
          <w:rFonts w:hint="eastAsia"/>
        </w:rPr>
        <w:t>中标通知书对采购人和中标人均具有法律效力。中标通知书发出后，采购人改变中标结果，或者中标人无正当理由放弃中标的，应当承担相应的法律责任。</w:t>
      </w:r>
    </w:p>
    <w:p>
      <w:pPr>
        <w:pStyle w:val="66"/>
        <w:ind w:firstLine="480"/>
      </w:pPr>
      <w:r>
        <w:rPr>
          <w:rFonts w:hint="eastAsia"/>
        </w:rPr>
        <w:t>中标人的投标文件本应作为无效投标处理或者有政府采购法律法规规章制度规定的中标无效情形的，采购代理机构在取得有权主体的认定以后，应当宣布发出的中标通知书无效，依法重新确定中标人或者重新开展采购活动。</w:t>
      </w:r>
    </w:p>
    <w:p>
      <w:pPr>
        <w:pStyle w:val="66"/>
        <w:ind w:firstLine="480"/>
      </w:pPr>
      <w:r>
        <w:rPr>
          <w:rFonts w:hint="eastAsia" w:cs="宋体"/>
          <w:lang w:val="zh-CN"/>
        </w:rPr>
        <w:t>在四川政府采购网公告中标结果同时发出中标通知书，中标人自行登录“政府采购云平台”下载中标通知书</w:t>
      </w:r>
      <w:r>
        <w:rPr>
          <w:rFonts w:hint="eastAsia"/>
        </w:rPr>
        <w:t>。</w:t>
      </w:r>
    </w:p>
    <w:p>
      <w:pPr>
        <w:pStyle w:val="46"/>
        <w:spacing w:before="156" w:after="156"/>
      </w:pPr>
      <w:bookmarkStart w:id="596" w:name="_Toc10354"/>
      <w:bookmarkStart w:id="597" w:name="_Toc217446064"/>
      <w:bookmarkStart w:id="598" w:name="_Toc13383"/>
      <w:bookmarkStart w:id="599" w:name="_Toc327196290"/>
      <w:bookmarkStart w:id="600" w:name="_Toc30422"/>
      <w:bookmarkStart w:id="601" w:name="_Toc2685"/>
      <w:bookmarkStart w:id="602" w:name="_Toc4929"/>
      <w:bookmarkStart w:id="603" w:name="_Toc183582240"/>
      <w:bookmarkStart w:id="604" w:name="_Toc183682377"/>
      <w:r>
        <w:rPr>
          <w:rFonts w:hint="eastAsia"/>
        </w:rPr>
        <w:t>签订及履行合同和验收</w:t>
      </w:r>
      <w:bookmarkEnd w:id="596"/>
      <w:bookmarkEnd w:id="597"/>
      <w:bookmarkEnd w:id="598"/>
      <w:bookmarkEnd w:id="599"/>
      <w:bookmarkEnd w:id="600"/>
      <w:bookmarkEnd w:id="601"/>
      <w:bookmarkEnd w:id="602"/>
    </w:p>
    <w:p>
      <w:pPr>
        <w:pStyle w:val="52"/>
        <w:numPr>
          <w:ilvl w:val="2"/>
          <w:numId w:val="13"/>
        </w:numPr>
        <w:ind w:firstLine="482"/>
      </w:pPr>
      <w:bookmarkStart w:id="605" w:name="_Toc4460"/>
      <w:bookmarkStart w:id="606" w:name="_Toc327196291"/>
      <w:bookmarkStart w:id="607" w:name="_Toc319440147"/>
      <w:bookmarkStart w:id="608" w:name="_Toc308188157"/>
      <w:bookmarkStart w:id="609" w:name="_Toc25992"/>
      <w:bookmarkStart w:id="610" w:name="_Toc307501114"/>
      <w:bookmarkStart w:id="611" w:name="_Toc515"/>
      <w:bookmarkStart w:id="612" w:name="_Toc20427"/>
      <w:bookmarkStart w:id="613" w:name="_Toc307564857"/>
      <w:bookmarkStart w:id="614" w:name="_Toc16835"/>
      <w:bookmarkStart w:id="615" w:name="_Toc309897520"/>
      <w:bookmarkStart w:id="616" w:name="_Toc27989"/>
      <w:bookmarkStart w:id="617" w:name="_Toc27214"/>
      <w:bookmarkStart w:id="618" w:name="_Toc319439905"/>
      <w:bookmarkStart w:id="619" w:name="_Toc308084602"/>
      <w:bookmarkStart w:id="620" w:name="_Toc217446065"/>
      <w:bookmarkStart w:id="621" w:name="_Toc3130"/>
      <w:bookmarkStart w:id="622" w:name="_Toc24949"/>
      <w:bookmarkStart w:id="623" w:name="_Toc9464"/>
      <w:bookmarkStart w:id="624" w:name="_Toc5659"/>
      <w:bookmarkStart w:id="625" w:name="_Toc2054"/>
      <w:r>
        <w:rPr>
          <w:rFonts w:hint="eastAsia"/>
        </w:rPr>
        <w:t>签订合同</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66"/>
        <w:ind w:firstLine="480"/>
      </w:pPr>
      <w:bookmarkStart w:id="626" w:name="_Toc307501115"/>
      <w:bookmarkStart w:id="627" w:name="_Toc12852"/>
      <w:bookmarkStart w:id="628" w:name="_Toc309897521"/>
      <w:bookmarkStart w:id="629" w:name="_Toc31670"/>
      <w:bookmarkStart w:id="630" w:name="_Toc3758"/>
      <w:bookmarkStart w:id="631" w:name="_Toc319439906"/>
      <w:bookmarkStart w:id="632" w:name="_Toc307564858"/>
      <w:bookmarkStart w:id="633" w:name="_Toc20139"/>
      <w:bookmarkStart w:id="634" w:name="_Toc308188158"/>
      <w:bookmarkStart w:id="635" w:name="_Toc31397"/>
      <w:bookmarkStart w:id="636" w:name="_Toc217446066"/>
      <w:bookmarkStart w:id="637" w:name="_Toc12489"/>
      <w:bookmarkStart w:id="638" w:name="_Toc308084603"/>
      <w:bookmarkStart w:id="639" w:name="_Toc319440148"/>
      <w:bookmarkStart w:id="640" w:name="_Toc327196292"/>
      <w:bookmarkStart w:id="641" w:name="_Toc25756"/>
      <w:bookmarkStart w:id="642" w:name="_Toc24196"/>
      <w:bookmarkStart w:id="643" w:name="_Toc29795"/>
      <w:bookmarkStart w:id="644" w:name="_Toc26000"/>
      <w:r>
        <w:rPr>
          <w:rFonts w:hint="eastAsia"/>
        </w:rPr>
        <w:t>中标人应在中标通知书发出之日起三十日内与采购人签订采购合同。由于中标人的原因逾期未与采购人签订采购合同的，将视为放弃中标，取消其中标资格并将按相关规定进行处理。</w:t>
      </w:r>
    </w:p>
    <w:p>
      <w:pPr>
        <w:pStyle w:val="66"/>
        <w:ind w:firstLine="480"/>
      </w:pPr>
      <w:r>
        <w:rPr>
          <w:rFonts w:hint="eastAsia"/>
        </w:rPr>
        <w:t>政府采购合同应当包括采购人与中标人的名称和住所、标的、数量、质量、价款或者报酬、履行期限及地点和方式、验收要求、违约责任、解决争议的方法等内容。</w:t>
      </w:r>
    </w:p>
    <w:p>
      <w:pPr>
        <w:pStyle w:val="66"/>
        <w:ind w:firstLine="480"/>
      </w:pPr>
      <w:r>
        <w:rPr>
          <w:rFonts w:hint="eastAsia"/>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6"/>
        <w:ind w:firstLine="480"/>
      </w:pPr>
      <w:r>
        <w:rPr>
          <w:rFonts w:hint="eastAsia"/>
        </w:rPr>
        <w:t>本项目的招标文件、中标人提交的投标文件、评审中的澄清、中标通知书等文件均具有法律约束力，属于合同组成部分。</w:t>
      </w:r>
    </w:p>
    <w:p>
      <w:pPr>
        <w:pStyle w:val="66"/>
        <w:ind w:firstLine="480"/>
      </w:pPr>
      <w:r>
        <w:rPr>
          <w:rFonts w:hint="eastAsia"/>
        </w:rPr>
        <w:t>中标人因不可抗力原因不能履行采购合同或放弃中标的，采购人可以与排在中标人之后第一位的中标候选人签订采购合同，以此类推。</w:t>
      </w:r>
    </w:p>
    <w:p>
      <w:pPr>
        <w:pStyle w:val="52"/>
        <w:numPr>
          <w:ilvl w:val="2"/>
          <w:numId w:val="13"/>
        </w:numPr>
        <w:ind w:firstLine="482"/>
      </w:pPr>
      <w:bookmarkStart w:id="645" w:name="_Toc12864"/>
      <w:bookmarkStart w:id="646" w:name="_Toc6884"/>
      <w:r>
        <w:rPr>
          <w:rFonts w:hint="eastAsia"/>
        </w:rPr>
        <w:t>合同</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rPr>
        <w:t>分包</w:t>
      </w:r>
      <w:bookmarkEnd w:id="641"/>
      <w:bookmarkEnd w:id="642"/>
      <w:r>
        <w:rPr>
          <w:rFonts w:hint="eastAsia"/>
        </w:rPr>
        <w:t>(实质性要求)</w:t>
      </w:r>
      <w:bookmarkEnd w:id="643"/>
      <w:bookmarkEnd w:id="644"/>
      <w:bookmarkEnd w:id="645"/>
      <w:bookmarkEnd w:id="646"/>
    </w:p>
    <w:p>
      <w:pPr>
        <w:pStyle w:val="49"/>
      </w:pPr>
      <w:bookmarkStart w:id="647" w:name="_Toc308188159"/>
      <w:bookmarkStart w:id="648" w:name="_Toc307501116"/>
      <w:bookmarkStart w:id="649" w:name="_Toc217446067"/>
      <w:bookmarkStart w:id="650" w:name="_Toc307564859"/>
      <w:bookmarkStart w:id="651" w:name="_Toc29842"/>
      <w:bookmarkStart w:id="652" w:name="_Toc29552"/>
      <w:bookmarkStart w:id="653" w:name="_Toc319439907"/>
      <w:bookmarkStart w:id="654" w:name="_Toc327196293"/>
      <w:bookmarkStart w:id="655" w:name="_Toc15644"/>
      <w:bookmarkStart w:id="656" w:name="_Toc308084604"/>
      <w:bookmarkStart w:id="657" w:name="_Toc319440149"/>
      <w:bookmarkStart w:id="658" w:name="_Toc19999"/>
      <w:bookmarkStart w:id="659" w:name="_Toc30827"/>
      <w:bookmarkStart w:id="660" w:name="_Toc309897522"/>
      <w:bookmarkStart w:id="661" w:name="_Toc16143"/>
      <w:bookmarkStart w:id="662" w:name="_Toc30954"/>
      <w:bookmarkStart w:id="663" w:name="_Toc29332"/>
      <w:r>
        <w:rPr>
          <w:rFonts w:hint="eastAsia"/>
          <w:color w:val="000000" w:themeColor="text1"/>
          <w14:textFill>
            <w14:solidFill>
              <w14:schemeClr w14:val="tx1"/>
            </w14:solidFill>
          </w14:textFill>
        </w:rPr>
        <w:t>本项目不允许投标人以合同分包形式进行投标</w:t>
      </w:r>
      <w:r>
        <w:rPr>
          <w:rFonts w:hint="eastAsia"/>
        </w:rPr>
        <w:t>。</w:t>
      </w:r>
    </w:p>
    <w:p>
      <w:pPr>
        <w:pStyle w:val="52"/>
        <w:numPr>
          <w:ilvl w:val="2"/>
          <w:numId w:val="13"/>
        </w:numPr>
        <w:ind w:firstLine="482"/>
      </w:pPr>
      <w:bookmarkStart w:id="664" w:name="_Toc5242"/>
      <w:bookmarkStart w:id="665" w:name="_Toc28937"/>
      <w:bookmarkStart w:id="666" w:name="_Toc29526"/>
      <w:bookmarkStart w:id="667" w:name="_Toc17967"/>
      <w:r>
        <w:rPr>
          <w:rFonts w:hint="eastAsia"/>
        </w:rPr>
        <w:t>合同转包(实质性要求)</w:t>
      </w:r>
      <w:bookmarkEnd w:id="664"/>
      <w:bookmarkEnd w:id="665"/>
      <w:bookmarkEnd w:id="666"/>
      <w:bookmarkEnd w:id="667"/>
    </w:p>
    <w:p>
      <w:pPr>
        <w:pStyle w:val="49"/>
      </w:pPr>
      <w:r>
        <w:rPr>
          <w:rFonts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49"/>
      </w:pPr>
      <w:r>
        <w:rPr>
          <w:rFonts w:hint="eastAsia"/>
        </w:rPr>
        <w:t>中标人转包的，视同拒绝履行政府采购合同义务，将依法追究法律责任。</w:t>
      </w:r>
    </w:p>
    <w:p>
      <w:pPr>
        <w:pStyle w:val="52"/>
        <w:numPr>
          <w:ilvl w:val="2"/>
          <w:numId w:val="13"/>
        </w:numPr>
        <w:ind w:firstLine="482"/>
      </w:pPr>
      <w:bookmarkStart w:id="668" w:name="_Toc11992"/>
      <w:bookmarkStart w:id="669" w:name="_Toc9592"/>
      <w:bookmarkStart w:id="670" w:name="_Toc12603"/>
      <w:bookmarkStart w:id="671" w:name="_Toc1123"/>
      <w:r>
        <w:rPr>
          <w:rFonts w:hint="eastAsia"/>
        </w:rPr>
        <w:t>补充合同</w:t>
      </w:r>
      <w:bookmarkEnd w:id="668"/>
      <w:bookmarkEnd w:id="669"/>
      <w:bookmarkEnd w:id="670"/>
      <w:bookmarkEnd w:id="671"/>
    </w:p>
    <w:p>
      <w:pPr>
        <w:pStyle w:val="49"/>
      </w:pPr>
      <w:r>
        <w:rPr>
          <w:rFonts w:hint="eastAsia"/>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pStyle w:val="52"/>
        <w:numPr>
          <w:ilvl w:val="2"/>
          <w:numId w:val="13"/>
        </w:numPr>
        <w:ind w:firstLine="482"/>
      </w:pPr>
      <w:bookmarkStart w:id="672" w:name="_Toc12689"/>
      <w:bookmarkStart w:id="673" w:name="_Toc30638"/>
      <w:bookmarkStart w:id="674" w:name="_Toc13715"/>
      <w:bookmarkStart w:id="675" w:name="_Toc31562"/>
      <w:bookmarkStart w:id="676" w:name="_Toc924"/>
      <w:bookmarkStart w:id="677" w:name="_Toc24147"/>
      <w:bookmarkStart w:id="678" w:name="_Toc24237"/>
      <w:bookmarkStart w:id="679" w:name="_Toc308164812"/>
      <w:bookmarkStart w:id="680" w:name="_Toc31704"/>
      <w:bookmarkStart w:id="681" w:name="_Toc308188160"/>
      <w:bookmarkStart w:id="682" w:name="_Toc307501117"/>
      <w:bookmarkStart w:id="683" w:name="_Toc16034"/>
      <w:bookmarkStart w:id="684" w:name="_Toc319440150"/>
      <w:bookmarkStart w:id="685" w:name="_Toc30856"/>
      <w:bookmarkStart w:id="686" w:name="_Toc11533"/>
      <w:bookmarkStart w:id="687" w:name="_Toc19537"/>
      <w:bookmarkStart w:id="688" w:name="_Toc327196294"/>
      <w:bookmarkStart w:id="689" w:name="_Toc319439908"/>
      <w:bookmarkStart w:id="690" w:name="_Toc309897523"/>
      <w:bookmarkStart w:id="691" w:name="_Toc27331"/>
      <w:bookmarkStart w:id="692" w:name="_Toc308084605"/>
      <w:bookmarkStart w:id="693" w:name="_Toc307564860"/>
      <w:bookmarkStart w:id="694" w:name="_Toc27686"/>
      <w:bookmarkStart w:id="695" w:name="_Toc28404"/>
      <w:bookmarkStart w:id="696" w:name="_Toc217446068"/>
      <w:bookmarkStart w:id="697" w:name="_Toc22746"/>
      <w:r>
        <w:rPr>
          <w:rFonts w:hint="eastAsia"/>
        </w:rPr>
        <w:t>合同公告</w:t>
      </w:r>
      <w:bookmarkEnd w:id="672"/>
      <w:bookmarkEnd w:id="673"/>
      <w:bookmarkEnd w:id="674"/>
      <w:bookmarkEnd w:id="675"/>
      <w:bookmarkEnd w:id="676"/>
    </w:p>
    <w:p>
      <w:pPr>
        <w:pStyle w:val="49"/>
      </w:pPr>
      <w:r>
        <w:rPr>
          <w:rFonts w:hint="eastAsia"/>
        </w:rPr>
        <w:t>采购人应当自政府采购合同签订之日起2个工作日内，将政府采购合同在省级以上人民政府财政部门指定的媒体上公告（四川政府采购网），但政府采购合同中涉及国家秘密、商业秘密的内容除外。</w:t>
      </w:r>
    </w:p>
    <w:p>
      <w:pPr>
        <w:pStyle w:val="52"/>
        <w:numPr>
          <w:ilvl w:val="2"/>
          <w:numId w:val="13"/>
        </w:numPr>
        <w:ind w:firstLine="482"/>
      </w:pPr>
      <w:bookmarkStart w:id="698" w:name="_Toc29726"/>
      <w:bookmarkStart w:id="699" w:name="_Toc19464"/>
      <w:bookmarkStart w:id="700" w:name="_Toc10344"/>
      <w:r>
        <w:rPr>
          <w:rFonts w:hint="eastAsia"/>
        </w:rPr>
        <w:t>合同备案</w:t>
      </w:r>
      <w:bookmarkEnd w:id="698"/>
      <w:bookmarkEnd w:id="699"/>
      <w:bookmarkEnd w:id="700"/>
    </w:p>
    <w:p>
      <w:pPr>
        <w:pStyle w:val="49"/>
      </w:pPr>
      <w:r>
        <w:rPr>
          <w:rFonts w:hint="eastAsia" w:cs="宋体"/>
        </w:rPr>
        <w:t>采购人应当将政府采购合同副本自签订之日起七个工作日内通过“政采云平台”报同级财政部门备案</w:t>
      </w:r>
      <w:r>
        <w:rPr>
          <w:rFonts w:hint="eastAsia"/>
        </w:rPr>
        <w:t>。</w:t>
      </w:r>
    </w:p>
    <w:p>
      <w:pPr>
        <w:pStyle w:val="52"/>
        <w:numPr>
          <w:ilvl w:val="2"/>
          <w:numId w:val="13"/>
        </w:numPr>
        <w:ind w:firstLine="482"/>
      </w:pPr>
      <w:bookmarkStart w:id="701" w:name="_Toc8912"/>
      <w:r>
        <w:rPr>
          <w:rFonts w:hint="eastAsia"/>
        </w:rPr>
        <w:t>履约保证金</w:t>
      </w:r>
      <w:bookmarkEnd w:id="677"/>
      <w:bookmarkEnd w:id="678"/>
      <w:bookmarkEnd w:id="679"/>
      <w:bookmarkEnd w:id="680"/>
      <w:r>
        <w:rPr>
          <w:rFonts w:hint="eastAsia"/>
        </w:rPr>
        <w:t>（实质性要求）</w:t>
      </w:r>
      <w:bookmarkEnd w:id="701"/>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52"/>
        <w:numPr>
          <w:ilvl w:val="2"/>
          <w:numId w:val="0"/>
        </w:numPr>
        <w:ind w:firstLine="480" w:firstLineChars="200"/>
        <w:outlineLvl w:val="9"/>
        <w:rPr>
          <w:b w:val="0"/>
        </w:rPr>
      </w:pPr>
      <w:bookmarkStart w:id="702" w:name="_Toc18592"/>
      <w:bookmarkStart w:id="703" w:name="_Toc29503"/>
      <w:bookmarkStart w:id="704" w:name="_Toc13194"/>
      <w:bookmarkStart w:id="705" w:name="_Toc15310"/>
      <w:bookmarkStart w:id="706" w:name="_Toc5754"/>
      <w:bookmarkStart w:id="707" w:name="_Toc17018"/>
      <w:bookmarkStart w:id="708" w:name="_Toc27872"/>
      <w:bookmarkStart w:id="709" w:name="_Toc307501119"/>
      <w:bookmarkStart w:id="710" w:name="_Toc327196296"/>
      <w:bookmarkStart w:id="711" w:name="_Toc18547"/>
      <w:bookmarkStart w:id="712" w:name="_Toc319440152"/>
      <w:bookmarkStart w:id="713" w:name="_Toc9916"/>
      <w:bookmarkStart w:id="714" w:name="_Toc307564862"/>
      <w:bookmarkStart w:id="715" w:name="_Toc308084607"/>
      <w:bookmarkStart w:id="716" w:name="_Toc27114"/>
      <w:bookmarkStart w:id="717" w:name="_Toc309897525"/>
      <w:bookmarkStart w:id="718" w:name="_Toc217446070"/>
      <w:bookmarkStart w:id="719" w:name="_Toc9815"/>
      <w:bookmarkStart w:id="720" w:name="_Toc319439910"/>
      <w:bookmarkStart w:id="721" w:name="_Toc15219"/>
      <w:bookmarkStart w:id="722" w:name="_Toc308188162"/>
      <w:r>
        <w:rPr>
          <w:rFonts w:hint="eastAsia"/>
          <w:b w:val="0"/>
        </w:rPr>
        <w:t>1.中标人应在合同签订之前交纳招标文件规定数额的履约保证金。</w:t>
      </w:r>
      <w:bookmarkEnd w:id="702"/>
    </w:p>
    <w:p>
      <w:pPr>
        <w:pStyle w:val="52"/>
        <w:numPr>
          <w:ilvl w:val="2"/>
          <w:numId w:val="0"/>
        </w:numPr>
        <w:ind w:firstLine="480" w:firstLineChars="200"/>
        <w:outlineLvl w:val="9"/>
      </w:pPr>
      <w:bookmarkStart w:id="723" w:name="_Toc27080"/>
      <w:r>
        <w:rPr>
          <w:rFonts w:hint="eastAsia"/>
          <w:b w:val="0"/>
        </w:rPr>
        <w:t>2.如果中标人在规定的合同签订时间内，没有按照招标文件的规定交纳履约保证金，且又无正当理由的，将视为放弃中标。</w:t>
      </w:r>
      <w:bookmarkEnd w:id="723"/>
    </w:p>
    <w:p>
      <w:pPr>
        <w:pStyle w:val="52"/>
        <w:numPr>
          <w:ilvl w:val="2"/>
          <w:numId w:val="13"/>
        </w:numPr>
        <w:ind w:firstLine="482"/>
      </w:pPr>
      <w:bookmarkStart w:id="724" w:name="_Toc6526"/>
      <w:r>
        <w:rPr>
          <w:rFonts w:hint="eastAsia"/>
        </w:rPr>
        <w:t>履行合同</w:t>
      </w:r>
      <w:bookmarkEnd w:id="703"/>
      <w:bookmarkEnd w:id="704"/>
      <w:bookmarkEnd w:id="705"/>
      <w:bookmarkEnd w:id="724"/>
    </w:p>
    <w:p>
      <w:pPr>
        <w:pStyle w:val="66"/>
        <w:ind w:firstLine="480"/>
      </w:pPr>
      <w:bookmarkStart w:id="725" w:name="_Toc31"/>
      <w:bookmarkStart w:id="726" w:name="_Toc12435"/>
      <w:r>
        <w:rPr>
          <w:rFonts w:hint="eastAsia"/>
        </w:rPr>
        <w:t>采购人与中标人应当根据合同的约定依法履行合同义务。</w:t>
      </w:r>
    </w:p>
    <w:p>
      <w:pPr>
        <w:pStyle w:val="66"/>
        <w:ind w:firstLine="480"/>
      </w:pPr>
      <w:r>
        <w:rPr>
          <w:rFonts w:hint="eastAsia"/>
        </w:rPr>
        <w:t>政府采购合同的履行、违约责任和解决争议的方法等适用《中华人民共和国民法典》。</w:t>
      </w:r>
    </w:p>
    <w:p>
      <w:pPr>
        <w:pStyle w:val="52"/>
        <w:numPr>
          <w:ilvl w:val="2"/>
          <w:numId w:val="13"/>
        </w:numPr>
        <w:ind w:firstLine="482"/>
      </w:pPr>
      <w:bookmarkStart w:id="727" w:name="_Toc22276"/>
      <w:bookmarkStart w:id="728" w:name="_Toc12289"/>
      <w:r>
        <w:rPr>
          <w:rFonts w:hint="eastAsia"/>
        </w:rPr>
        <w:t>验收</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5"/>
      <w:bookmarkEnd w:id="726"/>
      <w:bookmarkEnd w:id="727"/>
      <w:bookmarkEnd w:id="728"/>
    </w:p>
    <w:p>
      <w:pPr>
        <w:pStyle w:val="66"/>
        <w:ind w:firstLine="480"/>
      </w:pPr>
      <w:bookmarkStart w:id="729" w:name="_Toc217446071"/>
      <w:r>
        <w:rPr>
          <w:rFonts w:hint="eastAsia"/>
        </w:rPr>
        <w:t>本项目采购人及其委托的采购代理机构将严格按照《财政部关于进一步加强政府采购需求和履约验收管理的指导意见》(财库〔2016〕205号)要求进行验收。</w:t>
      </w:r>
    </w:p>
    <w:p>
      <w:pPr>
        <w:pStyle w:val="66"/>
        <w:ind w:firstLine="480"/>
      </w:pPr>
      <w:r>
        <w:rPr>
          <w:rFonts w:hint="eastAsia"/>
        </w:rPr>
        <w:t>验收结果合格的，中标人凭《验收报告》办理结算相关手续；验收结果不合格的，将不予支付采购资金，还可能会报本项目同级财政部门按照政府采购法律法规等有关规定给予行政处罚。</w:t>
      </w:r>
    </w:p>
    <w:bookmarkEnd w:id="603"/>
    <w:bookmarkEnd w:id="604"/>
    <w:bookmarkEnd w:id="729"/>
    <w:p>
      <w:pPr>
        <w:pStyle w:val="52"/>
        <w:numPr>
          <w:ilvl w:val="2"/>
          <w:numId w:val="13"/>
        </w:numPr>
        <w:ind w:firstLine="482"/>
      </w:pPr>
      <w:bookmarkStart w:id="730" w:name="_Toc308164818"/>
      <w:bookmarkStart w:id="731" w:name="_Toc16716"/>
      <w:bookmarkStart w:id="732" w:name="_Toc3266"/>
      <w:bookmarkStart w:id="733" w:name="_Toc17896"/>
      <w:bookmarkStart w:id="734" w:name="_Toc7669"/>
      <w:bookmarkStart w:id="735" w:name="_Toc327196297"/>
      <w:bookmarkStart w:id="736" w:name="_Toc217446074"/>
      <w:bookmarkStart w:id="737" w:name="_Toc16219"/>
      <w:bookmarkStart w:id="738" w:name="_Toc183582243"/>
      <w:bookmarkStart w:id="739" w:name="_Toc183682380"/>
      <w:r>
        <w:rPr>
          <w:rFonts w:hint="eastAsia"/>
        </w:rPr>
        <w:t>资金支付</w:t>
      </w:r>
      <w:bookmarkEnd w:id="730"/>
      <w:r>
        <w:rPr>
          <w:rFonts w:hint="eastAsia"/>
        </w:rPr>
        <w:t>方式、时间、条件</w:t>
      </w:r>
      <w:bookmarkEnd w:id="731"/>
      <w:bookmarkEnd w:id="732"/>
      <w:bookmarkEnd w:id="733"/>
      <w:bookmarkEnd w:id="734"/>
    </w:p>
    <w:p>
      <w:pPr>
        <w:pStyle w:val="66"/>
        <w:ind w:firstLine="480"/>
      </w:pPr>
      <w:r>
        <w:rPr>
          <w:rFonts w:hint="eastAsia"/>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66"/>
        <w:ind w:firstLine="480"/>
      </w:pPr>
      <w:r>
        <w:rPr>
          <w:rFonts w:hint="eastAsia"/>
        </w:rPr>
        <w:t>采购资金的支付时间：详见招标文件第六章。</w:t>
      </w:r>
    </w:p>
    <w:p>
      <w:pPr>
        <w:pStyle w:val="66"/>
        <w:ind w:firstLine="480"/>
      </w:pPr>
      <w:r>
        <w:rPr>
          <w:rFonts w:hint="eastAsia"/>
        </w:rPr>
        <w:t>采购资金的支付条件：详见招标文件第六章。</w:t>
      </w:r>
    </w:p>
    <w:p>
      <w:pPr>
        <w:pStyle w:val="46"/>
        <w:spacing w:before="156" w:after="156"/>
      </w:pPr>
      <w:bookmarkStart w:id="740" w:name="_Toc15972"/>
      <w:bookmarkStart w:id="741" w:name="_Toc27770"/>
      <w:bookmarkStart w:id="742" w:name="_Toc3955"/>
      <w:bookmarkStart w:id="743" w:name="_Toc6223"/>
      <w:r>
        <w:rPr>
          <w:rFonts w:hint="eastAsia"/>
        </w:rPr>
        <w:t>投标纪律要求</w:t>
      </w:r>
      <w:bookmarkEnd w:id="735"/>
      <w:bookmarkEnd w:id="736"/>
      <w:bookmarkEnd w:id="737"/>
      <w:bookmarkEnd w:id="740"/>
      <w:bookmarkEnd w:id="741"/>
      <w:bookmarkEnd w:id="742"/>
      <w:bookmarkEnd w:id="743"/>
    </w:p>
    <w:p>
      <w:pPr>
        <w:pStyle w:val="49"/>
      </w:pPr>
      <w:bookmarkStart w:id="744" w:name="_Toc30964"/>
      <w:bookmarkStart w:id="745" w:name="_Toc20490"/>
      <w:bookmarkStart w:id="746" w:name="_Toc27399"/>
      <w:bookmarkStart w:id="747" w:name="_Toc10754"/>
      <w:bookmarkStart w:id="748" w:name="_Toc307564864"/>
      <w:bookmarkStart w:id="749" w:name="_Toc1828"/>
      <w:bookmarkStart w:id="750" w:name="_Toc21018"/>
      <w:bookmarkStart w:id="751" w:name="_Toc319439912"/>
      <w:bookmarkStart w:id="752" w:name="_Toc308084609"/>
      <w:bookmarkStart w:id="753" w:name="_Toc319440154"/>
      <w:bookmarkStart w:id="754" w:name="_Toc5014"/>
      <w:bookmarkStart w:id="755" w:name="_Toc308188164"/>
      <w:bookmarkStart w:id="756" w:name="_Toc327196298"/>
      <w:bookmarkStart w:id="757" w:name="_Toc217446075"/>
      <w:bookmarkStart w:id="758" w:name="_Toc307501121"/>
      <w:bookmarkStart w:id="759" w:name="_Toc17887"/>
      <w:bookmarkStart w:id="760" w:name="_Toc309897527"/>
      <w:bookmarkStart w:id="761" w:name="_Toc6284"/>
      <w:bookmarkStart w:id="762" w:name="_Toc31498"/>
      <w:bookmarkStart w:id="763" w:name="_Toc11074"/>
      <w:r>
        <w:rPr>
          <w:rFonts w:hint="eastAsia"/>
        </w:rPr>
        <w:t>投标人不得具有的情形</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Pr>
          <w:rFonts w:hint="eastAsia"/>
        </w:rPr>
        <w:t>：</w:t>
      </w:r>
    </w:p>
    <w:p>
      <w:pPr>
        <w:pStyle w:val="35"/>
        <w:numPr>
          <w:ilvl w:val="1"/>
          <w:numId w:val="14"/>
        </w:numPr>
        <w:ind w:firstLine="480"/>
      </w:pPr>
      <w:r>
        <w:rPr>
          <w:rFonts w:hint="eastAsia"/>
        </w:rPr>
        <w:t>提供虚假材料谋取中标；</w:t>
      </w:r>
    </w:p>
    <w:p>
      <w:pPr>
        <w:pStyle w:val="35"/>
        <w:numPr>
          <w:ilvl w:val="1"/>
          <w:numId w:val="14"/>
        </w:numPr>
        <w:ind w:firstLine="480"/>
      </w:pPr>
      <w:r>
        <w:rPr>
          <w:rFonts w:hint="eastAsia"/>
        </w:rPr>
        <w:t>采取不正当手段诋毁、排挤其他投标人；</w:t>
      </w:r>
    </w:p>
    <w:p>
      <w:pPr>
        <w:pStyle w:val="35"/>
        <w:numPr>
          <w:ilvl w:val="1"/>
          <w:numId w:val="14"/>
        </w:numPr>
        <w:ind w:firstLine="480"/>
      </w:pPr>
      <w:r>
        <w:rPr>
          <w:rFonts w:hint="eastAsia"/>
        </w:rPr>
        <w:t>与招标采购单位、其他投标人恶意串通；</w:t>
      </w:r>
    </w:p>
    <w:p>
      <w:pPr>
        <w:pStyle w:val="35"/>
        <w:numPr>
          <w:ilvl w:val="1"/>
          <w:numId w:val="14"/>
        </w:numPr>
        <w:ind w:firstLine="480"/>
      </w:pPr>
      <w:r>
        <w:rPr>
          <w:rFonts w:hint="eastAsia"/>
        </w:rPr>
        <w:t>向招标采购单位、评标委员会成员行贿或者提供其他不正当利益；</w:t>
      </w:r>
    </w:p>
    <w:p>
      <w:pPr>
        <w:pStyle w:val="35"/>
        <w:numPr>
          <w:ilvl w:val="1"/>
          <w:numId w:val="14"/>
        </w:numPr>
        <w:ind w:firstLine="480"/>
      </w:pPr>
      <w:r>
        <w:rPr>
          <w:rFonts w:hint="eastAsia"/>
        </w:rPr>
        <w:t>在招标过程中与招标采购单位进行协商谈判；</w:t>
      </w:r>
    </w:p>
    <w:p>
      <w:pPr>
        <w:pStyle w:val="35"/>
        <w:numPr>
          <w:ilvl w:val="1"/>
          <w:numId w:val="14"/>
        </w:numPr>
        <w:ind w:firstLine="480"/>
      </w:pPr>
      <w:r>
        <w:rPr>
          <w:rFonts w:hint="eastAsia"/>
        </w:rPr>
        <w:t>中标或者成交后无正当理由拒不与采购人签订政府采购合同；</w:t>
      </w:r>
    </w:p>
    <w:p>
      <w:pPr>
        <w:pStyle w:val="35"/>
        <w:numPr>
          <w:ilvl w:val="1"/>
          <w:numId w:val="14"/>
        </w:numPr>
        <w:ind w:firstLine="480"/>
      </w:pPr>
      <w:r>
        <w:rPr>
          <w:rFonts w:hint="eastAsia"/>
        </w:rPr>
        <w:t>未按照采购文件确定的事项签订政府采购合同；</w:t>
      </w:r>
    </w:p>
    <w:p>
      <w:pPr>
        <w:pStyle w:val="35"/>
        <w:numPr>
          <w:ilvl w:val="1"/>
          <w:numId w:val="14"/>
        </w:numPr>
        <w:ind w:firstLine="480"/>
      </w:pPr>
      <w:r>
        <w:rPr>
          <w:rFonts w:hint="eastAsia"/>
        </w:rPr>
        <w:t>将政府采购合同转包或者违规分包；</w:t>
      </w:r>
    </w:p>
    <w:p>
      <w:pPr>
        <w:pStyle w:val="35"/>
        <w:numPr>
          <w:ilvl w:val="1"/>
          <w:numId w:val="14"/>
        </w:numPr>
        <w:ind w:firstLine="480"/>
      </w:pPr>
      <w:r>
        <w:rPr>
          <w:rFonts w:hint="eastAsia"/>
        </w:rPr>
        <w:t>提供假冒伪劣产品；</w:t>
      </w:r>
    </w:p>
    <w:p>
      <w:pPr>
        <w:pStyle w:val="35"/>
        <w:numPr>
          <w:ilvl w:val="1"/>
          <w:numId w:val="14"/>
        </w:numPr>
        <w:ind w:firstLine="480"/>
      </w:pPr>
      <w:r>
        <w:rPr>
          <w:rFonts w:hint="eastAsia"/>
        </w:rPr>
        <w:t>擅自变更、中止或者终止政府采购合同；</w:t>
      </w:r>
    </w:p>
    <w:p>
      <w:pPr>
        <w:pStyle w:val="35"/>
        <w:numPr>
          <w:ilvl w:val="1"/>
          <w:numId w:val="14"/>
        </w:numPr>
        <w:ind w:firstLine="480"/>
      </w:pPr>
      <w:r>
        <w:rPr>
          <w:rFonts w:hint="eastAsia"/>
        </w:rPr>
        <w:t>拒绝有关部门的监督检查或者向监督检查部门提供虚假情况；</w:t>
      </w:r>
    </w:p>
    <w:p>
      <w:pPr>
        <w:pStyle w:val="35"/>
        <w:numPr>
          <w:ilvl w:val="1"/>
          <w:numId w:val="14"/>
        </w:numPr>
        <w:ind w:firstLine="480"/>
      </w:pPr>
      <w:r>
        <w:rPr>
          <w:rFonts w:hint="eastAsia"/>
        </w:rPr>
        <w:t>法律法规规定的其他情形。</w:t>
      </w:r>
    </w:p>
    <w:p>
      <w:pPr>
        <w:pStyle w:val="45"/>
        <w:ind w:firstLine="480" w:firstLineChars="200"/>
      </w:pPr>
      <w:bookmarkStart w:id="764" w:name="_Toc20327"/>
      <w:bookmarkStart w:id="765" w:name="_Toc8765"/>
      <w:bookmarkStart w:id="766" w:name="_Toc525"/>
      <w:bookmarkStart w:id="767" w:name="_Toc217446078"/>
      <w:r>
        <w:rPr>
          <w:rFonts w:hint="eastAsia"/>
        </w:rPr>
        <w:t>投标人有上述情形的，按照规定追究法律责任，具备(一)～(十)条情形之一的，同时将取消中标资格或者认定中标无效。</w:t>
      </w:r>
    </w:p>
    <w:bookmarkEnd w:id="764"/>
    <w:bookmarkEnd w:id="765"/>
    <w:bookmarkEnd w:id="766"/>
    <w:p>
      <w:pPr>
        <w:pStyle w:val="46"/>
        <w:spacing w:before="156" w:after="156"/>
      </w:pPr>
      <w:bookmarkStart w:id="768" w:name="_Toc4755"/>
      <w:r>
        <w:rPr>
          <w:rFonts w:hint="eastAsia"/>
        </w:rPr>
        <w:t>其他</w:t>
      </w:r>
      <w:bookmarkEnd w:id="768"/>
    </w:p>
    <w:p>
      <w:pPr>
        <w:pStyle w:val="52"/>
        <w:numPr>
          <w:ilvl w:val="2"/>
          <w:numId w:val="15"/>
        </w:numPr>
        <w:ind w:firstLine="482"/>
      </w:pPr>
      <w:bookmarkStart w:id="769" w:name="_Toc24165"/>
      <w:bookmarkStart w:id="770" w:name="_Toc414"/>
      <w:bookmarkStart w:id="771" w:name="_Toc12421"/>
      <w:bookmarkStart w:id="772" w:name="_Toc24434"/>
      <w:bookmarkStart w:id="773" w:name="_Toc1652"/>
      <w:bookmarkStart w:id="774" w:name="_Toc1536"/>
      <w:bookmarkStart w:id="775" w:name="_Toc21424"/>
      <w:bookmarkStart w:id="776" w:name="_Toc327196301"/>
      <w:r>
        <w:rPr>
          <w:rFonts w:hint="eastAsia"/>
        </w:rPr>
        <w:t>询问</w:t>
      </w:r>
      <w:bookmarkEnd w:id="769"/>
      <w:bookmarkEnd w:id="770"/>
      <w:bookmarkEnd w:id="771"/>
      <w:bookmarkEnd w:id="772"/>
      <w:bookmarkEnd w:id="773"/>
      <w:r>
        <w:rPr>
          <w:rFonts w:hint="eastAsia"/>
        </w:rPr>
        <w:t>、质疑和投诉</w:t>
      </w:r>
      <w:bookmarkEnd w:id="774"/>
    </w:p>
    <w:bookmarkEnd w:id="738"/>
    <w:bookmarkEnd w:id="739"/>
    <w:bookmarkEnd w:id="767"/>
    <w:bookmarkEnd w:id="775"/>
    <w:bookmarkEnd w:id="776"/>
    <w:p>
      <w:pPr>
        <w:pStyle w:val="49"/>
      </w:pPr>
      <w:r>
        <w:rPr>
          <w:rFonts w:hint="eastAsia"/>
        </w:rPr>
        <w:t>具体详见投标人须知前附表。</w:t>
      </w:r>
    </w:p>
    <w:p>
      <w:pPr>
        <w:pStyle w:val="52"/>
        <w:numPr>
          <w:ilvl w:val="2"/>
          <w:numId w:val="15"/>
        </w:numPr>
        <w:ind w:firstLine="482"/>
      </w:pPr>
      <w:bookmarkStart w:id="777" w:name="_Toc22454"/>
      <w:bookmarkStart w:id="778" w:name="_Toc27417"/>
      <w:bookmarkStart w:id="779" w:name="_Toc8852"/>
      <w:bookmarkStart w:id="780" w:name="_Toc27259"/>
      <w:r>
        <w:rPr>
          <w:rFonts w:hint="eastAsia"/>
        </w:rPr>
        <w:t>关于行贿犯罪档案查询工作的规定</w:t>
      </w:r>
      <w:bookmarkEnd w:id="777"/>
      <w:bookmarkEnd w:id="778"/>
      <w:bookmarkEnd w:id="779"/>
      <w:bookmarkEnd w:id="780"/>
    </w:p>
    <w:p>
      <w:pPr>
        <w:pStyle w:val="49"/>
      </w:pPr>
      <w:bookmarkStart w:id="781" w:name="_Toc25217"/>
      <w:bookmarkStart w:id="782" w:name="_Toc24870"/>
      <w:bookmarkStart w:id="783" w:name="_Toc5589"/>
      <w:r>
        <w:rPr>
          <w:rFonts w:hint="eastAsia"/>
        </w:rPr>
        <w:t>因国家检察机关职务犯罪侦查部门转隶工作已经完成，供应商参与采购活动时须按照采购文件要求提供承诺函或由采购代理机构通过“中国裁判文书网”查询，并将查询记录存档。</w:t>
      </w:r>
    </w:p>
    <w:p>
      <w:pPr>
        <w:pStyle w:val="52"/>
        <w:numPr>
          <w:ilvl w:val="2"/>
          <w:numId w:val="15"/>
        </w:numPr>
        <w:ind w:firstLine="482"/>
      </w:pPr>
      <w:bookmarkStart w:id="784" w:name="_Toc4218"/>
      <w:r>
        <w:rPr>
          <w:rFonts w:hint="eastAsia"/>
        </w:rPr>
        <w:t>串通投标的情形</w:t>
      </w:r>
      <w:bookmarkEnd w:id="781"/>
      <w:bookmarkEnd w:id="782"/>
      <w:bookmarkEnd w:id="784"/>
    </w:p>
    <w:p>
      <w:pPr>
        <w:pStyle w:val="49"/>
      </w:pPr>
      <w:r>
        <w:rPr>
          <w:rFonts w:hint="eastAsia"/>
        </w:rPr>
        <w:t>有下列情形之一的，视为投标人串通投标，其投标无效。</w:t>
      </w:r>
    </w:p>
    <w:p>
      <w:pPr>
        <w:pStyle w:val="49"/>
      </w:pPr>
      <w:r>
        <w:rPr>
          <w:rFonts w:hint="eastAsia"/>
        </w:rPr>
        <w:t>1.不同投标人的投标文件由同一单位或者个人编制；</w:t>
      </w:r>
    </w:p>
    <w:p>
      <w:pPr>
        <w:pStyle w:val="49"/>
      </w:pPr>
      <w:r>
        <w:rPr>
          <w:rFonts w:hint="eastAsia"/>
        </w:rPr>
        <w:t>2.不同投标人委托同一单位或者个人办理投标事宜；</w:t>
      </w:r>
    </w:p>
    <w:p>
      <w:pPr>
        <w:pStyle w:val="49"/>
      </w:pPr>
      <w:r>
        <w:rPr>
          <w:rFonts w:hint="eastAsia"/>
        </w:rPr>
        <w:t>3.不同投标人的投标文件载明的项目管理成员或者联系人员为同一人；</w:t>
      </w:r>
    </w:p>
    <w:p>
      <w:pPr>
        <w:pStyle w:val="49"/>
      </w:pPr>
      <w:r>
        <w:rPr>
          <w:rFonts w:hint="eastAsia"/>
        </w:rPr>
        <w:t>4.不同投标人的投标文件异常一致或者投标报价呈规律性差异；</w:t>
      </w:r>
    </w:p>
    <w:p>
      <w:pPr>
        <w:pStyle w:val="49"/>
      </w:pPr>
      <w:r>
        <w:rPr>
          <w:rFonts w:hint="eastAsia"/>
        </w:rPr>
        <w:t>5.不同投标人的投标文件相互混装；</w:t>
      </w:r>
    </w:p>
    <w:p>
      <w:pPr>
        <w:pStyle w:val="52"/>
        <w:numPr>
          <w:ilvl w:val="2"/>
          <w:numId w:val="15"/>
        </w:numPr>
        <w:ind w:firstLine="482"/>
      </w:pPr>
      <w:bookmarkStart w:id="785" w:name="_Toc10983"/>
      <w:bookmarkStart w:id="786" w:name="_Toc22192"/>
      <w:bookmarkStart w:id="787" w:name="_Toc32334"/>
      <w:bookmarkStart w:id="788" w:name="_Toc17038"/>
      <w:bookmarkStart w:id="789" w:name="_Toc13598"/>
      <w:r>
        <w:rPr>
          <w:rFonts w:hint="eastAsia"/>
        </w:rPr>
        <w:t>投标人信用信息查询</w:t>
      </w:r>
      <w:bookmarkEnd w:id="785"/>
      <w:bookmarkEnd w:id="786"/>
      <w:bookmarkEnd w:id="787"/>
      <w:bookmarkEnd w:id="788"/>
      <w:bookmarkEnd w:id="789"/>
    </w:p>
    <w:p>
      <w:pPr>
        <w:pStyle w:val="35"/>
        <w:numPr>
          <w:ilvl w:val="1"/>
          <w:numId w:val="0"/>
        </w:numPr>
        <w:ind w:firstLine="480" w:firstLineChars="200"/>
      </w:pPr>
      <w:r>
        <w:rPr>
          <w:rFonts w:hint="eastAsia"/>
        </w:rPr>
        <w:t>1.投标人信用信息查询渠道</w:t>
      </w:r>
    </w:p>
    <w:p>
      <w:pPr>
        <w:pStyle w:val="49"/>
      </w:pPr>
      <w:r>
        <w:rPr>
          <w:rFonts w:hint="eastAsia"/>
        </w:rPr>
        <w:t>“信用中国”网站(www.creditchina.gov.cn)、“中国政府采购网”(www.ccgp.gov.cn)等。</w:t>
      </w:r>
    </w:p>
    <w:p>
      <w:pPr>
        <w:pStyle w:val="35"/>
        <w:numPr>
          <w:ilvl w:val="1"/>
          <w:numId w:val="0"/>
        </w:numPr>
        <w:ind w:firstLine="480" w:firstLineChars="200"/>
      </w:pPr>
      <w:r>
        <w:rPr>
          <w:rFonts w:hint="eastAsia"/>
        </w:rPr>
        <w:t>2.投标人信用信息查询截止时点</w:t>
      </w:r>
    </w:p>
    <w:p>
      <w:pPr>
        <w:pStyle w:val="49"/>
      </w:pPr>
      <w:r>
        <w:rPr>
          <w:rFonts w:hint="eastAsia"/>
        </w:rPr>
        <w:t>信用信息查询在资格审查阶段完成。</w:t>
      </w:r>
    </w:p>
    <w:p>
      <w:pPr>
        <w:pStyle w:val="35"/>
        <w:numPr>
          <w:ilvl w:val="1"/>
          <w:numId w:val="0"/>
        </w:numPr>
        <w:ind w:firstLine="480" w:firstLineChars="200"/>
      </w:pPr>
      <w:r>
        <w:rPr>
          <w:rFonts w:hint="eastAsia"/>
        </w:rPr>
        <w:t>3.投标人信用信息查询记录和证据留存的具体方式</w:t>
      </w:r>
    </w:p>
    <w:p>
      <w:pPr>
        <w:pStyle w:val="49"/>
      </w:pPr>
      <w:r>
        <w:rPr>
          <w:rFonts w:hint="eastAsia"/>
        </w:rPr>
        <w:t>采购代理机构通过“信用中国”网站、“中国政府采购网”等渠道对供应商进行信用记录查询，并将查询记录存档。</w:t>
      </w:r>
    </w:p>
    <w:p>
      <w:pPr>
        <w:pStyle w:val="35"/>
        <w:numPr>
          <w:ilvl w:val="1"/>
          <w:numId w:val="0"/>
        </w:numPr>
        <w:ind w:firstLine="480" w:firstLineChars="200"/>
      </w:pPr>
      <w:r>
        <w:rPr>
          <w:rFonts w:hint="eastAsia"/>
        </w:rPr>
        <w:t>4.投标人信用信息的使用：凡被列入失信被执行人、重大税收违法案件当事人名单、政府采购严重违法失信行为记录名单的，视为存在不良信用记录，参与本项目的将被拒绝。</w:t>
      </w:r>
    </w:p>
    <w:p>
      <w:pPr>
        <w:pStyle w:val="52"/>
        <w:numPr>
          <w:ilvl w:val="2"/>
          <w:numId w:val="15"/>
        </w:numPr>
        <w:ind w:firstLine="482"/>
      </w:pPr>
      <w:bookmarkStart w:id="790" w:name="_Toc4222"/>
      <w:r>
        <w:rPr>
          <w:rFonts w:hint="eastAsia"/>
        </w:rPr>
        <w:t>保密</w:t>
      </w:r>
      <w:bookmarkEnd w:id="790"/>
    </w:p>
    <w:p>
      <w:pPr>
        <w:pStyle w:val="10"/>
        <w:tabs>
          <w:tab w:val="left" w:pos="1134"/>
          <w:tab w:val="clear" w:pos="0"/>
        </w:tabs>
        <w:ind w:firstLine="480"/>
      </w:pPr>
      <w:r>
        <w:rPr>
          <w:rFonts w:hint="eastAsia"/>
        </w:rPr>
        <w:t>1.各采购当事人不得透露有关成功获取采购文件的潜在投标人的任何情况。</w:t>
      </w:r>
    </w:p>
    <w:p>
      <w:pPr>
        <w:pStyle w:val="10"/>
        <w:tabs>
          <w:tab w:val="left" w:pos="1134"/>
          <w:tab w:val="clear" w:pos="0"/>
        </w:tabs>
        <w:ind w:firstLine="480"/>
      </w:pPr>
      <w:r>
        <w:rPr>
          <w:rFonts w:hint="eastAsia"/>
        </w:rPr>
        <w:t>2.投标人有关投标文件的审查、澄清、评估和比较以及合同授予意向等情况均不得对外透露。</w:t>
      </w:r>
    </w:p>
    <w:p>
      <w:pPr>
        <w:pStyle w:val="52"/>
        <w:numPr>
          <w:ilvl w:val="2"/>
          <w:numId w:val="15"/>
        </w:numPr>
        <w:ind w:firstLine="482"/>
      </w:pPr>
      <w:bookmarkStart w:id="791" w:name="_Toc15083"/>
      <w:r>
        <w:rPr>
          <w:rFonts w:hint="eastAsia"/>
        </w:rPr>
        <w:t>回避</w:t>
      </w:r>
      <w:bookmarkEnd w:id="791"/>
    </w:p>
    <w:p>
      <w:pPr>
        <w:pStyle w:val="21"/>
        <w:spacing w:beforeAutospacing="0" w:afterAutospacing="0"/>
        <w:ind w:firstLine="480" w:firstLineChars="200"/>
        <w:jc w:val="both"/>
        <w:textAlignment w:val="center"/>
        <w:rPr>
          <w:rFonts w:cstheme="minorBidi"/>
          <w:kern w:val="2"/>
        </w:rPr>
      </w:pPr>
      <w:r>
        <w:rPr>
          <w:rFonts w:hint="eastAsia" w:cstheme="minorBidi"/>
          <w:kern w:val="2"/>
        </w:rPr>
        <w:t>在政府采购活动中，采购人员及相关人员与供应商有下列利害关系之一的，应当回避：</w:t>
      </w:r>
    </w:p>
    <w:p>
      <w:pPr>
        <w:pStyle w:val="21"/>
        <w:spacing w:beforeAutospacing="0" w:afterAutospacing="0"/>
        <w:ind w:firstLine="480" w:firstLineChars="200"/>
        <w:jc w:val="both"/>
        <w:textAlignment w:val="center"/>
        <w:rPr>
          <w:rFonts w:cstheme="minorBidi"/>
          <w:kern w:val="2"/>
        </w:rPr>
      </w:pPr>
      <w:r>
        <w:rPr>
          <w:rFonts w:hint="eastAsia" w:cstheme="minorBidi"/>
          <w:kern w:val="2"/>
        </w:rPr>
        <w:t>1.参加采购活动前3年内与供应商存在劳动关系；</w:t>
      </w:r>
    </w:p>
    <w:p>
      <w:pPr>
        <w:pStyle w:val="21"/>
        <w:spacing w:beforeAutospacing="0" w:afterAutospacing="0"/>
        <w:ind w:firstLine="480" w:firstLineChars="200"/>
        <w:jc w:val="both"/>
        <w:textAlignment w:val="center"/>
        <w:rPr>
          <w:rFonts w:cstheme="minorBidi"/>
          <w:kern w:val="2"/>
        </w:rPr>
      </w:pPr>
      <w:r>
        <w:rPr>
          <w:rFonts w:hint="eastAsia" w:cstheme="minorBidi"/>
          <w:kern w:val="2"/>
        </w:rPr>
        <w:t>2.参加采购活动前3年内担任供应商的董事、监事；</w:t>
      </w:r>
    </w:p>
    <w:p>
      <w:pPr>
        <w:pStyle w:val="21"/>
        <w:spacing w:beforeAutospacing="0" w:afterAutospacing="0"/>
        <w:ind w:firstLine="480" w:firstLineChars="200"/>
        <w:jc w:val="both"/>
        <w:textAlignment w:val="center"/>
        <w:rPr>
          <w:rFonts w:cstheme="minorBidi"/>
          <w:kern w:val="2"/>
        </w:rPr>
      </w:pPr>
      <w:r>
        <w:rPr>
          <w:rFonts w:hint="eastAsia" w:cstheme="minorBidi"/>
          <w:kern w:val="2"/>
        </w:rPr>
        <w:t>3.参加采购活动前3年内是供应商的控股股东或者实际控制人；</w:t>
      </w:r>
    </w:p>
    <w:p>
      <w:pPr>
        <w:pStyle w:val="21"/>
        <w:spacing w:beforeAutospacing="0" w:afterAutospacing="0"/>
        <w:ind w:firstLine="480" w:firstLineChars="200"/>
        <w:jc w:val="both"/>
        <w:textAlignment w:val="center"/>
        <w:rPr>
          <w:rFonts w:cstheme="minorBidi"/>
          <w:kern w:val="2"/>
        </w:rPr>
      </w:pPr>
      <w:r>
        <w:rPr>
          <w:rFonts w:hint="eastAsia" w:cstheme="minorBidi"/>
          <w:kern w:val="2"/>
        </w:rPr>
        <w:t>4.与供应商的法定代表人或者负责人有夫妻、直系血亲、三代以内旁系血亲或者近姻亲关系；</w:t>
      </w:r>
    </w:p>
    <w:p>
      <w:pPr>
        <w:pStyle w:val="21"/>
        <w:spacing w:beforeAutospacing="0" w:afterAutospacing="0"/>
        <w:ind w:firstLine="480" w:firstLineChars="200"/>
        <w:jc w:val="both"/>
        <w:textAlignment w:val="center"/>
        <w:rPr>
          <w:rFonts w:cstheme="minorBidi"/>
          <w:kern w:val="2"/>
        </w:rPr>
      </w:pPr>
      <w:r>
        <w:rPr>
          <w:rFonts w:hint="eastAsia" w:cstheme="minorBidi"/>
          <w:kern w:val="2"/>
        </w:rPr>
        <w:t>5.与供应商有其他可能影响政府采购活动公平、公正进行的关系。</w:t>
      </w:r>
    </w:p>
    <w:p>
      <w:pPr>
        <w:pStyle w:val="10"/>
        <w:tabs>
          <w:tab w:val="left" w:pos="1134"/>
          <w:tab w:val="clear" w:pos="0"/>
        </w:tabs>
        <w:ind w:firstLine="480"/>
      </w:pPr>
      <w:r>
        <w:rPr>
          <w:rFonts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2"/>
        <w:numPr>
          <w:ilvl w:val="2"/>
          <w:numId w:val="15"/>
        </w:numPr>
        <w:ind w:firstLine="482"/>
      </w:pPr>
      <w:bookmarkStart w:id="792" w:name="_Toc31912"/>
      <w:r>
        <w:rPr>
          <w:rFonts w:hint="eastAsia"/>
        </w:rPr>
        <w:t>解释说明</w:t>
      </w:r>
      <w:bookmarkEnd w:id="792"/>
    </w:p>
    <w:p>
      <w:pPr>
        <w:pStyle w:val="35"/>
        <w:numPr>
          <w:ilvl w:val="1"/>
          <w:numId w:val="0"/>
        </w:numPr>
        <w:ind w:firstLine="480" w:firstLineChars="200"/>
      </w:pPr>
      <w:r>
        <w:rPr>
          <w:rFonts w:hint="eastAsia"/>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35"/>
        <w:numPr>
          <w:ilvl w:val="1"/>
          <w:numId w:val="0"/>
        </w:numPr>
        <w:ind w:firstLine="480" w:firstLineChars="200"/>
      </w:pPr>
      <w:r>
        <w:rPr>
          <w:rFonts w:hint="eastAsia"/>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5"/>
        <w:numPr>
          <w:ilvl w:val="1"/>
          <w:numId w:val="0"/>
        </w:numPr>
        <w:ind w:firstLine="480" w:firstLineChars="200"/>
      </w:pPr>
      <w:r>
        <w:rPr>
          <w:rFonts w:hint="eastAsia"/>
        </w:rPr>
        <w:t>3.国家或行业主管部门对供应商和采购产品的技术标准、质量标准等有强制性规定的，必须符合其要求</w:t>
      </w:r>
      <w:r>
        <w:rPr>
          <w:rFonts w:hint="eastAsia"/>
          <w:b/>
          <w:bCs/>
        </w:rPr>
        <w:t>(实质性要求)</w:t>
      </w:r>
      <w:r>
        <w:rPr>
          <w:rFonts w:hint="eastAsia"/>
        </w:rPr>
        <w:t>。</w:t>
      </w:r>
    </w:p>
    <w:p>
      <w:pPr>
        <w:pStyle w:val="35"/>
        <w:numPr>
          <w:ilvl w:val="1"/>
          <w:numId w:val="0"/>
        </w:numPr>
        <w:ind w:firstLine="480" w:firstLineChars="200"/>
      </w:pPr>
      <w:r>
        <w:rPr>
          <w:rFonts w:hint="eastAsia"/>
        </w:rPr>
        <w:t>4.</w:t>
      </w:r>
      <w:r>
        <w:rPr>
          <w:rFonts w:hint="eastAsia" w:cs="宋体"/>
        </w:rPr>
        <w:t>本项目涉及企业资质、产品认证、人员执业资格等描述与国家最新要求不一致时以最新要求为准。</w:t>
      </w:r>
    </w:p>
    <w:p>
      <w:pPr>
        <w:pStyle w:val="51"/>
        <w:numPr>
          <w:ilvl w:val="0"/>
          <w:numId w:val="9"/>
        </w:numPr>
        <w:spacing w:before="156" w:after="156"/>
      </w:pPr>
      <w:r>
        <w:rPr>
          <w:rFonts w:hint="eastAsia"/>
        </w:rPr>
        <w:br w:type="page"/>
      </w:r>
      <w:bookmarkEnd w:id="783"/>
      <w:bookmarkStart w:id="793" w:name="_Toc25961"/>
      <w:bookmarkStart w:id="794" w:name="_Toc29575"/>
      <w:bookmarkStart w:id="795" w:name="_Toc4206"/>
      <w:bookmarkStart w:id="796" w:name="_Toc31402"/>
      <w:bookmarkStart w:id="797" w:name="_Toc20558"/>
      <w:r>
        <w:rPr>
          <w:rFonts w:hint="eastAsia"/>
        </w:rPr>
        <w:t>投标文件格式</w:t>
      </w:r>
      <w:bookmarkEnd w:id="793"/>
      <w:bookmarkEnd w:id="794"/>
      <w:bookmarkEnd w:id="795"/>
      <w:bookmarkEnd w:id="796"/>
      <w:bookmarkEnd w:id="797"/>
    </w:p>
    <w:p>
      <w:pPr>
        <w:pStyle w:val="53"/>
        <w:ind w:firstLine="480"/>
      </w:pPr>
      <w:bookmarkStart w:id="798" w:name="_Toc16460"/>
      <w:bookmarkStart w:id="799" w:name="_Toc182759327"/>
      <w:bookmarkStart w:id="800" w:name="_Toc294701519"/>
      <w:bookmarkStart w:id="801" w:name="_Toc211218954"/>
      <w:bookmarkStart w:id="802" w:name="_Toc316462354"/>
      <w:bookmarkStart w:id="803" w:name="_Toc287367101"/>
      <w:bookmarkStart w:id="804" w:name="_Toc182629023"/>
      <w:bookmarkStart w:id="805" w:name="_Toc294688711"/>
      <w:bookmarkStart w:id="806" w:name="_Toc439161746"/>
      <w:bookmarkStart w:id="807" w:name="_Toc295978802"/>
      <w:r>
        <w:rPr>
          <w:rFonts w:hint="eastAsia"/>
        </w:rPr>
        <w:t>一、本章所制投标文件格式，除格式中明确将该格式作为实质性要求的，一律不具有强制性。</w:t>
      </w:r>
    </w:p>
    <w:p>
      <w:pPr>
        <w:pStyle w:val="53"/>
        <w:ind w:firstLine="480"/>
      </w:pPr>
      <w:r>
        <w:rPr>
          <w:rFonts w:hint="eastAsia"/>
        </w:rPr>
        <w:t>二、本章所制投标文件格式有关表格中的备注栏，由投标人根据自身投标情况作解释性说明，不作为必填项。</w:t>
      </w:r>
    </w:p>
    <w:p>
      <w:pPr>
        <w:pStyle w:val="53"/>
        <w:ind w:firstLine="480"/>
      </w:pPr>
      <w:r>
        <w:rPr>
          <w:rFonts w:hint="eastAsia"/>
        </w:rPr>
        <w:t>三、本章格式中“注”的内容，供应商可自行决定是否保留在投标文件中，未保留的视为供应商默认接受“注”的内容。</w:t>
      </w:r>
    </w:p>
    <w:p>
      <w:pPr>
        <w:pStyle w:val="53"/>
        <w:ind w:firstLine="480"/>
      </w:pPr>
      <w:r>
        <w:rPr>
          <w:rFonts w:hint="eastAsia"/>
        </w:rPr>
        <w:t>四、本章所制投标文件格式中需要填写的相关内容事项，可能会与本采购项目无关，在不改变投标文件原义、不影响本项目采购需求的情况下，投标人可以不予填写，但应当注明。</w:t>
      </w:r>
    </w:p>
    <w:p>
      <w:pPr>
        <w:pStyle w:val="45"/>
      </w:pPr>
      <w:r>
        <w:rPr>
          <w:rFonts w:hint="eastAsia"/>
        </w:rPr>
        <w:br w:type="page"/>
      </w:r>
    </w:p>
    <w:bookmarkEnd w:id="798"/>
    <w:bookmarkEnd w:id="799"/>
    <w:bookmarkEnd w:id="800"/>
    <w:bookmarkEnd w:id="801"/>
    <w:bookmarkEnd w:id="802"/>
    <w:bookmarkEnd w:id="803"/>
    <w:bookmarkEnd w:id="804"/>
    <w:bookmarkEnd w:id="805"/>
    <w:bookmarkEnd w:id="806"/>
    <w:bookmarkEnd w:id="807"/>
    <w:p>
      <w:bookmarkStart w:id="808" w:name="_Toc18724"/>
      <w:bookmarkStart w:id="809" w:name="_Toc881"/>
      <w:bookmarkStart w:id="810" w:name="_Toc24888"/>
      <w:r>
        <w:rPr>
          <w:rFonts w:hint="eastAsia"/>
        </w:rPr>
        <w:t>附件：密封袋的格式</w:t>
      </w:r>
    </w:p>
    <w:p/>
    <w:p/>
    <w:p/>
    <w:tbl>
      <w:tblPr>
        <w:tblStyle w:val="24"/>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
            <w:pPr>
              <w:ind w:left="2400" w:leftChars="1000"/>
            </w:pPr>
            <w:r>
              <w:rPr>
                <w:rFonts w:hint="eastAsia"/>
              </w:rPr>
              <w:t>项目编号：</w:t>
            </w:r>
            <w:r>
              <w:rPr>
                <w:rFonts w:hint="eastAsia" w:asciiTheme="minorEastAsia" w:hAnsiTheme="minorEastAsia" w:eastAsiaTheme="minorEastAsia" w:cstheme="minorEastAsia"/>
                <w:u w:val="single"/>
              </w:rPr>
              <w:t xml:space="preserve">                   </w:t>
            </w:r>
            <w:r>
              <w:rPr>
                <w:rFonts w:hint="eastAsia"/>
              </w:rPr>
              <w:t xml:space="preserve">                   </w:t>
            </w:r>
          </w:p>
          <w:p>
            <w:pPr>
              <w:ind w:left="2400" w:leftChars="1000"/>
            </w:pPr>
            <w:r>
              <w:rPr>
                <w:rFonts w:hint="eastAsia"/>
              </w:rPr>
              <w:t>项目名称：</w:t>
            </w:r>
            <w:r>
              <w:rPr>
                <w:rFonts w:hint="eastAsia" w:asciiTheme="minorEastAsia" w:hAnsiTheme="minorEastAsia" w:eastAsiaTheme="minorEastAsia" w:cstheme="minorEastAsia"/>
                <w:u w:val="single"/>
              </w:rPr>
              <w:t xml:space="preserve">                   </w:t>
            </w:r>
            <w:r>
              <w:rPr>
                <w:rFonts w:hint="eastAsia"/>
              </w:rPr>
              <w:t xml:space="preserve">                   </w:t>
            </w:r>
          </w:p>
          <w:p/>
          <w:p>
            <w:pPr>
              <w:jc w:val="center"/>
              <w:rPr>
                <w:b/>
                <w:bCs/>
                <w:sz w:val="32"/>
                <w:szCs w:val="32"/>
              </w:rPr>
            </w:pPr>
            <w:r>
              <w:rPr>
                <w:rFonts w:hint="eastAsia"/>
                <w:b/>
                <w:bCs/>
                <w:sz w:val="32"/>
                <w:szCs w:val="32"/>
              </w:rPr>
              <w:t>资格、资质性及其他类似效力投标文件/其他投标文件</w:t>
            </w:r>
          </w:p>
          <w:p>
            <w:pPr>
              <w:jc w:val="center"/>
              <w:rPr>
                <w:b/>
                <w:bCs/>
                <w:sz w:val="32"/>
                <w:szCs w:val="32"/>
              </w:rPr>
            </w:pPr>
            <w:r>
              <w:rPr>
                <w:rFonts w:hint="eastAsia"/>
                <w:b/>
                <w:bCs/>
                <w:sz w:val="32"/>
                <w:szCs w:val="32"/>
              </w:rPr>
              <w:t>/开标一览表</w:t>
            </w:r>
          </w:p>
          <w:p/>
          <w:p>
            <w:pPr>
              <w:ind w:left="2400" w:leftChars="1000"/>
            </w:pPr>
            <w:r>
              <w:rPr>
                <w:rFonts w:hint="eastAsia"/>
              </w:rPr>
              <w:t>投标人名称：</w:t>
            </w:r>
            <w:r>
              <w:rPr>
                <w:rFonts w:hint="eastAsia" w:asciiTheme="minorEastAsia" w:hAnsiTheme="minorEastAsia" w:eastAsiaTheme="minorEastAsia" w:cstheme="minorEastAsia"/>
                <w:u w:val="single"/>
              </w:rPr>
              <w:t xml:space="preserve">                 </w:t>
            </w:r>
            <w:r>
              <w:rPr>
                <w:rFonts w:hint="eastAsia"/>
              </w:rPr>
              <w:t xml:space="preserve">                 </w:t>
            </w:r>
          </w:p>
          <w:p>
            <w:pPr>
              <w:ind w:left="2400" w:leftChars="1000"/>
            </w:pPr>
            <w:r>
              <w:rPr>
                <w:rFonts w:hint="eastAsia"/>
              </w:rPr>
              <w:t>投标日期：</w:t>
            </w:r>
            <w:r>
              <w:rPr>
                <w:rFonts w:hint="eastAsia" w:asciiTheme="minorEastAsia" w:hAnsiTheme="minorEastAsia" w:eastAsiaTheme="minorEastAsia" w:cstheme="minorEastAsia"/>
                <w:u w:val="single"/>
              </w:rPr>
              <w:t xml:space="preserve">                   </w:t>
            </w:r>
            <w:r>
              <w:rPr>
                <w:rFonts w:hint="eastAsia"/>
              </w:rPr>
              <w:t xml:space="preserve">                   </w:t>
            </w:r>
          </w:p>
          <w:p/>
        </w:tc>
      </w:tr>
    </w:tbl>
    <w:p>
      <w:bookmarkStart w:id="811" w:name="_Toc11581"/>
      <w:bookmarkStart w:id="812" w:name="_Toc6994"/>
      <w:r>
        <w:rPr>
          <w:rFonts w:hint="eastAsia"/>
        </w:rPr>
        <w:br w:type="page"/>
      </w:r>
    </w:p>
    <w:p>
      <w:r>
        <w:rPr>
          <w:rFonts w:hint="eastAsia"/>
        </w:rPr>
        <w:t>投标文件封面格式</w:t>
      </w:r>
      <w:bookmarkEnd w:id="811"/>
      <w:bookmarkEnd w:id="812"/>
    </w:p>
    <w:p/>
    <w:p/>
    <w:p/>
    <w:p/>
    <w:p>
      <w:pPr>
        <w:spacing w:line="360" w:lineRule="auto"/>
        <w:jc w:val="center"/>
        <w:rPr>
          <w:b/>
          <w:bCs/>
          <w:sz w:val="48"/>
          <w:szCs w:val="48"/>
        </w:rPr>
      </w:pPr>
    </w:p>
    <w:p>
      <w:pPr>
        <w:spacing w:line="360" w:lineRule="auto"/>
        <w:jc w:val="center"/>
        <w:rPr>
          <w:b/>
          <w:bCs/>
          <w:sz w:val="48"/>
          <w:szCs w:val="48"/>
        </w:rPr>
      </w:pPr>
      <w:r>
        <w:rPr>
          <w:rFonts w:hint="eastAsia"/>
          <w:b/>
          <w:bCs/>
          <w:sz w:val="48"/>
          <w:szCs w:val="48"/>
        </w:rPr>
        <w:t>资格、资质性及其他类似效力投标文件</w:t>
      </w:r>
    </w:p>
    <w:p>
      <w:pPr>
        <w:spacing w:line="360" w:lineRule="auto"/>
        <w:jc w:val="center"/>
        <w:rPr>
          <w:b/>
          <w:bCs/>
          <w:sz w:val="48"/>
          <w:szCs w:val="48"/>
        </w:rPr>
      </w:pPr>
      <w:r>
        <w:rPr>
          <w:rFonts w:hint="eastAsia"/>
          <w:b/>
          <w:bCs/>
          <w:sz w:val="48"/>
          <w:szCs w:val="48"/>
        </w:rPr>
        <w:t>/其他投标文件</w:t>
      </w:r>
    </w:p>
    <w:p/>
    <w:p>
      <w:pPr>
        <w:spacing w:line="480" w:lineRule="auto"/>
        <w:ind w:left="2400" w:leftChars="1000"/>
        <w:rPr>
          <w:b/>
          <w:bCs/>
          <w:sz w:val="32"/>
          <w:szCs w:val="32"/>
        </w:rPr>
      </w:pPr>
    </w:p>
    <w:p>
      <w:pPr>
        <w:spacing w:line="480" w:lineRule="auto"/>
        <w:ind w:left="2400" w:leftChars="1000"/>
        <w:rPr>
          <w:b/>
          <w:bCs/>
          <w:sz w:val="32"/>
          <w:szCs w:val="32"/>
        </w:rPr>
      </w:pPr>
    </w:p>
    <w:p>
      <w:pPr>
        <w:spacing w:line="480" w:lineRule="auto"/>
        <w:ind w:left="2400" w:leftChars="1000"/>
        <w:rPr>
          <w:b/>
          <w:bCs/>
          <w:sz w:val="32"/>
          <w:szCs w:val="32"/>
        </w:rPr>
      </w:pPr>
    </w:p>
    <w:p>
      <w:pPr>
        <w:spacing w:line="480" w:lineRule="auto"/>
        <w:ind w:left="2400" w:leftChars="1000"/>
        <w:rPr>
          <w:b/>
          <w:bCs/>
          <w:sz w:val="32"/>
          <w:szCs w:val="32"/>
        </w:rPr>
      </w:pPr>
    </w:p>
    <w:p>
      <w:pPr>
        <w:spacing w:line="480" w:lineRule="auto"/>
        <w:ind w:left="2400" w:leftChars="1000"/>
        <w:rPr>
          <w:b/>
          <w:bCs/>
          <w:sz w:val="32"/>
          <w:szCs w:val="32"/>
        </w:rPr>
      </w:pPr>
      <w:r>
        <w:rPr>
          <w:rFonts w:hint="eastAsia"/>
          <w:b/>
          <w:bCs/>
          <w:sz w:val="32"/>
          <w:szCs w:val="32"/>
        </w:rPr>
        <w:t>项目名称：</w:t>
      </w:r>
      <w:r>
        <w:rPr>
          <w:rFonts w:hint="eastAsia" w:asciiTheme="minorEastAsia" w:hAnsiTheme="minorEastAsia" w:eastAsiaTheme="minorEastAsia" w:cstheme="minorEastAsia"/>
          <w:b/>
          <w:bCs/>
          <w:sz w:val="32"/>
          <w:szCs w:val="32"/>
          <w:u w:val="single"/>
        </w:rPr>
        <w:t xml:space="preserve">                    </w:t>
      </w:r>
      <w:r>
        <w:rPr>
          <w:rFonts w:hint="eastAsia"/>
          <w:b/>
          <w:bCs/>
          <w:sz w:val="32"/>
          <w:szCs w:val="32"/>
        </w:rPr>
        <w:t xml:space="preserve">                      </w:t>
      </w:r>
    </w:p>
    <w:p>
      <w:pPr>
        <w:spacing w:line="480" w:lineRule="auto"/>
        <w:ind w:left="2400" w:leftChars="1000"/>
        <w:rPr>
          <w:b/>
          <w:bCs/>
          <w:sz w:val="32"/>
          <w:szCs w:val="32"/>
        </w:rPr>
      </w:pPr>
      <w:r>
        <w:rPr>
          <w:rFonts w:hint="eastAsia"/>
          <w:b/>
          <w:bCs/>
          <w:sz w:val="32"/>
          <w:szCs w:val="32"/>
        </w:rPr>
        <w:t>项目编号：</w:t>
      </w:r>
      <w:r>
        <w:rPr>
          <w:rFonts w:hint="eastAsia" w:asciiTheme="minorEastAsia" w:hAnsiTheme="minorEastAsia" w:eastAsiaTheme="minorEastAsia" w:cstheme="minorEastAsia"/>
          <w:b/>
          <w:bCs/>
          <w:sz w:val="32"/>
          <w:szCs w:val="32"/>
          <w:u w:val="single"/>
        </w:rPr>
        <w:t xml:space="preserve">                    </w:t>
      </w:r>
      <w:r>
        <w:rPr>
          <w:rFonts w:hint="eastAsia"/>
          <w:b/>
          <w:bCs/>
          <w:sz w:val="32"/>
          <w:szCs w:val="32"/>
        </w:rPr>
        <w:t xml:space="preserve">                      </w:t>
      </w:r>
    </w:p>
    <w:p>
      <w:pPr>
        <w:spacing w:line="480" w:lineRule="auto"/>
        <w:ind w:left="2400" w:leftChars="1000"/>
        <w:rPr>
          <w:b/>
          <w:bCs/>
          <w:sz w:val="32"/>
          <w:szCs w:val="32"/>
        </w:rPr>
      </w:pPr>
      <w:r>
        <w:rPr>
          <w:rFonts w:hint="eastAsia"/>
          <w:b/>
          <w:bCs/>
          <w:sz w:val="32"/>
          <w:szCs w:val="32"/>
        </w:rPr>
        <w:t>投标人名称：</w:t>
      </w:r>
      <w:r>
        <w:rPr>
          <w:rFonts w:hint="eastAsia" w:asciiTheme="minorEastAsia" w:hAnsiTheme="minorEastAsia" w:eastAsiaTheme="minorEastAsia" w:cstheme="minorEastAsia"/>
          <w:b/>
          <w:bCs/>
          <w:sz w:val="32"/>
          <w:szCs w:val="32"/>
          <w:u w:val="single"/>
        </w:rPr>
        <w:t xml:space="preserve">                  </w:t>
      </w:r>
      <w:r>
        <w:rPr>
          <w:rFonts w:hint="eastAsia"/>
          <w:b/>
          <w:bCs/>
          <w:sz w:val="32"/>
          <w:szCs w:val="32"/>
        </w:rPr>
        <w:t xml:space="preserve">                </w:t>
      </w:r>
    </w:p>
    <w:p>
      <w:pPr>
        <w:spacing w:line="480" w:lineRule="auto"/>
        <w:ind w:left="2400" w:leftChars="1000"/>
        <w:rPr>
          <w:b/>
          <w:bCs/>
          <w:sz w:val="32"/>
          <w:szCs w:val="32"/>
        </w:rPr>
      </w:pPr>
      <w:r>
        <w:rPr>
          <w:rFonts w:hint="eastAsia"/>
          <w:b/>
          <w:bCs/>
          <w:sz w:val="32"/>
          <w:szCs w:val="32"/>
        </w:rPr>
        <w:t>投标日期：</w:t>
      </w:r>
      <w:r>
        <w:rPr>
          <w:rFonts w:hint="eastAsia"/>
          <w:b/>
          <w:bCs/>
          <w:sz w:val="32"/>
          <w:szCs w:val="32"/>
          <w:u w:val="single"/>
        </w:rPr>
        <w:t xml:space="preserve">      </w:t>
      </w:r>
      <w:r>
        <w:rPr>
          <w:rFonts w:hint="eastAsia"/>
          <w:b/>
          <w:bCs/>
          <w:sz w:val="32"/>
          <w:szCs w:val="32"/>
        </w:rPr>
        <w:t>年</w:t>
      </w:r>
      <w:r>
        <w:rPr>
          <w:rFonts w:hint="eastAsia"/>
          <w:b/>
          <w:bCs/>
          <w:sz w:val="32"/>
          <w:szCs w:val="32"/>
          <w:u w:val="single"/>
        </w:rPr>
        <w:t xml:space="preserve">    </w:t>
      </w:r>
      <w:r>
        <w:rPr>
          <w:rFonts w:hint="eastAsia"/>
          <w:b/>
          <w:bCs/>
          <w:sz w:val="32"/>
          <w:szCs w:val="32"/>
        </w:rPr>
        <w:t>月</w:t>
      </w:r>
      <w:r>
        <w:rPr>
          <w:rFonts w:hint="eastAsia"/>
          <w:b/>
          <w:bCs/>
          <w:sz w:val="32"/>
          <w:szCs w:val="32"/>
          <w:u w:val="single"/>
        </w:rPr>
        <w:t xml:space="preserve">    </w:t>
      </w:r>
      <w:r>
        <w:rPr>
          <w:rFonts w:hint="eastAsia"/>
          <w:b/>
          <w:bCs/>
          <w:sz w:val="32"/>
          <w:szCs w:val="32"/>
        </w:rPr>
        <w:t>日</w:t>
      </w:r>
    </w:p>
    <w:p>
      <w:pPr>
        <w:wordWrap w:val="0"/>
        <w:topLinePunct/>
        <w:rPr>
          <w:snapToGrid w:val="0"/>
        </w:rPr>
      </w:pPr>
      <w:bookmarkStart w:id="813" w:name="_Toc31011"/>
      <w:bookmarkStart w:id="814" w:name="_Toc5306"/>
      <w:bookmarkStart w:id="815" w:name="_Toc11556"/>
      <w:bookmarkStart w:id="816" w:name="_Toc5565"/>
      <w:r>
        <w:rPr>
          <w:rFonts w:hint="eastAsia"/>
          <w:snapToGrid w:val="0"/>
        </w:rPr>
        <w:br w:type="page"/>
      </w:r>
    </w:p>
    <w:bookmarkEnd w:id="813"/>
    <w:bookmarkEnd w:id="814"/>
    <w:bookmarkEnd w:id="815"/>
    <w:bookmarkEnd w:id="816"/>
    <w:p>
      <w:pPr>
        <w:wordWrap w:val="0"/>
        <w:topLinePunct/>
        <w:rPr>
          <w:snapToGrid w:val="0"/>
        </w:rPr>
      </w:pPr>
      <w:bookmarkStart w:id="817" w:name="_Toc15611"/>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bookmarkStart w:id="818" w:name="_Toc24630"/>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numPr>
          <w:ilvl w:val="1"/>
          <w:numId w:val="0"/>
        </w:numPr>
        <w:wordWrap w:val="0"/>
        <w:topLinePunct/>
        <w:spacing w:before="626" w:beforeLines="200"/>
        <w:ind w:firstLine="640" w:firstLineChars="200"/>
        <w:jc w:val="center"/>
        <w:outlineLvl w:val="1"/>
        <w:rPr>
          <w:b/>
          <w:sz w:val="32"/>
          <w:szCs w:val="32"/>
        </w:rPr>
      </w:pPr>
      <w:bookmarkStart w:id="819" w:name="_Toc14069"/>
      <w:r>
        <w:rPr>
          <w:rFonts w:hint="eastAsia"/>
          <w:b/>
          <w:sz w:val="32"/>
          <w:szCs w:val="32"/>
        </w:rPr>
        <w:t>第一部分 资格、资质性及其他类似效力投标文件(格式)</w:t>
      </w:r>
      <w:bookmarkEnd w:id="817"/>
      <w:bookmarkEnd w:id="818"/>
      <w:bookmarkEnd w:id="819"/>
      <w:bookmarkStart w:id="820" w:name="_Toc23537"/>
      <w:bookmarkStart w:id="821" w:name="_Toc16168"/>
    </w:p>
    <w:bookmarkEnd w:id="820"/>
    <w:bookmarkEnd w:id="821"/>
    <w:p>
      <w:pPr>
        <w:wordWrap w:val="0"/>
        <w:topLinePunct/>
        <w:rPr>
          <w:snapToGrid w:val="0"/>
        </w:rPr>
      </w:pPr>
      <w:bookmarkStart w:id="822" w:name="_Toc19166"/>
      <w:bookmarkStart w:id="823" w:name="_Toc15054"/>
      <w:bookmarkStart w:id="824" w:name="_Toc4865"/>
      <w:r>
        <w:rPr>
          <w:rFonts w:hint="eastAsia"/>
          <w:snapToGrid w:val="0"/>
        </w:rPr>
        <w:br w:type="page"/>
      </w:r>
    </w:p>
    <w:p>
      <w:pPr>
        <w:pageBreakBefore/>
        <w:numPr>
          <w:ilvl w:val="0"/>
          <w:numId w:val="16"/>
        </w:numPr>
        <w:wordWrap w:val="0"/>
        <w:topLinePunct/>
        <w:spacing w:before="156" w:beforeLines="50" w:after="156" w:afterLines="50"/>
        <w:jc w:val="center"/>
        <w:outlineLvl w:val="2"/>
        <w:rPr>
          <w:b/>
          <w:snapToGrid w:val="0"/>
          <w:sz w:val="28"/>
        </w:rPr>
        <w:sectPr>
          <w:footerReference r:id="rId14" w:type="default"/>
          <w:pgSz w:w="11905" w:h="16838"/>
          <w:pgMar w:top="1080" w:right="1440" w:bottom="1080" w:left="1440" w:header="851" w:footer="1077" w:gutter="0"/>
          <w:pgNumType w:start="1"/>
          <w:cols w:space="720" w:num="1"/>
          <w:docGrid w:type="linesAndChars" w:linePitch="313" w:charSpace="0"/>
        </w:sectPr>
      </w:pPr>
      <w:bookmarkStart w:id="825" w:name="_Toc22140"/>
      <w:bookmarkStart w:id="826" w:name="_Toc21430"/>
      <w:bookmarkStart w:id="827" w:name="_Toc9243"/>
      <w:bookmarkStart w:id="828" w:name="_Toc9688"/>
      <w:bookmarkStart w:id="829" w:name="_Toc5501"/>
    </w:p>
    <w:p>
      <w:pPr>
        <w:pStyle w:val="47"/>
        <w:numPr>
          <w:ilvl w:val="0"/>
          <w:numId w:val="17"/>
        </w:numPr>
        <w:spacing w:before="120" w:after="120"/>
        <w:ind w:firstLine="0"/>
      </w:pPr>
      <w:bookmarkStart w:id="830" w:name="_Toc15108"/>
      <w:bookmarkStart w:id="831" w:name="_Toc23625"/>
      <w:bookmarkStart w:id="832" w:name="_Toc15172"/>
      <w:r>
        <w:rPr>
          <w:rFonts w:hint="eastAsia"/>
        </w:rPr>
        <w:t>法定代表人/单位负责人授权书</w:t>
      </w:r>
      <w:bookmarkEnd w:id="830"/>
      <w:bookmarkEnd w:id="831"/>
      <w:bookmarkEnd w:id="832"/>
    </w:p>
    <w:p>
      <w:pPr>
        <w:pStyle w:val="45"/>
      </w:pPr>
      <w:r>
        <w:rPr>
          <w:rFonts w:hint="eastAsia" w:asciiTheme="minorEastAsia" w:hAnsiTheme="minorEastAsia" w:eastAsiaTheme="minorEastAsia" w:cstheme="minorEastAsia"/>
          <w:u w:val="single"/>
        </w:rPr>
        <w:t xml:space="preserve">                     </w:t>
      </w:r>
      <w:r>
        <w:rPr>
          <w:rFonts w:hint="eastAsia"/>
        </w:rPr>
        <w:t>(采购代理机构名称)：</w:t>
      </w:r>
    </w:p>
    <w:p>
      <w:pPr>
        <w:pStyle w:val="49"/>
      </w:pPr>
      <w:r>
        <w:rPr>
          <w:rFonts w:hint="eastAsia"/>
        </w:rPr>
        <w:t>本授权声明：</w:t>
      </w:r>
      <w:r>
        <w:rPr>
          <w:rFonts w:hint="eastAsia" w:asciiTheme="minorEastAsia" w:hAnsiTheme="minorEastAsia" w:eastAsiaTheme="minorEastAsia" w:cstheme="minorEastAsia"/>
          <w:u w:val="single"/>
        </w:rPr>
        <w:t xml:space="preserve">                     </w:t>
      </w:r>
      <w:r>
        <w:rPr>
          <w:rFonts w:hint="eastAsia"/>
        </w:rPr>
        <w:t>(投标人名称)</w:t>
      </w:r>
      <w:r>
        <w:rPr>
          <w:rFonts w:hint="eastAsia" w:asciiTheme="minorEastAsia" w:hAnsiTheme="minorEastAsia" w:eastAsiaTheme="minorEastAsia" w:cstheme="minorEastAsia"/>
          <w:u w:val="single"/>
        </w:rPr>
        <w:t xml:space="preserve">          </w:t>
      </w:r>
      <w:r>
        <w:rPr>
          <w:rFonts w:hint="eastAsia"/>
        </w:rPr>
        <w:t>(法定代表人/单位负责人姓名、职务)授权</w:t>
      </w:r>
      <w:r>
        <w:rPr>
          <w:rFonts w:hint="eastAsia" w:asciiTheme="minorEastAsia" w:hAnsiTheme="minorEastAsia" w:eastAsiaTheme="minorEastAsia" w:cstheme="minorEastAsia"/>
          <w:u w:val="single"/>
        </w:rPr>
        <w:t xml:space="preserve">                        </w:t>
      </w:r>
      <w:r>
        <w:rPr>
          <w:rFonts w:hint="eastAsia"/>
        </w:rPr>
        <w:t>(被授权人姓名、职务、身份证号码)为我方参加“</w:t>
      </w:r>
      <w:r>
        <w:rPr>
          <w:rFonts w:hint="eastAsia" w:asciiTheme="minorEastAsia" w:hAnsiTheme="minorEastAsia" w:eastAsiaTheme="minorEastAsia" w:cstheme="minorEastAsia"/>
          <w:u w:val="single"/>
        </w:rPr>
        <w:t xml:space="preserve">                     </w:t>
      </w:r>
      <w:r>
        <w:rPr>
          <w:rFonts w:hint="eastAsia"/>
        </w:rPr>
        <w:t>(项目名称)(项目编号：</w:t>
      </w:r>
      <w:r>
        <w:rPr>
          <w:rFonts w:hint="eastAsia" w:asciiTheme="minorEastAsia" w:hAnsiTheme="minorEastAsia" w:eastAsiaTheme="minorEastAsia" w:cstheme="minorEastAsia"/>
          <w:u w:val="single"/>
        </w:rPr>
        <w:t xml:space="preserve">           </w:t>
      </w:r>
      <w:r>
        <w:rPr>
          <w:rFonts w:hint="eastAsia"/>
        </w:rPr>
        <w:t>)”投标活动</w:t>
      </w:r>
      <w:r>
        <w:rPr>
          <w:rFonts w:hint="eastAsia"/>
          <w:lang w:val="en-US" w:eastAsia="zh-CN"/>
        </w:rPr>
        <w:t>第</w:t>
      </w:r>
      <w:r>
        <w:rPr>
          <w:rFonts w:hint="eastAsia"/>
          <w:u w:val="single"/>
          <w:lang w:val="en-US" w:eastAsia="zh-CN"/>
        </w:rPr>
        <w:t xml:space="preserve">   </w:t>
      </w:r>
      <w:r>
        <w:rPr>
          <w:rFonts w:hint="eastAsia"/>
          <w:u w:val="none"/>
          <w:lang w:val="en-US" w:eastAsia="zh-CN"/>
        </w:rPr>
        <w:t>包</w:t>
      </w:r>
      <w:r>
        <w:rPr>
          <w:rFonts w:hint="eastAsia"/>
        </w:rPr>
        <w:t>的合法代表，以我方名义全权处理该项目有关投标、签订合同以及执行合同等一切事宜，我单位均予承认，所产生的法律后果均由我单位承担。</w:t>
      </w:r>
    </w:p>
    <w:p>
      <w:pPr>
        <w:pStyle w:val="49"/>
      </w:pPr>
      <w:r>
        <w:rPr>
          <w:rFonts w:hint="eastAsia"/>
        </w:rPr>
        <w:t>特此声明。</w:t>
      </w:r>
    </w:p>
    <w:p>
      <w:pPr>
        <w:pStyle w:val="45"/>
      </w:pPr>
    </w:p>
    <w:p>
      <w:pPr>
        <w:pStyle w:val="45"/>
      </w:pPr>
    </w:p>
    <w:p>
      <w:pPr>
        <w:pStyle w:val="45"/>
      </w:pPr>
    </w:p>
    <w:p>
      <w:pPr>
        <w:pStyle w:val="45"/>
      </w:pPr>
    </w:p>
    <w:p>
      <w:pPr>
        <w:pStyle w:val="45"/>
      </w:pPr>
    </w:p>
    <w:p>
      <w:pPr>
        <w:pStyle w:val="45"/>
      </w:pPr>
    </w:p>
    <w:p>
      <w:pPr>
        <w:pStyle w:val="45"/>
      </w:pPr>
    </w:p>
    <w:p>
      <w:pPr>
        <w:pStyle w:val="49"/>
      </w:pPr>
      <w:r>
        <w:rPr>
          <w:rFonts w:hint="eastAsia"/>
        </w:rPr>
        <w:t>法定代表人/单位负责人：</w:t>
      </w:r>
      <w:r>
        <w:rPr>
          <w:rFonts w:hint="eastAsia" w:asciiTheme="minorEastAsia" w:hAnsiTheme="minorEastAsia" w:eastAsiaTheme="minorEastAsia" w:cstheme="minorEastAsia"/>
          <w:u w:val="single"/>
        </w:rPr>
        <w:t xml:space="preserve">             </w:t>
      </w:r>
      <w:r>
        <w:rPr>
          <w:rFonts w:hint="eastAsia"/>
        </w:rPr>
        <w:t>(签字或盖章)</w:t>
      </w:r>
    </w:p>
    <w:p>
      <w:pPr>
        <w:pStyle w:val="49"/>
      </w:pPr>
      <w:r>
        <w:rPr>
          <w:rFonts w:hint="eastAsia"/>
        </w:rPr>
        <w:t>授权代表：</w:t>
      </w:r>
      <w:r>
        <w:rPr>
          <w:rFonts w:hint="eastAsia" w:asciiTheme="minorEastAsia" w:hAnsiTheme="minorEastAsia" w:eastAsiaTheme="minorEastAsia" w:cstheme="minorEastAsia"/>
          <w:u w:val="single"/>
        </w:rPr>
        <w:t xml:space="preserve">             </w:t>
      </w:r>
      <w:r>
        <w:rPr>
          <w:rFonts w:hint="eastAsia"/>
        </w:rPr>
        <w:t>(签字或盖章)</w:t>
      </w:r>
    </w:p>
    <w:p>
      <w:pPr>
        <w:pStyle w:val="49"/>
      </w:pPr>
      <w:r>
        <w:rPr>
          <w:rFonts w:hint="eastAsia"/>
        </w:rPr>
        <w:t>投标人名称：</w:t>
      </w:r>
      <w:r>
        <w:rPr>
          <w:rFonts w:hint="eastAsia" w:asciiTheme="minorEastAsia" w:hAnsiTheme="minorEastAsia" w:eastAsiaTheme="minorEastAsia" w:cstheme="minorEastAsia"/>
          <w:u w:val="single"/>
        </w:rPr>
        <w:t xml:space="preserve">             </w:t>
      </w:r>
      <w:r>
        <w:rPr>
          <w:rFonts w:hint="eastAsia"/>
        </w:rPr>
        <w:t>(盖章)</w:t>
      </w:r>
    </w:p>
    <w:p>
      <w:pPr>
        <w:pStyle w:val="49"/>
      </w:pPr>
      <w:r>
        <w:rPr>
          <w:rFonts w:hint="eastAsia"/>
        </w:rPr>
        <w:t>投标日期：</w:t>
      </w:r>
      <w:r>
        <w:rPr>
          <w:rFonts w:hint="eastAsia" w:asciiTheme="minorEastAsia" w:hAnsiTheme="minorEastAsia" w:eastAsiaTheme="minorEastAsia" w:cstheme="minorEastAsia"/>
          <w:u w:val="single"/>
        </w:rPr>
        <w:t xml:space="preserve">             </w:t>
      </w:r>
      <w:r>
        <w:rPr>
          <w:rFonts w:hint="eastAsia"/>
        </w:rPr>
        <w:t xml:space="preserve">     </w:t>
      </w:r>
    </w:p>
    <w:p>
      <w:pPr>
        <w:pStyle w:val="45"/>
      </w:pPr>
    </w:p>
    <w:p>
      <w:pPr>
        <w:pStyle w:val="50"/>
        <w:ind w:firstLine="482"/>
      </w:pPr>
      <w:r>
        <w:rPr>
          <w:rFonts w:hint="eastAsia"/>
        </w:rPr>
        <w:t>注：1.法定代表人/单位负责人不亲自参加投标，而授权代表参加投标的适用。</w:t>
      </w:r>
    </w:p>
    <w:p>
      <w:pPr>
        <w:pStyle w:val="50"/>
        <w:ind w:firstLine="482"/>
      </w:pPr>
      <w:r>
        <w:rPr>
          <w:rFonts w:hint="eastAsia"/>
        </w:rPr>
        <w:t>2.</w:t>
      </w:r>
      <w:r>
        <w:t>供应商为法人单位时提供“法定代表人授权书”，供应商为其他组织时提供“负责人授权书”，供应商为自然人时提供“自然人身份证明材料”。</w:t>
      </w:r>
    </w:p>
    <w:p>
      <w:pPr>
        <w:pStyle w:val="50"/>
        <w:ind w:firstLine="482"/>
      </w:pPr>
      <w:r>
        <w:rPr>
          <w:rFonts w:hint="eastAsia"/>
        </w:rPr>
        <w:t>3.</w:t>
      </w:r>
      <w:r>
        <w:t>应附法定代表人/单位负责人身份证明材料复印件和授权代表身份证明材料复印件。</w:t>
      </w:r>
    </w:p>
    <w:p>
      <w:pPr>
        <w:pStyle w:val="50"/>
        <w:ind w:firstLine="482"/>
      </w:pPr>
      <w:r>
        <w:rPr>
          <w:rFonts w:hint="eastAsia"/>
        </w:rPr>
        <w:t>4.</w:t>
      </w:r>
      <w:r>
        <w:t>身份证明材料包括居民身份证或户口本或军官证或护照等。</w:t>
      </w:r>
    </w:p>
    <w:p>
      <w:pPr>
        <w:pStyle w:val="50"/>
        <w:ind w:firstLine="482"/>
        <w:rPr>
          <w:b/>
          <w:snapToGrid w:val="0"/>
          <w:sz w:val="28"/>
        </w:rPr>
        <w:sectPr>
          <w:pgSz w:w="11905" w:h="16838"/>
          <w:pgMar w:top="1080" w:right="1440" w:bottom="1080" w:left="1440" w:header="851" w:footer="1077" w:gutter="0"/>
          <w:pgNumType w:start="1"/>
          <w:cols w:space="720" w:num="1"/>
          <w:docGrid w:type="linesAndChars" w:linePitch="313" w:charSpace="0"/>
        </w:sectPr>
      </w:pPr>
      <w:r>
        <w:rPr>
          <w:rFonts w:hint="eastAsia"/>
        </w:rPr>
        <w:t>5.</w:t>
      </w:r>
      <w:r>
        <w:t>身份证明材料应同时提供其在有效期的材料，如居民身份证正、反面复印件</w:t>
      </w:r>
      <w:r>
        <w:rPr>
          <w:rFonts w:hint="eastAsia"/>
        </w:rPr>
        <w:t>。</w:t>
      </w:r>
    </w:p>
    <w:p>
      <w:pPr>
        <w:pageBreakBefore/>
        <w:numPr>
          <w:ilvl w:val="0"/>
          <w:numId w:val="16"/>
        </w:numPr>
        <w:wordWrap w:val="0"/>
        <w:topLinePunct/>
        <w:spacing w:before="156" w:beforeLines="50" w:after="156" w:afterLines="50"/>
        <w:jc w:val="center"/>
        <w:outlineLvl w:val="2"/>
        <w:rPr>
          <w:b/>
          <w:snapToGrid w:val="0"/>
          <w:sz w:val="28"/>
        </w:rPr>
      </w:pPr>
      <w:bookmarkStart w:id="833" w:name="_Toc4153"/>
      <w:r>
        <w:rPr>
          <w:rFonts w:hint="eastAsia"/>
          <w:b/>
          <w:snapToGrid w:val="0"/>
          <w:sz w:val="28"/>
        </w:rPr>
        <w:t>法定代表人/单位负责人身份证明书</w:t>
      </w:r>
      <w:bookmarkEnd w:id="825"/>
      <w:bookmarkEnd w:id="826"/>
      <w:bookmarkEnd w:id="827"/>
      <w:bookmarkEnd w:id="828"/>
      <w:bookmarkEnd w:id="829"/>
      <w:bookmarkEnd w:id="833"/>
    </w:p>
    <w:p>
      <w:pPr>
        <w:wordWrap w:val="0"/>
        <w:topLinePunct/>
        <w:ind w:firstLine="480" w:firstLineChars="200"/>
      </w:pPr>
      <w:r>
        <w:rPr>
          <w:rFonts w:hint="eastAsia"/>
        </w:rPr>
        <w:t>单位名称：</w:t>
      </w:r>
      <w:r>
        <w:rPr>
          <w:rFonts w:hint="eastAsia" w:asciiTheme="minorEastAsia" w:hAnsiTheme="minorEastAsia" w:eastAsiaTheme="minorEastAsia" w:cstheme="minorEastAsia"/>
          <w:u w:val="single"/>
        </w:rPr>
        <w:t xml:space="preserve">                            </w:t>
      </w:r>
      <w:r>
        <w:rPr>
          <w:rFonts w:hint="eastAsia"/>
        </w:rPr>
        <w:t xml:space="preserve">                            </w:t>
      </w:r>
    </w:p>
    <w:p>
      <w:pPr>
        <w:wordWrap w:val="0"/>
        <w:topLinePunct/>
        <w:ind w:firstLine="480" w:firstLineChars="200"/>
      </w:pPr>
      <w:r>
        <w:rPr>
          <w:rFonts w:hint="eastAsia"/>
        </w:rPr>
        <w:t>地    址：</w:t>
      </w:r>
      <w:r>
        <w:rPr>
          <w:rFonts w:hint="eastAsia" w:asciiTheme="minorEastAsia" w:hAnsiTheme="minorEastAsia" w:eastAsiaTheme="minorEastAsia" w:cstheme="minorEastAsia"/>
          <w:u w:val="single"/>
        </w:rPr>
        <w:t xml:space="preserve">                            </w:t>
      </w:r>
      <w:r>
        <w:rPr>
          <w:rFonts w:hint="eastAsia"/>
        </w:rPr>
        <w:t xml:space="preserve">                            </w:t>
      </w:r>
    </w:p>
    <w:p>
      <w:pPr>
        <w:wordWrap w:val="0"/>
        <w:topLinePunct/>
        <w:ind w:firstLine="480" w:firstLineChars="200"/>
      </w:pPr>
      <w:r>
        <w:rPr>
          <w:rFonts w:hint="eastAsia"/>
        </w:rPr>
        <w:t>姓    名：</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性别：</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年龄：</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rPr>
        <w:t xml:space="preserve">            </w:t>
      </w:r>
    </w:p>
    <w:p>
      <w:pPr>
        <w:wordWrap w:val="0"/>
        <w:topLinePunct/>
        <w:ind w:firstLine="480" w:firstLineChars="200"/>
      </w:pPr>
      <w:r>
        <w:rPr>
          <w:rFonts w:hint="eastAsia"/>
        </w:rPr>
        <w:t>本人系</w:t>
      </w:r>
      <w:r>
        <w:rPr>
          <w:rFonts w:hint="eastAsia"/>
          <w:u w:val="single"/>
        </w:rPr>
        <w:t xml:space="preserve">                           </w:t>
      </w:r>
      <w:r>
        <w:rPr>
          <w:rFonts w:hint="eastAsia"/>
        </w:rPr>
        <w:t>(投标人名称)的法定代表人/单位负责人。就参加你单位组织的“</w:t>
      </w:r>
      <w:r>
        <w:rPr>
          <w:rFonts w:hint="eastAsia"/>
          <w:u w:val="single"/>
        </w:rPr>
        <w:t xml:space="preserve">             </w:t>
      </w:r>
      <w:r>
        <w:rPr>
          <w:rFonts w:hint="eastAsia"/>
        </w:rPr>
        <w:t>(项目名称)(项目编号：</w:t>
      </w:r>
      <w:r>
        <w:rPr>
          <w:rFonts w:hint="eastAsia"/>
          <w:u w:val="single"/>
        </w:rPr>
        <w:t xml:space="preserve">         </w:t>
      </w:r>
      <w:r>
        <w:rPr>
          <w:rFonts w:hint="eastAsia"/>
        </w:rPr>
        <w:t>)”的投标活动、并参与项目的投标、签订合同以及执行合同等一切事宜，我单位均予承认，所产生的法律后果均由我单位承担。</w:t>
      </w:r>
    </w:p>
    <w:p>
      <w:pPr>
        <w:wordWrap w:val="0"/>
        <w:topLinePunct/>
        <w:ind w:firstLine="480" w:firstLineChars="200"/>
      </w:pPr>
      <w:r>
        <w:rPr>
          <w:rFonts w:hint="eastAsia"/>
        </w:rPr>
        <w:t>特此证明。</w:t>
      </w: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ind w:firstLine="480" w:firstLineChars="200"/>
      </w:pPr>
      <w:r>
        <w:rPr>
          <w:rFonts w:hint="eastAsia"/>
        </w:rPr>
        <w:t>投标人名称：</w:t>
      </w:r>
      <w:r>
        <w:rPr>
          <w:rFonts w:hint="eastAsia"/>
          <w:u w:val="single"/>
        </w:rPr>
        <w:t xml:space="preserve">             </w:t>
      </w:r>
    </w:p>
    <w:p>
      <w:pPr>
        <w:wordWrap w:val="0"/>
        <w:topLinePunct/>
        <w:ind w:firstLine="480" w:firstLineChars="200"/>
        <w:rPr>
          <w:u w:val="single"/>
        </w:rPr>
      </w:pPr>
      <w:r>
        <w:rPr>
          <w:rFonts w:hint="eastAsia"/>
        </w:rPr>
        <w:t>投标日期：</w:t>
      </w:r>
      <w:r>
        <w:rPr>
          <w:rFonts w:hint="eastAsia"/>
          <w:u w:val="single"/>
        </w:rPr>
        <w:t xml:space="preserve">             </w:t>
      </w:r>
    </w:p>
    <w:p>
      <w:pPr>
        <w:wordWrap w:val="0"/>
        <w:topLinePunct/>
        <w:ind w:firstLine="480" w:firstLineChars="200"/>
      </w:pPr>
    </w:p>
    <w:p>
      <w:pPr>
        <w:wordWrap w:val="0"/>
        <w:topLinePunct/>
        <w:ind w:firstLine="480" w:firstLineChars="200"/>
        <w:rPr>
          <w:b/>
          <w:snapToGrid w:val="0"/>
        </w:rPr>
      </w:pPr>
      <w:r>
        <w:rPr>
          <w:rFonts w:hint="eastAsia"/>
          <w:b/>
          <w:snapToGrid w:val="0"/>
        </w:rPr>
        <w:t>注：1.</w:t>
      </w:r>
      <w:r>
        <w:rPr>
          <w:b/>
          <w:snapToGrid w:val="0"/>
        </w:rPr>
        <w:t>应附法定代表人/单位负责人身份证明材料复印件。</w:t>
      </w:r>
    </w:p>
    <w:p>
      <w:pPr>
        <w:wordWrap w:val="0"/>
        <w:topLinePunct/>
        <w:ind w:firstLine="480" w:firstLineChars="200"/>
        <w:rPr>
          <w:b/>
          <w:snapToGrid w:val="0"/>
        </w:rPr>
      </w:pPr>
      <w:r>
        <w:rPr>
          <w:rFonts w:hint="eastAsia"/>
          <w:b/>
          <w:snapToGrid w:val="0"/>
        </w:rPr>
        <w:t>2.</w:t>
      </w:r>
      <w:r>
        <w:rPr>
          <w:b/>
          <w:snapToGrid w:val="0"/>
        </w:rPr>
        <w:t>身份证明材料包括居民身份证或户口本或军官证或护照等。</w:t>
      </w:r>
    </w:p>
    <w:p>
      <w:pPr>
        <w:wordWrap w:val="0"/>
        <w:topLinePunct/>
        <w:ind w:firstLine="480" w:firstLineChars="200"/>
        <w:rPr>
          <w:b/>
          <w:snapToGrid w:val="0"/>
        </w:rPr>
      </w:pPr>
      <w:r>
        <w:rPr>
          <w:rFonts w:hint="eastAsia"/>
          <w:b/>
          <w:snapToGrid w:val="0"/>
        </w:rPr>
        <w:t>3.</w:t>
      </w:r>
      <w:r>
        <w:rPr>
          <w:b/>
          <w:snapToGrid w:val="0"/>
        </w:rPr>
        <w:t>身份证明材料应同时提供其在有效期的材料，如居民身份证正、反面复印件</w:t>
      </w:r>
      <w:r>
        <w:rPr>
          <w:rFonts w:hint="eastAsia"/>
          <w:b/>
          <w:snapToGrid w:val="0"/>
        </w:rPr>
        <w:t>。</w:t>
      </w:r>
    </w:p>
    <w:p>
      <w:pPr>
        <w:pageBreakBefore/>
        <w:numPr>
          <w:ilvl w:val="0"/>
          <w:numId w:val="16"/>
        </w:numPr>
        <w:wordWrap w:val="0"/>
        <w:topLinePunct/>
        <w:spacing w:before="156" w:beforeLines="50" w:after="156" w:afterLines="50"/>
        <w:jc w:val="center"/>
        <w:outlineLvl w:val="2"/>
        <w:rPr>
          <w:b/>
          <w:snapToGrid w:val="0"/>
          <w:sz w:val="28"/>
        </w:rPr>
      </w:pPr>
      <w:bookmarkStart w:id="834" w:name="_Toc28837"/>
      <w:bookmarkStart w:id="835" w:name="_Toc22152"/>
      <w:bookmarkStart w:id="836" w:name="_Toc10998"/>
      <w:bookmarkStart w:id="837" w:name="_Toc24379"/>
      <w:bookmarkStart w:id="838" w:name="_Toc28397"/>
      <w:bookmarkStart w:id="839" w:name="_Toc3822"/>
      <w:r>
        <w:rPr>
          <w:rFonts w:hint="eastAsia"/>
          <w:b/>
          <w:snapToGrid w:val="0"/>
          <w:sz w:val="28"/>
        </w:rPr>
        <w:t>具有独立承担民事责任的能力的证明材料</w:t>
      </w:r>
      <w:bookmarkEnd w:id="834"/>
      <w:bookmarkEnd w:id="835"/>
      <w:bookmarkEnd w:id="836"/>
      <w:bookmarkEnd w:id="837"/>
    </w:p>
    <w:p>
      <w:pPr>
        <w:wordWrap w:val="0"/>
        <w:topLinePunct/>
        <w:ind w:firstLine="480" w:firstLineChars="200"/>
      </w:pPr>
      <w:r>
        <w:rPr>
          <w:rFonts w:hint="eastAsia"/>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38"/>
    <w:p>
      <w:pPr>
        <w:wordWrap w:val="0"/>
        <w:topLinePunct/>
        <w:ind w:firstLine="480" w:firstLineChars="200"/>
        <w:rPr>
          <w:b/>
          <w:snapToGrid w:val="0"/>
        </w:rPr>
      </w:pPr>
      <w:r>
        <w:rPr>
          <w:rFonts w:hint="eastAsia"/>
          <w:b/>
          <w:snapToGrid w:val="0"/>
        </w:rPr>
        <w:t>注：1.以上证明材料应满足此条要求①发证机关有年检要求的，应按规定通过年检；②在有效期内；③复印件加盖投标人电子签章；</w:t>
      </w:r>
    </w:p>
    <w:p>
      <w:pPr>
        <w:wordWrap w:val="0"/>
        <w:topLinePunct/>
        <w:ind w:firstLine="480" w:firstLineChars="200"/>
        <w:rPr>
          <w:b/>
          <w:snapToGrid w:val="0"/>
        </w:rPr>
      </w:pPr>
      <w:r>
        <w:rPr>
          <w:rFonts w:hint="eastAsia"/>
          <w:b/>
          <w:snapToGrid w:val="0"/>
        </w:rPr>
        <w:t>2.</w:t>
      </w:r>
      <w:bookmarkEnd w:id="839"/>
      <w:r>
        <w:rPr>
          <w:rFonts w:hint="eastAsia"/>
          <w:b/>
          <w:snapToGrid w:val="0"/>
        </w:rPr>
        <w:t>企业若已更换为三证合一的则提供营业执照副本复印件，事业单位提供事业单位法人证书复印件，其他组织提供执业许可证或营业执照等证明文件复印件，自然人提供身份证明均具备此条同等效力；</w:t>
      </w:r>
    </w:p>
    <w:p>
      <w:pPr>
        <w:wordWrap w:val="0"/>
        <w:topLinePunct/>
        <w:ind w:firstLine="480" w:firstLineChars="200"/>
        <w:rPr>
          <w:b/>
          <w:snapToGrid w:val="0"/>
        </w:rPr>
      </w:pPr>
      <w:r>
        <w:rPr>
          <w:rFonts w:hint="eastAsia"/>
          <w:b/>
          <w:snapToGrid w:val="0"/>
        </w:rPr>
        <w:t>3.</w:t>
      </w:r>
      <w:r>
        <w:rPr>
          <w:b/>
          <w:snapToGrid w:val="0"/>
        </w:rPr>
        <w:t>根据国务院办公厅关于加快推进“多证合一”改革的指导意见</w:t>
      </w:r>
      <w:r>
        <w:rPr>
          <w:rFonts w:hint="eastAsia"/>
          <w:b/>
          <w:snapToGrid w:val="0"/>
        </w:rPr>
        <w:t>(</w:t>
      </w:r>
      <w:r>
        <w:rPr>
          <w:b/>
          <w:snapToGrid w:val="0"/>
        </w:rPr>
        <w:t>国办发</w:t>
      </w:r>
      <w:r>
        <w:rPr>
          <w:rFonts w:hint="eastAsia"/>
          <w:b/>
          <w:snapToGrid w:val="0"/>
        </w:rPr>
        <w:t>〔</w:t>
      </w:r>
      <w:r>
        <w:rPr>
          <w:b/>
          <w:snapToGrid w:val="0"/>
        </w:rPr>
        <w:t>2017</w:t>
      </w:r>
      <w:r>
        <w:rPr>
          <w:rFonts w:hint="eastAsia"/>
          <w:b/>
          <w:snapToGrid w:val="0"/>
        </w:rPr>
        <w:t>〕</w:t>
      </w:r>
      <w:r>
        <w:rPr>
          <w:b/>
          <w:snapToGrid w:val="0"/>
        </w:rPr>
        <w:t>41号</w:t>
      </w:r>
      <w:r>
        <w:rPr>
          <w:rFonts w:hint="eastAsia"/>
          <w:b/>
          <w:snapToGrid w:val="0"/>
        </w:rPr>
        <w:t>)</w:t>
      </w:r>
      <w:r>
        <w:rPr>
          <w:b/>
          <w:snapToGrid w:val="0"/>
        </w:rPr>
        <w:t>等政策要求，若资格要求涉及的登记、备案等有关事项和各类证照已实行多证合一</w:t>
      </w:r>
      <w:r>
        <w:rPr>
          <w:rFonts w:hint="eastAsia"/>
          <w:b/>
          <w:snapToGrid w:val="0"/>
        </w:rPr>
        <w:t>的，提供多证合一证照副本复印件</w:t>
      </w:r>
      <w:r>
        <w:rPr>
          <w:b/>
          <w:snapToGrid w:val="0"/>
        </w:rPr>
        <w:t>。</w:t>
      </w:r>
    </w:p>
    <w:p>
      <w:pPr>
        <w:wordWrap w:val="0"/>
        <w:topLinePunct/>
        <w:rPr>
          <w:snapToGrid w:val="0"/>
        </w:rPr>
      </w:pPr>
    </w:p>
    <w:p>
      <w:pPr>
        <w:pageBreakBefore/>
        <w:numPr>
          <w:ilvl w:val="0"/>
          <w:numId w:val="16"/>
        </w:numPr>
        <w:wordWrap w:val="0"/>
        <w:topLinePunct/>
        <w:spacing w:before="156" w:beforeLines="50" w:after="156" w:afterLines="50"/>
        <w:jc w:val="center"/>
        <w:outlineLvl w:val="2"/>
        <w:rPr>
          <w:b/>
          <w:snapToGrid w:val="0"/>
          <w:sz w:val="28"/>
        </w:rPr>
      </w:pPr>
      <w:bookmarkStart w:id="840" w:name="_Toc3600"/>
      <w:bookmarkStart w:id="841" w:name="_Toc29937"/>
      <w:bookmarkStart w:id="842" w:name="_Toc28024"/>
      <w:bookmarkStart w:id="843" w:name="_Toc22274"/>
      <w:bookmarkStart w:id="844" w:name="_Toc14566"/>
      <w:r>
        <w:rPr>
          <w:rFonts w:hint="eastAsia"/>
          <w:b/>
          <w:snapToGrid w:val="0"/>
          <w:sz w:val="28"/>
        </w:rPr>
        <w:t>投标人具有良好的商业信誉和健全的财务会计制度的证明材料</w:t>
      </w:r>
      <w:bookmarkEnd w:id="840"/>
      <w:bookmarkEnd w:id="841"/>
      <w:bookmarkEnd w:id="842"/>
      <w:bookmarkEnd w:id="843"/>
    </w:p>
    <w:bookmarkEnd w:id="844"/>
    <w:p>
      <w:pPr>
        <w:wordWrap w:val="0"/>
        <w:topLinePunct/>
        <w:ind w:firstLine="480" w:firstLineChars="200"/>
      </w:pPr>
      <w:bookmarkStart w:id="845" w:name="_Toc19866"/>
      <w:bookmarkStart w:id="846" w:name="_Toc17744"/>
      <w:bookmarkStart w:id="847" w:name="_Toc5443"/>
      <w:r>
        <w:rPr>
          <w:rFonts w:hint="eastAsia"/>
        </w:rPr>
        <w:t>1.投标人具有良好商业信誉的证明材料；</w:t>
      </w:r>
    </w:p>
    <w:p>
      <w:pPr>
        <w:wordWrap w:val="0"/>
        <w:topLinePunct/>
        <w:ind w:firstLine="480" w:firstLineChars="200"/>
      </w:pPr>
      <w:r>
        <w:rPr>
          <w:rFonts w:hint="eastAsia"/>
        </w:rPr>
        <w:t>提供具有良好的商业信誉的承诺函。</w:t>
      </w:r>
    </w:p>
    <w:p>
      <w:pPr>
        <w:wordWrap w:val="0"/>
        <w:topLinePunct/>
        <w:ind w:firstLine="480" w:firstLineChars="200"/>
        <w:rPr>
          <w:b/>
          <w:bCs/>
        </w:rPr>
      </w:pPr>
      <w:r>
        <w:rPr>
          <w:rFonts w:hint="eastAsia"/>
          <w:b/>
          <w:bCs/>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wordWrap w:val="0"/>
        <w:topLinePunct/>
        <w:ind w:firstLine="480" w:firstLineChars="200"/>
      </w:pPr>
      <w:r>
        <w:rPr>
          <w:rFonts w:hint="eastAsia"/>
        </w:rPr>
        <w:t>2.投标人具有健全的财务会计制度的证明材料；</w:t>
      </w:r>
    </w:p>
    <w:p>
      <w:pPr>
        <w:wordWrap w:val="0"/>
        <w:topLinePunct/>
        <w:ind w:firstLine="480" w:firstLineChars="200"/>
      </w:pPr>
      <w:r>
        <w:rPr>
          <w:rFonts w:hint="eastAsia"/>
        </w:rPr>
        <w:t>(1)投标人提供2020年度经过会计师事务所审计的财务报告复印件(经审计的有效财务报告应包括报告及报告中所附的完整内容，并由注册会计师签名、盖章以及会计师事务所盖章)；</w:t>
      </w:r>
    </w:p>
    <w:p>
      <w:pPr>
        <w:wordWrap w:val="0"/>
        <w:topLinePunct/>
        <w:ind w:firstLine="480" w:firstLineChars="200"/>
      </w:pPr>
      <w:r>
        <w:rPr>
          <w:rFonts w:hint="eastAsia"/>
        </w:rPr>
        <w:t>(2)投标人提供2020年度投标人内部的财务报表复印件(至少包含资产负债表)；</w:t>
      </w:r>
    </w:p>
    <w:p>
      <w:pPr>
        <w:wordWrap w:val="0"/>
        <w:topLinePunct/>
        <w:ind w:firstLine="480" w:firstLineChars="200"/>
      </w:pPr>
      <w:r>
        <w:rPr>
          <w:rFonts w:hint="eastAsia"/>
        </w:rPr>
        <w:t>(3)投标人提供投标文件递交截止日前一年内银行为其出具的资信证明复印件；</w:t>
      </w:r>
    </w:p>
    <w:p>
      <w:pPr>
        <w:wordWrap w:val="0"/>
        <w:topLinePunct/>
        <w:ind w:firstLine="480" w:firstLineChars="200"/>
      </w:pPr>
      <w:r>
        <w:rPr>
          <w:rFonts w:hint="eastAsia"/>
        </w:rPr>
        <w:t>(4)投标人注册时间截至投标文件递交截止日不足一年的，可提供公司章程复印件；</w:t>
      </w:r>
    </w:p>
    <w:p>
      <w:pPr>
        <w:wordWrap w:val="0"/>
        <w:topLinePunct/>
        <w:ind w:firstLine="480" w:firstLineChars="200"/>
      </w:pPr>
      <w:r>
        <w:rPr>
          <w:rFonts w:hint="eastAsia"/>
        </w:rPr>
        <w:t>(5)投标人为事业单位或其他组织(不具备法人条件的组织，如合伙组织、个体工商户、农村承包经营户等)或自然人时，可提供承诺函。</w:t>
      </w:r>
    </w:p>
    <w:p>
      <w:pPr>
        <w:wordWrap w:val="0"/>
        <w:topLinePunct/>
        <w:ind w:firstLine="480" w:firstLineChars="200"/>
        <w:rPr>
          <w:b/>
          <w:snapToGrid w:val="0"/>
        </w:rPr>
      </w:pPr>
      <w:r>
        <w:rPr>
          <w:rFonts w:hint="eastAsia"/>
          <w:b/>
          <w:bCs/>
          <w:snapToGrid w:val="0"/>
        </w:rPr>
        <w:t>注：具有健全的财务会计制度的证明材料中第(1)-(5)项具有同等的投标效力，投标人可根据自身实际情况选择提供其中任意一项。</w:t>
      </w:r>
    </w:p>
    <w:p>
      <w:pPr>
        <w:pageBreakBefore/>
        <w:numPr>
          <w:ilvl w:val="0"/>
          <w:numId w:val="16"/>
        </w:numPr>
        <w:wordWrap w:val="0"/>
        <w:topLinePunct/>
        <w:spacing w:before="156" w:beforeLines="50" w:after="156" w:afterLines="50"/>
        <w:jc w:val="center"/>
        <w:outlineLvl w:val="2"/>
        <w:rPr>
          <w:b/>
          <w:snapToGrid w:val="0"/>
          <w:sz w:val="28"/>
        </w:rPr>
      </w:pPr>
      <w:bookmarkStart w:id="848" w:name="_Toc19365"/>
      <w:bookmarkStart w:id="849" w:name="_Toc5621"/>
      <w:r>
        <w:rPr>
          <w:rFonts w:hint="eastAsia"/>
          <w:b/>
          <w:snapToGrid w:val="0"/>
          <w:sz w:val="28"/>
        </w:rPr>
        <w:t>投标人具有依法缴纳税收和社会保障资金的良好记录的证明材料</w:t>
      </w:r>
      <w:bookmarkEnd w:id="845"/>
      <w:bookmarkEnd w:id="846"/>
      <w:bookmarkEnd w:id="848"/>
      <w:bookmarkEnd w:id="849"/>
    </w:p>
    <w:bookmarkEnd w:id="847"/>
    <w:p>
      <w:pPr>
        <w:wordWrap w:val="0"/>
        <w:topLinePunct/>
        <w:ind w:firstLine="480" w:firstLineChars="200"/>
      </w:pPr>
      <w:r>
        <w:rPr>
          <w:rFonts w:hint="eastAsia"/>
        </w:rPr>
        <w:t>提供具有</w:t>
      </w:r>
      <w:r>
        <w:rPr>
          <w:rFonts w:hint="eastAsia"/>
          <w:lang w:val="zh-CN"/>
        </w:rPr>
        <w:t>依法缴纳税收和社会保障资金的良好记录</w:t>
      </w:r>
      <w:r>
        <w:rPr>
          <w:rFonts w:hint="eastAsia"/>
        </w:rPr>
        <w:t>的承诺函。</w:t>
      </w:r>
    </w:p>
    <w:p>
      <w:pPr>
        <w:wordWrap w:val="0"/>
        <w:topLinePunct/>
        <w:ind w:firstLine="480" w:firstLineChars="200"/>
        <w:rPr>
          <w:b/>
          <w:snapToGrid w:val="0"/>
        </w:rPr>
      </w:pPr>
      <w:r>
        <w:rPr>
          <w:rFonts w:hint="eastAsia"/>
          <w:b/>
          <w:snapToGrid w:val="0"/>
        </w:rPr>
        <w:t>注：格式自拟，或参照《符合&lt;中华人民共和国政府采购法&gt;第二十二条规定的条件的承诺及声明函》的格式提供承诺函。</w:t>
      </w:r>
    </w:p>
    <w:p>
      <w:pPr>
        <w:wordWrap w:val="0"/>
        <w:topLinePunct/>
        <w:rPr>
          <w:snapToGrid w:val="0"/>
        </w:rPr>
      </w:pPr>
      <w:r>
        <w:rPr>
          <w:rFonts w:hint="eastAsia"/>
          <w:snapToGrid w:val="0"/>
        </w:rPr>
        <w:br w:type="page"/>
      </w:r>
    </w:p>
    <w:p>
      <w:pPr>
        <w:pageBreakBefore/>
        <w:numPr>
          <w:ilvl w:val="0"/>
          <w:numId w:val="16"/>
        </w:numPr>
        <w:wordWrap w:val="0"/>
        <w:topLinePunct/>
        <w:spacing w:before="156" w:beforeLines="50" w:after="156" w:afterLines="50"/>
        <w:jc w:val="center"/>
        <w:outlineLvl w:val="2"/>
        <w:rPr>
          <w:b/>
          <w:snapToGrid w:val="0"/>
          <w:sz w:val="28"/>
        </w:rPr>
      </w:pPr>
      <w:bookmarkStart w:id="850" w:name="_Toc14829"/>
      <w:bookmarkStart w:id="851" w:name="_Toc15870"/>
      <w:bookmarkStart w:id="852" w:name="_Toc16336"/>
      <w:bookmarkStart w:id="853" w:name="_Toc10294"/>
      <w:r>
        <w:rPr>
          <w:rFonts w:hint="eastAsia"/>
          <w:b/>
          <w:snapToGrid w:val="0"/>
          <w:sz w:val="28"/>
        </w:rPr>
        <w:t>投标人具有履行合同所必需的设备和专业技术能力证明材料</w:t>
      </w:r>
      <w:bookmarkEnd w:id="850"/>
      <w:bookmarkEnd w:id="851"/>
      <w:bookmarkEnd w:id="852"/>
      <w:bookmarkEnd w:id="853"/>
    </w:p>
    <w:p>
      <w:pPr>
        <w:wordWrap w:val="0"/>
        <w:topLinePunct/>
        <w:ind w:firstLine="480" w:firstLineChars="200"/>
      </w:pPr>
      <w:r>
        <w:rPr>
          <w:rFonts w:hint="eastAsia"/>
        </w:rPr>
        <w:t>提供具有履行合同所必需的设备和专业技术能力的承诺函。</w:t>
      </w:r>
    </w:p>
    <w:p>
      <w:pPr>
        <w:wordWrap w:val="0"/>
        <w:topLinePunct/>
        <w:ind w:firstLine="480" w:firstLineChars="200"/>
        <w:rPr>
          <w:b/>
          <w:snapToGrid w:val="0"/>
        </w:rPr>
      </w:pPr>
      <w:r>
        <w:rPr>
          <w:rFonts w:hint="eastAsia"/>
          <w:b/>
          <w:snapToGrid w:val="0"/>
        </w:rPr>
        <w:t>注：格式自拟，或参照《符合&lt;中华人民共和国政府采购法&gt;第二十二条规定的条件的承诺及声明函》的格式提供承诺函。</w:t>
      </w:r>
    </w:p>
    <w:p>
      <w:pPr>
        <w:wordWrap w:val="0"/>
        <w:topLinePunct/>
        <w:rPr>
          <w:snapToGrid w:val="0"/>
        </w:rPr>
      </w:pPr>
      <w:r>
        <w:rPr>
          <w:rFonts w:hint="eastAsia"/>
          <w:snapToGrid w:val="0"/>
        </w:rPr>
        <w:br w:type="page"/>
      </w:r>
    </w:p>
    <w:p>
      <w:pPr>
        <w:pageBreakBefore/>
        <w:numPr>
          <w:ilvl w:val="0"/>
          <w:numId w:val="16"/>
        </w:numPr>
        <w:wordWrap w:val="0"/>
        <w:topLinePunct/>
        <w:spacing w:before="156" w:beforeLines="50" w:after="156" w:afterLines="50"/>
        <w:jc w:val="center"/>
        <w:outlineLvl w:val="2"/>
        <w:rPr>
          <w:b/>
          <w:snapToGrid w:val="0"/>
          <w:sz w:val="28"/>
        </w:rPr>
      </w:pPr>
      <w:bookmarkStart w:id="854" w:name="_Toc9968"/>
      <w:bookmarkStart w:id="855" w:name="_Toc21379"/>
      <w:bookmarkStart w:id="856" w:name="_Toc32344"/>
      <w:r>
        <w:rPr>
          <w:rFonts w:hint="eastAsia"/>
          <w:b/>
          <w:snapToGrid w:val="0"/>
          <w:sz w:val="28"/>
        </w:rPr>
        <w:t>投标人参加政府采购活动前三年内，在经营活动中没有重大违法记录的证明材料</w:t>
      </w:r>
      <w:bookmarkEnd w:id="854"/>
      <w:bookmarkEnd w:id="855"/>
      <w:bookmarkEnd w:id="856"/>
    </w:p>
    <w:p>
      <w:pPr>
        <w:wordWrap w:val="0"/>
        <w:topLinePunct/>
        <w:ind w:firstLine="480" w:firstLineChars="200"/>
      </w:pPr>
      <w:bookmarkStart w:id="857" w:name="_Toc9591"/>
      <w:bookmarkStart w:id="858" w:name="_Toc14299"/>
      <w:r>
        <w:rPr>
          <w:rFonts w:hint="eastAsia"/>
        </w:rPr>
        <w:t>投标人提供参加本次政府采购活动前三年内，在经营活动中没有重大违法记录的书面声明(成立不足三年的，从成立之日起计算)。</w:t>
      </w:r>
    </w:p>
    <w:p>
      <w:pPr>
        <w:wordWrap w:val="0"/>
        <w:topLinePunct/>
        <w:ind w:firstLine="480" w:firstLineChars="200"/>
        <w:rPr>
          <w:b/>
          <w:snapToGrid w:val="0"/>
        </w:rPr>
      </w:pPr>
      <w:bookmarkStart w:id="859" w:name="_Toc7540"/>
      <w:bookmarkStart w:id="860" w:name="_Toc26284"/>
      <w:r>
        <w:rPr>
          <w:rFonts w:hint="eastAsia"/>
          <w:b/>
          <w:snapToGrid w:val="0"/>
        </w:rPr>
        <w:t>注：格式自拟，或参照《符合&lt;中华人民共和国政府采购法&gt;第二十二条规定的条件的承诺及声明函》的格式提供声明函。如有重大违法记录的，投标人将被认定投标无效或被取消中标资格。</w:t>
      </w:r>
    </w:p>
    <w:bookmarkEnd w:id="857"/>
    <w:bookmarkEnd w:id="858"/>
    <w:bookmarkEnd w:id="859"/>
    <w:bookmarkEnd w:id="860"/>
    <w:p>
      <w:pPr>
        <w:pageBreakBefore/>
        <w:numPr>
          <w:ilvl w:val="0"/>
          <w:numId w:val="16"/>
        </w:numPr>
        <w:wordWrap w:val="0"/>
        <w:topLinePunct/>
        <w:spacing w:before="156" w:beforeLines="50" w:after="156" w:afterLines="50"/>
        <w:jc w:val="center"/>
        <w:outlineLvl w:val="2"/>
        <w:rPr>
          <w:b/>
          <w:snapToGrid w:val="0"/>
          <w:sz w:val="28"/>
          <w:lang w:val="zh-CN"/>
        </w:rPr>
      </w:pPr>
      <w:bookmarkStart w:id="861" w:name="_Toc17558"/>
      <w:bookmarkStart w:id="862" w:name="_Toc3840"/>
      <w:bookmarkStart w:id="863" w:name="_Toc27034"/>
      <w:bookmarkStart w:id="864" w:name="_Toc29042"/>
      <w:bookmarkStart w:id="865" w:name="_Toc9906"/>
      <w:r>
        <w:rPr>
          <w:rFonts w:hint="eastAsia"/>
          <w:b/>
          <w:snapToGrid w:val="0"/>
          <w:sz w:val="28"/>
        </w:rPr>
        <w:t>投标人</w:t>
      </w:r>
      <w:r>
        <w:rPr>
          <w:rFonts w:hint="eastAsia"/>
          <w:b/>
          <w:snapToGrid w:val="0"/>
          <w:sz w:val="28"/>
          <w:lang w:val="zh-CN"/>
        </w:rPr>
        <w:t>及其现任法定代表人、主要负责人不得具有行贿犯罪记录</w:t>
      </w:r>
      <w:r>
        <w:rPr>
          <w:rFonts w:hint="eastAsia"/>
          <w:b/>
          <w:snapToGrid w:val="0"/>
          <w:sz w:val="28"/>
        </w:rPr>
        <w:t>的</w:t>
      </w:r>
      <w:bookmarkEnd w:id="861"/>
      <w:bookmarkEnd w:id="862"/>
      <w:bookmarkEnd w:id="863"/>
      <w:r>
        <w:rPr>
          <w:rFonts w:hint="eastAsia"/>
          <w:b/>
          <w:snapToGrid w:val="0"/>
          <w:sz w:val="28"/>
        </w:rPr>
        <w:t>承诺函</w:t>
      </w:r>
      <w:bookmarkEnd w:id="864"/>
      <w:bookmarkEnd w:id="865"/>
    </w:p>
    <w:p>
      <w:pPr>
        <w:wordWrap w:val="0"/>
        <w:topLinePunct/>
        <w:adjustRightInd/>
        <w:snapToGrid/>
        <w:rPr>
          <w:rFonts w:cs="宋体"/>
          <w:snapToGrid w:val="0"/>
        </w:rPr>
      </w:pPr>
      <w:r>
        <w:rPr>
          <w:rFonts w:hint="eastAsia" w:cs="宋体"/>
          <w:snapToGrid w:val="0"/>
          <w:u w:val="single"/>
        </w:rPr>
        <w:t xml:space="preserve">                   </w:t>
      </w:r>
      <w:r>
        <w:rPr>
          <w:rFonts w:hint="eastAsia" w:cs="宋体"/>
          <w:snapToGrid w:val="0"/>
        </w:rPr>
        <w:t>(采购代理机构名称)：</w:t>
      </w:r>
    </w:p>
    <w:p>
      <w:pPr>
        <w:wordWrap w:val="0"/>
        <w:topLinePunct/>
        <w:adjustRightInd/>
        <w:snapToGrid/>
        <w:ind w:firstLine="480" w:firstLineChars="200"/>
        <w:rPr>
          <w:rFonts w:cs="宋体"/>
          <w:snapToGrid w:val="0"/>
        </w:rPr>
      </w:pPr>
      <w:r>
        <w:rPr>
          <w:rFonts w:hint="eastAsia" w:cs="宋体"/>
          <w:snapToGrid w:val="0"/>
        </w:rPr>
        <w:t>我单位作为本次采购项目的投标人，根据招标文件要求，现郑重承诺如下：</w:t>
      </w:r>
    </w:p>
    <w:p>
      <w:pPr>
        <w:wordWrap w:val="0"/>
        <w:topLinePunct/>
        <w:adjustRightInd/>
        <w:snapToGrid/>
        <w:ind w:firstLine="480" w:firstLineChars="200"/>
        <w:rPr>
          <w:rFonts w:cs="宋体"/>
          <w:u w:val="single"/>
        </w:rPr>
      </w:pPr>
      <w:r>
        <w:rPr>
          <w:rFonts w:hint="eastAsia" w:cs="宋体"/>
          <w:u w:val="single"/>
        </w:rPr>
        <w:t xml:space="preserve">           </w:t>
      </w:r>
      <w:r>
        <w:rPr>
          <w:rFonts w:hint="eastAsia" w:cs="宋体"/>
        </w:rPr>
        <w:t>(投标人名称)及其现任法定代表人</w:t>
      </w:r>
      <w:r>
        <w:rPr>
          <w:rFonts w:hint="eastAsia" w:cs="宋体"/>
          <w:u w:val="single"/>
        </w:rPr>
        <w:t xml:space="preserve">       </w:t>
      </w:r>
      <w:r>
        <w:rPr>
          <w:rFonts w:hint="eastAsia" w:cs="宋体"/>
        </w:rPr>
        <w:t>(姓名)、</w:t>
      </w:r>
      <w:r>
        <w:rPr>
          <w:rFonts w:hint="eastAsia" w:cs="宋体"/>
          <w:u w:val="single"/>
        </w:rPr>
        <w:t xml:space="preserve">      </w:t>
      </w:r>
      <w:r>
        <w:rPr>
          <w:rFonts w:hint="eastAsia" w:cs="宋体"/>
        </w:rPr>
        <w:t>(身份证号码)，主要负责人</w:t>
      </w:r>
      <w:r>
        <w:rPr>
          <w:rFonts w:hint="eastAsia" w:cs="宋体"/>
          <w:u w:val="single"/>
        </w:rPr>
        <w:t xml:space="preserve">       </w:t>
      </w:r>
      <w:r>
        <w:rPr>
          <w:rFonts w:hint="eastAsia" w:cs="宋体"/>
        </w:rPr>
        <w:t>(姓名)、</w:t>
      </w:r>
      <w:r>
        <w:rPr>
          <w:rFonts w:hint="eastAsia" w:cs="宋体"/>
          <w:u w:val="single"/>
        </w:rPr>
        <w:t xml:space="preserve">         </w:t>
      </w:r>
      <w:r>
        <w:rPr>
          <w:rFonts w:hint="eastAsia" w:cs="宋体"/>
        </w:rPr>
        <w:t>(身份证号码)，</w:t>
      </w:r>
      <w:r>
        <w:rPr>
          <w:rFonts w:hint="eastAsia" w:cs="宋体"/>
          <w:u w:val="single"/>
        </w:rPr>
        <w:t xml:space="preserve">        </w:t>
      </w:r>
      <w:r>
        <w:rPr>
          <w:rFonts w:hint="eastAsia" w:cs="宋体"/>
        </w:rPr>
        <w:t xml:space="preserve">(无行贿犯罪记录的期限)均无行贿犯罪记录。     </w:t>
      </w:r>
    </w:p>
    <w:p>
      <w:pPr>
        <w:wordWrap w:val="0"/>
        <w:topLinePunct/>
        <w:adjustRightInd/>
        <w:snapToGrid/>
        <w:ind w:firstLine="480" w:firstLineChars="200"/>
        <w:rPr>
          <w:rFonts w:cs="宋体"/>
        </w:rPr>
      </w:pPr>
      <w:r>
        <w:rPr>
          <w:rFonts w:hint="eastAsia" w:cs="宋体"/>
        </w:rPr>
        <w:t>我单位对上述承诺的内容事项真实性、合法性负责。如经查实上述承诺的内容事项存在虚假，我单位自愿接受以提供虚假材料谋取中标所带来的所有法律责任。</w:t>
      </w:r>
    </w:p>
    <w:p>
      <w:pPr>
        <w:wordWrap w:val="0"/>
        <w:topLinePunct/>
        <w:adjustRightInd/>
        <w:snapToGrid/>
        <w:rPr>
          <w:rFonts w:cs="宋体"/>
          <w:snapToGrid w:val="0"/>
        </w:rPr>
      </w:pPr>
    </w:p>
    <w:p>
      <w:pPr>
        <w:wordWrap w:val="0"/>
        <w:topLinePunct/>
        <w:adjustRightInd/>
        <w:snapToGrid/>
        <w:rPr>
          <w:rFonts w:cs="宋体"/>
          <w:snapToGrid w:val="0"/>
        </w:rPr>
      </w:pPr>
    </w:p>
    <w:p>
      <w:pPr>
        <w:wordWrap w:val="0"/>
        <w:topLinePunct/>
        <w:ind w:firstLine="480" w:firstLineChars="200"/>
        <w:rPr>
          <w:rFonts w:cs="宋体"/>
        </w:rPr>
      </w:pPr>
      <w:r>
        <w:rPr>
          <w:rFonts w:hint="eastAsia" w:cs="宋体"/>
        </w:rPr>
        <w:t>投标人名称：</w:t>
      </w:r>
      <w:r>
        <w:rPr>
          <w:rFonts w:hint="eastAsia" w:cs="宋体"/>
          <w:u w:val="single"/>
        </w:rPr>
        <w:t xml:space="preserve">               </w:t>
      </w:r>
    </w:p>
    <w:p>
      <w:pPr>
        <w:numPr>
          <w:ilvl w:val="3"/>
          <w:numId w:val="0"/>
        </w:numPr>
        <w:wordWrap w:val="0"/>
        <w:topLinePunct/>
        <w:adjustRightInd/>
        <w:snapToGrid/>
        <w:ind w:firstLine="480" w:firstLineChars="200"/>
        <w:rPr>
          <w:rFonts w:cs="宋体"/>
          <w:u w:val="single"/>
        </w:rPr>
      </w:pPr>
      <w:r>
        <w:rPr>
          <w:rFonts w:hint="eastAsia" w:cs="宋体"/>
        </w:rPr>
        <w:t>投标日期：</w:t>
      </w:r>
      <w:r>
        <w:rPr>
          <w:rFonts w:hint="eastAsia" w:cs="宋体"/>
          <w:u w:val="single"/>
        </w:rPr>
        <w:t xml:space="preserve">                  </w:t>
      </w:r>
    </w:p>
    <w:p>
      <w:pPr>
        <w:numPr>
          <w:ilvl w:val="3"/>
          <w:numId w:val="0"/>
        </w:numPr>
        <w:wordWrap w:val="0"/>
        <w:topLinePunct/>
        <w:adjustRightInd/>
        <w:snapToGrid/>
        <w:ind w:firstLine="480" w:firstLineChars="200"/>
        <w:rPr>
          <w:rFonts w:cs="宋体"/>
          <w:u w:val="single"/>
        </w:rPr>
      </w:pPr>
    </w:p>
    <w:p>
      <w:pPr>
        <w:numPr>
          <w:ilvl w:val="3"/>
          <w:numId w:val="0"/>
        </w:numPr>
        <w:wordWrap w:val="0"/>
        <w:topLinePunct/>
        <w:ind w:firstLine="480" w:firstLineChars="200"/>
        <w:rPr>
          <w:rFonts w:cs="宋体"/>
          <w:b/>
          <w:bCs/>
        </w:rPr>
      </w:pPr>
      <w:r>
        <w:rPr>
          <w:rFonts w:hint="eastAsia"/>
          <w:b/>
          <w:bCs/>
        </w:rPr>
        <w:t>注：①投标人成立时间超过十年的，在“</w:t>
      </w:r>
      <w:r>
        <w:rPr>
          <w:rFonts w:hint="eastAsia" w:cs="宋体"/>
          <w:b/>
          <w:bCs/>
        </w:rPr>
        <w:t>无行贿犯罪记录的期限</w:t>
      </w:r>
      <w:r>
        <w:rPr>
          <w:rFonts w:hint="eastAsia"/>
          <w:b/>
          <w:bCs/>
        </w:rPr>
        <w:t>”</w:t>
      </w:r>
      <w:r>
        <w:rPr>
          <w:rFonts w:hint="eastAsia" w:cs="宋体"/>
          <w:b/>
          <w:bCs/>
        </w:rPr>
        <w:t>处填写“十年内”；投标人成立时间不足十年的，在“无行贿犯罪记录的期限”处填写“自我单位成立之日起至今”。②如有行贿犯罪记录的，投标人将被认定投标无效或被取消中标资格。</w:t>
      </w:r>
    </w:p>
    <w:bookmarkEnd w:id="822"/>
    <w:bookmarkEnd w:id="823"/>
    <w:bookmarkEnd w:id="824"/>
    <w:p>
      <w:pPr>
        <w:wordWrap w:val="0"/>
        <w:topLinePunct/>
        <w:spacing w:line="460" w:lineRule="exact"/>
        <w:ind w:firstLine="480" w:firstLineChars="200"/>
        <w:rPr>
          <w:snapToGrid w:val="0"/>
          <w:lang w:val="zh-CN"/>
        </w:rPr>
      </w:pPr>
    </w:p>
    <w:p>
      <w:pPr>
        <w:wordWrap w:val="0"/>
        <w:topLinePunct/>
        <w:ind w:firstLine="480" w:firstLineChars="200"/>
        <w:rPr>
          <w:highlight w:val="yellow"/>
        </w:rPr>
      </w:pPr>
    </w:p>
    <w:p>
      <w:pPr>
        <w:pageBreakBefore/>
        <w:numPr>
          <w:ilvl w:val="0"/>
          <w:numId w:val="16"/>
        </w:numPr>
        <w:wordWrap w:val="0"/>
        <w:topLinePunct/>
        <w:spacing w:before="156" w:beforeLines="50" w:after="156" w:afterLines="50"/>
        <w:jc w:val="center"/>
        <w:outlineLvl w:val="2"/>
        <w:rPr>
          <w:b/>
          <w:snapToGrid w:val="0"/>
          <w:sz w:val="28"/>
        </w:rPr>
      </w:pPr>
      <w:bookmarkStart w:id="866" w:name="_Toc21855"/>
      <w:bookmarkStart w:id="867" w:name="_Toc15708"/>
      <w:bookmarkStart w:id="868" w:name="_Toc30996"/>
      <w:r>
        <w:rPr>
          <w:rFonts w:hint="eastAsia"/>
          <w:b/>
          <w:snapToGrid w:val="0"/>
          <w:sz w:val="28"/>
        </w:rPr>
        <w:t>符合《中华人民共和国政府采购法》第二十二条规定的条件的承诺及声明函</w:t>
      </w:r>
      <w:bookmarkEnd w:id="866"/>
      <w:bookmarkEnd w:id="867"/>
      <w:bookmarkEnd w:id="868"/>
    </w:p>
    <w:p>
      <w:pPr>
        <w:wordWrap w:val="0"/>
        <w:topLinePunct/>
        <w:rPr>
          <w:snapToGrid w:val="0"/>
        </w:rPr>
      </w:pPr>
      <w:r>
        <w:rPr>
          <w:rFonts w:hint="eastAsia"/>
          <w:snapToGrid w:val="0"/>
          <w:u w:val="single"/>
        </w:rPr>
        <w:t xml:space="preserve">                   </w:t>
      </w:r>
      <w:r>
        <w:rPr>
          <w:rFonts w:hint="eastAsia"/>
          <w:snapToGrid w:val="0"/>
        </w:rPr>
        <w:t>(采购代理机构名称)：</w:t>
      </w:r>
    </w:p>
    <w:p>
      <w:pPr>
        <w:wordWrap w:val="0"/>
        <w:topLinePunct/>
        <w:ind w:firstLine="480" w:firstLineChars="200"/>
        <w:rPr>
          <w:snapToGrid w:val="0"/>
        </w:rPr>
      </w:pPr>
      <w:r>
        <w:rPr>
          <w:rFonts w:hint="eastAsia"/>
          <w:snapToGrid w:val="0"/>
        </w:rPr>
        <w:t>我公司作为本次采购项目的投标供应商，根据招标文件要求，现郑重承诺如下：</w:t>
      </w:r>
    </w:p>
    <w:p>
      <w:pPr>
        <w:numPr>
          <w:ilvl w:val="2"/>
          <w:numId w:val="18"/>
        </w:numPr>
        <w:wordWrap w:val="0"/>
        <w:topLinePunct/>
        <w:ind w:firstLine="480" w:firstLineChars="200"/>
        <w:rPr>
          <w:snapToGrid w:val="0"/>
        </w:rPr>
      </w:pPr>
      <w:r>
        <w:rPr>
          <w:rFonts w:hint="eastAsia"/>
          <w:snapToGrid w:val="0"/>
        </w:rPr>
        <w:t xml:space="preserve">具有良好的商业信誉和健全的财务会计制度； </w:t>
      </w:r>
    </w:p>
    <w:p>
      <w:pPr>
        <w:numPr>
          <w:ilvl w:val="2"/>
          <w:numId w:val="18"/>
        </w:numPr>
        <w:wordWrap w:val="0"/>
        <w:topLinePunct/>
        <w:ind w:firstLine="480" w:firstLineChars="200"/>
        <w:rPr>
          <w:snapToGrid w:val="0"/>
        </w:rPr>
      </w:pPr>
      <w:r>
        <w:rPr>
          <w:rFonts w:hint="eastAsia"/>
          <w:snapToGrid w:val="0"/>
        </w:rPr>
        <w:t xml:space="preserve">具有履行合同所必需的设备和专业技术能力； </w:t>
      </w:r>
    </w:p>
    <w:p>
      <w:pPr>
        <w:numPr>
          <w:ilvl w:val="2"/>
          <w:numId w:val="18"/>
        </w:numPr>
        <w:wordWrap w:val="0"/>
        <w:topLinePunct/>
        <w:ind w:firstLine="480" w:firstLineChars="200"/>
        <w:rPr>
          <w:snapToGrid w:val="0"/>
        </w:rPr>
      </w:pPr>
      <w:r>
        <w:rPr>
          <w:rFonts w:hint="eastAsia"/>
          <w:snapToGrid w:val="0"/>
        </w:rPr>
        <w:t xml:space="preserve">具有依法缴纳税收和社会保障资金的良好记录； </w:t>
      </w:r>
    </w:p>
    <w:p>
      <w:pPr>
        <w:numPr>
          <w:ilvl w:val="2"/>
          <w:numId w:val="18"/>
        </w:numPr>
        <w:wordWrap w:val="0"/>
        <w:topLinePunct/>
        <w:ind w:firstLine="480" w:firstLineChars="200"/>
        <w:rPr>
          <w:snapToGrid w:val="0"/>
        </w:rPr>
      </w:pPr>
      <w:r>
        <w:rPr>
          <w:rFonts w:hint="eastAsia"/>
          <w:snapToGrid w:val="0"/>
        </w:rPr>
        <w:t>参加本次政府采购活动前三年内，在经营活动中</w:t>
      </w:r>
      <w:r>
        <w:rPr>
          <w:rFonts w:hint="eastAsia"/>
          <w:snapToGrid w:val="0"/>
          <w:u w:val="single"/>
        </w:rPr>
        <w:t xml:space="preserve">      </w:t>
      </w:r>
      <w:r>
        <w:rPr>
          <w:rFonts w:hint="eastAsia"/>
          <w:snapToGrid w:val="0"/>
        </w:rPr>
        <w:t>(</w:t>
      </w:r>
      <w:r>
        <w:rPr>
          <w:rFonts w:hint="eastAsia"/>
          <w:b/>
          <w:bCs/>
          <w:snapToGrid w:val="0"/>
        </w:rPr>
        <w:t>说明：填写“没有”或“有”</w:t>
      </w:r>
      <w:r>
        <w:rPr>
          <w:rFonts w:hint="eastAsia"/>
          <w:snapToGrid w:val="0"/>
        </w:rPr>
        <w:t>)重大违法记录(供应商成立不足三年的，从成立之日起计算)；</w:t>
      </w:r>
    </w:p>
    <w:p>
      <w:pPr>
        <w:numPr>
          <w:ilvl w:val="2"/>
          <w:numId w:val="18"/>
        </w:numPr>
        <w:wordWrap w:val="0"/>
        <w:topLinePunct/>
        <w:ind w:firstLine="480" w:firstLineChars="200"/>
        <w:rPr>
          <w:snapToGrid w:val="0"/>
        </w:rPr>
      </w:pPr>
      <w:r>
        <w:rPr>
          <w:rFonts w:hint="eastAsia"/>
          <w:snapToGrid w:val="0"/>
        </w:rPr>
        <w:t>符合法律、行政法规规定的其他条件；</w:t>
      </w:r>
    </w:p>
    <w:p>
      <w:pPr>
        <w:numPr>
          <w:ilvl w:val="2"/>
          <w:numId w:val="18"/>
        </w:numPr>
        <w:wordWrap w:val="0"/>
        <w:topLinePunct/>
        <w:ind w:firstLine="480" w:firstLineChars="200"/>
        <w:rPr>
          <w:snapToGrid w:val="0"/>
        </w:rPr>
      </w:pPr>
      <w:r>
        <w:rPr>
          <w:rFonts w:hint="eastAsia"/>
          <w:bCs/>
          <w:snapToGrid w:val="0"/>
        </w:rPr>
        <w:t>未与其他投标供应商组成联合体参与本项目投标</w:t>
      </w:r>
      <w:r>
        <w:rPr>
          <w:rFonts w:hint="eastAsia"/>
          <w:snapToGrid w:val="0"/>
        </w:rPr>
        <w:t>。</w:t>
      </w:r>
    </w:p>
    <w:p>
      <w:pPr>
        <w:wordWrap w:val="0"/>
        <w:topLinePunct/>
        <w:ind w:firstLine="480" w:firstLineChars="200"/>
      </w:pPr>
      <w:r>
        <w:rPr>
          <w:rFonts w:hint="eastAsia"/>
        </w:rPr>
        <w:t>本公司对上述承诺的内容事项真实性、合法性负责。如经查实上述承诺的内容事项存在虚假，我公司自愿接受以提供虚假材料谋取中标所带来的所有法律责任。</w:t>
      </w:r>
    </w:p>
    <w:p>
      <w:pPr>
        <w:wordWrap w:val="0"/>
        <w:topLinePunct/>
        <w:rPr>
          <w:snapToGrid w:val="0"/>
        </w:rPr>
      </w:pPr>
    </w:p>
    <w:p>
      <w:pPr>
        <w:wordWrap w:val="0"/>
        <w:topLinePunct/>
        <w:rPr>
          <w:snapToGrid w:val="0"/>
        </w:rPr>
      </w:pPr>
    </w:p>
    <w:p>
      <w:pPr>
        <w:wordWrap w:val="0"/>
        <w:topLinePunct/>
        <w:ind w:firstLine="480" w:firstLineChars="200"/>
      </w:pPr>
      <w:r>
        <w:rPr>
          <w:rFonts w:hint="eastAsia"/>
        </w:rPr>
        <w:t>投标人名称：</w:t>
      </w:r>
      <w:r>
        <w:rPr>
          <w:rFonts w:hint="eastAsia"/>
          <w:u w:val="single"/>
        </w:rPr>
        <w:t xml:space="preserve">             </w:t>
      </w:r>
    </w:p>
    <w:p>
      <w:pPr>
        <w:wordWrap w:val="0"/>
        <w:topLinePunct/>
        <w:ind w:firstLine="480" w:firstLineChars="200"/>
      </w:pPr>
      <w:r>
        <w:rPr>
          <w:rFonts w:hint="eastAsia"/>
        </w:rPr>
        <w:t>投标日期：</w:t>
      </w:r>
      <w:r>
        <w:rPr>
          <w:rFonts w:hint="eastAsia"/>
          <w:u w:val="single"/>
        </w:rPr>
        <w:t xml:space="preserve">                </w:t>
      </w:r>
      <w:r>
        <w:rPr>
          <w:rFonts w:hint="eastAsia"/>
        </w:rPr>
        <w:t xml:space="preserve">  </w:t>
      </w:r>
    </w:p>
    <w:p>
      <w:pPr>
        <w:wordWrap w:val="0"/>
        <w:topLinePunct/>
        <w:ind w:firstLine="480" w:firstLineChars="200"/>
        <w:rPr>
          <w:b/>
          <w:snapToGrid w:val="0"/>
        </w:rPr>
      </w:pPr>
      <w:r>
        <w:rPr>
          <w:rFonts w:hint="eastAsia"/>
          <w:b/>
          <w:snapToGrid w:val="0"/>
        </w:rPr>
        <w:t>注：本部分所要求的承诺函可参照本格式或自拟格式填写均有效。</w:t>
      </w:r>
    </w:p>
    <w:p>
      <w:pPr>
        <w:numPr>
          <w:ilvl w:val="0"/>
          <w:numId w:val="16"/>
        </w:numPr>
        <w:jc w:val="center"/>
        <w:outlineLvl w:val="2"/>
        <w:rPr>
          <w:b/>
          <w:snapToGrid w:val="0"/>
          <w:sz w:val="28"/>
          <w:lang w:val="zh-CN"/>
        </w:rPr>
      </w:pPr>
      <w:r>
        <w:rPr>
          <w:rFonts w:hint="eastAsia"/>
        </w:rPr>
        <w:br w:type="page"/>
      </w:r>
      <w:bookmarkStart w:id="869" w:name="_Toc31879"/>
      <w:r>
        <w:rPr>
          <w:rFonts w:hint="eastAsia"/>
          <w:b/>
          <w:snapToGrid w:val="0"/>
          <w:sz w:val="28"/>
          <w:lang w:val="zh-CN"/>
        </w:rPr>
        <w:t>落实政府采购政策需满足的资格要求</w:t>
      </w:r>
      <w:bookmarkEnd w:id="869"/>
      <w:bookmarkStart w:id="870" w:name="_Toc2234"/>
    </w:p>
    <w:p>
      <w:pPr>
        <w:ind w:firstLine="3840" w:firstLineChars="1600"/>
        <w:jc w:val="both"/>
        <w:rPr>
          <w:rFonts w:cs="宋体" w:asciiTheme="minorEastAsia" w:hAnsiTheme="minorEastAsia" w:eastAsiaTheme="minorEastAsia"/>
        </w:rPr>
      </w:pPr>
    </w:p>
    <w:p>
      <w:pPr>
        <w:ind w:firstLine="3840" w:firstLineChars="1600"/>
        <w:jc w:val="both"/>
        <w:rPr>
          <w:rFonts w:cs="宋体" w:asciiTheme="minorEastAsia" w:hAnsiTheme="minorEastAsia" w:eastAsiaTheme="minorEastAsia"/>
          <w:b/>
          <w:bCs/>
        </w:rPr>
      </w:pPr>
      <w:r>
        <w:rPr>
          <w:rFonts w:hint="eastAsia" w:cs="宋体" w:asciiTheme="minorEastAsia" w:hAnsiTheme="minorEastAsia" w:eastAsiaTheme="minorEastAsia"/>
          <w:b/>
          <w:bCs/>
        </w:rPr>
        <w:t>(一)中小企业声明函</w:t>
      </w:r>
      <w:bookmarkEnd w:id="870"/>
    </w:p>
    <w:p>
      <w:pPr>
        <w:wordWrap w:val="0"/>
        <w:topLinePunct/>
        <w:ind w:firstLine="480" w:firstLineChars="200"/>
        <w:rPr>
          <w:rFonts w:cs="宋体" w:asciiTheme="minorEastAsia" w:hAnsiTheme="minorEastAsia" w:eastAsiaTheme="minorEastAsia"/>
          <w:bCs/>
          <w:snapToGrid w:val="0"/>
        </w:rPr>
      </w:pPr>
      <w:r>
        <w:rPr>
          <w:rFonts w:hint="eastAsia" w:cs="宋体" w:asciiTheme="minorEastAsia" w:hAnsiTheme="minorEastAsia" w:eastAsiaTheme="minorEastAsia"/>
          <w:bCs/>
          <w:snapToGrid w:val="0"/>
        </w:rPr>
        <w:t>本公司</w:t>
      </w:r>
      <w:r>
        <w:rPr>
          <w:rFonts w:hint="eastAsia" w:cs="宋体" w:asciiTheme="minorEastAsia" w:hAnsiTheme="minorEastAsia" w:eastAsiaTheme="minorEastAsia"/>
          <w:bCs/>
          <w:i/>
          <w:iCs/>
          <w:snapToGrid w:val="0"/>
          <w:u w:val="single"/>
        </w:rPr>
        <w:t xml:space="preserve">    </w:t>
      </w:r>
      <w:r>
        <w:rPr>
          <w:rFonts w:hint="eastAsia" w:cs="宋体" w:asciiTheme="minorEastAsia" w:hAnsiTheme="minorEastAsia" w:eastAsiaTheme="minorEastAsia"/>
          <w:bCs/>
          <w:snapToGrid w:val="0"/>
        </w:rPr>
        <w:t>郑重声明，根据《政府采购促进中小企业发展管理办法》(财库﹝2020﹞46号)的规定，本公司</w:t>
      </w:r>
      <w:r>
        <w:rPr>
          <w:rFonts w:hint="eastAsia" w:cs="宋体" w:asciiTheme="minorEastAsia" w:hAnsiTheme="minorEastAsia" w:eastAsiaTheme="minorEastAsia"/>
          <w:bCs/>
          <w:i/>
          <w:iCs/>
          <w:snapToGrid w:val="0"/>
          <w:u w:val="single"/>
        </w:rPr>
        <w:t xml:space="preserve">      </w:t>
      </w:r>
      <w:r>
        <w:rPr>
          <w:rFonts w:hint="eastAsia" w:cs="宋体" w:asciiTheme="minorEastAsia" w:hAnsiTheme="minorEastAsia" w:eastAsiaTheme="minorEastAsia"/>
          <w:bCs/>
          <w:snapToGrid w:val="0"/>
        </w:rPr>
        <w:t>参加</w:t>
      </w:r>
      <w:r>
        <w:rPr>
          <w:rFonts w:hint="eastAsia" w:cs="宋体" w:asciiTheme="minorEastAsia" w:hAnsiTheme="minorEastAsia" w:eastAsiaTheme="minorEastAsia"/>
          <w:bCs/>
          <w:i/>
          <w:iCs/>
          <w:snapToGrid w:val="0"/>
          <w:u w:val="single"/>
        </w:rPr>
        <w:t>(单位名称)</w:t>
      </w:r>
      <w:r>
        <w:rPr>
          <w:rFonts w:hint="eastAsia" w:cs="宋体" w:asciiTheme="minorEastAsia" w:hAnsiTheme="minorEastAsia" w:eastAsiaTheme="minorEastAsia"/>
          <w:bCs/>
          <w:snapToGrid w:val="0"/>
        </w:rPr>
        <w:t>的</w:t>
      </w:r>
      <w:r>
        <w:rPr>
          <w:rFonts w:hint="eastAsia" w:cs="宋体" w:asciiTheme="minorEastAsia" w:hAnsiTheme="minorEastAsia" w:eastAsiaTheme="minorEastAsia"/>
          <w:bCs/>
          <w:i/>
          <w:iCs/>
          <w:snapToGrid w:val="0"/>
          <w:u w:val="single"/>
        </w:rPr>
        <w:t>(项目名称)</w:t>
      </w:r>
      <w:r>
        <w:rPr>
          <w:rFonts w:hint="eastAsia" w:cs="宋体" w:asciiTheme="minorEastAsia" w:hAnsiTheme="minorEastAsia" w:eastAsiaTheme="minorEastAsia"/>
          <w:bCs/>
          <w:snapToGrid w:val="0"/>
        </w:rPr>
        <w:t>采购活动，服务全部由符合政策要求的中小企业承接。相关企业(含联合体中的中小企业、签订分包意向协议的中小企业)的具体情况如下：</w:t>
      </w:r>
    </w:p>
    <w:p>
      <w:pPr>
        <w:wordWrap w:val="0"/>
        <w:topLinePunct/>
        <w:ind w:firstLine="480" w:firstLineChars="200"/>
        <w:rPr>
          <w:rFonts w:cs="宋体" w:asciiTheme="minorEastAsia" w:hAnsiTheme="minorEastAsia" w:eastAsiaTheme="minorEastAsia"/>
          <w:bCs/>
          <w:i/>
          <w:iCs/>
          <w:snapToGrid w:val="0"/>
          <w:u w:val="single"/>
        </w:rPr>
      </w:pPr>
      <w:r>
        <w:rPr>
          <w:rFonts w:hint="eastAsia" w:cs="宋体" w:asciiTheme="minorEastAsia" w:hAnsiTheme="minorEastAsia" w:eastAsiaTheme="minorEastAsia"/>
          <w:bCs/>
          <w:i/>
          <w:iCs/>
          <w:snapToGrid w:val="0"/>
          <w:u w:val="single"/>
        </w:rPr>
        <w:t>(标的名称)</w:t>
      </w:r>
      <w:r>
        <w:rPr>
          <w:rFonts w:hint="eastAsia" w:cs="宋体" w:asciiTheme="minorEastAsia" w:hAnsiTheme="minorEastAsia" w:eastAsiaTheme="minorEastAsia"/>
          <w:bCs/>
          <w:snapToGrid w:val="0"/>
        </w:rPr>
        <w:t>，属于</w:t>
      </w:r>
      <w:r>
        <w:rPr>
          <w:rFonts w:hint="eastAsia" w:cs="宋体" w:asciiTheme="minorEastAsia" w:hAnsiTheme="minorEastAsia" w:eastAsiaTheme="minorEastAsia"/>
          <w:bCs/>
          <w:i/>
          <w:iCs/>
          <w:snapToGrid w:val="0"/>
          <w:u w:val="single"/>
        </w:rPr>
        <w:t>(采购文件中明确的所属行业)</w:t>
      </w:r>
      <w:r>
        <w:rPr>
          <w:rFonts w:hint="eastAsia" w:cs="宋体" w:asciiTheme="minorEastAsia" w:hAnsiTheme="minorEastAsia" w:eastAsiaTheme="minorEastAsia"/>
          <w:bCs/>
          <w:snapToGrid w:val="0"/>
        </w:rPr>
        <w:t>；承接企业为</w:t>
      </w:r>
      <w:r>
        <w:rPr>
          <w:rFonts w:hint="eastAsia" w:cs="宋体" w:asciiTheme="minorEastAsia" w:hAnsiTheme="minorEastAsia" w:eastAsiaTheme="minorEastAsia"/>
          <w:bCs/>
          <w:i/>
          <w:iCs/>
          <w:snapToGrid w:val="0"/>
          <w:u w:val="single"/>
        </w:rPr>
        <w:t>(企业名称)</w:t>
      </w:r>
      <w:r>
        <w:rPr>
          <w:rFonts w:hint="eastAsia" w:cs="宋体" w:asciiTheme="minorEastAsia" w:hAnsiTheme="minorEastAsia" w:eastAsiaTheme="minorEastAsia"/>
          <w:bCs/>
          <w:snapToGrid w:val="0"/>
        </w:rPr>
        <w:t>，从业人员</w:t>
      </w:r>
      <w:r>
        <w:rPr>
          <w:rFonts w:hint="eastAsia" w:cs="宋体" w:asciiTheme="minorEastAsia" w:hAnsiTheme="minorEastAsia" w:eastAsiaTheme="minorEastAsia"/>
          <w:bCs/>
          <w:snapToGrid w:val="0"/>
          <w:u w:val="single"/>
        </w:rPr>
        <w:t xml:space="preserve">    </w:t>
      </w:r>
      <w:r>
        <w:rPr>
          <w:rFonts w:hint="eastAsia" w:cs="宋体" w:asciiTheme="minorEastAsia" w:hAnsiTheme="minorEastAsia" w:eastAsiaTheme="minorEastAsia"/>
          <w:bCs/>
          <w:snapToGrid w:val="0"/>
        </w:rPr>
        <w:t>人，营业收入为</w:t>
      </w:r>
      <w:r>
        <w:rPr>
          <w:rFonts w:hint="eastAsia" w:cs="宋体" w:asciiTheme="minorEastAsia" w:hAnsiTheme="minorEastAsia" w:eastAsiaTheme="minorEastAsia"/>
          <w:bCs/>
          <w:snapToGrid w:val="0"/>
          <w:u w:val="single"/>
        </w:rPr>
        <w:t xml:space="preserve">    </w:t>
      </w:r>
      <w:r>
        <w:rPr>
          <w:rFonts w:hint="eastAsia" w:cs="宋体" w:asciiTheme="minorEastAsia" w:hAnsiTheme="minorEastAsia" w:eastAsiaTheme="minorEastAsia"/>
          <w:bCs/>
          <w:snapToGrid w:val="0"/>
        </w:rPr>
        <w:tab/>
      </w:r>
      <w:r>
        <w:rPr>
          <w:rFonts w:hint="eastAsia" w:cs="宋体" w:asciiTheme="minorEastAsia" w:hAnsiTheme="minorEastAsia" w:eastAsiaTheme="minorEastAsia"/>
          <w:bCs/>
          <w:snapToGrid w:val="0"/>
        </w:rPr>
        <w:t>万元，资产总额为</w:t>
      </w:r>
      <w:r>
        <w:rPr>
          <w:rFonts w:hint="eastAsia" w:cs="宋体" w:asciiTheme="minorEastAsia" w:hAnsiTheme="minorEastAsia" w:eastAsiaTheme="minorEastAsia"/>
          <w:bCs/>
          <w:snapToGrid w:val="0"/>
          <w:u w:val="single"/>
        </w:rPr>
        <w:t xml:space="preserve">    </w:t>
      </w:r>
      <w:r>
        <w:rPr>
          <w:rFonts w:hint="eastAsia" w:cs="宋体" w:asciiTheme="minorEastAsia" w:hAnsiTheme="minorEastAsia" w:eastAsiaTheme="minorEastAsia"/>
          <w:bCs/>
          <w:snapToGrid w:val="0"/>
        </w:rPr>
        <w:t>万元，属于</w:t>
      </w:r>
      <w:r>
        <w:rPr>
          <w:rFonts w:hint="eastAsia" w:cs="宋体" w:asciiTheme="minorEastAsia" w:hAnsiTheme="minorEastAsia" w:eastAsiaTheme="minorEastAsia"/>
          <w:bCs/>
          <w:i/>
          <w:iCs/>
          <w:snapToGrid w:val="0"/>
          <w:u w:val="single"/>
        </w:rPr>
        <w:t>(中型企业、小型企业、微型企业)；</w:t>
      </w:r>
    </w:p>
    <w:p>
      <w:pPr>
        <w:wordWrap w:val="0"/>
        <w:topLinePunct/>
        <w:ind w:firstLine="480" w:firstLineChars="200"/>
        <w:rPr>
          <w:rFonts w:cs="宋体" w:asciiTheme="minorEastAsia" w:hAnsiTheme="minorEastAsia" w:eastAsiaTheme="minorEastAsia"/>
          <w:bCs/>
          <w:i/>
          <w:iCs/>
          <w:snapToGrid w:val="0"/>
          <w:u w:val="single"/>
        </w:rPr>
      </w:pPr>
      <w:r>
        <w:rPr>
          <w:rFonts w:hint="eastAsia" w:cs="宋体" w:asciiTheme="minorEastAsia" w:hAnsiTheme="minorEastAsia" w:eastAsiaTheme="minorEastAsia"/>
          <w:bCs/>
          <w:i/>
          <w:iCs/>
          <w:snapToGrid w:val="0"/>
          <w:u w:val="single"/>
        </w:rPr>
        <w:t>(标的名称)</w:t>
      </w:r>
      <w:r>
        <w:rPr>
          <w:rFonts w:hint="eastAsia" w:cs="宋体" w:asciiTheme="minorEastAsia" w:hAnsiTheme="minorEastAsia" w:eastAsiaTheme="minorEastAsia"/>
          <w:bCs/>
          <w:snapToGrid w:val="0"/>
        </w:rPr>
        <w:t>，属于</w:t>
      </w:r>
      <w:r>
        <w:rPr>
          <w:rFonts w:hint="eastAsia" w:cs="宋体" w:asciiTheme="minorEastAsia" w:hAnsiTheme="minorEastAsia" w:eastAsiaTheme="minorEastAsia"/>
          <w:bCs/>
          <w:i/>
          <w:iCs/>
          <w:snapToGrid w:val="0"/>
          <w:u w:val="single"/>
        </w:rPr>
        <w:t>(采购文件中明确的所属行业)</w:t>
      </w:r>
      <w:r>
        <w:rPr>
          <w:rFonts w:hint="eastAsia" w:cs="宋体" w:asciiTheme="minorEastAsia" w:hAnsiTheme="minorEastAsia" w:eastAsiaTheme="minorEastAsia"/>
          <w:bCs/>
          <w:snapToGrid w:val="0"/>
        </w:rPr>
        <w:t>；承接企业为</w:t>
      </w:r>
      <w:r>
        <w:rPr>
          <w:rFonts w:hint="eastAsia" w:cs="宋体" w:asciiTheme="minorEastAsia" w:hAnsiTheme="minorEastAsia" w:eastAsiaTheme="minorEastAsia"/>
          <w:bCs/>
          <w:i/>
          <w:iCs/>
          <w:snapToGrid w:val="0"/>
          <w:u w:val="single"/>
        </w:rPr>
        <w:t>(企业名称)</w:t>
      </w:r>
      <w:r>
        <w:rPr>
          <w:rFonts w:hint="eastAsia" w:cs="宋体" w:asciiTheme="minorEastAsia" w:hAnsiTheme="minorEastAsia" w:eastAsiaTheme="minorEastAsia"/>
          <w:bCs/>
          <w:snapToGrid w:val="0"/>
        </w:rPr>
        <w:t>，从业人员</w:t>
      </w:r>
      <w:r>
        <w:rPr>
          <w:rFonts w:hint="eastAsia" w:cs="宋体" w:asciiTheme="minorEastAsia" w:hAnsiTheme="minorEastAsia" w:eastAsiaTheme="minorEastAsia"/>
          <w:bCs/>
          <w:snapToGrid w:val="0"/>
          <w:u w:val="single"/>
        </w:rPr>
        <w:t xml:space="preserve">    </w:t>
      </w:r>
      <w:r>
        <w:rPr>
          <w:rFonts w:hint="eastAsia" w:cs="宋体" w:asciiTheme="minorEastAsia" w:hAnsiTheme="minorEastAsia" w:eastAsiaTheme="minorEastAsia"/>
          <w:bCs/>
          <w:snapToGrid w:val="0"/>
        </w:rPr>
        <w:tab/>
      </w:r>
      <w:r>
        <w:rPr>
          <w:rFonts w:hint="eastAsia" w:cs="宋体" w:asciiTheme="minorEastAsia" w:hAnsiTheme="minorEastAsia" w:eastAsiaTheme="minorEastAsia"/>
          <w:bCs/>
          <w:snapToGrid w:val="0"/>
        </w:rPr>
        <w:t>人，营业收入为</w:t>
      </w:r>
      <w:r>
        <w:rPr>
          <w:rFonts w:hint="eastAsia" w:cs="宋体" w:asciiTheme="minorEastAsia" w:hAnsiTheme="minorEastAsia" w:eastAsiaTheme="minorEastAsia"/>
          <w:bCs/>
          <w:snapToGrid w:val="0"/>
          <w:u w:val="single"/>
        </w:rPr>
        <w:t xml:space="preserve">    </w:t>
      </w:r>
      <w:r>
        <w:rPr>
          <w:rFonts w:hint="eastAsia" w:cs="宋体" w:asciiTheme="minorEastAsia" w:hAnsiTheme="minorEastAsia" w:eastAsiaTheme="minorEastAsia"/>
          <w:bCs/>
          <w:snapToGrid w:val="0"/>
        </w:rPr>
        <w:tab/>
      </w:r>
      <w:r>
        <w:rPr>
          <w:rFonts w:hint="eastAsia" w:cs="宋体" w:asciiTheme="minorEastAsia" w:hAnsiTheme="minorEastAsia" w:eastAsiaTheme="minorEastAsia"/>
          <w:bCs/>
          <w:snapToGrid w:val="0"/>
        </w:rPr>
        <w:t>万元，资产总额为</w:t>
      </w:r>
      <w:r>
        <w:rPr>
          <w:rFonts w:hint="eastAsia" w:cs="宋体" w:asciiTheme="minorEastAsia" w:hAnsiTheme="minorEastAsia" w:eastAsiaTheme="minorEastAsia"/>
          <w:bCs/>
          <w:snapToGrid w:val="0"/>
          <w:u w:val="single"/>
        </w:rPr>
        <w:t xml:space="preserve">    </w:t>
      </w:r>
      <w:r>
        <w:rPr>
          <w:rFonts w:hint="eastAsia" w:cs="宋体" w:asciiTheme="minorEastAsia" w:hAnsiTheme="minorEastAsia" w:eastAsiaTheme="minorEastAsia"/>
          <w:bCs/>
          <w:snapToGrid w:val="0"/>
        </w:rPr>
        <w:tab/>
      </w:r>
      <w:r>
        <w:rPr>
          <w:rFonts w:hint="eastAsia" w:cs="宋体" w:asciiTheme="minorEastAsia" w:hAnsiTheme="minorEastAsia" w:eastAsiaTheme="minorEastAsia"/>
          <w:bCs/>
          <w:snapToGrid w:val="0"/>
        </w:rPr>
        <w:t>万元，属于</w:t>
      </w:r>
      <w:r>
        <w:rPr>
          <w:rFonts w:hint="eastAsia" w:cs="宋体" w:asciiTheme="minorEastAsia" w:hAnsiTheme="minorEastAsia" w:eastAsiaTheme="minorEastAsia"/>
          <w:bCs/>
          <w:i/>
          <w:iCs/>
          <w:snapToGrid w:val="0"/>
          <w:u w:val="single"/>
        </w:rPr>
        <w:t>(中型企业、小型企业、微型企业)；</w:t>
      </w:r>
    </w:p>
    <w:p>
      <w:pPr>
        <w:wordWrap w:val="0"/>
        <w:topLinePunct/>
        <w:ind w:firstLine="480" w:firstLineChars="200"/>
        <w:rPr>
          <w:rFonts w:cs="宋体" w:asciiTheme="minorEastAsia" w:hAnsiTheme="minorEastAsia" w:eastAsiaTheme="minorEastAsia"/>
          <w:bCs/>
          <w:snapToGrid w:val="0"/>
        </w:rPr>
      </w:pPr>
      <w:r>
        <w:rPr>
          <w:rFonts w:hint="eastAsia" w:cs="宋体" w:asciiTheme="minorEastAsia" w:hAnsiTheme="minorEastAsia" w:eastAsiaTheme="minorEastAsia"/>
          <w:bCs/>
          <w:snapToGrid w:val="0"/>
        </w:rPr>
        <w:t>……</w:t>
      </w:r>
    </w:p>
    <w:p>
      <w:pPr>
        <w:wordWrap w:val="0"/>
        <w:topLinePunct/>
        <w:ind w:firstLine="480" w:firstLineChars="200"/>
        <w:rPr>
          <w:rFonts w:cs="宋体" w:asciiTheme="minorEastAsia" w:hAnsiTheme="minorEastAsia" w:eastAsiaTheme="minorEastAsia"/>
          <w:bCs/>
          <w:snapToGrid w:val="0"/>
        </w:rPr>
      </w:pPr>
      <w:r>
        <w:rPr>
          <w:rFonts w:hint="eastAsia" w:cs="宋体" w:asciiTheme="minorEastAsia" w:hAnsiTheme="minorEastAsia" w:eastAsiaTheme="minorEastAsia"/>
          <w:bCs/>
          <w:snapToGrid w:val="0"/>
        </w:rPr>
        <w:t>以上企业，不属于大企业的分支机构，不存在控股股东为大企业的情形，也不存在与大企业的负责人为同一人的情形。</w:t>
      </w:r>
    </w:p>
    <w:p>
      <w:pPr>
        <w:wordWrap w:val="0"/>
        <w:topLinePunct/>
        <w:ind w:firstLine="480" w:firstLineChars="200"/>
        <w:rPr>
          <w:rFonts w:cs="宋体" w:asciiTheme="minorEastAsia" w:hAnsiTheme="minorEastAsia" w:eastAsiaTheme="minorEastAsia"/>
          <w:bCs/>
          <w:snapToGrid w:val="0"/>
        </w:rPr>
      </w:pPr>
      <w:r>
        <w:rPr>
          <w:rFonts w:hint="eastAsia" w:cs="宋体" w:asciiTheme="minorEastAsia" w:hAnsiTheme="minorEastAsia" w:eastAsiaTheme="minorEastAsia"/>
          <w:bCs/>
          <w:snapToGrid w:val="0"/>
        </w:rPr>
        <w:t>本企业对上述声明内容的真实性负责。如有虚假，将依法承担相应责任。</w:t>
      </w:r>
    </w:p>
    <w:p>
      <w:pPr>
        <w:wordWrap w:val="0"/>
        <w:topLinePunct/>
        <w:rPr>
          <w:rFonts w:cs="宋体" w:asciiTheme="minorEastAsia" w:hAnsiTheme="minorEastAsia" w:eastAsiaTheme="minorEastAsia"/>
          <w:snapToGrid w:val="0"/>
        </w:rPr>
      </w:pPr>
    </w:p>
    <w:p>
      <w:pPr>
        <w:wordWrap w:val="0"/>
        <w:topLinePunct/>
        <w:rPr>
          <w:rFonts w:cs="宋体" w:asciiTheme="minorEastAsia" w:hAnsiTheme="minorEastAsia" w:eastAsiaTheme="minorEastAsia"/>
          <w:snapToGrid w:val="0"/>
        </w:rPr>
      </w:pPr>
    </w:p>
    <w:p>
      <w:pPr>
        <w:wordWrap w:val="0"/>
        <w:topLinePunct/>
        <w:ind w:left="4800" w:leftChars="2000"/>
        <w:rPr>
          <w:rFonts w:cs="宋体" w:asciiTheme="minorEastAsia" w:hAnsiTheme="minorEastAsia" w:eastAsiaTheme="minorEastAsia"/>
          <w:snapToGrid w:val="0"/>
        </w:rPr>
      </w:pPr>
      <w:r>
        <w:rPr>
          <w:rFonts w:hint="eastAsia" w:cs="宋体" w:asciiTheme="minorEastAsia" w:hAnsiTheme="minorEastAsia" w:eastAsiaTheme="minorEastAsia"/>
          <w:snapToGrid w:val="0"/>
        </w:rPr>
        <w:t>企业名称：</w:t>
      </w:r>
      <w:r>
        <w:rPr>
          <w:rFonts w:hint="eastAsia" w:cs="宋体" w:asciiTheme="minorEastAsia" w:hAnsiTheme="minorEastAsia" w:eastAsiaTheme="minorEastAsia"/>
          <w:snapToGrid w:val="0"/>
          <w:u w:val="single"/>
        </w:rPr>
        <w:t xml:space="preserve">        </w:t>
      </w:r>
    </w:p>
    <w:p>
      <w:pPr>
        <w:wordWrap w:val="0"/>
        <w:topLinePunct/>
        <w:ind w:left="4800" w:leftChars="2000"/>
        <w:rPr>
          <w:rFonts w:cs="宋体" w:asciiTheme="minorEastAsia" w:hAnsiTheme="minorEastAsia" w:eastAsiaTheme="minorEastAsia"/>
          <w:snapToGrid w:val="0"/>
        </w:rPr>
      </w:pPr>
      <w:r>
        <w:rPr>
          <w:rFonts w:hint="eastAsia" w:cs="宋体" w:asciiTheme="minorEastAsia" w:hAnsiTheme="minorEastAsia" w:eastAsiaTheme="minorEastAsia"/>
          <w:snapToGrid w:val="0"/>
        </w:rPr>
        <w:t>日期：</w:t>
      </w:r>
      <w:r>
        <w:rPr>
          <w:rFonts w:hint="eastAsia" w:cs="宋体" w:asciiTheme="minorEastAsia" w:hAnsiTheme="minorEastAsia" w:eastAsiaTheme="minorEastAsia"/>
          <w:snapToGrid w:val="0"/>
          <w:u w:val="single"/>
        </w:rPr>
        <w:t xml:space="preserve">        </w:t>
      </w:r>
      <w:r>
        <w:rPr>
          <w:rFonts w:hint="eastAsia" w:cs="宋体" w:asciiTheme="minorEastAsia" w:hAnsiTheme="minorEastAsia" w:eastAsiaTheme="minorEastAsia"/>
          <w:snapToGrid w:val="0"/>
        </w:rPr>
        <w:t xml:space="preserve">           　</w:t>
      </w:r>
    </w:p>
    <w:p>
      <w:pPr>
        <w:wordWrap w:val="0"/>
        <w:topLinePunct/>
        <w:ind w:firstLine="480" w:firstLineChars="200"/>
        <w:rPr>
          <w:rFonts w:cs="宋体" w:asciiTheme="minorEastAsia" w:hAnsiTheme="minorEastAsia" w:eastAsiaTheme="minorEastAsia"/>
          <w:b/>
          <w:snapToGrid w:val="0"/>
        </w:rPr>
      </w:pPr>
    </w:p>
    <w:p>
      <w:pPr>
        <w:wordWrap w:val="0"/>
        <w:topLinePunct/>
        <w:ind w:firstLine="480" w:firstLineChars="200"/>
        <w:rPr>
          <w:rFonts w:cs="宋体" w:asciiTheme="minorEastAsia" w:hAnsiTheme="minorEastAsia" w:eastAsiaTheme="minorEastAsia"/>
          <w:b/>
          <w:snapToGrid w:val="0"/>
        </w:rPr>
      </w:pPr>
      <w:r>
        <w:rPr>
          <w:rFonts w:hint="eastAsia" w:cs="宋体" w:asciiTheme="minorEastAsia" w:hAnsiTheme="minorEastAsia" w:eastAsiaTheme="minorEastAsia"/>
          <w:b/>
          <w:snapToGrid w:val="0"/>
        </w:rPr>
        <w:t>注：从业人员、营业收入、资产总额填报上一年度数据，无上一年度数据的新成立企业可不填报。</w:t>
      </w:r>
    </w:p>
    <w:p>
      <w:pPr>
        <w:pageBreakBefore/>
        <w:wordWrap w:val="0"/>
        <w:topLinePunct/>
        <w:spacing w:before="156" w:beforeLines="50" w:after="156" w:afterLines="50"/>
        <w:jc w:val="center"/>
        <w:rPr>
          <w:rFonts w:cs="宋体" w:asciiTheme="minorEastAsia" w:hAnsiTheme="minorEastAsia" w:eastAsiaTheme="minorEastAsia"/>
          <w:b/>
          <w:snapToGrid w:val="0"/>
          <w:sz w:val="28"/>
        </w:rPr>
      </w:pPr>
      <w:bookmarkStart w:id="871" w:name="_Toc7569"/>
      <w:r>
        <w:rPr>
          <w:rFonts w:hint="eastAsia" w:cs="宋体" w:asciiTheme="minorEastAsia" w:hAnsiTheme="minorEastAsia" w:eastAsiaTheme="minorEastAsia"/>
          <w:b/>
          <w:snapToGrid w:val="0"/>
          <w:sz w:val="28"/>
        </w:rPr>
        <w:t>(二)监狱企业相关证明材料</w:t>
      </w:r>
      <w:bookmarkEnd w:id="871"/>
    </w:p>
    <w:p>
      <w:pPr>
        <w:wordWrap w:val="0"/>
        <w:topLinePunct/>
        <w:ind w:firstLine="480" w:firstLineChars="200"/>
        <w:rPr>
          <w:rFonts w:cs="宋体" w:asciiTheme="minorEastAsia" w:hAnsiTheme="minorEastAsia" w:eastAsiaTheme="minorEastAsia"/>
          <w:b/>
          <w:snapToGrid w:val="0"/>
        </w:rPr>
      </w:pPr>
      <w:r>
        <w:rPr>
          <w:rFonts w:hint="eastAsia" w:cs="宋体" w:asciiTheme="minorEastAsia" w:hAnsiTheme="minorEastAsia" w:eastAsiaTheme="minorEastAsia"/>
          <w:b/>
          <w:snapToGrid w:val="0"/>
        </w:rPr>
        <w:t>说明：</w:t>
      </w:r>
    </w:p>
    <w:p>
      <w:pPr>
        <w:wordWrap w:val="0"/>
        <w:topLinePunct/>
        <w:ind w:firstLine="480" w:firstLineChars="200"/>
        <w:rPr>
          <w:rFonts w:cs="宋体" w:asciiTheme="minorEastAsia" w:hAnsiTheme="minorEastAsia" w:eastAsiaTheme="minorEastAsia"/>
          <w:b/>
          <w:snapToGrid w:val="0"/>
        </w:rPr>
      </w:pPr>
      <w:r>
        <w:rPr>
          <w:rFonts w:hint="eastAsia" w:cs="宋体" w:asciiTheme="minorEastAsia" w:hAnsiTheme="minorEastAsia" w:eastAsiaTheme="minorEastAsia"/>
          <w:b/>
          <w:snapToGrid w:val="0"/>
        </w:rPr>
        <w:t>监狱企业参加政府采购活动时，应当提供由省级以上监狱管理局、戒毒管理局(含新疆生产建设兵团)出具的属于监狱企业的证明文件，否则将被视为无效投标。</w:t>
      </w:r>
      <w:r>
        <w:rPr>
          <w:rFonts w:hint="eastAsia" w:cs="宋体" w:asciiTheme="minorEastAsia" w:hAnsiTheme="minorEastAsia" w:eastAsiaTheme="minorEastAsia"/>
          <w:b/>
          <w:snapToGrid w:val="0"/>
        </w:rPr>
        <w:br w:type="page"/>
      </w:r>
    </w:p>
    <w:p>
      <w:pPr>
        <w:pageBreakBefore/>
        <w:wordWrap w:val="0"/>
        <w:topLinePunct/>
        <w:spacing w:before="156" w:beforeLines="50" w:after="156" w:afterLines="50"/>
        <w:jc w:val="center"/>
        <w:rPr>
          <w:rFonts w:cs="宋体" w:asciiTheme="minorEastAsia" w:hAnsiTheme="minorEastAsia" w:eastAsiaTheme="minorEastAsia"/>
          <w:b/>
          <w:snapToGrid w:val="0"/>
          <w:sz w:val="28"/>
        </w:rPr>
      </w:pPr>
      <w:bookmarkStart w:id="872" w:name="_Toc1158"/>
      <w:r>
        <w:rPr>
          <w:rFonts w:hint="eastAsia" w:cs="宋体" w:asciiTheme="minorEastAsia" w:hAnsiTheme="minorEastAsia" w:eastAsiaTheme="minorEastAsia"/>
          <w:b/>
          <w:snapToGrid w:val="0"/>
          <w:sz w:val="28"/>
        </w:rPr>
        <w:t>(三)残疾人福利性单位声明函</w:t>
      </w:r>
      <w:bookmarkEnd w:id="872"/>
    </w:p>
    <w:p>
      <w:pPr>
        <w:wordWrap w:val="0"/>
        <w:topLinePunct/>
        <w:ind w:firstLine="480" w:firstLineChars="200"/>
        <w:rPr>
          <w:rFonts w:cs="宋体" w:asciiTheme="minorEastAsia" w:hAnsiTheme="minorEastAsia" w:eastAsiaTheme="minorEastAsia"/>
        </w:rPr>
      </w:pPr>
      <w:r>
        <w:rPr>
          <w:rFonts w:hint="eastAsia" w:cs="宋体" w:asciiTheme="minorEastAsia" w:hAnsiTheme="minorEastAsia" w:eastAsiaTheme="minorEastAsia"/>
        </w:rPr>
        <w:t>本单位郑重声明，根据《财政部 民政部 中国残疾人联合会关于促进残疾人就业政府采购政策的通知》(财库〔2017〕141号)的规定，本单位为符合条件的残疾人福利性单位，且本单位参加</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单位的</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项目采购活动由本单位提供服务。</w:t>
      </w:r>
    </w:p>
    <w:p>
      <w:pPr>
        <w:wordWrap w:val="0"/>
        <w:topLinePunct/>
        <w:ind w:firstLine="480" w:firstLineChars="200"/>
        <w:rPr>
          <w:rFonts w:cs="宋体" w:asciiTheme="minorEastAsia" w:hAnsiTheme="minorEastAsia" w:eastAsiaTheme="minorEastAsia"/>
        </w:rPr>
      </w:pPr>
      <w:r>
        <w:rPr>
          <w:rFonts w:hint="eastAsia" w:cs="宋体" w:asciiTheme="minorEastAsia" w:hAnsiTheme="minorEastAsia" w:eastAsiaTheme="minorEastAsia"/>
        </w:rPr>
        <w:t>本单位对上述声明的真实性负责。如有虚假，将依法承担相应责任。</w:t>
      </w:r>
    </w:p>
    <w:p>
      <w:pPr>
        <w:wordWrap w:val="0"/>
        <w:topLinePunct/>
        <w:rPr>
          <w:rFonts w:cs="宋体" w:asciiTheme="minorEastAsia" w:hAnsiTheme="minorEastAsia" w:eastAsiaTheme="minorEastAsia"/>
          <w:snapToGrid w:val="0"/>
        </w:rPr>
      </w:pPr>
    </w:p>
    <w:p>
      <w:pPr>
        <w:wordWrap w:val="0"/>
        <w:topLinePunct/>
        <w:rPr>
          <w:rFonts w:cs="宋体" w:asciiTheme="minorEastAsia" w:hAnsiTheme="minorEastAsia" w:eastAsiaTheme="minorEastAsia"/>
          <w:snapToGrid w:val="0"/>
        </w:rPr>
      </w:pPr>
    </w:p>
    <w:p>
      <w:pPr>
        <w:wordWrap w:val="0"/>
        <w:topLinePunct/>
        <w:rPr>
          <w:rFonts w:cs="宋体" w:asciiTheme="minorEastAsia" w:hAnsiTheme="minorEastAsia" w:eastAsiaTheme="minorEastAsia"/>
          <w:snapToGrid w:val="0"/>
        </w:rPr>
      </w:pPr>
    </w:p>
    <w:p>
      <w:pPr>
        <w:wordWrap w:val="0"/>
        <w:topLinePunct/>
        <w:ind w:left="4800" w:leftChars="2000"/>
        <w:rPr>
          <w:rFonts w:cs="宋体" w:asciiTheme="minorEastAsia" w:hAnsiTheme="minorEastAsia" w:eastAsiaTheme="minorEastAsia"/>
          <w:snapToGrid w:val="0"/>
        </w:rPr>
      </w:pPr>
      <w:r>
        <w:rPr>
          <w:rFonts w:hint="eastAsia" w:cs="宋体" w:asciiTheme="minorEastAsia" w:hAnsiTheme="minorEastAsia" w:eastAsiaTheme="minorEastAsia"/>
          <w:snapToGrid w:val="0"/>
        </w:rPr>
        <w:t>单位名称：</w:t>
      </w:r>
      <w:r>
        <w:rPr>
          <w:rFonts w:hint="eastAsia" w:cs="宋体" w:asciiTheme="minorEastAsia" w:hAnsiTheme="minorEastAsia" w:eastAsiaTheme="minorEastAsia"/>
          <w:snapToGrid w:val="0"/>
          <w:u w:val="single"/>
        </w:rPr>
        <w:t xml:space="preserve">             </w:t>
      </w:r>
      <w:r>
        <w:rPr>
          <w:rFonts w:hint="eastAsia" w:cs="宋体" w:asciiTheme="minorEastAsia" w:hAnsiTheme="minorEastAsia" w:eastAsiaTheme="minorEastAsia"/>
          <w:snapToGrid w:val="0"/>
        </w:rPr>
        <w:t xml:space="preserve"> </w:t>
      </w:r>
    </w:p>
    <w:p>
      <w:pPr>
        <w:wordWrap w:val="0"/>
        <w:topLinePunct/>
        <w:ind w:left="4800" w:leftChars="2000"/>
        <w:rPr>
          <w:rFonts w:cs="宋体" w:asciiTheme="minorEastAsia" w:hAnsiTheme="minorEastAsia" w:eastAsiaTheme="minorEastAsia"/>
          <w:snapToGrid w:val="0"/>
        </w:rPr>
      </w:pPr>
      <w:r>
        <w:rPr>
          <w:rFonts w:hint="eastAsia" w:cs="宋体" w:asciiTheme="minorEastAsia" w:hAnsiTheme="minorEastAsia" w:eastAsiaTheme="minorEastAsia"/>
          <w:snapToGrid w:val="0"/>
        </w:rPr>
        <w:t>日    期：</w:t>
      </w:r>
      <w:r>
        <w:rPr>
          <w:rFonts w:hint="eastAsia" w:cs="宋体" w:asciiTheme="minorEastAsia" w:hAnsiTheme="minorEastAsia" w:eastAsiaTheme="minorEastAsia"/>
          <w:snapToGrid w:val="0"/>
          <w:u w:val="single"/>
        </w:rPr>
        <w:t xml:space="preserve">             </w:t>
      </w:r>
      <w:r>
        <w:rPr>
          <w:rFonts w:hint="eastAsia" w:cs="宋体" w:asciiTheme="minorEastAsia" w:hAnsiTheme="minorEastAsia" w:eastAsiaTheme="minorEastAsia"/>
          <w:snapToGrid w:val="0"/>
        </w:rPr>
        <w:t xml:space="preserve">   </w:t>
      </w:r>
    </w:p>
    <w:p>
      <w:pPr>
        <w:wordWrap w:val="0"/>
        <w:topLinePunct/>
        <w:ind w:left="4800" w:leftChars="2000"/>
        <w:rPr>
          <w:rFonts w:cs="宋体" w:asciiTheme="minorEastAsia" w:hAnsiTheme="minorEastAsia" w:eastAsiaTheme="minorEastAsia"/>
          <w:snapToGrid w:val="0"/>
        </w:rPr>
      </w:pPr>
    </w:p>
    <w:p>
      <w:pPr>
        <w:wordWrap w:val="0"/>
        <w:topLinePunct/>
        <w:ind w:firstLine="480" w:firstLineChars="200"/>
        <w:rPr>
          <w:rFonts w:cs="宋体" w:asciiTheme="minorEastAsia" w:hAnsiTheme="minorEastAsia" w:eastAsiaTheme="minorEastAsia"/>
          <w:b/>
          <w:snapToGrid w:val="0"/>
        </w:rPr>
      </w:pPr>
    </w:p>
    <w:p>
      <w:pPr>
        <w:wordWrap w:val="0"/>
        <w:topLinePunct/>
        <w:ind w:firstLine="480" w:firstLineChars="200"/>
        <w:rPr>
          <w:b/>
          <w:snapToGrid w:val="0"/>
        </w:rPr>
      </w:pPr>
      <w:r>
        <w:rPr>
          <w:rFonts w:hint="eastAsia" w:cs="宋体" w:asciiTheme="minorEastAsia" w:hAnsiTheme="minorEastAsia" w:eastAsiaTheme="minorEastAsia"/>
          <w:b/>
          <w:snapToGrid w:val="0"/>
        </w:rPr>
        <w:t>说明：残疾人福利性单位参加政府采购活动时，应提供残疾人福利性单位声明函，否则将被视为无效投标。</w:t>
      </w:r>
    </w:p>
    <w:p>
      <w:pPr>
        <w:wordWrap w:val="0"/>
        <w:topLinePunct/>
        <w:rPr>
          <w:snapToGrid w:val="0"/>
        </w:rPr>
      </w:pPr>
    </w:p>
    <w:p>
      <w:pPr>
        <w:wordWrap w:val="0"/>
        <w:topLinePunct/>
        <w:rPr>
          <w:snapToGrid w:val="0"/>
        </w:rPr>
      </w:pPr>
      <w:r>
        <w:rPr>
          <w:rFonts w:hint="eastAsia"/>
          <w:snapToGrid w:val="0"/>
        </w:rPr>
        <w:br w:type="page"/>
      </w:r>
    </w:p>
    <w:p>
      <w:pPr>
        <w:wordWrap w:val="0"/>
        <w:topLinePunct/>
        <w:rPr>
          <w:snapToGrid w:val="0"/>
        </w:rPr>
      </w:pPr>
      <w:bookmarkStart w:id="873" w:name="_Toc18702"/>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bookmarkStart w:id="874" w:name="_Toc14607"/>
    </w:p>
    <w:p>
      <w:pPr>
        <w:wordWrap w:val="0"/>
        <w:topLinePunct/>
        <w:rPr>
          <w:snapToGrid w:val="0"/>
        </w:rPr>
      </w:pPr>
    </w:p>
    <w:p>
      <w:pPr>
        <w:wordWrap w:val="0"/>
        <w:topLinePunct/>
        <w:rPr>
          <w:snapToGrid w:val="0"/>
        </w:rPr>
      </w:pPr>
    </w:p>
    <w:p>
      <w:pPr>
        <w:wordWrap w:val="0"/>
        <w:topLinePunct/>
        <w:rPr>
          <w:snapToGrid w:val="0"/>
        </w:rPr>
      </w:pPr>
    </w:p>
    <w:p>
      <w:pPr>
        <w:numPr>
          <w:ilvl w:val="1"/>
          <w:numId w:val="0"/>
        </w:numPr>
        <w:wordWrap w:val="0"/>
        <w:topLinePunct/>
        <w:ind w:firstLine="640" w:firstLineChars="200"/>
        <w:jc w:val="center"/>
        <w:outlineLvl w:val="1"/>
        <w:rPr>
          <w:b/>
          <w:sz w:val="32"/>
          <w:szCs w:val="32"/>
        </w:rPr>
      </w:pPr>
      <w:bookmarkStart w:id="875" w:name="_Toc11157"/>
      <w:r>
        <w:rPr>
          <w:rFonts w:hint="eastAsia"/>
          <w:b/>
          <w:sz w:val="32"/>
          <w:szCs w:val="32"/>
        </w:rPr>
        <w:t>第二部分 其他投标文件(格式)</w:t>
      </w:r>
      <w:bookmarkEnd w:id="874"/>
      <w:bookmarkEnd w:id="875"/>
    </w:p>
    <w:p>
      <w:pPr>
        <w:wordWrap w:val="0"/>
        <w:topLinePunct/>
        <w:rPr>
          <w:snapToGrid w:val="0"/>
        </w:rPr>
      </w:pPr>
      <w:bookmarkStart w:id="876" w:name="_Toc26038"/>
      <w:r>
        <w:rPr>
          <w:rFonts w:hint="eastAsia"/>
          <w:snapToGrid w:val="0"/>
        </w:rPr>
        <w:br w:type="page"/>
      </w:r>
    </w:p>
    <w:bookmarkEnd w:id="873"/>
    <w:bookmarkEnd w:id="876"/>
    <w:p>
      <w:pPr>
        <w:pageBreakBefore/>
        <w:numPr>
          <w:ilvl w:val="0"/>
          <w:numId w:val="19"/>
        </w:numPr>
        <w:wordWrap w:val="0"/>
        <w:topLinePunct/>
        <w:spacing w:before="156" w:beforeLines="50" w:after="156" w:afterLines="50"/>
        <w:jc w:val="center"/>
        <w:outlineLvl w:val="2"/>
        <w:rPr>
          <w:b/>
          <w:snapToGrid w:val="0"/>
          <w:sz w:val="28"/>
        </w:rPr>
      </w:pPr>
      <w:bookmarkStart w:id="877" w:name="_Toc2311"/>
      <w:bookmarkStart w:id="878" w:name="_Toc11229"/>
      <w:bookmarkStart w:id="879" w:name="_Toc13994"/>
      <w:bookmarkStart w:id="880" w:name="_Toc5308"/>
      <w:bookmarkStart w:id="881" w:name="_Toc1650"/>
      <w:bookmarkStart w:id="882" w:name="_Toc30133"/>
      <w:bookmarkStart w:id="883" w:name="_Toc19766"/>
      <w:r>
        <w:rPr>
          <w:rFonts w:hint="eastAsia"/>
          <w:b/>
          <w:snapToGrid w:val="0"/>
          <w:sz w:val="28"/>
        </w:rPr>
        <w:t>投标函</w:t>
      </w:r>
      <w:bookmarkEnd w:id="877"/>
      <w:bookmarkEnd w:id="878"/>
      <w:bookmarkEnd w:id="879"/>
    </w:p>
    <w:p>
      <w:pPr>
        <w:wordWrap w:val="0"/>
        <w:topLinePunct/>
        <w:rPr>
          <w:snapToGrid w:val="0"/>
          <w:lang w:val="zh-CN"/>
        </w:rPr>
      </w:pPr>
      <w:r>
        <w:rPr>
          <w:rFonts w:hint="eastAsia"/>
          <w:snapToGrid w:val="0"/>
          <w:lang w:val="zh-CN"/>
        </w:rPr>
        <w:t>致：四川乾新招投标代理有限公司　</w:t>
      </w:r>
    </w:p>
    <w:p>
      <w:pPr>
        <w:wordWrap w:val="0"/>
        <w:topLinePunct/>
        <w:ind w:firstLine="480" w:firstLineChars="200"/>
      </w:pPr>
      <w:r>
        <w:rPr>
          <w:rFonts w:hint="eastAsia"/>
        </w:rPr>
        <w:t>我方全面研究了“</w:t>
      </w:r>
      <w:r>
        <w:rPr>
          <w:rFonts w:hint="eastAsia"/>
          <w:u w:val="single"/>
        </w:rPr>
        <w:t xml:space="preserve">               </w:t>
      </w:r>
      <w:r>
        <w:rPr>
          <w:rFonts w:hint="eastAsia"/>
        </w:rPr>
        <w:t>(项目名称)(项目编号：</w:t>
      </w:r>
      <w:r>
        <w:rPr>
          <w:rFonts w:hint="eastAsia"/>
          <w:u w:val="single"/>
        </w:rPr>
        <w:t xml:space="preserve">               </w:t>
      </w:r>
      <w:r>
        <w:rPr>
          <w:rFonts w:hint="eastAsia"/>
        </w:rPr>
        <w:t>)”的招标文件，决定参加贵单位组织的本项目投标。我方授权</w:t>
      </w:r>
      <w:r>
        <w:rPr>
          <w:rFonts w:hint="eastAsia"/>
          <w:u w:val="single"/>
        </w:rPr>
        <w:t xml:space="preserve">               </w:t>
      </w:r>
      <w:r>
        <w:rPr>
          <w:rFonts w:hint="eastAsia"/>
        </w:rPr>
        <w:t>(姓名、职务)代表我方</w:t>
      </w:r>
      <w:r>
        <w:rPr>
          <w:rFonts w:hint="eastAsia"/>
          <w:u w:val="single"/>
        </w:rPr>
        <w:t xml:space="preserve">               </w:t>
      </w:r>
      <w:r>
        <w:rPr>
          <w:rFonts w:hint="eastAsia"/>
        </w:rPr>
        <w:t>(投标人名称)全权处理本项目投标的有关事宜。</w:t>
      </w:r>
    </w:p>
    <w:p>
      <w:pPr>
        <w:numPr>
          <w:ilvl w:val="2"/>
          <w:numId w:val="20"/>
        </w:numPr>
        <w:wordWrap w:val="0"/>
        <w:topLinePunct/>
        <w:ind w:firstLine="480" w:firstLineChars="200"/>
        <w:rPr>
          <w:snapToGrid w:val="0"/>
        </w:rPr>
      </w:pPr>
      <w:r>
        <w:rPr>
          <w:rFonts w:hint="eastAsia"/>
          <w:snapToGrid w:val="0"/>
        </w:rPr>
        <w:t>我方自愿按照招标文件规定的各项要求向采购人提供所需服务，投标报价为人民币</w:t>
      </w:r>
      <w:r>
        <w:rPr>
          <w:rFonts w:hint="eastAsia"/>
          <w:snapToGrid w:val="0"/>
          <w:u w:val="single"/>
        </w:rPr>
        <w:t xml:space="preserve">      </w:t>
      </w:r>
      <w:r>
        <w:rPr>
          <w:rFonts w:hint="eastAsia"/>
          <w:snapToGrid w:val="0"/>
        </w:rPr>
        <w:t>元(大写：</w:t>
      </w:r>
      <w:r>
        <w:rPr>
          <w:rFonts w:hint="eastAsia"/>
          <w:snapToGrid w:val="0"/>
          <w:u w:val="single"/>
        </w:rPr>
        <w:t xml:space="preserve">        </w:t>
      </w:r>
      <w:r>
        <w:rPr>
          <w:rFonts w:hint="eastAsia"/>
          <w:snapToGrid w:val="0"/>
        </w:rPr>
        <w:t>元)，我方将严格履行合同规定的责任和义务，服务期限为</w:t>
      </w:r>
      <w:r>
        <w:rPr>
          <w:rFonts w:hint="eastAsia"/>
          <w:snapToGrid w:val="0"/>
          <w:u w:val="single"/>
        </w:rPr>
        <w:t xml:space="preserve">             </w:t>
      </w:r>
      <w:r>
        <w:rPr>
          <w:rFonts w:hint="eastAsia"/>
          <w:snapToGrid w:val="0"/>
        </w:rPr>
        <w:t>。</w:t>
      </w:r>
    </w:p>
    <w:p>
      <w:pPr>
        <w:numPr>
          <w:ilvl w:val="2"/>
          <w:numId w:val="20"/>
        </w:numPr>
        <w:wordWrap w:val="0"/>
        <w:topLinePunct/>
        <w:ind w:firstLine="480" w:firstLineChars="200"/>
        <w:rPr>
          <w:snapToGrid w:val="0"/>
        </w:rPr>
      </w:pPr>
      <w:r>
        <w:rPr>
          <w:rFonts w:hint="eastAsia"/>
          <w:snapToGrid w:val="0"/>
        </w:rPr>
        <w:t>我方承诺：投标有效期为提交投标文件的截止之日起90日。</w:t>
      </w:r>
    </w:p>
    <w:p>
      <w:pPr>
        <w:numPr>
          <w:ilvl w:val="2"/>
          <w:numId w:val="20"/>
        </w:numPr>
        <w:wordWrap w:val="0"/>
        <w:topLinePunct/>
        <w:ind w:firstLine="480" w:firstLineChars="200"/>
        <w:rPr>
          <w:snapToGrid w:val="0"/>
        </w:rPr>
      </w:pPr>
      <w:r>
        <w:rPr>
          <w:rFonts w:hint="eastAsia"/>
          <w:snapToGrid w:val="0"/>
        </w:rPr>
        <w:t>我方完全理解采购人不一定将合同授予最低报价的投标人的行为。</w:t>
      </w:r>
    </w:p>
    <w:p>
      <w:pPr>
        <w:numPr>
          <w:ilvl w:val="2"/>
          <w:numId w:val="20"/>
        </w:numPr>
        <w:wordWrap w:val="0"/>
        <w:topLinePunct/>
        <w:ind w:firstLine="480" w:firstLineChars="200"/>
        <w:rPr>
          <w:snapToGrid w:val="0"/>
        </w:rPr>
      </w:pPr>
      <w:r>
        <w:rPr>
          <w:rFonts w:hint="eastAsia"/>
          <w:snapToGrid w:val="0"/>
        </w:rPr>
        <w:t>一旦我方中标：</w:t>
      </w:r>
    </w:p>
    <w:p>
      <w:pPr>
        <w:numPr>
          <w:ilvl w:val="3"/>
          <w:numId w:val="1"/>
        </w:numPr>
        <w:ind w:firstLine="480" w:firstLineChars="200"/>
      </w:pPr>
      <w:r>
        <w:rPr>
          <w:rFonts w:hint="eastAsia"/>
        </w:rPr>
        <w:t>我方承诺在收到中标通知书后，在规定的期限内与采购人签订合同。</w:t>
      </w:r>
    </w:p>
    <w:p>
      <w:pPr>
        <w:numPr>
          <w:ilvl w:val="3"/>
          <w:numId w:val="1"/>
        </w:numPr>
        <w:ind w:firstLine="480" w:firstLineChars="200"/>
      </w:pPr>
      <w:r>
        <w:rPr>
          <w:rFonts w:hint="eastAsia"/>
        </w:rPr>
        <w:t>我方将严格履行政府采购合同规定的责任和义务。</w:t>
      </w:r>
    </w:p>
    <w:p>
      <w:pPr>
        <w:numPr>
          <w:ilvl w:val="3"/>
          <w:numId w:val="1"/>
        </w:numPr>
        <w:ind w:firstLine="480" w:firstLineChars="200"/>
      </w:pPr>
      <w:r>
        <w:rPr>
          <w:rFonts w:hint="eastAsia"/>
        </w:rPr>
        <w:t>我方愿意提供与投标报价有关的文件资料，并保证我方已提供和将要提供的文件资料是真实、准确的。</w:t>
      </w:r>
    </w:p>
    <w:p>
      <w:pPr>
        <w:numPr>
          <w:ilvl w:val="3"/>
          <w:numId w:val="1"/>
        </w:numPr>
        <w:ind w:firstLine="480" w:firstLineChars="200"/>
      </w:pPr>
      <w:r>
        <w:rPr>
          <w:rFonts w:hint="eastAsia"/>
        </w:rPr>
        <w:t>我方自愿按照招标文件规定的各项要求完成采购项目，接受采购人按照政府采购合同约定金额支付采购资金。</w:t>
      </w:r>
    </w:p>
    <w:p>
      <w:pPr>
        <w:numPr>
          <w:ilvl w:val="3"/>
          <w:numId w:val="1"/>
        </w:numPr>
        <w:ind w:firstLine="480" w:firstLineChars="200"/>
      </w:pPr>
      <w:r>
        <w:rPr>
          <w:rFonts w:hint="eastAsia"/>
        </w:rPr>
        <w:t>我方在参与本项目履约过程中涉及国家相关强制标准的，均按照该标准执行。</w:t>
      </w:r>
    </w:p>
    <w:p>
      <w:pPr>
        <w:numPr>
          <w:ilvl w:val="2"/>
          <w:numId w:val="20"/>
        </w:numPr>
        <w:wordWrap w:val="0"/>
        <w:topLinePunct/>
        <w:ind w:firstLine="480" w:firstLineChars="200"/>
        <w:rPr>
          <w:snapToGrid w:val="0"/>
        </w:rPr>
      </w:pPr>
      <w:r>
        <w:rPr>
          <w:rFonts w:hint="eastAsia"/>
          <w:snapToGrid w:val="0"/>
        </w:rPr>
        <w:t>我方如对招标文件有异议，已经在投标截止时间届满前依法进行维权救济，不存在对招标文件有异议的同时又参加投标以求侥幸中标或者为实现其他非法目的的行为。</w:t>
      </w:r>
    </w:p>
    <w:p>
      <w:pPr>
        <w:numPr>
          <w:ilvl w:val="2"/>
          <w:numId w:val="20"/>
        </w:numPr>
        <w:wordWrap w:val="0"/>
        <w:topLinePunct/>
        <w:ind w:firstLine="480" w:firstLineChars="200"/>
        <w:rPr>
          <w:rFonts w:cs="宋体" w:asciiTheme="minorEastAsia" w:hAnsiTheme="minorEastAsia" w:eastAsiaTheme="minorEastAsia"/>
        </w:rPr>
      </w:pPr>
      <w:r>
        <w:rPr>
          <w:rFonts w:hint="eastAsia"/>
          <w:snapToGrid w:val="0"/>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cs="宋体" w:asciiTheme="minorEastAsia" w:hAnsiTheme="minorEastAsia" w:eastAsiaTheme="minorEastAsia"/>
        </w:rPr>
        <w:t>错过澄清、说明、补正时间、以及电子签章过期或失效、投标人电脑终端或系统故障、投标人网络不稳定或故障等情形(不可抗力因素除外)所导致的一切不利后果。</w:t>
      </w:r>
    </w:p>
    <w:p>
      <w:pPr>
        <w:numPr>
          <w:ilvl w:val="2"/>
          <w:numId w:val="20"/>
        </w:numPr>
        <w:wordWrap w:val="0"/>
        <w:topLinePunct/>
        <w:ind w:firstLine="480" w:firstLineChars="200"/>
        <w:rPr>
          <w:rFonts w:cs="宋体" w:asciiTheme="minorEastAsia" w:hAnsiTheme="minorEastAsia" w:eastAsiaTheme="minorEastAsia"/>
        </w:rPr>
      </w:pPr>
      <w:r>
        <w:rPr>
          <w:rFonts w:hint="eastAsia" w:cs="宋体" w:asciiTheme="minorEastAsia" w:hAnsiTheme="minorEastAsia" w:eastAsiaTheme="minorEastAsia"/>
        </w:rPr>
        <w:t>我方充分认识，理解、包容电子招投标过程中可能出现的细微偏差、瑕疵、不足、错误等(影响公平竞争的除外)情形，并积极将发现的具体问题向招标采购单位如实反映。</w:t>
      </w:r>
    </w:p>
    <w:p>
      <w:pPr>
        <w:wordWrap w:val="0"/>
        <w:topLinePunct/>
        <w:ind w:firstLine="480" w:firstLineChars="200"/>
        <w:rPr>
          <w:snapToGrid w:val="0"/>
        </w:rPr>
      </w:pPr>
      <w:r>
        <w:rPr>
          <w:rFonts w:hint="eastAsia"/>
          <w:snapToGrid w:val="0"/>
        </w:rPr>
        <w:t>投标人名称：</w:t>
      </w:r>
      <w:r>
        <w:rPr>
          <w:rFonts w:hint="eastAsia" w:asciiTheme="minorEastAsia" w:hAnsiTheme="minorEastAsia" w:eastAsiaTheme="minorEastAsia" w:cstheme="minorEastAsia"/>
          <w:bCs/>
          <w:snapToGrid w:val="0"/>
          <w:u w:val="single"/>
        </w:rPr>
        <w:t xml:space="preserve">               </w:t>
      </w:r>
    </w:p>
    <w:p>
      <w:pPr>
        <w:wordWrap w:val="0"/>
        <w:topLinePunct/>
        <w:ind w:firstLine="480" w:firstLineChars="200"/>
        <w:rPr>
          <w:snapToGrid w:val="0"/>
        </w:rPr>
      </w:pPr>
      <w:r>
        <w:rPr>
          <w:rFonts w:hint="eastAsia"/>
          <w:snapToGrid w:val="0"/>
        </w:rPr>
        <w:t>通讯地址：</w:t>
      </w:r>
      <w:r>
        <w:rPr>
          <w:rFonts w:hint="eastAsia" w:asciiTheme="minorEastAsia" w:hAnsiTheme="minorEastAsia" w:eastAsiaTheme="minorEastAsia" w:cstheme="minorEastAsia"/>
          <w:bCs/>
          <w:snapToGrid w:val="0"/>
          <w:u w:val="single"/>
        </w:rPr>
        <w:t xml:space="preserve">               </w:t>
      </w:r>
      <w:r>
        <w:rPr>
          <w:rFonts w:hint="eastAsia"/>
          <w:snapToGrid w:val="0"/>
        </w:rPr>
        <w:t xml:space="preserve">               </w:t>
      </w:r>
    </w:p>
    <w:p>
      <w:pPr>
        <w:wordWrap w:val="0"/>
        <w:topLinePunct/>
        <w:ind w:firstLine="480" w:firstLineChars="200"/>
        <w:rPr>
          <w:snapToGrid w:val="0"/>
        </w:rPr>
      </w:pPr>
      <w:r>
        <w:rPr>
          <w:rFonts w:hint="eastAsia"/>
          <w:snapToGrid w:val="0"/>
        </w:rPr>
        <w:t>邮政编码：</w:t>
      </w:r>
      <w:r>
        <w:rPr>
          <w:rFonts w:hint="eastAsia" w:asciiTheme="minorEastAsia" w:hAnsiTheme="minorEastAsia" w:eastAsiaTheme="minorEastAsia" w:cstheme="minorEastAsia"/>
          <w:bCs/>
          <w:snapToGrid w:val="0"/>
          <w:u w:val="single"/>
        </w:rPr>
        <w:t xml:space="preserve">               </w:t>
      </w:r>
      <w:r>
        <w:rPr>
          <w:rFonts w:hint="eastAsia"/>
          <w:snapToGrid w:val="0"/>
        </w:rPr>
        <w:t xml:space="preserve">               </w:t>
      </w:r>
    </w:p>
    <w:p>
      <w:pPr>
        <w:wordWrap w:val="0"/>
        <w:topLinePunct/>
        <w:ind w:firstLine="480" w:firstLineChars="200"/>
        <w:rPr>
          <w:snapToGrid w:val="0"/>
        </w:rPr>
      </w:pPr>
      <w:r>
        <w:rPr>
          <w:rFonts w:hint="eastAsia"/>
          <w:snapToGrid w:val="0"/>
        </w:rPr>
        <w:t>联系电话：</w:t>
      </w:r>
      <w:r>
        <w:rPr>
          <w:rFonts w:hint="eastAsia" w:asciiTheme="minorEastAsia" w:hAnsiTheme="minorEastAsia" w:eastAsiaTheme="minorEastAsia" w:cstheme="minorEastAsia"/>
          <w:bCs/>
          <w:snapToGrid w:val="0"/>
          <w:u w:val="single"/>
        </w:rPr>
        <w:t xml:space="preserve">               </w:t>
      </w:r>
      <w:r>
        <w:rPr>
          <w:rFonts w:hint="eastAsia"/>
          <w:snapToGrid w:val="0"/>
        </w:rPr>
        <w:t xml:space="preserve">               </w:t>
      </w:r>
    </w:p>
    <w:p>
      <w:pPr>
        <w:wordWrap w:val="0"/>
        <w:topLinePunct/>
        <w:ind w:firstLine="480" w:firstLineChars="200"/>
        <w:rPr>
          <w:snapToGrid w:val="0"/>
        </w:rPr>
      </w:pPr>
      <w:r>
        <w:rPr>
          <w:rFonts w:hint="eastAsia"/>
          <w:snapToGrid w:val="0"/>
        </w:rPr>
        <w:t>传    真：</w:t>
      </w:r>
      <w:r>
        <w:rPr>
          <w:rFonts w:hint="eastAsia" w:asciiTheme="minorEastAsia" w:hAnsiTheme="minorEastAsia" w:eastAsiaTheme="minorEastAsia" w:cstheme="minorEastAsia"/>
          <w:bCs/>
          <w:snapToGrid w:val="0"/>
          <w:u w:val="single"/>
        </w:rPr>
        <w:t xml:space="preserve">               </w:t>
      </w:r>
      <w:r>
        <w:rPr>
          <w:rFonts w:hint="eastAsia"/>
          <w:snapToGrid w:val="0"/>
        </w:rPr>
        <w:t xml:space="preserve">               </w:t>
      </w:r>
    </w:p>
    <w:p>
      <w:pPr>
        <w:wordWrap w:val="0"/>
        <w:topLinePunct/>
        <w:ind w:firstLine="480" w:firstLineChars="200"/>
        <w:rPr>
          <w:snapToGrid w:val="0"/>
        </w:rPr>
      </w:pPr>
      <w:r>
        <w:rPr>
          <w:rFonts w:hint="eastAsia"/>
          <w:snapToGrid w:val="0"/>
        </w:rPr>
        <w:t>投标日期：</w:t>
      </w:r>
      <w:r>
        <w:rPr>
          <w:rFonts w:hint="eastAsia" w:asciiTheme="minorEastAsia" w:hAnsiTheme="minorEastAsia" w:eastAsiaTheme="minorEastAsia" w:cstheme="minorEastAsia"/>
          <w:bCs/>
          <w:snapToGrid w:val="0"/>
          <w:u w:val="single"/>
        </w:rPr>
        <w:t xml:space="preserve">               </w:t>
      </w:r>
      <w:r>
        <w:rPr>
          <w:rFonts w:hint="eastAsia"/>
          <w:snapToGrid w:val="0"/>
        </w:rPr>
        <w:t xml:space="preserve">     </w:t>
      </w:r>
    </w:p>
    <w:p>
      <w:r>
        <w:rPr>
          <w:rFonts w:hint="eastAsia"/>
        </w:rPr>
        <w:br w:type="page"/>
      </w:r>
    </w:p>
    <w:p>
      <w:pPr>
        <w:pageBreakBefore/>
        <w:numPr>
          <w:ilvl w:val="0"/>
          <w:numId w:val="19"/>
        </w:numPr>
        <w:wordWrap w:val="0"/>
        <w:topLinePunct/>
        <w:spacing w:before="156" w:beforeLines="50" w:after="156" w:afterLines="50"/>
        <w:jc w:val="center"/>
        <w:outlineLvl w:val="2"/>
        <w:rPr>
          <w:b/>
          <w:snapToGrid w:val="0"/>
          <w:sz w:val="28"/>
        </w:rPr>
      </w:pPr>
      <w:bookmarkStart w:id="884" w:name="_Toc16227"/>
      <w:r>
        <w:rPr>
          <w:rFonts w:hint="eastAsia"/>
          <w:b/>
          <w:snapToGrid w:val="0"/>
          <w:sz w:val="28"/>
        </w:rPr>
        <w:t>实质性要求承诺</w:t>
      </w:r>
      <w:bookmarkEnd w:id="884"/>
    </w:p>
    <w:p>
      <w:pPr>
        <w:wordWrap w:val="0"/>
        <w:topLinePunct/>
        <w:rPr>
          <w:snapToGrid w:val="0"/>
        </w:rPr>
      </w:pPr>
      <w:r>
        <w:rPr>
          <w:rFonts w:hint="eastAsia"/>
          <w:snapToGrid w:val="0"/>
          <w:u w:val="single"/>
        </w:rPr>
        <w:t xml:space="preserve">                   </w:t>
      </w:r>
      <w:r>
        <w:rPr>
          <w:rFonts w:hint="eastAsia"/>
          <w:snapToGrid w:val="0"/>
        </w:rPr>
        <w:t>(采购代理机构名称)：</w:t>
      </w:r>
    </w:p>
    <w:p>
      <w:pPr>
        <w:wordWrap w:val="0"/>
        <w:topLinePunct/>
        <w:ind w:firstLine="480" w:firstLineChars="200"/>
      </w:pPr>
      <w:r>
        <w:rPr>
          <w:rFonts w:hint="eastAsia"/>
        </w:rPr>
        <w:t>我方作为本次采购项目的投标人，根据招标文件要求，现郑重承诺及声明如下：</w:t>
      </w:r>
    </w:p>
    <w:p>
      <w:pPr>
        <w:numPr>
          <w:ilvl w:val="2"/>
          <w:numId w:val="21"/>
        </w:numPr>
        <w:wordWrap w:val="0"/>
        <w:topLinePunct/>
        <w:ind w:firstLine="480" w:firstLineChars="200"/>
        <w:rPr>
          <w:snapToGrid w:val="0"/>
        </w:rPr>
      </w:pPr>
      <w:r>
        <w:rPr>
          <w:rFonts w:hint="eastAsia"/>
          <w:snapToGrid w:val="0"/>
        </w:rPr>
        <w:t>我方已认真阅读并接受本项目采购文件的全部实质性要求。</w:t>
      </w:r>
    </w:p>
    <w:p>
      <w:pPr>
        <w:numPr>
          <w:ilvl w:val="2"/>
          <w:numId w:val="21"/>
        </w:numPr>
        <w:wordWrap w:val="0"/>
        <w:topLinePunct/>
        <w:ind w:firstLine="480" w:firstLineChars="200"/>
        <w:rPr>
          <w:snapToGrid w:val="0"/>
        </w:rPr>
      </w:pPr>
      <w:r>
        <w:rPr>
          <w:rFonts w:hint="eastAsia"/>
          <w:snapToGrid w:val="0"/>
        </w:rPr>
        <w:t>我方参加本次采购活动，不存在与单位负责人为同一人或者存在直接控股、管理关系的其他供应商参与同一合同项下的政府采购活动的行为。与我方存在直接控股关系的单位为：</w:t>
      </w:r>
      <w:r>
        <w:rPr>
          <w:rFonts w:hint="eastAsia"/>
          <w:snapToGrid w:val="0"/>
          <w:u w:val="single"/>
        </w:rPr>
        <w:t xml:space="preserve">                  </w:t>
      </w:r>
      <w:r>
        <w:rPr>
          <w:rFonts w:hint="eastAsia"/>
          <w:snapToGrid w:val="0"/>
        </w:rPr>
        <w:t>；存在管理关系的单位为：</w:t>
      </w:r>
      <w:r>
        <w:rPr>
          <w:rFonts w:hint="eastAsia"/>
          <w:snapToGrid w:val="0"/>
          <w:u w:val="single"/>
        </w:rPr>
        <w:t xml:space="preserve">                      </w:t>
      </w:r>
      <w:r>
        <w:rPr>
          <w:rFonts w:hint="eastAsia"/>
          <w:snapToGrid w:val="0"/>
        </w:rPr>
        <w:t>(如不存在直接控股、管理关系的相关供应商填“无”)。</w:t>
      </w:r>
    </w:p>
    <w:p>
      <w:pPr>
        <w:numPr>
          <w:ilvl w:val="2"/>
          <w:numId w:val="21"/>
        </w:numPr>
        <w:wordWrap w:val="0"/>
        <w:topLinePunct/>
        <w:ind w:firstLine="480" w:firstLineChars="200"/>
        <w:rPr>
          <w:snapToGrid w:val="0"/>
        </w:rPr>
      </w:pPr>
      <w:r>
        <w:rPr>
          <w:rFonts w:hint="eastAsia"/>
          <w:snapToGrid w:val="0"/>
        </w:rPr>
        <w:t>我方参加本次采购活动前本单位未对本次采购项目提供过整体设计、规范编制或者项目管理、监理、检测等服务。</w:t>
      </w:r>
    </w:p>
    <w:p>
      <w:pPr>
        <w:numPr>
          <w:ilvl w:val="2"/>
          <w:numId w:val="21"/>
        </w:numPr>
        <w:wordWrap w:val="0"/>
        <w:topLinePunct/>
        <w:ind w:firstLine="480" w:firstLineChars="200"/>
        <w:rPr>
          <w:snapToGrid w:val="0"/>
        </w:rPr>
      </w:pPr>
      <w:r>
        <w:rPr>
          <w:rFonts w:hint="eastAsia"/>
          <w:snapToGrid w:val="0"/>
        </w:rPr>
        <w:t>我方参加本次采购活动，不存在我单位实际控制人或者中高级管理人员是本项目采购代理机构的工作人员的情形。</w:t>
      </w:r>
    </w:p>
    <w:p>
      <w:pPr>
        <w:numPr>
          <w:ilvl w:val="2"/>
          <w:numId w:val="21"/>
        </w:numPr>
        <w:wordWrap w:val="0"/>
        <w:topLinePunct/>
        <w:ind w:firstLine="480" w:firstLineChars="200"/>
        <w:rPr>
          <w:snapToGrid w:val="0"/>
        </w:rPr>
      </w:pPr>
      <w:r>
        <w:rPr>
          <w:rFonts w:hint="eastAsia"/>
          <w:snapToGrid w:val="0"/>
        </w:rPr>
        <w:t>我方参加本次采购活动，不存在同一母公司的两家以上的子公司以不同供应商身份同时参加本项目同一合同项下的采购活动的情形。</w:t>
      </w:r>
    </w:p>
    <w:p>
      <w:pPr>
        <w:numPr>
          <w:ilvl w:val="2"/>
          <w:numId w:val="21"/>
        </w:numPr>
        <w:wordWrap w:val="0"/>
        <w:topLinePunct/>
        <w:ind w:firstLine="480" w:firstLineChars="200"/>
        <w:rPr>
          <w:snapToGrid w:val="0"/>
        </w:rPr>
      </w:pPr>
      <w:r>
        <w:rPr>
          <w:rFonts w:hint="eastAsia"/>
          <w:snapToGrid w:val="0"/>
        </w:rPr>
        <w:t>我方参加本次采购活动，与采购代理机构不存在关联关系，不为采购代理机构的母公司或子公司。</w:t>
      </w:r>
    </w:p>
    <w:p>
      <w:pPr>
        <w:numPr>
          <w:ilvl w:val="2"/>
          <w:numId w:val="21"/>
        </w:numPr>
        <w:wordWrap w:val="0"/>
        <w:topLinePunct/>
        <w:ind w:firstLine="480" w:firstLineChars="200"/>
        <w:rPr>
          <w:snapToGrid w:val="0"/>
        </w:rPr>
      </w:pPr>
      <w:r>
        <w:rPr>
          <w:rFonts w:hint="eastAsia"/>
          <w:snapToGrid w:val="0"/>
        </w:rPr>
        <w:t>我方参加本次采购活动，不存在和其他供应商在同一合同项下的采购项目中，同时委托同一个自然人、同一家庭的人员、同一单位的人员作为代理人的行为。</w:t>
      </w:r>
    </w:p>
    <w:p>
      <w:pPr>
        <w:numPr>
          <w:ilvl w:val="2"/>
          <w:numId w:val="21"/>
        </w:numPr>
        <w:wordWrap w:val="0"/>
        <w:topLinePunct/>
        <w:ind w:firstLine="480" w:firstLineChars="200"/>
        <w:rPr>
          <w:snapToGrid w:val="0"/>
        </w:rPr>
      </w:pPr>
      <w:r>
        <w:rPr>
          <w:rFonts w:hint="eastAsia"/>
          <w:snapToGrid w:val="0"/>
        </w:rPr>
        <w:t>我方投标文件中提供的任何资料和技术、服务、商务等响应承诺情况都是真实的、有效的、合法的。</w:t>
      </w:r>
    </w:p>
    <w:p>
      <w:pPr>
        <w:numPr>
          <w:ilvl w:val="2"/>
          <w:numId w:val="21"/>
        </w:numPr>
        <w:wordWrap w:val="0"/>
        <w:topLinePunct/>
        <w:ind w:firstLine="480" w:firstLineChars="200"/>
        <w:rPr>
          <w:snapToGrid w:val="0"/>
        </w:rPr>
      </w:pPr>
      <w:r>
        <w:rPr>
          <w:rFonts w:hint="eastAsia"/>
          <w:snapToGrid w:val="0"/>
        </w:rPr>
        <w:t>我方参加本次采购活动，我方完全同意招标文件中关于“投标费用”、</w:t>
      </w:r>
      <w:r>
        <w:rPr>
          <w:rFonts w:hint="eastAsia"/>
          <w:snapToGrid w:val="0"/>
          <w:color w:val="000000" w:themeColor="text1"/>
          <w14:textFill>
            <w14:solidFill>
              <w14:schemeClr w14:val="tx1"/>
            </w14:solidFill>
          </w14:textFill>
        </w:rPr>
        <w:t>“合同分包”、</w:t>
      </w:r>
      <w:r>
        <w:rPr>
          <w:rFonts w:hint="eastAsia"/>
          <w:snapToGrid w:val="0"/>
        </w:rPr>
        <w:t>“合同转包”、“知识产权”等实质性要求，并承诺严格按照招标文件要求履行。</w:t>
      </w:r>
    </w:p>
    <w:p>
      <w:pPr>
        <w:numPr>
          <w:ilvl w:val="2"/>
          <w:numId w:val="21"/>
        </w:numPr>
        <w:wordWrap w:val="0"/>
        <w:topLinePunct/>
        <w:ind w:firstLine="480" w:firstLineChars="200"/>
        <w:rPr>
          <w:snapToGrid w:val="0"/>
        </w:rPr>
      </w:pPr>
      <w:r>
        <w:rPr>
          <w:rFonts w:hint="eastAsia"/>
          <w:snapToGrid w:val="0"/>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snapToGrid w:val="0"/>
        </w:rPr>
        <w:t>承诺</w:t>
      </w:r>
      <w:r>
        <w:rPr>
          <w:rFonts w:hint="eastAsia"/>
          <w:snapToGrid w:val="0"/>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numPr>
          <w:ilvl w:val="2"/>
          <w:numId w:val="21"/>
        </w:numPr>
        <w:wordWrap w:val="0"/>
        <w:topLinePunct/>
        <w:ind w:firstLine="480" w:firstLineChars="200"/>
        <w:rPr>
          <w:snapToGrid w:val="0"/>
        </w:rPr>
      </w:pPr>
      <w:r>
        <w:rPr>
          <w:rFonts w:hint="eastAsia"/>
          <w:snapToGrid w:val="0"/>
        </w:rPr>
        <w:t>我方严格按照《四川省政府采购项目电子化采购管理暂行办法》川财规〔2021〕8号规定使用数字证书登录交易系统进行系统操作，使用依法认证的电子签名、电子印章确认采购过程中制作、交换的数据电文资料，并对其操作行为和电子签名、电子印章确认的事项承担法律责任。</w:t>
      </w:r>
    </w:p>
    <w:p>
      <w:pPr>
        <w:numPr>
          <w:ilvl w:val="2"/>
          <w:numId w:val="21"/>
        </w:numPr>
        <w:wordWrap w:val="0"/>
        <w:topLinePunct/>
        <w:ind w:firstLine="480" w:firstLineChars="200"/>
        <w:rPr>
          <w:snapToGrid w:val="0"/>
        </w:rPr>
      </w:pPr>
      <w:r>
        <w:rPr>
          <w:rFonts w:hint="eastAsia"/>
          <w:snapToGrid w:val="0"/>
        </w:rPr>
        <w:t>我方作为电子化采购活动参与方，将严格按照《四川省政府采购项目电子化采购管理暂行办法》川财规〔2021〕8号规定履行其初始录入信息验证义务，妥善保管数字证书、电子签名和电子印章，对因初始录入身份不实、数字证书、电子签名和电子印章等保管不善产生的后果，依法承担相应法律责任。</w:t>
      </w:r>
    </w:p>
    <w:p>
      <w:pPr>
        <w:numPr>
          <w:ilvl w:val="2"/>
          <w:numId w:val="21"/>
        </w:numPr>
        <w:wordWrap w:val="0"/>
        <w:topLinePunct/>
        <w:ind w:firstLine="480" w:firstLineChars="200"/>
        <w:rPr>
          <w:snapToGrid w:val="0"/>
        </w:rPr>
      </w:pPr>
      <w:r>
        <w:rPr>
          <w:rFonts w:hint="eastAsia"/>
          <w:snapToGrid w:val="0"/>
        </w:rPr>
        <w:t>我方如有伪造、篡改或者损毁政府采购项目电子化采购活动信息、数据电文和电子档案情形的，依法承担相应责任。</w:t>
      </w:r>
    </w:p>
    <w:p>
      <w:pPr>
        <w:wordWrap w:val="0"/>
        <w:topLinePunct/>
        <w:ind w:firstLine="480" w:firstLineChars="200"/>
      </w:pPr>
      <w:r>
        <w:rPr>
          <w:rFonts w:hint="eastAsia"/>
        </w:rPr>
        <w:t>本公司对上述承诺的内容事项真实性、合法性负责。如经查实上述承诺的内容事项存在虚假，我公司自愿接受以提供虚假材料谋取中标所带来的所有法律责任。</w:t>
      </w:r>
    </w:p>
    <w:p>
      <w:pPr>
        <w:wordWrap w:val="0"/>
        <w:topLinePunct/>
        <w:ind w:firstLine="480" w:firstLineChars="200"/>
      </w:pPr>
    </w:p>
    <w:p>
      <w:pPr>
        <w:wordWrap w:val="0"/>
        <w:topLinePunct/>
        <w:ind w:firstLine="480" w:firstLineChars="200"/>
      </w:pPr>
      <w:r>
        <w:rPr>
          <w:rFonts w:hint="eastAsia"/>
        </w:rPr>
        <w:t>投标人名称：</w:t>
      </w:r>
      <w:r>
        <w:rPr>
          <w:rFonts w:hint="eastAsia" w:asciiTheme="minorEastAsia" w:hAnsiTheme="minorEastAsia" w:eastAsiaTheme="minorEastAsia" w:cstheme="minorEastAsia"/>
          <w:u w:val="single"/>
        </w:rPr>
        <w:t xml:space="preserve">            </w:t>
      </w:r>
    </w:p>
    <w:p>
      <w:pPr>
        <w:wordWrap w:val="0"/>
        <w:topLinePunct/>
        <w:ind w:firstLine="480" w:firstLineChars="200"/>
      </w:pPr>
      <w:r>
        <w:rPr>
          <w:rFonts w:hint="eastAsia"/>
        </w:rPr>
        <w:t>投标日期：</w:t>
      </w:r>
      <w:r>
        <w:rPr>
          <w:rFonts w:hint="eastAsia" w:asciiTheme="minorEastAsia" w:hAnsiTheme="minorEastAsia" w:eastAsiaTheme="minorEastAsia" w:cstheme="minorEastAsia"/>
          <w:u w:val="single"/>
        </w:rPr>
        <w:t xml:space="preserve">            </w:t>
      </w:r>
      <w:r>
        <w:rPr>
          <w:rFonts w:hint="eastAsia"/>
        </w:rPr>
        <w:t xml:space="preserve">         </w:t>
      </w:r>
    </w:p>
    <w:p>
      <w:r>
        <w:rPr>
          <w:rFonts w:hint="eastAsia"/>
        </w:rPr>
        <w:br w:type="page"/>
      </w:r>
    </w:p>
    <w:p>
      <w:pPr>
        <w:pageBreakBefore/>
        <w:numPr>
          <w:ilvl w:val="0"/>
          <w:numId w:val="19"/>
        </w:numPr>
        <w:wordWrap w:val="0"/>
        <w:topLinePunct/>
        <w:spacing w:before="156" w:beforeLines="50" w:after="156" w:afterLines="50"/>
        <w:jc w:val="center"/>
        <w:outlineLvl w:val="2"/>
        <w:rPr>
          <w:b/>
          <w:snapToGrid w:val="0"/>
          <w:sz w:val="28"/>
        </w:rPr>
      </w:pPr>
      <w:bookmarkStart w:id="885" w:name="_Toc439161752"/>
      <w:bookmarkStart w:id="886" w:name="_Toc5912"/>
      <w:bookmarkStart w:id="887" w:name="_Toc302997926"/>
      <w:bookmarkStart w:id="888" w:name="_Toc6982"/>
      <w:bookmarkStart w:id="889" w:name="_Toc10493"/>
      <w:bookmarkStart w:id="890" w:name="_Toc3690"/>
      <w:bookmarkStart w:id="891" w:name="_Toc3900"/>
      <w:r>
        <w:rPr>
          <w:rFonts w:hint="eastAsia"/>
          <w:b/>
          <w:snapToGrid w:val="0"/>
          <w:sz w:val="28"/>
        </w:rPr>
        <w:t>投标人基本情况表</w:t>
      </w:r>
      <w:bookmarkEnd w:id="885"/>
      <w:bookmarkEnd w:id="886"/>
      <w:bookmarkEnd w:id="887"/>
      <w:bookmarkEnd w:id="888"/>
      <w:bookmarkEnd w:id="889"/>
      <w:bookmarkEnd w:id="890"/>
      <w:bookmarkEnd w:id="891"/>
    </w:p>
    <w:tbl>
      <w:tblPr>
        <w:tblStyle w:val="24"/>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rPr>
            </w:pPr>
            <w:r>
              <w:rPr>
                <w:rFonts w:hint="eastAsia"/>
                <w:sz w:val="21"/>
              </w:rPr>
              <w:t>投标人名称</w:t>
            </w:r>
          </w:p>
        </w:tc>
        <w:tc>
          <w:tcPr>
            <w:tcW w:w="8000" w:type="dxa"/>
            <w:gridSpan w:val="7"/>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rPr>
            </w:pPr>
            <w:r>
              <w:rPr>
                <w:rFonts w:hint="eastAsia"/>
                <w:sz w:val="21"/>
              </w:rPr>
              <w:t>注册地址</w:t>
            </w:r>
          </w:p>
        </w:tc>
        <w:tc>
          <w:tcPr>
            <w:tcW w:w="3826" w:type="dxa"/>
            <w:gridSpan w:val="3"/>
            <w:vAlign w:val="center"/>
          </w:tcPr>
          <w:p>
            <w:pPr>
              <w:wordWrap w:val="0"/>
              <w:topLinePunct/>
              <w:spacing w:line="480" w:lineRule="exact"/>
              <w:jc w:val="center"/>
              <w:rPr>
                <w:sz w:val="21"/>
              </w:rPr>
            </w:pPr>
          </w:p>
        </w:tc>
        <w:tc>
          <w:tcPr>
            <w:tcW w:w="1548" w:type="dxa"/>
            <w:vAlign w:val="center"/>
          </w:tcPr>
          <w:p>
            <w:pPr>
              <w:wordWrap w:val="0"/>
              <w:topLinePunct/>
              <w:spacing w:line="480" w:lineRule="exact"/>
              <w:jc w:val="center"/>
              <w:rPr>
                <w:sz w:val="21"/>
              </w:rPr>
            </w:pPr>
            <w:r>
              <w:rPr>
                <w:rFonts w:hint="eastAsia"/>
                <w:sz w:val="21"/>
              </w:rPr>
              <w:t>邮政编码</w:t>
            </w:r>
          </w:p>
        </w:tc>
        <w:tc>
          <w:tcPr>
            <w:tcW w:w="2626" w:type="dxa"/>
            <w:gridSpan w:val="3"/>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wordWrap w:val="0"/>
              <w:topLinePunct/>
              <w:spacing w:line="480" w:lineRule="exact"/>
              <w:jc w:val="center"/>
              <w:rPr>
                <w:sz w:val="21"/>
              </w:rPr>
            </w:pPr>
            <w:r>
              <w:rPr>
                <w:rFonts w:hint="eastAsia"/>
                <w:sz w:val="21"/>
              </w:rPr>
              <w:t>联系方式</w:t>
            </w:r>
          </w:p>
        </w:tc>
        <w:tc>
          <w:tcPr>
            <w:tcW w:w="939" w:type="dxa"/>
            <w:vAlign w:val="center"/>
          </w:tcPr>
          <w:p>
            <w:pPr>
              <w:wordWrap w:val="0"/>
              <w:topLinePunct/>
              <w:spacing w:line="480" w:lineRule="exact"/>
              <w:jc w:val="center"/>
              <w:rPr>
                <w:sz w:val="21"/>
              </w:rPr>
            </w:pPr>
            <w:r>
              <w:rPr>
                <w:rFonts w:hint="eastAsia"/>
                <w:sz w:val="21"/>
              </w:rPr>
              <w:t>联系人</w:t>
            </w:r>
          </w:p>
        </w:tc>
        <w:tc>
          <w:tcPr>
            <w:tcW w:w="2887" w:type="dxa"/>
            <w:gridSpan w:val="2"/>
            <w:vAlign w:val="center"/>
          </w:tcPr>
          <w:p>
            <w:pPr>
              <w:wordWrap w:val="0"/>
              <w:topLinePunct/>
              <w:spacing w:line="480" w:lineRule="exact"/>
              <w:jc w:val="center"/>
              <w:rPr>
                <w:sz w:val="21"/>
              </w:rPr>
            </w:pPr>
          </w:p>
        </w:tc>
        <w:tc>
          <w:tcPr>
            <w:tcW w:w="1548" w:type="dxa"/>
            <w:vAlign w:val="center"/>
          </w:tcPr>
          <w:p>
            <w:pPr>
              <w:wordWrap w:val="0"/>
              <w:topLinePunct/>
              <w:spacing w:line="480" w:lineRule="exact"/>
              <w:jc w:val="center"/>
              <w:rPr>
                <w:sz w:val="21"/>
              </w:rPr>
            </w:pPr>
            <w:r>
              <w:rPr>
                <w:rFonts w:hint="eastAsia"/>
                <w:sz w:val="21"/>
              </w:rPr>
              <w:t>电话</w:t>
            </w:r>
          </w:p>
        </w:tc>
        <w:tc>
          <w:tcPr>
            <w:tcW w:w="2626" w:type="dxa"/>
            <w:gridSpan w:val="3"/>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wordWrap w:val="0"/>
              <w:topLinePunct/>
              <w:spacing w:line="480" w:lineRule="exact"/>
              <w:jc w:val="center"/>
              <w:rPr>
                <w:sz w:val="21"/>
              </w:rPr>
            </w:pPr>
          </w:p>
        </w:tc>
        <w:tc>
          <w:tcPr>
            <w:tcW w:w="939" w:type="dxa"/>
            <w:vAlign w:val="center"/>
          </w:tcPr>
          <w:p>
            <w:pPr>
              <w:wordWrap w:val="0"/>
              <w:topLinePunct/>
              <w:spacing w:line="480" w:lineRule="exact"/>
              <w:jc w:val="center"/>
              <w:rPr>
                <w:sz w:val="21"/>
              </w:rPr>
            </w:pPr>
            <w:r>
              <w:rPr>
                <w:rFonts w:hint="eastAsia"/>
                <w:sz w:val="21"/>
              </w:rPr>
              <w:t>传真</w:t>
            </w:r>
          </w:p>
        </w:tc>
        <w:tc>
          <w:tcPr>
            <w:tcW w:w="2887" w:type="dxa"/>
            <w:gridSpan w:val="2"/>
            <w:vAlign w:val="center"/>
          </w:tcPr>
          <w:p>
            <w:pPr>
              <w:wordWrap w:val="0"/>
              <w:topLinePunct/>
              <w:spacing w:line="480" w:lineRule="exact"/>
              <w:jc w:val="center"/>
              <w:rPr>
                <w:sz w:val="21"/>
              </w:rPr>
            </w:pPr>
          </w:p>
        </w:tc>
        <w:tc>
          <w:tcPr>
            <w:tcW w:w="1548" w:type="dxa"/>
            <w:vAlign w:val="center"/>
          </w:tcPr>
          <w:p>
            <w:pPr>
              <w:wordWrap w:val="0"/>
              <w:topLinePunct/>
              <w:spacing w:line="480" w:lineRule="exact"/>
              <w:jc w:val="center"/>
              <w:rPr>
                <w:sz w:val="21"/>
              </w:rPr>
            </w:pPr>
            <w:r>
              <w:rPr>
                <w:rFonts w:hint="eastAsia"/>
                <w:sz w:val="21"/>
              </w:rPr>
              <w:t>网址</w:t>
            </w:r>
          </w:p>
        </w:tc>
        <w:tc>
          <w:tcPr>
            <w:tcW w:w="2626" w:type="dxa"/>
            <w:gridSpan w:val="3"/>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wordWrap w:val="0"/>
              <w:topLinePunct/>
              <w:spacing w:line="480" w:lineRule="exact"/>
              <w:jc w:val="center"/>
              <w:rPr>
                <w:sz w:val="21"/>
              </w:rPr>
            </w:pPr>
            <w:r>
              <w:rPr>
                <w:rFonts w:hint="eastAsia"/>
                <w:sz w:val="21"/>
              </w:rPr>
              <w:t>法定代表人</w:t>
            </w:r>
          </w:p>
        </w:tc>
        <w:tc>
          <w:tcPr>
            <w:tcW w:w="939" w:type="dxa"/>
            <w:vAlign w:val="center"/>
          </w:tcPr>
          <w:p>
            <w:pPr>
              <w:wordWrap w:val="0"/>
              <w:topLinePunct/>
              <w:spacing w:line="480" w:lineRule="exact"/>
              <w:jc w:val="center"/>
              <w:rPr>
                <w:sz w:val="21"/>
              </w:rPr>
            </w:pPr>
            <w:r>
              <w:rPr>
                <w:rFonts w:hint="eastAsia"/>
                <w:sz w:val="21"/>
              </w:rPr>
              <w:t>姓名</w:t>
            </w:r>
          </w:p>
        </w:tc>
        <w:tc>
          <w:tcPr>
            <w:tcW w:w="1432" w:type="dxa"/>
            <w:vAlign w:val="center"/>
          </w:tcPr>
          <w:p>
            <w:pPr>
              <w:wordWrap w:val="0"/>
              <w:topLinePunct/>
              <w:spacing w:line="480" w:lineRule="exact"/>
              <w:jc w:val="center"/>
              <w:rPr>
                <w:sz w:val="21"/>
              </w:rPr>
            </w:pPr>
          </w:p>
        </w:tc>
        <w:tc>
          <w:tcPr>
            <w:tcW w:w="1455" w:type="dxa"/>
            <w:vAlign w:val="center"/>
          </w:tcPr>
          <w:p>
            <w:pPr>
              <w:wordWrap w:val="0"/>
              <w:topLinePunct/>
              <w:spacing w:line="480" w:lineRule="exact"/>
              <w:jc w:val="center"/>
              <w:rPr>
                <w:sz w:val="21"/>
              </w:rPr>
            </w:pPr>
            <w:r>
              <w:rPr>
                <w:rFonts w:hint="eastAsia"/>
                <w:sz w:val="21"/>
              </w:rPr>
              <w:t>技术职称</w:t>
            </w:r>
          </w:p>
        </w:tc>
        <w:tc>
          <w:tcPr>
            <w:tcW w:w="1548" w:type="dxa"/>
            <w:vAlign w:val="center"/>
          </w:tcPr>
          <w:p>
            <w:pPr>
              <w:wordWrap w:val="0"/>
              <w:topLinePunct/>
              <w:spacing w:line="480" w:lineRule="exact"/>
              <w:jc w:val="center"/>
              <w:rPr>
                <w:sz w:val="21"/>
              </w:rPr>
            </w:pPr>
          </w:p>
        </w:tc>
        <w:tc>
          <w:tcPr>
            <w:tcW w:w="1364" w:type="dxa"/>
            <w:gridSpan w:val="2"/>
            <w:vAlign w:val="center"/>
          </w:tcPr>
          <w:p>
            <w:pPr>
              <w:wordWrap w:val="0"/>
              <w:topLinePunct/>
              <w:spacing w:line="480" w:lineRule="exact"/>
              <w:jc w:val="center"/>
              <w:rPr>
                <w:sz w:val="21"/>
              </w:rPr>
            </w:pPr>
            <w:r>
              <w:rPr>
                <w:rFonts w:hint="eastAsia"/>
                <w:sz w:val="21"/>
              </w:rPr>
              <w:t>电话</w:t>
            </w:r>
          </w:p>
        </w:tc>
        <w:tc>
          <w:tcPr>
            <w:tcW w:w="1262" w:type="dxa"/>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wordWrap w:val="0"/>
              <w:topLinePunct/>
              <w:spacing w:line="480" w:lineRule="exact"/>
              <w:jc w:val="center"/>
              <w:rPr>
                <w:sz w:val="21"/>
              </w:rPr>
            </w:pPr>
            <w:r>
              <w:rPr>
                <w:rFonts w:hint="eastAsia"/>
                <w:sz w:val="21"/>
              </w:rPr>
              <w:t>技术负责人</w:t>
            </w:r>
          </w:p>
        </w:tc>
        <w:tc>
          <w:tcPr>
            <w:tcW w:w="939" w:type="dxa"/>
            <w:vAlign w:val="center"/>
          </w:tcPr>
          <w:p>
            <w:pPr>
              <w:wordWrap w:val="0"/>
              <w:topLinePunct/>
              <w:spacing w:line="480" w:lineRule="exact"/>
              <w:jc w:val="center"/>
              <w:rPr>
                <w:sz w:val="21"/>
              </w:rPr>
            </w:pPr>
            <w:r>
              <w:rPr>
                <w:rFonts w:hint="eastAsia"/>
                <w:sz w:val="21"/>
              </w:rPr>
              <w:t>姓名</w:t>
            </w:r>
          </w:p>
        </w:tc>
        <w:tc>
          <w:tcPr>
            <w:tcW w:w="1432" w:type="dxa"/>
            <w:vAlign w:val="center"/>
          </w:tcPr>
          <w:p>
            <w:pPr>
              <w:wordWrap w:val="0"/>
              <w:topLinePunct/>
              <w:spacing w:line="480" w:lineRule="exact"/>
              <w:jc w:val="center"/>
              <w:rPr>
                <w:sz w:val="21"/>
              </w:rPr>
            </w:pPr>
          </w:p>
        </w:tc>
        <w:tc>
          <w:tcPr>
            <w:tcW w:w="1455" w:type="dxa"/>
            <w:vAlign w:val="center"/>
          </w:tcPr>
          <w:p>
            <w:pPr>
              <w:wordWrap w:val="0"/>
              <w:topLinePunct/>
              <w:spacing w:line="480" w:lineRule="exact"/>
              <w:jc w:val="center"/>
              <w:rPr>
                <w:sz w:val="21"/>
              </w:rPr>
            </w:pPr>
            <w:r>
              <w:rPr>
                <w:rFonts w:hint="eastAsia"/>
                <w:sz w:val="21"/>
              </w:rPr>
              <w:t>技术职称</w:t>
            </w:r>
          </w:p>
        </w:tc>
        <w:tc>
          <w:tcPr>
            <w:tcW w:w="1548" w:type="dxa"/>
            <w:vAlign w:val="center"/>
          </w:tcPr>
          <w:p>
            <w:pPr>
              <w:wordWrap w:val="0"/>
              <w:topLinePunct/>
              <w:spacing w:line="480" w:lineRule="exact"/>
              <w:jc w:val="center"/>
              <w:rPr>
                <w:sz w:val="21"/>
              </w:rPr>
            </w:pPr>
          </w:p>
        </w:tc>
        <w:tc>
          <w:tcPr>
            <w:tcW w:w="1364" w:type="dxa"/>
            <w:gridSpan w:val="2"/>
            <w:vAlign w:val="center"/>
          </w:tcPr>
          <w:p>
            <w:pPr>
              <w:wordWrap w:val="0"/>
              <w:topLinePunct/>
              <w:spacing w:line="480" w:lineRule="exact"/>
              <w:jc w:val="center"/>
              <w:rPr>
                <w:sz w:val="21"/>
              </w:rPr>
            </w:pPr>
            <w:r>
              <w:rPr>
                <w:rFonts w:hint="eastAsia"/>
                <w:sz w:val="21"/>
              </w:rPr>
              <w:t>电话</w:t>
            </w:r>
          </w:p>
        </w:tc>
        <w:tc>
          <w:tcPr>
            <w:tcW w:w="1262" w:type="dxa"/>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rPr>
            </w:pPr>
            <w:r>
              <w:rPr>
                <w:rFonts w:hint="eastAsia"/>
                <w:sz w:val="21"/>
              </w:rPr>
              <w:t>成立时间</w:t>
            </w:r>
          </w:p>
        </w:tc>
        <w:tc>
          <w:tcPr>
            <w:tcW w:w="2371" w:type="dxa"/>
            <w:gridSpan w:val="2"/>
            <w:vAlign w:val="center"/>
          </w:tcPr>
          <w:p>
            <w:pPr>
              <w:wordWrap w:val="0"/>
              <w:topLinePunct/>
              <w:spacing w:line="480" w:lineRule="exact"/>
              <w:jc w:val="center"/>
              <w:rPr>
                <w:sz w:val="21"/>
              </w:rPr>
            </w:pPr>
          </w:p>
        </w:tc>
        <w:tc>
          <w:tcPr>
            <w:tcW w:w="5629" w:type="dxa"/>
            <w:gridSpan w:val="5"/>
            <w:vAlign w:val="center"/>
          </w:tcPr>
          <w:p>
            <w:pPr>
              <w:wordWrap w:val="0"/>
              <w:topLinePunct/>
              <w:spacing w:line="480" w:lineRule="exact"/>
              <w:jc w:val="center"/>
              <w:rPr>
                <w:sz w:val="21"/>
              </w:rPr>
            </w:pPr>
            <w:r>
              <w:rPr>
                <w:rFonts w:hint="eastAsia"/>
                <w:sz w:val="21"/>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rPr>
            </w:pPr>
            <w:r>
              <w:rPr>
                <w:rFonts w:hint="eastAsia"/>
                <w:sz w:val="21"/>
              </w:rPr>
              <w:t>企业资质等级</w:t>
            </w:r>
          </w:p>
        </w:tc>
        <w:tc>
          <w:tcPr>
            <w:tcW w:w="2371" w:type="dxa"/>
            <w:gridSpan w:val="2"/>
            <w:vAlign w:val="center"/>
          </w:tcPr>
          <w:p>
            <w:pPr>
              <w:wordWrap w:val="0"/>
              <w:topLinePunct/>
              <w:spacing w:line="480" w:lineRule="exact"/>
              <w:jc w:val="center"/>
              <w:rPr>
                <w:sz w:val="21"/>
              </w:rPr>
            </w:pPr>
          </w:p>
        </w:tc>
        <w:tc>
          <w:tcPr>
            <w:tcW w:w="1455" w:type="dxa"/>
            <w:vMerge w:val="restart"/>
            <w:vAlign w:val="center"/>
          </w:tcPr>
          <w:p>
            <w:pPr>
              <w:wordWrap w:val="0"/>
              <w:topLinePunct/>
              <w:spacing w:line="480" w:lineRule="exact"/>
              <w:jc w:val="center"/>
              <w:rPr>
                <w:sz w:val="21"/>
              </w:rPr>
            </w:pPr>
            <w:r>
              <w:rPr>
                <w:rFonts w:hint="eastAsia"/>
                <w:sz w:val="21"/>
              </w:rPr>
              <w:t>其中</w:t>
            </w:r>
          </w:p>
        </w:tc>
        <w:tc>
          <w:tcPr>
            <w:tcW w:w="1734" w:type="dxa"/>
            <w:gridSpan w:val="2"/>
            <w:vAlign w:val="center"/>
          </w:tcPr>
          <w:p>
            <w:pPr>
              <w:wordWrap w:val="0"/>
              <w:topLinePunct/>
              <w:spacing w:line="480" w:lineRule="exact"/>
              <w:jc w:val="center"/>
              <w:rPr>
                <w:sz w:val="21"/>
              </w:rPr>
            </w:pPr>
            <w:r>
              <w:rPr>
                <w:rFonts w:hint="eastAsia"/>
                <w:sz w:val="21"/>
              </w:rPr>
              <w:t>项目经理</w:t>
            </w:r>
          </w:p>
        </w:tc>
        <w:tc>
          <w:tcPr>
            <w:tcW w:w="2440" w:type="dxa"/>
            <w:gridSpan w:val="2"/>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rPr>
            </w:pPr>
            <w:r>
              <w:rPr>
                <w:rFonts w:hint="eastAsia"/>
                <w:sz w:val="21"/>
              </w:rPr>
              <w:t>营业执照号/统一社会信用代码</w:t>
            </w:r>
          </w:p>
        </w:tc>
        <w:tc>
          <w:tcPr>
            <w:tcW w:w="2371" w:type="dxa"/>
            <w:gridSpan w:val="2"/>
            <w:vAlign w:val="center"/>
          </w:tcPr>
          <w:p>
            <w:pPr>
              <w:wordWrap w:val="0"/>
              <w:topLinePunct/>
              <w:spacing w:line="480" w:lineRule="exact"/>
              <w:jc w:val="center"/>
              <w:rPr>
                <w:sz w:val="21"/>
              </w:rPr>
            </w:pPr>
          </w:p>
        </w:tc>
        <w:tc>
          <w:tcPr>
            <w:tcW w:w="1455" w:type="dxa"/>
            <w:vMerge w:val="continue"/>
            <w:vAlign w:val="center"/>
          </w:tcPr>
          <w:p>
            <w:pPr>
              <w:wordWrap w:val="0"/>
              <w:topLinePunct/>
              <w:spacing w:line="480" w:lineRule="exact"/>
              <w:jc w:val="center"/>
              <w:rPr>
                <w:sz w:val="21"/>
              </w:rPr>
            </w:pPr>
          </w:p>
        </w:tc>
        <w:tc>
          <w:tcPr>
            <w:tcW w:w="1734" w:type="dxa"/>
            <w:gridSpan w:val="2"/>
            <w:vAlign w:val="center"/>
          </w:tcPr>
          <w:p>
            <w:pPr>
              <w:wordWrap w:val="0"/>
              <w:topLinePunct/>
              <w:spacing w:line="480" w:lineRule="exact"/>
              <w:jc w:val="center"/>
              <w:rPr>
                <w:sz w:val="21"/>
              </w:rPr>
            </w:pPr>
            <w:r>
              <w:rPr>
                <w:rFonts w:hint="eastAsia"/>
                <w:sz w:val="21"/>
              </w:rPr>
              <w:t>高级职称人员</w:t>
            </w:r>
          </w:p>
        </w:tc>
        <w:tc>
          <w:tcPr>
            <w:tcW w:w="2440" w:type="dxa"/>
            <w:gridSpan w:val="2"/>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rPr>
            </w:pPr>
            <w:r>
              <w:rPr>
                <w:rFonts w:hint="eastAsia"/>
                <w:sz w:val="21"/>
              </w:rPr>
              <w:t>注册资金</w:t>
            </w:r>
          </w:p>
        </w:tc>
        <w:tc>
          <w:tcPr>
            <w:tcW w:w="2371" w:type="dxa"/>
            <w:gridSpan w:val="2"/>
            <w:vAlign w:val="center"/>
          </w:tcPr>
          <w:p>
            <w:pPr>
              <w:wordWrap w:val="0"/>
              <w:topLinePunct/>
              <w:spacing w:line="480" w:lineRule="exact"/>
              <w:jc w:val="center"/>
              <w:rPr>
                <w:sz w:val="21"/>
              </w:rPr>
            </w:pPr>
          </w:p>
        </w:tc>
        <w:tc>
          <w:tcPr>
            <w:tcW w:w="1455" w:type="dxa"/>
            <w:vMerge w:val="continue"/>
            <w:vAlign w:val="center"/>
          </w:tcPr>
          <w:p>
            <w:pPr>
              <w:wordWrap w:val="0"/>
              <w:topLinePunct/>
              <w:spacing w:line="480" w:lineRule="exact"/>
              <w:jc w:val="center"/>
              <w:rPr>
                <w:sz w:val="21"/>
              </w:rPr>
            </w:pPr>
          </w:p>
        </w:tc>
        <w:tc>
          <w:tcPr>
            <w:tcW w:w="1734" w:type="dxa"/>
            <w:gridSpan w:val="2"/>
            <w:vAlign w:val="center"/>
          </w:tcPr>
          <w:p>
            <w:pPr>
              <w:wordWrap w:val="0"/>
              <w:topLinePunct/>
              <w:spacing w:line="480" w:lineRule="exact"/>
              <w:jc w:val="center"/>
              <w:rPr>
                <w:sz w:val="21"/>
              </w:rPr>
            </w:pPr>
            <w:r>
              <w:rPr>
                <w:rFonts w:hint="eastAsia"/>
                <w:sz w:val="21"/>
              </w:rPr>
              <w:t>中级职称人员</w:t>
            </w:r>
          </w:p>
        </w:tc>
        <w:tc>
          <w:tcPr>
            <w:tcW w:w="2440" w:type="dxa"/>
            <w:gridSpan w:val="2"/>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rPr>
            </w:pPr>
            <w:r>
              <w:rPr>
                <w:rFonts w:hint="eastAsia"/>
                <w:sz w:val="21"/>
              </w:rPr>
              <w:t>开户银行</w:t>
            </w:r>
          </w:p>
        </w:tc>
        <w:tc>
          <w:tcPr>
            <w:tcW w:w="2371" w:type="dxa"/>
            <w:gridSpan w:val="2"/>
            <w:vAlign w:val="center"/>
          </w:tcPr>
          <w:p>
            <w:pPr>
              <w:wordWrap w:val="0"/>
              <w:topLinePunct/>
              <w:spacing w:line="480" w:lineRule="exact"/>
              <w:jc w:val="center"/>
              <w:rPr>
                <w:sz w:val="21"/>
              </w:rPr>
            </w:pPr>
          </w:p>
        </w:tc>
        <w:tc>
          <w:tcPr>
            <w:tcW w:w="1455" w:type="dxa"/>
            <w:vMerge w:val="continue"/>
            <w:vAlign w:val="center"/>
          </w:tcPr>
          <w:p>
            <w:pPr>
              <w:wordWrap w:val="0"/>
              <w:topLinePunct/>
              <w:spacing w:line="480" w:lineRule="exact"/>
              <w:jc w:val="center"/>
              <w:rPr>
                <w:sz w:val="21"/>
              </w:rPr>
            </w:pPr>
          </w:p>
        </w:tc>
        <w:tc>
          <w:tcPr>
            <w:tcW w:w="1734" w:type="dxa"/>
            <w:gridSpan w:val="2"/>
            <w:vAlign w:val="center"/>
          </w:tcPr>
          <w:p>
            <w:pPr>
              <w:wordWrap w:val="0"/>
              <w:topLinePunct/>
              <w:spacing w:line="480" w:lineRule="exact"/>
              <w:jc w:val="center"/>
              <w:rPr>
                <w:sz w:val="21"/>
              </w:rPr>
            </w:pPr>
            <w:r>
              <w:rPr>
                <w:rFonts w:hint="eastAsia"/>
                <w:sz w:val="21"/>
              </w:rPr>
              <w:t>初级职称人员</w:t>
            </w:r>
          </w:p>
        </w:tc>
        <w:tc>
          <w:tcPr>
            <w:tcW w:w="2440" w:type="dxa"/>
            <w:gridSpan w:val="2"/>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rPr>
            </w:pPr>
            <w:r>
              <w:rPr>
                <w:rFonts w:hint="eastAsia"/>
                <w:sz w:val="21"/>
              </w:rPr>
              <w:t>账号</w:t>
            </w:r>
          </w:p>
        </w:tc>
        <w:tc>
          <w:tcPr>
            <w:tcW w:w="2371" w:type="dxa"/>
            <w:gridSpan w:val="2"/>
            <w:vAlign w:val="center"/>
          </w:tcPr>
          <w:p>
            <w:pPr>
              <w:wordWrap w:val="0"/>
              <w:topLinePunct/>
              <w:spacing w:line="480" w:lineRule="exact"/>
              <w:jc w:val="center"/>
              <w:rPr>
                <w:sz w:val="21"/>
              </w:rPr>
            </w:pPr>
          </w:p>
        </w:tc>
        <w:tc>
          <w:tcPr>
            <w:tcW w:w="1455" w:type="dxa"/>
            <w:vMerge w:val="continue"/>
            <w:vAlign w:val="center"/>
          </w:tcPr>
          <w:p>
            <w:pPr>
              <w:wordWrap w:val="0"/>
              <w:topLinePunct/>
              <w:spacing w:line="480" w:lineRule="exact"/>
              <w:jc w:val="center"/>
              <w:rPr>
                <w:sz w:val="21"/>
              </w:rPr>
            </w:pPr>
          </w:p>
        </w:tc>
        <w:tc>
          <w:tcPr>
            <w:tcW w:w="1734" w:type="dxa"/>
            <w:gridSpan w:val="2"/>
            <w:vAlign w:val="center"/>
          </w:tcPr>
          <w:p>
            <w:pPr>
              <w:wordWrap w:val="0"/>
              <w:topLinePunct/>
              <w:spacing w:line="480" w:lineRule="exact"/>
              <w:jc w:val="center"/>
              <w:rPr>
                <w:sz w:val="21"/>
              </w:rPr>
            </w:pPr>
            <w:r>
              <w:rPr>
                <w:rFonts w:hint="eastAsia"/>
                <w:sz w:val="21"/>
              </w:rPr>
              <w:t>技工</w:t>
            </w:r>
          </w:p>
        </w:tc>
        <w:tc>
          <w:tcPr>
            <w:tcW w:w="2440" w:type="dxa"/>
            <w:gridSpan w:val="2"/>
            <w:vAlign w:val="center"/>
          </w:tcPr>
          <w:p>
            <w:pPr>
              <w:wordWrap w:val="0"/>
              <w:topLinePunct/>
              <w:spacing w:line="48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wordWrap w:val="0"/>
              <w:topLinePunct/>
              <w:spacing w:line="480" w:lineRule="exact"/>
              <w:jc w:val="center"/>
              <w:rPr>
                <w:sz w:val="21"/>
              </w:rPr>
            </w:pPr>
            <w:r>
              <w:rPr>
                <w:rFonts w:hint="eastAsia"/>
                <w:sz w:val="21"/>
              </w:rPr>
              <w:t>经营范围</w:t>
            </w:r>
          </w:p>
        </w:tc>
        <w:tc>
          <w:tcPr>
            <w:tcW w:w="8000" w:type="dxa"/>
            <w:gridSpan w:val="7"/>
            <w:vAlign w:val="center"/>
          </w:tcPr>
          <w:p>
            <w:pPr>
              <w:wordWrap w:val="0"/>
              <w:topLinePunct/>
              <w:spacing w:line="480" w:lineRule="exact"/>
              <w:jc w:val="center"/>
              <w:rPr>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wordWrap w:val="0"/>
              <w:topLinePunct/>
              <w:spacing w:line="480" w:lineRule="exact"/>
              <w:jc w:val="center"/>
              <w:rPr>
                <w:sz w:val="21"/>
              </w:rPr>
            </w:pPr>
            <w:r>
              <w:rPr>
                <w:rFonts w:hint="eastAsia"/>
                <w:sz w:val="21"/>
              </w:rPr>
              <w:t>备注</w:t>
            </w:r>
          </w:p>
        </w:tc>
        <w:tc>
          <w:tcPr>
            <w:tcW w:w="8000" w:type="dxa"/>
            <w:gridSpan w:val="7"/>
          </w:tcPr>
          <w:p>
            <w:pPr>
              <w:wordWrap w:val="0"/>
              <w:topLinePunct/>
              <w:spacing w:line="480" w:lineRule="exact"/>
              <w:jc w:val="center"/>
              <w:rPr>
                <w:sz w:val="21"/>
              </w:rPr>
            </w:pPr>
          </w:p>
        </w:tc>
      </w:tr>
    </w:tbl>
    <w:p>
      <w:pPr>
        <w:wordWrap w:val="0"/>
        <w:topLinePunct/>
        <w:ind w:firstLine="480" w:firstLineChars="200"/>
        <w:rPr>
          <w:b/>
          <w:snapToGrid w:val="0"/>
        </w:rPr>
      </w:pPr>
      <w:r>
        <w:rPr>
          <w:rFonts w:hint="eastAsia"/>
          <w:b/>
          <w:snapToGrid w:val="0"/>
        </w:rPr>
        <w:t>注：投标人根据自身实际情况填写，对不涉及的内容可填写“/”，不影响投标资质及效力。</w:t>
      </w:r>
    </w:p>
    <w:p>
      <w:pPr>
        <w:wordWrap w:val="0"/>
        <w:topLinePunct/>
        <w:ind w:firstLine="480" w:firstLineChars="200"/>
      </w:pPr>
    </w:p>
    <w:p>
      <w:pPr>
        <w:wordWrap w:val="0"/>
        <w:topLinePunct/>
        <w:ind w:firstLine="480" w:firstLineChars="200"/>
      </w:pPr>
      <w:r>
        <w:rPr>
          <w:rFonts w:hint="eastAsia"/>
        </w:rPr>
        <w:t>投标人名称：</w:t>
      </w:r>
      <w:r>
        <w:rPr>
          <w:rFonts w:hint="eastAsia" w:asciiTheme="minorEastAsia" w:hAnsiTheme="minorEastAsia" w:eastAsiaTheme="minorEastAsia" w:cstheme="minorEastAsia"/>
          <w:bCs/>
          <w:u w:val="single"/>
        </w:rPr>
        <w:t xml:space="preserve">                 </w:t>
      </w:r>
    </w:p>
    <w:p>
      <w:pPr>
        <w:wordWrap w:val="0"/>
        <w:topLinePunct/>
        <w:ind w:firstLine="480" w:firstLineChars="200"/>
      </w:pPr>
      <w:r>
        <w:rPr>
          <w:rFonts w:hint="eastAsia"/>
        </w:rPr>
        <w:t>投标日期：</w:t>
      </w:r>
      <w:r>
        <w:rPr>
          <w:rFonts w:hint="eastAsia" w:asciiTheme="minorEastAsia" w:hAnsiTheme="minorEastAsia" w:eastAsiaTheme="minorEastAsia" w:cstheme="minorEastAsia"/>
          <w:bCs/>
          <w:u w:val="single"/>
        </w:rPr>
        <w:t xml:space="preserve">                 </w:t>
      </w:r>
      <w:r>
        <w:rPr>
          <w:rFonts w:hint="eastAsia"/>
        </w:rPr>
        <w:t xml:space="preserve">       </w:t>
      </w:r>
    </w:p>
    <w:p>
      <w:pPr>
        <w:pageBreakBefore/>
        <w:numPr>
          <w:ilvl w:val="0"/>
          <w:numId w:val="19"/>
        </w:numPr>
        <w:wordWrap w:val="0"/>
        <w:topLinePunct/>
        <w:spacing w:before="156" w:beforeLines="50" w:after="156" w:afterLines="50"/>
        <w:jc w:val="center"/>
        <w:outlineLvl w:val="2"/>
        <w:rPr>
          <w:b/>
          <w:snapToGrid w:val="0"/>
          <w:sz w:val="28"/>
        </w:rPr>
      </w:pPr>
      <w:bookmarkStart w:id="892" w:name="_Toc27093"/>
      <w:r>
        <w:rPr>
          <w:rFonts w:hint="eastAsia"/>
          <w:b/>
          <w:snapToGrid w:val="0"/>
          <w:sz w:val="28"/>
        </w:rPr>
        <w:t>开标一览表</w:t>
      </w:r>
      <w:bookmarkEnd w:id="880"/>
      <w:bookmarkEnd w:id="881"/>
      <w:bookmarkEnd w:id="882"/>
      <w:bookmarkEnd w:id="883"/>
      <w:bookmarkEnd w:id="892"/>
    </w:p>
    <w:p>
      <w:pPr>
        <w:wordWrap w:val="0"/>
        <w:topLinePunct/>
        <w:rPr>
          <w:snapToGrid w:val="0"/>
          <w:u w:val="single"/>
        </w:rPr>
      </w:pPr>
      <w:r>
        <w:rPr>
          <w:rFonts w:hint="eastAsia"/>
          <w:snapToGrid w:val="0"/>
        </w:rPr>
        <w:t>项目名称：</w:t>
      </w:r>
      <w:r>
        <w:rPr>
          <w:rFonts w:hint="eastAsia"/>
          <w:snapToGrid w:val="0"/>
          <w:u w:val="single"/>
        </w:rPr>
        <w:t xml:space="preserve">                         </w:t>
      </w:r>
    </w:p>
    <w:p>
      <w:pPr>
        <w:wordWrap w:val="0"/>
        <w:topLinePunct/>
        <w:rPr>
          <w:snapToGrid w:val="0"/>
          <w:highlight w:val="yellow"/>
          <w:u w:val="single"/>
        </w:rPr>
      </w:pPr>
      <w:r>
        <w:rPr>
          <w:rFonts w:hint="eastAsia"/>
          <w:snapToGrid w:val="0"/>
        </w:rPr>
        <w:t>项目编号：</w:t>
      </w:r>
      <w:r>
        <w:rPr>
          <w:rFonts w:hint="eastAsia"/>
          <w:snapToGrid w:val="0"/>
          <w:u w:val="single"/>
        </w:rPr>
        <w:t xml:space="preserve">                         </w:t>
      </w:r>
      <w:r>
        <w:rPr>
          <w:rFonts w:hint="eastAsia"/>
          <w:snapToGrid w:val="0"/>
        </w:rPr>
        <w:t xml:space="preserve">                                  </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380"/>
        <w:gridCol w:w="2551"/>
        <w:gridCol w:w="2551"/>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 w:type="pct"/>
            <w:vAlign w:val="center"/>
          </w:tcPr>
          <w:p>
            <w:pPr>
              <w:pStyle w:val="48"/>
              <w:spacing w:line="440" w:lineRule="exact"/>
              <w:rPr>
                <w:b/>
                <w:bCs/>
                <w:szCs w:val="21"/>
              </w:rPr>
            </w:pPr>
            <w:r>
              <w:rPr>
                <w:rFonts w:hint="eastAsia"/>
                <w:b/>
                <w:bCs/>
                <w:szCs w:val="21"/>
              </w:rPr>
              <w:t>序号</w:t>
            </w:r>
          </w:p>
        </w:tc>
        <w:tc>
          <w:tcPr>
            <w:tcW w:w="1288" w:type="pct"/>
            <w:vAlign w:val="center"/>
          </w:tcPr>
          <w:p>
            <w:pPr>
              <w:pStyle w:val="48"/>
              <w:spacing w:line="440" w:lineRule="exact"/>
              <w:rPr>
                <w:b/>
                <w:bCs/>
                <w:szCs w:val="21"/>
              </w:rPr>
            </w:pPr>
            <w:r>
              <w:rPr>
                <w:rFonts w:hint="eastAsia"/>
                <w:b/>
                <w:bCs/>
                <w:szCs w:val="21"/>
              </w:rPr>
              <w:t>标的名称</w:t>
            </w:r>
          </w:p>
        </w:tc>
        <w:tc>
          <w:tcPr>
            <w:tcW w:w="1380" w:type="pct"/>
            <w:vAlign w:val="center"/>
          </w:tcPr>
          <w:p>
            <w:pPr>
              <w:pStyle w:val="48"/>
              <w:spacing w:line="440" w:lineRule="exact"/>
              <w:rPr>
                <w:b/>
                <w:bCs/>
                <w:szCs w:val="21"/>
              </w:rPr>
            </w:pPr>
            <w:r>
              <w:rPr>
                <w:rFonts w:hint="eastAsia"/>
                <w:b/>
                <w:bCs/>
                <w:szCs w:val="21"/>
              </w:rPr>
              <w:t>投标报价（元）</w:t>
            </w:r>
          </w:p>
        </w:tc>
        <w:tc>
          <w:tcPr>
            <w:tcW w:w="1380" w:type="pct"/>
            <w:vAlign w:val="center"/>
          </w:tcPr>
          <w:p>
            <w:pPr>
              <w:pStyle w:val="48"/>
              <w:spacing w:line="440" w:lineRule="exact"/>
              <w:rPr>
                <w:b/>
                <w:bCs/>
                <w:szCs w:val="21"/>
              </w:rPr>
            </w:pPr>
            <w:r>
              <w:rPr>
                <w:rFonts w:hint="eastAsia"/>
                <w:b/>
                <w:bCs/>
                <w:szCs w:val="21"/>
              </w:rPr>
              <w:t>服务期限</w:t>
            </w:r>
          </w:p>
        </w:tc>
        <w:tc>
          <w:tcPr>
            <w:tcW w:w="492" w:type="pct"/>
            <w:vAlign w:val="center"/>
          </w:tcPr>
          <w:p>
            <w:pPr>
              <w:pStyle w:val="48"/>
              <w:spacing w:line="440" w:lineRule="exact"/>
              <w:rPr>
                <w:b/>
                <w:bCs/>
                <w:szCs w:val="21"/>
              </w:rPr>
            </w:pPr>
            <w:r>
              <w:rPr>
                <w:rFonts w:hint="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458" w:type="pct"/>
            <w:vAlign w:val="center"/>
          </w:tcPr>
          <w:p>
            <w:pPr>
              <w:pStyle w:val="45"/>
              <w:jc w:val="center"/>
              <w:rPr>
                <w:sz w:val="21"/>
                <w:szCs w:val="21"/>
              </w:rPr>
            </w:pPr>
            <w:r>
              <w:rPr>
                <w:rFonts w:hint="eastAsia"/>
                <w:sz w:val="21"/>
                <w:szCs w:val="21"/>
              </w:rPr>
              <w:t>1</w:t>
            </w:r>
          </w:p>
        </w:tc>
        <w:tc>
          <w:tcPr>
            <w:tcW w:w="1288" w:type="pct"/>
            <w:vAlign w:val="center"/>
          </w:tcPr>
          <w:p>
            <w:pPr>
              <w:pStyle w:val="45"/>
              <w:rPr>
                <w:sz w:val="21"/>
                <w:szCs w:val="21"/>
              </w:rPr>
            </w:pPr>
            <w:r>
              <w:rPr>
                <w:rFonts w:hint="eastAsia"/>
                <w:sz w:val="21"/>
                <w:szCs w:val="21"/>
              </w:rPr>
              <w:t>终端运维外包服务</w:t>
            </w:r>
          </w:p>
        </w:tc>
        <w:tc>
          <w:tcPr>
            <w:tcW w:w="1380" w:type="pct"/>
            <w:vAlign w:val="center"/>
          </w:tcPr>
          <w:p>
            <w:pPr>
              <w:pStyle w:val="45"/>
              <w:rPr>
                <w:sz w:val="21"/>
                <w:szCs w:val="21"/>
              </w:rPr>
            </w:pPr>
            <w:r>
              <w:rPr>
                <w:rFonts w:hint="eastAsia"/>
                <w:sz w:val="21"/>
                <w:szCs w:val="21"/>
              </w:rPr>
              <w:t>小写：</w:t>
            </w:r>
          </w:p>
          <w:p>
            <w:pPr>
              <w:pStyle w:val="45"/>
              <w:rPr>
                <w:sz w:val="21"/>
                <w:szCs w:val="21"/>
              </w:rPr>
            </w:pPr>
            <w:r>
              <w:rPr>
                <w:rFonts w:hint="eastAsia"/>
                <w:sz w:val="21"/>
                <w:szCs w:val="21"/>
              </w:rPr>
              <w:t>大写：</w:t>
            </w:r>
          </w:p>
        </w:tc>
        <w:tc>
          <w:tcPr>
            <w:tcW w:w="1380" w:type="pct"/>
            <w:vAlign w:val="center"/>
          </w:tcPr>
          <w:p>
            <w:pPr>
              <w:pStyle w:val="45"/>
              <w:rPr>
                <w:sz w:val="21"/>
                <w:szCs w:val="21"/>
              </w:rPr>
            </w:pPr>
          </w:p>
        </w:tc>
        <w:tc>
          <w:tcPr>
            <w:tcW w:w="492" w:type="pct"/>
            <w:vAlign w:val="center"/>
          </w:tcPr>
          <w:p>
            <w:pPr>
              <w:pStyle w:val="45"/>
              <w:rPr>
                <w:sz w:val="21"/>
                <w:szCs w:val="21"/>
              </w:rPr>
            </w:pPr>
          </w:p>
        </w:tc>
      </w:tr>
    </w:tbl>
    <w:p>
      <w:pPr>
        <w:wordWrap w:val="0"/>
        <w:topLinePunct/>
        <w:ind w:firstLine="480" w:firstLineChars="200"/>
        <w:rPr>
          <w:bCs/>
          <w:snapToGrid w:val="0"/>
          <w:color w:val="000000" w:themeColor="text1"/>
          <w14:textFill>
            <w14:solidFill>
              <w14:schemeClr w14:val="tx1"/>
            </w14:solidFill>
          </w14:textFill>
        </w:rPr>
      </w:pPr>
      <w:r>
        <w:rPr>
          <w:rFonts w:hint="eastAsia"/>
          <w:b/>
          <w:snapToGrid w:val="0"/>
          <w:color w:val="000000" w:themeColor="text1"/>
          <w14:textFill>
            <w14:solidFill>
              <w14:schemeClr w14:val="tx1"/>
            </w14:solidFill>
          </w14:textFill>
        </w:rPr>
        <w:t>注：</w:t>
      </w:r>
      <w:r>
        <w:rPr>
          <w:rFonts w:hint="eastAsia"/>
          <w:bCs/>
          <w:snapToGrid w:val="0"/>
          <w:color w:val="000000" w:themeColor="text1"/>
          <w14:textFill>
            <w14:solidFill>
              <w14:schemeClr w14:val="tx1"/>
            </w14:solidFill>
          </w14:textFill>
        </w:rPr>
        <w:t>①报价应是投标人响应招标项目要求的全部工作内容的价格体现，包括人工劳务、备品备件、安装、调试、耗材、检测、保险、培训、风险、利润、招标代理服务费以及招标文件规定的一切费用。</w:t>
      </w:r>
    </w:p>
    <w:p>
      <w:pPr>
        <w:wordWrap w:val="0"/>
        <w:topLinePun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②“开标一览表”为多页的，每页均需由法定代表人/单位负责人或授权代表签字并盖投标人印章，否则作无效投标处理。</w:t>
      </w: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ind w:firstLine="480" w:firstLineChars="200"/>
        <w:rPr>
          <w:snapToGrid w:val="0"/>
        </w:rPr>
      </w:pPr>
      <w:r>
        <w:rPr>
          <w:rFonts w:hint="eastAsia"/>
          <w:snapToGrid w:val="0"/>
        </w:rPr>
        <w:t>投标人名称：</w:t>
      </w:r>
      <w:r>
        <w:rPr>
          <w:rFonts w:hint="eastAsia" w:asciiTheme="minorEastAsia" w:hAnsiTheme="minorEastAsia" w:eastAsiaTheme="minorEastAsia" w:cstheme="minorEastAsia"/>
          <w:bCs/>
          <w:snapToGrid w:val="0"/>
          <w:u w:val="single"/>
        </w:rPr>
        <w:t xml:space="preserve">                 </w:t>
      </w:r>
    </w:p>
    <w:p>
      <w:pPr>
        <w:wordWrap w:val="0"/>
        <w:topLinePunct/>
        <w:ind w:firstLine="480" w:firstLineChars="200"/>
        <w:rPr>
          <w:snapToGrid w:val="0"/>
        </w:rPr>
      </w:pPr>
      <w:r>
        <w:rPr>
          <w:rFonts w:hint="eastAsia"/>
          <w:snapToGrid w:val="0"/>
        </w:rPr>
        <w:t>投标日期：</w:t>
      </w:r>
      <w:bookmarkStart w:id="893" w:name="_Toc7728"/>
      <w:r>
        <w:rPr>
          <w:rFonts w:hint="eastAsia" w:asciiTheme="minorEastAsia" w:hAnsiTheme="minorEastAsia" w:eastAsiaTheme="minorEastAsia" w:cstheme="minorEastAsia"/>
          <w:bCs/>
          <w:snapToGrid w:val="0"/>
          <w:u w:val="single"/>
        </w:rPr>
        <w:t xml:space="preserve">                 </w:t>
      </w:r>
      <w:r>
        <w:rPr>
          <w:rFonts w:hint="eastAsia"/>
          <w:snapToGrid w:val="0"/>
        </w:rPr>
        <w:br w:type="page"/>
      </w:r>
    </w:p>
    <w:bookmarkEnd w:id="893"/>
    <w:p>
      <w:pPr>
        <w:pageBreakBefore/>
        <w:numPr>
          <w:ilvl w:val="0"/>
          <w:numId w:val="19"/>
        </w:numPr>
        <w:wordWrap w:val="0"/>
        <w:topLinePunct/>
        <w:spacing w:before="156" w:beforeLines="50" w:after="156" w:afterLines="50"/>
        <w:jc w:val="center"/>
        <w:outlineLvl w:val="2"/>
        <w:rPr>
          <w:b/>
          <w:snapToGrid w:val="0"/>
          <w:sz w:val="28"/>
        </w:rPr>
      </w:pPr>
      <w:bookmarkStart w:id="894" w:name="_Toc21006"/>
      <w:bookmarkStart w:id="895" w:name="_Toc307501130"/>
      <w:bookmarkStart w:id="896" w:name="_Toc11461"/>
      <w:bookmarkStart w:id="897" w:name="_Toc217446087"/>
      <w:bookmarkStart w:id="898" w:name="_Toc25577"/>
      <w:bookmarkStart w:id="899" w:name="_Toc307564875"/>
      <w:bookmarkStart w:id="900" w:name="_Toc327196310"/>
      <w:bookmarkStart w:id="901" w:name="_Toc7835"/>
      <w:bookmarkStart w:id="902" w:name="_Toc319440166"/>
      <w:bookmarkStart w:id="903" w:name="_Toc8976"/>
      <w:bookmarkStart w:id="904" w:name="_Toc319440168"/>
      <w:bookmarkStart w:id="905" w:name="_Toc26124"/>
      <w:bookmarkStart w:id="906" w:name="_Toc327196312"/>
      <w:bookmarkStart w:id="907" w:name="_Toc24507"/>
      <w:r>
        <w:rPr>
          <w:rFonts w:hint="eastAsia"/>
          <w:b/>
          <w:snapToGrid w:val="0"/>
          <w:sz w:val="28"/>
        </w:rPr>
        <w:t>商务应答表</w:t>
      </w:r>
      <w:bookmarkEnd w:id="894"/>
      <w:bookmarkEnd w:id="895"/>
      <w:bookmarkEnd w:id="896"/>
      <w:bookmarkEnd w:id="897"/>
      <w:bookmarkEnd w:id="898"/>
      <w:bookmarkEnd w:id="899"/>
      <w:bookmarkEnd w:id="900"/>
      <w:bookmarkEnd w:id="901"/>
      <w:bookmarkEnd w:id="902"/>
      <w:bookmarkEnd w:id="903"/>
    </w:p>
    <w:p>
      <w:pPr>
        <w:wordWrap w:val="0"/>
        <w:topLinePunct/>
        <w:rPr>
          <w:snapToGrid w:val="0"/>
          <w:u w:val="single"/>
        </w:rPr>
      </w:pPr>
      <w:r>
        <w:rPr>
          <w:rFonts w:hint="eastAsia"/>
          <w:snapToGrid w:val="0"/>
        </w:rPr>
        <w:t>项目名称：</w:t>
      </w:r>
      <w:r>
        <w:rPr>
          <w:rFonts w:hint="eastAsia"/>
          <w:snapToGrid w:val="0"/>
          <w:u w:val="single"/>
        </w:rPr>
        <w:t xml:space="preserve">                             </w:t>
      </w:r>
      <w:r>
        <w:rPr>
          <w:rFonts w:hint="eastAsia"/>
          <w:snapToGrid w:val="0"/>
        </w:rPr>
        <w:t xml:space="preserve"> </w:t>
      </w:r>
    </w:p>
    <w:p>
      <w:pPr>
        <w:wordWrap w:val="0"/>
        <w:topLinePunct/>
        <w:rPr>
          <w:snapToGrid w:val="0"/>
          <w:color w:val="000000" w:themeColor="text1"/>
          <w14:textFill>
            <w14:solidFill>
              <w14:schemeClr w14:val="tx1"/>
            </w14:solidFill>
          </w14:textFill>
        </w:rPr>
      </w:pPr>
      <w:r>
        <w:rPr>
          <w:rFonts w:hint="eastAsia"/>
          <w:snapToGrid w:val="0"/>
        </w:rPr>
        <w:t>项目编号：</w:t>
      </w:r>
      <w:r>
        <w:rPr>
          <w:rFonts w:hint="eastAsia"/>
          <w:snapToGrid w:val="0"/>
          <w:u w:val="single"/>
        </w:rPr>
        <w:t xml:space="preserve">                             </w:t>
      </w:r>
      <w:r>
        <w:rPr>
          <w:rFonts w:hint="eastAsia"/>
          <w:snapToGrid w:val="0"/>
        </w:rPr>
        <w:t xml:space="preserve">                           </w:t>
      </w:r>
      <w:r>
        <w:rPr>
          <w:rFonts w:hint="eastAsia"/>
          <w:snapToGrid w:val="0"/>
          <w:color w:val="000000" w:themeColor="text1"/>
          <w14:textFill>
            <w14:solidFill>
              <w14:schemeClr w14:val="tx1"/>
            </w14:solidFill>
          </w14:textFill>
        </w:rPr>
        <w:t xml:space="preserve">   </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3619"/>
        <w:gridCol w:w="3427"/>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363" w:type="pct"/>
            <w:vAlign w:val="center"/>
          </w:tcPr>
          <w:p>
            <w:pPr>
              <w:pStyle w:val="48"/>
              <w:rPr>
                <w:b/>
                <w:bCs/>
              </w:rPr>
            </w:pPr>
            <w:r>
              <w:rPr>
                <w:rFonts w:hint="eastAsia"/>
                <w:b/>
                <w:bCs/>
              </w:rPr>
              <w:t>序号</w:t>
            </w:r>
          </w:p>
        </w:tc>
        <w:tc>
          <w:tcPr>
            <w:tcW w:w="1958" w:type="pct"/>
            <w:vAlign w:val="center"/>
          </w:tcPr>
          <w:p>
            <w:pPr>
              <w:pStyle w:val="48"/>
              <w:rPr>
                <w:b/>
                <w:bCs/>
              </w:rPr>
            </w:pPr>
            <w:r>
              <w:rPr>
                <w:rFonts w:hint="eastAsia"/>
                <w:b/>
                <w:bCs/>
              </w:rPr>
              <w:t>招标文件商务要求</w:t>
            </w:r>
          </w:p>
        </w:tc>
        <w:tc>
          <w:tcPr>
            <w:tcW w:w="1854" w:type="pct"/>
            <w:vAlign w:val="center"/>
          </w:tcPr>
          <w:p>
            <w:pPr>
              <w:pStyle w:val="48"/>
              <w:rPr>
                <w:b/>
                <w:bCs/>
              </w:rPr>
            </w:pPr>
            <w:r>
              <w:rPr>
                <w:rFonts w:hint="eastAsia"/>
                <w:b/>
                <w:bCs/>
              </w:rPr>
              <w:t>投标应答</w:t>
            </w:r>
          </w:p>
        </w:tc>
        <w:tc>
          <w:tcPr>
            <w:tcW w:w="823" w:type="pct"/>
            <w:vAlign w:val="center"/>
          </w:tcPr>
          <w:p>
            <w:pPr>
              <w:pStyle w:val="48"/>
              <w:rPr>
                <w:b/>
                <w:bCs/>
              </w:rPr>
            </w:pPr>
            <w:r>
              <w:rPr>
                <w:rFonts w:hint="eastAsia"/>
                <w:b/>
                <w:bCs/>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63" w:type="pct"/>
          </w:tcPr>
          <w:p>
            <w:pPr>
              <w:pStyle w:val="48"/>
              <w:rPr>
                <w:b/>
                <w:bCs/>
              </w:rPr>
            </w:pPr>
          </w:p>
        </w:tc>
        <w:tc>
          <w:tcPr>
            <w:tcW w:w="1958" w:type="pct"/>
          </w:tcPr>
          <w:p>
            <w:pPr>
              <w:pStyle w:val="48"/>
              <w:rPr>
                <w:b/>
                <w:bCs/>
              </w:rPr>
            </w:pPr>
          </w:p>
        </w:tc>
        <w:tc>
          <w:tcPr>
            <w:tcW w:w="1854" w:type="pct"/>
          </w:tcPr>
          <w:p>
            <w:pPr>
              <w:pStyle w:val="48"/>
              <w:rPr>
                <w:b/>
                <w:bCs/>
              </w:rPr>
            </w:pPr>
          </w:p>
        </w:tc>
        <w:tc>
          <w:tcPr>
            <w:tcW w:w="823" w:type="pct"/>
          </w:tcPr>
          <w:p>
            <w:pPr>
              <w:pStyle w:val="48"/>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363" w:type="pct"/>
          </w:tcPr>
          <w:p>
            <w:pPr>
              <w:pStyle w:val="48"/>
              <w:rPr>
                <w:b/>
                <w:bCs/>
              </w:rPr>
            </w:pPr>
          </w:p>
        </w:tc>
        <w:tc>
          <w:tcPr>
            <w:tcW w:w="1958" w:type="pct"/>
          </w:tcPr>
          <w:p>
            <w:pPr>
              <w:pStyle w:val="48"/>
              <w:rPr>
                <w:b/>
                <w:bCs/>
              </w:rPr>
            </w:pPr>
          </w:p>
        </w:tc>
        <w:tc>
          <w:tcPr>
            <w:tcW w:w="1854" w:type="pct"/>
          </w:tcPr>
          <w:p>
            <w:pPr>
              <w:pStyle w:val="48"/>
              <w:rPr>
                <w:b/>
                <w:bCs/>
              </w:rPr>
            </w:pPr>
          </w:p>
        </w:tc>
        <w:tc>
          <w:tcPr>
            <w:tcW w:w="823" w:type="pct"/>
          </w:tcPr>
          <w:p>
            <w:pPr>
              <w:pStyle w:val="48"/>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363" w:type="pct"/>
          </w:tcPr>
          <w:p>
            <w:pPr>
              <w:pStyle w:val="48"/>
              <w:rPr>
                <w:b/>
                <w:bCs/>
              </w:rPr>
            </w:pPr>
          </w:p>
        </w:tc>
        <w:tc>
          <w:tcPr>
            <w:tcW w:w="1958" w:type="pct"/>
          </w:tcPr>
          <w:p>
            <w:pPr>
              <w:pStyle w:val="48"/>
              <w:rPr>
                <w:b/>
                <w:bCs/>
              </w:rPr>
            </w:pPr>
          </w:p>
        </w:tc>
        <w:tc>
          <w:tcPr>
            <w:tcW w:w="1854" w:type="pct"/>
          </w:tcPr>
          <w:p>
            <w:pPr>
              <w:pStyle w:val="48"/>
              <w:rPr>
                <w:b/>
                <w:bCs/>
              </w:rPr>
            </w:pPr>
          </w:p>
        </w:tc>
        <w:tc>
          <w:tcPr>
            <w:tcW w:w="823" w:type="pct"/>
          </w:tcPr>
          <w:p>
            <w:pPr>
              <w:pStyle w:val="48"/>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363" w:type="pct"/>
          </w:tcPr>
          <w:p>
            <w:pPr>
              <w:pStyle w:val="48"/>
              <w:rPr>
                <w:b/>
                <w:bCs/>
              </w:rPr>
            </w:pPr>
          </w:p>
        </w:tc>
        <w:tc>
          <w:tcPr>
            <w:tcW w:w="1958" w:type="pct"/>
          </w:tcPr>
          <w:p>
            <w:pPr>
              <w:pStyle w:val="48"/>
              <w:rPr>
                <w:b/>
                <w:bCs/>
              </w:rPr>
            </w:pPr>
          </w:p>
        </w:tc>
        <w:tc>
          <w:tcPr>
            <w:tcW w:w="1854" w:type="pct"/>
          </w:tcPr>
          <w:p>
            <w:pPr>
              <w:pStyle w:val="48"/>
              <w:rPr>
                <w:b/>
                <w:bCs/>
              </w:rPr>
            </w:pPr>
          </w:p>
        </w:tc>
        <w:tc>
          <w:tcPr>
            <w:tcW w:w="823" w:type="pct"/>
          </w:tcPr>
          <w:p>
            <w:pPr>
              <w:pStyle w:val="48"/>
              <w:rPr>
                <w:b/>
                <w:bCs/>
              </w:rPr>
            </w:pPr>
          </w:p>
        </w:tc>
      </w:tr>
    </w:tbl>
    <w:p>
      <w:pPr>
        <w:wordWrap w:val="0"/>
        <w:topLinePunct/>
        <w:ind w:firstLine="480" w:firstLineChars="200"/>
        <w:rPr>
          <w:b/>
          <w:snapToGrid w:val="0"/>
        </w:rPr>
      </w:pPr>
      <w:r>
        <w:rPr>
          <w:rFonts w:hint="eastAsia"/>
          <w:b/>
          <w:snapToGrid w:val="0"/>
        </w:rPr>
        <w:t>注：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供应商必须据实填写，不得虚假应答，否则将取消其中标资格</w:t>
      </w:r>
      <w:r>
        <w:rPr>
          <w:rFonts w:hint="eastAsia"/>
          <w:b/>
          <w:snapToGrid w:val="0"/>
          <w:color w:val="000000" w:themeColor="text1"/>
          <w14:textFill>
            <w14:solidFill>
              <w14:schemeClr w14:val="tx1"/>
            </w14:solidFill>
          </w14:textFill>
        </w:rPr>
        <w:t>。</w:t>
      </w:r>
    </w:p>
    <w:p>
      <w:pPr>
        <w:wordWrap w:val="0"/>
        <w:topLinePunct/>
        <w:rPr>
          <w:snapToGrid w:val="0"/>
        </w:rPr>
      </w:pPr>
    </w:p>
    <w:p>
      <w:pPr>
        <w:wordWrap w:val="0"/>
        <w:topLinePunct/>
        <w:rPr>
          <w:snapToGrid w:val="0"/>
        </w:rPr>
      </w:pPr>
    </w:p>
    <w:p>
      <w:pPr>
        <w:wordWrap w:val="0"/>
        <w:topLinePunct/>
        <w:ind w:firstLine="480" w:firstLineChars="200"/>
      </w:pPr>
      <w:r>
        <w:rPr>
          <w:rFonts w:hint="eastAsia"/>
        </w:rPr>
        <w:t>投标人名称：</w:t>
      </w:r>
      <w:r>
        <w:rPr>
          <w:rFonts w:hint="eastAsia" w:asciiTheme="minorEastAsia" w:hAnsiTheme="minorEastAsia" w:eastAsiaTheme="minorEastAsia" w:cstheme="minorEastAsia"/>
          <w:bCs/>
          <w:u w:val="single"/>
        </w:rPr>
        <w:t xml:space="preserve">                </w:t>
      </w:r>
    </w:p>
    <w:p>
      <w:pPr>
        <w:wordWrap w:val="0"/>
        <w:topLinePunct/>
        <w:ind w:firstLine="480" w:firstLineChars="200"/>
      </w:pPr>
      <w:r>
        <w:rPr>
          <w:rFonts w:hint="eastAsia"/>
        </w:rPr>
        <w:t>投标日期：</w:t>
      </w:r>
      <w:r>
        <w:rPr>
          <w:rFonts w:hint="eastAsia" w:asciiTheme="minorEastAsia" w:hAnsiTheme="minorEastAsia" w:eastAsiaTheme="minorEastAsia" w:cstheme="minorEastAsia"/>
          <w:bCs/>
          <w:u w:val="single"/>
        </w:rPr>
        <w:t xml:space="preserve">                 </w:t>
      </w:r>
      <w:r>
        <w:rPr>
          <w:rFonts w:hint="eastAsia"/>
        </w:rPr>
        <w:t xml:space="preserve">             </w:t>
      </w:r>
    </w:p>
    <w:p>
      <w:pPr>
        <w:wordWrap w:val="0"/>
        <w:topLinePunct/>
        <w:rPr>
          <w:snapToGrid w:val="0"/>
        </w:rPr>
      </w:pPr>
      <w:r>
        <w:rPr>
          <w:rFonts w:hint="eastAsia"/>
          <w:snapToGrid w:val="0"/>
        </w:rPr>
        <w:br w:type="page"/>
      </w:r>
    </w:p>
    <w:p>
      <w:pPr>
        <w:pageBreakBefore/>
        <w:numPr>
          <w:ilvl w:val="0"/>
          <w:numId w:val="19"/>
        </w:numPr>
        <w:wordWrap w:val="0"/>
        <w:topLinePunct/>
        <w:spacing w:before="156" w:beforeLines="50" w:after="156" w:afterLines="50"/>
        <w:jc w:val="center"/>
        <w:outlineLvl w:val="2"/>
        <w:rPr>
          <w:b/>
          <w:snapToGrid w:val="0"/>
          <w:sz w:val="28"/>
        </w:rPr>
      </w:pPr>
      <w:bookmarkStart w:id="908" w:name="_Toc23376"/>
      <w:bookmarkStart w:id="909" w:name="_Toc25122"/>
      <w:bookmarkStart w:id="910" w:name="_Toc3995"/>
      <w:bookmarkStart w:id="911" w:name="_Toc26108"/>
      <w:r>
        <w:rPr>
          <w:rFonts w:hint="eastAsia"/>
          <w:b/>
          <w:snapToGrid w:val="0"/>
          <w:sz w:val="28"/>
        </w:rPr>
        <w:t>服务应答表</w:t>
      </w:r>
      <w:bookmarkEnd w:id="908"/>
      <w:bookmarkEnd w:id="909"/>
      <w:bookmarkEnd w:id="910"/>
      <w:bookmarkEnd w:id="911"/>
    </w:p>
    <w:p>
      <w:pPr>
        <w:wordWrap w:val="0"/>
        <w:topLinePunct/>
        <w:rPr>
          <w:snapToGrid w:val="0"/>
        </w:rPr>
      </w:pPr>
      <w:r>
        <w:rPr>
          <w:rFonts w:hint="eastAsia"/>
          <w:snapToGrid w:val="0"/>
        </w:rPr>
        <w:t>项目名称：</w:t>
      </w:r>
      <w:r>
        <w:rPr>
          <w:rFonts w:hint="eastAsia"/>
          <w:snapToGrid w:val="0"/>
          <w:u w:val="single"/>
        </w:rPr>
        <w:t xml:space="preserve">                        </w:t>
      </w:r>
      <w:r>
        <w:rPr>
          <w:rFonts w:hint="eastAsia"/>
          <w:snapToGrid w:val="0"/>
        </w:rPr>
        <w:t xml:space="preserve">      </w:t>
      </w:r>
    </w:p>
    <w:p>
      <w:pPr>
        <w:wordWrap w:val="0"/>
        <w:topLinePunct/>
        <w:rPr>
          <w:snapToGrid w:val="0"/>
          <w:u w:val="single"/>
        </w:rPr>
      </w:pPr>
      <w:r>
        <w:rPr>
          <w:rFonts w:hint="eastAsia"/>
          <w:snapToGrid w:val="0"/>
        </w:rPr>
        <w:t>项目编号：</w:t>
      </w:r>
      <w:r>
        <w:rPr>
          <w:rFonts w:hint="eastAsia"/>
          <w:snapToGrid w:val="0"/>
          <w:u w:val="single"/>
        </w:rPr>
        <w:t xml:space="preserve">                        </w:t>
      </w:r>
      <w:r>
        <w:rPr>
          <w:rFonts w:hint="eastAsia"/>
          <w:snapToGrid w:val="0"/>
        </w:rPr>
        <w:t xml:space="preserve">                                  </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3619"/>
        <w:gridCol w:w="3427"/>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363" w:type="pct"/>
            <w:vAlign w:val="center"/>
          </w:tcPr>
          <w:p>
            <w:pPr>
              <w:wordWrap w:val="0"/>
              <w:topLinePunct/>
              <w:spacing w:line="360" w:lineRule="exact"/>
              <w:jc w:val="center"/>
              <w:rPr>
                <w:b/>
                <w:bCs/>
                <w:sz w:val="21"/>
              </w:rPr>
            </w:pPr>
            <w:r>
              <w:rPr>
                <w:rFonts w:hint="eastAsia"/>
                <w:b/>
                <w:bCs/>
                <w:sz w:val="21"/>
              </w:rPr>
              <w:t>序号</w:t>
            </w:r>
          </w:p>
        </w:tc>
        <w:tc>
          <w:tcPr>
            <w:tcW w:w="1958" w:type="pct"/>
            <w:vAlign w:val="center"/>
          </w:tcPr>
          <w:p>
            <w:pPr>
              <w:wordWrap w:val="0"/>
              <w:topLinePunct/>
              <w:spacing w:line="360" w:lineRule="exact"/>
              <w:jc w:val="center"/>
              <w:rPr>
                <w:b/>
                <w:bCs/>
                <w:sz w:val="21"/>
              </w:rPr>
            </w:pPr>
            <w:r>
              <w:rPr>
                <w:rFonts w:hint="eastAsia"/>
                <w:b/>
                <w:bCs/>
                <w:sz w:val="21"/>
              </w:rPr>
              <w:t>招标文件服务内容及要求</w:t>
            </w:r>
          </w:p>
        </w:tc>
        <w:tc>
          <w:tcPr>
            <w:tcW w:w="1854" w:type="pct"/>
            <w:vAlign w:val="center"/>
          </w:tcPr>
          <w:p>
            <w:pPr>
              <w:wordWrap w:val="0"/>
              <w:topLinePunct/>
              <w:spacing w:line="360" w:lineRule="exact"/>
              <w:jc w:val="center"/>
              <w:rPr>
                <w:b/>
                <w:bCs/>
                <w:sz w:val="21"/>
              </w:rPr>
            </w:pPr>
            <w:r>
              <w:rPr>
                <w:rFonts w:hint="eastAsia"/>
                <w:b/>
                <w:bCs/>
                <w:sz w:val="21"/>
              </w:rPr>
              <w:t>投标应答</w:t>
            </w:r>
          </w:p>
        </w:tc>
        <w:tc>
          <w:tcPr>
            <w:tcW w:w="823" w:type="pct"/>
            <w:vAlign w:val="center"/>
          </w:tcPr>
          <w:p>
            <w:pPr>
              <w:wordWrap w:val="0"/>
              <w:topLinePunct/>
              <w:spacing w:line="360" w:lineRule="exact"/>
              <w:jc w:val="center"/>
              <w:rPr>
                <w:b/>
                <w:bCs/>
                <w:sz w:val="21"/>
              </w:rPr>
            </w:pPr>
            <w:r>
              <w:rPr>
                <w:rFonts w:hint="eastAsia"/>
                <w:b/>
                <w:bCs/>
                <w:sz w:val="21"/>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63" w:type="pct"/>
          </w:tcPr>
          <w:p>
            <w:pPr>
              <w:wordWrap w:val="0"/>
              <w:topLinePunct/>
              <w:spacing w:line="360" w:lineRule="exact"/>
              <w:jc w:val="center"/>
              <w:rPr>
                <w:b/>
                <w:bCs/>
                <w:sz w:val="21"/>
              </w:rPr>
            </w:pPr>
          </w:p>
        </w:tc>
        <w:tc>
          <w:tcPr>
            <w:tcW w:w="1958" w:type="pct"/>
          </w:tcPr>
          <w:p>
            <w:pPr>
              <w:wordWrap w:val="0"/>
              <w:topLinePunct/>
              <w:spacing w:line="360" w:lineRule="exact"/>
              <w:jc w:val="center"/>
              <w:rPr>
                <w:b/>
                <w:bCs/>
                <w:sz w:val="21"/>
              </w:rPr>
            </w:pPr>
          </w:p>
        </w:tc>
        <w:tc>
          <w:tcPr>
            <w:tcW w:w="1854" w:type="pct"/>
          </w:tcPr>
          <w:p>
            <w:pPr>
              <w:wordWrap w:val="0"/>
              <w:topLinePunct/>
              <w:spacing w:line="360" w:lineRule="exact"/>
              <w:jc w:val="center"/>
              <w:rPr>
                <w:b/>
                <w:bCs/>
                <w:sz w:val="21"/>
              </w:rPr>
            </w:pPr>
          </w:p>
        </w:tc>
        <w:tc>
          <w:tcPr>
            <w:tcW w:w="823" w:type="pct"/>
          </w:tcPr>
          <w:p>
            <w:pPr>
              <w:wordWrap w:val="0"/>
              <w:topLinePunct/>
              <w:spacing w:line="360" w:lineRule="exact"/>
              <w:jc w:val="center"/>
              <w:rPr>
                <w:b/>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363" w:type="pct"/>
          </w:tcPr>
          <w:p>
            <w:pPr>
              <w:wordWrap w:val="0"/>
              <w:topLinePunct/>
              <w:spacing w:line="360" w:lineRule="exact"/>
              <w:jc w:val="center"/>
              <w:rPr>
                <w:b/>
                <w:bCs/>
                <w:sz w:val="21"/>
              </w:rPr>
            </w:pPr>
          </w:p>
        </w:tc>
        <w:tc>
          <w:tcPr>
            <w:tcW w:w="1958" w:type="pct"/>
          </w:tcPr>
          <w:p>
            <w:pPr>
              <w:wordWrap w:val="0"/>
              <w:topLinePunct/>
              <w:spacing w:line="360" w:lineRule="exact"/>
              <w:jc w:val="center"/>
              <w:rPr>
                <w:b/>
                <w:bCs/>
                <w:sz w:val="21"/>
              </w:rPr>
            </w:pPr>
          </w:p>
        </w:tc>
        <w:tc>
          <w:tcPr>
            <w:tcW w:w="1854" w:type="pct"/>
          </w:tcPr>
          <w:p>
            <w:pPr>
              <w:wordWrap w:val="0"/>
              <w:topLinePunct/>
              <w:spacing w:line="360" w:lineRule="exact"/>
              <w:jc w:val="center"/>
              <w:rPr>
                <w:b/>
                <w:bCs/>
                <w:sz w:val="21"/>
              </w:rPr>
            </w:pPr>
          </w:p>
        </w:tc>
        <w:tc>
          <w:tcPr>
            <w:tcW w:w="823" w:type="pct"/>
          </w:tcPr>
          <w:p>
            <w:pPr>
              <w:wordWrap w:val="0"/>
              <w:topLinePunct/>
              <w:spacing w:line="360" w:lineRule="exact"/>
              <w:jc w:val="center"/>
              <w:rPr>
                <w:b/>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363" w:type="pct"/>
          </w:tcPr>
          <w:p>
            <w:pPr>
              <w:wordWrap w:val="0"/>
              <w:topLinePunct/>
              <w:spacing w:line="360" w:lineRule="exact"/>
              <w:jc w:val="center"/>
              <w:rPr>
                <w:b/>
                <w:bCs/>
                <w:sz w:val="21"/>
              </w:rPr>
            </w:pPr>
          </w:p>
        </w:tc>
        <w:tc>
          <w:tcPr>
            <w:tcW w:w="1958" w:type="pct"/>
          </w:tcPr>
          <w:p>
            <w:pPr>
              <w:wordWrap w:val="0"/>
              <w:topLinePunct/>
              <w:spacing w:line="360" w:lineRule="exact"/>
              <w:jc w:val="center"/>
              <w:rPr>
                <w:b/>
                <w:bCs/>
                <w:sz w:val="21"/>
              </w:rPr>
            </w:pPr>
          </w:p>
        </w:tc>
        <w:tc>
          <w:tcPr>
            <w:tcW w:w="1854" w:type="pct"/>
          </w:tcPr>
          <w:p>
            <w:pPr>
              <w:wordWrap w:val="0"/>
              <w:topLinePunct/>
              <w:spacing w:line="360" w:lineRule="exact"/>
              <w:jc w:val="center"/>
              <w:rPr>
                <w:b/>
                <w:bCs/>
                <w:sz w:val="21"/>
              </w:rPr>
            </w:pPr>
          </w:p>
        </w:tc>
        <w:tc>
          <w:tcPr>
            <w:tcW w:w="823" w:type="pct"/>
          </w:tcPr>
          <w:p>
            <w:pPr>
              <w:wordWrap w:val="0"/>
              <w:topLinePunct/>
              <w:spacing w:line="360" w:lineRule="exact"/>
              <w:jc w:val="center"/>
              <w:rPr>
                <w:b/>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363" w:type="pct"/>
          </w:tcPr>
          <w:p>
            <w:pPr>
              <w:wordWrap w:val="0"/>
              <w:topLinePunct/>
              <w:spacing w:line="360" w:lineRule="exact"/>
              <w:jc w:val="center"/>
              <w:rPr>
                <w:b/>
                <w:bCs/>
                <w:sz w:val="21"/>
              </w:rPr>
            </w:pPr>
          </w:p>
        </w:tc>
        <w:tc>
          <w:tcPr>
            <w:tcW w:w="1958" w:type="pct"/>
          </w:tcPr>
          <w:p>
            <w:pPr>
              <w:wordWrap w:val="0"/>
              <w:topLinePunct/>
              <w:spacing w:line="360" w:lineRule="exact"/>
              <w:jc w:val="center"/>
              <w:rPr>
                <w:b/>
                <w:bCs/>
                <w:sz w:val="21"/>
              </w:rPr>
            </w:pPr>
          </w:p>
        </w:tc>
        <w:tc>
          <w:tcPr>
            <w:tcW w:w="1854" w:type="pct"/>
          </w:tcPr>
          <w:p>
            <w:pPr>
              <w:wordWrap w:val="0"/>
              <w:topLinePunct/>
              <w:spacing w:line="360" w:lineRule="exact"/>
              <w:jc w:val="center"/>
              <w:rPr>
                <w:b/>
                <w:bCs/>
                <w:sz w:val="21"/>
              </w:rPr>
            </w:pPr>
          </w:p>
        </w:tc>
        <w:tc>
          <w:tcPr>
            <w:tcW w:w="823" w:type="pct"/>
          </w:tcPr>
          <w:p>
            <w:pPr>
              <w:wordWrap w:val="0"/>
              <w:topLinePunct/>
              <w:spacing w:line="360" w:lineRule="exact"/>
              <w:jc w:val="center"/>
              <w:rPr>
                <w:b/>
                <w:bCs/>
                <w:sz w:val="21"/>
              </w:rPr>
            </w:pPr>
          </w:p>
        </w:tc>
      </w:tr>
    </w:tbl>
    <w:p>
      <w:pPr>
        <w:wordWrap w:val="0"/>
        <w:topLinePunct/>
        <w:ind w:firstLine="480" w:firstLineChars="200"/>
        <w:rPr>
          <w:b/>
          <w:snapToGrid w:val="0"/>
        </w:rPr>
      </w:pPr>
      <w:r>
        <w:rPr>
          <w:rFonts w:hint="eastAsia"/>
          <w:b/>
          <w:snapToGrid w:val="0"/>
        </w:rPr>
        <w:t>注：</w:t>
      </w:r>
      <w:r>
        <w:rPr>
          <w:rFonts w:hint="eastAsia"/>
          <w:b/>
          <w:snapToGrid w:val="0"/>
          <w:color w:val="000000" w:themeColor="text1"/>
          <w14:textFill>
            <w14:solidFill>
              <w14:schemeClr w14:val="tx1"/>
            </w14:solidFill>
          </w14:textFill>
        </w:rPr>
        <w:t>如与招标文件第六章</w:t>
      </w:r>
      <w:r>
        <w:rPr>
          <w:rFonts w:hint="eastAsia"/>
          <w:b/>
          <w:bCs/>
          <w:snapToGrid w:val="0"/>
        </w:rPr>
        <w:t>服务内容及要求</w:t>
      </w:r>
      <w:r>
        <w:rPr>
          <w:rFonts w:hint="eastAsia"/>
          <w:b/>
          <w:snapToGrid w:val="0"/>
          <w:color w:val="000000" w:themeColor="text1"/>
          <w14:textFill>
            <w14:solidFill>
              <w14:schemeClr w14:val="tx1"/>
            </w14:solidFill>
          </w14:textFill>
        </w:rPr>
        <w:t>的内容有偏离(包括正偏离和负偏离)，请将偏离条款逐条应答。如与招标文件第六章</w:t>
      </w:r>
      <w:r>
        <w:rPr>
          <w:rFonts w:hint="eastAsia"/>
          <w:b/>
          <w:bCs/>
          <w:snapToGrid w:val="0"/>
        </w:rPr>
        <w:t>服务内容及要求</w:t>
      </w:r>
      <w:r>
        <w:rPr>
          <w:rFonts w:hint="eastAsia"/>
          <w:b/>
          <w:snapToGrid w:val="0"/>
          <w:color w:val="000000" w:themeColor="text1"/>
          <w14:textFill>
            <w14:solidFill>
              <w14:schemeClr w14:val="tx1"/>
            </w14:solidFill>
          </w14:textFill>
        </w:rPr>
        <w:t>的所有条款无偏离，则无须在此表中应答，视为默认完全响应和接受招标文件第六章</w:t>
      </w:r>
      <w:r>
        <w:rPr>
          <w:rFonts w:hint="eastAsia"/>
          <w:b/>
          <w:bCs/>
          <w:snapToGrid w:val="0"/>
        </w:rPr>
        <w:t>服务内容及要求</w:t>
      </w:r>
      <w:r>
        <w:rPr>
          <w:rFonts w:hint="eastAsia"/>
          <w:b/>
          <w:snapToGrid w:val="0"/>
          <w:color w:val="000000" w:themeColor="text1"/>
          <w14:textFill>
            <w14:solidFill>
              <w14:schemeClr w14:val="tx1"/>
            </w14:solidFill>
          </w14:textFill>
        </w:rPr>
        <w:t>所有的内容，供应商不得以未作应答而拒不接受</w:t>
      </w:r>
      <w:r>
        <w:rPr>
          <w:rFonts w:hint="eastAsia"/>
          <w:b/>
          <w:snapToGrid w:val="0"/>
        </w:rPr>
        <w:t>。</w:t>
      </w:r>
      <w:r>
        <w:rPr>
          <w:rFonts w:hint="eastAsia"/>
          <w:b/>
          <w:snapToGrid w:val="0"/>
          <w:color w:val="000000" w:themeColor="text1"/>
          <w14:textFill>
            <w14:solidFill>
              <w14:schemeClr w14:val="tx1"/>
            </w14:solidFill>
          </w14:textFill>
        </w:rPr>
        <w:t>供应商必须据实填写，不得虚假应答，否则将取消其中标资格。</w:t>
      </w:r>
    </w:p>
    <w:p>
      <w:pPr>
        <w:wordWrap w:val="0"/>
        <w:topLinePunct/>
        <w:rPr>
          <w:snapToGrid w:val="0"/>
        </w:rPr>
      </w:pPr>
    </w:p>
    <w:p>
      <w:pPr>
        <w:wordWrap w:val="0"/>
        <w:topLinePunct/>
        <w:rPr>
          <w:snapToGrid w:val="0"/>
        </w:rPr>
      </w:pPr>
    </w:p>
    <w:p>
      <w:pPr>
        <w:wordWrap w:val="0"/>
        <w:topLinePunct/>
        <w:rPr>
          <w:snapToGrid w:val="0"/>
        </w:rPr>
      </w:pPr>
    </w:p>
    <w:p>
      <w:pPr>
        <w:wordWrap w:val="0"/>
        <w:topLinePunct/>
        <w:ind w:firstLine="480" w:firstLineChars="200"/>
      </w:pPr>
      <w:r>
        <w:rPr>
          <w:rFonts w:hint="eastAsia"/>
        </w:rPr>
        <w:t>投标人名称：</w:t>
      </w:r>
      <w:r>
        <w:rPr>
          <w:rFonts w:hint="eastAsia" w:asciiTheme="minorEastAsia" w:hAnsiTheme="minorEastAsia" w:eastAsiaTheme="minorEastAsia" w:cstheme="minorEastAsia"/>
          <w:bCs/>
          <w:u w:val="single"/>
        </w:rPr>
        <w:t xml:space="preserve">                 </w:t>
      </w:r>
    </w:p>
    <w:p>
      <w:pPr>
        <w:wordWrap w:val="0"/>
        <w:topLinePunct/>
        <w:ind w:firstLine="480" w:firstLineChars="200"/>
      </w:pPr>
      <w:r>
        <w:rPr>
          <w:rFonts w:hint="eastAsia"/>
        </w:rPr>
        <w:t>投标日期：</w:t>
      </w:r>
      <w:r>
        <w:rPr>
          <w:rFonts w:hint="eastAsia" w:asciiTheme="minorEastAsia" w:hAnsiTheme="minorEastAsia" w:eastAsiaTheme="minorEastAsia" w:cstheme="minorEastAsia"/>
          <w:bCs/>
          <w:u w:val="single"/>
        </w:rPr>
        <w:t xml:space="preserve">                 </w:t>
      </w:r>
    </w:p>
    <w:p>
      <w:pPr>
        <w:wordWrap w:val="0"/>
        <w:topLinePunct/>
        <w:rPr>
          <w:snapToGrid w:val="0"/>
        </w:rPr>
      </w:pPr>
      <w:r>
        <w:rPr>
          <w:rFonts w:hint="eastAsia"/>
          <w:snapToGrid w:val="0"/>
        </w:rPr>
        <w:br w:type="page"/>
      </w:r>
    </w:p>
    <w:bookmarkEnd w:id="904"/>
    <w:bookmarkEnd w:id="905"/>
    <w:bookmarkEnd w:id="906"/>
    <w:p>
      <w:pPr>
        <w:pageBreakBefore/>
        <w:numPr>
          <w:ilvl w:val="0"/>
          <w:numId w:val="19"/>
        </w:numPr>
        <w:wordWrap w:val="0"/>
        <w:topLinePunct/>
        <w:spacing w:before="156" w:beforeLines="50" w:after="156" w:afterLines="50"/>
        <w:jc w:val="center"/>
        <w:outlineLvl w:val="2"/>
        <w:rPr>
          <w:b/>
          <w:snapToGrid w:val="0"/>
          <w:sz w:val="28"/>
        </w:rPr>
      </w:pPr>
      <w:bookmarkStart w:id="912" w:name="_Toc28539"/>
      <w:bookmarkStart w:id="913" w:name="_Toc13395"/>
      <w:r>
        <w:rPr>
          <w:rFonts w:hint="eastAsia"/>
          <w:b/>
          <w:snapToGrid w:val="0"/>
          <w:sz w:val="28"/>
        </w:rPr>
        <w:t>履约能力及相关证明</w:t>
      </w:r>
      <w:bookmarkEnd w:id="912"/>
      <w:bookmarkEnd w:id="913"/>
    </w:p>
    <w:p>
      <w:pPr>
        <w:wordWrap w:val="0"/>
        <w:topLinePunct/>
        <w:ind w:firstLine="480" w:firstLineChars="200"/>
        <w:rPr>
          <w:b/>
          <w:snapToGrid w:val="0"/>
        </w:rPr>
      </w:pPr>
      <w:r>
        <w:rPr>
          <w:rFonts w:hint="eastAsia"/>
          <w:b/>
          <w:snapToGrid w:val="0"/>
        </w:rPr>
        <w:t>注：格式自拟。</w:t>
      </w: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p>
    <w:p>
      <w:pPr>
        <w:wordWrap w:val="0"/>
        <w:topLinePunct/>
        <w:rPr>
          <w:snapToGrid w:val="0"/>
        </w:rPr>
      </w:pPr>
      <w:r>
        <w:rPr>
          <w:rFonts w:hint="eastAsia"/>
          <w:snapToGrid w:val="0"/>
        </w:rPr>
        <w:br w:type="page"/>
      </w:r>
    </w:p>
    <w:bookmarkEnd w:id="907"/>
    <w:p>
      <w:pPr>
        <w:pageBreakBefore/>
        <w:numPr>
          <w:ilvl w:val="0"/>
          <w:numId w:val="19"/>
        </w:numPr>
        <w:wordWrap w:val="0"/>
        <w:topLinePunct/>
        <w:spacing w:before="156" w:beforeLines="50" w:after="156" w:afterLines="50"/>
        <w:jc w:val="center"/>
        <w:outlineLvl w:val="2"/>
        <w:rPr>
          <w:b/>
          <w:snapToGrid w:val="0"/>
          <w:sz w:val="28"/>
        </w:rPr>
      </w:pPr>
      <w:bookmarkStart w:id="914" w:name="_Toc13361"/>
      <w:bookmarkStart w:id="915" w:name="_Toc6952"/>
      <w:bookmarkStart w:id="916" w:name="_Toc19240"/>
      <w:bookmarkStart w:id="917" w:name="_Toc8563"/>
      <w:bookmarkStart w:id="918" w:name="_Toc122"/>
      <w:bookmarkStart w:id="919" w:name="_Toc2450"/>
      <w:r>
        <w:rPr>
          <w:rFonts w:hint="eastAsia"/>
          <w:b/>
          <w:snapToGrid w:val="0"/>
          <w:sz w:val="28"/>
        </w:rPr>
        <w:t>投标人针对本项目人员配置情况表</w:t>
      </w:r>
      <w:bookmarkEnd w:id="914"/>
      <w:bookmarkEnd w:id="915"/>
    </w:p>
    <w:p>
      <w:pPr>
        <w:wordWrap w:val="0"/>
        <w:topLinePunct/>
        <w:rPr>
          <w:snapToGrid w:val="0"/>
        </w:rPr>
      </w:pPr>
      <w:r>
        <w:rPr>
          <w:rFonts w:hint="eastAsia"/>
          <w:snapToGrid w:val="0"/>
        </w:rPr>
        <w:t>项目名称：</w:t>
      </w:r>
      <w:r>
        <w:rPr>
          <w:rFonts w:hint="eastAsia"/>
          <w:snapToGrid w:val="0"/>
          <w:u w:val="single"/>
        </w:rPr>
        <w:t xml:space="preserve">                              </w:t>
      </w:r>
    </w:p>
    <w:p>
      <w:pPr>
        <w:wordWrap w:val="0"/>
        <w:topLinePunct/>
        <w:rPr>
          <w:snapToGrid w:val="0"/>
          <w:u w:val="single"/>
        </w:rPr>
      </w:pPr>
      <w:r>
        <w:rPr>
          <w:rFonts w:hint="eastAsia"/>
          <w:snapToGrid w:val="0"/>
        </w:rPr>
        <w:t>项目编号：</w:t>
      </w:r>
      <w:r>
        <w:rPr>
          <w:rFonts w:hint="eastAsia"/>
          <w:snapToGrid w:val="0"/>
          <w:u w:val="single"/>
        </w:rPr>
        <w:t xml:space="preserve">                              </w:t>
      </w:r>
      <w:r>
        <w:rPr>
          <w:rFonts w:hint="eastAsia"/>
          <w:snapToGrid w:val="0"/>
        </w:rPr>
        <w:t xml:space="preserve">                              </w:t>
      </w:r>
    </w:p>
    <w:tbl>
      <w:tblPr>
        <w:tblStyle w:val="2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wordWrap w:val="0"/>
              <w:topLinePunct/>
              <w:spacing w:line="360" w:lineRule="exact"/>
              <w:jc w:val="center"/>
              <w:rPr>
                <w:b/>
                <w:bCs/>
                <w:sz w:val="21"/>
              </w:rPr>
            </w:pPr>
            <w:r>
              <w:rPr>
                <w:rFonts w:hint="eastAsia"/>
                <w:b/>
                <w:bCs/>
                <w:sz w:val="21"/>
              </w:rPr>
              <w:t>类别</w:t>
            </w:r>
          </w:p>
        </w:tc>
        <w:tc>
          <w:tcPr>
            <w:tcW w:w="923" w:type="dxa"/>
            <w:vMerge w:val="restart"/>
            <w:vAlign w:val="center"/>
          </w:tcPr>
          <w:p>
            <w:pPr>
              <w:wordWrap w:val="0"/>
              <w:topLinePunct/>
              <w:spacing w:line="360" w:lineRule="exact"/>
              <w:jc w:val="center"/>
              <w:rPr>
                <w:b/>
                <w:bCs/>
                <w:sz w:val="21"/>
              </w:rPr>
            </w:pPr>
            <w:r>
              <w:rPr>
                <w:rFonts w:hint="eastAsia"/>
                <w:b/>
                <w:bCs/>
                <w:sz w:val="21"/>
              </w:rPr>
              <w:t>职务(岗位)</w:t>
            </w:r>
          </w:p>
        </w:tc>
        <w:tc>
          <w:tcPr>
            <w:tcW w:w="921" w:type="dxa"/>
            <w:vMerge w:val="restart"/>
            <w:vAlign w:val="center"/>
          </w:tcPr>
          <w:p>
            <w:pPr>
              <w:wordWrap w:val="0"/>
              <w:topLinePunct/>
              <w:spacing w:line="360" w:lineRule="exact"/>
              <w:jc w:val="center"/>
              <w:rPr>
                <w:b/>
                <w:bCs/>
                <w:sz w:val="21"/>
              </w:rPr>
            </w:pPr>
            <w:r>
              <w:rPr>
                <w:rFonts w:hint="eastAsia"/>
                <w:b/>
                <w:bCs/>
                <w:sz w:val="21"/>
              </w:rPr>
              <w:t>姓名</w:t>
            </w:r>
          </w:p>
        </w:tc>
        <w:tc>
          <w:tcPr>
            <w:tcW w:w="923" w:type="dxa"/>
            <w:vMerge w:val="restart"/>
            <w:vAlign w:val="center"/>
          </w:tcPr>
          <w:p>
            <w:pPr>
              <w:wordWrap w:val="0"/>
              <w:topLinePunct/>
              <w:spacing w:line="360" w:lineRule="exact"/>
              <w:jc w:val="center"/>
              <w:rPr>
                <w:b/>
                <w:bCs/>
                <w:sz w:val="21"/>
              </w:rPr>
            </w:pPr>
            <w:r>
              <w:rPr>
                <w:rFonts w:hint="eastAsia"/>
                <w:b/>
                <w:bCs/>
                <w:sz w:val="21"/>
              </w:rPr>
              <w:t>职称</w:t>
            </w:r>
          </w:p>
        </w:tc>
        <w:tc>
          <w:tcPr>
            <w:tcW w:w="922" w:type="dxa"/>
            <w:vMerge w:val="restart"/>
            <w:vAlign w:val="center"/>
          </w:tcPr>
          <w:p>
            <w:pPr>
              <w:wordWrap w:val="0"/>
              <w:topLinePunct/>
              <w:spacing w:line="360" w:lineRule="exact"/>
              <w:jc w:val="center"/>
              <w:rPr>
                <w:b/>
                <w:bCs/>
                <w:sz w:val="21"/>
              </w:rPr>
            </w:pPr>
            <w:r>
              <w:rPr>
                <w:rFonts w:hint="eastAsia"/>
                <w:b/>
                <w:bCs/>
                <w:sz w:val="21"/>
              </w:rPr>
              <w:t>常住地</w:t>
            </w:r>
          </w:p>
        </w:tc>
        <w:tc>
          <w:tcPr>
            <w:tcW w:w="4919" w:type="dxa"/>
            <w:gridSpan w:val="4"/>
            <w:vAlign w:val="center"/>
          </w:tcPr>
          <w:p>
            <w:pPr>
              <w:wordWrap w:val="0"/>
              <w:topLinePunct/>
              <w:spacing w:line="360" w:lineRule="exact"/>
              <w:jc w:val="center"/>
              <w:rPr>
                <w:b/>
                <w:bCs/>
                <w:sz w:val="21"/>
              </w:rPr>
            </w:pPr>
            <w:r>
              <w:rPr>
                <w:rFonts w:hint="eastAsia"/>
                <w:b/>
                <w:bCs/>
                <w:sz w:val="21"/>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wordWrap w:val="0"/>
              <w:topLinePunct/>
              <w:spacing w:line="360" w:lineRule="exact"/>
              <w:jc w:val="center"/>
              <w:rPr>
                <w:b/>
                <w:bCs/>
                <w:sz w:val="21"/>
              </w:rPr>
            </w:pPr>
          </w:p>
        </w:tc>
        <w:tc>
          <w:tcPr>
            <w:tcW w:w="923" w:type="dxa"/>
            <w:vMerge w:val="continue"/>
            <w:vAlign w:val="center"/>
          </w:tcPr>
          <w:p>
            <w:pPr>
              <w:wordWrap w:val="0"/>
              <w:topLinePunct/>
              <w:spacing w:line="360" w:lineRule="exact"/>
              <w:jc w:val="center"/>
              <w:rPr>
                <w:b/>
                <w:bCs/>
                <w:sz w:val="21"/>
              </w:rPr>
            </w:pPr>
          </w:p>
        </w:tc>
        <w:tc>
          <w:tcPr>
            <w:tcW w:w="921" w:type="dxa"/>
            <w:vMerge w:val="continue"/>
            <w:vAlign w:val="center"/>
          </w:tcPr>
          <w:p>
            <w:pPr>
              <w:wordWrap w:val="0"/>
              <w:topLinePunct/>
              <w:spacing w:line="360" w:lineRule="exact"/>
              <w:jc w:val="center"/>
              <w:rPr>
                <w:b/>
                <w:bCs/>
                <w:sz w:val="21"/>
              </w:rPr>
            </w:pPr>
          </w:p>
        </w:tc>
        <w:tc>
          <w:tcPr>
            <w:tcW w:w="923" w:type="dxa"/>
            <w:vMerge w:val="continue"/>
            <w:vAlign w:val="center"/>
          </w:tcPr>
          <w:p>
            <w:pPr>
              <w:wordWrap w:val="0"/>
              <w:topLinePunct/>
              <w:spacing w:line="360" w:lineRule="exact"/>
              <w:jc w:val="center"/>
              <w:rPr>
                <w:b/>
                <w:bCs/>
                <w:sz w:val="21"/>
              </w:rPr>
            </w:pPr>
          </w:p>
        </w:tc>
        <w:tc>
          <w:tcPr>
            <w:tcW w:w="922" w:type="dxa"/>
            <w:vMerge w:val="continue"/>
            <w:vAlign w:val="center"/>
          </w:tcPr>
          <w:p>
            <w:pPr>
              <w:wordWrap w:val="0"/>
              <w:topLinePunct/>
              <w:spacing w:line="360" w:lineRule="exact"/>
              <w:jc w:val="center"/>
              <w:rPr>
                <w:b/>
                <w:bCs/>
                <w:sz w:val="21"/>
              </w:rPr>
            </w:pPr>
          </w:p>
        </w:tc>
        <w:tc>
          <w:tcPr>
            <w:tcW w:w="1436" w:type="dxa"/>
            <w:vAlign w:val="center"/>
          </w:tcPr>
          <w:p>
            <w:pPr>
              <w:wordWrap w:val="0"/>
              <w:topLinePunct/>
              <w:spacing w:line="360" w:lineRule="exact"/>
              <w:jc w:val="center"/>
              <w:rPr>
                <w:b/>
                <w:bCs/>
                <w:sz w:val="21"/>
              </w:rPr>
            </w:pPr>
            <w:r>
              <w:rPr>
                <w:rFonts w:hint="eastAsia"/>
                <w:b/>
                <w:bCs/>
                <w:sz w:val="21"/>
              </w:rPr>
              <w:t>证书名称</w:t>
            </w:r>
          </w:p>
        </w:tc>
        <w:tc>
          <w:tcPr>
            <w:tcW w:w="1022" w:type="dxa"/>
            <w:vAlign w:val="center"/>
          </w:tcPr>
          <w:p>
            <w:pPr>
              <w:wordWrap w:val="0"/>
              <w:topLinePunct/>
              <w:spacing w:line="360" w:lineRule="exact"/>
              <w:jc w:val="center"/>
              <w:rPr>
                <w:b/>
                <w:bCs/>
                <w:sz w:val="21"/>
              </w:rPr>
            </w:pPr>
            <w:r>
              <w:rPr>
                <w:rFonts w:hint="eastAsia"/>
                <w:b/>
                <w:bCs/>
                <w:sz w:val="21"/>
              </w:rPr>
              <w:t>级别</w:t>
            </w:r>
          </w:p>
        </w:tc>
        <w:tc>
          <w:tcPr>
            <w:tcW w:w="1232" w:type="dxa"/>
            <w:vAlign w:val="center"/>
          </w:tcPr>
          <w:p>
            <w:pPr>
              <w:wordWrap w:val="0"/>
              <w:topLinePunct/>
              <w:spacing w:line="360" w:lineRule="exact"/>
              <w:jc w:val="center"/>
              <w:rPr>
                <w:b/>
                <w:bCs/>
                <w:sz w:val="21"/>
              </w:rPr>
            </w:pPr>
            <w:r>
              <w:rPr>
                <w:rFonts w:hint="eastAsia"/>
                <w:b/>
                <w:bCs/>
                <w:sz w:val="21"/>
              </w:rPr>
              <w:t>证号</w:t>
            </w:r>
          </w:p>
        </w:tc>
        <w:tc>
          <w:tcPr>
            <w:tcW w:w="1229" w:type="dxa"/>
            <w:vAlign w:val="center"/>
          </w:tcPr>
          <w:p>
            <w:pPr>
              <w:wordWrap w:val="0"/>
              <w:topLinePunct/>
              <w:spacing w:line="360" w:lineRule="exact"/>
              <w:jc w:val="center"/>
              <w:rPr>
                <w:b/>
                <w:bCs/>
                <w:sz w:val="21"/>
              </w:rPr>
            </w:pPr>
            <w:r>
              <w:rPr>
                <w:rFonts w:hint="eastAsia"/>
                <w:b/>
                <w:bCs/>
                <w:sz w:val="21"/>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1" w:type="dxa"/>
          </w:tcPr>
          <w:p>
            <w:pPr>
              <w:wordWrap w:val="0"/>
              <w:topLinePunct/>
              <w:spacing w:line="360" w:lineRule="exact"/>
              <w:jc w:val="center"/>
              <w:rPr>
                <w:sz w:val="21"/>
              </w:rPr>
            </w:pPr>
          </w:p>
        </w:tc>
        <w:tc>
          <w:tcPr>
            <w:tcW w:w="923" w:type="dxa"/>
          </w:tcPr>
          <w:p>
            <w:pPr>
              <w:wordWrap w:val="0"/>
              <w:topLinePunct/>
              <w:spacing w:line="360" w:lineRule="exact"/>
              <w:jc w:val="center"/>
              <w:rPr>
                <w:sz w:val="21"/>
              </w:rPr>
            </w:pPr>
          </w:p>
        </w:tc>
        <w:tc>
          <w:tcPr>
            <w:tcW w:w="922" w:type="dxa"/>
          </w:tcPr>
          <w:p>
            <w:pPr>
              <w:wordWrap w:val="0"/>
              <w:topLinePunct/>
              <w:spacing w:line="360" w:lineRule="exact"/>
              <w:jc w:val="center"/>
              <w:rPr>
                <w:sz w:val="21"/>
              </w:rPr>
            </w:pPr>
          </w:p>
        </w:tc>
        <w:tc>
          <w:tcPr>
            <w:tcW w:w="1436" w:type="dxa"/>
          </w:tcPr>
          <w:p>
            <w:pPr>
              <w:wordWrap w:val="0"/>
              <w:topLinePunct/>
              <w:spacing w:line="360" w:lineRule="exact"/>
              <w:jc w:val="center"/>
              <w:rPr>
                <w:sz w:val="21"/>
              </w:rPr>
            </w:pPr>
          </w:p>
        </w:tc>
        <w:tc>
          <w:tcPr>
            <w:tcW w:w="1022" w:type="dxa"/>
          </w:tcPr>
          <w:p>
            <w:pPr>
              <w:wordWrap w:val="0"/>
              <w:topLinePunct/>
              <w:spacing w:line="360" w:lineRule="exact"/>
              <w:jc w:val="center"/>
              <w:rPr>
                <w:sz w:val="21"/>
              </w:rPr>
            </w:pPr>
          </w:p>
        </w:tc>
        <w:tc>
          <w:tcPr>
            <w:tcW w:w="1232" w:type="dxa"/>
          </w:tcPr>
          <w:p>
            <w:pPr>
              <w:wordWrap w:val="0"/>
              <w:topLinePunct/>
              <w:spacing w:line="360" w:lineRule="exact"/>
              <w:jc w:val="center"/>
              <w:rPr>
                <w:sz w:val="21"/>
              </w:rPr>
            </w:pPr>
          </w:p>
        </w:tc>
        <w:tc>
          <w:tcPr>
            <w:tcW w:w="1229" w:type="dxa"/>
          </w:tcPr>
          <w:p>
            <w:pPr>
              <w:wordWrap w:val="0"/>
              <w:topLinePunct/>
              <w:spacing w:line="360" w:lineRule="exact"/>
              <w:jc w:val="center"/>
              <w:rPr>
                <w:sz w:val="21"/>
              </w:rPr>
            </w:pPr>
          </w:p>
        </w:tc>
      </w:tr>
    </w:tbl>
    <w:p>
      <w:pPr>
        <w:wordWrap w:val="0"/>
        <w:topLinePunct/>
        <w:ind w:firstLine="480" w:firstLineChars="200"/>
        <w:rPr>
          <w:b/>
          <w:snapToGrid w:val="0"/>
        </w:rPr>
      </w:pPr>
      <w:r>
        <w:rPr>
          <w:rFonts w:hint="eastAsia"/>
          <w:b/>
          <w:snapToGrid w:val="0"/>
        </w:rPr>
        <w:t>注：①投标人根据自身实际情况填写，对不涉及的内容可填写“/”。②本表所列项目管理成员信息将作为主管部门监督管理是否属于串通投标的情形。</w:t>
      </w:r>
    </w:p>
    <w:p>
      <w:pPr>
        <w:wordWrap w:val="0"/>
        <w:topLinePunct/>
        <w:rPr>
          <w:snapToGrid w:val="0"/>
        </w:rPr>
      </w:pPr>
    </w:p>
    <w:p>
      <w:pPr>
        <w:wordWrap w:val="0"/>
        <w:topLinePunct/>
        <w:rPr>
          <w:snapToGrid w:val="0"/>
        </w:rPr>
      </w:pPr>
    </w:p>
    <w:p>
      <w:pPr>
        <w:wordWrap w:val="0"/>
        <w:topLinePunct/>
        <w:ind w:firstLine="480" w:firstLineChars="200"/>
      </w:pPr>
      <w:r>
        <w:rPr>
          <w:rFonts w:hint="eastAsia"/>
        </w:rPr>
        <w:t>投标人名称：</w:t>
      </w:r>
      <w:r>
        <w:rPr>
          <w:rFonts w:hint="eastAsia" w:asciiTheme="minorEastAsia" w:hAnsiTheme="minorEastAsia" w:eastAsiaTheme="minorEastAsia" w:cstheme="minorEastAsia"/>
          <w:u w:val="single"/>
        </w:rPr>
        <w:t xml:space="preserve">            </w:t>
      </w:r>
    </w:p>
    <w:p>
      <w:pPr>
        <w:wordWrap w:val="0"/>
        <w:topLinePunct/>
        <w:ind w:firstLine="480" w:firstLineChars="200"/>
      </w:pPr>
      <w:r>
        <w:rPr>
          <w:rFonts w:hint="eastAsia"/>
        </w:rPr>
        <w:t>投标日期：</w:t>
      </w:r>
      <w:r>
        <w:rPr>
          <w:rFonts w:hint="eastAsia" w:asciiTheme="minorEastAsia" w:hAnsiTheme="minorEastAsia" w:eastAsiaTheme="minorEastAsia" w:cstheme="minorEastAsia"/>
          <w:u w:val="single"/>
        </w:rPr>
        <w:t xml:space="preserve">            </w:t>
      </w:r>
      <w:r>
        <w:rPr>
          <w:rFonts w:hint="eastAsia"/>
        </w:rPr>
        <w:t xml:space="preserve">                 </w:t>
      </w:r>
    </w:p>
    <w:p>
      <w:pPr>
        <w:wordWrap w:val="0"/>
        <w:topLinePunct/>
        <w:rPr>
          <w:snapToGrid w:val="0"/>
        </w:rPr>
      </w:pPr>
      <w:r>
        <w:rPr>
          <w:rFonts w:hint="eastAsia"/>
          <w:snapToGrid w:val="0"/>
        </w:rPr>
        <w:br w:type="page"/>
      </w:r>
      <w:bookmarkEnd w:id="916"/>
    </w:p>
    <w:bookmarkEnd w:id="917"/>
    <w:bookmarkEnd w:id="918"/>
    <w:bookmarkEnd w:id="919"/>
    <w:p>
      <w:pPr>
        <w:pageBreakBefore/>
        <w:numPr>
          <w:ilvl w:val="0"/>
          <w:numId w:val="19"/>
        </w:numPr>
        <w:wordWrap w:val="0"/>
        <w:topLinePunct/>
        <w:spacing w:before="156" w:beforeLines="50" w:after="156" w:afterLines="50"/>
        <w:jc w:val="center"/>
        <w:outlineLvl w:val="2"/>
        <w:rPr>
          <w:b/>
          <w:snapToGrid w:val="0"/>
          <w:sz w:val="28"/>
        </w:rPr>
      </w:pPr>
      <w:bookmarkStart w:id="920" w:name="_Toc16092"/>
      <w:bookmarkStart w:id="921" w:name="_Toc20002"/>
      <w:bookmarkStart w:id="922" w:name="_Toc27526"/>
      <w:r>
        <w:rPr>
          <w:rFonts w:hint="eastAsia"/>
          <w:b/>
          <w:snapToGrid w:val="0"/>
          <w:sz w:val="28"/>
        </w:rPr>
        <w:t>实施方案</w:t>
      </w:r>
      <w:bookmarkEnd w:id="920"/>
      <w:bookmarkEnd w:id="921"/>
      <w:r>
        <w:rPr>
          <w:rFonts w:hint="eastAsia"/>
          <w:b/>
          <w:snapToGrid w:val="0"/>
          <w:sz w:val="28"/>
        </w:rPr>
        <w:t>、文档维护方案</w:t>
      </w:r>
      <w:bookmarkEnd w:id="922"/>
    </w:p>
    <w:p>
      <w:pPr>
        <w:wordWrap w:val="0"/>
        <w:topLinePunct/>
        <w:ind w:firstLine="480" w:firstLineChars="200"/>
        <w:rPr>
          <w:b/>
          <w:snapToGrid w:val="0"/>
        </w:rPr>
      </w:pPr>
      <w:r>
        <w:rPr>
          <w:rFonts w:hint="eastAsia"/>
          <w:b/>
          <w:snapToGrid w:val="0"/>
        </w:rPr>
        <w:t>注：格式自拟。</w:t>
      </w:r>
    </w:p>
    <w:p>
      <w:pPr>
        <w:pageBreakBefore/>
        <w:numPr>
          <w:ilvl w:val="0"/>
          <w:numId w:val="19"/>
        </w:numPr>
        <w:wordWrap w:val="0"/>
        <w:topLinePunct/>
        <w:spacing w:before="156" w:beforeLines="50" w:after="156" w:afterLines="50"/>
        <w:jc w:val="center"/>
        <w:outlineLvl w:val="2"/>
        <w:rPr>
          <w:b/>
          <w:snapToGrid w:val="0"/>
          <w:sz w:val="28"/>
        </w:rPr>
      </w:pPr>
      <w:bookmarkStart w:id="923" w:name="_Toc32188"/>
      <w:bookmarkStart w:id="924" w:name="_Toc15495"/>
      <w:r>
        <w:rPr>
          <w:rFonts w:hint="eastAsia"/>
          <w:b/>
          <w:snapToGrid w:val="0"/>
          <w:sz w:val="28"/>
        </w:rPr>
        <w:t>招标代理服务费承诺函</w:t>
      </w:r>
      <w:bookmarkEnd w:id="923"/>
      <w:bookmarkEnd w:id="924"/>
    </w:p>
    <w:p>
      <w:pPr>
        <w:wordWrap w:val="0"/>
        <w:topLinePunct/>
        <w:rPr>
          <w:snapToGrid w:val="0"/>
        </w:rPr>
      </w:pPr>
      <w:r>
        <w:rPr>
          <w:rFonts w:hint="eastAsia"/>
          <w:snapToGrid w:val="0"/>
        </w:rPr>
        <w:t>四川乾新招投标代理有限公司：</w:t>
      </w:r>
    </w:p>
    <w:p>
      <w:pPr>
        <w:wordWrap w:val="0"/>
        <w:topLinePunct/>
        <w:ind w:firstLine="480" w:firstLineChars="200"/>
      </w:pPr>
      <w:r>
        <w:rPr>
          <w:rFonts w:hint="eastAsia"/>
        </w:rPr>
        <w:t>我公司在贵公司代理的</w:t>
      </w:r>
      <w:r>
        <w:rPr>
          <w:rFonts w:hint="eastAsia"/>
          <w:u w:val="single"/>
        </w:rPr>
        <w:t xml:space="preserve">                              </w:t>
      </w:r>
      <w:r>
        <w:rPr>
          <w:rFonts w:hint="eastAsia"/>
        </w:rPr>
        <w:t>项目(项目编号：</w:t>
      </w:r>
      <w:r>
        <w:rPr>
          <w:rFonts w:hint="eastAsia"/>
          <w:u w:val="single"/>
        </w:rPr>
        <w:t xml:space="preserve">                              </w:t>
      </w:r>
      <w:r>
        <w:rPr>
          <w:rFonts w:hint="eastAsia"/>
        </w:rPr>
        <w:t>)公开招标中若获中标，我们保证在收到中标通知后2个工作日内按</w:t>
      </w:r>
      <w:r>
        <w:rPr>
          <w:rFonts w:hint="eastAsia"/>
          <w:lang w:val="zh-CN"/>
        </w:rPr>
        <w:t>招标文件</w:t>
      </w:r>
      <w:r>
        <w:rPr>
          <w:rFonts w:hint="eastAsia"/>
        </w:rPr>
        <w:t>的规定，以支票、银行汇票、电汇、现金或经贵公司认可的一种方式，向贵公司即四川乾新招投标代理有限公司指定的银行账号，按照</w:t>
      </w:r>
      <w:r>
        <w:rPr>
          <w:rFonts w:hint="eastAsia"/>
          <w:lang w:val="zh-CN"/>
        </w:rPr>
        <w:t>招标文件中</w:t>
      </w:r>
      <w:r>
        <w:rPr>
          <w:rFonts w:hint="eastAsia"/>
        </w:rPr>
        <w:t>招标代理服务费收取标准一次性支付招标代理服务费。</w:t>
      </w:r>
      <w:r>
        <w:rPr>
          <w:rFonts w:hint="eastAsia"/>
          <w:b/>
          <w:bCs/>
        </w:rPr>
        <w:t>如因我公司自身原因造成取消中标资格或自愿放弃中标资格的，我司支付的招标代理服务费不予退还，由此造成的损失由我方自行承担。</w:t>
      </w:r>
    </w:p>
    <w:p>
      <w:pPr>
        <w:wordWrap w:val="0"/>
        <w:topLinePunct/>
        <w:ind w:firstLine="480" w:firstLineChars="200"/>
      </w:pPr>
    </w:p>
    <w:p>
      <w:pPr>
        <w:wordWrap w:val="0"/>
        <w:topLinePunct/>
        <w:ind w:firstLine="480" w:firstLineChars="200"/>
      </w:pPr>
    </w:p>
    <w:p>
      <w:pPr>
        <w:wordWrap w:val="0"/>
        <w:topLinePunct/>
        <w:ind w:firstLine="480" w:firstLineChars="200"/>
      </w:pPr>
      <w:r>
        <w:rPr>
          <w:rFonts w:hint="eastAsia"/>
        </w:rPr>
        <w:t>特此承诺。</w:t>
      </w:r>
    </w:p>
    <w:p>
      <w:pPr>
        <w:wordWrap w:val="0"/>
        <w:topLinePunct/>
        <w:rPr>
          <w:snapToGrid w:val="0"/>
        </w:rPr>
      </w:pPr>
    </w:p>
    <w:p>
      <w:pPr>
        <w:wordWrap w:val="0"/>
        <w:topLinePunct/>
        <w:rPr>
          <w:snapToGrid w:val="0"/>
        </w:rPr>
      </w:pPr>
    </w:p>
    <w:p>
      <w:pPr>
        <w:ind w:firstLine="480" w:firstLineChars="200"/>
        <w:rPr>
          <w:rFonts w:asciiTheme="minorEastAsia" w:hAnsiTheme="minorEastAsia" w:eastAsiaTheme="minorEastAsia" w:cstheme="minorEastAsia"/>
          <w:u w:val="single"/>
        </w:rPr>
      </w:pPr>
      <w:r>
        <w:rPr>
          <w:rFonts w:hint="eastAsia" w:asciiTheme="minorEastAsia" w:hAnsiTheme="minorEastAsia" w:eastAsiaTheme="minorEastAsia" w:cstheme="minorEastAsia"/>
        </w:rPr>
        <w:t>投标人名称：</w:t>
      </w:r>
      <w:r>
        <w:rPr>
          <w:rFonts w:hint="eastAsia" w:asciiTheme="minorEastAsia" w:hAnsiTheme="minorEastAsia" w:eastAsiaTheme="minorEastAsia" w:cstheme="minorEastAsia"/>
          <w:u w:val="single"/>
        </w:rPr>
        <w:t xml:space="preserve">            </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地  址：</w:t>
      </w:r>
      <w:r>
        <w:rPr>
          <w:rFonts w:hint="eastAsia" w:asciiTheme="minorEastAsia" w:hAnsiTheme="minorEastAsia" w:eastAsiaTheme="minorEastAsia" w:cstheme="minorEastAsia"/>
          <w:bCs/>
          <w:u w:val="single"/>
        </w:rPr>
        <w:t xml:space="preserve">                </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电  话：</w:t>
      </w:r>
      <w:r>
        <w:rPr>
          <w:rFonts w:hint="eastAsia" w:asciiTheme="minorEastAsia" w:hAnsiTheme="minorEastAsia" w:eastAsiaTheme="minorEastAsia" w:cstheme="minorEastAsia"/>
          <w:bCs/>
          <w:u w:val="single"/>
        </w:rPr>
        <w:t xml:space="preserve">                </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传  真：</w:t>
      </w:r>
      <w:r>
        <w:rPr>
          <w:rFonts w:hint="eastAsia" w:asciiTheme="minorEastAsia" w:hAnsiTheme="minorEastAsia" w:eastAsiaTheme="minorEastAsia" w:cstheme="minorEastAsia"/>
          <w:bCs/>
          <w:u w:val="single"/>
        </w:rPr>
        <w:t xml:space="preserve">                </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邮  编：</w:t>
      </w:r>
      <w:r>
        <w:rPr>
          <w:rFonts w:hint="eastAsia" w:asciiTheme="minorEastAsia" w:hAnsiTheme="minorEastAsia" w:eastAsiaTheme="minorEastAsia" w:cstheme="minorEastAsia"/>
          <w:bCs/>
          <w:u w:val="single"/>
        </w:rPr>
        <w:t xml:space="preserve">                </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承诺日期：</w:t>
      </w:r>
      <w:r>
        <w:rPr>
          <w:rFonts w:hint="eastAsia" w:asciiTheme="minorEastAsia" w:hAnsiTheme="minorEastAsia" w:eastAsiaTheme="minorEastAsia" w:cstheme="minorEastAsia"/>
          <w:bCs/>
          <w:u w:val="single"/>
        </w:rPr>
        <w:t xml:space="preserve">               </w:t>
      </w:r>
    </w:p>
    <w:p>
      <w:pPr>
        <w:wordWrap w:val="0"/>
        <w:topLinePunct/>
        <w:rPr>
          <w:snapToGrid w:val="0"/>
        </w:rPr>
      </w:pPr>
    </w:p>
    <w:p>
      <w:pPr>
        <w:wordWrap w:val="0"/>
        <w:topLinePunct/>
        <w:rPr>
          <w:snapToGrid w:val="0"/>
        </w:rPr>
      </w:pPr>
    </w:p>
    <w:p>
      <w:pPr>
        <w:wordWrap w:val="0"/>
        <w:topLinePunct/>
        <w:rPr>
          <w:snapToGrid w:val="0"/>
        </w:rPr>
      </w:pPr>
      <w:r>
        <w:rPr>
          <w:rFonts w:hint="eastAsia"/>
          <w:snapToGrid w:val="0"/>
        </w:rPr>
        <w:br w:type="page"/>
      </w:r>
    </w:p>
    <w:bookmarkEnd w:id="808"/>
    <w:bookmarkEnd w:id="809"/>
    <w:p>
      <w:pPr>
        <w:numPr>
          <w:ilvl w:val="0"/>
          <w:numId w:val="3"/>
        </w:numPr>
        <w:wordWrap w:val="0"/>
        <w:topLinePunct/>
        <w:spacing w:before="156" w:beforeLines="50" w:after="156" w:afterLines="50" w:line="240" w:lineRule="auto"/>
        <w:jc w:val="center"/>
        <w:outlineLvl w:val="0"/>
        <w:rPr>
          <w:b/>
          <w:snapToGrid w:val="0"/>
          <w:sz w:val="36"/>
        </w:rPr>
      </w:pPr>
      <w:bookmarkStart w:id="925" w:name="_Toc17786"/>
      <w:bookmarkStart w:id="926" w:name="_Toc23987"/>
      <w:bookmarkStart w:id="927" w:name="_Toc1941"/>
      <w:bookmarkStart w:id="928" w:name="_Toc20772"/>
      <w:bookmarkStart w:id="929" w:name="_Toc24042"/>
      <w:bookmarkStart w:id="930" w:name="_Toc8502"/>
      <w:bookmarkStart w:id="931" w:name="_Toc10576"/>
      <w:r>
        <w:rPr>
          <w:rFonts w:hint="eastAsia"/>
          <w:b/>
          <w:snapToGrid w:val="0"/>
          <w:sz w:val="36"/>
        </w:rPr>
        <w:t>投标人和投标产品的资格、资质性</w:t>
      </w:r>
      <w:bookmarkStart w:id="932" w:name="_Toc21759"/>
      <w:bookmarkStart w:id="933" w:name="_Toc307564882"/>
      <w:bookmarkStart w:id="934" w:name="_Toc327196317"/>
      <w:bookmarkStart w:id="935" w:name="_Toc319439931"/>
      <w:bookmarkStart w:id="936" w:name="_Toc17884"/>
      <w:bookmarkStart w:id="937" w:name="_Toc307501136"/>
      <w:r>
        <w:rPr>
          <w:rFonts w:hint="eastAsia"/>
          <w:b/>
          <w:snapToGrid w:val="0"/>
          <w:sz w:val="36"/>
        </w:rPr>
        <w:t>及其他类似效力要求</w:t>
      </w:r>
      <w:bookmarkEnd w:id="925"/>
      <w:bookmarkEnd w:id="926"/>
      <w:bookmarkEnd w:id="927"/>
      <w:bookmarkEnd w:id="928"/>
      <w:bookmarkEnd w:id="932"/>
      <w:bookmarkEnd w:id="933"/>
      <w:bookmarkEnd w:id="934"/>
      <w:bookmarkEnd w:id="935"/>
      <w:bookmarkEnd w:id="936"/>
      <w:bookmarkEnd w:id="937"/>
    </w:p>
    <w:bookmarkEnd w:id="929"/>
    <w:bookmarkEnd w:id="930"/>
    <w:bookmarkEnd w:id="931"/>
    <w:p>
      <w:pPr>
        <w:numPr>
          <w:ilvl w:val="1"/>
          <w:numId w:val="3"/>
        </w:numPr>
        <w:wordWrap w:val="0"/>
        <w:topLinePunct/>
        <w:ind w:firstLine="480" w:firstLineChars="200"/>
        <w:outlineLvl w:val="1"/>
        <w:rPr>
          <w:b/>
          <w:lang w:val="zh-CN"/>
        </w:rPr>
      </w:pPr>
      <w:bookmarkStart w:id="938" w:name="_Toc30456"/>
      <w:bookmarkStart w:id="939" w:name="_Toc21150"/>
      <w:bookmarkStart w:id="940" w:name="_Toc5268"/>
      <w:bookmarkStart w:id="941" w:name="_Toc4824"/>
      <w:bookmarkStart w:id="942" w:name="_Toc18335"/>
      <w:bookmarkStart w:id="943" w:name="_Toc14656"/>
      <w:r>
        <w:rPr>
          <w:rFonts w:hint="eastAsia"/>
          <w:b/>
        </w:rPr>
        <w:t>投标人资格、资质性及其他类似效力要求</w:t>
      </w:r>
      <w:bookmarkEnd w:id="938"/>
      <w:bookmarkEnd w:id="939"/>
    </w:p>
    <w:p>
      <w:pPr>
        <w:wordWrap w:val="0"/>
        <w:topLinePunct/>
        <w:spacing w:line="460" w:lineRule="exact"/>
        <w:ind w:firstLine="480" w:firstLineChars="200"/>
        <w:rPr>
          <w:snapToGrid w:val="0"/>
          <w:lang w:val="zh-CN"/>
        </w:rPr>
      </w:pPr>
      <w:r>
        <w:rPr>
          <w:rFonts w:hint="eastAsia"/>
          <w:snapToGrid w:val="0"/>
        </w:rPr>
        <w:t>(一)</w:t>
      </w:r>
      <w:r>
        <w:rPr>
          <w:rFonts w:hint="eastAsia"/>
          <w:snapToGrid w:val="0"/>
          <w:lang w:val="zh-CN"/>
        </w:rPr>
        <w:t>符合《中华人民共和国政府采购法》第二十二条规定的条件：</w:t>
      </w:r>
    </w:p>
    <w:p>
      <w:pPr>
        <w:wordWrap w:val="0"/>
        <w:topLinePunct/>
        <w:spacing w:line="460" w:lineRule="exact"/>
        <w:ind w:firstLine="480" w:firstLineChars="200"/>
        <w:rPr>
          <w:snapToGrid w:val="0"/>
        </w:rPr>
      </w:pPr>
      <w:r>
        <w:rPr>
          <w:rFonts w:hint="eastAsia"/>
          <w:snapToGrid w:val="0"/>
        </w:rPr>
        <w:t>1.具有独立承担</w:t>
      </w:r>
      <w:r>
        <w:rPr>
          <w:rFonts w:hint="eastAsia"/>
          <w:snapToGrid w:val="0"/>
        </w:rPr>
        <w:fldChar w:fldCharType="begin"/>
      </w:r>
      <w:r>
        <w:rPr>
          <w:snapToGrid w:val="0"/>
        </w:rPr>
        <w:instrText xml:space="preserve"> HYPERLINK "http://www.lawtime.cn/info/minfa/mszeren/" \t "_blank" </w:instrText>
      </w:r>
      <w:r>
        <w:rPr>
          <w:rFonts w:hint="eastAsia"/>
          <w:snapToGrid w:val="0"/>
        </w:rPr>
        <w:fldChar w:fldCharType="separate"/>
      </w:r>
      <w:r>
        <w:rPr>
          <w:rFonts w:hint="eastAsia"/>
          <w:snapToGrid w:val="0"/>
        </w:rPr>
        <w:t>民事责任</w:t>
      </w:r>
      <w:r>
        <w:rPr>
          <w:rFonts w:hint="eastAsia"/>
          <w:snapToGrid w:val="0"/>
        </w:rPr>
        <w:fldChar w:fldCharType="end"/>
      </w:r>
      <w:r>
        <w:rPr>
          <w:rFonts w:hint="eastAsia"/>
          <w:snapToGrid w:val="0"/>
        </w:rPr>
        <w:t>的能力；</w:t>
      </w:r>
    </w:p>
    <w:p>
      <w:pPr>
        <w:wordWrap w:val="0"/>
        <w:topLinePunct/>
        <w:spacing w:line="460" w:lineRule="exact"/>
        <w:ind w:firstLine="480" w:firstLineChars="200"/>
        <w:rPr>
          <w:snapToGrid w:val="0"/>
        </w:rPr>
      </w:pPr>
      <w:r>
        <w:rPr>
          <w:rFonts w:hint="eastAsia"/>
          <w:snapToGrid w:val="0"/>
        </w:rPr>
        <w:t>2.具有良好的商业信誉和健全的财务会计制度；</w:t>
      </w:r>
    </w:p>
    <w:p>
      <w:pPr>
        <w:wordWrap w:val="0"/>
        <w:topLinePunct/>
        <w:spacing w:line="460" w:lineRule="exact"/>
        <w:ind w:firstLine="480" w:firstLineChars="200"/>
        <w:rPr>
          <w:snapToGrid w:val="0"/>
        </w:rPr>
      </w:pPr>
      <w:r>
        <w:rPr>
          <w:rFonts w:hint="eastAsia"/>
          <w:snapToGrid w:val="0"/>
        </w:rPr>
        <w:t>3.具有履行合同所必需的设备和专业技术能力；</w:t>
      </w:r>
    </w:p>
    <w:p>
      <w:pPr>
        <w:wordWrap w:val="0"/>
        <w:topLinePunct/>
        <w:spacing w:line="460" w:lineRule="exact"/>
        <w:ind w:firstLine="480" w:firstLineChars="200"/>
        <w:rPr>
          <w:snapToGrid w:val="0"/>
        </w:rPr>
      </w:pPr>
      <w:r>
        <w:rPr>
          <w:rFonts w:hint="eastAsia"/>
          <w:snapToGrid w:val="0"/>
        </w:rPr>
        <w:t>4.有依法缴纳税收和</w:t>
      </w:r>
      <w:r>
        <w:rPr>
          <w:rFonts w:hint="eastAsia"/>
          <w:snapToGrid w:val="0"/>
        </w:rPr>
        <w:fldChar w:fldCharType="begin"/>
      </w:r>
      <w:r>
        <w:rPr>
          <w:snapToGrid w:val="0"/>
        </w:rPr>
        <w:instrText xml:space="preserve"> HYPERLINK "http://www.lawtime.cn/info/laodong/shehuibaozhang/" \t "_blank" </w:instrText>
      </w:r>
      <w:r>
        <w:rPr>
          <w:rFonts w:hint="eastAsia"/>
          <w:snapToGrid w:val="0"/>
        </w:rPr>
        <w:fldChar w:fldCharType="separate"/>
      </w:r>
      <w:r>
        <w:rPr>
          <w:rFonts w:hint="eastAsia"/>
          <w:snapToGrid w:val="0"/>
        </w:rPr>
        <w:t>社会保障</w:t>
      </w:r>
      <w:r>
        <w:rPr>
          <w:rFonts w:hint="eastAsia"/>
          <w:snapToGrid w:val="0"/>
        </w:rPr>
        <w:fldChar w:fldCharType="end"/>
      </w:r>
      <w:r>
        <w:rPr>
          <w:rFonts w:hint="eastAsia"/>
          <w:snapToGrid w:val="0"/>
        </w:rPr>
        <w:t>资金的良好记录；</w:t>
      </w:r>
    </w:p>
    <w:p>
      <w:pPr>
        <w:wordWrap w:val="0"/>
        <w:topLinePunct/>
        <w:spacing w:line="460" w:lineRule="exact"/>
        <w:ind w:firstLine="480" w:firstLineChars="200"/>
        <w:rPr>
          <w:snapToGrid w:val="0"/>
        </w:rPr>
      </w:pPr>
      <w:r>
        <w:rPr>
          <w:rFonts w:hint="eastAsia"/>
          <w:snapToGrid w:val="0"/>
        </w:rPr>
        <w:t>5.参加政府采购活动前三年内，在经营活动中没有重大违法记录；</w:t>
      </w:r>
    </w:p>
    <w:p>
      <w:pPr>
        <w:wordWrap w:val="0"/>
        <w:topLinePunct/>
        <w:spacing w:line="460" w:lineRule="exact"/>
        <w:ind w:firstLine="480" w:firstLineChars="200"/>
        <w:rPr>
          <w:snapToGrid w:val="0"/>
        </w:rPr>
      </w:pPr>
      <w:r>
        <w:rPr>
          <w:rFonts w:hint="eastAsia"/>
          <w:snapToGrid w:val="0"/>
        </w:rPr>
        <w:t>6.法律、</w:t>
      </w:r>
      <w:r>
        <w:rPr>
          <w:rFonts w:hint="eastAsia"/>
          <w:snapToGrid w:val="0"/>
        </w:rPr>
        <w:fldChar w:fldCharType="begin"/>
      </w:r>
      <w:r>
        <w:rPr>
          <w:snapToGrid w:val="0"/>
        </w:rPr>
        <w:instrText xml:space="preserve"> HYPERLINK "http://www.lawtime.cn/info/sifakaoshi/xingzhengfa/" \t "_blank" </w:instrText>
      </w:r>
      <w:r>
        <w:rPr>
          <w:rFonts w:hint="eastAsia"/>
          <w:snapToGrid w:val="0"/>
        </w:rPr>
        <w:fldChar w:fldCharType="separate"/>
      </w:r>
      <w:r>
        <w:rPr>
          <w:rFonts w:hint="eastAsia"/>
          <w:snapToGrid w:val="0"/>
        </w:rPr>
        <w:t>行政法</w:t>
      </w:r>
      <w:r>
        <w:rPr>
          <w:rFonts w:hint="eastAsia"/>
          <w:snapToGrid w:val="0"/>
        </w:rPr>
        <w:fldChar w:fldCharType="end"/>
      </w:r>
      <w:r>
        <w:rPr>
          <w:rFonts w:hint="eastAsia"/>
          <w:snapToGrid w:val="0"/>
        </w:rPr>
        <w:t>规规定的其他条件；</w:t>
      </w:r>
    </w:p>
    <w:p>
      <w:pPr>
        <w:wordWrap w:val="0"/>
        <w:topLinePunct/>
        <w:spacing w:line="460" w:lineRule="exact"/>
        <w:ind w:firstLine="480" w:firstLineChars="200"/>
        <w:rPr>
          <w:snapToGrid w:val="0"/>
          <w:lang w:val="zh-CN"/>
        </w:rPr>
      </w:pPr>
      <w:r>
        <w:rPr>
          <w:rFonts w:hint="eastAsia"/>
          <w:snapToGrid w:val="0"/>
        </w:rPr>
        <w:t>(二)</w:t>
      </w:r>
      <w:r>
        <w:rPr>
          <w:rFonts w:hint="eastAsia"/>
          <w:snapToGrid w:val="0"/>
          <w:lang w:val="zh-CN"/>
        </w:rPr>
        <w:t>落实政府采购政策需满足的资格要求：</w:t>
      </w:r>
    </w:p>
    <w:p>
      <w:pPr>
        <w:wordWrap w:val="0"/>
        <w:topLinePunct/>
        <w:spacing w:line="460" w:lineRule="exact"/>
        <w:ind w:firstLine="480" w:firstLineChars="200"/>
        <w:rPr>
          <w:snapToGrid w:val="0"/>
        </w:rPr>
      </w:pPr>
      <w:r>
        <w:rPr>
          <w:rFonts w:hint="eastAsia"/>
          <w:snapToGrid w:val="0"/>
        </w:rPr>
        <w:t>本项目为</w:t>
      </w:r>
      <w:r>
        <w:rPr>
          <w:rFonts w:hint="eastAsia"/>
          <w:snapToGrid w:val="0"/>
          <w:color w:val="000000" w:themeColor="text1"/>
          <w14:textFill>
            <w14:solidFill>
              <w14:schemeClr w14:val="tx1"/>
            </w14:solidFill>
          </w14:textFill>
        </w:rPr>
        <w:t>专门面向中小企业采购的项目,投标人应为中小微企业、监狱企业、残疾人福利性单位</w:t>
      </w:r>
      <w:r>
        <w:rPr>
          <w:rFonts w:hint="eastAsia"/>
          <w:snapToGrid w:val="0"/>
        </w:rPr>
        <w:t>。</w:t>
      </w:r>
    </w:p>
    <w:p>
      <w:pPr>
        <w:wordWrap w:val="0"/>
        <w:topLinePunct/>
        <w:spacing w:line="460" w:lineRule="exact"/>
        <w:ind w:firstLine="480" w:firstLineChars="200"/>
        <w:rPr>
          <w:snapToGrid w:val="0"/>
        </w:rPr>
      </w:pPr>
      <w:r>
        <w:rPr>
          <w:rFonts w:hint="eastAsia"/>
          <w:snapToGrid w:val="0"/>
        </w:rPr>
        <w:t>(三)</w:t>
      </w:r>
      <w:r>
        <w:rPr>
          <w:rFonts w:hint="eastAsia"/>
          <w:snapToGrid w:val="0"/>
          <w:lang w:val="zh-CN"/>
        </w:rPr>
        <w:t>本项目的特定资格要求：</w:t>
      </w:r>
      <w:r>
        <w:rPr>
          <w:rFonts w:hint="eastAsia"/>
          <w:snapToGrid w:val="0"/>
        </w:rPr>
        <w:t>本项目不接受联合体投标。</w:t>
      </w:r>
    </w:p>
    <w:p>
      <w:pPr>
        <w:numPr>
          <w:ilvl w:val="1"/>
          <w:numId w:val="3"/>
        </w:numPr>
        <w:wordWrap w:val="0"/>
        <w:topLinePunct/>
        <w:ind w:firstLine="480" w:firstLineChars="200"/>
        <w:outlineLvl w:val="1"/>
        <w:rPr>
          <w:b/>
        </w:rPr>
      </w:pPr>
      <w:bookmarkStart w:id="944" w:name="_Toc19887"/>
      <w:r>
        <w:rPr>
          <w:rFonts w:hint="eastAsia"/>
          <w:b/>
        </w:rPr>
        <w:t>投标产品的资格、资质性及其他类似效力要求</w:t>
      </w:r>
      <w:bookmarkEnd w:id="940"/>
      <w:bookmarkEnd w:id="941"/>
      <w:bookmarkEnd w:id="942"/>
      <w:bookmarkEnd w:id="943"/>
      <w:bookmarkEnd w:id="944"/>
    </w:p>
    <w:p>
      <w:pPr>
        <w:wordWrap w:val="0"/>
        <w:topLinePunct/>
        <w:ind w:firstLine="480" w:firstLineChars="200"/>
      </w:pPr>
      <w:r>
        <w:rPr>
          <w:rFonts w:hint="eastAsia"/>
        </w:rPr>
        <w:t>无。</w:t>
      </w:r>
    </w:p>
    <w:p>
      <w:pPr>
        <w:numPr>
          <w:ilvl w:val="1"/>
          <w:numId w:val="3"/>
        </w:numPr>
        <w:wordWrap w:val="0"/>
        <w:topLinePunct/>
        <w:ind w:firstLine="480" w:firstLineChars="200"/>
        <w:outlineLvl w:val="1"/>
        <w:rPr>
          <w:b/>
        </w:rPr>
      </w:pPr>
      <w:bookmarkStart w:id="945" w:name="_Toc3740"/>
      <w:bookmarkStart w:id="946" w:name="_Toc26032"/>
      <w:r>
        <w:rPr>
          <w:rFonts w:hint="eastAsia"/>
          <w:b/>
        </w:rPr>
        <w:t>其他类似效力要求</w:t>
      </w:r>
      <w:bookmarkEnd w:id="945"/>
      <w:bookmarkEnd w:id="946"/>
    </w:p>
    <w:p>
      <w:pPr>
        <w:numPr>
          <w:ilvl w:val="1"/>
          <w:numId w:val="22"/>
        </w:numPr>
        <w:wordWrap w:val="0"/>
        <w:topLinePunct/>
        <w:ind w:firstLine="480" w:firstLineChars="200"/>
        <w:rPr>
          <w:lang w:val="zh-CN"/>
        </w:rPr>
      </w:pPr>
      <w:r>
        <w:rPr>
          <w:rFonts w:hint="eastAsia"/>
          <w:lang w:val="zh-CN"/>
        </w:rPr>
        <w:t>投标供应商单位及其现任法定代表人、主要负责人不得具有行贿犯罪记录；</w:t>
      </w:r>
    </w:p>
    <w:p>
      <w:pPr>
        <w:numPr>
          <w:ilvl w:val="1"/>
          <w:numId w:val="22"/>
        </w:numPr>
        <w:wordWrap w:val="0"/>
        <w:topLinePunct/>
        <w:ind w:firstLine="480" w:firstLineChars="200"/>
      </w:pPr>
      <w:r>
        <w:rPr>
          <w:rFonts w:hint="eastAsia"/>
          <w:lang w:val="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numPr>
          <w:ilvl w:val="1"/>
          <w:numId w:val="22"/>
        </w:numPr>
        <w:wordWrap w:val="0"/>
        <w:topLinePunct/>
        <w:ind w:firstLine="480" w:firstLineChars="200"/>
        <w:rPr>
          <w:lang w:val="zh-CN"/>
        </w:rPr>
      </w:pPr>
      <w:r>
        <w:rPr>
          <w:rFonts w:hint="eastAsia"/>
          <w:lang w:val="zh-CN"/>
        </w:rPr>
        <w:t>投标人代表不是法定代表人</w:t>
      </w:r>
      <w:r>
        <w:rPr>
          <w:rFonts w:hint="eastAsia"/>
        </w:rPr>
        <w:t>/单位负责人</w:t>
      </w:r>
      <w:r>
        <w:rPr>
          <w:rFonts w:hint="eastAsia"/>
          <w:lang w:val="zh-CN"/>
        </w:rPr>
        <w:t>时提供针对本次投标的法定代表人</w:t>
      </w:r>
      <w:r>
        <w:rPr>
          <w:rFonts w:hint="eastAsia"/>
        </w:rPr>
        <w:t>/单位负责人</w:t>
      </w:r>
      <w:r>
        <w:rPr>
          <w:rFonts w:hint="eastAsia"/>
          <w:lang w:val="zh-CN"/>
        </w:rPr>
        <w:t>授权书原件；</w:t>
      </w:r>
    </w:p>
    <w:p>
      <w:pPr>
        <w:numPr>
          <w:ilvl w:val="1"/>
          <w:numId w:val="22"/>
        </w:numPr>
        <w:wordWrap w:val="0"/>
        <w:topLinePunct/>
        <w:ind w:firstLine="480" w:firstLineChars="200"/>
        <w:rPr>
          <w:lang w:val="zh-CN"/>
        </w:rPr>
      </w:pPr>
      <w:r>
        <w:rPr>
          <w:rFonts w:hint="eastAsia"/>
        </w:rPr>
        <w:t>投标人代表是法定</w:t>
      </w:r>
      <w:r>
        <w:rPr>
          <w:rFonts w:hint="eastAsia"/>
          <w:lang w:val="zh-CN"/>
        </w:rPr>
        <w:t>代表人</w:t>
      </w:r>
      <w:r>
        <w:rPr>
          <w:rFonts w:hint="eastAsia"/>
        </w:rPr>
        <w:t>/单位负责人</w:t>
      </w:r>
      <w:r>
        <w:rPr>
          <w:rFonts w:hint="eastAsia"/>
          <w:lang w:val="zh-CN"/>
        </w:rPr>
        <w:t>时，</w:t>
      </w:r>
      <w:r>
        <w:rPr>
          <w:rFonts w:hint="eastAsia"/>
        </w:rPr>
        <w:t>提供法定代表人/单位负责人证明书原件。</w:t>
      </w:r>
    </w:p>
    <w:p>
      <w:pPr>
        <w:wordWrap w:val="0"/>
        <w:topLinePunct/>
        <w:ind w:firstLine="480" w:firstLineChars="200"/>
        <w:rPr>
          <w:b/>
          <w:bCs/>
        </w:rPr>
      </w:pPr>
      <w:r>
        <w:rPr>
          <w:rFonts w:hint="eastAsia"/>
          <w:b/>
          <w:bCs/>
        </w:rPr>
        <w:t>注：供应商在前三年政府采购合同履约过程中及其他经营活动履约过程中未依法履约被有关部门处理的，本项目不认定其具有良好的商业信誉。若虚假响应，取消中标资格。</w:t>
      </w:r>
    </w:p>
    <w:p>
      <w:pPr>
        <w:wordWrap w:val="0"/>
        <w:topLinePunct/>
        <w:ind w:firstLine="480" w:firstLineChars="200"/>
        <w:rPr>
          <w:b/>
          <w:bCs/>
        </w:rPr>
      </w:pPr>
      <w:r>
        <w:rPr>
          <w:rFonts w:hint="eastAsia"/>
          <w:b/>
          <w:bCs/>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0"/>
        <w:ind w:firstLine="482"/>
      </w:pPr>
      <w:r>
        <w:rPr>
          <w:rFonts w:hint="eastAsia"/>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50"/>
        <w:ind w:firstLine="482"/>
      </w:pPr>
    </w:p>
    <w:p>
      <w:pPr>
        <w:pStyle w:val="51"/>
        <w:numPr>
          <w:ilvl w:val="0"/>
          <w:numId w:val="3"/>
        </w:numPr>
        <w:spacing w:before="156" w:after="156"/>
      </w:pPr>
      <w:r>
        <w:rPr>
          <w:rFonts w:hint="eastAsia"/>
        </w:rPr>
        <w:br w:type="page"/>
      </w:r>
      <w:bookmarkEnd w:id="810"/>
      <w:bookmarkStart w:id="947" w:name="_Toc18196"/>
      <w:bookmarkStart w:id="948" w:name="_Toc22998"/>
      <w:bookmarkStart w:id="949" w:name="_Toc11005"/>
      <w:r>
        <w:rPr>
          <w:rFonts w:hint="eastAsia"/>
        </w:rPr>
        <w:t>资格性审查</w:t>
      </w:r>
      <w:bookmarkEnd w:id="947"/>
      <w:r>
        <w:rPr>
          <w:rFonts w:hint="eastAsia"/>
        </w:rPr>
        <w:t>内容</w:t>
      </w:r>
      <w:bookmarkEnd w:id="948"/>
      <w:bookmarkEnd w:id="949"/>
    </w:p>
    <w:p>
      <w:pPr>
        <w:pStyle w:val="37"/>
        <w:numPr>
          <w:ilvl w:val="1"/>
          <w:numId w:val="3"/>
        </w:numPr>
        <w:spacing w:line="430" w:lineRule="exact"/>
        <w:ind w:firstLine="482"/>
      </w:pPr>
      <w:bookmarkStart w:id="950" w:name="_Toc3107"/>
      <w:bookmarkStart w:id="951" w:name="_Toc17621"/>
      <w:bookmarkStart w:id="952" w:name="_Toc28265"/>
      <w:bookmarkStart w:id="953" w:name="_Toc30344"/>
      <w:bookmarkStart w:id="954" w:name="_Toc17175"/>
      <w:bookmarkStart w:id="955" w:name="_Toc30809"/>
      <w:bookmarkStart w:id="956" w:name="_Toc20678"/>
      <w:bookmarkStart w:id="957" w:name="_Toc10631"/>
      <w:bookmarkStart w:id="958" w:name="_Toc141"/>
      <w:bookmarkStart w:id="959" w:name="_Toc32482"/>
      <w:r>
        <w:rPr>
          <w:rFonts w:hint="eastAsia"/>
        </w:rPr>
        <w:t>应当提供的投标人及投标产品资格、资质性及其他类似效力要求的相关证明材料</w:t>
      </w:r>
      <w:bookmarkEnd w:id="950"/>
      <w:bookmarkEnd w:id="951"/>
      <w:bookmarkEnd w:id="952"/>
      <w:bookmarkEnd w:id="953"/>
      <w:bookmarkEnd w:id="954"/>
      <w:bookmarkEnd w:id="955"/>
    </w:p>
    <w:p>
      <w:pPr>
        <w:pStyle w:val="35"/>
        <w:numPr>
          <w:ilvl w:val="1"/>
          <w:numId w:val="23"/>
        </w:numPr>
        <w:spacing w:line="430" w:lineRule="exact"/>
        <w:ind w:firstLine="482"/>
        <w:rPr>
          <w:b/>
          <w:bCs/>
        </w:rPr>
      </w:pPr>
      <w:r>
        <w:rPr>
          <w:rFonts w:hint="eastAsia"/>
          <w:b/>
          <w:bCs/>
        </w:rPr>
        <w:t>投标人具有独立承担民事责任的能力的证明材料；</w:t>
      </w:r>
    </w:p>
    <w:p>
      <w:pPr>
        <w:pStyle w:val="49"/>
        <w:spacing w:line="430" w:lineRule="exact"/>
      </w:pPr>
      <w:r>
        <w:rPr>
          <w:rFonts w:hint="eastAsia"/>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0"/>
        <w:spacing w:line="430" w:lineRule="exact"/>
        <w:ind w:firstLine="482"/>
      </w:pPr>
      <w:r>
        <w:rPr>
          <w:rFonts w:hint="eastAsia"/>
        </w:rPr>
        <w:t>注：1.以上证明材料应满足此条要求①发证机关有年检要求的，应按规定通过年检；②在有效期内；③复印件加盖投标人电子签章；</w:t>
      </w:r>
    </w:p>
    <w:p>
      <w:pPr>
        <w:pStyle w:val="50"/>
        <w:spacing w:line="430" w:lineRule="exact"/>
        <w:ind w:firstLine="482"/>
      </w:pPr>
      <w:r>
        <w:rPr>
          <w:rFonts w:hint="eastAsia"/>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0"/>
        <w:spacing w:line="430" w:lineRule="exact"/>
        <w:ind w:firstLine="482"/>
      </w:pPr>
      <w:r>
        <w:rPr>
          <w:rFonts w:hint="eastAsia"/>
        </w:rPr>
        <w:t>3.</w:t>
      </w:r>
      <w:r>
        <w:t>根据国务院办公厅关于加快推进“多证合一”改革的指导意见</w:t>
      </w:r>
      <w:r>
        <w:rPr>
          <w:rFonts w:hint="eastAsia"/>
        </w:rPr>
        <w:t>(</w:t>
      </w:r>
      <w:r>
        <w:t>国办发</w:t>
      </w:r>
      <w:r>
        <w:rPr>
          <w:rFonts w:hint="eastAsia"/>
        </w:rPr>
        <w:t>〔</w:t>
      </w:r>
      <w:r>
        <w:t>2017</w:t>
      </w:r>
      <w:r>
        <w:rPr>
          <w:rFonts w:hint="eastAsia"/>
        </w:rPr>
        <w:t>〕</w:t>
      </w:r>
      <w:r>
        <w:t>41号</w:t>
      </w:r>
      <w:r>
        <w:rPr>
          <w:rFonts w:hint="eastAsia"/>
        </w:rPr>
        <w:t>)</w:t>
      </w:r>
      <w:r>
        <w:t>等政策要求，若资格要求涉及的登记、备案等有关事项和各类证照已实行多证合一</w:t>
      </w:r>
      <w:r>
        <w:rPr>
          <w:rFonts w:hint="eastAsia"/>
        </w:rPr>
        <w:t>提供多证合一证照副本复印件</w:t>
      </w:r>
      <w:r>
        <w:t>。</w:t>
      </w:r>
    </w:p>
    <w:p>
      <w:pPr>
        <w:pStyle w:val="35"/>
        <w:numPr>
          <w:ilvl w:val="1"/>
          <w:numId w:val="23"/>
        </w:numPr>
        <w:spacing w:line="430" w:lineRule="exact"/>
        <w:ind w:firstLine="482"/>
        <w:rPr>
          <w:b/>
          <w:bCs/>
        </w:rPr>
      </w:pPr>
      <w:r>
        <w:rPr>
          <w:rFonts w:hint="eastAsia"/>
          <w:b/>
          <w:bCs/>
        </w:rPr>
        <w:t>投标人具有良好的商业信誉和健全的财务会计制度的证明材料；</w:t>
      </w:r>
    </w:p>
    <w:p>
      <w:pPr>
        <w:pStyle w:val="49"/>
        <w:spacing w:line="430" w:lineRule="exact"/>
      </w:pPr>
      <w:r>
        <w:rPr>
          <w:rFonts w:hint="eastAsia"/>
        </w:rPr>
        <w:t>1.投标人具有良好商业信誉的证明材料；</w:t>
      </w:r>
    </w:p>
    <w:p>
      <w:pPr>
        <w:pStyle w:val="49"/>
        <w:spacing w:line="430" w:lineRule="exact"/>
      </w:pPr>
      <w:r>
        <w:rPr>
          <w:rFonts w:hint="eastAsia"/>
        </w:rPr>
        <w:t>提供具有良好的商业信誉的承诺函。</w:t>
      </w:r>
    </w:p>
    <w:p>
      <w:pPr>
        <w:pStyle w:val="49"/>
        <w:spacing w:line="430" w:lineRule="exact"/>
        <w:ind w:firstLine="482"/>
        <w:rPr>
          <w:b/>
          <w:bCs/>
        </w:rPr>
      </w:pPr>
      <w:r>
        <w:rPr>
          <w:rFonts w:hint="eastAsia"/>
          <w:b/>
          <w:bCs/>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9"/>
        <w:spacing w:line="430" w:lineRule="exact"/>
      </w:pPr>
      <w:r>
        <w:rPr>
          <w:rFonts w:hint="eastAsia"/>
        </w:rPr>
        <w:t>2.投标人具有健全的财务会计制度的证明材料；</w:t>
      </w:r>
    </w:p>
    <w:p>
      <w:pPr>
        <w:pStyle w:val="49"/>
        <w:spacing w:line="430" w:lineRule="exact"/>
      </w:pPr>
      <w:r>
        <w:rPr>
          <w:rFonts w:hint="eastAsia"/>
        </w:rPr>
        <w:t>(1)投标人提供2020年度经过会计师事务所审计的财务报告复印件(经审计的有效财务报告应包括报告及报告中所附的完整内容，并由注册会计师签名、盖章以及会计师事务所盖章)；</w:t>
      </w:r>
    </w:p>
    <w:p>
      <w:pPr>
        <w:pStyle w:val="49"/>
        <w:spacing w:line="430" w:lineRule="exact"/>
      </w:pPr>
      <w:r>
        <w:rPr>
          <w:rFonts w:hint="eastAsia"/>
        </w:rPr>
        <w:t>(2)投标人提供2020年度投标人内部的财务报表复印件(至少包含资产负债表)；</w:t>
      </w:r>
    </w:p>
    <w:p>
      <w:pPr>
        <w:pStyle w:val="49"/>
        <w:spacing w:line="430" w:lineRule="exact"/>
      </w:pPr>
      <w:r>
        <w:rPr>
          <w:rFonts w:hint="eastAsia"/>
        </w:rPr>
        <w:t>(3)投标人提供投标文件递交截止日前一年内银行为其出具的资信证明复印件；</w:t>
      </w:r>
    </w:p>
    <w:p>
      <w:pPr>
        <w:pStyle w:val="49"/>
        <w:spacing w:line="430" w:lineRule="exact"/>
      </w:pPr>
      <w:r>
        <w:rPr>
          <w:rFonts w:hint="eastAsia"/>
        </w:rPr>
        <w:t>(4)投标人注册时间截至投标文件递交截止日不足一年的，可提供公司章程复印件；</w:t>
      </w:r>
    </w:p>
    <w:p>
      <w:pPr>
        <w:pStyle w:val="49"/>
        <w:spacing w:line="430" w:lineRule="exact"/>
      </w:pPr>
      <w:r>
        <w:rPr>
          <w:rFonts w:hint="eastAsia"/>
        </w:rPr>
        <w:t>(5)投标人为事业单位或其他组织(不具备法人条件的组织，如合伙组织、个体工商户、农村承包经营户等)或自然人时，可提供承诺函。</w:t>
      </w:r>
    </w:p>
    <w:p>
      <w:pPr>
        <w:pStyle w:val="50"/>
        <w:spacing w:line="430" w:lineRule="exact"/>
        <w:ind w:firstLine="482"/>
      </w:pPr>
      <w:r>
        <w:rPr>
          <w:rFonts w:hint="eastAsia"/>
          <w:bCs/>
        </w:rPr>
        <w:t>注：具有健全的财务会计制度的证明材料中第(1)-(5)项具有同等的投标效力，投标人可根据自身实际情况选择提供其中任意一项。</w:t>
      </w:r>
    </w:p>
    <w:p>
      <w:pPr>
        <w:pStyle w:val="35"/>
        <w:numPr>
          <w:ilvl w:val="1"/>
          <w:numId w:val="23"/>
        </w:numPr>
        <w:spacing w:line="430" w:lineRule="exact"/>
        <w:ind w:firstLine="482"/>
        <w:rPr>
          <w:b/>
          <w:bCs/>
        </w:rPr>
      </w:pPr>
      <w:r>
        <w:rPr>
          <w:rFonts w:hint="eastAsia"/>
          <w:b/>
          <w:bCs/>
        </w:rPr>
        <w:t>投标人具有履行合同所必需的设备和专业技术能力证明材料；</w:t>
      </w:r>
    </w:p>
    <w:p>
      <w:pPr>
        <w:pStyle w:val="49"/>
        <w:spacing w:line="430" w:lineRule="exact"/>
      </w:pPr>
      <w:r>
        <w:rPr>
          <w:rFonts w:hint="eastAsia"/>
        </w:rPr>
        <w:t>提供具有履行合同所必需的设备和专业技术能力的承诺函。</w:t>
      </w:r>
    </w:p>
    <w:p>
      <w:pPr>
        <w:pStyle w:val="50"/>
        <w:spacing w:line="430" w:lineRule="exact"/>
        <w:ind w:firstLine="482"/>
      </w:pPr>
      <w:r>
        <w:rPr>
          <w:rFonts w:hint="eastAsia"/>
        </w:rPr>
        <w:t>注：格式自拟，或参照《符合&lt;中华人民共和国政府采购法&gt;第二十二条规定的条件的承诺及声明函》的格式提供承诺函。</w:t>
      </w:r>
    </w:p>
    <w:p>
      <w:pPr>
        <w:pStyle w:val="35"/>
        <w:numPr>
          <w:ilvl w:val="1"/>
          <w:numId w:val="23"/>
        </w:numPr>
        <w:spacing w:line="430" w:lineRule="exact"/>
        <w:ind w:firstLine="482"/>
        <w:rPr>
          <w:b/>
          <w:bCs/>
        </w:rPr>
      </w:pPr>
      <w:r>
        <w:rPr>
          <w:rFonts w:hint="eastAsia"/>
          <w:b/>
          <w:bCs/>
        </w:rPr>
        <w:t>投标人具有依法缴纳税收和社会保障资金的良好记录的证明材料；</w:t>
      </w:r>
    </w:p>
    <w:p>
      <w:pPr>
        <w:pStyle w:val="49"/>
        <w:spacing w:line="430" w:lineRule="exact"/>
      </w:pPr>
      <w:r>
        <w:rPr>
          <w:rFonts w:hint="eastAsia"/>
        </w:rPr>
        <w:t>提供具有</w:t>
      </w:r>
      <w:r>
        <w:rPr>
          <w:rFonts w:hint="eastAsia"/>
          <w:lang w:val="zh-CN"/>
        </w:rPr>
        <w:t>依法缴纳税收和社会保障资金的良好记录</w:t>
      </w:r>
      <w:r>
        <w:rPr>
          <w:rFonts w:hint="eastAsia"/>
        </w:rPr>
        <w:t>的承诺函。</w:t>
      </w:r>
    </w:p>
    <w:p>
      <w:pPr>
        <w:pStyle w:val="50"/>
        <w:spacing w:line="430" w:lineRule="exact"/>
        <w:ind w:firstLine="482"/>
      </w:pPr>
      <w:r>
        <w:rPr>
          <w:rFonts w:hint="eastAsia"/>
        </w:rPr>
        <w:t>注：格式自拟，或参照《符合&lt;中华人民共和国政府采购法&gt;第二十二条规定的条件的承诺及声明函》的格式提供承诺函。</w:t>
      </w:r>
    </w:p>
    <w:p>
      <w:pPr>
        <w:pStyle w:val="35"/>
        <w:numPr>
          <w:ilvl w:val="1"/>
          <w:numId w:val="23"/>
        </w:numPr>
        <w:spacing w:line="430" w:lineRule="exact"/>
        <w:ind w:firstLine="482"/>
        <w:rPr>
          <w:b/>
          <w:bCs/>
        </w:rPr>
      </w:pPr>
      <w:r>
        <w:rPr>
          <w:rFonts w:hint="eastAsia"/>
          <w:b/>
          <w:bCs/>
        </w:rPr>
        <w:t>投标人参加政府采购活动前三年内，在经营活动中没有重大违法记录的证明材料；</w:t>
      </w:r>
    </w:p>
    <w:p>
      <w:pPr>
        <w:pStyle w:val="49"/>
        <w:spacing w:line="430" w:lineRule="exact"/>
      </w:pPr>
      <w:r>
        <w:rPr>
          <w:rFonts w:hint="eastAsia"/>
        </w:rPr>
        <w:t>提供参加本次政府采购活动前三年内，在经营活动中没有重大违法记录的书面声明(成立不足三年的，从成立之日起计算)。</w:t>
      </w:r>
    </w:p>
    <w:p>
      <w:pPr>
        <w:pStyle w:val="49"/>
        <w:spacing w:line="430" w:lineRule="exact"/>
        <w:ind w:firstLine="482"/>
      </w:pPr>
      <w:r>
        <w:rPr>
          <w:rFonts w:hint="eastAsia"/>
          <w:b/>
          <w:snapToGrid w:val="0"/>
        </w:rPr>
        <w:t>注：格式自拟，或参照《符合&lt;中华人民共和国政府采购法&gt;第二十二条规定的条件的承诺及声明函》的格式提供声明函。如有重大违法记录的，投标人将被认定投标无效或被取消中标资格。</w:t>
      </w:r>
    </w:p>
    <w:p>
      <w:pPr>
        <w:pStyle w:val="35"/>
        <w:numPr>
          <w:ilvl w:val="1"/>
          <w:numId w:val="23"/>
        </w:numPr>
        <w:spacing w:line="430" w:lineRule="exact"/>
        <w:ind w:firstLine="482"/>
        <w:rPr>
          <w:rFonts w:cs="宋体"/>
          <w:b/>
          <w:bCs/>
        </w:rPr>
      </w:pPr>
      <w:r>
        <w:rPr>
          <w:rFonts w:hint="eastAsia"/>
          <w:b/>
          <w:bCs/>
        </w:rPr>
        <w:t>投标</w:t>
      </w:r>
      <w:r>
        <w:rPr>
          <w:rFonts w:hint="eastAsia" w:cs="宋体"/>
          <w:b/>
          <w:bCs/>
        </w:rPr>
        <w:t>人</w:t>
      </w:r>
      <w:r>
        <w:rPr>
          <w:rFonts w:hint="eastAsia" w:cs="宋体"/>
          <w:b/>
          <w:bCs/>
          <w:lang w:val="zh-CN"/>
        </w:rPr>
        <w:t>及其现任法定代表人、主要负责人不得具有行贿犯罪记录</w:t>
      </w:r>
      <w:r>
        <w:rPr>
          <w:rFonts w:hint="eastAsia" w:cs="宋体"/>
          <w:b/>
          <w:bCs/>
        </w:rPr>
        <w:t>的证明材料</w:t>
      </w:r>
      <w:r>
        <w:rPr>
          <w:rFonts w:hint="eastAsia" w:cs="宋体"/>
          <w:b/>
          <w:bCs/>
          <w:lang w:val="zh-CN"/>
        </w:rPr>
        <w:t>；</w:t>
      </w:r>
    </w:p>
    <w:p>
      <w:pPr>
        <w:pStyle w:val="50"/>
        <w:spacing w:line="430" w:lineRule="exact"/>
        <w:jc w:val="both"/>
        <w:rPr>
          <w:b w:val="0"/>
          <w:bCs/>
        </w:rPr>
      </w:pPr>
      <w:r>
        <w:rPr>
          <w:rFonts w:hint="eastAsia"/>
          <w:b w:val="0"/>
          <w:bCs/>
        </w:rPr>
        <w:t>1.在投标文件中作出投标人及其现任法定代表人(姓名和身份证号码)、主要负责人(姓名和身份证号码)10年内(</w:t>
      </w:r>
      <w:r>
        <w:rPr>
          <w:rFonts w:hint="eastAsia"/>
          <w:b w:val="0"/>
          <w:bCs/>
          <w:lang w:val="zh-CN"/>
        </w:rPr>
        <w:t>若</w:t>
      </w:r>
      <w:r>
        <w:rPr>
          <w:rFonts w:hint="eastAsia"/>
          <w:b w:val="0"/>
          <w:bCs/>
        </w:rPr>
        <w:t>供应商</w:t>
      </w:r>
      <w:r>
        <w:rPr>
          <w:rFonts w:hint="eastAsia"/>
          <w:b w:val="0"/>
          <w:bCs/>
          <w:lang w:val="zh-CN"/>
        </w:rPr>
        <w:t>成立不足10年的，</w:t>
      </w:r>
      <w:r>
        <w:rPr>
          <w:rFonts w:hint="eastAsia"/>
          <w:b w:val="0"/>
          <w:bCs/>
        </w:rPr>
        <w:t>承诺期限为</w:t>
      </w:r>
      <w:r>
        <w:rPr>
          <w:rFonts w:hint="eastAsia"/>
          <w:b w:val="0"/>
          <w:bCs/>
          <w:lang w:val="zh-CN"/>
        </w:rPr>
        <w:t>成立之日起</w:t>
      </w:r>
      <w:r>
        <w:rPr>
          <w:rFonts w:hint="eastAsia"/>
          <w:b w:val="0"/>
          <w:bCs/>
        </w:rPr>
        <w:t>至今)无行贿犯罪记录的承诺；</w:t>
      </w:r>
    </w:p>
    <w:p>
      <w:pPr>
        <w:pStyle w:val="50"/>
        <w:spacing w:line="430" w:lineRule="exact"/>
        <w:jc w:val="both"/>
        <w:rPr>
          <w:b w:val="0"/>
          <w:bCs/>
          <w:lang w:val="zh-CN"/>
        </w:rPr>
      </w:pPr>
      <w:r>
        <w:rPr>
          <w:rFonts w:hint="eastAsia"/>
          <w:b w:val="0"/>
          <w:bCs/>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lang w:val="zh-CN"/>
        </w:rPr>
        <w:t>。</w:t>
      </w:r>
    </w:p>
    <w:p>
      <w:pPr>
        <w:pStyle w:val="66"/>
        <w:numPr>
          <w:ilvl w:val="3"/>
          <w:numId w:val="0"/>
        </w:numPr>
        <w:spacing w:line="430" w:lineRule="exact"/>
        <w:ind w:firstLine="480" w:firstLineChars="200"/>
        <w:rPr>
          <w:b/>
          <w:bCs/>
        </w:rPr>
      </w:pPr>
      <w:r>
        <w:rPr>
          <w:rFonts w:hint="eastAsia"/>
          <w:b/>
          <w:bCs/>
        </w:rPr>
        <w:t>注：①投标人采用提供承诺函方式响应的，其内容必须符合上述第1款的要求，否则将视为无效承诺；②如投标人未提供有效承诺函，且未</w:t>
      </w:r>
      <w:r>
        <w:rPr>
          <w:rFonts w:hint="eastAsia"/>
          <w:b/>
        </w:rPr>
        <w:t>在投标文件中书面载明</w:t>
      </w:r>
      <w:r>
        <w:rPr>
          <w:rFonts w:hint="eastAsia"/>
          <w:b/>
          <w:bCs/>
        </w:rPr>
        <w:t>其“现任法定代表人”(姓名和身份证号码)、“主要负责人”(姓名和身份证号码)信息的，将被视为无效投标。</w:t>
      </w:r>
    </w:p>
    <w:p>
      <w:pPr>
        <w:pStyle w:val="35"/>
        <w:numPr>
          <w:ilvl w:val="1"/>
          <w:numId w:val="23"/>
        </w:numPr>
        <w:spacing w:line="430" w:lineRule="exact"/>
        <w:ind w:firstLine="482"/>
        <w:rPr>
          <w:b/>
          <w:bCs/>
        </w:rPr>
      </w:pPr>
      <w:r>
        <w:rPr>
          <w:rFonts w:hint="eastAsia"/>
          <w:b/>
          <w:bCs/>
        </w:rPr>
        <w:t>投标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49"/>
        <w:spacing w:line="430" w:lineRule="exact"/>
      </w:pPr>
      <w:r>
        <w:rPr>
          <w:rFonts w:hint="eastAsia"/>
        </w:rPr>
        <w:t>采购代理机构通过“信用中国”网站、“中国政府采购网”等渠道对供应商进行信用记录查询，并将查询记录存档(纸质截图或电子介质)。凡被列入失信被执行人、重大税收违法案件当事人名单、政府采购严重违法失信行为记录名单的，视为存在不良信用记录，参与本项目的将被拒绝；</w:t>
      </w:r>
    </w:p>
    <w:p>
      <w:pPr>
        <w:pStyle w:val="50"/>
        <w:spacing w:line="430" w:lineRule="exact"/>
        <w:ind w:firstLine="482"/>
      </w:pPr>
      <w:r>
        <w:rPr>
          <w:rFonts w:hint="eastAsia"/>
        </w:rPr>
        <w:t>注：投标人参与投标时无需对此条进行响应。</w:t>
      </w:r>
    </w:p>
    <w:p>
      <w:pPr>
        <w:pStyle w:val="35"/>
        <w:numPr>
          <w:ilvl w:val="1"/>
          <w:numId w:val="23"/>
        </w:numPr>
        <w:spacing w:line="430" w:lineRule="exact"/>
        <w:ind w:firstLine="482"/>
        <w:rPr>
          <w:b/>
          <w:bCs/>
        </w:rPr>
      </w:pPr>
      <w:r>
        <w:rPr>
          <w:rFonts w:hint="eastAsia"/>
          <w:b/>
          <w:bCs/>
        </w:rPr>
        <w:t>法定代表人/单位负责人授权书原件；</w:t>
      </w:r>
    </w:p>
    <w:p>
      <w:pPr>
        <w:pStyle w:val="50"/>
        <w:spacing w:line="430" w:lineRule="exact"/>
        <w:ind w:firstLine="482"/>
      </w:pPr>
      <w:r>
        <w:rPr>
          <w:rFonts w:hint="eastAsia"/>
        </w:rPr>
        <w:t>注：①附法定代表人/单位负责人和被授权人身份证正反面复印件；②法定代表人/单位负责人亲自参与投标时不需要提供。</w:t>
      </w:r>
    </w:p>
    <w:p>
      <w:pPr>
        <w:pStyle w:val="35"/>
        <w:numPr>
          <w:ilvl w:val="1"/>
          <w:numId w:val="23"/>
        </w:numPr>
        <w:spacing w:line="430" w:lineRule="exact"/>
        <w:ind w:firstLine="482"/>
        <w:rPr>
          <w:b/>
          <w:bCs/>
        </w:rPr>
      </w:pPr>
      <w:r>
        <w:rPr>
          <w:rFonts w:hint="eastAsia"/>
          <w:b/>
          <w:bCs/>
        </w:rPr>
        <w:t>法定代表人/单位负责人证明书；</w:t>
      </w:r>
    </w:p>
    <w:p>
      <w:pPr>
        <w:pStyle w:val="50"/>
        <w:spacing w:line="430" w:lineRule="exact"/>
        <w:ind w:firstLine="482"/>
      </w:pPr>
      <w:r>
        <w:rPr>
          <w:rFonts w:hint="eastAsia"/>
        </w:rPr>
        <w:t>注：①附法定代表人/单位负责人身份证正反面复印件；②法定代表人/单位负责人亲自参加投标时提供本证明书。</w:t>
      </w:r>
    </w:p>
    <w:p>
      <w:pPr>
        <w:pStyle w:val="35"/>
        <w:numPr>
          <w:ilvl w:val="1"/>
          <w:numId w:val="23"/>
        </w:numPr>
        <w:spacing w:line="430" w:lineRule="exact"/>
        <w:ind w:firstLine="482"/>
        <w:rPr>
          <w:b/>
          <w:bCs/>
        </w:rPr>
      </w:pPr>
      <w:r>
        <w:rPr>
          <w:rFonts w:hint="eastAsia"/>
          <w:b/>
          <w:bCs/>
        </w:rPr>
        <w:t>法律、</w:t>
      </w:r>
      <w:r>
        <w:fldChar w:fldCharType="begin"/>
      </w:r>
      <w:r>
        <w:instrText xml:space="preserve"> HYPERLINK "http://www.lawtime.cn/info/sifakaoshi/xingzhengfa/" \t "_blank" </w:instrText>
      </w:r>
      <w:r>
        <w:fldChar w:fldCharType="separate"/>
      </w:r>
      <w:r>
        <w:rPr>
          <w:rFonts w:hint="eastAsia"/>
          <w:b/>
          <w:bCs/>
        </w:rPr>
        <w:t>行政法</w:t>
      </w:r>
      <w:r>
        <w:rPr>
          <w:rFonts w:hint="eastAsia"/>
          <w:b/>
          <w:bCs/>
        </w:rPr>
        <w:fldChar w:fldCharType="end"/>
      </w:r>
      <w:r>
        <w:rPr>
          <w:rFonts w:hint="eastAsia"/>
          <w:b/>
          <w:bCs/>
        </w:rPr>
        <w:t>规规定的其他条件的证明材料；</w:t>
      </w:r>
    </w:p>
    <w:p>
      <w:pPr>
        <w:pStyle w:val="49"/>
        <w:spacing w:line="430" w:lineRule="exact"/>
      </w:pPr>
      <w:r>
        <w:rPr>
          <w:rFonts w:hint="eastAsia"/>
        </w:rPr>
        <w:t>提供符合法律、</w:t>
      </w:r>
      <w:r>
        <w:rPr>
          <w:rFonts w:hint="eastAsia"/>
        </w:rPr>
        <w:fldChar w:fldCharType="begin"/>
      </w:r>
      <w:r>
        <w:instrText xml:space="preserve"> HYPERLINK "http://www.lawtime.cn/info/sifakaoshi/xingzhengfa/" \t "_blank" </w:instrText>
      </w:r>
      <w:r>
        <w:rPr>
          <w:rFonts w:hint="eastAsia"/>
        </w:rPr>
        <w:fldChar w:fldCharType="separate"/>
      </w:r>
      <w:r>
        <w:rPr>
          <w:rFonts w:hint="eastAsia"/>
        </w:rPr>
        <w:t>行政法</w:t>
      </w:r>
      <w:r>
        <w:rPr>
          <w:rFonts w:hint="eastAsia"/>
        </w:rPr>
        <w:fldChar w:fldCharType="end"/>
      </w:r>
      <w:r>
        <w:rPr>
          <w:rFonts w:hint="eastAsia"/>
        </w:rPr>
        <w:t>规规定的其他条件的承诺函。</w:t>
      </w:r>
    </w:p>
    <w:p>
      <w:pPr>
        <w:pStyle w:val="35"/>
        <w:numPr>
          <w:ilvl w:val="1"/>
          <w:numId w:val="23"/>
        </w:numPr>
        <w:spacing w:line="430" w:lineRule="exact"/>
        <w:ind w:firstLine="482"/>
        <w:rPr>
          <w:b/>
          <w:bCs/>
          <w:lang w:val="zh-CN"/>
        </w:rPr>
      </w:pPr>
      <w:r>
        <w:rPr>
          <w:rFonts w:hint="eastAsia"/>
          <w:b/>
          <w:bCs/>
          <w:lang w:val="zh-CN"/>
        </w:rPr>
        <w:t>落实政府采购政策需满足的资格要求：</w:t>
      </w:r>
    </w:p>
    <w:p>
      <w:pPr>
        <w:pStyle w:val="49"/>
        <w:spacing w:line="430" w:lineRule="exact"/>
        <w:rPr>
          <w:bCs/>
        </w:rPr>
      </w:pPr>
      <w:r>
        <w:rPr>
          <w:rFonts w:hint="eastAsia"/>
          <w:bCs/>
        </w:rPr>
        <w:t>提供中小企业声明函或监狱企业相关证明材料或残疾人福利性单位声明函。</w:t>
      </w:r>
    </w:p>
    <w:p>
      <w:pPr>
        <w:pStyle w:val="50"/>
        <w:spacing w:line="430" w:lineRule="exact"/>
        <w:ind w:firstLine="482"/>
      </w:pPr>
      <w:r>
        <w:rPr>
          <w:rFonts w:hint="eastAsia"/>
        </w:rPr>
        <w:t>备注：①以上承诺及声明函可参照第三章投标文件格式中相关格式或自拟格式填写均有效。</w:t>
      </w:r>
    </w:p>
    <w:p>
      <w:pPr>
        <w:pStyle w:val="50"/>
        <w:spacing w:line="430" w:lineRule="exact"/>
        <w:ind w:firstLine="482"/>
      </w:pPr>
      <w:r>
        <w:rPr>
          <w:rFonts w:hint="eastAsia"/>
        </w:rPr>
        <w:t>②以上要求提供的相关证明材料须加盖投标人电子签章，否则其资格审查作未通过处理。</w:t>
      </w:r>
    </w:p>
    <w:p>
      <w:pPr>
        <w:pStyle w:val="50"/>
        <w:spacing w:line="430" w:lineRule="exact"/>
        <w:ind w:firstLine="482"/>
      </w:pPr>
      <w:r>
        <w:rPr>
          <w:rFonts w:hint="eastAsia"/>
        </w:rPr>
        <w:t>③本项目资格审查仅限于本章涉及的所有内容，若供应商未按照以上要求提供齐全，其资格审查作未通过处理。</w:t>
      </w:r>
    </w:p>
    <w:p>
      <w:pPr>
        <w:pStyle w:val="50"/>
        <w:spacing w:line="430" w:lineRule="exact"/>
        <w:ind w:firstLine="482"/>
      </w:pPr>
      <w:r>
        <w:rPr>
          <w:rFonts w:hint="eastAsia"/>
        </w:rPr>
        <w:t>④投标人应对其所提供的资格证明材料来源的合法性、真实性承担法律责任。</w:t>
      </w:r>
    </w:p>
    <w:p>
      <w:pPr>
        <w:pStyle w:val="50"/>
        <w:spacing w:line="430" w:lineRule="exact"/>
        <w:ind w:firstLine="482"/>
      </w:pPr>
      <w:r>
        <w:rPr>
          <w:rFonts w:hint="eastAsia"/>
        </w:rPr>
        <w:t>⑤以上要求提供的相关证明材料应当结合采购项目具体情况和投标人的组织机构性质确定，不得一概而论。</w:t>
      </w:r>
    </w:p>
    <w:p>
      <w:pPr>
        <w:pStyle w:val="37"/>
        <w:numPr>
          <w:ilvl w:val="1"/>
          <w:numId w:val="3"/>
        </w:numPr>
        <w:spacing w:line="430" w:lineRule="exact"/>
        <w:ind w:firstLine="482"/>
      </w:pPr>
      <w:bookmarkStart w:id="960" w:name="_Toc14213"/>
      <w:bookmarkStart w:id="961" w:name="_Toc10479"/>
      <w:r>
        <w:rPr>
          <w:rFonts w:hint="eastAsia"/>
        </w:rPr>
        <w:t>审查程序</w:t>
      </w:r>
      <w:bookmarkEnd w:id="956"/>
      <w:bookmarkEnd w:id="957"/>
      <w:bookmarkEnd w:id="958"/>
      <w:bookmarkEnd w:id="960"/>
      <w:bookmarkEnd w:id="961"/>
    </w:p>
    <w:p>
      <w:pPr>
        <w:pStyle w:val="35"/>
        <w:numPr>
          <w:ilvl w:val="1"/>
          <w:numId w:val="24"/>
        </w:numPr>
        <w:spacing w:line="430" w:lineRule="exact"/>
        <w:ind w:firstLine="480"/>
      </w:pPr>
      <w:r>
        <w:rPr>
          <w:rFonts w:hint="eastAsia"/>
        </w:rPr>
        <w:t>根据《政府采购货物和服务招标投标管理办法》(财政部令第87号)第四十四条对投标人的资格进行审查。</w:t>
      </w:r>
    </w:p>
    <w:p>
      <w:pPr>
        <w:pStyle w:val="35"/>
        <w:numPr>
          <w:ilvl w:val="1"/>
          <w:numId w:val="24"/>
        </w:numPr>
        <w:spacing w:line="430" w:lineRule="exact"/>
        <w:ind w:firstLine="480"/>
      </w:pPr>
      <w:r>
        <w:rPr>
          <w:rFonts w:hint="eastAsia"/>
        </w:rPr>
        <w:t>本项目由采购人或者采购代理机构依法对投标人的资格进行审查，并出具书面的资格性审查结果。</w:t>
      </w:r>
    </w:p>
    <w:p>
      <w:pPr>
        <w:pStyle w:val="35"/>
        <w:numPr>
          <w:ilvl w:val="1"/>
          <w:numId w:val="24"/>
        </w:numPr>
        <w:spacing w:line="43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通过资格审查的投标人＜3家，不得评标，采购失败。</w:t>
      </w:r>
    </w:p>
    <w:p>
      <w:pPr>
        <w:pStyle w:val="35"/>
        <w:numPr>
          <w:ilvl w:val="1"/>
          <w:numId w:val="24"/>
        </w:numPr>
        <w:spacing w:line="43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35"/>
        <w:numPr>
          <w:ilvl w:val="1"/>
          <w:numId w:val="0"/>
        </w:numPr>
        <w:spacing w:line="430" w:lineRule="exact"/>
        <w:ind w:firstLine="480"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注：</w:t>
      </w:r>
      <w:r>
        <w:rPr>
          <w:rFonts w:hint="eastAsia"/>
          <w:color w:val="000000" w:themeColor="text1"/>
          <w14:textFill>
            <w14:solidFill>
              <w14:schemeClr w14:val="tx1"/>
            </w14:solidFill>
          </w14:textFill>
        </w:rPr>
        <w:t>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45"/>
      </w:pPr>
    </w:p>
    <w:p>
      <w:pPr>
        <w:pStyle w:val="51"/>
        <w:numPr>
          <w:ilvl w:val="0"/>
          <w:numId w:val="3"/>
        </w:numPr>
        <w:spacing w:before="156" w:after="156"/>
      </w:pPr>
      <w:r>
        <w:rPr>
          <w:rFonts w:hint="eastAsia"/>
        </w:rPr>
        <w:br w:type="page"/>
      </w:r>
      <w:bookmarkEnd w:id="959"/>
      <w:bookmarkStart w:id="962" w:name="_Toc14530"/>
      <w:bookmarkStart w:id="963" w:name="_Toc5955"/>
      <w:bookmarkStart w:id="964" w:name="_Toc15321"/>
      <w:r>
        <w:rPr>
          <w:rFonts w:hint="eastAsia"/>
        </w:rPr>
        <w:t>招标项目技术、服务、政府采购合同内容条款及其他商务要求</w:t>
      </w:r>
      <w:bookmarkEnd w:id="962"/>
      <w:bookmarkEnd w:id="963"/>
      <w:bookmarkEnd w:id="964"/>
    </w:p>
    <w:p>
      <w:pPr>
        <w:numPr>
          <w:ilvl w:val="1"/>
          <w:numId w:val="25"/>
        </w:numPr>
        <w:wordWrap w:val="0"/>
        <w:topLinePunct/>
        <w:ind w:firstLine="480" w:firstLineChars="200"/>
        <w:outlineLvl w:val="1"/>
        <w:rPr>
          <w:b/>
        </w:rPr>
      </w:pPr>
      <w:bookmarkStart w:id="965" w:name="_Toc6856"/>
      <w:bookmarkStart w:id="966" w:name="_Toc15013"/>
      <w:bookmarkStart w:id="967" w:name="_Toc2313"/>
      <w:bookmarkStart w:id="968" w:name="_Toc1684"/>
      <w:bookmarkStart w:id="969" w:name="_Toc28932"/>
      <w:bookmarkStart w:id="970" w:name="_Toc27469"/>
      <w:bookmarkStart w:id="971" w:name="_Toc319440192"/>
      <w:bookmarkStart w:id="972" w:name="_Toc308188201"/>
      <w:bookmarkStart w:id="973" w:name="_Toc319439948"/>
      <w:bookmarkStart w:id="974" w:name="_Toc307501157"/>
      <w:bookmarkStart w:id="975" w:name="_Toc307564899"/>
      <w:bookmarkStart w:id="976" w:name="_Toc12025"/>
      <w:bookmarkStart w:id="977" w:name="_Toc32159"/>
      <w:bookmarkStart w:id="978" w:name="_Toc309897566"/>
      <w:bookmarkStart w:id="979" w:name="_Toc327196343"/>
      <w:bookmarkStart w:id="980" w:name="_Toc308084648"/>
      <w:bookmarkStart w:id="981" w:name="_Toc29864"/>
      <w:bookmarkStart w:id="982" w:name="_Toc1541"/>
      <w:bookmarkStart w:id="983" w:name="_Toc23360"/>
      <w:bookmarkStart w:id="984" w:name="_Toc1839"/>
      <w:bookmarkStart w:id="985" w:name="_Toc217446060"/>
      <w:bookmarkStart w:id="986" w:name="_Toc217446099"/>
      <w:r>
        <w:rPr>
          <w:rFonts w:hint="eastAsia"/>
          <w:b/>
        </w:rPr>
        <w:t>项目概述</w:t>
      </w:r>
      <w:bookmarkEnd w:id="965"/>
      <w:bookmarkEnd w:id="966"/>
      <w:bookmarkEnd w:id="967"/>
    </w:p>
    <w:p>
      <w:pPr>
        <w:wordWrap w:val="0"/>
        <w:topLinePunct/>
        <w:ind w:firstLine="480" w:firstLineChars="200"/>
        <w:rPr>
          <w:snapToGrid w:val="0"/>
        </w:rPr>
      </w:pPr>
      <w:r>
        <w:rPr>
          <w:rFonts w:hint="eastAsia" w:cs="宋体"/>
          <w:snapToGrid w:val="0"/>
          <w:color w:val="000000"/>
          <w:kern w:val="0"/>
        </w:rPr>
        <w:t>成都市住房和城乡建设信息档案中心承担成都市住房和城乡建设局计算机信息化建设工作发展至今，在全国同行业范围内已达到领先水平。在计算机系统维护及保障工作中，成都市住房和城乡建设信息档案中心承担成都市住房和城乡建设局各业务系统及计算机网络的维护工作，为了保证各系统的正常运行，提高系统运行保障能力，提高服务质量，拟采用服务外包的方式，引进具有专业实力并具备良好的行业基础的服务提供商，完成全局计算机系统日常维护工作，为了使该项工作能够顺利开展以及达到预期的目标，现根据成都市住房和城乡建设局的计算机系统的现状以及发展趋势，制定了本系统维护技术需求</w:t>
      </w:r>
      <w:r>
        <w:rPr>
          <w:rFonts w:hint="eastAsia"/>
          <w:snapToGrid w:val="0"/>
        </w:rPr>
        <w:t>。</w:t>
      </w:r>
    </w:p>
    <w:p>
      <w:pPr>
        <w:numPr>
          <w:ilvl w:val="1"/>
          <w:numId w:val="25"/>
        </w:numPr>
        <w:wordWrap w:val="0"/>
        <w:topLinePunct/>
        <w:ind w:firstLine="480" w:firstLineChars="200"/>
        <w:outlineLvl w:val="1"/>
        <w:rPr>
          <w:b/>
        </w:rPr>
      </w:pPr>
      <w:bookmarkStart w:id="987" w:name="_Toc19706"/>
      <w:bookmarkStart w:id="988" w:name="_Toc29670"/>
      <w:bookmarkStart w:id="989" w:name="_Toc7101"/>
      <w:bookmarkStart w:id="990" w:name="_Toc9683"/>
      <w:bookmarkStart w:id="991" w:name="_Toc27497"/>
      <w:bookmarkStart w:id="992" w:name="_Toc6974"/>
      <w:bookmarkStart w:id="993" w:name="_Toc8752_WPSOffice_Level2"/>
      <w:bookmarkStart w:id="994" w:name="_Toc12739"/>
      <w:r>
        <w:rPr>
          <w:rFonts w:hint="eastAsia"/>
          <w:b/>
          <w:bCs/>
        </w:rPr>
        <w:t>※</w:t>
      </w:r>
      <w:r>
        <w:rPr>
          <w:rFonts w:hint="eastAsia"/>
          <w:b/>
        </w:rPr>
        <w:t>服务内容及要求</w:t>
      </w:r>
      <w:bookmarkEnd w:id="987"/>
      <w:bookmarkEnd w:id="988"/>
    </w:p>
    <w:p>
      <w:pPr>
        <w:numPr>
          <w:ilvl w:val="0"/>
          <w:numId w:val="26"/>
        </w:numPr>
        <w:ind w:firstLine="480" w:firstLineChars="200"/>
        <w:rPr>
          <w:rFonts w:cs="宋体"/>
          <w:b/>
          <w:bCs/>
        </w:rPr>
      </w:pPr>
      <w:r>
        <w:rPr>
          <w:rFonts w:hint="eastAsia" w:cs="宋体"/>
          <w:b/>
          <w:bCs/>
        </w:rPr>
        <w:t>服务范围</w:t>
      </w:r>
    </w:p>
    <w:p>
      <w:pPr>
        <w:autoSpaceDE w:val="0"/>
        <w:autoSpaceDN w:val="0"/>
        <w:ind w:firstLine="480" w:firstLineChars="200"/>
        <w:rPr>
          <w:rFonts w:cs="宋体"/>
          <w:color w:val="000000"/>
          <w:kern w:val="0"/>
        </w:rPr>
      </w:pPr>
      <w:r>
        <w:rPr>
          <w:rFonts w:hint="eastAsia" w:cs="宋体"/>
          <w:color w:val="000000"/>
          <w:kern w:val="0"/>
        </w:rPr>
        <w:t>1.成都市住房和城乡建设局及局属单位办公电脑及外设等设备维护工作，包括电脑主机（含笔记本电脑）及配件、显示器、打印机、扫描仪、传真机、复印机、数码相机、触摸屏。</w:t>
      </w:r>
    </w:p>
    <w:p>
      <w:pPr>
        <w:autoSpaceDE w:val="0"/>
        <w:autoSpaceDN w:val="0"/>
        <w:ind w:firstLine="480" w:firstLineChars="200"/>
        <w:rPr>
          <w:rFonts w:cs="宋体"/>
          <w:color w:val="000000"/>
          <w:kern w:val="0"/>
        </w:rPr>
      </w:pPr>
      <w:r>
        <w:rPr>
          <w:rFonts w:hint="eastAsia" w:cs="宋体"/>
          <w:color w:val="000000"/>
          <w:kern w:val="0"/>
        </w:rPr>
        <w:t>2.驻场维护地点包括房产大厦一、二期、南区工作站、第五办公区。</w:t>
      </w:r>
    </w:p>
    <w:p>
      <w:pPr>
        <w:autoSpaceDE w:val="0"/>
        <w:autoSpaceDN w:val="0"/>
        <w:ind w:firstLine="480" w:firstLineChars="200"/>
        <w:rPr>
          <w:rFonts w:cs="宋体"/>
          <w:color w:val="000000"/>
          <w:kern w:val="0"/>
        </w:rPr>
      </w:pPr>
      <w:r>
        <w:rPr>
          <w:rFonts w:hint="eastAsia" w:cs="宋体"/>
          <w:color w:val="000000"/>
          <w:kern w:val="0"/>
        </w:rPr>
        <w:t>3.设备清单（</w:t>
      </w:r>
      <w:r>
        <w:rPr>
          <w:rFonts w:hint="eastAsia" w:cs="宋体"/>
          <w:b/>
          <w:bCs/>
          <w:color w:val="000000"/>
          <w:kern w:val="0"/>
        </w:rPr>
        <w:t>包含但不限于以下设备及数量</w:t>
      </w:r>
      <w:r>
        <w:rPr>
          <w:rFonts w:hint="eastAsia" w:cs="宋体"/>
          <w:color w:val="000000"/>
          <w:kern w:val="0"/>
        </w:rPr>
        <w:t>）</w:t>
      </w:r>
    </w:p>
    <w:tbl>
      <w:tblPr>
        <w:tblStyle w:val="24"/>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9"/>
        <w:gridCol w:w="4674"/>
        <w:gridCol w:w="3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1" w:hRule="atLeast"/>
          <w:jc w:val="center"/>
        </w:trPr>
        <w:tc>
          <w:tcPr>
            <w:tcW w:w="552" w:type="pct"/>
          </w:tcPr>
          <w:p>
            <w:pPr>
              <w:autoSpaceDE w:val="0"/>
              <w:autoSpaceDN w:val="0"/>
              <w:jc w:val="center"/>
              <w:rPr>
                <w:rFonts w:cs="宋体"/>
                <w:b/>
                <w:bCs/>
                <w:color w:val="000000"/>
                <w:kern w:val="0"/>
                <w:sz w:val="21"/>
                <w:szCs w:val="21"/>
              </w:rPr>
            </w:pPr>
            <w:r>
              <w:rPr>
                <w:rFonts w:hint="eastAsia" w:cs="宋体"/>
                <w:b/>
                <w:bCs/>
                <w:color w:val="000000"/>
                <w:kern w:val="0"/>
                <w:sz w:val="21"/>
                <w:szCs w:val="21"/>
              </w:rPr>
              <w:t>序号</w:t>
            </w:r>
          </w:p>
        </w:tc>
        <w:tc>
          <w:tcPr>
            <w:tcW w:w="2531" w:type="pct"/>
          </w:tcPr>
          <w:p>
            <w:pPr>
              <w:autoSpaceDE w:val="0"/>
              <w:autoSpaceDN w:val="0"/>
              <w:jc w:val="center"/>
              <w:rPr>
                <w:rFonts w:cs="宋体"/>
                <w:b/>
                <w:bCs/>
                <w:color w:val="000000"/>
                <w:kern w:val="0"/>
                <w:sz w:val="21"/>
                <w:szCs w:val="21"/>
              </w:rPr>
            </w:pPr>
            <w:r>
              <w:rPr>
                <w:rFonts w:hint="eastAsia" w:cs="宋体"/>
                <w:b/>
                <w:bCs/>
                <w:color w:val="000000"/>
                <w:kern w:val="0"/>
                <w:sz w:val="21"/>
                <w:szCs w:val="21"/>
              </w:rPr>
              <w:t>设备名称</w:t>
            </w:r>
          </w:p>
        </w:tc>
        <w:tc>
          <w:tcPr>
            <w:tcW w:w="1916" w:type="pct"/>
          </w:tcPr>
          <w:p>
            <w:pPr>
              <w:autoSpaceDE w:val="0"/>
              <w:autoSpaceDN w:val="0"/>
              <w:jc w:val="center"/>
              <w:rPr>
                <w:rFonts w:cs="宋体"/>
                <w:b/>
                <w:bCs/>
                <w:color w:val="000000"/>
                <w:kern w:val="0"/>
                <w:sz w:val="21"/>
                <w:szCs w:val="21"/>
              </w:rPr>
            </w:pPr>
            <w:r>
              <w:rPr>
                <w:rFonts w:hint="eastAsia" w:cs="宋体"/>
                <w:b/>
                <w:bCs/>
                <w:color w:val="000000"/>
                <w:kern w:val="0"/>
                <w:sz w:val="21"/>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1</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电脑(含笔记本电脑)</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1800台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2</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激光打印机</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900台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3</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针打及其他打印机、扫描仪</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400台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4</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信息发布系统信息点</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40点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5</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网络点位</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2400点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6</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触摸屏</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10台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7</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评价器</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230台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8</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窗口条屏</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230点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tcPr>
          <w:p>
            <w:pPr>
              <w:autoSpaceDE w:val="0"/>
              <w:autoSpaceDN w:val="0"/>
              <w:jc w:val="center"/>
              <w:rPr>
                <w:rFonts w:cs="宋体"/>
                <w:color w:val="000000"/>
                <w:kern w:val="0"/>
                <w:sz w:val="21"/>
                <w:szCs w:val="21"/>
              </w:rPr>
            </w:pPr>
            <w:r>
              <w:rPr>
                <w:rFonts w:hint="eastAsia" w:cs="宋体"/>
                <w:color w:val="000000"/>
                <w:kern w:val="0"/>
                <w:sz w:val="21"/>
                <w:szCs w:val="21"/>
              </w:rPr>
              <w:t>9</w:t>
            </w:r>
          </w:p>
        </w:tc>
        <w:tc>
          <w:tcPr>
            <w:tcW w:w="2531" w:type="pct"/>
          </w:tcPr>
          <w:p>
            <w:pPr>
              <w:autoSpaceDE w:val="0"/>
              <w:autoSpaceDN w:val="0"/>
              <w:jc w:val="center"/>
              <w:rPr>
                <w:rFonts w:cs="宋体"/>
                <w:color w:val="000000"/>
                <w:kern w:val="0"/>
                <w:sz w:val="21"/>
                <w:szCs w:val="21"/>
              </w:rPr>
            </w:pPr>
            <w:r>
              <w:rPr>
                <w:rFonts w:hint="eastAsia" w:cs="宋体"/>
                <w:color w:val="000000"/>
                <w:kern w:val="0"/>
                <w:sz w:val="21"/>
                <w:szCs w:val="21"/>
              </w:rPr>
              <w:t>排队系统</w:t>
            </w:r>
          </w:p>
        </w:tc>
        <w:tc>
          <w:tcPr>
            <w:tcW w:w="1916" w:type="pct"/>
          </w:tcPr>
          <w:p>
            <w:pPr>
              <w:autoSpaceDE w:val="0"/>
              <w:autoSpaceDN w:val="0"/>
              <w:jc w:val="center"/>
              <w:rPr>
                <w:rFonts w:cs="宋体"/>
                <w:color w:val="000000"/>
                <w:kern w:val="0"/>
                <w:sz w:val="21"/>
                <w:szCs w:val="21"/>
              </w:rPr>
            </w:pPr>
            <w:r>
              <w:rPr>
                <w:rFonts w:hint="eastAsia" w:cs="宋体"/>
                <w:color w:val="000000"/>
                <w:kern w:val="0"/>
                <w:sz w:val="21"/>
                <w:szCs w:val="21"/>
              </w:rPr>
              <w:t>10套</w:t>
            </w:r>
          </w:p>
        </w:tc>
      </w:tr>
    </w:tbl>
    <w:p>
      <w:pPr>
        <w:numPr>
          <w:ilvl w:val="0"/>
          <w:numId w:val="26"/>
        </w:numPr>
        <w:ind w:firstLine="480" w:firstLineChars="200"/>
        <w:rPr>
          <w:rFonts w:cs="宋体"/>
          <w:b/>
          <w:bCs/>
        </w:rPr>
      </w:pPr>
      <w:r>
        <w:rPr>
          <w:rFonts w:hint="eastAsia" w:cs="宋体"/>
          <w:b/>
          <w:bCs/>
        </w:rPr>
        <w:t>服务内容</w:t>
      </w:r>
    </w:p>
    <w:p>
      <w:pPr>
        <w:ind w:firstLine="480" w:firstLineChars="200"/>
        <w:rPr>
          <w:rFonts w:cs="宋体"/>
          <w:b/>
          <w:bCs/>
        </w:rPr>
      </w:pPr>
      <w:r>
        <w:rPr>
          <w:rFonts w:hint="eastAsia" w:cs="宋体"/>
          <w:b/>
          <w:bCs/>
        </w:rPr>
        <w:t>1.政务大厅信息系统维护</w:t>
      </w:r>
    </w:p>
    <w:p>
      <w:pPr>
        <w:autoSpaceDE w:val="0"/>
        <w:autoSpaceDN w:val="0"/>
        <w:ind w:firstLine="480" w:firstLineChars="200"/>
        <w:rPr>
          <w:rFonts w:cs="宋体"/>
          <w:color w:val="000000"/>
          <w:kern w:val="0"/>
        </w:rPr>
      </w:pPr>
      <w:r>
        <w:rPr>
          <w:rFonts w:hint="eastAsia" w:cs="宋体"/>
          <w:color w:val="000000"/>
          <w:kern w:val="0"/>
        </w:rPr>
        <w:t>政务大厅信息系统包含业务信息发布系统、触摸屏信息查询系统。服务内容包含各系统软硬件维护、网络维护、信息发布内容维护，功能补充性软件开发，信息设备每日开关机及巡检，制定完善的操作流程规范，编制操作手册，制定重要信息系统应急处理方案。</w:t>
      </w:r>
    </w:p>
    <w:p>
      <w:pPr>
        <w:ind w:firstLine="480" w:firstLineChars="200"/>
        <w:rPr>
          <w:rFonts w:cs="宋体"/>
          <w:b/>
          <w:bCs/>
        </w:rPr>
      </w:pPr>
      <w:r>
        <w:rPr>
          <w:rFonts w:hint="eastAsia" w:cs="宋体"/>
          <w:b/>
          <w:bCs/>
        </w:rPr>
        <w:t>2.计算机及外设维护</w:t>
      </w:r>
    </w:p>
    <w:p>
      <w:pPr>
        <w:autoSpaceDE w:val="0"/>
        <w:autoSpaceDN w:val="0"/>
        <w:ind w:firstLine="480" w:firstLineChars="200"/>
        <w:rPr>
          <w:rFonts w:cs="宋体"/>
          <w:color w:val="000000"/>
          <w:kern w:val="0"/>
        </w:rPr>
      </w:pPr>
      <w:r>
        <w:rPr>
          <w:rFonts w:hint="eastAsia" w:cs="宋体"/>
          <w:color w:val="000000"/>
          <w:kern w:val="0"/>
        </w:rPr>
        <w:t>2.1故障设备的诊断及送修。</w:t>
      </w:r>
    </w:p>
    <w:p>
      <w:pPr>
        <w:autoSpaceDE w:val="0"/>
        <w:autoSpaceDN w:val="0"/>
        <w:ind w:firstLine="480" w:firstLineChars="200"/>
        <w:rPr>
          <w:rFonts w:cs="宋体"/>
          <w:color w:val="000000"/>
          <w:kern w:val="0"/>
        </w:rPr>
      </w:pPr>
      <w:r>
        <w:rPr>
          <w:rFonts w:hint="eastAsia" w:cs="宋体"/>
          <w:color w:val="000000"/>
          <w:kern w:val="0"/>
        </w:rPr>
        <w:t>2.2操作系统安装及故障恢复。</w:t>
      </w:r>
    </w:p>
    <w:p>
      <w:pPr>
        <w:autoSpaceDE w:val="0"/>
        <w:autoSpaceDN w:val="0"/>
        <w:ind w:firstLine="480" w:firstLineChars="200"/>
        <w:rPr>
          <w:rFonts w:cs="宋体"/>
          <w:color w:val="000000"/>
          <w:kern w:val="0"/>
        </w:rPr>
      </w:pPr>
      <w:r>
        <w:rPr>
          <w:rFonts w:hint="eastAsia" w:cs="宋体"/>
          <w:color w:val="000000"/>
          <w:kern w:val="0"/>
        </w:rPr>
        <w:t>2.3应用软件安装及调试。</w:t>
      </w:r>
    </w:p>
    <w:p>
      <w:pPr>
        <w:autoSpaceDE w:val="0"/>
        <w:autoSpaceDN w:val="0"/>
        <w:ind w:firstLine="480" w:firstLineChars="200"/>
        <w:rPr>
          <w:rFonts w:cs="宋体"/>
          <w:color w:val="000000"/>
          <w:kern w:val="0"/>
        </w:rPr>
      </w:pPr>
      <w:r>
        <w:rPr>
          <w:rFonts w:hint="eastAsia" w:cs="宋体"/>
          <w:color w:val="000000"/>
          <w:kern w:val="0"/>
        </w:rPr>
        <w:t>2.4外设安装及调试，如打印机、扫描仪等。</w:t>
      </w:r>
    </w:p>
    <w:p>
      <w:pPr>
        <w:autoSpaceDE w:val="0"/>
        <w:autoSpaceDN w:val="0"/>
        <w:ind w:firstLine="480" w:firstLineChars="200"/>
        <w:rPr>
          <w:rFonts w:cs="宋体"/>
          <w:color w:val="000000"/>
          <w:kern w:val="0"/>
        </w:rPr>
      </w:pPr>
      <w:r>
        <w:rPr>
          <w:rFonts w:hint="eastAsia" w:cs="宋体"/>
          <w:color w:val="000000"/>
          <w:kern w:val="0"/>
        </w:rPr>
        <w:t>2.5硬件清洗，保持硬件清洁，有效保护硬盘等易损硬件，延长计算机寿命。</w:t>
      </w:r>
    </w:p>
    <w:p>
      <w:pPr>
        <w:autoSpaceDE w:val="0"/>
        <w:autoSpaceDN w:val="0"/>
        <w:ind w:firstLine="480" w:firstLineChars="200"/>
        <w:rPr>
          <w:rFonts w:cs="宋体"/>
          <w:color w:val="000000"/>
          <w:kern w:val="0"/>
        </w:rPr>
      </w:pPr>
      <w:r>
        <w:rPr>
          <w:rFonts w:hint="eastAsia" w:cs="宋体"/>
          <w:color w:val="000000"/>
          <w:kern w:val="0"/>
        </w:rPr>
        <w:t>2.6如果设备存在故障，需要更换配件时，对于保修期内设备，联系厂商进行及时免费更换及维修。对于部分出保的设备，应当由投标人提供维修或送修服务，维修所产生配件费用由采购人承担。</w:t>
      </w:r>
    </w:p>
    <w:p>
      <w:pPr>
        <w:ind w:firstLine="480" w:firstLineChars="200"/>
        <w:rPr>
          <w:rFonts w:cs="宋体"/>
          <w:b/>
          <w:bCs/>
        </w:rPr>
      </w:pPr>
      <w:r>
        <w:rPr>
          <w:rFonts w:hint="eastAsia" w:cs="宋体"/>
          <w:b/>
          <w:bCs/>
        </w:rPr>
        <w:t>3.计算机网络系统维护</w:t>
      </w:r>
    </w:p>
    <w:p>
      <w:pPr>
        <w:autoSpaceDE w:val="0"/>
        <w:autoSpaceDN w:val="0"/>
        <w:ind w:firstLine="480" w:firstLineChars="200"/>
        <w:rPr>
          <w:rFonts w:cs="宋体"/>
          <w:color w:val="000000"/>
          <w:kern w:val="0"/>
        </w:rPr>
      </w:pPr>
      <w:r>
        <w:rPr>
          <w:rFonts w:hint="eastAsia" w:cs="宋体"/>
          <w:color w:val="000000"/>
          <w:kern w:val="0"/>
        </w:rPr>
        <w:t>采购人网络拓扑结构为星型结构，主干采用千兆组网，分为核心层、汇聚层、接入层等三层结构。在成都房产大厦一、二期约有≥2000个网络接入点位，南区约有≥400个网络接入点，因工作需要必须在工作时间段内保证网络的畅通。投标人需详细了解网络构架，协助采购人方实施以下项目：</w:t>
      </w:r>
    </w:p>
    <w:p>
      <w:pPr>
        <w:autoSpaceDE w:val="0"/>
        <w:autoSpaceDN w:val="0"/>
        <w:ind w:firstLine="480" w:firstLineChars="200"/>
        <w:rPr>
          <w:rFonts w:cs="宋体"/>
          <w:color w:val="000000"/>
          <w:kern w:val="0"/>
        </w:rPr>
      </w:pPr>
      <w:r>
        <w:rPr>
          <w:rFonts w:hint="eastAsia" w:cs="宋体"/>
          <w:color w:val="000000"/>
          <w:kern w:val="0"/>
        </w:rPr>
        <w:t>3.1提供接入层网络设备的安装和更换服务，网络升级提供的技术服务（包括网络配置、线路调整等），定期巡检服务，定期配置备份服务。</w:t>
      </w:r>
    </w:p>
    <w:p>
      <w:pPr>
        <w:autoSpaceDE w:val="0"/>
        <w:autoSpaceDN w:val="0"/>
        <w:ind w:firstLine="480" w:firstLineChars="200"/>
        <w:rPr>
          <w:rFonts w:cs="宋体"/>
          <w:color w:val="000000"/>
          <w:kern w:val="0"/>
        </w:rPr>
      </w:pPr>
      <w:r>
        <w:rPr>
          <w:rFonts w:hint="eastAsia" w:cs="宋体"/>
          <w:color w:val="000000"/>
          <w:kern w:val="0"/>
        </w:rPr>
        <w:t>3.2提供网络设备的配置及调试服务，基于端口管理的日常维护（接入网计算机的网络管理）。</w:t>
      </w:r>
    </w:p>
    <w:p>
      <w:pPr>
        <w:autoSpaceDE w:val="0"/>
        <w:autoSpaceDN w:val="0"/>
        <w:ind w:firstLine="480" w:firstLineChars="200"/>
        <w:rPr>
          <w:rFonts w:cs="宋体"/>
          <w:color w:val="000000"/>
          <w:kern w:val="0"/>
        </w:rPr>
      </w:pPr>
      <w:r>
        <w:rPr>
          <w:rFonts w:hint="eastAsia" w:cs="宋体"/>
          <w:color w:val="000000"/>
          <w:kern w:val="0"/>
        </w:rPr>
        <w:t>3.3接入端网络防火墙的配置，安全访问策略的实施。</w:t>
      </w:r>
    </w:p>
    <w:p>
      <w:pPr>
        <w:autoSpaceDE w:val="0"/>
        <w:autoSpaceDN w:val="0"/>
        <w:ind w:firstLine="480" w:firstLineChars="200"/>
        <w:rPr>
          <w:rFonts w:cs="宋体"/>
          <w:color w:val="000000"/>
          <w:kern w:val="0"/>
        </w:rPr>
      </w:pPr>
      <w:r>
        <w:rPr>
          <w:rFonts w:hint="eastAsia" w:cs="宋体"/>
          <w:color w:val="000000"/>
          <w:kern w:val="0"/>
        </w:rPr>
        <w:t>3.4在发生线路故障时，网络链路故障排查。</w:t>
      </w:r>
    </w:p>
    <w:p>
      <w:pPr>
        <w:autoSpaceDE w:val="0"/>
        <w:autoSpaceDN w:val="0"/>
        <w:ind w:firstLine="480" w:firstLineChars="200"/>
        <w:rPr>
          <w:rFonts w:cs="宋体"/>
          <w:color w:val="000000"/>
          <w:kern w:val="0"/>
        </w:rPr>
      </w:pPr>
      <w:r>
        <w:rPr>
          <w:rFonts w:hint="eastAsia" w:cs="宋体"/>
          <w:color w:val="000000"/>
          <w:kern w:val="0"/>
        </w:rPr>
        <w:t>3.5网络设备清洁及运行健康状况检测</w:t>
      </w:r>
    </w:p>
    <w:p>
      <w:pPr>
        <w:ind w:firstLine="480" w:firstLineChars="200"/>
        <w:rPr>
          <w:rFonts w:cs="宋体"/>
          <w:b/>
          <w:bCs/>
        </w:rPr>
      </w:pPr>
      <w:r>
        <w:rPr>
          <w:rFonts w:hint="eastAsia" w:cs="宋体"/>
          <w:b/>
          <w:bCs/>
        </w:rPr>
        <w:t>4.中心机房维护</w:t>
      </w:r>
    </w:p>
    <w:p>
      <w:pPr>
        <w:autoSpaceDE w:val="0"/>
        <w:autoSpaceDN w:val="0"/>
        <w:ind w:firstLine="480" w:firstLineChars="200"/>
        <w:rPr>
          <w:rFonts w:cs="宋体"/>
          <w:color w:val="000000"/>
          <w:kern w:val="0"/>
        </w:rPr>
      </w:pPr>
      <w:r>
        <w:rPr>
          <w:rFonts w:hint="eastAsia" w:cs="宋体"/>
          <w:color w:val="000000"/>
          <w:kern w:val="0"/>
        </w:rPr>
        <w:t>应协助采购人进行对机房的维护工作。按采购人需求对服务器、网络设备的IP、用途等基本信息进行标注；对光纤、双绞线等各类线路进行整理标注并捆扎上架，不得随意放置。每天机房巡检服务。包括机房空调、服务器、存储等设备的运行状态记录，第一时间发现故障并上报协助解决。</w:t>
      </w:r>
    </w:p>
    <w:p>
      <w:pPr>
        <w:ind w:firstLine="480" w:firstLineChars="200"/>
        <w:rPr>
          <w:rFonts w:cs="宋体"/>
          <w:b/>
          <w:bCs/>
        </w:rPr>
      </w:pPr>
      <w:r>
        <w:rPr>
          <w:rFonts w:hint="eastAsia" w:cs="宋体"/>
          <w:b/>
          <w:bCs/>
        </w:rPr>
        <w:t>5.业务软件维护</w:t>
      </w:r>
    </w:p>
    <w:p>
      <w:pPr>
        <w:autoSpaceDE w:val="0"/>
        <w:autoSpaceDN w:val="0"/>
        <w:ind w:firstLine="480" w:firstLineChars="200"/>
        <w:rPr>
          <w:rFonts w:cs="宋体"/>
          <w:color w:val="000000"/>
          <w:kern w:val="0"/>
        </w:rPr>
      </w:pPr>
      <w:r>
        <w:rPr>
          <w:rFonts w:hint="eastAsia" w:cs="宋体"/>
          <w:color w:val="000000"/>
          <w:kern w:val="0"/>
        </w:rPr>
        <w:t>5.1业务软件客户端安装、配置、升级。</w:t>
      </w:r>
    </w:p>
    <w:p>
      <w:pPr>
        <w:autoSpaceDE w:val="0"/>
        <w:autoSpaceDN w:val="0"/>
        <w:ind w:firstLine="480" w:firstLineChars="200"/>
        <w:rPr>
          <w:rFonts w:cs="宋体"/>
          <w:color w:val="000000"/>
          <w:kern w:val="0"/>
        </w:rPr>
      </w:pPr>
      <w:r>
        <w:rPr>
          <w:rFonts w:hint="eastAsia" w:cs="宋体"/>
          <w:color w:val="000000"/>
          <w:kern w:val="0"/>
        </w:rPr>
        <w:t>5.2业务软件新版本测试。</w:t>
      </w:r>
    </w:p>
    <w:p>
      <w:pPr>
        <w:ind w:firstLine="480" w:firstLineChars="200"/>
        <w:rPr>
          <w:rFonts w:cs="宋体"/>
          <w:b/>
          <w:bCs/>
        </w:rPr>
      </w:pPr>
      <w:r>
        <w:rPr>
          <w:rFonts w:hint="eastAsia" w:cs="宋体"/>
          <w:b/>
          <w:bCs/>
        </w:rPr>
        <w:t>6.客户端计算机系统安全维护</w:t>
      </w:r>
    </w:p>
    <w:p>
      <w:pPr>
        <w:autoSpaceDE w:val="0"/>
        <w:autoSpaceDN w:val="0"/>
        <w:ind w:firstLine="480" w:firstLineChars="200"/>
        <w:rPr>
          <w:rFonts w:cs="宋体"/>
          <w:color w:val="000000"/>
          <w:kern w:val="0"/>
        </w:rPr>
      </w:pPr>
      <w:r>
        <w:rPr>
          <w:rFonts w:hint="eastAsia" w:cs="宋体"/>
          <w:color w:val="000000"/>
          <w:kern w:val="0"/>
        </w:rPr>
        <w:t>6.1客户端计算机杀毒软件安装维护服务，杀毒软件由采购人提供。</w:t>
      </w:r>
    </w:p>
    <w:p>
      <w:pPr>
        <w:autoSpaceDE w:val="0"/>
        <w:autoSpaceDN w:val="0"/>
        <w:ind w:firstLine="480" w:firstLineChars="200"/>
        <w:rPr>
          <w:rFonts w:cs="宋体"/>
          <w:color w:val="000000"/>
          <w:kern w:val="0"/>
        </w:rPr>
      </w:pPr>
      <w:r>
        <w:rPr>
          <w:rFonts w:hint="eastAsia" w:cs="宋体"/>
          <w:color w:val="000000"/>
          <w:kern w:val="0"/>
        </w:rPr>
        <w:t>6.2客户端计算机系统补丁更新和维护。</w:t>
      </w:r>
    </w:p>
    <w:p>
      <w:pPr>
        <w:numPr>
          <w:ilvl w:val="0"/>
          <w:numId w:val="26"/>
        </w:numPr>
        <w:ind w:firstLine="480" w:firstLineChars="200"/>
        <w:rPr>
          <w:rFonts w:cs="宋体"/>
          <w:b/>
          <w:bCs/>
        </w:rPr>
      </w:pPr>
      <w:r>
        <w:rPr>
          <w:rFonts w:hint="eastAsia" w:cs="宋体"/>
          <w:b/>
          <w:bCs/>
        </w:rPr>
        <w:t>服务要求</w:t>
      </w:r>
    </w:p>
    <w:p>
      <w:pPr>
        <w:autoSpaceDE w:val="0"/>
        <w:autoSpaceDN w:val="0"/>
        <w:ind w:firstLine="480" w:firstLineChars="200"/>
        <w:rPr>
          <w:rFonts w:cs="宋体"/>
          <w:color w:val="000000"/>
          <w:kern w:val="0"/>
        </w:rPr>
      </w:pPr>
      <w:r>
        <w:rPr>
          <w:rFonts w:hint="eastAsia" w:cs="宋体"/>
          <w:color w:val="000000"/>
          <w:kern w:val="0"/>
        </w:rPr>
        <w:t>1.投标人应当严格遵守网络使用制度以及信息系统使用规定，严禁泄漏采购人网络信息，未经采购人确认，投标人的服务人员不得对业务系统作任何操作。严禁利用业务系统违规办理业务。投标人应保证其公司人员在服务期间对其所接触的各种文件，数据、信息、系统资料，系统操作等严格遵守采购人保密制度，不得向第三方透露；按照各级公安机关对信息网络的安全要求，由投标人与采购人签订安全保密协议，落实采购方网络安全及信息保密的各项规定。</w:t>
      </w:r>
    </w:p>
    <w:p>
      <w:pPr>
        <w:autoSpaceDE w:val="0"/>
        <w:autoSpaceDN w:val="0"/>
        <w:ind w:firstLine="480" w:firstLineChars="200"/>
        <w:rPr>
          <w:rFonts w:cs="宋体"/>
          <w:color w:val="000000"/>
          <w:kern w:val="0"/>
        </w:rPr>
      </w:pPr>
      <w:r>
        <w:rPr>
          <w:rFonts w:hint="eastAsia" w:cs="宋体"/>
          <w:color w:val="000000"/>
          <w:kern w:val="0"/>
        </w:rPr>
        <w:t>2.投标人必须提供完善的服务管理体系及服务计划，并提供人员管理计划。针对本次项目制定完整的项目管理流程，并落实每个环节的接口人及责任人。</w:t>
      </w:r>
    </w:p>
    <w:p>
      <w:pPr>
        <w:autoSpaceDE w:val="0"/>
        <w:autoSpaceDN w:val="0"/>
        <w:ind w:firstLine="480" w:firstLineChars="200"/>
        <w:rPr>
          <w:rFonts w:cs="宋体"/>
          <w:color w:val="000000"/>
          <w:kern w:val="0"/>
        </w:rPr>
      </w:pPr>
      <w:r>
        <w:rPr>
          <w:rFonts w:hint="eastAsia" w:cs="宋体"/>
          <w:color w:val="000000"/>
          <w:kern w:val="0"/>
        </w:rPr>
        <w:t>3.投标人具体承担维护服务工作，提供6×8小时现场支持、7×24小时电话支持,承担计算机、打印机、网络故障及其它约定的服务范围内设备的技术支持服务。现场解决系统运行产生的故障，提供系统运维支持服务。</w:t>
      </w:r>
    </w:p>
    <w:p>
      <w:pPr>
        <w:autoSpaceDE w:val="0"/>
        <w:autoSpaceDN w:val="0"/>
        <w:ind w:firstLine="480" w:firstLineChars="200"/>
        <w:rPr>
          <w:rFonts w:cs="宋体"/>
          <w:color w:val="000000"/>
          <w:kern w:val="0"/>
        </w:rPr>
      </w:pPr>
      <w:r>
        <w:rPr>
          <w:rFonts w:hint="eastAsia" w:cs="宋体"/>
          <w:color w:val="000000"/>
          <w:kern w:val="0"/>
        </w:rPr>
        <w:t>4.提供不低于五人驻场服务，驻场服务团队技术人员要求：</w:t>
      </w:r>
    </w:p>
    <w:p>
      <w:pPr>
        <w:autoSpaceDE w:val="0"/>
        <w:autoSpaceDN w:val="0"/>
        <w:ind w:firstLine="480" w:firstLineChars="200"/>
        <w:rPr>
          <w:rFonts w:cs="宋体"/>
          <w:kern w:val="0"/>
        </w:rPr>
      </w:pPr>
      <w:r>
        <w:rPr>
          <w:rFonts w:hint="eastAsia" w:cs="宋体"/>
          <w:kern w:val="0"/>
        </w:rPr>
        <w:t>软件工程师：不低于1人，计算机相关专业毕业5年以上，能够整理文档，了解项目管理，熟悉c#,delphi，java , .NET , oracle , sql server。</w:t>
      </w:r>
    </w:p>
    <w:p>
      <w:pPr>
        <w:autoSpaceDE w:val="0"/>
        <w:autoSpaceDN w:val="0"/>
        <w:ind w:firstLine="480" w:firstLineChars="200"/>
        <w:rPr>
          <w:rFonts w:cs="宋体"/>
          <w:kern w:val="0"/>
        </w:rPr>
      </w:pPr>
      <w:r>
        <w:rPr>
          <w:rFonts w:hint="eastAsia" w:cs="宋体"/>
          <w:kern w:val="0"/>
        </w:rPr>
        <w:t>系统工程师：不低于2人，计算机相关专业毕业5年以上，熟悉Windows及Linux系列操作系统的安装、配置、排错，具有良好的理解与沟通能力，熟悉网络基本知识，掌握以太网络的安装与排障，具有一定的网络与系统安全知识，具有较好的学习能力与创新能力，取得任意厂商信创产品培训认证证书。</w:t>
      </w:r>
    </w:p>
    <w:p>
      <w:pPr>
        <w:autoSpaceDE w:val="0"/>
        <w:autoSpaceDN w:val="0"/>
        <w:ind w:firstLine="480" w:firstLineChars="200"/>
        <w:rPr>
          <w:rFonts w:cs="宋体"/>
          <w:kern w:val="0"/>
        </w:rPr>
      </w:pPr>
      <w:r>
        <w:rPr>
          <w:rFonts w:hint="eastAsia" w:cs="宋体"/>
          <w:kern w:val="0"/>
        </w:rPr>
        <w:t>硬件工程师：不低于1人，计算机相关专业毕业5年以上，具有不低于HCNA或同级别存储相关认证。熟悉联想、IBM、戴尔设备调试和维护，具有较强的安装调试、排错能力。熟悉计算机及相关外设的安装调试、排错。熟练掌握硬件产品的硬件结构、应用技术及产品性能，熟练使用各种测试的软硬件测试工具，能够独立搭建软硬件测试平台，并评价产品、写出产品的测试报告。</w:t>
      </w:r>
    </w:p>
    <w:p>
      <w:pPr>
        <w:autoSpaceDE w:val="0"/>
        <w:autoSpaceDN w:val="0"/>
        <w:ind w:firstLine="480" w:firstLineChars="200"/>
        <w:rPr>
          <w:rFonts w:cs="宋体"/>
          <w:kern w:val="0"/>
        </w:rPr>
      </w:pPr>
      <w:r>
        <w:rPr>
          <w:rFonts w:hint="eastAsia" w:cs="宋体"/>
          <w:kern w:val="0"/>
        </w:rPr>
        <w:t>网络工程师：不低于1人，计算机相关专业毕业5年以上，具有不低于HCNP或同级别网络相关认证。熟悉思科、H3C设备调试和维护，具有较强的安装调试、排错能力。熟练使用各种测试工具，分析问题并排除故障，能够独立完成网络架构工作。</w:t>
      </w:r>
    </w:p>
    <w:p>
      <w:pPr>
        <w:autoSpaceDE w:val="0"/>
        <w:autoSpaceDN w:val="0"/>
        <w:ind w:firstLine="480" w:firstLineChars="200"/>
        <w:rPr>
          <w:rFonts w:cs="宋体"/>
          <w:kern w:val="0"/>
        </w:rPr>
      </w:pPr>
      <w:r>
        <w:rPr>
          <w:rFonts w:hint="eastAsia" w:cs="宋体"/>
          <w:kern w:val="0"/>
        </w:rPr>
        <w:t>5.为保证房产办证大厅的业务正常办理，应建立完善核心数据库及应用系统的事前检查制度：</w:t>
      </w:r>
    </w:p>
    <w:p>
      <w:pPr>
        <w:autoSpaceDE w:val="0"/>
        <w:autoSpaceDN w:val="0"/>
        <w:ind w:firstLine="480" w:firstLineChars="200"/>
        <w:rPr>
          <w:rFonts w:cs="宋体"/>
          <w:kern w:val="0"/>
        </w:rPr>
      </w:pPr>
      <w:r>
        <w:rPr>
          <w:rFonts w:hint="eastAsia" w:cs="宋体"/>
          <w:kern w:val="0"/>
        </w:rPr>
        <w:t>5.1每日检查：每天8：30前派专人进行检查。并按工作时间对政务大厅信息设备开关机及保养；</w:t>
      </w:r>
    </w:p>
    <w:p>
      <w:pPr>
        <w:autoSpaceDE w:val="0"/>
        <w:autoSpaceDN w:val="0"/>
        <w:ind w:firstLine="480" w:firstLineChars="200"/>
        <w:rPr>
          <w:rFonts w:cs="宋体"/>
          <w:kern w:val="0"/>
        </w:rPr>
      </w:pPr>
      <w:r>
        <w:rPr>
          <w:rFonts w:hint="eastAsia" w:cs="宋体"/>
          <w:kern w:val="0"/>
        </w:rPr>
        <w:t>5.2无休日工作制：由于采购人实施无休日工作制，投标人必须按照采购人工作时间安排值班人员，在节假日期间完全按照正常工作时间安排工作，保障采购人对外服务满意度。</w:t>
      </w:r>
    </w:p>
    <w:p>
      <w:pPr>
        <w:autoSpaceDE w:val="0"/>
        <w:autoSpaceDN w:val="0"/>
        <w:ind w:firstLine="480" w:firstLineChars="200"/>
        <w:rPr>
          <w:rFonts w:cs="宋体"/>
          <w:kern w:val="0"/>
        </w:rPr>
      </w:pPr>
      <w:r>
        <w:rPr>
          <w:rFonts w:hint="eastAsia" w:cs="宋体"/>
          <w:kern w:val="0"/>
        </w:rPr>
        <w:t>5.3若检查人员发现故障无法解决，应立即通知相关人员进行抢修。</w:t>
      </w:r>
    </w:p>
    <w:p>
      <w:pPr>
        <w:autoSpaceDE w:val="0"/>
        <w:autoSpaceDN w:val="0"/>
        <w:ind w:firstLine="480" w:firstLineChars="200"/>
        <w:rPr>
          <w:rFonts w:cs="宋体"/>
          <w:kern w:val="0"/>
        </w:rPr>
      </w:pPr>
      <w:r>
        <w:rPr>
          <w:rFonts w:hint="eastAsia" w:cs="宋体"/>
          <w:kern w:val="0"/>
        </w:rPr>
        <w:t>6.成都市住建部门内部系统发生故障应当在5分钟内响应，区市县住建部门系统发生故障应在3小时内到达现场。</w:t>
      </w:r>
    </w:p>
    <w:p>
      <w:pPr>
        <w:autoSpaceDE w:val="0"/>
        <w:autoSpaceDN w:val="0"/>
        <w:ind w:firstLine="480" w:firstLineChars="200"/>
        <w:rPr>
          <w:rFonts w:cs="宋体"/>
          <w:kern w:val="0"/>
        </w:rPr>
      </w:pPr>
      <w:r>
        <w:rPr>
          <w:rFonts w:hint="eastAsia" w:cs="宋体"/>
          <w:kern w:val="0"/>
        </w:rPr>
        <w:t>7.当采购人系统发生故障，投标人驻场工程师无法解决且远程技术支持无效时，应采购人的要求，投标人应派遣有专业经验的技术人员前往采购人现场进行故障会诊。这些技术人员可以是投标人技术人员，也可以是投标人聘请的原厂商或其它专业单位的技术人员，由此产生的一切费用由投标人自行承担。</w:t>
      </w:r>
    </w:p>
    <w:p>
      <w:pPr>
        <w:autoSpaceDE w:val="0"/>
        <w:autoSpaceDN w:val="0"/>
        <w:ind w:firstLine="480" w:firstLineChars="200"/>
        <w:rPr>
          <w:rFonts w:cs="宋体"/>
          <w:kern w:val="0"/>
        </w:rPr>
      </w:pPr>
      <w:r>
        <w:rPr>
          <w:rFonts w:hint="eastAsia" w:cs="宋体"/>
          <w:kern w:val="0"/>
        </w:rPr>
        <w:t>8.投标人应具备一定数量的备用设备及备品备件，备品备件须放于采购人指定地点，如电脑整机、硬盘、内存、主板、键鼠、电源，在发生故障时能及时保障窗口业务的正常开展。</w:t>
      </w:r>
    </w:p>
    <w:p>
      <w:pPr>
        <w:autoSpaceDE w:val="0"/>
        <w:autoSpaceDN w:val="0"/>
        <w:ind w:firstLine="480" w:firstLineChars="200"/>
        <w:rPr>
          <w:rFonts w:cs="宋体"/>
          <w:kern w:val="0"/>
        </w:rPr>
      </w:pPr>
      <w:r>
        <w:rPr>
          <w:rFonts w:hint="eastAsia" w:cs="宋体"/>
          <w:kern w:val="0"/>
        </w:rPr>
        <w:t>9.驻场技术人员要求统一着正装，佩戴工作牌。</w:t>
      </w:r>
    </w:p>
    <w:p>
      <w:pPr>
        <w:autoSpaceDE w:val="0"/>
        <w:autoSpaceDN w:val="0"/>
        <w:ind w:firstLine="480" w:firstLineChars="200"/>
        <w:rPr>
          <w:rFonts w:cs="宋体"/>
          <w:kern w:val="0"/>
        </w:rPr>
      </w:pPr>
      <w:r>
        <w:rPr>
          <w:rFonts w:hint="eastAsia" w:cs="宋体"/>
          <w:kern w:val="0"/>
        </w:rPr>
        <w:t xml:space="preserve">10.每季度末提供完善的季度服务报告，报告作为考核内容的一部分。 </w:t>
      </w:r>
    </w:p>
    <w:p>
      <w:pPr>
        <w:autoSpaceDE w:val="0"/>
        <w:autoSpaceDN w:val="0"/>
        <w:ind w:firstLine="480" w:firstLineChars="200"/>
        <w:rPr>
          <w:rFonts w:cs="宋体"/>
          <w:kern w:val="0"/>
        </w:rPr>
      </w:pPr>
      <w:r>
        <w:rPr>
          <w:rFonts w:hint="eastAsia" w:cs="宋体"/>
          <w:kern w:val="0"/>
        </w:rPr>
        <w:t>注：政府采购合同签订前，投标人应向采购人提交拟派人员近1年来在职证明及人员相关证书原件，以及拟派人员与投标人签订的针对本项目保密协议。</w:t>
      </w:r>
    </w:p>
    <w:p>
      <w:pPr>
        <w:numPr>
          <w:ilvl w:val="1"/>
          <w:numId w:val="25"/>
        </w:numPr>
        <w:wordWrap w:val="0"/>
        <w:topLinePunct/>
        <w:ind w:firstLine="480" w:firstLineChars="200"/>
        <w:outlineLvl w:val="1"/>
        <w:rPr>
          <w:b/>
          <w:bCs/>
        </w:rPr>
      </w:pPr>
      <w:bookmarkStart w:id="995" w:name="_Toc32258"/>
      <w:bookmarkStart w:id="996" w:name="_Toc20339"/>
      <w:r>
        <w:rPr>
          <w:rFonts w:hint="eastAsia"/>
          <w:b/>
          <w:bCs/>
        </w:rPr>
        <w:t>与评分标准对应的内容</w:t>
      </w:r>
      <w:bookmarkEnd w:id="995"/>
      <w:bookmarkEnd w:id="996"/>
    </w:p>
    <w:p>
      <w:pPr>
        <w:numPr>
          <w:ilvl w:val="0"/>
          <w:numId w:val="27"/>
        </w:numPr>
        <w:tabs>
          <w:tab w:val="clear" w:pos="312"/>
        </w:tabs>
        <w:autoSpaceDE w:val="0"/>
        <w:autoSpaceDN w:val="0"/>
        <w:ind w:firstLine="480" w:firstLineChars="200"/>
        <w:rPr>
          <w:rFonts w:cs="宋体"/>
          <w:kern w:val="0"/>
        </w:rPr>
      </w:pPr>
      <w:r>
        <w:rPr>
          <w:rFonts w:hint="eastAsia" w:cs="宋体"/>
          <w:kern w:val="0"/>
        </w:rPr>
        <w:t>供应商根据项目采购需求，结合自身实际情况拟定针对本项目的实施方案(包含：①</w:t>
      </w:r>
      <w:r>
        <w:rPr>
          <w:rFonts w:hint="eastAsia" w:cs="宋体"/>
          <w:kern w:val="0"/>
          <w:lang w:val="zh-CN"/>
        </w:rPr>
        <w:t>政务大厅信息系统维护</w:t>
      </w:r>
      <w:r>
        <w:rPr>
          <w:rFonts w:hint="eastAsia" w:cs="宋体"/>
          <w:kern w:val="0"/>
        </w:rPr>
        <w:t>；②</w:t>
      </w:r>
      <w:r>
        <w:rPr>
          <w:rFonts w:hint="eastAsia" w:cs="宋体"/>
          <w:kern w:val="0"/>
          <w:lang w:val="zh-CN"/>
        </w:rPr>
        <w:t>计算机及外设维护</w:t>
      </w:r>
      <w:r>
        <w:rPr>
          <w:rFonts w:hint="eastAsia" w:cs="宋体"/>
          <w:kern w:val="0"/>
        </w:rPr>
        <w:t>；③</w:t>
      </w:r>
      <w:r>
        <w:rPr>
          <w:rFonts w:hint="eastAsia" w:cs="宋体"/>
          <w:kern w:val="0"/>
          <w:lang w:val="zh-CN"/>
        </w:rPr>
        <w:t>计算机网络系统维护</w:t>
      </w:r>
      <w:r>
        <w:rPr>
          <w:rFonts w:hint="eastAsia" w:cs="宋体"/>
          <w:kern w:val="0"/>
        </w:rPr>
        <w:t>；④</w:t>
      </w:r>
      <w:r>
        <w:rPr>
          <w:rFonts w:hint="eastAsia" w:cs="宋体"/>
          <w:kern w:val="0"/>
          <w:lang w:val="zh-CN"/>
        </w:rPr>
        <w:t>中心机房维护</w:t>
      </w:r>
      <w:r>
        <w:rPr>
          <w:rFonts w:hint="eastAsia" w:cs="宋体"/>
          <w:kern w:val="0"/>
        </w:rPr>
        <w:t>；⑤</w:t>
      </w:r>
      <w:r>
        <w:rPr>
          <w:rFonts w:hint="eastAsia" w:cs="宋体"/>
          <w:kern w:val="0"/>
          <w:lang w:val="zh-CN"/>
        </w:rPr>
        <w:t>业务软件维护</w:t>
      </w:r>
      <w:r>
        <w:rPr>
          <w:rFonts w:hint="eastAsia" w:cs="宋体"/>
          <w:kern w:val="0"/>
        </w:rPr>
        <w:t>；⑥</w:t>
      </w:r>
      <w:r>
        <w:rPr>
          <w:rFonts w:hint="eastAsia" w:cs="宋体"/>
          <w:kern w:val="0"/>
          <w:lang w:val="zh-CN"/>
        </w:rPr>
        <w:t>客户端计算机系统安全维护</w:t>
      </w:r>
      <w:r>
        <w:rPr>
          <w:rFonts w:hint="eastAsia" w:cs="宋体"/>
          <w:kern w:val="0"/>
        </w:rPr>
        <w:t>等)。</w:t>
      </w:r>
    </w:p>
    <w:p>
      <w:pPr>
        <w:numPr>
          <w:ilvl w:val="0"/>
          <w:numId w:val="27"/>
        </w:numPr>
        <w:tabs>
          <w:tab w:val="clear" w:pos="312"/>
        </w:tabs>
        <w:autoSpaceDE w:val="0"/>
        <w:autoSpaceDN w:val="0"/>
        <w:ind w:firstLine="480" w:firstLineChars="200"/>
        <w:rPr>
          <w:rFonts w:cs="宋体"/>
          <w:kern w:val="0"/>
        </w:rPr>
      </w:pPr>
      <w:r>
        <w:rPr>
          <w:rFonts w:hint="eastAsia" w:cs="宋体"/>
          <w:kern w:val="0"/>
        </w:rPr>
        <w:t>供应商根据项目采购需求，结合自身实际情况拟定针对本项目的维护文档方案(包含：①文档维护的范围；②时间安排；③档案完整程度等)。</w:t>
      </w:r>
    </w:p>
    <w:p>
      <w:pPr>
        <w:numPr>
          <w:ilvl w:val="0"/>
          <w:numId w:val="27"/>
        </w:numPr>
        <w:tabs>
          <w:tab w:val="clear" w:pos="312"/>
        </w:tabs>
        <w:autoSpaceDE w:val="0"/>
        <w:autoSpaceDN w:val="0"/>
        <w:ind w:firstLine="480" w:firstLineChars="200"/>
        <w:rPr>
          <w:rFonts w:cs="宋体"/>
          <w:kern w:val="0"/>
        </w:rPr>
      </w:pPr>
      <w:r>
        <w:rPr>
          <w:rFonts w:hint="eastAsia" w:cs="宋体"/>
          <w:kern w:val="0"/>
        </w:rPr>
        <w:t>投标人具有相关专业人员、专业技术能力等履约能力。</w:t>
      </w:r>
    </w:p>
    <w:p>
      <w:pPr>
        <w:numPr>
          <w:ilvl w:val="1"/>
          <w:numId w:val="25"/>
        </w:numPr>
        <w:wordWrap w:val="0"/>
        <w:topLinePunct/>
        <w:ind w:firstLine="480" w:firstLineChars="200"/>
        <w:outlineLvl w:val="1"/>
        <w:rPr>
          <w:b/>
        </w:rPr>
      </w:pPr>
      <w:bookmarkStart w:id="997" w:name="_Toc1730"/>
      <w:bookmarkStart w:id="998" w:name="_Toc3071"/>
      <w:bookmarkStart w:id="999" w:name="_Toc24315"/>
      <w:bookmarkStart w:id="1000" w:name="_Toc28171"/>
      <w:r>
        <w:rPr>
          <w:rFonts w:hint="eastAsia"/>
          <w:b/>
          <w:bCs/>
        </w:rPr>
        <w:t>※</w:t>
      </w:r>
      <w:r>
        <w:rPr>
          <w:rFonts w:hint="eastAsia"/>
          <w:b/>
        </w:rPr>
        <w:t>商务要求</w:t>
      </w:r>
      <w:bookmarkEnd w:id="997"/>
      <w:bookmarkEnd w:id="998"/>
      <w:bookmarkEnd w:id="999"/>
      <w:bookmarkEnd w:id="1000"/>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服务期限及履约地点</w:t>
      </w:r>
    </w:p>
    <w:p>
      <w:pPr>
        <w:pStyle w:val="30"/>
        <w:numPr>
          <w:ilvl w:val="4"/>
          <w:numId w:val="0"/>
        </w:numPr>
        <w:adjustRightInd/>
        <w:snapToGrid/>
        <w:spacing w:before="0" w:after="0" w:line="440" w:lineRule="exact"/>
        <w:ind w:firstLine="480" w:firstLineChars="200"/>
        <w:outlineLvl w:val="9"/>
        <w:rPr>
          <w:rFonts w:asciiTheme="minorEastAsia" w:hAnsiTheme="minorEastAsia" w:eastAsiaTheme="minorEastAsia" w:cstheme="minorEastAsia"/>
          <w:b w:val="0"/>
          <w:bCs/>
          <w:szCs w:val="24"/>
        </w:rPr>
      </w:pPr>
      <w:r>
        <w:rPr>
          <w:rFonts w:hint="eastAsia" w:asciiTheme="minorEastAsia" w:hAnsiTheme="minorEastAsia" w:eastAsiaTheme="minorEastAsia" w:cstheme="minorEastAsia"/>
          <w:b w:val="0"/>
          <w:bCs/>
          <w:szCs w:val="24"/>
        </w:rPr>
        <w:t>1.服务期限：政府采购合同签订生效后1年。</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2.履约地点：采购人指定地点。</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付款方式</w:t>
      </w:r>
    </w:p>
    <w:p>
      <w:pPr>
        <w:autoSpaceDE w:val="0"/>
        <w:autoSpaceDN w:val="0"/>
        <w:spacing w:line="360" w:lineRule="auto"/>
        <w:ind w:left="120" w:firstLine="480" w:firstLineChars="200"/>
        <w:rPr>
          <w:rFonts w:asciiTheme="minorEastAsia" w:hAnsiTheme="minorEastAsia" w:eastAsiaTheme="minorEastAsia" w:cstheme="minorEastAsia"/>
        </w:rPr>
      </w:pPr>
      <w:r>
        <w:rPr>
          <w:rFonts w:hint="eastAsia" w:cs="宋体"/>
          <w:kern w:val="0"/>
        </w:rPr>
        <w:t>1.采购人收到中标人履约保证金后20个工作日内向中标人支付25%合同金额，服务期第4、7、10月分别向中标人支付25%合同金额。履约保证金将在项目服务期满后，经采购人评审服务合格后无息退还。</w:t>
      </w:r>
    </w:p>
    <w:p>
      <w:pPr>
        <w:tabs>
          <w:tab w:val="left" w:pos="312"/>
          <w:tab w:val="clear" w:pos="0"/>
        </w:tabs>
        <w:adjustRightInd/>
        <w:snapToGrid/>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2.每次付款前，中标人须向采购人出具合法有效完整的增值税发票及凭证资料进行支付结算。</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合同价款</w:t>
      </w:r>
    </w:p>
    <w:p>
      <w:pPr>
        <w:pStyle w:val="30"/>
        <w:spacing w:before="0" w:after="0" w:line="440" w:lineRule="exact"/>
        <w:ind w:firstLine="480" w:firstLineChars="200"/>
        <w:outlineLvl w:val="9"/>
        <w:rPr>
          <w:rFonts w:ascii="宋体" w:hAnsi="宋体" w:eastAsia="宋体"/>
          <w:b w:val="0"/>
          <w:bCs/>
          <w:kern w:val="2"/>
          <w:szCs w:val="24"/>
        </w:rPr>
      </w:pPr>
      <w:r>
        <w:rPr>
          <w:rFonts w:hint="eastAsia" w:ascii="宋体" w:hAnsi="宋体" w:eastAsia="宋体"/>
          <w:b w:val="0"/>
          <w:bCs/>
          <w:kern w:val="2"/>
          <w:szCs w:val="24"/>
        </w:rPr>
        <w:t>包括人工劳务、备品备件、安装、调试、耗材、检测、保险、培训、风险、利润、招标代理服务费以及招标文件规定的一切费用。</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项目验收方法和标准</w:t>
      </w:r>
    </w:p>
    <w:p>
      <w:pPr>
        <w:adjustRightInd/>
        <w:snapToGrid/>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1.按照《财政部关于进一步加强政府采购需求和履约验收管理的指导意见》（财库〔2016〕205号）进行验收。</w:t>
      </w:r>
    </w:p>
    <w:p>
      <w:pPr>
        <w:adjustRightInd/>
        <w:snapToGrid/>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2.由采购人组织履约验收小组，开展项目验收工作，达到国家相关标准、行业标准、地方标准或者其他标准、规范要求为标准，按照《招标文件》、《投标文件》和双方签订的《采购合同》，审查项目资料完备性、规范性情况，审查项目履行合同、《招标文件》和《投标文件》情况，审查所有服务质量、性能、安全性以及各项技术指标完成情况，对供应商履约情况进行验收，出具验收报告；</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违约责任</w:t>
      </w:r>
    </w:p>
    <w:p>
      <w:pPr>
        <w:adjustRightInd/>
        <w:snapToGrid/>
        <w:ind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1.供应商必须遵守采购合同并执行合同中的各项规定，保证采购合同的正常履行。</w:t>
      </w:r>
    </w:p>
    <w:p>
      <w:pPr>
        <w:adjustRightInd/>
        <w:snapToGrid/>
        <w:ind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adjustRightInd/>
        <w:snapToGrid/>
        <w:ind w:firstLine="480" w:firstLineChars="200"/>
        <w:jc w:val="both"/>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bCs/>
          <w:color w:val="000000" w:themeColor="text1"/>
          <w:szCs w:val="22"/>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供应商必须遵守采购合同按时完成合同相关工作，若由于供应商原因导致合同迟延履</w:t>
      </w:r>
      <w:r>
        <w:rPr>
          <w:rFonts w:hint="eastAsia" w:asciiTheme="minorEastAsia" w:hAnsiTheme="minorEastAsia" w:eastAsiaTheme="minorEastAsia" w:cstheme="minorEastAsia"/>
          <w:color w:val="000000" w:themeColor="text1"/>
          <w:spacing w:val="-6"/>
          <w14:textFill>
            <w14:solidFill>
              <w14:schemeClr w14:val="tx1"/>
            </w14:solidFill>
          </w14:textFill>
        </w:rPr>
        <w:t>行，供应商应承担采购合同中约定的罚金。</w:t>
      </w:r>
    </w:p>
    <w:p>
      <w:pPr>
        <w:adjustRightInd/>
        <w:snapToGrid/>
        <w:ind w:firstLine="480" w:firstLineChars="200"/>
        <w:jc w:val="both"/>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bCs/>
          <w:color w:val="000000" w:themeColor="text1"/>
          <w:szCs w:val="22"/>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5.有下列情形之一的，当事人可以解除合同：</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5.1因不可抗力致使不能实现合同目的(由于非供应商或采购人原因，致使合同实质性条款无法实现的)；</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5.2当事人一方迟延履行主要债务，经催告后在合理期限内仍未履行；</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5.3当事人一方迟延履行债务或者有其他违约行为致使不能实现合同目的；</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5.4法律规定的其他情形。</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解决争议的方法</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合同履行期间，若双方发生争议，可协商或由有关部门调解解决，协商或调解不成的，向项目所在地人民法院起诉。</w:t>
      </w:r>
    </w:p>
    <w:p>
      <w:pPr>
        <w:numPr>
          <w:ilvl w:val="0"/>
          <w:numId w:val="28"/>
        </w:numPr>
        <w:tabs>
          <w:tab w:val="left" w:pos="312"/>
          <w:tab w:val="clear" w:pos="0"/>
        </w:tabs>
        <w:adjustRightInd/>
        <w:snapToGrid/>
        <w:rPr>
          <w:rFonts w:asciiTheme="minorEastAsia" w:hAnsiTheme="minorEastAsia" w:eastAsiaTheme="minorEastAsia" w:cstheme="minorEastAsia"/>
          <w:b/>
          <w:bCs/>
        </w:rPr>
      </w:pPr>
      <w:bookmarkStart w:id="1001" w:name="_Toc32286_WPSOffice_Level2"/>
      <w:bookmarkStart w:id="1002" w:name="_Toc20781"/>
      <w:bookmarkStart w:id="1003" w:name="_Toc27313"/>
      <w:r>
        <w:rPr>
          <w:rFonts w:hint="eastAsia" w:asciiTheme="minorEastAsia" w:hAnsiTheme="minorEastAsia" w:eastAsiaTheme="minorEastAsia" w:cstheme="minorEastAsia"/>
          <w:b/>
          <w:bCs/>
        </w:rPr>
        <w:t>考核标准及方式</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对于年度维护的考核工作，采购人将以季度为时间单位，进行各项指标考核，并根据达标情况作为退还履约保证金的依据之一，评定工作由采购人技术部门牵头实施。季度考核结果采用评定得分的方式表示，满分为100分，评定得分采用四舍五入取整后应用。根据评定结果95－100分为优秀，采购人将按照合同约定全额支付服务费用。85－94分为良好，采购人将按照95分为基数，每低1分扣除履约保证金比例5%的违约金。70－84分为合格，采购人在扣除至85分违约金后再对低于85分，按照每1分扣除履约保证金比例10%的违约金后向供应商支付服务费用。70分以下视为不合格，采购人有权提出终止合同，同时供应商应支付采购人自行寻求解决服务问题的所有其他花费，并承担合同约定的其他违约责任。对于违反服务要求第一条规定的，一经查实，本期评定得分为0分，采购人有权提出终止合同, 并依法追究当事人相关法律责任，同时供应商向采购人支付违约金（合同总额20%）。</w:t>
      </w:r>
    </w:p>
    <w:p>
      <w:pPr>
        <w:ind w:firstLine="480" w:firstLineChars="200"/>
        <w:rPr>
          <w:rFonts w:ascii="Arial" w:hAnsi="Arial" w:cs="黑体" w:eastAsiaTheme="minorEastAsia"/>
          <w:b/>
          <w:bCs/>
          <w:sz w:val="21"/>
          <w:szCs w:val="21"/>
        </w:rPr>
      </w:pPr>
      <w:r>
        <w:rPr>
          <w:rFonts w:hint="eastAsia" w:asciiTheme="minorEastAsia" w:hAnsiTheme="minorEastAsia" w:eastAsiaTheme="minorEastAsia" w:cstheme="minorEastAsia"/>
          <w:b/>
          <w:bCs/>
        </w:rPr>
        <w:t>注：考核标准详见本章附件。</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其他要求</w:t>
      </w:r>
      <w:bookmarkEnd w:id="1001"/>
      <w:bookmarkEnd w:id="1002"/>
      <w:bookmarkEnd w:id="1003"/>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1.政府采购合同签订时间：供应商自中标通知书发出之日起30日内与采购人签订政府采购合同。</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2.供应商应保证所提供的货物、服务或其任何一部分均不会侵犯任何第三方的专利权、商标权或著作权。</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3.供应商在项目执行过程中定期及时向采购人通告本项目供货的重大事项及其进度。</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4.接受项目行业管理部门及政府有关部门的指导，接受采购人的监督。</w:t>
      </w:r>
    </w:p>
    <w:bookmarkEnd w:id="989"/>
    <w:bookmarkEnd w:id="990"/>
    <w:bookmarkEnd w:id="991"/>
    <w:bookmarkEnd w:id="992"/>
    <w:bookmarkEnd w:id="993"/>
    <w:bookmarkEnd w:id="994"/>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5.供应商投标文件中响应的人员应与项目后期实施人员一致，否则采购人有权要求更换。</w:t>
      </w:r>
    </w:p>
    <w:p>
      <w:pPr>
        <w:ind w:firstLine="480" w:firstLineChars="200"/>
        <w:rPr>
          <w:rFonts w:asciiTheme="minorEastAsia" w:hAnsiTheme="minorEastAsia" w:eastAsiaTheme="minorEastAsia" w:cstheme="minorEastAsia"/>
          <w:b/>
          <w:bCs/>
        </w:rPr>
      </w:pPr>
      <w:r>
        <w:rPr>
          <w:rFonts w:hint="eastAsia" w:asciiTheme="minorEastAsia" w:hAnsiTheme="minorEastAsia" w:eastAsiaTheme="minorEastAsia" w:cstheme="minorEastAsia"/>
        </w:rPr>
        <w:t>6</w:t>
      </w:r>
      <w:r>
        <w:rPr>
          <w:rFonts w:asciiTheme="minorEastAsia" w:hAnsiTheme="minorEastAsia" w:eastAsiaTheme="minorEastAsia" w:cstheme="minorEastAsia"/>
        </w:rPr>
        <w:t>.</w:t>
      </w:r>
      <w:r>
        <w:rPr>
          <w:rFonts w:hint="eastAsia" w:asciiTheme="minorEastAsia" w:hAnsiTheme="minorEastAsia" w:eastAsiaTheme="minorEastAsia" w:cstheme="minorEastAsia"/>
        </w:rPr>
        <w:t>供应商中标后应按采购人要求与采购人签订保密协议。</w:t>
      </w:r>
    </w:p>
    <w:p>
      <w:pPr>
        <w:pStyle w:val="50"/>
        <w:ind w:firstLine="482"/>
        <w:rPr>
          <w:rFonts w:cs="宋体"/>
          <w:bCs/>
        </w:rPr>
        <w:sectPr>
          <w:pgSz w:w="11905" w:h="16838"/>
          <w:pgMar w:top="1080" w:right="1440" w:bottom="1080" w:left="1440" w:header="851" w:footer="1077" w:gutter="0"/>
          <w:pgNumType w:start="1"/>
          <w:cols w:space="720" w:num="1"/>
          <w:docGrid w:type="linesAndChars" w:linePitch="313" w:charSpace="0"/>
        </w:sectPr>
      </w:pPr>
      <w:r>
        <w:rPr>
          <w:rFonts w:hint="eastAsia"/>
        </w:rPr>
        <w:t>注意：本章带“※”号条款为实质性要求，投标人若未满足的，将被视为无效投标。</w:t>
      </w:r>
    </w:p>
    <w:bookmarkEnd w:id="968"/>
    <w:bookmarkEnd w:id="969"/>
    <w:bookmarkEnd w:id="970"/>
    <w:p>
      <w:pPr>
        <w:pStyle w:val="51"/>
        <w:numPr>
          <w:ilvl w:val="0"/>
          <w:numId w:val="3"/>
        </w:numPr>
        <w:spacing w:before="120" w:after="120"/>
      </w:pPr>
      <w:bookmarkStart w:id="1004" w:name="_Toc32447"/>
      <w:bookmarkStart w:id="1005" w:name="_Toc10570"/>
      <w:bookmarkStart w:id="1006" w:name="_Toc11638"/>
      <w:bookmarkStart w:id="1007" w:name="_Toc483"/>
      <w:bookmarkStart w:id="1008" w:name="_Toc319440188"/>
      <w:bookmarkStart w:id="1009" w:name="_Toc307564896"/>
      <w:bookmarkStart w:id="1010" w:name="_Toc309897563"/>
      <w:bookmarkStart w:id="1011" w:name="_Toc11039"/>
      <w:bookmarkStart w:id="1012" w:name="_Toc308084645"/>
      <w:bookmarkStart w:id="1013" w:name="_Toc208849007"/>
      <w:bookmarkStart w:id="1014" w:name="_Toc308188198"/>
      <w:bookmarkStart w:id="1015" w:name="_Toc3881"/>
      <w:bookmarkStart w:id="1016" w:name="_Toc183682415"/>
      <w:bookmarkStart w:id="1017" w:name="_Toc217446097"/>
      <w:bookmarkStart w:id="1018" w:name="_Toc25435"/>
      <w:bookmarkStart w:id="1019" w:name="_Toc4553"/>
      <w:bookmarkStart w:id="1020" w:name="_Toc319439946"/>
      <w:bookmarkStart w:id="1021" w:name="_Toc2232"/>
      <w:bookmarkStart w:id="1022" w:name="_Toc21302"/>
      <w:bookmarkStart w:id="1023" w:name="_Toc26923"/>
      <w:bookmarkStart w:id="1024" w:name="_Toc327196339"/>
      <w:bookmarkStart w:id="1025" w:name="_Toc307501154"/>
      <w:bookmarkStart w:id="1026" w:name="_Toc25959"/>
      <w:bookmarkStart w:id="1027" w:name="_Toc1543"/>
      <w:bookmarkStart w:id="1028" w:name="_Toc183582280"/>
      <w:r>
        <w:rPr>
          <w:rFonts w:hint="eastAsia"/>
        </w:rPr>
        <w:t>评标办法</w:t>
      </w:r>
      <w:bookmarkEnd w:id="1004"/>
      <w:bookmarkEnd w:id="1005"/>
      <w:bookmarkEnd w:id="1006"/>
      <w:bookmarkStart w:id="1029" w:name="_Hlt101846155"/>
      <w:bookmarkEnd w:id="1029"/>
    </w:p>
    <w:p>
      <w:pPr>
        <w:pStyle w:val="37"/>
        <w:numPr>
          <w:ilvl w:val="1"/>
          <w:numId w:val="3"/>
        </w:numPr>
        <w:ind w:firstLine="482"/>
      </w:pPr>
      <w:bookmarkStart w:id="1030" w:name="_Toc16563"/>
      <w:bookmarkStart w:id="1031" w:name="_Toc20686"/>
      <w:r>
        <w:rPr>
          <w:rFonts w:hint="eastAsia"/>
        </w:rPr>
        <w:t>总则</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30"/>
      <w:bookmarkEnd w:id="1031"/>
    </w:p>
    <w:p>
      <w:pPr>
        <w:pStyle w:val="35"/>
        <w:numPr>
          <w:ilvl w:val="1"/>
          <w:numId w:val="29"/>
        </w:numPr>
        <w:ind w:firstLine="480"/>
      </w:pPr>
      <w:r>
        <w:rPr>
          <w:rFonts w:hint="eastAsia"/>
        </w:rPr>
        <w:t>根据《中华人民共和国政府采购法》、《中华人民共和国政府采购法实施条例》和《政府采购货物和服务招标投标管理办法》(财政部令第87号)等法律规章，结合采购项目特点制定本评标办法。</w:t>
      </w:r>
    </w:p>
    <w:p>
      <w:pPr>
        <w:pStyle w:val="35"/>
        <w:numPr>
          <w:ilvl w:val="1"/>
          <w:numId w:val="29"/>
        </w:numPr>
        <w:ind w:firstLine="480"/>
      </w:pPr>
      <w:r>
        <w:rPr>
          <w:rFonts w:hint="eastAsia"/>
        </w:rPr>
        <w:t>评标工作由采购代理机构负责组织</w:t>
      </w:r>
      <w:r>
        <w:rPr>
          <w:rFonts w:hint="eastAsia"/>
          <w:color w:val="auto"/>
        </w:rPr>
        <w:t>，具体评标事务由采购代理机构依法组建的评标委员会负责。评标委员会由采购人代表和有关技术、经济等方面的专家组成</w:t>
      </w:r>
      <w:bookmarkStart w:id="1032" w:name="_Hlk79666438"/>
      <w:r>
        <w:rPr>
          <w:rFonts w:hint="eastAsia"/>
          <w:color w:val="auto"/>
        </w:rPr>
        <w:t>，评审专家由采购人或者采购代理机构应当从政府采购评审专家库中随机抽取</w:t>
      </w:r>
      <w:bookmarkEnd w:id="1032"/>
      <w:r>
        <w:rPr>
          <w:rFonts w:hint="eastAsia"/>
          <w:color w:val="auto"/>
        </w:rPr>
        <w:t>。</w:t>
      </w:r>
    </w:p>
    <w:p>
      <w:pPr>
        <w:pStyle w:val="35"/>
        <w:numPr>
          <w:ilvl w:val="1"/>
          <w:numId w:val="29"/>
        </w:numPr>
        <w:ind w:firstLine="480"/>
      </w:pPr>
      <w:r>
        <w:rPr>
          <w:rFonts w:hint="eastAsia"/>
        </w:rPr>
        <w:t>评标工作应遵循公平、公正、科学及择优的原则，并以相同的评标程序和标准对待所有的投标人。</w:t>
      </w:r>
    </w:p>
    <w:p>
      <w:pPr>
        <w:pStyle w:val="35"/>
        <w:numPr>
          <w:ilvl w:val="1"/>
          <w:numId w:val="29"/>
        </w:numPr>
        <w:ind w:firstLine="480"/>
      </w:pPr>
      <w:r>
        <w:rPr>
          <w:rFonts w:hint="eastAsia"/>
        </w:rPr>
        <w:t>评标委员会按照招标文件规定的评标方法和标准进行评标，并独立履行下列职责：</w:t>
      </w:r>
    </w:p>
    <w:p>
      <w:pPr>
        <w:pStyle w:val="38"/>
        <w:ind w:firstLine="480"/>
      </w:pPr>
      <w:bookmarkStart w:id="1033" w:name="_Toc217446098"/>
      <w:r>
        <w:rPr>
          <w:rFonts w:hint="eastAsia"/>
        </w:rPr>
        <w:t>审查、评价投标文件是否符合招标文件的商务、技术等实质性要求；</w:t>
      </w:r>
    </w:p>
    <w:p>
      <w:pPr>
        <w:pStyle w:val="38"/>
        <w:ind w:firstLine="480"/>
      </w:pPr>
      <w:r>
        <w:rPr>
          <w:rFonts w:hint="eastAsia"/>
        </w:rPr>
        <w:t>要求投标人对投标文件有关事项作出澄清或者说明；</w:t>
      </w:r>
    </w:p>
    <w:p>
      <w:pPr>
        <w:pStyle w:val="38"/>
        <w:ind w:firstLine="480"/>
      </w:pPr>
      <w:r>
        <w:rPr>
          <w:rFonts w:hint="eastAsia"/>
        </w:rPr>
        <w:t>对投标文件进行比较和评价；</w:t>
      </w:r>
    </w:p>
    <w:p>
      <w:pPr>
        <w:pStyle w:val="38"/>
        <w:ind w:firstLine="480"/>
      </w:pPr>
      <w:r>
        <w:rPr>
          <w:rFonts w:hint="eastAsia"/>
        </w:rPr>
        <w:t>确定中标候选人名单；</w:t>
      </w:r>
    </w:p>
    <w:p>
      <w:pPr>
        <w:pStyle w:val="38"/>
        <w:ind w:firstLine="480"/>
      </w:pPr>
      <w:r>
        <w:rPr>
          <w:rFonts w:hint="eastAsia"/>
        </w:rPr>
        <w:t>向采购人、采购代理机构或者有关部门报告评标中发现的违法行为。</w:t>
      </w:r>
    </w:p>
    <w:p>
      <w:pPr>
        <w:pStyle w:val="35"/>
        <w:ind w:firstLine="480"/>
      </w:pPr>
      <w:r>
        <w:rPr>
          <w:rFonts w:hint="eastAsia"/>
        </w:rPr>
        <w:t>评标过程独立、保密。投标人非法干预评标过程的行为将导致其投标文件作为无效处理。</w:t>
      </w:r>
    </w:p>
    <w:p>
      <w:pPr>
        <w:pStyle w:val="35"/>
        <w:ind w:firstLine="480"/>
      </w:pPr>
      <w:r>
        <w:rPr>
          <w:rFonts w:hint="eastAsia"/>
        </w:rPr>
        <w:t>评标委员会评价投标文件的响应性，对于投标人而言，除评标委员会要求其澄清、说明或者纠正而提供的资料外，仅依据投标文件本身的内容，不寻求其他外部证据。</w:t>
      </w:r>
    </w:p>
    <w:p>
      <w:pPr>
        <w:pStyle w:val="35"/>
        <w:ind w:firstLine="480"/>
      </w:pPr>
      <w:r>
        <w:rPr>
          <w:rFonts w:hint="eastAsia"/>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37"/>
        <w:numPr>
          <w:ilvl w:val="1"/>
          <w:numId w:val="3"/>
        </w:numPr>
        <w:ind w:firstLine="482"/>
      </w:pPr>
      <w:bookmarkStart w:id="1034" w:name="_Toc3371"/>
      <w:bookmarkStart w:id="1035" w:name="_Toc23669"/>
      <w:bookmarkStart w:id="1036" w:name="_Toc327196340"/>
      <w:bookmarkStart w:id="1037" w:name="_Toc25612"/>
      <w:bookmarkStart w:id="1038" w:name="_Toc14100"/>
      <w:bookmarkStart w:id="1039" w:name="_Toc10398"/>
      <w:bookmarkStart w:id="1040" w:name="_Toc26792"/>
      <w:bookmarkStart w:id="1041" w:name="_Toc319440189"/>
      <w:bookmarkStart w:id="1042" w:name="_Toc5152"/>
      <w:bookmarkStart w:id="1043" w:name="_Toc5338"/>
      <w:bookmarkStart w:id="1044" w:name="_Toc12975"/>
      <w:bookmarkStart w:id="1045" w:name="_Toc3915"/>
      <w:bookmarkStart w:id="1046" w:name="_Toc8496"/>
      <w:bookmarkStart w:id="1047" w:name="_Toc26738"/>
      <w:r>
        <w:rPr>
          <w:rFonts w:hint="eastAsia"/>
        </w:rPr>
        <w:t>评标方法</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pPr>
        <w:pStyle w:val="49"/>
      </w:pPr>
      <w:r>
        <w:rPr>
          <w:rFonts w:hint="eastAsia"/>
        </w:rPr>
        <w:t>本项目评标方法为：综合评分法。</w:t>
      </w:r>
    </w:p>
    <w:p>
      <w:pPr>
        <w:pStyle w:val="37"/>
        <w:numPr>
          <w:ilvl w:val="1"/>
          <w:numId w:val="3"/>
        </w:numPr>
        <w:ind w:firstLine="482"/>
      </w:pPr>
      <w:bookmarkStart w:id="1048" w:name="_Toc12883"/>
      <w:bookmarkStart w:id="1049" w:name="_Toc23322"/>
      <w:bookmarkStart w:id="1050" w:name="_Toc327196341"/>
      <w:bookmarkStart w:id="1051" w:name="_Toc9969"/>
      <w:bookmarkStart w:id="1052" w:name="_Toc319440190"/>
      <w:bookmarkStart w:id="1053" w:name="_Toc7390"/>
      <w:bookmarkStart w:id="1054" w:name="_Toc31119"/>
      <w:bookmarkStart w:id="1055" w:name="_Toc5906"/>
      <w:bookmarkStart w:id="1056" w:name="_Toc17613"/>
      <w:bookmarkStart w:id="1057" w:name="_Toc27103"/>
      <w:bookmarkStart w:id="1058" w:name="_Toc5897"/>
      <w:bookmarkStart w:id="1059" w:name="_Toc17374"/>
      <w:bookmarkStart w:id="1060" w:name="_Toc19196"/>
      <w:bookmarkStart w:id="1061" w:name="_Toc26931"/>
      <w:r>
        <w:rPr>
          <w:rFonts w:hint="eastAsia"/>
        </w:rPr>
        <w:t>评标程序</w:t>
      </w:r>
      <w:bookmarkEnd w:id="1033"/>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pStyle w:val="35"/>
        <w:numPr>
          <w:ilvl w:val="1"/>
          <w:numId w:val="30"/>
        </w:numPr>
        <w:ind w:firstLine="480"/>
      </w:pPr>
      <w:r>
        <w:rPr>
          <w:rFonts w:hint="eastAsia"/>
        </w:rPr>
        <w:t>熟悉招标文件和停止评标</w:t>
      </w:r>
    </w:p>
    <w:p>
      <w:pPr>
        <w:pStyle w:val="38"/>
        <w:ind w:firstLine="480"/>
      </w:pPr>
      <w:r>
        <w:rPr>
          <w:rFonts w:hint="eastAsia"/>
        </w:rPr>
        <w:t>评标委员会正式评标前，应当熟悉招标文件，主要包括招标文件中符合性审查内容、采购项目技术、服务和商务要求、评标方法和标准以及政府采购合同主要条款等。</w:t>
      </w:r>
    </w:p>
    <w:p>
      <w:pPr>
        <w:pStyle w:val="38"/>
        <w:ind w:firstLine="480"/>
      </w:pP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38"/>
        <w:ind w:firstLine="480"/>
      </w:pPr>
      <w:r>
        <w:rPr>
          <w:rFonts w:hint="eastAsia"/>
        </w:rPr>
        <w:t>评标过程中有下列情形之一的，评标委员会成员可以停止评标：</w:t>
      </w:r>
    </w:p>
    <w:p>
      <w:pPr>
        <w:pStyle w:val="39"/>
        <w:ind w:firstLine="480"/>
      </w:pPr>
      <w:r>
        <w:rPr>
          <w:rFonts w:hint="eastAsia"/>
        </w:rPr>
        <w:t>招标采购单位未提供必要的与采购项目有关的政策制度文件或者招标文件，继续评标将导致违法或者错误评标的；</w:t>
      </w:r>
    </w:p>
    <w:p>
      <w:pPr>
        <w:pStyle w:val="39"/>
        <w:ind w:firstLine="480"/>
      </w:pPr>
      <w:r>
        <w:rPr>
          <w:rFonts w:hint="eastAsia"/>
        </w:rPr>
        <w:t>有关单位和个人非法干预评标委员会依法独立评标的；</w:t>
      </w:r>
    </w:p>
    <w:p>
      <w:pPr>
        <w:pStyle w:val="39"/>
        <w:ind w:firstLine="480"/>
      </w:pPr>
      <w:r>
        <w:rPr>
          <w:rFonts w:hint="eastAsia"/>
        </w:rPr>
        <w:t>其他导致评标委员会无法正常履职的情形。</w:t>
      </w:r>
    </w:p>
    <w:p>
      <w:pPr>
        <w:pStyle w:val="38"/>
        <w:ind w:firstLine="480"/>
      </w:pPr>
      <w:r>
        <w:rPr>
          <w:rFonts w:hint="eastAsia"/>
        </w:rPr>
        <w:t>出现本条规定应当停止评标或者可以停止评标情形的，评标委员会成员应当向招标采购单位书面说明情况。除本条规定的情形外，评标委员会成员不得以任何方式和理由停止评标。</w:t>
      </w:r>
    </w:p>
    <w:p>
      <w:pPr>
        <w:pStyle w:val="35"/>
        <w:ind w:firstLine="480"/>
      </w:pPr>
      <w:r>
        <w:rPr>
          <w:rFonts w:hint="eastAsia"/>
        </w:rPr>
        <w:t>符合性审查</w:t>
      </w:r>
    </w:p>
    <w:p>
      <w:pPr>
        <w:pStyle w:val="49"/>
      </w:pPr>
      <w:r>
        <w:rPr>
          <w:rFonts w:hint="eastAsia"/>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8"/>
        <w:ind w:firstLine="480"/>
      </w:pPr>
      <w:r>
        <w:rPr>
          <w:rFonts w:hint="eastAsia"/>
        </w:rPr>
        <w:t>除政府采购法律制度规定的情形外，本项目投标人或者其投标文件有下列情形之一的，作为无效投标处理：</w:t>
      </w:r>
    </w:p>
    <w:p>
      <w:pPr>
        <w:pStyle w:val="39"/>
        <w:ind w:firstLine="480"/>
      </w:pPr>
      <w:r>
        <w:rPr>
          <w:rFonts w:hint="eastAsia"/>
        </w:rPr>
        <w:t>未按照招标文件的规定和要求编制投标文件的；</w:t>
      </w:r>
    </w:p>
    <w:p>
      <w:pPr>
        <w:pStyle w:val="39"/>
        <w:ind w:firstLine="480"/>
      </w:pPr>
      <w:r>
        <w:rPr>
          <w:rFonts w:hint="eastAsia"/>
        </w:rPr>
        <w:t>投标文件组成明显不符合招标文件的规定要求，影响评标委员会评判的；</w:t>
      </w:r>
    </w:p>
    <w:p>
      <w:pPr>
        <w:pStyle w:val="39"/>
        <w:ind w:firstLine="480"/>
      </w:pPr>
      <w:r>
        <w:rPr>
          <w:rFonts w:hint="eastAsia"/>
        </w:rPr>
        <w:t>投标文件的格式、语言、计量单位、报价货币、知识产权、投标有效期等不符合招标文件的规定，影响评标委员会评判的；</w:t>
      </w:r>
    </w:p>
    <w:p>
      <w:pPr>
        <w:pStyle w:val="39"/>
        <w:ind w:firstLine="480"/>
      </w:pPr>
      <w:r>
        <w:rPr>
          <w:rFonts w:hint="eastAsia"/>
        </w:rPr>
        <w:t>投标报价不符合招标文件规定的价格标底和其他报价规定的；</w:t>
      </w:r>
    </w:p>
    <w:p>
      <w:pPr>
        <w:pStyle w:val="39"/>
        <w:ind w:firstLine="480"/>
      </w:pPr>
      <w:r>
        <w:rPr>
          <w:rFonts w:hint="eastAsia"/>
        </w:rPr>
        <w:t>技术、服务应答内容没有完全响应招标文件的实质性要求的；</w:t>
      </w:r>
    </w:p>
    <w:p>
      <w:pPr>
        <w:pStyle w:val="39"/>
        <w:ind w:firstLine="480"/>
      </w:pPr>
      <w:r>
        <w:rPr>
          <w:rFonts w:hint="eastAsia"/>
        </w:rPr>
        <w:t>招标文件有明确要求，但投标文件未载明或者载明的采购项目服务期限、方式、数量与招标文件要求不一致的；</w:t>
      </w:r>
    </w:p>
    <w:p>
      <w:pPr>
        <w:pStyle w:val="39"/>
        <w:ind w:firstLine="480"/>
      </w:pPr>
      <w:r>
        <w:rPr>
          <w:rFonts w:hint="eastAsia"/>
        </w:rPr>
        <w:t>投标文件含有采购人不能接受的附加条件的。</w:t>
      </w:r>
    </w:p>
    <w:p>
      <w:pPr>
        <w:tabs>
          <w:tab w:val="left" w:pos="851"/>
          <w:tab w:val="clear" w:pos="0"/>
        </w:tabs>
        <w:ind w:firstLine="480" w:firstLineChars="200"/>
      </w:pPr>
      <w:r>
        <w:rPr>
          <w:rFonts w:hint="eastAsia"/>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pPr>
      <w:r>
        <w:rPr>
          <w:rFonts w:hint="eastAsia"/>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pPr>
      <w:r>
        <w:rPr>
          <w:rFonts w:hint="eastAsia"/>
        </w:rPr>
        <w:t>③通过符合性审查的投标人＜3家，本项目采购失败。</w:t>
      </w:r>
    </w:p>
    <w:p>
      <w:pPr>
        <w:pStyle w:val="35"/>
        <w:ind w:firstLine="480"/>
      </w:pPr>
      <w:r>
        <w:rPr>
          <w:rFonts w:hint="eastAsia"/>
        </w:rPr>
        <w:t>比较与评价</w:t>
      </w:r>
    </w:p>
    <w:p>
      <w:pPr>
        <w:pStyle w:val="49"/>
      </w:pPr>
      <w:r>
        <w:rPr>
          <w:rFonts w:hint="eastAsia"/>
        </w:rPr>
        <w:t>评标委员会应当按照招标文件中规定的评标方法和标准，对符合性审查合格的投标文件进行商务和技术评估，综合比较与评价。</w:t>
      </w:r>
    </w:p>
    <w:p>
      <w:pPr>
        <w:pStyle w:val="35"/>
        <w:ind w:firstLine="480"/>
      </w:pPr>
      <w:r>
        <w:rPr>
          <w:rFonts w:hint="eastAsia"/>
        </w:rPr>
        <w:t>评标争议处理规则</w:t>
      </w:r>
    </w:p>
    <w:p>
      <w:pPr>
        <w:pStyle w:val="49"/>
      </w:pPr>
      <w:r>
        <w:rPr>
          <w:rFonts w:hint="eastAsia"/>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5"/>
        <w:ind w:firstLine="480"/>
      </w:pPr>
      <w:r>
        <w:rPr>
          <w:rFonts w:hint="eastAsia"/>
        </w:rPr>
        <w:t>澄清、说明或者纠正</w:t>
      </w:r>
    </w:p>
    <w:p>
      <w:pPr>
        <w:pStyle w:val="38"/>
        <w:ind w:firstLine="480"/>
      </w:pPr>
      <w:r>
        <w:rPr>
          <w:rFonts w:hint="eastAsia"/>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pStyle w:val="38"/>
        <w:ind w:firstLine="480"/>
      </w:pPr>
      <w:r>
        <w:rPr>
          <w:rFonts w:hint="eastAsia"/>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38"/>
        <w:ind w:firstLine="480"/>
      </w:pPr>
      <w:r>
        <w:rPr>
          <w:rFonts w:hint="eastAsia"/>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38"/>
        <w:ind w:firstLine="480"/>
      </w:pPr>
      <w:r>
        <w:rPr>
          <w:rFonts w:hint="eastAsia"/>
        </w:rPr>
        <w:t>评标委员会要求供应商澄清、说明或者更正，不得超出招标文件的范围，不得以此让供应商实质改变投标文件的内容，不得影响供应商公平竞争。本项目下列内容不得澄清：</w:t>
      </w:r>
    </w:p>
    <w:p>
      <w:pPr>
        <w:pStyle w:val="39"/>
        <w:ind w:firstLine="480"/>
      </w:pPr>
      <w:r>
        <w:rPr>
          <w:rFonts w:hint="eastAsia"/>
        </w:rPr>
        <w:t>按财政部规定应当在评标时不予承认的投标文件内容事项；</w:t>
      </w:r>
    </w:p>
    <w:p>
      <w:pPr>
        <w:pStyle w:val="39"/>
        <w:ind w:firstLine="480"/>
      </w:pPr>
      <w:r>
        <w:rPr>
          <w:rFonts w:hint="eastAsia"/>
        </w:rPr>
        <w:t>投标文件中已经明确的内容事项；</w:t>
      </w:r>
    </w:p>
    <w:p>
      <w:pPr>
        <w:pStyle w:val="39"/>
        <w:ind w:firstLine="480"/>
      </w:pPr>
      <w:r>
        <w:rPr>
          <w:rFonts w:hint="eastAsia"/>
        </w:rPr>
        <w:t>投标文件未提供的材料。</w:t>
      </w:r>
    </w:p>
    <w:p>
      <w:pPr>
        <w:pStyle w:val="38"/>
        <w:ind w:firstLine="480"/>
      </w:pPr>
      <w:r>
        <w:rPr>
          <w:rFonts w:hint="eastAsia"/>
        </w:rPr>
        <w:t>本项目采购过程中，投标文件出现下列情况的，不需要供应商澄清、说明或者纠正，按照以下原则处理：</w:t>
      </w:r>
    </w:p>
    <w:p>
      <w:pPr>
        <w:pStyle w:val="39"/>
        <w:ind w:firstLine="480"/>
      </w:pPr>
      <w:r>
        <w:rPr>
          <w:rFonts w:hint="eastAsia"/>
        </w:rPr>
        <w:t>投标文件的大写金额和小写金额不一致的，以大写金额为准，但大写金额出现文字错误，导致金额无法判断的除外；</w:t>
      </w:r>
    </w:p>
    <w:p>
      <w:pPr>
        <w:pStyle w:val="39"/>
        <w:ind w:firstLine="480"/>
      </w:pPr>
      <w:r>
        <w:rPr>
          <w:rFonts w:hint="eastAsia"/>
        </w:rPr>
        <w:t>总价金额与按单价汇总金额不一致的，以单价汇总金额计算结果为准，但是单价金额出现计算错误、明显人为工作失误的除外；</w:t>
      </w:r>
    </w:p>
    <w:p>
      <w:pPr>
        <w:pStyle w:val="39"/>
        <w:ind w:firstLine="480"/>
      </w:pPr>
      <w:r>
        <w:rPr>
          <w:rFonts w:hint="eastAsia"/>
        </w:rPr>
        <w:t>单价金额小数点有明显错位的，应以总价为准，并修改单价；</w:t>
      </w:r>
    </w:p>
    <w:p>
      <w:pPr>
        <w:pStyle w:val="39"/>
        <w:ind w:firstLine="480"/>
      </w:pPr>
      <w:r>
        <w:rPr>
          <w:rFonts w:hint="eastAsia"/>
        </w:rPr>
        <w:t>对不同语言文本投标文件的解释发生异议的，以中文文本为准。</w:t>
      </w:r>
    </w:p>
    <w:p>
      <w:pPr>
        <w:pStyle w:val="49"/>
      </w:pPr>
      <w:r>
        <w:rPr>
          <w:rFonts w:hint="eastAsia"/>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9"/>
      </w:pPr>
      <w:r>
        <w:rPr>
          <w:rFonts w:hint="eastAsia"/>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0"/>
        <w:ind w:firstLine="482"/>
      </w:pPr>
      <w:r>
        <w:rPr>
          <w:rFonts w:hint="eastAsia"/>
        </w:rPr>
        <w:t>注：评标委员会成员应当积极履行澄清、说明或者纠正的职责，不得将应当澄清、说明或者纠正的投标文件作无效投标处理。</w:t>
      </w:r>
    </w:p>
    <w:p>
      <w:pPr>
        <w:pStyle w:val="35"/>
        <w:ind w:firstLine="480"/>
      </w:pPr>
      <w:r>
        <w:rPr>
          <w:rFonts w:hint="eastAsia"/>
        </w:rPr>
        <w:t>投标文件报价出现前后不一致的，除招标文件另有规定外，按照下列规定修正：</w:t>
      </w:r>
    </w:p>
    <w:p>
      <w:pPr>
        <w:pStyle w:val="38"/>
        <w:ind w:firstLine="480"/>
      </w:pPr>
      <w:r>
        <w:rPr>
          <w:rFonts w:hint="eastAsia"/>
        </w:rPr>
        <w:t>投标文件中开标一览表(报价表)内容与投标文件中相应内容不一致的，以开标唱标时单独提交的开标一览表(报价表)为准；</w:t>
      </w:r>
    </w:p>
    <w:p>
      <w:pPr>
        <w:pStyle w:val="38"/>
        <w:ind w:firstLine="480"/>
      </w:pPr>
      <w:r>
        <w:rPr>
          <w:rFonts w:hint="eastAsia"/>
        </w:rPr>
        <w:t>大写金额和小写金额不一致的，以大写金额为准；</w:t>
      </w:r>
    </w:p>
    <w:p>
      <w:pPr>
        <w:pStyle w:val="38"/>
        <w:ind w:firstLine="480"/>
      </w:pPr>
      <w:r>
        <w:rPr>
          <w:rFonts w:hint="eastAsia"/>
        </w:rPr>
        <w:t>单价金额小数点或者百分比有明显错位的，以开标一览表的总价为准，并修改单价；</w:t>
      </w:r>
    </w:p>
    <w:p>
      <w:pPr>
        <w:pStyle w:val="38"/>
        <w:ind w:firstLine="480"/>
      </w:pPr>
      <w:r>
        <w:rPr>
          <w:rFonts w:hint="eastAsia"/>
        </w:rPr>
        <w:t>总价金额与按单价汇总金额不一致的，以单价金额计算结果为准。</w:t>
      </w:r>
    </w:p>
    <w:p>
      <w:pPr>
        <w:pStyle w:val="50"/>
        <w:ind w:firstLine="482"/>
      </w:pPr>
      <w:r>
        <w:rPr>
          <w:rFonts w:hint="eastAsia"/>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35"/>
        <w:ind w:firstLine="480"/>
      </w:pPr>
      <w:r>
        <w:rPr>
          <w:rFonts w:hint="eastAsia"/>
        </w:rPr>
        <w:t>低于成本价投标处理</w:t>
      </w:r>
    </w:p>
    <w:p>
      <w:pPr>
        <w:pStyle w:val="38"/>
        <w:numPr>
          <w:ilvl w:val="2"/>
          <w:numId w:val="0"/>
        </w:numPr>
        <w:ind w:firstLine="480" w:firstLineChars="200"/>
      </w:pPr>
      <w:r>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8"/>
        <w:numPr>
          <w:ilvl w:val="2"/>
          <w:numId w:val="0"/>
        </w:numPr>
        <w:ind w:firstLine="480" w:firstLineChars="200"/>
      </w:pPr>
      <w:r>
        <w:rPr>
          <w:rFonts w:hint="eastAsia"/>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7"/>
        <w:numPr>
          <w:ilvl w:val="1"/>
          <w:numId w:val="3"/>
        </w:numPr>
        <w:ind w:firstLine="482"/>
      </w:pPr>
      <w:bookmarkStart w:id="1062" w:name="_Toc21397"/>
      <w:bookmarkStart w:id="1063" w:name="_Toc327196342"/>
      <w:bookmarkStart w:id="1064" w:name="_Toc307501155"/>
      <w:bookmarkStart w:id="1065" w:name="_Toc23140"/>
      <w:bookmarkStart w:id="1066" w:name="_Toc30417"/>
      <w:bookmarkStart w:id="1067" w:name="_Toc26213"/>
      <w:bookmarkStart w:id="1068" w:name="_Toc1756"/>
      <w:bookmarkStart w:id="1069" w:name="_Toc308188199"/>
      <w:bookmarkStart w:id="1070" w:name="_Toc307564897"/>
      <w:bookmarkStart w:id="1071" w:name="_Toc27402"/>
      <w:bookmarkStart w:id="1072" w:name="_Toc309897564"/>
      <w:bookmarkStart w:id="1073" w:name="_Toc22389"/>
      <w:bookmarkStart w:id="1074" w:name="_Toc25587"/>
      <w:bookmarkStart w:id="1075" w:name="_Toc2106"/>
      <w:bookmarkStart w:id="1076" w:name="_Toc319440191"/>
      <w:bookmarkStart w:id="1077" w:name="_Toc319439947"/>
      <w:bookmarkStart w:id="1078" w:name="_Toc23187"/>
      <w:bookmarkStart w:id="1079" w:name="_Toc24902"/>
      <w:bookmarkStart w:id="1080" w:name="_Toc308084646"/>
      <w:bookmarkStart w:id="1081" w:name="_Toc217446103"/>
      <w:bookmarkStart w:id="1082" w:name="_Toc27094"/>
      <w:r>
        <w:rPr>
          <w:rFonts w:hint="eastAsia"/>
        </w:rPr>
        <w:t>评标细则及标准</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pPr>
        <w:pStyle w:val="35"/>
        <w:numPr>
          <w:ilvl w:val="1"/>
          <w:numId w:val="31"/>
        </w:numPr>
        <w:ind w:firstLine="480"/>
      </w:pPr>
      <w:r>
        <w:rPr>
          <w:rFonts w:hint="eastAsia"/>
        </w:rPr>
        <w:t>评委会只对通过符合性检查的投标文件，根据招标文件的要求采用相同的评标程序、评分办法及标准进行评价和比较。</w:t>
      </w:r>
    </w:p>
    <w:p>
      <w:pPr>
        <w:pStyle w:val="35"/>
        <w:numPr>
          <w:ilvl w:val="1"/>
          <w:numId w:val="31"/>
        </w:numPr>
        <w:ind w:firstLine="480"/>
      </w:pPr>
      <w:r>
        <w:rPr>
          <w:rFonts w:hint="eastAsia"/>
        </w:rPr>
        <w:t>本次综合评分的因素是：详见“综合评分明细表中的评分因素及权重”。</w:t>
      </w:r>
    </w:p>
    <w:p>
      <w:pPr>
        <w:pStyle w:val="35"/>
        <w:numPr>
          <w:ilvl w:val="1"/>
          <w:numId w:val="31"/>
        </w:numPr>
        <w:ind w:firstLine="480"/>
      </w:pPr>
      <w:r>
        <w:rPr>
          <w:rFonts w:hint="eastAsia"/>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5"/>
        <w:numPr>
          <w:ilvl w:val="1"/>
          <w:numId w:val="31"/>
        </w:numPr>
        <w:ind w:firstLine="480"/>
      </w:pPr>
      <w:r>
        <w:rPr>
          <w:rFonts w:hint="eastAsia"/>
        </w:rPr>
        <w:t>评审得分计算方法</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评审得分＝(A1＋A2＋……＋An)/NA＋(B1＋B2＋……＋Bn)/ NB＋(C1＋C2＋……＋Cn)/ NC＋(D1＋D2＋……＋Dn)/ND</w:t>
      </w:r>
    </w:p>
    <w:p>
      <w:pPr>
        <w:ind w:firstLine="480" w:firstLineChars="200"/>
      </w:pPr>
      <w:r>
        <w:rPr>
          <w:rFonts w:hint="eastAsia" w:asciiTheme="minorEastAsia" w:hAnsiTheme="minorEastAsia" w:eastAsiaTheme="minorEastAsia" w:cstheme="minorEastAsia"/>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35"/>
        <w:ind w:firstLine="480"/>
      </w:pPr>
      <w:r>
        <w:rPr>
          <w:rFonts w:hint="eastAsia"/>
        </w:rPr>
        <w:t>综合评分明细表</w:t>
      </w:r>
    </w:p>
    <w:p>
      <w:pPr>
        <w:pStyle w:val="38"/>
        <w:ind w:firstLine="480"/>
      </w:pPr>
      <w:r>
        <w:rPr>
          <w:rFonts w:hint="eastAsia"/>
        </w:rPr>
        <w:t>综合评分明细表的制定以科学合理、降低评委会自由裁量权为原则。</w:t>
      </w:r>
    </w:p>
    <w:p>
      <w:pPr>
        <w:pStyle w:val="38"/>
        <w:ind w:firstLine="480"/>
      </w:pPr>
      <w:r>
        <w:rPr>
          <w:rFonts w:hint="eastAsia"/>
        </w:rPr>
        <w:t>综合评分明细表</w:t>
      </w:r>
    </w:p>
    <w:tbl>
      <w:tblPr>
        <w:tblStyle w:val="24"/>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384"/>
        <w:gridCol w:w="866"/>
        <w:gridCol w:w="5829"/>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654" w:type="dxa"/>
            <w:vAlign w:val="center"/>
          </w:tcPr>
          <w:p>
            <w:pPr>
              <w:pStyle w:val="48"/>
              <w:rPr>
                <w:b/>
                <w:bCs/>
              </w:rPr>
            </w:pPr>
            <w:bookmarkStart w:id="1083" w:name="_Toc13245"/>
            <w:bookmarkStart w:id="1084" w:name="_Toc13513"/>
            <w:bookmarkStart w:id="1085" w:name="_Toc21671"/>
            <w:bookmarkStart w:id="1086" w:name="_Toc21363"/>
            <w:bookmarkStart w:id="1087" w:name="_Toc4648"/>
            <w:r>
              <w:rPr>
                <w:rFonts w:hint="eastAsia"/>
                <w:b/>
                <w:bCs/>
              </w:rPr>
              <w:t>序号</w:t>
            </w:r>
          </w:p>
        </w:tc>
        <w:tc>
          <w:tcPr>
            <w:tcW w:w="1384" w:type="dxa"/>
            <w:vAlign w:val="center"/>
          </w:tcPr>
          <w:p>
            <w:pPr>
              <w:pStyle w:val="48"/>
              <w:rPr>
                <w:b/>
                <w:bCs/>
              </w:rPr>
            </w:pPr>
            <w:r>
              <w:rPr>
                <w:rFonts w:hint="eastAsia"/>
                <w:b/>
                <w:bCs/>
              </w:rPr>
              <w:t>评分因素</w:t>
            </w:r>
          </w:p>
          <w:p>
            <w:pPr>
              <w:pStyle w:val="48"/>
              <w:rPr>
                <w:b/>
                <w:bCs/>
              </w:rPr>
            </w:pPr>
            <w:r>
              <w:rPr>
                <w:rFonts w:hint="eastAsia"/>
                <w:b/>
                <w:bCs/>
              </w:rPr>
              <w:t>及权重</w:t>
            </w:r>
          </w:p>
        </w:tc>
        <w:tc>
          <w:tcPr>
            <w:tcW w:w="866" w:type="dxa"/>
            <w:vAlign w:val="center"/>
          </w:tcPr>
          <w:p>
            <w:pPr>
              <w:pStyle w:val="48"/>
              <w:rPr>
                <w:b/>
                <w:bCs/>
              </w:rPr>
            </w:pPr>
            <w:r>
              <w:rPr>
                <w:rFonts w:hint="eastAsia"/>
                <w:b/>
                <w:bCs/>
              </w:rPr>
              <w:t>分值</w:t>
            </w:r>
          </w:p>
        </w:tc>
        <w:tc>
          <w:tcPr>
            <w:tcW w:w="5829" w:type="dxa"/>
            <w:vAlign w:val="center"/>
          </w:tcPr>
          <w:p>
            <w:pPr>
              <w:pStyle w:val="48"/>
            </w:pPr>
            <w:r>
              <w:rPr>
                <w:rFonts w:hint="eastAsia"/>
                <w:b/>
                <w:bCs/>
              </w:rPr>
              <w:t>评分标准</w:t>
            </w:r>
          </w:p>
        </w:tc>
        <w:tc>
          <w:tcPr>
            <w:tcW w:w="1227" w:type="dxa"/>
            <w:vAlign w:val="center"/>
          </w:tcPr>
          <w:p>
            <w:pPr>
              <w:pStyle w:val="48"/>
              <w:rPr>
                <w:b/>
                <w:bCs/>
              </w:rPr>
            </w:pPr>
            <w:r>
              <w:rPr>
                <w:rFonts w:hint="eastAsia"/>
                <w:b/>
                <w:bCs/>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pPr>
              <w:pStyle w:val="48"/>
            </w:pPr>
            <w:r>
              <w:rPr>
                <w:rFonts w:hint="eastAsia"/>
              </w:rPr>
              <w:t>一</w:t>
            </w:r>
          </w:p>
        </w:tc>
        <w:tc>
          <w:tcPr>
            <w:tcW w:w="1384" w:type="dxa"/>
            <w:vAlign w:val="center"/>
          </w:tcPr>
          <w:p>
            <w:pPr>
              <w:pStyle w:val="48"/>
            </w:pPr>
            <w:r>
              <w:rPr>
                <w:rFonts w:hint="eastAsia"/>
              </w:rPr>
              <w:t>投标报价</w:t>
            </w:r>
          </w:p>
          <w:p>
            <w:pPr>
              <w:pStyle w:val="48"/>
            </w:pPr>
            <w:r>
              <w:rPr>
                <w:rFonts w:hint="eastAsia"/>
              </w:rPr>
              <w:t>10%</w:t>
            </w:r>
          </w:p>
        </w:tc>
        <w:tc>
          <w:tcPr>
            <w:tcW w:w="866" w:type="dxa"/>
            <w:vAlign w:val="center"/>
          </w:tcPr>
          <w:p>
            <w:pPr>
              <w:pStyle w:val="48"/>
            </w:pPr>
            <w:r>
              <w:rPr>
                <w:rFonts w:hint="eastAsia"/>
              </w:rPr>
              <w:t>10分</w:t>
            </w:r>
          </w:p>
        </w:tc>
        <w:tc>
          <w:tcPr>
            <w:tcW w:w="5829" w:type="dxa"/>
            <w:vAlign w:val="center"/>
          </w:tcPr>
          <w:p>
            <w:pPr>
              <w:pStyle w:val="44"/>
              <w:ind w:left="24" w:leftChars="10"/>
            </w:pPr>
            <w:r>
              <w:rPr>
                <w:rFonts w:hint="eastAsia"/>
              </w:rPr>
              <w:t>满足招标文件要求且投标总价最低的投标报价为评标基准价，其价格分为满分。其他投标人的价格分统一按照下列公式计算：投标报价得分=(评标基准价／投标报价)×10%×100；</w:t>
            </w:r>
          </w:p>
          <w:p>
            <w:pPr>
              <w:pStyle w:val="44"/>
              <w:ind w:left="24" w:leftChars="10"/>
            </w:pPr>
            <w:r>
              <w:rPr>
                <w:rFonts w:hint="eastAsia"/>
              </w:rPr>
              <w:t>注：评标过程中，不得去掉报价中的最高报价和最低报价。</w:t>
            </w:r>
          </w:p>
        </w:tc>
        <w:tc>
          <w:tcPr>
            <w:tcW w:w="1227" w:type="dxa"/>
            <w:vAlign w:val="center"/>
          </w:tcPr>
          <w:p>
            <w:pPr>
              <w:pStyle w:val="48"/>
            </w:pPr>
            <w:r>
              <w:rPr>
                <w:rFonts w:hint="eastAsi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4" w:type="dxa"/>
            <w:vAlign w:val="center"/>
          </w:tcPr>
          <w:p>
            <w:pPr>
              <w:pStyle w:val="48"/>
            </w:pPr>
            <w:r>
              <w:rPr>
                <w:rFonts w:hint="eastAsia"/>
              </w:rPr>
              <w:t>二</w:t>
            </w:r>
          </w:p>
        </w:tc>
        <w:tc>
          <w:tcPr>
            <w:tcW w:w="1384" w:type="dxa"/>
            <w:vAlign w:val="center"/>
          </w:tcPr>
          <w:p>
            <w:pPr>
              <w:wordWrap w:val="0"/>
              <w:topLinePunct/>
              <w:spacing w:line="360" w:lineRule="exact"/>
              <w:jc w:val="center"/>
              <w:rPr>
                <w:rFonts w:cs="Times New Roman"/>
                <w:snapToGrid w:val="0"/>
                <w:sz w:val="21"/>
                <w:szCs w:val="21"/>
              </w:rPr>
            </w:pPr>
            <w:r>
              <w:rPr>
                <w:rFonts w:hint="eastAsia" w:cs="Times New Roman"/>
                <w:snapToGrid w:val="0"/>
                <w:sz w:val="21"/>
                <w:szCs w:val="21"/>
              </w:rPr>
              <w:t>实施方案</w:t>
            </w:r>
          </w:p>
          <w:p>
            <w:pPr>
              <w:pStyle w:val="48"/>
            </w:pPr>
            <w:r>
              <w:rPr>
                <w:rFonts w:hint="eastAsia" w:cs="Times New Roman"/>
                <w:snapToGrid w:val="0"/>
                <w:szCs w:val="21"/>
              </w:rPr>
              <w:t>30%</w:t>
            </w:r>
          </w:p>
        </w:tc>
        <w:tc>
          <w:tcPr>
            <w:tcW w:w="866" w:type="dxa"/>
            <w:vAlign w:val="center"/>
          </w:tcPr>
          <w:p>
            <w:pPr>
              <w:pStyle w:val="48"/>
            </w:pPr>
            <w:r>
              <w:rPr>
                <w:rFonts w:hint="eastAsia" w:cs="宋体"/>
              </w:rPr>
              <w:t>30分</w:t>
            </w:r>
          </w:p>
        </w:tc>
        <w:tc>
          <w:tcPr>
            <w:tcW w:w="5829" w:type="dxa"/>
            <w:vAlign w:val="center"/>
          </w:tcPr>
          <w:p>
            <w:pPr>
              <w:wordWrap w:val="0"/>
              <w:topLinePunct/>
              <w:spacing w:line="360" w:lineRule="exact"/>
              <w:rPr>
                <w:rFonts w:cs="宋体"/>
                <w:sz w:val="21"/>
                <w:szCs w:val="21"/>
              </w:rPr>
            </w:pPr>
            <w:r>
              <w:rPr>
                <w:rFonts w:hint="eastAsia" w:cs="Times New Roman"/>
                <w:snapToGrid w:val="0"/>
                <w:sz w:val="21"/>
                <w:szCs w:val="21"/>
              </w:rPr>
              <w:t>投标人根据项目采购需求，结合自身实际情况拟定针对本项目的实施方案(包含：①</w:t>
            </w:r>
            <w:r>
              <w:rPr>
                <w:rFonts w:hint="eastAsia" w:cs="宋体"/>
                <w:sz w:val="21"/>
                <w:szCs w:val="21"/>
                <w:lang w:val="zh-CN"/>
              </w:rPr>
              <w:t>政务大厅信息系统维护</w:t>
            </w:r>
            <w:r>
              <w:rPr>
                <w:rFonts w:hint="eastAsia" w:cs="Times New Roman"/>
                <w:snapToGrid w:val="0"/>
                <w:sz w:val="21"/>
                <w:szCs w:val="21"/>
              </w:rPr>
              <w:t>；②</w:t>
            </w:r>
            <w:r>
              <w:rPr>
                <w:rFonts w:hint="eastAsia" w:cs="宋体"/>
                <w:sz w:val="21"/>
                <w:szCs w:val="21"/>
                <w:lang w:val="zh-CN"/>
              </w:rPr>
              <w:t>计算机及外设维护</w:t>
            </w:r>
            <w:r>
              <w:rPr>
                <w:rFonts w:hint="eastAsia" w:cs="Times New Roman"/>
                <w:snapToGrid w:val="0"/>
                <w:sz w:val="21"/>
                <w:szCs w:val="21"/>
              </w:rPr>
              <w:t>；③</w:t>
            </w:r>
            <w:r>
              <w:rPr>
                <w:rFonts w:hint="eastAsia" w:cs="宋体"/>
                <w:sz w:val="21"/>
                <w:szCs w:val="21"/>
                <w:lang w:val="zh-CN"/>
              </w:rPr>
              <w:t>计算机网络系统维护</w:t>
            </w:r>
            <w:r>
              <w:rPr>
                <w:rFonts w:hint="eastAsia" w:cs="Times New Roman"/>
                <w:snapToGrid w:val="0"/>
                <w:sz w:val="21"/>
                <w:szCs w:val="21"/>
              </w:rPr>
              <w:t>；④</w:t>
            </w:r>
            <w:r>
              <w:rPr>
                <w:rFonts w:hint="eastAsia" w:cs="宋体"/>
                <w:sz w:val="21"/>
                <w:szCs w:val="21"/>
                <w:lang w:val="zh-CN"/>
              </w:rPr>
              <w:t>中心机房维护</w:t>
            </w:r>
            <w:r>
              <w:rPr>
                <w:rFonts w:hint="eastAsia" w:cs="Times New Roman"/>
                <w:snapToGrid w:val="0"/>
                <w:sz w:val="21"/>
                <w:szCs w:val="21"/>
              </w:rPr>
              <w:t>；⑤</w:t>
            </w:r>
            <w:r>
              <w:rPr>
                <w:rFonts w:hint="eastAsia" w:cs="宋体"/>
                <w:sz w:val="21"/>
                <w:szCs w:val="21"/>
                <w:lang w:val="zh-CN"/>
              </w:rPr>
              <w:t>业务软件维护</w:t>
            </w:r>
            <w:r>
              <w:rPr>
                <w:rFonts w:hint="eastAsia" w:cs="Times New Roman"/>
                <w:snapToGrid w:val="0"/>
                <w:sz w:val="21"/>
                <w:szCs w:val="21"/>
              </w:rPr>
              <w:t>；⑥</w:t>
            </w:r>
            <w:r>
              <w:rPr>
                <w:rFonts w:hint="eastAsia" w:cs="宋体"/>
                <w:sz w:val="21"/>
                <w:szCs w:val="21"/>
                <w:lang w:val="zh-CN"/>
              </w:rPr>
              <w:t>客户端计算机系统安全维护</w:t>
            </w:r>
            <w:r>
              <w:rPr>
                <w:rFonts w:hint="eastAsia" w:cs="宋体"/>
                <w:sz w:val="21"/>
                <w:szCs w:val="21"/>
              </w:rPr>
              <w:t>等</w:t>
            </w:r>
            <w:r>
              <w:rPr>
                <w:rFonts w:hint="eastAsia" w:cs="Times New Roman"/>
                <w:snapToGrid w:val="0"/>
                <w:sz w:val="21"/>
                <w:szCs w:val="21"/>
              </w:rPr>
              <w:t>)内容进行综合评分：</w:t>
            </w:r>
            <w:r>
              <w:rPr>
                <w:rFonts w:hint="eastAsia" w:cs="宋体"/>
                <w:sz w:val="21"/>
                <w:szCs w:val="21"/>
              </w:rPr>
              <w:t>以上6个方面内容齐全，且完全响应项目需求的得30分，每缺少一项内容或每有一项内容不满足需求的扣5分，每有一处内容存在错误或不足的2.5分，扣完为止。</w:t>
            </w:r>
          </w:p>
          <w:p>
            <w:pPr>
              <w:wordWrap w:val="0"/>
              <w:topLinePunct/>
              <w:spacing w:line="360" w:lineRule="exact"/>
              <w:rPr>
                <w:rFonts w:cs="宋体"/>
                <w:b/>
                <w:bCs/>
                <w:sz w:val="21"/>
                <w:szCs w:val="21"/>
              </w:rPr>
            </w:pPr>
            <w:r>
              <w:rPr>
                <w:rFonts w:hint="eastAsia" w:cs="宋体"/>
                <w:b/>
                <w:bCs/>
                <w:sz w:val="21"/>
                <w:szCs w:val="21"/>
              </w:rPr>
              <w:t>注：①内容存在错误或不足指内容与本项目无关或逻辑思路混乱或不符合项目实际情况或内容与本项目不匹配或项目名称、实施地点、技术服务要求与本项目不一致等情形。</w:t>
            </w:r>
          </w:p>
          <w:p>
            <w:pPr>
              <w:pStyle w:val="44"/>
              <w:ind w:left="24" w:leftChars="10"/>
            </w:pPr>
            <w:r>
              <w:rPr>
                <w:rFonts w:hint="eastAsia" w:cs="宋体"/>
                <w:b/>
                <w:bCs/>
                <w:szCs w:val="21"/>
              </w:rPr>
              <w:t>②以评审专家结合项目实际情况和投标文件独立评审为准。</w:t>
            </w:r>
          </w:p>
        </w:tc>
        <w:tc>
          <w:tcPr>
            <w:tcW w:w="1227" w:type="dxa"/>
            <w:vAlign w:val="center"/>
          </w:tcPr>
          <w:p>
            <w:pPr>
              <w:pStyle w:val="48"/>
            </w:pPr>
            <w:r>
              <w:rPr>
                <w:rFonts w:hint="eastAsia"/>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4" w:type="dxa"/>
            <w:vAlign w:val="center"/>
          </w:tcPr>
          <w:p>
            <w:pPr>
              <w:pStyle w:val="48"/>
            </w:pPr>
            <w:r>
              <w:rPr>
                <w:rFonts w:hint="eastAsia"/>
              </w:rPr>
              <w:t>三</w:t>
            </w:r>
          </w:p>
        </w:tc>
        <w:tc>
          <w:tcPr>
            <w:tcW w:w="1384" w:type="dxa"/>
            <w:vAlign w:val="center"/>
          </w:tcPr>
          <w:p>
            <w:pPr>
              <w:pStyle w:val="48"/>
            </w:pPr>
            <w:r>
              <w:rPr>
                <w:rFonts w:hint="eastAsia" w:cs="宋体"/>
                <w:color w:val="000000"/>
                <w:szCs w:val="21"/>
              </w:rPr>
              <w:t>维护文档方案9%</w:t>
            </w:r>
          </w:p>
        </w:tc>
        <w:tc>
          <w:tcPr>
            <w:tcW w:w="866" w:type="dxa"/>
            <w:vAlign w:val="center"/>
          </w:tcPr>
          <w:p>
            <w:pPr>
              <w:pStyle w:val="48"/>
            </w:pPr>
            <w:r>
              <w:rPr>
                <w:rFonts w:hint="eastAsia" w:cs="宋体"/>
                <w:color w:val="000000"/>
                <w:szCs w:val="21"/>
              </w:rPr>
              <w:t>9分</w:t>
            </w:r>
          </w:p>
        </w:tc>
        <w:tc>
          <w:tcPr>
            <w:tcW w:w="5829" w:type="dxa"/>
            <w:vAlign w:val="center"/>
          </w:tcPr>
          <w:p>
            <w:pPr>
              <w:wordWrap w:val="0"/>
              <w:topLinePunct/>
              <w:spacing w:line="360" w:lineRule="exact"/>
              <w:rPr>
                <w:rFonts w:cs="宋体"/>
                <w:sz w:val="21"/>
                <w:szCs w:val="21"/>
              </w:rPr>
            </w:pPr>
            <w:r>
              <w:rPr>
                <w:rFonts w:hint="eastAsia" w:cs="Times New Roman"/>
                <w:snapToGrid w:val="0"/>
                <w:sz w:val="21"/>
                <w:szCs w:val="21"/>
              </w:rPr>
              <w:t>投标人根据项目采购需求，结合自身实际情况拟定针对本项目的维护文档方案(包含：①</w:t>
            </w:r>
            <w:r>
              <w:rPr>
                <w:rFonts w:hint="eastAsia" w:cs="宋体"/>
                <w:sz w:val="21"/>
                <w:szCs w:val="21"/>
              </w:rPr>
              <w:t>文档维护的范围</w:t>
            </w:r>
            <w:r>
              <w:rPr>
                <w:rFonts w:hint="eastAsia" w:cs="Times New Roman"/>
                <w:snapToGrid w:val="0"/>
                <w:sz w:val="21"/>
                <w:szCs w:val="21"/>
              </w:rPr>
              <w:t>；②</w:t>
            </w:r>
            <w:r>
              <w:rPr>
                <w:rFonts w:hint="eastAsia" w:cs="宋体"/>
                <w:sz w:val="21"/>
                <w:szCs w:val="21"/>
              </w:rPr>
              <w:t>时间安排</w:t>
            </w:r>
            <w:r>
              <w:rPr>
                <w:rFonts w:hint="eastAsia" w:cs="Times New Roman"/>
                <w:snapToGrid w:val="0"/>
                <w:sz w:val="21"/>
                <w:szCs w:val="21"/>
              </w:rPr>
              <w:t>；③</w:t>
            </w:r>
            <w:r>
              <w:rPr>
                <w:rFonts w:hint="eastAsia" w:cs="宋体"/>
                <w:sz w:val="21"/>
                <w:szCs w:val="21"/>
              </w:rPr>
              <w:t>档案完整程度等</w:t>
            </w:r>
            <w:r>
              <w:rPr>
                <w:rFonts w:hint="eastAsia" w:cs="Times New Roman"/>
                <w:snapToGrid w:val="0"/>
                <w:sz w:val="21"/>
                <w:szCs w:val="21"/>
              </w:rPr>
              <w:t>)内容进行综合评分：</w:t>
            </w:r>
            <w:r>
              <w:rPr>
                <w:rFonts w:hint="eastAsia" w:cs="宋体"/>
                <w:sz w:val="21"/>
                <w:szCs w:val="21"/>
              </w:rPr>
              <w:t>以上3个方面内容齐全，且完全响应项目需求的得9分，每缺少一项内容或每有一项内容不满足需求的扣3分，每有一处内容存在错误或不足的1.5分，扣完为止。</w:t>
            </w:r>
          </w:p>
          <w:p>
            <w:pPr>
              <w:wordWrap w:val="0"/>
              <w:topLinePunct/>
              <w:spacing w:line="360" w:lineRule="exact"/>
              <w:rPr>
                <w:rFonts w:cs="宋体"/>
                <w:b/>
                <w:bCs/>
                <w:sz w:val="21"/>
                <w:szCs w:val="21"/>
              </w:rPr>
            </w:pPr>
            <w:r>
              <w:rPr>
                <w:rFonts w:hint="eastAsia" w:cs="宋体"/>
                <w:b/>
                <w:bCs/>
                <w:sz w:val="21"/>
                <w:szCs w:val="21"/>
              </w:rPr>
              <w:t>注：①内容存在错误或不足指内容与本项目无关或逻辑思路混乱或不符合项目实际情况或内容与本项目不匹配或项目名称、实施地点、技术服务要求与本项目不一致等情形。</w:t>
            </w:r>
          </w:p>
          <w:p>
            <w:pPr>
              <w:pStyle w:val="44"/>
              <w:ind w:left="0" w:leftChars="0"/>
            </w:pPr>
            <w:r>
              <w:rPr>
                <w:rFonts w:hint="eastAsia" w:cs="宋体"/>
                <w:b/>
                <w:bCs/>
                <w:szCs w:val="21"/>
              </w:rPr>
              <w:t>②以评审专家结合项目实际情况和投标文件独立评审为准。</w:t>
            </w:r>
          </w:p>
        </w:tc>
        <w:tc>
          <w:tcPr>
            <w:tcW w:w="1227" w:type="dxa"/>
            <w:vAlign w:val="center"/>
          </w:tcPr>
          <w:p>
            <w:pPr>
              <w:pStyle w:val="48"/>
            </w:pPr>
            <w:r>
              <w:rPr>
                <w:rFonts w:hint="eastAsia"/>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4" w:type="dxa"/>
            <w:vAlign w:val="center"/>
          </w:tcPr>
          <w:p>
            <w:pPr>
              <w:pStyle w:val="48"/>
            </w:pPr>
            <w:r>
              <w:rPr>
                <w:rFonts w:hint="eastAsia"/>
              </w:rPr>
              <w:t>四</w:t>
            </w:r>
          </w:p>
        </w:tc>
        <w:tc>
          <w:tcPr>
            <w:tcW w:w="1384" w:type="dxa"/>
            <w:vAlign w:val="center"/>
          </w:tcPr>
          <w:p>
            <w:pPr>
              <w:pStyle w:val="45"/>
              <w:spacing w:line="320" w:lineRule="exact"/>
              <w:jc w:val="center"/>
              <w:rPr>
                <w:rFonts w:cs="宋体"/>
                <w:sz w:val="21"/>
                <w:szCs w:val="21"/>
              </w:rPr>
            </w:pPr>
            <w:r>
              <w:rPr>
                <w:rFonts w:hint="eastAsia" w:cs="宋体"/>
                <w:sz w:val="21"/>
                <w:szCs w:val="21"/>
              </w:rPr>
              <w:t>履约能力</w:t>
            </w:r>
          </w:p>
          <w:p>
            <w:pPr>
              <w:pStyle w:val="45"/>
              <w:spacing w:line="320" w:lineRule="exact"/>
              <w:jc w:val="center"/>
            </w:pPr>
            <w:r>
              <w:rPr>
                <w:rFonts w:hint="eastAsia" w:cs="宋体"/>
                <w:sz w:val="21"/>
                <w:szCs w:val="21"/>
              </w:rPr>
              <w:t>50%</w:t>
            </w:r>
          </w:p>
        </w:tc>
        <w:tc>
          <w:tcPr>
            <w:tcW w:w="866" w:type="dxa"/>
            <w:vAlign w:val="center"/>
          </w:tcPr>
          <w:p>
            <w:pPr>
              <w:pStyle w:val="45"/>
              <w:spacing w:line="320" w:lineRule="exact"/>
              <w:jc w:val="center"/>
            </w:pPr>
            <w:r>
              <w:rPr>
                <w:rFonts w:hint="eastAsia" w:cs="宋体"/>
                <w:sz w:val="21"/>
                <w:szCs w:val="21"/>
              </w:rPr>
              <w:t>50分</w:t>
            </w:r>
          </w:p>
        </w:tc>
        <w:tc>
          <w:tcPr>
            <w:tcW w:w="5829" w:type="dxa"/>
            <w:vAlign w:val="center"/>
          </w:tcPr>
          <w:p>
            <w:pPr>
              <w:pStyle w:val="45"/>
              <w:numPr>
                <w:ilvl w:val="0"/>
                <w:numId w:val="32"/>
              </w:numPr>
              <w:tabs>
                <w:tab w:val="clear" w:pos="312"/>
              </w:tabs>
              <w:spacing w:line="320" w:lineRule="exact"/>
              <w:rPr>
                <w:rFonts w:cs="宋体"/>
                <w:sz w:val="21"/>
                <w:szCs w:val="21"/>
              </w:rPr>
            </w:pPr>
            <w:r>
              <w:rPr>
                <w:rFonts w:hint="eastAsia" w:cs="宋体"/>
                <w:sz w:val="21"/>
                <w:szCs w:val="21"/>
              </w:rPr>
              <w:t>投标人每具有一个类似项目履约经验的得5分，最多得20分。</w:t>
            </w:r>
          </w:p>
          <w:p>
            <w:pPr>
              <w:pStyle w:val="45"/>
              <w:spacing w:line="320" w:lineRule="exact"/>
              <w:rPr>
                <w:rFonts w:cs="Times New Roman"/>
                <w:b/>
                <w:bCs/>
                <w:sz w:val="21"/>
                <w:szCs w:val="21"/>
              </w:rPr>
            </w:pPr>
            <w:r>
              <w:rPr>
                <w:rFonts w:hint="eastAsia" w:cs="宋体"/>
                <w:b/>
                <w:bCs/>
                <w:sz w:val="21"/>
                <w:szCs w:val="21"/>
              </w:rPr>
              <w:t>注：</w:t>
            </w:r>
            <w:r>
              <w:rPr>
                <w:rFonts w:hint="eastAsia" w:cs="Times New Roman"/>
                <w:b/>
                <w:bCs/>
                <w:sz w:val="21"/>
                <w:szCs w:val="21"/>
              </w:rPr>
              <w:t>提供合同/协议复印件及合同资金支付的银行凭证复印件(若采用分期付款的，则至少提供1次合同资金支付的银行凭证复印件)，否则不得分；类似项目是指：驻场维护类项目。</w:t>
            </w:r>
          </w:p>
          <w:p>
            <w:pPr>
              <w:pStyle w:val="45"/>
              <w:numPr>
                <w:ilvl w:val="0"/>
                <w:numId w:val="32"/>
              </w:numPr>
              <w:tabs>
                <w:tab w:val="clear" w:pos="312"/>
              </w:tabs>
              <w:spacing w:line="320" w:lineRule="exact"/>
              <w:rPr>
                <w:rFonts w:cs="Times New Roman"/>
                <w:sz w:val="21"/>
                <w:szCs w:val="21"/>
              </w:rPr>
            </w:pPr>
            <w:r>
              <w:rPr>
                <w:rFonts w:hint="eastAsia" w:cs="Times New Roman"/>
                <w:sz w:val="21"/>
                <w:szCs w:val="21"/>
              </w:rPr>
              <w:t>投标人</w:t>
            </w:r>
            <w:r>
              <w:rPr>
                <w:rFonts w:cs="Times New Roman"/>
                <w:sz w:val="21"/>
                <w:szCs w:val="21"/>
              </w:rPr>
              <w:t>针对本项目配备不少于5名（含）满足</w:t>
            </w:r>
            <w:r>
              <w:rPr>
                <w:rFonts w:hint="eastAsia" w:cs="Times New Roman"/>
                <w:sz w:val="21"/>
                <w:szCs w:val="21"/>
              </w:rPr>
              <w:t>服务</w:t>
            </w:r>
            <w:r>
              <w:rPr>
                <w:rFonts w:cs="Times New Roman"/>
                <w:sz w:val="21"/>
                <w:szCs w:val="21"/>
              </w:rPr>
              <w:t>要求的驻场技术人员得10分，少于5人不得分；本项最高得10分。</w:t>
            </w:r>
          </w:p>
          <w:p>
            <w:pPr>
              <w:pStyle w:val="45"/>
              <w:spacing w:line="320" w:lineRule="exact"/>
              <w:rPr>
                <w:rFonts w:cs="Times New Roman"/>
                <w:b/>
                <w:bCs/>
                <w:sz w:val="21"/>
                <w:szCs w:val="21"/>
              </w:rPr>
            </w:pPr>
            <w:r>
              <w:rPr>
                <w:rFonts w:hint="eastAsia" w:cs="Times New Roman"/>
                <w:b/>
                <w:bCs/>
                <w:sz w:val="21"/>
                <w:szCs w:val="21"/>
              </w:rPr>
              <w:t>注：</w:t>
            </w:r>
            <w:r>
              <w:rPr>
                <w:rFonts w:cs="Times New Roman"/>
                <w:b/>
                <w:bCs/>
                <w:sz w:val="21"/>
                <w:szCs w:val="21"/>
              </w:rPr>
              <w:t>以上人员提供相关证书</w:t>
            </w:r>
            <w:r>
              <w:rPr>
                <w:rFonts w:hint="eastAsia" w:cs="Times New Roman"/>
                <w:b/>
                <w:bCs/>
                <w:sz w:val="21"/>
                <w:szCs w:val="21"/>
              </w:rPr>
              <w:t>复印件</w:t>
            </w:r>
            <w:r>
              <w:rPr>
                <w:rFonts w:cs="Times New Roman"/>
                <w:b/>
                <w:bCs/>
                <w:sz w:val="21"/>
                <w:szCs w:val="21"/>
              </w:rPr>
              <w:t>及在职证明材料。</w:t>
            </w:r>
          </w:p>
          <w:p>
            <w:pPr>
              <w:pStyle w:val="45"/>
              <w:spacing w:line="320" w:lineRule="exact"/>
              <w:rPr>
                <w:rFonts w:cs="Times New Roman"/>
                <w:sz w:val="21"/>
                <w:szCs w:val="21"/>
              </w:rPr>
            </w:pPr>
            <w:r>
              <w:rPr>
                <w:rFonts w:hint="eastAsia" w:cs="Times New Roman"/>
                <w:sz w:val="21"/>
                <w:szCs w:val="21"/>
              </w:rPr>
              <w:t>3.投标人</w:t>
            </w:r>
            <w:r>
              <w:rPr>
                <w:rFonts w:cs="Times New Roman"/>
                <w:sz w:val="21"/>
                <w:szCs w:val="21"/>
              </w:rPr>
              <w:t>在满足针对本项目配备不少于5名（含）满足</w:t>
            </w:r>
            <w:r>
              <w:rPr>
                <w:rFonts w:hint="eastAsia" w:cs="Times New Roman"/>
                <w:sz w:val="21"/>
                <w:szCs w:val="21"/>
              </w:rPr>
              <w:t>服务</w:t>
            </w:r>
            <w:r>
              <w:rPr>
                <w:rFonts w:cs="Times New Roman"/>
                <w:sz w:val="21"/>
                <w:szCs w:val="21"/>
              </w:rPr>
              <w:t>要求</w:t>
            </w:r>
            <w:r>
              <w:rPr>
                <w:rFonts w:hint="eastAsia" w:cs="Times New Roman"/>
                <w:sz w:val="21"/>
                <w:szCs w:val="21"/>
              </w:rPr>
              <w:t>的</w:t>
            </w:r>
            <w:r>
              <w:rPr>
                <w:rFonts w:cs="Times New Roman"/>
                <w:sz w:val="21"/>
                <w:szCs w:val="21"/>
              </w:rPr>
              <w:t>驻场技术人员情况下，驻场服务团队人员中每有一名通过信息系统项目管理师高级认证的，得3分</w:t>
            </w:r>
            <w:r>
              <w:rPr>
                <w:rFonts w:hint="eastAsia" w:cs="Times New Roman"/>
                <w:sz w:val="21"/>
                <w:szCs w:val="21"/>
              </w:rPr>
              <w:t>；</w:t>
            </w:r>
            <w:r>
              <w:rPr>
                <w:rFonts w:cs="Times New Roman"/>
                <w:sz w:val="21"/>
                <w:szCs w:val="21"/>
              </w:rPr>
              <w:t>每有一名通过系统集成项目管理工程师认证的，得2分，本项最多得5分。</w:t>
            </w:r>
          </w:p>
          <w:p>
            <w:pPr>
              <w:pStyle w:val="45"/>
              <w:spacing w:line="320" w:lineRule="exact"/>
              <w:rPr>
                <w:rFonts w:cs="Times New Roman"/>
                <w:b/>
                <w:bCs/>
                <w:sz w:val="21"/>
                <w:szCs w:val="21"/>
              </w:rPr>
            </w:pPr>
            <w:r>
              <w:rPr>
                <w:rFonts w:hint="eastAsia" w:cs="Times New Roman"/>
                <w:b/>
                <w:bCs/>
                <w:sz w:val="21"/>
                <w:szCs w:val="21"/>
              </w:rPr>
              <w:t>注：</w:t>
            </w:r>
            <w:r>
              <w:rPr>
                <w:rFonts w:cs="Times New Roman"/>
                <w:b/>
                <w:bCs/>
                <w:sz w:val="21"/>
                <w:szCs w:val="21"/>
              </w:rPr>
              <w:t>相关人员应提供证书复印件及</w:t>
            </w:r>
            <w:r>
              <w:rPr>
                <w:rFonts w:hint="eastAsia" w:cs="Times New Roman"/>
                <w:b/>
                <w:bCs/>
                <w:sz w:val="21"/>
                <w:szCs w:val="21"/>
              </w:rPr>
              <w:t>该</w:t>
            </w:r>
            <w:r>
              <w:rPr>
                <w:rFonts w:cs="Times New Roman"/>
                <w:b/>
                <w:bCs/>
                <w:sz w:val="21"/>
                <w:szCs w:val="21"/>
              </w:rPr>
              <w:t>人员服务</w:t>
            </w:r>
            <w:r>
              <w:rPr>
                <w:rFonts w:hint="eastAsia" w:cs="Times New Roman"/>
                <w:b/>
                <w:bCs/>
                <w:sz w:val="21"/>
                <w:szCs w:val="21"/>
              </w:rPr>
              <w:t>于</w:t>
            </w:r>
            <w:r>
              <w:rPr>
                <w:rFonts w:cs="Times New Roman"/>
                <w:b/>
                <w:bCs/>
                <w:sz w:val="21"/>
                <w:szCs w:val="21"/>
              </w:rPr>
              <w:t>本项目的承诺函原件。</w:t>
            </w:r>
          </w:p>
          <w:p>
            <w:pPr>
              <w:pStyle w:val="45"/>
              <w:spacing w:line="320" w:lineRule="exact"/>
              <w:rPr>
                <w:rFonts w:cs="Times New Roman"/>
                <w:sz w:val="21"/>
                <w:szCs w:val="21"/>
              </w:rPr>
            </w:pPr>
            <w:r>
              <w:rPr>
                <w:rFonts w:hint="eastAsia" w:cs="Times New Roman"/>
                <w:sz w:val="21"/>
                <w:szCs w:val="21"/>
              </w:rPr>
              <w:t>4.投标人</w:t>
            </w:r>
            <w:r>
              <w:rPr>
                <w:rFonts w:cs="Times New Roman"/>
                <w:sz w:val="21"/>
                <w:szCs w:val="21"/>
              </w:rPr>
              <w:t>获得</w:t>
            </w:r>
            <w:r>
              <w:rPr>
                <w:rFonts w:hint="eastAsia" w:cs="Times New Roman"/>
                <w:sz w:val="21"/>
                <w:szCs w:val="21"/>
              </w:rPr>
              <w:t>质量管理体系</w:t>
            </w:r>
            <w:r>
              <w:rPr>
                <w:rFonts w:cs="Times New Roman"/>
                <w:sz w:val="21"/>
                <w:szCs w:val="21"/>
              </w:rPr>
              <w:t>认证的得</w:t>
            </w:r>
            <w:r>
              <w:rPr>
                <w:rFonts w:hint="eastAsia" w:cs="Times New Roman"/>
                <w:sz w:val="21"/>
                <w:szCs w:val="21"/>
              </w:rPr>
              <w:t>4</w:t>
            </w:r>
            <w:r>
              <w:rPr>
                <w:rFonts w:cs="Times New Roman"/>
                <w:sz w:val="21"/>
                <w:szCs w:val="21"/>
              </w:rPr>
              <w:t>分，</w:t>
            </w:r>
            <w:r>
              <w:rPr>
                <w:rFonts w:hint="eastAsia" w:cs="Times New Roman"/>
                <w:sz w:val="21"/>
                <w:szCs w:val="21"/>
              </w:rPr>
              <w:t>投标人</w:t>
            </w:r>
            <w:r>
              <w:rPr>
                <w:rFonts w:cs="Times New Roman"/>
                <w:sz w:val="21"/>
                <w:szCs w:val="21"/>
              </w:rPr>
              <w:t>通过</w:t>
            </w:r>
            <w:r>
              <w:rPr>
                <w:rFonts w:hint="eastAsia" w:cs="Times New Roman"/>
                <w:sz w:val="21"/>
                <w:szCs w:val="21"/>
              </w:rPr>
              <w:t>环境管理体系</w:t>
            </w:r>
            <w:r>
              <w:rPr>
                <w:rFonts w:cs="Times New Roman"/>
                <w:sz w:val="21"/>
                <w:szCs w:val="21"/>
              </w:rPr>
              <w:t>认证的得</w:t>
            </w:r>
            <w:r>
              <w:rPr>
                <w:rFonts w:hint="eastAsia" w:cs="Times New Roman"/>
                <w:sz w:val="21"/>
                <w:szCs w:val="21"/>
              </w:rPr>
              <w:t>4</w:t>
            </w:r>
            <w:r>
              <w:rPr>
                <w:rFonts w:cs="Times New Roman"/>
                <w:sz w:val="21"/>
                <w:szCs w:val="21"/>
              </w:rPr>
              <w:t>分，</w:t>
            </w:r>
            <w:r>
              <w:rPr>
                <w:rFonts w:hint="eastAsia" w:cs="Times New Roman"/>
                <w:sz w:val="21"/>
                <w:szCs w:val="21"/>
              </w:rPr>
              <w:t>投标人通过</w:t>
            </w:r>
            <w:r>
              <w:rPr>
                <w:rFonts w:cs="Times New Roman"/>
                <w:sz w:val="21"/>
                <w:szCs w:val="21"/>
              </w:rPr>
              <w:t>职业健康安全管理体系认证的，得</w:t>
            </w:r>
            <w:r>
              <w:rPr>
                <w:rFonts w:hint="eastAsia" w:cs="Times New Roman"/>
                <w:sz w:val="21"/>
                <w:szCs w:val="21"/>
              </w:rPr>
              <w:t>4</w:t>
            </w:r>
            <w:r>
              <w:rPr>
                <w:rFonts w:cs="Times New Roman"/>
                <w:sz w:val="21"/>
                <w:szCs w:val="21"/>
              </w:rPr>
              <w:t>分。本项最高得12分。</w:t>
            </w:r>
          </w:p>
          <w:p>
            <w:pPr>
              <w:pStyle w:val="45"/>
              <w:spacing w:line="320" w:lineRule="exact"/>
              <w:rPr>
                <w:rFonts w:cs="Times New Roman"/>
                <w:b/>
                <w:bCs/>
                <w:sz w:val="21"/>
                <w:szCs w:val="21"/>
              </w:rPr>
            </w:pPr>
            <w:r>
              <w:rPr>
                <w:rFonts w:hint="eastAsia" w:cs="Times New Roman"/>
                <w:b/>
                <w:bCs/>
                <w:sz w:val="21"/>
                <w:szCs w:val="21"/>
              </w:rPr>
              <w:t>注：</w:t>
            </w:r>
            <w:r>
              <w:rPr>
                <w:rFonts w:cs="Times New Roman"/>
                <w:b/>
                <w:bCs/>
                <w:sz w:val="21"/>
                <w:szCs w:val="21"/>
              </w:rPr>
              <w:t>提供在有效期内的相关证书复印件</w:t>
            </w:r>
            <w:r>
              <w:rPr>
                <w:rFonts w:hint="eastAsia" w:cs="Times New Roman"/>
                <w:b/>
                <w:bCs/>
                <w:sz w:val="21"/>
                <w:szCs w:val="21"/>
              </w:rPr>
              <w:t>。</w:t>
            </w:r>
          </w:p>
          <w:p>
            <w:pPr>
              <w:pStyle w:val="45"/>
              <w:spacing w:line="320" w:lineRule="exact"/>
              <w:rPr>
                <w:rFonts w:cs="Times New Roman"/>
                <w:sz w:val="21"/>
                <w:szCs w:val="21"/>
              </w:rPr>
            </w:pPr>
            <w:r>
              <w:rPr>
                <w:rFonts w:hint="eastAsia" w:cs="Times New Roman"/>
                <w:sz w:val="21"/>
                <w:szCs w:val="21"/>
              </w:rPr>
              <w:t>5.投标人能够提供的备品备件品目、类型（与本项目相关的备品备件）≥15种得3分，每少一种扣0.2分，扣完为止。</w:t>
            </w:r>
          </w:p>
          <w:p>
            <w:pPr>
              <w:pStyle w:val="45"/>
              <w:spacing w:line="320" w:lineRule="exact"/>
            </w:pPr>
            <w:r>
              <w:rPr>
                <w:rFonts w:hint="eastAsia" w:cs="Times New Roman"/>
                <w:b/>
                <w:bCs/>
                <w:sz w:val="21"/>
                <w:szCs w:val="21"/>
              </w:rPr>
              <w:t>注：提供承诺函原件。</w:t>
            </w:r>
          </w:p>
        </w:tc>
        <w:tc>
          <w:tcPr>
            <w:tcW w:w="1227" w:type="dxa"/>
            <w:vAlign w:val="center"/>
          </w:tcPr>
          <w:p>
            <w:pPr>
              <w:pStyle w:val="48"/>
            </w:pPr>
            <w:r>
              <w:rPr>
                <w:rFonts w:hint="eastAsi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54" w:type="dxa"/>
            <w:vAlign w:val="center"/>
          </w:tcPr>
          <w:p>
            <w:pPr>
              <w:pStyle w:val="48"/>
            </w:pPr>
            <w:r>
              <w:rPr>
                <w:rFonts w:hint="eastAsia"/>
              </w:rPr>
              <w:t>五</w:t>
            </w:r>
          </w:p>
        </w:tc>
        <w:tc>
          <w:tcPr>
            <w:tcW w:w="1384" w:type="dxa"/>
            <w:vAlign w:val="center"/>
          </w:tcPr>
          <w:p>
            <w:pPr>
              <w:pStyle w:val="45"/>
              <w:spacing w:line="32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扶持少数民族地区</w:t>
            </w:r>
          </w:p>
          <w:p>
            <w:pPr>
              <w:pStyle w:val="45"/>
              <w:spacing w:line="320" w:lineRule="exact"/>
              <w:jc w:val="center"/>
            </w:pPr>
            <w:r>
              <w:rPr>
                <w:rFonts w:hint="eastAsia" w:asciiTheme="minorEastAsia" w:hAnsiTheme="minorEastAsia" w:eastAsiaTheme="minorEastAsia" w:cstheme="minorEastAsia"/>
                <w:sz w:val="21"/>
                <w:szCs w:val="21"/>
                <w:u w:val="single"/>
              </w:rPr>
              <w:t>1</w:t>
            </w:r>
            <w:r>
              <w:rPr>
                <w:rFonts w:hint="eastAsia" w:asciiTheme="minorEastAsia" w:hAnsiTheme="minorEastAsia" w:eastAsiaTheme="minorEastAsia" w:cstheme="minorEastAsia"/>
                <w:sz w:val="21"/>
                <w:szCs w:val="21"/>
              </w:rPr>
              <w:t>%</w:t>
            </w:r>
          </w:p>
        </w:tc>
        <w:tc>
          <w:tcPr>
            <w:tcW w:w="866" w:type="dxa"/>
            <w:vAlign w:val="center"/>
          </w:tcPr>
          <w:p>
            <w:pPr>
              <w:pStyle w:val="45"/>
              <w:spacing w:line="320" w:lineRule="exact"/>
              <w:jc w:val="center"/>
            </w:pPr>
            <w:r>
              <w:rPr>
                <w:rFonts w:hint="eastAsia" w:asciiTheme="minorEastAsia" w:hAnsiTheme="minorEastAsia" w:eastAsiaTheme="minorEastAsia" w:cstheme="minorEastAsia"/>
                <w:sz w:val="21"/>
                <w:szCs w:val="21"/>
              </w:rPr>
              <w:t>1分</w:t>
            </w:r>
          </w:p>
        </w:tc>
        <w:tc>
          <w:tcPr>
            <w:tcW w:w="5829" w:type="dxa"/>
            <w:vAlign w:val="center"/>
          </w:tcPr>
          <w:p>
            <w:pPr>
              <w:pStyle w:val="45"/>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投标人注册在少数民族地区的得</w:t>
            </w:r>
            <w:r>
              <w:rPr>
                <w:rFonts w:hint="eastAsia" w:asciiTheme="minorEastAsia" w:hAnsiTheme="minorEastAsia" w:eastAsiaTheme="minorEastAsia" w:cstheme="minorEastAsia"/>
                <w:sz w:val="21"/>
                <w:szCs w:val="21"/>
                <w:u w:val="single"/>
              </w:rPr>
              <w:t>1</w:t>
            </w:r>
            <w:r>
              <w:rPr>
                <w:rFonts w:hint="eastAsia" w:asciiTheme="minorEastAsia" w:hAnsiTheme="minorEastAsia" w:eastAsiaTheme="minorEastAsia" w:cstheme="minorEastAsia"/>
                <w:sz w:val="21"/>
                <w:szCs w:val="21"/>
              </w:rPr>
              <w:t>分。</w:t>
            </w:r>
          </w:p>
          <w:p>
            <w:pPr>
              <w:pStyle w:val="45"/>
              <w:spacing w:line="320" w:lineRule="exact"/>
            </w:pPr>
            <w:r>
              <w:rPr>
                <w:rFonts w:hint="eastAsia" w:asciiTheme="minorEastAsia" w:hAnsiTheme="minorEastAsia" w:eastAsiaTheme="minorEastAsia" w:cstheme="minorEastAsia"/>
                <w:b/>
                <w:bCs/>
                <w:sz w:val="21"/>
                <w:szCs w:val="21"/>
              </w:rPr>
              <w:t>注：指投标人注册地在民族自治区、自治州、自治县(含享受少数民族待遇的区县)、民族乡，提供营业执照副本复印件。</w:t>
            </w:r>
          </w:p>
        </w:tc>
        <w:tc>
          <w:tcPr>
            <w:tcW w:w="1227" w:type="dxa"/>
            <w:vAlign w:val="center"/>
          </w:tcPr>
          <w:p>
            <w:pPr>
              <w:pStyle w:val="48"/>
            </w:pPr>
            <w:r>
              <w:rPr>
                <w:rFonts w:hint="eastAsia"/>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60" w:type="dxa"/>
            <w:gridSpan w:val="5"/>
            <w:vAlign w:val="center"/>
          </w:tcPr>
          <w:p>
            <w:pPr>
              <w:pStyle w:val="48"/>
              <w:jc w:val="both"/>
            </w:pPr>
            <w:r>
              <w:rPr>
                <w:rFonts w:hint="eastAsia" w:asciiTheme="minorEastAsia" w:hAnsiTheme="minorEastAsia" w:eastAsiaTheme="minorEastAsia" w:cstheme="minorEastAsia"/>
                <w:szCs w:val="21"/>
              </w:rPr>
              <w:t>注：</w:t>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 1 \* GB3 \* MERGEFORMAT </w:instrText>
            </w:r>
            <w:r>
              <w:rPr>
                <w:rFonts w:hint="eastAsia" w:asciiTheme="minorEastAsia" w:hAnsiTheme="minorEastAsia" w:eastAsiaTheme="minorEastAsia" w:cstheme="minorEastAsia"/>
                <w:szCs w:val="21"/>
              </w:rPr>
              <w:fldChar w:fldCharType="separate"/>
            </w:r>
            <w:r>
              <w:t>①</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评分的取值按四舍五入法，小数点后保留两位。</w:t>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 2 \* GB3 \* MERGEFORMAT </w:instrText>
            </w:r>
            <w:r>
              <w:rPr>
                <w:rFonts w:hint="eastAsia" w:asciiTheme="minorEastAsia" w:hAnsiTheme="minorEastAsia" w:eastAsiaTheme="minorEastAsia" w:cstheme="minorEastAsia"/>
                <w:szCs w:val="21"/>
              </w:rPr>
              <w:fldChar w:fldCharType="separate"/>
            </w:r>
            <w:r>
              <w:t>②</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本表中要求提供各类证明材料应清晰可辨，均需加盖供应商单位电子签章，否则将不认可该项材料的有效性。</w:t>
            </w:r>
          </w:p>
        </w:tc>
      </w:tr>
    </w:tbl>
    <w:p>
      <w:pPr>
        <w:pStyle w:val="37"/>
        <w:numPr>
          <w:ilvl w:val="1"/>
          <w:numId w:val="3"/>
        </w:numPr>
        <w:ind w:firstLine="482"/>
      </w:pPr>
      <w:bookmarkStart w:id="1088" w:name="_Toc4455"/>
      <w:r>
        <w:rPr>
          <w:rFonts w:hint="eastAsia"/>
        </w:rPr>
        <w:t>复核</w:t>
      </w:r>
      <w:bookmarkEnd w:id="1083"/>
      <w:bookmarkEnd w:id="1088"/>
    </w:p>
    <w:p>
      <w:pPr>
        <w:pStyle w:val="35"/>
        <w:numPr>
          <w:ilvl w:val="1"/>
          <w:numId w:val="33"/>
        </w:numPr>
        <w:ind w:firstLine="480"/>
      </w:pPr>
      <w:r>
        <w:rPr>
          <w:rFonts w:hint="eastAsia"/>
        </w:rPr>
        <w:t>评标委员会复核</w:t>
      </w:r>
    </w:p>
    <w:p>
      <w:pPr>
        <w:pStyle w:val="45"/>
        <w:ind w:firstLine="480" w:firstLineChars="200"/>
      </w:pPr>
      <w:r>
        <w:rPr>
          <w:rFonts w:hint="eastAsia"/>
        </w:rPr>
        <w:t>评分汇总结束后，评标委员会应当进行复核，特别要对拟推荐为中标候选供应商的、报价最低的、投标文件被认定为无效的进行重点复核。</w:t>
      </w:r>
    </w:p>
    <w:p>
      <w:pPr>
        <w:pStyle w:val="35"/>
        <w:ind w:firstLine="480"/>
      </w:pPr>
      <w:r>
        <w:rPr>
          <w:rFonts w:hint="eastAsia"/>
        </w:rPr>
        <w:t>采购代理机构现场复核评审结果</w:t>
      </w:r>
    </w:p>
    <w:p>
      <w:pPr>
        <w:pStyle w:val="38"/>
        <w:ind w:firstLine="480"/>
      </w:pPr>
      <w:r>
        <w:rPr>
          <w:rFonts w:hint="eastAsia"/>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39"/>
        <w:ind w:firstLine="480"/>
      </w:pPr>
      <w:r>
        <w:rPr>
          <w:rFonts w:hint="eastAsia"/>
        </w:rPr>
        <w:t>分值汇总计算错误的；</w:t>
      </w:r>
    </w:p>
    <w:p>
      <w:pPr>
        <w:pStyle w:val="39"/>
        <w:ind w:firstLine="480"/>
      </w:pPr>
      <w:r>
        <w:rPr>
          <w:rFonts w:hint="eastAsia"/>
        </w:rPr>
        <w:t>分项评分超出评分标准范围的；</w:t>
      </w:r>
    </w:p>
    <w:p>
      <w:pPr>
        <w:pStyle w:val="39"/>
        <w:ind w:firstLine="480"/>
      </w:pPr>
      <w:r>
        <w:rPr>
          <w:rFonts w:hint="eastAsia"/>
        </w:rPr>
        <w:t>评标委员会成员对客观评审因素评分不一致的；</w:t>
      </w:r>
    </w:p>
    <w:p>
      <w:pPr>
        <w:pStyle w:val="39"/>
        <w:ind w:firstLine="480"/>
      </w:pPr>
      <w:r>
        <w:rPr>
          <w:rFonts w:hint="eastAsia"/>
        </w:rPr>
        <w:t>经评标委员会认定评分畸高、畸低的。</w:t>
      </w:r>
    </w:p>
    <w:p>
      <w:pPr>
        <w:pStyle w:val="49"/>
      </w:pPr>
      <w:r>
        <w:rPr>
          <w:rFonts w:hint="eastAsia"/>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49"/>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8"/>
        <w:ind w:firstLine="480"/>
      </w:pPr>
      <w:r>
        <w:rPr>
          <w:rFonts w:hint="eastAsia"/>
        </w:rPr>
        <w:t>采购代理机构复核过程中，评标委员会不得离开评标现场。</w:t>
      </w:r>
    </w:p>
    <w:p>
      <w:pPr>
        <w:pStyle w:val="38"/>
        <w:ind w:firstLine="480"/>
      </w:pPr>
      <w:r>
        <w:rPr>
          <w:rFonts w:hint="eastAsia"/>
        </w:rPr>
        <w:t>有下列情形之一的，不得修改评标结果或者重新评标：</w:t>
      </w:r>
    </w:p>
    <w:p>
      <w:pPr>
        <w:pStyle w:val="39"/>
        <w:ind w:firstLine="480"/>
      </w:pPr>
      <w:r>
        <w:rPr>
          <w:rFonts w:hint="eastAsia"/>
        </w:rPr>
        <w:t>评标委员会已经出具评标报告并且离开评标现场的；</w:t>
      </w:r>
    </w:p>
    <w:p>
      <w:pPr>
        <w:pStyle w:val="39"/>
        <w:ind w:firstLine="480"/>
      </w:pPr>
      <w:r>
        <w:rPr>
          <w:rFonts w:hint="eastAsia"/>
        </w:rPr>
        <w:t>采购代理机构现场复核时，复核工作人员数量不足的；</w:t>
      </w:r>
    </w:p>
    <w:p>
      <w:pPr>
        <w:pStyle w:val="39"/>
        <w:ind w:firstLine="480"/>
      </w:pPr>
      <w:r>
        <w:rPr>
          <w:rFonts w:hint="eastAsia"/>
        </w:rPr>
        <w:t>采购代理机构现场复核时，没有采购监督人员现场监督的；</w:t>
      </w:r>
    </w:p>
    <w:p>
      <w:pPr>
        <w:pStyle w:val="39"/>
        <w:ind w:firstLine="480"/>
      </w:pPr>
      <w:r>
        <w:rPr>
          <w:rFonts w:hint="eastAsia"/>
        </w:rPr>
        <w:t>采购代理机构现场复核内容超出规定范围的；</w:t>
      </w:r>
    </w:p>
    <w:p>
      <w:pPr>
        <w:pStyle w:val="39"/>
        <w:ind w:firstLine="480"/>
      </w:pPr>
      <w:r>
        <w:rPr>
          <w:rFonts w:hint="eastAsia"/>
        </w:rPr>
        <w:t>采购代理机构未提供书面建议的。</w:t>
      </w:r>
    </w:p>
    <w:p>
      <w:pPr>
        <w:pStyle w:val="37"/>
        <w:numPr>
          <w:ilvl w:val="1"/>
          <w:numId w:val="3"/>
        </w:numPr>
        <w:ind w:firstLine="482"/>
      </w:pPr>
      <w:bookmarkStart w:id="1089" w:name="_Toc31256"/>
      <w:bookmarkStart w:id="1090" w:name="_Toc18354"/>
      <w:r>
        <w:rPr>
          <w:rFonts w:hint="eastAsia"/>
        </w:rPr>
        <w:t>推荐中标候选供应商</w:t>
      </w:r>
      <w:bookmarkEnd w:id="1089"/>
      <w:bookmarkEnd w:id="1090"/>
    </w:p>
    <w:p>
      <w:pPr>
        <w:pStyle w:val="49"/>
      </w:pPr>
      <w:r>
        <w:rPr>
          <w:rFonts w:hint="eastAsia"/>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w:t>
      </w:r>
      <w:r>
        <w:rPr>
          <w:rFonts w:cs="宋体"/>
        </w:rPr>
        <w:t>情况下，优先推荐注册地为少数民族地区或不发达地区的供应商为中标候选人</w:t>
      </w:r>
      <w:r>
        <w:rPr>
          <w:rFonts w:hint="eastAsia"/>
        </w:rPr>
        <w:t>。投标文件满足招标文件全部实质性要求，且按照评审因素的量化指标评审得分最高的投标人为排名第一的中标候选人。</w:t>
      </w:r>
    </w:p>
    <w:p>
      <w:pPr>
        <w:pStyle w:val="49"/>
      </w:pPr>
      <w:r>
        <w:rPr>
          <w:rFonts w:hint="eastAsia"/>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7"/>
        <w:numPr>
          <w:ilvl w:val="1"/>
          <w:numId w:val="3"/>
        </w:numPr>
        <w:ind w:firstLine="482"/>
      </w:pPr>
      <w:bookmarkStart w:id="1091" w:name="_Toc7685"/>
      <w:bookmarkStart w:id="1092" w:name="_Toc24971"/>
      <w:r>
        <w:rPr>
          <w:rFonts w:hint="eastAsia"/>
        </w:rPr>
        <w:t>出具评标报告</w:t>
      </w:r>
      <w:bookmarkEnd w:id="1091"/>
      <w:bookmarkEnd w:id="1092"/>
    </w:p>
    <w:p>
      <w:pPr>
        <w:pStyle w:val="49"/>
      </w:pPr>
      <w:r>
        <w:rPr>
          <w:rFonts w:hint="eastAsia"/>
        </w:rPr>
        <w:t>评标委员会推荐中标候选供应商后，应当向招标采购单位出具评标报告。评标报告应当包括下列内容：</w:t>
      </w:r>
    </w:p>
    <w:p>
      <w:pPr>
        <w:pStyle w:val="35"/>
        <w:numPr>
          <w:ilvl w:val="1"/>
          <w:numId w:val="34"/>
        </w:numPr>
        <w:ind w:firstLine="480"/>
      </w:pPr>
      <w:r>
        <w:rPr>
          <w:rFonts w:hint="eastAsia"/>
        </w:rPr>
        <w:t>招标公告刊登的媒体名称、开标日期和地点；</w:t>
      </w:r>
    </w:p>
    <w:p>
      <w:pPr>
        <w:pStyle w:val="35"/>
        <w:numPr>
          <w:ilvl w:val="1"/>
          <w:numId w:val="34"/>
        </w:numPr>
        <w:ind w:firstLine="480"/>
      </w:pPr>
      <w:r>
        <w:rPr>
          <w:rFonts w:hint="eastAsia"/>
        </w:rPr>
        <w:t>投标人名单和评标委员会成员名单；</w:t>
      </w:r>
    </w:p>
    <w:p>
      <w:pPr>
        <w:pStyle w:val="35"/>
        <w:numPr>
          <w:ilvl w:val="1"/>
          <w:numId w:val="34"/>
        </w:numPr>
        <w:ind w:firstLine="480"/>
      </w:pPr>
      <w:r>
        <w:rPr>
          <w:rFonts w:hint="eastAsia"/>
        </w:rPr>
        <w:t>评标方法和标准；</w:t>
      </w:r>
    </w:p>
    <w:p>
      <w:pPr>
        <w:pStyle w:val="35"/>
        <w:numPr>
          <w:ilvl w:val="1"/>
          <w:numId w:val="34"/>
        </w:numPr>
        <w:ind w:firstLine="480"/>
      </w:pPr>
      <w:r>
        <w:rPr>
          <w:rFonts w:hint="eastAsia"/>
        </w:rPr>
        <w:t>开标记录和评标情况及说明，包括无效投标人名单及原因；</w:t>
      </w:r>
    </w:p>
    <w:p>
      <w:pPr>
        <w:pStyle w:val="35"/>
        <w:numPr>
          <w:ilvl w:val="1"/>
          <w:numId w:val="34"/>
        </w:numPr>
        <w:ind w:firstLine="480"/>
      </w:pPr>
      <w:r>
        <w:rPr>
          <w:rFonts w:hint="eastAsia"/>
        </w:rPr>
        <w:t>评标结果，确定的中标候选人名单或者经采购人委托直接确定的中标人；</w:t>
      </w:r>
    </w:p>
    <w:p>
      <w:pPr>
        <w:pStyle w:val="35"/>
        <w:numPr>
          <w:ilvl w:val="1"/>
          <w:numId w:val="34"/>
        </w:numPr>
        <w:ind w:firstLine="480"/>
      </w:pPr>
      <w:r>
        <w:rPr>
          <w:rFonts w:hint="eastAsia"/>
        </w:rPr>
        <w:t>其他需要说明的情况，包括评标过程中投标人根据评标委员会要求进行的澄清、说明或者补正，评标委员会成员的更换等。</w:t>
      </w:r>
    </w:p>
    <w:p>
      <w:pPr>
        <w:pStyle w:val="50"/>
        <w:ind w:firstLine="482"/>
      </w:pPr>
      <w:r>
        <w:rPr>
          <w:rFonts w:hint="eastAsia"/>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7"/>
        <w:numPr>
          <w:ilvl w:val="1"/>
          <w:numId w:val="3"/>
        </w:numPr>
        <w:ind w:firstLine="482"/>
      </w:pPr>
      <w:bookmarkStart w:id="1093" w:name="_Toc17073"/>
      <w:bookmarkStart w:id="1094" w:name="_Toc21190"/>
      <w:r>
        <w:rPr>
          <w:rFonts w:hint="eastAsia"/>
        </w:rPr>
        <w:t>废标</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1084"/>
      <w:bookmarkEnd w:id="1085"/>
      <w:bookmarkEnd w:id="1086"/>
      <w:bookmarkEnd w:id="1087"/>
      <w:bookmarkEnd w:id="1093"/>
      <w:bookmarkEnd w:id="1094"/>
    </w:p>
    <w:p>
      <w:pPr>
        <w:pStyle w:val="49"/>
      </w:pPr>
      <w:r>
        <w:rPr>
          <w:rFonts w:hint="eastAsia"/>
        </w:rPr>
        <w:t>本次政府采购活动中，出现下列情形之一的，予以废标：</w:t>
      </w:r>
    </w:p>
    <w:p>
      <w:pPr>
        <w:pStyle w:val="38"/>
        <w:ind w:firstLine="480"/>
      </w:pPr>
      <w:r>
        <w:rPr>
          <w:rFonts w:hint="eastAsia"/>
        </w:rPr>
        <w:t>符合专业条件的供应商或者对招标文件作实质响应的供应商不足三家的；</w:t>
      </w:r>
    </w:p>
    <w:p>
      <w:pPr>
        <w:pStyle w:val="38"/>
        <w:ind w:firstLine="480"/>
      </w:pPr>
      <w:r>
        <w:rPr>
          <w:rFonts w:hint="eastAsia"/>
        </w:rPr>
        <w:t>出现影响采购公正的违法、违规行为的；</w:t>
      </w:r>
    </w:p>
    <w:p>
      <w:pPr>
        <w:pStyle w:val="38"/>
        <w:ind w:firstLine="480"/>
      </w:pPr>
      <w:r>
        <w:rPr>
          <w:rFonts w:hint="eastAsia"/>
        </w:rPr>
        <w:t>投标人的报价均超过了采购预算或单价最高限价，采购人不能支付的；</w:t>
      </w:r>
    </w:p>
    <w:p>
      <w:pPr>
        <w:pStyle w:val="38"/>
        <w:ind w:firstLine="480"/>
      </w:pPr>
      <w:r>
        <w:rPr>
          <w:rFonts w:hint="eastAsia"/>
        </w:rPr>
        <w:t>因重大变故，采购任务取消的。</w:t>
      </w:r>
    </w:p>
    <w:p>
      <w:pPr>
        <w:pStyle w:val="49"/>
      </w:pPr>
      <w:r>
        <w:rPr>
          <w:rFonts w:hint="eastAsia"/>
        </w:rPr>
        <w:t>废标后，采购代理机构应在“四川政府采购网”及“成都市住房和城乡建设局官网”公告，并公告废标的理由。</w:t>
      </w:r>
    </w:p>
    <w:p>
      <w:pPr>
        <w:pStyle w:val="37"/>
        <w:numPr>
          <w:ilvl w:val="1"/>
          <w:numId w:val="3"/>
        </w:numPr>
        <w:ind w:firstLine="482"/>
      </w:pPr>
      <w:bookmarkStart w:id="1095" w:name="_Toc327196344"/>
      <w:bookmarkStart w:id="1096" w:name="_Toc31281"/>
      <w:bookmarkStart w:id="1097" w:name="_Toc307564900"/>
      <w:bookmarkStart w:id="1098" w:name="_Toc768"/>
      <w:bookmarkStart w:id="1099" w:name="_Toc21352"/>
      <w:bookmarkStart w:id="1100" w:name="_Toc24655"/>
      <w:bookmarkStart w:id="1101" w:name="_Toc307501158"/>
      <w:bookmarkStart w:id="1102" w:name="_Toc309897567"/>
      <w:bookmarkStart w:id="1103" w:name="_Toc10846"/>
      <w:bookmarkStart w:id="1104" w:name="_Toc4794"/>
      <w:bookmarkStart w:id="1105" w:name="_Toc4475"/>
      <w:bookmarkStart w:id="1106" w:name="_Toc7121"/>
      <w:bookmarkStart w:id="1107" w:name="_Toc308188202"/>
      <w:bookmarkStart w:id="1108" w:name="_Toc319440193"/>
      <w:bookmarkStart w:id="1109" w:name="_Toc319439949"/>
      <w:bookmarkStart w:id="1110" w:name="_Toc13169"/>
      <w:bookmarkStart w:id="1111" w:name="_Toc308084649"/>
      <w:bookmarkStart w:id="1112" w:name="_Toc25875"/>
      <w:bookmarkStart w:id="1113" w:name="_Toc2453"/>
      <w:bookmarkStart w:id="1114" w:name="_Toc9200"/>
      <w:r>
        <w:rPr>
          <w:rFonts w:hint="eastAsia"/>
        </w:rPr>
        <w:t>定标</w:t>
      </w:r>
      <w:bookmarkEnd w:id="985"/>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Start w:id="1115" w:name="_Toc217446061"/>
    </w:p>
    <w:p>
      <w:pPr>
        <w:pStyle w:val="35"/>
        <w:numPr>
          <w:ilvl w:val="1"/>
          <w:numId w:val="35"/>
        </w:numPr>
        <w:ind w:firstLine="480"/>
      </w:pPr>
      <w:r>
        <w:rPr>
          <w:rFonts w:hint="eastAsia"/>
        </w:rPr>
        <w:t>定标原则</w:t>
      </w:r>
      <w:bookmarkEnd w:id="1115"/>
      <w:r>
        <w:rPr>
          <w:rFonts w:hint="eastAsia"/>
        </w:rPr>
        <w:t>：本项目根据评委会推荐的中标候选人名单，按顺序确定第1名为中标人。</w:t>
      </w:r>
    </w:p>
    <w:p>
      <w:pPr>
        <w:pStyle w:val="35"/>
        <w:numPr>
          <w:ilvl w:val="1"/>
          <w:numId w:val="35"/>
        </w:numPr>
        <w:ind w:firstLine="480"/>
      </w:pPr>
      <w:bookmarkStart w:id="1116" w:name="_Toc217446062"/>
      <w:r>
        <w:rPr>
          <w:rFonts w:hint="eastAsia"/>
        </w:rPr>
        <w:t>定标程序</w:t>
      </w:r>
      <w:bookmarkEnd w:id="1116"/>
    </w:p>
    <w:p>
      <w:pPr>
        <w:pStyle w:val="38"/>
        <w:ind w:firstLine="480"/>
      </w:pPr>
      <w:r>
        <w:rPr>
          <w:rFonts w:hint="eastAsia"/>
        </w:rPr>
        <w:t>评标委员会根据全体评标成员签字的原始评标记录和评标结果编写评标报告，推荐不少于三名中标候选人，并按照综合得分高低标明排列顺序。</w:t>
      </w:r>
    </w:p>
    <w:p>
      <w:pPr>
        <w:pStyle w:val="38"/>
        <w:ind w:firstLine="480"/>
      </w:pPr>
      <w:r>
        <w:rPr>
          <w:rFonts w:hint="eastAsia"/>
        </w:rPr>
        <w:t>采购代理机构在评标结束后2个工作日内将评标报告送采购人。</w:t>
      </w:r>
    </w:p>
    <w:p>
      <w:pPr>
        <w:pStyle w:val="38"/>
        <w:ind w:firstLine="480"/>
      </w:pPr>
      <w:r>
        <w:rPr>
          <w:rFonts w:hint="eastAsia"/>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人前，应到中国裁判文书网（https://wenshu.court.gov.cn）查询中标候选供应商及其现任法定代表人、主要负责人是否存在行贿犯罪记录。</w:t>
      </w:r>
    </w:p>
    <w:p>
      <w:pPr>
        <w:pStyle w:val="49"/>
      </w:pPr>
      <w:r>
        <w:rPr>
          <w:rFonts w:hint="eastAsia"/>
        </w:rPr>
        <w:t>采购人在收到评标报告5个工作日内未按评标报告推荐的中标候选人顺序确定中标人，又不能说明合法理由的，视同按评标报告推荐的顺序确定排名第一的中标候选人为中标人。</w:t>
      </w:r>
    </w:p>
    <w:p>
      <w:pPr>
        <w:pStyle w:val="38"/>
        <w:ind w:firstLine="480"/>
      </w:pPr>
      <w:r>
        <w:rPr>
          <w:rFonts w:hint="eastAsia"/>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38"/>
        <w:ind w:firstLine="480"/>
      </w:pPr>
      <w:r>
        <w:rPr>
          <w:rFonts w:hint="eastAsia"/>
        </w:rPr>
        <w:t>采购代理机构在中标人确定后2个工作日内，在“四川政府采购网”及“成都市住房和城乡建设局官网”发布中标公告，同时向中标人发出中标通知书，</w:t>
      </w:r>
      <w:r>
        <w:rPr>
          <w:rFonts w:hint="eastAsia"/>
          <w:lang w:val="zh-CN"/>
        </w:rPr>
        <w:t>中标人自行登录“政府采购云平台”下载中标通知书</w:t>
      </w:r>
      <w:r>
        <w:rPr>
          <w:rFonts w:hint="eastAsia"/>
        </w:rPr>
        <w:t>。</w:t>
      </w:r>
    </w:p>
    <w:p>
      <w:pPr>
        <w:pStyle w:val="38"/>
        <w:ind w:firstLine="480"/>
      </w:pPr>
      <w:r>
        <w:rPr>
          <w:rFonts w:hint="eastAsia"/>
        </w:rPr>
        <w:t>采购人、采购代理机构不解释中标或未中标原因，招标采购单位不退回投标人投标文件和其他投标资料。</w:t>
      </w:r>
    </w:p>
    <w:bookmarkEnd w:id="986"/>
    <w:p>
      <w:pPr>
        <w:pStyle w:val="37"/>
        <w:numPr>
          <w:ilvl w:val="1"/>
          <w:numId w:val="3"/>
        </w:numPr>
        <w:ind w:firstLine="482"/>
      </w:pPr>
      <w:bookmarkStart w:id="1117" w:name="_Toc25084"/>
      <w:bookmarkStart w:id="1118" w:name="_Toc327196345"/>
      <w:bookmarkStart w:id="1119" w:name="_Toc319440194"/>
      <w:bookmarkStart w:id="1120" w:name="_Toc10903"/>
      <w:bookmarkStart w:id="1121" w:name="_Toc15982"/>
      <w:bookmarkStart w:id="1122" w:name="_Toc319439950"/>
      <w:bookmarkStart w:id="1123" w:name="_Toc16879"/>
      <w:bookmarkStart w:id="1124" w:name="_Toc8099"/>
      <w:bookmarkStart w:id="1125" w:name="_Toc25198"/>
      <w:bookmarkStart w:id="1126" w:name="_Toc309897568"/>
      <w:bookmarkStart w:id="1127" w:name="_Toc22537"/>
      <w:bookmarkStart w:id="1128" w:name="_Toc307564901"/>
      <w:bookmarkStart w:id="1129" w:name="_Toc308188203"/>
      <w:bookmarkStart w:id="1130" w:name="_Toc14102"/>
      <w:bookmarkStart w:id="1131" w:name="_Toc32114"/>
      <w:bookmarkStart w:id="1132" w:name="_Toc27423"/>
      <w:bookmarkStart w:id="1133" w:name="_Toc307501159"/>
      <w:bookmarkStart w:id="1134" w:name="_Toc27662"/>
      <w:bookmarkStart w:id="1135" w:name="_Toc308084650"/>
      <w:bookmarkStart w:id="1136" w:name="_Toc24141"/>
      <w:r>
        <w:rPr>
          <w:rFonts w:hint="eastAsia"/>
        </w:rPr>
        <w:t>评标专家在政府采购活动中承担以下义务</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35"/>
        <w:numPr>
          <w:ilvl w:val="1"/>
          <w:numId w:val="36"/>
        </w:numPr>
        <w:ind w:firstLine="480"/>
      </w:pPr>
      <w:r>
        <w:rPr>
          <w:rFonts w:hint="eastAsia"/>
        </w:rPr>
        <w:t>遵守评标工作纪律；</w:t>
      </w:r>
    </w:p>
    <w:p>
      <w:pPr>
        <w:pStyle w:val="35"/>
        <w:numPr>
          <w:ilvl w:val="1"/>
          <w:numId w:val="36"/>
        </w:numPr>
        <w:ind w:firstLine="480"/>
      </w:pPr>
      <w:r>
        <w:rPr>
          <w:rFonts w:hint="eastAsia"/>
        </w:rPr>
        <w:t>按照客观、公正、审慎的原则，根据招标文件规定的评标程序、评标方法和评标标准进行独立评标；</w:t>
      </w:r>
    </w:p>
    <w:p>
      <w:pPr>
        <w:pStyle w:val="35"/>
        <w:numPr>
          <w:ilvl w:val="1"/>
          <w:numId w:val="36"/>
        </w:numPr>
        <w:ind w:firstLine="480"/>
      </w:pPr>
      <w:r>
        <w:rPr>
          <w:rFonts w:hint="eastAsia"/>
        </w:rPr>
        <w:t>不得泄露评标文件、评标情况和在评标过程中获悉的商业秘密；</w:t>
      </w:r>
    </w:p>
    <w:p>
      <w:pPr>
        <w:pStyle w:val="35"/>
        <w:numPr>
          <w:ilvl w:val="1"/>
          <w:numId w:val="36"/>
        </w:numPr>
        <w:ind w:firstLine="480"/>
      </w:pPr>
      <w:r>
        <w:rPr>
          <w:rFonts w:hint="eastAsia"/>
        </w:rPr>
        <w:t>及时向财政部门报告评标过程中发现的采购人、采购代理机构向评标专家做倾向性、误导性的解释或者说明，以及供应商行贿、提供虚假材料或者串通等违法行为；</w:t>
      </w:r>
    </w:p>
    <w:p>
      <w:pPr>
        <w:pStyle w:val="35"/>
        <w:numPr>
          <w:ilvl w:val="1"/>
          <w:numId w:val="36"/>
        </w:numPr>
        <w:ind w:firstLine="480"/>
      </w:pPr>
      <w:r>
        <w:rPr>
          <w:rFonts w:hint="eastAsia"/>
        </w:rPr>
        <w:t>发现招标文件内容违反国家有关强制性规定或者采购文件存在歧义、重大缺陷导致评标工作无法进行时，停止评标并向采购人或者采购代理机构书面说明情况；</w:t>
      </w:r>
    </w:p>
    <w:p>
      <w:pPr>
        <w:pStyle w:val="35"/>
        <w:numPr>
          <w:ilvl w:val="1"/>
          <w:numId w:val="36"/>
        </w:numPr>
        <w:ind w:firstLine="480"/>
      </w:pPr>
      <w:r>
        <w:rPr>
          <w:rFonts w:hint="eastAsia"/>
        </w:rPr>
        <w:t>及时向财政、监察等部门举报在评标过程中受到的非法干预情况；</w:t>
      </w:r>
    </w:p>
    <w:p>
      <w:pPr>
        <w:pStyle w:val="35"/>
        <w:numPr>
          <w:ilvl w:val="1"/>
          <w:numId w:val="36"/>
        </w:numPr>
        <w:ind w:firstLine="480"/>
      </w:pPr>
      <w:r>
        <w:rPr>
          <w:rFonts w:hint="eastAsia"/>
        </w:rPr>
        <w:t>配合答复处理供应商的询问、质疑和投诉等事项；</w:t>
      </w:r>
    </w:p>
    <w:p>
      <w:pPr>
        <w:pStyle w:val="35"/>
        <w:numPr>
          <w:ilvl w:val="1"/>
          <w:numId w:val="36"/>
        </w:numPr>
        <w:ind w:firstLine="480"/>
      </w:pPr>
      <w:r>
        <w:rPr>
          <w:rFonts w:hint="eastAsia"/>
        </w:rPr>
        <w:t>法律、法规和规章规定的其他义务。</w:t>
      </w:r>
    </w:p>
    <w:p>
      <w:pPr>
        <w:pStyle w:val="37"/>
        <w:numPr>
          <w:ilvl w:val="1"/>
          <w:numId w:val="3"/>
        </w:numPr>
        <w:ind w:firstLine="482"/>
      </w:pPr>
      <w:bookmarkStart w:id="1137" w:name="_Toc29759"/>
      <w:bookmarkStart w:id="1138" w:name="_Toc3688"/>
      <w:bookmarkStart w:id="1139" w:name="_Toc4379"/>
      <w:bookmarkStart w:id="1140" w:name="_Toc1690"/>
      <w:bookmarkStart w:id="1141" w:name="_Toc19071"/>
      <w:bookmarkStart w:id="1142" w:name="_Toc27047"/>
      <w:bookmarkStart w:id="1143" w:name="_Toc30872"/>
      <w:bookmarkStart w:id="1144" w:name="_Toc28428"/>
      <w:bookmarkStart w:id="1145" w:name="_Toc24913"/>
      <w:bookmarkStart w:id="1146" w:name="_Toc319440195"/>
      <w:bookmarkStart w:id="1147" w:name="_Toc327196346"/>
      <w:bookmarkStart w:id="1148" w:name="_Toc22368"/>
      <w:bookmarkStart w:id="1149" w:name="_Toc12088"/>
      <w:bookmarkStart w:id="1150" w:name="_Toc4182"/>
      <w:r>
        <w:rPr>
          <w:rFonts w:hint="eastAsia"/>
        </w:rPr>
        <w:t>评标专家在政府采购活动中应当遵守以下工作纪律</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pPr>
        <w:pStyle w:val="35"/>
        <w:numPr>
          <w:ilvl w:val="1"/>
          <w:numId w:val="37"/>
        </w:numPr>
        <w:ind w:firstLine="480"/>
      </w:pPr>
      <w:bookmarkStart w:id="1151" w:name="_Toc28956"/>
      <w:r>
        <w:rPr>
          <w:rFonts w:hint="eastAsia"/>
        </w:rPr>
        <w:t>遵行《中华人民共和国政府采购法》第十二条和《中华人民共和国政府采购法实施条例》第九条及财政部关于回避的规定；</w:t>
      </w:r>
    </w:p>
    <w:p>
      <w:pPr>
        <w:pStyle w:val="35"/>
        <w:numPr>
          <w:ilvl w:val="1"/>
          <w:numId w:val="37"/>
        </w:numPr>
        <w:ind w:firstLine="480"/>
      </w:pPr>
      <w:r>
        <w:rPr>
          <w:rFonts w:hint="eastAsia"/>
        </w:rPr>
        <w:t>评标前，应当将通讯工具或者相关电子设备交由招标采购单位统一保管；</w:t>
      </w:r>
    </w:p>
    <w:p>
      <w:pPr>
        <w:pStyle w:val="35"/>
        <w:numPr>
          <w:ilvl w:val="1"/>
          <w:numId w:val="37"/>
        </w:numPr>
        <w:ind w:firstLine="480"/>
      </w:pPr>
      <w:r>
        <w:rPr>
          <w:rFonts w:hint="eastAsia"/>
        </w:rPr>
        <w:t>评标过程中，不得与外界联系，因发生不可预见情况，确实需要与外界联系的，应当在监督人员监督之下办理；</w:t>
      </w:r>
    </w:p>
    <w:p>
      <w:pPr>
        <w:pStyle w:val="35"/>
        <w:numPr>
          <w:ilvl w:val="1"/>
          <w:numId w:val="37"/>
        </w:numPr>
        <w:ind w:firstLine="480"/>
      </w:pPr>
      <w:r>
        <w:rPr>
          <w:rFonts w:hint="eastAsia"/>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5"/>
        <w:numPr>
          <w:ilvl w:val="1"/>
          <w:numId w:val="37"/>
        </w:numPr>
        <w:ind w:firstLine="480"/>
      </w:pPr>
      <w:r>
        <w:rPr>
          <w:rFonts w:hint="eastAsia"/>
        </w:rPr>
        <w:t>在评标过程中和评标结束后，不得记录、复制或带走任何评标资料，除因规定的义务外，不得向外界透露评标内容；</w:t>
      </w:r>
    </w:p>
    <w:p>
      <w:pPr>
        <w:pStyle w:val="35"/>
        <w:numPr>
          <w:ilvl w:val="1"/>
          <w:numId w:val="37"/>
        </w:numPr>
        <w:ind w:firstLine="480"/>
      </w:pPr>
      <w:r>
        <w:rPr>
          <w:rFonts w:hint="eastAsia"/>
        </w:rPr>
        <w:t>服从评标现场招标采购单位的现场秩序管理，接受评标现场监督人员的合法监督；</w:t>
      </w:r>
    </w:p>
    <w:p>
      <w:pPr>
        <w:pStyle w:val="35"/>
        <w:numPr>
          <w:ilvl w:val="1"/>
          <w:numId w:val="37"/>
        </w:numPr>
        <w:ind w:firstLine="480"/>
      </w:pPr>
      <w:r>
        <w:rPr>
          <w:rFonts w:hint="eastAsia"/>
        </w:rPr>
        <w:t>遵守有关廉洁自律规定，不得私下接触供应商，不得收受供应商及有关业务单位和个人的财物或好处，不得接受招标采购单位的请托。</w:t>
      </w:r>
    </w:p>
    <w:p>
      <w:pPr>
        <w:pStyle w:val="35"/>
        <w:numPr>
          <w:ilvl w:val="1"/>
          <w:numId w:val="37"/>
        </w:numPr>
        <w:ind w:firstLine="480"/>
      </w:pPr>
      <w:r>
        <w:rPr>
          <w:rFonts w:hint="eastAsia"/>
        </w:rPr>
        <w:t>有关部门(机构)制定的其他评审工作纪律。</w:t>
      </w:r>
    </w:p>
    <w:p>
      <w:pPr>
        <w:pStyle w:val="37"/>
        <w:numPr>
          <w:ilvl w:val="1"/>
          <w:numId w:val="3"/>
        </w:numPr>
        <w:ind w:firstLine="482"/>
      </w:pPr>
      <w:bookmarkStart w:id="1152" w:name="_Toc30239"/>
      <w:bookmarkStart w:id="1153" w:name="_Toc26220"/>
      <w:bookmarkStart w:id="1154" w:name="_Toc8256"/>
      <w:bookmarkStart w:id="1155" w:name="_Toc22222"/>
      <w:r>
        <w:rPr>
          <w:rFonts w:hint="eastAsia"/>
        </w:rPr>
        <w:t>评标委员会及其成员不得有下列行为</w:t>
      </w:r>
      <w:bookmarkEnd w:id="1152"/>
      <w:bookmarkEnd w:id="1153"/>
      <w:bookmarkEnd w:id="1154"/>
      <w:bookmarkEnd w:id="1155"/>
    </w:p>
    <w:p>
      <w:pPr>
        <w:pStyle w:val="35"/>
        <w:numPr>
          <w:ilvl w:val="1"/>
          <w:numId w:val="38"/>
        </w:numPr>
        <w:ind w:firstLine="480"/>
      </w:pPr>
      <w:r>
        <w:rPr>
          <w:rFonts w:hint="eastAsia"/>
        </w:rPr>
        <w:t>确定参与评标至评标结束前私自接触投标人；</w:t>
      </w:r>
    </w:p>
    <w:p>
      <w:pPr>
        <w:pStyle w:val="35"/>
        <w:numPr>
          <w:ilvl w:val="1"/>
          <w:numId w:val="38"/>
        </w:numPr>
        <w:ind w:firstLine="480"/>
      </w:pPr>
      <w:r>
        <w:rPr>
          <w:rFonts w:hint="eastAsia"/>
        </w:rPr>
        <w:t>接受投标人提出的与投标文件不一致的澄清或者说明，《政府采购货物和服务招标投标管理办法》(财政部令第87号)第五十一条规定的情形除外；</w:t>
      </w:r>
    </w:p>
    <w:p>
      <w:pPr>
        <w:pStyle w:val="35"/>
        <w:numPr>
          <w:ilvl w:val="1"/>
          <w:numId w:val="38"/>
        </w:numPr>
        <w:ind w:firstLine="480"/>
      </w:pPr>
      <w:r>
        <w:rPr>
          <w:rFonts w:hint="eastAsia"/>
        </w:rPr>
        <w:t>违反评标纪律发表倾向性意见或者征询采购人的倾向性意见；</w:t>
      </w:r>
    </w:p>
    <w:p>
      <w:pPr>
        <w:pStyle w:val="35"/>
        <w:numPr>
          <w:ilvl w:val="1"/>
          <w:numId w:val="38"/>
        </w:numPr>
        <w:ind w:firstLine="480"/>
      </w:pPr>
      <w:r>
        <w:rPr>
          <w:rFonts w:hint="eastAsia"/>
        </w:rPr>
        <w:t>对需要专业判断的主观评审因素协商评分；</w:t>
      </w:r>
    </w:p>
    <w:p>
      <w:pPr>
        <w:pStyle w:val="35"/>
        <w:numPr>
          <w:ilvl w:val="1"/>
          <w:numId w:val="38"/>
        </w:numPr>
        <w:ind w:firstLine="480"/>
      </w:pPr>
      <w:r>
        <w:rPr>
          <w:rFonts w:hint="eastAsia"/>
        </w:rPr>
        <w:t>在评标过程中擅离职守，影响评标程序正常进行的；</w:t>
      </w:r>
    </w:p>
    <w:p>
      <w:pPr>
        <w:pStyle w:val="35"/>
        <w:numPr>
          <w:ilvl w:val="1"/>
          <w:numId w:val="38"/>
        </w:numPr>
        <w:ind w:firstLine="480"/>
      </w:pPr>
      <w:r>
        <w:rPr>
          <w:rFonts w:hint="eastAsia"/>
        </w:rPr>
        <w:t>记录、复制或者带走任何评标资料；</w:t>
      </w:r>
    </w:p>
    <w:p>
      <w:pPr>
        <w:pStyle w:val="35"/>
        <w:numPr>
          <w:ilvl w:val="1"/>
          <w:numId w:val="38"/>
        </w:numPr>
        <w:ind w:firstLine="480"/>
      </w:pPr>
      <w:r>
        <w:rPr>
          <w:rFonts w:hint="eastAsia"/>
        </w:rPr>
        <w:t>其他不遵守评标纪律的行为。</w:t>
      </w:r>
    </w:p>
    <w:p>
      <w:pPr>
        <w:pStyle w:val="49"/>
      </w:pPr>
      <w:r>
        <w:rPr>
          <w:rFonts w:hint="eastAsia"/>
        </w:rPr>
        <w:t>评标委员会成员有前款第一至五项行为之一的，其评审意见无效，并不得获取评审劳务报酬和报销异地评审差旅费。</w:t>
      </w:r>
    </w:p>
    <w:p>
      <w:pPr>
        <w:pStyle w:val="37"/>
        <w:numPr>
          <w:ilvl w:val="1"/>
          <w:numId w:val="3"/>
        </w:numPr>
        <w:ind w:firstLine="482"/>
      </w:pPr>
      <w:bookmarkStart w:id="1156" w:name="_Toc13225"/>
      <w:bookmarkStart w:id="1157" w:name="_Toc11741"/>
      <w:r>
        <w:rPr>
          <w:rFonts w:hint="eastAsia"/>
        </w:rPr>
        <w:t>评标委员会及其成员不得有下列违约情形</w:t>
      </w:r>
      <w:bookmarkEnd w:id="1156"/>
      <w:bookmarkEnd w:id="1157"/>
    </w:p>
    <w:p>
      <w:pPr>
        <w:pStyle w:val="35"/>
        <w:numPr>
          <w:ilvl w:val="1"/>
          <w:numId w:val="39"/>
        </w:numPr>
        <w:ind w:firstLine="480"/>
      </w:pPr>
      <w:r>
        <w:rPr>
          <w:rFonts w:hint="eastAsia"/>
        </w:rPr>
        <w:t>答应参加评审活动后，无正当理由不参加或者迟到，且不及时告知抽取终端工作人员，导致评审活动无法正常进行的；</w:t>
      </w:r>
    </w:p>
    <w:p>
      <w:pPr>
        <w:pStyle w:val="35"/>
        <w:numPr>
          <w:ilvl w:val="1"/>
          <w:numId w:val="39"/>
        </w:numPr>
        <w:ind w:firstLine="480"/>
      </w:pPr>
      <w:r>
        <w:rPr>
          <w:rFonts w:hint="eastAsia"/>
        </w:rPr>
        <w:t>不遵守评审现场工作纪律的；</w:t>
      </w:r>
    </w:p>
    <w:p>
      <w:pPr>
        <w:pStyle w:val="35"/>
        <w:numPr>
          <w:ilvl w:val="1"/>
          <w:numId w:val="39"/>
        </w:numPr>
        <w:ind w:firstLine="480"/>
      </w:pPr>
      <w:r>
        <w:rPr>
          <w:rFonts w:hint="eastAsia"/>
        </w:rPr>
        <w:t>明显故意拖延评审时间的；</w:t>
      </w:r>
    </w:p>
    <w:p>
      <w:pPr>
        <w:pStyle w:val="35"/>
        <w:numPr>
          <w:ilvl w:val="1"/>
          <w:numId w:val="39"/>
        </w:numPr>
        <w:ind w:firstLine="480"/>
      </w:pPr>
      <w:r>
        <w:rPr>
          <w:rFonts w:hint="eastAsia"/>
        </w:rPr>
        <w:t>抄袭其他评审委员会成员的评审意见的；</w:t>
      </w:r>
    </w:p>
    <w:p>
      <w:pPr>
        <w:pStyle w:val="35"/>
        <w:numPr>
          <w:ilvl w:val="1"/>
          <w:numId w:val="39"/>
        </w:numPr>
        <w:ind w:firstLine="480"/>
      </w:pPr>
      <w:r>
        <w:rPr>
          <w:rFonts w:hint="eastAsia"/>
        </w:rPr>
        <w:t>不按照政府采购法律制度和采购文件的规定进行评审，导致评审过程、评审结果违法违规，情节轻微不构成行政处罚的；</w:t>
      </w:r>
    </w:p>
    <w:p>
      <w:pPr>
        <w:pStyle w:val="35"/>
        <w:numPr>
          <w:ilvl w:val="1"/>
          <w:numId w:val="39"/>
        </w:numPr>
        <w:ind w:firstLine="480"/>
      </w:pPr>
      <w:r>
        <w:rPr>
          <w:rFonts w:hint="eastAsia"/>
        </w:rPr>
        <w:t>索取高于规定的劳务报酬，或者要求先给付报酬再进行评审，或者因劳务报酬低而拒绝评审、拒绝签署评审报告的；</w:t>
      </w:r>
    </w:p>
    <w:p>
      <w:pPr>
        <w:pStyle w:val="35"/>
        <w:numPr>
          <w:ilvl w:val="1"/>
          <w:numId w:val="39"/>
        </w:numPr>
        <w:ind w:firstLine="480"/>
      </w:pPr>
      <w:r>
        <w:rPr>
          <w:rFonts w:hint="eastAsia"/>
        </w:rPr>
        <w:t>不按照《四川省政府采购评审专家管理实施办法》的规定记录或者反馈采购人或者采购代理机构的职责履行情况的；</w:t>
      </w:r>
    </w:p>
    <w:p>
      <w:pPr>
        <w:pStyle w:val="35"/>
        <w:numPr>
          <w:ilvl w:val="1"/>
          <w:numId w:val="39"/>
        </w:numPr>
        <w:ind w:firstLine="480"/>
      </w:pPr>
      <w:r>
        <w:rPr>
          <w:rFonts w:hint="eastAsia"/>
        </w:rPr>
        <w:t>存在其他违反政府采购法规制度，但不构成行政处罚行为的。</w:t>
      </w:r>
    </w:p>
    <w:p>
      <w:pPr>
        <w:pStyle w:val="45"/>
      </w:pPr>
    </w:p>
    <w:p>
      <w:pPr>
        <w:pStyle w:val="51"/>
        <w:numPr>
          <w:ilvl w:val="0"/>
          <w:numId w:val="3"/>
        </w:numPr>
        <w:spacing w:before="120" w:after="120"/>
      </w:pPr>
      <w:r>
        <w:rPr>
          <w:rFonts w:hint="eastAsia"/>
        </w:rPr>
        <w:br w:type="page"/>
      </w:r>
      <w:bookmarkEnd w:id="1151"/>
      <w:bookmarkStart w:id="1158" w:name="_Toc229"/>
      <w:bookmarkStart w:id="1159" w:name="_Toc18908"/>
      <w:bookmarkStart w:id="1160" w:name="_Toc13264"/>
      <w:bookmarkStart w:id="1161" w:name="_Toc7547"/>
      <w:bookmarkStart w:id="1162" w:name="_Toc10421"/>
      <w:r>
        <w:rPr>
          <w:rFonts w:hint="eastAsia"/>
        </w:rPr>
        <w:t>政府采购合同</w:t>
      </w:r>
      <w:bookmarkEnd w:id="1158"/>
      <w:bookmarkEnd w:id="1159"/>
      <w:bookmarkEnd w:id="1160"/>
      <w:bookmarkEnd w:id="1161"/>
      <w:r>
        <w:rPr>
          <w:rFonts w:hint="eastAsia"/>
        </w:rPr>
        <w:t>(参考文本)</w:t>
      </w:r>
      <w:bookmarkEnd w:id="1162"/>
    </w:p>
    <w:p>
      <w:pPr>
        <w:pStyle w:val="45"/>
        <w:ind w:firstLine="480" w:firstLineChars="200"/>
        <w:rPr>
          <w:rFonts w:cs="宋体"/>
        </w:rPr>
      </w:pPr>
    </w:p>
    <w:p>
      <w:pPr>
        <w:wordWrap w:val="0"/>
        <w:topLinePunct/>
        <w:ind w:firstLine="480" w:firstLineChars="200"/>
        <w:rPr>
          <w:snapToGrid w:val="0"/>
        </w:rPr>
      </w:pPr>
      <w:bookmarkStart w:id="1163" w:name="_Toc31384"/>
      <w:bookmarkStart w:id="1164" w:name="_Toc3039"/>
      <w:r>
        <w:rPr>
          <w:rFonts w:hint="eastAsia"/>
          <w:snapToGrid w:val="0"/>
        </w:rPr>
        <w:t>合同编号：</w:t>
      </w:r>
      <w:r>
        <w:rPr>
          <w:rFonts w:hint="eastAsia"/>
          <w:snapToGrid w:val="0"/>
          <w:u w:val="single"/>
        </w:rPr>
        <w:t xml:space="preserve">          </w:t>
      </w:r>
      <w:r>
        <w:rPr>
          <w:rFonts w:hint="eastAsia"/>
          <w:snapToGrid w:val="0"/>
        </w:rPr>
        <w:t>(与项目编号一致)</w:t>
      </w:r>
    </w:p>
    <w:p>
      <w:pPr>
        <w:wordWrap w:val="0"/>
        <w:topLinePunct/>
        <w:ind w:firstLine="480" w:firstLineChars="200"/>
        <w:rPr>
          <w:snapToGrid w:val="0"/>
          <w:u w:val="single"/>
        </w:rPr>
      </w:pPr>
      <w:r>
        <w:rPr>
          <w:rFonts w:hint="eastAsia"/>
          <w:snapToGrid w:val="0"/>
        </w:rPr>
        <w:t>计划号/备案号：</w:t>
      </w:r>
      <w:r>
        <w:rPr>
          <w:rFonts w:hint="eastAsia"/>
          <w:snapToGrid w:val="0"/>
          <w:u w:val="single"/>
        </w:rPr>
        <w:t xml:space="preserve">                </w:t>
      </w:r>
    </w:p>
    <w:p>
      <w:pPr>
        <w:wordWrap w:val="0"/>
        <w:topLinePunct/>
        <w:ind w:firstLine="480" w:firstLineChars="200"/>
        <w:rPr>
          <w:snapToGrid w:val="0"/>
          <w:u w:val="single"/>
        </w:rPr>
      </w:pPr>
      <w:r>
        <w:rPr>
          <w:rFonts w:hint="eastAsia"/>
          <w:snapToGrid w:val="0"/>
        </w:rPr>
        <w:t>签订地点：</w:t>
      </w:r>
      <w:r>
        <w:rPr>
          <w:rFonts w:hint="eastAsia"/>
          <w:snapToGrid w:val="0"/>
          <w:u w:val="single"/>
        </w:rPr>
        <w:t xml:space="preserve">                     </w:t>
      </w:r>
    </w:p>
    <w:p>
      <w:pPr>
        <w:wordWrap w:val="0"/>
        <w:topLinePunct/>
        <w:ind w:firstLine="480" w:firstLineChars="200"/>
        <w:rPr>
          <w:snapToGrid w:val="0"/>
          <w:u w:val="single"/>
        </w:rPr>
      </w:pPr>
      <w:r>
        <w:rPr>
          <w:rFonts w:hint="eastAsia"/>
          <w:snapToGrid w:val="0"/>
        </w:rPr>
        <w:t>签订时间：</w:t>
      </w:r>
      <w:r>
        <w:rPr>
          <w:rFonts w:hint="eastAsia"/>
          <w:snapToGrid w:val="0"/>
          <w:u w:val="single"/>
        </w:rPr>
        <w:t xml:space="preserve">                     </w:t>
      </w:r>
    </w:p>
    <w:p>
      <w:pPr>
        <w:wordWrap w:val="0"/>
        <w:topLinePunct/>
        <w:ind w:firstLine="480" w:firstLineChars="200"/>
        <w:rPr>
          <w:snapToGrid w:val="0"/>
          <w:u w:val="single"/>
        </w:rPr>
      </w:pPr>
      <w:r>
        <w:rPr>
          <w:rFonts w:hint="eastAsia"/>
          <w:snapToGrid w:val="0"/>
        </w:rPr>
        <w:t>采购人名称(甲方)：</w:t>
      </w:r>
      <w:r>
        <w:rPr>
          <w:rFonts w:hint="eastAsia"/>
          <w:snapToGrid w:val="0"/>
          <w:u w:val="single"/>
        </w:rPr>
        <w:t xml:space="preserve">                              </w:t>
      </w:r>
    </w:p>
    <w:p>
      <w:pPr>
        <w:wordWrap w:val="0"/>
        <w:topLinePunct/>
        <w:ind w:firstLine="480" w:firstLineChars="200"/>
        <w:rPr>
          <w:snapToGrid w:val="0"/>
          <w:u w:val="single"/>
        </w:rPr>
      </w:pPr>
      <w:r>
        <w:rPr>
          <w:rFonts w:hint="eastAsia"/>
          <w:snapToGrid w:val="0"/>
        </w:rPr>
        <w:t>中标人名称(乙方)：</w:t>
      </w:r>
      <w:r>
        <w:rPr>
          <w:rFonts w:hint="eastAsia"/>
          <w:snapToGrid w:val="0"/>
          <w:u w:val="single"/>
        </w:rPr>
        <w:t xml:space="preserve">                          </w:t>
      </w:r>
    </w:p>
    <w:p>
      <w:pPr>
        <w:wordWrap w:val="0"/>
        <w:topLinePunct/>
        <w:rPr>
          <w:snapToGrid w:val="0"/>
        </w:rPr>
      </w:pPr>
    </w:p>
    <w:p>
      <w:pPr>
        <w:wordWrap w:val="0"/>
        <w:topLinePunct/>
        <w:ind w:firstLine="480" w:firstLineChars="200"/>
        <w:rPr>
          <w:snapToGrid w:val="0"/>
        </w:rPr>
      </w:pPr>
      <w:r>
        <w:rPr>
          <w:rFonts w:hint="eastAsia"/>
          <w:snapToGrid w:val="0"/>
        </w:rPr>
        <w:t>根据《中华人民共和国民法典》、《中华人民共和国政府采购法》、《中华人民共和国政府采购法实施条例》、《政府采购货物和服务招标投标管理办法》(财政部令第87号)及成都市住房和城乡建设信息档案中心终端运维外包服务项目(项目编号：(采购项目的编号))的《招标文件》、乙方的《投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p>
    <w:p>
      <w:pPr>
        <w:numPr>
          <w:ilvl w:val="1"/>
          <w:numId w:val="40"/>
        </w:numPr>
        <w:wordWrap w:val="0"/>
        <w:topLinePunct/>
        <w:ind w:firstLine="482" w:firstLineChars="200"/>
        <w:outlineLvl w:val="1"/>
        <w:rPr>
          <w:b/>
        </w:rPr>
      </w:pPr>
      <w:bookmarkStart w:id="1165" w:name="_Toc31914"/>
      <w:bookmarkStart w:id="1166" w:name="_Toc32618"/>
      <w:bookmarkStart w:id="1167" w:name="_Toc18466"/>
      <w:bookmarkStart w:id="1168" w:name="_Toc31184"/>
      <w:r>
        <w:rPr>
          <w:rFonts w:hint="eastAsia" w:asciiTheme="minorEastAsia" w:hAnsiTheme="minorEastAsia" w:eastAsiaTheme="minorEastAsia" w:cstheme="minorEastAsia"/>
          <w:b/>
        </w:rPr>
        <w:t>项目基本情况</w:t>
      </w:r>
      <w:bookmarkEnd w:id="1165"/>
      <w:bookmarkEnd w:id="1166"/>
      <w:bookmarkEnd w:id="1167"/>
      <w:bookmarkEnd w:id="1168"/>
    </w:p>
    <w:p>
      <w:pPr>
        <w:wordWrap w:val="0"/>
        <w:topLinePunct/>
        <w:ind w:firstLine="480" w:firstLineChars="200"/>
      </w:pPr>
    </w:p>
    <w:p>
      <w:pPr>
        <w:numPr>
          <w:ilvl w:val="1"/>
          <w:numId w:val="3"/>
        </w:numPr>
        <w:wordWrap w:val="0"/>
        <w:topLinePunct/>
        <w:ind w:firstLine="482" w:firstLineChars="200"/>
        <w:outlineLvl w:val="1"/>
        <w:rPr>
          <w:b/>
        </w:rPr>
      </w:pPr>
      <w:bookmarkStart w:id="1169" w:name="_Toc5620"/>
      <w:bookmarkStart w:id="1170" w:name="_Toc10554"/>
      <w:bookmarkStart w:id="1171" w:name="_Toc28699"/>
      <w:bookmarkStart w:id="1172" w:name="_Toc24711"/>
      <w:bookmarkStart w:id="1173" w:name="_Toc15497"/>
      <w:r>
        <w:rPr>
          <w:rFonts w:hint="eastAsia"/>
          <w:b/>
        </w:rPr>
        <w:t>合同履行</w:t>
      </w:r>
      <w:bookmarkEnd w:id="1169"/>
      <w:bookmarkEnd w:id="1170"/>
      <w:bookmarkEnd w:id="1171"/>
      <w:bookmarkEnd w:id="1172"/>
      <w:bookmarkEnd w:id="1173"/>
    </w:p>
    <w:p>
      <w:pPr>
        <w:numPr>
          <w:ilvl w:val="1"/>
          <w:numId w:val="41"/>
        </w:numPr>
        <w:wordWrap w:val="0"/>
        <w:topLinePunct/>
        <w:ind w:firstLine="480" w:firstLineChars="200"/>
      </w:pPr>
      <w:r>
        <w:rPr>
          <w:rFonts w:hint="eastAsia"/>
        </w:rPr>
        <w:t>履约期限：</w:t>
      </w:r>
    </w:p>
    <w:p>
      <w:pPr>
        <w:numPr>
          <w:ilvl w:val="1"/>
          <w:numId w:val="41"/>
        </w:numPr>
        <w:wordWrap w:val="0"/>
        <w:topLinePunct/>
        <w:ind w:firstLine="480" w:firstLineChars="200"/>
      </w:pPr>
      <w:r>
        <w:rPr>
          <w:rFonts w:hint="eastAsia"/>
        </w:rPr>
        <w:t>履行地点：</w:t>
      </w:r>
    </w:p>
    <w:p>
      <w:pPr>
        <w:numPr>
          <w:ilvl w:val="1"/>
          <w:numId w:val="41"/>
        </w:numPr>
        <w:wordWrap w:val="0"/>
        <w:topLinePunct/>
        <w:ind w:firstLine="480" w:firstLineChars="200"/>
      </w:pPr>
      <w:r>
        <w:rPr>
          <w:rFonts w:hint="eastAsia"/>
        </w:rPr>
        <w:t>履约方式：</w:t>
      </w:r>
    </w:p>
    <w:p>
      <w:pPr>
        <w:numPr>
          <w:ilvl w:val="1"/>
          <w:numId w:val="3"/>
        </w:numPr>
        <w:wordWrap w:val="0"/>
        <w:topLinePunct/>
        <w:ind w:firstLine="482" w:firstLineChars="200"/>
        <w:outlineLvl w:val="1"/>
        <w:rPr>
          <w:b/>
        </w:rPr>
      </w:pPr>
      <w:bookmarkStart w:id="1174" w:name="_Toc32481"/>
      <w:bookmarkStart w:id="1175" w:name="_Toc6004"/>
      <w:bookmarkStart w:id="1176" w:name="_Toc15130"/>
      <w:bookmarkStart w:id="1177" w:name="_Toc18775"/>
      <w:bookmarkStart w:id="1178" w:name="_Toc8560"/>
      <w:bookmarkStart w:id="1179" w:name="_Toc212019594"/>
      <w:bookmarkStart w:id="1180" w:name="_Toc225654644"/>
      <w:bookmarkStart w:id="1181" w:name="_Toc225244852"/>
      <w:bookmarkStart w:id="1182" w:name="_Toc251768862"/>
      <w:bookmarkStart w:id="1183" w:name="_Toc282696226"/>
      <w:bookmarkStart w:id="1184" w:name="_Toc211854449"/>
      <w:bookmarkStart w:id="1185" w:name="_Toc237145406"/>
      <w:bookmarkStart w:id="1186" w:name="_Toc185395249"/>
      <w:bookmarkStart w:id="1187" w:name="_Toc286993786"/>
      <w:bookmarkStart w:id="1188" w:name="_Toc238984975"/>
      <w:bookmarkStart w:id="1189" w:name="_Toc211911348"/>
      <w:bookmarkStart w:id="1190" w:name="_Toc239233914"/>
      <w:bookmarkStart w:id="1191" w:name="_Toc232492928"/>
      <w:bookmarkStart w:id="1192" w:name="_Toc283019214"/>
      <w:bookmarkStart w:id="1193" w:name="_Toc241833903"/>
      <w:bookmarkStart w:id="1194" w:name="_Toc225670751"/>
      <w:bookmarkStart w:id="1195" w:name="_Toc239568418"/>
      <w:bookmarkStart w:id="1196" w:name="_Toc247334841"/>
      <w:r>
        <w:rPr>
          <w:rFonts w:hint="eastAsia"/>
          <w:b/>
        </w:rPr>
        <w:t>合同标的</w:t>
      </w:r>
      <w:bookmarkEnd w:id="1174"/>
      <w:bookmarkEnd w:id="1175"/>
      <w:bookmarkEnd w:id="1176"/>
      <w:bookmarkEnd w:id="1177"/>
      <w:bookmarkEnd w:id="1178"/>
    </w:p>
    <w:p>
      <w:pPr>
        <w:numPr>
          <w:ilvl w:val="1"/>
          <w:numId w:val="42"/>
        </w:numPr>
        <w:wordWrap w:val="0"/>
        <w:topLinePunct/>
        <w:ind w:firstLine="480" w:firstLineChars="200"/>
      </w:pPr>
      <w:r>
        <w:rPr>
          <w:rFonts w:hint="eastAsia"/>
        </w:rPr>
        <w:t>XXXX……；</w:t>
      </w:r>
    </w:p>
    <w:p>
      <w:pPr>
        <w:numPr>
          <w:ilvl w:val="1"/>
          <w:numId w:val="42"/>
        </w:numPr>
        <w:wordWrap w:val="0"/>
        <w:topLinePunct/>
        <w:ind w:firstLine="480" w:firstLineChars="200"/>
      </w:pPr>
      <w:r>
        <w:rPr>
          <w:rFonts w:hint="eastAsia"/>
        </w:rPr>
        <w:t>数量(如涉及填写)；</w:t>
      </w:r>
    </w:p>
    <w:p>
      <w:pPr>
        <w:numPr>
          <w:ilvl w:val="1"/>
          <w:numId w:val="42"/>
        </w:numPr>
        <w:wordWrap w:val="0"/>
        <w:topLinePunct/>
        <w:ind w:firstLine="480" w:firstLineChars="200"/>
      </w:pPr>
      <w:r>
        <w:rPr>
          <w:rFonts w:hint="eastAsia"/>
        </w:rPr>
        <w:t>质量(如涉及填写)；</w:t>
      </w:r>
    </w:p>
    <w:p>
      <w:pPr>
        <w:numPr>
          <w:ilvl w:val="1"/>
          <w:numId w:val="3"/>
        </w:numPr>
        <w:wordWrap w:val="0"/>
        <w:topLinePunct/>
        <w:ind w:firstLine="482" w:firstLineChars="200"/>
        <w:outlineLvl w:val="1"/>
        <w:rPr>
          <w:b/>
        </w:rPr>
      </w:pPr>
      <w:bookmarkStart w:id="1197" w:name="_Toc15951"/>
      <w:bookmarkStart w:id="1198" w:name="_Toc20266"/>
      <w:bookmarkStart w:id="1199" w:name="_Toc1054"/>
      <w:bookmarkStart w:id="1200" w:name="_Toc32008"/>
      <w:bookmarkStart w:id="1201" w:name="_Toc15862"/>
      <w:r>
        <w:rPr>
          <w:rFonts w:hint="eastAsia"/>
          <w:b/>
        </w:rPr>
        <w:t>质量标准</w:t>
      </w:r>
      <w:bookmarkEnd w:id="1197"/>
      <w:bookmarkEnd w:id="1198"/>
      <w:bookmarkEnd w:id="1199"/>
      <w:bookmarkEnd w:id="1200"/>
      <w:bookmarkEnd w:id="1201"/>
    </w:p>
    <w:p>
      <w:pPr>
        <w:numPr>
          <w:ilvl w:val="1"/>
          <w:numId w:val="43"/>
        </w:numPr>
        <w:wordWrap w:val="0"/>
        <w:topLinePunct/>
        <w:ind w:firstLine="480" w:firstLineChars="200"/>
      </w:pPr>
      <w:r>
        <w:rPr>
          <w:rFonts w:hint="eastAsia"/>
        </w:rPr>
        <w:t>XXXX；</w:t>
      </w:r>
    </w:p>
    <w:p>
      <w:pPr>
        <w:numPr>
          <w:ilvl w:val="1"/>
          <w:numId w:val="43"/>
        </w:numPr>
        <w:wordWrap w:val="0"/>
        <w:topLinePunct/>
        <w:ind w:firstLine="480" w:firstLineChars="200"/>
      </w:pPr>
      <w:r>
        <w:rPr>
          <w:rFonts w:hint="eastAsia"/>
        </w:rPr>
        <w:t>XXXX；</w:t>
      </w:r>
    </w:p>
    <w:p>
      <w:pPr>
        <w:numPr>
          <w:ilvl w:val="1"/>
          <w:numId w:val="43"/>
        </w:numPr>
        <w:wordWrap w:val="0"/>
        <w:topLinePunct/>
        <w:ind w:firstLine="480" w:firstLineChars="200"/>
      </w:pPr>
      <w:r>
        <w:rPr>
          <w:rFonts w:hint="eastAsia"/>
        </w:rPr>
        <w:t>XXXX.</w:t>
      </w:r>
    </w:p>
    <w:p>
      <w:pPr>
        <w:numPr>
          <w:ilvl w:val="1"/>
          <w:numId w:val="3"/>
        </w:numPr>
        <w:wordWrap w:val="0"/>
        <w:topLinePunct/>
        <w:ind w:firstLine="482" w:firstLineChars="200"/>
        <w:outlineLvl w:val="1"/>
        <w:rPr>
          <w:b/>
        </w:rPr>
      </w:pPr>
      <w:bookmarkStart w:id="1202" w:name="_Toc20172"/>
      <w:bookmarkStart w:id="1203" w:name="_Toc11954"/>
      <w:bookmarkStart w:id="1204" w:name="_Toc19344"/>
      <w:bookmarkStart w:id="1205" w:name="_Toc3791"/>
      <w:bookmarkStart w:id="1206" w:name="_Toc20325"/>
      <w:r>
        <w:rPr>
          <w:rFonts w:hint="eastAsia"/>
          <w:b/>
        </w:rPr>
        <w:t>验收要求</w:t>
      </w:r>
      <w:bookmarkEnd w:id="1202"/>
      <w:bookmarkEnd w:id="1203"/>
      <w:bookmarkEnd w:id="1204"/>
      <w:bookmarkEnd w:id="1205"/>
      <w:bookmarkEnd w:id="1206"/>
    </w:p>
    <w:p>
      <w:pPr>
        <w:numPr>
          <w:ilvl w:val="1"/>
          <w:numId w:val="44"/>
        </w:numPr>
        <w:wordWrap w:val="0"/>
        <w:topLinePunct/>
        <w:ind w:firstLine="480" w:firstLineChars="200"/>
      </w:pPr>
      <w:r>
        <w:rPr>
          <w:rFonts w:hint="eastAsia"/>
        </w:rPr>
        <w:t>严格按照《财政部关于进一步加强政府采购需求和履约验收管理的指导意见》(财库〔2016〕205号)要求进行验收。须符合国家有关规定、招标文件的质量要求和技术指标、供应商的投标文件及承诺以及合同条款。</w:t>
      </w:r>
    </w:p>
    <w:p>
      <w:pPr>
        <w:numPr>
          <w:ilvl w:val="1"/>
          <w:numId w:val="44"/>
        </w:numPr>
        <w:wordWrap w:val="0"/>
        <w:topLinePunct/>
        <w:ind w:firstLine="480" w:firstLineChars="200"/>
      </w:pPr>
      <w:r>
        <w:rPr>
          <w:rFonts w:hint="eastAsia"/>
        </w:rPr>
        <w:t>甲乙双方如对质量要求和技术指标的约定标准有相互抵触或异议的事项，由甲方在投标文件中按质量要求和技术指标比较优胜的原则确定该项的约定标准进行验收；</w:t>
      </w:r>
    </w:p>
    <w:p>
      <w:pPr>
        <w:numPr>
          <w:ilvl w:val="1"/>
          <w:numId w:val="44"/>
        </w:numPr>
        <w:wordWrap w:val="0"/>
        <w:topLinePunct/>
        <w:ind w:firstLine="480" w:firstLineChars="200"/>
      </w:pPr>
      <w:r>
        <w:rPr>
          <w:rFonts w:hint="eastAsia"/>
        </w:rPr>
        <w:t>如验收合格，双方签署验收报告。</w:t>
      </w:r>
    </w:p>
    <w:p>
      <w:pPr>
        <w:numPr>
          <w:ilvl w:val="1"/>
          <w:numId w:val="3"/>
        </w:numPr>
        <w:wordWrap w:val="0"/>
        <w:topLinePunct/>
        <w:ind w:firstLine="482" w:firstLineChars="200"/>
        <w:outlineLvl w:val="1"/>
        <w:rPr>
          <w:b/>
        </w:rPr>
      </w:pPr>
      <w:bookmarkStart w:id="1207" w:name="_Toc22768"/>
      <w:bookmarkStart w:id="1208" w:name="_Toc12319"/>
      <w:bookmarkStart w:id="1209" w:name="_Toc2931"/>
      <w:bookmarkStart w:id="1210" w:name="_Toc20547"/>
      <w:bookmarkStart w:id="1211" w:name="_Toc19462"/>
      <w:r>
        <w:rPr>
          <w:rFonts w:hint="eastAsia"/>
          <w:b/>
        </w:rPr>
        <w:t>合同价款及支付方式</w:t>
      </w:r>
      <w:bookmarkEnd w:id="1207"/>
      <w:bookmarkEnd w:id="1208"/>
      <w:bookmarkEnd w:id="1209"/>
      <w:bookmarkEnd w:id="1210"/>
      <w:bookmarkEnd w:id="1211"/>
    </w:p>
    <w:p>
      <w:pPr>
        <w:wordWrap w:val="0"/>
        <w:topLinePunct/>
        <w:ind w:firstLine="480" w:firstLineChars="200"/>
      </w:pPr>
      <w:r>
        <w:rPr>
          <w:rFonts w:hint="eastAsia"/>
        </w:rPr>
        <w:t>本项目合同价款由以下组成：</w:t>
      </w:r>
    </w:p>
    <w:p>
      <w:pPr>
        <w:numPr>
          <w:ilvl w:val="1"/>
          <w:numId w:val="45"/>
        </w:numPr>
        <w:wordWrap w:val="0"/>
        <w:topLinePunct/>
        <w:ind w:firstLine="480" w:firstLineChars="200"/>
      </w:pPr>
      <w:r>
        <w:rPr>
          <w:rFonts w:hint="eastAsia"/>
        </w:rPr>
        <w:t>XX万元；</w:t>
      </w:r>
    </w:p>
    <w:p>
      <w:pPr>
        <w:numPr>
          <w:ilvl w:val="1"/>
          <w:numId w:val="45"/>
        </w:numPr>
        <w:wordWrap w:val="0"/>
        <w:topLinePunct/>
        <w:ind w:firstLine="480" w:firstLineChars="200"/>
      </w:pPr>
      <w:r>
        <w:rPr>
          <w:rFonts w:hint="eastAsia"/>
        </w:rPr>
        <w:t>XX万元；</w:t>
      </w:r>
    </w:p>
    <w:p>
      <w:pPr>
        <w:numPr>
          <w:ilvl w:val="1"/>
          <w:numId w:val="45"/>
        </w:numPr>
        <w:wordWrap w:val="0"/>
        <w:topLinePunct/>
        <w:ind w:firstLine="480" w:firstLineChars="200"/>
      </w:pPr>
      <w:r>
        <w:rPr>
          <w:rFonts w:hint="eastAsia"/>
        </w:rPr>
        <w:t>XX万元。</w:t>
      </w:r>
    </w:p>
    <w:p>
      <w:pPr>
        <w:numPr>
          <w:ilvl w:val="1"/>
          <w:numId w:val="45"/>
        </w:numPr>
        <w:wordWrap w:val="0"/>
        <w:topLinePunct/>
        <w:ind w:firstLine="480" w:firstLineChars="200"/>
      </w:pPr>
      <w:r>
        <w:rPr>
          <w:rFonts w:hint="eastAsia"/>
        </w:rPr>
        <w:t>……</w:t>
      </w:r>
    </w:p>
    <w:p>
      <w:pPr>
        <w:numPr>
          <w:ilvl w:val="1"/>
          <w:numId w:val="45"/>
        </w:numPr>
        <w:wordWrap w:val="0"/>
        <w:topLinePunct/>
        <w:ind w:firstLine="480" w:firstLineChars="200"/>
      </w:pPr>
      <w:r>
        <w:rPr>
          <w:rFonts w:hint="eastAsia"/>
        </w:rPr>
        <w:t xml:space="preserve">支付方式： </w:t>
      </w:r>
    </w:p>
    <w:p>
      <w:pPr>
        <w:numPr>
          <w:ilvl w:val="1"/>
          <w:numId w:val="3"/>
        </w:numPr>
        <w:wordWrap w:val="0"/>
        <w:topLinePunct/>
        <w:ind w:firstLine="482" w:firstLineChars="200"/>
        <w:outlineLvl w:val="1"/>
        <w:rPr>
          <w:b/>
        </w:rPr>
      </w:pPr>
      <w:bookmarkStart w:id="1212" w:name="_Toc5629"/>
      <w:bookmarkStart w:id="1213" w:name="_Toc5447"/>
      <w:bookmarkStart w:id="1214" w:name="_Toc10548"/>
      <w:bookmarkStart w:id="1215" w:name="_Toc10926"/>
      <w:bookmarkStart w:id="1216" w:name="_Toc20873"/>
      <w:r>
        <w:rPr>
          <w:rFonts w:hint="eastAsia"/>
          <w:b/>
        </w:rPr>
        <w:t>知识产权</w:t>
      </w:r>
      <w:bookmarkEnd w:id="1212"/>
      <w:bookmarkEnd w:id="1213"/>
      <w:bookmarkEnd w:id="1214"/>
      <w:bookmarkEnd w:id="1215"/>
      <w:bookmarkEnd w:id="1216"/>
    </w:p>
    <w:p>
      <w:pPr>
        <w:wordWrap w:val="0"/>
        <w:topLinePunct/>
        <w:ind w:firstLine="480" w:firstLineChars="200"/>
      </w:pPr>
      <w:r>
        <w:rPr>
          <w:rFonts w:hint="eastAsia"/>
        </w:rPr>
        <w:t>乙方应保证所提供的服务或其任何一部分均不会侵犯任何第三方的专利权、商标权或著作权。</w:t>
      </w:r>
    </w:p>
    <w:p>
      <w:pPr>
        <w:numPr>
          <w:ilvl w:val="1"/>
          <w:numId w:val="3"/>
        </w:numPr>
        <w:wordWrap w:val="0"/>
        <w:topLinePunct/>
        <w:ind w:firstLine="482" w:firstLineChars="200"/>
        <w:outlineLvl w:val="1"/>
        <w:rPr>
          <w:b/>
        </w:rPr>
      </w:pPr>
      <w:bookmarkStart w:id="1217" w:name="_Toc6846"/>
      <w:bookmarkStart w:id="1218" w:name="_Toc25950"/>
      <w:bookmarkStart w:id="1219" w:name="_Toc7021"/>
      <w:bookmarkStart w:id="1220" w:name="_Toc24629"/>
      <w:bookmarkStart w:id="1221" w:name="_Toc25659"/>
      <w:r>
        <w:rPr>
          <w:rFonts w:hint="eastAsia"/>
          <w:b/>
        </w:rPr>
        <w:t>无产权瑕疵条款</w:t>
      </w:r>
      <w:bookmarkEnd w:id="1217"/>
      <w:bookmarkEnd w:id="1218"/>
      <w:bookmarkEnd w:id="1219"/>
      <w:bookmarkEnd w:id="1220"/>
      <w:bookmarkEnd w:id="1221"/>
    </w:p>
    <w:p>
      <w:pPr>
        <w:wordWrap w:val="0"/>
        <w:topLinePunct/>
        <w:ind w:firstLine="480" w:firstLineChars="200"/>
      </w:pPr>
      <w:r>
        <w:rPr>
          <w:rFonts w:hint="eastAsia"/>
        </w:rPr>
        <w:t>乙方保证所提供的服务的所有权完全属于乙方且无任何抵押、查封等产权瑕疵。如有产权瑕疵的，视为乙方违约。乙方应负担由此而产生的一切损失。</w:t>
      </w:r>
    </w:p>
    <w:p>
      <w:pPr>
        <w:numPr>
          <w:ilvl w:val="1"/>
          <w:numId w:val="3"/>
        </w:numPr>
        <w:wordWrap w:val="0"/>
        <w:topLinePunct/>
        <w:ind w:firstLine="482" w:firstLineChars="200"/>
        <w:outlineLvl w:val="1"/>
        <w:rPr>
          <w:b/>
        </w:rPr>
      </w:pPr>
      <w:bookmarkStart w:id="1222" w:name="_Toc25091"/>
      <w:bookmarkStart w:id="1223" w:name="_Toc7212"/>
      <w:bookmarkStart w:id="1224" w:name="_Toc3825"/>
      <w:bookmarkStart w:id="1225" w:name="_Toc26794"/>
      <w:bookmarkStart w:id="1226" w:name="_Toc16929"/>
      <w:r>
        <w:rPr>
          <w:rFonts w:hint="eastAsia"/>
          <w:b/>
        </w:rPr>
        <w:t>履约保证金</w:t>
      </w:r>
      <w:bookmarkEnd w:id="1222"/>
      <w:bookmarkEnd w:id="1223"/>
      <w:bookmarkEnd w:id="1224"/>
      <w:bookmarkEnd w:id="1225"/>
      <w:bookmarkEnd w:id="1226"/>
    </w:p>
    <w:p>
      <w:pPr>
        <w:numPr>
          <w:ilvl w:val="1"/>
          <w:numId w:val="46"/>
        </w:numPr>
        <w:wordWrap w:val="0"/>
        <w:topLinePunct/>
        <w:ind w:firstLine="480" w:firstLineChars="200"/>
      </w:pPr>
      <w:r>
        <w:rPr>
          <w:rFonts w:hint="eastAsia"/>
        </w:rPr>
        <w:t>乙方缴纳人民币XX元作为本合同的履约保证金。</w:t>
      </w:r>
    </w:p>
    <w:p>
      <w:pPr>
        <w:numPr>
          <w:ilvl w:val="1"/>
          <w:numId w:val="46"/>
        </w:numPr>
        <w:wordWrap w:val="0"/>
        <w:topLinePunct/>
        <w:ind w:firstLine="480" w:firstLineChars="200"/>
      </w:pPr>
      <w:r>
        <w:rPr>
          <w:rFonts w:hint="eastAsia"/>
        </w:rPr>
        <w:t>履约保证金作为违约金的一部分及用于补偿甲方因乙方不能履行合同义务而蒙受的损失。</w:t>
      </w:r>
    </w:p>
    <w:p>
      <w:pPr>
        <w:numPr>
          <w:ilvl w:val="1"/>
          <w:numId w:val="3"/>
        </w:numPr>
        <w:wordWrap w:val="0"/>
        <w:topLinePunct/>
        <w:ind w:firstLine="482" w:firstLineChars="200"/>
        <w:outlineLvl w:val="1"/>
        <w:rPr>
          <w:b/>
        </w:rPr>
      </w:pPr>
      <w:bookmarkStart w:id="1227" w:name="_Toc8015"/>
      <w:bookmarkStart w:id="1228" w:name="_Toc9191"/>
      <w:bookmarkStart w:id="1229" w:name="_Toc31705"/>
      <w:bookmarkStart w:id="1230" w:name="_Toc25027"/>
      <w:bookmarkStart w:id="1231" w:name="_Toc10093"/>
      <w:r>
        <w:rPr>
          <w:rFonts w:hint="eastAsia"/>
          <w:b/>
        </w:rPr>
        <w:t>甲方的权利和义务</w:t>
      </w:r>
      <w:bookmarkEnd w:id="1227"/>
      <w:bookmarkEnd w:id="1228"/>
      <w:bookmarkEnd w:id="1229"/>
      <w:bookmarkEnd w:id="1230"/>
      <w:bookmarkEnd w:id="1231"/>
    </w:p>
    <w:p>
      <w:pPr>
        <w:numPr>
          <w:ilvl w:val="1"/>
          <w:numId w:val="47"/>
        </w:numPr>
        <w:wordWrap w:val="0"/>
        <w:topLinePunct/>
        <w:ind w:firstLine="480" w:firstLineChars="200"/>
      </w:pPr>
      <w:r>
        <w:rPr>
          <w:rFonts w:hint="eastAsia"/>
        </w:rPr>
        <w:t>甲方有权对合同规定范围内乙方的服务行为进行监督和检查，拥有监管权。有权定期核对乙方提供服务所配备的人员数量。对甲方认为不合理的部分有权下达整改通知书，并要求乙方限期整改。</w:t>
      </w:r>
    </w:p>
    <w:p>
      <w:pPr>
        <w:numPr>
          <w:ilvl w:val="1"/>
          <w:numId w:val="47"/>
        </w:numPr>
        <w:wordWrap w:val="0"/>
        <w:topLinePunct/>
        <w:ind w:firstLine="480" w:firstLineChars="200"/>
      </w:pPr>
      <w:r>
        <w:rPr>
          <w:rFonts w:hint="eastAsia"/>
        </w:rPr>
        <w:t>甲方有权依据双方签订的考评办法对乙方提供的服务进行定期考评。当考评结果未达到标准时，有权依据考评办法约定的数额扣除履约保证金。</w:t>
      </w:r>
    </w:p>
    <w:p>
      <w:pPr>
        <w:numPr>
          <w:ilvl w:val="1"/>
          <w:numId w:val="47"/>
        </w:numPr>
        <w:wordWrap w:val="0"/>
        <w:topLinePunct/>
        <w:ind w:firstLine="480" w:firstLineChars="200"/>
      </w:pPr>
      <w:r>
        <w:rPr>
          <w:rFonts w:hint="eastAsia"/>
        </w:rPr>
        <w:t>负责检查监督乙方管理工作的实施及制度的执行情况。</w:t>
      </w:r>
    </w:p>
    <w:p>
      <w:pPr>
        <w:numPr>
          <w:ilvl w:val="1"/>
          <w:numId w:val="47"/>
        </w:numPr>
        <w:wordWrap w:val="0"/>
        <w:topLinePunct/>
        <w:ind w:firstLine="480" w:firstLineChars="200"/>
      </w:pPr>
      <w:r>
        <w:rPr>
          <w:rFonts w:hint="eastAsia"/>
        </w:rPr>
        <w:t>根据本合同规定，按时向乙方支付应付服务费用。</w:t>
      </w:r>
    </w:p>
    <w:p>
      <w:pPr>
        <w:numPr>
          <w:ilvl w:val="1"/>
          <w:numId w:val="47"/>
        </w:numPr>
        <w:wordWrap w:val="0"/>
        <w:topLinePunct/>
        <w:ind w:firstLine="480" w:firstLineChars="200"/>
      </w:pPr>
      <w:r>
        <w:rPr>
          <w:rFonts w:hint="eastAsia"/>
        </w:rPr>
        <w:t>国家法律、法规所规定由甲方承担的其它责任。</w:t>
      </w:r>
    </w:p>
    <w:p>
      <w:pPr>
        <w:numPr>
          <w:ilvl w:val="1"/>
          <w:numId w:val="3"/>
        </w:numPr>
        <w:wordWrap w:val="0"/>
        <w:topLinePunct/>
        <w:ind w:firstLine="482" w:firstLineChars="200"/>
        <w:outlineLvl w:val="1"/>
        <w:rPr>
          <w:b/>
        </w:rPr>
      </w:pPr>
      <w:bookmarkStart w:id="1232" w:name="_Toc8944"/>
      <w:bookmarkStart w:id="1233" w:name="_Toc19980"/>
      <w:bookmarkStart w:id="1234" w:name="_Toc23867"/>
      <w:bookmarkStart w:id="1235" w:name="_Toc4791"/>
      <w:bookmarkStart w:id="1236" w:name="_Toc30655"/>
      <w:r>
        <w:rPr>
          <w:rFonts w:hint="eastAsia"/>
          <w:b/>
        </w:rPr>
        <w:t>乙方的权利和义务</w:t>
      </w:r>
      <w:bookmarkEnd w:id="1232"/>
      <w:bookmarkEnd w:id="1233"/>
      <w:bookmarkEnd w:id="1234"/>
      <w:bookmarkEnd w:id="1235"/>
      <w:bookmarkEnd w:id="1236"/>
    </w:p>
    <w:p>
      <w:pPr>
        <w:numPr>
          <w:ilvl w:val="1"/>
          <w:numId w:val="48"/>
        </w:numPr>
        <w:wordWrap w:val="0"/>
        <w:topLinePunct/>
        <w:ind w:firstLine="480" w:firstLineChars="200"/>
      </w:pPr>
      <w:r>
        <w:rPr>
          <w:rFonts w:hint="eastAsia"/>
        </w:rPr>
        <w:t>对本合同规定的委托服务范围内的项目享有管理权及服务义务。</w:t>
      </w:r>
    </w:p>
    <w:p>
      <w:pPr>
        <w:numPr>
          <w:ilvl w:val="1"/>
          <w:numId w:val="48"/>
        </w:numPr>
        <w:wordWrap w:val="0"/>
        <w:topLinePunct/>
        <w:ind w:firstLine="480" w:firstLineChars="200"/>
      </w:pPr>
      <w:r>
        <w:rPr>
          <w:rFonts w:hint="eastAsia"/>
        </w:rPr>
        <w:t>根据本合同的规定向甲方收取相关服务费用，并有权在本项目管理范围内管理及合理使用。</w:t>
      </w:r>
    </w:p>
    <w:p>
      <w:pPr>
        <w:numPr>
          <w:ilvl w:val="1"/>
          <w:numId w:val="48"/>
        </w:numPr>
        <w:wordWrap w:val="0"/>
        <w:topLinePunct/>
        <w:ind w:firstLine="480" w:firstLineChars="200"/>
      </w:pPr>
      <w:r>
        <w:rPr>
          <w:rFonts w:hint="eastAsia"/>
        </w:rPr>
        <w:t>及时向甲方通告本项目服务范围内有关服务的重大事项，及时配合处理投诉。</w:t>
      </w:r>
    </w:p>
    <w:p>
      <w:pPr>
        <w:numPr>
          <w:ilvl w:val="1"/>
          <w:numId w:val="48"/>
        </w:numPr>
        <w:wordWrap w:val="0"/>
        <w:topLinePunct/>
        <w:ind w:firstLine="480" w:firstLineChars="200"/>
      </w:pPr>
      <w:r>
        <w:rPr>
          <w:rFonts w:hint="eastAsia"/>
        </w:rPr>
        <w:t>接受项目行业管理部门及政府有关部门的指导，接受甲方的监督。</w:t>
      </w:r>
    </w:p>
    <w:p>
      <w:pPr>
        <w:numPr>
          <w:ilvl w:val="1"/>
          <w:numId w:val="48"/>
        </w:numPr>
        <w:wordWrap w:val="0"/>
        <w:topLinePunct/>
        <w:ind w:firstLine="480" w:firstLineChars="200"/>
      </w:pPr>
      <w:r>
        <w:rPr>
          <w:rFonts w:hint="eastAsia"/>
        </w:rPr>
        <w:t>国家法律、法规所规定由乙方承担的其它责任。</w:t>
      </w:r>
    </w:p>
    <w:p>
      <w:pPr>
        <w:numPr>
          <w:ilvl w:val="1"/>
          <w:numId w:val="3"/>
        </w:numPr>
        <w:wordWrap w:val="0"/>
        <w:topLinePunct/>
        <w:ind w:firstLine="482" w:firstLineChars="200"/>
        <w:outlineLvl w:val="1"/>
        <w:rPr>
          <w:b/>
        </w:rPr>
      </w:pPr>
      <w:bookmarkStart w:id="1237" w:name="_Toc23000"/>
      <w:bookmarkStart w:id="1238" w:name="_Toc6791"/>
      <w:bookmarkStart w:id="1239" w:name="_Toc9698"/>
      <w:bookmarkStart w:id="1240" w:name="_Toc16904"/>
      <w:bookmarkStart w:id="1241" w:name="_Toc20116"/>
      <w:r>
        <w:rPr>
          <w:rFonts w:hint="eastAsia"/>
          <w:b/>
        </w:rPr>
        <w:t>违约责任</w:t>
      </w:r>
      <w:bookmarkEnd w:id="1237"/>
      <w:bookmarkEnd w:id="1238"/>
      <w:bookmarkEnd w:id="1239"/>
      <w:bookmarkEnd w:id="1240"/>
      <w:bookmarkEnd w:id="1241"/>
    </w:p>
    <w:p>
      <w:pPr>
        <w:numPr>
          <w:ilvl w:val="1"/>
          <w:numId w:val="49"/>
        </w:numPr>
        <w:wordWrap w:val="0"/>
        <w:topLinePunct/>
        <w:ind w:firstLine="480" w:firstLineChars="200"/>
      </w:pPr>
      <w:r>
        <w:rPr>
          <w:rFonts w:hint="eastAsia"/>
        </w:rPr>
        <w:t>甲乙双方必须遵守本合同并执行合同中的各项规定，保证本合同的正常履行。</w:t>
      </w:r>
    </w:p>
    <w:p>
      <w:pPr>
        <w:numPr>
          <w:ilvl w:val="1"/>
          <w:numId w:val="49"/>
        </w:numPr>
        <w:wordWrap w:val="0"/>
        <w:topLinePunct/>
        <w:ind w:firstLine="480" w:firstLineChars="200"/>
      </w:pPr>
      <w:r>
        <w:rPr>
          <w:rFonts w:hint="eastAsia"/>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numPr>
          <w:ilvl w:val="1"/>
          <w:numId w:val="3"/>
        </w:numPr>
        <w:wordWrap w:val="0"/>
        <w:topLinePunct/>
        <w:ind w:firstLine="482" w:firstLineChars="200"/>
        <w:outlineLvl w:val="1"/>
        <w:rPr>
          <w:b/>
        </w:rPr>
      </w:pPr>
      <w:bookmarkStart w:id="1242" w:name="_Toc11852"/>
      <w:bookmarkStart w:id="1243" w:name="_Toc24360"/>
      <w:bookmarkStart w:id="1244" w:name="_Toc2364"/>
      <w:bookmarkStart w:id="1245" w:name="_Toc5305"/>
      <w:bookmarkStart w:id="1246" w:name="_Toc22888"/>
      <w:r>
        <w:rPr>
          <w:rFonts w:hint="eastAsia"/>
          <w:b/>
        </w:rPr>
        <w:t>不可抗力事件处理</w:t>
      </w:r>
      <w:bookmarkEnd w:id="1242"/>
      <w:bookmarkEnd w:id="1243"/>
      <w:bookmarkEnd w:id="1244"/>
      <w:bookmarkEnd w:id="1245"/>
      <w:bookmarkEnd w:id="1246"/>
    </w:p>
    <w:p>
      <w:pPr>
        <w:numPr>
          <w:ilvl w:val="1"/>
          <w:numId w:val="50"/>
        </w:numPr>
        <w:wordWrap w:val="0"/>
        <w:topLinePunct/>
        <w:ind w:firstLine="480" w:firstLineChars="200"/>
      </w:pPr>
      <w:r>
        <w:rPr>
          <w:rFonts w:hint="eastAsia"/>
        </w:rPr>
        <w:t>在合同有效期内，任何一方因不可抗力事件导致不能履行合同，则合同履行期可延长，其延长期与不可抗力影响期相同。</w:t>
      </w:r>
    </w:p>
    <w:p>
      <w:pPr>
        <w:numPr>
          <w:ilvl w:val="1"/>
          <w:numId w:val="50"/>
        </w:numPr>
        <w:wordWrap w:val="0"/>
        <w:topLinePunct/>
        <w:ind w:firstLine="480" w:firstLineChars="200"/>
      </w:pPr>
      <w:r>
        <w:rPr>
          <w:rFonts w:hint="eastAsia"/>
        </w:rPr>
        <w:t>不可抗力事件发生后，应立即通知对方，并寄送有关权威机构出具的证明。</w:t>
      </w:r>
    </w:p>
    <w:p>
      <w:pPr>
        <w:numPr>
          <w:ilvl w:val="1"/>
          <w:numId w:val="50"/>
        </w:numPr>
        <w:wordWrap w:val="0"/>
        <w:topLinePunct/>
        <w:ind w:firstLine="480" w:firstLineChars="200"/>
      </w:pPr>
      <w:r>
        <w:rPr>
          <w:rFonts w:hint="eastAsia"/>
        </w:rPr>
        <w:t>不可抗力事件延续XX天以上，双方应通过友好协商，确定是否继续履行合同。</w:t>
      </w:r>
    </w:p>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Pr>
        <w:numPr>
          <w:ilvl w:val="1"/>
          <w:numId w:val="3"/>
        </w:numPr>
        <w:wordWrap w:val="0"/>
        <w:topLinePunct/>
        <w:ind w:firstLine="482" w:firstLineChars="200"/>
        <w:outlineLvl w:val="1"/>
        <w:rPr>
          <w:b/>
        </w:rPr>
      </w:pPr>
      <w:bookmarkStart w:id="1247" w:name="_Toc16115"/>
      <w:bookmarkStart w:id="1248" w:name="_Toc16"/>
      <w:bookmarkStart w:id="1249" w:name="_Toc8469"/>
      <w:bookmarkStart w:id="1250" w:name="_Toc15776"/>
      <w:bookmarkStart w:id="1251" w:name="_Toc5862"/>
      <w:r>
        <w:rPr>
          <w:rFonts w:hint="eastAsia"/>
          <w:b/>
        </w:rPr>
        <w:t>解决争议的方法</w:t>
      </w:r>
      <w:bookmarkEnd w:id="1247"/>
      <w:bookmarkEnd w:id="1248"/>
      <w:bookmarkEnd w:id="1249"/>
      <w:bookmarkEnd w:id="1250"/>
      <w:bookmarkEnd w:id="1251"/>
    </w:p>
    <w:p>
      <w:pPr>
        <w:numPr>
          <w:ilvl w:val="1"/>
          <w:numId w:val="51"/>
        </w:numPr>
        <w:wordWrap w:val="0"/>
        <w:topLinePunct/>
        <w:ind w:firstLine="480" w:firstLineChars="200"/>
      </w:pPr>
      <w:r>
        <w:rPr>
          <w:rFonts w:hint="eastAsia"/>
        </w:rPr>
        <w:t>因服务的质量问题发生争议，由甲方或其指定的第三方机构进行质量鉴定。服务符合标准的，鉴定费由甲方承担；服务不符合质量标准的，鉴定费由乙方承担。</w:t>
      </w:r>
    </w:p>
    <w:p>
      <w:pPr>
        <w:numPr>
          <w:ilvl w:val="1"/>
          <w:numId w:val="51"/>
        </w:numPr>
        <w:wordWrap w:val="0"/>
        <w:topLinePunct/>
        <w:ind w:firstLine="480" w:firstLineChars="200"/>
      </w:pPr>
      <w:r>
        <w:rPr>
          <w:rFonts w:hint="eastAsia"/>
        </w:rPr>
        <w:t>合同履行期间,若双方发生争议，可协商或由有关部门调解解决，协商或调解不成的，按照下列方式解决(任选一项，且只能选择一项，在选定的一项前的方框内打“√”)：</w:t>
      </w:r>
    </w:p>
    <w:p>
      <w:pPr>
        <w:wordWrap w:val="0"/>
        <w:topLinePunct/>
        <w:ind w:firstLine="480" w:firstLineChars="200"/>
      </w:pPr>
      <w:r>
        <w:rPr>
          <w:rFonts w:hint="eastAsia"/>
        </w:rPr>
        <w:sym w:font="Wingdings 2" w:char="00A3"/>
      </w:r>
      <w:r>
        <w:rPr>
          <w:rFonts w:hint="eastAsia"/>
        </w:rPr>
        <w:t xml:space="preserve"> 向</w:t>
      </w:r>
      <w:r>
        <w:rPr>
          <w:rFonts w:hint="eastAsia"/>
          <w:u w:val="single"/>
        </w:rPr>
        <w:t xml:space="preserve">     </w:t>
      </w:r>
      <w:r>
        <w:rPr>
          <w:rFonts w:hint="eastAsia"/>
        </w:rPr>
        <w:t>仲裁委员会申请仲裁；□ 向</w:t>
      </w:r>
      <w:r>
        <w:rPr>
          <w:rFonts w:hint="eastAsia"/>
          <w:u w:val="single"/>
        </w:rPr>
        <w:t xml:space="preserve">    </w:t>
      </w:r>
      <w:r>
        <w:rPr>
          <w:rFonts w:hint="eastAsia"/>
        </w:rPr>
        <w:t>所在地人民法院起诉。</w:t>
      </w:r>
    </w:p>
    <w:p>
      <w:pPr>
        <w:numPr>
          <w:ilvl w:val="1"/>
          <w:numId w:val="1"/>
        </w:numPr>
        <w:wordWrap w:val="0"/>
        <w:topLinePunct/>
        <w:ind w:firstLine="480" w:firstLineChars="200"/>
      </w:pPr>
      <w:r>
        <w:rPr>
          <w:rFonts w:hint="eastAsia"/>
        </w:rPr>
        <w:t>仲裁裁决应为最终决定，并对双方具有约束力。</w:t>
      </w:r>
    </w:p>
    <w:p>
      <w:pPr>
        <w:numPr>
          <w:ilvl w:val="1"/>
          <w:numId w:val="1"/>
        </w:numPr>
        <w:wordWrap w:val="0"/>
        <w:topLinePunct/>
        <w:ind w:firstLine="480" w:firstLineChars="200"/>
      </w:pPr>
      <w:r>
        <w:rPr>
          <w:rFonts w:hint="eastAsia"/>
        </w:rPr>
        <w:t xml:space="preserve">除另有裁决外，仲裁费应由败诉方负担。 </w:t>
      </w:r>
    </w:p>
    <w:p>
      <w:pPr>
        <w:numPr>
          <w:ilvl w:val="1"/>
          <w:numId w:val="1"/>
        </w:numPr>
        <w:wordWrap w:val="0"/>
        <w:topLinePunct/>
        <w:ind w:firstLine="480" w:firstLineChars="200"/>
      </w:pPr>
      <w:r>
        <w:rPr>
          <w:rFonts w:hint="eastAsia"/>
        </w:rPr>
        <w:t xml:space="preserve">在仲裁期间，除正在进行仲裁部分外，合同其他部分继续执行。  </w:t>
      </w:r>
    </w:p>
    <w:p>
      <w:pPr>
        <w:numPr>
          <w:ilvl w:val="1"/>
          <w:numId w:val="3"/>
        </w:numPr>
        <w:wordWrap w:val="0"/>
        <w:topLinePunct/>
        <w:ind w:firstLine="482" w:firstLineChars="200"/>
        <w:outlineLvl w:val="1"/>
        <w:rPr>
          <w:b/>
        </w:rPr>
      </w:pPr>
      <w:bookmarkStart w:id="1252" w:name="_Toc251768868"/>
      <w:bookmarkStart w:id="1253" w:name="_Toc282696231"/>
      <w:bookmarkStart w:id="1254" w:name="_Toc239233920"/>
      <w:bookmarkStart w:id="1255" w:name="_Toc211911354"/>
      <w:bookmarkStart w:id="1256" w:name="_Toc247334847"/>
      <w:bookmarkStart w:id="1257" w:name="_Toc286993793"/>
      <w:bookmarkStart w:id="1258" w:name="_Toc225244858"/>
      <w:bookmarkStart w:id="1259" w:name="_Toc237145412"/>
      <w:bookmarkStart w:id="1260" w:name="_Toc211854455"/>
      <w:bookmarkStart w:id="1261" w:name="_Toc283019219"/>
      <w:bookmarkStart w:id="1262" w:name="_Toc185395255"/>
      <w:bookmarkStart w:id="1263" w:name="_Toc232492934"/>
      <w:bookmarkStart w:id="1264" w:name="_Toc212019600"/>
      <w:bookmarkStart w:id="1265" w:name="_Toc225654650"/>
      <w:bookmarkStart w:id="1266" w:name="_Toc238984981"/>
      <w:bookmarkStart w:id="1267" w:name="_Toc225670757"/>
      <w:bookmarkStart w:id="1268" w:name="_Toc241833909"/>
      <w:bookmarkStart w:id="1269" w:name="_Toc239568424"/>
      <w:bookmarkStart w:id="1270" w:name="_Toc3418"/>
      <w:bookmarkStart w:id="1271" w:name="_Toc30583"/>
      <w:bookmarkStart w:id="1272" w:name="_Toc19546"/>
      <w:bookmarkStart w:id="1273" w:name="_Toc27854"/>
      <w:bookmarkStart w:id="1274" w:name="_Toc26614"/>
      <w:r>
        <w:rPr>
          <w:rFonts w:hint="eastAsia"/>
          <w:b/>
        </w:rPr>
        <w:t>合同</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Pr>
          <w:rFonts w:hint="eastAsia"/>
          <w:b/>
        </w:rPr>
        <w:t>生效及其他</w:t>
      </w:r>
      <w:bookmarkEnd w:id="1270"/>
      <w:bookmarkEnd w:id="1271"/>
      <w:bookmarkEnd w:id="1272"/>
      <w:bookmarkEnd w:id="1273"/>
      <w:bookmarkEnd w:id="1274"/>
    </w:p>
    <w:p>
      <w:pPr>
        <w:numPr>
          <w:ilvl w:val="1"/>
          <w:numId w:val="52"/>
        </w:numPr>
        <w:wordWrap w:val="0"/>
        <w:topLinePunct/>
        <w:ind w:firstLine="480" w:firstLineChars="200"/>
      </w:pPr>
      <w:r>
        <w:rPr>
          <w:rFonts w:hint="eastAsia"/>
        </w:rPr>
        <w:t>合同经双方法定代表人或授权委托代理人签字并加盖单位公章后生效。</w:t>
      </w:r>
    </w:p>
    <w:p>
      <w:pPr>
        <w:numPr>
          <w:ilvl w:val="1"/>
          <w:numId w:val="52"/>
        </w:numPr>
        <w:wordWrap w:val="0"/>
        <w:topLinePunct/>
        <w:ind w:firstLine="480" w:firstLineChars="200"/>
      </w:pPr>
      <w:r>
        <w:rPr>
          <w:rFonts w:hint="eastAsia"/>
        </w:rPr>
        <w:t>合同执行中涉及采购资金和采购内容修改或补充的，须经政府采购监管部门审批，并签书面补充协议报政府采购监督管理部门备案，方可作为主合同不可分割的一部分。</w:t>
      </w:r>
    </w:p>
    <w:p>
      <w:pPr>
        <w:numPr>
          <w:ilvl w:val="1"/>
          <w:numId w:val="52"/>
        </w:numPr>
        <w:wordWrap w:val="0"/>
        <w:topLinePunct/>
        <w:ind w:firstLine="480" w:firstLineChars="200"/>
      </w:pPr>
      <w:r>
        <w:rPr>
          <w:rFonts w:hint="eastAsia"/>
        </w:rPr>
        <w:t>本合同一式XX份，自双方签章之日起起效。甲方XX份，乙方XX份，政府采购代理机构XX份，同级财政部门备案XX份，具有同等法律效力。</w:t>
      </w:r>
    </w:p>
    <w:p>
      <w:pPr>
        <w:numPr>
          <w:ilvl w:val="1"/>
          <w:numId w:val="3"/>
        </w:numPr>
        <w:wordWrap w:val="0"/>
        <w:topLinePunct/>
        <w:ind w:firstLine="482" w:firstLineChars="200"/>
        <w:outlineLvl w:val="1"/>
        <w:rPr>
          <w:b/>
        </w:rPr>
      </w:pPr>
      <w:bookmarkStart w:id="1275" w:name="_Toc138"/>
      <w:bookmarkStart w:id="1276" w:name="_Toc20313"/>
      <w:bookmarkStart w:id="1277" w:name="_Toc32461"/>
      <w:bookmarkStart w:id="1278" w:name="_Toc26170"/>
      <w:bookmarkStart w:id="1279" w:name="_Toc8679"/>
      <w:r>
        <w:rPr>
          <w:rFonts w:hint="eastAsia"/>
          <w:b/>
        </w:rPr>
        <w:t>附件</w:t>
      </w:r>
      <w:bookmarkEnd w:id="1275"/>
      <w:bookmarkEnd w:id="1276"/>
      <w:bookmarkEnd w:id="1277"/>
      <w:bookmarkEnd w:id="1278"/>
      <w:bookmarkEnd w:id="1279"/>
    </w:p>
    <w:p>
      <w:pPr>
        <w:numPr>
          <w:ilvl w:val="0"/>
          <w:numId w:val="53"/>
        </w:numPr>
        <w:wordWrap w:val="0"/>
        <w:topLinePunct/>
        <w:ind w:firstLine="480" w:firstLineChars="200"/>
        <w:rPr>
          <w:bCs/>
        </w:rPr>
      </w:pPr>
      <w:bookmarkStart w:id="1280" w:name="_Toc22195"/>
      <w:bookmarkStart w:id="1281" w:name="_Toc29863"/>
      <w:bookmarkStart w:id="1282" w:name="_Toc20191"/>
      <w:r>
        <w:rPr>
          <w:rFonts w:hint="eastAsia"/>
          <w:bCs/>
        </w:rPr>
        <w:t>《招标文件》；</w:t>
      </w:r>
      <w:bookmarkEnd w:id="1280"/>
      <w:bookmarkEnd w:id="1281"/>
      <w:bookmarkEnd w:id="1282"/>
    </w:p>
    <w:p>
      <w:pPr>
        <w:numPr>
          <w:ilvl w:val="0"/>
          <w:numId w:val="53"/>
        </w:numPr>
        <w:wordWrap w:val="0"/>
        <w:topLinePunct/>
        <w:ind w:firstLine="480" w:firstLineChars="200"/>
        <w:rPr>
          <w:bCs/>
        </w:rPr>
      </w:pPr>
      <w:bookmarkStart w:id="1283" w:name="_Toc32256"/>
      <w:bookmarkStart w:id="1284" w:name="_Toc16175"/>
      <w:bookmarkStart w:id="1285" w:name="_Toc11584"/>
      <w:r>
        <w:rPr>
          <w:bCs/>
        </w:rPr>
        <w:t>项目修改澄清文件</w:t>
      </w:r>
      <w:r>
        <w:rPr>
          <w:rFonts w:hint="eastAsia"/>
          <w:bCs/>
        </w:rPr>
        <w:t>；</w:t>
      </w:r>
      <w:bookmarkEnd w:id="1283"/>
      <w:bookmarkEnd w:id="1284"/>
      <w:bookmarkEnd w:id="1285"/>
    </w:p>
    <w:p>
      <w:pPr>
        <w:numPr>
          <w:ilvl w:val="0"/>
          <w:numId w:val="53"/>
        </w:numPr>
        <w:wordWrap w:val="0"/>
        <w:topLinePunct/>
        <w:ind w:firstLine="480" w:firstLineChars="200"/>
        <w:rPr>
          <w:bCs/>
        </w:rPr>
      </w:pPr>
      <w:bookmarkStart w:id="1286" w:name="_Toc6657"/>
      <w:bookmarkStart w:id="1287" w:name="_Toc27996"/>
      <w:bookmarkStart w:id="1288" w:name="_Toc17647"/>
      <w:r>
        <w:rPr>
          <w:rFonts w:hint="eastAsia"/>
          <w:bCs/>
        </w:rPr>
        <w:t>《投标文件》；</w:t>
      </w:r>
      <w:bookmarkEnd w:id="1286"/>
      <w:bookmarkEnd w:id="1287"/>
      <w:bookmarkEnd w:id="1288"/>
    </w:p>
    <w:p>
      <w:pPr>
        <w:numPr>
          <w:ilvl w:val="0"/>
          <w:numId w:val="53"/>
        </w:numPr>
        <w:wordWrap w:val="0"/>
        <w:topLinePunct/>
        <w:ind w:firstLine="480" w:firstLineChars="200"/>
        <w:rPr>
          <w:bCs/>
        </w:rPr>
      </w:pPr>
      <w:bookmarkStart w:id="1289" w:name="_Toc22142"/>
      <w:bookmarkStart w:id="1290" w:name="_Toc19215"/>
      <w:bookmarkStart w:id="1291" w:name="_Toc9469"/>
      <w:r>
        <w:rPr>
          <w:rFonts w:hint="eastAsia"/>
          <w:bCs/>
        </w:rPr>
        <w:t>《中标通知书》；</w:t>
      </w:r>
      <w:bookmarkEnd w:id="1289"/>
      <w:bookmarkEnd w:id="1290"/>
      <w:bookmarkEnd w:id="1291"/>
    </w:p>
    <w:p>
      <w:pPr>
        <w:numPr>
          <w:ilvl w:val="0"/>
          <w:numId w:val="53"/>
        </w:numPr>
        <w:wordWrap w:val="0"/>
        <w:topLinePunct/>
        <w:ind w:firstLine="480" w:firstLineChars="200"/>
        <w:rPr>
          <w:bCs/>
        </w:rPr>
      </w:pPr>
      <w:bookmarkStart w:id="1292" w:name="_Toc13202"/>
      <w:bookmarkStart w:id="1293" w:name="_Toc10574"/>
      <w:bookmarkStart w:id="1294" w:name="_Toc5500"/>
      <w:r>
        <w:rPr>
          <w:rFonts w:hint="eastAsia"/>
          <w:bCs/>
        </w:rPr>
        <w:t>补充合同；</w:t>
      </w:r>
      <w:bookmarkEnd w:id="1292"/>
      <w:bookmarkEnd w:id="1293"/>
      <w:bookmarkEnd w:id="1294"/>
    </w:p>
    <w:p>
      <w:pPr>
        <w:numPr>
          <w:ilvl w:val="0"/>
          <w:numId w:val="53"/>
        </w:numPr>
        <w:wordWrap w:val="0"/>
        <w:topLinePunct/>
        <w:ind w:firstLine="480" w:firstLineChars="200"/>
        <w:rPr>
          <w:bCs/>
        </w:rPr>
      </w:pPr>
      <w:bookmarkStart w:id="1295" w:name="_Toc16412"/>
      <w:bookmarkStart w:id="1296" w:name="_Toc2730"/>
      <w:bookmarkStart w:id="1297" w:name="_Toc9811"/>
      <w:r>
        <w:rPr>
          <w:rFonts w:hint="eastAsia"/>
          <w:bCs/>
        </w:rPr>
        <w:t>联合体协议和分包意向协议。(根据项目实际情况进行选择)；</w:t>
      </w:r>
      <w:bookmarkEnd w:id="1295"/>
      <w:bookmarkEnd w:id="1296"/>
      <w:bookmarkEnd w:id="1297"/>
    </w:p>
    <w:p>
      <w:pPr>
        <w:numPr>
          <w:ilvl w:val="0"/>
          <w:numId w:val="53"/>
        </w:numPr>
        <w:wordWrap w:val="0"/>
        <w:topLinePunct/>
        <w:ind w:firstLine="480" w:firstLineChars="200"/>
        <w:rPr>
          <w:bCs/>
        </w:rPr>
      </w:pPr>
      <w:r>
        <w:rPr>
          <w:rFonts w:hint="eastAsia"/>
          <w:bCs/>
        </w:rPr>
        <w:t>其他。</w:t>
      </w:r>
      <w:bookmarkEnd w:id="1163"/>
      <w:bookmarkEnd w:id="1164"/>
    </w:p>
    <w:p>
      <w:pPr>
        <w:rPr>
          <w:rFonts w:cs="宋体"/>
          <w:b/>
          <w:bCs/>
        </w:rPr>
      </w:pPr>
      <w:r>
        <w:rPr>
          <w:rFonts w:hint="eastAsia" w:cs="宋体"/>
          <w:b/>
          <w:bCs/>
        </w:rPr>
        <w:br w:type="page"/>
      </w:r>
    </w:p>
    <w:p>
      <w:pPr>
        <w:autoSpaceDE w:val="0"/>
        <w:autoSpaceDN w:val="0"/>
        <w:snapToGrid/>
        <w:spacing w:line="360" w:lineRule="auto"/>
        <w:ind w:firstLine="482" w:firstLineChars="200"/>
        <w:jc w:val="center"/>
        <w:rPr>
          <w:rFonts w:cs="宋体"/>
          <w:b/>
          <w:bCs/>
        </w:rPr>
      </w:pPr>
      <w:r>
        <w:rPr>
          <w:rFonts w:hint="eastAsia" w:cs="宋体"/>
          <w:b/>
          <w:bCs/>
        </w:rPr>
        <w:t>(本页无正文)</w:t>
      </w:r>
    </w:p>
    <w:tbl>
      <w:tblPr>
        <w:tblStyle w:val="25"/>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甲方：   (盖章)</w:t>
            </w:r>
          </w:p>
        </w:tc>
        <w:tc>
          <w:tcPr>
            <w:tcW w:w="4981" w:type="dxa"/>
            <w:vAlign w:val="center"/>
          </w:tcPr>
          <w:p>
            <w:pPr>
              <w:wordWrap w:val="0"/>
              <w:topLinePunct/>
              <w:rPr>
                <w:rFonts w:cs="宋体"/>
                <w:snapToGrid w:val="0"/>
              </w:rPr>
            </w:pPr>
            <w:r>
              <w:rPr>
                <w:rFonts w:hint="eastAsia" w:cs="宋体"/>
                <w:snapToGrid w:val="0"/>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法定代表人(授权代表)：</w:t>
            </w:r>
          </w:p>
        </w:tc>
        <w:tc>
          <w:tcPr>
            <w:tcW w:w="4981" w:type="dxa"/>
            <w:vAlign w:val="center"/>
          </w:tcPr>
          <w:p>
            <w:pPr>
              <w:wordWrap w:val="0"/>
              <w:topLinePunct/>
              <w:rPr>
                <w:rFonts w:cs="宋体"/>
                <w:snapToGrid w:val="0"/>
              </w:rPr>
            </w:pPr>
            <w:r>
              <w:rPr>
                <w:rFonts w:hint="eastAsia" w:cs="宋体"/>
                <w:snapToGrid w:val="0"/>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地址(住所)：</w:t>
            </w:r>
          </w:p>
        </w:tc>
        <w:tc>
          <w:tcPr>
            <w:tcW w:w="4981" w:type="dxa"/>
            <w:vAlign w:val="center"/>
          </w:tcPr>
          <w:p>
            <w:pPr>
              <w:wordWrap w:val="0"/>
              <w:topLinePunct/>
              <w:rPr>
                <w:rFonts w:cs="宋体"/>
                <w:snapToGrid w:val="0"/>
              </w:rPr>
            </w:pPr>
            <w:r>
              <w:rPr>
                <w:rFonts w:hint="eastAsia" w:cs="宋体"/>
                <w:snapToGrid w:val="0"/>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开户银行：</w:t>
            </w:r>
          </w:p>
        </w:tc>
        <w:tc>
          <w:tcPr>
            <w:tcW w:w="4981" w:type="dxa"/>
            <w:vAlign w:val="center"/>
          </w:tcPr>
          <w:p>
            <w:pPr>
              <w:wordWrap w:val="0"/>
              <w:topLinePunct/>
              <w:rPr>
                <w:rFonts w:cs="宋体"/>
                <w:snapToGrid w:val="0"/>
              </w:rPr>
            </w:pPr>
            <w:r>
              <w:rPr>
                <w:rFonts w:hint="eastAsia" w:cs="宋体"/>
                <w:snapToGrid w:val="0"/>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账号：</w:t>
            </w:r>
          </w:p>
        </w:tc>
        <w:tc>
          <w:tcPr>
            <w:tcW w:w="4981" w:type="dxa"/>
            <w:vAlign w:val="center"/>
          </w:tcPr>
          <w:p>
            <w:pPr>
              <w:wordWrap w:val="0"/>
              <w:topLinePunct/>
              <w:rPr>
                <w:rFonts w:cs="宋体"/>
                <w:snapToGrid w:val="0"/>
              </w:rPr>
            </w:pPr>
            <w:r>
              <w:rPr>
                <w:rFonts w:hint="eastAsia" w:cs="宋体"/>
                <w:snapToGrid w:val="0"/>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 xml:space="preserve">电话： </w:t>
            </w:r>
          </w:p>
        </w:tc>
        <w:tc>
          <w:tcPr>
            <w:tcW w:w="4981" w:type="dxa"/>
            <w:vAlign w:val="center"/>
          </w:tcPr>
          <w:p>
            <w:pPr>
              <w:wordWrap w:val="0"/>
              <w:topLinePunct/>
              <w:rPr>
                <w:rFonts w:cs="宋体"/>
                <w:snapToGrid w:val="0"/>
              </w:rPr>
            </w:pPr>
            <w:r>
              <w:rPr>
                <w:rFonts w:hint="eastAsia" w:cs="宋体"/>
                <w:snapToGrid w:val="0"/>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wordWrap w:val="0"/>
              <w:topLinePunct/>
              <w:rPr>
                <w:rFonts w:cs="宋体"/>
                <w:snapToGrid w:val="0"/>
              </w:rPr>
            </w:pPr>
            <w:r>
              <w:rPr>
                <w:rFonts w:hint="eastAsia" w:cs="宋体"/>
                <w:snapToGrid w:val="0"/>
              </w:rPr>
              <w:t>传真：</w:t>
            </w:r>
          </w:p>
        </w:tc>
        <w:tc>
          <w:tcPr>
            <w:tcW w:w="4981" w:type="dxa"/>
            <w:vAlign w:val="center"/>
          </w:tcPr>
          <w:p>
            <w:pPr>
              <w:wordWrap w:val="0"/>
              <w:topLinePunct/>
              <w:rPr>
                <w:rFonts w:cs="宋体"/>
                <w:snapToGrid w:val="0"/>
              </w:rPr>
            </w:pPr>
            <w:r>
              <w:rPr>
                <w:rFonts w:hint="eastAsia" w:cs="宋体"/>
                <w:snapToGrid w:val="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wordWrap w:val="0"/>
              <w:topLinePunct/>
              <w:rPr>
                <w:rFonts w:cs="宋体"/>
                <w:snapToGrid w:val="0"/>
              </w:rPr>
            </w:pPr>
            <w:r>
              <w:rPr>
                <w:rFonts w:hint="eastAsia" w:cs="宋体"/>
                <w:snapToGrid w:val="0"/>
              </w:rPr>
              <w:t>签约日期：XX年XX月XX日</w:t>
            </w:r>
          </w:p>
        </w:tc>
        <w:tc>
          <w:tcPr>
            <w:tcW w:w="4981" w:type="dxa"/>
            <w:vAlign w:val="center"/>
          </w:tcPr>
          <w:p>
            <w:pPr>
              <w:wordWrap w:val="0"/>
              <w:topLinePunct/>
              <w:rPr>
                <w:rFonts w:cs="宋体"/>
                <w:snapToGrid w:val="0"/>
              </w:rPr>
            </w:pPr>
            <w:r>
              <w:rPr>
                <w:rFonts w:hint="eastAsia" w:cs="宋体"/>
                <w:snapToGrid w:val="0"/>
              </w:rPr>
              <w:t>签约日期：XX年XX月XX日</w:t>
            </w:r>
          </w:p>
        </w:tc>
      </w:tr>
    </w:tbl>
    <w:p>
      <w:pPr>
        <w:pStyle w:val="45"/>
      </w:pPr>
      <w:r>
        <w:rPr>
          <w:rFonts w:hint="eastAsia"/>
        </w:rPr>
        <w:br w:type="page"/>
      </w:r>
    </w:p>
    <w:p>
      <w:pPr>
        <w:pStyle w:val="51"/>
        <w:numPr>
          <w:ilvl w:val="0"/>
          <w:numId w:val="3"/>
        </w:numPr>
        <w:spacing w:before="120" w:after="120"/>
      </w:pPr>
      <w:bookmarkStart w:id="1298" w:name="_Toc28848"/>
      <w:bookmarkStart w:id="1299" w:name="_Toc19382"/>
      <w:r>
        <w:rPr>
          <w:rFonts w:hint="eastAsia"/>
        </w:rPr>
        <w:t>附件</w:t>
      </w:r>
      <w:bookmarkEnd w:id="1298"/>
      <w:bookmarkEnd w:id="1299"/>
    </w:p>
    <w:p>
      <w:pPr>
        <w:pStyle w:val="45"/>
        <w:jc w:val="both"/>
        <w:rPr>
          <w:rFonts w:cs="宋体"/>
          <w:b/>
          <w:bCs/>
        </w:rPr>
      </w:pPr>
      <w:r>
        <w:rPr>
          <w:rFonts w:hint="eastAsia" w:cs="宋体"/>
          <w:b/>
          <w:bCs/>
        </w:rPr>
        <w:t>附件一：政府采购云平台使用介绍</w:t>
      </w:r>
    </w:p>
    <w:p>
      <w:pPr>
        <w:adjustRightInd/>
        <w:snapToGrid/>
        <w:spacing w:after="160" w:line="259" w:lineRule="auto"/>
        <w:jc w:val="both"/>
        <w:rPr>
          <w:rFonts w:cs="宋体"/>
          <w:b/>
          <w:bCs/>
          <w:szCs w:val="32"/>
        </w:rPr>
      </w:pPr>
      <w:r>
        <w:rPr>
          <w:rFonts w:hint="eastAsia" w:cs="宋体"/>
          <w:b/>
          <w:bCs/>
          <w:szCs w:val="32"/>
        </w:rPr>
        <w:t>1.输入网址：</w:t>
      </w:r>
      <w:r>
        <w:fldChar w:fldCharType="begin"/>
      </w:r>
      <w:r>
        <w:instrText xml:space="preserve"> HYPERLINK "https://www.zcygov.cn" </w:instrText>
      </w:r>
      <w:r>
        <w:fldChar w:fldCharType="separate"/>
      </w:r>
      <w:r>
        <w:rPr>
          <w:rFonts w:hint="eastAsia" w:cs="宋体"/>
          <w:b/>
          <w:bCs/>
          <w:color w:val="0563C1"/>
          <w:szCs w:val="32"/>
          <w:u w:val="single"/>
        </w:rPr>
        <w:t>https://www.zcygov.cn</w:t>
      </w:r>
      <w:r>
        <w:rPr>
          <w:rFonts w:hint="eastAsia" w:cs="宋体"/>
          <w:b/>
          <w:bCs/>
          <w:color w:val="0563C1"/>
          <w:szCs w:val="32"/>
          <w:u w:val="single"/>
        </w:rPr>
        <w:fldChar w:fldCharType="end"/>
      </w:r>
    </w:p>
    <w:p>
      <w:pPr>
        <w:adjustRightInd/>
        <w:snapToGrid/>
        <w:spacing w:after="160" w:line="259" w:lineRule="auto"/>
        <w:jc w:val="both"/>
        <w:rPr>
          <w:rFonts w:cs="宋体"/>
          <w:b/>
          <w:bCs/>
          <w:szCs w:val="32"/>
        </w:rPr>
      </w:pPr>
      <w:r>
        <w:rPr>
          <w:rFonts w:hint="eastAsia" w:cs="宋体"/>
          <w:b/>
          <w:bCs/>
          <w:szCs w:val="32"/>
        </w:rPr>
        <w:t>2.选择与项目对应的行政区域如：四川省-成都市-成都市本级</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314440" cy="3949065"/>
            <wp:effectExtent l="0" t="0" r="1016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6314440" cy="3949065"/>
                    </a:xfrm>
                    <a:prstGeom prst="rect">
                      <a:avLst/>
                    </a:prstGeom>
                    <a:noFill/>
                    <a:ln>
                      <a:noFill/>
                    </a:ln>
                  </pic:spPr>
                </pic:pic>
              </a:graphicData>
            </a:graphic>
          </wp:inline>
        </w:drawing>
      </w:r>
    </w:p>
    <w:p>
      <w:pPr>
        <w:numPr>
          <w:ilvl w:val="0"/>
          <w:numId w:val="54"/>
        </w:numPr>
        <w:tabs>
          <w:tab w:val="clear" w:pos="0"/>
        </w:tabs>
        <w:adjustRightInd/>
        <w:snapToGrid/>
        <w:spacing w:after="160" w:line="259" w:lineRule="auto"/>
        <w:jc w:val="both"/>
        <w:rPr>
          <w:rFonts w:cs="宋体"/>
          <w:b/>
          <w:bCs/>
          <w:szCs w:val="32"/>
        </w:rPr>
      </w:pPr>
      <w:r>
        <w:rPr>
          <w:rFonts w:hint="eastAsia" w:cs="宋体"/>
          <w:b/>
          <w:bCs/>
          <w:szCs w:val="32"/>
        </w:rPr>
        <w:t>点击操作指南-供应商</w:t>
      </w:r>
    </w:p>
    <w:p>
      <w:pPr>
        <w:adjustRightInd/>
        <w:snapToGrid/>
        <w:spacing w:after="160" w:line="259" w:lineRule="auto"/>
        <w:jc w:val="both"/>
        <w:rPr>
          <w:rFonts w:ascii="Calibri" w:hAnsi="Calibri" w:cs="Times New Roman"/>
          <w:b/>
          <w:bCs/>
          <w:sz w:val="21"/>
        </w:rPr>
      </w:pPr>
      <w:r>
        <w:rPr>
          <w:rFonts w:ascii="Calibri" w:hAnsi="Calibri" w:cs="Times New Roman"/>
          <w:sz w:val="21"/>
        </w:rPr>
        <w:drawing>
          <wp:inline distT="0" distB="0" distL="114300" distR="114300">
            <wp:extent cx="6551930" cy="3392805"/>
            <wp:effectExtent l="0" t="0" r="127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6551930" cy="3392805"/>
                    </a:xfrm>
                    <a:prstGeom prst="rect">
                      <a:avLst/>
                    </a:prstGeom>
                    <a:noFill/>
                    <a:ln>
                      <a:noFill/>
                    </a:ln>
                  </pic:spPr>
                </pic:pic>
              </a:graphicData>
            </a:graphic>
          </wp:inline>
        </w:drawing>
      </w:r>
      <w:r>
        <w:rPr>
          <w:rFonts w:ascii="Calibri" w:hAnsi="Calibri" w:cs="Times New Roman"/>
          <w:sz w:val="21"/>
        </w:rPr>
        <w:br w:type="page"/>
      </w:r>
      <w:r>
        <w:rPr>
          <w:rFonts w:hint="eastAsia" w:cs="宋体"/>
          <w:b/>
          <w:bCs/>
          <w:szCs w:val="32"/>
        </w:rPr>
        <w:t>4.进入政采云供应商学习专题页面</w:t>
      </w:r>
      <w:r>
        <w:rPr>
          <w:rFonts w:hint="eastAsia" w:ascii="Calibri" w:hAnsi="Calibri" w:cs="Times New Roman"/>
          <w:b/>
          <w:bCs/>
          <w:sz w:val="21"/>
        </w:rPr>
        <w:t>（https://edu.zcygov.cn/luban/xxzt-chengdu-gys?utm=a0017.b1347.cl50.5.0917bc90b7bb11eb807c353645758db6）</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285230" cy="3128010"/>
            <wp:effectExtent l="0" t="0" r="127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6285230" cy="3128010"/>
                    </a:xfrm>
                    <a:prstGeom prst="rect">
                      <a:avLst/>
                    </a:prstGeom>
                    <a:noFill/>
                    <a:ln>
                      <a:noFill/>
                    </a:ln>
                  </pic:spPr>
                </pic:pic>
              </a:graphicData>
            </a:graphic>
          </wp:inline>
        </w:drawing>
      </w:r>
    </w:p>
    <w:p>
      <w:pPr>
        <w:adjustRightInd/>
        <w:snapToGrid/>
        <w:spacing w:after="160" w:line="259" w:lineRule="auto"/>
        <w:jc w:val="both"/>
        <w:rPr>
          <w:rFonts w:cs="宋体"/>
          <w:b/>
          <w:bCs/>
          <w:szCs w:val="32"/>
        </w:rPr>
      </w:pPr>
      <w:r>
        <w:rPr>
          <w:rFonts w:hint="eastAsia" w:ascii="Calibri" w:hAnsi="Calibri" w:cs="Times New Roman"/>
          <w:sz w:val="21"/>
        </w:rPr>
        <w:br w:type="page"/>
      </w:r>
      <w:r>
        <w:rPr>
          <w:rFonts w:hint="eastAsia" w:cs="宋体"/>
          <w:b/>
          <w:bCs/>
          <w:szCs w:val="32"/>
        </w:rPr>
        <w:t>5.供应商资讯服务渠道</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577330" cy="2733040"/>
            <wp:effectExtent l="0" t="0" r="12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3"/>
                    <a:stretch>
                      <a:fillRect/>
                    </a:stretch>
                  </pic:blipFill>
                  <pic:spPr>
                    <a:xfrm>
                      <a:off x="0" y="0"/>
                      <a:ext cx="6577330" cy="2733040"/>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sz w:val="21"/>
        </w:rPr>
      </w:pPr>
      <w:r>
        <w:rPr>
          <w:rFonts w:ascii="Calibri" w:hAnsi="Calibri" w:cs="Times New Roman"/>
          <w:sz w:val="21"/>
        </w:rPr>
        <w:br w:type="page"/>
      </w:r>
      <w:r>
        <w:rPr>
          <w:rFonts w:hint="eastAsia" w:cs="宋体"/>
          <w:b/>
          <w:bCs/>
          <w:szCs w:val="32"/>
        </w:rPr>
        <w:t>6.入驻政府采购云平台（注册）</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449060" cy="2626360"/>
            <wp:effectExtent l="0" t="0" r="2540"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tretch>
                      <a:fillRect/>
                    </a:stretch>
                  </pic:blipFill>
                  <pic:spPr>
                    <a:xfrm>
                      <a:off x="0" y="0"/>
                      <a:ext cx="6449060" cy="2626360"/>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cs="宋体"/>
          <w:b/>
          <w:bCs/>
          <w:szCs w:val="32"/>
        </w:rPr>
      </w:pPr>
      <w:r>
        <w:rPr>
          <w:rFonts w:ascii="Calibri" w:hAnsi="Calibri" w:cs="Times New Roman"/>
          <w:sz w:val="21"/>
        </w:rPr>
        <w:br w:type="page"/>
      </w:r>
      <w:r>
        <w:rPr>
          <w:rFonts w:hint="eastAsia" w:cs="宋体"/>
          <w:b/>
          <w:bCs/>
          <w:szCs w:val="32"/>
        </w:rPr>
        <w:t>7.下载《供应商政府采购项目电子交易操作指南》</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394450" cy="3542665"/>
            <wp:effectExtent l="0" t="0" r="635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5"/>
                    <a:stretch>
                      <a:fillRect/>
                    </a:stretch>
                  </pic:blipFill>
                  <pic:spPr>
                    <a:xfrm>
                      <a:off x="0" y="0"/>
                      <a:ext cx="6394450" cy="3542665"/>
                    </a:xfrm>
                    <a:prstGeom prst="rect">
                      <a:avLst/>
                    </a:prstGeom>
                    <a:noFill/>
                    <a:ln>
                      <a:noFill/>
                    </a:ln>
                  </pic:spPr>
                </pic:pic>
              </a:graphicData>
            </a:graphic>
          </wp:inline>
        </w:drawing>
      </w:r>
    </w:p>
    <w:p>
      <w:pPr>
        <w:keepNext/>
        <w:keepLines/>
      </w:pPr>
    </w:p>
    <w:p>
      <w:pPr>
        <w:pStyle w:val="45"/>
        <w:jc w:val="both"/>
        <w:rPr>
          <w:rFonts w:cs="宋体"/>
          <w:b/>
          <w:bCs/>
        </w:rPr>
      </w:pPr>
      <w:r>
        <w:rPr>
          <w:rFonts w:hint="eastAsia" w:cs="宋体"/>
          <w:b/>
          <w:bCs/>
        </w:rPr>
        <w:br w:type="page"/>
      </w:r>
    </w:p>
    <w:p>
      <w:pPr>
        <w:pStyle w:val="45"/>
        <w:jc w:val="both"/>
        <w:rPr>
          <w:b/>
          <w:bCs/>
          <w:sz w:val="36"/>
          <w:szCs w:val="36"/>
        </w:rPr>
      </w:pPr>
      <w:r>
        <w:rPr>
          <w:rFonts w:hint="eastAsia" w:cs="宋体"/>
          <w:b/>
          <w:bCs/>
        </w:rPr>
        <w:t>附件二：《2021年度信用评价服务效果调查表(供应商)》</w:t>
      </w:r>
    </w:p>
    <w:p>
      <w:pPr>
        <w:pStyle w:val="45"/>
        <w:jc w:val="center"/>
        <w:rPr>
          <w:b/>
          <w:bCs/>
          <w:sz w:val="36"/>
          <w:szCs w:val="36"/>
        </w:rPr>
      </w:pPr>
      <w:r>
        <w:rPr>
          <w:rFonts w:hint="eastAsia"/>
          <w:b/>
          <w:bCs/>
          <w:sz w:val="36"/>
          <w:szCs w:val="36"/>
        </w:rPr>
        <w:t>2021年度信用评价服务效果调查表(供应商)</w:t>
      </w:r>
    </w:p>
    <w:p>
      <w:pPr>
        <w:pStyle w:val="45"/>
        <w:rPr>
          <w:u w:val="single"/>
        </w:rPr>
      </w:pPr>
      <w:r>
        <w:rPr>
          <w:rFonts w:hint="eastAsia"/>
        </w:rPr>
        <w:t>项目名称：</w:t>
      </w:r>
    </w:p>
    <w:p>
      <w:pPr>
        <w:pStyle w:val="45"/>
        <w:rPr>
          <w:u w:val="single"/>
        </w:rPr>
      </w:pPr>
      <w:r>
        <w:rPr>
          <w:rFonts w:hint="eastAsia"/>
        </w:rPr>
        <w:t>项目编号：</w:t>
      </w:r>
    </w:p>
    <w:p>
      <w:pPr>
        <w:pStyle w:val="45"/>
      </w:pPr>
      <w:r>
        <w:rPr>
          <w:rFonts w:hint="eastAsia"/>
        </w:rPr>
        <w:t>被评价代理机构名称：四川乾新招投标代理有限公司</w:t>
      </w:r>
    </w:p>
    <w:tbl>
      <w:tblPr>
        <w:tblStyle w:val="24"/>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 xml:space="preserve">满意 </w:t>
            </w:r>
          </w:p>
          <w:p>
            <w:pPr>
              <w:pStyle w:val="48"/>
              <w:rPr>
                <w:b/>
                <w:bCs/>
              </w:rPr>
            </w:pPr>
            <w:r>
              <w:rPr>
                <w:rFonts w:hint="eastAsia"/>
                <w:b/>
                <w:bCs/>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 xml:space="preserve">基本满意 </w:t>
            </w:r>
          </w:p>
          <w:p>
            <w:pPr>
              <w:pStyle w:val="48"/>
              <w:rPr>
                <w:b/>
                <w:bCs/>
              </w:rPr>
            </w:pPr>
            <w:r>
              <w:rPr>
                <w:rFonts w:hint="eastAsia"/>
                <w:b/>
                <w:bCs/>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 xml:space="preserve">一般 </w:t>
            </w:r>
          </w:p>
          <w:p>
            <w:pPr>
              <w:pStyle w:val="48"/>
              <w:rPr>
                <w:b/>
                <w:bCs/>
              </w:rPr>
            </w:pPr>
            <w:r>
              <w:rPr>
                <w:rFonts w:hint="eastAsia"/>
                <w:b/>
                <w:bCs/>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不满意</w:t>
            </w:r>
          </w:p>
          <w:p>
            <w:pPr>
              <w:pStyle w:val="48"/>
              <w:rPr>
                <w:b/>
                <w:bCs/>
              </w:rPr>
            </w:pPr>
            <w:r>
              <w:rPr>
                <w:rFonts w:hint="eastAsia"/>
                <w:b/>
                <w:bCs/>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r>
      <w:tr>
        <w:tblPrEx>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b/>
                <w:bCs/>
              </w:rPr>
            </w:pPr>
            <w:r>
              <w:rPr>
                <w:rFonts w:hint="eastAsia"/>
                <w:b/>
                <w:bCs/>
              </w:rPr>
              <w:t>对代理机构工作的其他建议：</w:t>
            </w:r>
          </w:p>
        </w:tc>
      </w:tr>
      <w:tr>
        <w:tblPrEx>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b/>
                <w:bCs/>
              </w:rPr>
            </w:pPr>
          </w:p>
        </w:tc>
      </w:tr>
      <w:tr>
        <w:tblPrEx>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b/>
                <w:bCs/>
              </w:rPr>
            </w:pPr>
            <w:r>
              <w:rPr>
                <w:rFonts w:hint="eastAsia"/>
                <w:b/>
                <w:bCs/>
              </w:rPr>
              <w:t>供应商名称：(加盖鲜章)</w:t>
            </w:r>
          </w:p>
        </w:tc>
      </w:tr>
    </w:tbl>
    <w:p>
      <w:pPr>
        <w:pStyle w:val="50"/>
        <w:ind w:firstLine="482"/>
      </w:pPr>
      <w:r>
        <w:rPr>
          <w:rFonts w:hint="eastAsia"/>
        </w:rPr>
        <w:t>说明：请贵公司根据政府采购代理机构2021年度政府采购项目的实际情况，在“满意”、“基本满意”、“一般”、“不满意”四个评价档次栏中选取一栏打“√”，并加盖鲜章。</w:t>
      </w:r>
    </w:p>
    <w:p>
      <w:r>
        <w:rPr>
          <w:rFonts w:hint="eastAsia"/>
        </w:rPr>
        <w:br w:type="page"/>
      </w:r>
    </w:p>
    <w:p>
      <w:pPr>
        <w:pStyle w:val="45"/>
        <w:jc w:val="both"/>
        <w:rPr>
          <w:rFonts w:cs="宋体"/>
          <w:b/>
          <w:bCs/>
        </w:rPr>
      </w:pPr>
      <w:r>
        <w:rPr>
          <w:rFonts w:hint="eastAsia" w:cs="宋体"/>
          <w:b/>
          <w:bCs/>
        </w:rPr>
        <w:t>附件三：</w:t>
      </w:r>
    </w:p>
    <w:p>
      <w:pPr>
        <w:widowControl/>
        <w:spacing w:line="330" w:lineRule="atLeast"/>
        <w:jc w:val="center"/>
        <w:rPr>
          <w:rFonts w:cs="宋体"/>
          <w:color w:val="000000"/>
          <w:kern w:val="0"/>
          <w:sz w:val="32"/>
          <w:szCs w:val="32"/>
        </w:rPr>
      </w:pPr>
      <w:r>
        <w:rPr>
          <w:rFonts w:hint="eastAsia" w:cs="宋体"/>
          <w:color w:val="000000"/>
          <w:kern w:val="0"/>
          <w:sz w:val="32"/>
          <w:szCs w:val="32"/>
        </w:rPr>
        <w:t>统计上大中小微型企业划分标准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ign w:val="center"/>
          </w:tcPr>
          <w:p>
            <w:pPr>
              <w:widowControl/>
              <w:spacing w:line="240" w:lineRule="exact"/>
              <w:jc w:val="center"/>
              <w:rPr>
                <w:rFonts w:cs="宋体"/>
                <w:b/>
                <w:bCs/>
                <w:color w:val="000000"/>
                <w:kern w:val="0"/>
                <w:sz w:val="15"/>
                <w:szCs w:val="15"/>
              </w:rPr>
            </w:pPr>
            <w:r>
              <w:rPr>
                <w:rFonts w:hint="eastAsia" w:cs="宋体"/>
                <w:b/>
                <w:bCs/>
                <w:color w:val="000000"/>
                <w:kern w:val="0"/>
                <w:sz w:val="15"/>
                <w:szCs w:val="15"/>
              </w:rPr>
              <w:t>行业名称</w:t>
            </w:r>
          </w:p>
        </w:tc>
        <w:tc>
          <w:tcPr>
            <w:tcW w:w="72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指标名称</w:t>
            </w:r>
          </w:p>
        </w:tc>
        <w:tc>
          <w:tcPr>
            <w:tcW w:w="37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计量</w:t>
            </w:r>
            <w:r>
              <w:rPr>
                <w:rFonts w:hint="eastAsia" w:cs="宋体"/>
                <w:b/>
                <w:bCs/>
                <w:color w:val="000000"/>
                <w:kern w:val="0"/>
                <w:sz w:val="15"/>
                <w:szCs w:val="15"/>
              </w:rPr>
              <w:br w:type="textWrapping"/>
            </w:r>
            <w:r>
              <w:rPr>
                <w:rFonts w:hint="eastAsia" w:cs="宋体"/>
                <w:b/>
                <w:bCs/>
                <w:color w:val="000000"/>
                <w:kern w:val="0"/>
                <w:sz w:val="15"/>
                <w:szCs w:val="15"/>
              </w:rPr>
              <w:t>单位</w:t>
            </w:r>
          </w:p>
        </w:tc>
        <w:tc>
          <w:tcPr>
            <w:tcW w:w="59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大型</w:t>
            </w:r>
          </w:p>
        </w:tc>
        <w:tc>
          <w:tcPr>
            <w:tcW w:w="901"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中型</w:t>
            </w:r>
          </w:p>
        </w:tc>
        <w:tc>
          <w:tcPr>
            <w:tcW w:w="75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小型</w:t>
            </w:r>
          </w:p>
        </w:tc>
        <w:tc>
          <w:tcPr>
            <w:tcW w:w="52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ign w:val="center"/>
          </w:tcPr>
          <w:p>
            <w:pPr>
              <w:widowControl/>
              <w:spacing w:line="240" w:lineRule="exact"/>
              <w:rPr>
                <w:rFonts w:cs="宋体"/>
                <w:color w:val="000000"/>
                <w:kern w:val="0"/>
                <w:sz w:val="15"/>
                <w:szCs w:val="15"/>
              </w:rPr>
            </w:pPr>
            <w:r>
              <w:rPr>
                <w:rFonts w:hint="eastAsia" w:cs="宋体"/>
                <w:color w:val="000000"/>
                <w:kern w:val="0"/>
                <w:sz w:val="15"/>
                <w:szCs w:val="15"/>
              </w:rPr>
              <w:t>农、林、牧、渔业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Y≥20000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500≤Y＜20000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50≤Y＜500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工业 *</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X≥1000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300≤X＜1000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20≤X＜300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Y≥40000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2000≤Y＜40000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300≤Y＜2000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建筑业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Y≥80000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6000≤Y＜80000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300≤Y＜6000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资产总额(Z)</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Z≥80000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5000≤Z＜80000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300≤Z＜5000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批发业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X≥200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20≤X＜200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5≤X＜20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Y≥40000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5000≤Y＜40000</w:t>
            </w:r>
          </w:p>
        </w:tc>
        <w:tc>
          <w:tcPr>
            <w:tcW w:w="755" w:type="pct"/>
            <w:noWrap/>
            <w:vAlign w:val="center"/>
          </w:tcPr>
          <w:p>
            <w:pPr>
              <w:widowControl/>
              <w:ind w:left="-1" w:leftChars="-1" w:hanging="1"/>
              <w:jc w:val="center"/>
              <w:rPr>
                <w:rFonts w:cs="宋体"/>
                <w:color w:val="000000"/>
                <w:kern w:val="0"/>
                <w:sz w:val="15"/>
                <w:szCs w:val="15"/>
              </w:rPr>
            </w:pPr>
            <w:r>
              <w:rPr>
                <w:rFonts w:hint="eastAsia" w:cs="宋体"/>
                <w:color w:val="000000"/>
                <w:kern w:val="0"/>
                <w:sz w:val="15"/>
                <w:szCs w:val="15"/>
              </w:rPr>
              <w:t>1000≤Y＜5000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零售业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50≤X＜300</w:t>
            </w:r>
          </w:p>
        </w:tc>
        <w:tc>
          <w:tcPr>
            <w:tcW w:w="755" w:type="pct"/>
            <w:noWrap/>
            <w:vAlign w:val="center"/>
          </w:tcPr>
          <w:p>
            <w:pPr>
              <w:widowControl/>
              <w:ind w:left="-1" w:leftChars="-1" w:hanging="1"/>
              <w:jc w:val="center"/>
              <w:rPr>
                <w:rFonts w:cs="宋体"/>
                <w:color w:val="000000"/>
                <w:kern w:val="0"/>
                <w:sz w:val="15"/>
                <w:szCs w:val="15"/>
              </w:rPr>
            </w:pPr>
            <w:r>
              <w:rPr>
                <w:rFonts w:hint="eastAsia" w:cs="宋体"/>
                <w:color w:val="000000"/>
                <w:kern w:val="0"/>
                <w:sz w:val="15"/>
                <w:szCs w:val="15"/>
              </w:rPr>
              <w:t xml:space="preserve">10≤X＜50 </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Y≥20000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500≤Y＜20000</w:t>
            </w:r>
          </w:p>
        </w:tc>
        <w:tc>
          <w:tcPr>
            <w:tcW w:w="755" w:type="pct"/>
            <w:noWrap/>
            <w:vAlign w:val="center"/>
          </w:tcPr>
          <w:p>
            <w:pPr>
              <w:widowControl/>
              <w:ind w:left="-1" w:leftChars="-1" w:hanging="1"/>
              <w:jc w:val="center"/>
              <w:rPr>
                <w:rFonts w:cs="宋体"/>
                <w:color w:val="000000"/>
                <w:kern w:val="0"/>
                <w:sz w:val="15"/>
                <w:szCs w:val="15"/>
              </w:rPr>
            </w:pPr>
            <w:r>
              <w:rPr>
                <w:rFonts w:hint="eastAsia" w:cs="宋体"/>
                <w:color w:val="000000"/>
                <w:kern w:val="0"/>
                <w:sz w:val="15"/>
                <w:szCs w:val="15"/>
              </w:rPr>
              <w:t xml:space="preserve">100≤Y＜500 </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交通运输业 *</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X≥1000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300≤X＜1000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20≤X＜300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Y≥30000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3000≤Y＜30000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200≤Y＜3000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仓储业*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X≥200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100≤X＜200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Y≥30000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1000≤Y＜30000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邮政业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X≥1000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300≤X＜1000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20≤X＜300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Y≥30000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2000≤Y＜30000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100≤Y＜2000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住宿业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Y≥10000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2000≤Y＜10000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100≤Y＜2000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餐饮业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Y≥10000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2000≤Y＜10000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100≤Y＜2000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信息传输业 *</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X≥2000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100≤X＜2000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Y≥100000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1000≤Y＜100000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noWrap/>
            <w:vAlign w:val="center"/>
          </w:tcPr>
          <w:p>
            <w:pPr>
              <w:widowControl/>
              <w:spacing w:line="240" w:lineRule="exact"/>
              <w:rPr>
                <w:rFonts w:cs="宋体"/>
                <w:color w:val="000000"/>
                <w:spacing w:val="-12"/>
                <w:kern w:val="0"/>
                <w:sz w:val="15"/>
                <w:szCs w:val="15"/>
              </w:rPr>
            </w:pPr>
            <w:r>
              <w:rPr>
                <w:rFonts w:hint="eastAsia" w:cs="宋体"/>
                <w:color w:val="000000"/>
                <w:spacing w:val="-12"/>
                <w:kern w:val="0"/>
                <w:sz w:val="15"/>
                <w:szCs w:val="15"/>
              </w:rPr>
              <w:t>软件和信息技术服</w:t>
            </w:r>
            <w:r>
              <w:rPr>
                <w:rFonts w:hint="eastAsia" w:cs="宋体"/>
                <w:color w:val="000000"/>
                <w:kern w:val="0"/>
                <w:sz w:val="15"/>
                <w:szCs w:val="15"/>
              </w:rPr>
              <w:t>务业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noWrap/>
            <w:vAlign w:val="center"/>
          </w:tcPr>
          <w:p>
            <w:pPr>
              <w:widowControl/>
              <w:rPr>
                <w:rFonts w:cs="宋体"/>
                <w:color w:val="000000"/>
                <w:spacing w:val="-12"/>
                <w:kern w:val="0"/>
                <w:sz w:val="15"/>
                <w:szCs w:val="15"/>
              </w:rPr>
            </w:pP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Y≥10000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1000≤Y＜10000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房地产开发经营</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Y≥200000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1000≤Y＜200000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资产总额(Z)</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Z≥10000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5000≤Z＜10000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2000≤Z＜5000   </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物业管理</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X≥1000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300≤X＜1000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100≤X＜300 </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Y≥5000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1000≤Y＜5000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租赁和商务服务业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资产总额(Z)</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Z≥120000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8000≤Z＜120000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100≤Z＜8000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ign w:val="center"/>
          </w:tcPr>
          <w:p>
            <w:pPr>
              <w:widowControl/>
              <w:spacing w:line="240" w:lineRule="exact"/>
              <w:rPr>
                <w:rFonts w:cs="宋体"/>
                <w:color w:val="000000"/>
                <w:kern w:val="0"/>
                <w:sz w:val="15"/>
                <w:szCs w:val="15"/>
              </w:rPr>
            </w:pPr>
            <w:r>
              <w:rPr>
                <w:rFonts w:hint="eastAsia" w:cs="宋体"/>
                <w:color w:val="000000"/>
                <w:kern w:val="0"/>
                <w:sz w:val="15"/>
                <w:szCs w:val="15"/>
              </w:rPr>
              <w:t>其他未列明行业 *</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bl>
    <w:p>
      <w:pPr>
        <w:widowControl/>
        <w:adjustRightInd/>
        <w:snapToGrid/>
        <w:ind w:firstLine="512" w:firstLineChars="200"/>
        <w:rPr>
          <w:rFonts w:cs="宋体"/>
          <w:color w:val="000000"/>
          <w:spacing w:val="8"/>
          <w:kern w:val="0"/>
        </w:rPr>
      </w:pPr>
      <w:r>
        <w:rPr>
          <w:rFonts w:hint="eastAsia" w:cs="宋体"/>
          <w:color w:val="000000"/>
          <w:spacing w:val="8"/>
          <w:kern w:val="0"/>
        </w:rPr>
        <w:t>说明：</w:t>
      </w:r>
    </w:p>
    <w:p>
      <w:pPr>
        <w:adjustRightInd/>
        <w:snapToGrid/>
        <w:ind w:firstLine="512" w:firstLineChars="200"/>
        <w:rPr>
          <w:rFonts w:cs="宋体"/>
          <w:color w:val="000000"/>
          <w:spacing w:val="8"/>
          <w:kern w:val="0"/>
        </w:rPr>
      </w:pPr>
      <w:r>
        <w:rPr>
          <w:rFonts w:hint="eastAsia" w:cs="宋体"/>
          <w:color w:val="000000"/>
          <w:spacing w:val="8"/>
          <w:kern w:val="0"/>
        </w:rPr>
        <w:t>1.大型、中型和小型企业须同时满足所列指标的下限，否则下划一档；微型企业只须满足所列指标中的一项即可。</w:t>
      </w:r>
    </w:p>
    <w:p>
      <w:pPr>
        <w:adjustRightInd/>
        <w:snapToGrid/>
        <w:ind w:firstLine="512" w:firstLineChars="200"/>
        <w:rPr>
          <w:rFonts w:cs="宋体"/>
          <w:color w:val="000000"/>
          <w:spacing w:val="8"/>
          <w:kern w:val="0"/>
        </w:rPr>
      </w:pPr>
      <w:r>
        <w:rPr>
          <w:rFonts w:hint="eastAsia" w:cs="宋体"/>
          <w:color w:val="000000"/>
          <w:spacing w:val="8"/>
          <w:kern w:val="0"/>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rPr>
      </w:pPr>
      <w:r>
        <w:rPr>
          <w:rFonts w:hint="eastAsia" w:cs="宋体"/>
          <w:color w:val="000000"/>
          <w:spacing w:val="8"/>
          <w:kern w:val="0"/>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rPr>
        <w:br w:type="page"/>
      </w:r>
    </w:p>
    <w:p>
      <w:pPr>
        <w:widowControl/>
        <w:adjustRightInd/>
        <w:snapToGrid/>
        <w:rPr>
          <w:b/>
          <w:bCs/>
        </w:rPr>
      </w:pPr>
      <w:r>
        <w:rPr>
          <w:rFonts w:hint="eastAsia" w:cs="宋体"/>
          <w:b/>
          <w:bCs/>
        </w:rPr>
        <w:t>附件四：</w:t>
      </w:r>
      <w:r>
        <w:rPr>
          <w:rFonts w:hint="eastAsia"/>
          <w:b/>
          <w:bCs/>
        </w:rPr>
        <w:t>《四川省财政厅关于推进四川省政府采购供应商信用融资工作的通知》(川财采〔2018〕123号文)</w:t>
      </w:r>
    </w:p>
    <w:p>
      <w:pPr>
        <w:pStyle w:val="21"/>
        <w:widowControl/>
        <w:wordWrap w:val="0"/>
        <w:adjustRightInd/>
        <w:snapToGrid/>
        <w:spacing w:beforeAutospacing="0" w:afterAutospacing="0"/>
        <w:rPr>
          <w:rFonts w:cs="宋体"/>
          <w:b/>
          <w:bCs/>
        </w:rPr>
      </w:pPr>
      <w:r>
        <w:rPr>
          <w:rFonts w:hint="eastAsia"/>
          <w:b/>
          <w:bCs/>
        </w:rPr>
        <w:t>查询链接：</w:t>
      </w:r>
      <w:r>
        <w:rPr>
          <w:rFonts w:hint="eastAsia" w:cs="宋体"/>
          <w:b/>
          <w:bCs/>
        </w:rPr>
        <w:t>http：//www.ccgp-sichuan.gov.cn/view/staticpags/sjzcfg/40288687657ff75501672fd954532414.html</w:t>
      </w:r>
    </w:p>
    <w:p>
      <w:pPr>
        <w:widowControl/>
        <w:adjustRightInd/>
        <w:snapToGrid/>
      </w:pPr>
    </w:p>
    <w:p>
      <w:pPr>
        <w:widowControl/>
        <w:adjustRightInd/>
        <w:snapToGrid/>
        <w:spacing w:line="240" w:lineRule="auto"/>
        <w:jc w:val="center"/>
        <w:rPr>
          <w:rFonts w:cs="宋体"/>
        </w:rPr>
      </w:pPr>
      <w:r>
        <w:rPr>
          <w:rFonts w:hint="eastAsia" w:cs="宋体"/>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6"/>
                    <a:stretch>
                      <a:fillRect/>
                    </a:stretch>
                  </pic:blipFill>
                  <pic:spPr>
                    <a:xfrm>
                      <a:off x="0" y="0"/>
                      <a:ext cx="5302250" cy="1859915"/>
                    </a:xfrm>
                    <a:prstGeom prst="rect">
                      <a:avLst/>
                    </a:prstGeom>
                    <a:noFill/>
                    <a:ln w="9525">
                      <a:noFill/>
                    </a:ln>
                  </pic:spPr>
                </pic:pic>
              </a:graphicData>
            </a:graphic>
          </wp:inline>
        </w:drawing>
      </w:r>
    </w:p>
    <w:p>
      <w:pPr>
        <w:pStyle w:val="21"/>
        <w:widowControl/>
        <w:adjustRightInd/>
        <w:snapToGrid/>
        <w:spacing w:beforeAutospacing="0" w:afterAutospacing="0"/>
        <w:ind w:firstLine="480" w:firstLineChars="200"/>
        <w:rPr>
          <w:rFonts w:cs="宋体"/>
        </w:rPr>
      </w:pPr>
      <w:r>
        <w:rPr>
          <w:rFonts w:hint="eastAsia" w:cs="宋体"/>
        </w:rPr>
        <w:t>各市(州)、扩权县(市)财政局，各省直机关、事业单位、团体组织，各金融机构，各采购代理机构，各政府采购供应商：</w:t>
      </w:r>
    </w:p>
    <w:p>
      <w:pPr>
        <w:pStyle w:val="21"/>
        <w:widowControl/>
        <w:adjustRightInd/>
        <w:snapToGrid/>
        <w:spacing w:beforeAutospacing="0" w:afterAutospacing="0"/>
        <w:ind w:firstLine="480" w:firstLineChars="200"/>
        <w:rPr>
          <w:rFonts w:cs="宋体"/>
        </w:rPr>
      </w:pPr>
      <w:r>
        <w:rPr>
          <w:rFonts w:hint="eastAsia" w:cs="宋体"/>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21"/>
        <w:widowControl/>
        <w:adjustRightInd/>
        <w:snapToGrid/>
        <w:spacing w:beforeAutospacing="0" w:afterAutospacing="0"/>
        <w:ind w:firstLine="480" w:firstLineChars="200"/>
        <w:rPr>
          <w:rFonts w:cs="宋体"/>
        </w:rPr>
      </w:pPr>
      <w:r>
        <w:rPr>
          <w:rFonts w:hint="eastAsia" w:cs="宋体"/>
        </w:rPr>
        <w:t>一、融资概念</w:t>
      </w:r>
    </w:p>
    <w:p>
      <w:pPr>
        <w:pStyle w:val="21"/>
        <w:widowControl/>
        <w:adjustRightInd/>
        <w:snapToGrid/>
        <w:spacing w:beforeAutospacing="0" w:afterAutospacing="0"/>
        <w:ind w:firstLine="480" w:firstLineChars="200"/>
        <w:rPr>
          <w:rFonts w:cs="宋体"/>
        </w:rPr>
      </w:pPr>
      <w:r>
        <w:rPr>
          <w:rFonts w:hint="eastAsia" w:cs="宋体"/>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21"/>
        <w:widowControl/>
        <w:adjustRightInd/>
        <w:snapToGrid/>
        <w:spacing w:beforeAutospacing="0" w:afterAutospacing="0"/>
        <w:ind w:firstLine="480" w:firstLineChars="200"/>
        <w:rPr>
          <w:rFonts w:cs="宋体"/>
        </w:rPr>
      </w:pPr>
      <w:r>
        <w:rPr>
          <w:rFonts w:hint="eastAsia" w:cs="宋体"/>
        </w:rPr>
        <w:t>二、基本原则</w:t>
      </w:r>
    </w:p>
    <w:p>
      <w:pPr>
        <w:pStyle w:val="21"/>
        <w:widowControl/>
        <w:adjustRightInd/>
        <w:snapToGrid/>
        <w:spacing w:beforeAutospacing="0" w:afterAutospacing="0"/>
        <w:ind w:firstLine="482" w:firstLineChars="200"/>
        <w:rPr>
          <w:rFonts w:cs="宋体"/>
        </w:rPr>
      </w:pPr>
      <w:r>
        <w:rPr>
          <w:rFonts w:hint="eastAsia" w:cs="宋体"/>
          <w:b/>
        </w:rPr>
        <w:t>(一)财政引导，市场运行</w:t>
      </w:r>
    </w:p>
    <w:p>
      <w:pPr>
        <w:pStyle w:val="21"/>
        <w:widowControl/>
        <w:adjustRightInd/>
        <w:snapToGrid/>
        <w:spacing w:beforeAutospacing="0" w:afterAutospacing="0"/>
        <w:ind w:firstLine="480" w:firstLineChars="200"/>
        <w:rPr>
          <w:rFonts w:cs="宋体"/>
        </w:rPr>
      </w:pPr>
      <w:r>
        <w:rPr>
          <w:rFonts w:hint="eastAsia" w:cs="宋体"/>
        </w:rPr>
        <w:t>财政部门推进“政采贷”，银行和供应商按照自愿原则参与。供应商自愿选择是否申请“政采贷”，银行依据其内部审查制度和决策程序决定是否为供应商提供融资，自担风险。</w:t>
      </w:r>
    </w:p>
    <w:p>
      <w:pPr>
        <w:pStyle w:val="21"/>
        <w:widowControl/>
        <w:adjustRightInd/>
        <w:snapToGrid/>
        <w:spacing w:beforeAutospacing="0" w:afterAutospacing="0"/>
        <w:ind w:firstLine="482" w:firstLineChars="200"/>
        <w:rPr>
          <w:rFonts w:cs="宋体"/>
        </w:rPr>
      </w:pPr>
      <w:r>
        <w:rPr>
          <w:rFonts w:hint="eastAsia" w:cs="宋体"/>
          <w:b/>
        </w:rPr>
        <w:t>(二)建立机制，服务银企</w:t>
      </w:r>
    </w:p>
    <w:p>
      <w:pPr>
        <w:pStyle w:val="21"/>
        <w:widowControl/>
        <w:adjustRightInd/>
        <w:snapToGrid/>
        <w:spacing w:beforeAutospacing="0" w:afterAutospacing="0"/>
        <w:ind w:firstLine="480" w:firstLineChars="200"/>
        <w:rPr>
          <w:rFonts w:cs="宋体"/>
        </w:rPr>
      </w:pPr>
      <w:r>
        <w:rPr>
          <w:rFonts w:hint="eastAsia" w:cs="宋体"/>
        </w:rPr>
        <w:t>财政部门与银行建立“政采贷”工作机制，推动政府采购政策功能和金融资源的有机结合，拓宽银行的融资业务，助力解决政府采购中标、中标人资金不足、融资难、融资贵的困难，促进企业健康发展。</w:t>
      </w:r>
    </w:p>
    <w:p>
      <w:pPr>
        <w:pStyle w:val="21"/>
        <w:widowControl/>
        <w:adjustRightInd/>
        <w:snapToGrid/>
        <w:spacing w:beforeAutospacing="0" w:afterAutospacing="0"/>
        <w:ind w:firstLine="482" w:firstLineChars="200"/>
        <w:rPr>
          <w:rFonts w:cs="宋体"/>
        </w:rPr>
      </w:pPr>
      <w:r>
        <w:rPr>
          <w:rFonts w:hint="eastAsia" w:cs="宋体"/>
          <w:b/>
        </w:rPr>
        <w:t>(三)优质优惠，加强扶持</w:t>
      </w:r>
    </w:p>
    <w:p>
      <w:pPr>
        <w:pStyle w:val="21"/>
        <w:widowControl/>
        <w:adjustRightInd/>
        <w:snapToGrid/>
        <w:spacing w:beforeAutospacing="0" w:afterAutospacing="0"/>
        <w:ind w:firstLine="480" w:firstLineChars="200"/>
        <w:rPr>
          <w:rFonts w:cs="宋体"/>
        </w:rPr>
      </w:pPr>
      <w:r>
        <w:rPr>
          <w:rFonts w:hint="eastAsia" w:cs="宋体"/>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21"/>
        <w:widowControl/>
        <w:adjustRightInd/>
        <w:snapToGrid/>
        <w:spacing w:beforeAutospacing="0" w:afterAutospacing="0"/>
        <w:ind w:firstLine="480" w:firstLineChars="200"/>
        <w:rPr>
          <w:rFonts w:cs="宋体"/>
        </w:rPr>
      </w:pPr>
      <w:r>
        <w:rPr>
          <w:rFonts w:hint="eastAsia" w:cs="宋体"/>
        </w:rPr>
        <w:t>三、基本条件</w:t>
      </w:r>
    </w:p>
    <w:p>
      <w:pPr>
        <w:pStyle w:val="21"/>
        <w:widowControl/>
        <w:adjustRightInd/>
        <w:snapToGrid/>
        <w:spacing w:beforeAutospacing="0" w:afterAutospacing="0"/>
        <w:ind w:firstLine="482" w:firstLineChars="200"/>
        <w:rPr>
          <w:rFonts w:cs="宋体"/>
        </w:rPr>
      </w:pPr>
      <w:r>
        <w:rPr>
          <w:rFonts w:hint="eastAsia" w:cs="宋体"/>
          <w:b/>
        </w:rPr>
        <w:t>(一)银行暨“政采贷”金融产品</w:t>
      </w:r>
    </w:p>
    <w:p>
      <w:pPr>
        <w:pStyle w:val="21"/>
        <w:widowControl/>
        <w:adjustRightInd/>
        <w:snapToGrid/>
        <w:spacing w:beforeAutospacing="0" w:afterAutospacing="0"/>
        <w:ind w:firstLine="482" w:firstLineChars="200"/>
        <w:rPr>
          <w:rFonts w:cs="宋体"/>
        </w:rPr>
      </w:pPr>
      <w:r>
        <w:rPr>
          <w:rFonts w:hint="eastAsia" w:cs="宋体"/>
          <w:b/>
        </w:rPr>
        <w:t>1、征集。</w:t>
      </w:r>
      <w:r>
        <w:rPr>
          <w:rFonts w:hint="eastAsia" w:cs="宋体"/>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21"/>
        <w:widowControl/>
        <w:adjustRightInd/>
        <w:snapToGrid/>
        <w:spacing w:beforeAutospacing="0" w:afterAutospacing="0"/>
        <w:ind w:firstLine="480" w:firstLineChars="200"/>
        <w:rPr>
          <w:rFonts w:cs="宋体"/>
        </w:rPr>
      </w:pPr>
      <w:r>
        <w:rPr>
          <w:rFonts w:hint="eastAsia" w:cs="宋体"/>
        </w:rPr>
        <w:t>申请材料应当包括银行基本情况、“政采贷”产品名称、申请贷款条件、申请贷款方式、申请贷款程序、贷款审查流程、贷款额度、发放贷款时间、收款方式及其他优质服务和优惠承诺等。</w:t>
      </w:r>
    </w:p>
    <w:p>
      <w:pPr>
        <w:pStyle w:val="21"/>
        <w:widowControl/>
        <w:adjustRightInd/>
        <w:snapToGrid/>
        <w:spacing w:beforeAutospacing="0" w:afterAutospacing="0"/>
        <w:ind w:firstLine="480" w:firstLineChars="200"/>
        <w:rPr>
          <w:rFonts w:cs="宋体"/>
        </w:rPr>
      </w:pPr>
      <w:r>
        <w:rPr>
          <w:rFonts w:hint="eastAsia" w:cs="宋体"/>
        </w:rPr>
        <w:t>银行提供的“政采贷”产品应当满足“无抵押担保、程序简便、利率优惠、放款及时”的基本条件以及本通知其他相关规定。</w:t>
      </w:r>
    </w:p>
    <w:p>
      <w:pPr>
        <w:pStyle w:val="21"/>
        <w:widowControl/>
        <w:adjustRightInd/>
        <w:snapToGrid/>
        <w:spacing w:beforeAutospacing="0" w:afterAutospacing="0"/>
        <w:ind w:firstLine="480" w:firstLineChars="200"/>
        <w:rPr>
          <w:rFonts w:cs="宋体"/>
        </w:rPr>
      </w:pPr>
      <w:r>
        <w:rPr>
          <w:rFonts w:hint="eastAsia" w:cs="宋体"/>
        </w:rPr>
        <w:t>银行申请材料中应当载明其自愿提供“政采贷”产品，自担风险，不得要求或者变相要求财政部门和采购人为其提供风险担保、承诺。</w:t>
      </w:r>
    </w:p>
    <w:p>
      <w:pPr>
        <w:pStyle w:val="21"/>
        <w:widowControl/>
        <w:adjustRightInd/>
        <w:snapToGrid/>
        <w:spacing w:beforeAutospacing="0" w:afterAutospacing="0"/>
        <w:ind w:firstLine="482" w:firstLineChars="200"/>
        <w:rPr>
          <w:rFonts w:cs="宋体"/>
        </w:rPr>
      </w:pPr>
      <w:r>
        <w:rPr>
          <w:rFonts w:hint="eastAsia" w:cs="宋体"/>
          <w:b/>
        </w:rPr>
        <w:t>2、公示。</w:t>
      </w:r>
      <w:r>
        <w:rPr>
          <w:rFonts w:hint="eastAsia" w:cs="宋体"/>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21"/>
        <w:widowControl/>
        <w:adjustRightInd/>
        <w:snapToGrid/>
        <w:spacing w:beforeAutospacing="0" w:afterAutospacing="0"/>
        <w:ind w:firstLine="482" w:firstLineChars="200"/>
        <w:rPr>
          <w:rFonts w:cs="宋体"/>
        </w:rPr>
      </w:pPr>
      <w:r>
        <w:rPr>
          <w:rFonts w:hint="eastAsia" w:cs="宋体"/>
          <w:b/>
        </w:rPr>
        <w:t>(二)供应商</w:t>
      </w:r>
    </w:p>
    <w:p>
      <w:pPr>
        <w:pStyle w:val="21"/>
        <w:widowControl/>
        <w:adjustRightInd/>
        <w:snapToGrid/>
        <w:spacing w:beforeAutospacing="0" w:afterAutospacing="0"/>
        <w:ind w:firstLine="480" w:firstLineChars="200"/>
        <w:rPr>
          <w:rFonts w:cs="宋体"/>
        </w:rPr>
      </w:pPr>
      <w:r>
        <w:rPr>
          <w:rFonts w:hint="eastAsia" w:cs="宋体"/>
        </w:rPr>
        <w:t>政府采购供应商向银行申请“政采贷”，应当满足下列基本条件：</w:t>
      </w:r>
    </w:p>
    <w:p>
      <w:pPr>
        <w:pStyle w:val="21"/>
        <w:widowControl/>
        <w:adjustRightInd/>
        <w:snapToGrid/>
        <w:spacing w:beforeAutospacing="0" w:afterAutospacing="0"/>
        <w:ind w:firstLine="482" w:firstLineChars="200"/>
        <w:rPr>
          <w:rFonts w:cs="宋体"/>
        </w:rPr>
      </w:pPr>
      <w:r>
        <w:rPr>
          <w:rFonts w:hint="eastAsia" w:cs="宋体"/>
          <w:b/>
        </w:rPr>
        <w:t>1、</w:t>
      </w:r>
      <w:r>
        <w:rPr>
          <w:rFonts w:hint="eastAsia" w:cs="宋体"/>
        </w:rPr>
        <w:t>具有依法承担民事责任的能力；</w:t>
      </w:r>
    </w:p>
    <w:p>
      <w:pPr>
        <w:pStyle w:val="21"/>
        <w:widowControl/>
        <w:adjustRightInd/>
        <w:snapToGrid/>
        <w:spacing w:beforeAutospacing="0" w:afterAutospacing="0"/>
        <w:ind w:firstLine="482" w:firstLineChars="200"/>
        <w:rPr>
          <w:rFonts w:cs="宋体"/>
        </w:rPr>
      </w:pPr>
      <w:r>
        <w:rPr>
          <w:rFonts w:hint="eastAsia" w:cs="宋体"/>
          <w:b/>
        </w:rPr>
        <w:t>2、</w:t>
      </w:r>
      <w:r>
        <w:rPr>
          <w:rFonts w:hint="eastAsia" w:cs="宋体"/>
        </w:rPr>
        <w:t>具有依法履行政府采购合同的能力；</w:t>
      </w:r>
    </w:p>
    <w:p>
      <w:pPr>
        <w:pStyle w:val="21"/>
        <w:widowControl/>
        <w:adjustRightInd/>
        <w:snapToGrid/>
        <w:spacing w:beforeAutospacing="0" w:afterAutospacing="0"/>
        <w:ind w:firstLine="482" w:firstLineChars="200"/>
        <w:rPr>
          <w:rFonts w:cs="宋体"/>
        </w:rPr>
      </w:pPr>
      <w:r>
        <w:rPr>
          <w:rFonts w:hint="eastAsia" w:cs="宋体"/>
          <w:b/>
        </w:rPr>
        <w:t>3、</w:t>
      </w:r>
      <w:r>
        <w:rPr>
          <w:rFonts w:hint="eastAsia" w:cs="宋体"/>
        </w:rPr>
        <w:t>参加的政府采购活动未被财政部门依法暂停、责令重新开展或者认定中标、成交无效；</w:t>
      </w:r>
    </w:p>
    <w:p>
      <w:pPr>
        <w:pStyle w:val="21"/>
        <w:widowControl/>
        <w:adjustRightInd/>
        <w:snapToGrid/>
        <w:spacing w:beforeAutospacing="0" w:afterAutospacing="0"/>
        <w:ind w:firstLine="482" w:firstLineChars="200"/>
        <w:rPr>
          <w:rFonts w:cs="宋体"/>
        </w:rPr>
      </w:pPr>
      <w:r>
        <w:rPr>
          <w:rFonts w:hint="eastAsia" w:cs="宋体"/>
          <w:b/>
        </w:rPr>
        <w:t>4、</w:t>
      </w:r>
      <w:r>
        <w:rPr>
          <w:rFonts w:hint="eastAsia" w:cs="宋体"/>
        </w:rPr>
        <w:t>无《政府采购法》第二十二条第一款第(五)项所称的重大违法记录；</w:t>
      </w:r>
    </w:p>
    <w:p>
      <w:pPr>
        <w:pStyle w:val="21"/>
        <w:widowControl/>
        <w:adjustRightInd/>
        <w:snapToGrid/>
        <w:spacing w:beforeAutospacing="0" w:afterAutospacing="0"/>
        <w:ind w:firstLine="482" w:firstLineChars="200"/>
        <w:rPr>
          <w:rFonts w:cs="宋体"/>
        </w:rPr>
      </w:pPr>
      <w:r>
        <w:rPr>
          <w:rFonts w:hint="eastAsia" w:cs="宋体"/>
          <w:b/>
        </w:rPr>
        <w:t>5、</w:t>
      </w:r>
      <w:r>
        <w:rPr>
          <w:rFonts w:hint="eastAsia" w:cs="宋体"/>
        </w:rPr>
        <w:t>未被法院、市场监管、税务、银行等部门单位纳入失信名单且在有效期内；</w:t>
      </w:r>
    </w:p>
    <w:p>
      <w:pPr>
        <w:pStyle w:val="21"/>
        <w:widowControl/>
        <w:adjustRightInd/>
        <w:snapToGrid/>
        <w:spacing w:beforeAutospacing="0" w:afterAutospacing="0"/>
        <w:ind w:firstLine="482" w:firstLineChars="200"/>
        <w:rPr>
          <w:rFonts w:cs="宋体"/>
        </w:rPr>
      </w:pPr>
      <w:r>
        <w:rPr>
          <w:rFonts w:hint="eastAsia" w:cs="宋体"/>
          <w:b/>
        </w:rPr>
        <w:t>6、</w:t>
      </w:r>
      <w:r>
        <w:rPr>
          <w:rFonts w:hint="eastAsia" w:cs="宋体"/>
        </w:rPr>
        <w:t>在一定期限内的(银行可以具体确定)政府采购合同履约过程中或者其他经营活动履约过程中，无不依法履约被有关行政部门行政处罚的或者产生法律纠纷被法院、仲裁机构判决、裁决败诉的；</w:t>
      </w:r>
    </w:p>
    <w:p>
      <w:pPr>
        <w:pStyle w:val="21"/>
        <w:widowControl/>
        <w:adjustRightInd/>
        <w:snapToGrid/>
        <w:spacing w:beforeAutospacing="0" w:afterAutospacing="0"/>
        <w:ind w:firstLine="482" w:firstLineChars="200"/>
        <w:rPr>
          <w:rFonts w:cs="宋体"/>
        </w:rPr>
      </w:pPr>
      <w:r>
        <w:rPr>
          <w:rFonts w:hint="eastAsia" w:cs="宋体"/>
          <w:b/>
        </w:rPr>
        <w:t>7、</w:t>
      </w:r>
      <w:r>
        <w:rPr>
          <w:rFonts w:hint="eastAsia" w:cs="宋体"/>
        </w:rPr>
        <w:t>其他银行要求的不属于提供财产抵押或第三方担保的条件。</w:t>
      </w:r>
    </w:p>
    <w:p>
      <w:pPr>
        <w:pStyle w:val="21"/>
        <w:widowControl/>
        <w:adjustRightInd/>
        <w:snapToGrid/>
        <w:spacing w:beforeAutospacing="0" w:afterAutospacing="0"/>
        <w:ind w:firstLine="480" w:firstLineChars="200"/>
        <w:rPr>
          <w:rFonts w:cs="宋体"/>
        </w:rPr>
      </w:pPr>
      <w:r>
        <w:rPr>
          <w:rFonts w:hint="eastAsia" w:cs="宋体"/>
        </w:rPr>
        <w:t>四、构建平台</w:t>
      </w:r>
    </w:p>
    <w:p>
      <w:pPr>
        <w:pStyle w:val="21"/>
        <w:widowControl/>
        <w:adjustRightInd/>
        <w:snapToGrid/>
        <w:spacing w:beforeAutospacing="0" w:afterAutospacing="0"/>
        <w:ind w:firstLine="480" w:firstLineChars="200"/>
        <w:rPr>
          <w:rFonts w:cs="宋体"/>
        </w:rPr>
      </w:pPr>
      <w:r>
        <w:rPr>
          <w:rFonts w:hint="eastAsia" w:cs="宋体"/>
        </w:rPr>
        <w:t>四川省财政厅将在“四川政府采购网”统一构建四川省“政采贷”信息化服务平台，推进四川省“政采贷”工作信息化建设。</w:t>
      </w:r>
    </w:p>
    <w:p>
      <w:pPr>
        <w:pStyle w:val="21"/>
        <w:widowControl/>
        <w:adjustRightInd/>
        <w:snapToGrid/>
        <w:spacing w:beforeAutospacing="0" w:afterAutospacing="0"/>
        <w:ind w:firstLine="480" w:firstLineChars="200"/>
        <w:rPr>
          <w:rFonts w:cs="宋体"/>
        </w:rPr>
      </w:pPr>
      <w:r>
        <w:rPr>
          <w:rFonts w:hint="eastAsia" w:cs="宋体"/>
        </w:rPr>
        <w:t>五、财金互动</w:t>
      </w:r>
    </w:p>
    <w:p>
      <w:pPr>
        <w:pStyle w:val="21"/>
        <w:widowControl/>
        <w:adjustRightInd/>
        <w:snapToGrid/>
        <w:spacing w:beforeAutospacing="0" w:afterAutospacing="0"/>
        <w:ind w:firstLine="480" w:firstLineChars="200"/>
        <w:rPr>
          <w:rFonts w:cs="宋体"/>
        </w:rPr>
      </w:pPr>
      <w:r>
        <w:rPr>
          <w:rFonts w:hint="eastAsia" w:cs="宋体"/>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21"/>
        <w:widowControl/>
        <w:adjustRightInd/>
        <w:snapToGrid/>
        <w:spacing w:beforeAutospacing="0" w:afterAutospacing="0"/>
        <w:ind w:firstLine="480" w:firstLineChars="200"/>
        <w:rPr>
          <w:rFonts w:cs="宋体"/>
        </w:rPr>
      </w:pPr>
      <w:r>
        <w:rPr>
          <w:rFonts w:hint="eastAsia" w:cs="宋体"/>
        </w:rPr>
        <w:t>六、基本流程</w:t>
      </w:r>
    </w:p>
    <w:p>
      <w:pPr>
        <w:pStyle w:val="21"/>
        <w:widowControl/>
        <w:adjustRightInd/>
        <w:snapToGrid/>
        <w:spacing w:beforeAutospacing="0" w:afterAutospacing="0"/>
        <w:ind w:firstLine="482" w:firstLineChars="200"/>
        <w:rPr>
          <w:rFonts w:cs="宋体"/>
        </w:rPr>
      </w:pPr>
      <w:r>
        <w:rPr>
          <w:rFonts w:hint="eastAsia" w:cs="宋体"/>
          <w:b/>
        </w:rPr>
        <w:t>(一)意向申请</w:t>
      </w:r>
    </w:p>
    <w:p>
      <w:pPr>
        <w:pStyle w:val="21"/>
        <w:widowControl/>
        <w:adjustRightInd/>
        <w:snapToGrid/>
        <w:spacing w:beforeAutospacing="0" w:afterAutospacing="0"/>
        <w:ind w:firstLine="480" w:firstLineChars="200"/>
        <w:rPr>
          <w:rFonts w:cs="宋体"/>
        </w:rPr>
      </w:pPr>
      <w:r>
        <w:rPr>
          <w:rFonts w:hint="eastAsia" w:cs="宋体"/>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1"/>
        <w:widowControl/>
        <w:adjustRightInd/>
        <w:snapToGrid/>
        <w:spacing w:beforeAutospacing="0" w:afterAutospacing="0"/>
        <w:ind w:firstLine="482" w:firstLineChars="200"/>
        <w:rPr>
          <w:rFonts w:cs="宋体"/>
          <w:b/>
        </w:rPr>
      </w:pPr>
      <w:r>
        <w:rPr>
          <w:rFonts w:hint="eastAsia" w:cs="宋体"/>
          <w:b/>
        </w:rPr>
        <w:t>(二)正式申请</w:t>
      </w:r>
    </w:p>
    <w:p>
      <w:pPr>
        <w:pStyle w:val="21"/>
        <w:widowControl/>
        <w:adjustRightInd/>
        <w:snapToGrid/>
        <w:spacing w:beforeAutospacing="0" w:afterAutospacing="0"/>
        <w:ind w:firstLine="480" w:firstLineChars="200"/>
        <w:rPr>
          <w:rFonts w:cs="宋体"/>
        </w:rPr>
      </w:pPr>
      <w:r>
        <w:rPr>
          <w:rFonts w:hint="eastAsia" w:cs="宋体"/>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21"/>
        <w:widowControl/>
        <w:adjustRightInd/>
        <w:snapToGrid/>
        <w:spacing w:beforeAutospacing="0" w:afterAutospacing="0"/>
        <w:ind w:firstLine="480" w:firstLineChars="200"/>
        <w:rPr>
          <w:rFonts w:cs="宋体"/>
        </w:rPr>
      </w:pPr>
      <w:r>
        <w:rPr>
          <w:rFonts w:hint="eastAsia" w:cs="宋体"/>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21"/>
        <w:widowControl/>
        <w:adjustRightInd/>
        <w:snapToGrid/>
        <w:spacing w:beforeAutospacing="0" w:afterAutospacing="0"/>
        <w:ind w:firstLine="482" w:firstLineChars="200"/>
        <w:rPr>
          <w:rFonts w:cs="宋体"/>
        </w:rPr>
      </w:pPr>
      <w:r>
        <w:rPr>
          <w:rFonts w:hint="eastAsia" w:cs="宋体"/>
          <w:b/>
        </w:rPr>
        <w:t>(三)贷款审查</w:t>
      </w:r>
    </w:p>
    <w:p>
      <w:pPr>
        <w:pStyle w:val="21"/>
        <w:widowControl/>
        <w:adjustRightInd/>
        <w:snapToGrid/>
        <w:spacing w:beforeAutospacing="0" w:afterAutospacing="0"/>
        <w:ind w:firstLine="480" w:firstLineChars="200"/>
        <w:rPr>
          <w:rFonts w:cs="宋体"/>
        </w:rPr>
      </w:pPr>
      <w:r>
        <w:rPr>
          <w:rFonts w:hint="eastAsia" w:cs="宋体"/>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21"/>
        <w:widowControl/>
        <w:adjustRightInd/>
        <w:snapToGrid/>
        <w:spacing w:beforeAutospacing="0" w:afterAutospacing="0"/>
        <w:ind w:firstLine="482" w:firstLineChars="200"/>
        <w:rPr>
          <w:rFonts w:cs="宋体"/>
        </w:rPr>
      </w:pPr>
      <w:r>
        <w:rPr>
          <w:rFonts w:hint="eastAsia" w:cs="宋体"/>
          <w:b/>
        </w:rPr>
        <w:t>(四)信息报送</w:t>
      </w:r>
    </w:p>
    <w:p>
      <w:pPr>
        <w:pStyle w:val="21"/>
        <w:widowControl/>
        <w:adjustRightInd/>
        <w:snapToGrid/>
        <w:spacing w:beforeAutospacing="0" w:afterAutospacing="0"/>
        <w:ind w:firstLine="480" w:firstLineChars="200"/>
        <w:rPr>
          <w:rFonts w:cs="宋体"/>
        </w:rPr>
      </w:pPr>
      <w:r>
        <w:rPr>
          <w:rFonts w:hint="eastAsia" w:cs="宋体"/>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21"/>
        <w:widowControl/>
        <w:adjustRightInd/>
        <w:snapToGrid/>
        <w:spacing w:beforeAutospacing="0" w:afterAutospacing="0"/>
        <w:ind w:firstLine="482" w:firstLineChars="200"/>
        <w:rPr>
          <w:rFonts w:cs="宋体"/>
        </w:rPr>
      </w:pPr>
      <w:r>
        <w:rPr>
          <w:rFonts w:hint="eastAsia" w:cs="宋体"/>
          <w:b/>
        </w:rPr>
        <w:t>(五)资金支付</w:t>
      </w:r>
    </w:p>
    <w:p>
      <w:pPr>
        <w:pStyle w:val="21"/>
        <w:widowControl/>
        <w:adjustRightInd/>
        <w:snapToGrid/>
        <w:spacing w:beforeAutospacing="0" w:afterAutospacing="0"/>
        <w:ind w:firstLine="480" w:firstLineChars="200"/>
        <w:rPr>
          <w:rFonts w:cs="宋体"/>
        </w:rPr>
      </w:pPr>
      <w:r>
        <w:rPr>
          <w:rFonts w:hint="eastAsia" w:cs="宋体"/>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21"/>
        <w:widowControl/>
        <w:adjustRightInd/>
        <w:snapToGrid/>
        <w:spacing w:beforeAutospacing="0" w:afterAutospacing="0"/>
        <w:ind w:firstLine="480" w:firstLineChars="200"/>
        <w:rPr>
          <w:rFonts w:cs="宋体"/>
        </w:rPr>
      </w:pPr>
      <w:r>
        <w:rPr>
          <w:rFonts w:hint="eastAsia" w:cs="宋体"/>
        </w:rPr>
        <w:t>政府采购资金支付过程中，银行需要查询采购资金支付进程有关信息的，财政部门和采购人应当支持。</w:t>
      </w:r>
    </w:p>
    <w:p>
      <w:pPr>
        <w:pStyle w:val="21"/>
        <w:widowControl/>
        <w:adjustRightInd/>
        <w:snapToGrid/>
        <w:spacing w:beforeAutospacing="0" w:afterAutospacing="0"/>
        <w:ind w:firstLine="480" w:firstLineChars="200"/>
        <w:rPr>
          <w:rFonts w:cs="宋体"/>
        </w:rPr>
      </w:pPr>
      <w:r>
        <w:rPr>
          <w:rFonts w:hint="eastAsia" w:cs="宋体"/>
        </w:rPr>
        <w:t>七、职责要求</w:t>
      </w:r>
    </w:p>
    <w:p>
      <w:pPr>
        <w:pStyle w:val="21"/>
        <w:widowControl/>
        <w:adjustRightInd/>
        <w:snapToGrid/>
        <w:spacing w:beforeAutospacing="0" w:afterAutospacing="0"/>
        <w:ind w:firstLine="482" w:firstLineChars="200"/>
        <w:rPr>
          <w:rFonts w:cs="宋体"/>
        </w:rPr>
      </w:pPr>
      <w:r>
        <w:rPr>
          <w:rFonts w:hint="eastAsia" w:cs="宋体"/>
          <w:b/>
        </w:rPr>
        <w:t>(一)</w:t>
      </w:r>
      <w:r>
        <w:rPr>
          <w:rFonts w:hint="eastAsia" w:cs="宋体"/>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21"/>
        <w:widowControl/>
        <w:adjustRightInd/>
        <w:snapToGrid/>
        <w:spacing w:beforeAutospacing="0" w:afterAutospacing="0"/>
        <w:ind w:firstLine="482" w:firstLineChars="200"/>
        <w:rPr>
          <w:rFonts w:cs="宋体"/>
        </w:rPr>
      </w:pPr>
      <w:r>
        <w:rPr>
          <w:rFonts w:hint="eastAsia" w:cs="宋体"/>
          <w:b/>
        </w:rPr>
        <w:t>(二)</w:t>
      </w:r>
      <w:r>
        <w:rPr>
          <w:rFonts w:hint="eastAsia" w:cs="宋体"/>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21"/>
        <w:widowControl/>
        <w:adjustRightInd/>
        <w:snapToGrid/>
        <w:spacing w:beforeAutospacing="0" w:afterAutospacing="0"/>
        <w:ind w:firstLine="482" w:firstLineChars="200"/>
        <w:rPr>
          <w:rFonts w:cs="宋体"/>
        </w:rPr>
      </w:pPr>
      <w:r>
        <w:rPr>
          <w:rFonts w:hint="eastAsia" w:cs="宋体"/>
          <w:b/>
        </w:rPr>
        <w:t>(三)</w:t>
      </w:r>
      <w:r>
        <w:rPr>
          <w:rFonts w:hint="eastAsia" w:cs="宋体"/>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21"/>
        <w:widowControl/>
        <w:adjustRightInd/>
        <w:snapToGrid/>
        <w:spacing w:beforeAutospacing="0" w:afterAutospacing="0"/>
        <w:ind w:firstLine="482" w:firstLineChars="200"/>
        <w:rPr>
          <w:rFonts w:cs="宋体"/>
        </w:rPr>
      </w:pPr>
      <w:r>
        <w:rPr>
          <w:rFonts w:hint="eastAsia" w:cs="宋体"/>
          <w:b/>
        </w:rPr>
        <w:t>(四)</w:t>
      </w:r>
      <w:r>
        <w:rPr>
          <w:rFonts w:hint="eastAsia" w:cs="宋体"/>
        </w:rPr>
        <w:t>采购代理机构在组织实施政府采购活动中，应当采取有效方式，向供应商宣传“政采贷”政策。银行需要借用采购代理机构的场所直接向供应商介绍其“政采贷”产品的，采购代理机构应当支持。</w:t>
      </w:r>
    </w:p>
    <w:p>
      <w:pPr>
        <w:pStyle w:val="21"/>
        <w:widowControl/>
        <w:adjustRightInd/>
        <w:snapToGrid/>
        <w:spacing w:beforeAutospacing="0" w:afterAutospacing="0"/>
        <w:ind w:firstLine="482" w:firstLineChars="200"/>
        <w:rPr>
          <w:rFonts w:cs="宋体"/>
        </w:rPr>
      </w:pPr>
      <w:r>
        <w:rPr>
          <w:rFonts w:hint="eastAsia" w:cs="宋体"/>
          <w:b/>
        </w:rPr>
        <w:t>(五)</w:t>
      </w:r>
      <w:r>
        <w:rPr>
          <w:rFonts w:hint="eastAsia" w:cs="宋体"/>
        </w:rPr>
        <w:t>供应商应当依法参加政府采购活动，公平竞争，诚实守信，严格按照政府采购合同履约，严格按照借款合同偿还债务。</w:t>
      </w:r>
    </w:p>
    <w:p>
      <w:pPr>
        <w:pStyle w:val="21"/>
        <w:widowControl/>
        <w:adjustRightInd/>
        <w:snapToGrid/>
        <w:spacing w:beforeAutospacing="0" w:afterAutospacing="0"/>
        <w:ind w:firstLine="482" w:firstLineChars="200"/>
        <w:rPr>
          <w:rFonts w:cs="宋体"/>
        </w:rPr>
      </w:pPr>
      <w:r>
        <w:rPr>
          <w:rFonts w:hint="eastAsia" w:cs="宋体"/>
          <w:b/>
        </w:rPr>
        <w:t>(六)</w:t>
      </w:r>
      <w:r>
        <w:rPr>
          <w:rFonts w:hint="eastAsia" w:cs="宋体"/>
        </w:rPr>
        <w:t>财政部门、采购人、采购代理机构及其他有关单位和个人不得违规干预供应商选择“政采贷”银行及其产品，也不得违规干预银行向供应商进行贷款。</w:t>
      </w:r>
    </w:p>
    <w:p>
      <w:pPr>
        <w:pStyle w:val="21"/>
        <w:widowControl/>
        <w:adjustRightInd/>
        <w:snapToGrid/>
        <w:spacing w:beforeAutospacing="0" w:afterAutospacing="0"/>
        <w:ind w:firstLine="482" w:firstLineChars="200"/>
        <w:rPr>
          <w:rFonts w:cs="宋体"/>
        </w:rPr>
      </w:pPr>
      <w:r>
        <w:rPr>
          <w:rFonts w:hint="eastAsia" w:cs="宋体"/>
          <w:b/>
        </w:rPr>
        <w:t>(七)</w:t>
      </w:r>
      <w:r>
        <w:rPr>
          <w:rFonts w:hint="eastAsia" w:cs="宋体"/>
        </w:rPr>
        <w:t>相关单位和个人在开展“政采贷”工作过程中，发现新问题、新情况或者有意见建议的，请及时向四川省财政厅反馈。</w:t>
      </w:r>
    </w:p>
    <w:p>
      <w:pPr>
        <w:pStyle w:val="21"/>
        <w:widowControl/>
        <w:adjustRightInd/>
        <w:snapToGrid/>
        <w:spacing w:beforeAutospacing="0" w:afterAutospacing="0"/>
        <w:ind w:firstLine="480" w:firstLineChars="200"/>
        <w:rPr>
          <w:rFonts w:cs="宋体"/>
        </w:rPr>
      </w:pPr>
      <w:r>
        <w:rPr>
          <w:rFonts w:hint="eastAsia" w:cs="宋体"/>
        </w:rPr>
        <w:t>八、违规处理</w:t>
      </w:r>
    </w:p>
    <w:p>
      <w:pPr>
        <w:pStyle w:val="21"/>
        <w:widowControl/>
        <w:adjustRightInd/>
        <w:snapToGrid/>
        <w:spacing w:beforeAutospacing="0" w:afterAutospacing="0"/>
        <w:ind w:firstLine="482" w:firstLineChars="200"/>
        <w:rPr>
          <w:rFonts w:cs="宋体"/>
        </w:rPr>
      </w:pPr>
      <w:r>
        <w:rPr>
          <w:rFonts w:hint="eastAsia" w:cs="宋体"/>
          <w:b/>
        </w:rPr>
        <w:t>(一)银行违规处理</w:t>
      </w:r>
    </w:p>
    <w:p>
      <w:pPr>
        <w:pStyle w:val="21"/>
        <w:widowControl/>
        <w:adjustRightInd/>
        <w:snapToGrid/>
        <w:spacing w:beforeAutospacing="0" w:afterAutospacing="0"/>
        <w:ind w:firstLine="480" w:firstLineChars="200"/>
        <w:rPr>
          <w:rFonts w:cs="宋体"/>
        </w:rPr>
      </w:pPr>
      <w:r>
        <w:rPr>
          <w:rFonts w:hint="eastAsia" w:cs="宋体"/>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21"/>
        <w:widowControl/>
        <w:adjustRightInd/>
        <w:snapToGrid/>
        <w:spacing w:beforeAutospacing="0" w:afterAutospacing="0"/>
        <w:ind w:firstLine="482" w:firstLineChars="200"/>
        <w:rPr>
          <w:rFonts w:cs="宋体"/>
        </w:rPr>
      </w:pPr>
      <w:r>
        <w:rPr>
          <w:rFonts w:hint="eastAsia" w:cs="宋体"/>
          <w:b/>
        </w:rPr>
        <w:t>(二)供应商违规处理</w:t>
      </w:r>
    </w:p>
    <w:p>
      <w:pPr>
        <w:pStyle w:val="21"/>
        <w:widowControl/>
        <w:adjustRightInd/>
        <w:snapToGrid/>
        <w:spacing w:beforeAutospacing="0" w:afterAutospacing="0"/>
        <w:ind w:firstLine="480" w:firstLineChars="200"/>
        <w:rPr>
          <w:rFonts w:cs="宋体"/>
        </w:rPr>
      </w:pPr>
      <w:r>
        <w:rPr>
          <w:rFonts w:hint="eastAsia" w:cs="宋体"/>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21"/>
        <w:widowControl/>
        <w:adjustRightInd/>
        <w:snapToGrid/>
        <w:spacing w:beforeAutospacing="0" w:afterAutospacing="0"/>
        <w:ind w:firstLine="482" w:firstLineChars="200"/>
        <w:rPr>
          <w:rFonts w:cs="宋体"/>
        </w:rPr>
      </w:pPr>
      <w:r>
        <w:rPr>
          <w:rFonts w:hint="eastAsia" w:cs="宋体"/>
          <w:b/>
        </w:rPr>
        <w:t>(三)其他违规处理</w:t>
      </w:r>
    </w:p>
    <w:p>
      <w:pPr>
        <w:pStyle w:val="21"/>
        <w:widowControl/>
        <w:adjustRightInd/>
        <w:snapToGrid/>
        <w:spacing w:beforeAutospacing="0" w:afterAutospacing="0"/>
        <w:ind w:firstLine="480" w:firstLineChars="200"/>
        <w:rPr>
          <w:rFonts w:cs="宋体"/>
        </w:rPr>
      </w:pPr>
      <w:r>
        <w:rPr>
          <w:rFonts w:hint="eastAsia" w:cs="宋体"/>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1"/>
        <w:widowControl/>
        <w:adjustRightInd/>
        <w:snapToGrid/>
        <w:spacing w:beforeAutospacing="0" w:afterAutospacing="0"/>
        <w:ind w:firstLine="480" w:firstLineChars="200"/>
        <w:rPr>
          <w:rFonts w:cs="宋体"/>
        </w:rPr>
      </w:pPr>
      <w:r>
        <w:rPr>
          <w:rFonts w:hint="eastAsia" w:cs="宋体"/>
        </w:rPr>
        <w:t> </w:t>
      </w:r>
    </w:p>
    <w:p>
      <w:pPr>
        <w:rPr>
          <w:rFonts w:cs="宋体"/>
        </w:rPr>
      </w:pPr>
      <w:r>
        <w:rPr>
          <w:rFonts w:hint="eastAsia" w:cs="宋体"/>
          <w:kern w:val="0"/>
        </w:rPr>
        <w:drawing>
          <wp:anchor distT="0" distB="0" distL="114300" distR="114300" simplePos="0" relativeHeight="251662336"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7"/>
                    <a:stretch>
                      <a:fillRect/>
                    </a:stretch>
                  </pic:blipFill>
                  <pic:spPr>
                    <a:xfrm>
                      <a:off x="0" y="0"/>
                      <a:ext cx="1771650" cy="1781175"/>
                    </a:xfrm>
                    <a:prstGeom prst="rect">
                      <a:avLst/>
                    </a:prstGeom>
                    <a:noFill/>
                    <a:ln w="9525">
                      <a:noFill/>
                    </a:ln>
                  </pic:spPr>
                </pic:pic>
              </a:graphicData>
            </a:graphic>
          </wp:anchor>
        </w:drawing>
      </w:r>
      <w:r>
        <w:rPr>
          <w:rFonts w:hint="eastAsia" w:cs="宋体"/>
        </w:rPr>
        <w:br w:type="page"/>
      </w:r>
    </w:p>
    <w:p>
      <w:pPr>
        <w:widowControl/>
        <w:adjustRightInd/>
        <w:snapToGrid/>
        <w:rPr>
          <w:rFonts w:cs="宋体"/>
          <w:b/>
          <w:bCs/>
        </w:rPr>
      </w:pPr>
      <w:r>
        <w:rPr>
          <w:rFonts w:hint="eastAsia" w:cs="宋体"/>
          <w:b/>
          <w:bCs/>
        </w:rPr>
        <w:t>附件五：成都市财政局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rPr>
      </w:pPr>
      <w:r>
        <w:rPr>
          <w:rFonts w:hint="eastAsia" w:cs="宋体"/>
          <w:b/>
          <w:bCs/>
        </w:rPr>
        <w:t>查询链接：</w:t>
      </w:r>
      <w:r>
        <w:fldChar w:fldCharType="begin"/>
      </w:r>
      <w:r>
        <w:instrText xml:space="preserve"> HYPERLINK "http://cdcz.chengdu.gov.cn/cdsczj/c116726/2019-03/13/content_7d81ae9c2a1e48968c7839a9c5b88ccd.shtml" </w:instrText>
      </w:r>
      <w:r>
        <w:fldChar w:fldCharType="separate"/>
      </w:r>
      <w:r>
        <w:rPr>
          <w:rStyle w:val="28"/>
          <w:rFonts w:hint="eastAsia" w:cs="宋体"/>
          <w:b/>
          <w:bCs/>
        </w:rPr>
        <w:t>http：//cdcz.chengdu.gov.cn/cdsczj/c116726/2019-03/13/content_7d81ae9c2a1e48968c7839a9c5b88ccd.shtml</w:t>
      </w:r>
      <w:r>
        <w:rPr>
          <w:rStyle w:val="28"/>
          <w:rFonts w:hint="eastAsia" w:cs="宋体"/>
          <w:b/>
          <w:bCs/>
        </w:rPr>
        <w:fldChar w:fldCharType="end"/>
      </w:r>
    </w:p>
    <w:p>
      <w:pPr>
        <w:widowControl/>
        <w:wordWrap w:val="0"/>
        <w:adjustRightInd/>
        <w:snapToGrid/>
        <w:rPr>
          <w:rFonts w:cs="宋体"/>
          <w:b/>
          <w:bCs/>
        </w:rPr>
      </w:pPr>
    </w:p>
    <w:tbl>
      <w:tblPr>
        <w:tblStyle w:val="24"/>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ign w:val="center"/>
          </w:tcPr>
          <w:p>
            <w:pPr>
              <w:spacing w:line="240" w:lineRule="auto"/>
              <w:jc w:val="distribute"/>
              <w:rPr>
                <w:rFonts w:eastAsia="方正小标宋简体"/>
                <w:color w:val="FF0000"/>
                <w:sz w:val="66"/>
                <w:szCs w:val="66"/>
              </w:rPr>
            </w:pPr>
            <w:r>
              <w:rPr>
                <w:rFonts w:hint="eastAsia" w:eastAsia="方正小标宋简体"/>
                <w:color w:val="FF0000"/>
                <w:sz w:val="66"/>
                <w:szCs w:val="66"/>
              </w:rPr>
              <w:t>成都市财政局</w:t>
            </w:r>
          </w:p>
        </w:tc>
        <w:tc>
          <w:tcPr>
            <w:tcW w:w="1580" w:type="dxa"/>
            <w:vMerge w:val="restart"/>
            <w:noWrap/>
            <w:vAlign w:val="center"/>
          </w:tcPr>
          <w:p>
            <w:pPr>
              <w:spacing w:line="240" w:lineRule="auto"/>
              <w:jc w:val="center"/>
              <w:rPr>
                <w:rFonts w:eastAsia="方正小标宋简体"/>
                <w:color w:val="FF0000"/>
                <w:sz w:val="66"/>
                <w:szCs w:val="66"/>
              </w:rPr>
            </w:pPr>
            <w:r>
              <w:rPr>
                <w:rFonts w:hint="eastAsia" w:eastAsia="方正小标宋简体"/>
                <w:color w:val="FF0000"/>
                <w:sz w:val="66"/>
                <w:szCs w:val="66"/>
              </w:rPr>
              <w:t>文件</w:t>
            </w:r>
          </w:p>
        </w:tc>
      </w:tr>
      <w:tr>
        <w:tblPrEx>
          <w:tblCellMar>
            <w:top w:w="0" w:type="dxa"/>
            <w:left w:w="108" w:type="dxa"/>
            <w:bottom w:w="0" w:type="dxa"/>
            <w:right w:w="108" w:type="dxa"/>
          </w:tblCellMar>
        </w:tblPrEx>
        <w:trPr>
          <w:cantSplit/>
          <w:trHeight w:val="1335" w:hRule="atLeast"/>
          <w:jc w:val="center"/>
        </w:trPr>
        <w:tc>
          <w:tcPr>
            <w:tcW w:w="7482" w:type="dxa"/>
            <w:noWrap/>
            <w:vAlign w:val="center"/>
          </w:tcPr>
          <w:p>
            <w:pPr>
              <w:spacing w:line="240" w:lineRule="auto"/>
              <w:jc w:val="distribute"/>
              <w:rPr>
                <w:rFonts w:eastAsia="方正小标宋简体"/>
                <w:color w:val="FF0000"/>
                <w:spacing w:val="-20"/>
                <w:w w:val="82"/>
                <w:sz w:val="62"/>
                <w:szCs w:val="62"/>
              </w:rPr>
            </w:pPr>
            <w:r>
              <w:rPr>
                <w:rFonts w:hint="eastAsia" w:eastAsia="方正小标宋简体"/>
                <w:color w:val="FF0000"/>
                <w:spacing w:val="-20"/>
                <w:w w:val="82"/>
                <w:sz w:val="62"/>
                <w:szCs w:val="62"/>
              </w:rPr>
              <w:t>中国人民银行成都分行营业管理部</w:t>
            </w:r>
          </w:p>
        </w:tc>
        <w:tc>
          <w:tcPr>
            <w:tcW w:w="1580" w:type="dxa"/>
            <w:vMerge w:val="continue"/>
            <w:noWrap/>
            <w:vAlign w:val="center"/>
          </w:tcPr>
          <w:p>
            <w:pPr>
              <w:spacing w:line="240" w:lineRule="auto"/>
              <w:jc w:val="center"/>
              <w:rPr>
                <w:rFonts w:eastAsia="方正小标宋简体"/>
                <w:color w:val="FF0000"/>
                <w:sz w:val="66"/>
                <w:szCs w:val="66"/>
              </w:rPr>
            </w:pPr>
          </w:p>
        </w:tc>
      </w:tr>
    </w:tbl>
    <w:p>
      <w:pPr>
        <w:jc w:val="center"/>
        <w:rPr>
          <w:rFonts w:eastAsia="方正仿宋_GBK"/>
        </w:rPr>
      </w:pPr>
    </w:p>
    <w:p>
      <w:pPr>
        <w:jc w:val="center"/>
        <w:rPr>
          <w:rFonts w:eastAsia="方正仿宋_GBK"/>
          <w:color w:val="000000"/>
        </w:rPr>
      </w:pPr>
      <w:r>
        <w:rPr>
          <w:rFonts w:eastAsia="方正仿宋_GBK"/>
          <w:color w:val="FF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1270" b="952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7+4+9YAAAAGAQAADwAAAAAAAAABACAAAAAiAAAAZHJzL2Rvd25yZXYueG1sUEsBAhQA&#10;FAAAAAgAh07iQPMuqDv0AQAA5wMAAA4AAAAAAAAAAQAgAAAAJQEAAGRycy9lMm9Eb2MueG1sUEsF&#10;BgAAAAAGAAYAWQEAAIsFAAAAAA==&#10;">
                <v:fill on="f" focussize="0,0"/>
                <v:stroke weight="1.5pt" color="#FF0000" joinstyle="round"/>
                <v:imagedata o:title=""/>
                <o:lock v:ext="edit" aspectratio="f"/>
              </v:line>
            </w:pict>
          </mc:Fallback>
        </mc:AlternateContent>
      </w:r>
      <w:r>
        <w:rPr>
          <w:rFonts w:eastAsia="方正仿宋_GBK"/>
        </w:rPr>
        <w:t>成财</w:t>
      </w:r>
      <w:r>
        <w:rPr>
          <w:rFonts w:hint="eastAsia" w:eastAsia="方正仿宋_GBK"/>
        </w:rPr>
        <w:t>采</w:t>
      </w:r>
      <w:r>
        <w:rPr>
          <w:rFonts w:eastAsia="方正仿宋_GBK"/>
        </w:rPr>
        <w:t>〔201</w:t>
      </w:r>
      <w:r>
        <w:rPr>
          <w:rFonts w:hint="eastAsia" w:eastAsia="方正仿宋_GBK"/>
        </w:rPr>
        <w:t>9</w:t>
      </w:r>
      <w:r>
        <w:rPr>
          <w:rFonts w:eastAsia="方正仿宋_GBK"/>
        </w:rPr>
        <w:t>〕</w:t>
      </w:r>
      <w:r>
        <w:rPr>
          <w:rFonts w:hint="eastAsia" w:eastAsia="方正仿宋_GBK"/>
        </w:rPr>
        <w:t>17</w:t>
      </w:r>
      <w:r>
        <w:rPr>
          <w:rFonts w:eastAsia="方正仿宋_GBK"/>
        </w:rPr>
        <w:t>号</w:t>
      </w:r>
    </w:p>
    <w:p>
      <w:pPr>
        <w:topLinePunct/>
        <w:jc w:val="center"/>
        <w:rPr>
          <w:rFonts w:ascii="方正小标宋_GBK" w:hAnsi="方正小标宋_GBK" w:eastAsia="方正小标宋_GBK"/>
        </w:rPr>
      </w:pPr>
    </w:p>
    <w:p>
      <w:pPr>
        <w:topLinePunct/>
        <w:jc w:val="center"/>
        <w:rPr>
          <w:rFonts w:ascii="方正小标宋_GBK" w:hAnsi="方正小标宋_GBK" w:eastAsia="方正小标宋_GBK"/>
          <w:spacing w:val="-18"/>
          <w:sz w:val="44"/>
          <w:szCs w:val="44"/>
        </w:rPr>
      </w:pPr>
      <w:r>
        <w:rPr>
          <w:rFonts w:hint="eastAsia" w:ascii="方正小标宋_GBK" w:hAnsi="方正小标宋_GBK" w:eastAsia="方正小标宋_GBK"/>
          <w:spacing w:val="-18"/>
          <w:sz w:val="44"/>
          <w:szCs w:val="44"/>
        </w:rPr>
        <w:t>成都市财政局  中国人民银行成都分行营业管理部</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关于印发《成都市中小企业政府采购信用融资</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暂行办法》和《成都市级支持中小企业</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政府采购信用融资实施方案》的通知</w:t>
      </w:r>
    </w:p>
    <w:p>
      <w:pPr>
        <w:jc w:val="center"/>
        <w:rPr>
          <w:rFonts w:eastAsia="方正仿宋_GBK"/>
        </w:rPr>
      </w:pPr>
    </w:p>
    <w:p>
      <w:pPr>
        <w:widowControl/>
        <w:adjustRightInd/>
        <w:snapToGrid/>
        <w:ind w:firstLine="480" w:firstLineChars="200"/>
        <w:rPr>
          <w:rFonts w:cs="宋体"/>
        </w:rPr>
      </w:pPr>
      <w:r>
        <w:rPr>
          <w:rFonts w:hint="eastAsia" w:cs="宋体"/>
        </w:rPr>
        <w:t>成都天府新区、高新区财政金融局，各区(市)县财政局，市级各部门、单位，各银行业金融机构：</w:t>
      </w:r>
    </w:p>
    <w:p>
      <w:pPr>
        <w:widowControl/>
        <w:adjustRightInd/>
        <w:snapToGrid/>
        <w:ind w:firstLine="480" w:firstLineChars="200"/>
        <w:rPr>
          <w:rFonts w:cs="宋体"/>
        </w:rPr>
      </w:pPr>
      <w:r>
        <w:rPr>
          <w:rFonts w:hint="eastAsia" w:cs="宋体"/>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rPr>
      </w:pPr>
      <w:r>
        <w:rPr>
          <w:rFonts w:hint="eastAsia" w:cs="宋体"/>
        </w:rPr>
        <w:t>一、高度重视、迅速行动</w:t>
      </w:r>
    </w:p>
    <w:p>
      <w:pPr>
        <w:widowControl/>
        <w:adjustRightInd/>
        <w:snapToGrid/>
        <w:ind w:firstLine="480" w:firstLineChars="200"/>
        <w:rPr>
          <w:rFonts w:cs="宋体"/>
        </w:rPr>
      </w:pPr>
      <w:r>
        <w:rPr>
          <w:rFonts w:hint="eastAsia" w:cs="宋体"/>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rPr>
      </w:pPr>
      <w:r>
        <w:rPr>
          <w:rFonts w:hint="eastAsia" w:cs="宋体"/>
        </w:rPr>
        <w:t>二、明确责任、压茬推进</w:t>
      </w:r>
    </w:p>
    <w:p>
      <w:pPr>
        <w:widowControl/>
        <w:adjustRightInd/>
        <w:snapToGrid/>
        <w:ind w:firstLine="480" w:firstLineChars="200"/>
        <w:rPr>
          <w:rFonts w:cs="宋体"/>
        </w:rPr>
      </w:pPr>
      <w:r>
        <w:rPr>
          <w:rFonts w:hint="eastAsia" w:cs="宋体"/>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rPr>
      </w:pPr>
      <w:r>
        <w:rPr>
          <w:rFonts w:hint="eastAsia" w:cs="宋体"/>
        </w:rPr>
        <w:t>三、优化服务、营造氛围</w:t>
      </w:r>
    </w:p>
    <w:p>
      <w:pPr>
        <w:widowControl/>
        <w:adjustRightInd/>
        <w:snapToGrid/>
        <w:ind w:firstLine="480" w:firstLineChars="200"/>
        <w:rPr>
          <w:rFonts w:cs="宋体"/>
        </w:rPr>
      </w:pPr>
      <w:r>
        <w:rPr>
          <w:rFonts w:hint="eastAsia" w:cs="宋体"/>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rPr>
      </w:pPr>
    </w:p>
    <w:p>
      <w:pPr>
        <w:widowControl/>
        <w:adjustRightInd/>
        <w:snapToGrid/>
        <w:ind w:firstLine="480" w:firstLineChars="200"/>
        <w:rPr>
          <w:rFonts w:cs="宋体"/>
        </w:rPr>
      </w:pPr>
      <w:r>
        <w:rPr>
          <w:rFonts w:hint="eastAsia" w:cs="宋体"/>
        </w:rPr>
        <w:t xml:space="preserve">附件：1．成都市中小企业政府采购信用融资暂行办法 </w:t>
      </w:r>
    </w:p>
    <w:p>
      <w:pPr>
        <w:widowControl/>
        <w:adjustRightInd/>
        <w:snapToGrid/>
        <w:ind w:firstLine="480" w:firstLineChars="200"/>
        <w:rPr>
          <w:rFonts w:cs="宋体"/>
        </w:rPr>
      </w:pPr>
      <w:r>
        <w:rPr>
          <w:rFonts w:hint="eastAsia" w:cs="宋体"/>
        </w:rPr>
        <w:t>2．成都市级支持中小企业政府采购信用融资实施方案</w:t>
      </w:r>
    </w:p>
    <w:p>
      <w:pPr>
        <w:pStyle w:val="12"/>
        <w:widowControl/>
        <w:topLinePunct/>
        <w:adjustRightInd/>
        <w:snapToGrid/>
        <w:ind w:firstLine="480" w:firstLineChars="200"/>
        <w:rPr>
          <w:rFonts w:ascii="宋体" w:eastAsia="宋体" w:cs="宋体"/>
          <w:sz w:val="24"/>
        </w:rPr>
      </w:pPr>
    </w:p>
    <w:p>
      <w:pPr>
        <w:pStyle w:val="12"/>
        <w:widowControl/>
        <w:topLinePunct/>
        <w:adjustRightInd/>
        <w:snapToGrid/>
        <w:ind w:firstLine="480" w:firstLineChars="200"/>
        <w:rPr>
          <w:rFonts w:ascii="宋体" w:eastAsia="宋体" w:cs="宋体"/>
          <w:sz w:val="24"/>
        </w:rPr>
      </w:pPr>
    </w:p>
    <w:p>
      <w:pPr>
        <w:pStyle w:val="12"/>
        <w:widowControl/>
        <w:topLinePunct/>
        <w:adjustRightInd/>
        <w:snapToGrid/>
        <w:ind w:firstLine="480" w:firstLineChars="200"/>
        <w:rPr>
          <w:rFonts w:ascii="宋体" w:eastAsia="宋体" w:cs="宋体"/>
          <w:sz w:val="24"/>
        </w:rPr>
      </w:pPr>
    </w:p>
    <w:p>
      <w:pPr>
        <w:widowControl/>
        <w:tabs>
          <w:tab w:val="left" w:pos="7584"/>
          <w:tab w:val="clear" w:pos="0"/>
        </w:tabs>
        <w:topLinePunct/>
        <w:adjustRightInd/>
        <w:snapToGrid/>
        <w:ind w:firstLine="480" w:firstLineChars="200"/>
        <w:jc w:val="right"/>
        <w:rPr>
          <w:rFonts w:cs="宋体"/>
        </w:rPr>
      </w:pPr>
      <w:r>
        <w:rPr>
          <w:rFonts w:hint="eastAsia" w:cs="宋体"/>
        </w:rPr>
        <w:t>成都市财政局         中国人民银行成都分行营业管理部</w:t>
      </w:r>
    </w:p>
    <w:p>
      <w:pPr>
        <w:widowControl/>
        <w:tabs>
          <w:tab w:val="left" w:pos="7584"/>
          <w:tab w:val="clear" w:pos="0"/>
        </w:tabs>
        <w:topLinePunct/>
        <w:adjustRightInd/>
        <w:snapToGrid/>
        <w:ind w:firstLine="480" w:firstLineChars="200"/>
        <w:jc w:val="right"/>
        <w:rPr>
          <w:rFonts w:cs="宋体"/>
        </w:rPr>
      </w:pPr>
      <w:r>
        <w:rPr>
          <w:rFonts w:hint="eastAsia" w:cs="宋体"/>
        </w:rPr>
        <w:t>2019年2月26日</w:t>
      </w:r>
    </w:p>
    <w:p>
      <w:pPr>
        <w:rPr>
          <w:rFonts w:cs="宋体"/>
        </w:rPr>
      </w:pPr>
      <w:r>
        <w:rPr>
          <w:rFonts w:hint="eastAsia" w:cs="宋体"/>
        </w:rPr>
        <w:br w:type="page"/>
      </w:r>
    </w:p>
    <w:p>
      <w:pPr>
        <w:topLinePunct/>
        <w:adjustRightInd/>
        <w:rPr>
          <w:rFonts w:cs="宋体"/>
        </w:rPr>
      </w:pPr>
      <w:r>
        <w:rPr>
          <w:rFonts w:hint="eastAsia" w:cs="宋体"/>
        </w:rPr>
        <w:t>附件1</w:t>
      </w:r>
    </w:p>
    <w:p>
      <w:pPr>
        <w:topLinePunct/>
        <w:adjustRightInd/>
        <w:rPr>
          <w:rFonts w:cs="宋体"/>
        </w:rPr>
      </w:pPr>
    </w:p>
    <w:p>
      <w:pPr>
        <w:topLinePunct/>
        <w:adjustRightInd/>
        <w:jc w:val="center"/>
        <w:rPr>
          <w:rFonts w:cs="宋体"/>
        </w:rPr>
      </w:pPr>
      <w:r>
        <w:rPr>
          <w:rFonts w:hint="eastAsia" w:cs="宋体"/>
        </w:rPr>
        <w:t>成都市中小企业</w:t>
      </w:r>
      <w:r>
        <w:rPr>
          <w:rFonts w:hint="eastAsia" w:cs="宋体"/>
          <w:color w:val="000000"/>
        </w:rPr>
        <w:t>政府采购信用融资暂行</w:t>
      </w:r>
      <w:r>
        <w:rPr>
          <w:rFonts w:hint="eastAsia" w:cs="宋体"/>
        </w:rPr>
        <w:t>办法</w:t>
      </w:r>
    </w:p>
    <w:p>
      <w:pPr>
        <w:topLinePunct/>
        <w:adjustRightInd/>
        <w:jc w:val="center"/>
        <w:rPr>
          <w:rFonts w:cs="宋体"/>
        </w:rPr>
      </w:pPr>
      <w:r>
        <w:rPr>
          <w:rFonts w:hint="eastAsia" w:cs="宋体"/>
        </w:rPr>
        <w:t>第一章  总  则</w:t>
      </w:r>
    </w:p>
    <w:p>
      <w:pPr>
        <w:topLinePunct/>
        <w:adjustRightInd/>
        <w:ind w:firstLine="480" w:firstLineChars="200"/>
        <w:rPr>
          <w:rFonts w:cs="宋体"/>
        </w:rPr>
      </w:pPr>
      <w:r>
        <w:rPr>
          <w:rFonts w:hint="eastAsia" w:cs="宋体"/>
        </w:rPr>
        <w:t>第一条(政策依据)</w:t>
      </w:r>
    </w:p>
    <w:p>
      <w:pPr>
        <w:topLinePunct/>
        <w:adjustRightInd/>
        <w:ind w:firstLine="480" w:firstLineChars="200"/>
        <w:rPr>
          <w:rFonts w:cs="宋体"/>
        </w:rPr>
      </w:pPr>
      <w:r>
        <w:rPr>
          <w:rFonts w:hint="eastAsia" w:cs="宋体"/>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rPr>
      </w:pPr>
      <w:r>
        <w:rPr>
          <w:rFonts w:hint="eastAsia" w:cs="宋体"/>
        </w:rPr>
        <w:t>第二条(适用范围)</w:t>
      </w:r>
    </w:p>
    <w:p>
      <w:pPr>
        <w:topLinePunct/>
        <w:adjustRightInd/>
        <w:ind w:firstLine="480" w:firstLineChars="200"/>
        <w:rPr>
          <w:rFonts w:cs="宋体"/>
        </w:rPr>
      </w:pPr>
      <w:r>
        <w:rPr>
          <w:rFonts w:hint="eastAsia" w:cs="宋体"/>
        </w:rPr>
        <w:t>成都市行政区域内政府采购信用融资适用本办法。</w:t>
      </w:r>
    </w:p>
    <w:p>
      <w:pPr>
        <w:topLinePunct/>
        <w:adjustRightInd/>
        <w:ind w:firstLine="480" w:firstLineChars="200"/>
        <w:rPr>
          <w:rFonts w:cs="宋体"/>
        </w:rPr>
      </w:pPr>
      <w:r>
        <w:rPr>
          <w:rFonts w:hint="eastAsia" w:cs="宋体"/>
        </w:rPr>
        <w:t>第三条(术语定义)</w:t>
      </w:r>
    </w:p>
    <w:p>
      <w:pPr>
        <w:topLinePunct/>
        <w:adjustRightInd/>
        <w:ind w:firstLine="480" w:firstLineChars="200"/>
        <w:rPr>
          <w:rFonts w:cs="宋体"/>
        </w:rPr>
      </w:pPr>
      <w:r>
        <w:rPr>
          <w:rFonts w:hint="eastAsia" w:cs="宋体"/>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rPr>
      </w:pPr>
      <w:r>
        <w:rPr>
          <w:rFonts w:hint="eastAsia" w:cs="宋体"/>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rPr>
      </w:pPr>
      <w:r>
        <w:rPr>
          <w:rFonts w:hint="eastAsia" w:cs="宋体"/>
        </w:rPr>
        <w:t>本办法所称中小企业，包括中型、小型及微型企业，其划型标准按照国家相关规定执行。</w:t>
      </w:r>
    </w:p>
    <w:p>
      <w:pPr>
        <w:topLinePunct/>
        <w:adjustRightInd/>
        <w:ind w:firstLine="480" w:firstLineChars="200"/>
        <w:rPr>
          <w:rFonts w:cs="宋体"/>
        </w:rPr>
      </w:pPr>
      <w:r>
        <w:rPr>
          <w:rFonts w:hint="eastAsia" w:cs="宋体"/>
        </w:rPr>
        <w:t>第四条(基本原则)</w:t>
      </w:r>
    </w:p>
    <w:p>
      <w:pPr>
        <w:topLinePunct/>
        <w:adjustRightInd/>
        <w:ind w:firstLine="480" w:firstLineChars="200"/>
        <w:rPr>
          <w:rFonts w:cs="宋体"/>
        </w:rPr>
      </w:pPr>
      <w:r>
        <w:rPr>
          <w:rFonts w:hint="eastAsia" w:cs="宋体"/>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rPr>
      </w:pPr>
      <w:r>
        <w:rPr>
          <w:rFonts w:hint="eastAsia" w:cs="宋体"/>
        </w:rPr>
        <w:t>第二章  融资优惠</w:t>
      </w:r>
    </w:p>
    <w:p>
      <w:pPr>
        <w:topLinePunct/>
        <w:adjustRightInd/>
        <w:ind w:firstLine="480" w:firstLineChars="200"/>
        <w:rPr>
          <w:rFonts w:cs="宋体"/>
        </w:rPr>
      </w:pPr>
      <w:r>
        <w:rPr>
          <w:rFonts w:hint="eastAsia" w:cs="宋体"/>
        </w:rPr>
        <w:t>第五条(融资方式)</w:t>
      </w:r>
    </w:p>
    <w:p>
      <w:pPr>
        <w:topLinePunct/>
        <w:adjustRightInd/>
        <w:ind w:firstLine="480" w:firstLineChars="200"/>
        <w:rPr>
          <w:rFonts w:cs="宋体"/>
        </w:rPr>
      </w:pPr>
      <w:r>
        <w:rPr>
          <w:rFonts w:hint="eastAsia" w:cs="宋体"/>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rPr>
      </w:pPr>
      <w:r>
        <w:rPr>
          <w:rFonts w:hint="eastAsia" w:cs="宋体"/>
        </w:rPr>
        <w:t>第六条(融资额度)</w:t>
      </w:r>
    </w:p>
    <w:p>
      <w:pPr>
        <w:topLinePunct/>
        <w:adjustRightInd/>
        <w:ind w:firstLine="480" w:firstLineChars="200"/>
        <w:rPr>
          <w:rFonts w:cs="宋体"/>
        </w:rPr>
      </w:pPr>
      <w:r>
        <w:rPr>
          <w:rFonts w:hint="eastAsia" w:cs="宋体"/>
        </w:rPr>
        <w:t>融资额度原则上不超过政府采购合同金额。</w:t>
      </w:r>
    </w:p>
    <w:p>
      <w:pPr>
        <w:topLinePunct/>
        <w:adjustRightInd/>
        <w:ind w:firstLine="480" w:firstLineChars="200"/>
        <w:rPr>
          <w:rFonts w:cs="宋体"/>
        </w:rPr>
      </w:pPr>
      <w:r>
        <w:rPr>
          <w:rFonts w:hint="eastAsia" w:cs="宋体"/>
        </w:rPr>
        <w:t>第七条(融资利率)</w:t>
      </w:r>
    </w:p>
    <w:p>
      <w:pPr>
        <w:topLinePunct/>
        <w:adjustRightInd/>
        <w:ind w:firstLine="480" w:firstLineChars="200"/>
        <w:rPr>
          <w:rFonts w:cs="宋体"/>
        </w:rPr>
      </w:pPr>
      <w:r>
        <w:rPr>
          <w:rFonts w:hint="eastAsia" w:cs="宋体"/>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rPr>
      </w:pPr>
      <w:r>
        <w:rPr>
          <w:rFonts w:hint="eastAsia" w:cs="宋体"/>
        </w:rPr>
        <w:t>第八条(融资期限)</w:t>
      </w:r>
    </w:p>
    <w:p>
      <w:pPr>
        <w:topLinePunct/>
        <w:adjustRightInd/>
        <w:ind w:firstLine="480" w:firstLineChars="200"/>
        <w:rPr>
          <w:rFonts w:cs="宋体"/>
        </w:rPr>
      </w:pPr>
      <w:r>
        <w:rPr>
          <w:rFonts w:hint="eastAsia" w:cs="宋体"/>
        </w:rPr>
        <w:t>融资期限原则上与政府采购合同履行期限一致。</w:t>
      </w:r>
    </w:p>
    <w:p>
      <w:pPr>
        <w:topLinePunct/>
        <w:adjustRightInd/>
        <w:ind w:firstLine="480" w:firstLineChars="200"/>
        <w:rPr>
          <w:rFonts w:cs="宋体"/>
        </w:rPr>
      </w:pPr>
      <w:r>
        <w:rPr>
          <w:rFonts w:hint="eastAsia" w:cs="宋体"/>
        </w:rPr>
        <w:t>第九条(融资效率)</w:t>
      </w:r>
    </w:p>
    <w:p>
      <w:pPr>
        <w:topLinePunct/>
        <w:adjustRightInd/>
        <w:ind w:firstLine="480" w:firstLineChars="200"/>
        <w:rPr>
          <w:rFonts w:cs="宋体"/>
        </w:rPr>
      </w:pPr>
      <w:r>
        <w:rPr>
          <w:rFonts w:hint="eastAsia" w:cs="宋体"/>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rPr>
      </w:pPr>
      <w:r>
        <w:rPr>
          <w:rFonts w:hint="eastAsia" w:cs="宋体"/>
        </w:rPr>
        <w:t>第十条(融资业务升级)</w:t>
      </w:r>
    </w:p>
    <w:p>
      <w:pPr>
        <w:topLinePunct/>
        <w:adjustRightInd/>
        <w:ind w:firstLine="480" w:firstLineChars="200"/>
        <w:rPr>
          <w:rFonts w:cs="宋体"/>
        </w:rPr>
      </w:pPr>
      <w:r>
        <w:rPr>
          <w:rFonts w:hint="eastAsia" w:cs="宋体"/>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rPr>
      </w:pPr>
      <w:r>
        <w:rPr>
          <w:rFonts w:hint="eastAsia" w:cs="宋体"/>
        </w:rPr>
        <w:t>第十一条(贷款风险补贴)</w:t>
      </w:r>
    </w:p>
    <w:p>
      <w:pPr>
        <w:topLinePunct/>
        <w:adjustRightInd/>
        <w:ind w:firstLine="480" w:firstLineChars="200"/>
        <w:rPr>
          <w:rFonts w:cs="宋体"/>
        </w:rPr>
      </w:pPr>
      <w:r>
        <w:rPr>
          <w:rFonts w:hint="eastAsia" w:cs="宋体"/>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rPr>
      </w:pPr>
      <w:r>
        <w:rPr>
          <w:rFonts w:hint="eastAsia" w:cs="宋体"/>
        </w:rPr>
        <w:t>第三章  融资流程</w:t>
      </w:r>
    </w:p>
    <w:p>
      <w:pPr>
        <w:topLinePunct/>
        <w:adjustRightInd/>
        <w:ind w:firstLine="480" w:firstLineChars="200"/>
        <w:rPr>
          <w:rFonts w:cs="宋体"/>
        </w:rPr>
      </w:pPr>
      <w:r>
        <w:rPr>
          <w:rFonts w:hint="eastAsia" w:cs="宋体"/>
        </w:rPr>
        <w:t>第十二条(融资流程)</w:t>
      </w:r>
    </w:p>
    <w:p>
      <w:pPr>
        <w:topLinePunct/>
        <w:adjustRightInd/>
        <w:ind w:firstLine="480" w:firstLineChars="200"/>
        <w:rPr>
          <w:rFonts w:cs="宋体"/>
        </w:rPr>
      </w:pPr>
      <w:r>
        <w:rPr>
          <w:rFonts w:hint="eastAsia" w:cs="宋体"/>
        </w:rPr>
        <w:t>(一)信息发布。采购人应当在发布的采购公告和采购文件中载明采购项目可提供信用融资的信息。</w:t>
      </w:r>
    </w:p>
    <w:p>
      <w:pPr>
        <w:topLinePunct/>
        <w:adjustRightInd/>
        <w:ind w:firstLine="480" w:firstLineChars="200"/>
        <w:rPr>
          <w:rFonts w:cs="宋体"/>
        </w:rPr>
      </w:pPr>
      <w:r>
        <w:rPr>
          <w:rFonts w:hint="eastAsia" w:cs="宋体"/>
        </w:rPr>
        <w:t>(二)融资申请。有融资需求的供应商自主选择提供政府采购信用融资服务的融资机构及产品，并按要求提供申请资料。</w:t>
      </w:r>
    </w:p>
    <w:p>
      <w:pPr>
        <w:topLinePunct/>
        <w:adjustRightInd/>
        <w:ind w:firstLine="480" w:firstLineChars="200"/>
        <w:rPr>
          <w:rFonts w:cs="宋体"/>
        </w:rPr>
      </w:pPr>
      <w:r>
        <w:rPr>
          <w:rFonts w:hint="eastAsia" w:cs="宋体"/>
        </w:rPr>
        <w:t>(三)融资审查。融资机构对供应商的融资申请进行审查，并向供应商反馈审查及融资额度等情况。</w:t>
      </w:r>
    </w:p>
    <w:p>
      <w:pPr>
        <w:topLinePunct/>
        <w:adjustRightInd/>
        <w:ind w:firstLine="480" w:firstLineChars="200"/>
        <w:rPr>
          <w:rFonts w:cs="宋体"/>
        </w:rPr>
      </w:pPr>
      <w:r>
        <w:rPr>
          <w:rFonts w:hint="eastAsia" w:cs="宋体"/>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rPr>
      </w:pPr>
      <w:r>
        <w:rPr>
          <w:rFonts w:hint="eastAsia" w:cs="宋体"/>
        </w:rPr>
        <w:t>(五)放款。融资机构对政府采购合同及融资相关信息进行确认，并向供应商提供相应的融资产品。</w:t>
      </w:r>
    </w:p>
    <w:p>
      <w:pPr>
        <w:topLinePunct/>
        <w:adjustRightInd/>
        <w:ind w:firstLine="480" w:firstLineChars="200"/>
        <w:rPr>
          <w:rFonts w:cs="宋体"/>
        </w:rPr>
      </w:pPr>
      <w:r>
        <w:rPr>
          <w:rFonts w:hint="eastAsia" w:cs="宋体"/>
        </w:rPr>
        <w:t>(六)贷款归还。采购人按相关规定和合同约定将合同资金支付至约定的唯一收款账户。</w:t>
      </w:r>
    </w:p>
    <w:p>
      <w:pPr>
        <w:topLinePunct/>
        <w:adjustRightInd/>
        <w:ind w:firstLine="480" w:firstLineChars="200"/>
        <w:jc w:val="center"/>
        <w:rPr>
          <w:rFonts w:cs="宋体"/>
        </w:rPr>
      </w:pPr>
      <w:r>
        <w:rPr>
          <w:rFonts w:hint="eastAsia" w:cs="宋体"/>
        </w:rPr>
        <w:t>第四章  职责分工</w:t>
      </w:r>
    </w:p>
    <w:p>
      <w:pPr>
        <w:topLinePunct/>
        <w:adjustRightInd/>
        <w:ind w:firstLine="480" w:firstLineChars="200"/>
        <w:rPr>
          <w:rFonts w:cs="宋体"/>
        </w:rPr>
      </w:pPr>
      <w:r>
        <w:rPr>
          <w:rFonts w:hint="eastAsia" w:cs="宋体"/>
        </w:rPr>
        <w:t>第十三条(财政部门职责)</w:t>
      </w:r>
    </w:p>
    <w:p>
      <w:pPr>
        <w:topLinePunct/>
        <w:adjustRightInd/>
        <w:ind w:firstLine="480" w:firstLineChars="200"/>
        <w:rPr>
          <w:rFonts w:cs="宋体"/>
        </w:rPr>
      </w:pPr>
      <w:r>
        <w:rPr>
          <w:rFonts w:hint="eastAsia" w:cs="宋体"/>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rPr>
      </w:pPr>
      <w:r>
        <w:rPr>
          <w:rFonts w:hint="eastAsia" w:cs="宋体"/>
        </w:rPr>
        <w:t>第十四条(融资机构主管部门职责)</w:t>
      </w:r>
    </w:p>
    <w:p>
      <w:pPr>
        <w:topLinePunct/>
        <w:adjustRightInd/>
        <w:ind w:firstLine="480" w:firstLineChars="200"/>
        <w:rPr>
          <w:rFonts w:cs="宋体"/>
        </w:rPr>
      </w:pPr>
      <w:r>
        <w:rPr>
          <w:rFonts w:hint="eastAsia" w:cs="宋体"/>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rPr>
      </w:pPr>
      <w:r>
        <w:rPr>
          <w:rFonts w:hint="eastAsia" w:cs="宋体"/>
        </w:rPr>
        <w:t>第十五条(采购人职责)</w:t>
      </w:r>
    </w:p>
    <w:p>
      <w:pPr>
        <w:topLinePunct/>
        <w:adjustRightInd/>
        <w:ind w:firstLine="480" w:firstLineChars="200"/>
        <w:rPr>
          <w:rFonts w:cs="宋体"/>
        </w:rPr>
      </w:pPr>
      <w:r>
        <w:rPr>
          <w:rFonts w:hint="eastAsia" w:cs="宋体"/>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rPr>
      </w:pPr>
      <w:r>
        <w:rPr>
          <w:rFonts w:hint="eastAsia" w:cs="宋体"/>
        </w:rPr>
        <w:t>第十六条(融资机构职责)</w:t>
      </w:r>
    </w:p>
    <w:p>
      <w:pPr>
        <w:topLinePunct/>
        <w:adjustRightInd/>
        <w:ind w:firstLine="480" w:firstLineChars="200"/>
        <w:rPr>
          <w:rFonts w:cs="宋体"/>
        </w:rPr>
      </w:pPr>
      <w:r>
        <w:rPr>
          <w:rFonts w:hint="eastAsia" w:cs="宋体"/>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rPr>
      </w:pPr>
      <w:r>
        <w:rPr>
          <w:rFonts w:hint="eastAsia" w:cs="宋体"/>
        </w:rPr>
        <w:t>第十七条(供应商职责)</w:t>
      </w:r>
    </w:p>
    <w:p>
      <w:pPr>
        <w:topLinePunct/>
        <w:adjustRightInd/>
        <w:ind w:firstLine="480" w:firstLineChars="200"/>
        <w:rPr>
          <w:rFonts w:cs="宋体"/>
        </w:rPr>
      </w:pPr>
      <w:r>
        <w:rPr>
          <w:rFonts w:hint="eastAsia" w:cs="宋体"/>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rPr>
      </w:pPr>
      <w:r>
        <w:rPr>
          <w:rFonts w:hint="eastAsia" w:cs="宋体"/>
        </w:rPr>
        <w:t>第五章 监督管理</w:t>
      </w:r>
    </w:p>
    <w:p>
      <w:pPr>
        <w:topLinePunct/>
        <w:adjustRightInd/>
        <w:ind w:firstLine="480" w:firstLineChars="200"/>
        <w:rPr>
          <w:rFonts w:cs="宋体"/>
        </w:rPr>
      </w:pPr>
      <w:r>
        <w:rPr>
          <w:rFonts w:hint="eastAsia" w:cs="宋体"/>
        </w:rPr>
        <w:t>第十八条(采购人监管)</w:t>
      </w:r>
    </w:p>
    <w:p>
      <w:pPr>
        <w:topLinePunct/>
        <w:adjustRightInd/>
        <w:ind w:firstLine="480" w:firstLineChars="200"/>
        <w:rPr>
          <w:rFonts w:cs="宋体"/>
        </w:rPr>
      </w:pPr>
      <w:r>
        <w:rPr>
          <w:rFonts w:hint="eastAsia" w:cs="宋体"/>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rPr>
      </w:pPr>
      <w:r>
        <w:rPr>
          <w:rFonts w:hint="eastAsia" w:cs="宋体"/>
        </w:rPr>
        <w:t>第十九条(融资机构监管)</w:t>
      </w:r>
    </w:p>
    <w:p>
      <w:pPr>
        <w:topLinePunct/>
        <w:adjustRightInd/>
        <w:ind w:firstLine="480" w:firstLineChars="200"/>
        <w:rPr>
          <w:rFonts w:cs="宋体"/>
        </w:rPr>
      </w:pPr>
      <w:r>
        <w:rPr>
          <w:rFonts w:hint="eastAsia" w:cs="宋体"/>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rPr>
      </w:pPr>
      <w:r>
        <w:rPr>
          <w:rFonts w:hint="eastAsia" w:cs="宋体"/>
        </w:rPr>
        <w:t>第二十条(供应商监管)</w:t>
      </w:r>
    </w:p>
    <w:p>
      <w:pPr>
        <w:topLinePunct/>
        <w:adjustRightInd/>
        <w:ind w:firstLine="480" w:firstLineChars="200"/>
        <w:rPr>
          <w:rFonts w:cs="宋体"/>
        </w:rPr>
      </w:pPr>
      <w:r>
        <w:rPr>
          <w:rFonts w:hint="eastAsia" w:cs="宋体"/>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rPr>
      </w:pPr>
      <w:r>
        <w:rPr>
          <w:rFonts w:hint="eastAsia" w:cs="宋体"/>
        </w:rPr>
        <w:t>第二十一条</w:t>
      </w:r>
      <w:bookmarkStart w:id="1300" w:name="BM24558847_25425864_3"/>
      <w:bookmarkEnd w:id="1300"/>
      <w:r>
        <w:rPr>
          <w:rFonts w:hint="eastAsia" w:cs="宋体"/>
        </w:rPr>
        <w:t>(相关单位及工作人员监管)</w:t>
      </w:r>
    </w:p>
    <w:p>
      <w:pPr>
        <w:topLinePunct/>
        <w:adjustRightInd/>
        <w:ind w:firstLine="480" w:firstLineChars="200"/>
        <w:rPr>
          <w:rFonts w:cs="宋体"/>
        </w:rPr>
      </w:pPr>
      <w:r>
        <w:rPr>
          <w:rFonts w:hint="eastAsia" w:cs="宋体"/>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rPr>
      </w:pPr>
      <w:r>
        <w:rPr>
          <w:rFonts w:hint="eastAsia" w:cs="宋体"/>
        </w:rPr>
        <w:t>第六章  附  则</w:t>
      </w:r>
    </w:p>
    <w:p>
      <w:pPr>
        <w:topLinePunct/>
        <w:adjustRightInd/>
        <w:ind w:firstLine="480" w:firstLineChars="200"/>
        <w:rPr>
          <w:rFonts w:cs="宋体"/>
        </w:rPr>
      </w:pPr>
      <w:r>
        <w:rPr>
          <w:rFonts w:hint="eastAsia" w:cs="宋体"/>
        </w:rPr>
        <w:t>第二十二条(解释相关)</w:t>
      </w:r>
    </w:p>
    <w:p>
      <w:pPr>
        <w:topLinePunct/>
        <w:adjustRightInd/>
        <w:ind w:firstLine="480" w:firstLineChars="200"/>
        <w:rPr>
          <w:rFonts w:cs="宋体"/>
        </w:rPr>
      </w:pPr>
      <w:r>
        <w:rPr>
          <w:rFonts w:hint="eastAsia" w:cs="宋体"/>
        </w:rPr>
        <w:t>本办法由市财政局会同中国人民银行成都分行营业管理部负责解释。</w:t>
      </w:r>
    </w:p>
    <w:p>
      <w:pPr>
        <w:topLinePunct/>
        <w:adjustRightInd/>
        <w:ind w:firstLine="480" w:firstLineChars="200"/>
        <w:rPr>
          <w:rFonts w:cs="宋体"/>
        </w:rPr>
      </w:pPr>
      <w:r>
        <w:rPr>
          <w:rFonts w:hint="eastAsia" w:cs="宋体"/>
        </w:rPr>
        <w:t>第二十三条(施行相关)</w:t>
      </w:r>
    </w:p>
    <w:p>
      <w:pPr>
        <w:topLinePunct/>
        <w:adjustRightInd/>
        <w:ind w:firstLine="480" w:firstLineChars="200"/>
        <w:rPr>
          <w:rFonts w:cs="宋体"/>
        </w:rPr>
      </w:pPr>
      <w:r>
        <w:rPr>
          <w:rFonts w:hint="eastAsia" w:cs="宋体"/>
        </w:rPr>
        <w:t>本办法自印发之日起施行。市财政局、市金融办2013年12月9日印发的《关于开展中小企业政府采购信用担保及融资试点工作的通知》(成财采〔2013〕200号)同时废止。</w:t>
      </w:r>
    </w:p>
    <w:p>
      <w:pPr>
        <w:rPr>
          <w:rFonts w:cs="宋体"/>
        </w:rPr>
      </w:pPr>
      <w:r>
        <w:rPr>
          <w:rFonts w:hint="eastAsia" w:cs="宋体"/>
        </w:rPr>
        <w:br w:type="page"/>
      </w:r>
    </w:p>
    <w:p>
      <w:pPr>
        <w:topLinePunct/>
        <w:adjustRightInd/>
        <w:rPr>
          <w:rFonts w:cs="宋体"/>
        </w:rPr>
      </w:pPr>
      <w:r>
        <w:rPr>
          <w:rFonts w:hint="eastAsia" w:cs="宋体"/>
        </w:rPr>
        <w:t>附件2</w:t>
      </w:r>
    </w:p>
    <w:p>
      <w:pPr>
        <w:topLinePunct/>
        <w:adjustRightInd/>
        <w:ind w:firstLine="480" w:firstLineChars="200"/>
        <w:rPr>
          <w:rFonts w:cs="宋体"/>
        </w:rPr>
      </w:pPr>
    </w:p>
    <w:p>
      <w:pPr>
        <w:topLinePunct/>
        <w:adjustRightInd/>
        <w:jc w:val="center"/>
        <w:rPr>
          <w:rFonts w:cs="宋体"/>
        </w:rPr>
      </w:pPr>
      <w:r>
        <w:rPr>
          <w:rFonts w:hint="eastAsia" w:cs="宋体"/>
        </w:rPr>
        <w:t>成都市级支持中小企业政府采购</w:t>
      </w:r>
    </w:p>
    <w:p>
      <w:pPr>
        <w:topLinePunct/>
        <w:adjustRightInd/>
        <w:jc w:val="center"/>
        <w:rPr>
          <w:rFonts w:cs="宋体"/>
        </w:rPr>
      </w:pPr>
      <w:r>
        <w:rPr>
          <w:rFonts w:hint="eastAsia" w:cs="宋体"/>
        </w:rPr>
        <w:t>信用融资实施方案</w:t>
      </w:r>
    </w:p>
    <w:p>
      <w:pPr>
        <w:topLinePunct/>
        <w:adjustRightInd/>
        <w:ind w:firstLine="480" w:firstLineChars="200"/>
        <w:rPr>
          <w:rFonts w:cs="宋体"/>
        </w:rPr>
      </w:pPr>
    </w:p>
    <w:p>
      <w:pPr>
        <w:topLinePunct/>
        <w:adjustRightInd/>
        <w:ind w:firstLine="480" w:firstLineChars="200"/>
        <w:rPr>
          <w:rFonts w:cs="宋体"/>
        </w:rPr>
      </w:pPr>
      <w:r>
        <w:rPr>
          <w:rFonts w:hint="eastAsia" w:cs="宋体"/>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rPr>
      </w:pPr>
      <w:r>
        <w:rPr>
          <w:rFonts w:hint="eastAsia" w:cs="宋体"/>
        </w:rPr>
        <w:t>一、目标任务</w:t>
      </w:r>
    </w:p>
    <w:p>
      <w:pPr>
        <w:topLinePunct/>
        <w:adjustRightInd/>
        <w:ind w:firstLine="480" w:firstLineChars="200"/>
        <w:rPr>
          <w:rFonts w:cs="宋体"/>
        </w:rPr>
      </w:pPr>
      <w:r>
        <w:rPr>
          <w:rFonts w:hint="eastAsia" w:cs="宋体"/>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rPr>
      </w:pPr>
      <w:r>
        <w:rPr>
          <w:rFonts w:hint="eastAsia" w:cs="宋体"/>
        </w:rPr>
        <w:t>二、适用范围</w:t>
      </w:r>
    </w:p>
    <w:p>
      <w:pPr>
        <w:topLinePunct/>
        <w:adjustRightInd/>
        <w:ind w:firstLine="480" w:firstLineChars="200"/>
        <w:rPr>
          <w:rFonts w:cs="宋体"/>
        </w:rPr>
      </w:pPr>
      <w:r>
        <w:rPr>
          <w:rFonts w:hint="eastAsia" w:cs="宋体"/>
        </w:rPr>
        <w:t>本《实施方案》适用于成都市本级政府采购信用融资工作。</w:t>
      </w:r>
    </w:p>
    <w:p>
      <w:pPr>
        <w:topLinePunct/>
        <w:adjustRightInd/>
        <w:ind w:firstLine="480" w:firstLineChars="200"/>
        <w:rPr>
          <w:rFonts w:cs="宋体"/>
        </w:rPr>
      </w:pPr>
      <w:r>
        <w:rPr>
          <w:rFonts w:hint="eastAsia" w:cs="宋体"/>
        </w:rPr>
        <w:t xml:space="preserve">三、基本原则 </w:t>
      </w:r>
    </w:p>
    <w:p>
      <w:pPr>
        <w:topLinePunct/>
        <w:adjustRightInd/>
        <w:ind w:firstLine="480" w:firstLineChars="200"/>
        <w:rPr>
          <w:rFonts w:cs="宋体"/>
        </w:rPr>
      </w:pPr>
      <w:r>
        <w:rPr>
          <w:rFonts w:hint="eastAsia" w:cs="宋体"/>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rPr>
      </w:pPr>
      <w:r>
        <w:rPr>
          <w:rFonts w:hint="eastAsia" w:cs="宋体"/>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rPr>
      </w:pPr>
      <w:r>
        <w:rPr>
          <w:rFonts w:hint="eastAsia" w:cs="宋体"/>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rPr>
      </w:pPr>
      <w:r>
        <w:rPr>
          <w:rFonts w:hint="eastAsia" w:cs="宋体"/>
        </w:rPr>
        <w:t>四、组织实施</w:t>
      </w:r>
    </w:p>
    <w:p>
      <w:pPr>
        <w:topLinePunct/>
        <w:adjustRightInd/>
        <w:ind w:firstLine="480" w:firstLineChars="200"/>
        <w:rPr>
          <w:rFonts w:cs="宋体"/>
        </w:rPr>
      </w:pPr>
      <w:r>
        <w:rPr>
          <w:rFonts w:hint="eastAsia" w:cs="宋体"/>
        </w:rPr>
        <w:t>(一)宣传动员</w:t>
      </w:r>
    </w:p>
    <w:p>
      <w:pPr>
        <w:topLinePunct/>
        <w:adjustRightInd/>
        <w:ind w:firstLine="480" w:firstLineChars="200"/>
        <w:rPr>
          <w:rFonts w:cs="宋体"/>
          <w:color w:val="000000"/>
        </w:rPr>
      </w:pPr>
      <w:r>
        <w:rPr>
          <w:rFonts w:hint="eastAsia" w:cs="宋体"/>
        </w:rPr>
        <w:t>相关部门和单位采取多种方式积极宣传《暂行办法》和《实</w:t>
      </w:r>
      <w:r>
        <w:rPr>
          <w:rFonts w:hint="eastAsia" w:cs="宋体"/>
          <w:color w:val="000000"/>
        </w:rPr>
        <w:t>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rPr>
      </w:pPr>
      <w:r>
        <w:rPr>
          <w:rFonts w:hint="eastAsia" w:cs="宋体"/>
        </w:rPr>
        <w:t>(二)融资机构选择</w:t>
      </w:r>
    </w:p>
    <w:p>
      <w:pPr>
        <w:topLinePunct/>
        <w:adjustRightInd/>
        <w:ind w:firstLine="480" w:firstLineChars="200"/>
        <w:rPr>
          <w:rFonts w:cs="宋体"/>
          <w:color w:val="000000"/>
        </w:rPr>
      </w:pPr>
      <w:r>
        <w:rPr>
          <w:rFonts w:hint="eastAsia" w:cs="宋体"/>
          <w:color w:val="000000"/>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color w:val="000000"/>
        </w:rPr>
      </w:pPr>
      <w:r>
        <w:rPr>
          <w:rFonts w:hint="eastAsia" w:cs="宋体"/>
          <w:color w:val="000000"/>
        </w:rPr>
        <w:t>(1)融资机构基本情况；</w:t>
      </w:r>
    </w:p>
    <w:p>
      <w:pPr>
        <w:topLinePunct/>
        <w:adjustRightInd/>
        <w:ind w:firstLine="480" w:firstLineChars="200"/>
        <w:rPr>
          <w:rFonts w:cs="宋体"/>
          <w:color w:val="000000"/>
        </w:rPr>
      </w:pPr>
      <w:r>
        <w:rPr>
          <w:rFonts w:hint="eastAsia" w:cs="宋体"/>
          <w:color w:val="000000"/>
        </w:rPr>
        <w:t>(2)政府采购信用融资实施方案(包括授信政策、融资产品、贷款利率及其它优惠措施、业务流程及各环节办结时间、联系方式等)；</w:t>
      </w:r>
    </w:p>
    <w:p>
      <w:pPr>
        <w:topLinePunct/>
        <w:adjustRightInd/>
        <w:ind w:firstLine="480" w:firstLineChars="200"/>
        <w:rPr>
          <w:rFonts w:cs="宋体"/>
          <w:color w:val="000000"/>
        </w:rPr>
      </w:pPr>
      <w:r>
        <w:rPr>
          <w:rFonts w:hint="eastAsia" w:cs="宋体"/>
          <w:color w:val="000000"/>
        </w:rPr>
        <w:t>(3)关于遵照《暂行办法》和《实施方案》开展政府采购信用融资业务的承诺；</w:t>
      </w:r>
    </w:p>
    <w:p>
      <w:pPr>
        <w:topLinePunct/>
        <w:adjustRightInd/>
        <w:ind w:firstLine="480" w:firstLineChars="200"/>
        <w:rPr>
          <w:rFonts w:cs="宋体"/>
          <w:color w:val="000000"/>
        </w:rPr>
      </w:pPr>
      <w:r>
        <w:rPr>
          <w:rFonts w:hint="eastAsia" w:cs="宋体"/>
          <w:color w:val="000000"/>
        </w:rPr>
        <w:t>(4)关于政府采购信用融资业务风险及系统对接研发费用自行承担的承诺。</w:t>
      </w:r>
    </w:p>
    <w:p>
      <w:pPr>
        <w:topLinePunct/>
        <w:adjustRightInd/>
        <w:ind w:firstLine="480" w:firstLineChars="200"/>
        <w:rPr>
          <w:rFonts w:cs="宋体"/>
          <w:color w:val="000000"/>
        </w:rPr>
      </w:pPr>
      <w:r>
        <w:rPr>
          <w:rFonts w:hint="eastAsia" w:cs="宋体"/>
          <w:color w:val="000000"/>
        </w:rPr>
        <w:t>2．系统对接。融资机构成功报名后，须按要求完成政府采购信用融资业务与成都市政府采购监督管理系统的技术对接。</w:t>
      </w:r>
    </w:p>
    <w:p>
      <w:pPr>
        <w:topLinePunct/>
        <w:adjustRightInd/>
        <w:ind w:firstLine="480" w:firstLineChars="200"/>
        <w:rPr>
          <w:rFonts w:cs="宋体"/>
          <w:color w:val="000000"/>
        </w:rPr>
      </w:pPr>
      <w:r>
        <w:rPr>
          <w:rFonts w:hint="eastAsia" w:cs="宋体"/>
          <w:color w:val="000000"/>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rPr>
      </w:pPr>
      <w:r>
        <w:rPr>
          <w:rFonts w:hint="eastAsia" w:cs="宋体"/>
        </w:rPr>
        <w:t>(三)其他事项</w:t>
      </w:r>
    </w:p>
    <w:p>
      <w:pPr>
        <w:topLinePunct/>
        <w:adjustRightInd/>
        <w:ind w:firstLine="480" w:firstLineChars="200"/>
        <w:rPr>
          <w:rFonts w:cs="宋体"/>
          <w:color w:val="000000"/>
        </w:rPr>
      </w:pPr>
      <w:r>
        <w:rPr>
          <w:rFonts w:hint="eastAsia" w:cs="宋体"/>
          <w:color w:val="000000"/>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rPr>
      </w:pPr>
      <w:r>
        <w:rPr>
          <w:rFonts w:hint="eastAsia" w:cs="宋体"/>
        </w:rPr>
        <w:t>五、相关要求</w:t>
      </w:r>
    </w:p>
    <w:p>
      <w:pPr>
        <w:topLinePunct/>
        <w:adjustRightInd/>
        <w:ind w:firstLine="480" w:firstLineChars="200"/>
        <w:rPr>
          <w:rFonts w:cs="宋体"/>
        </w:rPr>
      </w:pPr>
      <w:r>
        <w:rPr>
          <w:rFonts w:hint="eastAsia" w:cs="宋体"/>
        </w:rPr>
        <w:t>(一)加强组织领导。</w:t>
      </w:r>
      <w:r>
        <w:rPr>
          <w:rFonts w:hint="eastAsia" w:cs="宋体"/>
          <w:color w:val="000000"/>
          <w:kern w:val="0"/>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rPr>
        <w:t>全面、有序、科学推进政府采购信用融资工作。</w:t>
      </w:r>
    </w:p>
    <w:p>
      <w:pPr>
        <w:topLinePunct/>
        <w:adjustRightInd/>
        <w:ind w:firstLine="480" w:firstLineChars="200"/>
        <w:rPr>
          <w:rFonts w:cs="宋体"/>
        </w:rPr>
      </w:pPr>
      <w:r>
        <w:rPr>
          <w:rFonts w:hint="eastAsia" w:cs="宋体"/>
        </w:rPr>
        <w:t>(二)注重协调配合。</w:t>
      </w:r>
      <w:r>
        <w:rPr>
          <w:rFonts w:hint="eastAsia" w:cs="宋体"/>
          <w:color w:val="000000"/>
          <w:kern w:val="0"/>
        </w:rPr>
        <w:t>市财政局、中国人民银行成都分行营业管理部及采购人</w:t>
      </w:r>
      <w:r>
        <w:rPr>
          <w:rFonts w:hint="eastAsia" w:cs="宋体"/>
        </w:rPr>
        <w:t>等有关单位要根据职责任务，及时协调解决工作中遇到的困难和问题，积极</w:t>
      </w:r>
      <w:r>
        <w:rPr>
          <w:rFonts w:hint="eastAsia" w:cs="宋体"/>
          <w:color w:val="000000"/>
          <w:kern w:val="0"/>
        </w:rPr>
        <w:t>创造条件主动服务，帮助有融资需求、符合条件的供应商实现政府采购信用融资，促进中小企业又好又快发展</w:t>
      </w:r>
      <w:r>
        <w:rPr>
          <w:rFonts w:hint="eastAsia" w:cs="宋体"/>
        </w:rPr>
        <w:t>。</w:t>
      </w:r>
    </w:p>
    <w:p>
      <w:pPr>
        <w:topLinePunct/>
        <w:adjustRightInd/>
        <w:ind w:firstLine="480" w:firstLineChars="200"/>
      </w:pPr>
      <w:r>
        <w:rPr>
          <w:rFonts w:hint="eastAsia" w:cs="宋体"/>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0"/>
        <w:ind w:firstLine="482"/>
      </w:pPr>
    </w:p>
    <w:sectPr>
      <w:headerReference r:id="rId16" w:type="first"/>
      <w:footerReference r:id="rId18" w:type="first"/>
      <w:headerReference r:id="rId15" w:type="default"/>
      <w:footerReference r:id="rId17" w:type="default"/>
      <w:pgSz w:w="11906" w:h="16838"/>
      <w:pgMar w:top="1440" w:right="1080" w:bottom="1440" w:left="1080"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AD5DE9-ED27-4228-9C6E-7C458BE35207}"/>
  </w:font>
  <w:font w:name="黑体">
    <w:panose1 w:val="02010609060101010101"/>
    <w:charset w:val="86"/>
    <w:family w:val="auto"/>
    <w:pitch w:val="default"/>
    <w:sig w:usb0="800002BF" w:usb1="38CF7CFA" w:usb2="00000016" w:usb3="00000000" w:csb0="00040001" w:csb1="00000000"/>
    <w:embedRegular r:id="rId2" w:fontKey="{B8D7E273-E85A-483C-92AF-22E0755D10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16B1A29-9F1D-40EF-AEF1-C64D59B8A4A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embedRegular r:id="rId4" w:fontKey="{329723BE-DA0B-4C30-BC89-1E10FD54D2DA}"/>
  </w:font>
  <w:font w:name="方正小标宋简体">
    <w:panose1 w:val="02000000000000000000"/>
    <w:charset w:val="86"/>
    <w:family w:val="auto"/>
    <w:pitch w:val="default"/>
    <w:sig w:usb0="A00002BF" w:usb1="184F6CFA" w:usb2="00000012" w:usb3="00000000" w:csb0="00040001" w:csb1="00000000"/>
    <w:embedRegular r:id="rId5" w:fontKey="{E9413450-0253-4C54-B78F-6B1F885DC2BD}"/>
  </w:font>
  <w:font w:name="方正仿宋_GBK">
    <w:panose1 w:val="03000509000000000000"/>
    <w:charset w:val="86"/>
    <w:family w:val="script"/>
    <w:pitch w:val="default"/>
    <w:sig w:usb0="00000000" w:usb1="00000000" w:usb2="00000000" w:usb3="00000000" w:csb0="00000000" w:csb1="00000000"/>
    <w:embedRegular r:id="rId6" w:fontKey="{69BCFDFA-F905-4A74-AB38-3B4CE2C9CD48}"/>
  </w:font>
  <w:font w:name="方正小标宋_GBK">
    <w:panose1 w:val="03000509000000000000"/>
    <w:charset w:val="86"/>
    <w:family w:val="script"/>
    <w:pitch w:val="default"/>
    <w:sig w:usb0="00000000" w:usb1="00000000" w:usb2="00000000" w:usb3="00000000" w:csb0="00000000" w:csb1="00000000"/>
    <w:embedRegular r:id="rId7" w:fontKey="{BA86D7ED-9A49-4AF2-A047-7B2D763170C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0288"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a:effectLst/>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0288;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z9519YAAAAHAQAADwAAAAAAAAABACAAAAAiAAAAZHJzL2Rv&#10;d25yZXYueG1sUEsBAhQAFAAAAAgAh07iQH4kjYLKAQAAmAMAAA4AAAAAAAAAAQAgAAAAJQEAAGRy&#10;cy9lMm9Eb2MueG1sUEsFBgAAAAAGAAYAWQEAAGEFA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7"/>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rPr>
        <w:rFonts w:ascii="Calibri" w:hAnsi="Calibri"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ind w:firstLine="800" w:firstLineChars="400"/>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b/>
        <w:bCs/>
      </w:rPr>
      <w:t>四川乾新招投标代理有限公司</w:t>
    </w:r>
  </w:p>
  <w:p>
    <w:pPr>
      <w:pStyle w:val="18"/>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51"/>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7"/>
      <w:suff w:val="nothing"/>
      <w:lvlText w:val="%2、"/>
      <w:lvlJc w:val="left"/>
      <w:pPr>
        <w:ind w:left="0" w:firstLine="0"/>
      </w:pPr>
      <w:rPr>
        <w:rFonts w:hint="eastAsia" w:ascii="宋体" w:hAnsi="宋体" w:eastAsia="宋体" w:cs="宋体"/>
      </w:rPr>
    </w:lvl>
    <w:lvl w:ilvl="2" w:tentative="0">
      <w:start w:val="1"/>
      <w:numFmt w:val="chineseCounting"/>
      <w:pStyle w:val="52"/>
      <w:suff w:val="nothing"/>
      <w:lvlText w:val="(%3)"/>
      <w:lvlJc w:val="left"/>
      <w:pPr>
        <w:tabs>
          <w:tab w:val="left" w:pos="0"/>
        </w:tabs>
        <w:ind w:left="0" w:firstLine="0"/>
      </w:pPr>
      <w:rPr>
        <w:rFonts w:hint="eastAsia" w:ascii="宋体" w:hAnsi="宋体" w:eastAsia="宋体" w:cs="宋体"/>
      </w:rPr>
    </w:lvl>
    <w:lvl w:ilvl="3" w:tentative="0">
      <w:start w:val="1"/>
      <w:numFmt w:val="decimal"/>
      <w:pStyle w:val="66"/>
      <w:suff w:val="nothing"/>
      <w:lvlText w:val="%4."/>
      <w:lvlJc w:val="left"/>
      <w:pPr>
        <w:tabs>
          <w:tab w:val="left" w:pos="0"/>
        </w:tabs>
        <w:ind w:left="0" w:firstLine="0"/>
      </w:pPr>
      <w:rPr>
        <w:rFonts w:hint="eastAsia" w:ascii="宋体" w:hAnsi="宋体" w:eastAsia="宋体" w:cs="宋体"/>
      </w:rPr>
    </w:lvl>
    <w:lvl w:ilvl="4" w:tentative="0">
      <w:start w:val="1"/>
      <w:numFmt w:val="decimal"/>
      <w:pStyle w:val="67"/>
      <w:suff w:val="nothing"/>
      <w:lvlText w:val="%4.%5"/>
      <w:lvlJc w:val="left"/>
      <w:pPr>
        <w:ind w:left="0" w:firstLine="0"/>
      </w:pPr>
      <w:rPr>
        <w:rFonts w:hint="eastAsia" w:ascii="宋体" w:hAnsi="宋体" w:eastAsia="宋体" w:cs="宋体"/>
      </w:rPr>
    </w:lvl>
    <w:lvl w:ilvl="5" w:tentative="0">
      <w:start w:val="1"/>
      <w:numFmt w:val="decimal"/>
      <w:pStyle w:val="68"/>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1"/>
      <w:suff w:val="nothing"/>
      <w:lvlText w:val="%1."/>
      <w:lvlJc w:val="left"/>
      <w:pPr>
        <w:tabs>
          <w:tab w:val="left" w:pos="420"/>
        </w:tabs>
        <w:ind w:left="0" w:firstLine="0"/>
      </w:pPr>
      <w:rPr>
        <w:rFonts w:hint="default" w:ascii="宋体" w:hAnsi="宋体" w:eastAsia="宋体" w:cs="宋体"/>
      </w:rPr>
    </w:lvl>
    <w:lvl w:ilvl="1" w:tentative="0">
      <w:start w:val="1"/>
      <w:numFmt w:val="decimal"/>
      <w:pStyle w:val="42"/>
      <w:suff w:val="nothing"/>
      <w:lvlText w:val="%1.%2"/>
      <w:lvlJc w:val="left"/>
      <w:pPr>
        <w:tabs>
          <w:tab w:val="left" w:pos="420"/>
        </w:tabs>
        <w:ind w:left="0" w:firstLine="0"/>
      </w:pPr>
      <w:rPr>
        <w:rFonts w:hint="default" w:ascii="宋体" w:hAnsi="宋体" w:eastAsia="宋体" w:cs="宋体"/>
      </w:rPr>
    </w:lvl>
    <w:lvl w:ilvl="2" w:tentative="0">
      <w:start w:val="1"/>
      <w:numFmt w:val="decimal"/>
      <w:pStyle w:val="43"/>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6"/>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46"/>
      <w:suff w:val="nothing"/>
      <w:lvlText w:val="%1、"/>
      <w:lvlJc w:val="left"/>
      <w:pPr>
        <w:ind w:left="0" w:firstLine="0"/>
      </w:pPr>
      <w:rPr>
        <w:rFonts w:hint="eastAsia"/>
      </w:rPr>
    </w:lvl>
  </w:abstractNum>
  <w:abstractNum w:abstractNumId="4">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5"/>
      <w:suff w:val="nothing"/>
      <w:lvlText w:val="(%2)"/>
      <w:lvlJc w:val="left"/>
      <w:pPr>
        <w:ind w:left="0" w:firstLine="0"/>
      </w:pPr>
      <w:rPr>
        <w:rFonts w:hint="eastAsia" w:ascii="宋体" w:hAnsi="宋体" w:eastAsia="宋体" w:cs="宋体"/>
      </w:rPr>
    </w:lvl>
    <w:lvl w:ilvl="2" w:tentative="0">
      <w:start w:val="1"/>
      <w:numFmt w:val="decimal"/>
      <w:pStyle w:val="38"/>
      <w:suff w:val="nothing"/>
      <w:lvlText w:val="%3."/>
      <w:lvlJc w:val="left"/>
      <w:pPr>
        <w:ind w:left="0" w:firstLine="0"/>
      </w:pPr>
      <w:rPr>
        <w:rFonts w:hint="eastAsia" w:ascii="宋体" w:hAnsi="宋体" w:eastAsia="宋体" w:cs="宋体"/>
      </w:rPr>
    </w:lvl>
    <w:lvl w:ilvl="3" w:tentative="0">
      <w:start w:val="1"/>
      <w:numFmt w:val="decimal"/>
      <w:pStyle w:val="39"/>
      <w:suff w:val="nothing"/>
      <w:lvlText w:val="%3.%4"/>
      <w:lvlJc w:val="left"/>
      <w:pPr>
        <w:ind w:left="0" w:firstLine="0"/>
      </w:pPr>
      <w:rPr>
        <w:rFonts w:hint="eastAsia" w:ascii="宋体" w:hAnsi="宋体" w:eastAsia="宋体" w:cs="宋体"/>
      </w:rPr>
    </w:lvl>
    <w:lvl w:ilvl="4" w:tentative="0">
      <w:start w:val="1"/>
      <w:numFmt w:val="decimal"/>
      <w:pStyle w:val="40"/>
      <w:suff w:val="nothing"/>
      <w:lvlText w:val="(%5)"/>
      <w:lvlJc w:val="left"/>
      <w:pPr>
        <w:ind w:left="0" w:firstLine="0"/>
      </w:pPr>
      <w:rPr>
        <w:rFonts w:hint="eastAsia" w:ascii="宋体" w:hAnsi="宋体" w:eastAsia="宋体" w:cs="宋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6">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7">
    <w:nsid w:val="FA3A7800"/>
    <w:multiLevelType w:val="singleLevel"/>
    <w:tmpl w:val="FA3A7800"/>
    <w:lvl w:ilvl="0" w:tentative="0">
      <w:start w:val="1"/>
      <w:numFmt w:val="decimal"/>
      <w:suff w:val="nothing"/>
      <w:lvlText w:val="%1、"/>
      <w:lvlJc w:val="left"/>
    </w:lvl>
  </w:abstractNum>
  <w:abstractNum w:abstractNumId="8">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9">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0">
    <w:nsid w:val="1517B247"/>
    <w:multiLevelType w:val="singleLevel"/>
    <w:tmpl w:val="1517B247"/>
    <w:lvl w:ilvl="0" w:tentative="0">
      <w:start w:val="3"/>
      <w:numFmt w:val="decimal"/>
      <w:lvlText w:val="%1."/>
      <w:lvlJc w:val="left"/>
      <w:pPr>
        <w:tabs>
          <w:tab w:val="left" w:pos="312"/>
        </w:tabs>
      </w:pPr>
    </w:lvl>
  </w:abstractNum>
  <w:abstractNum w:abstractNumId="11">
    <w:nsid w:val="185FAEE9"/>
    <w:multiLevelType w:val="singleLevel"/>
    <w:tmpl w:val="185FAEE9"/>
    <w:lvl w:ilvl="0" w:tentative="0">
      <w:start w:val="1"/>
      <w:numFmt w:val="chineseCounting"/>
      <w:suff w:val="nothing"/>
      <w:lvlText w:val="（%1）"/>
      <w:lvlJc w:val="left"/>
      <w:pPr>
        <w:ind w:left="0" w:firstLine="420"/>
      </w:pPr>
      <w:rPr>
        <w:rFonts w:hint="eastAsia"/>
      </w:rPr>
    </w:lvl>
  </w:abstractNum>
  <w:abstractNum w:abstractNumId="12">
    <w:nsid w:val="2794D56E"/>
    <w:multiLevelType w:val="singleLevel"/>
    <w:tmpl w:val="2794D56E"/>
    <w:lvl w:ilvl="0" w:tentative="0">
      <w:start w:val="1"/>
      <w:numFmt w:val="decimal"/>
      <w:lvlText w:val="%1."/>
      <w:lvlJc w:val="left"/>
      <w:pPr>
        <w:tabs>
          <w:tab w:val="left" w:pos="312"/>
        </w:tabs>
      </w:p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456A1155"/>
    <w:multiLevelType w:val="singleLevel"/>
    <w:tmpl w:val="456A1155"/>
    <w:lvl w:ilvl="0" w:tentative="0">
      <w:start w:val="1"/>
      <w:numFmt w:val="chineseCounting"/>
      <w:suff w:val="nothing"/>
      <w:lvlText w:val="（%1）"/>
      <w:lvlJc w:val="left"/>
      <w:rPr>
        <w:rFonts w:hint="eastAsia"/>
      </w:rPr>
    </w:lvl>
  </w:abstractNum>
  <w:abstractNum w:abstractNumId="15">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16">
    <w:nsid w:val="7ECB0C54"/>
    <w:multiLevelType w:val="singleLevel"/>
    <w:tmpl w:val="7ECB0C54"/>
    <w:lvl w:ilvl="0" w:tentative="0">
      <w:start w:val="1"/>
      <w:numFmt w:val="decimal"/>
      <w:lvlText w:val="%1."/>
      <w:lvlJc w:val="left"/>
      <w:pPr>
        <w:tabs>
          <w:tab w:val="left" w:pos="312"/>
        </w:tabs>
      </w:pPr>
    </w:lvl>
  </w:abstractNum>
  <w:num w:numId="1">
    <w:abstractNumId w:val="5"/>
  </w:num>
  <w:num w:numId="2">
    <w:abstractNumId w:val="13"/>
  </w:num>
  <w:num w:numId="3">
    <w:abstractNumId w:val="0"/>
  </w:num>
  <w:num w:numId="4">
    <w:abstractNumId w:val="1"/>
  </w:num>
  <w:num w:numId="5">
    <w:abstractNumId w:val="3"/>
  </w:num>
  <w:num w:numId="6">
    <w:abstractNumId w:val="2"/>
  </w:num>
  <w:num w:numId="7">
    <w:abstractNumId w:val="9"/>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2"/>
  </w:num>
  <w:num w:numId="28">
    <w:abstractNumId w:val="1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num>
  <w:num w:numId="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dit="forms" w:enforcement="0"/>
  <w:defaultTabStop w:val="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37BD4"/>
    <w:rsid w:val="000504D4"/>
    <w:rsid w:val="00050929"/>
    <w:rsid w:val="00064EEB"/>
    <w:rsid w:val="00071F90"/>
    <w:rsid w:val="00080967"/>
    <w:rsid w:val="00083410"/>
    <w:rsid w:val="00083A85"/>
    <w:rsid w:val="000A22EE"/>
    <w:rsid w:val="000D7DD0"/>
    <w:rsid w:val="0010191C"/>
    <w:rsid w:val="001025A9"/>
    <w:rsid w:val="0010309E"/>
    <w:rsid w:val="0012071D"/>
    <w:rsid w:val="00127F82"/>
    <w:rsid w:val="00151C44"/>
    <w:rsid w:val="00152049"/>
    <w:rsid w:val="00157B5B"/>
    <w:rsid w:val="00172A27"/>
    <w:rsid w:val="001747EE"/>
    <w:rsid w:val="001769FC"/>
    <w:rsid w:val="001776D1"/>
    <w:rsid w:val="00177915"/>
    <w:rsid w:val="00180AAC"/>
    <w:rsid w:val="00190708"/>
    <w:rsid w:val="001A7AAF"/>
    <w:rsid w:val="001B6050"/>
    <w:rsid w:val="001B7BB6"/>
    <w:rsid w:val="001C42C5"/>
    <w:rsid w:val="001E2AED"/>
    <w:rsid w:val="001E6880"/>
    <w:rsid w:val="001E6888"/>
    <w:rsid w:val="002214E7"/>
    <w:rsid w:val="00225683"/>
    <w:rsid w:val="00234073"/>
    <w:rsid w:val="002435A0"/>
    <w:rsid w:val="00243FF7"/>
    <w:rsid w:val="00247B38"/>
    <w:rsid w:val="0025536B"/>
    <w:rsid w:val="00255406"/>
    <w:rsid w:val="002565E2"/>
    <w:rsid w:val="00267611"/>
    <w:rsid w:val="00274A24"/>
    <w:rsid w:val="00282CD9"/>
    <w:rsid w:val="00290AF1"/>
    <w:rsid w:val="002B5D9A"/>
    <w:rsid w:val="002B6AE7"/>
    <w:rsid w:val="002B79CA"/>
    <w:rsid w:val="002C53EF"/>
    <w:rsid w:val="002D2B0F"/>
    <w:rsid w:val="002E06BF"/>
    <w:rsid w:val="002E1A1C"/>
    <w:rsid w:val="002E5F48"/>
    <w:rsid w:val="002F05A6"/>
    <w:rsid w:val="002F3BB7"/>
    <w:rsid w:val="00315B60"/>
    <w:rsid w:val="003274CB"/>
    <w:rsid w:val="00346B27"/>
    <w:rsid w:val="00347724"/>
    <w:rsid w:val="00350C14"/>
    <w:rsid w:val="00353E82"/>
    <w:rsid w:val="00361228"/>
    <w:rsid w:val="003709E5"/>
    <w:rsid w:val="003726D1"/>
    <w:rsid w:val="003750BD"/>
    <w:rsid w:val="00396369"/>
    <w:rsid w:val="003B2228"/>
    <w:rsid w:val="003C13E4"/>
    <w:rsid w:val="003D21F1"/>
    <w:rsid w:val="003E1DCC"/>
    <w:rsid w:val="003F4651"/>
    <w:rsid w:val="00410967"/>
    <w:rsid w:val="00411E40"/>
    <w:rsid w:val="00415E21"/>
    <w:rsid w:val="00445ADF"/>
    <w:rsid w:val="004621F9"/>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B21E3"/>
    <w:rsid w:val="005C08F7"/>
    <w:rsid w:val="005F0C9C"/>
    <w:rsid w:val="005F3F05"/>
    <w:rsid w:val="0060449E"/>
    <w:rsid w:val="006058A4"/>
    <w:rsid w:val="006109FE"/>
    <w:rsid w:val="00614BF4"/>
    <w:rsid w:val="00616B6E"/>
    <w:rsid w:val="00633858"/>
    <w:rsid w:val="00651388"/>
    <w:rsid w:val="0065581B"/>
    <w:rsid w:val="00670841"/>
    <w:rsid w:val="006708EE"/>
    <w:rsid w:val="006934B4"/>
    <w:rsid w:val="00694C4F"/>
    <w:rsid w:val="006A21E2"/>
    <w:rsid w:val="006A532B"/>
    <w:rsid w:val="006B1D4C"/>
    <w:rsid w:val="006C21DD"/>
    <w:rsid w:val="006D0818"/>
    <w:rsid w:val="006E1794"/>
    <w:rsid w:val="006F6EF3"/>
    <w:rsid w:val="00722E70"/>
    <w:rsid w:val="00735F80"/>
    <w:rsid w:val="0074524D"/>
    <w:rsid w:val="00773C82"/>
    <w:rsid w:val="00782617"/>
    <w:rsid w:val="00784579"/>
    <w:rsid w:val="00795B4D"/>
    <w:rsid w:val="007B1F36"/>
    <w:rsid w:val="007D09EC"/>
    <w:rsid w:val="007E19FC"/>
    <w:rsid w:val="007F300C"/>
    <w:rsid w:val="008003F4"/>
    <w:rsid w:val="008016F9"/>
    <w:rsid w:val="008062AE"/>
    <w:rsid w:val="00811328"/>
    <w:rsid w:val="00815C57"/>
    <w:rsid w:val="00815F35"/>
    <w:rsid w:val="0082614F"/>
    <w:rsid w:val="00840743"/>
    <w:rsid w:val="00850B71"/>
    <w:rsid w:val="0085639C"/>
    <w:rsid w:val="0087454D"/>
    <w:rsid w:val="00890D7F"/>
    <w:rsid w:val="0089159D"/>
    <w:rsid w:val="008A0EB1"/>
    <w:rsid w:val="008A2076"/>
    <w:rsid w:val="008E659E"/>
    <w:rsid w:val="008F1529"/>
    <w:rsid w:val="008F1CB6"/>
    <w:rsid w:val="008F4AED"/>
    <w:rsid w:val="008F717E"/>
    <w:rsid w:val="008F74EB"/>
    <w:rsid w:val="00902627"/>
    <w:rsid w:val="00931981"/>
    <w:rsid w:val="00932AFD"/>
    <w:rsid w:val="00942ED3"/>
    <w:rsid w:val="00945986"/>
    <w:rsid w:val="00946F94"/>
    <w:rsid w:val="00970E63"/>
    <w:rsid w:val="00990893"/>
    <w:rsid w:val="00992CF5"/>
    <w:rsid w:val="009C43E6"/>
    <w:rsid w:val="009D01D2"/>
    <w:rsid w:val="009D521C"/>
    <w:rsid w:val="009E1E4F"/>
    <w:rsid w:val="009E6BF0"/>
    <w:rsid w:val="009F4A8A"/>
    <w:rsid w:val="009F5992"/>
    <w:rsid w:val="00A23AFB"/>
    <w:rsid w:val="00A3273B"/>
    <w:rsid w:val="00A466E6"/>
    <w:rsid w:val="00A47F1F"/>
    <w:rsid w:val="00A75A1A"/>
    <w:rsid w:val="00A837A5"/>
    <w:rsid w:val="00A8538A"/>
    <w:rsid w:val="00A95C07"/>
    <w:rsid w:val="00AA51C1"/>
    <w:rsid w:val="00AB65CA"/>
    <w:rsid w:val="00AB67D8"/>
    <w:rsid w:val="00AC2F78"/>
    <w:rsid w:val="00AC5E59"/>
    <w:rsid w:val="00AE67F6"/>
    <w:rsid w:val="00AF3998"/>
    <w:rsid w:val="00B052B2"/>
    <w:rsid w:val="00B07B2E"/>
    <w:rsid w:val="00B31CC3"/>
    <w:rsid w:val="00B541FB"/>
    <w:rsid w:val="00B6648B"/>
    <w:rsid w:val="00B72CB9"/>
    <w:rsid w:val="00BA69F4"/>
    <w:rsid w:val="00BA6D13"/>
    <w:rsid w:val="00BB299F"/>
    <w:rsid w:val="00BE1766"/>
    <w:rsid w:val="00BF4E9E"/>
    <w:rsid w:val="00C00F81"/>
    <w:rsid w:val="00C03ED3"/>
    <w:rsid w:val="00C17A63"/>
    <w:rsid w:val="00C35487"/>
    <w:rsid w:val="00C364A6"/>
    <w:rsid w:val="00C37C9E"/>
    <w:rsid w:val="00C43BC1"/>
    <w:rsid w:val="00C543B9"/>
    <w:rsid w:val="00C73FCC"/>
    <w:rsid w:val="00C7526C"/>
    <w:rsid w:val="00C8799B"/>
    <w:rsid w:val="00C9386B"/>
    <w:rsid w:val="00CA0AAA"/>
    <w:rsid w:val="00CC0388"/>
    <w:rsid w:val="00CD2558"/>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0A67"/>
    <w:rsid w:val="00DA65C9"/>
    <w:rsid w:val="00DB5C76"/>
    <w:rsid w:val="00DC4298"/>
    <w:rsid w:val="00DC68DD"/>
    <w:rsid w:val="00DD654B"/>
    <w:rsid w:val="00DE5C5F"/>
    <w:rsid w:val="00DF10BC"/>
    <w:rsid w:val="00E04823"/>
    <w:rsid w:val="00E057B6"/>
    <w:rsid w:val="00E1688D"/>
    <w:rsid w:val="00E2173D"/>
    <w:rsid w:val="00E26D0D"/>
    <w:rsid w:val="00E374A6"/>
    <w:rsid w:val="00E419A4"/>
    <w:rsid w:val="00E52593"/>
    <w:rsid w:val="00E53568"/>
    <w:rsid w:val="00E74CE9"/>
    <w:rsid w:val="00E7539A"/>
    <w:rsid w:val="00E83C3F"/>
    <w:rsid w:val="00E86078"/>
    <w:rsid w:val="00E87BB1"/>
    <w:rsid w:val="00E925CA"/>
    <w:rsid w:val="00E93F48"/>
    <w:rsid w:val="00E965F8"/>
    <w:rsid w:val="00EB31E1"/>
    <w:rsid w:val="00EE2E61"/>
    <w:rsid w:val="00EE2E62"/>
    <w:rsid w:val="00EF4699"/>
    <w:rsid w:val="00EF5839"/>
    <w:rsid w:val="00F01932"/>
    <w:rsid w:val="00F025B2"/>
    <w:rsid w:val="00F0340D"/>
    <w:rsid w:val="00F140D0"/>
    <w:rsid w:val="00F2183F"/>
    <w:rsid w:val="00F22D2F"/>
    <w:rsid w:val="00F23715"/>
    <w:rsid w:val="00F31501"/>
    <w:rsid w:val="00F32329"/>
    <w:rsid w:val="00F4295B"/>
    <w:rsid w:val="00F714C7"/>
    <w:rsid w:val="00F83AD1"/>
    <w:rsid w:val="00F9177B"/>
    <w:rsid w:val="00F9463D"/>
    <w:rsid w:val="00FA1098"/>
    <w:rsid w:val="00FE3AAB"/>
    <w:rsid w:val="01010150"/>
    <w:rsid w:val="01051DA8"/>
    <w:rsid w:val="010C0096"/>
    <w:rsid w:val="012B7796"/>
    <w:rsid w:val="013D1C8A"/>
    <w:rsid w:val="013F0F7C"/>
    <w:rsid w:val="01464694"/>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F24E0B"/>
    <w:rsid w:val="01FE754D"/>
    <w:rsid w:val="02132164"/>
    <w:rsid w:val="02151D4A"/>
    <w:rsid w:val="02195753"/>
    <w:rsid w:val="02273FA3"/>
    <w:rsid w:val="02286712"/>
    <w:rsid w:val="0229654E"/>
    <w:rsid w:val="02326A09"/>
    <w:rsid w:val="023372E3"/>
    <w:rsid w:val="02362CC5"/>
    <w:rsid w:val="023E2792"/>
    <w:rsid w:val="0241752C"/>
    <w:rsid w:val="024211F3"/>
    <w:rsid w:val="0243067C"/>
    <w:rsid w:val="024E7B1D"/>
    <w:rsid w:val="02504227"/>
    <w:rsid w:val="02567FAA"/>
    <w:rsid w:val="02612347"/>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80120F"/>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F050BD"/>
    <w:rsid w:val="03F22B46"/>
    <w:rsid w:val="03F33A48"/>
    <w:rsid w:val="03F7077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C025A"/>
    <w:rsid w:val="04652152"/>
    <w:rsid w:val="04663310"/>
    <w:rsid w:val="04671AF4"/>
    <w:rsid w:val="0467789F"/>
    <w:rsid w:val="04683FDD"/>
    <w:rsid w:val="046D5C58"/>
    <w:rsid w:val="046F52E9"/>
    <w:rsid w:val="04713B41"/>
    <w:rsid w:val="047212F9"/>
    <w:rsid w:val="047B1E84"/>
    <w:rsid w:val="047E0822"/>
    <w:rsid w:val="04802939"/>
    <w:rsid w:val="04841778"/>
    <w:rsid w:val="04892F7A"/>
    <w:rsid w:val="04926F8F"/>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8D37B4"/>
    <w:rsid w:val="0591675E"/>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F398F"/>
    <w:rsid w:val="06B1202E"/>
    <w:rsid w:val="06C14990"/>
    <w:rsid w:val="06C255FB"/>
    <w:rsid w:val="06C27DB7"/>
    <w:rsid w:val="06C466BB"/>
    <w:rsid w:val="06CA6D6D"/>
    <w:rsid w:val="06CC4655"/>
    <w:rsid w:val="06CF005C"/>
    <w:rsid w:val="06D2689F"/>
    <w:rsid w:val="06DC4238"/>
    <w:rsid w:val="06DE266F"/>
    <w:rsid w:val="06E16933"/>
    <w:rsid w:val="06E554EF"/>
    <w:rsid w:val="06E63574"/>
    <w:rsid w:val="06E66FD9"/>
    <w:rsid w:val="06E91B3A"/>
    <w:rsid w:val="06E95FFC"/>
    <w:rsid w:val="06F23D1E"/>
    <w:rsid w:val="06FF392B"/>
    <w:rsid w:val="07057562"/>
    <w:rsid w:val="07065AD5"/>
    <w:rsid w:val="070B2EDA"/>
    <w:rsid w:val="070D1E13"/>
    <w:rsid w:val="070F00B4"/>
    <w:rsid w:val="071119D0"/>
    <w:rsid w:val="07144A09"/>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41D0D"/>
    <w:rsid w:val="07662674"/>
    <w:rsid w:val="0767483A"/>
    <w:rsid w:val="076B78D7"/>
    <w:rsid w:val="07796593"/>
    <w:rsid w:val="07821D74"/>
    <w:rsid w:val="078A55D3"/>
    <w:rsid w:val="078B4AA2"/>
    <w:rsid w:val="078C436E"/>
    <w:rsid w:val="07997645"/>
    <w:rsid w:val="079E1EE3"/>
    <w:rsid w:val="07A31B05"/>
    <w:rsid w:val="07B70EEF"/>
    <w:rsid w:val="07BC1F7E"/>
    <w:rsid w:val="07C36603"/>
    <w:rsid w:val="07C40FCD"/>
    <w:rsid w:val="07C621AC"/>
    <w:rsid w:val="07C65804"/>
    <w:rsid w:val="07CF1AD1"/>
    <w:rsid w:val="07D7335A"/>
    <w:rsid w:val="07D879E1"/>
    <w:rsid w:val="07E0507A"/>
    <w:rsid w:val="07E72C90"/>
    <w:rsid w:val="07E761B7"/>
    <w:rsid w:val="07E947DE"/>
    <w:rsid w:val="07EC46E7"/>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63BA"/>
    <w:rsid w:val="08EE6DAF"/>
    <w:rsid w:val="08F93267"/>
    <w:rsid w:val="08FD0364"/>
    <w:rsid w:val="08FD58BD"/>
    <w:rsid w:val="08FF075B"/>
    <w:rsid w:val="08FF50B6"/>
    <w:rsid w:val="090C6E58"/>
    <w:rsid w:val="090F7AAC"/>
    <w:rsid w:val="09102109"/>
    <w:rsid w:val="09117007"/>
    <w:rsid w:val="09143183"/>
    <w:rsid w:val="091D71CF"/>
    <w:rsid w:val="0920075C"/>
    <w:rsid w:val="09203EE5"/>
    <w:rsid w:val="09341893"/>
    <w:rsid w:val="093B5F9E"/>
    <w:rsid w:val="094477B4"/>
    <w:rsid w:val="09474FBC"/>
    <w:rsid w:val="09482F14"/>
    <w:rsid w:val="094D4667"/>
    <w:rsid w:val="0953752F"/>
    <w:rsid w:val="09582B36"/>
    <w:rsid w:val="09622569"/>
    <w:rsid w:val="096B0AA9"/>
    <w:rsid w:val="096B20A4"/>
    <w:rsid w:val="096B68E5"/>
    <w:rsid w:val="0973350D"/>
    <w:rsid w:val="09837C82"/>
    <w:rsid w:val="098E57E7"/>
    <w:rsid w:val="09900B66"/>
    <w:rsid w:val="09994596"/>
    <w:rsid w:val="099B0E28"/>
    <w:rsid w:val="09AF0A75"/>
    <w:rsid w:val="09B024F6"/>
    <w:rsid w:val="09B927C7"/>
    <w:rsid w:val="09CB591E"/>
    <w:rsid w:val="09CC3BAD"/>
    <w:rsid w:val="09CC461B"/>
    <w:rsid w:val="09D12789"/>
    <w:rsid w:val="09E05714"/>
    <w:rsid w:val="09E244D3"/>
    <w:rsid w:val="09E44204"/>
    <w:rsid w:val="09E55530"/>
    <w:rsid w:val="09EE22B5"/>
    <w:rsid w:val="09EF6217"/>
    <w:rsid w:val="09F410FD"/>
    <w:rsid w:val="09F568C1"/>
    <w:rsid w:val="0A031C30"/>
    <w:rsid w:val="0A0E02AF"/>
    <w:rsid w:val="0A0F0F43"/>
    <w:rsid w:val="0A141092"/>
    <w:rsid w:val="0A18215B"/>
    <w:rsid w:val="0A197DF4"/>
    <w:rsid w:val="0A1C206E"/>
    <w:rsid w:val="0A1F3AFB"/>
    <w:rsid w:val="0A247DB4"/>
    <w:rsid w:val="0A2763EA"/>
    <w:rsid w:val="0A3D4730"/>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75103"/>
    <w:rsid w:val="0B6F3C3D"/>
    <w:rsid w:val="0B781E3E"/>
    <w:rsid w:val="0B787300"/>
    <w:rsid w:val="0B7C78A1"/>
    <w:rsid w:val="0B8A2E8C"/>
    <w:rsid w:val="0B8D31DB"/>
    <w:rsid w:val="0B94665C"/>
    <w:rsid w:val="0B9B3CCE"/>
    <w:rsid w:val="0B9D46C6"/>
    <w:rsid w:val="0BA26BC5"/>
    <w:rsid w:val="0BA527D4"/>
    <w:rsid w:val="0BA62356"/>
    <w:rsid w:val="0BA81572"/>
    <w:rsid w:val="0BAC7AD9"/>
    <w:rsid w:val="0BAE5439"/>
    <w:rsid w:val="0BBC1588"/>
    <w:rsid w:val="0BBC6AE2"/>
    <w:rsid w:val="0BCC2203"/>
    <w:rsid w:val="0BCF0D6E"/>
    <w:rsid w:val="0BD32386"/>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D057B3"/>
    <w:rsid w:val="0CDC30C8"/>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B5FDE"/>
    <w:rsid w:val="0E4E095A"/>
    <w:rsid w:val="0E533A22"/>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7624"/>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673D2"/>
    <w:rsid w:val="11272A81"/>
    <w:rsid w:val="11343C71"/>
    <w:rsid w:val="1135344F"/>
    <w:rsid w:val="113B7B50"/>
    <w:rsid w:val="113F2FF0"/>
    <w:rsid w:val="1140061F"/>
    <w:rsid w:val="11405189"/>
    <w:rsid w:val="11494402"/>
    <w:rsid w:val="114F2F0F"/>
    <w:rsid w:val="114F3B5D"/>
    <w:rsid w:val="11511756"/>
    <w:rsid w:val="11513703"/>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F686B"/>
    <w:rsid w:val="11D7281B"/>
    <w:rsid w:val="11D93657"/>
    <w:rsid w:val="11D939FA"/>
    <w:rsid w:val="11DE1C3D"/>
    <w:rsid w:val="11E62926"/>
    <w:rsid w:val="11E7019B"/>
    <w:rsid w:val="11FC27FE"/>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F673F"/>
    <w:rsid w:val="12913FB2"/>
    <w:rsid w:val="129226C4"/>
    <w:rsid w:val="129455AD"/>
    <w:rsid w:val="12970BC5"/>
    <w:rsid w:val="1299328B"/>
    <w:rsid w:val="12A04B9A"/>
    <w:rsid w:val="12A25B5F"/>
    <w:rsid w:val="12A30DA6"/>
    <w:rsid w:val="12C23A7C"/>
    <w:rsid w:val="12D32824"/>
    <w:rsid w:val="12D37006"/>
    <w:rsid w:val="12D919C1"/>
    <w:rsid w:val="12DB7608"/>
    <w:rsid w:val="12E94BA8"/>
    <w:rsid w:val="12F0221C"/>
    <w:rsid w:val="12F16671"/>
    <w:rsid w:val="12F55F70"/>
    <w:rsid w:val="13053401"/>
    <w:rsid w:val="130A3353"/>
    <w:rsid w:val="13127492"/>
    <w:rsid w:val="1315369C"/>
    <w:rsid w:val="131B0C66"/>
    <w:rsid w:val="13241623"/>
    <w:rsid w:val="1325634E"/>
    <w:rsid w:val="132B0100"/>
    <w:rsid w:val="132B7B61"/>
    <w:rsid w:val="133238A4"/>
    <w:rsid w:val="13380869"/>
    <w:rsid w:val="13434508"/>
    <w:rsid w:val="134D5C6B"/>
    <w:rsid w:val="135E60A9"/>
    <w:rsid w:val="13755EB2"/>
    <w:rsid w:val="138416FB"/>
    <w:rsid w:val="13877DCB"/>
    <w:rsid w:val="13887B1A"/>
    <w:rsid w:val="13895A4A"/>
    <w:rsid w:val="13920730"/>
    <w:rsid w:val="13961258"/>
    <w:rsid w:val="139617FD"/>
    <w:rsid w:val="139E1193"/>
    <w:rsid w:val="139F2E5E"/>
    <w:rsid w:val="13A35911"/>
    <w:rsid w:val="13A47BFE"/>
    <w:rsid w:val="13AE3CCB"/>
    <w:rsid w:val="13B5648C"/>
    <w:rsid w:val="13B575D2"/>
    <w:rsid w:val="13B773EB"/>
    <w:rsid w:val="13C16519"/>
    <w:rsid w:val="13C4002F"/>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703A7"/>
    <w:rsid w:val="15AD12E9"/>
    <w:rsid w:val="15AE3BF2"/>
    <w:rsid w:val="15B113FD"/>
    <w:rsid w:val="15B61C1D"/>
    <w:rsid w:val="15BA20FE"/>
    <w:rsid w:val="15BC3A0F"/>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184098"/>
    <w:rsid w:val="1619181D"/>
    <w:rsid w:val="161F7166"/>
    <w:rsid w:val="16290D5F"/>
    <w:rsid w:val="162C4C37"/>
    <w:rsid w:val="162D4AB2"/>
    <w:rsid w:val="16333E74"/>
    <w:rsid w:val="163409FD"/>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980ACF"/>
    <w:rsid w:val="16996BD1"/>
    <w:rsid w:val="169D0E74"/>
    <w:rsid w:val="16A0455F"/>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9168B"/>
    <w:rsid w:val="17AD3309"/>
    <w:rsid w:val="17B8158D"/>
    <w:rsid w:val="17C17130"/>
    <w:rsid w:val="17C271C7"/>
    <w:rsid w:val="17C34644"/>
    <w:rsid w:val="17C42AD9"/>
    <w:rsid w:val="17C641EB"/>
    <w:rsid w:val="17CA7BDA"/>
    <w:rsid w:val="17CD0DCE"/>
    <w:rsid w:val="17CE25E1"/>
    <w:rsid w:val="17D10BF7"/>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D5870"/>
    <w:rsid w:val="184E2F03"/>
    <w:rsid w:val="18521DEB"/>
    <w:rsid w:val="185335C0"/>
    <w:rsid w:val="18690252"/>
    <w:rsid w:val="186A253C"/>
    <w:rsid w:val="18710348"/>
    <w:rsid w:val="187602DD"/>
    <w:rsid w:val="18764A71"/>
    <w:rsid w:val="18782953"/>
    <w:rsid w:val="187A35BD"/>
    <w:rsid w:val="188123CF"/>
    <w:rsid w:val="18865DF7"/>
    <w:rsid w:val="18886008"/>
    <w:rsid w:val="18921538"/>
    <w:rsid w:val="18981291"/>
    <w:rsid w:val="189943F9"/>
    <w:rsid w:val="189E12C3"/>
    <w:rsid w:val="189E32A4"/>
    <w:rsid w:val="18A958B2"/>
    <w:rsid w:val="18AB1806"/>
    <w:rsid w:val="18B13286"/>
    <w:rsid w:val="18B261CF"/>
    <w:rsid w:val="18B82E57"/>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91C96"/>
    <w:rsid w:val="19EA5BE7"/>
    <w:rsid w:val="19ED1019"/>
    <w:rsid w:val="19EE7A48"/>
    <w:rsid w:val="19F01E27"/>
    <w:rsid w:val="19F30FD0"/>
    <w:rsid w:val="19FB73D6"/>
    <w:rsid w:val="1A084634"/>
    <w:rsid w:val="1A0931E6"/>
    <w:rsid w:val="1A0B22C7"/>
    <w:rsid w:val="1A132478"/>
    <w:rsid w:val="1A157CBC"/>
    <w:rsid w:val="1A1713E7"/>
    <w:rsid w:val="1A1D39FB"/>
    <w:rsid w:val="1A23582E"/>
    <w:rsid w:val="1A2C6661"/>
    <w:rsid w:val="1A2D7316"/>
    <w:rsid w:val="1A33410B"/>
    <w:rsid w:val="1A38694D"/>
    <w:rsid w:val="1A3D4066"/>
    <w:rsid w:val="1A3D556D"/>
    <w:rsid w:val="1A422421"/>
    <w:rsid w:val="1A4B0B6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D421C"/>
    <w:rsid w:val="1B7E5759"/>
    <w:rsid w:val="1B83456A"/>
    <w:rsid w:val="1B8D3EF5"/>
    <w:rsid w:val="1B8E2F95"/>
    <w:rsid w:val="1B9369D7"/>
    <w:rsid w:val="1B984111"/>
    <w:rsid w:val="1B9E5564"/>
    <w:rsid w:val="1BA3694B"/>
    <w:rsid w:val="1BAC5CFE"/>
    <w:rsid w:val="1BAF5377"/>
    <w:rsid w:val="1BCB08E9"/>
    <w:rsid w:val="1BCB3B13"/>
    <w:rsid w:val="1BCF190A"/>
    <w:rsid w:val="1BDB57C2"/>
    <w:rsid w:val="1BE83656"/>
    <w:rsid w:val="1BF149CB"/>
    <w:rsid w:val="1BF23A35"/>
    <w:rsid w:val="1C0329EA"/>
    <w:rsid w:val="1C033548"/>
    <w:rsid w:val="1C0B4EE0"/>
    <w:rsid w:val="1C180B6E"/>
    <w:rsid w:val="1C19483C"/>
    <w:rsid w:val="1C213008"/>
    <w:rsid w:val="1C24525B"/>
    <w:rsid w:val="1C25739C"/>
    <w:rsid w:val="1C293DD1"/>
    <w:rsid w:val="1C296D1A"/>
    <w:rsid w:val="1C2C429D"/>
    <w:rsid w:val="1C347AE7"/>
    <w:rsid w:val="1C3709C2"/>
    <w:rsid w:val="1C3F1F91"/>
    <w:rsid w:val="1C553017"/>
    <w:rsid w:val="1C710885"/>
    <w:rsid w:val="1C73352D"/>
    <w:rsid w:val="1C791EF1"/>
    <w:rsid w:val="1C7F0A0D"/>
    <w:rsid w:val="1C883EE2"/>
    <w:rsid w:val="1C8A5704"/>
    <w:rsid w:val="1C954196"/>
    <w:rsid w:val="1C993644"/>
    <w:rsid w:val="1C9D11D2"/>
    <w:rsid w:val="1CA30814"/>
    <w:rsid w:val="1CA411B8"/>
    <w:rsid w:val="1CA91C58"/>
    <w:rsid w:val="1CA92EA7"/>
    <w:rsid w:val="1CAF1665"/>
    <w:rsid w:val="1CBE1A22"/>
    <w:rsid w:val="1CC86944"/>
    <w:rsid w:val="1CCD1E0D"/>
    <w:rsid w:val="1CD11261"/>
    <w:rsid w:val="1CD60FA3"/>
    <w:rsid w:val="1CD6675B"/>
    <w:rsid w:val="1CD70EA5"/>
    <w:rsid w:val="1CED15B5"/>
    <w:rsid w:val="1CEE7DF7"/>
    <w:rsid w:val="1CF23DFC"/>
    <w:rsid w:val="1CF333E6"/>
    <w:rsid w:val="1D01266C"/>
    <w:rsid w:val="1D0344AF"/>
    <w:rsid w:val="1D0565E2"/>
    <w:rsid w:val="1D060AE3"/>
    <w:rsid w:val="1D130803"/>
    <w:rsid w:val="1D1C269E"/>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24DB"/>
    <w:rsid w:val="1DC476CF"/>
    <w:rsid w:val="1DC77F7C"/>
    <w:rsid w:val="1DCB6F08"/>
    <w:rsid w:val="1DD0335C"/>
    <w:rsid w:val="1DD57D51"/>
    <w:rsid w:val="1DD71602"/>
    <w:rsid w:val="1DE93E7E"/>
    <w:rsid w:val="1DF34B6C"/>
    <w:rsid w:val="1DFC3B16"/>
    <w:rsid w:val="1E077895"/>
    <w:rsid w:val="1E082974"/>
    <w:rsid w:val="1E096B47"/>
    <w:rsid w:val="1E144418"/>
    <w:rsid w:val="1E1E21E7"/>
    <w:rsid w:val="1E2566DA"/>
    <w:rsid w:val="1E27199E"/>
    <w:rsid w:val="1E2744BB"/>
    <w:rsid w:val="1E2D3F96"/>
    <w:rsid w:val="1E2D48C4"/>
    <w:rsid w:val="1E32366D"/>
    <w:rsid w:val="1E340CC4"/>
    <w:rsid w:val="1E3A413D"/>
    <w:rsid w:val="1E3C1D79"/>
    <w:rsid w:val="1E3F425E"/>
    <w:rsid w:val="1E4B2A17"/>
    <w:rsid w:val="1E510853"/>
    <w:rsid w:val="1E5A7CA4"/>
    <w:rsid w:val="1E616C9F"/>
    <w:rsid w:val="1E635018"/>
    <w:rsid w:val="1E6C643A"/>
    <w:rsid w:val="1E7177FA"/>
    <w:rsid w:val="1E740181"/>
    <w:rsid w:val="1E78479C"/>
    <w:rsid w:val="1E814CED"/>
    <w:rsid w:val="1E820184"/>
    <w:rsid w:val="1E8469F9"/>
    <w:rsid w:val="1E88172A"/>
    <w:rsid w:val="1E934FB1"/>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24AF3"/>
    <w:rsid w:val="1FC83083"/>
    <w:rsid w:val="1FC93095"/>
    <w:rsid w:val="1FC97C87"/>
    <w:rsid w:val="1FCA1C46"/>
    <w:rsid w:val="1FCC023A"/>
    <w:rsid w:val="1FCE7A65"/>
    <w:rsid w:val="1FD57CD6"/>
    <w:rsid w:val="1FD63C88"/>
    <w:rsid w:val="1FD73351"/>
    <w:rsid w:val="1FDA1237"/>
    <w:rsid w:val="1FDA5CF1"/>
    <w:rsid w:val="1FDE3F49"/>
    <w:rsid w:val="1FE715FA"/>
    <w:rsid w:val="1FE933AA"/>
    <w:rsid w:val="1FEE7A6A"/>
    <w:rsid w:val="1FEF5033"/>
    <w:rsid w:val="1FF468DA"/>
    <w:rsid w:val="1FF92E9C"/>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50D7F"/>
    <w:rsid w:val="206B3216"/>
    <w:rsid w:val="206C54C7"/>
    <w:rsid w:val="206C678C"/>
    <w:rsid w:val="207A6FC2"/>
    <w:rsid w:val="207F1949"/>
    <w:rsid w:val="207F3ABC"/>
    <w:rsid w:val="207F43D9"/>
    <w:rsid w:val="209128E5"/>
    <w:rsid w:val="209E2236"/>
    <w:rsid w:val="209E3773"/>
    <w:rsid w:val="20A25B42"/>
    <w:rsid w:val="20A84AFD"/>
    <w:rsid w:val="20B336D0"/>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2A7569"/>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1FF4DEA"/>
    <w:rsid w:val="220643AF"/>
    <w:rsid w:val="22077889"/>
    <w:rsid w:val="220C644E"/>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B64E51"/>
    <w:rsid w:val="22BB1853"/>
    <w:rsid w:val="22D51866"/>
    <w:rsid w:val="22E305BB"/>
    <w:rsid w:val="22E70C69"/>
    <w:rsid w:val="22E7193E"/>
    <w:rsid w:val="22EE7034"/>
    <w:rsid w:val="23062C52"/>
    <w:rsid w:val="23165796"/>
    <w:rsid w:val="23167EA3"/>
    <w:rsid w:val="231B17F9"/>
    <w:rsid w:val="231D5346"/>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E6B3F"/>
    <w:rsid w:val="23E11DA2"/>
    <w:rsid w:val="23E235B0"/>
    <w:rsid w:val="23E7247A"/>
    <w:rsid w:val="23F66BE1"/>
    <w:rsid w:val="23FF3A34"/>
    <w:rsid w:val="24044813"/>
    <w:rsid w:val="24052474"/>
    <w:rsid w:val="240D2E7E"/>
    <w:rsid w:val="2414034D"/>
    <w:rsid w:val="241C508B"/>
    <w:rsid w:val="241F3B4A"/>
    <w:rsid w:val="2428389C"/>
    <w:rsid w:val="242C5780"/>
    <w:rsid w:val="2439617A"/>
    <w:rsid w:val="24400251"/>
    <w:rsid w:val="244A2922"/>
    <w:rsid w:val="245005B3"/>
    <w:rsid w:val="24511959"/>
    <w:rsid w:val="24562B99"/>
    <w:rsid w:val="245D6E57"/>
    <w:rsid w:val="2463670D"/>
    <w:rsid w:val="24661A7D"/>
    <w:rsid w:val="24726ADD"/>
    <w:rsid w:val="247339F1"/>
    <w:rsid w:val="247D493C"/>
    <w:rsid w:val="248169C6"/>
    <w:rsid w:val="24873676"/>
    <w:rsid w:val="248F4D47"/>
    <w:rsid w:val="24934502"/>
    <w:rsid w:val="24940315"/>
    <w:rsid w:val="249604BE"/>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A2D11"/>
    <w:rsid w:val="25C01763"/>
    <w:rsid w:val="25C449A9"/>
    <w:rsid w:val="25C654B7"/>
    <w:rsid w:val="25C76E87"/>
    <w:rsid w:val="25C80064"/>
    <w:rsid w:val="25CA56AC"/>
    <w:rsid w:val="25CE6C46"/>
    <w:rsid w:val="25D97596"/>
    <w:rsid w:val="25DC5170"/>
    <w:rsid w:val="25E37902"/>
    <w:rsid w:val="25F044F9"/>
    <w:rsid w:val="25F531F5"/>
    <w:rsid w:val="25F72E1B"/>
    <w:rsid w:val="25F74971"/>
    <w:rsid w:val="25FD508B"/>
    <w:rsid w:val="26040109"/>
    <w:rsid w:val="26061962"/>
    <w:rsid w:val="26077E93"/>
    <w:rsid w:val="260824F0"/>
    <w:rsid w:val="260F672F"/>
    <w:rsid w:val="26175540"/>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167C04"/>
    <w:rsid w:val="271C07F5"/>
    <w:rsid w:val="271D1577"/>
    <w:rsid w:val="2722517B"/>
    <w:rsid w:val="2726309C"/>
    <w:rsid w:val="272A40E2"/>
    <w:rsid w:val="27325E70"/>
    <w:rsid w:val="27341B93"/>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F0F65"/>
    <w:rsid w:val="287721BE"/>
    <w:rsid w:val="287A2B04"/>
    <w:rsid w:val="28810C2F"/>
    <w:rsid w:val="28832153"/>
    <w:rsid w:val="28876550"/>
    <w:rsid w:val="288C402F"/>
    <w:rsid w:val="288C615D"/>
    <w:rsid w:val="28905410"/>
    <w:rsid w:val="2897247A"/>
    <w:rsid w:val="289A71C9"/>
    <w:rsid w:val="28A83B55"/>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3C79A7"/>
    <w:rsid w:val="29454D6E"/>
    <w:rsid w:val="2947284C"/>
    <w:rsid w:val="294D69AF"/>
    <w:rsid w:val="294F4DA4"/>
    <w:rsid w:val="295449EC"/>
    <w:rsid w:val="29554FB8"/>
    <w:rsid w:val="29580A24"/>
    <w:rsid w:val="29591EF6"/>
    <w:rsid w:val="295D23DB"/>
    <w:rsid w:val="29677AE4"/>
    <w:rsid w:val="2969051B"/>
    <w:rsid w:val="296F263E"/>
    <w:rsid w:val="297172A8"/>
    <w:rsid w:val="2983564B"/>
    <w:rsid w:val="2986365A"/>
    <w:rsid w:val="29897F36"/>
    <w:rsid w:val="298F2D60"/>
    <w:rsid w:val="299A5939"/>
    <w:rsid w:val="299E2EE4"/>
    <w:rsid w:val="29A0654A"/>
    <w:rsid w:val="29AA12A8"/>
    <w:rsid w:val="29B90F1F"/>
    <w:rsid w:val="29BE52CE"/>
    <w:rsid w:val="29C700C8"/>
    <w:rsid w:val="29CD4835"/>
    <w:rsid w:val="29DB2E13"/>
    <w:rsid w:val="29DB795F"/>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823EF9"/>
    <w:rsid w:val="2A8B4492"/>
    <w:rsid w:val="2A8E3797"/>
    <w:rsid w:val="2A94612D"/>
    <w:rsid w:val="2A9A4051"/>
    <w:rsid w:val="2A9C5B40"/>
    <w:rsid w:val="2A9D1683"/>
    <w:rsid w:val="2AA400F4"/>
    <w:rsid w:val="2AA45E35"/>
    <w:rsid w:val="2AA537EE"/>
    <w:rsid w:val="2AAB4DC0"/>
    <w:rsid w:val="2AAC54BB"/>
    <w:rsid w:val="2AB57FF9"/>
    <w:rsid w:val="2ABA6371"/>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3008EE"/>
    <w:rsid w:val="2D31047C"/>
    <w:rsid w:val="2D3178DC"/>
    <w:rsid w:val="2D324DB9"/>
    <w:rsid w:val="2D345AA6"/>
    <w:rsid w:val="2D396E42"/>
    <w:rsid w:val="2D3C1EC9"/>
    <w:rsid w:val="2D48403A"/>
    <w:rsid w:val="2D4E3F0C"/>
    <w:rsid w:val="2D5115F8"/>
    <w:rsid w:val="2D646B9E"/>
    <w:rsid w:val="2D700E9E"/>
    <w:rsid w:val="2D855815"/>
    <w:rsid w:val="2D8C13F0"/>
    <w:rsid w:val="2D903D37"/>
    <w:rsid w:val="2D976683"/>
    <w:rsid w:val="2D977534"/>
    <w:rsid w:val="2D9B7AEB"/>
    <w:rsid w:val="2DA93130"/>
    <w:rsid w:val="2DB13E03"/>
    <w:rsid w:val="2DB27C81"/>
    <w:rsid w:val="2DB70397"/>
    <w:rsid w:val="2DBC6AB9"/>
    <w:rsid w:val="2DCB3D94"/>
    <w:rsid w:val="2DDF7B52"/>
    <w:rsid w:val="2DE33C85"/>
    <w:rsid w:val="2DE35338"/>
    <w:rsid w:val="2DE53689"/>
    <w:rsid w:val="2DF36F84"/>
    <w:rsid w:val="2DF44115"/>
    <w:rsid w:val="2E113FBC"/>
    <w:rsid w:val="2E137ADD"/>
    <w:rsid w:val="2E194F3D"/>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E20386"/>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61921"/>
    <w:rsid w:val="2F502E1A"/>
    <w:rsid w:val="2F5F0E70"/>
    <w:rsid w:val="2F61762B"/>
    <w:rsid w:val="2F690CA0"/>
    <w:rsid w:val="2F6A2071"/>
    <w:rsid w:val="2F7002C7"/>
    <w:rsid w:val="2F730662"/>
    <w:rsid w:val="2F78451E"/>
    <w:rsid w:val="2F800AFA"/>
    <w:rsid w:val="2F846F0C"/>
    <w:rsid w:val="2F8512C8"/>
    <w:rsid w:val="2F853097"/>
    <w:rsid w:val="2F8C03DE"/>
    <w:rsid w:val="2F8F26F5"/>
    <w:rsid w:val="2F941189"/>
    <w:rsid w:val="2F962068"/>
    <w:rsid w:val="2F992A04"/>
    <w:rsid w:val="2F9961DF"/>
    <w:rsid w:val="2F9E5E02"/>
    <w:rsid w:val="2FA2026E"/>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E4539"/>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81640"/>
    <w:rsid w:val="30AB4B84"/>
    <w:rsid w:val="30AF6877"/>
    <w:rsid w:val="30B141D5"/>
    <w:rsid w:val="30B556A1"/>
    <w:rsid w:val="30B97331"/>
    <w:rsid w:val="30BA6D63"/>
    <w:rsid w:val="30BB7213"/>
    <w:rsid w:val="30BC2BA2"/>
    <w:rsid w:val="30C23A3B"/>
    <w:rsid w:val="30C36DBB"/>
    <w:rsid w:val="30CD18D2"/>
    <w:rsid w:val="30D6503C"/>
    <w:rsid w:val="30D751B9"/>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94B69"/>
    <w:rsid w:val="315B0515"/>
    <w:rsid w:val="31607AF5"/>
    <w:rsid w:val="316B6CEE"/>
    <w:rsid w:val="31705839"/>
    <w:rsid w:val="3182440D"/>
    <w:rsid w:val="31881438"/>
    <w:rsid w:val="318A4A8B"/>
    <w:rsid w:val="318C3787"/>
    <w:rsid w:val="31913A69"/>
    <w:rsid w:val="31922F44"/>
    <w:rsid w:val="31942A73"/>
    <w:rsid w:val="319B3CAA"/>
    <w:rsid w:val="319C66CB"/>
    <w:rsid w:val="31A474A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3E36AD"/>
    <w:rsid w:val="32415501"/>
    <w:rsid w:val="324276A3"/>
    <w:rsid w:val="32440A8B"/>
    <w:rsid w:val="324619A8"/>
    <w:rsid w:val="324639D0"/>
    <w:rsid w:val="32472605"/>
    <w:rsid w:val="32484049"/>
    <w:rsid w:val="324E20B8"/>
    <w:rsid w:val="32517337"/>
    <w:rsid w:val="325665C7"/>
    <w:rsid w:val="325719E8"/>
    <w:rsid w:val="325E6DEC"/>
    <w:rsid w:val="326170B4"/>
    <w:rsid w:val="3264531C"/>
    <w:rsid w:val="32665466"/>
    <w:rsid w:val="326B38EB"/>
    <w:rsid w:val="32724D99"/>
    <w:rsid w:val="327D79D8"/>
    <w:rsid w:val="32867F83"/>
    <w:rsid w:val="32892A4B"/>
    <w:rsid w:val="3295163A"/>
    <w:rsid w:val="32AB0069"/>
    <w:rsid w:val="32B736BD"/>
    <w:rsid w:val="32B75AFA"/>
    <w:rsid w:val="32B865A2"/>
    <w:rsid w:val="32B95D84"/>
    <w:rsid w:val="32BE6E92"/>
    <w:rsid w:val="32C22B87"/>
    <w:rsid w:val="32DD079A"/>
    <w:rsid w:val="32DF641E"/>
    <w:rsid w:val="32E70824"/>
    <w:rsid w:val="32F94FBF"/>
    <w:rsid w:val="32FE6CC1"/>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A07FCF"/>
    <w:rsid w:val="33A13F7B"/>
    <w:rsid w:val="33A22E78"/>
    <w:rsid w:val="33A8589B"/>
    <w:rsid w:val="33A932A0"/>
    <w:rsid w:val="33AC172F"/>
    <w:rsid w:val="33B95F01"/>
    <w:rsid w:val="33B96650"/>
    <w:rsid w:val="33BF1D10"/>
    <w:rsid w:val="33C07D0A"/>
    <w:rsid w:val="33C1017A"/>
    <w:rsid w:val="33D72897"/>
    <w:rsid w:val="33DE0862"/>
    <w:rsid w:val="33E0483A"/>
    <w:rsid w:val="33E170B6"/>
    <w:rsid w:val="33E541A9"/>
    <w:rsid w:val="33E93BB1"/>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6E1392"/>
    <w:rsid w:val="347362F2"/>
    <w:rsid w:val="347D1832"/>
    <w:rsid w:val="34843B16"/>
    <w:rsid w:val="34886F7C"/>
    <w:rsid w:val="34890665"/>
    <w:rsid w:val="348A1DB8"/>
    <w:rsid w:val="348C2515"/>
    <w:rsid w:val="34980D1E"/>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610B1"/>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8445C"/>
    <w:rsid w:val="36400122"/>
    <w:rsid w:val="364A0E13"/>
    <w:rsid w:val="364D39D1"/>
    <w:rsid w:val="364F3CBA"/>
    <w:rsid w:val="365612E8"/>
    <w:rsid w:val="36611770"/>
    <w:rsid w:val="36612B90"/>
    <w:rsid w:val="36631030"/>
    <w:rsid w:val="366513C8"/>
    <w:rsid w:val="36692433"/>
    <w:rsid w:val="367A6999"/>
    <w:rsid w:val="367E6E55"/>
    <w:rsid w:val="367F4CE0"/>
    <w:rsid w:val="36825469"/>
    <w:rsid w:val="3686608C"/>
    <w:rsid w:val="36894783"/>
    <w:rsid w:val="368A7B73"/>
    <w:rsid w:val="369023C3"/>
    <w:rsid w:val="369D01F1"/>
    <w:rsid w:val="36A37803"/>
    <w:rsid w:val="36AD62EF"/>
    <w:rsid w:val="36B55922"/>
    <w:rsid w:val="36B8557E"/>
    <w:rsid w:val="36BD0318"/>
    <w:rsid w:val="36C142BF"/>
    <w:rsid w:val="36CA1F25"/>
    <w:rsid w:val="36CB3E3D"/>
    <w:rsid w:val="36CE0FF3"/>
    <w:rsid w:val="36D74BB3"/>
    <w:rsid w:val="36D87F8B"/>
    <w:rsid w:val="36DD1A7C"/>
    <w:rsid w:val="36DE0951"/>
    <w:rsid w:val="36E1021E"/>
    <w:rsid w:val="36EB0E6D"/>
    <w:rsid w:val="36F210B1"/>
    <w:rsid w:val="36FA6519"/>
    <w:rsid w:val="36FB1BE5"/>
    <w:rsid w:val="36FD5A14"/>
    <w:rsid w:val="37007AC7"/>
    <w:rsid w:val="37021CB0"/>
    <w:rsid w:val="37055A40"/>
    <w:rsid w:val="370E4B59"/>
    <w:rsid w:val="370E4DC9"/>
    <w:rsid w:val="370F0884"/>
    <w:rsid w:val="3713703C"/>
    <w:rsid w:val="371D1C1E"/>
    <w:rsid w:val="371F5B4E"/>
    <w:rsid w:val="371F6EDC"/>
    <w:rsid w:val="372A09FA"/>
    <w:rsid w:val="37330115"/>
    <w:rsid w:val="373529C0"/>
    <w:rsid w:val="37363185"/>
    <w:rsid w:val="373F75C8"/>
    <w:rsid w:val="374008E5"/>
    <w:rsid w:val="3748408D"/>
    <w:rsid w:val="374C5FA0"/>
    <w:rsid w:val="37512525"/>
    <w:rsid w:val="375A58F4"/>
    <w:rsid w:val="375F2D0C"/>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253AC"/>
    <w:rsid w:val="37B73B33"/>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B457C"/>
    <w:rsid w:val="395E6FAD"/>
    <w:rsid w:val="396252C6"/>
    <w:rsid w:val="396C6E6C"/>
    <w:rsid w:val="396D0C84"/>
    <w:rsid w:val="397F27D6"/>
    <w:rsid w:val="39866ED7"/>
    <w:rsid w:val="39870C7F"/>
    <w:rsid w:val="39882673"/>
    <w:rsid w:val="39980102"/>
    <w:rsid w:val="39993040"/>
    <w:rsid w:val="399C08D7"/>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64EB2"/>
    <w:rsid w:val="3A791CD8"/>
    <w:rsid w:val="3A7E250A"/>
    <w:rsid w:val="3A7E4600"/>
    <w:rsid w:val="3A8025FB"/>
    <w:rsid w:val="3A88407C"/>
    <w:rsid w:val="3A895FAF"/>
    <w:rsid w:val="3A925378"/>
    <w:rsid w:val="3A9611FB"/>
    <w:rsid w:val="3A9B4F40"/>
    <w:rsid w:val="3A9E4C98"/>
    <w:rsid w:val="3AA23444"/>
    <w:rsid w:val="3AA47C58"/>
    <w:rsid w:val="3AA9254B"/>
    <w:rsid w:val="3AAF39DD"/>
    <w:rsid w:val="3AB06356"/>
    <w:rsid w:val="3ABA4B23"/>
    <w:rsid w:val="3AC039A5"/>
    <w:rsid w:val="3AC20A9E"/>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733F3E"/>
    <w:rsid w:val="3B752549"/>
    <w:rsid w:val="3B753CCF"/>
    <w:rsid w:val="3B7B6258"/>
    <w:rsid w:val="3B7C16F1"/>
    <w:rsid w:val="3B7D36E1"/>
    <w:rsid w:val="3B7E0219"/>
    <w:rsid w:val="3B89320E"/>
    <w:rsid w:val="3B8A52AF"/>
    <w:rsid w:val="3B8A6A1F"/>
    <w:rsid w:val="3B8C7EB7"/>
    <w:rsid w:val="3B8F082B"/>
    <w:rsid w:val="3B910482"/>
    <w:rsid w:val="3B9B6F13"/>
    <w:rsid w:val="3BB0575A"/>
    <w:rsid w:val="3BB16615"/>
    <w:rsid w:val="3BB96052"/>
    <w:rsid w:val="3BBA4271"/>
    <w:rsid w:val="3BBD1447"/>
    <w:rsid w:val="3BC05AA5"/>
    <w:rsid w:val="3BC731AB"/>
    <w:rsid w:val="3BCE0130"/>
    <w:rsid w:val="3BDC6833"/>
    <w:rsid w:val="3BE5760A"/>
    <w:rsid w:val="3BE97F3F"/>
    <w:rsid w:val="3BED1959"/>
    <w:rsid w:val="3BED69ED"/>
    <w:rsid w:val="3BF736C7"/>
    <w:rsid w:val="3BF817EA"/>
    <w:rsid w:val="3BF91A21"/>
    <w:rsid w:val="3BFD170B"/>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74C1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B5E88"/>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13749E"/>
    <w:rsid w:val="3E187D1F"/>
    <w:rsid w:val="3E1C3525"/>
    <w:rsid w:val="3E200B4B"/>
    <w:rsid w:val="3E225DB0"/>
    <w:rsid w:val="3E2658AC"/>
    <w:rsid w:val="3E2B1230"/>
    <w:rsid w:val="3E3D069E"/>
    <w:rsid w:val="3E3F1102"/>
    <w:rsid w:val="3E483582"/>
    <w:rsid w:val="3E4F50F0"/>
    <w:rsid w:val="3E5337D0"/>
    <w:rsid w:val="3E537DE4"/>
    <w:rsid w:val="3E554154"/>
    <w:rsid w:val="3E5807FD"/>
    <w:rsid w:val="3E5F165E"/>
    <w:rsid w:val="3E650A83"/>
    <w:rsid w:val="3E6547E9"/>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E1FC0"/>
    <w:rsid w:val="3EA300A7"/>
    <w:rsid w:val="3EA71DD5"/>
    <w:rsid w:val="3EAF1BD3"/>
    <w:rsid w:val="3EBD425F"/>
    <w:rsid w:val="3EC10636"/>
    <w:rsid w:val="3EC3043C"/>
    <w:rsid w:val="3EC8679C"/>
    <w:rsid w:val="3ED21F76"/>
    <w:rsid w:val="3ED56178"/>
    <w:rsid w:val="3EDA729E"/>
    <w:rsid w:val="3EDC3881"/>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D00AC"/>
    <w:rsid w:val="3FFB4C57"/>
    <w:rsid w:val="4002562A"/>
    <w:rsid w:val="400A2075"/>
    <w:rsid w:val="400D463C"/>
    <w:rsid w:val="400D69C0"/>
    <w:rsid w:val="40121A4C"/>
    <w:rsid w:val="401E1F88"/>
    <w:rsid w:val="40266EE6"/>
    <w:rsid w:val="402D166A"/>
    <w:rsid w:val="402E2668"/>
    <w:rsid w:val="403E203C"/>
    <w:rsid w:val="40406945"/>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9177AF"/>
    <w:rsid w:val="409223C9"/>
    <w:rsid w:val="409B660A"/>
    <w:rsid w:val="409C2625"/>
    <w:rsid w:val="409E7EBB"/>
    <w:rsid w:val="40A52365"/>
    <w:rsid w:val="40A843C0"/>
    <w:rsid w:val="40A93DFB"/>
    <w:rsid w:val="40A96AA7"/>
    <w:rsid w:val="40AA4478"/>
    <w:rsid w:val="40B04F11"/>
    <w:rsid w:val="40B10BBD"/>
    <w:rsid w:val="40BB4C7D"/>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514EB8"/>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C700B"/>
    <w:rsid w:val="447F0C72"/>
    <w:rsid w:val="447F27A2"/>
    <w:rsid w:val="448623BD"/>
    <w:rsid w:val="448A692C"/>
    <w:rsid w:val="448B5A75"/>
    <w:rsid w:val="44982F38"/>
    <w:rsid w:val="449A4E8D"/>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1B1444"/>
    <w:rsid w:val="453A3D5A"/>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A07153"/>
    <w:rsid w:val="49A42C3A"/>
    <w:rsid w:val="49A63E09"/>
    <w:rsid w:val="49A67E4A"/>
    <w:rsid w:val="49AE68B8"/>
    <w:rsid w:val="49BA40F4"/>
    <w:rsid w:val="49BD0C30"/>
    <w:rsid w:val="49C068FC"/>
    <w:rsid w:val="49C302B6"/>
    <w:rsid w:val="49C60139"/>
    <w:rsid w:val="49C63B01"/>
    <w:rsid w:val="49E6704C"/>
    <w:rsid w:val="49E74780"/>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F32A8"/>
    <w:rsid w:val="4BBA5C6F"/>
    <w:rsid w:val="4BC3761F"/>
    <w:rsid w:val="4BC45D51"/>
    <w:rsid w:val="4BD643C6"/>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A5D13"/>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64BDE"/>
    <w:rsid w:val="4D97331D"/>
    <w:rsid w:val="4DA22F6F"/>
    <w:rsid w:val="4DA366F2"/>
    <w:rsid w:val="4DAA485A"/>
    <w:rsid w:val="4DB320B4"/>
    <w:rsid w:val="4DB378BC"/>
    <w:rsid w:val="4DB74F6F"/>
    <w:rsid w:val="4DBF78FA"/>
    <w:rsid w:val="4DC43E1F"/>
    <w:rsid w:val="4DCA651D"/>
    <w:rsid w:val="4DCE0156"/>
    <w:rsid w:val="4DD41FFC"/>
    <w:rsid w:val="4DD455C4"/>
    <w:rsid w:val="4DD46851"/>
    <w:rsid w:val="4DE75BEC"/>
    <w:rsid w:val="4DED17F1"/>
    <w:rsid w:val="4DEE1BA4"/>
    <w:rsid w:val="4DF22F98"/>
    <w:rsid w:val="4DF67C34"/>
    <w:rsid w:val="4DF85277"/>
    <w:rsid w:val="4DFC5B74"/>
    <w:rsid w:val="4E00643A"/>
    <w:rsid w:val="4E0167FB"/>
    <w:rsid w:val="4E1911BA"/>
    <w:rsid w:val="4E1A5E9B"/>
    <w:rsid w:val="4E1F6FFD"/>
    <w:rsid w:val="4E206385"/>
    <w:rsid w:val="4E214188"/>
    <w:rsid w:val="4E220315"/>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17779"/>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F027730"/>
    <w:rsid w:val="4F043367"/>
    <w:rsid w:val="4F05494C"/>
    <w:rsid w:val="4F0D50A9"/>
    <w:rsid w:val="4F1535E3"/>
    <w:rsid w:val="4F1867DF"/>
    <w:rsid w:val="4F1A62E3"/>
    <w:rsid w:val="4F20737B"/>
    <w:rsid w:val="4F265D17"/>
    <w:rsid w:val="4F274B63"/>
    <w:rsid w:val="4F311C64"/>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5268C"/>
    <w:rsid w:val="4FA84803"/>
    <w:rsid w:val="4FAD3B8D"/>
    <w:rsid w:val="4FB14873"/>
    <w:rsid w:val="4FC804D5"/>
    <w:rsid w:val="4FCC1A25"/>
    <w:rsid w:val="4FD453BC"/>
    <w:rsid w:val="4FD539AF"/>
    <w:rsid w:val="4FE21BA6"/>
    <w:rsid w:val="4FE31A0B"/>
    <w:rsid w:val="4FE65F52"/>
    <w:rsid w:val="4FEB699A"/>
    <w:rsid w:val="4FF03A48"/>
    <w:rsid w:val="4FF22676"/>
    <w:rsid w:val="4FFE1B06"/>
    <w:rsid w:val="50047F66"/>
    <w:rsid w:val="50090729"/>
    <w:rsid w:val="500A40D7"/>
    <w:rsid w:val="501D6A08"/>
    <w:rsid w:val="502138A5"/>
    <w:rsid w:val="50271405"/>
    <w:rsid w:val="502723B7"/>
    <w:rsid w:val="502B0829"/>
    <w:rsid w:val="503113D8"/>
    <w:rsid w:val="50325B26"/>
    <w:rsid w:val="503559EC"/>
    <w:rsid w:val="503A4A45"/>
    <w:rsid w:val="503E36FA"/>
    <w:rsid w:val="50452CF4"/>
    <w:rsid w:val="5048257B"/>
    <w:rsid w:val="505A67EB"/>
    <w:rsid w:val="507106E1"/>
    <w:rsid w:val="507157DD"/>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F1A3E"/>
    <w:rsid w:val="5110524E"/>
    <w:rsid w:val="511C56B7"/>
    <w:rsid w:val="511D153D"/>
    <w:rsid w:val="51205FD8"/>
    <w:rsid w:val="51241CE5"/>
    <w:rsid w:val="512A49B6"/>
    <w:rsid w:val="512E371C"/>
    <w:rsid w:val="513B5778"/>
    <w:rsid w:val="513C4376"/>
    <w:rsid w:val="51400930"/>
    <w:rsid w:val="5140480D"/>
    <w:rsid w:val="51435D0C"/>
    <w:rsid w:val="51446169"/>
    <w:rsid w:val="514F5C22"/>
    <w:rsid w:val="5152697A"/>
    <w:rsid w:val="515835D2"/>
    <w:rsid w:val="515E509C"/>
    <w:rsid w:val="515E57B7"/>
    <w:rsid w:val="51662CD2"/>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74D8F"/>
    <w:rsid w:val="521952B3"/>
    <w:rsid w:val="521B44C0"/>
    <w:rsid w:val="521E5FFD"/>
    <w:rsid w:val="52217DB8"/>
    <w:rsid w:val="52230F41"/>
    <w:rsid w:val="523229AB"/>
    <w:rsid w:val="523F7113"/>
    <w:rsid w:val="524450A3"/>
    <w:rsid w:val="52447FE3"/>
    <w:rsid w:val="524D5AFB"/>
    <w:rsid w:val="52510CC8"/>
    <w:rsid w:val="52583CBA"/>
    <w:rsid w:val="525D3F9D"/>
    <w:rsid w:val="52643FB3"/>
    <w:rsid w:val="5268101F"/>
    <w:rsid w:val="526D7E77"/>
    <w:rsid w:val="5270414C"/>
    <w:rsid w:val="52765CA0"/>
    <w:rsid w:val="528331E0"/>
    <w:rsid w:val="52854BA3"/>
    <w:rsid w:val="52876BB3"/>
    <w:rsid w:val="52884091"/>
    <w:rsid w:val="52A770BB"/>
    <w:rsid w:val="52B224F0"/>
    <w:rsid w:val="52B41F04"/>
    <w:rsid w:val="52C249D3"/>
    <w:rsid w:val="52C54517"/>
    <w:rsid w:val="52C660C9"/>
    <w:rsid w:val="52C93B57"/>
    <w:rsid w:val="52CF29D7"/>
    <w:rsid w:val="52D94139"/>
    <w:rsid w:val="52E249FF"/>
    <w:rsid w:val="52E3567F"/>
    <w:rsid w:val="52EA44DD"/>
    <w:rsid w:val="52ED06D4"/>
    <w:rsid w:val="52F77AA6"/>
    <w:rsid w:val="53001BB3"/>
    <w:rsid w:val="530265E4"/>
    <w:rsid w:val="5303553A"/>
    <w:rsid w:val="530F18BE"/>
    <w:rsid w:val="53143779"/>
    <w:rsid w:val="53170772"/>
    <w:rsid w:val="531A157E"/>
    <w:rsid w:val="531B1336"/>
    <w:rsid w:val="531B3817"/>
    <w:rsid w:val="531B7915"/>
    <w:rsid w:val="53224FD2"/>
    <w:rsid w:val="53264D65"/>
    <w:rsid w:val="532931AC"/>
    <w:rsid w:val="5329727D"/>
    <w:rsid w:val="5333135D"/>
    <w:rsid w:val="5335141B"/>
    <w:rsid w:val="533E5E7B"/>
    <w:rsid w:val="53400B7B"/>
    <w:rsid w:val="534555A6"/>
    <w:rsid w:val="534B0EBC"/>
    <w:rsid w:val="534C24FC"/>
    <w:rsid w:val="53501B3A"/>
    <w:rsid w:val="53551BB1"/>
    <w:rsid w:val="5356472D"/>
    <w:rsid w:val="536129FA"/>
    <w:rsid w:val="5361358E"/>
    <w:rsid w:val="53671704"/>
    <w:rsid w:val="5367646B"/>
    <w:rsid w:val="536A2A38"/>
    <w:rsid w:val="536B0CB9"/>
    <w:rsid w:val="537514ED"/>
    <w:rsid w:val="53764081"/>
    <w:rsid w:val="537940BF"/>
    <w:rsid w:val="537E4B8D"/>
    <w:rsid w:val="537F4D4E"/>
    <w:rsid w:val="53812044"/>
    <w:rsid w:val="53815461"/>
    <w:rsid w:val="53946542"/>
    <w:rsid w:val="53976B51"/>
    <w:rsid w:val="53987838"/>
    <w:rsid w:val="53A5420C"/>
    <w:rsid w:val="53A85BCE"/>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A2B5E"/>
    <w:rsid w:val="53EC58A9"/>
    <w:rsid w:val="53EF3446"/>
    <w:rsid w:val="53F01264"/>
    <w:rsid w:val="53FC0EC4"/>
    <w:rsid w:val="5400395F"/>
    <w:rsid w:val="54055260"/>
    <w:rsid w:val="54062707"/>
    <w:rsid w:val="540968E5"/>
    <w:rsid w:val="541233D7"/>
    <w:rsid w:val="541C389D"/>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D51A63"/>
    <w:rsid w:val="54D65F23"/>
    <w:rsid w:val="54E55C69"/>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07663"/>
    <w:rsid w:val="553271D3"/>
    <w:rsid w:val="55434CE1"/>
    <w:rsid w:val="55455A43"/>
    <w:rsid w:val="554B700A"/>
    <w:rsid w:val="554F2666"/>
    <w:rsid w:val="5551138E"/>
    <w:rsid w:val="55535008"/>
    <w:rsid w:val="5561078A"/>
    <w:rsid w:val="55622A9D"/>
    <w:rsid w:val="556C60B3"/>
    <w:rsid w:val="557408DD"/>
    <w:rsid w:val="55754E2B"/>
    <w:rsid w:val="55945D37"/>
    <w:rsid w:val="55A65786"/>
    <w:rsid w:val="55AA0F8C"/>
    <w:rsid w:val="55B118DC"/>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6FF3316"/>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2F0CC2"/>
    <w:rsid w:val="573518D3"/>
    <w:rsid w:val="5738404A"/>
    <w:rsid w:val="573D3614"/>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A1557A"/>
    <w:rsid w:val="57A50BBD"/>
    <w:rsid w:val="57B62664"/>
    <w:rsid w:val="57BA17D6"/>
    <w:rsid w:val="57BA2E63"/>
    <w:rsid w:val="57C24C91"/>
    <w:rsid w:val="57C6793C"/>
    <w:rsid w:val="57D255B6"/>
    <w:rsid w:val="57DC2F5F"/>
    <w:rsid w:val="57E431F5"/>
    <w:rsid w:val="57E91CD3"/>
    <w:rsid w:val="57EC1DA4"/>
    <w:rsid w:val="57EE6662"/>
    <w:rsid w:val="57FB056D"/>
    <w:rsid w:val="57FC57BD"/>
    <w:rsid w:val="57FF5347"/>
    <w:rsid w:val="57FF6155"/>
    <w:rsid w:val="580140A6"/>
    <w:rsid w:val="580B6E3C"/>
    <w:rsid w:val="580C1C8E"/>
    <w:rsid w:val="580E0C7E"/>
    <w:rsid w:val="58120B37"/>
    <w:rsid w:val="581E5ECA"/>
    <w:rsid w:val="581E62DD"/>
    <w:rsid w:val="582009E7"/>
    <w:rsid w:val="58251AFB"/>
    <w:rsid w:val="58291B84"/>
    <w:rsid w:val="582D49F1"/>
    <w:rsid w:val="58322A63"/>
    <w:rsid w:val="58342026"/>
    <w:rsid w:val="583A4ECC"/>
    <w:rsid w:val="58424556"/>
    <w:rsid w:val="58457294"/>
    <w:rsid w:val="584618FD"/>
    <w:rsid w:val="585230D2"/>
    <w:rsid w:val="58527C59"/>
    <w:rsid w:val="58532CF4"/>
    <w:rsid w:val="585673E9"/>
    <w:rsid w:val="58597459"/>
    <w:rsid w:val="586A36B1"/>
    <w:rsid w:val="586C3CC6"/>
    <w:rsid w:val="58743043"/>
    <w:rsid w:val="58783CFA"/>
    <w:rsid w:val="588D3EBA"/>
    <w:rsid w:val="58926996"/>
    <w:rsid w:val="589275AB"/>
    <w:rsid w:val="58950814"/>
    <w:rsid w:val="58951088"/>
    <w:rsid w:val="58961A67"/>
    <w:rsid w:val="58990FC0"/>
    <w:rsid w:val="58A14C54"/>
    <w:rsid w:val="58A45EF0"/>
    <w:rsid w:val="58A64233"/>
    <w:rsid w:val="58A75A19"/>
    <w:rsid w:val="58BB3DC0"/>
    <w:rsid w:val="58BB6E11"/>
    <w:rsid w:val="58C579F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93623"/>
    <w:rsid w:val="596A0C5D"/>
    <w:rsid w:val="597236A0"/>
    <w:rsid w:val="5978585C"/>
    <w:rsid w:val="59792E3F"/>
    <w:rsid w:val="598A07E5"/>
    <w:rsid w:val="59903A66"/>
    <w:rsid w:val="59924FF5"/>
    <w:rsid w:val="59A1092E"/>
    <w:rsid w:val="59B56492"/>
    <w:rsid w:val="59BC0857"/>
    <w:rsid w:val="59C2661C"/>
    <w:rsid w:val="59C35ACF"/>
    <w:rsid w:val="59C72B96"/>
    <w:rsid w:val="59D27A3C"/>
    <w:rsid w:val="59E235F0"/>
    <w:rsid w:val="59E66C46"/>
    <w:rsid w:val="59E87613"/>
    <w:rsid w:val="5A02182B"/>
    <w:rsid w:val="5A03666B"/>
    <w:rsid w:val="5A040749"/>
    <w:rsid w:val="5A086181"/>
    <w:rsid w:val="5A090127"/>
    <w:rsid w:val="5A0D509A"/>
    <w:rsid w:val="5A18540C"/>
    <w:rsid w:val="5A1C2E6F"/>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86267D"/>
    <w:rsid w:val="5A8A5E83"/>
    <w:rsid w:val="5A9027C1"/>
    <w:rsid w:val="5AA20ED6"/>
    <w:rsid w:val="5AA708CA"/>
    <w:rsid w:val="5AAC551A"/>
    <w:rsid w:val="5AB362A3"/>
    <w:rsid w:val="5AB37F0E"/>
    <w:rsid w:val="5AC12B18"/>
    <w:rsid w:val="5AC740A4"/>
    <w:rsid w:val="5ACC5ABE"/>
    <w:rsid w:val="5AD04D28"/>
    <w:rsid w:val="5AE81DA9"/>
    <w:rsid w:val="5AEA3D3A"/>
    <w:rsid w:val="5AF02A5F"/>
    <w:rsid w:val="5AF10899"/>
    <w:rsid w:val="5AF15610"/>
    <w:rsid w:val="5AF17F45"/>
    <w:rsid w:val="5AF26392"/>
    <w:rsid w:val="5AFD5309"/>
    <w:rsid w:val="5B0212D6"/>
    <w:rsid w:val="5B0B350F"/>
    <w:rsid w:val="5B0E1F32"/>
    <w:rsid w:val="5B200AE5"/>
    <w:rsid w:val="5B224E62"/>
    <w:rsid w:val="5B2A28AF"/>
    <w:rsid w:val="5B2D4026"/>
    <w:rsid w:val="5B2E4BDA"/>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7DAC"/>
    <w:rsid w:val="5BA43A12"/>
    <w:rsid w:val="5BA626B5"/>
    <w:rsid w:val="5BB075A4"/>
    <w:rsid w:val="5BB77E50"/>
    <w:rsid w:val="5BBA7EAC"/>
    <w:rsid w:val="5BBB37E1"/>
    <w:rsid w:val="5BBB3896"/>
    <w:rsid w:val="5BCD6444"/>
    <w:rsid w:val="5BDA7D40"/>
    <w:rsid w:val="5BE83172"/>
    <w:rsid w:val="5BEC326E"/>
    <w:rsid w:val="5BEF700B"/>
    <w:rsid w:val="5BFD5920"/>
    <w:rsid w:val="5C006DD5"/>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B0A0E"/>
    <w:rsid w:val="5C813C3F"/>
    <w:rsid w:val="5C817958"/>
    <w:rsid w:val="5C8A5D24"/>
    <w:rsid w:val="5C8C06C1"/>
    <w:rsid w:val="5C964412"/>
    <w:rsid w:val="5C992D62"/>
    <w:rsid w:val="5C9A5E31"/>
    <w:rsid w:val="5C9D12CA"/>
    <w:rsid w:val="5CA16127"/>
    <w:rsid w:val="5CA6222B"/>
    <w:rsid w:val="5CAD65A1"/>
    <w:rsid w:val="5CB02287"/>
    <w:rsid w:val="5CB2756A"/>
    <w:rsid w:val="5CBE2888"/>
    <w:rsid w:val="5CC24B59"/>
    <w:rsid w:val="5CC26ECC"/>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645705"/>
    <w:rsid w:val="5D6C6D20"/>
    <w:rsid w:val="5D703A41"/>
    <w:rsid w:val="5D742657"/>
    <w:rsid w:val="5D7863E2"/>
    <w:rsid w:val="5D7A5CAC"/>
    <w:rsid w:val="5D7B0085"/>
    <w:rsid w:val="5D7B50D7"/>
    <w:rsid w:val="5D7B7224"/>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A73BB"/>
    <w:rsid w:val="5E632099"/>
    <w:rsid w:val="5E6572A9"/>
    <w:rsid w:val="5E692294"/>
    <w:rsid w:val="5E6F4588"/>
    <w:rsid w:val="5E790CA0"/>
    <w:rsid w:val="5E7945FC"/>
    <w:rsid w:val="5E930082"/>
    <w:rsid w:val="5E9E413C"/>
    <w:rsid w:val="5E9E692E"/>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43A82"/>
    <w:rsid w:val="60447295"/>
    <w:rsid w:val="604E3377"/>
    <w:rsid w:val="6054527B"/>
    <w:rsid w:val="605A0E0D"/>
    <w:rsid w:val="60622528"/>
    <w:rsid w:val="60633807"/>
    <w:rsid w:val="60781F5C"/>
    <w:rsid w:val="607D45EE"/>
    <w:rsid w:val="607D47A2"/>
    <w:rsid w:val="607F45F5"/>
    <w:rsid w:val="607F6BA2"/>
    <w:rsid w:val="60811FCD"/>
    <w:rsid w:val="60857C95"/>
    <w:rsid w:val="608D7453"/>
    <w:rsid w:val="608E4E60"/>
    <w:rsid w:val="60A03E13"/>
    <w:rsid w:val="60A210EA"/>
    <w:rsid w:val="60A35595"/>
    <w:rsid w:val="60A62BB8"/>
    <w:rsid w:val="60A652C9"/>
    <w:rsid w:val="60AB1090"/>
    <w:rsid w:val="60AC24A1"/>
    <w:rsid w:val="60B3575F"/>
    <w:rsid w:val="60B96A64"/>
    <w:rsid w:val="60BE3971"/>
    <w:rsid w:val="60C36BAA"/>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D2323"/>
    <w:rsid w:val="613045F7"/>
    <w:rsid w:val="613E6D9F"/>
    <w:rsid w:val="614100E3"/>
    <w:rsid w:val="6145645F"/>
    <w:rsid w:val="614B50C1"/>
    <w:rsid w:val="614B703A"/>
    <w:rsid w:val="614F3793"/>
    <w:rsid w:val="61517443"/>
    <w:rsid w:val="615F0190"/>
    <w:rsid w:val="616059C4"/>
    <w:rsid w:val="61705025"/>
    <w:rsid w:val="61705093"/>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F4DFD"/>
    <w:rsid w:val="62364403"/>
    <w:rsid w:val="62387CD2"/>
    <w:rsid w:val="623B5647"/>
    <w:rsid w:val="62436960"/>
    <w:rsid w:val="62524272"/>
    <w:rsid w:val="62543E3D"/>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900B3B"/>
    <w:rsid w:val="6391413A"/>
    <w:rsid w:val="63A666E4"/>
    <w:rsid w:val="63A8144B"/>
    <w:rsid w:val="63AC40B1"/>
    <w:rsid w:val="63AC7B01"/>
    <w:rsid w:val="63AF3A37"/>
    <w:rsid w:val="63B069B7"/>
    <w:rsid w:val="63C02AAE"/>
    <w:rsid w:val="63C71CF8"/>
    <w:rsid w:val="63C85E2C"/>
    <w:rsid w:val="63D20D97"/>
    <w:rsid w:val="63D62994"/>
    <w:rsid w:val="63D92960"/>
    <w:rsid w:val="63DB5F77"/>
    <w:rsid w:val="63E16321"/>
    <w:rsid w:val="63E35F3A"/>
    <w:rsid w:val="63EB7700"/>
    <w:rsid w:val="63EC4F0E"/>
    <w:rsid w:val="63F04C3D"/>
    <w:rsid w:val="63FF4C2E"/>
    <w:rsid w:val="6408039E"/>
    <w:rsid w:val="640A56AF"/>
    <w:rsid w:val="640E5FB2"/>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556"/>
    <w:rsid w:val="659E0CD8"/>
    <w:rsid w:val="65A3380C"/>
    <w:rsid w:val="65AB663F"/>
    <w:rsid w:val="65B44DD6"/>
    <w:rsid w:val="65C04F34"/>
    <w:rsid w:val="65C51E70"/>
    <w:rsid w:val="65C65A1B"/>
    <w:rsid w:val="65D21F83"/>
    <w:rsid w:val="65D33B65"/>
    <w:rsid w:val="65D36CD9"/>
    <w:rsid w:val="65D55F41"/>
    <w:rsid w:val="65D60201"/>
    <w:rsid w:val="65D95B4E"/>
    <w:rsid w:val="65DC4F6E"/>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05F7E"/>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57CE"/>
    <w:rsid w:val="68455D9A"/>
    <w:rsid w:val="68466D27"/>
    <w:rsid w:val="685066EB"/>
    <w:rsid w:val="6851197F"/>
    <w:rsid w:val="68642F50"/>
    <w:rsid w:val="6866152A"/>
    <w:rsid w:val="686D127F"/>
    <w:rsid w:val="687067F6"/>
    <w:rsid w:val="68747A3A"/>
    <w:rsid w:val="687F65AF"/>
    <w:rsid w:val="68802A41"/>
    <w:rsid w:val="68864EF9"/>
    <w:rsid w:val="688961EE"/>
    <w:rsid w:val="688D0A7F"/>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24B39"/>
    <w:rsid w:val="68FC7FC0"/>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880A72"/>
    <w:rsid w:val="6992357A"/>
    <w:rsid w:val="69A54114"/>
    <w:rsid w:val="69A70DD4"/>
    <w:rsid w:val="69AB1271"/>
    <w:rsid w:val="69B82F3E"/>
    <w:rsid w:val="69B868E7"/>
    <w:rsid w:val="69C76718"/>
    <w:rsid w:val="69C7697A"/>
    <w:rsid w:val="69C93883"/>
    <w:rsid w:val="69CF00C0"/>
    <w:rsid w:val="69D60658"/>
    <w:rsid w:val="69D85016"/>
    <w:rsid w:val="69DA61FE"/>
    <w:rsid w:val="69E67C99"/>
    <w:rsid w:val="69EE19C0"/>
    <w:rsid w:val="69F36455"/>
    <w:rsid w:val="69FF002A"/>
    <w:rsid w:val="69FF298F"/>
    <w:rsid w:val="6A00196F"/>
    <w:rsid w:val="6A0456C2"/>
    <w:rsid w:val="6A080B86"/>
    <w:rsid w:val="6A0A518E"/>
    <w:rsid w:val="6A0B1654"/>
    <w:rsid w:val="6A220495"/>
    <w:rsid w:val="6A223BC7"/>
    <w:rsid w:val="6A2343C6"/>
    <w:rsid w:val="6A272D1B"/>
    <w:rsid w:val="6A2D657D"/>
    <w:rsid w:val="6A305C56"/>
    <w:rsid w:val="6A396236"/>
    <w:rsid w:val="6A441179"/>
    <w:rsid w:val="6A4B0BF9"/>
    <w:rsid w:val="6A5318E5"/>
    <w:rsid w:val="6A5339AC"/>
    <w:rsid w:val="6A5D6D7D"/>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B05038A"/>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E3BE5"/>
    <w:rsid w:val="6CB561E6"/>
    <w:rsid w:val="6CC02E2E"/>
    <w:rsid w:val="6CCC1137"/>
    <w:rsid w:val="6CD04B41"/>
    <w:rsid w:val="6CD4339A"/>
    <w:rsid w:val="6CD9608A"/>
    <w:rsid w:val="6CD96E67"/>
    <w:rsid w:val="6CE1667B"/>
    <w:rsid w:val="6CE27AF9"/>
    <w:rsid w:val="6CE30221"/>
    <w:rsid w:val="6CE66A55"/>
    <w:rsid w:val="6CE971A7"/>
    <w:rsid w:val="6CF35220"/>
    <w:rsid w:val="6CF83B19"/>
    <w:rsid w:val="6CFD6FF9"/>
    <w:rsid w:val="6D001895"/>
    <w:rsid w:val="6D087E1C"/>
    <w:rsid w:val="6D0A50E5"/>
    <w:rsid w:val="6D0A79AB"/>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94AFC"/>
    <w:rsid w:val="6D5B1BDC"/>
    <w:rsid w:val="6D5E2775"/>
    <w:rsid w:val="6D6120F6"/>
    <w:rsid w:val="6D63246E"/>
    <w:rsid w:val="6D694605"/>
    <w:rsid w:val="6D696D90"/>
    <w:rsid w:val="6D791985"/>
    <w:rsid w:val="6D815288"/>
    <w:rsid w:val="6D860555"/>
    <w:rsid w:val="6D863AFA"/>
    <w:rsid w:val="6D8B4DB4"/>
    <w:rsid w:val="6D8C0E44"/>
    <w:rsid w:val="6D8C6820"/>
    <w:rsid w:val="6D997050"/>
    <w:rsid w:val="6DAD3869"/>
    <w:rsid w:val="6DB21075"/>
    <w:rsid w:val="6DB373AB"/>
    <w:rsid w:val="6DBB120B"/>
    <w:rsid w:val="6DBE1A43"/>
    <w:rsid w:val="6DCF476F"/>
    <w:rsid w:val="6DD2377C"/>
    <w:rsid w:val="6DD67667"/>
    <w:rsid w:val="6DE216EC"/>
    <w:rsid w:val="6DEF121C"/>
    <w:rsid w:val="6DF04651"/>
    <w:rsid w:val="6DF218DD"/>
    <w:rsid w:val="6DF73BD5"/>
    <w:rsid w:val="6DF825E5"/>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232"/>
    <w:rsid w:val="6FBE5979"/>
    <w:rsid w:val="6FC01F8F"/>
    <w:rsid w:val="6FC82C63"/>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2A275D"/>
    <w:rsid w:val="70315516"/>
    <w:rsid w:val="70363200"/>
    <w:rsid w:val="703663BA"/>
    <w:rsid w:val="70391A57"/>
    <w:rsid w:val="703D65DA"/>
    <w:rsid w:val="703E0BE8"/>
    <w:rsid w:val="703F5BF3"/>
    <w:rsid w:val="704C260E"/>
    <w:rsid w:val="70543CE2"/>
    <w:rsid w:val="70561F0A"/>
    <w:rsid w:val="705A03F6"/>
    <w:rsid w:val="705C0DF8"/>
    <w:rsid w:val="706458F5"/>
    <w:rsid w:val="7071791F"/>
    <w:rsid w:val="70752D52"/>
    <w:rsid w:val="707675BB"/>
    <w:rsid w:val="70780A97"/>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C49E3"/>
    <w:rsid w:val="720D1F2F"/>
    <w:rsid w:val="72130864"/>
    <w:rsid w:val="72134EA2"/>
    <w:rsid w:val="72256327"/>
    <w:rsid w:val="722F7E0B"/>
    <w:rsid w:val="72381050"/>
    <w:rsid w:val="723F37E3"/>
    <w:rsid w:val="724A2218"/>
    <w:rsid w:val="724E6338"/>
    <w:rsid w:val="7254225E"/>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C07FE"/>
    <w:rsid w:val="729C1ED0"/>
    <w:rsid w:val="729D10E3"/>
    <w:rsid w:val="72A65B46"/>
    <w:rsid w:val="72AB7053"/>
    <w:rsid w:val="72B05801"/>
    <w:rsid w:val="72B20521"/>
    <w:rsid w:val="72B80B69"/>
    <w:rsid w:val="72BF19FA"/>
    <w:rsid w:val="72C4162D"/>
    <w:rsid w:val="72C9473B"/>
    <w:rsid w:val="72D12258"/>
    <w:rsid w:val="72D17188"/>
    <w:rsid w:val="72D22A9C"/>
    <w:rsid w:val="72DA1241"/>
    <w:rsid w:val="72DC7380"/>
    <w:rsid w:val="72DE30C9"/>
    <w:rsid w:val="72E328D4"/>
    <w:rsid w:val="72E43F2E"/>
    <w:rsid w:val="72E95EF2"/>
    <w:rsid w:val="72EF074C"/>
    <w:rsid w:val="72FD1B9A"/>
    <w:rsid w:val="7303019B"/>
    <w:rsid w:val="73030A46"/>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73992"/>
    <w:rsid w:val="73AA47FB"/>
    <w:rsid w:val="73AD7669"/>
    <w:rsid w:val="73B04BCD"/>
    <w:rsid w:val="73B65D64"/>
    <w:rsid w:val="73B84164"/>
    <w:rsid w:val="73BC476F"/>
    <w:rsid w:val="73D14BBF"/>
    <w:rsid w:val="73E05A86"/>
    <w:rsid w:val="73E26FB6"/>
    <w:rsid w:val="73EA3625"/>
    <w:rsid w:val="73EC4687"/>
    <w:rsid w:val="73EF2AA3"/>
    <w:rsid w:val="73FD0584"/>
    <w:rsid w:val="7411406C"/>
    <w:rsid w:val="74126BC0"/>
    <w:rsid w:val="74150779"/>
    <w:rsid w:val="741538C0"/>
    <w:rsid w:val="742722C6"/>
    <w:rsid w:val="74273790"/>
    <w:rsid w:val="742E02D6"/>
    <w:rsid w:val="743720DF"/>
    <w:rsid w:val="743D1E3C"/>
    <w:rsid w:val="74401234"/>
    <w:rsid w:val="74432E49"/>
    <w:rsid w:val="74483CD1"/>
    <w:rsid w:val="744A263B"/>
    <w:rsid w:val="744D309E"/>
    <w:rsid w:val="745227D2"/>
    <w:rsid w:val="745530E9"/>
    <w:rsid w:val="745C1017"/>
    <w:rsid w:val="745C2583"/>
    <w:rsid w:val="745F5A4B"/>
    <w:rsid w:val="746022ED"/>
    <w:rsid w:val="74636492"/>
    <w:rsid w:val="74662ED2"/>
    <w:rsid w:val="74680C93"/>
    <w:rsid w:val="747B47C1"/>
    <w:rsid w:val="747B6FB9"/>
    <w:rsid w:val="748568CD"/>
    <w:rsid w:val="748969B2"/>
    <w:rsid w:val="749E4908"/>
    <w:rsid w:val="74A5111B"/>
    <w:rsid w:val="74A75EE2"/>
    <w:rsid w:val="74A76C06"/>
    <w:rsid w:val="74B046B9"/>
    <w:rsid w:val="74B1185B"/>
    <w:rsid w:val="74B570CF"/>
    <w:rsid w:val="74BB4B53"/>
    <w:rsid w:val="74BC09A1"/>
    <w:rsid w:val="74C11875"/>
    <w:rsid w:val="74C16799"/>
    <w:rsid w:val="74C177D1"/>
    <w:rsid w:val="74C24867"/>
    <w:rsid w:val="74C33C4B"/>
    <w:rsid w:val="74C57E09"/>
    <w:rsid w:val="74D329FB"/>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B76B43"/>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B51A95"/>
    <w:rsid w:val="76C525A7"/>
    <w:rsid w:val="76C83721"/>
    <w:rsid w:val="76CB270C"/>
    <w:rsid w:val="76D45087"/>
    <w:rsid w:val="76D97BC5"/>
    <w:rsid w:val="76DF4EBD"/>
    <w:rsid w:val="76E00191"/>
    <w:rsid w:val="76E4532B"/>
    <w:rsid w:val="76F15F05"/>
    <w:rsid w:val="76F529B8"/>
    <w:rsid w:val="76FB4AA4"/>
    <w:rsid w:val="76FB6A51"/>
    <w:rsid w:val="76FE3CC2"/>
    <w:rsid w:val="770E298E"/>
    <w:rsid w:val="7719452D"/>
    <w:rsid w:val="77210CB8"/>
    <w:rsid w:val="77233EFD"/>
    <w:rsid w:val="7727603A"/>
    <w:rsid w:val="772817C8"/>
    <w:rsid w:val="772E03EF"/>
    <w:rsid w:val="772E7C91"/>
    <w:rsid w:val="773310E3"/>
    <w:rsid w:val="77362DD1"/>
    <w:rsid w:val="77400600"/>
    <w:rsid w:val="77453C67"/>
    <w:rsid w:val="774F6913"/>
    <w:rsid w:val="77511B2F"/>
    <w:rsid w:val="77523C83"/>
    <w:rsid w:val="77546499"/>
    <w:rsid w:val="775C03D9"/>
    <w:rsid w:val="775D7B58"/>
    <w:rsid w:val="776B358A"/>
    <w:rsid w:val="776D1D78"/>
    <w:rsid w:val="77764CA1"/>
    <w:rsid w:val="777F3FCE"/>
    <w:rsid w:val="777F799B"/>
    <w:rsid w:val="778243A7"/>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8672E"/>
    <w:rsid w:val="79062161"/>
    <w:rsid w:val="790D20C1"/>
    <w:rsid w:val="79162D4D"/>
    <w:rsid w:val="792D38DD"/>
    <w:rsid w:val="792F7115"/>
    <w:rsid w:val="793149BC"/>
    <w:rsid w:val="793C27D0"/>
    <w:rsid w:val="794339C8"/>
    <w:rsid w:val="79481F08"/>
    <w:rsid w:val="79495EC6"/>
    <w:rsid w:val="79496D88"/>
    <w:rsid w:val="794C1DA6"/>
    <w:rsid w:val="794C2C0B"/>
    <w:rsid w:val="794F110E"/>
    <w:rsid w:val="794F5A03"/>
    <w:rsid w:val="795874B4"/>
    <w:rsid w:val="795C05B5"/>
    <w:rsid w:val="79605CAC"/>
    <w:rsid w:val="7961710C"/>
    <w:rsid w:val="796226B7"/>
    <w:rsid w:val="796C6B65"/>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0E49"/>
    <w:rsid w:val="7A6175D3"/>
    <w:rsid w:val="7A6840CE"/>
    <w:rsid w:val="7A74304F"/>
    <w:rsid w:val="7A7D7852"/>
    <w:rsid w:val="7A7F4BEA"/>
    <w:rsid w:val="7A854791"/>
    <w:rsid w:val="7A894151"/>
    <w:rsid w:val="7A8A1944"/>
    <w:rsid w:val="7A9379F9"/>
    <w:rsid w:val="7A975B0F"/>
    <w:rsid w:val="7A9F39E2"/>
    <w:rsid w:val="7A9F5541"/>
    <w:rsid w:val="7AA140F9"/>
    <w:rsid w:val="7AA9318C"/>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D5AF2"/>
    <w:rsid w:val="7B1F611D"/>
    <w:rsid w:val="7B204991"/>
    <w:rsid w:val="7B29370B"/>
    <w:rsid w:val="7B2C15CA"/>
    <w:rsid w:val="7B2C61C2"/>
    <w:rsid w:val="7B390BF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66796"/>
    <w:rsid w:val="7BFF4559"/>
    <w:rsid w:val="7C02162A"/>
    <w:rsid w:val="7C0827FE"/>
    <w:rsid w:val="7C084E85"/>
    <w:rsid w:val="7C0B1471"/>
    <w:rsid w:val="7C1211E6"/>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F607B"/>
    <w:rsid w:val="7C583982"/>
    <w:rsid w:val="7C61722C"/>
    <w:rsid w:val="7C6972EC"/>
    <w:rsid w:val="7C6B22AE"/>
    <w:rsid w:val="7C777C6F"/>
    <w:rsid w:val="7C7D0B32"/>
    <w:rsid w:val="7C817737"/>
    <w:rsid w:val="7C8B1147"/>
    <w:rsid w:val="7C8C5EFB"/>
    <w:rsid w:val="7C9F1C4C"/>
    <w:rsid w:val="7CA21A0F"/>
    <w:rsid w:val="7CA31AB6"/>
    <w:rsid w:val="7CA4518D"/>
    <w:rsid w:val="7CA50BAD"/>
    <w:rsid w:val="7CB302E8"/>
    <w:rsid w:val="7CB47910"/>
    <w:rsid w:val="7CB708C6"/>
    <w:rsid w:val="7CBE5D37"/>
    <w:rsid w:val="7CC83DDA"/>
    <w:rsid w:val="7CD17149"/>
    <w:rsid w:val="7CD27243"/>
    <w:rsid w:val="7CD730F8"/>
    <w:rsid w:val="7CDF2665"/>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155349"/>
    <w:rsid w:val="7D1B45A9"/>
    <w:rsid w:val="7D2A54A7"/>
    <w:rsid w:val="7D3170D9"/>
    <w:rsid w:val="7D33504E"/>
    <w:rsid w:val="7D362C54"/>
    <w:rsid w:val="7D3B012B"/>
    <w:rsid w:val="7D3C08AA"/>
    <w:rsid w:val="7D3E4F76"/>
    <w:rsid w:val="7D4928DE"/>
    <w:rsid w:val="7D4C641E"/>
    <w:rsid w:val="7D4D2034"/>
    <w:rsid w:val="7D584417"/>
    <w:rsid w:val="7D5C493C"/>
    <w:rsid w:val="7D6B430E"/>
    <w:rsid w:val="7D6E70B9"/>
    <w:rsid w:val="7D7C3D68"/>
    <w:rsid w:val="7D825837"/>
    <w:rsid w:val="7D8833D9"/>
    <w:rsid w:val="7D91396F"/>
    <w:rsid w:val="7D9401DC"/>
    <w:rsid w:val="7D940935"/>
    <w:rsid w:val="7D96044B"/>
    <w:rsid w:val="7D9D5A9F"/>
    <w:rsid w:val="7DA2317D"/>
    <w:rsid w:val="7DA90486"/>
    <w:rsid w:val="7DAE540F"/>
    <w:rsid w:val="7DB07FBB"/>
    <w:rsid w:val="7DBF3526"/>
    <w:rsid w:val="7DC767AB"/>
    <w:rsid w:val="7DD112B2"/>
    <w:rsid w:val="7DD318F4"/>
    <w:rsid w:val="7DDA645E"/>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26C67"/>
    <w:rsid w:val="7E574A6E"/>
    <w:rsid w:val="7E61326B"/>
    <w:rsid w:val="7E6C1C25"/>
    <w:rsid w:val="7E701D11"/>
    <w:rsid w:val="7E762791"/>
    <w:rsid w:val="7E772B4E"/>
    <w:rsid w:val="7E77682E"/>
    <w:rsid w:val="7E793A61"/>
    <w:rsid w:val="7E804FCB"/>
    <w:rsid w:val="7E8533A3"/>
    <w:rsid w:val="7E8A0601"/>
    <w:rsid w:val="7E8E42BF"/>
    <w:rsid w:val="7E90165D"/>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E2FBD"/>
    <w:rsid w:val="7EF249D0"/>
    <w:rsid w:val="7EF55C07"/>
    <w:rsid w:val="7F0C4AAB"/>
    <w:rsid w:val="7F0D0F48"/>
    <w:rsid w:val="7F133DD3"/>
    <w:rsid w:val="7F14671E"/>
    <w:rsid w:val="7F1B5E8E"/>
    <w:rsid w:val="7F256B84"/>
    <w:rsid w:val="7F2D77EE"/>
    <w:rsid w:val="7F2E4552"/>
    <w:rsid w:val="7F3A609B"/>
    <w:rsid w:val="7F41045E"/>
    <w:rsid w:val="7F471AC1"/>
    <w:rsid w:val="7F4F1E70"/>
    <w:rsid w:val="7F5117A9"/>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outlineLvl w:val="0"/>
    </w:pPr>
    <w:rPr>
      <w:b/>
      <w:kern w:val="44"/>
      <w:sz w:val="44"/>
    </w:rPr>
  </w:style>
  <w:style w:type="paragraph" w:styleId="4">
    <w:name w:val="heading 2"/>
    <w:basedOn w:val="1"/>
    <w:next w:val="1"/>
    <w:link w:val="34"/>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outlineLvl w:val="2"/>
    </w:pPr>
    <w:rPr>
      <w:rFonts w:hint="eastAsia" w:cs="Times New Roman"/>
      <w:b/>
      <w:kern w:val="0"/>
      <w:sz w:val="27"/>
      <w:szCs w:val="27"/>
    </w:rPr>
  </w:style>
  <w:style w:type="paragraph" w:styleId="6">
    <w:name w:val="heading 6"/>
    <w:basedOn w:val="1"/>
    <w:next w:val="1"/>
    <w:semiHidden/>
    <w:unhideWhenUsed/>
    <w:qFormat/>
    <w:uiPriority w:val="0"/>
    <w:pPr>
      <w:keepNext/>
      <w:keepLines/>
      <w:numPr>
        <w:ilvl w:val="5"/>
        <w:numId w:val="1"/>
      </w:numPr>
      <w:spacing w:line="317" w:lineRule="auto"/>
      <w:outlineLvl w:val="5"/>
    </w:pPr>
    <w:rPr>
      <w:rFonts w:ascii="Arial" w:hAnsi="Arial" w:eastAsia="黑体"/>
      <w:b/>
    </w:rPr>
  </w:style>
  <w:style w:type="paragraph" w:styleId="7">
    <w:name w:val="heading 7"/>
    <w:basedOn w:val="1"/>
    <w:next w:val="1"/>
    <w:semiHidden/>
    <w:unhideWhenUsed/>
    <w:qFormat/>
    <w:uiPriority w:val="0"/>
    <w:pPr>
      <w:keepNext/>
      <w:keepLines/>
      <w:numPr>
        <w:ilvl w:val="6"/>
        <w:numId w:val="1"/>
      </w:numPr>
      <w:spacing w:line="317" w:lineRule="auto"/>
      <w:outlineLvl w:val="6"/>
    </w:pPr>
    <w:rPr>
      <w:b/>
    </w:rPr>
  </w:style>
  <w:style w:type="paragraph" w:styleId="8">
    <w:name w:val="heading 8"/>
    <w:basedOn w:val="1"/>
    <w:next w:val="1"/>
    <w:semiHidden/>
    <w:unhideWhenUsed/>
    <w:qFormat/>
    <w:uiPriority w:val="0"/>
    <w:pPr>
      <w:keepNext/>
      <w:keepLines/>
      <w:numPr>
        <w:ilvl w:val="7"/>
        <w:numId w:val="1"/>
      </w:numPr>
      <w:spacing w:line="317" w:lineRule="auto"/>
      <w:outlineLvl w:val="7"/>
    </w:pPr>
    <w:rPr>
      <w:rFonts w:ascii="Arial" w:hAnsi="Arial" w:eastAsia="黑体"/>
    </w:rPr>
  </w:style>
  <w:style w:type="paragraph" w:styleId="9">
    <w:name w:val="heading 9"/>
    <w:basedOn w:val="1"/>
    <w:next w:val="1"/>
    <w:semiHidden/>
    <w:unhideWhenUsed/>
    <w:qFormat/>
    <w:uiPriority w:val="0"/>
    <w:pPr>
      <w:keepNext/>
      <w:keepLines/>
      <w:numPr>
        <w:ilvl w:val="8"/>
        <w:numId w:val="1"/>
      </w:numPr>
      <w:spacing w:line="317" w:lineRule="auto"/>
      <w:outlineLvl w:val="8"/>
    </w:pPr>
    <w:rPr>
      <w:rFonts w:ascii="Arial" w:hAnsi="Arial" w:eastAsia="黑体"/>
      <w:sz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Times New Roman"/>
    </w:rPr>
  </w:style>
  <w:style w:type="paragraph" w:styleId="10">
    <w:name w:val="Normal Indent"/>
    <w:basedOn w:val="1"/>
    <w:qFormat/>
    <w:uiPriority w:val="0"/>
    <w:pPr>
      <w:ind w:firstLine="420" w:firstLineChars="200"/>
    </w:pPr>
  </w:style>
  <w:style w:type="paragraph" w:styleId="11">
    <w:name w:val="annotation text"/>
    <w:basedOn w:val="1"/>
    <w:link w:val="81"/>
    <w:qFormat/>
    <w:uiPriority w:val="0"/>
  </w:style>
  <w:style w:type="paragraph" w:styleId="12">
    <w:name w:val="Body Text Indent"/>
    <w:basedOn w:val="1"/>
    <w:qFormat/>
    <w:uiPriority w:val="0"/>
    <w:pPr>
      <w:ind w:firstLine="538" w:firstLineChars="168"/>
    </w:pPr>
    <w:rPr>
      <w:rFonts w:ascii="仿宋_GB2312" w:eastAsia="仿宋_GB2312"/>
      <w:sz w:val="32"/>
    </w:rPr>
  </w:style>
  <w:style w:type="paragraph" w:styleId="13">
    <w:name w:val="List 2"/>
    <w:basedOn w:val="1"/>
    <w:qFormat/>
    <w:uiPriority w:val="0"/>
    <w:pPr>
      <w:ind w:left="100" w:leftChars="200" w:hanging="200" w:hangingChars="200"/>
    </w:pPr>
  </w:style>
  <w:style w:type="paragraph" w:styleId="14">
    <w:name w:val="toc 3"/>
    <w:basedOn w:val="1"/>
    <w:next w:val="1"/>
    <w:qFormat/>
    <w:uiPriority w:val="0"/>
    <w:pPr>
      <w:wordWrap w:val="0"/>
      <w:topLinePunct/>
      <w:spacing w:line="400" w:lineRule="exact"/>
      <w:ind w:left="840" w:leftChars="400"/>
    </w:pPr>
    <w:rPr>
      <w:sz w:val="21"/>
    </w:rPr>
  </w:style>
  <w:style w:type="paragraph" w:styleId="15">
    <w:name w:val="Plain Text"/>
    <w:basedOn w:val="1"/>
    <w:qFormat/>
    <w:uiPriority w:val="0"/>
    <w:rPr>
      <w:rFonts w:hAnsi="Courier New"/>
    </w:rPr>
  </w:style>
  <w:style w:type="paragraph" w:styleId="16">
    <w:name w:val="Balloon Text"/>
    <w:basedOn w:val="1"/>
    <w:link w:val="80"/>
    <w:qFormat/>
    <w:uiPriority w:val="0"/>
    <w:pPr>
      <w:spacing w:line="240" w:lineRule="auto"/>
    </w:pPr>
    <w:rPr>
      <w:sz w:val="18"/>
      <w:szCs w:val="18"/>
    </w:rPr>
  </w:style>
  <w:style w:type="paragraph" w:styleId="17">
    <w:name w:val="footer"/>
    <w:basedOn w:val="1"/>
    <w:link w:val="33"/>
    <w:qFormat/>
    <w:uiPriority w:val="0"/>
    <w:pPr>
      <w:spacing w:line="240" w:lineRule="auto"/>
    </w:pPr>
    <w:rPr>
      <w:sz w:val="18"/>
      <w:szCs w:val="18"/>
    </w:rPr>
  </w:style>
  <w:style w:type="paragraph" w:styleId="18">
    <w:name w:val="header"/>
    <w:basedOn w:val="1"/>
    <w:link w:val="32"/>
    <w:qFormat/>
    <w:uiPriority w:val="0"/>
    <w:pPr>
      <w:pBdr>
        <w:bottom w:val="single" w:color="auto" w:sz="6" w:space="1"/>
      </w:pBdr>
      <w:wordWrap w:val="0"/>
      <w:topLinePunct/>
      <w:spacing w:line="240" w:lineRule="auto"/>
      <w:jc w:val="center"/>
    </w:pPr>
    <w:rPr>
      <w:sz w:val="18"/>
      <w:szCs w:val="18"/>
    </w:rPr>
  </w:style>
  <w:style w:type="paragraph" w:styleId="19">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20">
    <w:name w:val="toc 2"/>
    <w:basedOn w:val="1"/>
    <w:next w:val="1"/>
    <w:qFormat/>
    <w:uiPriority w:val="0"/>
    <w:pPr>
      <w:wordWrap w:val="0"/>
      <w:topLinePunct/>
      <w:spacing w:line="400" w:lineRule="exact"/>
      <w:ind w:left="420" w:leftChars="200"/>
    </w:pPr>
    <w:rPr>
      <w:sz w:val="21"/>
    </w:rPr>
  </w:style>
  <w:style w:type="paragraph" w:styleId="21">
    <w:name w:val="Normal (Web)"/>
    <w:basedOn w:val="1"/>
    <w:qFormat/>
    <w:uiPriority w:val="0"/>
    <w:pPr>
      <w:spacing w:beforeAutospacing="1" w:afterAutospacing="1"/>
    </w:pPr>
    <w:rPr>
      <w:rFonts w:cs="Times New Roman"/>
      <w:kern w:val="0"/>
    </w:rPr>
  </w:style>
  <w:style w:type="paragraph" w:styleId="22">
    <w:name w:val="Title"/>
    <w:basedOn w:val="1"/>
    <w:next w:val="1"/>
    <w:qFormat/>
    <w:uiPriority w:val="0"/>
    <w:pPr>
      <w:spacing w:before="240" w:after="60"/>
      <w:jc w:val="center"/>
      <w:outlineLvl w:val="0"/>
    </w:pPr>
    <w:rPr>
      <w:rFonts w:asciiTheme="majorHAnsi" w:hAnsiTheme="majorHAnsi" w:cstheme="majorBidi"/>
      <w:b/>
      <w:bCs/>
      <w:sz w:val="32"/>
      <w:szCs w:val="32"/>
    </w:rPr>
  </w:style>
  <w:style w:type="paragraph" w:styleId="23">
    <w:name w:val="annotation subject"/>
    <w:basedOn w:val="11"/>
    <w:next w:val="11"/>
    <w:link w:val="82"/>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qFormat/>
    <w:uiPriority w:val="0"/>
    <w:rPr>
      <w:rFonts w:hint="eastAsia" w:ascii="微软雅黑" w:hAnsi="微软雅黑" w:eastAsia="微软雅黑" w:cs="微软雅黑"/>
      <w:color w:val="02396F"/>
      <w:u w:val="single"/>
    </w:rPr>
  </w:style>
  <w:style w:type="character" w:styleId="28">
    <w:name w:val="Hyperlink"/>
    <w:basedOn w:val="26"/>
    <w:qFormat/>
    <w:uiPriority w:val="0"/>
    <w:rPr>
      <w:color w:val="0000FF"/>
      <w:u w:val="single"/>
    </w:rPr>
  </w:style>
  <w:style w:type="character" w:styleId="29">
    <w:name w:val="annotation reference"/>
    <w:basedOn w:val="26"/>
    <w:qFormat/>
    <w:uiPriority w:val="0"/>
    <w:rPr>
      <w:sz w:val="21"/>
      <w:szCs w:val="21"/>
    </w:rPr>
  </w:style>
  <w:style w:type="paragraph" w:customStyle="1" w:styleId="30">
    <w:name w:val="标题 5（有编号）（绿盟科技）"/>
    <w:basedOn w:val="1"/>
    <w:next w:val="31"/>
    <w:qFormat/>
    <w:uiPriority w:val="0"/>
    <w:pPr>
      <w:keepNext/>
      <w:keepLines/>
      <w:numPr>
        <w:ilvl w:val="4"/>
        <w:numId w:val="2"/>
      </w:numPr>
      <w:spacing w:before="280" w:after="156" w:line="377" w:lineRule="auto"/>
      <w:outlineLvl w:val="4"/>
    </w:pPr>
    <w:rPr>
      <w:rFonts w:ascii="Arial" w:hAnsi="Arial" w:eastAsia="黑体"/>
      <w:b/>
      <w:kern w:val="0"/>
      <w:szCs w:val="28"/>
    </w:rPr>
  </w:style>
  <w:style w:type="paragraph" w:customStyle="1" w:styleId="31">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2">
    <w:name w:val="页眉 字符"/>
    <w:basedOn w:val="26"/>
    <w:link w:val="18"/>
    <w:qFormat/>
    <w:uiPriority w:val="0"/>
    <w:rPr>
      <w:rFonts w:ascii="宋体" w:hAnsi="宋体" w:eastAsia="宋体" w:cstheme="minorBidi"/>
      <w:kern w:val="2"/>
      <w:sz w:val="18"/>
      <w:szCs w:val="18"/>
    </w:rPr>
  </w:style>
  <w:style w:type="character" w:customStyle="1" w:styleId="33">
    <w:name w:val="页脚 字符"/>
    <w:basedOn w:val="26"/>
    <w:link w:val="17"/>
    <w:qFormat/>
    <w:uiPriority w:val="0"/>
    <w:rPr>
      <w:rFonts w:ascii="宋体" w:hAnsi="宋体" w:eastAsia="宋体" w:cstheme="minorBidi"/>
      <w:kern w:val="2"/>
      <w:sz w:val="18"/>
      <w:szCs w:val="18"/>
    </w:rPr>
  </w:style>
  <w:style w:type="character" w:customStyle="1" w:styleId="34">
    <w:name w:val="标题 2 字符"/>
    <w:basedOn w:val="26"/>
    <w:link w:val="4"/>
    <w:qFormat/>
    <w:uiPriority w:val="0"/>
    <w:rPr>
      <w:rFonts w:ascii="Arial" w:hAnsi="Arial" w:eastAsia="黑体"/>
      <w:b/>
      <w:sz w:val="28"/>
    </w:rPr>
  </w:style>
  <w:style w:type="paragraph" w:customStyle="1" w:styleId="35">
    <w:name w:val="05、“(一)”正文三级标题"/>
    <w:basedOn w:val="1"/>
    <w:link w:val="61"/>
    <w:qFormat/>
    <w:uiPriority w:val="0"/>
    <w:pPr>
      <w:numPr>
        <w:ilvl w:val="1"/>
        <w:numId w:val="1"/>
      </w:numPr>
      <w:wordWrap w:val="0"/>
      <w:topLinePunct/>
      <w:ind w:firstLine="803" w:firstLineChars="200"/>
    </w:pPr>
  </w:style>
  <w:style w:type="paragraph" w:customStyle="1" w:styleId="36">
    <w:name w:val="00、封面正文(与其他内容无关的格式)"/>
    <w:basedOn w:val="1"/>
    <w:qFormat/>
    <w:uiPriority w:val="0"/>
  </w:style>
  <w:style w:type="paragraph" w:customStyle="1" w:styleId="37">
    <w:name w:val="15、“一、”二级标题"/>
    <w:basedOn w:val="1"/>
    <w:qFormat/>
    <w:uiPriority w:val="0"/>
    <w:pPr>
      <w:numPr>
        <w:ilvl w:val="1"/>
        <w:numId w:val="3"/>
      </w:numPr>
      <w:wordWrap w:val="0"/>
      <w:topLinePunct/>
      <w:ind w:firstLine="803" w:firstLineChars="200"/>
      <w:outlineLvl w:val="1"/>
    </w:pPr>
    <w:rPr>
      <w:b/>
    </w:rPr>
  </w:style>
  <w:style w:type="paragraph" w:customStyle="1" w:styleId="38">
    <w:name w:val="06、“1.”正文四级标题"/>
    <w:basedOn w:val="1"/>
    <w:link w:val="63"/>
    <w:qFormat/>
    <w:uiPriority w:val="0"/>
    <w:pPr>
      <w:numPr>
        <w:ilvl w:val="2"/>
        <w:numId w:val="1"/>
      </w:numPr>
      <w:wordWrap w:val="0"/>
      <w:topLinePunct/>
      <w:ind w:firstLine="803" w:firstLineChars="200"/>
    </w:pPr>
    <w:rPr>
      <w:snapToGrid w:val="0"/>
    </w:rPr>
  </w:style>
  <w:style w:type="paragraph" w:customStyle="1" w:styleId="39">
    <w:name w:val="07、“1.1”正文五级标题"/>
    <w:basedOn w:val="1"/>
    <w:link w:val="55"/>
    <w:qFormat/>
    <w:uiPriority w:val="0"/>
    <w:pPr>
      <w:numPr>
        <w:ilvl w:val="3"/>
        <w:numId w:val="1"/>
      </w:numPr>
      <w:ind w:firstLine="803" w:firstLineChars="200"/>
    </w:pPr>
  </w:style>
  <w:style w:type="paragraph" w:customStyle="1" w:styleId="40">
    <w:name w:val="08、“(1)”正文六级标题"/>
    <w:basedOn w:val="1"/>
    <w:link w:val="64"/>
    <w:qFormat/>
    <w:uiPriority w:val="0"/>
    <w:pPr>
      <w:numPr>
        <w:ilvl w:val="4"/>
        <w:numId w:val="1"/>
      </w:numPr>
      <w:ind w:firstLine="803" w:firstLineChars="200"/>
    </w:pPr>
    <w:rPr>
      <w:snapToGrid w:val="0"/>
    </w:rPr>
  </w:style>
  <w:style w:type="paragraph" w:customStyle="1" w:styleId="41">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2">
    <w:name w:val="10、“1.1”表格内二级标题"/>
    <w:basedOn w:val="1"/>
    <w:link w:val="54"/>
    <w:qFormat/>
    <w:uiPriority w:val="0"/>
    <w:pPr>
      <w:numPr>
        <w:ilvl w:val="1"/>
        <w:numId w:val="4"/>
      </w:numPr>
      <w:wordWrap w:val="0"/>
      <w:topLinePunct/>
      <w:spacing w:line="360" w:lineRule="exact"/>
      <w:ind w:left="48" w:leftChars="20"/>
    </w:pPr>
    <w:rPr>
      <w:snapToGrid w:val="0"/>
      <w:sz w:val="21"/>
    </w:rPr>
  </w:style>
  <w:style w:type="paragraph" w:customStyle="1" w:styleId="43">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4">
    <w:name w:val="12、表格内左对齐正文"/>
    <w:basedOn w:val="1"/>
    <w:link w:val="65"/>
    <w:qFormat/>
    <w:uiPriority w:val="0"/>
    <w:pPr>
      <w:wordWrap w:val="0"/>
      <w:topLinePunct/>
      <w:spacing w:line="360" w:lineRule="exact"/>
      <w:ind w:left="48" w:leftChars="20"/>
    </w:pPr>
    <w:rPr>
      <w:snapToGrid w:val="0"/>
      <w:sz w:val="21"/>
    </w:rPr>
  </w:style>
  <w:style w:type="paragraph" w:customStyle="1" w:styleId="45">
    <w:name w:val="01、普通正文"/>
    <w:basedOn w:val="1"/>
    <w:link w:val="59"/>
    <w:qFormat/>
    <w:uiPriority w:val="0"/>
    <w:pPr>
      <w:wordWrap w:val="0"/>
      <w:topLinePunct/>
    </w:pPr>
    <w:rPr>
      <w:snapToGrid w:val="0"/>
    </w:rPr>
  </w:style>
  <w:style w:type="paragraph" w:customStyle="1" w:styleId="46">
    <w:name w:val="20、第二章“一、”二级标题"/>
    <w:basedOn w:val="45"/>
    <w:qFormat/>
    <w:uiPriority w:val="0"/>
    <w:pPr>
      <w:numPr>
        <w:ilvl w:val="0"/>
        <w:numId w:val="5"/>
      </w:numPr>
      <w:spacing w:beforeLines="50" w:afterLines="50"/>
      <w:jc w:val="center"/>
      <w:outlineLvl w:val="1"/>
    </w:pPr>
    <w:rPr>
      <w:b/>
      <w:sz w:val="32"/>
    </w:rPr>
  </w:style>
  <w:style w:type="paragraph" w:customStyle="1" w:styleId="47">
    <w:name w:val="21、第三章“(一)”三级标题"/>
    <w:basedOn w:val="45"/>
    <w:link w:val="56"/>
    <w:qFormat/>
    <w:uiPriority w:val="0"/>
    <w:pPr>
      <w:pageBreakBefore/>
      <w:spacing w:beforeLines="50" w:afterLines="50"/>
      <w:jc w:val="center"/>
      <w:outlineLvl w:val="2"/>
    </w:pPr>
    <w:rPr>
      <w:b/>
      <w:sz w:val="28"/>
    </w:rPr>
  </w:style>
  <w:style w:type="paragraph" w:customStyle="1" w:styleId="48">
    <w:name w:val="13、表格内居中正文"/>
    <w:basedOn w:val="1"/>
    <w:qFormat/>
    <w:uiPriority w:val="0"/>
    <w:pPr>
      <w:wordWrap w:val="0"/>
      <w:topLinePunct/>
      <w:spacing w:line="360" w:lineRule="exact"/>
      <w:jc w:val="center"/>
    </w:pPr>
    <w:rPr>
      <w:sz w:val="21"/>
    </w:rPr>
  </w:style>
  <w:style w:type="paragraph" w:customStyle="1" w:styleId="49">
    <w:name w:val="02、首行缩进2字符正文"/>
    <w:basedOn w:val="1"/>
    <w:link w:val="58"/>
    <w:qFormat/>
    <w:uiPriority w:val="0"/>
    <w:pPr>
      <w:wordWrap w:val="0"/>
      <w:topLinePunct/>
      <w:ind w:firstLine="480" w:firstLineChars="200"/>
    </w:pPr>
  </w:style>
  <w:style w:type="paragraph" w:customStyle="1" w:styleId="50">
    <w:name w:val="03、“注：”正文(加粗，首行缩进2字符)"/>
    <w:basedOn w:val="45"/>
    <w:link w:val="60"/>
    <w:qFormat/>
    <w:uiPriority w:val="0"/>
    <w:pPr>
      <w:ind w:firstLine="480" w:firstLineChars="200"/>
    </w:pPr>
    <w:rPr>
      <w:b/>
    </w:rPr>
  </w:style>
  <w:style w:type="paragraph" w:customStyle="1" w:styleId="51">
    <w:name w:val="14、“第一章”一级标题"/>
    <w:basedOn w:val="45"/>
    <w:qFormat/>
    <w:uiPriority w:val="0"/>
    <w:pPr>
      <w:numPr>
        <w:ilvl w:val="0"/>
        <w:numId w:val="3"/>
      </w:numPr>
      <w:spacing w:beforeLines="50" w:afterLines="50" w:line="240" w:lineRule="auto"/>
      <w:jc w:val="center"/>
      <w:outlineLvl w:val="0"/>
    </w:pPr>
    <w:rPr>
      <w:b/>
      <w:sz w:val="36"/>
    </w:rPr>
  </w:style>
  <w:style w:type="paragraph" w:customStyle="1" w:styleId="52">
    <w:name w:val="16、“(一)”三级标题"/>
    <w:basedOn w:val="45"/>
    <w:link w:val="57"/>
    <w:qFormat/>
    <w:uiPriority w:val="0"/>
    <w:pPr>
      <w:numPr>
        <w:ilvl w:val="2"/>
        <w:numId w:val="3"/>
      </w:numPr>
      <w:ind w:firstLine="803" w:firstLineChars="200"/>
      <w:outlineLvl w:val="2"/>
    </w:pPr>
    <w:rPr>
      <w:b/>
    </w:rPr>
  </w:style>
  <w:style w:type="paragraph" w:customStyle="1" w:styleId="53">
    <w:name w:val="04“一、”正文二级标题"/>
    <w:basedOn w:val="45"/>
    <w:link w:val="62"/>
    <w:qFormat/>
    <w:uiPriority w:val="0"/>
    <w:pPr>
      <w:ind w:firstLine="803" w:firstLineChars="200"/>
    </w:pPr>
  </w:style>
  <w:style w:type="character" w:customStyle="1" w:styleId="54">
    <w:name w:val="10、“1.1”表格内二级标题 Char"/>
    <w:link w:val="42"/>
    <w:qFormat/>
    <w:uiPriority w:val="0"/>
    <w:rPr>
      <w:rFonts w:ascii="宋体" w:hAnsi="宋体" w:eastAsia="宋体"/>
      <w:snapToGrid w:val="0"/>
      <w:sz w:val="21"/>
    </w:rPr>
  </w:style>
  <w:style w:type="character" w:customStyle="1" w:styleId="55">
    <w:name w:val="07、“1.1”正文五级标题 Char"/>
    <w:link w:val="39"/>
    <w:qFormat/>
    <w:uiPriority w:val="0"/>
    <w:rPr>
      <w:rFonts w:ascii="宋体" w:hAnsi="宋体" w:eastAsia="宋体"/>
    </w:rPr>
  </w:style>
  <w:style w:type="character" w:customStyle="1" w:styleId="56">
    <w:name w:val="18、第三章“(一)”三级标题 Char"/>
    <w:link w:val="47"/>
    <w:qFormat/>
    <w:uiPriority w:val="0"/>
    <w:rPr>
      <w:rFonts w:ascii="宋体" w:hAnsi="宋体" w:cstheme="minorBidi"/>
      <w:b/>
      <w:snapToGrid w:val="0"/>
      <w:kern w:val="2"/>
      <w:sz w:val="28"/>
      <w:szCs w:val="24"/>
    </w:rPr>
  </w:style>
  <w:style w:type="character" w:customStyle="1" w:styleId="57">
    <w:name w:val="16、“(一)”三级标题 Char"/>
    <w:link w:val="52"/>
    <w:qFormat/>
    <w:uiPriority w:val="0"/>
    <w:rPr>
      <w:rFonts w:ascii="宋体" w:hAnsi="宋体" w:eastAsia="宋体"/>
      <w:b/>
    </w:rPr>
  </w:style>
  <w:style w:type="character" w:customStyle="1" w:styleId="58">
    <w:name w:val="02、首行缩进2字符正文 Char"/>
    <w:link w:val="49"/>
    <w:qFormat/>
    <w:uiPriority w:val="0"/>
    <w:rPr>
      <w:rFonts w:ascii="宋体" w:hAnsi="宋体" w:eastAsia="宋体"/>
    </w:rPr>
  </w:style>
  <w:style w:type="character" w:customStyle="1" w:styleId="59">
    <w:name w:val="01、普通正文 Char"/>
    <w:link w:val="45"/>
    <w:qFormat/>
    <w:uiPriority w:val="0"/>
    <w:rPr>
      <w:rFonts w:ascii="宋体" w:hAnsi="宋体" w:eastAsia="宋体"/>
      <w:snapToGrid w:val="0"/>
    </w:rPr>
  </w:style>
  <w:style w:type="character" w:customStyle="1" w:styleId="60">
    <w:name w:val="03、“注：”正文(加粗，首行缩进2字符) Char"/>
    <w:link w:val="50"/>
    <w:qFormat/>
    <w:uiPriority w:val="0"/>
    <w:rPr>
      <w:b/>
    </w:rPr>
  </w:style>
  <w:style w:type="character" w:customStyle="1" w:styleId="61">
    <w:name w:val="05、“(一)”正文三级标题 Char"/>
    <w:link w:val="35"/>
    <w:qFormat/>
    <w:uiPriority w:val="0"/>
    <w:rPr>
      <w:rFonts w:ascii="宋体" w:hAnsi="宋体" w:eastAsia="宋体"/>
    </w:rPr>
  </w:style>
  <w:style w:type="character" w:customStyle="1" w:styleId="62">
    <w:name w:val="04“一、”正文二级标题 Char"/>
    <w:link w:val="53"/>
    <w:qFormat/>
    <w:uiPriority w:val="0"/>
  </w:style>
  <w:style w:type="character" w:customStyle="1" w:styleId="63">
    <w:name w:val="06、“1.”正文四级标题 Char"/>
    <w:link w:val="38"/>
    <w:qFormat/>
    <w:uiPriority w:val="0"/>
    <w:rPr>
      <w:rFonts w:ascii="宋体" w:hAnsi="宋体" w:eastAsia="宋体"/>
      <w:snapToGrid w:val="0"/>
    </w:rPr>
  </w:style>
  <w:style w:type="character" w:customStyle="1" w:styleId="64">
    <w:name w:val="08、“(1)”正文六级标题 Char"/>
    <w:link w:val="40"/>
    <w:qFormat/>
    <w:uiPriority w:val="0"/>
    <w:rPr>
      <w:rFonts w:ascii="宋体" w:hAnsi="宋体" w:eastAsia="宋体"/>
      <w:snapToGrid w:val="0"/>
    </w:rPr>
  </w:style>
  <w:style w:type="character" w:customStyle="1" w:styleId="65">
    <w:name w:val="12、表格内左对齐正文 Char"/>
    <w:link w:val="44"/>
    <w:qFormat/>
    <w:uiPriority w:val="0"/>
    <w:rPr>
      <w:rFonts w:ascii="宋体" w:hAnsi="宋体" w:eastAsia="宋体"/>
      <w:snapToGrid w:val="0"/>
      <w:sz w:val="21"/>
    </w:rPr>
  </w:style>
  <w:style w:type="paragraph" w:customStyle="1" w:styleId="66">
    <w:name w:val="17“1.”四级标题"/>
    <w:basedOn w:val="49"/>
    <w:qFormat/>
    <w:uiPriority w:val="0"/>
    <w:pPr>
      <w:numPr>
        <w:ilvl w:val="3"/>
        <w:numId w:val="3"/>
      </w:numPr>
      <w:ind w:firstLine="803"/>
    </w:pPr>
  </w:style>
  <w:style w:type="paragraph" w:customStyle="1" w:styleId="67">
    <w:name w:val="18、“1.1”五级标题"/>
    <w:basedOn w:val="66"/>
    <w:qFormat/>
    <w:uiPriority w:val="0"/>
    <w:pPr>
      <w:numPr>
        <w:ilvl w:val="4"/>
      </w:numPr>
      <w:ind w:firstLine="803"/>
    </w:pPr>
  </w:style>
  <w:style w:type="paragraph" w:customStyle="1" w:styleId="68">
    <w:name w:val="19、“(1)”六级标题"/>
    <w:basedOn w:val="66"/>
    <w:qFormat/>
    <w:uiPriority w:val="0"/>
    <w:pPr>
      <w:numPr>
        <w:ilvl w:val="5"/>
      </w:numPr>
      <w:ind w:firstLine="803"/>
    </w:pPr>
  </w:style>
  <w:style w:type="paragraph" w:customStyle="1" w:styleId="69">
    <w:name w:val="样式 首行缩进:  2 字符"/>
    <w:basedOn w:val="1"/>
    <w:qFormat/>
    <w:uiPriority w:val="0"/>
    <w:pPr>
      <w:spacing w:line="400" w:lineRule="exact"/>
      <w:ind w:firstLine="200" w:firstLineChars="200"/>
    </w:pPr>
    <w:rPr>
      <w:rFonts w:cs="宋体"/>
    </w:rPr>
  </w:style>
  <w:style w:type="character" w:customStyle="1" w:styleId="70">
    <w:name w:val="redfilefwwh"/>
    <w:basedOn w:val="26"/>
    <w:qFormat/>
    <w:uiPriority w:val="0"/>
    <w:rPr>
      <w:color w:val="BA2636"/>
      <w:sz w:val="12"/>
      <w:szCs w:val="12"/>
    </w:rPr>
  </w:style>
  <w:style w:type="character" w:customStyle="1" w:styleId="71">
    <w:name w:val="qxdate"/>
    <w:basedOn w:val="26"/>
    <w:qFormat/>
    <w:uiPriority w:val="0"/>
    <w:rPr>
      <w:color w:val="333333"/>
      <w:sz w:val="12"/>
      <w:szCs w:val="12"/>
    </w:rPr>
  </w:style>
  <w:style w:type="character" w:customStyle="1" w:styleId="72">
    <w:name w:val="cfdate"/>
    <w:basedOn w:val="26"/>
    <w:qFormat/>
    <w:uiPriority w:val="0"/>
    <w:rPr>
      <w:color w:val="333333"/>
      <w:sz w:val="12"/>
      <w:szCs w:val="12"/>
    </w:rPr>
  </w:style>
  <w:style w:type="character" w:customStyle="1" w:styleId="73">
    <w:name w:val="gjfg"/>
    <w:basedOn w:val="26"/>
    <w:qFormat/>
    <w:uiPriority w:val="0"/>
  </w:style>
  <w:style w:type="character" w:customStyle="1" w:styleId="74">
    <w:name w:val="displayarti"/>
    <w:basedOn w:val="26"/>
    <w:qFormat/>
    <w:uiPriority w:val="0"/>
    <w:rPr>
      <w:color w:val="FFFFFF"/>
      <w:shd w:val="clear" w:color="auto" w:fill="A00000"/>
    </w:rPr>
  </w:style>
  <w:style w:type="character" w:customStyle="1" w:styleId="75">
    <w:name w:val="redfilenumber"/>
    <w:basedOn w:val="26"/>
    <w:qFormat/>
    <w:uiPriority w:val="0"/>
    <w:rPr>
      <w:color w:val="BA2636"/>
      <w:sz w:val="12"/>
      <w:szCs w:val="12"/>
    </w:rPr>
  </w:style>
  <w:style w:type="paragraph" w:customStyle="1" w:styleId="76">
    <w:name w:val="20、第五章“(一)”三级标题"/>
    <w:basedOn w:val="45"/>
    <w:qFormat/>
    <w:uiPriority w:val="0"/>
    <w:pPr>
      <w:pageBreakBefore/>
      <w:numPr>
        <w:ilvl w:val="0"/>
        <w:numId w:val="6"/>
      </w:numPr>
      <w:spacing w:beforeLines="50" w:afterLines="50"/>
      <w:jc w:val="center"/>
      <w:outlineLvl w:val="2"/>
    </w:pPr>
    <w:rPr>
      <w:b/>
      <w:sz w:val="28"/>
    </w:rPr>
  </w:style>
  <w:style w:type="paragraph" w:styleId="77">
    <w:name w:val="List Paragraph"/>
    <w:basedOn w:val="1"/>
    <w:qFormat/>
    <w:uiPriority w:val="1"/>
    <w:pPr>
      <w:ind w:left="205" w:right="169" w:firstLine="655"/>
    </w:pPr>
    <w:rPr>
      <w:rFonts w:ascii="仿宋" w:hAnsi="仿宋" w:eastAsia="仿宋" w:cs="仿宋"/>
      <w:u w:val="single" w:color="000000"/>
      <w:lang w:val="zh-CN" w:bidi="zh-CN"/>
    </w:rPr>
  </w:style>
  <w:style w:type="paragraph" w:customStyle="1" w:styleId="78">
    <w:name w:val="图表文字"/>
    <w:basedOn w:val="1"/>
    <w:qFormat/>
    <w:uiPriority w:val="99"/>
    <w:pPr>
      <w:spacing w:line="360" w:lineRule="auto"/>
    </w:pPr>
    <w:rPr>
      <w:rFonts w:ascii="仿宋_GB2312" w:hAnsi="Calibri" w:eastAsia="仿宋_GB2312" w:cs="仿宋_GB2312"/>
    </w:rPr>
  </w:style>
  <w:style w:type="paragraph" w:customStyle="1" w:styleId="79">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character" w:customStyle="1" w:styleId="80">
    <w:name w:val="批注框文本 字符"/>
    <w:basedOn w:val="26"/>
    <w:link w:val="16"/>
    <w:qFormat/>
    <w:uiPriority w:val="0"/>
    <w:rPr>
      <w:rFonts w:ascii="宋体" w:hAnsi="宋体" w:cstheme="minorBidi"/>
      <w:kern w:val="2"/>
      <w:sz w:val="18"/>
      <w:szCs w:val="18"/>
    </w:rPr>
  </w:style>
  <w:style w:type="character" w:customStyle="1" w:styleId="81">
    <w:name w:val="批注文字 字符"/>
    <w:basedOn w:val="26"/>
    <w:link w:val="11"/>
    <w:qFormat/>
    <w:uiPriority w:val="0"/>
    <w:rPr>
      <w:rFonts w:ascii="宋体" w:hAnsi="宋体" w:cstheme="minorBidi"/>
      <w:kern w:val="2"/>
      <w:sz w:val="24"/>
      <w:szCs w:val="24"/>
    </w:rPr>
  </w:style>
  <w:style w:type="character" w:customStyle="1" w:styleId="82">
    <w:name w:val="批注主题 字符"/>
    <w:basedOn w:val="81"/>
    <w:link w:val="23"/>
    <w:qFormat/>
    <w:uiPriority w:val="0"/>
    <w:rPr>
      <w:rFonts w:ascii="宋体" w:hAnsi="宋体"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9.GIF"/><Relationship Id="rId26" Type="http://schemas.openxmlformats.org/officeDocument/2006/relationships/image" Target="media/image8.GIF"/><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25C288-5EE0-4D17-8A4E-6A22FF32526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103</Pages>
  <Words>10023</Words>
  <Characters>57132</Characters>
  <Lines>476</Lines>
  <Paragraphs>134</Paragraphs>
  <TotalTime>0</TotalTime>
  <ScaleCrop>false</ScaleCrop>
  <LinksUpToDate>false</LinksUpToDate>
  <CharactersWithSpaces>67021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gqy</cp:lastModifiedBy>
  <cp:lastPrinted>2021-05-19T07:01:00Z</cp:lastPrinted>
  <dcterms:modified xsi:type="dcterms:W3CDTF">2021-08-18T02:12:30Z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918C0BBE4359444F8E5FCA32D3D20AAF</vt:lpwstr>
  </property>
  <property fmtid="{D5CDD505-2E9C-101B-9397-08002B2CF9AE}" pid="4" name="KSOSaveFontToCloudKey">
    <vt:lpwstr>439037635_embed</vt:lpwstr>
  </property>
</Properties>
</file>